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64" w:rsidRDefault="00FF7F64" w:rsidP="002E2FDC">
      <w:pPr>
        <w:pStyle w:val="DWTableText"/>
      </w:pPr>
      <w:bookmarkStart w:id="0" w:name="_GoBack"/>
      <w:bookmarkEnd w:id="0"/>
    </w:p>
    <w:p w:rsidR="008E1BA8" w:rsidRDefault="008E1BA8" w:rsidP="002E2FDC">
      <w:pPr>
        <w:pStyle w:val="DWTableText"/>
      </w:pPr>
    </w:p>
    <w:p w:rsidR="008E1BA8" w:rsidRDefault="008E1BA8" w:rsidP="002E2FDC">
      <w:pPr>
        <w:pStyle w:val="DWTableText"/>
      </w:pPr>
    </w:p>
    <w:p w:rsidR="008E1BA8" w:rsidRDefault="008E1BA8" w:rsidP="002E2FDC">
      <w:pPr>
        <w:pStyle w:val="DWTableText"/>
      </w:pPr>
    </w:p>
    <w:p w:rsidR="009A5714" w:rsidRDefault="009A5714" w:rsidP="006F13EB">
      <w:pPr>
        <w:pStyle w:val="DWTitleCentre16"/>
        <w:spacing w:before="120" w:after="120"/>
        <w:rPr>
          <w:b w:val="0"/>
          <w:sz w:val="24"/>
          <w:szCs w:val="24"/>
        </w:rPr>
      </w:pPr>
      <w:r>
        <w:rPr>
          <w:b w:val="0"/>
          <w:sz w:val="24"/>
          <w:szCs w:val="24"/>
        </w:rPr>
        <w:t>PO Box 9054</w:t>
      </w:r>
    </w:p>
    <w:p w:rsidR="00823A37" w:rsidRPr="00823A37" w:rsidRDefault="00823A37" w:rsidP="006F13EB">
      <w:pPr>
        <w:pStyle w:val="DWTitleCentre16"/>
        <w:spacing w:before="120" w:after="120"/>
        <w:rPr>
          <w:b w:val="0"/>
          <w:sz w:val="24"/>
          <w:szCs w:val="24"/>
        </w:rPr>
      </w:pPr>
      <w:r>
        <w:rPr>
          <w:b w:val="0"/>
          <w:sz w:val="24"/>
          <w:szCs w:val="24"/>
        </w:rPr>
        <w:t xml:space="preserve">Henley Beach </w:t>
      </w:r>
      <w:r w:rsidR="009A5714">
        <w:rPr>
          <w:b w:val="0"/>
          <w:sz w:val="24"/>
          <w:szCs w:val="24"/>
        </w:rPr>
        <w:t xml:space="preserve">South </w:t>
      </w:r>
      <w:r>
        <w:rPr>
          <w:b w:val="0"/>
          <w:sz w:val="24"/>
          <w:szCs w:val="24"/>
        </w:rPr>
        <w:t>SA 5022</w:t>
      </w:r>
    </w:p>
    <w:p w:rsidR="00430D0F" w:rsidRDefault="00430D0F" w:rsidP="00430D0F">
      <w:pPr>
        <w:pStyle w:val="DWTitleCentre8"/>
      </w:pPr>
    </w:p>
    <w:p w:rsidR="00430D0F" w:rsidRDefault="00430D0F" w:rsidP="00430D0F">
      <w:pPr>
        <w:pStyle w:val="DWParaText"/>
      </w:pPr>
    </w:p>
    <w:p w:rsidR="00C81327" w:rsidRDefault="00C81327" w:rsidP="00430D0F">
      <w:pPr>
        <w:pStyle w:val="DWTitleCentre16"/>
      </w:pPr>
    </w:p>
    <w:p w:rsidR="00C81327" w:rsidRDefault="00C81327">
      <w:pPr>
        <w:pStyle w:val="DWParaText"/>
      </w:pPr>
    </w:p>
    <w:p w:rsidR="008E1BA8" w:rsidRDefault="008E1BA8">
      <w:pPr>
        <w:pStyle w:val="DWParaText"/>
      </w:pPr>
    </w:p>
    <w:p w:rsidR="00C81327" w:rsidRDefault="00C81327">
      <w:pPr>
        <w:pStyle w:val="DWParaText"/>
      </w:pPr>
    </w:p>
    <w:p w:rsidR="00C81327" w:rsidRDefault="00524F02">
      <w:pPr>
        <w:pStyle w:val="DWTitleCentre14"/>
      </w:pPr>
      <w:r>
        <w:fldChar w:fldCharType="begin"/>
      </w:r>
      <w:r>
        <w:instrText xml:space="preserve"> DOCPROPERTY "DW$_DocTitle1"  \* MERGEFORMAT </w:instrText>
      </w:r>
      <w:r>
        <w:fldChar w:fldCharType="separate"/>
      </w:r>
      <w:r w:rsidR="004E7627">
        <w:t>Pre-Budget Submission 2016-17</w:t>
      </w:r>
      <w:r>
        <w:fldChar w:fldCharType="end"/>
      </w:r>
    </w:p>
    <w:p w:rsidR="00C81327" w:rsidRDefault="00524F02">
      <w:pPr>
        <w:pStyle w:val="DWTitleCentre14"/>
      </w:pPr>
      <w:r>
        <w:fldChar w:fldCharType="begin"/>
      </w:r>
      <w:r>
        <w:instrText xml:space="preserve"> DOCPROPERTY "DW$_DocTitle2"  \* MERGEFORMAT </w:instrText>
      </w:r>
      <w:r>
        <w:fldChar w:fldCharType="separate"/>
      </w:r>
      <w:r w:rsidR="008F4EAA">
        <w:t>Australian Government Treasury</w:t>
      </w:r>
      <w:r>
        <w:fldChar w:fldCharType="end"/>
      </w:r>
    </w:p>
    <w:p w:rsidR="00430D0F" w:rsidRDefault="00430D0F">
      <w:pPr>
        <w:pStyle w:val="DWTitleCentre14"/>
      </w:pPr>
    </w:p>
    <w:p w:rsidR="00430D0F" w:rsidRDefault="00430D0F">
      <w:pPr>
        <w:pStyle w:val="DWTitleCentre14"/>
      </w:pPr>
    </w:p>
    <w:p w:rsidR="00C110D4" w:rsidRDefault="00C110D4">
      <w:pPr>
        <w:pStyle w:val="DWTitleCentre14"/>
      </w:pPr>
    </w:p>
    <w:p w:rsidR="00C110D4" w:rsidRDefault="00C110D4">
      <w:pPr>
        <w:pStyle w:val="DWTitleCentre14"/>
      </w:pPr>
    </w:p>
    <w:p w:rsidR="00C110D4" w:rsidRDefault="00C110D4">
      <w:pPr>
        <w:pStyle w:val="DWTitleCentre14"/>
      </w:pPr>
    </w:p>
    <w:p w:rsidR="00C81327" w:rsidRDefault="00524F02">
      <w:pPr>
        <w:pStyle w:val="DWTitleCentre14"/>
      </w:pPr>
      <w:r>
        <w:fldChar w:fldCharType="begin"/>
      </w:r>
      <w:r>
        <w:instrText xml:space="preserve"> DOCPROPERTY "DW$_DocTitle3"  \* MERGEFORMAT </w:instrText>
      </w:r>
      <w:r>
        <w:fldChar w:fldCharType="separate"/>
      </w:r>
      <w:r w:rsidR="00C97745">
        <w:t xml:space="preserve"> </w:t>
      </w:r>
      <w:r>
        <w:fldChar w:fldCharType="end"/>
      </w:r>
    </w:p>
    <w:p w:rsidR="00430D0F" w:rsidRDefault="00524F02" w:rsidP="00430D0F">
      <w:pPr>
        <w:pStyle w:val="DWSpace6"/>
      </w:pPr>
      <w:r>
        <w:fldChar w:fldCharType="begin"/>
      </w:r>
      <w:r>
        <w:instrText xml:space="preserve"> DOCPROPERTY "DW$_DocTitle3"  \* MERGEFORMAT </w:instrText>
      </w:r>
      <w:r>
        <w:fldChar w:fldCharType="separate"/>
      </w:r>
      <w:r w:rsidR="00C97745">
        <w:t xml:space="preserve"> </w:t>
      </w:r>
      <w:r>
        <w:fldChar w:fldCharType="end"/>
      </w:r>
      <w:r w:rsidR="00430D0F" w:rsidRPr="00460252">
        <w:t xml:space="preserve"> </w:t>
      </w:r>
    </w:p>
    <w:p w:rsidR="00A13F1C" w:rsidRDefault="00A13F1C">
      <w:pPr>
        <w:rPr>
          <w:b/>
        </w:rPr>
      </w:pPr>
      <w:r>
        <w:rPr>
          <w:b/>
        </w:rPr>
        <w:br w:type="page"/>
      </w:r>
    </w:p>
    <w:p w:rsidR="005F185C" w:rsidRDefault="005F185C">
      <w:pPr>
        <w:rPr>
          <w:b/>
        </w:rPr>
      </w:pPr>
    </w:p>
    <w:p w:rsidR="008E1BA8" w:rsidRDefault="008E1BA8" w:rsidP="00430D0F">
      <w:pPr>
        <w:pStyle w:val="DWTitleCentre14"/>
        <w:ind w:left="142"/>
      </w:pPr>
    </w:p>
    <w:p w:rsidR="00430D0F" w:rsidRDefault="00430D0F" w:rsidP="00430D0F">
      <w:pPr>
        <w:pStyle w:val="DWTitleCentre14"/>
        <w:ind w:left="142"/>
      </w:pPr>
      <w:r>
        <w:t>REVISION RECORD</w:t>
      </w:r>
    </w:p>
    <w:p w:rsidR="00430D0F" w:rsidRDefault="00430D0F" w:rsidP="00430D0F">
      <w:pPr>
        <w:pStyle w:val="DWSpace3"/>
        <w:spacing w:before="0"/>
      </w:pPr>
    </w:p>
    <w:tbl>
      <w:tblPr>
        <w:tblW w:w="0" w:type="auto"/>
        <w:tblInd w:w="22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1033"/>
        <w:gridCol w:w="777"/>
        <w:gridCol w:w="906"/>
        <w:gridCol w:w="5849"/>
      </w:tblGrid>
      <w:tr w:rsidR="00897B6D" w:rsidRPr="00AB502D" w:rsidTr="00B763C9">
        <w:trPr>
          <w:trHeight w:val="387"/>
          <w:tblHeader/>
        </w:trPr>
        <w:tc>
          <w:tcPr>
            <w:tcW w:w="1033" w:type="dxa"/>
            <w:tcBorders>
              <w:top w:val="single" w:sz="6" w:space="0" w:color="auto"/>
              <w:left w:val="single" w:sz="6" w:space="0" w:color="auto"/>
              <w:bottom w:val="single" w:sz="6" w:space="0" w:color="auto"/>
              <w:right w:val="single" w:sz="6" w:space="0" w:color="auto"/>
            </w:tcBorders>
            <w:shd w:val="pct10" w:color="auto" w:fill="FFFFFF"/>
            <w:vAlign w:val="center"/>
          </w:tcPr>
          <w:p w:rsidR="00897B6D" w:rsidRPr="00AB502D" w:rsidRDefault="00897B6D" w:rsidP="0056009D">
            <w:pPr>
              <w:pStyle w:val="DWTableHeading"/>
              <w:pBdr>
                <w:top w:val="none" w:sz="0" w:space="0" w:color="auto"/>
                <w:left w:val="none" w:sz="0" w:space="0" w:color="auto"/>
                <w:bottom w:val="none" w:sz="0" w:space="0" w:color="auto"/>
                <w:right w:val="none" w:sz="0" w:space="0" w:color="auto"/>
              </w:pBdr>
              <w:shd w:val="clear" w:color="auto" w:fill="auto"/>
              <w:jc w:val="center"/>
              <w:rPr>
                <w:rFonts w:ascii="Arial" w:hAnsi="Arial" w:cs="Arial"/>
                <w:sz w:val="18"/>
                <w:szCs w:val="18"/>
              </w:rPr>
            </w:pPr>
            <w:r w:rsidRPr="00AB502D">
              <w:rPr>
                <w:rFonts w:ascii="Arial" w:hAnsi="Arial" w:cs="Arial"/>
                <w:sz w:val="18"/>
                <w:szCs w:val="18"/>
              </w:rPr>
              <w:t>Date</w:t>
            </w:r>
          </w:p>
        </w:tc>
        <w:tc>
          <w:tcPr>
            <w:tcW w:w="777" w:type="dxa"/>
            <w:tcBorders>
              <w:top w:val="single" w:sz="6" w:space="0" w:color="auto"/>
              <w:left w:val="single" w:sz="6" w:space="0" w:color="auto"/>
              <w:bottom w:val="single" w:sz="6" w:space="0" w:color="auto"/>
              <w:right w:val="single" w:sz="6" w:space="0" w:color="auto"/>
            </w:tcBorders>
            <w:shd w:val="pct10" w:color="auto" w:fill="FFFFFF"/>
            <w:vAlign w:val="center"/>
          </w:tcPr>
          <w:p w:rsidR="00897B6D" w:rsidRPr="00AB502D" w:rsidRDefault="00897B6D" w:rsidP="0056009D">
            <w:pPr>
              <w:pStyle w:val="DWTableHeading"/>
              <w:pBdr>
                <w:top w:val="none" w:sz="0" w:space="0" w:color="auto"/>
                <w:left w:val="none" w:sz="0" w:space="0" w:color="auto"/>
                <w:bottom w:val="none" w:sz="0" w:space="0" w:color="auto"/>
                <w:right w:val="none" w:sz="0" w:space="0" w:color="auto"/>
              </w:pBdr>
              <w:shd w:val="clear" w:color="auto" w:fill="auto"/>
              <w:jc w:val="center"/>
              <w:rPr>
                <w:rFonts w:ascii="Arial" w:hAnsi="Arial" w:cs="Arial"/>
                <w:sz w:val="18"/>
                <w:szCs w:val="18"/>
              </w:rPr>
            </w:pPr>
            <w:r w:rsidRPr="00AB502D">
              <w:rPr>
                <w:rFonts w:ascii="Arial" w:hAnsi="Arial" w:cs="Arial"/>
                <w:sz w:val="18"/>
                <w:szCs w:val="18"/>
              </w:rPr>
              <w:t>Issue</w:t>
            </w:r>
          </w:p>
        </w:tc>
        <w:tc>
          <w:tcPr>
            <w:tcW w:w="906" w:type="dxa"/>
            <w:tcBorders>
              <w:top w:val="single" w:sz="6" w:space="0" w:color="auto"/>
              <w:left w:val="single" w:sz="6" w:space="0" w:color="auto"/>
              <w:bottom w:val="single" w:sz="6" w:space="0" w:color="auto"/>
              <w:right w:val="single" w:sz="6" w:space="0" w:color="auto"/>
            </w:tcBorders>
            <w:shd w:val="pct10" w:color="auto" w:fill="FFFFFF"/>
            <w:vAlign w:val="center"/>
          </w:tcPr>
          <w:p w:rsidR="00897B6D" w:rsidRPr="00AB502D" w:rsidRDefault="00897B6D" w:rsidP="0056009D">
            <w:pPr>
              <w:pStyle w:val="DWTableHeading"/>
              <w:pBdr>
                <w:top w:val="none" w:sz="0" w:space="0" w:color="auto"/>
                <w:left w:val="none" w:sz="0" w:space="0" w:color="auto"/>
                <w:bottom w:val="none" w:sz="0" w:space="0" w:color="auto"/>
                <w:right w:val="none" w:sz="0" w:space="0" w:color="auto"/>
              </w:pBdr>
              <w:shd w:val="clear" w:color="auto" w:fill="auto"/>
              <w:jc w:val="center"/>
              <w:rPr>
                <w:rFonts w:ascii="Arial" w:hAnsi="Arial" w:cs="Arial"/>
                <w:sz w:val="18"/>
                <w:szCs w:val="18"/>
              </w:rPr>
            </w:pPr>
            <w:r w:rsidRPr="00AB502D">
              <w:rPr>
                <w:rFonts w:ascii="Arial" w:hAnsi="Arial" w:cs="Arial"/>
                <w:sz w:val="18"/>
                <w:szCs w:val="18"/>
              </w:rPr>
              <w:t>Author</w:t>
            </w:r>
          </w:p>
        </w:tc>
        <w:tc>
          <w:tcPr>
            <w:tcW w:w="5849" w:type="dxa"/>
            <w:tcBorders>
              <w:top w:val="single" w:sz="6" w:space="0" w:color="auto"/>
              <w:left w:val="single" w:sz="6" w:space="0" w:color="auto"/>
              <w:bottom w:val="single" w:sz="6" w:space="0" w:color="auto"/>
              <w:right w:val="single" w:sz="6" w:space="0" w:color="auto"/>
            </w:tcBorders>
            <w:shd w:val="pct10" w:color="auto" w:fill="FFFFFF"/>
            <w:vAlign w:val="center"/>
          </w:tcPr>
          <w:p w:rsidR="00897B6D" w:rsidRPr="00AB502D" w:rsidRDefault="00897B6D" w:rsidP="0056009D">
            <w:pPr>
              <w:pStyle w:val="DWTableHeading"/>
              <w:pBdr>
                <w:top w:val="none" w:sz="0" w:space="0" w:color="auto"/>
                <w:left w:val="none" w:sz="0" w:space="0" w:color="auto"/>
                <w:bottom w:val="none" w:sz="0" w:space="0" w:color="auto"/>
                <w:right w:val="none" w:sz="0" w:space="0" w:color="auto"/>
              </w:pBdr>
              <w:shd w:val="clear" w:color="auto" w:fill="auto"/>
              <w:jc w:val="center"/>
              <w:rPr>
                <w:rFonts w:ascii="Arial" w:hAnsi="Arial" w:cs="Arial"/>
                <w:sz w:val="18"/>
                <w:szCs w:val="18"/>
              </w:rPr>
            </w:pPr>
            <w:r w:rsidRPr="00AB502D">
              <w:rPr>
                <w:rFonts w:ascii="Arial" w:hAnsi="Arial" w:cs="Arial"/>
                <w:sz w:val="18"/>
                <w:szCs w:val="18"/>
              </w:rPr>
              <w:t>Description of Revision</w:t>
            </w:r>
          </w:p>
        </w:tc>
      </w:tr>
      <w:tr w:rsidR="007E53B5" w:rsidRPr="007E53B5" w:rsidTr="00897B6D">
        <w:trPr>
          <w:trHeight w:val="56"/>
          <w:tblHeader/>
        </w:trPr>
        <w:tc>
          <w:tcPr>
            <w:tcW w:w="1033" w:type="dxa"/>
            <w:tcBorders>
              <w:top w:val="nil"/>
              <w:left w:val="single" w:sz="4" w:space="0" w:color="auto"/>
              <w:bottom w:val="single" w:sz="4" w:space="0" w:color="auto"/>
            </w:tcBorders>
            <w:vAlign w:val="center"/>
          </w:tcPr>
          <w:p w:rsidR="00897B6D" w:rsidRPr="007E53B5" w:rsidRDefault="007F0B66" w:rsidP="00CF4F95">
            <w:pPr>
              <w:pStyle w:val="DWTableText"/>
              <w:jc w:val="center"/>
              <w:rPr>
                <w:rFonts w:ascii="Arial" w:hAnsi="Arial" w:cs="Arial"/>
                <w:sz w:val="18"/>
                <w:szCs w:val="18"/>
              </w:rPr>
            </w:pPr>
            <w:r>
              <w:rPr>
                <w:rFonts w:ascii="Arial" w:hAnsi="Arial" w:cs="Arial"/>
                <w:sz w:val="18"/>
                <w:szCs w:val="18"/>
              </w:rPr>
              <w:t>19/1/1</w:t>
            </w:r>
            <w:r w:rsidR="00CF4F95">
              <w:rPr>
                <w:rFonts w:ascii="Arial" w:hAnsi="Arial" w:cs="Arial"/>
                <w:sz w:val="18"/>
                <w:szCs w:val="18"/>
              </w:rPr>
              <w:t>7</w:t>
            </w:r>
          </w:p>
        </w:tc>
        <w:tc>
          <w:tcPr>
            <w:tcW w:w="777" w:type="dxa"/>
            <w:tcBorders>
              <w:top w:val="nil"/>
              <w:bottom w:val="single" w:sz="4" w:space="0" w:color="auto"/>
            </w:tcBorders>
            <w:vAlign w:val="center"/>
          </w:tcPr>
          <w:p w:rsidR="00897B6D" w:rsidRPr="007E53B5" w:rsidRDefault="00B763C9" w:rsidP="0056009D">
            <w:pPr>
              <w:pStyle w:val="DWTableText"/>
              <w:jc w:val="center"/>
              <w:rPr>
                <w:rFonts w:ascii="Arial" w:hAnsi="Arial" w:cs="Arial"/>
                <w:sz w:val="18"/>
                <w:szCs w:val="18"/>
              </w:rPr>
            </w:pPr>
            <w:r w:rsidRPr="007E53B5">
              <w:rPr>
                <w:rFonts w:ascii="Arial" w:hAnsi="Arial" w:cs="Arial"/>
                <w:sz w:val="18"/>
                <w:szCs w:val="18"/>
              </w:rPr>
              <w:t>1.0</w:t>
            </w:r>
          </w:p>
        </w:tc>
        <w:tc>
          <w:tcPr>
            <w:tcW w:w="906" w:type="dxa"/>
            <w:tcBorders>
              <w:top w:val="nil"/>
              <w:bottom w:val="single" w:sz="4" w:space="0" w:color="auto"/>
            </w:tcBorders>
            <w:vAlign w:val="center"/>
          </w:tcPr>
          <w:p w:rsidR="00897B6D" w:rsidRPr="007E53B5" w:rsidRDefault="00897B6D" w:rsidP="0056009D">
            <w:pPr>
              <w:pStyle w:val="DWTableText"/>
              <w:jc w:val="center"/>
              <w:rPr>
                <w:rFonts w:ascii="Arial" w:hAnsi="Arial" w:cs="Arial"/>
                <w:sz w:val="18"/>
                <w:szCs w:val="18"/>
              </w:rPr>
            </w:pPr>
            <w:r w:rsidRPr="007E53B5">
              <w:rPr>
                <w:rFonts w:ascii="Arial" w:hAnsi="Arial" w:cs="Arial"/>
                <w:sz w:val="18"/>
                <w:szCs w:val="18"/>
              </w:rPr>
              <w:t>JEC</w:t>
            </w:r>
          </w:p>
        </w:tc>
        <w:tc>
          <w:tcPr>
            <w:tcW w:w="5849" w:type="dxa"/>
            <w:tcBorders>
              <w:top w:val="nil"/>
              <w:bottom w:val="single" w:sz="4" w:space="0" w:color="auto"/>
            </w:tcBorders>
            <w:vAlign w:val="center"/>
          </w:tcPr>
          <w:p w:rsidR="00897B6D" w:rsidRPr="007E53B5" w:rsidRDefault="00897B6D" w:rsidP="00B763C9">
            <w:pPr>
              <w:pStyle w:val="DWTableText"/>
              <w:rPr>
                <w:rFonts w:ascii="Arial" w:hAnsi="Arial" w:cs="Arial"/>
                <w:sz w:val="18"/>
                <w:szCs w:val="18"/>
              </w:rPr>
            </w:pPr>
            <w:r w:rsidRPr="007E53B5">
              <w:rPr>
                <w:rFonts w:ascii="Arial" w:hAnsi="Arial" w:cs="Arial"/>
                <w:sz w:val="18"/>
                <w:szCs w:val="18"/>
              </w:rPr>
              <w:t xml:space="preserve">First </w:t>
            </w:r>
            <w:r w:rsidR="00B763C9" w:rsidRPr="007E53B5">
              <w:rPr>
                <w:rFonts w:ascii="Arial" w:hAnsi="Arial" w:cs="Arial"/>
                <w:sz w:val="18"/>
                <w:szCs w:val="18"/>
              </w:rPr>
              <w:t>issue.</w:t>
            </w:r>
          </w:p>
        </w:tc>
      </w:tr>
      <w:tr w:rsidR="00897B6D" w:rsidRPr="00952E44" w:rsidTr="00897B6D">
        <w:trPr>
          <w:trHeight w:val="56"/>
          <w:tblHeader/>
        </w:trPr>
        <w:tc>
          <w:tcPr>
            <w:tcW w:w="1033" w:type="dxa"/>
            <w:tcBorders>
              <w:top w:val="nil"/>
              <w:left w:val="single" w:sz="4" w:space="0" w:color="auto"/>
              <w:bottom w:val="single" w:sz="4" w:space="0" w:color="auto"/>
            </w:tcBorders>
            <w:vAlign w:val="center"/>
          </w:tcPr>
          <w:p w:rsidR="00897B6D" w:rsidRPr="00952E44" w:rsidRDefault="00897B6D" w:rsidP="0056009D">
            <w:pPr>
              <w:pStyle w:val="DWTableText"/>
              <w:jc w:val="center"/>
              <w:rPr>
                <w:rFonts w:ascii="Arial" w:hAnsi="Arial" w:cs="Arial"/>
                <w:color w:val="0000FF"/>
                <w:sz w:val="18"/>
                <w:szCs w:val="18"/>
              </w:rPr>
            </w:pPr>
          </w:p>
        </w:tc>
        <w:tc>
          <w:tcPr>
            <w:tcW w:w="777" w:type="dxa"/>
            <w:tcBorders>
              <w:top w:val="nil"/>
              <w:bottom w:val="single" w:sz="4" w:space="0" w:color="auto"/>
            </w:tcBorders>
            <w:vAlign w:val="center"/>
          </w:tcPr>
          <w:p w:rsidR="00897B6D" w:rsidRPr="00952E44" w:rsidRDefault="00897B6D" w:rsidP="0056009D">
            <w:pPr>
              <w:pStyle w:val="DWTableText"/>
              <w:jc w:val="center"/>
              <w:rPr>
                <w:rFonts w:ascii="Arial" w:hAnsi="Arial" w:cs="Arial"/>
                <w:color w:val="0000FF"/>
                <w:sz w:val="18"/>
                <w:szCs w:val="18"/>
              </w:rPr>
            </w:pPr>
          </w:p>
        </w:tc>
        <w:tc>
          <w:tcPr>
            <w:tcW w:w="906" w:type="dxa"/>
            <w:tcBorders>
              <w:top w:val="nil"/>
              <w:bottom w:val="single" w:sz="4" w:space="0" w:color="auto"/>
            </w:tcBorders>
            <w:vAlign w:val="center"/>
          </w:tcPr>
          <w:p w:rsidR="00897B6D" w:rsidRPr="00952E44" w:rsidRDefault="00897B6D" w:rsidP="0056009D">
            <w:pPr>
              <w:pStyle w:val="DWTableText"/>
              <w:jc w:val="center"/>
              <w:rPr>
                <w:rFonts w:ascii="Arial" w:hAnsi="Arial" w:cs="Arial"/>
                <w:color w:val="0000FF"/>
                <w:sz w:val="18"/>
                <w:szCs w:val="18"/>
              </w:rPr>
            </w:pPr>
          </w:p>
        </w:tc>
        <w:tc>
          <w:tcPr>
            <w:tcW w:w="5849" w:type="dxa"/>
            <w:tcBorders>
              <w:top w:val="nil"/>
              <w:bottom w:val="single" w:sz="4" w:space="0" w:color="auto"/>
            </w:tcBorders>
            <w:vAlign w:val="center"/>
          </w:tcPr>
          <w:p w:rsidR="00897B6D" w:rsidRPr="00952E44" w:rsidRDefault="00897B6D" w:rsidP="0056009D">
            <w:pPr>
              <w:pStyle w:val="DWTableText"/>
              <w:rPr>
                <w:rFonts w:ascii="Arial" w:hAnsi="Arial" w:cs="Arial"/>
                <w:color w:val="0000FF"/>
                <w:sz w:val="18"/>
                <w:szCs w:val="18"/>
              </w:rPr>
            </w:pPr>
          </w:p>
        </w:tc>
      </w:tr>
    </w:tbl>
    <w:p w:rsidR="00430D0F" w:rsidRDefault="00430D0F" w:rsidP="00430D0F">
      <w:pPr>
        <w:pStyle w:val="DWParaText"/>
      </w:pPr>
    </w:p>
    <w:p w:rsidR="00A13F1C" w:rsidRDefault="00A13F1C">
      <w:pPr>
        <w:rPr>
          <w:b/>
          <w:sz w:val="28"/>
        </w:rPr>
      </w:pPr>
      <w:r>
        <w:rPr>
          <w:b/>
          <w:sz w:val="28"/>
        </w:rPr>
        <w:br w:type="page"/>
      </w:r>
    </w:p>
    <w:p w:rsidR="00F635A3" w:rsidRPr="00F635A3" w:rsidRDefault="00F635A3" w:rsidP="00F635A3">
      <w:pPr>
        <w:keepNext/>
        <w:keepLines/>
        <w:tabs>
          <w:tab w:val="right" w:pos="9356"/>
        </w:tabs>
        <w:suppressAutoHyphens/>
        <w:spacing w:after="240"/>
        <w:jc w:val="center"/>
        <w:outlineLvl w:val="0"/>
        <w:rPr>
          <w:b/>
          <w:sz w:val="28"/>
        </w:rPr>
      </w:pPr>
      <w:r w:rsidRPr="00F635A3">
        <w:rPr>
          <w:b/>
          <w:sz w:val="28"/>
        </w:rPr>
        <w:lastRenderedPageBreak/>
        <w:t>TABLE OF CONTENTS</w:t>
      </w:r>
    </w:p>
    <w:p w:rsidR="00F635A3" w:rsidRPr="00F635A3" w:rsidRDefault="00F635A3" w:rsidP="00F635A3">
      <w:pPr>
        <w:keepNext/>
        <w:keepLines/>
        <w:tabs>
          <w:tab w:val="left" w:pos="8789"/>
        </w:tabs>
        <w:suppressAutoHyphens/>
        <w:spacing w:before="240" w:after="120"/>
        <w:rPr>
          <w:b/>
          <w:sz w:val="24"/>
        </w:rPr>
      </w:pPr>
      <w:r w:rsidRPr="00F635A3">
        <w:rPr>
          <w:b/>
          <w:sz w:val="24"/>
        </w:rPr>
        <w:t>Section</w:t>
      </w:r>
      <w:r w:rsidRPr="00F635A3">
        <w:rPr>
          <w:b/>
          <w:sz w:val="24"/>
        </w:rPr>
        <w:tab/>
        <w:t>Page</w:t>
      </w:r>
    </w:p>
    <w:p w:rsidR="00CD4A67" w:rsidRDefault="00F635A3">
      <w:pPr>
        <w:pStyle w:val="TOC1"/>
        <w:rPr>
          <w:rFonts w:asciiTheme="minorHAnsi" w:eastAsiaTheme="minorEastAsia" w:hAnsiTheme="minorHAnsi" w:cstheme="minorBidi"/>
          <w:b w:val="0"/>
          <w:caps w:val="0"/>
          <w:noProof/>
          <w:szCs w:val="22"/>
          <w:lang w:eastAsia="en-AU"/>
        </w:rPr>
      </w:pPr>
      <w:r w:rsidRPr="00F635A3">
        <w:fldChar w:fldCharType="begin"/>
      </w:r>
      <w:r w:rsidRPr="00F635A3">
        <w:instrText xml:space="preserve"> TOC \W \t "DW$_App Heading 1,1,DW$_App Heading 2,2,DW$_App Heading 3,3,DW$_Heading 1,1,DW$_Heading 2,2,DW$_Heading 3,3" </w:instrText>
      </w:r>
      <w:r w:rsidRPr="00F635A3">
        <w:fldChar w:fldCharType="separate"/>
      </w:r>
      <w:r w:rsidR="00CD4A67">
        <w:rPr>
          <w:noProof/>
        </w:rPr>
        <w:t>1</w:t>
      </w:r>
      <w:r w:rsidR="00CD4A67">
        <w:rPr>
          <w:noProof/>
        </w:rPr>
        <w:tab/>
        <w:t>Executive Summary</w:t>
      </w:r>
      <w:r w:rsidR="00CD4A67">
        <w:rPr>
          <w:noProof/>
        </w:rPr>
        <w:tab/>
      </w:r>
      <w:r w:rsidR="00CD4A67">
        <w:rPr>
          <w:noProof/>
        </w:rPr>
        <w:fldChar w:fldCharType="begin"/>
      </w:r>
      <w:r w:rsidR="00CD4A67">
        <w:rPr>
          <w:noProof/>
        </w:rPr>
        <w:instrText xml:space="preserve"> PAGEREF _Toc472599225 \h </w:instrText>
      </w:r>
      <w:r w:rsidR="00CD4A67">
        <w:rPr>
          <w:noProof/>
        </w:rPr>
      </w:r>
      <w:r w:rsidR="00CD4A67">
        <w:rPr>
          <w:noProof/>
        </w:rPr>
        <w:fldChar w:fldCharType="separate"/>
      </w:r>
      <w:r w:rsidR="00CD4A67">
        <w:rPr>
          <w:noProof/>
        </w:rPr>
        <w:t>4</w:t>
      </w:r>
      <w:r w:rsidR="00CD4A67">
        <w:rPr>
          <w:noProof/>
        </w:rPr>
        <w:fldChar w:fldCharType="end"/>
      </w:r>
    </w:p>
    <w:p w:rsidR="00CD4A67" w:rsidRDefault="00CD4A67">
      <w:pPr>
        <w:pStyle w:val="TOC2"/>
        <w:rPr>
          <w:rFonts w:asciiTheme="minorHAnsi" w:eastAsiaTheme="minorEastAsia" w:hAnsiTheme="minorHAnsi" w:cstheme="minorBidi"/>
          <w:noProof/>
          <w:szCs w:val="22"/>
          <w:lang w:eastAsia="en-AU"/>
        </w:rPr>
      </w:pPr>
      <w:r>
        <w:rPr>
          <w:noProof/>
        </w:rPr>
        <w:t>1.1</w:t>
      </w:r>
      <w:r>
        <w:rPr>
          <w:noProof/>
        </w:rPr>
        <w:tab/>
        <w:t>Introduction</w:t>
      </w:r>
      <w:r>
        <w:rPr>
          <w:noProof/>
        </w:rPr>
        <w:tab/>
      </w:r>
      <w:r>
        <w:rPr>
          <w:noProof/>
        </w:rPr>
        <w:fldChar w:fldCharType="begin"/>
      </w:r>
      <w:r>
        <w:rPr>
          <w:noProof/>
        </w:rPr>
        <w:instrText xml:space="preserve"> PAGEREF _Toc472599226 \h </w:instrText>
      </w:r>
      <w:r>
        <w:rPr>
          <w:noProof/>
        </w:rPr>
      </w:r>
      <w:r>
        <w:rPr>
          <w:noProof/>
        </w:rPr>
        <w:fldChar w:fldCharType="separate"/>
      </w:r>
      <w:r>
        <w:rPr>
          <w:noProof/>
        </w:rPr>
        <w:t>4</w:t>
      </w:r>
      <w:r>
        <w:rPr>
          <w:noProof/>
        </w:rPr>
        <w:fldChar w:fldCharType="end"/>
      </w:r>
    </w:p>
    <w:p w:rsidR="00CD4A67" w:rsidRDefault="00CD4A67">
      <w:pPr>
        <w:pStyle w:val="TOC2"/>
        <w:rPr>
          <w:rFonts w:asciiTheme="minorHAnsi" w:eastAsiaTheme="minorEastAsia" w:hAnsiTheme="minorHAnsi" w:cstheme="minorBidi"/>
          <w:noProof/>
          <w:szCs w:val="22"/>
          <w:lang w:eastAsia="en-AU"/>
        </w:rPr>
      </w:pPr>
      <w:r>
        <w:rPr>
          <w:noProof/>
        </w:rPr>
        <w:t>1.2</w:t>
      </w:r>
      <w:r>
        <w:rPr>
          <w:noProof/>
        </w:rPr>
        <w:tab/>
        <w:t>Australia Needs a New Deal</w:t>
      </w:r>
      <w:r>
        <w:rPr>
          <w:noProof/>
        </w:rPr>
        <w:tab/>
      </w:r>
      <w:r>
        <w:rPr>
          <w:noProof/>
        </w:rPr>
        <w:fldChar w:fldCharType="begin"/>
      </w:r>
      <w:r>
        <w:rPr>
          <w:noProof/>
        </w:rPr>
        <w:instrText xml:space="preserve"> PAGEREF _Toc472599227 \h </w:instrText>
      </w:r>
      <w:r>
        <w:rPr>
          <w:noProof/>
        </w:rPr>
      </w:r>
      <w:r>
        <w:rPr>
          <w:noProof/>
        </w:rPr>
        <w:fldChar w:fldCharType="separate"/>
      </w:r>
      <w:r>
        <w:rPr>
          <w:noProof/>
        </w:rPr>
        <w:t>5</w:t>
      </w:r>
      <w:r>
        <w:rPr>
          <w:noProof/>
        </w:rPr>
        <w:fldChar w:fldCharType="end"/>
      </w:r>
    </w:p>
    <w:p w:rsidR="00CD4A67" w:rsidRDefault="00CD4A67">
      <w:pPr>
        <w:pStyle w:val="TOC2"/>
        <w:rPr>
          <w:rFonts w:asciiTheme="minorHAnsi" w:eastAsiaTheme="minorEastAsia" w:hAnsiTheme="minorHAnsi" w:cstheme="minorBidi"/>
          <w:noProof/>
          <w:szCs w:val="22"/>
          <w:lang w:eastAsia="en-AU"/>
        </w:rPr>
      </w:pPr>
      <w:r>
        <w:rPr>
          <w:noProof/>
        </w:rPr>
        <w:t>1.3</w:t>
      </w:r>
      <w:r>
        <w:rPr>
          <w:noProof/>
        </w:rPr>
        <w:tab/>
        <w:t>SA Government Recent Initiatives – Sign of Desperation?</w:t>
      </w:r>
      <w:r>
        <w:rPr>
          <w:noProof/>
        </w:rPr>
        <w:tab/>
      </w:r>
      <w:r>
        <w:rPr>
          <w:noProof/>
        </w:rPr>
        <w:fldChar w:fldCharType="begin"/>
      </w:r>
      <w:r>
        <w:rPr>
          <w:noProof/>
        </w:rPr>
        <w:instrText xml:space="preserve"> PAGEREF _Toc472599228 \h </w:instrText>
      </w:r>
      <w:r>
        <w:rPr>
          <w:noProof/>
        </w:rPr>
      </w:r>
      <w:r>
        <w:rPr>
          <w:noProof/>
        </w:rPr>
        <w:fldChar w:fldCharType="separate"/>
      </w:r>
      <w:r>
        <w:rPr>
          <w:noProof/>
        </w:rPr>
        <w:t>7</w:t>
      </w:r>
      <w:r>
        <w:rPr>
          <w:noProof/>
        </w:rPr>
        <w:fldChar w:fldCharType="end"/>
      </w:r>
    </w:p>
    <w:p w:rsidR="00CD4A67" w:rsidRDefault="00CD4A67">
      <w:pPr>
        <w:pStyle w:val="TOC2"/>
        <w:rPr>
          <w:rFonts w:asciiTheme="minorHAnsi" w:eastAsiaTheme="minorEastAsia" w:hAnsiTheme="minorHAnsi" w:cstheme="minorBidi"/>
          <w:noProof/>
          <w:szCs w:val="22"/>
          <w:lang w:eastAsia="en-AU"/>
        </w:rPr>
      </w:pPr>
      <w:r>
        <w:rPr>
          <w:noProof/>
        </w:rPr>
        <w:t>1.3.1</w:t>
      </w:r>
      <w:r>
        <w:rPr>
          <w:noProof/>
        </w:rPr>
        <w:tab/>
        <w:t>Proposed Nuclear Waste Industry</w:t>
      </w:r>
      <w:r>
        <w:rPr>
          <w:noProof/>
        </w:rPr>
        <w:tab/>
      </w:r>
      <w:r>
        <w:rPr>
          <w:noProof/>
        </w:rPr>
        <w:fldChar w:fldCharType="begin"/>
      </w:r>
      <w:r>
        <w:rPr>
          <w:noProof/>
        </w:rPr>
        <w:instrText xml:space="preserve"> PAGEREF _Toc472599229 \h </w:instrText>
      </w:r>
      <w:r>
        <w:rPr>
          <w:noProof/>
        </w:rPr>
      </w:r>
      <w:r>
        <w:rPr>
          <w:noProof/>
        </w:rPr>
        <w:fldChar w:fldCharType="separate"/>
      </w:r>
      <w:r>
        <w:rPr>
          <w:noProof/>
        </w:rPr>
        <w:t>8</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2</w:t>
      </w:r>
      <w:r>
        <w:rPr>
          <w:noProof/>
        </w:rPr>
        <w:tab/>
        <w:t>Budget Recommendations</w:t>
      </w:r>
      <w:r>
        <w:rPr>
          <w:noProof/>
        </w:rPr>
        <w:tab/>
      </w:r>
      <w:r>
        <w:rPr>
          <w:noProof/>
        </w:rPr>
        <w:fldChar w:fldCharType="begin"/>
      </w:r>
      <w:r>
        <w:rPr>
          <w:noProof/>
        </w:rPr>
        <w:instrText xml:space="preserve"> PAGEREF _Toc472599230 \h </w:instrText>
      </w:r>
      <w:r>
        <w:rPr>
          <w:noProof/>
        </w:rPr>
      </w:r>
      <w:r>
        <w:rPr>
          <w:noProof/>
        </w:rPr>
        <w:fldChar w:fldCharType="separate"/>
      </w:r>
      <w:r>
        <w:rPr>
          <w:noProof/>
        </w:rPr>
        <w:t>10</w:t>
      </w:r>
      <w:r>
        <w:rPr>
          <w:noProof/>
        </w:rPr>
        <w:fldChar w:fldCharType="end"/>
      </w:r>
    </w:p>
    <w:p w:rsidR="00CD4A67" w:rsidRDefault="00CD4A67">
      <w:pPr>
        <w:pStyle w:val="TOC2"/>
        <w:rPr>
          <w:rFonts w:asciiTheme="minorHAnsi" w:eastAsiaTheme="minorEastAsia" w:hAnsiTheme="minorHAnsi" w:cstheme="minorBidi"/>
          <w:noProof/>
          <w:szCs w:val="22"/>
          <w:lang w:eastAsia="en-AU"/>
        </w:rPr>
      </w:pPr>
      <w:r>
        <w:rPr>
          <w:noProof/>
        </w:rPr>
        <w:t>2.1</w:t>
      </w:r>
      <w:r>
        <w:rPr>
          <w:noProof/>
        </w:rPr>
        <w:tab/>
        <w:t>Made in Australia</w:t>
      </w:r>
      <w:r>
        <w:rPr>
          <w:noProof/>
        </w:rPr>
        <w:tab/>
      </w:r>
      <w:r>
        <w:rPr>
          <w:noProof/>
        </w:rPr>
        <w:fldChar w:fldCharType="begin"/>
      </w:r>
      <w:r>
        <w:rPr>
          <w:noProof/>
        </w:rPr>
        <w:instrText xml:space="preserve"> PAGEREF _Toc472599231 \h </w:instrText>
      </w:r>
      <w:r>
        <w:rPr>
          <w:noProof/>
        </w:rPr>
      </w:r>
      <w:r>
        <w:rPr>
          <w:noProof/>
        </w:rPr>
        <w:fldChar w:fldCharType="separate"/>
      </w:r>
      <w:r>
        <w:rPr>
          <w:noProof/>
        </w:rPr>
        <w:t>10</w:t>
      </w:r>
      <w:r>
        <w:rPr>
          <w:noProof/>
        </w:rPr>
        <w:fldChar w:fldCharType="end"/>
      </w:r>
    </w:p>
    <w:p w:rsidR="00CD4A67" w:rsidRDefault="00CD4A67">
      <w:pPr>
        <w:pStyle w:val="TOC2"/>
        <w:rPr>
          <w:rFonts w:asciiTheme="minorHAnsi" w:eastAsiaTheme="minorEastAsia" w:hAnsiTheme="minorHAnsi" w:cstheme="minorBidi"/>
          <w:noProof/>
          <w:szCs w:val="22"/>
          <w:lang w:eastAsia="en-AU"/>
        </w:rPr>
      </w:pPr>
      <w:r>
        <w:rPr>
          <w:noProof/>
        </w:rPr>
        <w:t>2.2</w:t>
      </w:r>
      <w:r>
        <w:rPr>
          <w:noProof/>
        </w:rPr>
        <w:tab/>
        <w:t>References</w:t>
      </w:r>
      <w:r>
        <w:rPr>
          <w:noProof/>
        </w:rPr>
        <w:tab/>
      </w:r>
      <w:r>
        <w:rPr>
          <w:noProof/>
        </w:rPr>
        <w:fldChar w:fldCharType="begin"/>
      </w:r>
      <w:r>
        <w:rPr>
          <w:noProof/>
        </w:rPr>
        <w:instrText xml:space="preserve"> PAGEREF _Toc472599232 \h </w:instrText>
      </w:r>
      <w:r>
        <w:rPr>
          <w:noProof/>
        </w:rPr>
      </w:r>
      <w:r>
        <w:rPr>
          <w:noProof/>
        </w:rPr>
        <w:fldChar w:fldCharType="separate"/>
      </w:r>
      <w:r>
        <w:rPr>
          <w:noProof/>
        </w:rPr>
        <w:t>13</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A</w:t>
      </w:r>
      <w:r>
        <w:rPr>
          <w:noProof/>
        </w:rPr>
        <w:tab/>
        <w:t>Treasury GST Submission 1999 – Extracts</w:t>
      </w:r>
      <w:r>
        <w:rPr>
          <w:noProof/>
        </w:rPr>
        <w:tab/>
      </w:r>
      <w:r>
        <w:rPr>
          <w:noProof/>
        </w:rPr>
        <w:fldChar w:fldCharType="begin"/>
      </w:r>
      <w:r>
        <w:rPr>
          <w:noProof/>
        </w:rPr>
        <w:instrText xml:space="preserve"> PAGEREF _Toc472599233 \h </w:instrText>
      </w:r>
      <w:r>
        <w:rPr>
          <w:noProof/>
        </w:rPr>
      </w:r>
      <w:r>
        <w:rPr>
          <w:noProof/>
        </w:rPr>
        <w:fldChar w:fldCharType="separate"/>
      </w:r>
      <w:r>
        <w:rPr>
          <w:noProof/>
        </w:rPr>
        <w:t>16</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A.1</w:t>
      </w:r>
      <w:r>
        <w:rPr>
          <w:noProof/>
        </w:rPr>
        <w:tab/>
        <w:t>Executive Summary</w:t>
      </w:r>
      <w:r>
        <w:rPr>
          <w:noProof/>
        </w:rPr>
        <w:tab/>
      </w:r>
      <w:r>
        <w:rPr>
          <w:noProof/>
        </w:rPr>
        <w:fldChar w:fldCharType="begin"/>
      </w:r>
      <w:r>
        <w:rPr>
          <w:noProof/>
        </w:rPr>
        <w:instrText xml:space="preserve"> PAGEREF _Toc472599234 \h </w:instrText>
      </w:r>
      <w:r>
        <w:rPr>
          <w:noProof/>
        </w:rPr>
      </w:r>
      <w:r>
        <w:rPr>
          <w:noProof/>
        </w:rPr>
        <w:fldChar w:fldCharType="separate"/>
      </w:r>
      <w:r>
        <w:rPr>
          <w:noProof/>
        </w:rPr>
        <w:t>16</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A.2</w:t>
      </w:r>
      <w:r>
        <w:rPr>
          <w:noProof/>
        </w:rPr>
        <w:tab/>
        <w:t>Conclusions (section 3.6 page 28)</w:t>
      </w:r>
      <w:r>
        <w:rPr>
          <w:noProof/>
        </w:rPr>
        <w:tab/>
      </w:r>
      <w:r>
        <w:rPr>
          <w:noProof/>
        </w:rPr>
        <w:fldChar w:fldCharType="begin"/>
      </w:r>
      <w:r>
        <w:rPr>
          <w:noProof/>
        </w:rPr>
        <w:instrText xml:space="preserve"> PAGEREF _Toc472599235 \h </w:instrText>
      </w:r>
      <w:r>
        <w:rPr>
          <w:noProof/>
        </w:rPr>
      </w:r>
      <w:r>
        <w:rPr>
          <w:noProof/>
        </w:rPr>
        <w:fldChar w:fldCharType="separate"/>
      </w:r>
      <w:r>
        <w:rPr>
          <w:noProof/>
        </w:rPr>
        <w:t>18</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B</w:t>
      </w:r>
      <w:r>
        <w:rPr>
          <w:noProof/>
        </w:rPr>
        <w:tab/>
        <w:t>Industry Commission Auto Submission 1997 - Extracts</w:t>
      </w:r>
      <w:r>
        <w:rPr>
          <w:noProof/>
        </w:rPr>
        <w:tab/>
      </w:r>
      <w:r>
        <w:rPr>
          <w:noProof/>
        </w:rPr>
        <w:fldChar w:fldCharType="begin"/>
      </w:r>
      <w:r>
        <w:rPr>
          <w:noProof/>
        </w:rPr>
        <w:instrText xml:space="preserve"> PAGEREF _Toc472599236 \h </w:instrText>
      </w:r>
      <w:r>
        <w:rPr>
          <w:noProof/>
        </w:rPr>
      </w:r>
      <w:r>
        <w:rPr>
          <w:noProof/>
        </w:rPr>
        <w:fldChar w:fldCharType="separate"/>
      </w:r>
      <w:r>
        <w:rPr>
          <w:noProof/>
        </w:rPr>
        <w:t>20</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B.1</w:t>
      </w:r>
      <w:r>
        <w:rPr>
          <w:noProof/>
        </w:rPr>
        <w:tab/>
        <w:t>Executive Summary</w:t>
      </w:r>
      <w:r>
        <w:rPr>
          <w:noProof/>
        </w:rPr>
        <w:tab/>
      </w:r>
      <w:r>
        <w:rPr>
          <w:noProof/>
        </w:rPr>
        <w:fldChar w:fldCharType="begin"/>
      </w:r>
      <w:r>
        <w:rPr>
          <w:noProof/>
        </w:rPr>
        <w:instrText xml:space="preserve"> PAGEREF _Toc472599237 \h </w:instrText>
      </w:r>
      <w:r>
        <w:rPr>
          <w:noProof/>
        </w:rPr>
      </w:r>
      <w:r>
        <w:rPr>
          <w:noProof/>
        </w:rPr>
        <w:fldChar w:fldCharType="separate"/>
      </w:r>
      <w:r>
        <w:rPr>
          <w:noProof/>
        </w:rPr>
        <w:t>20</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B.2</w:t>
      </w:r>
      <w:r>
        <w:rPr>
          <w:noProof/>
        </w:rPr>
        <w:tab/>
        <w:t>Conclusions (section 7.5 page 17)</w:t>
      </w:r>
      <w:r>
        <w:rPr>
          <w:noProof/>
        </w:rPr>
        <w:tab/>
      </w:r>
      <w:r>
        <w:rPr>
          <w:noProof/>
        </w:rPr>
        <w:fldChar w:fldCharType="begin"/>
      </w:r>
      <w:r>
        <w:rPr>
          <w:noProof/>
        </w:rPr>
        <w:instrText xml:space="preserve"> PAGEREF _Toc472599238 \h </w:instrText>
      </w:r>
      <w:r>
        <w:rPr>
          <w:noProof/>
        </w:rPr>
      </w:r>
      <w:r>
        <w:rPr>
          <w:noProof/>
        </w:rPr>
        <w:fldChar w:fldCharType="separate"/>
      </w:r>
      <w:r>
        <w:rPr>
          <w:noProof/>
        </w:rPr>
        <w:t>21</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C</w:t>
      </w:r>
      <w:r>
        <w:rPr>
          <w:noProof/>
        </w:rPr>
        <w:tab/>
        <w:t>Made in america (Book)</w:t>
      </w:r>
      <w:r>
        <w:rPr>
          <w:noProof/>
        </w:rPr>
        <w:tab/>
      </w:r>
      <w:r>
        <w:rPr>
          <w:noProof/>
        </w:rPr>
        <w:fldChar w:fldCharType="begin"/>
      </w:r>
      <w:r>
        <w:rPr>
          <w:noProof/>
        </w:rPr>
        <w:instrText xml:space="preserve"> PAGEREF _Toc472599239 \h </w:instrText>
      </w:r>
      <w:r>
        <w:rPr>
          <w:noProof/>
        </w:rPr>
      </w:r>
      <w:r>
        <w:rPr>
          <w:noProof/>
        </w:rPr>
        <w:fldChar w:fldCharType="separate"/>
      </w:r>
      <w:r>
        <w:rPr>
          <w:noProof/>
        </w:rPr>
        <w:t>22</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D</w:t>
      </w:r>
      <w:r>
        <w:rPr>
          <w:noProof/>
        </w:rPr>
        <w:tab/>
        <w:t>MADE in JAPAn (BooK)</w:t>
      </w:r>
      <w:r>
        <w:rPr>
          <w:noProof/>
        </w:rPr>
        <w:tab/>
      </w:r>
      <w:r>
        <w:rPr>
          <w:noProof/>
        </w:rPr>
        <w:fldChar w:fldCharType="begin"/>
      </w:r>
      <w:r>
        <w:rPr>
          <w:noProof/>
        </w:rPr>
        <w:instrText xml:space="preserve"> PAGEREF _Toc472599240 \h </w:instrText>
      </w:r>
      <w:r>
        <w:rPr>
          <w:noProof/>
        </w:rPr>
      </w:r>
      <w:r>
        <w:rPr>
          <w:noProof/>
        </w:rPr>
        <w:fldChar w:fldCharType="separate"/>
      </w:r>
      <w:r>
        <w:rPr>
          <w:noProof/>
        </w:rPr>
        <w:t>23</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E</w:t>
      </w:r>
      <w:r>
        <w:rPr>
          <w:noProof/>
        </w:rPr>
        <w:tab/>
        <w:t>SA Electricity Price Comparison - Public vs. Private 1985-2014</w:t>
      </w:r>
      <w:r>
        <w:rPr>
          <w:noProof/>
        </w:rPr>
        <w:tab/>
      </w:r>
      <w:r>
        <w:rPr>
          <w:noProof/>
        </w:rPr>
        <w:fldChar w:fldCharType="begin"/>
      </w:r>
      <w:r>
        <w:rPr>
          <w:noProof/>
        </w:rPr>
        <w:instrText xml:space="preserve"> PAGEREF _Toc472599241 \h </w:instrText>
      </w:r>
      <w:r>
        <w:rPr>
          <w:noProof/>
        </w:rPr>
      </w:r>
      <w:r>
        <w:rPr>
          <w:noProof/>
        </w:rPr>
        <w:fldChar w:fldCharType="separate"/>
      </w:r>
      <w:r>
        <w:rPr>
          <w:noProof/>
        </w:rPr>
        <w:t>24</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E.1</w:t>
      </w:r>
      <w:r>
        <w:rPr>
          <w:noProof/>
        </w:rPr>
        <w:tab/>
        <w:t>SA Electricity Prices Under Public Ownership 1985-1999</w:t>
      </w:r>
      <w:r>
        <w:rPr>
          <w:noProof/>
        </w:rPr>
        <w:tab/>
      </w:r>
      <w:r>
        <w:rPr>
          <w:noProof/>
        </w:rPr>
        <w:fldChar w:fldCharType="begin"/>
      </w:r>
      <w:r>
        <w:rPr>
          <w:noProof/>
        </w:rPr>
        <w:instrText xml:space="preserve"> PAGEREF _Toc472599242 \h </w:instrText>
      </w:r>
      <w:r>
        <w:rPr>
          <w:noProof/>
        </w:rPr>
      </w:r>
      <w:r>
        <w:rPr>
          <w:noProof/>
        </w:rPr>
        <w:fldChar w:fldCharType="separate"/>
      </w:r>
      <w:r>
        <w:rPr>
          <w:noProof/>
        </w:rPr>
        <w:t>24</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E.2</w:t>
      </w:r>
      <w:r>
        <w:rPr>
          <w:noProof/>
        </w:rPr>
        <w:tab/>
        <w:t>SA ETSA Utilities 1998-99 Results Summary</w:t>
      </w:r>
      <w:r>
        <w:rPr>
          <w:noProof/>
        </w:rPr>
        <w:tab/>
      </w:r>
      <w:r>
        <w:rPr>
          <w:noProof/>
        </w:rPr>
        <w:fldChar w:fldCharType="begin"/>
      </w:r>
      <w:r>
        <w:rPr>
          <w:noProof/>
        </w:rPr>
        <w:instrText xml:space="preserve"> PAGEREF _Toc472599243 \h </w:instrText>
      </w:r>
      <w:r>
        <w:rPr>
          <w:noProof/>
        </w:rPr>
      </w:r>
      <w:r>
        <w:rPr>
          <w:noProof/>
        </w:rPr>
        <w:fldChar w:fldCharType="separate"/>
      </w:r>
      <w:r>
        <w:rPr>
          <w:noProof/>
        </w:rPr>
        <w:t>26</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E.3</w:t>
      </w:r>
      <w:r>
        <w:rPr>
          <w:noProof/>
        </w:rPr>
        <w:tab/>
        <w:t>SA ELECTRICITY Prices UNDER Private Ownership 2000-2014</w:t>
      </w:r>
      <w:r>
        <w:rPr>
          <w:noProof/>
        </w:rPr>
        <w:tab/>
      </w:r>
      <w:r>
        <w:rPr>
          <w:noProof/>
        </w:rPr>
        <w:fldChar w:fldCharType="begin"/>
      </w:r>
      <w:r>
        <w:rPr>
          <w:noProof/>
        </w:rPr>
        <w:instrText xml:space="preserve"> PAGEREF _Toc472599244 \h </w:instrText>
      </w:r>
      <w:r>
        <w:rPr>
          <w:noProof/>
        </w:rPr>
      </w:r>
      <w:r>
        <w:rPr>
          <w:noProof/>
        </w:rPr>
        <w:fldChar w:fldCharType="separate"/>
      </w:r>
      <w:r>
        <w:rPr>
          <w:noProof/>
        </w:rPr>
        <w:t>27</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E.4</w:t>
      </w:r>
      <w:r>
        <w:rPr>
          <w:noProof/>
        </w:rPr>
        <w:tab/>
        <w:t>SA ELECTRICITY Prices - Public Ownership 1985-1999 – Summary</w:t>
      </w:r>
      <w:r>
        <w:rPr>
          <w:noProof/>
        </w:rPr>
        <w:tab/>
      </w:r>
      <w:r>
        <w:rPr>
          <w:noProof/>
        </w:rPr>
        <w:fldChar w:fldCharType="begin"/>
      </w:r>
      <w:r>
        <w:rPr>
          <w:noProof/>
        </w:rPr>
        <w:instrText xml:space="preserve"> PAGEREF _Toc472599245 \h </w:instrText>
      </w:r>
      <w:r>
        <w:rPr>
          <w:noProof/>
        </w:rPr>
      </w:r>
      <w:r>
        <w:rPr>
          <w:noProof/>
        </w:rPr>
        <w:fldChar w:fldCharType="separate"/>
      </w:r>
      <w:r>
        <w:rPr>
          <w:noProof/>
        </w:rPr>
        <w:t>29</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E.5</w:t>
      </w:r>
      <w:r>
        <w:rPr>
          <w:noProof/>
        </w:rPr>
        <w:tab/>
        <w:t>SA ELECTRICITY Prices - Private Ownership 2000-2014– Summary</w:t>
      </w:r>
      <w:r>
        <w:rPr>
          <w:noProof/>
        </w:rPr>
        <w:tab/>
      </w:r>
      <w:r>
        <w:rPr>
          <w:noProof/>
        </w:rPr>
        <w:fldChar w:fldCharType="begin"/>
      </w:r>
      <w:r>
        <w:rPr>
          <w:noProof/>
        </w:rPr>
        <w:instrText xml:space="preserve"> PAGEREF _Toc472599246 \h </w:instrText>
      </w:r>
      <w:r>
        <w:rPr>
          <w:noProof/>
        </w:rPr>
      </w:r>
      <w:r>
        <w:rPr>
          <w:noProof/>
        </w:rPr>
        <w:fldChar w:fldCharType="separate"/>
      </w:r>
      <w:r>
        <w:rPr>
          <w:noProof/>
        </w:rPr>
        <w:t>29</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E.6</w:t>
      </w:r>
      <w:r>
        <w:rPr>
          <w:noProof/>
        </w:rPr>
        <w:tab/>
        <w:t>Comparing Electricity Supply Charges 1984 &amp; 2014</w:t>
      </w:r>
      <w:r>
        <w:rPr>
          <w:noProof/>
        </w:rPr>
        <w:tab/>
      </w:r>
      <w:r>
        <w:rPr>
          <w:noProof/>
        </w:rPr>
        <w:fldChar w:fldCharType="begin"/>
      </w:r>
      <w:r>
        <w:rPr>
          <w:noProof/>
        </w:rPr>
        <w:instrText xml:space="preserve"> PAGEREF _Toc472599247 \h </w:instrText>
      </w:r>
      <w:r>
        <w:rPr>
          <w:noProof/>
        </w:rPr>
      </w:r>
      <w:r>
        <w:rPr>
          <w:noProof/>
        </w:rPr>
        <w:fldChar w:fldCharType="separate"/>
      </w:r>
      <w:r>
        <w:rPr>
          <w:noProof/>
        </w:rPr>
        <w:t>30</w:t>
      </w:r>
      <w:r>
        <w:rPr>
          <w:noProof/>
        </w:rPr>
        <w:fldChar w:fldCharType="end"/>
      </w:r>
    </w:p>
    <w:p w:rsidR="00CD4A67" w:rsidRDefault="00CD4A67">
      <w:pPr>
        <w:pStyle w:val="TOC1"/>
        <w:rPr>
          <w:rFonts w:asciiTheme="minorHAnsi" w:eastAsiaTheme="minorEastAsia" w:hAnsiTheme="minorHAnsi" w:cstheme="minorBidi"/>
          <w:b w:val="0"/>
          <w:caps w:val="0"/>
          <w:noProof/>
          <w:szCs w:val="22"/>
          <w:lang w:eastAsia="en-AU"/>
        </w:rPr>
      </w:pPr>
      <w:r>
        <w:rPr>
          <w:noProof/>
        </w:rPr>
        <w:t>F</w:t>
      </w:r>
      <w:r>
        <w:rPr>
          <w:noProof/>
        </w:rPr>
        <w:tab/>
        <w:t>United States Electricity Average Retail Prices 1990-2009</w:t>
      </w:r>
      <w:r>
        <w:rPr>
          <w:noProof/>
        </w:rPr>
        <w:tab/>
      </w:r>
      <w:r>
        <w:rPr>
          <w:noProof/>
        </w:rPr>
        <w:fldChar w:fldCharType="begin"/>
      </w:r>
      <w:r>
        <w:rPr>
          <w:noProof/>
        </w:rPr>
        <w:instrText xml:space="preserve"> PAGEREF _Toc472599248 \h </w:instrText>
      </w:r>
      <w:r>
        <w:rPr>
          <w:noProof/>
        </w:rPr>
      </w:r>
      <w:r>
        <w:rPr>
          <w:noProof/>
        </w:rPr>
        <w:fldChar w:fldCharType="separate"/>
      </w:r>
      <w:r>
        <w:rPr>
          <w:noProof/>
        </w:rPr>
        <w:t>31</w:t>
      </w:r>
      <w:r>
        <w:rPr>
          <w:noProof/>
        </w:rPr>
        <w:fldChar w:fldCharType="end"/>
      </w:r>
    </w:p>
    <w:p w:rsidR="00F635A3" w:rsidRPr="00F635A3" w:rsidRDefault="00F635A3" w:rsidP="00F635A3">
      <w:pPr>
        <w:keepNext/>
        <w:keepLines/>
        <w:tabs>
          <w:tab w:val="left" w:pos="8789"/>
        </w:tabs>
        <w:suppressAutoHyphens/>
        <w:spacing w:before="240" w:after="120"/>
        <w:rPr>
          <w:b/>
          <w:sz w:val="24"/>
        </w:rPr>
      </w:pPr>
      <w:r w:rsidRPr="00F635A3">
        <w:rPr>
          <w:b/>
          <w:sz w:val="24"/>
        </w:rPr>
        <w:fldChar w:fldCharType="end"/>
      </w:r>
      <w:r w:rsidRPr="00F635A3">
        <w:rPr>
          <w:b/>
          <w:sz w:val="24"/>
        </w:rPr>
        <w:t>List of Tables</w:t>
      </w:r>
    </w:p>
    <w:p w:rsidR="00CD4A67" w:rsidRDefault="00F635A3">
      <w:pPr>
        <w:pStyle w:val="TableofFigures"/>
        <w:tabs>
          <w:tab w:val="left" w:pos="1134"/>
        </w:tabs>
        <w:rPr>
          <w:rFonts w:asciiTheme="minorHAnsi" w:eastAsiaTheme="minorEastAsia" w:hAnsiTheme="minorHAnsi" w:cstheme="minorBidi"/>
          <w:noProof/>
          <w:sz w:val="22"/>
          <w:szCs w:val="22"/>
          <w:lang w:eastAsia="en-AU"/>
        </w:rPr>
      </w:pPr>
      <w:r w:rsidRPr="00F635A3">
        <w:fldChar w:fldCharType="begin"/>
      </w:r>
      <w:r w:rsidRPr="00F635A3">
        <w:instrText xml:space="preserve"> TOC \c "Table" </w:instrText>
      </w:r>
      <w:r w:rsidRPr="00F635A3">
        <w:fldChar w:fldCharType="separate"/>
      </w:r>
      <w:r w:rsidR="00CD4A67">
        <w:rPr>
          <w:noProof/>
        </w:rPr>
        <w:t>Table 1.</w:t>
      </w:r>
      <w:r w:rsidR="00CD4A67">
        <w:rPr>
          <w:rFonts w:asciiTheme="minorHAnsi" w:eastAsiaTheme="minorEastAsia" w:hAnsiTheme="minorHAnsi" w:cstheme="minorBidi"/>
          <w:noProof/>
          <w:sz w:val="22"/>
          <w:szCs w:val="22"/>
          <w:lang w:eastAsia="en-AU"/>
        </w:rPr>
        <w:tab/>
      </w:r>
      <w:r w:rsidR="00CD4A67">
        <w:rPr>
          <w:noProof/>
        </w:rPr>
        <w:t>Documents</w:t>
      </w:r>
      <w:r w:rsidR="00CD4A67">
        <w:rPr>
          <w:noProof/>
        </w:rPr>
        <w:tab/>
      </w:r>
      <w:r w:rsidR="00CD4A67">
        <w:rPr>
          <w:noProof/>
        </w:rPr>
        <w:fldChar w:fldCharType="begin"/>
      </w:r>
      <w:r w:rsidR="00CD4A67">
        <w:rPr>
          <w:noProof/>
        </w:rPr>
        <w:instrText xml:space="preserve"> PAGEREF _Toc472599249 \h </w:instrText>
      </w:r>
      <w:r w:rsidR="00CD4A67">
        <w:rPr>
          <w:noProof/>
        </w:rPr>
      </w:r>
      <w:r w:rsidR="00CD4A67">
        <w:rPr>
          <w:noProof/>
        </w:rPr>
        <w:fldChar w:fldCharType="separate"/>
      </w:r>
      <w:r w:rsidR="00CD4A67">
        <w:rPr>
          <w:noProof/>
        </w:rPr>
        <w:t>13</w:t>
      </w:r>
      <w:r w:rsidR="00CD4A67">
        <w:rPr>
          <w:noProof/>
        </w:rPr>
        <w:fldChar w:fldCharType="end"/>
      </w:r>
    </w:p>
    <w:p w:rsidR="00CD4A67" w:rsidRDefault="00CD4A67">
      <w:pPr>
        <w:pStyle w:val="TableofFigures"/>
        <w:tabs>
          <w:tab w:val="left" w:pos="1134"/>
        </w:tabs>
        <w:rPr>
          <w:rFonts w:asciiTheme="minorHAnsi" w:eastAsiaTheme="minorEastAsia" w:hAnsiTheme="minorHAnsi" w:cstheme="minorBidi"/>
          <w:noProof/>
          <w:sz w:val="22"/>
          <w:szCs w:val="22"/>
          <w:lang w:eastAsia="en-AU"/>
        </w:rPr>
      </w:pPr>
      <w:r>
        <w:rPr>
          <w:noProof/>
        </w:rPr>
        <w:t>Table 2.</w:t>
      </w:r>
      <w:r>
        <w:rPr>
          <w:rFonts w:asciiTheme="minorHAnsi" w:eastAsiaTheme="minorEastAsia" w:hAnsiTheme="minorHAnsi" w:cstheme="minorBidi"/>
          <w:noProof/>
          <w:sz w:val="22"/>
          <w:szCs w:val="22"/>
          <w:lang w:eastAsia="en-AU"/>
        </w:rPr>
        <w:tab/>
      </w:r>
      <w:r>
        <w:rPr>
          <w:noProof/>
        </w:rPr>
        <w:t>Acronyms &amp; Definitions</w:t>
      </w:r>
      <w:r>
        <w:rPr>
          <w:noProof/>
        </w:rPr>
        <w:tab/>
      </w:r>
      <w:r>
        <w:rPr>
          <w:noProof/>
        </w:rPr>
        <w:fldChar w:fldCharType="begin"/>
      </w:r>
      <w:r>
        <w:rPr>
          <w:noProof/>
        </w:rPr>
        <w:instrText xml:space="preserve"> PAGEREF _Toc472599250 \h </w:instrText>
      </w:r>
      <w:r>
        <w:rPr>
          <w:noProof/>
        </w:rPr>
      </w:r>
      <w:r>
        <w:rPr>
          <w:noProof/>
        </w:rPr>
        <w:fldChar w:fldCharType="separate"/>
      </w:r>
      <w:r>
        <w:rPr>
          <w:noProof/>
        </w:rPr>
        <w:t>15</w:t>
      </w:r>
      <w:r>
        <w:rPr>
          <w:noProof/>
        </w:rPr>
        <w:fldChar w:fldCharType="end"/>
      </w:r>
    </w:p>
    <w:p w:rsidR="00CD4A67" w:rsidRDefault="00CD4A67">
      <w:pPr>
        <w:pStyle w:val="TableofFigures"/>
        <w:tabs>
          <w:tab w:val="left" w:pos="1134"/>
        </w:tabs>
        <w:rPr>
          <w:rFonts w:asciiTheme="minorHAnsi" w:eastAsiaTheme="minorEastAsia" w:hAnsiTheme="minorHAnsi" w:cstheme="minorBidi"/>
          <w:noProof/>
          <w:sz w:val="22"/>
          <w:szCs w:val="22"/>
          <w:lang w:eastAsia="en-AU"/>
        </w:rPr>
      </w:pPr>
      <w:r>
        <w:rPr>
          <w:noProof/>
        </w:rPr>
        <w:t>Table 3.</w:t>
      </w:r>
      <w:r>
        <w:rPr>
          <w:rFonts w:asciiTheme="minorHAnsi" w:eastAsiaTheme="minorEastAsia" w:hAnsiTheme="minorHAnsi" w:cstheme="minorBidi"/>
          <w:noProof/>
          <w:sz w:val="22"/>
          <w:szCs w:val="22"/>
          <w:lang w:eastAsia="en-AU"/>
        </w:rPr>
        <w:tab/>
      </w:r>
      <w:r>
        <w:rPr>
          <w:noProof/>
        </w:rPr>
        <w:t>ETSA account issued 18th November 1985 (Pre-GST)</w:t>
      </w:r>
      <w:r>
        <w:rPr>
          <w:noProof/>
        </w:rPr>
        <w:tab/>
      </w:r>
      <w:r>
        <w:rPr>
          <w:noProof/>
        </w:rPr>
        <w:fldChar w:fldCharType="begin"/>
      </w:r>
      <w:r>
        <w:rPr>
          <w:noProof/>
        </w:rPr>
        <w:instrText xml:space="preserve"> PAGEREF _Toc472599251 \h </w:instrText>
      </w:r>
      <w:r>
        <w:rPr>
          <w:noProof/>
        </w:rPr>
      </w:r>
      <w:r>
        <w:rPr>
          <w:noProof/>
        </w:rPr>
        <w:fldChar w:fldCharType="separate"/>
      </w:r>
      <w:r>
        <w:rPr>
          <w:noProof/>
        </w:rPr>
        <w:t>24</w:t>
      </w:r>
      <w:r>
        <w:rPr>
          <w:noProof/>
        </w:rPr>
        <w:fldChar w:fldCharType="end"/>
      </w:r>
    </w:p>
    <w:p w:rsidR="00CD4A67" w:rsidRDefault="00CD4A67">
      <w:pPr>
        <w:pStyle w:val="TableofFigures"/>
        <w:tabs>
          <w:tab w:val="left" w:pos="1134"/>
        </w:tabs>
        <w:rPr>
          <w:rFonts w:asciiTheme="minorHAnsi" w:eastAsiaTheme="minorEastAsia" w:hAnsiTheme="minorHAnsi" w:cstheme="minorBidi"/>
          <w:noProof/>
          <w:sz w:val="22"/>
          <w:szCs w:val="22"/>
          <w:lang w:eastAsia="en-AU"/>
        </w:rPr>
      </w:pPr>
      <w:r>
        <w:rPr>
          <w:noProof/>
        </w:rPr>
        <w:t>Table 4.</w:t>
      </w:r>
      <w:r>
        <w:rPr>
          <w:rFonts w:asciiTheme="minorHAnsi" w:eastAsiaTheme="minorEastAsia" w:hAnsiTheme="minorHAnsi" w:cstheme="minorBidi"/>
          <w:noProof/>
          <w:sz w:val="22"/>
          <w:szCs w:val="22"/>
          <w:lang w:eastAsia="en-AU"/>
        </w:rPr>
        <w:tab/>
      </w:r>
      <w:r>
        <w:rPr>
          <w:noProof/>
        </w:rPr>
        <w:t>ETSA Power’s account issued 29th September 1999 (Pre-GST)</w:t>
      </w:r>
      <w:r>
        <w:rPr>
          <w:noProof/>
        </w:rPr>
        <w:tab/>
      </w:r>
      <w:r>
        <w:rPr>
          <w:noProof/>
        </w:rPr>
        <w:fldChar w:fldCharType="begin"/>
      </w:r>
      <w:r>
        <w:rPr>
          <w:noProof/>
        </w:rPr>
        <w:instrText xml:space="preserve"> PAGEREF _Toc472599252 \h </w:instrText>
      </w:r>
      <w:r>
        <w:rPr>
          <w:noProof/>
        </w:rPr>
      </w:r>
      <w:r>
        <w:rPr>
          <w:noProof/>
        </w:rPr>
        <w:fldChar w:fldCharType="separate"/>
      </w:r>
      <w:r>
        <w:rPr>
          <w:noProof/>
        </w:rPr>
        <w:t>25</w:t>
      </w:r>
      <w:r>
        <w:rPr>
          <w:noProof/>
        </w:rPr>
        <w:fldChar w:fldCharType="end"/>
      </w:r>
    </w:p>
    <w:p w:rsidR="00CD4A67" w:rsidRDefault="00CD4A67">
      <w:pPr>
        <w:pStyle w:val="TableofFigures"/>
        <w:tabs>
          <w:tab w:val="left" w:pos="1134"/>
        </w:tabs>
        <w:rPr>
          <w:rFonts w:asciiTheme="minorHAnsi" w:eastAsiaTheme="minorEastAsia" w:hAnsiTheme="minorHAnsi" w:cstheme="minorBidi"/>
          <w:noProof/>
          <w:sz w:val="22"/>
          <w:szCs w:val="22"/>
          <w:lang w:eastAsia="en-AU"/>
        </w:rPr>
      </w:pPr>
      <w:r>
        <w:rPr>
          <w:noProof/>
        </w:rPr>
        <w:t>Table 5.</w:t>
      </w:r>
      <w:r>
        <w:rPr>
          <w:rFonts w:asciiTheme="minorHAnsi" w:eastAsiaTheme="minorEastAsia" w:hAnsiTheme="minorHAnsi" w:cstheme="minorBidi"/>
          <w:noProof/>
          <w:sz w:val="22"/>
          <w:szCs w:val="22"/>
          <w:lang w:eastAsia="en-AU"/>
        </w:rPr>
        <w:tab/>
      </w:r>
      <w:r>
        <w:rPr>
          <w:noProof/>
        </w:rPr>
        <w:t>ETSA Utilities 1998-99 Results Summary</w:t>
      </w:r>
      <w:r>
        <w:rPr>
          <w:noProof/>
        </w:rPr>
        <w:tab/>
      </w:r>
      <w:r>
        <w:rPr>
          <w:noProof/>
        </w:rPr>
        <w:fldChar w:fldCharType="begin"/>
      </w:r>
      <w:r>
        <w:rPr>
          <w:noProof/>
        </w:rPr>
        <w:instrText xml:space="preserve"> PAGEREF _Toc472599253 \h </w:instrText>
      </w:r>
      <w:r>
        <w:rPr>
          <w:noProof/>
        </w:rPr>
      </w:r>
      <w:r>
        <w:rPr>
          <w:noProof/>
        </w:rPr>
        <w:fldChar w:fldCharType="separate"/>
      </w:r>
      <w:r>
        <w:rPr>
          <w:noProof/>
        </w:rPr>
        <w:t>26</w:t>
      </w:r>
      <w:r>
        <w:rPr>
          <w:noProof/>
        </w:rPr>
        <w:fldChar w:fldCharType="end"/>
      </w:r>
    </w:p>
    <w:p w:rsidR="00CD4A67" w:rsidRDefault="00CD4A67">
      <w:pPr>
        <w:pStyle w:val="TableofFigures"/>
        <w:tabs>
          <w:tab w:val="left" w:pos="1134"/>
        </w:tabs>
        <w:rPr>
          <w:rFonts w:asciiTheme="minorHAnsi" w:eastAsiaTheme="minorEastAsia" w:hAnsiTheme="minorHAnsi" w:cstheme="minorBidi"/>
          <w:noProof/>
          <w:sz w:val="22"/>
          <w:szCs w:val="22"/>
          <w:lang w:eastAsia="en-AU"/>
        </w:rPr>
      </w:pPr>
      <w:r>
        <w:rPr>
          <w:noProof/>
        </w:rPr>
        <w:t>Table 6.</w:t>
      </w:r>
      <w:r>
        <w:rPr>
          <w:rFonts w:asciiTheme="minorHAnsi" w:eastAsiaTheme="minorEastAsia" w:hAnsiTheme="minorHAnsi" w:cstheme="minorBidi"/>
          <w:noProof/>
          <w:sz w:val="22"/>
          <w:szCs w:val="22"/>
          <w:lang w:eastAsia="en-AU"/>
        </w:rPr>
        <w:tab/>
      </w:r>
      <w:r>
        <w:rPr>
          <w:noProof/>
        </w:rPr>
        <w:t>First AGL Invoice issued 28th March 2000 (Pre-GST)</w:t>
      </w:r>
      <w:r>
        <w:rPr>
          <w:noProof/>
        </w:rPr>
        <w:tab/>
      </w:r>
      <w:r>
        <w:rPr>
          <w:noProof/>
        </w:rPr>
        <w:fldChar w:fldCharType="begin"/>
      </w:r>
      <w:r>
        <w:rPr>
          <w:noProof/>
        </w:rPr>
        <w:instrText xml:space="preserve"> PAGEREF _Toc472599254 \h </w:instrText>
      </w:r>
      <w:r>
        <w:rPr>
          <w:noProof/>
        </w:rPr>
      </w:r>
      <w:r>
        <w:rPr>
          <w:noProof/>
        </w:rPr>
        <w:fldChar w:fldCharType="separate"/>
      </w:r>
      <w:r>
        <w:rPr>
          <w:noProof/>
        </w:rPr>
        <w:t>27</w:t>
      </w:r>
      <w:r>
        <w:rPr>
          <w:noProof/>
        </w:rPr>
        <w:fldChar w:fldCharType="end"/>
      </w:r>
    </w:p>
    <w:p w:rsidR="00CD4A67" w:rsidRDefault="00CD4A67">
      <w:pPr>
        <w:pStyle w:val="TableofFigures"/>
        <w:tabs>
          <w:tab w:val="left" w:pos="1134"/>
        </w:tabs>
        <w:rPr>
          <w:rFonts w:asciiTheme="minorHAnsi" w:eastAsiaTheme="minorEastAsia" w:hAnsiTheme="minorHAnsi" w:cstheme="minorBidi"/>
          <w:noProof/>
          <w:sz w:val="22"/>
          <w:szCs w:val="22"/>
          <w:lang w:eastAsia="en-AU"/>
        </w:rPr>
      </w:pPr>
      <w:r>
        <w:rPr>
          <w:noProof/>
        </w:rPr>
        <w:t>Table 7.</w:t>
      </w:r>
      <w:r>
        <w:rPr>
          <w:rFonts w:asciiTheme="minorHAnsi" w:eastAsiaTheme="minorEastAsia" w:hAnsiTheme="minorHAnsi" w:cstheme="minorBidi"/>
          <w:noProof/>
          <w:sz w:val="22"/>
          <w:szCs w:val="22"/>
          <w:lang w:eastAsia="en-AU"/>
        </w:rPr>
        <w:tab/>
      </w:r>
      <w:r>
        <w:rPr>
          <w:noProof/>
        </w:rPr>
        <w:t>AGL Invoice issued 24th September 2014</w:t>
      </w:r>
      <w:r>
        <w:rPr>
          <w:noProof/>
        </w:rPr>
        <w:tab/>
      </w:r>
      <w:r>
        <w:rPr>
          <w:noProof/>
        </w:rPr>
        <w:fldChar w:fldCharType="begin"/>
      </w:r>
      <w:r>
        <w:rPr>
          <w:noProof/>
        </w:rPr>
        <w:instrText xml:space="preserve"> PAGEREF _Toc472599255 \h </w:instrText>
      </w:r>
      <w:r>
        <w:rPr>
          <w:noProof/>
        </w:rPr>
      </w:r>
      <w:r>
        <w:rPr>
          <w:noProof/>
        </w:rPr>
        <w:fldChar w:fldCharType="separate"/>
      </w:r>
      <w:r>
        <w:rPr>
          <w:noProof/>
        </w:rPr>
        <w:t>28</w:t>
      </w:r>
      <w:r>
        <w:rPr>
          <w:noProof/>
        </w:rPr>
        <w:fldChar w:fldCharType="end"/>
      </w:r>
    </w:p>
    <w:p w:rsidR="00CD4A67" w:rsidRDefault="00CD4A67">
      <w:pPr>
        <w:pStyle w:val="TableofFigures"/>
        <w:tabs>
          <w:tab w:val="left" w:pos="1134"/>
        </w:tabs>
        <w:rPr>
          <w:rFonts w:asciiTheme="minorHAnsi" w:eastAsiaTheme="minorEastAsia" w:hAnsiTheme="minorHAnsi" w:cstheme="minorBidi"/>
          <w:noProof/>
          <w:sz w:val="22"/>
          <w:szCs w:val="22"/>
          <w:lang w:eastAsia="en-AU"/>
        </w:rPr>
      </w:pPr>
      <w:r>
        <w:rPr>
          <w:noProof/>
        </w:rPr>
        <w:t>Table 8.</w:t>
      </w:r>
      <w:r>
        <w:rPr>
          <w:rFonts w:asciiTheme="minorHAnsi" w:eastAsiaTheme="minorEastAsia" w:hAnsiTheme="minorHAnsi" w:cstheme="minorBidi"/>
          <w:noProof/>
          <w:sz w:val="22"/>
          <w:szCs w:val="22"/>
          <w:lang w:eastAsia="en-AU"/>
        </w:rPr>
        <w:tab/>
      </w:r>
      <w:r>
        <w:rPr>
          <w:noProof/>
        </w:rPr>
        <w:t>Comparing Electricity Supply Charges 1984 &amp; 2014</w:t>
      </w:r>
      <w:r>
        <w:rPr>
          <w:noProof/>
        </w:rPr>
        <w:tab/>
      </w:r>
      <w:r>
        <w:rPr>
          <w:noProof/>
        </w:rPr>
        <w:fldChar w:fldCharType="begin"/>
      </w:r>
      <w:r>
        <w:rPr>
          <w:noProof/>
        </w:rPr>
        <w:instrText xml:space="preserve"> PAGEREF _Toc472599256 \h </w:instrText>
      </w:r>
      <w:r>
        <w:rPr>
          <w:noProof/>
        </w:rPr>
      </w:r>
      <w:r>
        <w:rPr>
          <w:noProof/>
        </w:rPr>
        <w:fldChar w:fldCharType="separate"/>
      </w:r>
      <w:r>
        <w:rPr>
          <w:noProof/>
        </w:rPr>
        <w:t>30</w:t>
      </w:r>
      <w:r>
        <w:rPr>
          <w:noProof/>
        </w:rPr>
        <w:fldChar w:fldCharType="end"/>
      </w:r>
    </w:p>
    <w:p w:rsidR="00CD4A67" w:rsidRDefault="00CD4A67">
      <w:pPr>
        <w:pStyle w:val="TableofFigures"/>
        <w:tabs>
          <w:tab w:val="left" w:pos="1134"/>
        </w:tabs>
        <w:rPr>
          <w:rFonts w:asciiTheme="minorHAnsi" w:eastAsiaTheme="minorEastAsia" w:hAnsiTheme="minorHAnsi" w:cstheme="minorBidi"/>
          <w:noProof/>
          <w:sz w:val="22"/>
          <w:szCs w:val="22"/>
          <w:lang w:eastAsia="en-AU"/>
        </w:rPr>
      </w:pPr>
      <w:r>
        <w:rPr>
          <w:noProof/>
        </w:rPr>
        <w:t>Table 9.</w:t>
      </w:r>
      <w:r>
        <w:rPr>
          <w:rFonts w:asciiTheme="minorHAnsi" w:eastAsiaTheme="minorEastAsia" w:hAnsiTheme="minorHAnsi" w:cstheme="minorBidi"/>
          <w:noProof/>
          <w:sz w:val="22"/>
          <w:szCs w:val="22"/>
          <w:lang w:eastAsia="en-AU"/>
        </w:rPr>
        <w:tab/>
      </w:r>
      <w:r>
        <w:rPr>
          <w:noProof/>
        </w:rPr>
        <w:t>Table 947. Electricity-end use and average retail prices (US$)</w:t>
      </w:r>
      <w:r>
        <w:rPr>
          <w:noProof/>
        </w:rPr>
        <w:tab/>
      </w:r>
      <w:r>
        <w:rPr>
          <w:noProof/>
        </w:rPr>
        <w:fldChar w:fldCharType="begin"/>
      </w:r>
      <w:r>
        <w:rPr>
          <w:noProof/>
        </w:rPr>
        <w:instrText xml:space="preserve"> PAGEREF _Toc472599257 \h </w:instrText>
      </w:r>
      <w:r>
        <w:rPr>
          <w:noProof/>
        </w:rPr>
      </w:r>
      <w:r>
        <w:rPr>
          <w:noProof/>
        </w:rPr>
        <w:fldChar w:fldCharType="separate"/>
      </w:r>
      <w:r>
        <w:rPr>
          <w:noProof/>
        </w:rPr>
        <w:t>31</w:t>
      </w:r>
      <w:r>
        <w:rPr>
          <w:noProof/>
        </w:rPr>
        <w:fldChar w:fldCharType="end"/>
      </w:r>
    </w:p>
    <w:p w:rsidR="00F635A3" w:rsidRPr="00F635A3" w:rsidRDefault="00F635A3" w:rsidP="00F635A3">
      <w:r w:rsidRPr="00F635A3">
        <w:fldChar w:fldCharType="end"/>
      </w:r>
    </w:p>
    <w:p w:rsidR="00C81327" w:rsidRDefault="00C81327">
      <w:pPr>
        <w:pStyle w:val="DWParaText"/>
      </w:pPr>
      <w:r>
        <w:br w:type="page"/>
      </w:r>
    </w:p>
    <w:p w:rsidR="00C81327" w:rsidRDefault="00AB0B3A" w:rsidP="00487BEA">
      <w:pPr>
        <w:pStyle w:val="DWHeading1"/>
        <w:numPr>
          <w:ilvl w:val="0"/>
          <w:numId w:val="34"/>
        </w:numPr>
      </w:pPr>
      <w:bookmarkStart w:id="1" w:name="_Toc472599225"/>
      <w:r>
        <w:t>Executive Summary</w:t>
      </w:r>
      <w:bookmarkEnd w:id="1"/>
    </w:p>
    <w:p w:rsidR="00C81327" w:rsidRDefault="00EA0B28" w:rsidP="00487BEA">
      <w:pPr>
        <w:pStyle w:val="DWHeading2"/>
        <w:numPr>
          <w:ilvl w:val="1"/>
          <w:numId w:val="34"/>
        </w:numPr>
      </w:pPr>
      <w:bookmarkStart w:id="2" w:name="_Toc472599226"/>
      <w:r>
        <w:t>Introduction</w:t>
      </w:r>
      <w:bookmarkEnd w:id="2"/>
    </w:p>
    <w:p w:rsidR="007B5ECA" w:rsidRPr="00857B03" w:rsidRDefault="00974F10" w:rsidP="00EE27C7">
      <w:pPr>
        <w:pStyle w:val="DWBullet"/>
        <w:ind w:left="1417" w:firstLine="0"/>
      </w:pPr>
      <w:r w:rsidRPr="00857B03">
        <w:t xml:space="preserve">There is no doubt that the Australian economy </w:t>
      </w:r>
      <w:r w:rsidR="006F1022" w:rsidRPr="00857B03">
        <w:t>continues to face</w:t>
      </w:r>
      <w:r w:rsidR="001E6289" w:rsidRPr="00857B03">
        <w:t xml:space="preserve"> significant headwinds into the future. </w:t>
      </w:r>
      <w:r w:rsidR="000F0542" w:rsidRPr="00857B03">
        <w:t>What is of continuing concern are the</w:t>
      </w:r>
      <w:r w:rsidR="001E6289" w:rsidRPr="00857B03">
        <w:t xml:space="preserve"> </w:t>
      </w:r>
      <w:r w:rsidR="00BA0DFE" w:rsidRPr="00857B03">
        <w:t xml:space="preserve">consequences of </w:t>
      </w:r>
      <w:r w:rsidR="001E6289" w:rsidRPr="00857B03">
        <w:t>poor policy d</w:t>
      </w:r>
      <w:r w:rsidR="008905DB" w:rsidRPr="00857B03">
        <w:t xml:space="preserve">ecisions </w:t>
      </w:r>
      <w:r w:rsidR="00AA28C6" w:rsidRPr="00857B03">
        <w:t xml:space="preserve">and privatisations </w:t>
      </w:r>
      <w:r w:rsidR="008905DB" w:rsidRPr="00857B03">
        <w:t>going back several decades</w:t>
      </w:r>
      <w:r w:rsidR="0062771D" w:rsidRPr="00857B03">
        <w:t xml:space="preserve"> that </w:t>
      </w:r>
      <w:r w:rsidR="007C599F" w:rsidRPr="00857B03">
        <w:t>have</w:t>
      </w:r>
      <w:r w:rsidR="0062771D" w:rsidRPr="00857B03">
        <w:t xml:space="preserve"> failed to </w:t>
      </w:r>
      <w:r w:rsidR="00E7258E" w:rsidRPr="00857B03">
        <w:t>deliver</w:t>
      </w:r>
      <w:r w:rsidR="005017F4">
        <w:t xml:space="preserve"> competitive advantage</w:t>
      </w:r>
      <w:r w:rsidR="005B53F8">
        <w:t xml:space="preserve"> and instead delivered </w:t>
      </w:r>
      <w:r w:rsidR="00150CFB">
        <w:t xml:space="preserve">excessive </w:t>
      </w:r>
      <w:r w:rsidR="005B53F8">
        <w:t>prices</w:t>
      </w:r>
      <w:r w:rsidR="000E7FBF" w:rsidRPr="00857B03">
        <w:t xml:space="preserve"> increases well above</w:t>
      </w:r>
      <w:r w:rsidR="00150CFB">
        <w:t xml:space="preserve"> the Reserve Bank of Australia (RB</w:t>
      </w:r>
      <w:r w:rsidR="001623C3">
        <w:t>A</w:t>
      </w:r>
      <w:r w:rsidR="00150CFB">
        <w:t>)</w:t>
      </w:r>
      <w:r w:rsidR="000E7FBF" w:rsidRPr="00857B03">
        <w:t xml:space="preserve"> inflation</w:t>
      </w:r>
      <w:r w:rsidR="006D566A" w:rsidRPr="00857B03">
        <w:t xml:space="preserve"> </w:t>
      </w:r>
      <w:r w:rsidR="00150CFB">
        <w:t xml:space="preserve">rate </w:t>
      </w:r>
      <w:r w:rsidR="006D566A" w:rsidRPr="00857B03">
        <w:t xml:space="preserve">and </w:t>
      </w:r>
      <w:r w:rsidR="0067697D">
        <w:t>poorer service. T</w:t>
      </w:r>
      <w:r w:rsidR="00150CFB">
        <w:t xml:space="preserve">he </w:t>
      </w:r>
      <w:r w:rsidR="000E7FBF" w:rsidRPr="00857B03">
        <w:t xml:space="preserve">quality of life </w:t>
      </w:r>
      <w:r w:rsidR="0067697D">
        <w:t xml:space="preserve">for many </w:t>
      </w:r>
      <w:r w:rsidR="00150CFB">
        <w:t xml:space="preserve">Australians </w:t>
      </w:r>
      <w:r w:rsidR="00705E05">
        <w:t>continues to get worse</w:t>
      </w:r>
      <w:r w:rsidR="0093304B" w:rsidRPr="00857B03">
        <w:t xml:space="preserve">. Many of these issues are </w:t>
      </w:r>
      <w:r w:rsidR="00C872F8" w:rsidRPr="00857B03">
        <w:t xml:space="preserve">well known and </w:t>
      </w:r>
      <w:r w:rsidR="009A4047">
        <w:t>just a few have been listed</w:t>
      </w:r>
      <w:r w:rsidR="00C872F8" w:rsidRPr="00857B03">
        <w:t>:</w:t>
      </w:r>
    </w:p>
    <w:p w:rsidR="009576B2" w:rsidRPr="001D099B" w:rsidRDefault="009576B2" w:rsidP="001D099B">
      <w:pPr>
        <w:pStyle w:val="DWBullet"/>
        <w:numPr>
          <w:ilvl w:val="0"/>
          <w:numId w:val="41"/>
        </w:numPr>
      </w:pPr>
      <w:r w:rsidRPr="001D099B">
        <w:t>Electrical power prices</w:t>
      </w:r>
      <w:r w:rsidR="00C57C39">
        <w:t xml:space="preserve"> </w:t>
      </w:r>
      <w:r w:rsidR="00C57C39">
        <w:fldChar w:fldCharType="begin"/>
      </w:r>
      <w:r w:rsidR="00C57C39">
        <w:instrText xml:space="preserve"> REF _Ref472513922 \r \h </w:instrText>
      </w:r>
      <w:r w:rsidR="00C57C39">
        <w:fldChar w:fldCharType="separate"/>
      </w:r>
      <w:r w:rsidR="00B6524A">
        <w:t>[12]</w:t>
      </w:r>
      <w:r w:rsidR="00C57C39">
        <w:fldChar w:fldCharType="end"/>
      </w:r>
      <w:r w:rsidRPr="001D099B">
        <w:t xml:space="preserve">, system </w:t>
      </w:r>
      <w:r w:rsidR="004D2898">
        <w:t xml:space="preserve">governance, </w:t>
      </w:r>
      <w:r w:rsidRPr="001D099B">
        <w:t>security and reliability</w:t>
      </w:r>
      <w:r w:rsidR="007372BC" w:rsidRPr="001D099B">
        <w:t>,</w:t>
      </w:r>
    </w:p>
    <w:p w:rsidR="007372BC" w:rsidRPr="001D099B" w:rsidRDefault="00131C5F" w:rsidP="001D099B">
      <w:pPr>
        <w:pStyle w:val="DWBullet"/>
        <w:numPr>
          <w:ilvl w:val="0"/>
          <w:numId w:val="41"/>
        </w:numPr>
      </w:pPr>
      <w:r w:rsidRPr="001D099B">
        <w:t>High e</w:t>
      </w:r>
      <w:r w:rsidR="007372BC" w:rsidRPr="001D099B">
        <w:t>nergy prices for gas, petrol and diesel</w:t>
      </w:r>
      <w:r w:rsidR="00EA3AD9">
        <w:t xml:space="preserve"> </w:t>
      </w:r>
      <w:r w:rsidR="008E03A3">
        <w:fldChar w:fldCharType="begin"/>
      </w:r>
      <w:r w:rsidR="008E03A3">
        <w:instrText xml:space="preserve"> REF _Ref472516715 \r \h </w:instrText>
      </w:r>
      <w:r w:rsidR="008E03A3">
        <w:fldChar w:fldCharType="separate"/>
      </w:r>
      <w:r w:rsidR="00B6524A">
        <w:t>[15]</w:t>
      </w:r>
      <w:r w:rsidR="008E03A3">
        <w:fldChar w:fldCharType="end"/>
      </w:r>
      <w:r w:rsidR="00DA79BF">
        <w:fldChar w:fldCharType="begin"/>
      </w:r>
      <w:r w:rsidR="00DA79BF">
        <w:instrText xml:space="preserve"> REF _Ref472515253 \r \h </w:instrText>
      </w:r>
      <w:r w:rsidR="00DA79BF">
        <w:fldChar w:fldCharType="separate"/>
      </w:r>
      <w:r w:rsidR="00B6524A">
        <w:t>[14]</w:t>
      </w:r>
      <w:r w:rsidR="00DA79BF">
        <w:fldChar w:fldCharType="end"/>
      </w:r>
      <w:r w:rsidR="00165232" w:rsidRPr="001D099B">
        <w:t>,</w:t>
      </w:r>
    </w:p>
    <w:p w:rsidR="00165232" w:rsidRDefault="00165232" w:rsidP="001D099B">
      <w:pPr>
        <w:pStyle w:val="DWBullet"/>
        <w:numPr>
          <w:ilvl w:val="0"/>
          <w:numId w:val="41"/>
        </w:numPr>
      </w:pPr>
      <w:r w:rsidRPr="001D099B">
        <w:t xml:space="preserve">High prices for </w:t>
      </w:r>
      <w:r w:rsidR="00F71D10">
        <w:t>goods</w:t>
      </w:r>
      <w:r w:rsidRPr="001D099B">
        <w:t xml:space="preserve"> imported into Australia</w:t>
      </w:r>
      <w:r w:rsidR="00AA67FE">
        <w:t xml:space="preserve"> </w:t>
      </w:r>
      <w:r w:rsidR="00DF1E90">
        <w:fldChar w:fldCharType="begin"/>
      </w:r>
      <w:r w:rsidR="00DF1E90">
        <w:instrText xml:space="preserve"> REF _Ref472541268 \r \h </w:instrText>
      </w:r>
      <w:r w:rsidR="00DF1E90">
        <w:fldChar w:fldCharType="separate"/>
      </w:r>
      <w:r w:rsidR="00B6524A">
        <w:t>[3]</w:t>
      </w:r>
      <w:r w:rsidR="00DF1E90">
        <w:fldChar w:fldCharType="end"/>
      </w:r>
      <w:r w:rsidR="00DC45F4">
        <w:fldChar w:fldCharType="begin"/>
      </w:r>
      <w:r w:rsidR="00DC45F4">
        <w:instrText xml:space="preserve"> REF _Ref472542392 \r \h </w:instrText>
      </w:r>
      <w:r w:rsidR="00DC45F4">
        <w:fldChar w:fldCharType="separate"/>
      </w:r>
      <w:r w:rsidR="00B6524A">
        <w:t>[18]</w:t>
      </w:r>
      <w:r w:rsidR="00DC45F4">
        <w:fldChar w:fldCharType="end"/>
      </w:r>
      <w:r w:rsidR="00CB4A0E" w:rsidRPr="001D099B">
        <w:t>,</w:t>
      </w:r>
    </w:p>
    <w:p w:rsidR="008C18BE" w:rsidRPr="001D099B" w:rsidRDefault="008C18BE" w:rsidP="001D099B">
      <w:pPr>
        <w:pStyle w:val="DWBullet"/>
        <w:numPr>
          <w:ilvl w:val="0"/>
          <w:numId w:val="41"/>
        </w:numPr>
      </w:pPr>
      <w:r>
        <w:t xml:space="preserve">Health system skewed to benefit </w:t>
      </w:r>
      <w:r w:rsidR="00D027D1">
        <w:t xml:space="preserve">publicly subsidised </w:t>
      </w:r>
      <w:r>
        <w:t xml:space="preserve">private patients while public patients are </w:t>
      </w:r>
      <w:r w:rsidR="00705E05">
        <w:t xml:space="preserve">discriminated against and </w:t>
      </w:r>
      <w:r>
        <w:t>made to wait years for corrective surgery,</w:t>
      </w:r>
    </w:p>
    <w:p w:rsidR="00641D68" w:rsidRDefault="00CB4A0E" w:rsidP="001D099B">
      <w:pPr>
        <w:pStyle w:val="DWBullet"/>
        <w:numPr>
          <w:ilvl w:val="0"/>
          <w:numId w:val="41"/>
        </w:numPr>
      </w:pPr>
      <w:r w:rsidRPr="001D099B">
        <w:t>A</w:t>
      </w:r>
      <w:r w:rsidR="00F71D10">
        <w:t xml:space="preserve"> children’s</w:t>
      </w:r>
      <w:r w:rsidRPr="001D099B">
        <w:t xml:space="preserve"> education system </w:t>
      </w:r>
      <w:r w:rsidR="00496926" w:rsidRPr="001D099B">
        <w:t>that fails to improve</w:t>
      </w:r>
      <w:r w:rsidR="00DC45F4">
        <w:t xml:space="preserve"> against</w:t>
      </w:r>
      <w:r w:rsidR="00A35ACD">
        <w:t xml:space="preserve"> its</w:t>
      </w:r>
      <w:r w:rsidR="00DC45F4">
        <w:t xml:space="preserve"> international peers</w:t>
      </w:r>
      <w:r w:rsidR="007D7561" w:rsidRPr="001D099B">
        <w:t>,</w:t>
      </w:r>
    </w:p>
    <w:p w:rsidR="00AE18D8" w:rsidRDefault="00641D68" w:rsidP="001D099B">
      <w:pPr>
        <w:pStyle w:val="DWBullet"/>
        <w:numPr>
          <w:ilvl w:val="0"/>
          <w:numId w:val="41"/>
        </w:numPr>
      </w:pPr>
      <w:r>
        <w:t>Unaffordable housing prices</w:t>
      </w:r>
      <w:r w:rsidR="00852C98">
        <w:t xml:space="preserve"> and over-priced banking system</w:t>
      </w:r>
      <w:r>
        <w:t>,</w:t>
      </w:r>
    </w:p>
    <w:p w:rsidR="001E2A2F" w:rsidRDefault="00AE18D8" w:rsidP="001D099B">
      <w:pPr>
        <w:pStyle w:val="DWBullet"/>
        <w:numPr>
          <w:ilvl w:val="0"/>
          <w:numId w:val="41"/>
        </w:numPr>
      </w:pPr>
      <w:r>
        <w:t xml:space="preserve">An overpriced higher education system, </w:t>
      </w:r>
    </w:p>
    <w:p w:rsidR="00CB4A0E" w:rsidRDefault="00AB052B" w:rsidP="008342BF">
      <w:pPr>
        <w:pStyle w:val="DWBullet"/>
        <w:numPr>
          <w:ilvl w:val="0"/>
          <w:numId w:val="41"/>
        </w:numPr>
      </w:pPr>
      <w:r>
        <w:t>Salary costs</w:t>
      </w:r>
      <w:r w:rsidR="00DA456A">
        <w:t xml:space="preserve"> of</w:t>
      </w:r>
      <w:r w:rsidR="001E2A2F">
        <w:t xml:space="preserve"> politicians and public sector </w:t>
      </w:r>
      <w:r w:rsidR="001047C0">
        <w:t>executives</w:t>
      </w:r>
      <w:r w:rsidR="00DA456A">
        <w:t xml:space="preserve"> </w:t>
      </w:r>
      <w:r w:rsidR="000D6488">
        <w:t xml:space="preserve">are over-priced and </w:t>
      </w:r>
      <w:r w:rsidR="00DA456A">
        <w:t>not competitive</w:t>
      </w:r>
      <w:r w:rsidR="001047C0">
        <w:t xml:space="preserve"> compared to the Unites States</w:t>
      </w:r>
      <w:r>
        <w:t xml:space="preserve"> </w:t>
      </w:r>
      <w:r w:rsidR="00785BD1">
        <w:fldChar w:fldCharType="begin"/>
      </w:r>
      <w:r w:rsidR="00785BD1">
        <w:instrText xml:space="preserve"> REF _Ref472511916 \r \h </w:instrText>
      </w:r>
      <w:r w:rsidR="00785BD1">
        <w:fldChar w:fldCharType="separate"/>
      </w:r>
      <w:r w:rsidR="00B6524A">
        <w:t>[8]</w:t>
      </w:r>
      <w:r w:rsidR="00785BD1">
        <w:fldChar w:fldCharType="end"/>
      </w:r>
      <w:r w:rsidR="00FE0DE3">
        <w:t xml:space="preserve">, </w:t>
      </w:r>
      <w:r w:rsidR="00785BD1">
        <w:fldChar w:fldCharType="begin"/>
      </w:r>
      <w:r w:rsidR="00785BD1">
        <w:instrText xml:space="preserve"> REF _Ref472511918 \r \h </w:instrText>
      </w:r>
      <w:r w:rsidR="00785BD1">
        <w:fldChar w:fldCharType="separate"/>
      </w:r>
      <w:r w:rsidR="00B6524A">
        <w:t>[9]</w:t>
      </w:r>
      <w:r w:rsidR="00785BD1">
        <w:fldChar w:fldCharType="end"/>
      </w:r>
      <w:r w:rsidR="00FE0DE3">
        <w:t xml:space="preserve"> &amp; </w:t>
      </w:r>
      <w:r w:rsidR="00785BD1">
        <w:fldChar w:fldCharType="begin"/>
      </w:r>
      <w:r w:rsidR="00785BD1">
        <w:instrText xml:space="preserve"> REF _Ref472511920 \r \h </w:instrText>
      </w:r>
      <w:r w:rsidR="00785BD1">
        <w:fldChar w:fldCharType="separate"/>
      </w:r>
      <w:r w:rsidR="00B6524A">
        <w:t>[10]</w:t>
      </w:r>
      <w:r w:rsidR="00785BD1">
        <w:fldChar w:fldCharType="end"/>
      </w:r>
      <w:r w:rsidR="00785BD1">
        <w:t xml:space="preserve"> </w:t>
      </w:r>
      <w:r w:rsidR="00B30106">
        <w:t>particularly when compared to scale of responsibility</w:t>
      </w:r>
      <w:r w:rsidR="00946B06">
        <w:t>. The population of the United States is approximately 13.8 times the size of Australia</w:t>
      </w:r>
      <w:r w:rsidR="00CE3C07">
        <w:t xml:space="preserve">. It is also important to note that the median gross household income of the US </w:t>
      </w:r>
      <w:r w:rsidR="00EE3AB5">
        <w:fldChar w:fldCharType="begin"/>
      </w:r>
      <w:r w:rsidR="00EE3AB5">
        <w:instrText xml:space="preserve"> REF _Ref472544667 \r \h </w:instrText>
      </w:r>
      <w:r w:rsidR="00EE3AB5">
        <w:fldChar w:fldCharType="separate"/>
      </w:r>
      <w:r w:rsidR="00B6524A">
        <w:t>[21]</w:t>
      </w:r>
      <w:r w:rsidR="00EE3AB5">
        <w:fldChar w:fldCharType="end"/>
      </w:r>
      <w:r w:rsidR="00CE3C07">
        <w:t xml:space="preserve"> vs Australia </w:t>
      </w:r>
      <w:r w:rsidR="00EE3AB5">
        <w:fldChar w:fldCharType="begin"/>
      </w:r>
      <w:r w:rsidR="00EE3AB5">
        <w:instrText xml:space="preserve"> REF _Ref472544687 \r \h </w:instrText>
      </w:r>
      <w:r w:rsidR="00EE3AB5">
        <w:fldChar w:fldCharType="separate"/>
      </w:r>
      <w:r w:rsidR="00B6524A">
        <w:t>[20]</w:t>
      </w:r>
      <w:r w:rsidR="00EE3AB5">
        <w:fldChar w:fldCharType="end"/>
      </w:r>
      <w:r w:rsidR="00EE3AB5">
        <w:t xml:space="preserve"> </w:t>
      </w:r>
      <w:r w:rsidR="00CE3C07">
        <w:t>are very similar</w:t>
      </w:r>
      <w:r w:rsidR="00916739">
        <w:t>. However when it comes to comparing the salary of the Chief Justice</w:t>
      </w:r>
      <w:r w:rsidR="008342BF">
        <w:t xml:space="preserve"> of </w:t>
      </w:r>
      <w:r w:rsidR="00916739">
        <w:t>US Supreme Court</w:t>
      </w:r>
      <w:r w:rsidR="008342BF">
        <w:t xml:space="preserve"> </w:t>
      </w:r>
      <w:r w:rsidR="008342BF">
        <w:fldChar w:fldCharType="begin"/>
      </w:r>
      <w:r w:rsidR="008342BF">
        <w:instrText xml:space="preserve"> REF _Ref472511916 \r \h </w:instrText>
      </w:r>
      <w:r w:rsidR="008342BF">
        <w:fldChar w:fldCharType="separate"/>
      </w:r>
      <w:r w:rsidR="00B6524A">
        <w:t>[8]</w:t>
      </w:r>
      <w:r w:rsidR="008342BF">
        <w:fldChar w:fldCharType="end"/>
      </w:r>
      <w:r w:rsidR="00916739">
        <w:t>US$</w:t>
      </w:r>
      <w:r w:rsidR="00401E17">
        <w:t xml:space="preserve">255,000 </w:t>
      </w:r>
      <w:r w:rsidR="008342BF">
        <w:fldChar w:fldCharType="begin"/>
      </w:r>
      <w:r w:rsidR="008342BF">
        <w:instrText xml:space="preserve"> REF _Ref472511916 \r \h </w:instrText>
      </w:r>
      <w:r w:rsidR="008342BF">
        <w:fldChar w:fldCharType="separate"/>
      </w:r>
      <w:r w:rsidR="00B6524A">
        <w:t>[8]</w:t>
      </w:r>
      <w:r w:rsidR="008342BF">
        <w:fldChar w:fldCharType="end"/>
      </w:r>
      <w:r w:rsidR="008342BF">
        <w:t xml:space="preserve"> </w:t>
      </w:r>
      <w:r w:rsidR="00401E17">
        <w:t xml:space="preserve">vs Chief Justice of the High Court $486,000 </w:t>
      </w:r>
      <w:r w:rsidR="008342BF">
        <w:fldChar w:fldCharType="begin"/>
      </w:r>
      <w:r w:rsidR="008342BF">
        <w:instrText xml:space="preserve"> REF _Ref472545228 \r \h </w:instrText>
      </w:r>
      <w:r w:rsidR="008342BF">
        <w:fldChar w:fldCharType="separate"/>
      </w:r>
      <w:r w:rsidR="00B6524A">
        <w:t>[22]</w:t>
      </w:r>
      <w:r w:rsidR="008342BF">
        <w:fldChar w:fldCharType="end"/>
      </w:r>
      <w:r w:rsidR="008342BF">
        <w:t xml:space="preserve"> </w:t>
      </w:r>
      <w:r w:rsidR="00401E17">
        <w:t xml:space="preserve">they are clearly poles apart and </w:t>
      </w:r>
      <w:r w:rsidR="00D027D1">
        <w:t>public sector executive salary</w:t>
      </w:r>
      <w:r w:rsidR="008342BF">
        <w:t xml:space="preserve"> costs in Australia are </w:t>
      </w:r>
      <w:r w:rsidR="00401E17">
        <w:t>uncompetitive</w:t>
      </w:r>
      <w:r w:rsidR="001E2A2F">
        <w:t xml:space="preserve">, </w:t>
      </w:r>
      <w:r w:rsidR="00B91EC1">
        <w:t>and</w:t>
      </w:r>
    </w:p>
    <w:p w:rsidR="00B91EC1" w:rsidRPr="001D099B" w:rsidRDefault="00B30106" w:rsidP="001D099B">
      <w:pPr>
        <w:pStyle w:val="DWBullet"/>
        <w:numPr>
          <w:ilvl w:val="0"/>
          <w:numId w:val="41"/>
        </w:numPr>
      </w:pPr>
      <w:r>
        <w:t>The</w:t>
      </w:r>
      <w:r w:rsidR="00B91EC1">
        <w:t xml:space="preserve"> immigration visa system is out of control</w:t>
      </w:r>
      <w:r w:rsidR="003C674B">
        <w:t xml:space="preserve"> </w:t>
      </w:r>
      <w:r w:rsidR="003C674B">
        <w:fldChar w:fldCharType="begin"/>
      </w:r>
      <w:r w:rsidR="003C674B">
        <w:instrText xml:space="preserve"> REF _Ref472514421 \r \h </w:instrText>
      </w:r>
      <w:r w:rsidR="003C674B">
        <w:fldChar w:fldCharType="separate"/>
      </w:r>
      <w:r w:rsidR="00B6524A">
        <w:t>[13]</w:t>
      </w:r>
      <w:r w:rsidR="003C674B">
        <w:fldChar w:fldCharType="end"/>
      </w:r>
      <w:r w:rsidR="00B91EC1">
        <w:t>.</w:t>
      </w:r>
    </w:p>
    <w:p w:rsidR="0062771D" w:rsidRPr="00B736E9" w:rsidRDefault="00256694" w:rsidP="00EE27C7">
      <w:pPr>
        <w:pStyle w:val="DWBullet"/>
        <w:ind w:left="1417" w:firstLine="0"/>
      </w:pPr>
      <w:r w:rsidRPr="00B736E9">
        <w:t xml:space="preserve">As a senior Australian, one </w:t>
      </w:r>
      <w:r w:rsidR="00F73F54" w:rsidRPr="00B736E9">
        <w:t>cannot</w:t>
      </w:r>
      <w:r w:rsidRPr="00B736E9">
        <w:t xml:space="preserve"> help </w:t>
      </w:r>
      <w:r w:rsidR="006D566A" w:rsidRPr="00B736E9">
        <w:t>to continue to feel</w:t>
      </w:r>
      <w:r w:rsidRPr="00B736E9">
        <w:t xml:space="preserve"> the country is being operated to benefit the global economy and not </w:t>
      </w:r>
      <w:r w:rsidR="00496926" w:rsidRPr="00B736E9">
        <w:t xml:space="preserve">ordinary </w:t>
      </w:r>
      <w:r w:rsidRPr="00B736E9">
        <w:t>Australian</w:t>
      </w:r>
      <w:r w:rsidR="00BB42D3" w:rsidRPr="00B736E9">
        <w:t>s</w:t>
      </w:r>
      <w:r w:rsidRPr="00B736E9">
        <w:t>.</w:t>
      </w:r>
    </w:p>
    <w:p w:rsidR="00641E49" w:rsidRPr="00B736E9" w:rsidRDefault="009A5738" w:rsidP="00EE27C7">
      <w:pPr>
        <w:pStyle w:val="DWBullet"/>
        <w:ind w:left="1417" w:firstLine="0"/>
      </w:pPr>
      <w:r w:rsidRPr="00B736E9">
        <w:t>An example of this is allowing gas ex</w:t>
      </w:r>
      <w:r w:rsidR="0022472A" w:rsidRPr="00B736E9">
        <w:t xml:space="preserve">port contracts to be signed without </w:t>
      </w:r>
      <w:r w:rsidR="009B609D" w:rsidRPr="00B736E9">
        <w:t>ensuring the security of</w:t>
      </w:r>
      <w:r w:rsidR="0022472A" w:rsidRPr="00B736E9">
        <w:t xml:space="preserve"> Australian gas</w:t>
      </w:r>
      <w:r w:rsidR="00F16C4F" w:rsidRPr="00B736E9">
        <w:t xml:space="preserve"> at a price that gives Australia a</w:t>
      </w:r>
      <w:r w:rsidR="00BD4E9F" w:rsidRPr="00B736E9">
        <w:t>n on-going</w:t>
      </w:r>
      <w:r w:rsidR="00F16C4F" w:rsidRPr="00B736E9">
        <w:t xml:space="preserve"> competitive </w:t>
      </w:r>
      <w:r w:rsidR="00AE18D8" w:rsidRPr="00B736E9">
        <w:t xml:space="preserve">advantage </w:t>
      </w:r>
      <w:r w:rsidR="00AE18D8" w:rsidRPr="00B736E9">
        <w:fldChar w:fldCharType="begin"/>
      </w:r>
      <w:r w:rsidR="00AE18D8" w:rsidRPr="00B736E9">
        <w:instrText xml:space="preserve"> REF _Ref472439741 \r \h </w:instrText>
      </w:r>
      <w:r w:rsidR="00AE18D8" w:rsidRPr="00B736E9">
        <w:fldChar w:fldCharType="separate"/>
      </w:r>
      <w:r w:rsidR="00B6524A">
        <w:t>[7]</w:t>
      </w:r>
      <w:r w:rsidR="00AE18D8" w:rsidRPr="00B736E9">
        <w:fldChar w:fldCharType="end"/>
      </w:r>
      <w:r w:rsidR="00F16C4F" w:rsidRPr="00B736E9">
        <w:t>.</w:t>
      </w:r>
      <w:r w:rsidR="006622A7" w:rsidRPr="00B736E9">
        <w:t xml:space="preserve"> </w:t>
      </w:r>
      <w:r w:rsidR="006E600E">
        <w:t>Gas Exporters</w:t>
      </w:r>
      <w:r w:rsidR="009C56B4">
        <w:t xml:space="preserve"> need to be told the security of domestic gas supplies comes </w:t>
      </w:r>
      <w:r w:rsidR="00B501EB">
        <w:t xml:space="preserve">first </w:t>
      </w:r>
      <w:r w:rsidR="009C56B4">
        <w:t xml:space="preserve">before </w:t>
      </w:r>
      <w:r w:rsidR="00B501EB">
        <w:t>gas can be exported</w:t>
      </w:r>
      <w:r w:rsidR="009C56B4">
        <w:t xml:space="preserve">. Any shortfalls of gas for export must be </w:t>
      </w:r>
      <w:r w:rsidR="00B501EB">
        <w:t>met by exporters securing gas from overseas suppliers.</w:t>
      </w:r>
    </w:p>
    <w:p w:rsidR="00A654BE" w:rsidRPr="00B736E9" w:rsidRDefault="006622A7" w:rsidP="00EE27C7">
      <w:pPr>
        <w:pStyle w:val="DWBullet"/>
        <w:ind w:left="1417" w:firstLine="0"/>
      </w:pPr>
      <w:r w:rsidRPr="00B736E9">
        <w:t>It amazes me that exporters are happy to profit from Australian resources and have forgotten their fortunes depends upon the generosity of Australia</w:t>
      </w:r>
      <w:r w:rsidR="00892427" w:rsidRPr="00B736E9">
        <w:t>ns</w:t>
      </w:r>
      <w:r w:rsidRPr="00B736E9">
        <w:t xml:space="preserve">. They need to </w:t>
      </w:r>
      <w:r w:rsidR="00641E49" w:rsidRPr="00B736E9">
        <w:t>take steps to ensure A</w:t>
      </w:r>
      <w:r w:rsidR="00650904" w:rsidRPr="00B736E9">
        <w:t>ustralians are not disadvantaged</w:t>
      </w:r>
      <w:r w:rsidR="0063298A" w:rsidRPr="00B736E9">
        <w:t xml:space="preserve"> before global winds of change illustrated by Brexit and the election of Donald Trump as</w:t>
      </w:r>
      <w:r w:rsidR="001E2A2F" w:rsidRPr="00B736E9">
        <w:t xml:space="preserve"> President of the United States</w:t>
      </w:r>
      <w:r w:rsidR="008C18BE" w:rsidRPr="00B736E9">
        <w:t xml:space="preserve"> take hold in Australia</w:t>
      </w:r>
      <w:r w:rsidR="00650904" w:rsidRPr="00B736E9">
        <w:t>.</w:t>
      </w:r>
    </w:p>
    <w:p w:rsidR="00F75DDA" w:rsidRDefault="00686F3B" w:rsidP="00EE27C7">
      <w:pPr>
        <w:pStyle w:val="DWBullet"/>
        <w:ind w:left="1417" w:firstLine="0"/>
        <w:rPr>
          <w:color w:val="3333FF"/>
        </w:rPr>
      </w:pPr>
      <w:r>
        <w:t xml:space="preserve">On Energy we need </w:t>
      </w:r>
      <w:r w:rsidR="00F75DDA" w:rsidRPr="00B736E9">
        <w:t xml:space="preserve">to look no further for policy directions than the United States. To quote the </w:t>
      </w:r>
      <w:hyperlink r:id="rId14" w:history="1">
        <w:r w:rsidR="00112027">
          <w:rPr>
            <w:rStyle w:val="Hyperlink"/>
          </w:rPr>
          <w:t>International Energy Agency in its United States 2014 Energy Review</w:t>
        </w:r>
      </w:hyperlink>
      <w:r w:rsidR="00116154">
        <w:rPr>
          <w:color w:val="3333FF"/>
        </w:rPr>
        <w:t>:</w:t>
      </w:r>
    </w:p>
    <w:p w:rsidR="00116154" w:rsidRPr="00B736E9" w:rsidRDefault="00112027" w:rsidP="00EE27C7">
      <w:pPr>
        <w:pStyle w:val="DWBullet"/>
        <w:ind w:left="1417" w:firstLine="0"/>
        <w:rPr>
          <w:i/>
        </w:rPr>
      </w:pPr>
      <w:r w:rsidRPr="00B736E9">
        <w:rPr>
          <w:i/>
        </w:rPr>
        <w:t>“</w:t>
      </w:r>
      <w:r w:rsidR="00116154" w:rsidRPr="00B736E9">
        <w:rPr>
          <w:i/>
        </w:rPr>
        <w:t>Since the last IEA review of the United States was published in 2008, the country’s energy policy landscape has fundamentally changed. In many aspects there have been significant improvements, and the country is in a strong position to deliver a reliable, affordable and environmentally sustainable energy system.</w:t>
      </w:r>
      <w:r w:rsidRPr="00B736E9">
        <w:rPr>
          <w:i/>
        </w:rPr>
        <w:t>”</w:t>
      </w:r>
    </w:p>
    <w:p w:rsidR="00C97B1F" w:rsidRPr="00B736E9" w:rsidRDefault="00C97B1F" w:rsidP="00EE27C7">
      <w:pPr>
        <w:pStyle w:val="DWBullet"/>
        <w:ind w:left="1417" w:firstLine="0"/>
      </w:pPr>
      <w:r w:rsidRPr="00B736E9">
        <w:t>There is a continued reliance upon free trade agreements</w:t>
      </w:r>
      <w:r w:rsidR="00734FDD" w:rsidRPr="00B736E9">
        <w:t xml:space="preserve"> as economic panacea</w:t>
      </w:r>
      <w:r w:rsidR="0023535F" w:rsidRPr="00B736E9">
        <w:t xml:space="preserve"> </w:t>
      </w:r>
      <w:r w:rsidR="004B7530" w:rsidRPr="00B736E9">
        <w:t>when</w:t>
      </w:r>
      <w:r w:rsidR="0023535F" w:rsidRPr="00B736E9">
        <w:t xml:space="preserve"> in reality </w:t>
      </w:r>
      <w:r w:rsidR="003B601C" w:rsidRPr="00B736E9">
        <w:t>they are just</w:t>
      </w:r>
      <w:r w:rsidR="0023535F" w:rsidRPr="00B736E9">
        <w:t xml:space="preserve"> another form of colonisation.</w:t>
      </w:r>
    </w:p>
    <w:p w:rsidR="00F42E6A" w:rsidRPr="00B736E9" w:rsidRDefault="00967D35" w:rsidP="00EE27C7">
      <w:pPr>
        <w:pStyle w:val="DWBullet"/>
        <w:ind w:left="1417" w:firstLine="0"/>
      </w:pPr>
      <w:r w:rsidRPr="00B736E9">
        <w:t xml:space="preserve">There is </w:t>
      </w:r>
      <w:r w:rsidR="008E756B" w:rsidRPr="00B736E9">
        <w:t>also the reality</w:t>
      </w:r>
      <w:r w:rsidRPr="00B736E9">
        <w:t xml:space="preserve"> that </w:t>
      </w:r>
      <w:r w:rsidR="007B5ECA" w:rsidRPr="00B736E9">
        <w:t>Australia</w:t>
      </w:r>
      <w:r w:rsidR="00AC1990" w:rsidRPr="00B736E9">
        <w:t xml:space="preserve"> has not yet emerged from its colonial past </w:t>
      </w:r>
      <w:r w:rsidR="00BB42D3" w:rsidRPr="00B736E9">
        <w:t>and</w:t>
      </w:r>
      <w:r w:rsidR="00CF2CBC" w:rsidRPr="00B736E9">
        <w:t xml:space="preserve"> </w:t>
      </w:r>
      <w:r w:rsidR="008E756B" w:rsidRPr="00B736E9">
        <w:t xml:space="preserve">transformed itself into an </w:t>
      </w:r>
      <w:r w:rsidR="00AC1990" w:rsidRPr="00B736E9">
        <w:t xml:space="preserve">independent </w:t>
      </w:r>
      <w:r w:rsidR="008E756B" w:rsidRPr="00B736E9">
        <w:t xml:space="preserve">and confident </w:t>
      </w:r>
      <w:r w:rsidR="00AC1990" w:rsidRPr="00B736E9">
        <w:t>sovereign country</w:t>
      </w:r>
      <w:r w:rsidR="00C321D3" w:rsidRPr="00B736E9">
        <w:t xml:space="preserve">. Sovereign </w:t>
      </w:r>
      <w:r w:rsidR="0019782C" w:rsidRPr="00B736E9">
        <w:t>countries need to be able to make</w:t>
      </w:r>
      <w:r w:rsidR="00C321D3" w:rsidRPr="00B736E9">
        <w:t xml:space="preserve"> </w:t>
      </w:r>
      <w:r w:rsidR="00B2200A" w:rsidRPr="00B736E9">
        <w:t xml:space="preserve">strategic </w:t>
      </w:r>
      <w:r w:rsidR="00E55197" w:rsidRPr="00B736E9">
        <w:t>decisions</w:t>
      </w:r>
      <w:r w:rsidR="00E42BDA" w:rsidRPr="00B736E9">
        <w:t xml:space="preserve"> to </w:t>
      </w:r>
      <w:r w:rsidR="00151A8B" w:rsidRPr="00B736E9">
        <w:t>en</w:t>
      </w:r>
      <w:r w:rsidR="00610AB2" w:rsidRPr="00B736E9">
        <w:t xml:space="preserve">sure it </w:t>
      </w:r>
      <w:r w:rsidR="004C779E" w:rsidRPr="00B736E9">
        <w:t xml:space="preserve">is able to provide for itself </w:t>
      </w:r>
      <w:r w:rsidR="00610AB2" w:rsidRPr="00B736E9">
        <w:t>in the event of a significant regional security event or world war</w:t>
      </w:r>
      <w:r w:rsidR="00AC1990" w:rsidRPr="00B736E9">
        <w:t>.</w:t>
      </w:r>
      <w:r w:rsidR="00B2200A" w:rsidRPr="00B736E9">
        <w:t xml:space="preserve"> Australia needs to </w:t>
      </w:r>
      <w:r w:rsidR="0030297B">
        <w:t>not</w:t>
      </w:r>
      <w:r w:rsidR="00B2200A" w:rsidRPr="00B736E9">
        <w:t xml:space="preserve"> only produce food but also </w:t>
      </w:r>
      <w:r w:rsidR="0030297B">
        <w:t xml:space="preserve">be able to research, </w:t>
      </w:r>
      <w:r w:rsidR="002E2CF0" w:rsidRPr="00B736E9">
        <w:t>design, develop and manufacture the goods and services it needs.</w:t>
      </w:r>
    </w:p>
    <w:p w:rsidR="00E5454F" w:rsidRPr="00B736E9" w:rsidRDefault="00592838" w:rsidP="00592838">
      <w:pPr>
        <w:pStyle w:val="DWSubNumber"/>
        <w:tabs>
          <w:tab w:val="clear" w:pos="1985"/>
        </w:tabs>
        <w:ind w:left="1417" w:firstLine="0"/>
      </w:pPr>
      <w:r w:rsidRPr="00B736E9">
        <w:t xml:space="preserve">Both American and </w:t>
      </w:r>
      <w:r w:rsidR="00AC38DE" w:rsidRPr="00B736E9">
        <w:t xml:space="preserve">Japanese </w:t>
      </w:r>
      <w:r w:rsidRPr="00B736E9">
        <w:t>a</w:t>
      </w:r>
      <w:r w:rsidR="00B35B08" w:rsidRPr="00B736E9">
        <w:t>u</w:t>
      </w:r>
      <w:r w:rsidR="00AC38DE" w:rsidRPr="00B736E9">
        <w:t xml:space="preserve">tomotive </w:t>
      </w:r>
      <w:r w:rsidR="007C599F" w:rsidRPr="00B736E9">
        <w:t>c</w:t>
      </w:r>
      <w:r w:rsidR="00EC3701" w:rsidRPr="00B736E9">
        <w:t xml:space="preserve">ompanies have failed to partner Australia to </w:t>
      </w:r>
      <w:r w:rsidR="00036ACC" w:rsidRPr="00B736E9">
        <w:t xml:space="preserve">develop a </w:t>
      </w:r>
      <w:r w:rsidR="00B35B08" w:rsidRPr="00B736E9">
        <w:t>sustainable</w:t>
      </w:r>
      <w:r w:rsidR="00036ACC" w:rsidRPr="00B736E9">
        <w:t xml:space="preserve"> </w:t>
      </w:r>
      <w:r w:rsidR="000A2A49" w:rsidRPr="00B736E9">
        <w:t>Motor Vehicle</w:t>
      </w:r>
      <w:r w:rsidR="00EC3701" w:rsidRPr="00B736E9">
        <w:t xml:space="preserve"> </w:t>
      </w:r>
      <w:r w:rsidR="00962FA4" w:rsidRPr="00B736E9">
        <w:t xml:space="preserve">Manufacturing </w:t>
      </w:r>
      <w:r w:rsidR="00EC3701" w:rsidRPr="00B736E9">
        <w:t>Industry</w:t>
      </w:r>
      <w:r w:rsidR="00565D57" w:rsidRPr="00B736E9">
        <w:t xml:space="preserve"> </w:t>
      </w:r>
      <w:r w:rsidR="00821486" w:rsidRPr="00B736E9">
        <w:t xml:space="preserve">as demonstrated </w:t>
      </w:r>
      <w:r w:rsidR="00B35B08" w:rsidRPr="00B736E9">
        <w:t>by</w:t>
      </w:r>
      <w:r w:rsidR="00565D57" w:rsidRPr="00B736E9">
        <w:t xml:space="preserve"> the impending departure of </w:t>
      </w:r>
      <w:r w:rsidRPr="00B736E9">
        <w:t xml:space="preserve">Ford, Holden &amp; </w:t>
      </w:r>
      <w:r w:rsidR="00565D57" w:rsidRPr="00B736E9">
        <w:t xml:space="preserve">Toyota from </w:t>
      </w:r>
      <w:r w:rsidR="00AB7208" w:rsidRPr="00B736E9">
        <w:t>Australia</w:t>
      </w:r>
      <w:r w:rsidR="00821486" w:rsidRPr="00B736E9">
        <w:t xml:space="preserve"> despite significant </w:t>
      </w:r>
      <w:r w:rsidR="00B35B08" w:rsidRPr="00B736E9">
        <w:t>government</w:t>
      </w:r>
      <w:r w:rsidR="00821486" w:rsidRPr="00B736E9">
        <w:t xml:space="preserve"> support</w:t>
      </w:r>
      <w:r w:rsidR="00C67888" w:rsidRPr="00B736E9">
        <w:t xml:space="preserve"> over many decades</w:t>
      </w:r>
      <w:r w:rsidR="00AB7208" w:rsidRPr="00B736E9">
        <w:t>.</w:t>
      </w:r>
    </w:p>
    <w:p w:rsidR="00C43FF3" w:rsidRPr="00B736E9" w:rsidRDefault="00C43FF3" w:rsidP="00592838">
      <w:pPr>
        <w:pStyle w:val="DWSubNumber"/>
        <w:tabs>
          <w:tab w:val="clear" w:pos="1985"/>
        </w:tabs>
        <w:ind w:left="1417" w:firstLine="0"/>
      </w:pPr>
      <w:r w:rsidRPr="00B736E9">
        <w:t xml:space="preserve">It is </w:t>
      </w:r>
      <w:r w:rsidR="00060964" w:rsidRPr="00B736E9">
        <w:t>inconsolable</w:t>
      </w:r>
      <w:r w:rsidRPr="00B736E9">
        <w:t xml:space="preserve"> that </w:t>
      </w:r>
      <w:r w:rsidR="00060964" w:rsidRPr="00B736E9">
        <w:t xml:space="preserve">the </w:t>
      </w:r>
      <w:r w:rsidRPr="00B736E9">
        <w:t>Australia</w:t>
      </w:r>
      <w:r w:rsidR="00060964" w:rsidRPr="00B736E9">
        <w:t xml:space="preserve"> Government</w:t>
      </w:r>
      <w:r w:rsidRPr="00B736E9">
        <w:t xml:space="preserve"> is walking away from</w:t>
      </w:r>
      <w:r w:rsidR="00CB71C3" w:rsidRPr="00B736E9">
        <w:t xml:space="preserve"> </w:t>
      </w:r>
      <w:r w:rsidR="00AA39A9" w:rsidRPr="00B736E9">
        <w:t xml:space="preserve">motor vehicle </w:t>
      </w:r>
      <w:r w:rsidR="00CB71C3" w:rsidRPr="00B736E9">
        <w:t xml:space="preserve">manufacturing without fully answering </w:t>
      </w:r>
      <w:r w:rsidR="00AA39A9" w:rsidRPr="00B736E9">
        <w:t>why</w:t>
      </w:r>
      <w:r w:rsidR="00CB71C3" w:rsidRPr="00B736E9">
        <w:t>?</w:t>
      </w:r>
      <w:r w:rsidR="00275739" w:rsidRPr="00B736E9">
        <w:t xml:space="preserve"> Some examples:</w:t>
      </w:r>
    </w:p>
    <w:p w:rsidR="00393D94" w:rsidRPr="00B736E9" w:rsidRDefault="00AF643D" w:rsidP="00EA3F5E">
      <w:pPr>
        <w:pStyle w:val="DWSubNumber"/>
        <w:numPr>
          <w:ilvl w:val="0"/>
          <w:numId w:val="42"/>
        </w:numPr>
      </w:pPr>
      <w:r w:rsidRPr="00B736E9">
        <w:t xml:space="preserve">What </w:t>
      </w:r>
      <w:r w:rsidR="00BF6B0C" w:rsidRPr="00B736E9">
        <w:t>was uncompetitive</w:t>
      </w:r>
      <w:r w:rsidR="00D803C6">
        <w:t>;</w:t>
      </w:r>
      <w:r w:rsidR="00BF6B0C" w:rsidRPr="00B736E9">
        <w:t xml:space="preserve"> </w:t>
      </w:r>
      <w:r w:rsidRPr="00B736E9">
        <w:t>cost, quality and</w:t>
      </w:r>
      <w:r w:rsidR="0037625C">
        <w:t xml:space="preserve"> /or</w:t>
      </w:r>
      <w:r w:rsidRPr="00B736E9">
        <w:t xml:space="preserve"> productivity</w:t>
      </w:r>
      <w:r w:rsidR="0030422E" w:rsidRPr="00B736E9">
        <w:t>?</w:t>
      </w:r>
    </w:p>
    <w:p w:rsidR="003B7546" w:rsidRPr="00B736E9" w:rsidRDefault="0030422E" w:rsidP="00EA3F5E">
      <w:pPr>
        <w:pStyle w:val="DWSubNumber"/>
        <w:numPr>
          <w:ilvl w:val="0"/>
          <w:numId w:val="42"/>
        </w:numPr>
      </w:pPr>
      <w:r w:rsidRPr="00B736E9">
        <w:t xml:space="preserve">Was it because of </w:t>
      </w:r>
      <w:r w:rsidR="00D83535" w:rsidRPr="00B736E9">
        <w:t xml:space="preserve">a </w:t>
      </w:r>
      <w:r w:rsidRPr="00B736E9">
        <w:t>lack of sovereign controlling interest?</w:t>
      </w:r>
    </w:p>
    <w:p w:rsidR="0030422E" w:rsidRPr="00B736E9" w:rsidRDefault="002555B7" w:rsidP="00EA3F5E">
      <w:pPr>
        <w:pStyle w:val="DWSubNumber"/>
        <w:numPr>
          <w:ilvl w:val="0"/>
          <w:numId w:val="42"/>
        </w:numPr>
      </w:pPr>
      <w:r w:rsidRPr="00B736E9">
        <w:t>Was it because of failure of our education system?</w:t>
      </w:r>
    </w:p>
    <w:p w:rsidR="00EE184E" w:rsidRDefault="00EE184E" w:rsidP="00EA3F5E">
      <w:pPr>
        <w:pStyle w:val="DWSubNumber"/>
        <w:numPr>
          <w:ilvl w:val="0"/>
          <w:numId w:val="42"/>
        </w:numPr>
      </w:pPr>
      <w:r w:rsidRPr="00B736E9">
        <w:t>Was it because car</w:t>
      </w:r>
      <w:r w:rsidR="00303C63" w:rsidRPr="00B736E9">
        <w:t xml:space="preserve"> companies failed to pass on contractually required cost savings </w:t>
      </w:r>
      <w:r w:rsidR="00AF643D" w:rsidRPr="00B736E9">
        <w:t>achieved by</w:t>
      </w:r>
      <w:r w:rsidR="00303C63" w:rsidRPr="00B736E9">
        <w:t xml:space="preserve"> Australian </w:t>
      </w:r>
      <w:r w:rsidR="00AF643D" w:rsidRPr="00B736E9">
        <w:t>component suppliers</w:t>
      </w:r>
      <w:r w:rsidR="00303C63" w:rsidRPr="00B736E9">
        <w:t>?</w:t>
      </w:r>
    </w:p>
    <w:p w:rsidR="00466EF2" w:rsidRPr="00B736E9" w:rsidRDefault="00466EF2" w:rsidP="00EA3F5E">
      <w:pPr>
        <w:pStyle w:val="DWSubNumber"/>
        <w:numPr>
          <w:ilvl w:val="0"/>
          <w:numId w:val="42"/>
        </w:numPr>
      </w:pPr>
      <w:r>
        <w:t xml:space="preserve">Was it because of over-charging of components, goods and services </w:t>
      </w:r>
      <w:r w:rsidR="00A208A5">
        <w:t xml:space="preserve">supplied </w:t>
      </w:r>
      <w:r>
        <w:t>by overseas subsidiaries?</w:t>
      </w:r>
    </w:p>
    <w:p w:rsidR="00303C63" w:rsidRPr="00B736E9" w:rsidRDefault="00303C63" w:rsidP="00EA3F5E">
      <w:pPr>
        <w:pStyle w:val="DWSubNumber"/>
        <w:numPr>
          <w:ilvl w:val="0"/>
          <w:numId w:val="42"/>
        </w:numPr>
      </w:pPr>
      <w:r w:rsidRPr="00B736E9">
        <w:t>What vehicles should Australia be manufacturing</w:t>
      </w:r>
      <w:r w:rsidR="00A818C0" w:rsidRPr="00B736E9">
        <w:t>?</w:t>
      </w:r>
    </w:p>
    <w:p w:rsidR="0009638E" w:rsidRPr="00B736E9" w:rsidRDefault="0009638E" w:rsidP="00EA3F5E">
      <w:pPr>
        <w:pStyle w:val="DWSubNumber"/>
        <w:numPr>
          <w:ilvl w:val="0"/>
          <w:numId w:val="42"/>
        </w:numPr>
      </w:pPr>
      <w:r w:rsidRPr="00B736E9">
        <w:t xml:space="preserve">What </w:t>
      </w:r>
      <w:r w:rsidR="00466EF2">
        <w:t>are the</w:t>
      </w:r>
      <w:r w:rsidRPr="00B736E9">
        <w:t xml:space="preserve"> </w:t>
      </w:r>
      <w:r w:rsidR="0087653D">
        <w:t>real</w:t>
      </w:r>
      <w:r w:rsidRPr="00B736E9">
        <w:t xml:space="preserve"> cost</w:t>
      </w:r>
      <w:r w:rsidR="000C462D">
        <w:t>s</w:t>
      </w:r>
      <w:r w:rsidR="0087653D">
        <w:t xml:space="preserve"> and margins</w:t>
      </w:r>
      <w:r w:rsidRPr="00B736E9">
        <w:t xml:space="preserve"> of </w:t>
      </w:r>
      <w:r w:rsidR="00D159D3">
        <w:t xml:space="preserve">research, design, development, </w:t>
      </w:r>
      <w:r w:rsidR="000C462D">
        <w:t>manufacture</w:t>
      </w:r>
      <w:r w:rsidR="00D159D3">
        <w:t xml:space="preserve">, distribution &amp; retail </w:t>
      </w:r>
      <w:r w:rsidR="000C462D">
        <w:t xml:space="preserve">of </w:t>
      </w:r>
      <w:r w:rsidRPr="00B736E9">
        <w:t>motor vehicles in Austr</w:t>
      </w:r>
      <w:r w:rsidR="00D83535" w:rsidRPr="00B736E9">
        <w:t xml:space="preserve">alia vs </w:t>
      </w:r>
      <w:r w:rsidR="00D159D3">
        <w:t xml:space="preserve">comparable </w:t>
      </w:r>
      <w:r w:rsidR="0087653D">
        <w:t>oversea countries</w:t>
      </w:r>
      <w:r w:rsidR="00D83535" w:rsidRPr="00B736E9">
        <w:t>?</w:t>
      </w:r>
    </w:p>
    <w:p w:rsidR="00D83535" w:rsidRPr="00B736E9" w:rsidRDefault="00275739" w:rsidP="00EA3F5E">
      <w:pPr>
        <w:pStyle w:val="DWSubNumber"/>
        <w:numPr>
          <w:ilvl w:val="0"/>
          <w:numId w:val="42"/>
        </w:numPr>
      </w:pPr>
      <w:r w:rsidRPr="00B736E9">
        <w:t xml:space="preserve">Why did government policy fail to develop and create a sustainable motor vehicle manufacturing </w:t>
      </w:r>
      <w:r w:rsidR="00583135" w:rsidRPr="00B736E9">
        <w:t>industry?</w:t>
      </w:r>
    </w:p>
    <w:p w:rsidR="006B73AB" w:rsidRDefault="006718CB" w:rsidP="006B73AB">
      <w:pPr>
        <w:pStyle w:val="DWBullet"/>
        <w:ind w:left="1417" w:firstLine="0"/>
      </w:pPr>
      <w:r>
        <w:t xml:space="preserve">There is no doubt in my mind </w:t>
      </w:r>
      <w:r w:rsidR="00EF6326">
        <w:t>the behaviour of</w:t>
      </w:r>
      <w:r>
        <w:t xml:space="preserve"> China </w:t>
      </w:r>
      <w:r w:rsidR="00EF6326">
        <w:t xml:space="preserve">in the South China Seas </w:t>
      </w:r>
      <w:r w:rsidR="00A818C0">
        <w:t xml:space="preserve">continues to </w:t>
      </w:r>
      <w:r>
        <w:t xml:space="preserve">represents a significant risk to the </w:t>
      </w:r>
      <w:r w:rsidR="00115C2A">
        <w:t xml:space="preserve">long-term </w:t>
      </w:r>
      <w:r>
        <w:t xml:space="preserve">security of </w:t>
      </w:r>
      <w:r w:rsidR="00115C2A">
        <w:t>this part of the world</w:t>
      </w:r>
      <w:r w:rsidR="003B380C">
        <w:t>.</w:t>
      </w:r>
      <w:r>
        <w:t xml:space="preserve"> What do you think would happen </w:t>
      </w:r>
      <w:r w:rsidR="00704E8D">
        <w:t xml:space="preserve">if a </w:t>
      </w:r>
      <w:r w:rsidR="00197DF2">
        <w:t>war</w:t>
      </w:r>
      <w:r w:rsidR="006B73AB">
        <w:t xml:space="preserve"> </w:t>
      </w:r>
      <w:r w:rsidR="00704E8D">
        <w:t xml:space="preserve">in the region occurred that impacted the ability of </w:t>
      </w:r>
      <w:r w:rsidR="00AA6459">
        <w:t xml:space="preserve">the countries in </w:t>
      </w:r>
      <w:r w:rsidR="003B380C">
        <w:t>the</w:t>
      </w:r>
      <w:r w:rsidR="00AA6459">
        <w:t xml:space="preserve"> region to supply Australia with manufactured goods and </w:t>
      </w:r>
      <w:r w:rsidR="00A208A5">
        <w:t>services?</w:t>
      </w:r>
      <w:r w:rsidR="00AA6459">
        <w:t xml:space="preserve"> </w:t>
      </w:r>
      <w:r w:rsidR="0001394C">
        <w:t xml:space="preserve">They would </w:t>
      </w:r>
      <w:r w:rsidR="00FD4CE6">
        <w:t>no longer be available and Australia would be left to fend for itself</w:t>
      </w:r>
      <w:r w:rsidR="0001394C">
        <w:t>.</w:t>
      </w:r>
    </w:p>
    <w:p w:rsidR="006718CB" w:rsidRDefault="00197DF2" w:rsidP="006B73AB">
      <w:pPr>
        <w:pStyle w:val="DWBullet"/>
        <w:ind w:left="1417" w:firstLine="0"/>
      </w:pPr>
      <w:r>
        <w:t xml:space="preserve">Australia adopted America because Britain abandoned Australia during World War </w:t>
      </w:r>
      <w:r w:rsidR="00C439D7">
        <w:t>II with the fall of Singapore. Just as Britain acted in its own best interests</w:t>
      </w:r>
      <w:r w:rsidR="0001394C">
        <w:t xml:space="preserve"> and capability at the time</w:t>
      </w:r>
      <w:r w:rsidR="00C439D7">
        <w:t>, so would Japan and for that matter the United States.</w:t>
      </w:r>
      <w:r w:rsidR="003F765B">
        <w:t xml:space="preserve">  Australia needs to factor these </w:t>
      </w:r>
      <w:r w:rsidR="007916AC">
        <w:t xml:space="preserve">worst case security </w:t>
      </w:r>
      <w:r w:rsidR="003F765B">
        <w:t>scenari</w:t>
      </w:r>
      <w:r w:rsidR="00761ED5">
        <w:t>os in</w:t>
      </w:r>
      <w:r w:rsidR="006F73F2">
        <w:t>to</w:t>
      </w:r>
      <w:r w:rsidR="00E47D07">
        <w:t xml:space="preserve"> formulating strategic policy and not allow free trade policies to undermine the sovereign security interests </w:t>
      </w:r>
      <w:r w:rsidR="00A61FCF">
        <w:t xml:space="preserve">and competitive position </w:t>
      </w:r>
      <w:r w:rsidR="00E47D07">
        <w:t>of Australia</w:t>
      </w:r>
      <w:r w:rsidR="00115C2A">
        <w:t>.</w:t>
      </w:r>
    </w:p>
    <w:p w:rsidR="00EA0B28" w:rsidRDefault="00EA0B28" w:rsidP="00A64991">
      <w:pPr>
        <w:pStyle w:val="DWHeading2"/>
        <w:numPr>
          <w:ilvl w:val="1"/>
          <w:numId w:val="34"/>
        </w:numPr>
      </w:pPr>
      <w:bookmarkStart w:id="3" w:name="_Toc472599227"/>
      <w:r>
        <w:t>Australia Needs a New Deal</w:t>
      </w:r>
      <w:bookmarkEnd w:id="3"/>
    </w:p>
    <w:p w:rsidR="00076CF2" w:rsidRDefault="004946B1" w:rsidP="00EE27C7">
      <w:pPr>
        <w:pStyle w:val="DWBullet"/>
        <w:ind w:left="1417" w:firstLine="0"/>
      </w:pPr>
      <w:r>
        <w:t xml:space="preserve">For decades successive Australian governments, their politicians and </w:t>
      </w:r>
      <w:r w:rsidR="00B244F9">
        <w:t>bureaucrats</w:t>
      </w:r>
      <w:r>
        <w:t xml:space="preserve"> have worked to </w:t>
      </w:r>
      <w:r w:rsidR="008D6376">
        <w:t xml:space="preserve">maximise the </w:t>
      </w:r>
      <w:r w:rsidR="00294451" w:rsidRPr="00294451">
        <w:t xml:space="preserve">handover </w:t>
      </w:r>
      <w:r w:rsidR="00294451">
        <w:t xml:space="preserve">of </w:t>
      </w:r>
      <w:r w:rsidR="008D6376">
        <w:t>public</w:t>
      </w:r>
      <w:r>
        <w:t xml:space="preserve"> </w:t>
      </w:r>
      <w:r w:rsidR="00294451">
        <w:t>enterprise</w:t>
      </w:r>
      <w:r>
        <w:t xml:space="preserve"> </w:t>
      </w:r>
      <w:r w:rsidR="008D6376">
        <w:t>to the</w:t>
      </w:r>
      <w:r w:rsidR="00EA3404">
        <w:t xml:space="preserve"> </w:t>
      </w:r>
      <w:r w:rsidR="00C51DFB">
        <w:t xml:space="preserve">global </w:t>
      </w:r>
      <w:r w:rsidR="00DC5DAC">
        <w:t>private sector</w:t>
      </w:r>
      <w:r w:rsidR="00D838BA">
        <w:t>. This has</w:t>
      </w:r>
      <w:r w:rsidR="00EA3404">
        <w:t xml:space="preserve"> includ</w:t>
      </w:r>
      <w:r w:rsidR="00D838BA">
        <w:t>e</w:t>
      </w:r>
      <w:r w:rsidR="00C51DFB">
        <w:t>d</w:t>
      </w:r>
      <w:r w:rsidR="00D838BA">
        <w:t xml:space="preserve"> </w:t>
      </w:r>
      <w:r w:rsidR="00EA3404">
        <w:t xml:space="preserve">countries that use </w:t>
      </w:r>
      <w:r w:rsidR="00B244F9">
        <w:t>sovereign</w:t>
      </w:r>
      <w:r w:rsidR="00EA3404">
        <w:t xml:space="preserve"> companies </w:t>
      </w:r>
      <w:r w:rsidR="00C51DFB">
        <w:t xml:space="preserve">owned by the state </w:t>
      </w:r>
      <w:r w:rsidR="00EA3404">
        <w:t xml:space="preserve">to </w:t>
      </w:r>
      <w:r w:rsidR="00B244F9">
        <w:t xml:space="preserve">extend </w:t>
      </w:r>
      <w:r w:rsidR="00F96535">
        <w:t>the reach of their global</w:t>
      </w:r>
      <w:r w:rsidR="00B244F9">
        <w:t xml:space="preserve"> </w:t>
      </w:r>
      <w:r w:rsidR="00C51DFB">
        <w:t xml:space="preserve">economic </w:t>
      </w:r>
      <w:r w:rsidR="00B244F9">
        <w:t>interests</w:t>
      </w:r>
      <w:r w:rsidR="008204A7">
        <w:t xml:space="preserve"> for their benefit</w:t>
      </w:r>
      <w:r w:rsidR="00A5048A">
        <w:t>.</w:t>
      </w:r>
      <w:r w:rsidR="00C51DFB">
        <w:t xml:space="preserve"> This is a form of quasi-colonisation.</w:t>
      </w:r>
    </w:p>
    <w:p w:rsidR="00A5048A" w:rsidRDefault="004251D1" w:rsidP="00EE27C7">
      <w:pPr>
        <w:pStyle w:val="DWBullet"/>
        <w:ind w:left="1417" w:firstLine="0"/>
      </w:pPr>
      <w:r>
        <w:t>The result has been</w:t>
      </w:r>
      <w:r w:rsidR="00A5048A">
        <w:t xml:space="preserve"> that in almost all areas where there has occurred, costs </w:t>
      </w:r>
      <w:r w:rsidR="00051C49">
        <w:t xml:space="preserve">&amp; risks </w:t>
      </w:r>
      <w:r w:rsidR="00A5048A">
        <w:t>to the economy, society and environment have only increased</w:t>
      </w:r>
      <w:r>
        <w:t>. T</w:t>
      </w:r>
      <w:r w:rsidR="006E5973">
        <w:t>otal debt is at record levels</w:t>
      </w:r>
      <w:r w:rsidR="004B6ABA">
        <w:t xml:space="preserve"> and the competitive position of Australia has been trashed as evidenced by Australian governments surrendering our automotive industry</w:t>
      </w:r>
      <w:r w:rsidR="001479E9">
        <w:t xml:space="preserve"> to foreign interests</w:t>
      </w:r>
      <w:r w:rsidR="009E28AB">
        <w:t xml:space="preserve"> without a whimper</w:t>
      </w:r>
      <w:r w:rsidR="00AE7A80">
        <w:t xml:space="preserve"> as only a colony would</w:t>
      </w:r>
      <w:r w:rsidR="004B6ABA">
        <w:t>.</w:t>
      </w:r>
    </w:p>
    <w:p w:rsidR="00580720" w:rsidRDefault="00582DF8" w:rsidP="00EE27C7">
      <w:pPr>
        <w:pStyle w:val="DWBullet"/>
        <w:ind w:left="1417" w:firstLine="0"/>
      </w:pPr>
      <w:r w:rsidRPr="00582DF8">
        <w:t>Every South Australian knows that the privatisation of electricity</w:t>
      </w:r>
      <w:r w:rsidR="006F73F2">
        <w:t xml:space="preserve"> in 1999</w:t>
      </w:r>
      <w:r w:rsidRPr="00582DF8">
        <w:t xml:space="preserve"> resulted in power costs that have risen well above inflation and </w:t>
      </w:r>
      <w:r w:rsidR="002F003F">
        <w:t xml:space="preserve">this has </w:t>
      </w:r>
      <w:r w:rsidR="00B057F8">
        <w:t xml:space="preserve">significantly </w:t>
      </w:r>
      <w:r w:rsidRPr="00582DF8">
        <w:t>affected the State’s competitive position</w:t>
      </w:r>
      <w:r w:rsidR="00242ECC">
        <w:t xml:space="preserve"> (Appendix </w:t>
      </w:r>
      <w:r w:rsidR="00242ECC">
        <w:fldChar w:fldCharType="begin"/>
      </w:r>
      <w:r w:rsidR="00242ECC">
        <w:instrText xml:space="preserve"> REF _Ref442391166 \r \h </w:instrText>
      </w:r>
      <w:r w:rsidR="00242ECC">
        <w:fldChar w:fldCharType="separate"/>
      </w:r>
      <w:r w:rsidR="00B6524A">
        <w:t>E</w:t>
      </w:r>
      <w:r w:rsidR="00242ECC">
        <w:fldChar w:fldCharType="end"/>
      </w:r>
      <w:r w:rsidR="00242ECC">
        <w:t xml:space="preserve"> </w:t>
      </w:r>
      <w:r w:rsidR="00D72A39">
        <w:fldChar w:fldCharType="begin"/>
      </w:r>
      <w:r w:rsidR="00D72A39">
        <w:instrText xml:space="preserve"> REF _Ref442423794 \h </w:instrText>
      </w:r>
      <w:r w:rsidR="00D72A39">
        <w:fldChar w:fldCharType="separate"/>
      </w:r>
      <w:r w:rsidR="00B6524A">
        <w:t xml:space="preserve">SA </w:t>
      </w:r>
      <w:r w:rsidR="00B6524A" w:rsidRPr="00D152F1">
        <w:t>Electricity Cost Comparison Public vs. Private</w:t>
      </w:r>
      <w:r w:rsidR="00B6524A">
        <w:t xml:space="preserve"> 1985-2014</w:t>
      </w:r>
      <w:r w:rsidR="00D72A39">
        <w:fldChar w:fldCharType="end"/>
      </w:r>
      <w:r w:rsidR="001D490D">
        <w:t>).</w:t>
      </w:r>
    </w:p>
    <w:p w:rsidR="00A755E1" w:rsidRDefault="001D490D" w:rsidP="00EE27C7">
      <w:pPr>
        <w:pStyle w:val="DWBullet"/>
        <w:ind w:left="1417" w:firstLine="0"/>
      </w:pPr>
      <w:r>
        <w:t>South Australia’s energy prices are representative of Australia’s energy prices</w:t>
      </w:r>
      <w:r w:rsidR="009E28AB">
        <w:t xml:space="preserve"> and the gap that exists </w:t>
      </w:r>
      <w:r w:rsidR="00367993">
        <w:t xml:space="preserve">between </w:t>
      </w:r>
      <w:r w:rsidR="009E28AB">
        <w:t xml:space="preserve">United States </w:t>
      </w:r>
      <w:r w:rsidR="00367993">
        <w:t>average retail prices per unit of electricity (KW</w:t>
      </w:r>
      <w:r w:rsidR="00F26CD7">
        <w:t>h</w:t>
      </w:r>
      <w:r w:rsidR="00367993">
        <w:t>) is extraordinary</w:t>
      </w:r>
      <w:r w:rsidR="00C47D24">
        <w:t xml:space="preserve"> (Appendix </w:t>
      </w:r>
      <w:r w:rsidR="00C47D24">
        <w:fldChar w:fldCharType="begin"/>
      </w:r>
      <w:r w:rsidR="00C47D24">
        <w:instrText xml:space="preserve"> REF _Ref442391476 \r \h </w:instrText>
      </w:r>
      <w:r w:rsidR="00C47D24">
        <w:fldChar w:fldCharType="separate"/>
      </w:r>
      <w:r w:rsidR="00B6524A">
        <w:t>F</w:t>
      </w:r>
      <w:r w:rsidR="00C47D24">
        <w:fldChar w:fldCharType="end"/>
      </w:r>
      <w:r w:rsidR="00C47D24">
        <w:t xml:space="preserve"> </w:t>
      </w:r>
      <w:r w:rsidR="00C47D24">
        <w:fldChar w:fldCharType="begin"/>
      </w:r>
      <w:r w:rsidR="00C47D24">
        <w:instrText xml:space="preserve"> REF _Ref442423506 \h </w:instrText>
      </w:r>
      <w:r w:rsidR="00C47D24">
        <w:fldChar w:fldCharType="separate"/>
      </w:r>
      <w:r w:rsidR="00B6524A">
        <w:t>United States Electricity Average Retail Prices 1990-2009</w:t>
      </w:r>
      <w:r w:rsidR="00C47D24">
        <w:fldChar w:fldCharType="end"/>
      </w:r>
      <w:r w:rsidR="00C47D24">
        <w:t>)</w:t>
      </w:r>
      <w:r w:rsidR="009E28AB">
        <w:t>.</w:t>
      </w:r>
      <w:r w:rsidR="0061363F">
        <w:t xml:space="preserve"> </w:t>
      </w:r>
    </w:p>
    <w:p w:rsidR="001D490D" w:rsidRDefault="00A755E1" w:rsidP="00EE27C7">
      <w:pPr>
        <w:pStyle w:val="DWBullet"/>
        <w:ind w:left="1417" w:firstLine="0"/>
      </w:pPr>
      <w:r>
        <w:t>The</w:t>
      </w:r>
      <w:r w:rsidR="0061363F">
        <w:t xml:space="preserve"> Total Nominal Average Retail Price in 200</w:t>
      </w:r>
      <w:r w:rsidR="00686D4B">
        <w:t>9 was 9.89</w:t>
      </w:r>
      <w:r w:rsidR="00B10BCB">
        <w:t xml:space="preserve"> vs. 6.57 in 1990</w:t>
      </w:r>
      <w:r w:rsidR="002F003F">
        <w:t xml:space="preserve"> </w:t>
      </w:r>
      <w:r w:rsidR="002F003F" w:rsidRPr="002F003F">
        <w:t>(US$ cents per kilowatt-hour)</w:t>
      </w:r>
      <w:r w:rsidR="00F234CB">
        <w:t>. Exchange rates do not explain</w:t>
      </w:r>
      <w:r w:rsidR="00B10BCB">
        <w:t xml:space="preserve"> </w:t>
      </w:r>
      <w:r w:rsidR="00924C70">
        <w:t xml:space="preserve">the difference. This </w:t>
      </w:r>
      <w:r w:rsidR="001D2C1C">
        <w:t xml:space="preserve">substantial </w:t>
      </w:r>
      <w:r w:rsidR="001D490D">
        <w:t>gap between Australia and the United States</w:t>
      </w:r>
      <w:r w:rsidR="00924C70">
        <w:t xml:space="preserve"> on energy prices</w:t>
      </w:r>
      <w:r w:rsidR="00676845">
        <w:t xml:space="preserve"> represents a significant loss of competitive position</w:t>
      </w:r>
      <w:r w:rsidR="00135D59">
        <w:t xml:space="preserve"> since the mid-eighties</w:t>
      </w:r>
      <w:r w:rsidR="00676845">
        <w:t xml:space="preserve">. This loss of competitive position should be of critical </w:t>
      </w:r>
      <w:r w:rsidR="001D490D">
        <w:t xml:space="preserve">concern </w:t>
      </w:r>
      <w:r w:rsidR="00676845">
        <w:t xml:space="preserve">to </w:t>
      </w:r>
      <w:r w:rsidR="00793839">
        <w:t>the</w:t>
      </w:r>
      <w:r w:rsidR="00676845">
        <w:t xml:space="preserve"> Government </w:t>
      </w:r>
      <w:r w:rsidR="001D490D">
        <w:t xml:space="preserve">and </w:t>
      </w:r>
      <w:r w:rsidR="00676845">
        <w:t>warrants</w:t>
      </w:r>
      <w:r w:rsidR="001D490D">
        <w:t xml:space="preserve"> a Royal Commission</w:t>
      </w:r>
      <w:r w:rsidR="00D72A39">
        <w:t>.</w:t>
      </w:r>
      <w:r w:rsidR="00596B04">
        <w:t xml:space="preserve"> It needs to be remembered that Sir Thomas </w:t>
      </w:r>
      <w:r w:rsidR="00791D7B">
        <w:t>Playford Liberal</w:t>
      </w:r>
      <w:r w:rsidR="00596B04">
        <w:t xml:space="preserve"> Premier of South Australia</w:t>
      </w:r>
      <w:r w:rsidR="00791D7B">
        <w:t xml:space="preserve"> held a Royal Commission </w:t>
      </w:r>
      <w:r w:rsidR="00CD0B10">
        <w:t xml:space="preserve">in March 1945 </w:t>
      </w:r>
      <w:r w:rsidR="00F31DD8">
        <w:t>to nationalise private electricity companies</w:t>
      </w:r>
      <w:r w:rsidR="004B4EC5">
        <w:t xml:space="preserve"> </w:t>
      </w:r>
      <w:r w:rsidR="00EC0A40">
        <w:fldChar w:fldCharType="begin"/>
      </w:r>
      <w:r w:rsidR="00EC0A40">
        <w:instrText xml:space="preserve"> REF _Ref472594363 \r \h </w:instrText>
      </w:r>
      <w:r w:rsidR="00EC0A40">
        <w:fldChar w:fldCharType="separate"/>
      </w:r>
      <w:r w:rsidR="00EC0A40">
        <w:t>[16]</w:t>
      </w:r>
      <w:r w:rsidR="00EC0A40">
        <w:fldChar w:fldCharType="end"/>
      </w:r>
      <w:r w:rsidR="00CC2AD4">
        <w:t xml:space="preserve"> to ensure the provision of low cost and reliable power for all South Australians</w:t>
      </w:r>
      <w:r w:rsidR="00EC0A40">
        <w:t>. It can be done and it needs to be done again</w:t>
      </w:r>
      <w:r w:rsidR="00F31DD8">
        <w:t>.</w:t>
      </w:r>
      <w:r w:rsidR="00791D7B">
        <w:t xml:space="preserve"> </w:t>
      </w:r>
    </w:p>
    <w:p w:rsidR="00AD45F8" w:rsidRDefault="00990A62" w:rsidP="00EE27C7">
      <w:pPr>
        <w:pStyle w:val="DWBullet"/>
        <w:ind w:left="1417" w:firstLine="0"/>
      </w:pPr>
      <w:r>
        <w:t>The purpose of G</w:t>
      </w:r>
      <w:r w:rsidR="00AD45F8">
        <w:t>overnment</w:t>
      </w:r>
      <w:r>
        <w:t>s</w:t>
      </w:r>
      <w:r w:rsidR="00AD45F8">
        <w:t xml:space="preserve"> is to facilitate, nurture and support </w:t>
      </w:r>
      <w:r w:rsidR="007108E1">
        <w:t xml:space="preserve">the </w:t>
      </w:r>
      <w:r w:rsidR="00AD45F8">
        <w:t xml:space="preserve">ongoing development of </w:t>
      </w:r>
      <w:r w:rsidR="007108E1">
        <w:t>a competitive</w:t>
      </w:r>
      <w:r w:rsidR="00AD45F8">
        <w:t xml:space="preserve"> economy</w:t>
      </w:r>
      <w:r w:rsidR="00BE76C7">
        <w:t xml:space="preserve">, a fair and equitable </w:t>
      </w:r>
      <w:r w:rsidR="00AD45F8">
        <w:t>society</w:t>
      </w:r>
      <w:r w:rsidR="004B5735">
        <w:t xml:space="preserve"> </w:t>
      </w:r>
      <w:r w:rsidR="00155E1B">
        <w:t xml:space="preserve">without discrimination of the means of families. These need to be done concurrently with full </w:t>
      </w:r>
      <w:r w:rsidR="00385F16">
        <w:t xml:space="preserve">respect for the </w:t>
      </w:r>
      <w:r w:rsidR="00AD45F8">
        <w:t>environment</w:t>
      </w:r>
      <w:r w:rsidR="00E62BF1">
        <w:t xml:space="preserve"> as the foundation </w:t>
      </w:r>
      <w:r w:rsidR="004B5735">
        <w:t>of</w:t>
      </w:r>
      <w:r w:rsidR="00E62BF1">
        <w:t xml:space="preserve"> life</w:t>
      </w:r>
      <w:r w:rsidR="00AD45F8">
        <w:t>.</w:t>
      </w:r>
    </w:p>
    <w:p w:rsidR="00AD45F8" w:rsidRDefault="00AD45F8" w:rsidP="00C164F6">
      <w:pPr>
        <w:pStyle w:val="DWBullet"/>
        <w:numPr>
          <w:ilvl w:val="0"/>
          <w:numId w:val="41"/>
        </w:numPr>
      </w:pPr>
      <w:r>
        <w:t xml:space="preserve">Education must be restored to being recognised as a </w:t>
      </w:r>
      <w:r w:rsidR="00B30346">
        <w:t xml:space="preserve">strategic </w:t>
      </w:r>
      <w:r>
        <w:t>public investm</w:t>
      </w:r>
      <w:r w:rsidR="006D67FE">
        <w:t>ent – it is not an industry. C</w:t>
      </w:r>
      <w:r>
        <w:t xml:space="preserve">ost should not be a barrier </w:t>
      </w:r>
      <w:r w:rsidR="00FE2EE3">
        <w:t xml:space="preserve">of entry </w:t>
      </w:r>
      <w:r>
        <w:t>to any Australian who has aspirations to advance themselves</w:t>
      </w:r>
      <w:r w:rsidR="00B30346">
        <w:t xml:space="preserve"> throughout their life</w:t>
      </w:r>
      <w:r w:rsidR="00671AC6">
        <w:t xml:space="preserve">. </w:t>
      </w:r>
      <w:r w:rsidR="00FE2EE3">
        <w:t>No student who is yet to earn a taxable income</w:t>
      </w:r>
      <w:r w:rsidR="00304C0A">
        <w:t xml:space="preserve"> </w:t>
      </w:r>
      <w:r w:rsidR="00671AC6">
        <w:t>should be burdened with debt from gaining an education</w:t>
      </w:r>
      <w:r w:rsidR="00E432FB">
        <w:t xml:space="preserve"> that benefits </w:t>
      </w:r>
      <w:r w:rsidR="003E6233">
        <w:t xml:space="preserve">society, </w:t>
      </w:r>
      <w:r w:rsidR="00E432FB">
        <w:t xml:space="preserve">economy and </w:t>
      </w:r>
      <w:r w:rsidR="003E6233">
        <w:t>environment.</w:t>
      </w:r>
    </w:p>
    <w:p w:rsidR="00AD45F8" w:rsidRDefault="00AD45F8" w:rsidP="00162375">
      <w:pPr>
        <w:pStyle w:val="DWBullet"/>
        <w:numPr>
          <w:ilvl w:val="0"/>
          <w:numId w:val="41"/>
        </w:numPr>
      </w:pPr>
      <w:r>
        <w:t>Health is a public investment and again it is imperative for both a functioning economy and society for any person who has the ill-fortune to require medical treatment</w:t>
      </w:r>
      <w:r w:rsidR="001E6435">
        <w:t xml:space="preserve">, </w:t>
      </w:r>
      <w:r w:rsidR="00F70578">
        <w:t xml:space="preserve">to </w:t>
      </w:r>
      <w:r>
        <w:t>be restored to their inherent capability as quickly as possible</w:t>
      </w:r>
      <w:r w:rsidR="00CB12B8">
        <w:t>. T</w:t>
      </w:r>
      <w:r>
        <w:t>his is a major factor to maintain productive capacity</w:t>
      </w:r>
      <w:r w:rsidR="00937126">
        <w:t xml:space="preserve"> and is</w:t>
      </w:r>
      <w:r>
        <w:t xml:space="preserve"> particularly </w:t>
      </w:r>
      <w:r w:rsidR="00937126">
        <w:t xml:space="preserve">important </w:t>
      </w:r>
      <w:r>
        <w:t>for a</w:t>
      </w:r>
      <w:r w:rsidR="001E6435">
        <w:t xml:space="preserve"> nation with an</w:t>
      </w:r>
      <w:r>
        <w:t xml:space="preserve"> ageing population.</w:t>
      </w:r>
      <w:r w:rsidR="00F70578">
        <w:t xml:space="preserve"> </w:t>
      </w:r>
      <w:r w:rsidR="000575AD">
        <w:t>P</w:t>
      </w:r>
      <w:r w:rsidR="00F70578">
        <w:t xml:space="preserve">ublic patients are being routinely discriminated against </w:t>
      </w:r>
      <w:r w:rsidR="005C357F">
        <w:t xml:space="preserve">vs. private patients </w:t>
      </w:r>
      <w:r w:rsidR="00325FA9">
        <w:t>and are placed on long public waiting lists</w:t>
      </w:r>
      <w:r w:rsidR="000575AD">
        <w:t xml:space="preserve"> that are in the years</w:t>
      </w:r>
      <w:r w:rsidR="00325FA9">
        <w:t>. This is plai</w:t>
      </w:r>
      <w:r w:rsidR="00B16698">
        <w:t>nly dumb</w:t>
      </w:r>
      <w:r w:rsidR="00BF4509">
        <w:t xml:space="preserve"> public policy</w:t>
      </w:r>
      <w:r w:rsidR="009A6AF2">
        <w:t xml:space="preserve"> and warrants a Royal Commission</w:t>
      </w:r>
      <w:r w:rsidR="00B16698">
        <w:t xml:space="preserve">. The public system should not have to rely </w:t>
      </w:r>
      <w:r w:rsidR="000346E9">
        <w:t>upon</w:t>
      </w:r>
      <w:r w:rsidR="00B16698">
        <w:t xml:space="preserve"> private surgeons for servicing public patients </w:t>
      </w:r>
      <w:r w:rsidR="00BF0560">
        <w:t>but its</w:t>
      </w:r>
      <w:r w:rsidR="00B16698">
        <w:t xml:space="preserve"> own resources.</w:t>
      </w:r>
      <w:r w:rsidR="00AB18D4">
        <w:t xml:space="preserve"> High quality, on-time service at low cost must become the goal.</w:t>
      </w:r>
      <w:r w:rsidR="0086357C">
        <w:t xml:space="preserve"> It is also time </w:t>
      </w:r>
      <w:r w:rsidR="000346E9">
        <w:t xml:space="preserve">for </w:t>
      </w:r>
      <w:r w:rsidR="00CD11E7">
        <w:t>Human</w:t>
      </w:r>
      <w:r w:rsidR="0086357C">
        <w:t xml:space="preserve"> Bill of Rights </w:t>
      </w:r>
      <w:r w:rsidR="000346E9">
        <w:t>to be</w:t>
      </w:r>
      <w:r w:rsidR="0086357C">
        <w:t xml:space="preserve"> established</w:t>
      </w:r>
      <w:r w:rsidR="00CD11E7">
        <w:t>.</w:t>
      </w:r>
    </w:p>
    <w:p w:rsidR="00AD45F8" w:rsidRDefault="00AD45F8" w:rsidP="00580720">
      <w:pPr>
        <w:pStyle w:val="DWBullet"/>
        <w:numPr>
          <w:ilvl w:val="0"/>
          <w:numId w:val="41"/>
        </w:numPr>
      </w:pPr>
      <w:r>
        <w:t xml:space="preserve">It is time the pay and retirement incomes of politicians and public sector executives </w:t>
      </w:r>
      <w:r w:rsidR="00BB418D">
        <w:t>be based upon</w:t>
      </w:r>
      <w:r>
        <w:t xml:space="preserve"> the pay and retirement incomes of </w:t>
      </w:r>
      <w:r w:rsidR="00BB418D">
        <w:t xml:space="preserve">ordinary </w:t>
      </w:r>
      <w:r>
        <w:t xml:space="preserve">Australians and </w:t>
      </w:r>
      <w:r w:rsidR="00BF0560">
        <w:t>be</w:t>
      </w:r>
      <w:r>
        <w:t xml:space="preserve"> affordable.</w:t>
      </w:r>
      <w:r w:rsidR="00416319">
        <w:t xml:space="preserve"> There is </w:t>
      </w:r>
      <w:r w:rsidR="001B2BD4">
        <w:t xml:space="preserve">only </w:t>
      </w:r>
      <w:r w:rsidR="00416319">
        <w:t>one economic pie to draw from and it is the total cost to the economy that matters and not just what tax payers incur.</w:t>
      </w:r>
      <w:r>
        <w:t xml:space="preserve"> My recommendation is </w:t>
      </w:r>
      <w:r w:rsidR="00BB418D">
        <w:t xml:space="preserve">for </w:t>
      </w:r>
      <w:r>
        <w:t xml:space="preserve">the maximum income of politicians and public </w:t>
      </w:r>
      <w:r w:rsidR="00580720">
        <w:t xml:space="preserve">sector </w:t>
      </w:r>
      <w:r>
        <w:t xml:space="preserve">executives </w:t>
      </w:r>
      <w:r w:rsidR="00A5233F">
        <w:t>to</w:t>
      </w:r>
      <w:r>
        <w:t xml:space="preserve"> be </w:t>
      </w:r>
      <w:r w:rsidR="00A5233F">
        <w:t xml:space="preserve">no </w:t>
      </w:r>
      <w:r>
        <w:t xml:space="preserve">greater than </w:t>
      </w:r>
      <w:r w:rsidR="003C0440">
        <w:t>three</w:t>
      </w:r>
      <w:r>
        <w:t xml:space="preserve"> times the median </w:t>
      </w:r>
      <w:r w:rsidR="003C0440">
        <w:t xml:space="preserve">disposable </w:t>
      </w:r>
      <w:r w:rsidR="00F324F7">
        <w:t>household</w:t>
      </w:r>
      <w:r>
        <w:t xml:space="preserve"> income</w:t>
      </w:r>
      <w:r w:rsidR="00A5233F">
        <w:t>.</w:t>
      </w:r>
      <w:r w:rsidR="00CD11E7">
        <w:t xml:space="preserve"> The Prime Minister receives the top income and everybody else is below that income.</w:t>
      </w:r>
      <w:r w:rsidR="00A5233F">
        <w:t xml:space="preserve"> When a person retires we all become equals. </w:t>
      </w:r>
      <w:r w:rsidR="00EE3221">
        <w:t xml:space="preserve">No retirement income should be based </w:t>
      </w:r>
      <w:r w:rsidR="00B93023">
        <w:t>on</w:t>
      </w:r>
      <w:r w:rsidR="00EE3221">
        <w:t xml:space="preserve"> what was earnt prior to retirement. </w:t>
      </w:r>
      <w:r w:rsidR="0078309B">
        <w:t>The m</w:t>
      </w:r>
      <w:r w:rsidR="003E6B68">
        <w:t>aximum p</w:t>
      </w:r>
      <w:r w:rsidR="00EE3221">
        <w:t xml:space="preserve">ublic </w:t>
      </w:r>
      <w:r w:rsidR="004721CD">
        <w:t xml:space="preserve">sector </w:t>
      </w:r>
      <w:r>
        <w:t>retirement income</w:t>
      </w:r>
      <w:r w:rsidR="0078309B">
        <w:t xml:space="preserve"> for </w:t>
      </w:r>
      <w:r w:rsidR="00D91A09">
        <w:t>public servant executives</w:t>
      </w:r>
      <w:r>
        <w:t xml:space="preserve"> </w:t>
      </w:r>
      <w:r w:rsidR="003E6B68">
        <w:t xml:space="preserve">should be </w:t>
      </w:r>
      <w:r>
        <w:t xml:space="preserve">no more than three times the full single person </w:t>
      </w:r>
      <w:r w:rsidR="00494A8A">
        <w:t xml:space="preserve">public </w:t>
      </w:r>
      <w:r>
        <w:t>pe</w:t>
      </w:r>
      <w:r w:rsidR="00444C77">
        <w:t xml:space="preserve">nsion of the people they </w:t>
      </w:r>
      <w:r w:rsidR="003E6B68">
        <w:t xml:space="preserve">once </w:t>
      </w:r>
      <w:r w:rsidR="00444C77">
        <w:t>serve</w:t>
      </w:r>
      <w:r w:rsidR="003E6B68">
        <w:t>d</w:t>
      </w:r>
      <w:r w:rsidR="00444C77">
        <w:t>.</w:t>
      </w:r>
    </w:p>
    <w:p w:rsidR="00AD45F8" w:rsidRDefault="00E742D4" w:rsidP="00E54A69">
      <w:pPr>
        <w:pStyle w:val="DWBullet"/>
        <w:numPr>
          <w:ilvl w:val="0"/>
          <w:numId w:val="41"/>
        </w:numPr>
      </w:pPr>
      <w:r>
        <w:t>Over a number of decades,</w:t>
      </w:r>
      <w:r w:rsidR="0067075F">
        <w:t xml:space="preserve"> </w:t>
      </w:r>
      <w:r w:rsidR="00DA6ED3">
        <w:t>significant reduction</w:t>
      </w:r>
      <w:r>
        <w:t>s</w:t>
      </w:r>
      <w:r w:rsidR="00DA6ED3">
        <w:t xml:space="preserve"> in </w:t>
      </w:r>
      <w:r w:rsidR="0067075F">
        <w:t xml:space="preserve">responsibility and authority of </w:t>
      </w:r>
      <w:r w:rsidR="00E54A69" w:rsidRPr="00E54A69">
        <w:t xml:space="preserve">Government </w:t>
      </w:r>
      <w:r w:rsidR="0067075F">
        <w:t>executives</w:t>
      </w:r>
      <w:r w:rsidR="00DA6ED3">
        <w:t xml:space="preserve"> (politicians and bureaucrats) </w:t>
      </w:r>
      <w:r w:rsidR="00E54A69">
        <w:t>have</w:t>
      </w:r>
      <w:r w:rsidR="0067075F">
        <w:t xml:space="preserve"> occurred </w:t>
      </w:r>
      <w:r w:rsidR="00DA6ED3">
        <w:t>at all levels</w:t>
      </w:r>
      <w:r w:rsidR="00E54A69">
        <w:t xml:space="preserve"> of government. These reductions </w:t>
      </w:r>
      <w:r w:rsidR="0067075F">
        <w:t>result</w:t>
      </w:r>
      <w:r w:rsidR="00A22BDC">
        <w:t>ed</w:t>
      </w:r>
      <w:r w:rsidR="0067075F">
        <w:t xml:space="preserve"> </w:t>
      </w:r>
      <w:r w:rsidR="00A22BDC">
        <w:t>from</w:t>
      </w:r>
      <w:r w:rsidR="0067075F">
        <w:t xml:space="preserve"> privatisation</w:t>
      </w:r>
      <w:r w:rsidR="00DA6ED3">
        <w:t>, outsourcing</w:t>
      </w:r>
      <w:r w:rsidR="00A22BDC">
        <w:t xml:space="preserve"> to the private sector, </w:t>
      </w:r>
      <w:r w:rsidR="0067075F">
        <w:t>the creation of independent regulatory authorities and boards</w:t>
      </w:r>
      <w:r w:rsidR="004E5FD4">
        <w:t xml:space="preserve"> to name </w:t>
      </w:r>
      <w:r w:rsidR="00A22BDC">
        <w:t>a few</w:t>
      </w:r>
      <w:r w:rsidR="004E5FD4">
        <w:t>. These reductions in responsibility and authority</w:t>
      </w:r>
      <w:r w:rsidR="00DA6ED3">
        <w:t xml:space="preserve"> must be </w:t>
      </w:r>
      <w:r w:rsidR="00A22BDC">
        <w:t xml:space="preserve">accounted for and </w:t>
      </w:r>
      <w:r w:rsidR="00DA6ED3">
        <w:t>reflected in their pay and conditions.</w:t>
      </w:r>
      <w:r w:rsidR="0035779A">
        <w:t xml:space="preserve"> A </w:t>
      </w:r>
      <w:r w:rsidR="003E39A7">
        <w:t>“</w:t>
      </w:r>
      <w:r w:rsidR="0035779A">
        <w:t xml:space="preserve">Commission </w:t>
      </w:r>
      <w:r w:rsidR="00E9280C">
        <w:t>for Diminished Public Responsibility</w:t>
      </w:r>
      <w:r w:rsidR="003E39A7">
        <w:t>”</w:t>
      </w:r>
      <w:r w:rsidR="00E9280C">
        <w:t xml:space="preserve"> </w:t>
      </w:r>
      <w:r w:rsidR="003E39A7">
        <w:t xml:space="preserve">must </w:t>
      </w:r>
      <w:r w:rsidR="0035779A">
        <w:t>be established to address this issue</w:t>
      </w:r>
      <w:r w:rsidR="00D91A09">
        <w:t xml:space="preserve"> and adjust salaries accordingly</w:t>
      </w:r>
      <w:r w:rsidR="0035779A">
        <w:t>.</w:t>
      </w:r>
    </w:p>
    <w:p w:rsidR="00DC45F4" w:rsidRDefault="00DC45F4" w:rsidP="00E54A69">
      <w:pPr>
        <w:pStyle w:val="DWBullet"/>
        <w:numPr>
          <w:ilvl w:val="0"/>
          <w:numId w:val="41"/>
        </w:numPr>
      </w:pPr>
      <w:r>
        <w:t xml:space="preserve">The way property prices </w:t>
      </w:r>
      <w:r w:rsidR="007D1DE0">
        <w:t xml:space="preserve">are determined </w:t>
      </w:r>
      <w:r w:rsidR="006B5A30">
        <w:t xml:space="preserve">for taxation purposes </w:t>
      </w:r>
      <w:r w:rsidR="007D1DE0">
        <w:t xml:space="preserve">by </w:t>
      </w:r>
      <w:r>
        <w:t>state governments is unfair</w:t>
      </w:r>
      <w:r w:rsidR="007D1DE0">
        <w:t xml:space="preserve"> and unfairly burdens long term property owners</w:t>
      </w:r>
      <w:r>
        <w:t xml:space="preserve">. It is wrong to assume that recent property </w:t>
      </w:r>
      <w:r w:rsidR="007D1DE0">
        <w:t xml:space="preserve">sale </w:t>
      </w:r>
      <w:r>
        <w:t xml:space="preserve">prices reflect the </w:t>
      </w:r>
      <w:r w:rsidR="00BD0068">
        <w:t>current value</w:t>
      </w:r>
      <w:r>
        <w:t xml:space="preserve"> of all real estate because only a very small portion of real estate is on the market at any one time. </w:t>
      </w:r>
      <w:r w:rsidR="00422E49">
        <w:t xml:space="preserve">If all property was on the market, current prices would collapse. </w:t>
      </w:r>
      <w:r>
        <w:t>A fairer system would be to base any Federal, State or Local Government</w:t>
      </w:r>
      <w:r w:rsidR="000D68DE">
        <w:t xml:space="preserve"> taxes on a price determined </w:t>
      </w:r>
      <w:r w:rsidR="00646A09">
        <w:t>using the</w:t>
      </w:r>
      <w:r w:rsidR="000D68DE">
        <w:t xml:space="preserve"> Reserve Bank of Australia Inflation calculator</w:t>
      </w:r>
      <w:r w:rsidR="00ED6BC5">
        <w:t xml:space="preserve"> and the most recent sale price of the property</w:t>
      </w:r>
      <w:r w:rsidR="00715B96">
        <w:t xml:space="preserve"> </w:t>
      </w:r>
      <w:r w:rsidR="00715B96">
        <w:fldChar w:fldCharType="begin"/>
      </w:r>
      <w:r w:rsidR="00715B96">
        <w:instrText xml:space="preserve"> REF _Ref472542853 \r \h </w:instrText>
      </w:r>
      <w:r w:rsidR="00715B96">
        <w:fldChar w:fldCharType="separate"/>
      </w:r>
      <w:r w:rsidR="00B6524A">
        <w:t>[19]</w:t>
      </w:r>
      <w:r w:rsidR="00715B96">
        <w:fldChar w:fldCharType="end"/>
      </w:r>
      <w:r w:rsidR="000D68DE">
        <w:t>.</w:t>
      </w:r>
      <w:r w:rsidR="00ED6BC5">
        <w:t xml:space="preserve"> Not only would those who are buying and selling property pay higher taxes but governments would be better shielded from any collapse in the property market.</w:t>
      </w:r>
    </w:p>
    <w:p w:rsidR="00592B4D" w:rsidRDefault="00DB32E2" w:rsidP="00592B4D">
      <w:pPr>
        <w:pStyle w:val="DWHeading2"/>
        <w:numPr>
          <w:ilvl w:val="1"/>
          <w:numId w:val="34"/>
        </w:numPr>
      </w:pPr>
      <w:bookmarkStart w:id="4" w:name="_Toc472599228"/>
      <w:r>
        <w:t>SA Government Recent Initiatives – Sign of Desperation?</w:t>
      </w:r>
      <w:bookmarkEnd w:id="4"/>
    </w:p>
    <w:p w:rsidR="00DB32E2" w:rsidRDefault="002B6254" w:rsidP="00DB32E2">
      <w:pPr>
        <w:pStyle w:val="DWParaText"/>
      </w:pPr>
      <w:r>
        <w:t>T</w:t>
      </w:r>
      <w:r w:rsidR="00DB32E2">
        <w:t xml:space="preserve">he impetus for the </w:t>
      </w:r>
      <w:r w:rsidR="0035779A">
        <w:t>2015</w:t>
      </w:r>
      <w:r w:rsidR="00DB32E2">
        <w:t xml:space="preserve"> State Tax Review by the </w:t>
      </w:r>
      <w:r w:rsidR="00A379A0">
        <w:t>SA Wetherill Labour</w:t>
      </w:r>
      <w:r w:rsidR="00DB32E2">
        <w:t xml:space="preserve"> Government </w:t>
      </w:r>
      <w:r w:rsidR="003573FB">
        <w:t>was</w:t>
      </w:r>
      <w:r w:rsidR="00625C9F">
        <w:t xml:space="preserve"> the result of</w:t>
      </w:r>
      <w:r w:rsidR="00A379A0">
        <w:t xml:space="preserve"> </w:t>
      </w:r>
      <w:r w:rsidR="00DB32E2">
        <w:t xml:space="preserve">the Abbott </w:t>
      </w:r>
      <w:r w:rsidR="00A379A0">
        <w:t xml:space="preserve">Liberal </w:t>
      </w:r>
      <w:r w:rsidR="00DB32E2">
        <w:t xml:space="preserve">Government’s intention to </w:t>
      </w:r>
      <w:r w:rsidR="00A379A0">
        <w:t>significantly reduce</w:t>
      </w:r>
      <w:r w:rsidR="00DB32E2">
        <w:t xml:space="preserve"> public hospital and </w:t>
      </w:r>
      <w:r w:rsidR="00A379A0">
        <w:t xml:space="preserve">public </w:t>
      </w:r>
      <w:r w:rsidR="00DB32E2">
        <w:t xml:space="preserve">education funding. </w:t>
      </w:r>
      <w:r w:rsidR="00625C9F">
        <w:t xml:space="preserve">Quite predictable it </w:t>
      </w:r>
      <w:r w:rsidR="007D5EDC">
        <w:t xml:space="preserve">has </w:t>
      </w:r>
      <w:r w:rsidR="003E39A7">
        <w:t xml:space="preserve">deliberately </w:t>
      </w:r>
      <w:r w:rsidR="003C6E54">
        <w:t>force</w:t>
      </w:r>
      <w:r w:rsidR="002600F9">
        <w:t>d</w:t>
      </w:r>
      <w:r w:rsidR="003C6E54">
        <w:t xml:space="preserve"> </w:t>
      </w:r>
      <w:r w:rsidR="002600F9">
        <w:t xml:space="preserve">willing </w:t>
      </w:r>
      <w:r w:rsidR="003C6E54">
        <w:t>state</w:t>
      </w:r>
      <w:r w:rsidR="00DB32E2">
        <w:t xml:space="preserve"> governments into knee jerk reactions such as:</w:t>
      </w:r>
    </w:p>
    <w:p w:rsidR="00DB32E2" w:rsidRDefault="00DB32E2" w:rsidP="003C6E54">
      <w:pPr>
        <w:pStyle w:val="DWBullet"/>
        <w:numPr>
          <w:ilvl w:val="0"/>
          <w:numId w:val="41"/>
        </w:numPr>
      </w:pPr>
      <w:r>
        <w:t xml:space="preserve">Selling public assets and leasing them back from the private sector – this will lead to short gain and long term pain from the constant drain of leasing costs on cash flow. </w:t>
      </w:r>
    </w:p>
    <w:p w:rsidR="00DB32E2" w:rsidRDefault="00DB32E2" w:rsidP="003C6E54">
      <w:pPr>
        <w:pStyle w:val="DWBullet"/>
        <w:numPr>
          <w:ilvl w:val="0"/>
          <w:numId w:val="41"/>
        </w:numPr>
      </w:pPr>
      <w:r>
        <w:t>Private sector replacement of public infrastructure such as roads, power, water, health and education. Every South Australian knows that the privatisation of ETSA by the Olsen Liberal Government has been an economic disaster for the state.</w:t>
      </w:r>
      <w:r w:rsidR="002600F9">
        <w:t xml:space="preserve"> To continue with the privatisation agenda</w:t>
      </w:r>
      <w:r w:rsidR="0029082A">
        <w:t xml:space="preserve"> for economic </w:t>
      </w:r>
      <w:r w:rsidR="00917296">
        <w:t>short-term economic gain</w:t>
      </w:r>
      <w:r w:rsidR="002600F9">
        <w:t xml:space="preserve"> is a strategic mistake</w:t>
      </w:r>
      <w:r w:rsidR="00567E8B">
        <w:t>.</w:t>
      </w:r>
      <w:r>
        <w:t xml:space="preserve"> </w:t>
      </w:r>
    </w:p>
    <w:p w:rsidR="00DB32E2" w:rsidRDefault="00DB32E2" w:rsidP="003C6E54">
      <w:pPr>
        <w:pStyle w:val="DWBullet"/>
        <w:numPr>
          <w:ilvl w:val="0"/>
          <w:numId w:val="41"/>
        </w:numPr>
      </w:pPr>
      <w:r>
        <w:t xml:space="preserve">Agree to </w:t>
      </w:r>
      <w:r w:rsidR="000432D6">
        <w:t>raise</w:t>
      </w:r>
      <w:r>
        <w:t xml:space="preserve"> the GST </w:t>
      </w:r>
      <w:r w:rsidR="00A8552C">
        <w:t xml:space="preserve">to 15% </w:t>
      </w:r>
      <w:r w:rsidR="00493A76">
        <w:t xml:space="preserve">and increasing its reach </w:t>
      </w:r>
      <w:r w:rsidR="00567E8B">
        <w:t>is</w:t>
      </w:r>
      <w:r>
        <w:t xml:space="preserve"> foolhardy</w:t>
      </w:r>
      <w:r w:rsidR="000432D6">
        <w:t xml:space="preserve"> in the extreme</w:t>
      </w:r>
      <w:r>
        <w:t>.</w:t>
      </w:r>
      <w:r w:rsidR="0029082A">
        <w:t xml:space="preserve"> As demonstrated by Appendix </w:t>
      </w:r>
      <w:r w:rsidR="0029082A">
        <w:fldChar w:fldCharType="begin"/>
      </w:r>
      <w:r w:rsidR="0029082A">
        <w:instrText xml:space="preserve"> REF _Ref442423794 \r \h </w:instrText>
      </w:r>
      <w:r w:rsidR="0029082A">
        <w:fldChar w:fldCharType="separate"/>
      </w:r>
      <w:r w:rsidR="00B6524A">
        <w:t>E</w:t>
      </w:r>
      <w:r w:rsidR="0029082A">
        <w:fldChar w:fldCharType="end"/>
      </w:r>
      <w:r w:rsidR="00B6143D">
        <w:t xml:space="preserve"> </w:t>
      </w:r>
      <w:r w:rsidR="0029082A">
        <w:fldChar w:fldCharType="begin"/>
      </w:r>
      <w:r w:rsidR="0029082A">
        <w:instrText xml:space="preserve"> REF _Ref442423794 \h </w:instrText>
      </w:r>
      <w:r w:rsidR="0029082A">
        <w:fldChar w:fldCharType="separate"/>
      </w:r>
      <w:r w:rsidR="00B6524A">
        <w:t xml:space="preserve">SA </w:t>
      </w:r>
      <w:r w:rsidR="00B6524A" w:rsidRPr="00D152F1">
        <w:t>Electricity Cost Comparison Public vs. Private</w:t>
      </w:r>
      <w:r w:rsidR="00B6524A">
        <w:t xml:space="preserve"> 1985-2014</w:t>
      </w:r>
      <w:r w:rsidR="0029082A">
        <w:fldChar w:fldCharType="end"/>
      </w:r>
      <w:r w:rsidR="0081118A">
        <w:t>, SA power is significantly over-priced</w:t>
      </w:r>
      <w:r w:rsidR="00CE07D9">
        <w:t xml:space="preserve"> and GST has </w:t>
      </w:r>
      <w:r w:rsidR="000432D6">
        <w:t>been a willing and greedy partner to South Australia’s</w:t>
      </w:r>
      <w:r w:rsidR="00CE07D9">
        <w:t xml:space="preserve"> loss of </w:t>
      </w:r>
      <w:r w:rsidR="00B523E8">
        <w:t xml:space="preserve">global </w:t>
      </w:r>
      <w:r w:rsidR="00CE07D9">
        <w:t>competitiveness.</w:t>
      </w:r>
      <w:r w:rsidR="00AA5D13">
        <w:t xml:space="preserve"> When GST is applied to goods a</w:t>
      </w:r>
      <w:r w:rsidR="009E7847">
        <w:t>nd services that cost more than their competitors the GST turns into a tariff and enhance</w:t>
      </w:r>
      <w:r w:rsidR="00AC306B">
        <w:t>s the cost competitiveness of all goods and services that are cheaper</w:t>
      </w:r>
      <w:r w:rsidR="009E7847">
        <w:t>.</w:t>
      </w:r>
    </w:p>
    <w:p w:rsidR="00B7493E" w:rsidRDefault="00DB32E2" w:rsidP="003C6E54">
      <w:pPr>
        <w:pStyle w:val="DWBullet"/>
        <w:numPr>
          <w:ilvl w:val="0"/>
          <w:numId w:val="41"/>
        </w:numPr>
      </w:pPr>
      <w:r>
        <w:t>Holding what I call misadventure initiatives such as the Royal Commission into “Our role in Nuclear Energy”</w:t>
      </w:r>
      <w:r w:rsidR="00B7493E">
        <w:t>.</w:t>
      </w:r>
    </w:p>
    <w:p w:rsidR="00DB32E2" w:rsidRDefault="00DB32E2" w:rsidP="00DB32E2">
      <w:pPr>
        <w:pStyle w:val="DWParaText"/>
      </w:pPr>
      <w:r>
        <w:t>I am not aware of any intentions by the Commonwealth</w:t>
      </w:r>
      <w:r w:rsidR="00D00D4C">
        <w:t xml:space="preserve"> or State</w:t>
      </w:r>
      <w:r>
        <w:t xml:space="preserve"> to reduce private health and </w:t>
      </w:r>
      <w:r w:rsidR="00AC3E2F">
        <w:t xml:space="preserve">private </w:t>
      </w:r>
      <w:r>
        <w:t xml:space="preserve">education </w:t>
      </w:r>
      <w:r w:rsidR="00D00D4C">
        <w:t>spending</w:t>
      </w:r>
      <w:r>
        <w:t xml:space="preserve"> </w:t>
      </w:r>
      <w:r w:rsidR="003E3221">
        <w:t>when</w:t>
      </w:r>
      <w:r>
        <w:t xml:space="preserve"> in reality </w:t>
      </w:r>
      <w:r w:rsidR="003E3221">
        <w:t xml:space="preserve">these </w:t>
      </w:r>
      <w:r>
        <w:t>should be the first areas to be reduced</w:t>
      </w:r>
      <w:r w:rsidR="0050598D">
        <w:t xml:space="preserve"> if there is a revenue crisis</w:t>
      </w:r>
      <w:r>
        <w:t>.</w:t>
      </w:r>
      <w:r w:rsidR="00931AE9">
        <w:t xml:space="preserve"> </w:t>
      </w:r>
      <w:r w:rsidR="000A6E38">
        <w:t xml:space="preserve">As mentioned before, what </w:t>
      </w:r>
      <w:r w:rsidR="0050598D">
        <w:t>matters</w:t>
      </w:r>
      <w:r w:rsidR="008D72AE">
        <w:t xml:space="preserve"> is </w:t>
      </w:r>
      <w:r w:rsidR="00D00D4C">
        <w:t xml:space="preserve">total </w:t>
      </w:r>
      <w:r w:rsidR="008D72AE">
        <w:t>cost to the economy</w:t>
      </w:r>
      <w:r w:rsidR="000A6E38">
        <w:t xml:space="preserve"> and </w:t>
      </w:r>
      <w:r w:rsidR="004D42D9">
        <w:t xml:space="preserve">not </w:t>
      </w:r>
      <w:r w:rsidR="000A6E38">
        <w:t>just the cost to taxpayers</w:t>
      </w:r>
      <w:r w:rsidR="008D72AE">
        <w:t xml:space="preserve">. </w:t>
      </w:r>
      <w:r w:rsidR="00DD086C">
        <w:t>P</w:t>
      </w:r>
      <w:r w:rsidR="00931AE9">
        <w:t xml:space="preserve">ublic </w:t>
      </w:r>
      <w:r w:rsidR="00C4652D">
        <w:t>subsidies</w:t>
      </w:r>
      <w:r w:rsidR="00E5508A">
        <w:t xml:space="preserve"> should immediately be withdrawn </w:t>
      </w:r>
      <w:r w:rsidR="00931AE9">
        <w:t>from</w:t>
      </w:r>
      <w:r w:rsidR="00E5508A">
        <w:t xml:space="preserve"> any priv</w:t>
      </w:r>
      <w:r w:rsidR="00931AE9">
        <w:t>ate entity who over-charg</w:t>
      </w:r>
      <w:r w:rsidR="00F04BB5">
        <w:t>e</w:t>
      </w:r>
      <w:r w:rsidR="00931AE9">
        <w:t xml:space="preserve"> for their services</w:t>
      </w:r>
      <w:r w:rsidR="00DD086C">
        <w:t xml:space="preserve"> to the community</w:t>
      </w:r>
      <w:r w:rsidR="00931AE9">
        <w:t xml:space="preserve"> in </w:t>
      </w:r>
      <w:r w:rsidR="00C4652D">
        <w:t xml:space="preserve">both </w:t>
      </w:r>
      <w:r w:rsidR="00931AE9">
        <w:t xml:space="preserve">the private health and </w:t>
      </w:r>
      <w:r w:rsidR="00AC3E2F">
        <w:t xml:space="preserve">private </w:t>
      </w:r>
      <w:r w:rsidR="00931AE9">
        <w:t>education sectors.</w:t>
      </w:r>
    </w:p>
    <w:p w:rsidR="00A3733B" w:rsidRDefault="00A3733B" w:rsidP="00DB32E2">
      <w:pPr>
        <w:pStyle w:val="DWParaText"/>
      </w:pPr>
      <w:r>
        <w:t xml:space="preserve">Public education and public health costs should not be dependent upon a GST. If </w:t>
      </w:r>
      <w:r w:rsidR="00AC3E2F">
        <w:t>I correctly</w:t>
      </w:r>
      <w:r w:rsidR="00E85C35">
        <w:t xml:space="preserve"> recall</w:t>
      </w:r>
      <w:r>
        <w:t xml:space="preserve">, </w:t>
      </w:r>
      <w:r w:rsidR="00D2047D">
        <w:t>every</w:t>
      </w:r>
      <w:r w:rsidR="000E6F12">
        <w:t xml:space="preserve"> time</w:t>
      </w:r>
      <w:r>
        <w:t xml:space="preserve"> a major public assets was sold it was always on the premise that it was </w:t>
      </w:r>
      <w:r w:rsidR="000E6F12">
        <w:t xml:space="preserve">to help fund public infrastructure such as education, health and roads. The Howard Liberal government established the Future Fund to pay for public </w:t>
      </w:r>
      <w:r w:rsidR="00890EA0">
        <w:t xml:space="preserve">sector </w:t>
      </w:r>
      <w:r w:rsidR="000E6F12">
        <w:t>retirement incomes</w:t>
      </w:r>
      <w:r w:rsidR="004A1BCE">
        <w:t xml:space="preserve"> using substantial public assets</w:t>
      </w:r>
      <w:r w:rsidR="00585D5C">
        <w:t xml:space="preserve"> that it </w:t>
      </w:r>
      <w:r w:rsidR="00791E21">
        <w:t xml:space="preserve">simply </w:t>
      </w:r>
      <w:r w:rsidR="00585D5C">
        <w:t>helped itself to</w:t>
      </w:r>
      <w:r w:rsidR="004A1BCE">
        <w:t>.</w:t>
      </w:r>
      <w:r w:rsidR="001C581C">
        <w:t xml:space="preserve"> This was never agreed to by the Australian public by referendum</w:t>
      </w:r>
      <w:r w:rsidR="00DD086C">
        <w:t>. T</w:t>
      </w:r>
      <w:r w:rsidR="001C581C">
        <w:t xml:space="preserve">hese assets </w:t>
      </w:r>
      <w:r w:rsidR="00791E21">
        <w:t>must</w:t>
      </w:r>
      <w:r w:rsidR="001C581C">
        <w:t xml:space="preserve"> be returned and used for the public </w:t>
      </w:r>
      <w:r w:rsidR="009D0500">
        <w:t xml:space="preserve">common </w:t>
      </w:r>
      <w:r w:rsidR="001C581C">
        <w:t>good.</w:t>
      </w:r>
    </w:p>
    <w:p w:rsidR="000C75E7" w:rsidRDefault="00DB32E2" w:rsidP="000C75E7">
      <w:pPr>
        <w:pStyle w:val="DWParaText"/>
      </w:pPr>
      <w:r>
        <w:t>The Abbott</w:t>
      </w:r>
      <w:r w:rsidR="009D0500">
        <w:t xml:space="preserve"> and now T</w:t>
      </w:r>
      <w:r w:rsidR="00CF5C4D">
        <w:t>urnb</w:t>
      </w:r>
      <w:r w:rsidR="009D0500">
        <w:t>u</w:t>
      </w:r>
      <w:r w:rsidR="00CF5C4D">
        <w:t>ll</w:t>
      </w:r>
      <w:r>
        <w:t xml:space="preserve"> Government</w:t>
      </w:r>
      <w:r w:rsidR="001B05D7">
        <w:t xml:space="preserve"> </w:t>
      </w:r>
      <w:r w:rsidR="00A163BB">
        <w:t xml:space="preserve">continues to be </w:t>
      </w:r>
      <w:r>
        <w:t xml:space="preserve">a major disappointment for its lack of vision of growing Australian manufacturing to be globally competitive and a </w:t>
      </w:r>
      <w:r w:rsidR="00A163BB">
        <w:t xml:space="preserve">strategic </w:t>
      </w:r>
      <w:r w:rsidR="001879AD">
        <w:t xml:space="preserve">part of </w:t>
      </w:r>
      <w:r>
        <w:t xml:space="preserve">Australia’s economy. To make matters worse it has failed to find out the root causes of why the automotive </w:t>
      </w:r>
      <w:r w:rsidR="00F04BB5">
        <w:t>manufacturing</w:t>
      </w:r>
      <w:r>
        <w:t xml:space="preserve"> industr</w:t>
      </w:r>
      <w:r w:rsidR="00F04BB5">
        <w:t>y is</w:t>
      </w:r>
      <w:r>
        <w:t xml:space="preserve"> not competitive and work out what needs to be done to </w:t>
      </w:r>
      <w:r w:rsidR="001879AD">
        <w:t>achieve and sustain global competitiveness</w:t>
      </w:r>
      <w:r>
        <w:t>.</w:t>
      </w:r>
    </w:p>
    <w:p w:rsidR="00264B5B" w:rsidRDefault="008016AF" w:rsidP="008016AF">
      <w:pPr>
        <w:pStyle w:val="DWHeading2"/>
        <w:numPr>
          <w:ilvl w:val="2"/>
          <w:numId w:val="34"/>
        </w:numPr>
      </w:pPr>
      <w:bookmarkStart w:id="5" w:name="_Toc472599229"/>
      <w:r>
        <w:t xml:space="preserve">Proposed Nuclear </w:t>
      </w:r>
      <w:r w:rsidR="008D5036">
        <w:t xml:space="preserve">Waste </w:t>
      </w:r>
      <w:r>
        <w:t>Industry</w:t>
      </w:r>
      <w:bookmarkEnd w:id="5"/>
    </w:p>
    <w:p w:rsidR="000C75E7" w:rsidRDefault="00606D5E" w:rsidP="000C75E7">
      <w:pPr>
        <w:pStyle w:val="DWParaText"/>
      </w:pPr>
      <w:r w:rsidRPr="00606D5E">
        <w:t>The SA Government is planning to create an entirely new nuclear</w:t>
      </w:r>
      <w:r w:rsidR="001A0999">
        <w:t xml:space="preserve"> waste</w:t>
      </w:r>
      <w:r w:rsidRPr="00606D5E">
        <w:t xml:space="preserve"> industry without properly understanding and correcting the root causes of the economic and governance failures of the past. </w:t>
      </w:r>
      <w:r w:rsidR="001F35AA">
        <w:t>A</w:t>
      </w:r>
      <w:r>
        <w:t xml:space="preserve"> Nuclear Industry </w:t>
      </w:r>
      <w:r w:rsidR="001F35AA">
        <w:t xml:space="preserve">has </w:t>
      </w:r>
      <w:r w:rsidR="000C75E7">
        <w:t xml:space="preserve">inherent political, environmental and economic &amp; safety risks if any </w:t>
      </w:r>
      <w:r w:rsidR="001F35AA">
        <w:t>proposal</w:t>
      </w:r>
      <w:r w:rsidR="000C75E7">
        <w:t xml:space="preserve"> </w:t>
      </w:r>
      <w:r w:rsidR="001F35AA">
        <w:t>comes</w:t>
      </w:r>
      <w:r w:rsidR="000C75E7">
        <w:t xml:space="preserve"> to fruition</w:t>
      </w:r>
      <w:r w:rsidR="001F35AA">
        <w:t>. The</w:t>
      </w:r>
      <w:r w:rsidR="000C75E7">
        <w:t xml:space="preserve"> Government is failing to address substantive failures of the immediate past which are critical to </w:t>
      </w:r>
      <w:r w:rsidR="00C75A63">
        <w:t xml:space="preserve">fully understand if we are to </w:t>
      </w:r>
      <w:r w:rsidR="00B11280">
        <w:t xml:space="preserve">successfully </w:t>
      </w:r>
      <w:r w:rsidR="000C75E7">
        <w:t>moving forward. Two key areas are the economic failure of the privatisation of ETSA and the economic failure of the Automotive Industry.</w:t>
      </w:r>
    </w:p>
    <w:p w:rsidR="000C75E7" w:rsidRDefault="000C75E7" w:rsidP="000C75E7">
      <w:pPr>
        <w:pStyle w:val="DWParaText"/>
      </w:pPr>
      <w:r>
        <w:t>Any proposed Nuclear Industry will require higher standards of safety, competence, capability, competitiveness and quality from Government, Institutions, Universities, Industry and from all people who are going to resource</w:t>
      </w:r>
      <w:r w:rsidR="002C36DE">
        <w:t xml:space="preserve"> and regulate</w:t>
      </w:r>
      <w:r>
        <w:t xml:space="preserve"> the industry. </w:t>
      </w:r>
    </w:p>
    <w:p w:rsidR="000C75E7" w:rsidRDefault="000C75E7" w:rsidP="000C75E7">
      <w:pPr>
        <w:pStyle w:val="DWParaText"/>
      </w:pPr>
      <w:r>
        <w:t>The establishment of a Nuclear Industry is no silver bullet and considerable time, measured in decades, will be require to develop and establish industries beyond mining from scratch. It makes more sense to work out the root causes of the Automotive Industry failure and move forward</w:t>
      </w:r>
      <w:r w:rsidR="00B11280">
        <w:t xml:space="preserve"> again</w:t>
      </w:r>
      <w:r>
        <w:t>, given the already established capability and knowledge</w:t>
      </w:r>
      <w:r w:rsidR="00264B5B">
        <w:t>.</w:t>
      </w:r>
      <w:r w:rsidR="006569EE">
        <w:t xml:space="preserve"> A properly conducted </w:t>
      </w:r>
      <w:r w:rsidR="00906622">
        <w:t xml:space="preserve">and resourced </w:t>
      </w:r>
      <w:r w:rsidR="006569EE">
        <w:t xml:space="preserve">Royal Commission would find the </w:t>
      </w:r>
      <w:r w:rsidR="00906622">
        <w:t xml:space="preserve">real </w:t>
      </w:r>
      <w:r w:rsidR="006569EE">
        <w:t xml:space="preserve">problems are not </w:t>
      </w:r>
      <w:r w:rsidR="00906622">
        <w:t>insurmountable</w:t>
      </w:r>
      <w:r w:rsidR="00871F09">
        <w:t xml:space="preserve"> and the myth that it can’t be made in Australia, </w:t>
      </w:r>
      <w:r w:rsidR="000A3839">
        <w:t xml:space="preserve">is </w:t>
      </w:r>
      <w:r w:rsidR="00871F09">
        <w:t>just that a myth</w:t>
      </w:r>
      <w:r w:rsidR="006569EE">
        <w:t>.</w:t>
      </w:r>
    </w:p>
    <w:p w:rsidR="000C75E7" w:rsidRDefault="000C75E7" w:rsidP="000C75E7">
      <w:pPr>
        <w:pStyle w:val="DWParaText"/>
      </w:pPr>
      <w:r>
        <w:t xml:space="preserve">The </w:t>
      </w:r>
      <w:r w:rsidR="00B11280">
        <w:t xml:space="preserve">Nuclear </w:t>
      </w:r>
      <w:r w:rsidR="00B01F07">
        <w:t>Fuel Cycle</w:t>
      </w:r>
      <w:r w:rsidR="00B11280">
        <w:t xml:space="preserve"> Royal Commission </w:t>
      </w:r>
      <w:r>
        <w:t>Terms of Reference are narrow and give no respect to the State’s precious marine environmental heritage, and in particularly Gulf of St Vincent and Spencers Gulf. These Gulfs is where much of the population of SA is located and presumably most of the economic development of the Nuclear Industry would take place.</w:t>
      </w:r>
    </w:p>
    <w:p w:rsidR="000A3839" w:rsidRDefault="000C75E7" w:rsidP="000C75E7">
      <w:pPr>
        <w:pStyle w:val="DWParaText"/>
      </w:pPr>
      <w:r>
        <w:t>Also not addressed is a requirement to identify the global failures of the nuclear industry, their root causes and what the Government proposes to do to prevent recurrence. This also applies to properly determining the risks that are yet to occur. The potential for catastrophic failures must be a principle activity of this Royal Commission as our very fabric of life as we know will depend upon the safety and environmental risks associ</w:t>
      </w:r>
      <w:r w:rsidR="000A3839">
        <w:t>ated with the Nuclear Industry.</w:t>
      </w:r>
    </w:p>
    <w:p w:rsidR="000C75E7" w:rsidRDefault="000C75E7" w:rsidP="000C75E7">
      <w:pPr>
        <w:pStyle w:val="DWParaText"/>
      </w:pPr>
      <w:r>
        <w:t xml:space="preserve">Climate change pales into insignificance if we can no longer use a substantial area of the state if it </w:t>
      </w:r>
      <w:r w:rsidR="00B01F07">
        <w:t xml:space="preserve">were to </w:t>
      </w:r>
      <w:r>
        <w:t>become contaminated with nuclear waste.</w:t>
      </w:r>
      <w:r w:rsidR="00B128A7">
        <w:t xml:space="preserve"> This has already happened at Maralinga</w:t>
      </w:r>
      <w:r w:rsidR="00F26E2D">
        <w:t xml:space="preserve"> in South Australia</w:t>
      </w:r>
      <w:r w:rsidR="00F77A54">
        <w:t xml:space="preserve"> and should not be allowed to happen again</w:t>
      </w:r>
      <w:r w:rsidR="00F26E2D">
        <w:t xml:space="preserve">. </w:t>
      </w:r>
      <w:r>
        <w:t>To ignore the Fukushima nuclear disaster will be at our peril.</w:t>
      </w:r>
    </w:p>
    <w:p w:rsidR="00AD45F8" w:rsidRDefault="000C75E7" w:rsidP="00AD45F8">
      <w:pPr>
        <w:pStyle w:val="DWParaText"/>
      </w:pPr>
      <w:r>
        <w:t xml:space="preserve">Lastly there is no requirements to determine likely locations of the “feasible” industries and the timelines they would require, their requirements for resources such as water and energy, potential environmental impacts, likely costs involved and preferred governance structures. It would be foolish to believe we can trust the “private sector” in all areas of </w:t>
      </w:r>
      <w:r w:rsidR="006E7A0B">
        <w:t xml:space="preserve">a </w:t>
      </w:r>
      <w:r>
        <w:t>Nuclear Industry.</w:t>
      </w:r>
    </w:p>
    <w:p w:rsidR="00AD45F8" w:rsidRDefault="004A3C4D" w:rsidP="00552964">
      <w:pPr>
        <w:pStyle w:val="DWHeading1"/>
        <w:numPr>
          <w:ilvl w:val="0"/>
          <w:numId w:val="34"/>
        </w:numPr>
      </w:pPr>
      <w:bookmarkStart w:id="6" w:name="_Toc472599230"/>
      <w:r>
        <w:t xml:space="preserve">Budget </w:t>
      </w:r>
      <w:r w:rsidR="00A92A05">
        <w:t>Recommendations</w:t>
      </w:r>
      <w:bookmarkEnd w:id="6"/>
    </w:p>
    <w:p w:rsidR="00A92A05" w:rsidRPr="00A92A05" w:rsidRDefault="00786B6E" w:rsidP="00A92A05">
      <w:pPr>
        <w:pStyle w:val="DWHeading2"/>
        <w:numPr>
          <w:ilvl w:val="1"/>
          <w:numId w:val="34"/>
        </w:numPr>
      </w:pPr>
      <w:bookmarkStart w:id="7" w:name="_Toc472599231"/>
      <w:r>
        <w:t>Made</w:t>
      </w:r>
      <w:r w:rsidR="004C4315">
        <w:t xml:space="preserve"> in Australia</w:t>
      </w:r>
      <w:bookmarkEnd w:id="7"/>
    </w:p>
    <w:p w:rsidR="00376639" w:rsidRDefault="001431EB" w:rsidP="00A64991">
      <w:pPr>
        <w:pStyle w:val="DWSubNumber"/>
        <w:ind w:left="1417" w:firstLine="0"/>
      </w:pPr>
      <w:r>
        <w:t>It has become critical</w:t>
      </w:r>
      <w:r w:rsidR="00903A5B">
        <w:t xml:space="preserve"> to understand </w:t>
      </w:r>
      <w:r>
        <w:t xml:space="preserve">precisely </w:t>
      </w:r>
      <w:r w:rsidR="00AB469D">
        <w:t>what is going on in the A</w:t>
      </w:r>
      <w:r w:rsidR="002E5B66">
        <w:t xml:space="preserve">ustralian </w:t>
      </w:r>
      <w:r w:rsidR="006D2B44">
        <w:t xml:space="preserve">economy </w:t>
      </w:r>
      <w:r w:rsidR="002B15F1">
        <w:t>in</w:t>
      </w:r>
      <w:r w:rsidR="002E5B66">
        <w:t xml:space="preserve"> </w:t>
      </w:r>
      <w:r w:rsidR="006D2B44">
        <w:t xml:space="preserve">the </w:t>
      </w:r>
      <w:r w:rsidR="002B15F1">
        <w:t xml:space="preserve">context of the </w:t>
      </w:r>
      <w:r w:rsidR="002E5B66">
        <w:t>global economy</w:t>
      </w:r>
      <w:r w:rsidR="006D2B44">
        <w:t xml:space="preserve">. </w:t>
      </w:r>
      <w:r w:rsidR="00376639">
        <w:t>P</w:t>
      </w:r>
      <w:r w:rsidR="006D2B44">
        <w:t xml:space="preserve">olitical and economic </w:t>
      </w:r>
      <w:r w:rsidR="007C3A1C">
        <w:t>ideology</w:t>
      </w:r>
      <w:r w:rsidR="00376639">
        <w:t xml:space="preserve"> needs to be put aside</w:t>
      </w:r>
      <w:r w:rsidR="007C3A1C">
        <w:t xml:space="preserve"> if Australia is to be honest with itself</w:t>
      </w:r>
      <w:r w:rsidR="00376639">
        <w:t xml:space="preserve">, </w:t>
      </w:r>
      <w:r w:rsidR="00487DBE">
        <w:t>identify</w:t>
      </w:r>
      <w:r w:rsidR="002E5B66">
        <w:t xml:space="preserve"> the mistakes of the past</w:t>
      </w:r>
      <w:r w:rsidR="001004C9">
        <w:t xml:space="preserve"> and </w:t>
      </w:r>
      <w:r w:rsidR="00D93A65">
        <w:t xml:space="preserve">determine </w:t>
      </w:r>
      <w:r w:rsidR="001004C9">
        <w:t xml:space="preserve">the </w:t>
      </w:r>
      <w:r w:rsidR="00487DBE">
        <w:t>strategic issues</w:t>
      </w:r>
      <w:r w:rsidR="002E5B66">
        <w:t xml:space="preserve"> </w:t>
      </w:r>
      <w:r w:rsidR="00376639">
        <w:t xml:space="preserve">that </w:t>
      </w:r>
      <w:r w:rsidR="00722942">
        <w:t xml:space="preserve">must </w:t>
      </w:r>
      <w:r w:rsidR="00376639">
        <w:t xml:space="preserve">be </w:t>
      </w:r>
      <w:r w:rsidR="007D0A25">
        <w:t xml:space="preserve">identified and </w:t>
      </w:r>
      <w:r w:rsidR="00376639">
        <w:t>solved</w:t>
      </w:r>
      <w:r w:rsidR="00722942">
        <w:t xml:space="preserve"> if we are to move forward as a country</w:t>
      </w:r>
      <w:r w:rsidR="00376639">
        <w:t>.</w:t>
      </w:r>
    </w:p>
    <w:p w:rsidR="00B75552" w:rsidRDefault="00D93A65" w:rsidP="00A64991">
      <w:pPr>
        <w:pStyle w:val="DWSubNumber"/>
        <w:ind w:left="1417" w:firstLine="0"/>
      </w:pPr>
      <w:r>
        <w:t>Australia’s</w:t>
      </w:r>
      <w:r w:rsidR="001F42C3">
        <w:t xml:space="preserve"> cost competitiveness </w:t>
      </w:r>
      <w:r>
        <w:t>must</w:t>
      </w:r>
      <w:r w:rsidR="001F42C3">
        <w:t xml:space="preserve"> be restore</w:t>
      </w:r>
      <w:r w:rsidR="00851841">
        <w:t>d</w:t>
      </w:r>
      <w:r w:rsidR="00081237">
        <w:t xml:space="preserve"> for </w:t>
      </w:r>
      <w:r w:rsidR="00077BD8">
        <w:t xml:space="preserve">all </w:t>
      </w:r>
      <w:r w:rsidR="00081237">
        <w:t>resources</w:t>
      </w:r>
      <w:r w:rsidR="00077BD8">
        <w:t xml:space="preserve"> and goods</w:t>
      </w:r>
      <w:r w:rsidR="00081237">
        <w:t xml:space="preserve"> used by Australia’s economy and society</w:t>
      </w:r>
      <w:r w:rsidR="00722942">
        <w:t>, and secured for the long term</w:t>
      </w:r>
      <w:r w:rsidR="00EF1637">
        <w:t>.</w:t>
      </w:r>
      <w:r w:rsidR="002C17D5">
        <w:t xml:space="preserve"> Any international treaty or agreement that is working against Australia’s best interests must be re</w:t>
      </w:r>
      <w:r w:rsidR="007D0A25">
        <w:t>negotiated or stepped away from just as Donald Trump, the incoming President of the United States, is planning to do.</w:t>
      </w:r>
      <w:r w:rsidR="009C0D6E">
        <w:t xml:space="preserve"> </w:t>
      </w:r>
    </w:p>
    <w:p w:rsidR="002A66BE" w:rsidRDefault="009C0D6E" w:rsidP="00A64991">
      <w:pPr>
        <w:pStyle w:val="DWSubNumber"/>
        <w:ind w:left="1417" w:firstLine="0"/>
      </w:pPr>
      <w:r>
        <w:t xml:space="preserve">It is </w:t>
      </w:r>
      <w:r w:rsidR="00851841">
        <w:t xml:space="preserve">also </w:t>
      </w:r>
      <w:r>
        <w:t>time to make greater use of our raw materials</w:t>
      </w:r>
      <w:r w:rsidR="00841CB2">
        <w:t xml:space="preserve"> to produce goods</w:t>
      </w:r>
      <w:r w:rsidR="000B33E4">
        <w:t xml:space="preserve"> and services</w:t>
      </w:r>
      <w:r w:rsidR="00841CB2">
        <w:t xml:space="preserve"> of greater value.</w:t>
      </w:r>
      <w:r w:rsidR="00851841">
        <w:t xml:space="preserve"> </w:t>
      </w:r>
      <w:r w:rsidR="00A461EC">
        <w:t>The Government needs to secure</w:t>
      </w:r>
      <w:r w:rsidR="00005E7F">
        <w:t xml:space="preserve"> our future by locking in low </w:t>
      </w:r>
      <w:r w:rsidR="004031BE">
        <w:t xml:space="preserve">domestic </w:t>
      </w:r>
      <w:r w:rsidR="00005E7F">
        <w:t>commodity price</w:t>
      </w:r>
      <w:r w:rsidR="00273BAB">
        <w:t>s and ensuring these costs flow into lower prices.</w:t>
      </w:r>
    </w:p>
    <w:p w:rsidR="00273BAB" w:rsidRDefault="00DF444F" w:rsidP="00A64991">
      <w:pPr>
        <w:pStyle w:val="DWSubNumber"/>
        <w:ind w:left="1417" w:firstLine="0"/>
      </w:pPr>
      <w:r>
        <w:t>Replacing imported goods</w:t>
      </w:r>
      <w:r w:rsidR="00590642">
        <w:t xml:space="preserve"> and services</w:t>
      </w:r>
      <w:r>
        <w:t xml:space="preserve"> with Australian goods</w:t>
      </w:r>
      <w:r w:rsidR="00590642">
        <w:t xml:space="preserve"> &amp; services</w:t>
      </w:r>
      <w:r>
        <w:t xml:space="preserve"> represents a substantial economic opportunity.</w:t>
      </w:r>
      <w:r w:rsidR="004031BE">
        <w:t xml:space="preserve"> All it requires it a walk down supermarket</w:t>
      </w:r>
      <w:r w:rsidR="002A66BE">
        <w:t xml:space="preserve"> &amp; hardware warehouses</w:t>
      </w:r>
      <w:r w:rsidR="004031BE">
        <w:t xml:space="preserve"> aisles and identify any product </w:t>
      </w:r>
      <w:r w:rsidR="00105B45">
        <w:t xml:space="preserve">areas where imported goods make up more </w:t>
      </w:r>
      <w:r w:rsidR="001F26D5">
        <w:t>than 20% of the shelf space</w:t>
      </w:r>
      <w:r w:rsidR="00105B45">
        <w:t>.</w:t>
      </w:r>
      <w:r w:rsidR="00786B6E">
        <w:t xml:space="preserve"> The </w:t>
      </w:r>
      <w:r w:rsidR="007E1719">
        <w:t>objective</w:t>
      </w:r>
      <w:r w:rsidR="00786B6E">
        <w:t xml:space="preserve"> should be to achieve a market share for Australian products of </w:t>
      </w:r>
      <w:r w:rsidR="00D26837">
        <w:t xml:space="preserve">at least 50% and preferably </w:t>
      </w:r>
      <w:r w:rsidR="00786B6E">
        <w:t>80%.</w:t>
      </w:r>
    </w:p>
    <w:p w:rsidR="00197E70" w:rsidRDefault="00851841" w:rsidP="00A64991">
      <w:pPr>
        <w:pStyle w:val="DWSubNumber"/>
        <w:ind w:left="1417" w:firstLine="0"/>
      </w:pPr>
      <w:r>
        <w:t>We should not be walking a</w:t>
      </w:r>
      <w:r w:rsidR="008E3F43">
        <w:t>way from a</w:t>
      </w:r>
      <w:r w:rsidR="001D0C74">
        <w:t>n</w:t>
      </w:r>
      <w:r w:rsidR="008E3F43">
        <w:t xml:space="preserve"> automotive </w:t>
      </w:r>
      <w:r w:rsidR="00361052">
        <w:t xml:space="preserve">manufacturing </w:t>
      </w:r>
      <w:r w:rsidR="008E3F43">
        <w:t xml:space="preserve">industry </w:t>
      </w:r>
      <w:r w:rsidR="00FC6D97">
        <w:t xml:space="preserve">without </w:t>
      </w:r>
      <w:r w:rsidR="00273BAB">
        <w:t xml:space="preserve">fully </w:t>
      </w:r>
      <w:r w:rsidR="00FC6D97">
        <w:t>understanding the root causes</w:t>
      </w:r>
      <w:r w:rsidR="005826B1">
        <w:t xml:space="preserve"> for the failure to </w:t>
      </w:r>
      <w:r w:rsidR="00361052">
        <w:t>sustain</w:t>
      </w:r>
      <w:r w:rsidR="005826B1">
        <w:t xml:space="preserve"> this industry in Australia</w:t>
      </w:r>
      <w:r w:rsidR="00514B04">
        <w:t xml:space="preserve"> and </w:t>
      </w:r>
      <w:r w:rsidR="00361052">
        <w:t xml:space="preserve">what the </w:t>
      </w:r>
      <w:r w:rsidR="00514B04">
        <w:t>opportunities</w:t>
      </w:r>
      <w:r w:rsidR="00361052">
        <w:t xml:space="preserve"> are for the future</w:t>
      </w:r>
      <w:r w:rsidR="008E3F43">
        <w:t>.</w:t>
      </w:r>
    </w:p>
    <w:p w:rsidR="00D72858" w:rsidRDefault="00D72858" w:rsidP="001D0C74">
      <w:pPr>
        <w:pStyle w:val="DWSubNumber"/>
        <w:numPr>
          <w:ilvl w:val="0"/>
          <w:numId w:val="46"/>
        </w:numPr>
      </w:pPr>
      <w:r>
        <w:t>The budget needs to provide funding for a “Made In America”</w:t>
      </w:r>
      <w:r w:rsidR="00D90F9F">
        <w:t xml:space="preserve"> Appendix </w:t>
      </w:r>
      <w:r w:rsidR="00D90F9F">
        <w:fldChar w:fldCharType="begin"/>
      </w:r>
      <w:r w:rsidR="00D90F9F">
        <w:instrText xml:space="preserve"> REF _Ref442391991 \r \h </w:instrText>
      </w:r>
      <w:r w:rsidR="00D90F9F">
        <w:fldChar w:fldCharType="separate"/>
      </w:r>
      <w:r w:rsidR="00B6524A">
        <w:t>C</w:t>
      </w:r>
      <w:r w:rsidR="00D90F9F">
        <w:fldChar w:fldCharType="end"/>
      </w:r>
      <w:r>
        <w:t xml:space="preserve"> and “Made in Japan” </w:t>
      </w:r>
      <w:r w:rsidR="00D90F9F">
        <w:t xml:space="preserve">Appendix </w:t>
      </w:r>
      <w:r w:rsidR="00D90F9F">
        <w:fldChar w:fldCharType="begin"/>
      </w:r>
      <w:r w:rsidR="00D90F9F">
        <w:instrText xml:space="preserve"> REF _Ref442392002 \r \h </w:instrText>
      </w:r>
      <w:r w:rsidR="00D90F9F">
        <w:fldChar w:fldCharType="separate"/>
      </w:r>
      <w:r w:rsidR="00B6524A">
        <w:t>D</w:t>
      </w:r>
      <w:r w:rsidR="00D90F9F">
        <w:fldChar w:fldCharType="end"/>
      </w:r>
      <w:r w:rsidR="00DA25B9">
        <w:t xml:space="preserve"> </w:t>
      </w:r>
      <w:r w:rsidR="00F7662F">
        <w:t xml:space="preserve">style of </w:t>
      </w:r>
      <w:r w:rsidR="00487DBE" w:rsidRPr="00487DBE">
        <w:t xml:space="preserve">independent </w:t>
      </w:r>
      <w:r>
        <w:t>inquiry</w:t>
      </w:r>
      <w:r w:rsidR="00EE7F59">
        <w:t>(s)</w:t>
      </w:r>
      <w:r w:rsidR="00CB5AAE">
        <w:t xml:space="preserve"> “</w:t>
      </w:r>
      <w:r w:rsidR="00361052">
        <w:t>Made</w:t>
      </w:r>
      <w:r w:rsidR="00CB5AAE">
        <w:t xml:space="preserve"> In Australia”</w:t>
      </w:r>
      <w:r w:rsidR="00C261BC">
        <w:t xml:space="preserve">. This needs to </w:t>
      </w:r>
      <w:r w:rsidR="00970D97">
        <w:t>involv</w:t>
      </w:r>
      <w:r w:rsidR="00C261BC">
        <w:t>e</w:t>
      </w:r>
      <w:r w:rsidR="00970D97">
        <w:t xml:space="preserve"> Australia’s </w:t>
      </w:r>
      <w:r w:rsidR="00CB5AAE">
        <w:t xml:space="preserve">best </w:t>
      </w:r>
      <w:r w:rsidR="00970D97">
        <w:t xml:space="preserve">academics </w:t>
      </w:r>
      <w:r w:rsidR="00CB5AAE">
        <w:t xml:space="preserve">and </w:t>
      </w:r>
      <w:r w:rsidR="00C7330B">
        <w:t xml:space="preserve">for them to be </w:t>
      </w:r>
      <w:r w:rsidR="00D90F9F">
        <w:t>independent</w:t>
      </w:r>
      <w:r w:rsidR="00CB5AAE">
        <w:t xml:space="preserve"> from the influence of </w:t>
      </w:r>
      <w:r w:rsidR="00D90F9F">
        <w:t xml:space="preserve">political </w:t>
      </w:r>
      <w:r w:rsidR="00C261BC">
        <w:t xml:space="preserve">&amp; industry </w:t>
      </w:r>
      <w:r w:rsidR="00CB5AAE">
        <w:t>vested interests</w:t>
      </w:r>
      <w:r w:rsidR="00D90F9F">
        <w:t>. These academics need to be</w:t>
      </w:r>
      <w:r w:rsidR="00CB5AAE">
        <w:t xml:space="preserve"> drawn </w:t>
      </w:r>
      <w:r w:rsidR="00970D97">
        <w:t>from across the University sector</w:t>
      </w:r>
      <w:r w:rsidR="00D3034D">
        <w:t xml:space="preserve"> with a scope suited to Australia’s needs</w:t>
      </w:r>
      <w:r w:rsidR="00190016">
        <w:t xml:space="preserve"> and have the freedom to leave no stone unturned</w:t>
      </w:r>
      <w:r w:rsidR="00970D97">
        <w:t>.</w:t>
      </w:r>
    </w:p>
    <w:p w:rsidR="00AD45F8" w:rsidRDefault="004A3C4D" w:rsidP="00DE035F">
      <w:pPr>
        <w:pStyle w:val="DWSubNumber"/>
        <w:numPr>
          <w:ilvl w:val="0"/>
          <w:numId w:val="46"/>
        </w:numPr>
      </w:pPr>
      <w:r>
        <w:t>Initiate a Royal Commission</w:t>
      </w:r>
      <w:r w:rsidR="00AD45F8">
        <w:t xml:space="preserve"> into the </w:t>
      </w:r>
      <w:r>
        <w:t xml:space="preserve">Australian </w:t>
      </w:r>
      <w:r w:rsidR="00AD45F8">
        <w:t xml:space="preserve">Automotive Industry to determine the root causes associated with failure of the Automotive </w:t>
      </w:r>
      <w:r w:rsidR="007727DB">
        <w:t xml:space="preserve">Manufacturing </w:t>
      </w:r>
      <w:r w:rsidR="00AD45F8">
        <w:t>Industry to be globally competitive</w:t>
      </w:r>
      <w:r w:rsidR="00190016">
        <w:t xml:space="preserve"> a</w:t>
      </w:r>
      <w:r w:rsidR="007727DB">
        <w:t xml:space="preserve">nd determine whether in fact </w:t>
      </w:r>
      <w:r w:rsidR="00190016">
        <w:t>shut</w:t>
      </w:r>
      <w:r w:rsidR="00DF7DBA">
        <w:t>ting it</w:t>
      </w:r>
      <w:r w:rsidR="00190016">
        <w:t xml:space="preserve"> down</w:t>
      </w:r>
      <w:r w:rsidR="00DF7DBA">
        <w:t xml:space="preserve"> would be a </w:t>
      </w:r>
      <w:r w:rsidR="00DE035F" w:rsidRPr="00DE035F">
        <w:t xml:space="preserve">strategic </w:t>
      </w:r>
      <w:r w:rsidR="00DE035F">
        <w:t xml:space="preserve">&amp; </w:t>
      </w:r>
      <w:r w:rsidR="00DF7DBA" w:rsidRPr="00DF7DBA">
        <w:t xml:space="preserve">sovereign </w:t>
      </w:r>
      <w:r w:rsidR="00DE035F">
        <w:t>risk to our security</w:t>
      </w:r>
      <w:r w:rsidR="00DF7DBA">
        <w:t xml:space="preserve"> as discussed earlier</w:t>
      </w:r>
      <w:r w:rsidR="00AD45F8">
        <w:t xml:space="preserve">. All </w:t>
      </w:r>
      <w:r w:rsidR="00DF7DBA">
        <w:t xml:space="preserve">angles need </w:t>
      </w:r>
      <w:r w:rsidR="00AD45F8">
        <w:t xml:space="preserve">to be investigated including </w:t>
      </w:r>
      <w:r w:rsidR="00EC628A">
        <w:t>governance</w:t>
      </w:r>
      <w:r w:rsidR="00AD45F8">
        <w:t>,</w:t>
      </w:r>
      <w:r w:rsidR="00D96BE8">
        <w:t xml:space="preserve"> costs &amp; prices,</w:t>
      </w:r>
      <w:r w:rsidR="00AD45F8">
        <w:t xml:space="preserve"> industry assistance, importation, research and development, manufacture, distribution, wholesale, retailing and support</w:t>
      </w:r>
      <w:r w:rsidR="00D90F9F">
        <w:t xml:space="preserve"> (Appendix </w:t>
      </w:r>
      <w:r w:rsidR="00D90F9F">
        <w:fldChar w:fldCharType="begin"/>
      </w:r>
      <w:r w:rsidR="00D90F9F">
        <w:instrText xml:space="preserve"> REF _Ref442392160 \r \h </w:instrText>
      </w:r>
      <w:r w:rsidR="00D90F9F">
        <w:fldChar w:fldCharType="separate"/>
      </w:r>
      <w:r w:rsidR="00B6524A">
        <w:t>A</w:t>
      </w:r>
      <w:r w:rsidR="00D90F9F">
        <w:fldChar w:fldCharType="end"/>
      </w:r>
      <w:r w:rsidR="00D90F9F">
        <w:t xml:space="preserve"> &amp; </w:t>
      </w:r>
      <w:r w:rsidR="008414AC">
        <w:fldChar w:fldCharType="begin"/>
      </w:r>
      <w:r w:rsidR="008414AC">
        <w:instrText xml:space="preserve"> REF _Ref442392201 \r \h </w:instrText>
      </w:r>
      <w:r w:rsidR="008414AC">
        <w:fldChar w:fldCharType="separate"/>
      </w:r>
      <w:r w:rsidR="00B6524A">
        <w:t>B</w:t>
      </w:r>
      <w:r w:rsidR="008414AC">
        <w:fldChar w:fldCharType="end"/>
      </w:r>
      <w:r w:rsidR="00C7330B">
        <w:t>)</w:t>
      </w:r>
      <w:r w:rsidR="00AD45F8">
        <w:t>.</w:t>
      </w:r>
    </w:p>
    <w:p w:rsidR="00F431CC" w:rsidRDefault="00503A78" w:rsidP="002E0E64">
      <w:pPr>
        <w:pStyle w:val="DWSubNumber"/>
        <w:tabs>
          <w:tab w:val="clear" w:pos="1985"/>
        </w:tabs>
        <w:ind w:left="1417" w:firstLine="0"/>
      </w:pPr>
      <w:r>
        <w:t xml:space="preserve">Substantial price inflation </w:t>
      </w:r>
      <w:r w:rsidR="00F05048">
        <w:t xml:space="preserve">of motor vehicles </w:t>
      </w:r>
      <w:r>
        <w:t>occurred when the Australian dollar was floated.</w:t>
      </w:r>
      <w:r w:rsidR="00524D3D">
        <w:t xml:space="preserve"> </w:t>
      </w:r>
      <w:r w:rsidR="00542B79">
        <w:t xml:space="preserve">The </w:t>
      </w:r>
      <w:r w:rsidR="00524D3D">
        <w:t xml:space="preserve">1985 </w:t>
      </w:r>
      <w:r w:rsidR="00542B79">
        <w:t>Button Car Plan</w:t>
      </w:r>
      <w:r w:rsidR="00524D3D">
        <w:t xml:space="preserve"> was designed to make the automotive manufacturing industry more efficient. Quality was improved and costs </w:t>
      </w:r>
      <w:r w:rsidR="002104C4">
        <w:t xml:space="preserve">were </w:t>
      </w:r>
      <w:r w:rsidR="00524D3D">
        <w:t xml:space="preserve">reduced. </w:t>
      </w:r>
      <w:r w:rsidR="00C427BB">
        <w:t xml:space="preserve">Instead of passing on cost savings, the motor vehicle manufacturers increased </w:t>
      </w:r>
      <w:r w:rsidR="00A01D18">
        <w:t xml:space="preserve">prices of </w:t>
      </w:r>
      <w:r w:rsidR="00037431">
        <w:t>Australian made vehicle</w:t>
      </w:r>
      <w:r w:rsidR="00A01D18">
        <w:t xml:space="preserve">s </w:t>
      </w:r>
      <w:r w:rsidR="00C427BB">
        <w:t xml:space="preserve">in-line with the rapid inflation of </w:t>
      </w:r>
      <w:r w:rsidR="00037431">
        <w:t xml:space="preserve">fully </w:t>
      </w:r>
      <w:r w:rsidR="00C427BB">
        <w:t>imported vehicles</w:t>
      </w:r>
      <w:r w:rsidR="00037431">
        <w:t>.</w:t>
      </w:r>
      <w:r w:rsidR="00F308F8">
        <w:t xml:space="preserve"> This was to </w:t>
      </w:r>
      <w:r w:rsidR="002B6C67">
        <w:t>establish the market for their fully imported vehicles</w:t>
      </w:r>
      <w:r w:rsidR="004806EB">
        <w:t>. T</w:t>
      </w:r>
      <w:r w:rsidR="00F308F8">
        <w:t>hey couldn’t stand by and allow Australian manufactured vehicles to be</w:t>
      </w:r>
      <w:r w:rsidR="004806EB">
        <w:t xml:space="preserve">come </w:t>
      </w:r>
      <w:r w:rsidR="00F308F8">
        <w:t xml:space="preserve">more competitive </w:t>
      </w:r>
      <w:r w:rsidR="00F05048">
        <w:t xml:space="preserve">and cheaper </w:t>
      </w:r>
      <w:r w:rsidR="00F308F8">
        <w:t xml:space="preserve">than their overseas </w:t>
      </w:r>
      <w:r w:rsidR="00795DF6">
        <w:t xml:space="preserve">manufactured </w:t>
      </w:r>
      <w:r w:rsidR="00F308F8">
        <w:t>vehicles</w:t>
      </w:r>
      <w:r w:rsidR="00A01D18">
        <w:t xml:space="preserve"> could they?</w:t>
      </w:r>
      <w:r w:rsidR="008C6CBF">
        <w:t xml:space="preserve"> The Australian Government on their part didn’t ensure cost s</w:t>
      </w:r>
      <w:r w:rsidR="002D1FC6">
        <w:t xml:space="preserve">avings </w:t>
      </w:r>
      <w:r w:rsidR="004C3463">
        <w:t xml:space="preserve">from the </w:t>
      </w:r>
      <w:r w:rsidR="004C3463" w:rsidRPr="004C3463">
        <w:t xml:space="preserve">Button Car Plan </w:t>
      </w:r>
      <w:r w:rsidR="002D1FC6">
        <w:t>resulted in lower prices</w:t>
      </w:r>
      <w:r w:rsidR="004C3463">
        <w:t xml:space="preserve"> to the Australian economy and society</w:t>
      </w:r>
      <w:r w:rsidR="008C6CBF">
        <w:t>.</w:t>
      </w:r>
    </w:p>
    <w:p w:rsidR="002E0E64" w:rsidRDefault="00E8591B" w:rsidP="002E0E64">
      <w:pPr>
        <w:pStyle w:val="DWSubNumber"/>
        <w:tabs>
          <w:tab w:val="clear" w:pos="1985"/>
        </w:tabs>
        <w:ind w:left="1417" w:firstLine="0"/>
      </w:pPr>
      <w:r>
        <w:t xml:space="preserve">The introduction of the GST in 2000 by the Howard Government further compounded </w:t>
      </w:r>
      <w:r w:rsidR="00F51773">
        <w:t xml:space="preserve">competitiveness </w:t>
      </w:r>
      <w:r>
        <w:t>as</w:t>
      </w:r>
      <w:r w:rsidR="00F431CC">
        <w:t xml:space="preserve"> the GST acts as a tariff </w:t>
      </w:r>
      <w:r w:rsidR="00B416BC">
        <w:t xml:space="preserve">on the price difference </w:t>
      </w:r>
      <w:r w:rsidR="00F431CC">
        <w:t xml:space="preserve">between any </w:t>
      </w:r>
      <w:r w:rsidR="004710D7">
        <w:t>comparison</w:t>
      </w:r>
      <w:r w:rsidR="00F431CC">
        <w:t xml:space="preserve"> </w:t>
      </w:r>
      <w:r w:rsidR="004710D7">
        <w:t>products</w:t>
      </w:r>
      <w:r w:rsidR="00F431CC">
        <w:t xml:space="preserve"> that </w:t>
      </w:r>
      <w:r w:rsidR="004710D7">
        <w:t>are higher</w:t>
      </w:r>
      <w:r w:rsidR="00F431CC">
        <w:t xml:space="preserve"> priced than a competitor.</w:t>
      </w:r>
      <w:r w:rsidR="00EF20F8">
        <w:t xml:space="preserve"> Australian manufacture</w:t>
      </w:r>
      <w:r w:rsidR="00AB5698">
        <w:t>d vehicles became too expensive in the market place for families</w:t>
      </w:r>
      <w:r w:rsidR="00245FCE">
        <w:t xml:space="preserve"> and also the wrong vehicles</w:t>
      </w:r>
      <w:r w:rsidR="00AB5698">
        <w:t>.</w:t>
      </w:r>
      <w:r w:rsidR="00145AAB">
        <w:t xml:space="preserve"> Australian motor vehicle manufacturing should have responded to the market and produced commercial vehicles such as </w:t>
      </w:r>
      <w:r w:rsidR="00355483">
        <w:t xml:space="preserve">vans, </w:t>
      </w:r>
      <w:r w:rsidR="00145AAB">
        <w:t>utes and people movers.</w:t>
      </w:r>
    </w:p>
    <w:p w:rsidR="00AD45F8" w:rsidRDefault="00830122" w:rsidP="00830122">
      <w:pPr>
        <w:pStyle w:val="DWSubNumber"/>
        <w:numPr>
          <w:ilvl w:val="0"/>
          <w:numId w:val="46"/>
        </w:numPr>
      </w:pPr>
      <w:r>
        <w:t xml:space="preserve">Initiate a </w:t>
      </w:r>
      <w:r w:rsidRPr="00830122">
        <w:t>Royal Commission</w:t>
      </w:r>
      <w:r w:rsidR="00AD45F8">
        <w:t xml:space="preserve"> into the sustainability and global cost competiveness of Australia’s power infrastructure</w:t>
      </w:r>
      <w:r>
        <w:t xml:space="preserve"> and resources</w:t>
      </w:r>
      <w:r w:rsidR="00AD45F8">
        <w:t xml:space="preserve"> as a viable partner of society, economy and environment. Specific areas to be addressed are suggested as follows:</w:t>
      </w:r>
    </w:p>
    <w:p w:rsidR="00AD45F8" w:rsidRDefault="00AD45F8" w:rsidP="001D0C74">
      <w:pPr>
        <w:pStyle w:val="DWSubNumber"/>
        <w:numPr>
          <w:ilvl w:val="1"/>
          <w:numId w:val="46"/>
        </w:numPr>
      </w:pPr>
      <w:r>
        <w:t>Investigate and report on the performance measure</w:t>
      </w:r>
      <w:r w:rsidR="00293F67">
        <w:t>s</w:t>
      </w:r>
      <w:r>
        <w:t xml:space="preserve"> established by the disaggregated </w:t>
      </w:r>
      <w:r w:rsidR="00000F52">
        <w:t>s</w:t>
      </w:r>
      <w:r w:rsidR="00C84FCD">
        <w:t>tate owned</w:t>
      </w:r>
      <w:r>
        <w:t xml:space="preserve"> entities vs the achievements of individual privatised entities including debt</w:t>
      </w:r>
      <w:r w:rsidR="00F74B23">
        <w:t>, tax</w:t>
      </w:r>
      <w:r>
        <w:t xml:space="preserve"> and internal costs of production and service</w:t>
      </w:r>
      <w:r w:rsidR="00293F67">
        <w:t xml:space="preserve"> (Example Appendix </w:t>
      </w:r>
      <w:r w:rsidR="00293F67">
        <w:fldChar w:fldCharType="begin"/>
      </w:r>
      <w:r w:rsidR="00293F67">
        <w:instrText xml:space="preserve"> REF _Ref442446982 \r \h </w:instrText>
      </w:r>
      <w:r w:rsidR="00293F67">
        <w:fldChar w:fldCharType="separate"/>
      </w:r>
      <w:r w:rsidR="00B6524A">
        <w:t>E.2</w:t>
      </w:r>
      <w:r w:rsidR="00293F67">
        <w:fldChar w:fldCharType="end"/>
      </w:r>
      <w:r w:rsidR="00293F67">
        <w:t xml:space="preserve"> </w:t>
      </w:r>
      <w:r w:rsidR="00293F67">
        <w:fldChar w:fldCharType="begin"/>
      </w:r>
      <w:r w:rsidR="00293F67">
        <w:instrText xml:space="preserve"> REF _Ref442446999 \h </w:instrText>
      </w:r>
      <w:r w:rsidR="00293F67">
        <w:fldChar w:fldCharType="separate"/>
      </w:r>
      <w:r w:rsidR="00B6524A">
        <w:t xml:space="preserve">SA </w:t>
      </w:r>
      <w:r w:rsidR="00B6524A" w:rsidRPr="00A53D11">
        <w:t>ETSA Utilities 1998-99 Results Summary</w:t>
      </w:r>
      <w:r w:rsidR="00293F67">
        <w:fldChar w:fldCharType="end"/>
      </w:r>
      <w:r w:rsidR="00000F52">
        <w:t>)</w:t>
      </w:r>
      <w:r>
        <w:t>,</w:t>
      </w:r>
    </w:p>
    <w:p w:rsidR="00AD45F8" w:rsidRDefault="00AD45F8" w:rsidP="001D0C74">
      <w:pPr>
        <w:pStyle w:val="DWSubNumber"/>
        <w:numPr>
          <w:ilvl w:val="1"/>
          <w:numId w:val="46"/>
        </w:numPr>
      </w:pPr>
      <w:r>
        <w:t>Determine whether the energy policies of Australia are appropriate to ensure energy costs are globally competitive for the benefit of all Australians,</w:t>
      </w:r>
    </w:p>
    <w:p w:rsidR="00AD45F8" w:rsidRDefault="00AD45F8" w:rsidP="001D0C74">
      <w:pPr>
        <w:pStyle w:val="DWSubNumber"/>
        <w:numPr>
          <w:ilvl w:val="1"/>
          <w:numId w:val="46"/>
        </w:numPr>
      </w:pPr>
      <w:r>
        <w:t>Determine the impact of the privatisation on government</w:t>
      </w:r>
      <w:r w:rsidR="00046247">
        <w:t xml:space="preserve"> revenue</w:t>
      </w:r>
      <w:r>
        <w:t>, industry, communit</w:t>
      </w:r>
      <w:r w:rsidR="00046247">
        <w:t>y</w:t>
      </w:r>
      <w:r>
        <w:t xml:space="preserve"> and business</w:t>
      </w:r>
      <w:r w:rsidR="00046247">
        <w:t xml:space="preserve"> cost and viability</w:t>
      </w:r>
      <w:r>
        <w:t>,</w:t>
      </w:r>
    </w:p>
    <w:p w:rsidR="00AD45F8" w:rsidRDefault="00AD45F8" w:rsidP="001D0C74">
      <w:pPr>
        <w:pStyle w:val="DWSubNumber"/>
        <w:numPr>
          <w:ilvl w:val="1"/>
          <w:numId w:val="46"/>
        </w:numPr>
      </w:pPr>
      <w:r>
        <w:t>Determine the impact on competiveness vs. comparable competing economies, such as the United States where real prices have decreased</w:t>
      </w:r>
      <w:r w:rsidR="00293F67">
        <w:t xml:space="preserve"> (Appendix </w:t>
      </w:r>
      <w:r w:rsidR="00293F67">
        <w:fldChar w:fldCharType="begin"/>
      </w:r>
      <w:r w:rsidR="00293F67">
        <w:instrText xml:space="preserve"> REF _Ref442423506 \r \h </w:instrText>
      </w:r>
      <w:r w:rsidR="00293F67">
        <w:fldChar w:fldCharType="separate"/>
      </w:r>
      <w:r w:rsidR="00B6524A">
        <w:t>F</w:t>
      </w:r>
      <w:r w:rsidR="00293F67">
        <w:fldChar w:fldCharType="end"/>
      </w:r>
      <w:r w:rsidR="00293F67">
        <w:t xml:space="preserve"> </w:t>
      </w:r>
      <w:r w:rsidR="00293F67">
        <w:fldChar w:fldCharType="begin"/>
      </w:r>
      <w:r w:rsidR="00293F67">
        <w:instrText xml:space="preserve"> REF _Ref442423506 \h </w:instrText>
      </w:r>
      <w:r w:rsidR="00293F67">
        <w:fldChar w:fldCharType="separate"/>
      </w:r>
      <w:r w:rsidR="00B6524A">
        <w:t>United States Electricity Average Retail Prices 1990-2009</w:t>
      </w:r>
      <w:r w:rsidR="00293F67">
        <w:fldChar w:fldCharType="end"/>
      </w:r>
      <w:r w:rsidR="00B84D22">
        <w:t>)</w:t>
      </w:r>
      <w:r>
        <w:t>,</w:t>
      </w:r>
      <w:r w:rsidR="007228A8">
        <w:t xml:space="preserve"> and</w:t>
      </w:r>
    </w:p>
    <w:p w:rsidR="00AD45F8" w:rsidRDefault="00AD45F8" w:rsidP="001D0C74">
      <w:pPr>
        <w:pStyle w:val="DWSubNumber"/>
        <w:numPr>
          <w:ilvl w:val="1"/>
          <w:numId w:val="46"/>
        </w:numPr>
      </w:pPr>
      <w:r>
        <w:t>Determine the political, economic, legal &amp; communications root causes of how privatisation was achieved and allowed to continue</w:t>
      </w:r>
      <w:r w:rsidR="00046247">
        <w:t xml:space="preserve"> when it began to fail </w:t>
      </w:r>
      <w:r>
        <w:t>without fundamental corrective action, and propos</w:t>
      </w:r>
      <w:r w:rsidR="00F74B23">
        <w:t xml:space="preserve">e solutions to </w:t>
      </w:r>
      <w:r w:rsidR="007228A8">
        <w:t xml:space="preserve">address </w:t>
      </w:r>
      <w:r w:rsidR="00F74B23">
        <w:t>the root causes.</w:t>
      </w:r>
    </w:p>
    <w:p w:rsidR="00AD45F8" w:rsidRDefault="00AD45F8" w:rsidP="001D0C74">
      <w:pPr>
        <w:pStyle w:val="DWSubNumber"/>
        <w:numPr>
          <w:ilvl w:val="0"/>
          <w:numId w:val="46"/>
        </w:numPr>
      </w:pPr>
      <w:r>
        <w:t>It is imperative that the taxation system become</w:t>
      </w:r>
      <w:r w:rsidR="00684395">
        <w:t>s</w:t>
      </w:r>
      <w:r>
        <w:t xml:space="preserve"> </w:t>
      </w:r>
      <w:r w:rsidR="00684395">
        <w:t xml:space="preserve">fully </w:t>
      </w:r>
      <w:r w:rsidR="00A90854">
        <w:t xml:space="preserve">transparent and all </w:t>
      </w:r>
      <w:r w:rsidR="0012743A">
        <w:t>L</w:t>
      </w:r>
      <w:r w:rsidR="00A90854">
        <w:t xml:space="preserve">ocal, </w:t>
      </w:r>
      <w:r w:rsidR="0012743A">
        <w:t>S</w:t>
      </w:r>
      <w:r>
        <w:t xml:space="preserve">tate </w:t>
      </w:r>
      <w:r w:rsidR="0012743A">
        <w:t xml:space="preserve">and Commonwealth </w:t>
      </w:r>
      <w:r>
        <w:t xml:space="preserve">taxes (direct and indirect) and charges passed onto taxpayers </w:t>
      </w:r>
      <w:r w:rsidR="00257613">
        <w:t>are</w:t>
      </w:r>
      <w:r>
        <w:t xml:space="preserve"> accounted for when annual tax returns are made to the Australian Taxation Office. </w:t>
      </w:r>
      <w:r w:rsidR="005C5484">
        <w:t xml:space="preserve">Put simply if State and Local Governments are required to collect more tax, then the Commonwealth can expect to collect less. </w:t>
      </w:r>
      <w:r>
        <w:t xml:space="preserve">Upper and lower limits of </w:t>
      </w:r>
      <w:r w:rsidR="001B7B0D">
        <w:t xml:space="preserve">total </w:t>
      </w:r>
      <w:r>
        <w:t>tax</w:t>
      </w:r>
      <w:r w:rsidR="001B7B0D">
        <w:t xml:space="preserve"> (direct and indirect)</w:t>
      </w:r>
      <w:r>
        <w:t xml:space="preserve"> </w:t>
      </w:r>
      <w:r w:rsidR="001B7B0D">
        <w:t>that can</w:t>
      </w:r>
      <w:r>
        <w:t xml:space="preserve"> </w:t>
      </w:r>
      <w:r w:rsidR="00BA10E7">
        <w:t xml:space="preserve">or must </w:t>
      </w:r>
      <w:r>
        <w:t>be paid be established for all categories of tax payers</w:t>
      </w:r>
      <w:r w:rsidR="0012743A">
        <w:t xml:space="preserve"> to protect the revenue base</w:t>
      </w:r>
      <w:r>
        <w:t>. This needs to be done so that Australians who spend the majority of their earnings and savings in Australia are not penalised by an excessive tax burden on behalf of those who</w:t>
      </w:r>
      <w:r w:rsidR="00866DA3">
        <w:t xml:space="preserve"> tax</w:t>
      </w:r>
      <w:r>
        <w:t xml:space="preserve"> minimise and</w:t>
      </w:r>
      <w:r w:rsidR="00866DA3">
        <w:t xml:space="preserve"> </w:t>
      </w:r>
      <w:r>
        <w:t>/or spend their earnings and savings off-shore.</w:t>
      </w:r>
    </w:p>
    <w:p w:rsidR="008414AC" w:rsidRDefault="008414AC" w:rsidP="00686061">
      <w:pPr>
        <w:pStyle w:val="DWSubNumber"/>
        <w:numPr>
          <w:ilvl w:val="0"/>
          <w:numId w:val="46"/>
        </w:numPr>
      </w:pPr>
      <w:r>
        <w:t xml:space="preserve">I have been very surprised that </w:t>
      </w:r>
      <w:r w:rsidR="00957FE9">
        <w:t xml:space="preserve">much of the content of my submissions to firstly the Industry Commission inquiring into the Automotive Industry in 1997 and then Treasury’s </w:t>
      </w:r>
      <w:r w:rsidR="00686061" w:rsidRPr="00686061">
        <w:t>Review of Business Taxation</w:t>
      </w:r>
      <w:r w:rsidR="00686061">
        <w:t xml:space="preserve"> in 1999 </w:t>
      </w:r>
      <w:r w:rsidR="00BD2829">
        <w:t>continue to be</w:t>
      </w:r>
      <w:r w:rsidR="00686061">
        <w:t xml:space="preserve"> relevant. </w:t>
      </w:r>
      <w:r w:rsidR="00F1395F">
        <w:t>Accordingly</w:t>
      </w:r>
      <w:r w:rsidR="00BA10E7">
        <w:t>,</w:t>
      </w:r>
      <w:r w:rsidR="00F1395F">
        <w:t xml:space="preserve"> t</w:t>
      </w:r>
      <w:r w:rsidR="00686061">
        <w:t xml:space="preserve">he </w:t>
      </w:r>
      <w:r w:rsidR="00DA25B9">
        <w:t>Executive</w:t>
      </w:r>
      <w:r w:rsidR="00686061">
        <w:t xml:space="preserve"> Summaries and Conclusions have been reproduced from these submissions as Appendix </w:t>
      </w:r>
      <w:r w:rsidR="00C53645">
        <w:fldChar w:fldCharType="begin"/>
      </w:r>
      <w:r w:rsidR="00C53645">
        <w:instrText xml:space="preserve"> REF _Ref442392577 \r \h </w:instrText>
      </w:r>
      <w:r w:rsidR="00C53645">
        <w:fldChar w:fldCharType="separate"/>
      </w:r>
      <w:r w:rsidR="00B6524A">
        <w:t>A</w:t>
      </w:r>
      <w:r w:rsidR="00C53645">
        <w:fldChar w:fldCharType="end"/>
      </w:r>
      <w:r w:rsidR="0035724C">
        <w:t xml:space="preserve"> </w:t>
      </w:r>
      <w:r w:rsidR="00B1408B">
        <w:t>(</w:t>
      </w:r>
      <w:r w:rsidR="00C53645">
        <w:fldChar w:fldCharType="begin"/>
      </w:r>
      <w:r w:rsidR="00C53645">
        <w:instrText xml:space="preserve"> REF _Ref442392591 \h </w:instrText>
      </w:r>
      <w:r w:rsidR="00C53645">
        <w:fldChar w:fldCharType="separate"/>
      </w:r>
      <w:r w:rsidR="00B6524A">
        <w:t xml:space="preserve">Treasury GST Submission 1999 – </w:t>
      </w:r>
      <w:r w:rsidR="00C53645">
        <w:fldChar w:fldCharType="end"/>
      </w:r>
      <w:r w:rsidR="00C53645">
        <w:t xml:space="preserve"> &amp; Appendix B </w:t>
      </w:r>
      <w:r w:rsidR="00B1408B">
        <w:t>(</w:t>
      </w:r>
      <w:r w:rsidR="007E3C6C">
        <w:fldChar w:fldCharType="begin"/>
      </w:r>
      <w:r w:rsidR="007E3C6C">
        <w:instrText xml:space="preserve"> REF _Ref442392973 \h </w:instrText>
      </w:r>
      <w:r w:rsidR="007E3C6C">
        <w:fldChar w:fldCharType="separate"/>
      </w:r>
      <w:r w:rsidR="00B6524A">
        <w:t>Industry Commission Auto Submission 1997 - Extracts</w:t>
      </w:r>
      <w:r w:rsidR="007E3C6C">
        <w:fldChar w:fldCharType="end"/>
      </w:r>
      <w:r w:rsidR="00B1408B">
        <w:t>)</w:t>
      </w:r>
      <w:r w:rsidR="00610846">
        <w:t xml:space="preserve"> and form a part of this submission</w:t>
      </w:r>
      <w:r w:rsidR="00E933A6">
        <w:t>. My views regarding raising or expanding the GST remain the same, it would be a foolish in the extreme. Australia should be moving to remove the GST</w:t>
      </w:r>
      <w:r w:rsidR="004E15A0">
        <w:t xml:space="preserve"> and </w:t>
      </w:r>
      <w:r w:rsidR="009F79CB">
        <w:t>enhance our</w:t>
      </w:r>
      <w:r w:rsidR="004E15A0">
        <w:t xml:space="preserve"> competitive position</w:t>
      </w:r>
      <w:r w:rsidR="00C77D56">
        <w:t xml:space="preserve"> instead of cutting company taxes</w:t>
      </w:r>
      <w:r w:rsidR="004E15A0">
        <w:t>.</w:t>
      </w:r>
    </w:p>
    <w:p w:rsidR="00584532" w:rsidRDefault="00D54755" w:rsidP="00584532">
      <w:pPr>
        <w:pStyle w:val="DWSubNumber"/>
        <w:numPr>
          <w:ilvl w:val="0"/>
          <w:numId w:val="46"/>
        </w:numPr>
      </w:pPr>
      <w:r>
        <w:t xml:space="preserve">It is also time </w:t>
      </w:r>
      <w:r w:rsidR="00C75D7F">
        <w:t xml:space="preserve">for </w:t>
      </w:r>
      <w:r>
        <w:t xml:space="preserve">Australia </w:t>
      </w:r>
      <w:r w:rsidR="00C75D7F">
        <w:t>to reform</w:t>
      </w:r>
      <w:r>
        <w:t xml:space="preserve"> its Royal Commission Act. I fully concur with the findings of the Australian Law Reform Commission</w:t>
      </w:r>
      <w:r w:rsidR="00C110CC">
        <w:t xml:space="preserve"> 2010 inquiry</w:t>
      </w:r>
      <w:r w:rsidR="00101176">
        <w:t xml:space="preserve"> which is yet to be implemented</w:t>
      </w:r>
      <w:r w:rsidR="00C110CC">
        <w:t>.</w:t>
      </w:r>
      <w:r w:rsidR="00F24100">
        <w:t xml:space="preserve"> All significant failures of industries and businesses</w:t>
      </w:r>
      <w:r w:rsidR="009F79CB">
        <w:t>,</w:t>
      </w:r>
      <w:r w:rsidR="00F24100">
        <w:t xml:space="preserve"> </w:t>
      </w:r>
      <w:r w:rsidR="00326428">
        <w:t>as determined by the Minister</w:t>
      </w:r>
      <w:r w:rsidR="009F79CB">
        <w:t>,</w:t>
      </w:r>
      <w:r w:rsidR="00326428">
        <w:t xml:space="preserve"> </w:t>
      </w:r>
      <w:r w:rsidR="00F24100">
        <w:t>need to be investigated to understand root cause</w:t>
      </w:r>
      <w:r w:rsidR="008B4C7C">
        <w:t xml:space="preserve"> and what needs to be done </w:t>
      </w:r>
      <w:r w:rsidR="00326428">
        <w:t>in the future to</w:t>
      </w:r>
      <w:r w:rsidR="008B4C7C">
        <w:t xml:space="preserve"> prevent the likelihood of future failures.</w:t>
      </w:r>
      <w:r w:rsidR="00326428">
        <w:t xml:space="preserve"> Such Ministerial inquiries have the potential for Australia to learn from its mistakes and enhance our competitive position</w:t>
      </w:r>
      <w:r w:rsidR="00106877">
        <w:t xml:space="preserve"> in the long term</w:t>
      </w:r>
      <w:r w:rsidR="00326428">
        <w:t>.</w:t>
      </w:r>
    </w:p>
    <w:p w:rsidR="002A59B8" w:rsidRDefault="002A59B8" w:rsidP="00E63E0D">
      <w:pPr>
        <w:pStyle w:val="DWSubNumber"/>
        <w:numPr>
          <w:ilvl w:val="0"/>
          <w:numId w:val="46"/>
        </w:numPr>
      </w:pPr>
      <w:r>
        <w:t xml:space="preserve">The Productivity Commission needs to be refocussed </w:t>
      </w:r>
      <w:r w:rsidR="00517FAA">
        <w:t xml:space="preserve">and renamed </w:t>
      </w:r>
      <w:r w:rsidR="00E63E0D">
        <w:t xml:space="preserve">the </w:t>
      </w:r>
      <w:r w:rsidR="00E63E0D" w:rsidRPr="00E63E0D">
        <w:t xml:space="preserve">Quality, Productivity and Competitive </w:t>
      </w:r>
      <w:r w:rsidR="00E63E0D">
        <w:t>P</w:t>
      </w:r>
      <w:r w:rsidR="00E63E0D" w:rsidRPr="00E63E0D">
        <w:t>osition</w:t>
      </w:r>
      <w:r w:rsidR="00E63E0D">
        <w:t xml:space="preserve"> Commission. </w:t>
      </w:r>
      <w:r w:rsidR="00801434">
        <w:t>It will not be credible unless it acts o</w:t>
      </w:r>
      <w:r w:rsidR="00E63E0D">
        <w:t>n behalf of all Australians</w:t>
      </w:r>
      <w:r w:rsidR="00801434">
        <w:t xml:space="preserve">. It </w:t>
      </w:r>
      <w:r w:rsidR="00E63E0D">
        <w:t xml:space="preserve">needs to inquire </w:t>
      </w:r>
      <w:r>
        <w:t xml:space="preserve">about </w:t>
      </w:r>
      <w:r w:rsidR="00490665">
        <w:t>matters of q</w:t>
      </w:r>
      <w:r>
        <w:t xml:space="preserve">uality, </w:t>
      </w:r>
      <w:r w:rsidR="00490665">
        <w:t>p</w:t>
      </w:r>
      <w:r>
        <w:t xml:space="preserve">roductivity and </w:t>
      </w:r>
      <w:r w:rsidR="00490665">
        <w:t>c</w:t>
      </w:r>
      <w:r>
        <w:t>ompetitive position</w:t>
      </w:r>
      <w:r w:rsidR="00C87810">
        <w:t xml:space="preserve"> </w:t>
      </w:r>
      <w:r w:rsidR="006A445D">
        <w:t xml:space="preserve">for the common good. </w:t>
      </w:r>
      <w:r w:rsidR="007A31E9">
        <w:t>It needs the power to inquire into over-pricing of products and services</w:t>
      </w:r>
      <w:r w:rsidR="006A445D">
        <w:t xml:space="preserve"> on a global basis</w:t>
      </w:r>
      <w:r w:rsidR="00D829F0">
        <w:t xml:space="preserve"> and </w:t>
      </w:r>
      <w:r w:rsidR="001F4F91">
        <w:t xml:space="preserve">determine whether </w:t>
      </w:r>
      <w:r w:rsidR="00D829F0">
        <w:t>Free Trade Agreements</w:t>
      </w:r>
      <w:r w:rsidR="001F4F91">
        <w:t xml:space="preserve"> are in our best interests</w:t>
      </w:r>
      <w:r w:rsidR="007A31E9">
        <w:t>.</w:t>
      </w:r>
    </w:p>
    <w:p w:rsidR="007A31E9" w:rsidRDefault="007A31E9" w:rsidP="00584532">
      <w:pPr>
        <w:pStyle w:val="DWSubNumber"/>
        <w:numPr>
          <w:ilvl w:val="0"/>
          <w:numId w:val="46"/>
        </w:numPr>
      </w:pPr>
      <w:r>
        <w:t xml:space="preserve">Media </w:t>
      </w:r>
      <w:r w:rsidR="001F4F91">
        <w:t xml:space="preserve">Reform </w:t>
      </w:r>
      <w:r>
        <w:t>mu</w:t>
      </w:r>
      <w:r w:rsidR="00461EA0">
        <w:t>st be undertaken with the following objectives:</w:t>
      </w:r>
    </w:p>
    <w:p w:rsidR="00461EA0" w:rsidRDefault="00461EA0" w:rsidP="00461EA0">
      <w:pPr>
        <w:pStyle w:val="DWSubNumber"/>
        <w:numPr>
          <w:ilvl w:val="1"/>
          <w:numId w:val="46"/>
        </w:numPr>
        <w:tabs>
          <w:tab w:val="clear" w:pos="1985"/>
        </w:tabs>
      </w:pPr>
      <w:r>
        <w:t>Enhance media diversity</w:t>
      </w:r>
      <w:r w:rsidR="005B3A49">
        <w:t xml:space="preserve"> and quality</w:t>
      </w:r>
      <w:r w:rsidR="00FE478E">
        <w:t xml:space="preserve">, </w:t>
      </w:r>
      <w:r w:rsidR="005B3A49">
        <w:t xml:space="preserve">grow </w:t>
      </w:r>
      <w:r w:rsidR="00FE478E">
        <w:t>local production</w:t>
      </w:r>
      <w:r>
        <w:t xml:space="preserve"> and reduce t</w:t>
      </w:r>
      <w:r w:rsidR="00C20628">
        <w:t>he concentration of media power</w:t>
      </w:r>
      <w:r w:rsidR="00847F5C">
        <w:t xml:space="preserve"> </w:t>
      </w:r>
      <w:r w:rsidR="00847F5C">
        <w:fldChar w:fldCharType="begin"/>
      </w:r>
      <w:r w:rsidR="00847F5C">
        <w:instrText xml:space="preserve"> REF _Ref472539408 \r \h </w:instrText>
      </w:r>
      <w:r w:rsidR="00847F5C">
        <w:fldChar w:fldCharType="separate"/>
      </w:r>
      <w:r w:rsidR="00B6524A">
        <w:t>[17]</w:t>
      </w:r>
      <w:r w:rsidR="00847F5C">
        <w:fldChar w:fldCharType="end"/>
      </w:r>
      <w:r w:rsidR="00C20628">
        <w:t>.</w:t>
      </w:r>
    </w:p>
    <w:p w:rsidR="00D10557" w:rsidRDefault="00C94834" w:rsidP="00461EA0">
      <w:pPr>
        <w:pStyle w:val="DWSubNumber"/>
        <w:numPr>
          <w:ilvl w:val="1"/>
          <w:numId w:val="46"/>
        </w:numPr>
        <w:tabs>
          <w:tab w:val="clear" w:pos="1985"/>
        </w:tabs>
      </w:pPr>
      <w:r>
        <w:t>Costs to the public must be reduced by p</w:t>
      </w:r>
      <w:r w:rsidR="00FE478E">
        <w:t xml:space="preserve">assing laws that respect the </w:t>
      </w:r>
      <w:r w:rsidR="003508EC">
        <w:t xml:space="preserve">rights of the </w:t>
      </w:r>
      <w:r w:rsidR="00FE478E">
        <w:t xml:space="preserve">Australian public </w:t>
      </w:r>
      <w:r w:rsidR="00B779E6">
        <w:t>to all sport involving Australians</w:t>
      </w:r>
      <w:r w:rsidR="001A553A">
        <w:t>. A</w:t>
      </w:r>
      <w:r w:rsidR="00B779E6">
        <w:t>ny sporting body that has relied upon public funding</w:t>
      </w:r>
      <w:r w:rsidR="001D7032">
        <w:t xml:space="preserve"> </w:t>
      </w:r>
      <w:r w:rsidR="00703244">
        <w:t xml:space="preserve">of any kind </w:t>
      </w:r>
      <w:r w:rsidR="001D7032">
        <w:t xml:space="preserve">must be </w:t>
      </w:r>
      <w:r w:rsidR="001A553A">
        <w:t xml:space="preserve">required to ensure all domestic and international </w:t>
      </w:r>
      <w:r w:rsidR="00665A84">
        <w:t xml:space="preserve">events </w:t>
      </w:r>
      <w:r w:rsidR="001A553A">
        <w:t>are accessible</w:t>
      </w:r>
      <w:r w:rsidR="00665A84">
        <w:t xml:space="preserve"> by a </w:t>
      </w:r>
      <w:r w:rsidR="0019372B">
        <w:t xml:space="preserve">public free to air </w:t>
      </w:r>
      <w:r w:rsidR="00665A84">
        <w:t>media service</w:t>
      </w:r>
      <w:r w:rsidR="00505B4E">
        <w:t xml:space="preserve"> concurrently with provision by a private subscription channel</w:t>
      </w:r>
      <w:r w:rsidR="007D45CC">
        <w:t>.</w:t>
      </w:r>
    </w:p>
    <w:p w:rsidR="00461EA0" w:rsidRDefault="00DB2768" w:rsidP="00461EA0">
      <w:pPr>
        <w:pStyle w:val="DWSubNumber"/>
        <w:numPr>
          <w:ilvl w:val="1"/>
          <w:numId w:val="46"/>
        </w:numPr>
        <w:tabs>
          <w:tab w:val="clear" w:pos="1985"/>
        </w:tabs>
      </w:pPr>
      <w:r>
        <w:t xml:space="preserve">Each type of media service need to be </w:t>
      </w:r>
      <w:r w:rsidR="001A78FE">
        <w:t xml:space="preserve">regarded </w:t>
      </w:r>
      <w:r w:rsidR="003174B4">
        <w:t>as independent markets</w:t>
      </w:r>
      <w:r w:rsidR="002F4843">
        <w:t xml:space="preserve"> that can’t contractually control or excluded one another</w:t>
      </w:r>
      <w:r w:rsidR="00A92F97">
        <w:t xml:space="preserve"> from rights to </w:t>
      </w:r>
      <w:r w:rsidR="008D7367">
        <w:t xml:space="preserve">the same </w:t>
      </w:r>
      <w:r w:rsidR="00A92F97">
        <w:t>media</w:t>
      </w:r>
      <w:r w:rsidR="008D7367">
        <w:t xml:space="preserve"> in their respective markets</w:t>
      </w:r>
      <w:r w:rsidR="002F4843">
        <w:t>.</w:t>
      </w:r>
      <w:r w:rsidR="00FA76D2">
        <w:t xml:space="preserve"> For example Free</w:t>
      </w:r>
      <w:r w:rsidR="00E93286">
        <w:t>-</w:t>
      </w:r>
      <w:r w:rsidR="00FA76D2">
        <w:t>To</w:t>
      </w:r>
      <w:r w:rsidR="00E93286">
        <w:t>-</w:t>
      </w:r>
      <w:r w:rsidR="00FA76D2">
        <w:t xml:space="preserve">Air </w:t>
      </w:r>
      <w:r w:rsidR="00E93286">
        <w:t>Television</w:t>
      </w:r>
      <w:r w:rsidR="00FA76D2">
        <w:t xml:space="preserve"> is </w:t>
      </w:r>
      <w:r w:rsidR="00E93286">
        <w:t xml:space="preserve">but </w:t>
      </w:r>
      <w:r w:rsidR="00FA76D2">
        <w:t xml:space="preserve">one type of media </w:t>
      </w:r>
      <w:r w:rsidR="00671FBE">
        <w:t>market</w:t>
      </w:r>
      <w:r w:rsidR="00FA76D2">
        <w:t>, while subscription TV is another.</w:t>
      </w:r>
      <w:r w:rsidR="005E5D07">
        <w:t xml:space="preserve"> This proposal will enhance competition between media services and reduce costs</w:t>
      </w:r>
      <w:r w:rsidR="002411FE">
        <w:t xml:space="preserve"> to the public and economy</w:t>
      </w:r>
      <w:r w:rsidR="005E5D07">
        <w:t>.</w:t>
      </w:r>
    </w:p>
    <w:p w:rsidR="00185673" w:rsidRDefault="007846D0" w:rsidP="00185673">
      <w:pPr>
        <w:pStyle w:val="DWSubNumber"/>
        <w:numPr>
          <w:ilvl w:val="1"/>
          <w:numId w:val="46"/>
        </w:numPr>
        <w:tabs>
          <w:tab w:val="clear" w:pos="1985"/>
        </w:tabs>
      </w:pPr>
      <w:r>
        <w:t xml:space="preserve">The ownership of printing presses needs to be separated from </w:t>
      </w:r>
      <w:r w:rsidR="00185673">
        <w:t xml:space="preserve">media </w:t>
      </w:r>
      <w:r>
        <w:t>publisher</w:t>
      </w:r>
      <w:r w:rsidR="00DA31B2">
        <w:t>s</w:t>
      </w:r>
      <w:r>
        <w:t xml:space="preserve"> so no one publisher can control a geographic area of Australia.</w:t>
      </w:r>
      <w:r w:rsidR="00DA31B2">
        <w:t xml:space="preserve"> This reform for example would provide </w:t>
      </w:r>
      <w:r w:rsidR="003B05A5">
        <w:t>Fairfax Media</w:t>
      </w:r>
      <w:r w:rsidR="00CB3615">
        <w:t xml:space="preserve"> or any other media organisation</w:t>
      </w:r>
      <w:r w:rsidR="003B05A5">
        <w:t xml:space="preserve"> the ability to </w:t>
      </w:r>
      <w:r w:rsidR="00964A49">
        <w:t xml:space="preserve">print </w:t>
      </w:r>
      <w:r w:rsidR="003B05A5">
        <w:t xml:space="preserve">newspapers in </w:t>
      </w:r>
      <w:r w:rsidR="00563182">
        <w:t xml:space="preserve">direct </w:t>
      </w:r>
      <w:r w:rsidR="003B05A5">
        <w:t>competition with News Corporation.</w:t>
      </w:r>
    </w:p>
    <w:p w:rsidR="00CB7B1F" w:rsidRDefault="005749AC" w:rsidP="005749AC">
      <w:pPr>
        <w:pStyle w:val="DWSubNumber"/>
        <w:numPr>
          <w:ilvl w:val="0"/>
          <w:numId w:val="46"/>
        </w:numPr>
      </w:pPr>
      <w:r>
        <w:t>There are substantial numbers of foreign workers operating in Australia</w:t>
      </w:r>
      <w:r w:rsidR="000A4ED8">
        <w:t xml:space="preserve"> </w:t>
      </w:r>
      <w:r w:rsidR="000A4ED8">
        <w:fldChar w:fldCharType="begin"/>
      </w:r>
      <w:r w:rsidR="000A4ED8">
        <w:instrText xml:space="preserve"> REF _Ref472514421 \r \h </w:instrText>
      </w:r>
      <w:r w:rsidR="000A4ED8">
        <w:fldChar w:fldCharType="separate"/>
      </w:r>
      <w:r w:rsidR="00B6524A">
        <w:t>[13]</w:t>
      </w:r>
      <w:r w:rsidR="000A4ED8">
        <w:fldChar w:fldCharType="end"/>
      </w:r>
      <w:r>
        <w:t>.</w:t>
      </w:r>
      <w:r w:rsidR="00A71959">
        <w:t xml:space="preserve"> It is wrong for </w:t>
      </w:r>
      <w:r w:rsidR="00627289">
        <w:t>the</w:t>
      </w:r>
      <w:r w:rsidR="00110C5B">
        <w:t xml:space="preserve"> </w:t>
      </w:r>
      <w:r w:rsidR="00177DC5">
        <w:t xml:space="preserve">social security </w:t>
      </w:r>
      <w:r w:rsidR="00A71959">
        <w:t>cost</w:t>
      </w:r>
      <w:r w:rsidR="005F13C5">
        <w:t>s</w:t>
      </w:r>
      <w:r w:rsidR="00A71959">
        <w:t xml:space="preserve"> of displaced Australian workers to be </w:t>
      </w:r>
      <w:r w:rsidR="00177DC5">
        <w:t xml:space="preserve">the </w:t>
      </w:r>
      <w:r w:rsidR="00627289">
        <w:t>sole responsibility</w:t>
      </w:r>
      <w:r w:rsidR="00177DC5">
        <w:t xml:space="preserve"> of</w:t>
      </w:r>
      <w:r w:rsidR="00A71959">
        <w:t xml:space="preserve"> taxpayers.</w:t>
      </w:r>
      <w:r w:rsidR="00627289">
        <w:t xml:space="preserve"> </w:t>
      </w:r>
      <w:r w:rsidR="000B45D8">
        <w:t xml:space="preserve">An inquiry needs to be held </w:t>
      </w:r>
      <w:r w:rsidR="005F13C5">
        <w:t>to determine the</w:t>
      </w:r>
      <w:r w:rsidR="000B45D8">
        <w:t xml:space="preserve"> full </w:t>
      </w:r>
      <w:r w:rsidR="00330C73">
        <w:t xml:space="preserve">financial </w:t>
      </w:r>
      <w:r w:rsidR="000B45D8">
        <w:t>impact of foreign workers operating in Australia</w:t>
      </w:r>
      <w:r w:rsidR="00163970">
        <w:t xml:space="preserve"> and whether costs are being </w:t>
      </w:r>
      <w:r w:rsidR="00F75A1C">
        <w:t>fairly</w:t>
      </w:r>
      <w:r w:rsidR="00163970">
        <w:t xml:space="preserve"> recovered </w:t>
      </w:r>
      <w:r w:rsidR="00444B8A">
        <w:t xml:space="preserve">by all levels of government </w:t>
      </w:r>
      <w:r w:rsidR="00163970">
        <w:t xml:space="preserve">under existing taxation arrangements. If they are not </w:t>
      </w:r>
      <w:r w:rsidR="009F6798">
        <w:t>then a</w:t>
      </w:r>
      <w:r w:rsidR="0037431F">
        <w:t>n Australian Employee</w:t>
      </w:r>
      <w:r w:rsidR="009F6798">
        <w:t xml:space="preserve"> </w:t>
      </w:r>
      <w:r w:rsidR="00163970">
        <w:t xml:space="preserve">Displacement Levy needs to be </w:t>
      </w:r>
      <w:r w:rsidR="00444B8A">
        <w:t>put in place</w:t>
      </w:r>
      <w:r w:rsidR="00163970">
        <w:t xml:space="preserve"> for </w:t>
      </w:r>
      <w:r w:rsidR="00444B8A">
        <w:t xml:space="preserve">all </w:t>
      </w:r>
      <w:r w:rsidR="00163970">
        <w:t xml:space="preserve">businesses </w:t>
      </w:r>
      <w:r w:rsidR="009F6798">
        <w:t>that use</w:t>
      </w:r>
      <w:r w:rsidR="00F75A1C">
        <w:t xml:space="preserve"> foreign employees</w:t>
      </w:r>
      <w:r w:rsidR="00563182">
        <w:t xml:space="preserve"> in Australi</w:t>
      </w:r>
      <w:r w:rsidR="00DD763C">
        <w:t>a</w:t>
      </w:r>
      <w:r w:rsidR="00444B8A">
        <w:t xml:space="preserve"> to ensure</w:t>
      </w:r>
      <w:r w:rsidR="0037431F">
        <w:t xml:space="preserve"> the welf</w:t>
      </w:r>
      <w:r w:rsidR="00080431">
        <w:t xml:space="preserve">are </w:t>
      </w:r>
      <w:r w:rsidR="0037431F">
        <w:t xml:space="preserve">burden is </w:t>
      </w:r>
      <w:r w:rsidR="0055326A">
        <w:t>proportionally higher for employers who use foreign workers</w:t>
      </w:r>
      <w:r w:rsidR="00053286">
        <w:t>.</w:t>
      </w:r>
    </w:p>
    <w:p w:rsidR="00C81327" w:rsidRDefault="00AD45F8" w:rsidP="00AD45F8">
      <w:pPr>
        <w:pStyle w:val="DWParaText"/>
      </w:pPr>
      <w:r>
        <w:t> </w:t>
      </w:r>
    </w:p>
    <w:p w:rsidR="003A6FA3" w:rsidRDefault="003A6FA3">
      <w:pPr>
        <w:rPr>
          <w:b/>
          <w:kern w:val="28"/>
          <w:sz w:val="24"/>
        </w:rPr>
      </w:pPr>
      <w:bookmarkStart w:id="8" w:name="_Toc15741352"/>
      <w:bookmarkStart w:id="9" w:name="_Toc102749750"/>
      <w:bookmarkStart w:id="10" w:name="_Toc407219267"/>
      <w:r>
        <w:br w:type="page"/>
      </w:r>
    </w:p>
    <w:p w:rsidR="00C81327" w:rsidRDefault="004250BB" w:rsidP="00487BEA">
      <w:pPr>
        <w:pStyle w:val="DWHeading2"/>
        <w:numPr>
          <w:ilvl w:val="1"/>
          <w:numId w:val="34"/>
        </w:numPr>
      </w:pPr>
      <w:bookmarkStart w:id="11" w:name="_Toc472599232"/>
      <w:r>
        <w:t>Reference</w:t>
      </w:r>
      <w:bookmarkEnd w:id="8"/>
      <w:bookmarkEnd w:id="9"/>
      <w:bookmarkEnd w:id="10"/>
      <w:r w:rsidR="00BC2702">
        <w:t>s</w:t>
      </w:r>
      <w:bookmarkEnd w:id="11"/>
    </w:p>
    <w:p w:rsidR="00AC6AF1" w:rsidRPr="00E16310" w:rsidRDefault="00AC6AF1" w:rsidP="00AC6AF1">
      <w:pPr>
        <w:pStyle w:val="DWTableCaption"/>
      </w:pPr>
      <w:bookmarkStart w:id="12" w:name="_Toc472599249"/>
      <w:r>
        <w:t xml:space="preserve">Table </w:t>
      </w:r>
      <w:r w:rsidR="00524F02">
        <w:fldChar w:fldCharType="begin"/>
      </w:r>
      <w:r w:rsidR="00524F02">
        <w:instrText xml:space="preserve"> SEQ Table \* Arabic \s 1 \* MERGEFORMAT </w:instrText>
      </w:r>
      <w:r w:rsidR="00524F02">
        <w:fldChar w:fldCharType="separate"/>
      </w:r>
      <w:r w:rsidR="00B6524A">
        <w:rPr>
          <w:noProof/>
        </w:rPr>
        <w:t>1</w:t>
      </w:r>
      <w:r w:rsidR="00524F02">
        <w:rPr>
          <w:noProof/>
        </w:rPr>
        <w:fldChar w:fldCharType="end"/>
      </w:r>
      <w:r>
        <w:t>.</w:t>
      </w:r>
      <w:r>
        <w:tab/>
        <w:t>Documents</w:t>
      </w:r>
      <w:bookmarkEnd w:id="12"/>
    </w:p>
    <w:tbl>
      <w:tblPr>
        <w:tblW w:w="8046" w:type="dxa"/>
        <w:tblInd w:w="1418" w:type="dxa"/>
        <w:tblLayout w:type="fixed"/>
        <w:tblLook w:val="0000" w:firstRow="0" w:lastRow="0" w:firstColumn="0" w:lastColumn="0" w:noHBand="0" w:noVBand="0"/>
      </w:tblPr>
      <w:tblGrid>
        <w:gridCol w:w="533"/>
        <w:gridCol w:w="1441"/>
        <w:gridCol w:w="900"/>
        <w:gridCol w:w="5172"/>
      </w:tblGrid>
      <w:tr w:rsidR="00C81327" w:rsidRPr="003C674B" w:rsidTr="00361CCB">
        <w:trPr>
          <w:cantSplit/>
          <w:tblHeader/>
        </w:trPr>
        <w:tc>
          <w:tcPr>
            <w:tcW w:w="533" w:type="dxa"/>
            <w:tcBorders>
              <w:top w:val="single" w:sz="6" w:space="0" w:color="auto"/>
              <w:left w:val="single" w:sz="6" w:space="0" w:color="auto"/>
              <w:bottom w:val="single" w:sz="6" w:space="0" w:color="auto"/>
              <w:right w:val="single" w:sz="6" w:space="0" w:color="auto"/>
            </w:tcBorders>
            <w:shd w:val="pct10" w:color="auto" w:fill="FFFFFF"/>
            <w:vAlign w:val="center"/>
          </w:tcPr>
          <w:p w:rsidR="00C81327" w:rsidRPr="003C674B" w:rsidRDefault="00C81327">
            <w:pPr>
              <w:pStyle w:val="DWTableHeading"/>
              <w:pBdr>
                <w:top w:val="none" w:sz="0" w:space="0" w:color="auto"/>
                <w:left w:val="none" w:sz="0" w:space="0" w:color="auto"/>
                <w:bottom w:val="none" w:sz="0" w:space="0" w:color="auto"/>
                <w:right w:val="none" w:sz="0" w:space="0" w:color="auto"/>
              </w:pBdr>
              <w:shd w:val="clear" w:color="auto" w:fill="auto"/>
              <w:rPr>
                <w:rFonts w:ascii="Arial" w:hAnsi="Arial" w:cs="Arial"/>
                <w:sz w:val="16"/>
                <w:szCs w:val="16"/>
              </w:rPr>
            </w:pPr>
          </w:p>
        </w:tc>
        <w:tc>
          <w:tcPr>
            <w:tcW w:w="1441" w:type="dxa"/>
            <w:tcBorders>
              <w:top w:val="single" w:sz="6" w:space="0" w:color="auto"/>
              <w:left w:val="nil"/>
              <w:bottom w:val="single" w:sz="6" w:space="0" w:color="auto"/>
              <w:right w:val="single" w:sz="6" w:space="0" w:color="auto"/>
            </w:tcBorders>
            <w:shd w:val="pct10" w:color="auto" w:fill="FFFFFF"/>
            <w:vAlign w:val="center"/>
          </w:tcPr>
          <w:p w:rsidR="00C81327" w:rsidRPr="003C674B" w:rsidRDefault="00C81327">
            <w:pPr>
              <w:pStyle w:val="DWTableHeading"/>
              <w:pBdr>
                <w:top w:val="none" w:sz="0" w:space="0" w:color="auto"/>
                <w:left w:val="none" w:sz="0" w:space="0" w:color="auto"/>
                <w:bottom w:val="none" w:sz="0" w:space="0" w:color="auto"/>
                <w:right w:val="none" w:sz="0" w:space="0" w:color="auto"/>
              </w:pBdr>
              <w:shd w:val="clear" w:color="auto" w:fill="auto"/>
              <w:rPr>
                <w:rFonts w:ascii="Arial" w:hAnsi="Arial" w:cs="Arial"/>
                <w:sz w:val="16"/>
                <w:szCs w:val="16"/>
              </w:rPr>
            </w:pPr>
            <w:r w:rsidRPr="003C674B">
              <w:rPr>
                <w:rFonts w:ascii="Arial" w:hAnsi="Arial" w:cs="Arial"/>
                <w:sz w:val="16"/>
                <w:szCs w:val="16"/>
              </w:rPr>
              <w:t>Identification</w:t>
            </w:r>
          </w:p>
        </w:tc>
        <w:tc>
          <w:tcPr>
            <w:tcW w:w="900" w:type="dxa"/>
            <w:tcBorders>
              <w:top w:val="single" w:sz="6" w:space="0" w:color="auto"/>
              <w:left w:val="nil"/>
              <w:bottom w:val="single" w:sz="6" w:space="0" w:color="auto"/>
              <w:right w:val="single" w:sz="6" w:space="0" w:color="auto"/>
            </w:tcBorders>
            <w:shd w:val="pct10" w:color="auto" w:fill="FFFFFF"/>
            <w:vAlign w:val="center"/>
          </w:tcPr>
          <w:p w:rsidR="00C81327" w:rsidRPr="003C674B" w:rsidRDefault="00C81327">
            <w:pPr>
              <w:pStyle w:val="DWTableHeading"/>
              <w:pBdr>
                <w:top w:val="none" w:sz="0" w:space="0" w:color="auto"/>
                <w:left w:val="none" w:sz="0" w:space="0" w:color="auto"/>
                <w:bottom w:val="none" w:sz="0" w:space="0" w:color="auto"/>
                <w:right w:val="none" w:sz="0" w:space="0" w:color="auto"/>
              </w:pBdr>
              <w:shd w:val="clear" w:color="auto" w:fill="auto"/>
              <w:jc w:val="center"/>
              <w:rPr>
                <w:rFonts w:ascii="Arial" w:hAnsi="Arial" w:cs="Arial"/>
                <w:sz w:val="16"/>
                <w:szCs w:val="16"/>
              </w:rPr>
            </w:pPr>
            <w:r w:rsidRPr="003C674B">
              <w:rPr>
                <w:rFonts w:ascii="Arial" w:hAnsi="Arial" w:cs="Arial"/>
                <w:sz w:val="16"/>
                <w:szCs w:val="16"/>
              </w:rPr>
              <w:t>Issue</w:t>
            </w:r>
          </w:p>
        </w:tc>
        <w:tc>
          <w:tcPr>
            <w:tcW w:w="5172" w:type="dxa"/>
            <w:tcBorders>
              <w:top w:val="single" w:sz="6" w:space="0" w:color="auto"/>
              <w:left w:val="nil"/>
              <w:bottom w:val="single" w:sz="6" w:space="0" w:color="auto"/>
              <w:right w:val="single" w:sz="6" w:space="0" w:color="auto"/>
            </w:tcBorders>
            <w:shd w:val="pct10" w:color="auto" w:fill="FFFFFF"/>
            <w:vAlign w:val="center"/>
          </w:tcPr>
          <w:p w:rsidR="00C81327" w:rsidRPr="003C674B" w:rsidRDefault="00C81327">
            <w:pPr>
              <w:pStyle w:val="DWTableHeading"/>
              <w:pBdr>
                <w:top w:val="none" w:sz="0" w:space="0" w:color="auto"/>
                <w:left w:val="none" w:sz="0" w:space="0" w:color="auto"/>
                <w:bottom w:val="none" w:sz="0" w:space="0" w:color="auto"/>
                <w:right w:val="none" w:sz="0" w:space="0" w:color="auto"/>
              </w:pBdr>
              <w:shd w:val="clear" w:color="auto" w:fill="auto"/>
              <w:rPr>
                <w:rFonts w:ascii="Arial" w:hAnsi="Arial" w:cs="Arial"/>
                <w:sz w:val="16"/>
                <w:szCs w:val="16"/>
              </w:rPr>
            </w:pPr>
            <w:r w:rsidRPr="003C674B">
              <w:rPr>
                <w:rFonts w:ascii="Arial" w:hAnsi="Arial" w:cs="Arial"/>
                <w:sz w:val="16"/>
                <w:szCs w:val="16"/>
              </w:rPr>
              <w:t>Title</w:t>
            </w:r>
          </w:p>
        </w:tc>
      </w:tr>
      <w:tr w:rsidR="006C6E65"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6C6E65" w:rsidRPr="003C674B" w:rsidRDefault="006C6E65">
            <w:pPr>
              <w:pStyle w:val="DWReferenceNumber"/>
              <w:numPr>
                <w:ilvl w:val="0"/>
                <w:numId w:val="3"/>
              </w:numPr>
              <w:rPr>
                <w:rFonts w:ascii="Arial" w:hAnsi="Arial" w:cs="Arial"/>
                <w:szCs w:val="16"/>
              </w:rPr>
            </w:pPr>
            <w:bookmarkStart w:id="13" w:name="_Ref224207458"/>
          </w:p>
        </w:tc>
        <w:bookmarkEnd w:id="13"/>
        <w:tc>
          <w:tcPr>
            <w:tcW w:w="1441" w:type="dxa"/>
            <w:tcBorders>
              <w:top w:val="single" w:sz="6" w:space="0" w:color="auto"/>
              <w:left w:val="single" w:sz="6" w:space="0" w:color="auto"/>
              <w:bottom w:val="single" w:sz="6" w:space="0" w:color="auto"/>
              <w:right w:val="single" w:sz="6" w:space="0" w:color="auto"/>
            </w:tcBorders>
            <w:vAlign w:val="center"/>
          </w:tcPr>
          <w:p w:rsidR="006C6E65" w:rsidRPr="003C674B" w:rsidRDefault="00947A77">
            <w:pPr>
              <w:pStyle w:val="DWTableText"/>
              <w:rPr>
                <w:rFonts w:ascii="Arial" w:hAnsi="Arial" w:cs="Arial"/>
                <w:sz w:val="16"/>
                <w:szCs w:val="16"/>
              </w:rPr>
            </w:pPr>
            <w:r w:rsidRPr="003C674B">
              <w:rPr>
                <w:rFonts w:ascii="Arial" w:hAnsi="Arial" w:cs="Arial"/>
                <w:sz w:val="16"/>
                <w:szCs w:val="16"/>
              </w:rPr>
              <w:t>ISBN: 9780262100601</w:t>
            </w:r>
          </w:p>
        </w:tc>
        <w:tc>
          <w:tcPr>
            <w:tcW w:w="900" w:type="dxa"/>
            <w:tcBorders>
              <w:top w:val="single" w:sz="6" w:space="0" w:color="auto"/>
              <w:left w:val="single" w:sz="6" w:space="0" w:color="auto"/>
              <w:bottom w:val="single" w:sz="6" w:space="0" w:color="auto"/>
              <w:right w:val="single" w:sz="6" w:space="0" w:color="auto"/>
            </w:tcBorders>
            <w:vAlign w:val="center"/>
          </w:tcPr>
          <w:p w:rsidR="006C6E65" w:rsidRPr="003C674B" w:rsidRDefault="00947A77" w:rsidP="00D204E5">
            <w:pPr>
              <w:pStyle w:val="DWTableText"/>
              <w:jc w:val="center"/>
              <w:rPr>
                <w:rFonts w:ascii="Arial" w:hAnsi="Arial" w:cs="Arial"/>
                <w:sz w:val="16"/>
                <w:szCs w:val="16"/>
              </w:rPr>
            </w:pPr>
            <w:r w:rsidRPr="003C674B">
              <w:rPr>
                <w:rFonts w:ascii="Arial" w:hAnsi="Arial" w:cs="Arial"/>
                <w:sz w:val="16"/>
                <w:szCs w:val="16"/>
              </w:rPr>
              <w:t>April 1998</w:t>
            </w:r>
          </w:p>
        </w:tc>
        <w:tc>
          <w:tcPr>
            <w:tcW w:w="5172" w:type="dxa"/>
            <w:tcBorders>
              <w:top w:val="single" w:sz="6" w:space="0" w:color="auto"/>
              <w:left w:val="single" w:sz="6" w:space="0" w:color="auto"/>
              <w:bottom w:val="single" w:sz="6" w:space="0" w:color="auto"/>
              <w:right w:val="single" w:sz="6" w:space="0" w:color="auto"/>
            </w:tcBorders>
            <w:vAlign w:val="center"/>
          </w:tcPr>
          <w:p w:rsidR="00FD7FE1" w:rsidRPr="003C674B" w:rsidRDefault="00FD7FE1" w:rsidP="00FD7FE1">
            <w:pPr>
              <w:pStyle w:val="DWTableText"/>
              <w:rPr>
                <w:rFonts w:ascii="Arial" w:hAnsi="Arial" w:cs="Arial"/>
                <w:sz w:val="16"/>
                <w:szCs w:val="16"/>
              </w:rPr>
            </w:pPr>
            <w:r w:rsidRPr="003C674B">
              <w:rPr>
                <w:rFonts w:ascii="Arial" w:hAnsi="Arial" w:cs="Arial"/>
                <w:sz w:val="16"/>
                <w:szCs w:val="16"/>
              </w:rPr>
              <w:t xml:space="preserve">Made in Japan Revitalizing Japanese Manufacturing for Economic Growth </w:t>
            </w:r>
            <w:r w:rsidR="00F42E6A" w:rsidRPr="003C674B">
              <w:rPr>
                <w:rFonts w:ascii="Arial" w:hAnsi="Arial" w:cs="Arial"/>
                <w:sz w:val="16"/>
                <w:szCs w:val="16"/>
              </w:rPr>
              <w:t>Japan Commission</w:t>
            </w:r>
            <w:r w:rsidR="00360123" w:rsidRPr="003C674B">
              <w:rPr>
                <w:rFonts w:ascii="Arial" w:hAnsi="Arial" w:cs="Arial"/>
                <w:sz w:val="16"/>
                <w:szCs w:val="16"/>
              </w:rPr>
              <w:t>.</w:t>
            </w:r>
          </w:p>
          <w:p w:rsidR="00F42E6A" w:rsidRPr="003C674B" w:rsidRDefault="00524F02" w:rsidP="00FD7FE1">
            <w:pPr>
              <w:pStyle w:val="DWTableText"/>
              <w:rPr>
                <w:rFonts w:ascii="Arial" w:hAnsi="Arial" w:cs="Arial"/>
                <w:sz w:val="16"/>
                <w:szCs w:val="16"/>
              </w:rPr>
            </w:pPr>
            <w:hyperlink r:id="rId15" w:history="1">
              <w:r w:rsidR="00F42E6A" w:rsidRPr="003C674B">
                <w:rPr>
                  <w:rStyle w:val="Hyperlink"/>
                  <w:rFonts w:ascii="Arial" w:hAnsi="Arial" w:cs="Arial"/>
                  <w:sz w:val="16"/>
                  <w:szCs w:val="16"/>
                </w:rPr>
                <w:t>http://mitpress.mit.edu/books/made-japan</w:t>
              </w:r>
            </w:hyperlink>
          </w:p>
          <w:p w:rsidR="006C6E65" w:rsidRPr="003C674B" w:rsidRDefault="00FD7FE1" w:rsidP="00FD7FE1">
            <w:pPr>
              <w:pStyle w:val="DWTableText"/>
              <w:rPr>
                <w:rFonts w:ascii="Arial" w:hAnsi="Arial" w:cs="Arial"/>
                <w:sz w:val="16"/>
                <w:szCs w:val="16"/>
              </w:rPr>
            </w:pPr>
            <w:r w:rsidRPr="003C674B">
              <w:rPr>
                <w:rFonts w:ascii="Arial" w:hAnsi="Arial" w:cs="Arial"/>
                <w:sz w:val="16"/>
                <w:szCs w:val="16"/>
              </w:rPr>
              <w:t>Winner of the Shingo Research and Professional Publication Prize for 1999</w:t>
            </w:r>
            <w:r w:rsidR="00360123" w:rsidRPr="003C674B">
              <w:rPr>
                <w:rFonts w:ascii="Arial" w:hAnsi="Arial" w:cs="Arial"/>
                <w:sz w:val="16"/>
                <w:szCs w:val="16"/>
              </w:rPr>
              <w:t>.</w:t>
            </w:r>
          </w:p>
        </w:tc>
      </w:tr>
      <w:tr w:rsidR="00F42E6A"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F42E6A" w:rsidRPr="003C674B" w:rsidRDefault="00F42E6A">
            <w:pPr>
              <w:pStyle w:val="DWReferenceNumber"/>
              <w:numPr>
                <w:ilvl w:val="0"/>
                <w:numId w:val="3"/>
              </w:numPr>
              <w:rPr>
                <w:rFonts w:ascii="Arial" w:hAnsi="Arial" w:cs="Arial"/>
                <w:szCs w:val="16"/>
              </w:rPr>
            </w:pPr>
          </w:p>
        </w:tc>
        <w:tc>
          <w:tcPr>
            <w:tcW w:w="1441" w:type="dxa"/>
            <w:tcBorders>
              <w:top w:val="single" w:sz="6" w:space="0" w:color="auto"/>
              <w:left w:val="single" w:sz="6" w:space="0" w:color="auto"/>
              <w:bottom w:val="single" w:sz="6" w:space="0" w:color="auto"/>
              <w:right w:val="single" w:sz="6" w:space="0" w:color="auto"/>
            </w:tcBorders>
            <w:vAlign w:val="center"/>
          </w:tcPr>
          <w:p w:rsidR="00F42E6A" w:rsidRPr="003C674B" w:rsidRDefault="000B3C51">
            <w:pPr>
              <w:pStyle w:val="DWTableText"/>
              <w:rPr>
                <w:rFonts w:ascii="Arial" w:hAnsi="Arial" w:cs="Arial"/>
                <w:sz w:val="16"/>
                <w:szCs w:val="16"/>
              </w:rPr>
            </w:pPr>
            <w:r w:rsidRPr="003C674B">
              <w:rPr>
                <w:rFonts w:ascii="Arial" w:hAnsi="Arial" w:cs="Arial"/>
                <w:sz w:val="16"/>
                <w:szCs w:val="16"/>
              </w:rPr>
              <w:t>ISBN: 9780262041003</w:t>
            </w:r>
          </w:p>
        </w:tc>
        <w:tc>
          <w:tcPr>
            <w:tcW w:w="900" w:type="dxa"/>
            <w:tcBorders>
              <w:top w:val="single" w:sz="6" w:space="0" w:color="auto"/>
              <w:left w:val="single" w:sz="6" w:space="0" w:color="auto"/>
              <w:bottom w:val="single" w:sz="6" w:space="0" w:color="auto"/>
              <w:right w:val="single" w:sz="6" w:space="0" w:color="auto"/>
            </w:tcBorders>
            <w:vAlign w:val="center"/>
          </w:tcPr>
          <w:p w:rsidR="00F42E6A" w:rsidRPr="003C674B" w:rsidRDefault="00095BDD" w:rsidP="00D204E5">
            <w:pPr>
              <w:pStyle w:val="DWTableText"/>
              <w:jc w:val="center"/>
              <w:rPr>
                <w:rFonts w:ascii="Arial" w:hAnsi="Arial" w:cs="Arial"/>
                <w:sz w:val="16"/>
                <w:szCs w:val="16"/>
              </w:rPr>
            </w:pPr>
            <w:r w:rsidRPr="003C674B">
              <w:rPr>
                <w:rFonts w:ascii="Arial" w:hAnsi="Arial" w:cs="Arial"/>
                <w:sz w:val="16"/>
                <w:szCs w:val="16"/>
              </w:rPr>
              <w:t>1989</w:t>
            </w:r>
          </w:p>
        </w:tc>
        <w:tc>
          <w:tcPr>
            <w:tcW w:w="5172" w:type="dxa"/>
            <w:tcBorders>
              <w:top w:val="single" w:sz="6" w:space="0" w:color="auto"/>
              <w:left w:val="single" w:sz="6" w:space="0" w:color="auto"/>
              <w:bottom w:val="single" w:sz="6" w:space="0" w:color="auto"/>
              <w:right w:val="single" w:sz="6" w:space="0" w:color="auto"/>
            </w:tcBorders>
            <w:vAlign w:val="center"/>
          </w:tcPr>
          <w:p w:rsidR="00095BDD" w:rsidRPr="003C674B" w:rsidRDefault="00095BDD" w:rsidP="00095BDD">
            <w:pPr>
              <w:pStyle w:val="DWTableText"/>
              <w:rPr>
                <w:rFonts w:ascii="Arial" w:hAnsi="Arial" w:cs="Arial"/>
                <w:sz w:val="16"/>
                <w:szCs w:val="16"/>
              </w:rPr>
            </w:pPr>
            <w:r w:rsidRPr="003C674B">
              <w:rPr>
                <w:rFonts w:ascii="Arial" w:hAnsi="Arial" w:cs="Arial"/>
                <w:sz w:val="16"/>
                <w:szCs w:val="16"/>
              </w:rPr>
              <w:t>Made in America</w:t>
            </w:r>
          </w:p>
          <w:p w:rsidR="00F42E6A" w:rsidRPr="003C674B" w:rsidRDefault="00095BDD" w:rsidP="00095BDD">
            <w:pPr>
              <w:pStyle w:val="DWTableText"/>
              <w:rPr>
                <w:rFonts w:ascii="Arial" w:hAnsi="Arial" w:cs="Arial"/>
                <w:sz w:val="16"/>
                <w:szCs w:val="16"/>
              </w:rPr>
            </w:pPr>
            <w:r w:rsidRPr="003C674B">
              <w:rPr>
                <w:rFonts w:ascii="Arial" w:hAnsi="Arial" w:cs="Arial"/>
                <w:sz w:val="16"/>
                <w:szCs w:val="16"/>
              </w:rPr>
              <w:t>Regaining the Productive Edge, MIT Press</w:t>
            </w:r>
          </w:p>
          <w:p w:rsidR="00171595" w:rsidRPr="003C674B" w:rsidRDefault="00524F02" w:rsidP="00171595">
            <w:pPr>
              <w:pStyle w:val="DWTableText"/>
              <w:rPr>
                <w:rFonts w:ascii="Arial" w:hAnsi="Arial" w:cs="Arial"/>
                <w:sz w:val="16"/>
                <w:szCs w:val="16"/>
              </w:rPr>
            </w:pPr>
            <w:hyperlink r:id="rId16" w:history="1">
              <w:r w:rsidR="00171595" w:rsidRPr="003C674B">
                <w:rPr>
                  <w:rStyle w:val="Hyperlink"/>
                  <w:rFonts w:ascii="Arial" w:hAnsi="Arial" w:cs="Arial"/>
                  <w:sz w:val="16"/>
                  <w:szCs w:val="16"/>
                </w:rPr>
                <w:t>http://mitpress.mit.edu/books/made-america</w:t>
              </w:r>
            </w:hyperlink>
          </w:p>
        </w:tc>
      </w:tr>
      <w:tr w:rsidR="005A3918"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5A3918" w:rsidRPr="003C674B" w:rsidRDefault="005A3918">
            <w:pPr>
              <w:pStyle w:val="DWReferenceNumber"/>
              <w:numPr>
                <w:ilvl w:val="0"/>
                <w:numId w:val="3"/>
              </w:numPr>
              <w:rPr>
                <w:rFonts w:ascii="Arial" w:hAnsi="Arial" w:cs="Arial"/>
                <w:szCs w:val="16"/>
              </w:rPr>
            </w:pPr>
            <w:bookmarkStart w:id="14" w:name="_Ref472541268"/>
          </w:p>
        </w:tc>
        <w:bookmarkEnd w:id="14"/>
        <w:tc>
          <w:tcPr>
            <w:tcW w:w="1441" w:type="dxa"/>
            <w:tcBorders>
              <w:top w:val="single" w:sz="6" w:space="0" w:color="auto"/>
              <w:left w:val="single" w:sz="6" w:space="0" w:color="auto"/>
              <w:bottom w:val="single" w:sz="6" w:space="0" w:color="auto"/>
              <w:right w:val="single" w:sz="6" w:space="0" w:color="auto"/>
            </w:tcBorders>
            <w:vAlign w:val="center"/>
          </w:tcPr>
          <w:p w:rsidR="00171595" w:rsidRPr="003C674B" w:rsidRDefault="00171595">
            <w:pPr>
              <w:pStyle w:val="DWTableText"/>
              <w:rPr>
                <w:rFonts w:ascii="Arial" w:hAnsi="Arial" w:cs="Arial"/>
                <w:sz w:val="16"/>
                <w:szCs w:val="16"/>
              </w:rPr>
            </w:pPr>
            <w:r w:rsidRPr="003C674B">
              <w:rPr>
                <w:rFonts w:ascii="Arial" w:hAnsi="Arial" w:cs="Arial"/>
                <w:sz w:val="16"/>
                <w:szCs w:val="16"/>
              </w:rPr>
              <w:t>RBT9901</w:t>
            </w:r>
          </w:p>
          <w:p w:rsidR="005A3918" w:rsidRPr="003C674B" w:rsidRDefault="00171595">
            <w:pPr>
              <w:pStyle w:val="DWTableText"/>
              <w:rPr>
                <w:rFonts w:ascii="Arial" w:hAnsi="Arial" w:cs="Arial"/>
                <w:sz w:val="16"/>
                <w:szCs w:val="16"/>
              </w:rPr>
            </w:pPr>
            <w:r w:rsidRPr="003C674B">
              <w:rPr>
                <w:rFonts w:ascii="Arial" w:hAnsi="Arial" w:cs="Arial"/>
                <w:sz w:val="16"/>
                <w:szCs w:val="16"/>
              </w:rPr>
              <w:t>(</w:t>
            </w:r>
            <w:r w:rsidR="00C533BE" w:rsidRPr="003C674B">
              <w:rPr>
                <w:rFonts w:ascii="Arial" w:hAnsi="Arial" w:cs="Arial"/>
                <w:sz w:val="16"/>
                <w:szCs w:val="16"/>
              </w:rPr>
              <w:t>Submission 233</w:t>
            </w:r>
            <w:r w:rsidRPr="003C674B">
              <w:rPr>
                <w:rFonts w:ascii="Arial" w:hAnsi="Arial" w:cs="Arial"/>
                <w:sz w:val="16"/>
                <w:szCs w:val="16"/>
              </w:rPr>
              <w:t xml:space="preserve"> to Treasury)</w:t>
            </w:r>
          </w:p>
        </w:tc>
        <w:tc>
          <w:tcPr>
            <w:tcW w:w="900" w:type="dxa"/>
            <w:tcBorders>
              <w:top w:val="single" w:sz="6" w:space="0" w:color="auto"/>
              <w:left w:val="single" w:sz="6" w:space="0" w:color="auto"/>
              <w:bottom w:val="single" w:sz="6" w:space="0" w:color="auto"/>
              <w:right w:val="single" w:sz="6" w:space="0" w:color="auto"/>
            </w:tcBorders>
            <w:vAlign w:val="center"/>
          </w:tcPr>
          <w:p w:rsidR="005A3918" w:rsidRPr="003C674B" w:rsidRDefault="00B26F7D" w:rsidP="00D204E5">
            <w:pPr>
              <w:pStyle w:val="DWTableText"/>
              <w:jc w:val="center"/>
              <w:rPr>
                <w:rFonts w:ascii="Arial" w:hAnsi="Arial" w:cs="Arial"/>
                <w:sz w:val="16"/>
                <w:szCs w:val="16"/>
              </w:rPr>
            </w:pPr>
            <w:r w:rsidRPr="003C674B">
              <w:rPr>
                <w:rFonts w:ascii="Arial" w:hAnsi="Arial" w:cs="Arial"/>
                <w:sz w:val="16"/>
                <w:szCs w:val="16"/>
              </w:rPr>
              <w:t>16 April 1999</w:t>
            </w:r>
          </w:p>
        </w:tc>
        <w:tc>
          <w:tcPr>
            <w:tcW w:w="5172" w:type="dxa"/>
            <w:tcBorders>
              <w:top w:val="single" w:sz="6" w:space="0" w:color="auto"/>
              <w:left w:val="single" w:sz="6" w:space="0" w:color="auto"/>
              <w:bottom w:val="single" w:sz="6" w:space="0" w:color="auto"/>
              <w:right w:val="single" w:sz="6" w:space="0" w:color="auto"/>
            </w:tcBorders>
            <w:vAlign w:val="center"/>
          </w:tcPr>
          <w:p w:rsidR="00B26F7D" w:rsidRPr="003C674B" w:rsidRDefault="00B26F7D" w:rsidP="00B26F7D">
            <w:pPr>
              <w:pStyle w:val="DWTableText"/>
              <w:rPr>
                <w:rFonts w:ascii="Arial" w:hAnsi="Arial" w:cs="Arial"/>
                <w:sz w:val="16"/>
                <w:szCs w:val="16"/>
              </w:rPr>
            </w:pPr>
            <w:r w:rsidRPr="003C674B">
              <w:rPr>
                <w:rFonts w:ascii="Arial" w:hAnsi="Arial" w:cs="Arial"/>
                <w:sz w:val="16"/>
                <w:szCs w:val="16"/>
              </w:rPr>
              <w:t>Australian Wage &amp; Salary Earners</w:t>
            </w:r>
          </w:p>
          <w:p w:rsidR="005A3918" w:rsidRPr="003C674B" w:rsidRDefault="00B26F7D" w:rsidP="00B26F7D">
            <w:pPr>
              <w:pStyle w:val="DWTableText"/>
              <w:rPr>
                <w:rFonts w:ascii="Arial" w:hAnsi="Arial" w:cs="Arial"/>
                <w:sz w:val="16"/>
                <w:szCs w:val="16"/>
              </w:rPr>
            </w:pPr>
            <w:r w:rsidRPr="003C674B">
              <w:rPr>
                <w:rFonts w:ascii="Arial" w:hAnsi="Arial" w:cs="Arial"/>
                <w:sz w:val="16"/>
                <w:szCs w:val="16"/>
              </w:rPr>
              <w:t>Overtaxed and Overpriced</w:t>
            </w:r>
            <w:r w:rsidR="00CD6F72">
              <w:rPr>
                <w:rFonts w:ascii="Arial" w:hAnsi="Arial" w:cs="Arial"/>
                <w:sz w:val="16"/>
                <w:szCs w:val="16"/>
              </w:rPr>
              <w:t xml:space="preserve"> Submission 233</w:t>
            </w:r>
          </w:p>
          <w:p w:rsidR="00CD6F72" w:rsidRDefault="00391301" w:rsidP="00C533BE">
            <w:pPr>
              <w:pStyle w:val="DWTableText"/>
              <w:rPr>
                <w:rFonts w:ascii="Arial" w:hAnsi="Arial" w:cs="Arial"/>
                <w:sz w:val="16"/>
                <w:szCs w:val="16"/>
              </w:rPr>
            </w:pPr>
            <w:r w:rsidRPr="003C674B">
              <w:rPr>
                <w:rFonts w:ascii="Arial" w:hAnsi="Arial" w:cs="Arial"/>
                <w:sz w:val="16"/>
                <w:szCs w:val="16"/>
              </w:rPr>
              <w:t>Submissions to A Platform for Consultation (Discussion paper 2 - building on 'A Strong</w:t>
            </w:r>
            <w:r w:rsidR="00C533BE" w:rsidRPr="003C674B">
              <w:rPr>
                <w:rFonts w:ascii="Arial" w:hAnsi="Arial" w:cs="Arial"/>
                <w:sz w:val="16"/>
                <w:szCs w:val="16"/>
              </w:rPr>
              <w:t xml:space="preserve"> </w:t>
            </w:r>
            <w:r w:rsidRPr="003C674B">
              <w:rPr>
                <w:rFonts w:ascii="Arial" w:hAnsi="Arial" w:cs="Arial"/>
                <w:sz w:val="16"/>
                <w:szCs w:val="16"/>
              </w:rPr>
              <w:t>Foundation')</w:t>
            </w:r>
            <w:r w:rsidR="000B2224" w:rsidRPr="003C674B">
              <w:rPr>
                <w:rFonts w:ascii="Arial" w:hAnsi="Arial" w:cs="Arial"/>
                <w:sz w:val="16"/>
                <w:szCs w:val="16"/>
              </w:rPr>
              <w:t xml:space="preserve"> </w:t>
            </w:r>
            <w:hyperlink r:id="rId17" w:anchor="Platform" w:history="1">
              <w:r w:rsidR="00CD6F72" w:rsidRPr="00E57137">
                <w:rPr>
                  <w:rStyle w:val="Hyperlink"/>
                  <w:rFonts w:ascii="Arial" w:hAnsi="Arial" w:cs="Arial"/>
                  <w:sz w:val="16"/>
                  <w:szCs w:val="16"/>
                </w:rPr>
                <w:t>https://rbt.treasury.gov.au/submissions/platformConsultation.htm#Platform</w:t>
              </w:r>
            </w:hyperlink>
          </w:p>
          <w:p w:rsidR="00CD6F72" w:rsidRPr="003C674B" w:rsidRDefault="00524F02" w:rsidP="00AA67FE">
            <w:pPr>
              <w:pStyle w:val="DWTableText"/>
              <w:rPr>
                <w:rFonts w:ascii="Arial" w:hAnsi="Arial" w:cs="Arial"/>
                <w:sz w:val="16"/>
                <w:szCs w:val="16"/>
              </w:rPr>
            </w:pPr>
            <w:hyperlink r:id="rId18" w:history="1">
              <w:r w:rsidR="00CD6F72" w:rsidRPr="00E57137">
                <w:rPr>
                  <w:rStyle w:val="Hyperlink"/>
                  <w:rFonts w:ascii="Arial" w:hAnsi="Arial" w:cs="Arial"/>
                  <w:sz w:val="16"/>
                  <w:szCs w:val="16"/>
                </w:rPr>
                <w:t>https://rbt.treasury.gov.au/submissions/PlatformForConsultation/html/sub233.htm</w:t>
              </w:r>
            </w:hyperlink>
          </w:p>
        </w:tc>
      </w:tr>
      <w:tr w:rsidR="005A3918"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5A3918" w:rsidRPr="003C674B" w:rsidRDefault="005A3918">
            <w:pPr>
              <w:pStyle w:val="DWReferenceNumber"/>
              <w:numPr>
                <w:ilvl w:val="0"/>
                <w:numId w:val="3"/>
              </w:numPr>
              <w:rPr>
                <w:rFonts w:ascii="Arial" w:hAnsi="Arial" w:cs="Arial"/>
                <w:szCs w:val="16"/>
              </w:rPr>
            </w:pPr>
          </w:p>
        </w:tc>
        <w:tc>
          <w:tcPr>
            <w:tcW w:w="1441" w:type="dxa"/>
            <w:tcBorders>
              <w:top w:val="single" w:sz="6" w:space="0" w:color="auto"/>
              <w:left w:val="single" w:sz="6" w:space="0" w:color="auto"/>
              <w:bottom w:val="single" w:sz="6" w:space="0" w:color="auto"/>
              <w:right w:val="single" w:sz="6" w:space="0" w:color="auto"/>
            </w:tcBorders>
            <w:vAlign w:val="center"/>
          </w:tcPr>
          <w:p w:rsidR="005A3918" w:rsidRPr="003C674B" w:rsidRDefault="000647BF">
            <w:pPr>
              <w:pStyle w:val="DWTableText"/>
              <w:rPr>
                <w:rFonts w:ascii="Arial" w:hAnsi="Arial" w:cs="Arial"/>
                <w:sz w:val="16"/>
                <w:szCs w:val="16"/>
              </w:rPr>
            </w:pPr>
            <w:r w:rsidRPr="003C674B">
              <w:rPr>
                <w:rFonts w:ascii="Arial" w:hAnsi="Arial" w:cs="Arial"/>
                <w:sz w:val="16"/>
                <w:szCs w:val="16"/>
              </w:rPr>
              <w:t>Table 947</w:t>
            </w:r>
          </w:p>
        </w:tc>
        <w:tc>
          <w:tcPr>
            <w:tcW w:w="900" w:type="dxa"/>
            <w:tcBorders>
              <w:top w:val="single" w:sz="6" w:space="0" w:color="auto"/>
              <w:left w:val="single" w:sz="6" w:space="0" w:color="auto"/>
              <w:bottom w:val="single" w:sz="6" w:space="0" w:color="auto"/>
              <w:right w:val="single" w:sz="6" w:space="0" w:color="auto"/>
            </w:tcBorders>
            <w:vAlign w:val="center"/>
          </w:tcPr>
          <w:p w:rsidR="005A3918" w:rsidRPr="003C674B" w:rsidRDefault="002053D5" w:rsidP="00D204E5">
            <w:pPr>
              <w:pStyle w:val="DWTableText"/>
              <w:jc w:val="center"/>
              <w:rPr>
                <w:rFonts w:ascii="Arial" w:hAnsi="Arial" w:cs="Arial"/>
                <w:sz w:val="16"/>
                <w:szCs w:val="16"/>
              </w:rPr>
            </w:pPr>
            <w:r w:rsidRPr="003C674B">
              <w:rPr>
                <w:rFonts w:ascii="Arial" w:hAnsi="Arial" w:cs="Arial"/>
                <w:sz w:val="16"/>
                <w:szCs w:val="16"/>
              </w:rPr>
              <w:t>2012</w:t>
            </w:r>
          </w:p>
        </w:tc>
        <w:tc>
          <w:tcPr>
            <w:tcW w:w="5172" w:type="dxa"/>
            <w:tcBorders>
              <w:top w:val="single" w:sz="6" w:space="0" w:color="auto"/>
              <w:left w:val="single" w:sz="6" w:space="0" w:color="auto"/>
              <w:bottom w:val="single" w:sz="6" w:space="0" w:color="auto"/>
              <w:right w:val="single" w:sz="6" w:space="0" w:color="auto"/>
            </w:tcBorders>
            <w:vAlign w:val="center"/>
          </w:tcPr>
          <w:p w:rsidR="002053D5" w:rsidRPr="003C674B" w:rsidRDefault="002053D5" w:rsidP="005A3918">
            <w:pPr>
              <w:pStyle w:val="DWTableText"/>
              <w:rPr>
                <w:rFonts w:ascii="Arial" w:hAnsi="Arial" w:cs="Arial"/>
                <w:sz w:val="16"/>
                <w:szCs w:val="16"/>
              </w:rPr>
            </w:pPr>
            <w:r w:rsidRPr="003C674B">
              <w:rPr>
                <w:rFonts w:ascii="Arial" w:hAnsi="Arial" w:cs="Arial"/>
                <w:sz w:val="16"/>
                <w:szCs w:val="16"/>
              </w:rPr>
              <w:t>U.S. Census Bureau, Statistical Abstract of the United States: 2012</w:t>
            </w:r>
            <w:r w:rsidR="009C1ED2" w:rsidRPr="003C674B">
              <w:rPr>
                <w:rFonts w:ascii="Arial" w:hAnsi="Arial" w:cs="Arial"/>
                <w:sz w:val="16"/>
                <w:szCs w:val="16"/>
              </w:rPr>
              <w:t xml:space="preserve"> page 595</w:t>
            </w:r>
          </w:p>
          <w:p w:rsidR="005A3918" w:rsidRPr="003C674B" w:rsidRDefault="009571EC" w:rsidP="005A3918">
            <w:pPr>
              <w:pStyle w:val="DWTableText"/>
              <w:rPr>
                <w:rFonts w:ascii="Arial" w:hAnsi="Arial" w:cs="Arial"/>
                <w:sz w:val="16"/>
                <w:szCs w:val="16"/>
              </w:rPr>
            </w:pPr>
            <w:r w:rsidRPr="003C674B">
              <w:rPr>
                <w:rFonts w:ascii="Arial" w:hAnsi="Arial" w:cs="Arial"/>
                <w:sz w:val="16"/>
                <w:szCs w:val="16"/>
              </w:rPr>
              <w:t>Table 947. Electricity—End Use and Average Retail Prices: 1990 to 2009</w:t>
            </w:r>
          </w:p>
        </w:tc>
      </w:tr>
      <w:tr w:rsidR="0094429B"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94429B" w:rsidRPr="003C674B" w:rsidRDefault="0094429B">
            <w:pPr>
              <w:pStyle w:val="DWReferenceNumber"/>
              <w:numPr>
                <w:ilvl w:val="0"/>
                <w:numId w:val="3"/>
              </w:numPr>
              <w:rPr>
                <w:rFonts w:ascii="Arial" w:hAnsi="Arial" w:cs="Arial"/>
                <w:szCs w:val="16"/>
              </w:rPr>
            </w:pPr>
          </w:p>
        </w:tc>
        <w:tc>
          <w:tcPr>
            <w:tcW w:w="1441" w:type="dxa"/>
            <w:tcBorders>
              <w:top w:val="single" w:sz="6" w:space="0" w:color="auto"/>
              <w:left w:val="single" w:sz="6" w:space="0" w:color="auto"/>
              <w:bottom w:val="single" w:sz="6" w:space="0" w:color="auto"/>
              <w:right w:val="single" w:sz="6" w:space="0" w:color="auto"/>
            </w:tcBorders>
            <w:vAlign w:val="center"/>
          </w:tcPr>
          <w:p w:rsidR="0094429B" w:rsidRPr="003C674B" w:rsidRDefault="0094429B">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94429B" w:rsidRPr="003C674B" w:rsidRDefault="00857ED5" w:rsidP="00D204E5">
            <w:pPr>
              <w:pStyle w:val="DWTableText"/>
              <w:jc w:val="center"/>
              <w:rPr>
                <w:rFonts w:ascii="Arial" w:hAnsi="Arial" w:cs="Arial"/>
                <w:sz w:val="16"/>
                <w:szCs w:val="16"/>
              </w:rPr>
            </w:pPr>
            <w:r w:rsidRPr="003C674B">
              <w:rPr>
                <w:rFonts w:ascii="Arial" w:hAnsi="Arial" w:cs="Arial"/>
                <w:sz w:val="16"/>
                <w:szCs w:val="16"/>
              </w:rPr>
              <w:t>1999</w:t>
            </w:r>
          </w:p>
        </w:tc>
        <w:tc>
          <w:tcPr>
            <w:tcW w:w="5172" w:type="dxa"/>
            <w:tcBorders>
              <w:top w:val="single" w:sz="6" w:space="0" w:color="auto"/>
              <w:left w:val="single" w:sz="6" w:space="0" w:color="auto"/>
              <w:bottom w:val="single" w:sz="6" w:space="0" w:color="auto"/>
              <w:right w:val="single" w:sz="6" w:space="0" w:color="auto"/>
            </w:tcBorders>
            <w:vAlign w:val="center"/>
          </w:tcPr>
          <w:p w:rsidR="0094429B" w:rsidRPr="003C674B" w:rsidRDefault="0094429B" w:rsidP="00857ED5">
            <w:pPr>
              <w:pStyle w:val="DWTableText"/>
              <w:rPr>
                <w:rFonts w:ascii="Arial" w:hAnsi="Arial" w:cs="Arial"/>
                <w:sz w:val="16"/>
                <w:szCs w:val="16"/>
              </w:rPr>
            </w:pPr>
            <w:r w:rsidRPr="003C674B">
              <w:rPr>
                <w:rFonts w:ascii="Arial" w:hAnsi="Arial" w:cs="Arial"/>
                <w:sz w:val="16"/>
                <w:szCs w:val="16"/>
              </w:rPr>
              <w:t>ETSA Utilities Annual Report</w:t>
            </w:r>
          </w:p>
        </w:tc>
      </w:tr>
      <w:tr w:rsidR="00101176"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101176" w:rsidRPr="003C674B" w:rsidRDefault="00101176">
            <w:pPr>
              <w:pStyle w:val="DWReferenceNumber"/>
              <w:numPr>
                <w:ilvl w:val="0"/>
                <w:numId w:val="3"/>
              </w:numPr>
              <w:rPr>
                <w:rFonts w:ascii="Arial" w:hAnsi="Arial" w:cs="Arial"/>
                <w:szCs w:val="16"/>
              </w:rPr>
            </w:pPr>
          </w:p>
        </w:tc>
        <w:tc>
          <w:tcPr>
            <w:tcW w:w="1441" w:type="dxa"/>
            <w:tcBorders>
              <w:top w:val="single" w:sz="6" w:space="0" w:color="auto"/>
              <w:left w:val="single" w:sz="6" w:space="0" w:color="auto"/>
              <w:bottom w:val="single" w:sz="6" w:space="0" w:color="auto"/>
              <w:right w:val="single" w:sz="6" w:space="0" w:color="auto"/>
            </w:tcBorders>
            <w:vAlign w:val="center"/>
          </w:tcPr>
          <w:p w:rsidR="00101176" w:rsidRPr="003C674B" w:rsidRDefault="00101176">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101176" w:rsidRPr="003C674B" w:rsidRDefault="00101176" w:rsidP="00D204E5">
            <w:pPr>
              <w:pStyle w:val="DWTableText"/>
              <w:jc w:val="center"/>
              <w:rPr>
                <w:rFonts w:ascii="Arial" w:hAnsi="Arial" w:cs="Arial"/>
                <w:sz w:val="16"/>
                <w:szCs w:val="16"/>
              </w:rPr>
            </w:pPr>
            <w:r w:rsidRPr="003C674B">
              <w:rPr>
                <w:rFonts w:ascii="Arial" w:hAnsi="Arial" w:cs="Arial"/>
                <w:sz w:val="16"/>
                <w:szCs w:val="16"/>
              </w:rPr>
              <w:t>2010</w:t>
            </w:r>
          </w:p>
        </w:tc>
        <w:tc>
          <w:tcPr>
            <w:tcW w:w="5172" w:type="dxa"/>
            <w:tcBorders>
              <w:top w:val="single" w:sz="6" w:space="0" w:color="auto"/>
              <w:left w:val="single" w:sz="6" w:space="0" w:color="auto"/>
              <w:bottom w:val="single" w:sz="6" w:space="0" w:color="auto"/>
              <w:right w:val="single" w:sz="6" w:space="0" w:color="auto"/>
            </w:tcBorders>
            <w:vAlign w:val="center"/>
          </w:tcPr>
          <w:p w:rsidR="00101176" w:rsidRPr="003C674B" w:rsidRDefault="00101176" w:rsidP="00857ED5">
            <w:pPr>
              <w:pStyle w:val="DWTableText"/>
              <w:rPr>
                <w:rFonts w:ascii="Arial" w:hAnsi="Arial" w:cs="Arial"/>
                <w:sz w:val="16"/>
                <w:szCs w:val="16"/>
              </w:rPr>
            </w:pPr>
            <w:r w:rsidRPr="003C674B">
              <w:rPr>
                <w:rFonts w:ascii="Arial" w:hAnsi="Arial" w:cs="Arial"/>
                <w:sz w:val="16"/>
                <w:szCs w:val="16"/>
              </w:rPr>
              <w:t>Australian Law Reform Commission 2010 inquiry</w:t>
            </w:r>
          </w:p>
          <w:p w:rsidR="00101176" w:rsidRPr="003C674B" w:rsidRDefault="00524F02" w:rsidP="00101176">
            <w:pPr>
              <w:pStyle w:val="DWTableText"/>
              <w:rPr>
                <w:rFonts w:ascii="Arial" w:hAnsi="Arial" w:cs="Arial"/>
                <w:sz w:val="16"/>
                <w:szCs w:val="16"/>
              </w:rPr>
            </w:pPr>
            <w:hyperlink r:id="rId19" w:history="1">
              <w:r w:rsidR="00101176" w:rsidRPr="003C674B">
                <w:rPr>
                  <w:rStyle w:val="Hyperlink"/>
                  <w:rFonts w:ascii="Arial" w:hAnsi="Arial" w:cs="Arial"/>
                  <w:sz w:val="16"/>
                  <w:szCs w:val="16"/>
                </w:rPr>
                <w:t>http://www.alrc.gov.au/inquiries/royal-commissions-and-official-inquiries</w:t>
              </w:r>
            </w:hyperlink>
          </w:p>
        </w:tc>
      </w:tr>
      <w:tr w:rsidR="00625443"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625443" w:rsidRPr="003C674B" w:rsidRDefault="00625443">
            <w:pPr>
              <w:pStyle w:val="DWReferenceNumber"/>
              <w:numPr>
                <w:ilvl w:val="0"/>
                <w:numId w:val="3"/>
              </w:numPr>
              <w:rPr>
                <w:rFonts w:ascii="Arial" w:hAnsi="Arial" w:cs="Arial"/>
                <w:szCs w:val="16"/>
              </w:rPr>
            </w:pPr>
            <w:bookmarkStart w:id="15" w:name="_Ref472439741"/>
          </w:p>
        </w:tc>
        <w:bookmarkEnd w:id="15"/>
        <w:tc>
          <w:tcPr>
            <w:tcW w:w="1441" w:type="dxa"/>
            <w:tcBorders>
              <w:top w:val="single" w:sz="6" w:space="0" w:color="auto"/>
              <w:left w:val="single" w:sz="6" w:space="0" w:color="auto"/>
              <w:bottom w:val="single" w:sz="6" w:space="0" w:color="auto"/>
              <w:right w:val="single" w:sz="6" w:space="0" w:color="auto"/>
            </w:tcBorders>
            <w:vAlign w:val="center"/>
          </w:tcPr>
          <w:p w:rsidR="00625443" w:rsidRPr="003C674B" w:rsidRDefault="00625443">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625443" w:rsidRPr="003C674B" w:rsidRDefault="00771B2C" w:rsidP="00D204E5">
            <w:pPr>
              <w:pStyle w:val="DWTableText"/>
              <w:jc w:val="center"/>
              <w:rPr>
                <w:rFonts w:ascii="Arial" w:hAnsi="Arial" w:cs="Arial"/>
                <w:sz w:val="16"/>
                <w:szCs w:val="16"/>
              </w:rPr>
            </w:pPr>
            <w:r w:rsidRPr="003C674B">
              <w:rPr>
                <w:rFonts w:ascii="Arial" w:hAnsi="Arial" w:cs="Arial"/>
                <w:sz w:val="16"/>
                <w:szCs w:val="16"/>
              </w:rPr>
              <w:t>30/7/16</w:t>
            </w:r>
          </w:p>
        </w:tc>
        <w:tc>
          <w:tcPr>
            <w:tcW w:w="5172" w:type="dxa"/>
            <w:tcBorders>
              <w:top w:val="single" w:sz="6" w:space="0" w:color="auto"/>
              <w:left w:val="single" w:sz="6" w:space="0" w:color="auto"/>
              <w:bottom w:val="single" w:sz="6" w:space="0" w:color="auto"/>
              <w:right w:val="single" w:sz="6" w:space="0" w:color="auto"/>
            </w:tcBorders>
            <w:vAlign w:val="center"/>
          </w:tcPr>
          <w:p w:rsidR="00771B2C" w:rsidRPr="003C674B" w:rsidRDefault="00771B2C" w:rsidP="00771B2C">
            <w:pPr>
              <w:pStyle w:val="DWTableText"/>
              <w:rPr>
                <w:rFonts w:ascii="Arial" w:hAnsi="Arial" w:cs="Arial"/>
                <w:sz w:val="16"/>
                <w:szCs w:val="16"/>
              </w:rPr>
            </w:pPr>
            <w:r w:rsidRPr="003C674B">
              <w:rPr>
                <w:rFonts w:ascii="Arial" w:hAnsi="Arial" w:cs="Arial"/>
                <w:sz w:val="16"/>
                <w:szCs w:val="16"/>
              </w:rPr>
              <w:t>Australian Financial Review John Kehoe</w:t>
            </w:r>
          </w:p>
          <w:p w:rsidR="00625443" w:rsidRPr="003C674B" w:rsidRDefault="00771B2C" w:rsidP="00771B2C">
            <w:pPr>
              <w:pStyle w:val="DWTableText"/>
              <w:rPr>
                <w:rFonts w:ascii="Arial" w:hAnsi="Arial" w:cs="Arial"/>
                <w:sz w:val="16"/>
                <w:szCs w:val="16"/>
              </w:rPr>
            </w:pPr>
            <w:r w:rsidRPr="003C674B">
              <w:rPr>
                <w:rFonts w:ascii="Arial" w:hAnsi="Arial" w:cs="Arial"/>
                <w:sz w:val="16"/>
                <w:szCs w:val="16"/>
              </w:rPr>
              <w:t>Australia shows US how not to export gas</w:t>
            </w:r>
          </w:p>
          <w:p w:rsidR="00FB50A9" w:rsidRPr="003C674B" w:rsidRDefault="00FB50A9" w:rsidP="007170A1">
            <w:pPr>
              <w:pStyle w:val="DWTableText"/>
              <w:rPr>
                <w:rFonts w:ascii="Arial" w:hAnsi="Arial" w:cs="Arial"/>
                <w:sz w:val="16"/>
                <w:szCs w:val="16"/>
              </w:rPr>
            </w:pPr>
            <w:r w:rsidRPr="003C674B">
              <w:rPr>
                <w:rFonts w:ascii="Arial" w:hAnsi="Arial" w:cs="Arial"/>
                <w:sz w:val="16"/>
                <w:szCs w:val="16"/>
              </w:rPr>
              <w:t>“James contended that had Australian legislators six or seven years ago anticipated</w:t>
            </w:r>
            <w:r w:rsidR="00A4179C" w:rsidRPr="003C674B">
              <w:rPr>
                <w:rFonts w:ascii="Arial" w:hAnsi="Arial" w:cs="Arial"/>
                <w:sz w:val="16"/>
                <w:szCs w:val="16"/>
              </w:rPr>
              <w:t xml:space="preserve"> </w:t>
            </w:r>
            <w:r w:rsidRPr="003C674B">
              <w:rPr>
                <w:rFonts w:ascii="Arial" w:hAnsi="Arial" w:cs="Arial"/>
                <w:sz w:val="16"/>
                <w:szCs w:val="16"/>
              </w:rPr>
              <w:t>the position we are now facing, they would have acted with more prudence before</w:t>
            </w:r>
            <w:r w:rsidR="00A4179C" w:rsidRPr="003C674B">
              <w:rPr>
                <w:rFonts w:ascii="Arial" w:hAnsi="Arial" w:cs="Arial"/>
                <w:sz w:val="16"/>
                <w:szCs w:val="16"/>
              </w:rPr>
              <w:t xml:space="preserve"> </w:t>
            </w:r>
            <w:r w:rsidRPr="003C674B">
              <w:rPr>
                <w:rFonts w:ascii="Arial" w:hAnsi="Arial" w:cs="Arial"/>
                <w:sz w:val="16"/>
                <w:szCs w:val="16"/>
              </w:rPr>
              <w:t>allowing exports greater than the amount of gas to be brought on-steam, which has</w:t>
            </w:r>
            <w:r w:rsidR="00A4179C" w:rsidRPr="003C674B">
              <w:rPr>
                <w:rFonts w:ascii="Arial" w:hAnsi="Arial" w:cs="Arial"/>
                <w:sz w:val="16"/>
                <w:szCs w:val="16"/>
              </w:rPr>
              <w:t xml:space="preserve"> </w:t>
            </w:r>
            <w:r w:rsidRPr="003C674B">
              <w:rPr>
                <w:rFonts w:ascii="Arial" w:hAnsi="Arial" w:cs="Arial"/>
                <w:sz w:val="16"/>
                <w:szCs w:val="16"/>
              </w:rPr>
              <w:t>created gas shortages and price spikes"</w:t>
            </w:r>
            <w:r w:rsidR="007170A1" w:rsidRPr="003C674B">
              <w:rPr>
                <w:rFonts w:ascii="Arial" w:hAnsi="Arial" w:cs="Arial"/>
                <w:sz w:val="16"/>
                <w:szCs w:val="16"/>
              </w:rPr>
              <w:t xml:space="preserve"> (The chief executive of Incitec Pivot, James Fazzino)</w:t>
            </w:r>
          </w:p>
        </w:tc>
      </w:tr>
      <w:tr w:rsidR="00363A45"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363A45" w:rsidRPr="003C674B" w:rsidRDefault="00363A45">
            <w:pPr>
              <w:pStyle w:val="DWReferenceNumber"/>
              <w:numPr>
                <w:ilvl w:val="0"/>
                <w:numId w:val="3"/>
              </w:numPr>
              <w:rPr>
                <w:rFonts w:ascii="Arial" w:hAnsi="Arial" w:cs="Arial"/>
                <w:szCs w:val="16"/>
              </w:rPr>
            </w:pPr>
            <w:bookmarkStart w:id="16" w:name="_Ref472511916"/>
          </w:p>
        </w:tc>
        <w:bookmarkEnd w:id="16"/>
        <w:tc>
          <w:tcPr>
            <w:tcW w:w="1441" w:type="dxa"/>
            <w:tcBorders>
              <w:top w:val="single" w:sz="6" w:space="0" w:color="auto"/>
              <w:left w:val="single" w:sz="6" w:space="0" w:color="auto"/>
              <w:bottom w:val="single" w:sz="6" w:space="0" w:color="auto"/>
              <w:right w:val="single" w:sz="6" w:space="0" w:color="auto"/>
            </w:tcBorders>
            <w:vAlign w:val="center"/>
          </w:tcPr>
          <w:p w:rsidR="00363A45" w:rsidRPr="003C674B" w:rsidRDefault="00363A45">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363A45" w:rsidRPr="003C674B" w:rsidRDefault="0030064A" w:rsidP="00D204E5">
            <w:pPr>
              <w:pStyle w:val="DWTableText"/>
              <w:jc w:val="center"/>
              <w:rPr>
                <w:rFonts w:ascii="Arial" w:hAnsi="Arial" w:cs="Arial"/>
                <w:sz w:val="16"/>
                <w:szCs w:val="16"/>
              </w:rPr>
            </w:pPr>
            <w:r w:rsidRPr="003C674B">
              <w:rPr>
                <w:rFonts w:ascii="Arial" w:hAnsi="Arial" w:cs="Arial"/>
                <w:sz w:val="16"/>
                <w:szCs w:val="16"/>
              </w:rPr>
              <w:t>2015</w:t>
            </w:r>
          </w:p>
        </w:tc>
        <w:tc>
          <w:tcPr>
            <w:tcW w:w="5172" w:type="dxa"/>
            <w:tcBorders>
              <w:top w:val="single" w:sz="6" w:space="0" w:color="auto"/>
              <w:left w:val="single" w:sz="6" w:space="0" w:color="auto"/>
              <w:bottom w:val="single" w:sz="6" w:space="0" w:color="auto"/>
              <w:right w:val="single" w:sz="6" w:space="0" w:color="auto"/>
            </w:tcBorders>
            <w:vAlign w:val="center"/>
          </w:tcPr>
          <w:p w:rsidR="00363A45" w:rsidRPr="003C674B" w:rsidRDefault="00363A45" w:rsidP="00363A45">
            <w:pPr>
              <w:pStyle w:val="DWTableText"/>
              <w:rPr>
                <w:rFonts w:ascii="Arial" w:hAnsi="Arial" w:cs="Arial"/>
                <w:sz w:val="16"/>
                <w:szCs w:val="16"/>
              </w:rPr>
            </w:pPr>
            <w:r w:rsidRPr="003C674B">
              <w:rPr>
                <w:rFonts w:ascii="Arial" w:hAnsi="Arial" w:cs="Arial"/>
                <w:sz w:val="16"/>
                <w:szCs w:val="16"/>
              </w:rPr>
              <w:t>Salaries of the President, Vice President, and Other U.S. Officials</w:t>
            </w:r>
          </w:p>
          <w:p w:rsidR="00363A45" w:rsidRPr="003C674B" w:rsidRDefault="00363A45" w:rsidP="00363A45">
            <w:pPr>
              <w:pStyle w:val="DWTableText"/>
              <w:rPr>
                <w:rFonts w:ascii="Arial" w:hAnsi="Arial" w:cs="Arial"/>
                <w:sz w:val="16"/>
                <w:szCs w:val="16"/>
              </w:rPr>
            </w:pPr>
            <w:r w:rsidRPr="003C674B">
              <w:rPr>
                <w:rFonts w:ascii="Arial" w:hAnsi="Arial" w:cs="Arial"/>
                <w:sz w:val="16"/>
                <w:szCs w:val="16"/>
              </w:rPr>
              <w:t>The salaries listed below are annual as of 2015. The president most recently received a raise in 2001.</w:t>
            </w:r>
          </w:p>
          <w:p w:rsidR="00B30106" w:rsidRPr="003C674B" w:rsidRDefault="00674C00" w:rsidP="00363A45">
            <w:pPr>
              <w:pStyle w:val="DWTableText"/>
              <w:rPr>
                <w:rFonts w:ascii="Arial" w:hAnsi="Arial" w:cs="Arial"/>
                <w:sz w:val="16"/>
                <w:szCs w:val="16"/>
              </w:rPr>
            </w:pPr>
            <w:r w:rsidRPr="003C674B">
              <w:rPr>
                <w:rFonts w:ascii="Arial" w:hAnsi="Arial" w:cs="Arial"/>
                <w:sz w:val="16"/>
                <w:szCs w:val="16"/>
              </w:rPr>
              <w:t>President US$400K, Senator US$174K, Chief Justice US Supreme Court US</w:t>
            </w:r>
            <w:r w:rsidR="004937BC" w:rsidRPr="003C674B">
              <w:rPr>
                <w:rFonts w:ascii="Arial" w:hAnsi="Arial" w:cs="Arial"/>
                <w:sz w:val="16"/>
                <w:szCs w:val="16"/>
              </w:rPr>
              <w:t>$255K.</w:t>
            </w:r>
          </w:p>
          <w:p w:rsidR="00363A45" w:rsidRPr="003C674B" w:rsidRDefault="00524F02" w:rsidP="00363A45">
            <w:pPr>
              <w:pStyle w:val="DWTableText"/>
              <w:rPr>
                <w:rFonts w:ascii="Arial" w:hAnsi="Arial" w:cs="Arial"/>
                <w:sz w:val="16"/>
                <w:szCs w:val="16"/>
              </w:rPr>
            </w:pPr>
            <w:hyperlink r:id="rId20" w:history="1">
              <w:r w:rsidR="00363A45" w:rsidRPr="003C674B">
                <w:rPr>
                  <w:rStyle w:val="Hyperlink"/>
                  <w:rFonts w:ascii="Arial" w:hAnsi="Arial" w:cs="Arial"/>
                  <w:sz w:val="16"/>
                  <w:szCs w:val="16"/>
                </w:rPr>
                <w:t>http://www.infoplease.com/ipa/A0875856.html</w:t>
              </w:r>
            </w:hyperlink>
          </w:p>
        </w:tc>
      </w:tr>
      <w:tr w:rsidR="004937BC"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4937BC" w:rsidRPr="003C674B" w:rsidRDefault="004937BC">
            <w:pPr>
              <w:pStyle w:val="DWReferenceNumber"/>
              <w:numPr>
                <w:ilvl w:val="0"/>
                <w:numId w:val="3"/>
              </w:numPr>
              <w:rPr>
                <w:rFonts w:ascii="Arial" w:hAnsi="Arial" w:cs="Arial"/>
                <w:szCs w:val="16"/>
              </w:rPr>
            </w:pPr>
            <w:bookmarkStart w:id="17" w:name="_Ref472511918"/>
          </w:p>
        </w:tc>
        <w:bookmarkEnd w:id="17"/>
        <w:tc>
          <w:tcPr>
            <w:tcW w:w="1441" w:type="dxa"/>
            <w:tcBorders>
              <w:top w:val="single" w:sz="6" w:space="0" w:color="auto"/>
              <w:left w:val="single" w:sz="6" w:space="0" w:color="auto"/>
              <w:bottom w:val="single" w:sz="6" w:space="0" w:color="auto"/>
              <w:right w:val="single" w:sz="6" w:space="0" w:color="auto"/>
            </w:tcBorders>
            <w:vAlign w:val="center"/>
          </w:tcPr>
          <w:p w:rsidR="004937BC" w:rsidRPr="003C674B" w:rsidRDefault="004937BC">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4937BC" w:rsidRPr="003C674B" w:rsidRDefault="009444D1" w:rsidP="00D204E5">
            <w:pPr>
              <w:pStyle w:val="DWTableText"/>
              <w:jc w:val="center"/>
              <w:rPr>
                <w:rFonts w:ascii="Arial" w:hAnsi="Arial" w:cs="Arial"/>
                <w:sz w:val="16"/>
                <w:szCs w:val="16"/>
              </w:rPr>
            </w:pPr>
            <w:r w:rsidRPr="003C674B">
              <w:rPr>
                <w:rFonts w:ascii="Arial" w:hAnsi="Arial" w:cs="Arial"/>
                <w:sz w:val="16"/>
                <w:szCs w:val="16"/>
              </w:rPr>
              <w:t>2016</w:t>
            </w:r>
          </w:p>
        </w:tc>
        <w:tc>
          <w:tcPr>
            <w:tcW w:w="5172" w:type="dxa"/>
            <w:tcBorders>
              <w:top w:val="single" w:sz="6" w:space="0" w:color="auto"/>
              <w:left w:val="single" w:sz="6" w:space="0" w:color="auto"/>
              <w:bottom w:val="single" w:sz="6" w:space="0" w:color="auto"/>
              <w:right w:val="single" w:sz="6" w:space="0" w:color="auto"/>
            </w:tcBorders>
            <w:vAlign w:val="center"/>
          </w:tcPr>
          <w:p w:rsidR="004937BC" w:rsidRPr="003C674B" w:rsidRDefault="004937BC" w:rsidP="00363A45">
            <w:pPr>
              <w:pStyle w:val="DWTableText"/>
              <w:rPr>
                <w:rFonts w:ascii="Arial" w:hAnsi="Arial" w:cs="Arial"/>
                <w:b/>
                <w:sz w:val="16"/>
                <w:szCs w:val="16"/>
              </w:rPr>
            </w:pPr>
            <w:r w:rsidRPr="003C674B">
              <w:rPr>
                <w:rFonts w:ascii="Arial" w:hAnsi="Arial" w:cs="Arial"/>
                <w:b/>
                <w:sz w:val="16"/>
                <w:szCs w:val="16"/>
              </w:rPr>
              <w:t xml:space="preserve">Highest paid White House staffers make </w:t>
            </w:r>
            <w:r w:rsidR="00860962" w:rsidRPr="003C674B">
              <w:rPr>
                <w:rFonts w:ascii="Arial" w:hAnsi="Arial" w:cs="Arial"/>
                <w:b/>
                <w:sz w:val="16"/>
                <w:szCs w:val="16"/>
              </w:rPr>
              <w:t>US</w:t>
            </w:r>
            <w:r w:rsidRPr="003C674B">
              <w:rPr>
                <w:rFonts w:ascii="Arial" w:hAnsi="Arial" w:cs="Arial"/>
                <w:b/>
                <w:sz w:val="16"/>
                <w:szCs w:val="16"/>
              </w:rPr>
              <w:t>$176,00</w:t>
            </w:r>
          </w:p>
          <w:p w:rsidR="00860962" w:rsidRPr="003C674B" w:rsidRDefault="00860962" w:rsidP="00860962">
            <w:pPr>
              <w:pStyle w:val="DWTableText"/>
              <w:rPr>
                <w:rFonts w:ascii="Arial" w:hAnsi="Arial" w:cs="Arial"/>
                <w:sz w:val="16"/>
                <w:szCs w:val="16"/>
              </w:rPr>
            </w:pPr>
            <w:r w:rsidRPr="003C674B">
              <w:rPr>
                <w:rFonts w:ascii="Arial" w:hAnsi="Arial" w:cs="Arial"/>
                <w:sz w:val="16"/>
                <w:szCs w:val="16"/>
              </w:rPr>
              <w:t xml:space="preserve">Sixteen staffers at the White House pulled in the maximum yearly salary of </w:t>
            </w:r>
            <w:r w:rsidR="005A0832">
              <w:rPr>
                <w:rFonts w:ascii="Arial" w:hAnsi="Arial" w:cs="Arial"/>
                <w:sz w:val="16"/>
                <w:szCs w:val="16"/>
              </w:rPr>
              <w:t>US</w:t>
            </w:r>
            <w:r w:rsidRPr="003C674B">
              <w:rPr>
                <w:rFonts w:ascii="Arial" w:hAnsi="Arial" w:cs="Arial"/>
                <w:sz w:val="16"/>
                <w:szCs w:val="16"/>
              </w:rPr>
              <w:t>$176,461, according to a new report.</w:t>
            </w:r>
          </w:p>
          <w:p w:rsidR="00860962" w:rsidRPr="003C674B" w:rsidRDefault="00860962" w:rsidP="00860962">
            <w:pPr>
              <w:pStyle w:val="DWTableText"/>
              <w:rPr>
                <w:rFonts w:ascii="Arial" w:hAnsi="Arial" w:cs="Arial"/>
                <w:sz w:val="16"/>
                <w:szCs w:val="16"/>
              </w:rPr>
            </w:pPr>
            <w:r w:rsidRPr="003C674B">
              <w:rPr>
                <w:rFonts w:ascii="Arial" w:hAnsi="Arial" w:cs="Arial"/>
                <w:sz w:val="16"/>
                <w:szCs w:val="16"/>
              </w:rPr>
              <w:t>The White House each year is required to tell Congress how much everyone in the building earned in income, and the Obama administration has posted these reports on their website.</w:t>
            </w:r>
          </w:p>
          <w:p w:rsidR="00860962" w:rsidRPr="003C674B" w:rsidRDefault="00524F02" w:rsidP="009444D1">
            <w:pPr>
              <w:pStyle w:val="DWTableText"/>
              <w:rPr>
                <w:rFonts w:ascii="Arial" w:hAnsi="Arial" w:cs="Arial"/>
                <w:sz w:val="16"/>
                <w:szCs w:val="16"/>
              </w:rPr>
            </w:pPr>
            <w:hyperlink r:id="rId21" w:history="1">
              <w:r w:rsidR="00860962" w:rsidRPr="003C674B">
                <w:rPr>
                  <w:rStyle w:val="Hyperlink"/>
                  <w:rFonts w:ascii="Arial" w:hAnsi="Arial" w:cs="Arial"/>
                  <w:sz w:val="16"/>
                  <w:szCs w:val="16"/>
                </w:rPr>
                <w:t>http://edition.cnn.com/2016/07/05/politics/white-house-salary-report/</w:t>
              </w:r>
            </w:hyperlink>
          </w:p>
          <w:p w:rsidR="009F6235" w:rsidRPr="003C674B" w:rsidRDefault="00524F02" w:rsidP="009F6235">
            <w:pPr>
              <w:pStyle w:val="DWTableText"/>
              <w:rPr>
                <w:rFonts w:ascii="Arial" w:hAnsi="Arial" w:cs="Arial"/>
                <w:sz w:val="16"/>
                <w:szCs w:val="16"/>
              </w:rPr>
            </w:pPr>
            <w:hyperlink r:id="rId22" w:history="1">
              <w:r w:rsidR="009F6235" w:rsidRPr="003C674B">
                <w:rPr>
                  <w:rStyle w:val="Hyperlink"/>
                  <w:rFonts w:ascii="Arial" w:hAnsi="Arial" w:cs="Arial"/>
                  <w:sz w:val="16"/>
                  <w:szCs w:val="16"/>
                </w:rPr>
                <w:t>https://www.whitehouse.gov/21stcenturygov/tools/salaries</w:t>
              </w:r>
            </w:hyperlink>
          </w:p>
        </w:tc>
      </w:tr>
      <w:tr w:rsidR="009444D1"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9444D1" w:rsidRPr="003C674B" w:rsidRDefault="009444D1">
            <w:pPr>
              <w:pStyle w:val="DWReferenceNumber"/>
              <w:numPr>
                <w:ilvl w:val="0"/>
                <w:numId w:val="3"/>
              </w:numPr>
              <w:rPr>
                <w:rFonts w:ascii="Arial" w:hAnsi="Arial" w:cs="Arial"/>
                <w:szCs w:val="16"/>
              </w:rPr>
            </w:pPr>
            <w:bookmarkStart w:id="18" w:name="_Ref472511920"/>
          </w:p>
        </w:tc>
        <w:bookmarkEnd w:id="18"/>
        <w:tc>
          <w:tcPr>
            <w:tcW w:w="1441" w:type="dxa"/>
            <w:tcBorders>
              <w:top w:val="single" w:sz="6" w:space="0" w:color="auto"/>
              <w:left w:val="single" w:sz="6" w:space="0" w:color="auto"/>
              <w:bottom w:val="single" w:sz="6" w:space="0" w:color="auto"/>
              <w:right w:val="single" w:sz="6" w:space="0" w:color="auto"/>
            </w:tcBorders>
            <w:vAlign w:val="center"/>
          </w:tcPr>
          <w:p w:rsidR="009444D1" w:rsidRPr="003C674B" w:rsidRDefault="009444D1">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9444D1" w:rsidRPr="003C674B" w:rsidRDefault="00BB504D" w:rsidP="00D204E5">
            <w:pPr>
              <w:pStyle w:val="DWTableText"/>
              <w:jc w:val="center"/>
              <w:rPr>
                <w:rFonts w:ascii="Arial" w:hAnsi="Arial" w:cs="Arial"/>
                <w:sz w:val="16"/>
                <w:szCs w:val="16"/>
              </w:rPr>
            </w:pPr>
            <w:r w:rsidRPr="003C674B">
              <w:rPr>
                <w:rFonts w:ascii="Arial" w:hAnsi="Arial" w:cs="Arial"/>
                <w:sz w:val="16"/>
                <w:szCs w:val="16"/>
              </w:rPr>
              <w:t>Jan 2017</w:t>
            </w:r>
          </w:p>
        </w:tc>
        <w:tc>
          <w:tcPr>
            <w:tcW w:w="5172" w:type="dxa"/>
            <w:tcBorders>
              <w:top w:val="single" w:sz="6" w:space="0" w:color="auto"/>
              <w:left w:val="single" w:sz="6" w:space="0" w:color="auto"/>
              <w:bottom w:val="single" w:sz="6" w:space="0" w:color="auto"/>
              <w:right w:val="single" w:sz="6" w:space="0" w:color="auto"/>
            </w:tcBorders>
            <w:vAlign w:val="center"/>
          </w:tcPr>
          <w:p w:rsidR="009444D1" w:rsidRPr="003C674B" w:rsidRDefault="009444D1" w:rsidP="009444D1">
            <w:pPr>
              <w:pStyle w:val="DWTableText"/>
              <w:rPr>
                <w:rFonts w:ascii="Arial" w:hAnsi="Arial" w:cs="Arial"/>
                <w:b/>
                <w:sz w:val="16"/>
                <w:szCs w:val="16"/>
              </w:rPr>
            </w:pPr>
            <w:r w:rsidRPr="003C674B">
              <w:rPr>
                <w:rFonts w:ascii="Arial" w:hAnsi="Arial" w:cs="Arial"/>
                <w:b/>
                <w:sz w:val="16"/>
                <w:szCs w:val="16"/>
              </w:rPr>
              <w:t>Pay &amp; Leave</w:t>
            </w:r>
            <w:r w:rsidR="00AE26DB" w:rsidRPr="003C674B">
              <w:rPr>
                <w:rFonts w:ascii="Arial" w:hAnsi="Arial" w:cs="Arial"/>
                <w:b/>
                <w:sz w:val="16"/>
                <w:szCs w:val="16"/>
              </w:rPr>
              <w:t xml:space="preserve">, Salaries &amp; Wages, </w:t>
            </w:r>
            <w:r w:rsidRPr="003C674B">
              <w:rPr>
                <w:rFonts w:ascii="Arial" w:hAnsi="Arial" w:cs="Arial"/>
                <w:b/>
                <w:sz w:val="16"/>
                <w:szCs w:val="16"/>
              </w:rPr>
              <w:t>Salary Table No. 2017-EX</w:t>
            </w:r>
          </w:p>
          <w:p w:rsidR="009444D1" w:rsidRPr="003C674B" w:rsidRDefault="009444D1" w:rsidP="009444D1">
            <w:pPr>
              <w:pStyle w:val="DWTableText"/>
              <w:rPr>
                <w:rFonts w:ascii="Arial" w:hAnsi="Arial" w:cs="Arial"/>
                <w:sz w:val="16"/>
                <w:szCs w:val="16"/>
              </w:rPr>
            </w:pPr>
            <w:r w:rsidRPr="003C674B">
              <w:rPr>
                <w:rFonts w:ascii="Arial" w:hAnsi="Arial" w:cs="Arial"/>
                <w:sz w:val="16"/>
                <w:szCs w:val="16"/>
              </w:rPr>
              <w:t>Rates of Basic Pay for the Executive Schedule (EX)</w:t>
            </w:r>
          </w:p>
          <w:p w:rsidR="00AE26DB" w:rsidRPr="003C674B" w:rsidRDefault="00AE26DB" w:rsidP="009444D1">
            <w:pPr>
              <w:pStyle w:val="DWTableText"/>
              <w:rPr>
                <w:rFonts w:ascii="Arial" w:hAnsi="Arial" w:cs="Arial"/>
                <w:sz w:val="16"/>
                <w:szCs w:val="16"/>
              </w:rPr>
            </w:pPr>
            <w:r w:rsidRPr="003C674B">
              <w:rPr>
                <w:rFonts w:ascii="Arial" w:hAnsi="Arial" w:cs="Arial"/>
                <w:sz w:val="16"/>
                <w:szCs w:val="16"/>
              </w:rPr>
              <w:t>Level 1 $207K, Level 11 US$187K, Level 111 US$172K, Level 1V US$</w:t>
            </w:r>
            <w:r w:rsidR="001F25CA" w:rsidRPr="003C674B">
              <w:rPr>
                <w:rFonts w:ascii="Arial" w:hAnsi="Arial" w:cs="Arial"/>
                <w:sz w:val="16"/>
                <w:szCs w:val="16"/>
              </w:rPr>
              <w:t>162K, Level V US$152K.</w:t>
            </w:r>
          </w:p>
          <w:p w:rsidR="001F25CA" w:rsidRPr="003C674B" w:rsidRDefault="00524F02" w:rsidP="00BB504D">
            <w:pPr>
              <w:pStyle w:val="DWTableText"/>
              <w:rPr>
                <w:rFonts w:ascii="Arial" w:hAnsi="Arial" w:cs="Arial"/>
                <w:sz w:val="16"/>
                <w:szCs w:val="16"/>
              </w:rPr>
            </w:pPr>
            <w:hyperlink r:id="rId23" w:history="1">
              <w:r w:rsidR="00BB504D" w:rsidRPr="003C674B">
                <w:rPr>
                  <w:rStyle w:val="Hyperlink"/>
                  <w:rFonts w:ascii="Arial" w:hAnsi="Arial" w:cs="Arial"/>
                  <w:sz w:val="16"/>
                  <w:szCs w:val="16"/>
                </w:rPr>
                <w:t>https://www.opm.gov/policy-data-oversight/pay-leave/salaries-wages/salary-tables/17Tables/exec/html/EX.aspx</w:t>
              </w:r>
            </w:hyperlink>
          </w:p>
        </w:tc>
      </w:tr>
      <w:tr w:rsidR="00541392"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541392" w:rsidRPr="003C674B" w:rsidRDefault="00541392">
            <w:pPr>
              <w:pStyle w:val="DWReferenceNumber"/>
              <w:numPr>
                <w:ilvl w:val="0"/>
                <w:numId w:val="3"/>
              </w:numPr>
              <w:rPr>
                <w:rFonts w:ascii="Arial" w:hAnsi="Arial" w:cs="Arial"/>
                <w:szCs w:val="16"/>
              </w:rPr>
            </w:pPr>
          </w:p>
        </w:tc>
        <w:tc>
          <w:tcPr>
            <w:tcW w:w="1441" w:type="dxa"/>
            <w:tcBorders>
              <w:top w:val="single" w:sz="6" w:space="0" w:color="auto"/>
              <w:left w:val="single" w:sz="6" w:space="0" w:color="auto"/>
              <w:bottom w:val="single" w:sz="6" w:space="0" w:color="auto"/>
              <w:right w:val="single" w:sz="6" w:space="0" w:color="auto"/>
            </w:tcBorders>
            <w:vAlign w:val="center"/>
          </w:tcPr>
          <w:p w:rsidR="00541392" w:rsidRPr="003C674B" w:rsidRDefault="00541392">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541392" w:rsidRPr="003C674B" w:rsidRDefault="00541392" w:rsidP="00D204E5">
            <w:pPr>
              <w:pStyle w:val="DWTableText"/>
              <w:jc w:val="center"/>
              <w:rPr>
                <w:rFonts w:ascii="Arial" w:hAnsi="Arial" w:cs="Arial"/>
                <w:sz w:val="16"/>
                <w:szCs w:val="16"/>
              </w:rPr>
            </w:pPr>
            <w:r w:rsidRPr="003C674B">
              <w:rPr>
                <w:rFonts w:ascii="Arial" w:hAnsi="Arial" w:cs="Arial"/>
                <w:sz w:val="16"/>
                <w:szCs w:val="16"/>
              </w:rPr>
              <w:t>6/6/16</w:t>
            </w:r>
          </w:p>
        </w:tc>
        <w:tc>
          <w:tcPr>
            <w:tcW w:w="5172" w:type="dxa"/>
            <w:tcBorders>
              <w:top w:val="single" w:sz="6" w:space="0" w:color="auto"/>
              <w:left w:val="single" w:sz="6" w:space="0" w:color="auto"/>
              <w:bottom w:val="single" w:sz="6" w:space="0" w:color="auto"/>
              <w:right w:val="single" w:sz="6" w:space="0" w:color="auto"/>
            </w:tcBorders>
            <w:vAlign w:val="center"/>
          </w:tcPr>
          <w:p w:rsidR="00541392" w:rsidRPr="003C674B" w:rsidRDefault="00541392" w:rsidP="009444D1">
            <w:pPr>
              <w:pStyle w:val="DWTableText"/>
              <w:rPr>
                <w:rFonts w:ascii="Arial" w:hAnsi="Arial" w:cs="Arial"/>
                <w:sz w:val="16"/>
                <w:szCs w:val="16"/>
              </w:rPr>
            </w:pPr>
            <w:r w:rsidRPr="003C674B">
              <w:rPr>
                <w:rFonts w:ascii="Arial" w:hAnsi="Arial" w:cs="Arial"/>
                <w:sz w:val="16"/>
                <w:szCs w:val="16"/>
              </w:rPr>
              <w:t xml:space="preserve">ABC </w:t>
            </w:r>
            <w:r w:rsidR="00D0126B" w:rsidRPr="003C674B">
              <w:rPr>
                <w:rFonts w:ascii="Arial" w:hAnsi="Arial" w:cs="Arial"/>
                <w:sz w:val="16"/>
                <w:szCs w:val="16"/>
              </w:rPr>
              <w:t>News</w:t>
            </w:r>
            <w:r w:rsidRPr="003C674B">
              <w:rPr>
                <w:rFonts w:ascii="Arial" w:hAnsi="Arial" w:cs="Arial"/>
                <w:sz w:val="16"/>
                <w:szCs w:val="16"/>
              </w:rPr>
              <w:t>: Fact check: Are there 'over a million 457s' in Australia?</w:t>
            </w:r>
          </w:p>
          <w:p w:rsidR="00D0126B" w:rsidRPr="003C674B" w:rsidRDefault="00D0126B" w:rsidP="009444D1">
            <w:pPr>
              <w:pStyle w:val="DWTableText"/>
              <w:rPr>
                <w:rFonts w:ascii="Arial" w:hAnsi="Arial" w:cs="Arial"/>
                <w:sz w:val="16"/>
                <w:szCs w:val="16"/>
              </w:rPr>
            </w:pPr>
            <w:r w:rsidRPr="003C674B">
              <w:rPr>
                <w:rFonts w:ascii="Arial" w:hAnsi="Arial" w:cs="Arial"/>
                <w:sz w:val="16"/>
                <w:szCs w:val="16"/>
              </w:rPr>
              <w:t>“Department of Immigration statistics show that the number of people who have been granted 457 visas (primary and secondary) which would still be valid as at the date of the last publicly available information — March 31, 2016 — was 415,103.”</w:t>
            </w:r>
          </w:p>
          <w:p w:rsidR="00541392" w:rsidRPr="003C674B" w:rsidRDefault="00524F02" w:rsidP="00AE0474">
            <w:pPr>
              <w:pStyle w:val="DWTableText"/>
              <w:rPr>
                <w:rFonts w:ascii="Arial" w:hAnsi="Arial" w:cs="Arial"/>
                <w:sz w:val="16"/>
                <w:szCs w:val="16"/>
              </w:rPr>
            </w:pPr>
            <w:hyperlink r:id="rId24" w:history="1">
              <w:r w:rsidR="00541392" w:rsidRPr="003C674B">
                <w:rPr>
                  <w:rStyle w:val="Hyperlink"/>
                  <w:rFonts w:ascii="Arial" w:hAnsi="Arial" w:cs="Arial"/>
                  <w:sz w:val="16"/>
                  <w:szCs w:val="16"/>
                </w:rPr>
                <w:t>http://www.abc.net.au/news/2016-06-02/fact-check-are-there-over-a-million-457s-out-there/7463706</w:t>
              </w:r>
            </w:hyperlink>
          </w:p>
        </w:tc>
      </w:tr>
      <w:tr w:rsidR="00AE0474"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AE0474" w:rsidRPr="003C674B" w:rsidRDefault="00AE0474">
            <w:pPr>
              <w:pStyle w:val="DWReferenceNumber"/>
              <w:numPr>
                <w:ilvl w:val="0"/>
                <w:numId w:val="3"/>
              </w:numPr>
              <w:rPr>
                <w:rFonts w:ascii="Arial" w:hAnsi="Arial" w:cs="Arial"/>
                <w:szCs w:val="16"/>
              </w:rPr>
            </w:pPr>
            <w:bookmarkStart w:id="19" w:name="_Ref472513922"/>
          </w:p>
        </w:tc>
        <w:bookmarkEnd w:id="19"/>
        <w:tc>
          <w:tcPr>
            <w:tcW w:w="1441" w:type="dxa"/>
            <w:tcBorders>
              <w:top w:val="single" w:sz="6" w:space="0" w:color="auto"/>
              <w:left w:val="single" w:sz="6" w:space="0" w:color="auto"/>
              <w:bottom w:val="single" w:sz="6" w:space="0" w:color="auto"/>
              <w:right w:val="single" w:sz="6" w:space="0" w:color="auto"/>
            </w:tcBorders>
            <w:vAlign w:val="center"/>
          </w:tcPr>
          <w:p w:rsidR="00AE0474" w:rsidRPr="003C674B" w:rsidRDefault="00AE0474">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AE0474" w:rsidRPr="003C674B" w:rsidRDefault="00C64760" w:rsidP="002F5390">
            <w:pPr>
              <w:pStyle w:val="DWTableText"/>
              <w:rPr>
                <w:rFonts w:ascii="Arial" w:hAnsi="Arial" w:cs="Arial"/>
                <w:sz w:val="16"/>
                <w:szCs w:val="16"/>
              </w:rPr>
            </w:pPr>
            <w:r w:rsidRPr="003C674B">
              <w:rPr>
                <w:rFonts w:ascii="Arial" w:hAnsi="Arial" w:cs="Arial"/>
                <w:sz w:val="16"/>
                <w:szCs w:val="16"/>
              </w:rPr>
              <w:t>16/12/16</w:t>
            </w:r>
          </w:p>
        </w:tc>
        <w:tc>
          <w:tcPr>
            <w:tcW w:w="5172" w:type="dxa"/>
            <w:tcBorders>
              <w:top w:val="single" w:sz="6" w:space="0" w:color="auto"/>
              <w:left w:val="single" w:sz="6" w:space="0" w:color="auto"/>
              <w:bottom w:val="single" w:sz="6" w:space="0" w:color="auto"/>
              <w:right w:val="single" w:sz="6" w:space="0" w:color="auto"/>
            </w:tcBorders>
            <w:vAlign w:val="center"/>
          </w:tcPr>
          <w:p w:rsidR="00AE0474" w:rsidRPr="003C674B" w:rsidRDefault="00AE0474" w:rsidP="009444D1">
            <w:pPr>
              <w:pStyle w:val="DWTableText"/>
              <w:rPr>
                <w:rFonts w:ascii="Arial" w:hAnsi="Arial" w:cs="Arial"/>
                <w:sz w:val="16"/>
                <w:szCs w:val="16"/>
              </w:rPr>
            </w:pPr>
            <w:r w:rsidRPr="003C674B">
              <w:rPr>
                <w:rFonts w:ascii="Arial" w:hAnsi="Arial" w:cs="Arial"/>
                <w:sz w:val="16"/>
                <w:szCs w:val="16"/>
              </w:rPr>
              <w:t>The Conservation: FactCheck: Are Australians paying twice as much for electricity as Americans?</w:t>
            </w:r>
          </w:p>
          <w:p w:rsidR="00453007" w:rsidRPr="003C674B" w:rsidRDefault="00453007" w:rsidP="009444D1">
            <w:pPr>
              <w:pStyle w:val="DWTableText"/>
              <w:rPr>
                <w:rFonts w:ascii="Arial" w:hAnsi="Arial" w:cs="Arial"/>
                <w:sz w:val="16"/>
                <w:szCs w:val="16"/>
              </w:rPr>
            </w:pPr>
            <w:r w:rsidRPr="003C674B">
              <w:rPr>
                <w:rFonts w:ascii="Arial" w:hAnsi="Arial" w:cs="Arial"/>
                <w:sz w:val="16"/>
                <w:szCs w:val="16"/>
              </w:rPr>
              <w:t>“</w:t>
            </w:r>
            <w:r w:rsidR="00C64760" w:rsidRPr="003C674B">
              <w:rPr>
                <w:rFonts w:ascii="Arial" w:hAnsi="Arial" w:cs="Arial"/>
                <w:sz w:val="16"/>
                <w:szCs w:val="16"/>
              </w:rPr>
              <w:t>If we compare Australian and American electricity prices using market exchange rates, Craig Kelly’s comment is correct: Australia’s electricity prices were essentially double those of the United States as recently as 2014.</w:t>
            </w:r>
          </w:p>
          <w:p w:rsidR="00C64760" w:rsidRPr="003C674B" w:rsidRDefault="00524F02" w:rsidP="00C64760">
            <w:pPr>
              <w:pStyle w:val="DWTableText"/>
              <w:rPr>
                <w:rFonts w:ascii="Arial" w:hAnsi="Arial" w:cs="Arial"/>
                <w:sz w:val="16"/>
                <w:szCs w:val="16"/>
              </w:rPr>
            </w:pPr>
            <w:hyperlink r:id="rId25" w:history="1">
              <w:r w:rsidR="00C64760" w:rsidRPr="003C674B">
                <w:rPr>
                  <w:rStyle w:val="Hyperlink"/>
                  <w:rFonts w:ascii="Arial" w:hAnsi="Arial" w:cs="Arial"/>
                  <w:sz w:val="16"/>
                  <w:szCs w:val="16"/>
                </w:rPr>
                <w:t>http://theconversation.com/factcheck-are-australians-paying-twice-as-much-for-electricity-as-americans-69980</w:t>
              </w:r>
            </w:hyperlink>
          </w:p>
        </w:tc>
      </w:tr>
      <w:tr w:rsidR="00F4044D"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F4044D" w:rsidRPr="003C674B" w:rsidRDefault="00F4044D">
            <w:pPr>
              <w:pStyle w:val="DWReferenceNumber"/>
              <w:numPr>
                <w:ilvl w:val="0"/>
                <w:numId w:val="3"/>
              </w:numPr>
              <w:rPr>
                <w:rFonts w:ascii="Arial" w:hAnsi="Arial" w:cs="Arial"/>
                <w:szCs w:val="16"/>
              </w:rPr>
            </w:pPr>
            <w:bookmarkStart w:id="20" w:name="_Ref472514421"/>
          </w:p>
        </w:tc>
        <w:bookmarkEnd w:id="20"/>
        <w:tc>
          <w:tcPr>
            <w:tcW w:w="1441" w:type="dxa"/>
            <w:tcBorders>
              <w:top w:val="single" w:sz="6" w:space="0" w:color="auto"/>
              <w:left w:val="single" w:sz="6" w:space="0" w:color="auto"/>
              <w:bottom w:val="single" w:sz="6" w:space="0" w:color="auto"/>
              <w:right w:val="single" w:sz="6" w:space="0" w:color="auto"/>
            </w:tcBorders>
            <w:vAlign w:val="center"/>
          </w:tcPr>
          <w:p w:rsidR="00F4044D" w:rsidRPr="003C674B" w:rsidRDefault="00F4044D">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F4044D" w:rsidRPr="003C674B" w:rsidRDefault="00341778" w:rsidP="00D204E5">
            <w:pPr>
              <w:pStyle w:val="DWTableText"/>
              <w:jc w:val="center"/>
              <w:rPr>
                <w:rFonts w:ascii="Arial" w:hAnsi="Arial" w:cs="Arial"/>
                <w:sz w:val="16"/>
                <w:szCs w:val="16"/>
              </w:rPr>
            </w:pPr>
            <w:r w:rsidRPr="003C674B">
              <w:rPr>
                <w:rFonts w:ascii="Arial" w:hAnsi="Arial" w:cs="Arial"/>
                <w:sz w:val="16"/>
                <w:szCs w:val="16"/>
              </w:rPr>
              <w:t>17/10/16</w:t>
            </w:r>
          </w:p>
        </w:tc>
        <w:tc>
          <w:tcPr>
            <w:tcW w:w="5172" w:type="dxa"/>
            <w:tcBorders>
              <w:top w:val="single" w:sz="6" w:space="0" w:color="auto"/>
              <w:left w:val="single" w:sz="6" w:space="0" w:color="auto"/>
              <w:bottom w:val="single" w:sz="6" w:space="0" w:color="auto"/>
              <w:right w:val="single" w:sz="6" w:space="0" w:color="auto"/>
            </w:tcBorders>
            <w:vAlign w:val="center"/>
          </w:tcPr>
          <w:p w:rsidR="00F4044D" w:rsidRPr="003C674B" w:rsidRDefault="00F4044D" w:rsidP="009444D1">
            <w:pPr>
              <w:pStyle w:val="DWTableText"/>
              <w:rPr>
                <w:rFonts w:ascii="Arial" w:hAnsi="Arial" w:cs="Arial"/>
                <w:sz w:val="16"/>
                <w:szCs w:val="16"/>
              </w:rPr>
            </w:pPr>
            <w:r w:rsidRPr="003C674B">
              <w:rPr>
                <w:rFonts w:ascii="Arial" w:hAnsi="Arial" w:cs="Arial"/>
                <w:sz w:val="16"/>
                <w:szCs w:val="16"/>
              </w:rPr>
              <w:t>The Conservation FactCheck Q&amp;A: what are the real numbers on refugees and other migrants coming to Australia?</w:t>
            </w:r>
          </w:p>
          <w:p w:rsidR="00F4044D" w:rsidRPr="003C674B" w:rsidRDefault="00341778" w:rsidP="009444D1">
            <w:pPr>
              <w:pStyle w:val="DWTableText"/>
              <w:rPr>
                <w:rFonts w:ascii="Arial" w:hAnsi="Arial" w:cs="Arial"/>
                <w:sz w:val="16"/>
                <w:szCs w:val="16"/>
              </w:rPr>
            </w:pPr>
            <w:r w:rsidRPr="003C674B">
              <w:rPr>
                <w:rFonts w:ascii="Arial" w:hAnsi="Arial" w:cs="Arial"/>
                <w:sz w:val="16"/>
                <w:szCs w:val="16"/>
              </w:rPr>
              <w:t>“</w:t>
            </w:r>
            <w:r w:rsidR="00F4044D" w:rsidRPr="003C674B">
              <w:rPr>
                <w:rFonts w:ascii="Arial" w:hAnsi="Arial" w:cs="Arial"/>
                <w:sz w:val="16"/>
                <w:szCs w:val="16"/>
              </w:rPr>
              <w:t>For any given year, the total of permanent and temporary visa holders in Australia at any given time may be higher or lower than 800,000.</w:t>
            </w:r>
            <w:r w:rsidRPr="003C674B">
              <w:rPr>
                <w:rFonts w:ascii="Arial" w:hAnsi="Arial" w:cs="Arial"/>
                <w:sz w:val="16"/>
                <w:szCs w:val="16"/>
              </w:rPr>
              <w:t>”</w:t>
            </w:r>
          </w:p>
          <w:p w:rsidR="00F4044D" w:rsidRPr="003C674B" w:rsidRDefault="00524F02" w:rsidP="00F4044D">
            <w:pPr>
              <w:pStyle w:val="DWTableText"/>
              <w:rPr>
                <w:rFonts w:ascii="Arial" w:hAnsi="Arial" w:cs="Arial"/>
                <w:sz w:val="16"/>
                <w:szCs w:val="16"/>
              </w:rPr>
            </w:pPr>
            <w:hyperlink r:id="rId26" w:history="1">
              <w:r w:rsidR="00F4044D" w:rsidRPr="003C674B">
                <w:rPr>
                  <w:rStyle w:val="Hyperlink"/>
                  <w:rFonts w:ascii="Arial" w:hAnsi="Arial" w:cs="Arial"/>
                  <w:sz w:val="16"/>
                  <w:szCs w:val="16"/>
                </w:rPr>
                <w:t>http://theconversation.com/factcheck-qanda-what-are-the-real-numbers-on-refugees-and-other-migrants-coming-to-australia-66912</w:t>
              </w:r>
            </w:hyperlink>
          </w:p>
        </w:tc>
      </w:tr>
      <w:tr w:rsidR="00DB038E"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DB038E" w:rsidRPr="003C674B" w:rsidRDefault="00DB038E">
            <w:pPr>
              <w:pStyle w:val="DWReferenceNumber"/>
              <w:numPr>
                <w:ilvl w:val="0"/>
                <w:numId w:val="3"/>
              </w:numPr>
              <w:rPr>
                <w:rFonts w:ascii="Arial" w:hAnsi="Arial" w:cs="Arial"/>
                <w:szCs w:val="16"/>
              </w:rPr>
            </w:pPr>
            <w:bookmarkStart w:id="21" w:name="_Ref472515253"/>
          </w:p>
        </w:tc>
        <w:bookmarkEnd w:id="21"/>
        <w:tc>
          <w:tcPr>
            <w:tcW w:w="1441" w:type="dxa"/>
            <w:tcBorders>
              <w:top w:val="single" w:sz="6" w:space="0" w:color="auto"/>
              <w:left w:val="single" w:sz="6" w:space="0" w:color="auto"/>
              <w:bottom w:val="single" w:sz="6" w:space="0" w:color="auto"/>
              <w:right w:val="single" w:sz="6" w:space="0" w:color="auto"/>
            </w:tcBorders>
            <w:vAlign w:val="center"/>
          </w:tcPr>
          <w:p w:rsidR="00DB038E" w:rsidRPr="003C674B" w:rsidRDefault="00DB038E">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DB038E" w:rsidRPr="003C674B" w:rsidRDefault="00AD0BE5" w:rsidP="00D204E5">
            <w:pPr>
              <w:pStyle w:val="DWTableText"/>
              <w:jc w:val="center"/>
              <w:rPr>
                <w:rFonts w:ascii="Arial" w:hAnsi="Arial" w:cs="Arial"/>
                <w:sz w:val="16"/>
                <w:szCs w:val="16"/>
              </w:rPr>
            </w:pPr>
            <w:r>
              <w:rPr>
                <w:rFonts w:ascii="Arial" w:hAnsi="Arial" w:cs="Arial"/>
                <w:sz w:val="16"/>
                <w:szCs w:val="16"/>
              </w:rPr>
              <w:t>17/1/17</w:t>
            </w:r>
          </w:p>
        </w:tc>
        <w:tc>
          <w:tcPr>
            <w:tcW w:w="5172" w:type="dxa"/>
            <w:tcBorders>
              <w:top w:val="single" w:sz="6" w:space="0" w:color="auto"/>
              <w:left w:val="single" w:sz="6" w:space="0" w:color="auto"/>
              <w:bottom w:val="single" w:sz="6" w:space="0" w:color="auto"/>
              <w:right w:val="single" w:sz="6" w:space="0" w:color="auto"/>
            </w:tcBorders>
            <w:vAlign w:val="center"/>
          </w:tcPr>
          <w:p w:rsidR="00DB038E" w:rsidRDefault="00AD0BE5" w:rsidP="009444D1">
            <w:pPr>
              <w:pStyle w:val="DWTableText"/>
              <w:rPr>
                <w:rFonts w:ascii="Arial" w:hAnsi="Arial" w:cs="Arial"/>
                <w:sz w:val="16"/>
                <w:szCs w:val="16"/>
              </w:rPr>
            </w:pPr>
            <w:r>
              <w:rPr>
                <w:rFonts w:ascii="Arial" w:hAnsi="Arial" w:cs="Arial"/>
                <w:sz w:val="16"/>
                <w:szCs w:val="16"/>
              </w:rPr>
              <w:t xml:space="preserve">US Energy Information Administration: </w:t>
            </w:r>
            <w:r w:rsidR="00DB038E" w:rsidRPr="00DB038E">
              <w:rPr>
                <w:rFonts w:ascii="Arial" w:hAnsi="Arial" w:cs="Arial"/>
                <w:sz w:val="16"/>
                <w:szCs w:val="16"/>
              </w:rPr>
              <w:t>Gasoline and Diesel Fuel Update</w:t>
            </w:r>
            <w:r w:rsidR="003A4466">
              <w:rPr>
                <w:rFonts w:ascii="Arial" w:hAnsi="Arial" w:cs="Arial"/>
                <w:sz w:val="16"/>
                <w:szCs w:val="16"/>
              </w:rPr>
              <w:t xml:space="preserve">. </w:t>
            </w:r>
            <w:r w:rsidR="00867EDF">
              <w:rPr>
                <w:rFonts w:ascii="Arial" w:hAnsi="Arial" w:cs="Arial"/>
                <w:sz w:val="16"/>
                <w:szCs w:val="16"/>
              </w:rPr>
              <w:t xml:space="preserve"> (1 US Gallon = </w:t>
            </w:r>
            <w:r w:rsidR="00867EDF" w:rsidRPr="00867EDF">
              <w:rPr>
                <w:rFonts w:ascii="Arial" w:hAnsi="Arial" w:cs="Arial"/>
                <w:sz w:val="16"/>
                <w:szCs w:val="16"/>
              </w:rPr>
              <w:t>3.78541</w:t>
            </w:r>
            <w:r w:rsidR="00867EDF">
              <w:rPr>
                <w:rFonts w:ascii="Arial" w:hAnsi="Arial" w:cs="Arial"/>
                <w:sz w:val="16"/>
                <w:szCs w:val="16"/>
              </w:rPr>
              <w:t xml:space="preserve"> litres)</w:t>
            </w:r>
          </w:p>
          <w:p w:rsidR="00793DB7" w:rsidRDefault="00F12028" w:rsidP="00EA3AD9">
            <w:pPr>
              <w:pStyle w:val="DWTableText"/>
              <w:rPr>
                <w:rFonts w:ascii="Arial" w:hAnsi="Arial" w:cs="Arial"/>
                <w:sz w:val="16"/>
                <w:szCs w:val="16"/>
              </w:rPr>
            </w:pPr>
            <w:r>
              <w:rPr>
                <w:rFonts w:ascii="Arial" w:hAnsi="Arial" w:cs="Arial"/>
                <w:sz w:val="16"/>
                <w:szCs w:val="16"/>
              </w:rPr>
              <w:t xml:space="preserve">“US Regular Gasoline Prices per </w:t>
            </w:r>
            <w:r w:rsidR="003A4466">
              <w:rPr>
                <w:rFonts w:ascii="Arial" w:hAnsi="Arial" w:cs="Arial"/>
                <w:sz w:val="16"/>
                <w:szCs w:val="16"/>
              </w:rPr>
              <w:t>litre</w:t>
            </w:r>
            <w:r>
              <w:rPr>
                <w:rFonts w:ascii="Arial" w:hAnsi="Arial" w:cs="Arial"/>
                <w:sz w:val="16"/>
                <w:szCs w:val="16"/>
              </w:rPr>
              <w:t xml:space="preserve"> = US</w:t>
            </w:r>
            <w:r w:rsidR="00793DB7">
              <w:rPr>
                <w:rFonts w:ascii="Arial" w:hAnsi="Arial" w:cs="Arial"/>
                <w:sz w:val="16"/>
                <w:szCs w:val="16"/>
              </w:rPr>
              <w:t>$</w:t>
            </w:r>
            <w:r w:rsidR="003A4466">
              <w:rPr>
                <w:rFonts w:ascii="Arial" w:hAnsi="Arial" w:cs="Arial"/>
                <w:sz w:val="16"/>
                <w:szCs w:val="16"/>
              </w:rPr>
              <w:t>0.6279</w:t>
            </w:r>
            <w:r w:rsidR="00793DB7">
              <w:rPr>
                <w:rFonts w:ascii="Arial" w:hAnsi="Arial" w:cs="Arial"/>
                <w:sz w:val="16"/>
                <w:szCs w:val="16"/>
              </w:rPr>
              <w:t xml:space="preserve"> and US On-Highway Diesel Fuel Prices = US</w:t>
            </w:r>
            <w:r w:rsidR="00EA3AD9">
              <w:rPr>
                <w:rFonts w:ascii="Arial" w:hAnsi="Arial" w:cs="Arial"/>
                <w:sz w:val="16"/>
                <w:szCs w:val="16"/>
              </w:rPr>
              <w:t>$0.6779</w:t>
            </w:r>
            <w:r w:rsidR="00867EDF">
              <w:rPr>
                <w:rFonts w:ascii="Arial" w:hAnsi="Arial" w:cs="Arial"/>
                <w:sz w:val="16"/>
                <w:szCs w:val="16"/>
              </w:rPr>
              <w:t>”</w:t>
            </w:r>
            <w:r w:rsidR="00DA79BF">
              <w:rPr>
                <w:rFonts w:ascii="Arial" w:hAnsi="Arial" w:cs="Arial"/>
                <w:sz w:val="16"/>
                <w:szCs w:val="16"/>
              </w:rPr>
              <w:t xml:space="preserve"> Taxes represent 21% of the price.</w:t>
            </w:r>
          </w:p>
          <w:p w:rsidR="00DA79BF" w:rsidRPr="003C674B" w:rsidRDefault="00524F02" w:rsidP="00DA79BF">
            <w:pPr>
              <w:pStyle w:val="DWTableText"/>
              <w:rPr>
                <w:rFonts w:ascii="Arial" w:hAnsi="Arial" w:cs="Arial"/>
                <w:sz w:val="16"/>
                <w:szCs w:val="16"/>
              </w:rPr>
            </w:pPr>
            <w:hyperlink r:id="rId27" w:history="1">
              <w:r w:rsidR="00DA79BF" w:rsidRPr="00E57137">
                <w:rPr>
                  <w:rStyle w:val="Hyperlink"/>
                  <w:rFonts w:ascii="Arial" w:hAnsi="Arial" w:cs="Arial"/>
                  <w:sz w:val="16"/>
                  <w:szCs w:val="16"/>
                </w:rPr>
                <w:t>http://www.eia.gov/petroleum/gasdiesel/</w:t>
              </w:r>
            </w:hyperlink>
          </w:p>
        </w:tc>
      </w:tr>
      <w:tr w:rsidR="00210CA8"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210CA8" w:rsidRPr="003C674B" w:rsidRDefault="00210CA8">
            <w:pPr>
              <w:pStyle w:val="DWReferenceNumber"/>
              <w:numPr>
                <w:ilvl w:val="0"/>
                <w:numId w:val="3"/>
              </w:numPr>
              <w:rPr>
                <w:rFonts w:ascii="Arial" w:hAnsi="Arial" w:cs="Arial"/>
                <w:szCs w:val="16"/>
              </w:rPr>
            </w:pPr>
            <w:bookmarkStart w:id="22" w:name="_Ref472516715"/>
          </w:p>
        </w:tc>
        <w:bookmarkEnd w:id="22"/>
        <w:tc>
          <w:tcPr>
            <w:tcW w:w="1441" w:type="dxa"/>
            <w:tcBorders>
              <w:top w:val="single" w:sz="6" w:space="0" w:color="auto"/>
              <w:left w:val="single" w:sz="6" w:space="0" w:color="auto"/>
              <w:bottom w:val="single" w:sz="6" w:space="0" w:color="auto"/>
              <w:right w:val="single" w:sz="6" w:space="0" w:color="auto"/>
            </w:tcBorders>
            <w:vAlign w:val="center"/>
          </w:tcPr>
          <w:p w:rsidR="00210CA8" w:rsidRPr="003C674B" w:rsidRDefault="00210CA8">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210CA8" w:rsidRDefault="00210CA8" w:rsidP="00D204E5">
            <w:pPr>
              <w:pStyle w:val="DWTableText"/>
              <w:jc w:val="center"/>
              <w:rPr>
                <w:rFonts w:ascii="Arial" w:hAnsi="Arial" w:cs="Arial"/>
                <w:sz w:val="16"/>
                <w:szCs w:val="16"/>
              </w:rPr>
            </w:pPr>
            <w:r>
              <w:rPr>
                <w:rFonts w:ascii="Arial" w:hAnsi="Arial" w:cs="Arial"/>
                <w:sz w:val="16"/>
                <w:szCs w:val="16"/>
              </w:rPr>
              <w:t>Dec 16</w:t>
            </w:r>
          </w:p>
        </w:tc>
        <w:tc>
          <w:tcPr>
            <w:tcW w:w="5172" w:type="dxa"/>
            <w:tcBorders>
              <w:top w:val="single" w:sz="6" w:space="0" w:color="auto"/>
              <w:left w:val="single" w:sz="6" w:space="0" w:color="auto"/>
              <w:bottom w:val="single" w:sz="6" w:space="0" w:color="auto"/>
              <w:right w:val="single" w:sz="6" w:space="0" w:color="auto"/>
            </w:tcBorders>
            <w:vAlign w:val="center"/>
          </w:tcPr>
          <w:p w:rsidR="00210CA8" w:rsidRDefault="00210CA8" w:rsidP="008E03A3">
            <w:pPr>
              <w:pStyle w:val="DWTableText"/>
              <w:rPr>
                <w:rFonts w:ascii="Arial" w:hAnsi="Arial" w:cs="Arial"/>
                <w:sz w:val="16"/>
                <w:szCs w:val="16"/>
              </w:rPr>
            </w:pPr>
            <w:r w:rsidRPr="00210CA8">
              <w:rPr>
                <w:rFonts w:ascii="Arial" w:hAnsi="Arial" w:cs="Arial"/>
                <w:sz w:val="16"/>
                <w:szCs w:val="16"/>
              </w:rPr>
              <w:t xml:space="preserve">US Energy Information Administration: </w:t>
            </w:r>
            <w:r>
              <w:rPr>
                <w:rFonts w:ascii="Arial" w:hAnsi="Arial" w:cs="Arial"/>
                <w:sz w:val="16"/>
                <w:szCs w:val="16"/>
              </w:rPr>
              <w:t>US Propane Residential Prices</w:t>
            </w:r>
            <w:r w:rsidRPr="00210CA8">
              <w:rPr>
                <w:rFonts w:ascii="Arial" w:hAnsi="Arial" w:cs="Arial"/>
                <w:sz w:val="16"/>
                <w:szCs w:val="16"/>
              </w:rPr>
              <w:t xml:space="preserve">.  (1 US Gallon = </w:t>
            </w:r>
            <w:r w:rsidR="008E03A3">
              <w:rPr>
                <w:rFonts w:ascii="Arial" w:hAnsi="Arial" w:cs="Arial"/>
                <w:sz w:val="16"/>
                <w:szCs w:val="16"/>
              </w:rPr>
              <w:t>0.529 kg</w:t>
            </w:r>
            <w:r w:rsidRPr="00210CA8">
              <w:rPr>
                <w:rFonts w:ascii="Arial" w:hAnsi="Arial" w:cs="Arial"/>
                <w:sz w:val="16"/>
                <w:szCs w:val="16"/>
              </w:rPr>
              <w:t>)</w:t>
            </w:r>
            <w:r w:rsidR="008E03A3">
              <w:rPr>
                <w:rFonts w:ascii="Arial" w:hAnsi="Arial" w:cs="Arial"/>
                <w:sz w:val="16"/>
                <w:szCs w:val="16"/>
              </w:rPr>
              <w:t xml:space="preserve">. A typical 8.5 kg LPG Bottle used for barbecues in Australia = 4.497 US Gallons of </w:t>
            </w:r>
            <w:r w:rsidR="00FF3651">
              <w:rPr>
                <w:rFonts w:ascii="Arial" w:hAnsi="Arial" w:cs="Arial"/>
                <w:sz w:val="16"/>
                <w:szCs w:val="16"/>
              </w:rPr>
              <w:t>Propane</w:t>
            </w:r>
            <w:r w:rsidR="008E03A3">
              <w:rPr>
                <w:rFonts w:ascii="Arial" w:hAnsi="Arial" w:cs="Arial"/>
                <w:sz w:val="16"/>
                <w:szCs w:val="16"/>
              </w:rPr>
              <w:t>.</w:t>
            </w:r>
          </w:p>
          <w:p w:rsidR="00FF3651" w:rsidRDefault="00FF3651" w:rsidP="008E03A3">
            <w:pPr>
              <w:pStyle w:val="DWTableText"/>
              <w:rPr>
                <w:rFonts w:ascii="Arial" w:hAnsi="Arial" w:cs="Arial"/>
                <w:sz w:val="16"/>
                <w:szCs w:val="16"/>
              </w:rPr>
            </w:pPr>
            <w:r>
              <w:rPr>
                <w:rFonts w:ascii="Arial" w:hAnsi="Arial" w:cs="Arial"/>
                <w:sz w:val="16"/>
                <w:szCs w:val="16"/>
              </w:rPr>
              <w:t>“One US gallon of propane cost US$2.169</w:t>
            </w:r>
          </w:p>
          <w:p w:rsidR="00FF3651" w:rsidRDefault="00524F02" w:rsidP="00FF3651">
            <w:pPr>
              <w:pStyle w:val="DWTableText"/>
              <w:rPr>
                <w:rFonts w:ascii="Arial" w:hAnsi="Arial" w:cs="Arial"/>
                <w:sz w:val="16"/>
                <w:szCs w:val="16"/>
              </w:rPr>
            </w:pPr>
            <w:hyperlink r:id="rId28" w:history="1">
              <w:r w:rsidR="00FF3651" w:rsidRPr="00E57137">
                <w:rPr>
                  <w:rStyle w:val="Hyperlink"/>
                  <w:rFonts w:ascii="Arial" w:hAnsi="Arial" w:cs="Arial"/>
                  <w:sz w:val="16"/>
                  <w:szCs w:val="16"/>
                </w:rPr>
                <w:t>https://www.eia.gov/dnav/pet/hist/LeafHandler.ashx?n=PET&amp;s=M_EPLLPA_PRS_NUS_DPG&amp;f=M</w:t>
              </w:r>
            </w:hyperlink>
          </w:p>
        </w:tc>
      </w:tr>
      <w:tr w:rsidR="00F31DD8"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F31DD8" w:rsidRPr="003C674B" w:rsidRDefault="00F31DD8">
            <w:pPr>
              <w:pStyle w:val="DWReferenceNumber"/>
              <w:numPr>
                <w:ilvl w:val="0"/>
                <w:numId w:val="3"/>
              </w:numPr>
              <w:rPr>
                <w:rFonts w:ascii="Arial" w:hAnsi="Arial" w:cs="Arial"/>
                <w:szCs w:val="16"/>
              </w:rPr>
            </w:pPr>
            <w:bookmarkStart w:id="23" w:name="_Ref472594363"/>
          </w:p>
        </w:tc>
        <w:bookmarkEnd w:id="23"/>
        <w:tc>
          <w:tcPr>
            <w:tcW w:w="1441" w:type="dxa"/>
            <w:tcBorders>
              <w:top w:val="single" w:sz="6" w:space="0" w:color="auto"/>
              <w:left w:val="single" w:sz="6" w:space="0" w:color="auto"/>
              <w:bottom w:val="single" w:sz="6" w:space="0" w:color="auto"/>
              <w:right w:val="single" w:sz="6" w:space="0" w:color="auto"/>
            </w:tcBorders>
            <w:vAlign w:val="center"/>
          </w:tcPr>
          <w:p w:rsidR="00F31DD8" w:rsidRPr="003C674B" w:rsidRDefault="00F31DD8">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F31DD8" w:rsidRDefault="00F31DD8" w:rsidP="00D204E5">
            <w:pPr>
              <w:pStyle w:val="DWTableText"/>
              <w:jc w:val="center"/>
              <w:rPr>
                <w:rFonts w:ascii="Arial" w:hAnsi="Arial" w:cs="Arial"/>
                <w:sz w:val="16"/>
                <w:szCs w:val="16"/>
              </w:rPr>
            </w:pPr>
          </w:p>
        </w:tc>
        <w:tc>
          <w:tcPr>
            <w:tcW w:w="5172" w:type="dxa"/>
            <w:tcBorders>
              <w:top w:val="single" w:sz="6" w:space="0" w:color="auto"/>
              <w:left w:val="single" w:sz="6" w:space="0" w:color="auto"/>
              <w:bottom w:val="single" w:sz="6" w:space="0" w:color="auto"/>
              <w:right w:val="single" w:sz="6" w:space="0" w:color="auto"/>
            </w:tcBorders>
            <w:vAlign w:val="center"/>
          </w:tcPr>
          <w:p w:rsidR="00F31DD8" w:rsidRDefault="00F31DD8" w:rsidP="008E03A3">
            <w:pPr>
              <w:pStyle w:val="DWTableText"/>
              <w:rPr>
                <w:rFonts w:ascii="Arial" w:hAnsi="Arial" w:cs="Arial"/>
                <w:sz w:val="16"/>
                <w:szCs w:val="16"/>
              </w:rPr>
            </w:pPr>
            <w:r>
              <w:rPr>
                <w:rFonts w:ascii="Arial" w:hAnsi="Arial" w:cs="Arial"/>
                <w:sz w:val="16"/>
                <w:szCs w:val="16"/>
              </w:rPr>
              <w:t xml:space="preserve">Wikipedia: </w:t>
            </w:r>
            <w:r w:rsidRPr="00F31DD8">
              <w:rPr>
                <w:rFonts w:ascii="Arial" w:hAnsi="Arial" w:cs="Arial"/>
                <w:sz w:val="16"/>
                <w:szCs w:val="16"/>
              </w:rPr>
              <w:t>Thomas Playford IV</w:t>
            </w:r>
          </w:p>
          <w:p w:rsidR="00867FB1" w:rsidRDefault="004D73C2" w:rsidP="008E03A3">
            <w:pPr>
              <w:pStyle w:val="DWTableText"/>
              <w:rPr>
                <w:rFonts w:ascii="Arial" w:hAnsi="Arial" w:cs="Arial"/>
                <w:sz w:val="16"/>
                <w:szCs w:val="16"/>
              </w:rPr>
            </w:pPr>
            <w:r>
              <w:rPr>
                <w:rFonts w:ascii="Arial" w:hAnsi="Arial" w:cs="Arial"/>
                <w:sz w:val="16"/>
                <w:szCs w:val="16"/>
              </w:rPr>
              <w:t>“</w:t>
            </w:r>
            <w:r w:rsidR="00867FB1" w:rsidRPr="00867FB1">
              <w:rPr>
                <w:rFonts w:ascii="Arial" w:hAnsi="Arial" w:cs="Arial"/>
                <w:sz w:val="16"/>
                <w:szCs w:val="16"/>
              </w:rPr>
              <w:t>Sir Thomas Playford GCMG (5 July 1896 – 16 June 1981) was a South Australian politician. He served continuously as Premier of South Australia and leader of the Liberal and Country League from 5 November 1938 to 10 March 1965.</w:t>
            </w:r>
            <w:r>
              <w:rPr>
                <w:rFonts w:ascii="Arial" w:hAnsi="Arial" w:cs="Arial"/>
                <w:sz w:val="16"/>
                <w:szCs w:val="16"/>
              </w:rPr>
              <w:t>”</w:t>
            </w:r>
          </w:p>
          <w:p w:rsidR="000C6CC6" w:rsidRDefault="000C6CC6" w:rsidP="008E03A3">
            <w:pPr>
              <w:pStyle w:val="DWTableText"/>
              <w:rPr>
                <w:rFonts w:ascii="Arial" w:hAnsi="Arial" w:cs="Arial"/>
                <w:sz w:val="16"/>
                <w:szCs w:val="16"/>
              </w:rPr>
            </w:pPr>
            <w:r>
              <w:rPr>
                <w:rFonts w:ascii="Arial" w:hAnsi="Arial" w:cs="Arial"/>
                <w:sz w:val="16"/>
                <w:szCs w:val="16"/>
              </w:rPr>
              <w:t>“</w:t>
            </w:r>
            <w:r w:rsidRPr="000C6CC6">
              <w:rPr>
                <w:rFonts w:ascii="Arial" w:hAnsi="Arial" w:cs="Arial"/>
                <w:sz w:val="16"/>
                <w:szCs w:val="16"/>
              </w:rPr>
              <w:t>A Royal Commission in March 1945 was appointed to ascertain a solution between the two parties, and presented its report in August with a recommendation that the AESC be nationalised.</w:t>
            </w:r>
            <w:r w:rsidR="000D0C90">
              <w:rPr>
                <w:rFonts w:ascii="Arial" w:hAnsi="Arial" w:cs="Arial"/>
                <w:sz w:val="16"/>
                <w:szCs w:val="16"/>
              </w:rPr>
              <w:t>”</w:t>
            </w:r>
          </w:p>
          <w:p w:rsidR="00F31DD8" w:rsidRPr="00210CA8" w:rsidRDefault="00524F02" w:rsidP="00F31DD8">
            <w:pPr>
              <w:pStyle w:val="DWTableText"/>
              <w:rPr>
                <w:rFonts w:ascii="Arial" w:hAnsi="Arial" w:cs="Arial"/>
                <w:sz w:val="16"/>
                <w:szCs w:val="16"/>
              </w:rPr>
            </w:pPr>
            <w:hyperlink r:id="rId29" w:history="1">
              <w:r w:rsidR="00F31DD8" w:rsidRPr="00E57137">
                <w:rPr>
                  <w:rStyle w:val="Hyperlink"/>
                  <w:rFonts w:ascii="Arial" w:hAnsi="Arial" w:cs="Arial"/>
                  <w:sz w:val="16"/>
                  <w:szCs w:val="16"/>
                </w:rPr>
                <w:t>https://en.wikipedia.org/wiki/Thomas_Playford_IV</w:t>
              </w:r>
            </w:hyperlink>
          </w:p>
        </w:tc>
      </w:tr>
      <w:tr w:rsidR="004C7592"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4C7592" w:rsidRPr="003C674B" w:rsidRDefault="004C7592">
            <w:pPr>
              <w:pStyle w:val="DWReferenceNumber"/>
              <w:numPr>
                <w:ilvl w:val="0"/>
                <w:numId w:val="3"/>
              </w:numPr>
              <w:rPr>
                <w:rFonts w:ascii="Arial" w:hAnsi="Arial" w:cs="Arial"/>
                <w:szCs w:val="16"/>
              </w:rPr>
            </w:pPr>
            <w:bookmarkStart w:id="24" w:name="_Ref472539408"/>
          </w:p>
        </w:tc>
        <w:bookmarkEnd w:id="24"/>
        <w:tc>
          <w:tcPr>
            <w:tcW w:w="1441" w:type="dxa"/>
            <w:tcBorders>
              <w:top w:val="single" w:sz="6" w:space="0" w:color="auto"/>
              <w:left w:val="single" w:sz="6" w:space="0" w:color="auto"/>
              <w:bottom w:val="single" w:sz="6" w:space="0" w:color="auto"/>
              <w:right w:val="single" w:sz="6" w:space="0" w:color="auto"/>
            </w:tcBorders>
            <w:vAlign w:val="center"/>
          </w:tcPr>
          <w:p w:rsidR="004C7592" w:rsidRPr="003C674B" w:rsidRDefault="004C7592">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4C7592" w:rsidRDefault="004C7592" w:rsidP="00D204E5">
            <w:pPr>
              <w:pStyle w:val="DWTableText"/>
              <w:jc w:val="center"/>
              <w:rPr>
                <w:rFonts w:ascii="Arial" w:hAnsi="Arial" w:cs="Arial"/>
                <w:sz w:val="16"/>
                <w:szCs w:val="16"/>
              </w:rPr>
            </w:pPr>
            <w:r>
              <w:rPr>
                <w:rFonts w:ascii="Arial" w:hAnsi="Arial" w:cs="Arial"/>
                <w:sz w:val="16"/>
                <w:szCs w:val="16"/>
              </w:rPr>
              <w:t>12/12/16</w:t>
            </w:r>
          </w:p>
        </w:tc>
        <w:tc>
          <w:tcPr>
            <w:tcW w:w="5172" w:type="dxa"/>
            <w:tcBorders>
              <w:top w:val="single" w:sz="6" w:space="0" w:color="auto"/>
              <w:left w:val="single" w:sz="6" w:space="0" w:color="auto"/>
              <w:bottom w:val="single" w:sz="6" w:space="0" w:color="auto"/>
              <w:right w:val="single" w:sz="6" w:space="0" w:color="auto"/>
            </w:tcBorders>
            <w:vAlign w:val="center"/>
          </w:tcPr>
          <w:p w:rsidR="004C7592" w:rsidRDefault="004C7592" w:rsidP="004C7592">
            <w:pPr>
              <w:pStyle w:val="DWTableText"/>
              <w:rPr>
                <w:rFonts w:ascii="Arial" w:hAnsi="Arial" w:cs="Arial"/>
                <w:sz w:val="16"/>
                <w:szCs w:val="16"/>
              </w:rPr>
            </w:pPr>
            <w:r>
              <w:rPr>
                <w:rFonts w:ascii="Arial" w:hAnsi="Arial" w:cs="Arial"/>
                <w:sz w:val="16"/>
                <w:szCs w:val="16"/>
              </w:rPr>
              <w:t xml:space="preserve">The Conversation </w:t>
            </w:r>
            <w:r w:rsidRPr="004C7592">
              <w:rPr>
                <w:rFonts w:ascii="Arial" w:hAnsi="Arial" w:cs="Arial"/>
                <w:sz w:val="16"/>
                <w:szCs w:val="16"/>
              </w:rPr>
              <w:t>FactCheck: is Australia’s level of media ownership concentration one of the highest in the world?</w:t>
            </w:r>
          </w:p>
          <w:p w:rsidR="0039495A" w:rsidRDefault="0039495A" w:rsidP="004C7592">
            <w:pPr>
              <w:pStyle w:val="DWTableText"/>
              <w:rPr>
                <w:rFonts w:ascii="Arial" w:hAnsi="Arial" w:cs="Arial"/>
                <w:sz w:val="16"/>
                <w:szCs w:val="16"/>
              </w:rPr>
            </w:pPr>
            <w:r>
              <w:rPr>
                <w:rFonts w:ascii="Arial" w:hAnsi="Arial" w:cs="Arial"/>
                <w:sz w:val="16"/>
                <w:szCs w:val="16"/>
              </w:rPr>
              <w:t>“</w:t>
            </w:r>
            <w:r w:rsidRPr="0039495A">
              <w:rPr>
                <w:rFonts w:ascii="Arial" w:hAnsi="Arial" w:cs="Arial"/>
                <w:sz w:val="16"/>
                <w:szCs w:val="16"/>
              </w:rPr>
              <w:t>Michelle Rowland was correct. A number of reputable sources show that the concentration of media ownership in Australia is one of the highest in the world. – Tim Dwyer.</w:t>
            </w:r>
            <w:r>
              <w:rPr>
                <w:rFonts w:ascii="Arial" w:hAnsi="Arial" w:cs="Arial"/>
                <w:sz w:val="16"/>
                <w:szCs w:val="16"/>
              </w:rPr>
              <w:t>”</w:t>
            </w:r>
          </w:p>
          <w:p w:rsidR="0039495A" w:rsidRDefault="00524F02" w:rsidP="0039495A">
            <w:pPr>
              <w:pStyle w:val="DWTableText"/>
              <w:rPr>
                <w:rFonts w:ascii="Arial" w:hAnsi="Arial" w:cs="Arial"/>
                <w:sz w:val="16"/>
                <w:szCs w:val="16"/>
              </w:rPr>
            </w:pPr>
            <w:hyperlink r:id="rId30" w:history="1">
              <w:r w:rsidR="0039495A" w:rsidRPr="00E57137">
                <w:rPr>
                  <w:rStyle w:val="Hyperlink"/>
                  <w:rFonts w:ascii="Arial" w:hAnsi="Arial" w:cs="Arial"/>
                  <w:sz w:val="16"/>
                  <w:szCs w:val="16"/>
                </w:rPr>
                <w:t>http://theconversation.com/factcheck-is-australias-level-of-media-ownership-concentration-one-of-the-highest-in-the-world-68437</w:t>
              </w:r>
            </w:hyperlink>
          </w:p>
        </w:tc>
      </w:tr>
      <w:tr w:rsidR="00B6580D"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B6580D" w:rsidRPr="003C674B" w:rsidRDefault="00B6580D">
            <w:pPr>
              <w:pStyle w:val="DWReferenceNumber"/>
              <w:numPr>
                <w:ilvl w:val="0"/>
                <w:numId w:val="3"/>
              </w:numPr>
              <w:rPr>
                <w:rFonts w:ascii="Arial" w:hAnsi="Arial" w:cs="Arial"/>
                <w:szCs w:val="16"/>
              </w:rPr>
            </w:pPr>
            <w:bookmarkStart w:id="25" w:name="_Ref472542392"/>
          </w:p>
        </w:tc>
        <w:bookmarkEnd w:id="25"/>
        <w:tc>
          <w:tcPr>
            <w:tcW w:w="1441" w:type="dxa"/>
            <w:tcBorders>
              <w:top w:val="single" w:sz="6" w:space="0" w:color="auto"/>
              <w:left w:val="single" w:sz="6" w:space="0" w:color="auto"/>
              <w:bottom w:val="single" w:sz="6" w:space="0" w:color="auto"/>
              <w:right w:val="single" w:sz="6" w:space="0" w:color="auto"/>
            </w:tcBorders>
            <w:vAlign w:val="center"/>
          </w:tcPr>
          <w:p w:rsidR="00B6580D" w:rsidRPr="003C674B" w:rsidRDefault="00B6580D">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B6580D" w:rsidRDefault="000B5A48" w:rsidP="00D204E5">
            <w:pPr>
              <w:pStyle w:val="DWTableText"/>
              <w:jc w:val="center"/>
              <w:rPr>
                <w:rFonts w:ascii="Arial" w:hAnsi="Arial" w:cs="Arial"/>
                <w:sz w:val="16"/>
                <w:szCs w:val="16"/>
              </w:rPr>
            </w:pPr>
            <w:r>
              <w:rPr>
                <w:rFonts w:ascii="Arial" w:hAnsi="Arial" w:cs="Arial"/>
                <w:sz w:val="16"/>
                <w:szCs w:val="16"/>
              </w:rPr>
              <w:t>18/1/17</w:t>
            </w:r>
          </w:p>
        </w:tc>
        <w:tc>
          <w:tcPr>
            <w:tcW w:w="5172" w:type="dxa"/>
            <w:tcBorders>
              <w:top w:val="single" w:sz="6" w:space="0" w:color="auto"/>
              <w:left w:val="single" w:sz="6" w:space="0" w:color="auto"/>
              <w:bottom w:val="single" w:sz="6" w:space="0" w:color="auto"/>
              <w:right w:val="single" w:sz="6" w:space="0" w:color="auto"/>
            </w:tcBorders>
            <w:vAlign w:val="center"/>
          </w:tcPr>
          <w:p w:rsidR="00B6580D" w:rsidRDefault="00B6580D" w:rsidP="004C7592">
            <w:pPr>
              <w:pStyle w:val="DWTableText"/>
              <w:rPr>
                <w:rFonts w:ascii="Arial" w:hAnsi="Arial" w:cs="Arial"/>
                <w:sz w:val="16"/>
                <w:szCs w:val="16"/>
              </w:rPr>
            </w:pPr>
            <w:r>
              <w:rPr>
                <w:rFonts w:ascii="Arial" w:hAnsi="Arial" w:cs="Arial"/>
                <w:sz w:val="16"/>
                <w:szCs w:val="16"/>
              </w:rPr>
              <w:t>Clax Trolley Green Edition</w:t>
            </w:r>
            <w:r w:rsidR="00351205">
              <w:rPr>
                <w:rFonts w:ascii="Arial" w:hAnsi="Arial" w:cs="Arial"/>
                <w:sz w:val="16"/>
                <w:szCs w:val="16"/>
              </w:rPr>
              <w:t xml:space="preserve"> Made in Germany</w:t>
            </w:r>
            <w:r w:rsidR="00CE2361">
              <w:rPr>
                <w:rFonts w:ascii="Arial" w:hAnsi="Arial" w:cs="Arial"/>
                <w:sz w:val="16"/>
                <w:szCs w:val="16"/>
              </w:rPr>
              <w:t xml:space="preserve"> – Retail Price Comparison.</w:t>
            </w:r>
          </w:p>
          <w:p w:rsidR="00DC45F4" w:rsidRPr="00DC45F4" w:rsidRDefault="00DC45F4" w:rsidP="004C7592">
            <w:pPr>
              <w:pStyle w:val="DWTableText"/>
              <w:rPr>
                <w:rFonts w:ascii="Arial" w:hAnsi="Arial" w:cs="Arial"/>
                <w:b/>
                <w:sz w:val="16"/>
                <w:szCs w:val="16"/>
              </w:rPr>
            </w:pPr>
            <w:r w:rsidRPr="00DC45F4">
              <w:rPr>
                <w:rFonts w:ascii="Arial" w:hAnsi="Arial" w:cs="Arial"/>
                <w:b/>
                <w:sz w:val="16"/>
                <w:szCs w:val="16"/>
              </w:rPr>
              <w:t>Clax Germany</w:t>
            </w:r>
          </w:p>
          <w:p w:rsidR="00B6580D" w:rsidRDefault="00B6580D" w:rsidP="004C7592">
            <w:pPr>
              <w:pStyle w:val="DWTableText"/>
              <w:rPr>
                <w:rFonts w:ascii="Arial" w:hAnsi="Arial" w:cs="Arial"/>
                <w:sz w:val="16"/>
                <w:szCs w:val="16"/>
              </w:rPr>
            </w:pPr>
            <w:r>
              <w:rPr>
                <w:rFonts w:ascii="Arial" w:hAnsi="Arial" w:cs="Arial"/>
                <w:sz w:val="16"/>
                <w:szCs w:val="16"/>
              </w:rPr>
              <w:t>179.95 Euro including 20% VAT</w:t>
            </w:r>
            <w:r w:rsidR="00351205">
              <w:rPr>
                <w:rFonts w:ascii="Arial" w:hAnsi="Arial" w:cs="Arial"/>
                <w:sz w:val="16"/>
                <w:szCs w:val="16"/>
              </w:rPr>
              <w:t xml:space="preserve"> i.e. </w:t>
            </w:r>
            <w:r w:rsidR="00722267">
              <w:rPr>
                <w:rFonts w:ascii="Arial" w:hAnsi="Arial" w:cs="Arial"/>
                <w:sz w:val="16"/>
                <w:szCs w:val="16"/>
              </w:rPr>
              <w:t>149.95 excluding VAT</w:t>
            </w:r>
            <w:r w:rsidR="00196D9C">
              <w:rPr>
                <w:rFonts w:ascii="Arial" w:hAnsi="Arial" w:cs="Arial"/>
                <w:sz w:val="16"/>
                <w:szCs w:val="16"/>
              </w:rPr>
              <w:t>. Using the exchange rate of 1 Euro = 1.41 A$, the VAT exclusive price = A$211.43.</w:t>
            </w:r>
          </w:p>
          <w:p w:rsidR="00B6580D" w:rsidRDefault="00524F02" w:rsidP="004C7592">
            <w:pPr>
              <w:pStyle w:val="DWTableText"/>
              <w:rPr>
                <w:rFonts w:ascii="Arial" w:hAnsi="Arial" w:cs="Arial"/>
                <w:sz w:val="16"/>
                <w:szCs w:val="16"/>
              </w:rPr>
            </w:pPr>
            <w:hyperlink r:id="rId31" w:history="1">
              <w:r w:rsidR="000B5A48" w:rsidRPr="00E57137">
                <w:rPr>
                  <w:rStyle w:val="Hyperlink"/>
                  <w:rFonts w:ascii="Arial" w:hAnsi="Arial" w:cs="Arial"/>
                  <w:sz w:val="16"/>
                  <w:szCs w:val="16"/>
                </w:rPr>
                <w:t>http://www.clax.de/shop/clax-trolley-3/</w:t>
              </w:r>
            </w:hyperlink>
          </w:p>
          <w:p w:rsidR="000B5A48" w:rsidRPr="00DC45F4" w:rsidRDefault="000B5A48" w:rsidP="004C7592">
            <w:pPr>
              <w:pStyle w:val="DWTableText"/>
              <w:rPr>
                <w:rFonts w:ascii="Arial" w:hAnsi="Arial" w:cs="Arial"/>
                <w:b/>
                <w:sz w:val="16"/>
                <w:szCs w:val="16"/>
              </w:rPr>
            </w:pPr>
            <w:r w:rsidRPr="00DC45F4">
              <w:rPr>
                <w:rFonts w:ascii="Arial" w:hAnsi="Arial" w:cs="Arial"/>
                <w:b/>
                <w:sz w:val="16"/>
                <w:szCs w:val="16"/>
              </w:rPr>
              <w:t>Clax Cart</w:t>
            </w:r>
            <w:r w:rsidR="00DC45F4" w:rsidRPr="00DC45F4">
              <w:rPr>
                <w:rFonts w:ascii="Arial" w:hAnsi="Arial" w:cs="Arial"/>
                <w:b/>
                <w:sz w:val="16"/>
                <w:szCs w:val="16"/>
              </w:rPr>
              <w:t xml:space="preserve"> Officeworks</w:t>
            </w:r>
          </w:p>
          <w:p w:rsidR="000B5A48" w:rsidRDefault="0077776B" w:rsidP="004C7592">
            <w:pPr>
              <w:pStyle w:val="DWTableText"/>
              <w:rPr>
                <w:rFonts w:ascii="Arial" w:hAnsi="Arial" w:cs="Arial"/>
                <w:sz w:val="16"/>
                <w:szCs w:val="16"/>
              </w:rPr>
            </w:pPr>
            <w:r>
              <w:rPr>
                <w:rFonts w:ascii="Arial" w:hAnsi="Arial" w:cs="Arial"/>
                <w:sz w:val="16"/>
                <w:szCs w:val="16"/>
              </w:rPr>
              <w:t>$399.00 including 10% GST</w:t>
            </w:r>
            <w:r w:rsidR="00722267">
              <w:rPr>
                <w:rFonts w:ascii="Arial" w:hAnsi="Arial" w:cs="Arial"/>
                <w:sz w:val="16"/>
                <w:szCs w:val="16"/>
              </w:rPr>
              <w:t xml:space="preserve"> i.e. $362.73</w:t>
            </w:r>
          </w:p>
          <w:p w:rsidR="0077776B" w:rsidRDefault="00524F02" w:rsidP="004C7592">
            <w:pPr>
              <w:pStyle w:val="DWTableText"/>
              <w:rPr>
                <w:rFonts w:ascii="Arial" w:hAnsi="Arial" w:cs="Arial"/>
                <w:sz w:val="16"/>
                <w:szCs w:val="16"/>
              </w:rPr>
            </w:pPr>
            <w:hyperlink r:id="rId32" w:history="1">
              <w:r w:rsidR="0077776B" w:rsidRPr="00E57137">
                <w:rPr>
                  <w:rStyle w:val="Hyperlink"/>
                  <w:rFonts w:ascii="Arial" w:hAnsi="Arial" w:cs="Arial"/>
                  <w:sz w:val="16"/>
                  <w:szCs w:val="16"/>
                </w:rPr>
                <w:t>http://www.officeworks.com.au/shop/officeworks/p/clax-cart-le9321021</w:t>
              </w:r>
            </w:hyperlink>
          </w:p>
          <w:p w:rsidR="000B5A48" w:rsidRDefault="00782C68" w:rsidP="00782C68">
            <w:pPr>
              <w:pStyle w:val="DWTableText"/>
              <w:rPr>
                <w:rFonts w:ascii="Arial" w:hAnsi="Arial" w:cs="Arial"/>
                <w:sz w:val="16"/>
                <w:szCs w:val="16"/>
              </w:rPr>
            </w:pPr>
            <w:r>
              <w:rPr>
                <w:rFonts w:ascii="Arial" w:hAnsi="Arial" w:cs="Arial"/>
                <w:sz w:val="16"/>
                <w:szCs w:val="16"/>
              </w:rPr>
              <w:t>The Clax Trolley is 1.72 times more expensive in Australia.</w:t>
            </w:r>
          </w:p>
        </w:tc>
      </w:tr>
      <w:tr w:rsidR="000D68DE"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0D68DE" w:rsidRPr="003C674B" w:rsidRDefault="000D68DE">
            <w:pPr>
              <w:pStyle w:val="DWReferenceNumber"/>
              <w:numPr>
                <w:ilvl w:val="0"/>
                <w:numId w:val="3"/>
              </w:numPr>
              <w:rPr>
                <w:rFonts w:ascii="Arial" w:hAnsi="Arial" w:cs="Arial"/>
                <w:szCs w:val="16"/>
              </w:rPr>
            </w:pPr>
            <w:bookmarkStart w:id="26" w:name="_Ref472542853"/>
          </w:p>
        </w:tc>
        <w:bookmarkEnd w:id="26"/>
        <w:tc>
          <w:tcPr>
            <w:tcW w:w="1441" w:type="dxa"/>
            <w:tcBorders>
              <w:top w:val="single" w:sz="6" w:space="0" w:color="auto"/>
              <w:left w:val="single" w:sz="6" w:space="0" w:color="auto"/>
              <w:bottom w:val="single" w:sz="6" w:space="0" w:color="auto"/>
              <w:right w:val="single" w:sz="6" w:space="0" w:color="auto"/>
            </w:tcBorders>
            <w:vAlign w:val="center"/>
          </w:tcPr>
          <w:p w:rsidR="000D68DE" w:rsidRPr="003C674B" w:rsidRDefault="000D68DE">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0D68DE" w:rsidRDefault="00281401" w:rsidP="00D204E5">
            <w:pPr>
              <w:pStyle w:val="DWTableText"/>
              <w:jc w:val="center"/>
              <w:rPr>
                <w:rFonts w:ascii="Arial" w:hAnsi="Arial" w:cs="Arial"/>
                <w:sz w:val="16"/>
                <w:szCs w:val="16"/>
              </w:rPr>
            </w:pPr>
            <w:r>
              <w:rPr>
                <w:rFonts w:ascii="Arial" w:hAnsi="Arial" w:cs="Arial"/>
                <w:sz w:val="16"/>
                <w:szCs w:val="16"/>
              </w:rPr>
              <w:t>18/1/17</w:t>
            </w:r>
          </w:p>
        </w:tc>
        <w:tc>
          <w:tcPr>
            <w:tcW w:w="5172" w:type="dxa"/>
            <w:tcBorders>
              <w:top w:val="single" w:sz="6" w:space="0" w:color="auto"/>
              <w:left w:val="single" w:sz="6" w:space="0" w:color="auto"/>
              <w:bottom w:val="single" w:sz="6" w:space="0" w:color="auto"/>
              <w:right w:val="single" w:sz="6" w:space="0" w:color="auto"/>
            </w:tcBorders>
            <w:vAlign w:val="center"/>
          </w:tcPr>
          <w:p w:rsidR="000D68DE" w:rsidRDefault="000D68DE" w:rsidP="004C7592">
            <w:pPr>
              <w:pStyle w:val="DWTableText"/>
              <w:rPr>
                <w:rFonts w:ascii="Arial" w:hAnsi="Arial" w:cs="Arial"/>
                <w:sz w:val="16"/>
                <w:szCs w:val="16"/>
              </w:rPr>
            </w:pPr>
            <w:r>
              <w:rPr>
                <w:rFonts w:ascii="Arial" w:hAnsi="Arial" w:cs="Arial"/>
                <w:sz w:val="16"/>
                <w:szCs w:val="16"/>
              </w:rPr>
              <w:t>Reserve Bank of Australia Inflation Calculator</w:t>
            </w:r>
          </w:p>
          <w:p w:rsidR="00715B96" w:rsidRDefault="00524F02" w:rsidP="00715B96">
            <w:pPr>
              <w:pStyle w:val="DWTableText"/>
              <w:rPr>
                <w:rFonts w:ascii="Arial" w:hAnsi="Arial" w:cs="Arial"/>
                <w:sz w:val="16"/>
                <w:szCs w:val="16"/>
              </w:rPr>
            </w:pPr>
            <w:hyperlink r:id="rId33" w:history="1">
              <w:r w:rsidR="00715B96" w:rsidRPr="00E57137">
                <w:rPr>
                  <w:rStyle w:val="Hyperlink"/>
                  <w:rFonts w:ascii="Arial" w:hAnsi="Arial" w:cs="Arial"/>
                  <w:sz w:val="16"/>
                  <w:szCs w:val="16"/>
                </w:rPr>
                <w:t>http://www.rba.gov.au/calculator/</w:t>
              </w:r>
            </w:hyperlink>
          </w:p>
        </w:tc>
      </w:tr>
      <w:tr w:rsidR="00CB7D89"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CB7D89" w:rsidRPr="003C674B" w:rsidRDefault="00CB7D89">
            <w:pPr>
              <w:pStyle w:val="DWReferenceNumber"/>
              <w:numPr>
                <w:ilvl w:val="0"/>
                <w:numId w:val="3"/>
              </w:numPr>
              <w:rPr>
                <w:rFonts w:ascii="Arial" w:hAnsi="Arial" w:cs="Arial"/>
                <w:szCs w:val="16"/>
              </w:rPr>
            </w:pPr>
            <w:bookmarkStart w:id="27" w:name="_Ref472544687"/>
          </w:p>
        </w:tc>
        <w:bookmarkEnd w:id="27"/>
        <w:tc>
          <w:tcPr>
            <w:tcW w:w="1441" w:type="dxa"/>
            <w:tcBorders>
              <w:top w:val="single" w:sz="6" w:space="0" w:color="auto"/>
              <w:left w:val="single" w:sz="6" w:space="0" w:color="auto"/>
              <w:bottom w:val="single" w:sz="6" w:space="0" w:color="auto"/>
              <w:right w:val="single" w:sz="6" w:space="0" w:color="auto"/>
            </w:tcBorders>
            <w:vAlign w:val="center"/>
          </w:tcPr>
          <w:p w:rsidR="00CB7D89" w:rsidRPr="003C674B" w:rsidRDefault="00CB7D89">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CB7D89" w:rsidRDefault="00CB7D89" w:rsidP="00D204E5">
            <w:pPr>
              <w:pStyle w:val="DWTableText"/>
              <w:jc w:val="center"/>
              <w:rPr>
                <w:rFonts w:ascii="Arial" w:hAnsi="Arial" w:cs="Arial"/>
                <w:sz w:val="16"/>
                <w:szCs w:val="16"/>
              </w:rPr>
            </w:pPr>
          </w:p>
        </w:tc>
        <w:tc>
          <w:tcPr>
            <w:tcW w:w="5172" w:type="dxa"/>
            <w:tcBorders>
              <w:top w:val="single" w:sz="6" w:space="0" w:color="auto"/>
              <w:left w:val="single" w:sz="6" w:space="0" w:color="auto"/>
              <w:bottom w:val="single" w:sz="6" w:space="0" w:color="auto"/>
              <w:right w:val="single" w:sz="6" w:space="0" w:color="auto"/>
            </w:tcBorders>
            <w:vAlign w:val="center"/>
          </w:tcPr>
          <w:p w:rsidR="00CB7D89" w:rsidRDefault="00CB7D89" w:rsidP="004C7592">
            <w:pPr>
              <w:pStyle w:val="DWTableText"/>
              <w:rPr>
                <w:rFonts w:ascii="Arial" w:hAnsi="Arial" w:cs="Arial"/>
                <w:sz w:val="16"/>
                <w:szCs w:val="16"/>
              </w:rPr>
            </w:pPr>
            <w:r w:rsidRPr="00CB7D89">
              <w:rPr>
                <w:rFonts w:ascii="Arial" w:hAnsi="Arial" w:cs="Arial"/>
                <w:sz w:val="16"/>
                <w:szCs w:val="16"/>
              </w:rPr>
              <w:t>Median household income in Australia and New Zealand</w:t>
            </w:r>
          </w:p>
          <w:p w:rsidR="00CB7D89" w:rsidRDefault="00CB7D89" w:rsidP="004C7592">
            <w:pPr>
              <w:pStyle w:val="DWTableText"/>
              <w:rPr>
                <w:rFonts w:ascii="Arial" w:hAnsi="Arial" w:cs="Arial"/>
                <w:sz w:val="16"/>
                <w:szCs w:val="16"/>
              </w:rPr>
            </w:pPr>
            <w:r>
              <w:rPr>
                <w:rFonts w:ascii="Arial" w:hAnsi="Arial" w:cs="Arial"/>
                <w:sz w:val="16"/>
                <w:szCs w:val="16"/>
              </w:rPr>
              <w:t>“</w:t>
            </w:r>
            <w:r w:rsidRPr="00CB7D89">
              <w:rPr>
                <w:rFonts w:ascii="Arial" w:hAnsi="Arial" w:cs="Arial"/>
                <w:sz w:val="16"/>
                <w:szCs w:val="16"/>
              </w:rPr>
              <w:t>The latest release shows that the median gross household income in 2013-14 was $80,704, and the average o</w:t>
            </w:r>
            <w:r>
              <w:rPr>
                <w:rFonts w:ascii="Arial" w:hAnsi="Arial" w:cs="Arial"/>
                <w:sz w:val="16"/>
                <w:szCs w:val="16"/>
              </w:rPr>
              <w:t>f all households was $107,276.”</w:t>
            </w:r>
          </w:p>
          <w:p w:rsidR="00BE26CE" w:rsidRDefault="00524F02" w:rsidP="00BE26CE">
            <w:pPr>
              <w:pStyle w:val="DWTableText"/>
              <w:rPr>
                <w:rFonts w:ascii="Arial" w:hAnsi="Arial" w:cs="Arial"/>
                <w:sz w:val="16"/>
                <w:szCs w:val="16"/>
              </w:rPr>
            </w:pPr>
            <w:hyperlink r:id="rId34" w:history="1">
              <w:r w:rsidR="00BE26CE" w:rsidRPr="00E57137">
                <w:rPr>
                  <w:rStyle w:val="Hyperlink"/>
                  <w:rFonts w:ascii="Arial" w:hAnsi="Arial" w:cs="Arial"/>
                  <w:sz w:val="16"/>
                  <w:szCs w:val="16"/>
                </w:rPr>
                <w:t>https://en.wikipedia.org/wiki/Median_household_income_in_Australia_and_New_Zealand</w:t>
              </w:r>
            </w:hyperlink>
          </w:p>
        </w:tc>
      </w:tr>
      <w:tr w:rsidR="00845FDF"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845FDF" w:rsidRPr="003C674B" w:rsidRDefault="00845FDF">
            <w:pPr>
              <w:pStyle w:val="DWReferenceNumber"/>
              <w:numPr>
                <w:ilvl w:val="0"/>
                <w:numId w:val="3"/>
              </w:numPr>
              <w:rPr>
                <w:rFonts w:ascii="Arial" w:hAnsi="Arial" w:cs="Arial"/>
                <w:szCs w:val="16"/>
              </w:rPr>
            </w:pPr>
            <w:bookmarkStart w:id="28" w:name="_Ref472544667"/>
          </w:p>
        </w:tc>
        <w:bookmarkEnd w:id="28"/>
        <w:tc>
          <w:tcPr>
            <w:tcW w:w="1441" w:type="dxa"/>
            <w:tcBorders>
              <w:top w:val="single" w:sz="6" w:space="0" w:color="auto"/>
              <w:left w:val="single" w:sz="6" w:space="0" w:color="auto"/>
              <w:bottom w:val="single" w:sz="6" w:space="0" w:color="auto"/>
              <w:right w:val="single" w:sz="6" w:space="0" w:color="auto"/>
            </w:tcBorders>
            <w:vAlign w:val="center"/>
          </w:tcPr>
          <w:p w:rsidR="00845FDF" w:rsidRPr="003C674B" w:rsidRDefault="00845FDF">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845FDF" w:rsidRDefault="00845FDF" w:rsidP="00D204E5">
            <w:pPr>
              <w:pStyle w:val="DWTableText"/>
              <w:jc w:val="center"/>
              <w:rPr>
                <w:rFonts w:ascii="Arial" w:hAnsi="Arial" w:cs="Arial"/>
                <w:sz w:val="16"/>
                <w:szCs w:val="16"/>
              </w:rPr>
            </w:pPr>
          </w:p>
        </w:tc>
        <w:tc>
          <w:tcPr>
            <w:tcW w:w="5172" w:type="dxa"/>
            <w:tcBorders>
              <w:top w:val="single" w:sz="6" w:space="0" w:color="auto"/>
              <w:left w:val="single" w:sz="6" w:space="0" w:color="auto"/>
              <w:bottom w:val="single" w:sz="6" w:space="0" w:color="auto"/>
              <w:right w:val="single" w:sz="6" w:space="0" w:color="auto"/>
            </w:tcBorders>
            <w:vAlign w:val="center"/>
          </w:tcPr>
          <w:p w:rsidR="00845FDF" w:rsidRDefault="00557F7D" w:rsidP="004C7592">
            <w:pPr>
              <w:pStyle w:val="DWTableText"/>
              <w:rPr>
                <w:rFonts w:ascii="Arial" w:hAnsi="Arial" w:cs="Arial"/>
                <w:sz w:val="16"/>
                <w:szCs w:val="16"/>
              </w:rPr>
            </w:pPr>
            <w:r>
              <w:rPr>
                <w:rFonts w:ascii="Arial" w:hAnsi="Arial" w:cs="Arial"/>
                <w:sz w:val="16"/>
                <w:szCs w:val="16"/>
              </w:rPr>
              <w:t xml:space="preserve">Gross </w:t>
            </w:r>
            <w:r w:rsidR="00646CA8">
              <w:rPr>
                <w:rFonts w:ascii="Arial" w:hAnsi="Arial" w:cs="Arial"/>
                <w:sz w:val="16"/>
                <w:szCs w:val="16"/>
              </w:rPr>
              <w:t>Median</w:t>
            </w:r>
            <w:r>
              <w:rPr>
                <w:rFonts w:ascii="Arial" w:hAnsi="Arial" w:cs="Arial"/>
                <w:sz w:val="16"/>
                <w:szCs w:val="16"/>
              </w:rPr>
              <w:t xml:space="preserve"> </w:t>
            </w:r>
            <w:r w:rsidR="00845FDF" w:rsidRPr="00845FDF">
              <w:rPr>
                <w:rFonts w:ascii="Arial" w:hAnsi="Arial" w:cs="Arial"/>
                <w:sz w:val="16"/>
                <w:szCs w:val="16"/>
              </w:rPr>
              <w:t>Household income in the United States</w:t>
            </w:r>
            <w:r w:rsidR="00845FDF">
              <w:rPr>
                <w:rFonts w:ascii="Arial" w:hAnsi="Arial" w:cs="Arial"/>
                <w:sz w:val="16"/>
                <w:szCs w:val="16"/>
              </w:rPr>
              <w:t xml:space="preserve"> – Real Median Level</w:t>
            </w:r>
          </w:p>
          <w:p w:rsidR="00845FDF" w:rsidRDefault="00845FDF" w:rsidP="004C7592">
            <w:pPr>
              <w:pStyle w:val="DWTableText"/>
              <w:rPr>
                <w:rFonts w:ascii="Arial" w:hAnsi="Arial" w:cs="Arial"/>
                <w:sz w:val="16"/>
                <w:szCs w:val="16"/>
              </w:rPr>
            </w:pPr>
            <w:r>
              <w:rPr>
                <w:rFonts w:ascii="Arial" w:hAnsi="Arial" w:cs="Arial"/>
                <w:sz w:val="16"/>
                <w:szCs w:val="16"/>
              </w:rPr>
              <w:t>“</w:t>
            </w:r>
            <w:r w:rsidR="00557F7D" w:rsidRPr="00557F7D">
              <w:rPr>
                <w:rFonts w:ascii="Arial" w:hAnsi="Arial" w:cs="Arial"/>
                <w:sz w:val="16"/>
                <w:szCs w:val="16"/>
              </w:rPr>
              <w:t>According to the CBO</w:t>
            </w:r>
            <w:r w:rsidR="00646CA8">
              <w:rPr>
                <w:rFonts w:ascii="Arial" w:hAnsi="Arial" w:cs="Arial"/>
                <w:sz w:val="16"/>
                <w:szCs w:val="16"/>
              </w:rPr>
              <w:t xml:space="preserve"> (</w:t>
            </w:r>
            <w:r w:rsidR="00646CA8" w:rsidRPr="00646CA8">
              <w:rPr>
                <w:rFonts w:ascii="Arial" w:hAnsi="Arial" w:cs="Arial"/>
                <w:sz w:val="16"/>
                <w:szCs w:val="16"/>
              </w:rPr>
              <w:t>Congressional Budget Office</w:t>
            </w:r>
            <w:r w:rsidR="00646CA8">
              <w:rPr>
                <w:rFonts w:ascii="Arial" w:hAnsi="Arial" w:cs="Arial"/>
                <w:sz w:val="16"/>
                <w:szCs w:val="16"/>
              </w:rPr>
              <w:t>)</w:t>
            </w:r>
            <w:r w:rsidR="00557F7D" w:rsidRPr="00557F7D">
              <w:rPr>
                <w:rFonts w:ascii="Arial" w:hAnsi="Arial" w:cs="Arial"/>
                <w:sz w:val="16"/>
                <w:szCs w:val="16"/>
              </w:rPr>
              <w:t>, between 1979 and 2011, gross median household income, adjusted for inflation, rose from $59,400 to $75,200, or 26.5%.</w:t>
            </w:r>
            <w:r>
              <w:rPr>
                <w:rFonts w:ascii="Arial" w:hAnsi="Arial" w:cs="Arial"/>
                <w:sz w:val="16"/>
                <w:szCs w:val="16"/>
              </w:rPr>
              <w:t>”</w:t>
            </w:r>
            <w:r w:rsidR="00557F7D">
              <w:rPr>
                <w:rFonts w:ascii="Arial" w:hAnsi="Arial" w:cs="Arial"/>
                <w:sz w:val="16"/>
                <w:szCs w:val="16"/>
              </w:rPr>
              <w:t xml:space="preserve"> </w:t>
            </w:r>
          </w:p>
          <w:p w:rsidR="00523C14" w:rsidRPr="00CB7D89" w:rsidRDefault="00524F02" w:rsidP="00523C14">
            <w:pPr>
              <w:pStyle w:val="DWTableText"/>
              <w:rPr>
                <w:rFonts w:ascii="Arial" w:hAnsi="Arial" w:cs="Arial"/>
                <w:sz w:val="16"/>
                <w:szCs w:val="16"/>
              </w:rPr>
            </w:pPr>
            <w:hyperlink r:id="rId35" w:history="1">
              <w:r w:rsidR="00523C14" w:rsidRPr="00E57137">
                <w:rPr>
                  <w:rStyle w:val="Hyperlink"/>
                  <w:rFonts w:ascii="Arial" w:hAnsi="Arial" w:cs="Arial"/>
                  <w:sz w:val="16"/>
                  <w:szCs w:val="16"/>
                </w:rPr>
                <w:t>https://en.wikipedia.org/wiki/Household_income_in_the_United_States</w:t>
              </w:r>
            </w:hyperlink>
          </w:p>
        </w:tc>
      </w:tr>
      <w:tr w:rsidR="009E116A" w:rsidRPr="003C674B" w:rsidTr="00361CCB">
        <w:trPr>
          <w:cantSplit/>
        </w:trPr>
        <w:tc>
          <w:tcPr>
            <w:tcW w:w="533" w:type="dxa"/>
            <w:tcBorders>
              <w:top w:val="single" w:sz="6" w:space="0" w:color="auto"/>
              <w:left w:val="single" w:sz="6" w:space="0" w:color="auto"/>
              <w:bottom w:val="single" w:sz="6" w:space="0" w:color="auto"/>
              <w:right w:val="single" w:sz="6" w:space="0" w:color="auto"/>
            </w:tcBorders>
            <w:vAlign w:val="center"/>
          </w:tcPr>
          <w:p w:rsidR="009E116A" w:rsidRPr="003C674B" w:rsidRDefault="009E116A">
            <w:pPr>
              <w:pStyle w:val="DWReferenceNumber"/>
              <w:numPr>
                <w:ilvl w:val="0"/>
                <w:numId w:val="3"/>
              </w:numPr>
              <w:rPr>
                <w:rFonts w:ascii="Arial" w:hAnsi="Arial" w:cs="Arial"/>
                <w:szCs w:val="16"/>
              </w:rPr>
            </w:pPr>
            <w:bookmarkStart w:id="29" w:name="_Ref472545228"/>
          </w:p>
        </w:tc>
        <w:bookmarkEnd w:id="29"/>
        <w:tc>
          <w:tcPr>
            <w:tcW w:w="1441" w:type="dxa"/>
            <w:tcBorders>
              <w:top w:val="single" w:sz="6" w:space="0" w:color="auto"/>
              <w:left w:val="single" w:sz="6" w:space="0" w:color="auto"/>
              <w:bottom w:val="single" w:sz="6" w:space="0" w:color="auto"/>
              <w:right w:val="single" w:sz="6" w:space="0" w:color="auto"/>
            </w:tcBorders>
            <w:vAlign w:val="center"/>
          </w:tcPr>
          <w:p w:rsidR="009E116A" w:rsidRPr="003C674B" w:rsidRDefault="009E116A">
            <w:pPr>
              <w:pStyle w:val="DWTableText"/>
              <w:rPr>
                <w:rFonts w:ascii="Arial" w:hAnsi="Arial" w:cs="Arial"/>
                <w:sz w:val="16"/>
                <w:szCs w:val="16"/>
              </w:rPr>
            </w:pPr>
          </w:p>
        </w:tc>
        <w:tc>
          <w:tcPr>
            <w:tcW w:w="900" w:type="dxa"/>
            <w:tcBorders>
              <w:top w:val="single" w:sz="6" w:space="0" w:color="auto"/>
              <w:left w:val="single" w:sz="6" w:space="0" w:color="auto"/>
              <w:bottom w:val="single" w:sz="6" w:space="0" w:color="auto"/>
              <w:right w:val="single" w:sz="6" w:space="0" w:color="auto"/>
            </w:tcBorders>
            <w:vAlign w:val="center"/>
          </w:tcPr>
          <w:p w:rsidR="009E116A" w:rsidRDefault="009E116A" w:rsidP="00D204E5">
            <w:pPr>
              <w:pStyle w:val="DWTableText"/>
              <w:jc w:val="center"/>
              <w:rPr>
                <w:rFonts w:ascii="Arial" w:hAnsi="Arial" w:cs="Arial"/>
                <w:sz w:val="16"/>
                <w:szCs w:val="16"/>
              </w:rPr>
            </w:pPr>
          </w:p>
        </w:tc>
        <w:tc>
          <w:tcPr>
            <w:tcW w:w="5172" w:type="dxa"/>
            <w:tcBorders>
              <w:top w:val="single" w:sz="6" w:space="0" w:color="auto"/>
              <w:left w:val="single" w:sz="6" w:space="0" w:color="auto"/>
              <w:bottom w:val="single" w:sz="6" w:space="0" w:color="auto"/>
              <w:right w:val="single" w:sz="6" w:space="0" w:color="auto"/>
            </w:tcBorders>
            <w:vAlign w:val="center"/>
          </w:tcPr>
          <w:p w:rsidR="009E116A" w:rsidRDefault="009E116A" w:rsidP="004C7592">
            <w:pPr>
              <w:pStyle w:val="DWTableText"/>
              <w:rPr>
                <w:rFonts w:ascii="Arial" w:hAnsi="Arial" w:cs="Arial"/>
                <w:sz w:val="16"/>
                <w:szCs w:val="16"/>
              </w:rPr>
            </w:pPr>
            <w:r>
              <w:rPr>
                <w:rFonts w:ascii="Arial" w:hAnsi="Arial" w:cs="Arial"/>
                <w:sz w:val="16"/>
                <w:szCs w:val="16"/>
              </w:rPr>
              <w:t>Chief Justice of Australia</w:t>
            </w:r>
          </w:p>
          <w:p w:rsidR="009E116A" w:rsidRDefault="005C7570" w:rsidP="004C7592">
            <w:pPr>
              <w:pStyle w:val="DWTableText"/>
              <w:rPr>
                <w:rFonts w:ascii="Arial" w:hAnsi="Arial" w:cs="Arial"/>
                <w:sz w:val="16"/>
                <w:szCs w:val="16"/>
              </w:rPr>
            </w:pPr>
            <w:r>
              <w:rPr>
                <w:rFonts w:ascii="Arial" w:hAnsi="Arial" w:cs="Arial"/>
                <w:sz w:val="16"/>
                <w:szCs w:val="16"/>
              </w:rPr>
              <w:t>“Salary $486,00”</w:t>
            </w:r>
            <w:r w:rsidR="00412BD9">
              <w:rPr>
                <w:rFonts w:ascii="Arial" w:hAnsi="Arial" w:cs="Arial"/>
                <w:sz w:val="16"/>
                <w:szCs w:val="16"/>
              </w:rPr>
              <w:t xml:space="preserve"> – this is six times the gross median income of Australian households in 2013-14</w:t>
            </w:r>
          </w:p>
          <w:p w:rsidR="005C7570" w:rsidRDefault="00524F02" w:rsidP="005C7570">
            <w:pPr>
              <w:pStyle w:val="DWTableText"/>
              <w:rPr>
                <w:rFonts w:ascii="Arial" w:hAnsi="Arial" w:cs="Arial"/>
                <w:sz w:val="16"/>
                <w:szCs w:val="16"/>
              </w:rPr>
            </w:pPr>
            <w:hyperlink r:id="rId36" w:history="1">
              <w:r w:rsidR="005C7570" w:rsidRPr="00E57137">
                <w:rPr>
                  <w:rStyle w:val="Hyperlink"/>
                  <w:rFonts w:ascii="Arial" w:hAnsi="Arial" w:cs="Arial"/>
                  <w:sz w:val="16"/>
                  <w:szCs w:val="16"/>
                </w:rPr>
                <w:t>https://en.wikipedia.org/wiki/Chief_Justice_of_Australia</w:t>
              </w:r>
            </w:hyperlink>
          </w:p>
        </w:tc>
      </w:tr>
    </w:tbl>
    <w:p w:rsidR="00301406" w:rsidRPr="00E16310" w:rsidRDefault="00301406" w:rsidP="00301406">
      <w:pPr>
        <w:pStyle w:val="DWTableCaption"/>
      </w:pPr>
      <w:bookmarkStart w:id="30" w:name="_Toc472599250"/>
      <w:bookmarkStart w:id="31" w:name="_Toc15741361"/>
      <w:bookmarkStart w:id="32" w:name="_Toc102749755"/>
      <w:bookmarkStart w:id="33" w:name="_Toc407219271"/>
      <w:r>
        <w:t xml:space="preserve">Table </w:t>
      </w:r>
      <w:r w:rsidR="00524F02">
        <w:fldChar w:fldCharType="begin"/>
      </w:r>
      <w:r w:rsidR="00524F02">
        <w:instrText xml:space="preserve"> SEQ Table \* Arabic \s 1 \* MERGEFORMAT </w:instrText>
      </w:r>
      <w:r w:rsidR="00524F02">
        <w:fldChar w:fldCharType="separate"/>
      </w:r>
      <w:r w:rsidR="00B6524A">
        <w:rPr>
          <w:noProof/>
        </w:rPr>
        <w:t>2</w:t>
      </w:r>
      <w:r w:rsidR="00524F02">
        <w:rPr>
          <w:noProof/>
        </w:rPr>
        <w:fldChar w:fldCharType="end"/>
      </w:r>
      <w:r>
        <w:t>.</w:t>
      </w:r>
      <w:r>
        <w:tab/>
      </w:r>
      <w:r w:rsidR="00117619" w:rsidRPr="00117619">
        <w:t xml:space="preserve">Acronyms </w:t>
      </w:r>
      <w:r w:rsidR="00117619">
        <w:t xml:space="preserve">&amp; </w:t>
      </w:r>
      <w:r>
        <w:t>Definitions</w:t>
      </w:r>
      <w:bookmarkEnd w:id="30"/>
    </w:p>
    <w:tbl>
      <w:tblPr>
        <w:tblW w:w="8046" w:type="dxa"/>
        <w:tblInd w:w="1418" w:type="dxa"/>
        <w:tblLayout w:type="fixed"/>
        <w:tblLook w:val="0000" w:firstRow="0" w:lastRow="0" w:firstColumn="0" w:lastColumn="0" w:noHBand="0" w:noVBand="0"/>
      </w:tblPr>
      <w:tblGrid>
        <w:gridCol w:w="2518"/>
        <w:gridCol w:w="5528"/>
      </w:tblGrid>
      <w:tr w:rsidR="000842B2" w:rsidRPr="002F756D" w:rsidTr="00AB0B3A">
        <w:trPr>
          <w:tblHeader/>
        </w:trPr>
        <w:tc>
          <w:tcPr>
            <w:tcW w:w="2518" w:type="dxa"/>
            <w:tcBorders>
              <w:top w:val="single" w:sz="6" w:space="0" w:color="auto"/>
              <w:left w:val="single" w:sz="6" w:space="0" w:color="auto"/>
              <w:bottom w:val="single" w:sz="6" w:space="0" w:color="auto"/>
              <w:right w:val="single" w:sz="6" w:space="0" w:color="auto"/>
            </w:tcBorders>
            <w:shd w:val="pct10" w:color="auto" w:fill="FFFFFF"/>
          </w:tcPr>
          <w:bookmarkEnd w:id="31"/>
          <w:bookmarkEnd w:id="32"/>
          <w:bookmarkEnd w:id="33"/>
          <w:p w:rsidR="000842B2" w:rsidRPr="002F756D" w:rsidRDefault="000842B2" w:rsidP="00C81327">
            <w:pPr>
              <w:pStyle w:val="DWTableHeading"/>
              <w:pBdr>
                <w:top w:val="none" w:sz="0" w:space="0" w:color="auto"/>
                <w:left w:val="none" w:sz="0" w:space="0" w:color="auto"/>
                <w:bottom w:val="none" w:sz="0" w:space="0" w:color="auto"/>
                <w:right w:val="none" w:sz="0" w:space="0" w:color="auto"/>
              </w:pBdr>
              <w:shd w:val="clear" w:color="auto" w:fill="auto"/>
              <w:rPr>
                <w:rFonts w:ascii="Arial" w:hAnsi="Arial" w:cs="Arial"/>
                <w:sz w:val="16"/>
                <w:szCs w:val="16"/>
              </w:rPr>
            </w:pPr>
            <w:r w:rsidRPr="002F756D">
              <w:rPr>
                <w:rFonts w:ascii="Arial" w:hAnsi="Arial" w:cs="Arial"/>
                <w:sz w:val="16"/>
                <w:szCs w:val="16"/>
              </w:rPr>
              <w:t>Term</w:t>
            </w:r>
          </w:p>
        </w:tc>
        <w:tc>
          <w:tcPr>
            <w:tcW w:w="5528" w:type="dxa"/>
            <w:tcBorders>
              <w:top w:val="single" w:sz="6" w:space="0" w:color="auto"/>
              <w:left w:val="nil"/>
              <w:bottom w:val="single" w:sz="6" w:space="0" w:color="auto"/>
              <w:right w:val="single" w:sz="6" w:space="0" w:color="auto"/>
            </w:tcBorders>
            <w:shd w:val="pct10" w:color="auto" w:fill="FFFFFF"/>
          </w:tcPr>
          <w:p w:rsidR="000842B2" w:rsidRPr="002F756D" w:rsidRDefault="000842B2" w:rsidP="00C81327">
            <w:pPr>
              <w:pStyle w:val="DWTableHeading"/>
              <w:pBdr>
                <w:top w:val="none" w:sz="0" w:space="0" w:color="auto"/>
                <w:left w:val="none" w:sz="0" w:space="0" w:color="auto"/>
                <w:bottom w:val="none" w:sz="0" w:space="0" w:color="auto"/>
                <w:right w:val="none" w:sz="0" w:space="0" w:color="auto"/>
              </w:pBdr>
              <w:shd w:val="clear" w:color="auto" w:fill="auto"/>
              <w:rPr>
                <w:rFonts w:ascii="Arial" w:hAnsi="Arial" w:cs="Arial"/>
                <w:sz w:val="16"/>
                <w:szCs w:val="16"/>
              </w:rPr>
            </w:pPr>
            <w:r w:rsidRPr="002F756D">
              <w:rPr>
                <w:rFonts w:ascii="Arial" w:hAnsi="Arial" w:cs="Arial"/>
                <w:sz w:val="16"/>
                <w:szCs w:val="16"/>
              </w:rPr>
              <w:t>Description</w:t>
            </w:r>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AGT</w:t>
            </w:r>
          </w:p>
        </w:tc>
        <w:tc>
          <w:tcPr>
            <w:tcW w:w="552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Australian Government Treasury</w:t>
            </w:r>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Auto</w:t>
            </w:r>
          </w:p>
        </w:tc>
        <w:tc>
          <w:tcPr>
            <w:tcW w:w="552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Automotive</w:t>
            </w:r>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Pr>
                <w:rFonts w:ascii="Arial" w:hAnsi="Arial" w:cs="Arial"/>
                <w:sz w:val="16"/>
                <w:szCs w:val="16"/>
              </w:rPr>
              <w:t>Brexit</w:t>
            </w:r>
          </w:p>
        </w:tc>
        <w:tc>
          <w:tcPr>
            <w:tcW w:w="5528" w:type="dxa"/>
            <w:tcBorders>
              <w:top w:val="single" w:sz="6" w:space="0" w:color="auto"/>
              <w:left w:val="single" w:sz="6" w:space="0" w:color="auto"/>
              <w:bottom w:val="single" w:sz="6" w:space="0" w:color="auto"/>
              <w:right w:val="single" w:sz="6" w:space="0" w:color="auto"/>
            </w:tcBorders>
          </w:tcPr>
          <w:p w:rsidR="000842B2" w:rsidRPr="002F756D" w:rsidRDefault="000842B2" w:rsidP="00D72599">
            <w:pPr>
              <w:pStyle w:val="DWTableText"/>
              <w:rPr>
                <w:rFonts w:ascii="Arial" w:hAnsi="Arial" w:cs="Arial"/>
                <w:sz w:val="16"/>
                <w:szCs w:val="16"/>
              </w:rPr>
            </w:pPr>
            <w:r w:rsidRPr="00D72599">
              <w:rPr>
                <w:rFonts w:ascii="Arial" w:hAnsi="Arial" w:cs="Arial"/>
                <w:sz w:val="16"/>
                <w:szCs w:val="16"/>
              </w:rPr>
              <w:t>The United Kingdom's withdrawal from the European Union is widely known as Brexit</w:t>
            </w:r>
            <w:r>
              <w:rPr>
                <w:rFonts w:ascii="Arial" w:hAnsi="Arial" w:cs="Arial"/>
                <w:sz w:val="16"/>
                <w:szCs w:val="16"/>
              </w:rPr>
              <w:t xml:space="preserve"> </w:t>
            </w:r>
            <w:hyperlink r:id="rId37" w:history="1">
              <w:r w:rsidRPr="00AF5A4E">
                <w:rPr>
                  <w:rStyle w:val="Hyperlink"/>
                  <w:rFonts w:ascii="Arial" w:hAnsi="Arial" w:cs="Arial"/>
                  <w:sz w:val="16"/>
                  <w:szCs w:val="16"/>
                </w:rPr>
                <w:t>https://en.wikipedia.org/wiki/Brexit</w:t>
              </w:r>
            </w:hyperlink>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ETSA</w:t>
            </w:r>
          </w:p>
        </w:tc>
        <w:tc>
          <w:tcPr>
            <w:tcW w:w="552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Electricity Trust of South Australia</w:t>
            </w:r>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Default="000842B2" w:rsidP="002E2FDC">
            <w:pPr>
              <w:pStyle w:val="DWTableText"/>
              <w:rPr>
                <w:rFonts w:ascii="Arial" w:hAnsi="Arial" w:cs="Arial"/>
                <w:sz w:val="16"/>
                <w:szCs w:val="16"/>
              </w:rPr>
            </w:pPr>
            <w:r>
              <w:rPr>
                <w:rFonts w:ascii="Arial" w:hAnsi="Arial" w:cs="Arial"/>
                <w:sz w:val="16"/>
                <w:szCs w:val="16"/>
              </w:rPr>
              <w:t>GST</w:t>
            </w:r>
          </w:p>
        </w:tc>
        <w:tc>
          <w:tcPr>
            <w:tcW w:w="5528" w:type="dxa"/>
            <w:tcBorders>
              <w:top w:val="single" w:sz="6" w:space="0" w:color="auto"/>
              <w:left w:val="single" w:sz="6" w:space="0" w:color="auto"/>
              <w:bottom w:val="single" w:sz="6" w:space="0" w:color="auto"/>
              <w:right w:val="single" w:sz="6" w:space="0" w:color="auto"/>
            </w:tcBorders>
          </w:tcPr>
          <w:p w:rsidR="000842B2" w:rsidRDefault="000842B2" w:rsidP="00D72599">
            <w:pPr>
              <w:pStyle w:val="DWTableText"/>
              <w:rPr>
                <w:rFonts w:ascii="Arial" w:hAnsi="Arial" w:cs="Arial"/>
                <w:sz w:val="16"/>
                <w:szCs w:val="16"/>
              </w:rPr>
            </w:pPr>
            <w:r>
              <w:rPr>
                <w:rFonts w:ascii="Arial" w:hAnsi="Arial" w:cs="Arial"/>
                <w:sz w:val="16"/>
                <w:szCs w:val="16"/>
              </w:rPr>
              <w:t>Goods &amp; Services Tax</w:t>
            </w:r>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GWh</w:t>
            </w:r>
          </w:p>
        </w:tc>
        <w:tc>
          <w:tcPr>
            <w:tcW w:w="552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Gigawatts per hour</w:t>
            </w:r>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Default="000842B2" w:rsidP="002E2FDC">
            <w:pPr>
              <w:pStyle w:val="DWTableText"/>
              <w:rPr>
                <w:rFonts w:ascii="Arial" w:hAnsi="Arial" w:cs="Arial"/>
                <w:sz w:val="16"/>
                <w:szCs w:val="16"/>
              </w:rPr>
            </w:pPr>
            <w:r>
              <w:rPr>
                <w:rFonts w:ascii="Arial" w:hAnsi="Arial" w:cs="Arial"/>
                <w:sz w:val="16"/>
                <w:szCs w:val="16"/>
              </w:rPr>
              <w:t>IEA</w:t>
            </w:r>
          </w:p>
        </w:tc>
        <w:tc>
          <w:tcPr>
            <w:tcW w:w="5528" w:type="dxa"/>
            <w:tcBorders>
              <w:top w:val="single" w:sz="6" w:space="0" w:color="auto"/>
              <w:left w:val="single" w:sz="6" w:space="0" w:color="auto"/>
              <w:bottom w:val="single" w:sz="6" w:space="0" w:color="auto"/>
              <w:right w:val="single" w:sz="6" w:space="0" w:color="auto"/>
            </w:tcBorders>
          </w:tcPr>
          <w:p w:rsidR="000842B2" w:rsidRPr="00D72599" w:rsidRDefault="000842B2" w:rsidP="00D72599">
            <w:pPr>
              <w:pStyle w:val="DWTableText"/>
              <w:rPr>
                <w:rFonts w:ascii="Arial" w:hAnsi="Arial" w:cs="Arial"/>
                <w:sz w:val="16"/>
                <w:szCs w:val="16"/>
              </w:rPr>
            </w:pPr>
            <w:r>
              <w:rPr>
                <w:rFonts w:ascii="Arial" w:hAnsi="Arial" w:cs="Arial"/>
                <w:sz w:val="16"/>
                <w:szCs w:val="16"/>
              </w:rPr>
              <w:t>International Energy Agency</w:t>
            </w:r>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Pr="002F756D" w:rsidRDefault="000842B2" w:rsidP="00323787">
            <w:pPr>
              <w:pStyle w:val="DWTableText"/>
              <w:rPr>
                <w:rFonts w:ascii="Arial" w:hAnsi="Arial" w:cs="Arial"/>
                <w:sz w:val="16"/>
                <w:szCs w:val="16"/>
              </w:rPr>
            </w:pPr>
            <w:r w:rsidRPr="002F756D">
              <w:rPr>
                <w:rFonts w:ascii="Arial" w:hAnsi="Arial" w:cs="Arial"/>
                <w:sz w:val="16"/>
                <w:szCs w:val="16"/>
              </w:rPr>
              <w:t>KWh</w:t>
            </w:r>
          </w:p>
        </w:tc>
        <w:tc>
          <w:tcPr>
            <w:tcW w:w="552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Kilowatts per hour</w:t>
            </w:r>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RBA</w:t>
            </w:r>
          </w:p>
        </w:tc>
        <w:tc>
          <w:tcPr>
            <w:tcW w:w="552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Reserve Bank of Australia</w:t>
            </w:r>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SA</w:t>
            </w:r>
          </w:p>
        </w:tc>
        <w:tc>
          <w:tcPr>
            <w:tcW w:w="552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South Australia</w:t>
            </w:r>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SUB</w:t>
            </w:r>
          </w:p>
        </w:tc>
        <w:tc>
          <w:tcPr>
            <w:tcW w:w="5528" w:type="dxa"/>
            <w:tcBorders>
              <w:top w:val="single" w:sz="6" w:space="0" w:color="auto"/>
              <w:left w:val="single" w:sz="6" w:space="0" w:color="auto"/>
              <w:bottom w:val="single" w:sz="6" w:space="0" w:color="auto"/>
              <w:right w:val="single" w:sz="6" w:space="0" w:color="auto"/>
            </w:tcBorders>
          </w:tcPr>
          <w:p w:rsidR="000842B2" w:rsidRPr="002F756D" w:rsidRDefault="000842B2" w:rsidP="002E2FDC">
            <w:pPr>
              <w:pStyle w:val="DWTableText"/>
              <w:rPr>
                <w:rFonts w:ascii="Arial" w:hAnsi="Arial" w:cs="Arial"/>
                <w:sz w:val="16"/>
                <w:szCs w:val="16"/>
              </w:rPr>
            </w:pPr>
            <w:r w:rsidRPr="002F756D">
              <w:rPr>
                <w:rFonts w:ascii="Arial" w:hAnsi="Arial" w:cs="Arial"/>
                <w:sz w:val="16"/>
                <w:szCs w:val="16"/>
              </w:rPr>
              <w:t>Submission</w:t>
            </w:r>
          </w:p>
        </w:tc>
      </w:tr>
      <w:tr w:rsidR="000842B2" w:rsidRPr="002F756D" w:rsidTr="00301406">
        <w:tc>
          <w:tcPr>
            <w:tcW w:w="2518" w:type="dxa"/>
            <w:tcBorders>
              <w:top w:val="single" w:sz="6" w:space="0" w:color="auto"/>
              <w:left w:val="single" w:sz="6" w:space="0" w:color="auto"/>
              <w:bottom w:val="single" w:sz="6" w:space="0" w:color="auto"/>
              <w:right w:val="single" w:sz="6" w:space="0" w:color="auto"/>
            </w:tcBorders>
          </w:tcPr>
          <w:p w:rsidR="000842B2" w:rsidRDefault="000842B2" w:rsidP="002E2FDC">
            <w:pPr>
              <w:pStyle w:val="DWTableText"/>
              <w:rPr>
                <w:rFonts w:ascii="Arial" w:hAnsi="Arial" w:cs="Arial"/>
                <w:sz w:val="16"/>
                <w:szCs w:val="16"/>
              </w:rPr>
            </w:pPr>
            <w:r>
              <w:rPr>
                <w:rFonts w:ascii="Arial" w:hAnsi="Arial" w:cs="Arial"/>
                <w:sz w:val="16"/>
                <w:szCs w:val="16"/>
              </w:rPr>
              <w:t>US</w:t>
            </w:r>
          </w:p>
        </w:tc>
        <w:tc>
          <w:tcPr>
            <w:tcW w:w="5528" w:type="dxa"/>
            <w:tcBorders>
              <w:top w:val="single" w:sz="6" w:space="0" w:color="auto"/>
              <w:left w:val="single" w:sz="6" w:space="0" w:color="auto"/>
              <w:bottom w:val="single" w:sz="6" w:space="0" w:color="auto"/>
              <w:right w:val="single" w:sz="6" w:space="0" w:color="auto"/>
            </w:tcBorders>
          </w:tcPr>
          <w:p w:rsidR="000842B2" w:rsidRDefault="000842B2" w:rsidP="00D72599">
            <w:pPr>
              <w:pStyle w:val="DWTableText"/>
              <w:rPr>
                <w:rFonts w:ascii="Arial" w:hAnsi="Arial" w:cs="Arial"/>
                <w:sz w:val="16"/>
                <w:szCs w:val="16"/>
              </w:rPr>
            </w:pPr>
            <w:r>
              <w:rPr>
                <w:rFonts w:ascii="Arial" w:hAnsi="Arial" w:cs="Arial"/>
                <w:sz w:val="16"/>
                <w:szCs w:val="16"/>
              </w:rPr>
              <w:t>United States of America</w:t>
            </w:r>
          </w:p>
        </w:tc>
      </w:tr>
    </w:tbl>
    <w:p w:rsidR="00A75A68" w:rsidRDefault="004C5E64" w:rsidP="00D030F0">
      <w:pPr>
        <w:pStyle w:val="DWAppHeading1"/>
        <w:numPr>
          <w:ilvl w:val="0"/>
          <w:numId w:val="35"/>
        </w:numPr>
      </w:pPr>
      <w:bookmarkStart w:id="34" w:name="_Ref442392160"/>
      <w:bookmarkStart w:id="35" w:name="_Ref442392577"/>
      <w:bookmarkStart w:id="36" w:name="_Ref442392581"/>
      <w:bookmarkStart w:id="37" w:name="_Ref442392591"/>
      <w:bookmarkStart w:id="38" w:name="_Ref442392956"/>
      <w:bookmarkStart w:id="39" w:name="_Toc472599233"/>
      <w:r>
        <w:t xml:space="preserve">Treasury GST Submission 1999 – </w:t>
      </w:r>
      <w:bookmarkEnd w:id="34"/>
      <w:bookmarkEnd w:id="35"/>
      <w:bookmarkEnd w:id="36"/>
      <w:bookmarkEnd w:id="37"/>
      <w:r w:rsidR="0035724C">
        <w:t>Extracts</w:t>
      </w:r>
      <w:bookmarkEnd w:id="38"/>
      <w:bookmarkEnd w:id="39"/>
    </w:p>
    <w:p w:rsidR="00F44D55" w:rsidRDefault="00026ABD" w:rsidP="00F44D55">
      <w:pPr>
        <w:pStyle w:val="DWAppParaText"/>
      </w:pPr>
      <w:r>
        <w:t xml:space="preserve">Executive Summary and Conclusions </w:t>
      </w:r>
      <w:r w:rsidR="0090558F">
        <w:t>from the submission “</w:t>
      </w:r>
      <w:r w:rsidR="00F44D55" w:rsidRPr="00F44D55">
        <w:t>Australian Wage &amp; Salary Earners Overtaxed &amp; Overpriced</w:t>
      </w:r>
      <w:r w:rsidR="0090558F">
        <w:t>”</w:t>
      </w:r>
      <w:r w:rsidR="00F44D55" w:rsidRPr="00F44D55">
        <w:t xml:space="preserve"> prepared for the Review of Business Taxation by John E. Caldecott,</w:t>
      </w:r>
      <w:r>
        <w:t xml:space="preserve"> 16 April 1999.</w:t>
      </w:r>
    </w:p>
    <w:p w:rsidR="00D030F0" w:rsidRDefault="004C5E64" w:rsidP="00176168">
      <w:pPr>
        <w:pStyle w:val="DWAppHeading1"/>
        <w:pageBreakBefore w:val="0"/>
        <w:numPr>
          <w:ilvl w:val="1"/>
          <w:numId w:val="35"/>
        </w:numPr>
        <w:spacing w:before="240"/>
        <w:ind w:left="1418" w:hanging="1418"/>
        <w:outlineLvl w:val="1"/>
      </w:pPr>
      <w:bookmarkStart w:id="40" w:name="_Toc472599234"/>
      <w:r>
        <w:t>Executive Summary</w:t>
      </w:r>
      <w:bookmarkEnd w:id="40"/>
    </w:p>
    <w:p w:rsidR="004C5E64" w:rsidRDefault="004C5E64" w:rsidP="004C5E64">
      <w:pPr>
        <w:pStyle w:val="DWAppParaText"/>
      </w:pPr>
      <w:r>
        <w:t>As evidenced by the attached annexes, the submissions I prepared for the 1996/97 Automotive</w:t>
      </w:r>
      <w:r w:rsidR="001122C1">
        <w:t xml:space="preserve"> </w:t>
      </w:r>
      <w:r>
        <w:t>Industry Commission are directly relevant to this Review of Business Taxation as they highlight</w:t>
      </w:r>
      <w:r w:rsidR="001122C1">
        <w:t xml:space="preserve"> </w:t>
      </w:r>
      <w:r>
        <w:t>the gross inequity and unfairness of the current taxation system for the majority of wage and</w:t>
      </w:r>
      <w:r w:rsidR="001122C1">
        <w:t xml:space="preserve"> </w:t>
      </w:r>
      <w:r>
        <w:t>salary earners. It is clear from A Platform for Consultation, Discussion Paper 2 Volume 1, that</w:t>
      </w:r>
      <w:r w:rsidR="001122C1">
        <w:t xml:space="preserve"> </w:t>
      </w:r>
      <w:r>
        <w:t>despite paying the most taxes of any business entity, wage and salary earners are not part of this</w:t>
      </w:r>
      <w:r w:rsidR="001122C1">
        <w:t xml:space="preserve"> </w:t>
      </w:r>
      <w:r>
        <w:t>Review of Business Taxation when they should be. The changes proposed by A New Tax System</w:t>
      </w:r>
      <w:r w:rsidR="001122C1">
        <w:t xml:space="preserve"> </w:t>
      </w:r>
      <w:r>
        <w:t>do not plan to provide full transparency of the total direct and indirect tax paid by this category</w:t>
      </w:r>
      <w:r w:rsidR="001122C1">
        <w:t xml:space="preserve"> </w:t>
      </w:r>
      <w:r>
        <w:t>of business entities simply characterised by a Tax File Number. This category includes tertiary</w:t>
      </w:r>
      <w:r w:rsidR="001122C1">
        <w:t xml:space="preserve"> </w:t>
      </w:r>
      <w:r>
        <w:t>students, wage and salary earners and retirees. Tertiary students are taxed before they start to</w:t>
      </w:r>
      <w:r w:rsidR="001122C1">
        <w:t xml:space="preserve"> </w:t>
      </w:r>
      <w:r>
        <w:t>earn a living, wage and salary earners are taxed when they earn, invest and spend a practice that</w:t>
      </w:r>
      <w:r w:rsidR="00A30AB4">
        <w:t xml:space="preserve"> </w:t>
      </w:r>
      <w:r>
        <w:t>continues when they retire.</w:t>
      </w:r>
    </w:p>
    <w:p w:rsidR="004C5E64" w:rsidRDefault="004C5E64" w:rsidP="004C5E64">
      <w:pPr>
        <w:pStyle w:val="DWAppParaText"/>
      </w:pPr>
      <w:r>
        <w:t>Nobody disputes the notion of paying a fair share of the tax burden, but as this submission</w:t>
      </w:r>
      <w:r w:rsidR="00A30AB4">
        <w:t xml:space="preserve"> </w:t>
      </w:r>
      <w:r>
        <w:t>together with its annexes demonstrates, enough is enough. The business entities that pay the</w:t>
      </w:r>
      <w:r w:rsidR="00A30AB4">
        <w:t xml:space="preserve"> </w:t>
      </w:r>
      <w:r>
        <w:t>least amount of tax have the ear of government and the media through their powerful lobby</w:t>
      </w:r>
      <w:r w:rsidR="00A30AB4">
        <w:t xml:space="preserve"> </w:t>
      </w:r>
      <w:r>
        <w:t>groups, whilst the voice of the wage and salary earners is under represented. It is up to the minor</w:t>
      </w:r>
      <w:r w:rsidR="00A30AB4">
        <w:t xml:space="preserve"> </w:t>
      </w:r>
      <w:r>
        <w:t>parties of the Senate to ensure that this latter group is not disadvantaged by tax reform. Both</w:t>
      </w:r>
      <w:r w:rsidR="00A30AB4">
        <w:t xml:space="preserve"> </w:t>
      </w:r>
      <w:r>
        <w:t>major political parties are responsible for the current economic debacle that this country is in</w:t>
      </w:r>
      <w:r w:rsidR="00A30AB4">
        <w:t xml:space="preserve"> </w:t>
      </w:r>
      <w:r>
        <w:t>and I will not be surprised if another major party does not surface in the next ten years to replace</w:t>
      </w:r>
      <w:r w:rsidR="00A30AB4">
        <w:t xml:space="preserve"> </w:t>
      </w:r>
      <w:r>
        <w:t>one, if not parts of both, major political parties. As time goes on, as the recent NSW election</w:t>
      </w:r>
      <w:r w:rsidR="00A30AB4">
        <w:t xml:space="preserve"> </w:t>
      </w:r>
      <w:r>
        <w:t>result demonstrates, more and more Australians are realising that they have been duped by the</w:t>
      </w:r>
      <w:r w:rsidR="00A30AB4">
        <w:t xml:space="preserve"> </w:t>
      </w:r>
      <w:r>
        <w:t>economic reforms implemented by governments of the last two decades.</w:t>
      </w:r>
    </w:p>
    <w:p w:rsidR="004C5E64" w:rsidRDefault="004C5E64" w:rsidP="004C5E64">
      <w:pPr>
        <w:pStyle w:val="DWAppParaText"/>
      </w:pPr>
      <w:r>
        <w:t>As the analysis of the automotive industry (Annex B, C &amp; D) demonstrates, governments and</w:t>
      </w:r>
      <w:r w:rsidR="00A30AB4">
        <w:t xml:space="preserve"> </w:t>
      </w:r>
      <w:r>
        <w:t>business together have displayed an amazing degree of commercial naivety. They have not</w:t>
      </w:r>
      <w:r w:rsidR="00A30AB4">
        <w:t xml:space="preserve"> </w:t>
      </w:r>
      <w:r>
        <w:t>understood that the engine of successful economies has been improvements in quality and</w:t>
      </w:r>
      <w:r w:rsidR="00A30AB4">
        <w:t xml:space="preserve"> </w:t>
      </w:r>
      <w:r>
        <w:t>productivity that have led to lower costs, lower prices and more jobs. Fortune magazine,</w:t>
      </w:r>
      <w:r w:rsidR="00A30AB4">
        <w:t xml:space="preserve"> </w:t>
      </w:r>
      <w:r>
        <w:t>September 28, 1998 edition, in an article titled “Why the Global Storm Will Zap the U.S.</w:t>
      </w:r>
      <w:r w:rsidR="00A30AB4">
        <w:t xml:space="preserve"> </w:t>
      </w:r>
      <w:r>
        <w:t>Economy” described this phenomenon as “ruthless American standards”. Further anecdotal</w:t>
      </w:r>
      <w:r w:rsidR="00607F34">
        <w:t xml:space="preserve"> </w:t>
      </w:r>
      <w:r>
        <w:t>evidence of this phenomenon was provided by The Australian Financial Review page 7, 3</w:t>
      </w:r>
      <w:r w:rsidR="00607F34">
        <w:t xml:space="preserve"> </w:t>
      </w:r>
      <w:r>
        <w:t>March 1998. This article quoted Mr Ken McGuire, the corporate director of the Association of</w:t>
      </w:r>
      <w:r w:rsidR="00607F34">
        <w:t xml:space="preserve"> </w:t>
      </w:r>
      <w:r>
        <w:t>Manufacturing Excellence in the United States as saying “In national economic terms you are</w:t>
      </w:r>
      <w:r w:rsidR="00607F34">
        <w:t xml:space="preserve"> </w:t>
      </w:r>
      <w:r>
        <w:t>finding that price deflation is taking place as a by-product of internal company improvements.”</w:t>
      </w:r>
      <w:r w:rsidR="00607F34">
        <w:t xml:space="preserve"> </w:t>
      </w:r>
      <w:r>
        <w:t>The article was titled “Streamlining means cheaper prices”. I personally attribute this state of</w:t>
      </w:r>
      <w:r w:rsidR="00607F34">
        <w:t xml:space="preserve"> </w:t>
      </w:r>
      <w:r>
        <w:t>affairs to an American, the late Dr. W Edwards Deming, who called it the “Deming Chain</w:t>
      </w:r>
      <w:r w:rsidR="00607F34">
        <w:t xml:space="preserve"> </w:t>
      </w:r>
      <w:r>
        <w:t>Reaction Theory” (Annex B, Figure 1). Dr. W Edwards Deming taught this theory to Japanese</w:t>
      </w:r>
      <w:r w:rsidR="00607F34">
        <w:t xml:space="preserve"> </w:t>
      </w:r>
      <w:r>
        <w:t>top management in the fifties. American top management only caught on in the early eighties.</w:t>
      </w:r>
      <w:r w:rsidR="00607F34">
        <w:t xml:space="preserve"> </w:t>
      </w:r>
      <w:r>
        <w:t>Australian top management still don’t fully understand the theory.</w:t>
      </w:r>
    </w:p>
    <w:p w:rsidR="00903F9F" w:rsidRDefault="00903F9F" w:rsidP="004C5E64">
      <w:pPr>
        <w:pStyle w:val="DWAppParaText"/>
      </w:pPr>
      <w:r w:rsidRPr="00903F9F">
        <w:t>Enterprises in Australia have failed to pass on lower costs into lower prices and as a result Australia’s unemployment rate is approximately double the United States. There are also problems with Australia’s accounting rules. Fortune magazine, October 26, 1998 edition, couldn’t believe Australian accounting rules allowed News Corporation to declare profits that would have been significantly less under U.S. accounting rules.</w:t>
      </w:r>
    </w:p>
    <w:p w:rsidR="00903F9F" w:rsidRDefault="004C5E64" w:rsidP="004C5E64">
      <w:pPr>
        <w:pStyle w:val="DWAppParaText"/>
      </w:pPr>
      <w:r>
        <w:t>The Australian economy is</w:t>
      </w:r>
      <w:r w:rsidR="00607F34">
        <w:t xml:space="preserve"> </w:t>
      </w:r>
      <w:r>
        <w:t>being operated for the benefit of too few people and with too much smoke and mirrors. The</w:t>
      </w:r>
      <w:r w:rsidR="00607F34">
        <w:t xml:space="preserve"> </w:t>
      </w:r>
      <w:r>
        <w:t>total volume of motor vehicles sold in Australia has been largely stagnant for decades. This</w:t>
      </w:r>
      <w:r w:rsidR="007407FD">
        <w:t xml:space="preserve"> means that the growth in GDP attributed to this industry has largely been illusionary, due to price rises, not real growth due to increased sales of actual units. </w:t>
      </w:r>
    </w:p>
    <w:p w:rsidR="00E17D20" w:rsidRDefault="007407FD" w:rsidP="004C5E64">
      <w:pPr>
        <w:pStyle w:val="DWAppParaText"/>
      </w:pPr>
      <w:r>
        <w:t xml:space="preserve">In addition, the Australian economy is being burdened, retarded by extensive and widespread over-pricing which should be corrected before the government applies indirect taxes based upon the final price of goods and services. It is immoral for governments to apply tax to over-priced goods and services. Again the situation of the car industry demonstrates this, but sadly, it is a situation that is repeated in almost all other business sectors of the Australian economy. The most effective way of demonstrating this is by benchmarking the affordability of goods and services in Australia against the best performing economy in the world, the United States. </w:t>
      </w:r>
    </w:p>
    <w:p w:rsidR="00E17D20" w:rsidRDefault="007407FD" w:rsidP="004C5E64">
      <w:pPr>
        <w:pStyle w:val="DWAppParaText"/>
      </w:pPr>
      <w:r>
        <w:t>On top of this, when one considers the real economic effects of the wholesale corporatisation of government business entities, the story gets bleaker. Most of these entities were financially engineered to be used as cash cows by governments and the executives that run them. Governments then used fat profit margins to attract investors who are prepared to pay high sale prices to continue the financial rape and pillage of the economy and its people. This process is called privatisation under the guise of competition policy. Trouble is, the competition is off shore not on-shore and it is a policy that should have been put to a referendum. However, the story does not end there, governments have been very quiet about explaining that much of the services provided by these former government entities will now attract a GST based on prices that were artificially inflated in the first place. It seems that ever since Paul Keating warned of Australia becoming a banana republic in the mid-eighties, Australian governments have been desperate to achieve this goal. Australia needs global companies but their gravy trains extend not just to head office in Australia but overseas. My feeling is that too much of Australian business is the hands of overseas multi-nationals who are manipulating domestic markets to suit t</w:t>
      </w:r>
      <w:r w:rsidR="00E17D20">
        <w:t>he needs of the global company.</w:t>
      </w:r>
    </w:p>
    <w:p w:rsidR="004C5E64" w:rsidRDefault="007407FD" w:rsidP="004C5E64">
      <w:pPr>
        <w:pStyle w:val="DWAppParaText"/>
      </w:pPr>
      <w:r>
        <w:t xml:space="preserve">The bottom line for wage and salary earners is that tax reform must result in all three tiers of governments working more effectively together, to ensure prices are not artificially amplified by taxes and profit margins, with the goal to optimise the economy and provide jobs. Incentive must be returned for business to create, develop and produce products and services in Australia for domestic consumption, and for export, instead of being a country of merchants. For this to happen, prices must be significantly reduced to match or exceed the affordability of the best performing economies. As wage and salary earners pay the most tax, the catalyst for this renaissance in the Australian economy is full transparency of embedded indirect taxes, which are accounted for together with direct taxes in annual end of year tax returns. This arrangement coupled with the establishment of a maximum and minimum amounts of taxes that can be paid by a given business entity will ensure double dipping and simplification occurs sooner rather than </w:t>
      </w:r>
      <w:r w:rsidR="000647BF">
        <w:t>later</w:t>
      </w:r>
      <w:r>
        <w:t>. Clearly all receipts must show the total amount of embedded tax and it should be illegal for subsequent taxes or business margins to be applied to embedded taxes.</w:t>
      </w:r>
    </w:p>
    <w:p w:rsidR="009C17C8" w:rsidRPr="0090558F" w:rsidRDefault="007E3C6C" w:rsidP="00176168">
      <w:pPr>
        <w:pStyle w:val="DWAppHeading1"/>
        <w:pageBreakBefore w:val="0"/>
        <w:numPr>
          <w:ilvl w:val="1"/>
          <w:numId w:val="35"/>
        </w:numPr>
        <w:spacing w:before="240"/>
        <w:ind w:left="1418" w:hanging="1418"/>
        <w:outlineLvl w:val="1"/>
      </w:pPr>
      <w:bookmarkStart w:id="41" w:name="_Toc472599235"/>
      <w:r>
        <w:t>Conclusions</w:t>
      </w:r>
      <w:r w:rsidR="000F6A0E" w:rsidRPr="0090558F">
        <w:t xml:space="preserve"> (section 3.6 page 28)</w:t>
      </w:r>
      <w:bookmarkEnd w:id="41"/>
    </w:p>
    <w:p w:rsidR="009C17C8" w:rsidRDefault="009C17C8" w:rsidP="004C5E64">
      <w:pPr>
        <w:pStyle w:val="DWAppParaText"/>
      </w:pPr>
      <w:r w:rsidRPr="009C17C8">
        <w:t>Ref. 8, Tax Reform, Not a New Tax System and Ref 10, Review of Business Taxation, A Platform For Consultation Discussion Paper 2 Volume 1, does not describe any taxation mechanism that protects income-earning entities from being over-taxed by Federal, State or Local governments. Nor is there any taxation mechanism in place that prevents income earning entities from paying no tax if they are too clever for the taxation system.</w:t>
      </w:r>
    </w:p>
    <w:p w:rsidR="009C17C8" w:rsidRDefault="009C17C8" w:rsidP="004C5E64">
      <w:pPr>
        <w:pStyle w:val="DWAppParaText"/>
      </w:pPr>
      <w:r w:rsidRPr="009C17C8">
        <w:t>As significant pricing anomalies exist for products sold in Australia, compared to the best performing economy in the world, the U.S., it is irresponsible for governments to apply percentage-based indirect taxes such as the WST and GST.</w:t>
      </w:r>
    </w:p>
    <w:p w:rsidR="00276BE6" w:rsidRDefault="009C17C8" w:rsidP="004C5E64">
      <w:pPr>
        <w:pStyle w:val="DWAppParaText"/>
      </w:pPr>
      <w:r w:rsidRPr="009C17C8">
        <w:t>The car industry has demonstrated, that applying indirect taxes coupled with significant direct taxes, and inflated prices has resulted in an over-priced motor vehicle industry. Failure to pass on cost savings and the increase in prices has resulted in a loss of market share and increasing unemployment. Further the motor industry and government policies have ill</w:t>
      </w:r>
      <w:r w:rsidR="00276BE6">
        <w:t xml:space="preserve"> </w:t>
      </w:r>
      <w:r w:rsidRPr="009C17C8">
        <w:t xml:space="preserve">prepared the local motoring industry to compete with imports, particularly as the Asian crisis has decimated home markets and selling motor vehicles has become a matter of survival and debt reduction, let alone achieving the </w:t>
      </w:r>
      <w:r w:rsidR="00276BE6">
        <w:t>lofty ideal of making a profit.</w:t>
      </w:r>
    </w:p>
    <w:p w:rsidR="00276BE6" w:rsidRDefault="009C17C8" w:rsidP="004C5E64">
      <w:pPr>
        <w:pStyle w:val="DWAppParaText"/>
      </w:pPr>
      <w:r w:rsidRPr="009C17C8">
        <w:t>For wage and salary earners, the proposed reforms do little to change the affordability profile for Australian manufactured motor vehicles, in fact the gains will almost be wiped out by a mere 5% increase in the wholesale price of the vehicle. As noted before, the vendor with the lowest price will benefit the most, as the GST component will be in proportion to the price.</w:t>
      </w:r>
    </w:p>
    <w:p w:rsidR="009C17C8" w:rsidRDefault="009C17C8" w:rsidP="004C5E64">
      <w:pPr>
        <w:pStyle w:val="DWAppParaText"/>
      </w:pPr>
      <w:r w:rsidRPr="009C17C8">
        <w:t>A GST will significantly benefit importers who sell product into the sweet spot of the market of between $10,000 and $20,000. The record number of vehicles sold in Australia is a direct result of the pricing strategies of the importers who recognised that the market was undersold by 100,000s of vehicles. They also recognising that as the majority of the on-road cost of an imported motor vehicle was due to government and industry margins applied in Australia, these arrangements could also be used to advantage in reverse to amplify the effect of any price cuts by the vehicle manufacturer.</w:t>
      </w:r>
    </w:p>
    <w:p w:rsidR="00305ED1" w:rsidRDefault="00276BE6" w:rsidP="004C5E64">
      <w:pPr>
        <w:pStyle w:val="DWAppParaText"/>
      </w:pPr>
      <w:r w:rsidRPr="00276BE6">
        <w:t>A GST will benefit those businesses with the greatest buying power, as a GST will enhance their competitive advantage because it is a percentage-based tax. This effect will cascade through business and result in significantly higher prices for goods and services produced and supplied by small &amp; medium enterprises when compared to bigger enterprises if these enterprises are able to obtain inputs at lower prices than their smaller competitors.</w:t>
      </w:r>
    </w:p>
    <w:p w:rsidR="00305ED1" w:rsidRDefault="00276BE6" w:rsidP="004C5E64">
      <w:pPr>
        <w:pStyle w:val="DWAppParaText"/>
      </w:pPr>
      <w:r w:rsidRPr="00276BE6">
        <w:t>The total volume of product sold in a market is dependent upon affordability. Products and services sold in Australia are significantly over-priced and consequently, the affordability of products and services is significantly greater vs the best performing economy in the world, the United States. It is of no surprise to me that the current U.S. unemployment rate is around half that of Australia. The U.S. will also be better able to weather the more aggressive pricing strategies of importers as prices are already amongst the lowest in the world.</w:t>
      </w:r>
    </w:p>
    <w:p w:rsidR="00305ED1" w:rsidRDefault="00276BE6" w:rsidP="004C5E64">
      <w:pPr>
        <w:pStyle w:val="DWAppParaText"/>
      </w:pPr>
      <w:r w:rsidRPr="00276BE6">
        <w:t>Achieving world best practice in affordability will benefit low-income groups as not only will the price of new goods come within reach but the affordability of second-hand goods will also be driven lower. Compensation is not the answer as it will artificially raise incomes and allow the market to maintain the current status quo.</w:t>
      </w:r>
    </w:p>
    <w:p w:rsidR="00305ED1" w:rsidRDefault="00276BE6" w:rsidP="004C5E64">
      <w:pPr>
        <w:pStyle w:val="DWAppParaText"/>
      </w:pPr>
      <w:r w:rsidRPr="00276BE6">
        <w:t>Comparing incomes and exchange rates of Canada, United States and Australia suggest that there are significant anomalies between the Australian and United States exchange rates or that Australians are significantly underpaid or a combination</w:t>
      </w:r>
      <w:r w:rsidR="00305ED1">
        <w:t xml:space="preserve"> of both.</w:t>
      </w:r>
    </w:p>
    <w:p w:rsidR="00305ED1" w:rsidRDefault="00276BE6" w:rsidP="004C5E64">
      <w:pPr>
        <w:pStyle w:val="DWAppParaText"/>
      </w:pPr>
      <w:r w:rsidRPr="00276BE6">
        <w:t>The analysis of Table 5 demonstrates the importance for wage and salary earners to have full transparency of the total indirect taxes that they are paying for. The income tax cuts do not compensate wage and salary earners for the GST. High income earners who spend 80% of their income on products and services carrying a 10% GST will find that their effective tax rate is still in the high thirties. Clearly the GST will encourage higher income groups to spend their savings overseas or to invest in schemes design to reduce tax.</w:t>
      </w:r>
    </w:p>
    <w:p w:rsidR="00305ED1" w:rsidRDefault="00276BE6" w:rsidP="004C5E64">
      <w:pPr>
        <w:pStyle w:val="DWAppParaText"/>
      </w:pPr>
      <w:r w:rsidRPr="00276BE6">
        <w:t>Consumption taxes are out of date in a borderless Internet world where a lot of purchasing will be carried out directly by the final customer. It is becoming increasing cheaper and easier to travel in person or by the Internet and purchase direct from a country where prices are significantly lower than the domestic market. The reason for the strength of the US economy is simple, low prices and no GST to act as a complication and barrier to trade.</w:t>
      </w:r>
    </w:p>
    <w:p w:rsidR="00276BE6" w:rsidRPr="004C5E64" w:rsidRDefault="00276BE6" w:rsidP="004C5E64">
      <w:pPr>
        <w:pStyle w:val="DWAppParaText"/>
      </w:pPr>
      <w:r w:rsidRPr="00276BE6">
        <w:t>Much of the reform carried out by Australian governments, under the banner of economic rationalism, over the past two decades will need to be undone by future generations of Australians as it has not led to fundamental economic reform of the economy to be more globally competitive. Australia should be characterised by low real unemployment, for all age categories who wish to work, comparable or better affordability couple</w:t>
      </w:r>
      <w:r w:rsidR="008A5E6D">
        <w:t>d</w:t>
      </w:r>
      <w:r w:rsidRPr="00276BE6">
        <w:t xml:space="preserve"> with world class quality, low overseas debt, a greater level of ownership of domestic businesses by Australians together with education and health services the envy of the rest of the world.</w:t>
      </w:r>
    </w:p>
    <w:p w:rsidR="0008266A" w:rsidRDefault="0035724C" w:rsidP="0008266A">
      <w:pPr>
        <w:pStyle w:val="DWAppHeading1"/>
        <w:numPr>
          <w:ilvl w:val="0"/>
          <w:numId w:val="35"/>
        </w:numPr>
      </w:pPr>
      <w:bookmarkStart w:id="42" w:name="_Ref442392201"/>
      <w:bookmarkStart w:id="43" w:name="_Ref442392619"/>
      <w:bookmarkStart w:id="44" w:name="_Ref442392973"/>
      <w:bookmarkStart w:id="45" w:name="_Toc472599236"/>
      <w:r>
        <w:t>Industry</w:t>
      </w:r>
      <w:r w:rsidR="0008266A">
        <w:t xml:space="preserve"> Commission </w:t>
      </w:r>
      <w:r w:rsidR="00E67FA7">
        <w:t xml:space="preserve">Auto </w:t>
      </w:r>
      <w:r w:rsidR="0008266A">
        <w:t xml:space="preserve">Submission </w:t>
      </w:r>
      <w:r w:rsidR="00F440A4">
        <w:t>1997</w:t>
      </w:r>
      <w:r w:rsidR="001376F7">
        <w:t xml:space="preserve"> - Extracts</w:t>
      </w:r>
      <w:bookmarkEnd w:id="42"/>
      <w:bookmarkEnd w:id="43"/>
      <w:bookmarkEnd w:id="44"/>
      <w:bookmarkEnd w:id="45"/>
    </w:p>
    <w:p w:rsidR="00F440A4" w:rsidRDefault="00F440A4" w:rsidP="00F440A4">
      <w:pPr>
        <w:pStyle w:val="DWAppParaText"/>
      </w:pPr>
      <w:r>
        <w:t>Automotive Industry Overpricing Industry Commission Submission No. 97 for the Automotive Industry Inquiry by John E. Caldecott 3 March 1997.</w:t>
      </w:r>
    </w:p>
    <w:p w:rsidR="001376F7" w:rsidRDefault="001376F7" w:rsidP="001376F7">
      <w:pPr>
        <w:pStyle w:val="DWAppHeading1"/>
        <w:pageBreakBefore w:val="0"/>
        <w:numPr>
          <w:ilvl w:val="1"/>
          <w:numId w:val="35"/>
        </w:numPr>
        <w:spacing w:before="240"/>
        <w:outlineLvl w:val="1"/>
      </w:pPr>
      <w:bookmarkStart w:id="46" w:name="_Toc472599237"/>
      <w:r>
        <w:t>Executive Summary</w:t>
      </w:r>
      <w:bookmarkEnd w:id="46"/>
    </w:p>
    <w:p w:rsidR="00736B89" w:rsidRDefault="004B6331" w:rsidP="00F440A4">
      <w:pPr>
        <w:pStyle w:val="DWAppParaText"/>
      </w:pPr>
      <w:r w:rsidRPr="004B6331">
        <w:t>The purpose of this submission is to influence the Industry Commission Automotive Industry Inquiry (ICAII) report, which is overly focused upon the question of tariff reduction and microeconomics reform, to address the real issue - overpricing and the system that has caused it. The deteriorating affordability of automotive goods is raised by the Draft Report, however there are no direct benchmarks of the market price of goods sold in the North American markets of the United States and Canada vs. the incomes of ordinary Americans and Canadians with ordinary Australians. Accordingly, the proposed set of recommendations of the Commission, whether implemented or not, will ensure that the overpricing crisis will not change for the long term betterment of Australian society.</w:t>
      </w:r>
    </w:p>
    <w:p w:rsidR="00736B89" w:rsidRDefault="004B6331" w:rsidP="00F440A4">
      <w:pPr>
        <w:pStyle w:val="DWAppParaText"/>
      </w:pPr>
      <w:r w:rsidRPr="004B6331">
        <w:t xml:space="preserve"> Instead of focusing upon what the Automotive Industry and their suppliers can do for themselves, other than taxation, the Draft Report is overly focused upon peripheral matters such as microec</w:t>
      </w:r>
      <w:r w:rsidR="00736B89">
        <w:t>onomics reform.</w:t>
      </w:r>
    </w:p>
    <w:p w:rsidR="00736B89" w:rsidRDefault="004B6331" w:rsidP="00F440A4">
      <w:pPr>
        <w:pStyle w:val="DWAppParaText"/>
      </w:pPr>
      <w:r w:rsidRPr="004B6331">
        <w:t>This has the effect of diverting the focus away from the Automotive Industry itself. With regard to the competition policy, Australians need to be seriously concerned about the privatisation of public infrastructure that began with the previous federal Labor government and which continues to be accelerated by current federal and state governments. The Reserve Bank of Australia Bulletin for January 1997 shows Net Foreign liabilities has climbed to $288.2 billion by the September quarter of 1996. Government policy is favouring foreign enterprise at the expense of Australian enterprise. They have forgotten that they are governing on behalf of society and instead think that they are governing wholly on</w:t>
      </w:r>
      <w:r w:rsidR="00736B89">
        <w:t xml:space="preserve"> behalf of business enterprise.</w:t>
      </w:r>
    </w:p>
    <w:p w:rsidR="007472D5" w:rsidRDefault="004B6331" w:rsidP="00F440A4">
      <w:pPr>
        <w:pStyle w:val="DWAppParaText"/>
      </w:pPr>
      <w:r w:rsidRPr="004B6331">
        <w:t>The automotive industry is at a cross road, focusing upon whether tariffs are to be reduced or not, as proposed in its Draft Report, will allow the industry to continue to force customers to pay for overpriced product, ensuring that the motor vehicle market limps along whilst increasing pressure on the domestic motor vehicle and component manufacturers and, despite the apparent export success, the industry will continue to be a negative fa</w:t>
      </w:r>
      <w:r w:rsidR="007472D5">
        <w:t>ctor on the Australian economy.</w:t>
      </w:r>
    </w:p>
    <w:p w:rsidR="00E7291E" w:rsidRDefault="004B6331" w:rsidP="00F440A4">
      <w:pPr>
        <w:pStyle w:val="DWAppParaText"/>
      </w:pPr>
      <w:r w:rsidRPr="004B6331">
        <w:t xml:space="preserve">The focus of the </w:t>
      </w:r>
      <w:r w:rsidR="00E7291E" w:rsidRPr="004B6331">
        <w:t>commission’s</w:t>
      </w:r>
      <w:r w:rsidRPr="004B6331">
        <w:t xml:space="preserve"> recommendation and findings must be to address the reduction of end prices and to produce a better range of locally built motor vehicles. As figures presented before the commission clearly shows (Draft Report Table 5.1), the value of the tariff represents 8% of the on-road cost of a Daewoo Cielo (Import price of A$5,200) and 11% of the on-road cost of a Mercedes C180 (Import price of A$27,396). The commission needs to concentrate on the other 90% of on-road costs. It also needs to ask why Mercedes can retail a Mercedes C230 for a Manufacturers Standard Retail Price (MSRP) of US$30,450 (The Complete 97 Road &amp; Track Car Buyer’s Guide) in the US market whilst a Mercedes C180 retails for A$63,484 </w:t>
      </w:r>
      <w:r w:rsidR="00E7291E" w:rsidRPr="004B6331">
        <w:t>on road</w:t>
      </w:r>
      <w:r w:rsidRPr="004B6331">
        <w:t xml:space="preserve"> in Australia. </w:t>
      </w:r>
    </w:p>
    <w:p w:rsidR="001376F7" w:rsidRDefault="004B6331" w:rsidP="00F440A4">
      <w:pPr>
        <w:pStyle w:val="DWAppParaText"/>
      </w:pPr>
      <w:r w:rsidRPr="004B6331">
        <w:t>The matters raised by this submission, are crucial to the reforming of not only the Australian automotive industry but other parts of the economy as well. It needs to be borne in mind, particularly by politicians and the industry itself, that customers of the automotive industry easily outnumber employees of the Automotive Industry and they are customers who are becoming increasingly disaffected with the industry</w:t>
      </w:r>
      <w:r w:rsidR="00E7291E">
        <w:t>.</w:t>
      </w:r>
    </w:p>
    <w:p w:rsidR="00466B54" w:rsidRDefault="007E3C6C" w:rsidP="00466B54">
      <w:pPr>
        <w:pStyle w:val="DWAppHeading1"/>
        <w:pageBreakBefore w:val="0"/>
        <w:numPr>
          <w:ilvl w:val="1"/>
          <w:numId w:val="35"/>
        </w:numPr>
        <w:spacing w:before="240"/>
        <w:outlineLvl w:val="1"/>
      </w:pPr>
      <w:bookmarkStart w:id="47" w:name="_Toc472599238"/>
      <w:r>
        <w:t>Conclusions</w:t>
      </w:r>
      <w:r w:rsidR="00E7291E" w:rsidRPr="00E7291E">
        <w:t xml:space="preserve"> </w:t>
      </w:r>
      <w:r w:rsidR="00F02339">
        <w:t>(section 7.5 page 17)</w:t>
      </w:r>
      <w:bookmarkEnd w:id="47"/>
    </w:p>
    <w:p w:rsidR="00466B54" w:rsidRDefault="00E7291E" w:rsidP="00F440A4">
      <w:pPr>
        <w:pStyle w:val="DWAppParaText"/>
      </w:pPr>
      <w:r w:rsidRPr="00E7291E">
        <w:t xml:space="preserve">The Health Industry, like the Automotive Industry has turned its back on ordinary Australians and expects more for less. The problems of the two industries are similar, overpricing is the </w:t>
      </w:r>
      <w:r w:rsidR="00F02339" w:rsidRPr="00E7291E">
        <w:t>root</w:t>
      </w:r>
      <w:r w:rsidRPr="00E7291E">
        <w:t xml:space="preserve"> cause of current industry problems and must be addressed. However, both need to realise that they are not the only industries in crisis. Both the private and public sectors need to realise that Australians are fast running out of money. </w:t>
      </w:r>
    </w:p>
    <w:p w:rsidR="00466B54" w:rsidRDefault="00E7291E" w:rsidP="00F440A4">
      <w:pPr>
        <w:pStyle w:val="DWAppParaText"/>
      </w:pPr>
      <w:r w:rsidRPr="00E7291E">
        <w:t>The Australian Automotive Industry needs to discover that the Deming Chain, Figure 1, actually works; improving quality and productivity which results in reduction in prices will lead to increased market share and the local automotive industry will</w:t>
      </w:r>
      <w:r w:rsidR="00466B54">
        <w:t xml:space="preserve"> become bigger and not smaller.</w:t>
      </w:r>
    </w:p>
    <w:p w:rsidR="00466B54" w:rsidRDefault="00E7291E" w:rsidP="00F440A4">
      <w:pPr>
        <w:pStyle w:val="DWAppParaText"/>
      </w:pPr>
      <w:r w:rsidRPr="00E7291E">
        <w:t>Governments need to focus on the whole pricing system and develop policy changes which requires all business entities to pay their fair share of tax, regardless of tax deductions, and which encourages growth of market share and penalises suppliers of overpriced product in</w:t>
      </w:r>
      <w:r w:rsidR="00466B54">
        <w:t>to the Australian market place.</w:t>
      </w:r>
    </w:p>
    <w:p w:rsidR="00E7291E" w:rsidRDefault="00E7291E" w:rsidP="00F440A4">
      <w:pPr>
        <w:pStyle w:val="DWAppParaText"/>
      </w:pPr>
      <w:r w:rsidRPr="00E7291E">
        <w:t>Electronic commerce is going to break down the stranglehold enjoyed by merchants in Australia and accordingly, economic prosperity will be gained by economies which can create and develop marketable goods as opposed to those that rely upon the distribution, marketing and selling of goods. The Federal Liberal Government needs to put aside party ideology, which promotes “private” as being good and “public” as being bad and properly invest in the life-long education of all Australians and increase the output of Australian scientists and engineers before it is too late.</w:t>
      </w:r>
    </w:p>
    <w:p w:rsidR="003A4EFF" w:rsidRDefault="00161956" w:rsidP="006813AA">
      <w:pPr>
        <w:pStyle w:val="DWAppHeading1"/>
        <w:numPr>
          <w:ilvl w:val="0"/>
          <w:numId w:val="35"/>
        </w:numPr>
      </w:pPr>
      <w:bookmarkStart w:id="48" w:name="_Ref442391969"/>
      <w:bookmarkStart w:id="49" w:name="_Ref442391991"/>
      <w:bookmarkStart w:id="50" w:name="_Toc472599239"/>
      <w:r>
        <w:t xml:space="preserve">Made in </w:t>
      </w:r>
      <w:r w:rsidR="00916E8F">
        <w:t>america</w:t>
      </w:r>
      <w:bookmarkEnd w:id="48"/>
      <w:bookmarkEnd w:id="49"/>
      <w:r w:rsidR="00460243">
        <w:t xml:space="preserve"> (Book)</w:t>
      </w:r>
      <w:bookmarkEnd w:id="50"/>
    </w:p>
    <w:p w:rsidR="004A2E3D" w:rsidRDefault="004A2E3D" w:rsidP="000816A4">
      <w:pPr>
        <w:pStyle w:val="DWAppParaText"/>
        <w:spacing w:before="120" w:after="120"/>
      </w:pPr>
      <w:r>
        <w:t>Regaining the Productive Edge</w:t>
      </w:r>
      <w:r w:rsidR="00906136">
        <w:t xml:space="preserve">, </w:t>
      </w:r>
      <w:r w:rsidR="00906136" w:rsidRPr="00906136">
        <w:t>MIT Press 1989</w:t>
      </w:r>
    </w:p>
    <w:p w:rsidR="004A2E3D" w:rsidRDefault="004A2E3D" w:rsidP="000816A4">
      <w:pPr>
        <w:pStyle w:val="DWAppParaText"/>
        <w:spacing w:before="120" w:after="120"/>
      </w:pPr>
      <w:r>
        <w:t>By Michael L. Dertouzos, Robert M. Solow and Richard K. Lester</w:t>
      </w:r>
    </w:p>
    <w:p w:rsidR="004A2E3D" w:rsidRPr="000816A4" w:rsidRDefault="004A2E3D" w:rsidP="004A2E3D">
      <w:pPr>
        <w:pStyle w:val="DWAppParaText"/>
        <w:rPr>
          <w:b/>
        </w:rPr>
      </w:pPr>
      <w:r w:rsidRPr="000816A4">
        <w:rPr>
          <w:b/>
        </w:rPr>
        <w:t>Overview</w:t>
      </w:r>
    </w:p>
    <w:p w:rsidR="0037751B" w:rsidRDefault="0037751B" w:rsidP="004A2E3D">
      <w:pPr>
        <w:pStyle w:val="DWAppParaText"/>
      </w:pPr>
      <w:r>
        <w:t>“</w:t>
      </w:r>
      <w:r w:rsidR="004A2E3D">
        <w:t>What went wrong and how can America become second to none in industrial productivity? This long awaited study by a team of top notch MIT scientists and economists - the MIT Commission on Industrial Productivity - takes a hard look at the recurring weaknesses of American industry that are threatening the country's standard of living and its</w:t>
      </w:r>
      <w:r>
        <w:t xml:space="preserve"> position in the world economy.</w:t>
      </w:r>
    </w:p>
    <w:p w:rsidR="0037751B" w:rsidRDefault="004A2E3D" w:rsidP="004A2E3D">
      <w:pPr>
        <w:pStyle w:val="DWAppParaText"/>
      </w:pPr>
      <w:r>
        <w:t>Made in America identifies what is best and worth replicating in American industrial practice and sets out five national priorities for regaining the productive edge.</w:t>
      </w:r>
      <w:r w:rsidR="0037751B">
        <w:t xml:space="preserve"> </w:t>
      </w:r>
      <w:r>
        <w:t>Unlike other studies that prescribe macroeconomic cures, Made in America focuses on the reorganization and effective integration of human resources and new technologies within the firm as a principal driving force for long term growth in productivity.</w:t>
      </w:r>
    </w:p>
    <w:p w:rsidR="00065321" w:rsidRDefault="004A2E3D" w:rsidP="004A2E3D">
      <w:pPr>
        <w:pStyle w:val="DWAppParaText"/>
      </w:pPr>
      <w:r>
        <w:t xml:space="preserve">Made in America examines the relationship between human resources and technological change in detail and singles out the most significant productivity weaknesses from the myriad causes that are typically cited. These include </w:t>
      </w:r>
      <w:r w:rsidR="00065321">
        <w:t>short time</w:t>
      </w:r>
      <w:r>
        <w:t xml:space="preserve"> horizons and a preoccupation with the bottom line, outdated strategies that focus excessively on the domestic market, lack of cooperation within and among U.S. firms, neglect of human resources, technological failures in translating discoveries to products, and a mismatch between governmental actions and the needs of industry.</w:t>
      </w:r>
      <w:r w:rsidR="0037751B">
        <w:t xml:space="preserve"> </w:t>
      </w:r>
    </w:p>
    <w:p w:rsidR="00065321" w:rsidRDefault="004A2E3D" w:rsidP="004A2E3D">
      <w:pPr>
        <w:pStyle w:val="DWAppParaText"/>
      </w:pPr>
      <w:r>
        <w:t>Looking ahead Made in America asserts that industrial performance would improve substantially simply by building on what is best in U.S. industry. It describes representative systems of production that can serve as models of best industrial practice for niche producers, price competitive specialized producers, and flexible mass producers.</w:t>
      </w:r>
    </w:p>
    <w:p w:rsidR="00DD7195" w:rsidRDefault="004A2E3D" w:rsidP="004A2E3D">
      <w:pPr>
        <w:pStyle w:val="DWAppParaText"/>
      </w:pPr>
      <w:r>
        <w:t>Among the goals singled out as national priorities are the creation of a new economic citizenship that involves well</w:t>
      </w:r>
      <w:r w:rsidR="00DD7195">
        <w:t xml:space="preserve"> </w:t>
      </w:r>
      <w:r>
        <w:t>educated workers as active partners in the reproduction process, a new strategic focus on production, finding a better balance between cooperation and individualism, learning to live in an increasingly international economy, and making proper provision for the future both in terms of capital and human resources.</w:t>
      </w:r>
      <w:r w:rsidR="00DD7195">
        <w:t xml:space="preserve"> </w:t>
      </w:r>
    </w:p>
    <w:p w:rsidR="00DD7195" w:rsidRDefault="004A2E3D" w:rsidP="004A2E3D">
      <w:pPr>
        <w:pStyle w:val="DWAppParaText"/>
      </w:pPr>
      <w:r>
        <w:t>The findings and goals of Made in America are based on such measures of productivity performance as product quality, innovativeness, time to market, and service in eight manufacturing sectors - semiconductors, computers, and office equipment; automobiles; steel; consumer electronics, chemicals and pharmaceuticals; textiles; machine tools; and commercial aircraft. These measures revealed a large gap between the best and average U.S. practice.</w:t>
      </w:r>
    </w:p>
    <w:p w:rsidR="004A2E3D" w:rsidRDefault="004A2E3D" w:rsidP="004A2E3D">
      <w:pPr>
        <w:pStyle w:val="DWAppParaText"/>
      </w:pPr>
      <w:r>
        <w:t>Michael L. Dertouzos. is Professor of Electrical Engineering and Computer Science and Director of MIT's Laboratory of Computer Science. Robert M. Solow is Institute Professor of Economics, and Richard K. Lester is Associate P</w:t>
      </w:r>
      <w:r w:rsidR="00906136">
        <w:t>rofessor of Nuclear Engineering.”</w:t>
      </w:r>
    </w:p>
    <w:p w:rsidR="00906136" w:rsidRDefault="00882419" w:rsidP="00906136">
      <w:pPr>
        <w:pStyle w:val="DWAppParaText"/>
        <w:spacing w:before="120"/>
      </w:pPr>
      <w:r>
        <w:t xml:space="preserve">Source: </w:t>
      </w:r>
      <w:hyperlink r:id="rId38" w:history="1">
        <w:r w:rsidR="00906136" w:rsidRPr="00145E84">
          <w:rPr>
            <w:rStyle w:val="Hyperlink"/>
          </w:rPr>
          <w:t>http://mitpress.mit.edu/books/made-america</w:t>
        </w:r>
      </w:hyperlink>
    </w:p>
    <w:p w:rsidR="00161956" w:rsidRDefault="00916E8F" w:rsidP="00161956">
      <w:pPr>
        <w:pStyle w:val="DWAppHeading1"/>
        <w:numPr>
          <w:ilvl w:val="0"/>
          <w:numId w:val="35"/>
        </w:numPr>
      </w:pPr>
      <w:bookmarkStart w:id="51" w:name="_Ref442392002"/>
      <w:bookmarkStart w:id="52" w:name="_Toc472599240"/>
      <w:r>
        <w:t>MADE in JAPAn</w:t>
      </w:r>
      <w:bookmarkEnd w:id="51"/>
      <w:r w:rsidR="00460243">
        <w:t xml:space="preserve"> (BooK)</w:t>
      </w:r>
      <w:bookmarkEnd w:id="52"/>
    </w:p>
    <w:p w:rsidR="00916E8F" w:rsidRDefault="00916E8F" w:rsidP="00DC1E63">
      <w:pPr>
        <w:pStyle w:val="DWAppParaText"/>
        <w:spacing w:before="120" w:after="120"/>
      </w:pPr>
      <w:r>
        <w:t>Revitalizing Japanese Manufacturing for Economic Growth</w:t>
      </w:r>
    </w:p>
    <w:p w:rsidR="00916E8F" w:rsidRDefault="00916E8F" w:rsidP="00DC1E63">
      <w:pPr>
        <w:pStyle w:val="DWAppParaText"/>
        <w:spacing w:before="120" w:after="120"/>
      </w:pPr>
      <w:r>
        <w:t>By Japan Commission on Industrial Performance</w:t>
      </w:r>
      <w:r w:rsidR="002879FB">
        <w:t xml:space="preserve"> 1989.</w:t>
      </w:r>
    </w:p>
    <w:p w:rsidR="00916E8F" w:rsidRPr="00DC1E63" w:rsidRDefault="00916E8F" w:rsidP="00916E8F">
      <w:pPr>
        <w:pStyle w:val="DWAppParaText"/>
        <w:rPr>
          <w:b/>
        </w:rPr>
      </w:pPr>
      <w:r w:rsidRPr="00DC1E63">
        <w:rPr>
          <w:b/>
        </w:rPr>
        <w:t>Overview</w:t>
      </w:r>
    </w:p>
    <w:p w:rsidR="00DC1E63" w:rsidRDefault="00882419" w:rsidP="00916E8F">
      <w:pPr>
        <w:pStyle w:val="DWAppParaText"/>
      </w:pPr>
      <w:r>
        <w:t>“</w:t>
      </w:r>
      <w:r w:rsidR="00916E8F">
        <w:t>In 1989 the MIT Press published Made in America, a landmark study by The MIT Commission on Industrial Productivity, an interdisciplinary group of MIT faculty members. The study analyzed the strengths and weaknesses of American industry and set forth a strategic plan for revitalizing American productivity.</w:t>
      </w:r>
    </w:p>
    <w:p w:rsidR="00916E8F" w:rsidRDefault="00916E8F" w:rsidP="00916E8F">
      <w:pPr>
        <w:pStyle w:val="DWAppParaText"/>
      </w:pPr>
      <w:r>
        <w:t>Inspired by the MIT study, the Japan Techno-Economics Society formed the Japan Commission on Industrial Performance (JCIP). For three years, seventeen university researchers worked with representatives of thirty-four corporations to analyze the present state of Japanese manufacturing and to identify the challenges Japan will face in the twenty-first century. The result of their study is Made in Japan.</w:t>
      </w:r>
    </w:p>
    <w:p w:rsidR="00937D42" w:rsidRDefault="00916E8F" w:rsidP="00916E8F">
      <w:pPr>
        <w:pStyle w:val="DWAppParaText"/>
      </w:pPr>
      <w:r>
        <w:t>Made in Japan has a broader perspective than its American model, whose focus was limited to issues of productivity. The bo</w:t>
      </w:r>
      <w:r w:rsidR="00937D42">
        <w:t>ok is divided into three parts.</w:t>
      </w:r>
    </w:p>
    <w:p w:rsidR="00937D42" w:rsidRDefault="00937D42" w:rsidP="00916E8F">
      <w:pPr>
        <w:pStyle w:val="DWAppParaText"/>
      </w:pPr>
      <w:r>
        <w:t>Part I is a general overview.</w:t>
      </w:r>
    </w:p>
    <w:p w:rsidR="00937D42" w:rsidRDefault="00916E8F" w:rsidP="00916E8F">
      <w:pPr>
        <w:pStyle w:val="DWAppParaText"/>
      </w:pPr>
      <w:r>
        <w:t xml:space="preserve">Part II is an in-depth analysis of seven industries: industrial electronics, consumer electronics, automobiles, metal products, industrial machinery, chemicals, and textiles. </w:t>
      </w:r>
    </w:p>
    <w:p w:rsidR="00916E8F" w:rsidRPr="00916E8F" w:rsidRDefault="00916E8F" w:rsidP="00916E8F">
      <w:pPr>
        <w:pStyle w:val="DWAppParaText"/>
      </w:pPr>
      <w:r>
        <w:t>Part III identifies common problems and makes recommendations for industrial policy. The topics covered in the study are grounded in such fundamental issues as global environmental problems, competitiveness, and the free market economy system.</w:t>
      </w:r>
      <w:r w:rsidR="00882419">
        <w:t>”</w:t>
      </w:r>
    </w:p>
    <w:p w:rsidR="00937D42" w:rsidRDefault="00882419" w:rsidP="00906136">
      <w:pPr>
        <w:pStyle w:val="DWAppParaText"/>
      </w:pPr>
      <w:r>
        <w:t xml:space="preserve">Source: </w:t>
      </w:r>
      <w:hyperlink r:id="rId39" w:history="1">
        <w:r w:rsidR="00937D42" w:rsidRPr="00145E84">
          <w:rPr>
            <w:rStyle w:val="Hyperlink"/>
          </w:rPr>
          <w:t>http://mitpress.mit.edu/books/made-japan</w:t>
        </w:r>
      </w:hyperlink>
    </w:p>
    <w:p w:rsidR="004B09B6" w:rsidRDefault="004B09B6" w:rsidP="00906136">
      <w:pPr>
        <w:pStyle w:val="DWAppParaText"/>
        <w:sectPr w:rsidR="004B09B6" w:rsidSect="00DD02F4">
          <w:headerReference w:type="default" r:id="rId40"/>
          <w:footerReference w:type="default" r:id="rId41"/>
          <w:pgSz w:w="11906" w:h="16838" w:code="9"/>
          <w:pgMar w:top="20" w:right="1134" w:bottom="1417" w:left="1417" w:header="567" w:footer="431" w:gutter="0"/>
          <w:cols w:space="720"/>
          <w:docGrid w:linePitch="272"/>
        </w:sectPr>
      </w:pPr>
    </w:p>
    <w:p w:rsidR="0080372D" w:rsidRDefault="00A03538" w:rsidP="00D152F1">
      <w:pPr>
        <w:pStyle w:val="DWAppHeading1"/>
        <w:numPr>
          <w:ilvl w:val="0"/>
          <w:numId w:val="35"/>
        </w:numPr>
      </w:pPr>
      <w:bookmarkStart w:id="53" w:name="_Ref442391166"/>
      <w:bookmarkStart w:id="54" w:name="_Ref442391180"/>
      <w:bookmarkStart w:id="55" w:name="_Ref442391189"/>
      <w:bookmarkStart w:id="56" w:name="_Ref442423794"/>
      <w:bookmarkStart w:id="57" w:name="_Toc472599241"/>
      <w:r>
        <w:t xml:space="preserve">SA </w:t>
      </w:r>
      <w:r w:rsidR="00D152F1" w:rsidRPr="00D152F1">
        <w:t xml:space="preserve">Electricity </w:t>
      </w:r>
      <w:r w:rsidR="00341855">
        <w:t>Price</w:t>
      </w:r>
      <w:r w:rsidR="00D152F1" w:rsidRPr="00D152F1">
        <w:t xml:space="preserve"> Comparison </w:t>
      </w:r>
      <w:r w:rsidR="00341855">
        <w:t xml:space="preserve">- </w:t>
      </w:r>
      <w:r w:rsidR="00D152F1" w:rsidRPr="00D152F1">
        <w:t>Public vs. Private</w:t>
      </w:r>
      <w:bookmarkEnd w:id="53"/>
      <w:bookmarkEnd w:id="54"/>
      <w:bookmarkEnd w:id="55"/>
      <w:r w:rsidR="00437A42">
        <w:t xml:space="preserve"> 1985</w:t>
      </w:r>
      <w:r w:rsidR="00815524">
        <w:t>-2014</w:t>
      </w:r>
      <w:bookmarkEnd w:id="56"/>
      <w:bookmarkEnd w:id="57"/>
    </w:p>
    <w:p w:rsidR="00911832" w:rsidRDefault="00911832" w:rsidP="005B63C5">
      <w:pPr>
        <w:tabs>
          <w:tab w:val="left" w:pos="1531"/>
          <w:tab w:val="left" w:pos="3153"/>
          <w:tab w:val="left" w:pos="5563"/>
          <w:tab w:val="left" w:pos="7406"/>
          <w:tab w:val="left" w:pos="8965"/>
          <w:tab w:val="left" w:pos="10241"/>
          <w:tab w:val="left" w:pos="13575"/>
        </w:tabs>
        <w:ind w:left="113"/>
        <w:rPr>
          <w:rFonts w:ascii="Arial" w:hAnsi="Arial"/>
          <w:sz w:val="18"/>
          <w:lang w:eastAsia="ja-JP"/>
        </w:rPr>
      </w:pPr>
    </w:p>
    <w:p w:rsidR="00131E2C" w:rsidRPr="00911832" w:rsidRDefault="00131E2C" w:rsidP="005B63C5">
      <w:pPr>
        <w:tabs>
          <w:tab w:val="left" w:pos="1531"/>
          <w:tab w:val="left" w:pos="3153"/>
          <w:tab w:val="left" w:pos="5563"/>
          <w:tab w:val="left" w:pos="7406"/>
          <w:tab w:val="left" w:pos="8965"/>
          <w:tab w:val="left" w:pos="10241"/>
          <w:tab w:val="left" w:pos="13575"/>
        </w:tabs>
        <w:ind w:left="113"/>
        <w:rPr>
          <w:sz w:val="22"/>
          <w:szCs w:val="22"/>
          <w:lang w:eastAsia="ja-JP"/>
        </w:rPr>
      </w:pPr>
      <w:r w:rsidRPr="00911832">
        <w:rPr>
          <w:sz w:val="22"/>
          <w:szCs w:val="22"/>
          <w:lang w:eastAsia="ja-JP"/>
        </w:rPr>
        <w:t>Based Upon Actual Household Charges 1985, 1999, 2000 &amp; 2014.</w:t>
      </w:r>
    </w:p>
    <w:p w:rsidR="00911832" w:rsidRPr="00911832" w:rsidRDefault="00911832" w:rsidP="005B63C5">
      <w:pPr>
        <w:tabs>
          <w:tab w:val="left" w:pos="1531"/>
          <w:tab w:val="left" w:pos="3153"/>
          <w:tab w:val="left" w:pos="5563"/>
          <w:tab w:val="left" w:pos="7406"/>
          <w:tab w:val="left" w:pos="8965"/>
          <w:tab w:val="left" w:pos="10241"/>
          <w:tab w:val="left" w:pos="13575"/>
        </w:tabs>
        <w:ind w:left="113"/>
        <w:rPr>
          <w:sz w:val="22"/>
          <w:szCs w:val="22"/>
          <w:lang w:eastAsia="ja-JP"/>
        </w:rPr>
      </w:pPr>
    </w:p>
    <w:p w:rsidR="0080372D" w:rsidRPr="00911832" w:rsidRDefault="00D152F1" w:rsidP="005B63C5">
      <w:pPr>
        <w:tabs>
          <w:tab w:val="left" w:pos="1531"/>
          <w:tab w:val="left" w:pos="3153"/>
          <w:tab w:val="left" w:pos="5563"/>
          <w:tab w:val="left" w:pos="7406"/>
          <w:tab w:val="left" w:pos="8965"/>
          <w:tab w:val="left" w:pos="10241"/>
          <w:tab w:val="left" w:pos="13575"/>
        </w:tabs>
        <w:ind w:left="113"/>
        <w:rPr>
          <w:sz w:val="22"/>
          <w:szCs w:val="22"/>
          <w:lang w:eastAsia="ja-JP"/>
        </w:rPr>
      </w:pPr>
      <w:r w:rsidRPr="00911832">
        <w:rPr>
          <w:sz w:val="22"/>
          <w:szCs w:val="22"/>
          <w:lang w:eastAsia="ja-JP"/>
        </w:rPr>
        <w:t xml:space="preserve">The cost of supplying power to a two person household in Henley Beach South Australia has been simulated using actual charges applied to residential accounts in 1987, 1999, 2000 and 2014. For the purpose of the comparison it has been assumed the average power consumption by two people over 95 days of supply </w:t>
      </w:r>
      <w:r w:rsidR="00E571A8">
        <w:rPr>
          <w:sz w:val="22"/>
          <w:szCs w:val="22"/>
          <w:lang w:eastAsia="ja-JP"/>
        </w:rPr>
        <w:t>is</w:t>
      </w:r>
      <w:r w:rsidRPr="00911832">
        <w:rPr>
          <w:sz w:val="22"/>
          <w:szCs w:val="22"/>
          <w:lang w:eastAsia="ja-JP"/>
        </w:rPr>
        <w:t xml:space="preserve"> 1,457 KWh </w:t>
      </w:r>
      <w:r w:rsidR="00E571A8">
        <w:rPr>
          <w:sz w:val="22"/>
          <w:szCs w:val="22"/>
          <w:lang w:eastAsia="ja-JP"/>
        </w:rPr>
        <w:t>and includes a</w:t>
      </w:r>
      <w:r w:rsidRPr="00911832">
        <w:rPr>
          <w:sz w:val="22"/>
          <w:szCs w:val="22"/>
          <w:lang w:eastAsia="ja-JP"/>
        </w:rPr>
        <w:t xml:space="preserve"> controlled load consumption </w:t>
      </w:r>
      <w:r w:rsidR="00E571A8">
        <w:rPr>
          <w:sz w:val="22"/>
          <w:szCs w:val="22"/>
          <w:lang w:eastAsia="ja-JP"/>
        </w:rPr>
        <w:t>of</w:t>
      </w:r>
      <w:r w:rsidRPr="00911832">
        <w:rPr>
          <w:sz w:val="22"/>
          <w:szCs w:val="22"/>
          <w:lang w:eastAsia="ja-JP"/>
        </w:rPr>
        <w:t xml:space="preserve"> 600 KWh (off-peak power for hot water heating). The total costs have been calculated for the following invoice dates to provide a standardised basis of comparison between public ownership of </w:t>
      </w:r>
      <w:r w:rsidR="00011E0A">
        <w:rPr>
          <w:sz w:val="22"/>
          <w:szCs w:val="22"/>
          <w:lang w:eastAsia="ja-JP"/>
        </w:rPr>
        <w:t xml:space="preserve">the </w:t>
      </w:r>
      <w:r w:rsidR="006D3D79">
        <w:rPr>
          <w:sz w:val="22"/>
          <w:szCs w:val="22"/>
          <w:lang w:eastAsia="ja-JP"/>
        </w:rPr>
        <w:t>South Australian (SA) Electricity Industry (</w:t>
      </w:r>
      <w:r w:rsidR="00011E0A">
        <w:rPr>
          <w:sz w:val="22"/>
          <w:szCs w:val="22"/>
          <w:lang w:eastAsia="ja-JP"/>
        </w:rPr>
        <w:t>Electricity Trust of South Australia (</w:t>
      </w:r>
      <w:r w:rsidRPr="00911832">
        <w:rPr>
          <w:sz w:val="22"/>
          <w:szCs w:val="22"/>
          <w:lang w:eastAsia="ja-JP"/>
        </w:rPr>
        <w:t>ETSA</w:t>
      </w:r>
      <w:r w:rsidR="00011E0A">
        <w:rPr>
          <w:sz w:val="22"/>
          <w:szCs w:val="22"/>
          <w:lang w:eastAsia="ja-JP"/>
        </w:rPr>
        <w:t>)</w:t>
      </w:r>
      <w:r w:rsidR="006D3D79">
        <w:rPr>
          <w:sz w:val="22"/>
          <w:szCs w:val="22"/>
          <w:lang w:eastAsia="ja-JP"/>
        </w:rPr>
        <w:t>)</w:t>
      </w:r>
      <w:r w:rsidRPr="00911832">
        <w:rPr>
          <w:sz w:val="22"/>
          <w:szCs w:val="22"/>
          <w:lang w:eastAsia="ja-JP"/>
        </w:rPr>
        <w:t xml:space="preserve"> vs. private ownership</w:t>
      </w:r>
      <w:r w:rsidR="006D3D79">
        <w:rPr>
          <w:sz w:val="22"/>
          <w:szCs w:val="22"/>
          <w:lang w:eastAsia="ja-JP"/>
        </w:rPr>
        <w:t xml:space="preserve"> of the S.A. Electricity Industry</w:t>
      </w:r>
      <w:r w:rsidRPr="00911832">
        <w:rPr>
          <w:sz w:val="22"/>
          <w:szCs w:val="22"/>
          <w:lang w:eastAsia="ja-JP"/>
        </w:rPr>
        <w:t>.</w:t>
      </w:r>
    </w:p>
    <w:p w:rsidR="008F3283" w:rsidRPr="00C548C4" w:rsidRDefault="00011E0A" w:rsidP="006D3D79">
      <w:pPr>
        <w:pStyle w:val="DWAppHeading1"/>
        <w:pageBreakBefore w:val="0"/>
        <w:numPr>
          <w:ilvl w:val="1"/>
          <w:numId w:val="35"/>
        </w:numPr>
        <w:spacing w:before="120"/>
        <w:ind w:left="1418" w:hanging="1418"/>
        <w:outlineLvl w:val="1"/>
      </w:pPr>
      <w:bookmarkStart w:id="58" w:name="_Toc472599242"/>
      <w:r>
        <w:t xml:space="preserve">SA Electricity </w:t>
      </w:r>
      <w:r w:rsidR="005500D1">
        <w:t xml:space="preserve">Prices </w:t>
      </w:r>
      <w:r>
        <w:t>Under</w:t>
      </w:r>
      <w:r w:rsidR="008F3283" w:rsidRPr="00C548C4">
        <w:t xml:space="preserve"> Public Ownership</w:t>
      </w:r>
      <w:r w:rsidR="0048610C">
        <w:t xml:space="preserve"> 1985-1999</w:t>
      </w:r>
      <w:bookmarkEnd w:id="58"/>
    </w:p>
    <w:p w:rsidR="005B63C5" w:rsidRPr="00E16310" w:rsidRDefault="005B63C5" w:rsidP="005B63C5">
      <w:pPr>
        <w:pStyle w:val="DWTableCaption"/>
      </w:pPr>
      <w:bookmarkStart w:id="59" w:name="_Toc472599251"/>
      <w:r>
        <w:t xml:space="preserve">Table </w:t>
      </w:r>
      <w:r w:rsidR="00524F02">
        <w:fldChar w:fldCharType="begin"/>
      </w:r>
      <w:r w:rsidR="00524F02">
        <w:instrText xml:space="preserve"> SEQ Table \* Arabic \s 1 \* MERGEFORMAT </w:instrText>
      </w:r>
      <w:r w:rsidR="00524F02">
        <w:fldChar w:fldCharType="separate"/>
      </w:r>
      <w:r w:rsidR="00B6524A">
        <w:rPr>
          <w:noProof/>
        </w:rPr>
        <w:t>3</w:t>
      </w:r>
      <w:r w:rsidR="00524F02">
        <w:rPr>
          <w:noProof/>
        </w:rPr>
        <w:fldChar w:fldCharType="end"/>
      </w:r>
      <w:r>
        <w:t>.</w:t>
      </w:r>
      <w:r>
        <w:tab/>
      </w:r>
      <w:r w:rsidR="00911832" w:rsidRPr="00911832">
        <w:t>ETSA account issued 18th November 1985 (Pre-GST)</w:t>
      </w:r>
      <w:bookmarkEnd w:id="59"/>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2300"/>
        <w:gridCol w:w="1700"/>
        <w:gridCol w:w="1600"/>
        <w:gridCol w:w="1200"/>
        <w:gridCol w:w="5408"/>
      </w:tblGrid>
      <w:tr w:rsidR="008F3283" w:rsidRPr="008F3283" w:rsidTr="003406F0">
        <w:trPr>
          <w:cantSplit/>
          <w:trHeight w:val="567"/>
          <w:tblHeader/>
          <w:jc w:val="center"/>
        </w:trPr>
        <w:tc>
          <w:tcPr>
            <w:tcW w:w="1395"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Period (Days)</w:t>
            </w:r>
          </w:p>
        </w:tc>
        <w:tc>
          <w:tcPr>
            <w:tcW w:w="23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Type of Charge</w:t>
            </w:r>
          </w:p>
        </w:tc>
        <w:tc>
          <w:tcPr>
            <w:tcW w:w="17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Cost (cents/unit)</w:t>
            </w:r>
          </w:p>
        </w:tc>
        <w:tc>
          <w:tcPr>
            <w:tcW w:w="16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No Units (KWh)</w:t>
            </w:r>
          </w:p>
        </w:tc>
        <w:tc>
          <w:tcPr>
            <w:tcW w:w="12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Cost ($)</w:t>
            </w:r>
          </w:p>
        </w:tc>
        <w:tc>
          <w:tcPr>
            <w:tcW w:w="5408"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Remarks</w:t>
            </w:r>
          </w:p>
        </w:tc>
      </w:tr>
      <w:tr w:rsidR="008F3283" w:rsidRPr="008F3283" w:rsidTr="003406F0">
        <w:trPr>
          <w:cantSplit/>
          <w:trHeight w:val="567"/>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23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M Tariff</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11.52</w:t>
            </w:r>
          </w:p>
        </w:tc>
        <w:tc>
          <w:tcPr>
            <w:tcW w:w="16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293</w:t>
            </w:r>
          </w:p>
        </w:tc>
        <w:tc>
          <w:tcPr>
            <w:tcW w:w="12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33.75</w:t>
            </w:r>
          </w:p>
        </w:tc>
        <w:tc>
          <w:tcPr>
            <w:tcW w:w="5408" w:type="dxa"/>
            <w:vMerge w:val="restart"/>
            <w:vAlign w:val="center"/>
          </w:tcPr>
          <w:p w:rsidR="008F3283" w:rsidRPr="008F3283" w:rsidRDefault="008F3283" w:rsidP="00076529">
            <w:pPr>
              <w:rPr>
                <w:rFonts w:ascii="Arial" w:hAnsi="Arial"/>
                <w:sz w:val="18"/>
                <w:lang w:eastAsia="ja-JP"/>
              </w:rPr>
            </w:pPr>
            <w:r w:rsidRPr="008F3283">
              <w:rPr>
                <w:rFonts w:ascii="Arial" w:hAnsi="Arial"/>
                <w:sz w:val="18"/>
                <w:lang w:eastAsia="ja-JP"/>
              </w:rPr>
              <w:t>Average cost of domestic light &amp; power = 9.35 cents/</w:t>
            </w:r>
            <w:r w:rsidR="004E0231">
              <w:rPr>
                <w:rFonts w:ascii="Arial" w:hAnsi="Arial"/>
                <w:sz w:val="18"/>
                <w:lang w:eastAsia="ja-JP"/>
              </w:rPr>
              <w:t>KW</w:t>
            </w:r>
            <w:r w:rsidR="00FD1DBC">
              <w:rPr>
                <w:rFonts w:ascii="Arial" w:hAnsi="Arial"/>
                <w:sz w:val="18"/>
                <w:lang w:eastAsia="ja-JP"/>
              </w:rPr>
              <w:t>h</w:t>
            </w:r>
          </w:p>
        </w:tc>
      </w:tr>
      <w:tr w:rsidR="008F3283" w:rsidRPr="008F3283" w:rsidTr="003406F0">
        <w:trPr>
          <w:cantSplit/>
          <w:trHeight w:val="567"/>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23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M Tariff Step</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8.23</w:t>
            </w:r>
          </w:p>
        </w:tc>
        <w:tc>
          <w:tcPr>
            <w:tcW w:w="16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564</w:t>
            </w:r>
          </w:p>
        </w:tc>
        <w:tc>
          <w:tcPr>
            <w:tcW w:w="12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46.42</w:t>
            </w:r>
          </w:p>
        </w:tc>
        <w:tc>
          <w:tcPr>
            <w:tcW w:w="5408" w:type="dxa"/>
            <w:vMerge/>
            <w:vAlign w:val="center"/>
          </w:tcPr>
          <w:p w:rsidR="008F3283" w:rsidRPr="008F3283" w:rsidRDefault="008F3283" w:rsidP="008F3283">
            <w:pPr>
              <w:rPr>
                <w:rFonts w:ascii="Arial" w:hAnsi="Arial"/>
                <w:sz w:val="18"/>
                <w:lang w:eastAsia="ja-JP"/>
              </w:rPr>
            </w:pPr>
          </w:p>
        </w:tc>
      </w:tr>
      <w:tr w:rsidR="008F3283" w:rsidRPr="008F3283" w:rsidTr="003406F0">
        <w:trPr>
          <w:cantSplit/>
          <w:trHeight w:val="567"/>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23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 xml:space="preserve">Off-peak Power </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4.43</w:t>
            </w:r>
          </w:p>
        </w:tc>
        <w:tc>
          <w:tcPr>
            <w:tcW w:w="16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600</w:t>
            </w:r>
          </w:p>
        </w:tc>
        <w:tc>
          <w:tcPr>
            <w:tcW w:w="12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26.58</w:t>
            </w:r>
          </w:p>
        </w:tc>
        <w:tc>
          <w:tcPr>
            <w:tcW w:w="5408" w:type="dxa"/>
            <w:vAlign w:val="center"/>
          </w:tcPr>
          <w:p w:rsidR="008F3283" w:rsidRPr="008F3283" w:rsidRDefault="008F3283" w:rsidP="008F3283">
            <w:pPr>
              <w:rPr>
                <w:rFonts w:ascii="Arial" w:hAnsi="Arial"/>
                <w:sz w:val="18"/>
                <w:lang w:eastAsia="ja-JP"/>
              </w:rPr>
            </w:pPr>
          </w:p>
        </w:tc>
      </w:tr>
      <w:tr w:rsidR="008F3283" w:rsidRPr="008F3283" w:rsidTr="003406F0">
        <w:trPr>
          <w:cantSplit/>
          <w:trHeight w:val="567"/>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2300" w:type="dxa"/>
            <w:vAlign w:val="center"/>
          </w:tcPr>
          <w:p w:rsidR="008F3283" w:rsidRPr="008F3283" w:rsidRDefault="009F1A84" w:rsidP="008F3283">
            <w:pPr>
              <w:jc w:val="center"/>
              <w:rPr>
                <w:rFonts w:ascii="Arial" w:hAnsi="Arial"/>
                <w:sz w:val="18"/>
                <w:lang w:eastAsia="ja-JP"/>
              </w:rPr>
            </w:pPr>
            <w:r w:rsidRPr="009F1A84">
              <w:rPr>
                <w:rFonts w:ascii="Arial" w:hAnsi="Arial"/>
                <w:sz w:val="18"/>
                <w:lang w:eastAsia="ja-JP"/>
              </w:rPr>
              <w:t>Supply Charge (per day)</w:t>
            </w:r>
          </w:p>
        </w:tc>
        <w:tc>
          <w:tcPr>
            <w:tcW w:w="1700" w:type="dxa"/>
            <w:vAlign w:val="center"/>
          </w:tcPr>
          <w:p w:rsidR="008F3283" w:rsidRPr="008F3283" w:rsidRDefault="008F3283" w:rsidP="008F3283">
            <w:pPr>
              <w:jc w:val="center"/>
              <w:rPr>
                <w:rFonts w:ascii="Arial" w:hAnsi="Arial"/>
                <w:sz w:val="18"/>
                <w:lang w:eastAsia="ja-JP"/>
              </w:rPr>
            </w:pPr>
          </w:p>
        </w:tc>
        <w:tc>
          <w:tcPr>
            <w:tcW w:w="1600" w:type="dxa"/>
            <w:vAlign w:val="center"/>
          </w:tcPr>
          <w:p w:rsidR="008F3283" w:rsidRPr="008F3283" w:rsidRDefault="008F3283" w:rsidP="008F3283">
            <w:pPr>
              <w:jc w:val="center"/>
              <w:rPr>
                <w:rFonts w:ascii="Arial" w:hAnsi="Arial"/>
                <w:sz w:val="18"/>
                <w:lang w:eastAsia="ja-JP"/>
              </w:rPr>
            </w:pPr>
          </w:p>
        </w:tc>
        <w:tc>
          <w:tcPr>
            <w:tcW w:w="12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0.00</w:t>
            </w:r>
          </w:p>
        </w:tc>
        <w:tc>
          <w:tcPr>
            <w:tcW w:w="5408" w:type="dxa"/>
            <w:vAlign w:val="center"/>
          </w:tcPr>
          <w:p w:rsidR="008F3283" w:rsidRPr="008F3283" w:rsidRDefault="008F3283" w:rsidP="008F3283">
            <w:pPr>
              <w:rPr>
                <w:rFonts w:ascii="Arial" w:hAnsi="Arial"/>
                <w:sz w:val="18"/>
                <w:lang w:eastAsia="ja-JP"/>
              </w:rPr>
            </w:pPr>
            <w:r w:rsidRPr="008F3283">
              <w:rPr>
                <w:rFonts w:ascii="Arial" w:hAnsi="Arial"/>
                <w:sz w:val="18"/>
                <w:lang w:eastAsia="ja-JP"/>
              </w:rPr>
              <w:t>No supply charge applied.</w:t>
            </w:r>
          </w:p>
        </w:tc>
      </w:tr>
      <w:tr w:rsidR="008F3283" w:rsidRPr="008F3283" w:rsidTr="003406F0">
        <w:trPr>
          <w:cantSplit/>
          <w:trHeight w:val="567"/>
          <w:jc w:val="center"/>
        </w:trPr>
        <w:tc>
          <w:tcPr>
            <w:tcW w:w="1395"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95</w:t>
            </w:r>
          </w:p>
        </w:tc>
        <w:tc>
          <w:tcPr>
            <w:tcW w:w="23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Total</w:t>
            </w:r>
          </w:p>
        </w:tc>
        <w:tc>
          <w:tcPr>
            <w:tcW w:w="1700" w:type="dxa"/>
            <w:vAlign w:val="center"/>
          </w:tcPr>
          <w:p w:rsidR="008F3283" w:rsidRPr="008F3283" w:rsidRDefault="008F3283" w:rsidP="008F3283">
            <w:pPr>
              <w:jc w:val="center"/>
              <w:rPr>
                <w:rFonts w:ascii="Arial" w:hAnsi="Arial"/>
                <w:b/>
                <w:sz w:val="18"/>
                <w:lang w:eastAsia="ja-JP"/>
              </w:rPr>
            </w:pPr>
          </w:p>
        </w:tc>
        <w:tc>
          <w:tcPr>
            <w:tcW w:w="16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1,457</w:t>
            </w:r>
          </w:p>
        </w:tc>
        <w:tc>
          <w:tcPr>
            <w:tcW w:w="1200" w:type="dxa"/>
            <w:vAlign w:val="center"/>
          </w:tcPr>
          <w:p w:rsidR="008F3283" w:rsidRPr="008F3283" w:rsidRDefault="003406F0" w:rsidP="008F3283">
            <w:pPr>
              <w:jc w:val="center"/>
              <w:rPr>
                <w:rFonts w:ascii="Arial" w:hAnsi="Arial"/>
                <w:b/>
                <w:sz w:val="18"/>
                <w:lang w:eastAsia="ja-JP"/>
              </w:rPr>
            </w:pPr>
            <w:r>
              <w:rPr>
                <w:rFonts w:ascii="Arial" w:hAnsi="Arial"/>
                <w:b/>
                <w:sz w:val="18"/>
                <w:lang w:eastAsia="ja-JP"/>
              </w:rPr>
              <w:t>$</w:t>
            </w:r>
            <w:r w:rsidR="008F3283" w:rsidRPr="008F3283">
              <w:rPr>
                <w:rFonts w:ascii="Arial" w:hAnsi="Arial"/>
                <w:b/>
                <w:sz w:val="18"/>
                <w:lang w:eastAsia="ja-JP"/>
              </w:rPr>
              <w:t>106.75</w:t>
            </w:r>
          </w:p>
        </w:tc>
        <w:tc>
          <w:tcPr>
            <w:tcW w:w="5408" w:type="dxa"/>
            <w:vAlign w:val="center"/>
          </w:tcPr>
          <w:p w:rsidR="008F3283" w:rsidRPr="008F3283" w:rsidRDefault="004E0231" w:rsidP="00076529">
            <w:pPr>
              <w:rPr>
                <w:rFonts w:ascii="Arial" w:hAnsi="Arial"/>
                <w:sz w:val="18"/>
                <w:lang w:eastAsia="ja-JP"/>
              </w:rPr>
            </w:pPr>
            <w:r w:rsidRPr="00566084">
              <w:rPr>
                <w:rFonts w:ascii="Arial" w:hAnsi="Arial"/>
                <w:b/>
                <w:sz w:val="18"/>
                <w:lang w:eastAsia="ja-JP"/>
              </w:rPr>
              <w:t xml:space="preserve">Overall average cost of power = </w:t>
            </w:r>
            <w:r w:rsidR="00566084" w:rsidRPr="00566084">
              <w:rPr>
                <w:rFonts w:ascii="Arial" w:hAnsi="Arial"/>
                <w:b/>
                <w:sz w:val="18"/>
                <w:lang w:eastAsia="ja-JP"/>
              </w:rPr>
              <w:t>7.33</w:t>
            </w:r>
            <w:r w:rsidR="00FD1DBC" w:rsidRPr="00566084">
              <w:rPr>
                <w:rFonts w:ascii="Arial" w:hAnsi="Arial"/>
                <w:b/>
                <w:sz w:val="18"/>
                <w:lang w:eastAsia="ja-JP"/>
              </w:rPr>
              <w:t xml:space="preserve"> cents per KWh</w:t>
            </w:r>
            <w:r w:rsidR="00FD1DBC">
              <w:rPr>
                <w:rFonts w:ascii="Arial" w:hAnsi="Arial"/>
                <w:sz w:val="18"/>
                <w:lang w:eastAsia="ja-JP"/>
              </w:rPr>
              <w:t>.</w:t>
            </w:r>
          </w:p>
        </w:tc>
      </w:tr>
    </w:tbl>
    <w:p w:rsidR="008F3283" w:rsidRPr="008F3283" w:rsidRDefault="008F3283" w:rsidP="008F3283">
      <w:pPr>
        <w:tabs>
          <w:tab w:val="left" w:pos="1531"/>
          <w:tab w:val="left" w:pos="3153"/>
          <w:tab w:val="left" w:pos="5563"/>
          <w:tab w:val="left" w:pos="7406"/>
          <w:tab w:val="left" w:pos="8965"/>
          <w:tab w:val="left" w:pos="10241"/>
          <w:tab w:val="left" w:pos="13575"/>
        </w:tabs>
        <w:ind w:left="113"/>
        <w:rPr>
          <w:rFonts w:ascii="Arial" w:hAnsi="Arial"/>
          <w:sz w:val="18"/>
          <w:lang w:eastAsia="ja-JP"/>
        </w:rPr>
      </w:pPr>
    </w:p>
    <w:p w:rsidR="008F3283" w:rsidRPr="002030F4" w:rsidRDefault="008F3283" w:rsidP="008F3283">
      <w:pPr>
        <w:tabs>
          <w:tab w:val="left" w:pos="1531"/>
          <w:tab w:val="left" w:pos="3153"/>
          <w:tab w:val="left" w:pos="5563"/>
          <w:tab w:val="left" w:pos="7406"/>
          <w:tab w:val="left" w:pos="8965"/>
          <w:tab w:val="left" w:pos="10241"/>
          <w:tab w:val="left" w:pos="13575"/>
        </w:tabs>
        <w:ind w:left="113"/>
        <w:rPr>
          <w:sz w:val="22"/>
          <w:szCs w:val="22"/>
          <w:lang w:eastAsia="ja-JP"/>
        </w:rPr>
      </w:pPr>
      <w:r w:rsidRPr="002030F4">
        <w:rPr>
          <w:sz w:val="22"/>
          <w:szCs w:val="22"/>
          <w:lang w:eastAsia="ja-JP"/>
        </w:rPr>
        <w:t xml:space="preserve">Supply charge introduced with account dated 25th August 1988 = $10.08 for 92 days of supply (10.96 cents/day). J Tariff (Off-peak power) was set at 5.18 cents/unit and M Tariff (Domestic light power) was set at 9.93 cents/unit. </w:t>
      </w:r>
    </w:p>
    <w:p w:rsidR="008F3283" w:rsidRPr="002030F4" w:rsidRDefault="008F3283" w:rsidP="008F3283">
      <w:pPr>
        <w:tabs>
          <w:tab w:val="left" w:pos="1531"/>
          <w:tab w:val="left" w:pos="3153"/>
          <w:tab w:val="left" w:pos="5563"/>
          <w:tab w:val="left" w:pos="7406"/>
          <w:tab w:val="left" w:pos="8965"/>
          <w:tab w:val="left" w:pos="10241"/>
          <w:tab w:val="left" w:pos="13575"/>
        </w:tabs>
        <w:ind w:left="113"/>
        <w:rPr>
          <w:sz w:val="22"/>
          <w:szCs w:val="22"/>
          <w:lang w:eastAsia="ja-JP"/>
        </w:rPr>
      </w:pPr>
    </w:p>
    <w:p w:rsidR="008F3283" w:rsidRPr="002030F4" w:rsidRDefault="008F3283" w:rsidP="008F3283">
      <w:pPr>
        <w:tabs>
          <w:tab w:val="left" w:pos="1531"/>
          <w:tab w:val="left" w:pos="3153"/>
          <w:tab w:val="left" w:pos="5563"/>
          <w:tab w:val="left" w:pos="7406"/>
          <w:tab w:val="left" w:pos="8965"/>
          <w:tab w:val="left" w:pos="10241"/>
          <w:tab w:val="left" w:pos="13575"/>
        </w:tabs>
        <w:ind w:left="113"/>
        <w:rPr>
          <w:sz w:val="22"/>
          <w:szCs w:val="22"/>
          <w:lang w:eastAsia="ja-JP"/>
        </w:rPr>
      </w:pPr>
      <w:r w:rsidRPr="002030F4">
        <w:rPr>
          <w:sz w:val="22"/>
          <w:szCs w:val="22"/>
          <w:lang w:eastAsia="ja-JP"/>
        </w:rPr>
        <w:t>ETSA was corporatised on 1st July 1995 by the Brown Liberal government and the first account from ETSA Corporation was received 19th September 1995. ETSA Corporation was disaggregated to form three separate entities by the Olsen Liberal Government in 1998. ETSA Utilities commenced business on 12th October 1998. National electricity market commenced 13th December 1998.</w:t>
      </w:r>
    </w:p>
    <w:p w:rsidR="002030F4" w:rsidRDefault="002030F4">
      <w:pPr>
        <w:rPr>
          <w:rFonts w:ascii="Arial" w:hAnsi="Arial"/>
          <w:b/>
          <w:lang w:eastAsia="ja-JP"/>
        </w:rPr>
      </w:pPr>
      <w:r>
        <w:rPr>
          <w:rFonts w:ascii="Arial" w:hAnsi="Arial"/>
          <w:b/>
          <w:lang w:eastAsia="ja-JP"/>
        </w:rPr>
        <w:br w:type="page"/>
      </w:r>
    </w:p>
    <w:p w:rsidR="00C152FD" w:rsidRPr="00E16310" w:rsidRDefault="00C152FD" w:rsidP="00C152FD">
      <w:pPr>
        <w:pStyle w:val="DWTableCaption"/>
      </w:pPr>
      <w:bookmarkStart w:id="60" w:name="_Toc472599252"/>
      <w:r>
        <w:t xml:space="preserve">Table </w:t>
      </w:r>
      <w:r w:rsidR="00524F02">
        <w:fldChar w:fldCharType="begin"/>
      </w:r>
      <w:r w:rsidR="00524F02">
        <w:instrText xml:space="preserve"> SEQ Table \* Arabic \s 1 \* MERGEFORMAT </w:instrText>
      </w:r>
      <w:r w:rsidR="00524F02">
        <w:fldChar w:fldCharType="separate"/>
      </w:r>
      <w:r w:rsidR="00B6524A">
        <w:rPr>
          <w:noProof/>
        </w:rPr>
        <w:t>4</w:t>
      </w:r>
      <w:r w:rsidR="00524F02">
        <w:rPr>
          <w:noProof/>
        </w:rPr>
        <w:fldChar w:fldCharType="end"/>
      </w:r>
      <w:r>
        <w:t>.</w:t>
      </w:r>
      <w:r>
        <w:tab/>
      </w:r>
      <w:r w:rsidRPr="00C152FD">
        <w:t>ETSA Power’s account issued 29th September 1999 (Pre-GST)</w:t>
      </w:r>
      <w:bookmarkEnd w:id="60"/>
    </w:p>
    <w:tbl>
      <w:tblPr>
        <w:tblW w:w="13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2300"/>
        <w:gridCol w:w="1700"/>
        <w:gridCol w:w="1600"/>
        <w:gridCol w:w="1200"/>
        <w:gridCol w:w="5400"/>
      </w:tblGrid>
      <w:tr w:rsidR="008F3283" w:rsidRPr="008F3283" w:rsidTr="00F879E6">
        <w:trPr>
          <w:cantSplit/>
          <w:trHeight w:val="794"/>
          <w:jc w:val="center"/>
        </w:trPr>
        <w:tc>
          <w:tcPr>
            <w:tcW w:w="1395"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Period (Days)</w:t>
            </w:r>
          </w:p>
        </w:tc>
        <w:tc>
          <w:tcPr>
            <w:tcW w:w="23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Type of Charge</w:t>
            </w:r>
          </w:p>
        </w:tc>
        <w:tc>
          <w:tcPr>
            <w:tcW w:w="17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Cost (cents/unit)</w:t>
            </w:r>
          </w:p>
        </w:tc>
        <w:tc>
          <w:tcPr>
            <w:tcW w:w="16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No Units (KWh)</w:t>
            </w:r>
          </w:p>
        </w:tc>
        <w:tc>
          <w:tcPr>
            <w:tcW w:w="12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Cost ($)</w:t>
            </w:r>
          </w:p>
        </w:tc>
        <w:tc>
          <w:tcPr>
            <w:tcW w:w="54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Remarks</w:t>
            </w:r>
          </w:p>
        </w:tc>
      </w:tr>
      <w:tr w:rsidR="008F3283" w:rsidRPr="008F3283" w:rsidTr="00F879E6">
        <w:trPr>
          <w:cantSplit/>
          <w:trHeight w:val="794"/>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23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Domestic Light Power</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12.69</w:t>
            </w:r>
          </w:p>
        </w:tc>
        <w:tc>
          <w:tcPr>
            <w:tcW w:w="16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857</w:t>
            </w:r>
          </w:p>
        </w:tc>
        <w:tc>
          <w:tcPr>
            <w:tcW w:w="12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108.75</w:t>
            </w:r>
          </w:p>
        </w:tc>
        <w:tc>
          <w:tcPr>
            <w:tcW w:w="5400" w:type="dxa"/>
            <w:vAlign w:val="center"/>
          </w:tcPr>
          <w:p w:rsidR="00176303" w:rsidRDefault="00176303" w:rsidP="00176303">
            <w:pPr>
              <w:rPr>
                <w:rFonts w:ascii="Arial" w:hAnsi="Arial"/>
                <w:sz w:val="18"/>
                <w:lang w:eastAsia="ja-JP"/>
              </w:rPr>
            </w:pPr>
            <w:r w:rsidRPr="00176303">
              <w:rPr>
                <w:rFonts w:ascii="Arial" w:hAnsi="Arial"/>
                <w:sz w:val="18"/>
                <w:lang w:eastAsia="ja-JP"/>
              </w:rPr>
              <w:t xml:space="preserve">Average cost of domestic light &amp; power = </w:t>
            </w:r>
            <w:r>
              <w:rPr>
                <w:rFonts w:ascii="Arial" w:hAnsi="Arial"/>
                <w:sz w:val="18"/>
                <w:lang w:eastAsia="ja-JP"/>
              </w:rPr>
              <w:t xml:space="preserve">12.69 </w:t>
            </w:r>
            <w:r w:rsidRPr="00176303">
              <w:rPr>
                <w:rFonts w:ascii="Arial" w:hAnsi="Arial"/>
                <w:sz w:val="18"/>
                <w:lang w:eastAsia="ja-JP"/>
              </w:rPr>
              <w:t>cents/KWh</w:t>
            </w:r>
          </w:p>
          <w:p w:rsidR="00F879E6" w:rsidRDefault="00F879E6" w:rsidP="00176303">
            <w:pPr>
              <w:rPr>
                <w:rFonts w:ascii="Arial" w:hAnsi="Arial"/>
                <w:sz w:val="18"/>
                <w:lang w:eastAsia="ja-JP"/>
              </w:rPr>
            </w:pPr>
          </w:p>
          <w:p w:rsidR="008F3283" w:rsidRPr="0094429B" w:rsidRDefault="008F3283" w:rsidP="00176303">
            <w:pPr>
              <w:rPr>
                <w:rFonts w:ascii="Arial" w:hAnsi="Arial"/>
                <w:sz w:val="18"/>
                <w:lang w:eastAsia="ja-JP"/>
              </w:rPr>
            </w:pPr>
            <w:r w:rsidRPr="0094429B">
              <w:rPr>
                <w:rFonts w:ascii="Arial" w:hAnsi="Arial"/>
                <w:sz w:val="18"/>
                <w:lang w:eastAsia="ja-JP"/>
              </w:rPr>
              <w:t>Average cost is 35.72% higher than 18</w:t>
            </w:r>
            <w:r w:rsidRPr="0094429B">
              <w:rPr>
                <w:rFonts w:ascii="Arial" w:hAnsi="Arial"/>
                <w:sz w:val="18"/>
                <w:vertAlign w:val="superscript"/>
                <w:lang w:eastAsia="ja-JP"/>
              </w:rPr>
              <w:t>th</w:t>
            </w:r>
            <w:r w:rsidRPr="0094429B">
              <w:rPr>
                <w:rFonts w:ascii="Arial" w:hAnsi="Arial"/>
                <w:sz w:val="18"/>
                <w:lang w:eastAsia="ja-JP"/>
              </w:rPr>
              <w:t xml:space="preserve"> November 1985</w:t>
            </w:r>
          </w:p>
        </w:tc>
      </w:tr>
      <w:tr w:rsidR="008F3283" w:rsidRPr="008F3283" w:rsidTr="00F879E6">
        <w:trPr>
          <w:cantSplit/>
          <w:trHeight w:val="794"/>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23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Off-peak Power</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4.79</w:t>
            </w:r>
          </w:p>
        </w:tc>
        <w:tc>
          <w:tcPr>
            <w:tcW w:w="16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600</w:t>
            </w:r>
          </w:p>
        </w:tc>
        <w:tc>
          <w:tcPr>
            <w:tcW w:w="12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28.74</w:t>
            </w:r>
          </w:p>
        </w:tc>
        <w:tc>
          <w:tcPr>
            <w:tcW w:w="5400" w:type="dxa"/>
            <w:vAlign w:val="center"/>
          </w:tcPr>
          <w:p w:rsidR="00CF4ABE" w:rsidRDefault="00CF4ABE" w:rsidP="00CF4ABE">
            <w:pPr>
              <w:rPr>
                <w:rFonts w:ascii="Arial" w:hAnsi="Arial"/>
                <w:sz w:val="18"/>
                <w:lang w:eastAsia="ja-JP"/>
              </w:rPr>
            </w:pPr>
            <w:r w:rsidRPr="00CF4ABE">
              <w:rPr>
                <w:rFonts w:ascii="Arial" w:hAnsi="Arial"/>
                <w:sz w:val="18"/>
                <w:lang w:eastAsia="ja-JP"/>
              </w:rPr>
              <w:t xml:space="preserve">Average cost of </w:t>
            </w:r>
            <w:r w:rsidR="001C6EC7">
              <w:rPr>
                <w:rFonts w:ascii="Arial" w:hAnsi="Arial"/>
                <w:sz w:val="18"/>
                <w:lang w:eastAsia="ja-JP"/>
              </w:rPr>
              <w:t>off-peak</w:t>
            </w:r>
            <w:r w:rsidRPr="00CF4ABE">
              <w:rPr>
                <w:rFonts w:ascii="Arial" w:hAnsi="Arial"/>
                <w:sz w:val="18"/>
                <w:lang w:eastAsia="ja-JP"/>
              </w:rPr>
              <w:t xml:space="preserve"> power = </w:t>
            </w:r>
            <w:r w:rsidR="001C6EC7">
              <w:rPr>
                <w:rFonts w:ascii="Arial" w:hAnsi="Arial"/>
                <w:sz w:val="18"/>
                <w:lang w:eastAsia="ja-JP"/>
              </w:rPr>
              <w:t>4.79</w:t>
            </w:r>
            <w:r w:rsidRPr="00CF4ABE">
              <w:rPr>
                <w:rFonts w:ascii="Arial" w:hAnsi="Arial"/>
                <w:sz w:val="18"/>
                <w:lang w:eastAsia="ja-JP"/>
              </w:rPr>
              <w:t xml:space="preserve"> cents/KWh</w:t>
            </w:r>
          </w:p>
          <w:p w:rsidR="00F879E6" w:rsidRDefault="00F879E6" w:rsidP="00CF4ABE">
            <w:pPr>
              <w:rPr>
                <w:rFonts w:ascii="Arial" w:hAnsi="Arial"/>
                <w:sz w:val="18"/>
                <w:lang w:eastAsia="ja-JP"/>
              </w:rPr>
            </w:pPr>
          </w:p>
          <w:p w:rsidR="008F3283" w:rsidRPr="0094429B" w:rsidRDefault="008F3283" w:rsidP="00CF4ABE">
            <w:pPr>
              <w:rPr>
                <w:rFonts w:ascii="Arial" w:hAnsi="Arial"/>
                <w:sz w:val="18"/>
                <w:lang w:eastAsia="ja-JP"/>
              </w:rPr>
            </w:pPr>
            <w:r w:rsidRPr="0094429B">
              <w:rPr>
                <w:rFonts w:ascii="Arial" w:hAnsi="Arial"/>
                <w:sz w:val="18"/>
                <w:lang w:eastAsia="ja-JP"/>
              </w:rPr>
              <w:t>Average cost is 8.13% higher than 18</w:t>
            </w:r>
            <w:r w:rsidRPr="0094429B">
              <w:rPr>
                <w:rFonts w:ascii="Arial" w:hAnsi="Arial"/>
                <w:sz w:val="18"/>
                <w:vertAlign w:val="superscript"/>
                <w:lang w:eastAsia="ja-JP"/>
              </w:rPr>
              <w:t>th</w:t>
            </w:r>
            <w:r w:rsidRPr="0094429B">
              <w:rPr>
                <w:rFonts w:ascii="Arial" w:hAnsi="Arial"/>
                <w:sz w:val="18"/>
                <w:lang w:eastAsia="ja-JP"/>
              </w:rPr>
              <w:t xml:space="preserve"> November 1985</w:t>
            </w:r>
          </w:p>
        </w:tc>
      </w:tr>
      <w:tr w:rsidR="008F3283" w:rsidRPr="008F3283" w:rsidTr="00F879E6">
        <w:trPr>
          <w:cantSplit/>
          <w:trHeight w:val="794"/>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2300" w:type="dxa"/>
            <w:vAlign w:val="center"/>
          </w:tcPr>
          <w:p w:rsidR="008F3283" w:rsidRPr="008F3283" w:rsidRDefault="009F1A84" w:rsidP="008F3283">
            <w:pPr>
              <w:jc w:val="center"/>
              <w:rPr>
                <w:rFonts w:ascii="Arial" w:hAnsi="Arial"/>
                <w:sz w:val="18"/>
                <w:lang w:eastAsia="ja-JP"/>
              </w:rPr>
            </w:pPr>
            <w:r w:rsidRPr="009F1A84">
              <w:rPr>
                <w:rFonts w:ascii="Arial" w:hAnsi="Arial"/>
                <w:sz w:val="18"/>
                <w:lang w:eastAsia="ja-JP"/>
              </w:rPr>
              <w:t>Supply Charge (per day)</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25.32</w:t>
            </w:r>
          </w:p>
        </w:tc>
        <w:tc>
          <w:tcPr>
            <w:tcW w:w="1600" w:type="dxa"/>
            <w:vAlign w:val="center"/>
          </w:tcPr>
          <w:p w:rsidR="008F3283" w:rsidRPr="008F3283" w:rsidRDefault="008F3283" w:rsidP="008F3283">
            <w:pPr>
              <w:jc w:val="center"/>
              <w:rPr>
                <w:rFonts w:ascii="Arial" w:hAnsi="Arial"/>
                <w:sz w:val="18"/>
                <w:lang w:eastAsia="ja-JP"/>
              </w:rPr>
            </w:pPr>
          </w:p>
        </w:tc>
        <w:tc>
          <w:tcPr>
            <w:tcW w:w="1200" w:type="dxa"/>
            <w:vAlign w:val="center"/>
          </w:tcPr>
          <w:p w:rsidR="008F3283" w:rsidRPr="008F3283" w:rsidRDefault="00A320A9" w:rsidP="008F3283">
            <w:pPr>
              <w:jc w:val="center"/>
              <w:rPr>
                <w:rFonts w:ascii="Arial" w:hAnsi="Arial"/>
                <w:sz w:val="18"/>
                <w:lang w:eastAsia="ja-JP"/>
              </w:rPr>
            </w:pPr>
            <w:r w:rsidRPr="00A320A9">
              <w:rPr>
                <w:rFonts w:ascii="Arial" w:hAnsi="Arial"/>
                <w:sz w:val="18"/>
                <w:lang w:eastAsia="ja-JP"/>
              </w:rPr>
              <w:t>24.05</w:t>
            </w:r>
          </w:p>
        </w:tc>
        <w:tc>
          <w:tcPr>
            <w:tcW w:w="5400" w:type="dxa"/>
            <w:vAlign w:val="center"/>
          </w:tcPr>
          <w:p w:rsidR="008F3283" w:rsidRPr="0094429B" w:rsidRDefault="008F3283" w:rsidP="00CC3613">
            <w:pPr>
              <w:rPr>
                <w:rFonts w:ascii="Arial" w:hAnsi="Arial"/>
                <w:sz w:val="18"/>
                <w:lang w:eastAsia="ja-JP"/>
              </w:rPr>
            </w:pPr>
            <w:r w:rsidRPr="0094429B">
              <w:rPr>
                <w:rFonts w:ascii="Arial" w:hAnsi="Arial"/>
                <w:sz w:val="18"/>
                <w:lang w:eastAsia="ja-JP"/>
              </w:rPr>
              <w:t>Average cost in cents per unit is 131.02% higher than 25</w:t>
            </w:r>
            <w:r w:rsidRPr="0094429B">
              <w:rPr>
                <w:rFonts w:ascii="Arial" w:hAnsi="Arial"/>
                <w:sz w:val="18"/>
                <w:vertAlign w:val="superscript"/>
                <w:lang w:eastAsia="ja-JP"/>
              </w:rPr>
              <w:t>th</w:t>
            </w:r>
            <w:r w:rsidRPr="0094429B">
              <w:rPr>
                <w:rFonts w:ascii="Arial" w:hAnsi="Arial"/>
                <w:sz w:val="18"/>
                <w:lang w:eastAsia="ja-JP"/>
              </w:rPr>
              <w:t xml:space="preserve"> August 1988 when supply charge introduced.</w:t>
            </w:r>
          </w:p>
        </w:tc>
      </w:tr>
      <w:tr w:rsidR="008F3283" w:rsidRPr="008F3283" w:rsidTr="00F879E6">
        <w:trPr>
          <w:cantSplit/>
          <w:trHeight w:val="794"/>
          <w:jc w:val="center"/>
        </w:trPr>
        <w:tc>
          <w:tcPr>
            <w:tcW w:w="1395"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95</w:t>
            </w:r>
          </w:p>
        </w:tc>
        <w:tc>
          <w:tcPr>
            <w:tcW w:w="23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Total</w:t>
            </w:r>
          </w:p>
        </w:tc>
        <w:tc>
          <w:tcPr>
            <w:tcW w:w="1700" w:type="dxa"/>
            <w:vAlign w:val="center"/>
          </w:tcPr>
          <w:p w:rsidR="008F3283" w:rsidRPr="008F3283" w:rsidRDefault="008F3283" w:rsidP="008F3283">
            <w:pPr>
              <w:jc w:val="center"/>
              <w:rPr>
                <w:rFonts w:ascii="Arial" w:hAnsi="Arial"/>
                <w:b/>
                <w:sz w:val="18"/>
                <w:lang w:eastAsia="ja-JP"/>
              </w:rPr>
            </w:pPr>
          </w:p>
        </w:tc>
        <w:tc>
          <w:tcPr>
            <w:tcW w:w="16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1,457</w:t>
            </w:r>
          </w:p>
        </w:tc>
        <w:tc>
          <w:tcPr>
            <w:tcW w:w="1200" w:type="dxa"/>
            <w:vAlign w:val="center"/>
          </w:tcPr>
          <w:p w:rsidR="008F3283" w:rsidRPr="008F3283" w:rsidRDefault="003406F0" w:rsidP="008F3283">
            <w:pPr>
              <w:jc w:val="center"/>
              <w:rPr>
                <w:rFonts w:ascii="Arial" w:hAnsi="Arial"/>
                <w:b/>
                <w:sz w:val="18"/>
                <w:lang w:eastAsia="ja-JP"/>
              </w:rPr>
            </w:pPr>
            <w:r>
              <w:rPr>
                <w:rFonts w:ascii="Arial" w:hAnsi="Arial"/>
                <w:b/>
                <w:sz w:val="18"/>
                <w:lang w:eastAsia="ja-JP"/>
              </w:rPr>
              <w:t>$</w:t>
            </w:r>
            <w:r w:rsidR="00C62956" w:rsidRPr="00C62956">
              <w:rPr>
                <w:rFonts w:ascii="Arial" w:hAnsi="Arial"/>
                <w:b/>
                <w:sz w:val="18"/>
                <w:lang w:eastAsia="ja-JP"/>
              </w:rPr>
              <w:t>161.54</w:t>
            </w:r>
          </w:p>
        </w:tc>
        <w:tc>
          <w:tcPr>
            <w:tcW w:w="5400" w:type="dxa"/>
            <w:vAlign w:val="center"/>
          </w:tcPr>
          <w:p w:rsidR="008F3283" w:rsidRDefault="008F3283" w:rsidP="008F3283">
            <w:pPr>
              <w:rPr>
                <w:rFonts w:ascii="Arial" w:hAnsi="Arial"/>
                <w:sz w:val="18"/>
                <w:lang w:eastAsia="ja-JP"/>
              </w:rPr>
            </w:pPr>
            <w:r w:rsidRPr="008F3283">
              <w:rPr>
                <w:rFonts w:ascii="Arial" w:hAnsi="Arial"/>
                <w:sz w:val="18"/>
                <w:lang w:eastAsia="ja-JP"/>
              </w:rPr>
              <w:t>5</w:t>
            </w:r>
            <w:r w:rsidR="00C613BF">
              <w:rPr>
                <w:rFonts w:ascii="Arial" w:hAnsi="Arial"/>
                <w:sz w:val="18"/>
                <w:lang w:eastAsia="ja-JP"/>
              </w:rPr>
              <w:t>1</w:t>
            </w:r>
            <w:r w:rsidRPr="008F3283">
              <w:rPr>
                <w:rFonts w:ascii="Arial" w:hAnsi="Arial"/>
                <w:sz w:val="18"/>
                <w:lang w:eastAsia="ja-JP"/>
              </w:rPr>
              <w:t>.</w:t>
            </w:r>
            <w:r w:rsidR="00C613BF">
              <w:rPr>
                <w:rFonts w:ascii="Arial" w:hAnsi="Arial"/>
                <w:sz w:val="18"/>
                <w:lang w:eastAsia="ja-JP"/>
              </w:rPr>
              <w:t>3</w:t>
            </w:r>
            <w:r w:rsidRPr="008F3283">
              <w:rPr>
                <w:rFonts w:ascii="Arial" w:hAnsi="Arial"/>
                <w:sz w:val="18"/>
                <w:lang w:eastAsia="ja-JP"/>
              </w:rPr>
              <w:t>% increase compared to 18</w:t>
            </w:r>
            <w:r w:rsidRPr="008F3283">
              <w:rPr>
                <w:rFonts w:ascii="Arial" w:hAnsi="Arial"/>
                <w:sz w:val="18"/>
                <w:vertAlign w:val="superscript"/>
                <w:lang w:eastAsia="ja-JP"/>
              </w:rPr>
              <w:t>th</w:t>
            </w:r>
            <w:r w:rsidRPr="008F3283">
              <w:rPr>
                <w:rFonts w:ascii="Arial" w:hAnsi="Arial"/>
                <w:sz w:val="18"/>
                <w:lang w:eastAsia="ja-JP"/>
              </w:rPr>
              <w:t xml:space="preserve"> November 1995 over 14 years.</w:t>
            </w:r>
          </w:p>
          <w:p w:rsidR="00F879E6" w:rsidRDefault="00F879E6" w:rsidP="008F3283">
            <w:pPr>
              <w:rPr>
                <w:rFonts w:ascii="Arial" w:hAnsi="Arial"/>
                <w:sz w:val="18"/>
                <w:lang w:eastAsia="ja-JP"/>
              </w:rPr>
            </w:pPr>
          </w:p>
          <w:p w:rsidR="00566084" w:rsidRPr="00C85799" w:rsidRDefault="00566084" w:rsidP="00076529">
            <w:pPr>
              <w:rPr>
                <w:rFonts w:ascii="Arial" w:hAnsi="Arial"/>
                <w:b/>
                <w:sz w:val="18"/>
                <w:lang w:eastAsia="ja-JP"/>
              </w:rPr>
            </w:pPr>
            <w:r w:rsidRPr="00C85799">
              <w:rPr>
                <w:rFonts w:ascii="Arial" w:hAnsi="Arial"/>
                <w:b/>
                <w:sz w:val="18"/>
                <w:lang w:eastAsia="ja-JP"/>
              </w:rPr>
              <w:t>Overall average cost of power = 11.0</w:t>
            </w:r>
            <w:r w:rsidR="00C62956">
              <w:rPr>
                <w:rFonts w:ascii="Arial" w:hAnsi="Arial"/>
                <w:b/>
                <w:sz w:val="18"/>
                <w:lang w:eastAsia="ja-JP"/>
              </w:rPr>
              <w:t>9</w:t>
            </w:r>
            <w:r w:rsidRPr="00C85799">
              <w:rPr>
                <w:rFonts w:ascii="Arial" w:hAnsi="Arial"/>
                <w:b/>
                <w:sz w:val="18"/>
                <w:lang w:eastAsia="ja-JP"/>
              </w:rPr>
              <w:t xml:space="preserve"> cents per KWh.</w:t>
            </w:r>
          </w:p>
        </w:tc>
      </w:tr>
    </w:tbl>
    <w:p w:rsidR="00F00699" w:rsidRDefault="00F00699" w:rsidP="008F3283">
      <w:pPr>
        <w:rPr>
          <w:sz w:val="22"/>
          <w:szCs w:val="22"/>
          <w:lang w:eastAsia="ja-JP"/>
        </w:rPr>
      </w:pPr>
    </w:p>
    <w:p w:rsidR="001C6EC7" w:rsidRDefault="00C152FD" w:rsidP="008F3283">
      <w:pPr>
        <w:rPr>
          <w:sz w:val="22"/>
          <w:szCs w:val="22"/>
          <w:lang w:eastAsia="ja-JP"/>
        </w:rPr>
      </w:pPr>
      <w:r w:rsidRPr="00F00699">
        <w:rPr>
          <w:sz w:val="22"/>
          <w:szCs w:val="22"/>
          <w:lang w:eastAsia="ja-JP"/>
        </w:rPr>
        <w:t>This was the last account issued by ETSA Power in public hands. AGL took over the retail billing function in 2000. ETSA was privatised in 1999 b</w:t>
      </w:r>
      <w:r w:rsidR="001C6EC7">
        <w:rPr>
          <w:sz w:val="22"/>
          <w:szCs w:val="22"/>
          <w:lang w:eastAsia="ja-JP"/>
        </w:rPr>
        <w:t>y the Olsen Liberal Government.</w:t>
      </w:r>
    </w:p>
    <w:p w:rsidR="001C6EC7" w:rsidRDefault="001C6EC7" w:rsidP="008F3283">
      <w:pPr>
        <w:rPr>
          <w:sz w:val="22"/>
          <w:szCs w:val="22"/>
          <w:lang w:eastAsia="ja-JP"/>
        </w:rPr>
      </w:pPr>
    </w:p>
    <w:p w:rsidR="00C152FD" w:rsidRPr="00F00699" w:rsidRDefault="00C152FD" w:rsidP="008F3283">
      <w:pPr>
        <w:rPr>
          <w:sz w:val="22"/>
          <w:szCs w:val="22"/>
          <w:lang w:eastAsia="ja-JP"/>
        </w:rPr>
      </w:pPr>
      <w:r w:rsidRPr="00F00699">
        <w:rPr>
          <w:sz w:val="22"/>
          <w:szCs w:val="22"/>
          <w:lang w:eastAsia="ja-JP"/>
        </w:rPr>
        <w:t>For more info see Power Politics: The Electricity Crisis and You edited by John Spoehr 2003, ABC TV 7.30 Report “</w:t>
      </w:r>
      <w:hyperlink r:id="rId42" w:history="1">
        <w:r w:rsidRPr="00F00699">
          <w:rPr>
            <w:color w:val="0000FF"/>
            <w:sz w:val="22"/>
            <w:szCs w:val="22"/>
            <w:u w:val="single"/>
            <w:lang w:eastAsia="ja-JP"/>
          </w:rPr>
          <w:t>SA consumers face skyrocketing electricity prices</w:t>
        </w:r>
      </w:hyperlink>
      <w:r w:rsidRPr="00F00699">
        <w:rPr>
          <w:sz w:val="22"/>
          <w:szCs w:val="22"/>
          <w:lang w:eastAsia="ja-JP"/>
        </w:rPr>
        <w:t>” Reporter: Mike Sexton 15</w:t>
      </w:r>
      <w:r w:rsidRPr="00F00699">
        <w:rPr>
          <w:sz w:val="22"/>
          <w:szCs w:val="22"/>
          <w:vertAlign w:val="superscript"/>
          <w:lang w:eastAsia="ja-JP"/>
        </w:rPr>
        <w:t>th</w:t>
      </w:r>
      <w:r w:rsidRPr="00F00699">
        <w:rPr>
          <w:sz w:val="22"/>
          <w:szCs w:val="22"/>
          <w:lang w:eastAsia="ja-JP"/>
        </w:rPr>
        <w:t xml:space="preserve"> January 2003 and YouTube published 18</w:t>
      </w:r>
      <w:r w:rsidRPr="00F00699">
        <w:rPr>
          <w:sz w:val="22"/>
          <w:szCs w:val="22"/>
          <w:vertAlign w:val="superscript"/>
          <w:lang w:eastAsia="ja-JP"/>
        </w:rPr>
        <w:t>th</w:t>
      </w:r>
      <w:r w:rsidRPr="00F00699">
        <w:rPr>
          <w:sz w:val="22"/>
          <w:szCs w:val="22"/>
          <w:lang w:eastAsia="ja-JP"/>
        </w:rPr>
        <w:t xml:space="preserve"> February 2014 by ETU </w:t>
      </w:r>
      <w:hyperlink r:id="rId43" w:history="1">
        <w:r w:rsidRPr="00F00699">
          <w:rPr>
            <w:color w:val="0000FF"/>
            <w:sz w:val="22"/>
            <w:szCs w:val="22"/>
            <w:u w:val="single"/>
            <w:lang w:eastAsia="ja-JP"/>
          </w:rPr>
          <w:t>Victoria's Power Sell-Off: The Shocking Truth</w:t>
        </w:r>
      </w:hyperlink>
      <w:r w:rsidR="001C6EC7">
        <w:rPr>
          <w:sz w:val="22"/>
          <w:szCs w:val="22"/>
          <w:lang w:eastAsia="ja-JP"/>
        </w:rPr>
        <w:t>.</w:t>
      </w:r>
    </w:p>
    <w:p w:rsidR="00F00699" w:rsidRDefault="00F00699" w:rsidP="008F3283">
      <w:pPr>
        <w:rPr>
          <w:sz w:val="22"/>
          <w:szCs w:val="22"/>
          <w:lang w:eastAsia="ja-JP"/>
        </w:rPr>
      </w:pPr>
    </w:p>
    <w:p w:rsidR="00CC3613" w:rsidRDefault="00CC3613">
      <w:pPr>
        <w:rPr>
          <w:sz w:val="22"/>
          <w:szCs w:val="22"/>
          <w:lang w:eastAsia="ja-JP"/>
        </w:rPr>
      </w:pPr>
      <w:r>
        <w:rPr>
          <w:sz w:val="22"/>
          <w:szCs w:val="22"/>
          <w:lang w:eastAsia="ja-JP"/>
        </w:rPr>
        <w:br w:type="page"/>
      </w:r>
    </w:p>
    <w:p w:rsidR="00A53D11" w:rsidRPr="00C548C4" w:rsidRDefault="00A53D11" w:rsidP="00A53D11">
      <w:pPr>
        <w:pStyle w:val="DWAppHeading1"/>
        <w:pageBreakBefore w:val="0"/>
        <w:numPr>
          <w:ilvl w:val="1"/>
          <w:numId w:val="35"/>
        </w:numPr>
        <w:spacing w:before="120"/>
        <w:outlineLvl w:val="1"/>
      </w:pPr>
      <w:bookmarkStart w:id="61" w:name="_Ref442446982"/>
      <w:bookmarkStart w:id="62" w:name="_Ref442446999"/>
      <w:bookmarkStart w:id="63" w:name="_Toc472599243"/>
      <w:r>
        <w:t xml:space="preserve">SA </w:t>
      </w:r>
      <w:r w:rsidRPr="00A53D11">
        <w:t>ETSA Utilities 1998-99 Results Summary</w:t>
      </w:r>
      <w:bookmarkEnd w:id="61"/>
      <w:bookmarkEnd w:id="62"/>
      <w:bookmarkEnd w:id="63"/>
    </w:p>
    <w:p w:rsidR="00A53D11" w:rsidRPr="008A317D" w:rsidRDefault="00A53D11" w:rsidP="008A317D">
      <w:pPr>
        <w:rPr>
          <w:sz w:val="16"/>
          <w:szCs w:val="16"/>
          <w:lang w:eastAsia="ja-JP"/>
        </w:rPr>
      </w:pPr>
    </w:p>
    <w:p w:rsidR="008F3283" w:rsidRPr="008F3283" w:rsidRDefault="008F3283" w:rsidP="008A317D">
      <w:pPr>
        <w:rPr>
          <w:sz w:val="22"/>
          <w:szCs w:val="22"/>
          <w:lang w:eastAsia="ja-JP"/>
        </w:rPr>
      </w:pPr>
      <w:r w:rsidRPr="008F3283">
        <w:rPr>
          <w:sz w:val="22"/>
          <w:szCs w:val="22"/>
          <w:lang w:eastAsia="ja-JP"/>
        </w:rPr>
        <w:t>ETSA Utilities was formed in 1998 and for the 1989-1999 financial year total revenue was $571.3 with an after tax profit of $102.9 million. Total contributions to the South Australian government was $150.4 million comprising tax of $51.6 million and dividends totalling $87.4 million. (Source ETSA Utilities Annual Report 1999).</w:t>
      </w:r>
    </w:p>
    <w:p w:rsidR="00537349" w:rsidRPr="00E16310" w:rsidRDefault="00537349" w:rsidP="008A317D">
      <w:pPr>
        <w:pStyle w:val="DWTableCaption"/>
        <w:spacing w:before="120"/>
      </w:pPr>
      <w:bookmarkStart w:id="64" w:name="_Toc472599253"/>
      <w:r>
        <w:t xml:space="preserve">Table </w:t>
      </w:r>
      <w:r w:rsidR="00524F02">
        <w:fldChar w:fldCharType="begin"/>
      </w:r>
      <w:r w:rsidR="00524F02">
        <w:instrText xml:space="preserve"> SEQ Table \* Arabic \s 1 \* MERGEFORMAT </w:instrText>
      </w:r>
      <w:r w:rsidR="00524F02">
        <w:fldChar w:fldCharType="separate"/>
      </w:r>
      <w:r w:rsidR="00B6524A">
        <w:rPr>
          <w:noProof/>
        </w:rPr>
        <w:t>5</w:t>
      </w:r>
      <w:r w:rsidR="00524F02">
        <w:rPr>
          <w:noProof/>
        </w:rPr>
        <w:fldChar w:fldCharType="end"/>
      </w:r>
      <w:r>
        <w:t>.</w:t>
      </w:r>
      <w:r>
        <w:tab/>
      </w:r>
      <w:r w:rsidR="009C3869" w:rsidRPr="009C3869">
        <w:t>ETSA Utilities 1998-99 Results Summary</w:t>
      </w:r>
      <w:bookmarkEnd w:id="64"/>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3414"/>
        <w:gridCol w:w="3900"/>
      </w:tblGrid>
      <w:tr w:rsidR="008F3283" w:rsidRPr="008F3283" w:rsidTr="008A317D">
        <w:trPr>
          <w:cantSplit/>
          <w:trHeight w:hRule="exact" w:val="397"/>
          <w:jc w:val="center"/>
        </w:trPr>
        <w:tc>
          <w:tcPr>
            <w:tcW w:w="3681"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Key Performance Measure</w:t>
            </w:r>
          </w:p>
        </w:tc>
        <w:tc>
          <w:tcPr>
            <w:tcW w:w="3414"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Result</w:t>
            </w:r>
          </w:p>
        </w:tc>
        <w:tc>
          <w:tcPr>
            <w:tcW w:w="39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Remarks</w:t>
            </w: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Total Revenue</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$571.3 million</w:t>
            </w:r>
          </w:p>
        </w:tc>
        <w:tc>
          <w:tcPr>
            <w:tcW w:w="3900" w:type="dxa"/>
            <w:vAlign w:val="center"/>
          </w:tcPr>
          <w:p w:rsidR="008F3283" w:rsidRPr="008F3283" w:rsidRDefault="008F3283" w:rsidP="008F3283">
            <w:pPr>
              <w:rPr>
                <w:rFonts w:ascii="Arial" w:hAnsi="Arial"/>
                <w:sz w:val="18"/>
                <w:lang w:eastAsia="ja-JP"/>
              </w:rPr>
            </w:pP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Earnings before interest and tax</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$241.8 million</w:t>
            </w:r>
          </w:p>
        </w:tc>
        <w:tc>
          <w:tcPr>
            <w:tcW w:w="3900" w:type="dxa"/>
            <w:vAlign w:val="center"/>
          </w:tcPr>
          <w:p w:rsidR="008F3283" w:rsidRPr="008F3283" w:rsidRDefault="008F3283" w:rsidP="008F3283">
            <w:pPr>
              <w:rPr>
                <w:rFonts w:ascii="Arial" w:hAnsi="Arial"/>
                <w:sz w:val="18"/>
                <w:lang w:eastAsia="ja-JP"/>
              </w:rPr>
            </w:pP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Net Operating cash flows</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$224.3 million</w:t>
            </w:r>
          </w:p>
        </w:tc>
        <w:tc>
          <w:tcPr>
            <w:tcW w:w="3900" w:type="dxa"/>
            <w:vAlign w:val="center"/>
          </w:tcPr>
          <w:p w:rsidR="008F3283" w:rsidRPr="008F3283" w:rsidRDefault="008F3283" w:rsidP="008F3283">
            <w:pPr>
              <w:rPr>
                <w:rFonts w:ascii="Arial" w:hAnsi="Arial"/>
                <w:sz w:val="18"/>
                <w:lang w:eastAsia="ja-JP"/>
              </w:rPr>
            </w:pP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Capital Expenditure</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$76.6 million</w:t>
            </w:r>
          </w:p>
        </w:tc>
        <w:tc>
          <w:tcPr>
            <w:tcW w:w="3900" w:type="dxa"/>
            <w:vAlign w:val="center"/>
          </w:tcPr>
          <w:p w:rsidR="008F3283" w:rsidRPr="008F3283" w:rsidRDefault="008F3283" w:rsidP="008F3283">
            <w:pPr>
              <w:rPr>
                <w:rFonts w:ascii="Arial" w:hAnsi="Arial"/>
                <w:sz w:val="18"/>
                <w:lang w:eastAsia="ja-JP"/>
              </w:rPr>
            </w:pP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Total assets</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$2,405.1 million</w:t>
            </w:r>
          </w:p>
        </w:tc>
        <w:tc>
          <w:tcPr>
            <w:tcW w:w="3900" w:type="dxa"/>
            <w:vAlign w:val="center"/>
          </w:tcPr>
          <w:p w:rsidR="008F3283" w:rsidRPr="008F3283" w:rsidRDefault="008F3283" w:rsidP="008F3283">
            <w:pPr>
              <w:rPr>
                <w:rFonts w:ascii="Arial" w:hAnsi="Arial"/>
                <w:sz w:val="18"/>
                <w:lang w:eastAsia="ja-JP"/>
              </w:rPr>
            </w:pP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Return on assets</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10.1%</w:t>
            </w:r>
          </w:p>
        </w:tc>
        <w:tc>
          <w:tcPr>
            <w:tcW w:w="3900" w:type="dxa"/>
            <w:vAlign w:val="center"/>
          </w:tcPr>
          <w:p w:rsidR="008F3283" w:rsidRPr="008F3283" w:rsidRDefault="008F3283" w:rsidP="008F3283">
            <w:pPr>
              <w:rPr>
                <w:rFonts w:ascii="Arial" w:hAnsi="Arial"/>
                <w:sz w:val="18"/>
                <w:lang w:eastAsia="ja-JP"/>
              </w:rPr>
            </w:pP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System average outage duration</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110.4 minutes / customer per annum</w:t>
            </w:r>
          </w:p>
        </w:tc>
        <w:tc>
          <w:tcPr>
            <w:tcW w:w="3900" w:type="dxa"/>
            <w:vAlign w:val="center"/>
          </w:tcPr>
          <w:p w:rsidR="008F3283" w:rsidRPr="008F3283" w:rsidRDefault="008F3283" w:rsidP="008F3283">
            <w:pPr>
              <w:rPr>
                <w:rFonts w:ascii="Arial" w:hAnsi="Arial"/>
                <w:sz w:val="18"/>
                <w:lang w:eastAsia="ja-JP"/>
              </w:rPr>
            </w:pPr>
            <w:r w:rsidRPr="008F3283">
              <w:rPr>
                <w:rFonts w:ascii="Arial" w:hAnsi="Arial"/>
                <w:sz w:val="18"/>
                <w:lang w:eastAsia="ja-JP"/>
              </w:rPr>
              <w:t>Compared to 1994-95 a reduction of 4.8%</w:t>
            </w:r>
          </w:p>
        </w:tc>
      </w:tr>
      <w:tr w:rsidR="008F3283" w:rsidRPr="008F3283" w:rsidTr="004E6037">
        <w:trPr>
          <w:cantSplit/>
          <w:trHeight w:hRule="exact" w:val="526"/>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Number of full time equivalent employees</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1,122</w:t>
            </w:r>
          </w:p>
        </w:tc>
        <w:tc>
          <w:tcPr>
            <w:tcW w:w="3900" w:type="dxa"/>
            <w:vAlign w:val="center"/>
          </w:tcPr>
          <w:p w:rsidR="008F3283" w:rsidRPr="008F3283" w:rsidRDefault="008F3283" w:rsidP="008F3283">
            <w:pPr>
              <w:rPr>
                <w:rFonts w:ascii="Arial" w:hAnsi="Arial"/>
                <w:sz w:val="18"/>
                <w:lang w:eastAsia="ja-JP"/>
              </w:rPr>
            </w:pP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Number of lost time injuries</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6</w:t>
            </w:r>
          </w:p>
        </w:tc>
        <w:tc>
          <w:tcPr>
            <w:tcW w:w="3900" w:type="dxa"/>
            <w:vAlign w:val="center"/>
          </w:tcPr>
          <w:p w:rsidR="008F3283" w:rsidRPr="008F3283" w:rsidRDefault="008F3283" w:rsidP="008F3283">
            <w:pPr>
              <w:rPr>
                <w:rFonts w:ascii="Arial" w:hAnsi="Arial"/>
                <w:sz w:val="18"/>
                <w:lang w:eastAsia="ja-JP"/>
              </w:rPr>
            </w:pPr>
            <w:r w:rsidRPr="008F3283">
              <w:rPr>
                <w:rFonts w:ascii="Arial" w:hAnsi="Arial"/>
                <w:sz w:val="18"/>
                <w:lang w:eastAsia="ja-JP"/>
              </w:rPr>
              <w:t>Compared to 1994-95 a reduction of 90.3%</w:t>
            </w:r>
          </w:p>
        </w:tc>
      </w:tr>
      <w:tr w:rsidR="008F3283" w:rsidRPr="008F3283" w:rsidTr="004E6037">
        <w:trPr>
          <w:cantSplit/>
          <w:trHeight w:hRule="exact" w:val="501"/>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Lost time injuries frequency rate (lost time injuries/million hours worked</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2.9</w:t>
            </w:r>
          </w:p>
        </w:tc>
        <w:tc>
          <w:tcPr>
            <w:tcW w:w="3900" w:type="dxa"/>
            <w:vAlign w:val="center"/>
          </w:tcPr>
          <w:p w:rsidR="008F3283" w:rsidRPr="008F3283" w:rsidRDefault="008F3283" w:rsidP="008F3283">
            <w:pPr>
              <w:rPr>
                <w:rFonts w:ascii="Arial" w:hAnsi="Arial"/>
                <w:sz w:val="18"/>
                <w:lang w:eastAsia="ja-JP"/>
              </w:rPr>
            </w:pPr>
            <w:r w:rsidRPr="008F3283">
              <w:rPr>
                <w:rFonts w:ascii="Arial" w:hAnsi="Arial"/>
                <w:sz w:val="18"/>
                <w:lang w:eastAsia="ja-JP"/>
              </w:rPr>
              <w:t>Compared to 1994-95 a reduction of 82.9%</w:t>
            </w: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Net operating cost per customer</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$111</w:t>
            </w:r>
          </w:p>
        </w:tc>
        <w:tc>
          <w:tcPr>
            <w:tcW w:w="3900" w:type="dxa"/>
            <w:vAlign w:val="center"/>
          </w:tcPr>
          <w:p w:rsidR="008F3283" w:rsidRPr="008F3283" w:rsidRDefault="008F3283" w:rsidP="008F3283">
            <w:pPr>
              <w:rPr>
                <w:rFonts w:ascii="Arial" w:hAnsi="Arial"/>
                <w:sz w:val="18"/>
                <w:lang w:eastAsia="ja-JP"/>
              </w:rPr>
            </w:pPr>
            <w:r w:rsidRPr="008F3283">
              <w:rPr>
                <w:rFonts w:ascii="Arial" w:hAnsi="Arial"/>
                <w:sz w:val="18"/>
                <w:lang w:eastAsia="ja-JP"/>
              </w:rPr>
              <w:t>Total operating cost = $81,449,913</w:t>
            </w: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Net operating cost per kilometre of line</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$1,119</w:t>
            </w:r>
          </w:p>
        </w:tc>
        <w:tc>
          <w:tcPr>
            <w:tcW w:w="3900" w:type="dxa"/>
            <w:vAlign w:val="center"/>
          </w:tcPr>
          <w:p w:rsidR="008F3283" w:rsidRPr="008F3283" w:rsidRDefault="008F3283" w:rsidP="008F3283">
            <w:pPr>
              <w:rPr>
                <w:rFonts w:ascii="Arial" w:hAnsi="Arial"/>
                <w:sz w:val="18"/>
                <w:lang w:eastAsia="ja-JP"/>
              </w:rPr>
            </w:pPr>
            <w:r w:rsidRPr="008F3283">
              <w:rPr>
                <w:rFonts w:ascii="Arial" w:hAnsi="Arial"/>
                <w:sz w:val="18"/>
                <w:lang w:eastAsia="ja-JP"/>
              </w:rPr>
              <w:t>Compared to 1994-95 a reduction of 32.6%</w:t>
            </w: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Customers per employee</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654</w:t>
            </w:r>
          </w:p>
        </w:tc>
        <w:tc>
          <w:tcPr>
            <w:tcW w:w="3900" w:type="dxa"/>
            <w:vAlign w:val="center"/>
          </w:tcPr>
          <w:p w:rsidR="008F3283" w:rsidRPr="008F3283" w:rsidRDefault="008F3283" w:rsidP="008F3283">
            <w:pPr>
              <w:rPr>
                <w:rFonts w:ascii="Arial" w:hAnsi="Arial"/>
                <w:sz w:val="18"/>
                <w:lang w:eastAsia="ja-JP"/>
              </w:rPr>
            </w:pPr>
            <w:r w:rsidRPr="008F3283">
              <w:rPr>
                <w:rFonts w:ascii="Arial" w:hAnsi="Arial"/>
                <w:sz w:val="18"/>
                <w:lang w:eastAsia="ja-JP"/>
              </w:rPr>
              <w:t>Compared to 1994-95 an increase of 61.5%</w:t>
            </w: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Sales volume (GWh)</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9,522</w:t>
            </w:r>
          </w:p>
        </w:tc>
        <w:tc>
          <w:tcPr>
            <w:tcW w:w="3900" w:type="dxa"/>
            <w:vAlign w:val="center"/>
          </w:tcPr>
          <w:p w:rsidR="008F3283" w:rsidRPr="008F3283" w:rsidRDefault="008F3283" w:rsidP="008F3283">
            <w:pPr>
              <w:rPr>
                <w:rFonts w:ascii="Arial" w:hAnsi="Arial"/>
                <w:sz w:val="18"/>
                <w:lang w:eastAsia="ja-JP"/>
              </w:rPr>
            </w:pPr>
            <w:r w:rsidRPr="008F3283">
              <w:rPr>
                <w:rFonts w:ascii="Arial" w:hAnsi="Arial"/>
                <w:sz w:val="18"/>
                <w:lang w:eastAsia="ja-JP"/>
              </w:rPr>
              <w:t>Compared to 1994-95 an increase of 11.2%</w:t>
            </w:r>
          </w:p>
        </w:tc>
      </w:tr>
      <w:tr w:rsidR="008F3283" w:rsidRPr="008F3283" w:rsidTr="008A317D">
        <w:trPr>
          <w:cantSplit/>
          <w:trHeight w:hRule="exact" w:val="397"/>
          <w:jc w:val="center"/>
        </w:trPr>
        <w:tc>
          <w:tcPr>
            <w:tcW w:w="3681" w:type="dxa"/>
            <w:vAlign w:val="center"/>
          </w:tcPr>
          <w:p w:rsidR="008F3283" w:rsidRPr="008F3283" w:rsidRDefault="008F3283" w:rsidP="008F3283">
            <w:pPr>
              <w:rPr>
                <w:rFonts w:ascii="Arial" w:hAnsi="Arial"/>
                <w:b/>
                <w:sz w:val="18"/>
                <w:lang w:eastAsia="ja-JP"/>
              </w:rPr>
            </w:pPr>
            <w:r w:rsidRPr="008F3283">
              <w:rPr>
                <w:rFonts w:ascii="Arial" w:hAnsi="Arial"/>
                <w:b/>
                <w:sz w:val="18"/>
                <w:lang w:eastAsia="ja-JP"/>
              </w:rPr>
              <w:t>Number of customers</w:t>
            </w:r>
          </w:p>
        </w:tc>
        <w:tc>
          <w:tcPr>
            <w:tcW w:w="3414"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733,783</w:t>
            </w:r>
          </w:p>
        </w:tc>
        <w:tc>
          <w:tcPr>
            <w:tcW w:w="3900" w:type="dxa"/>
            <w:vAlign w:val="center"/>
          </w:tcPr>
          <w:p w:rsidR="008F3283" w:rsidRPr="008F3283" w:rsidRDefault="008F3283" w:rsidP="008F3283">
            <w:pPr>
              <w:rPr>
                <w:rFonts w:ascii="Arial" w:hAnsi="Arial"/>
                <w:sz w:val="18"/>
                <w:lang w:eastAsia="ja-JP"/>
              </w:rPr>
            </w:pPr>
          </w:p>
        </w:tc>
      </w:tr>
    </w:tbl>
    <w:p w:rsidR="008F3283" w:rsidRPr="008F3283" w:rsidRDefault="008F3283" w:rsidP="008F3283">
      <w:pPr>
        <w:rPr>
          <w:rFonts w:ascii="Arial" w:hAnsi="Arial"/>
          <w:b/>
          <w:sz w:val="24"/>
          <w:szCs w:val="24"/>
          <w:lang w:eastAsia="ja-JP"/>
        </w:rPr>
      </w:pPr>
      <w:r w:rsidRPr="008F3283">
        <w:rPr>
          <w:rFonts w:ascii="Arial" w:hAnsi="Arial"/>
          <w:b/>
          <w:sz w:val="24"/>
          <w:szCs w:val="24"/>
          <w:lang w:eastAsia="ja-JP"/>
        </w:rPr>
        <w:br w:type="page"/>
      </w:r>
    </w:p>
    <w:p w:rsidR="008F3283" w:rsidRPr="00C548C4" w:rsidRDefault="00C004AF" w:rsidP="00C004AF">
      <w:pPr>
        <w:pStyle w:val="DWAppHeading1"/>
        <w:pageBreakBefore w:val="0"/>
        <w:numPr>
          <w:ilvl w:val="1"/>
          <w:numId w:val="35"/>
        </w:numPr>
        <w:outlineLvl w:val="1"/>
      </w:pPr>
      <w:bookmarkStart w:id="65" w:name="_Toc472599244"/>
      <w:r w:rsidRPr="00C004AF">
        <w:tab/>
        <w:t xml:space="preserve">SA ELECTRICITY </w:t>
      </w:r>
      <w:r w:rsidR="00CD4A67">
        <w:t xml:space="preserve">Prices </w:t>
      </w:r>
      <w:r w:rsidRPr="00C004AF">
        <w:t xml:space="preserve">UNDER </w:t>
      </w:r>
      <w:r w:rsidR="008F3283" w:rsidRPr="00C548C4">
        <w:t>Private Ownership</w:t>
      </w:r>
      <w:r w:rsidR="0048610C">
        <w:t xml:space="preserve"> 2000-2014</w:t>
      </w:r>
      <w:bookmarkEnd w:id="65"/>
    </w:p>
    <w:p w:rsidR="009E1ACE" w:rsidRPr="00E16310" w:rsidRDefault="009E1ACE" w:rsidP="009E1ACE">
      <w:pPr>
        <w:pStyle w:val="DWTableCaption"/>
      </w:pPr>
      <w:bookmarkStart w:id="66" w:name="_Toc472599254"/>
      <w:r>
        <w:t xml:space="preserve">Table </w:t>
      </w:r>
      <w:r w:rsidR="00524F02">
        <w:fldChar w:fldCharType="begin"/>
      </w:r>
      <w:r w:rsidR="00524F02">
        <w:instrText xml:space="preserve"> SEQ Table \* Arabic \s 1 \* MERGEFORMAT </w:instrText>
      </w:r>
      <w:r w:rsidR="00524F02">
        <w:fldChar w:fldCharType="separate"/>
      </w:r>
      <w:r w:rsidR="00B6524A">
        <w:rPr>
          <w:noProof/>
        </w:rPr>
        <w:t>6</w:t>
      </w:r>
      <w:r w:rsidR="00524F02">
        <w:rPr>
          <w:noProof/>
        </w:rPr>
        <w:fldChar w:fldCharType="end"/>
      </w:r>
      <w:r>
        <w:t>.</w:t>
      </w:r>
      <w:r>
        <w:tab/>
      </w:r>
      <w:r w:rsidRPr="009E1ACE">
        <w:t>First AGL Invoice issued 28th March 2000 (Pre-GST)</w:t>
      </w:r>
      <w:bookmarkEnd w:id="66"/>
    </w:p>
    <w:tbl>
      <w:tblPr>
        <w:tblW w:w="13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1700"/>
        <w:gridCol w:w="1700"/>
        <w:gridCol w:w="1700"/>
        <w:gridCol w:w="1500"/>
        <w:gridCol w:w="5600"/>
      </w:tblGrid>
      <w:tr w:rsidR="008F3283" w:rsidRPr="008F3283" w:rsidTr="000232AA">
        <w:trPr>
          <w:cantSplit/>
          <w:trHeight w:hRule="exact" w:val="501"/>
          <w:tblHeader/>
          <w:jc w:val="center"/>
        </w:trPr>
        <w:tc>
          <w:tcPr>
            <w:tcW w:w="1395" w:type="dxa"/>
            <w:vAlign w:val="center"/>
          </w:tcPr>
          <w:p w:rsidR="008F3283" w:rsidRPr="008F3283" w:rsidRDefault="008F3283" w:rsidP="00AF079F">
            <w:pPr>
              <w:jc w:val="center"/>
              <w:rPr>
                <w:rFonts w:ascii="Arial" w:hAnsi="Arial"/>
                <w:b/>
                <w:sz w:val="18"/>
                <w:lang w:eastAsia="ja-JP"/>
              </w:rPr>
            </w:pPr>
            <w:r w:rsidRPr="008F3283">
              <w:rPr>
                <w:rFonts w:ascii="Arial" w:hAnsi="Arial"/>
                <w:b/>
                <w:sz w:val="18"/>
                <w:lang w:eastAsia="ja-JP"/>
              </w:rPr>
              <w:t>Period</w:t>
            </w:r>
            <w:r w:rsidR="00AF079F">
              <w:rPr>
                <w:rFonts w:ascii="Arial" w:hAnsi="Arial"/>
                <w:b/>
                <w:sz w:val="18"/>
                <w:lang w:eastAsia="ja-JP"/>
              </w:rPr>
              <w:t xml:space="preserve"> </w:t>
            </w:r>
            <w:r w:rsidRPr="008F3283">
              <w:rPr>
                <w:rFonts w:ascii="Arial" w:hAnsi="Arial"/>
                <w:b/>
                <w:sz w:val="18"/>
                <w:lang w:eastAsia="ja-JP"/>
              </w:rPr>
              <w:t>(Days)</w:t>
            </w:r>
          </w:p>
        </w:tc>
        <w:tc>
          <w:tcPr>
            <w:tcW w:w="17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Type of Charge</w:t>
            </w:r>
          </w:p>
        </w:tc>
        <w:tc>
          <w:tcPr>
            <w:tcW w:w="17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Cost (cents/unit)</w:t>
            </w:r>
          </w:p>
        </w:tc>
        <w:tc>
          <w:tcPr>
            <w:tcW w:w="17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No Units (KWh)</w:t>
            </w:r>
          </w:p>
        </w:tc>
        <w:tc>
          <w:tcPr>
            <w:tcW w:w="15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Cost ($)</w:t>
            </w:r>
          </w:p>
        </w:tc>
        <w:tc>
          <w:tcPr>
            <w:tcW w:w="56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Remarks</w:t>
            </w:r>
          </w:p>
        </w:tc>
      </w:tr>
      <w:tr w:rsidR="008F3283" w:rsidRPr="008F3283" w:rsidTr="00EA49E9">
        <w:trPr>
          <w:cantSplit/>
          <w:trHeight w:hRule="exact" w:val="605"/>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Domestic Light Power</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12.69</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857</w:t>
            </w:r>
          </w:p>
        </w:tc>
        <w:tc>
          <w:tcPr>
            <w:tcW w:w="15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108.75</w:t>
            </w:r>
          </w:p>
        </w:tc>
        <w:tc>
          <w:tcPr>
            <w:tcW w:w="5600" w:type="dxa"/>
            <w:vMerge w:val="restart"/>
            <w:vAlign w:val="center"/>
          </w:tcPr>
          <w:p w:rsidR="008F3283" w:rsidRPr="008F3283" w:rsidRDefault="00E94B39" w:rsidP="003139F2">
            <w:pPr>
              <w:rPr>
                <w:rFonts w:ascii="Arial" w:hAnsi="Arial"/>
                <w:sz w:val="18"/>
                <w:lang w:eastAsia="ja-JP"/>
              </w:rPr>
            </w:pPr>
            <w:r>
              <w:rPr>
                <w:rFonts w:ascii="Arial" w:hAnsi="Arial"/>
                <w:sz w:val="18"/>
                <w:lang w:eastAsia="ja-JP"/>
              </w:rPr>
              <w:t>No change vs. ETSA Power’s last account on 29</w:t>
            </w:r>
            <w:r w:rsidR="003139F2" w:rsidRPr="003139F2">
              <w:rPr>
                <w:rFonts w:ascii="Arial" w:hAnsi="Arial"/>
                <w:sz w:val="18"/>
                <w:vertAlign w:val="superscript"/>
                <w:lang w:eastAsia="ja-JP"/>
              </w:rPr>
              <w:t>th</w:t>
            </w:r>
            <w:r w:rsidR="003139F2">
              <w:rPr>
                <w:rFonts w:ascii="Arial" w:hAnsi="Arial"/>
                <w:sz w:val="18"/>
                <w:lang w:eastAsia="ja-JP"/>
              </w:rPr>
              <w:t xml:space="preserve"> September 19</w:t>
            </w:r>
            <w:r>
              <w:rPr>
                <w:rFonts w:ascii="Arial" w:hAnsi="Arial"/>
                <w:sz w:val="18"/>
                <w:lang w:eastAsia="ja-JP"/>
              </w:rPr>
              <w:t>99.</w:t>
            </w:r>
          </w:p>
        </w:tc>
      </w:tr>
      <w:tr w:rsidR="008F3283" w:rsidRPr="008F3283" w:rsidTr="00EA49E9">
        <w:trPr>
          <w:cantSplit/>
          <w:trHeight w:hRule="exact" w:val="543"/>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Off-peak Power</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4.79</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600</w:t>
            </w:r>
          </w:p>
        </w:tc>
        <w:tc>
          <w:tcPr>
            <w:tcW w:w="15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28.74</w:t>
            </w:r>
          </w:p>
        </w:tc>
        <w:tc>
          <w:tcPr>
            <w:tcW w:w="5600" w:type="dxa"/>
            <w:vMerge/>
            <w:vAlign w:val="center"/>
          </w:tcPr>
          <w:p w:rsidR="008F3283" w:rsidRPr="008F3283" w:rsidRDefault="008F3283" w:rsidP="008F3283">
            <w:pPr>
              <w:rPr>
                <w:rFonts w:ascii="Arial" w:hAnsi="Arial"/>
                <w:sz w:val="18"/>
                <w:lang w:eastAsia="ja-JP"/>
              </w:rPr>
            </w:pPr>
          </w:p>
        </w:tc>
      </w:tr>
      <w:tr w:rsidR="008F3283" w:rsidRPr="008F3283" w:rsidTr="003139F2">
        <w:trPr>
          <w:cantSplit/>
          <w:trHeight w:hRule="exact" w:val="528"/>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1700" w:type="dxa"/>
            <w:vAlign w:val="center"/>
          </w:tcPr>
          <w:p w:rsidR="008F3283" w:rsidRPr="008F3283" w:rsidRDefault="009F1A84" w:rsidP="008F3283">
            <w:pPr>
              <w:jc w:val="center"/>
              <w:rPr>
                <w:rFonts w:ascii="Arial" w:hAnsi="Arial"/>
                <w:sz w:val="18"/>
                <w:lang w:eastAsia="ja-JP"/>
              </w:rPr>
            </w:pPr>
            <w:r w:rsidRPr="009F1A84">
              <w:rPr>
                <w:rFonts w:ascii="Arial" w:hAnsi="Arial"/>
                <w:sz w:val="18"/>
                <w:lang w:eastAsia="ja-JP"/>
              </w:rPr>
              <w:t>Supply Charge (per day)</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25.32</w:t>
            </w:r>
          </w:p>
        </w:tc>
        <w:tc>
          <w:tcPr>
            <w:tcW w:w="1700" w:type="dxa"/>
            <w:vAlign w:val="center"/>
          </w:tcPr>
          <w:p w:rsidR="008F3283" w:rsidRPr="008F3283" w:rsidRDefault="008F3283" w:rsidP="008F3283">
            <w:pPr>
              <w:jc w:val="center"/>
              <w:rPr>
                <w:rFonts w:ascii="Arial" w:hAnsi="Arial"/>
                <w:sz w:val="18"/>
                <w:lang w:eastAsia="ja-JP"/>
              </w:rPr>
            </w:pPr>
          </w:p>
        </w:tc>
        <w:tc>
          <w:tcPr>
            <w:tcW w:w="15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24.05</w:t>
            </w:r>
          </w:p>
        </w:tc>
        <w:tc>
          <w:tcPr>
            <w:tcW w:w="5600" w:type="dxa"/>
            <w:vAlign w:val="center"/>
          </w:tcPr>
          <w:p w:rsidR="008F3283" w:rsidRPr="008F3283" w:rsidRDefault="00E3654D" w:rsidP="008F3283">
            <w:pPr>
              <w:rPr>
                <w:rFonts w:ascii="Arial" w:hAnsi="Arial"/>
                <w:sz w:val="18"/>
                <w:lang w:eastAsia="ja-JP"/>
              </w:rPr>
            </w:pPr>
            <w:r w:rsidRPr="00E3654D">
              <w:rPr>
                <w:rFonts w:ascii="Arial" w:hAnsi="Arial"/>
                <w:sz w:val="18"/>
                <w:lang w:eastAsia="ja-JP"/>
              </w:rPr>
              <w:t xml:space="preserve">No change </w:t>
            </w:r>
            <w:r w:rsidR="003139F2" w:rsidRPr="003139F2">
              <w:rPr>
                <w:rFonts w:ascii="Arial" w:hAnsi="Arial"/>
                <w:sz w:val="18"/>
                <w:lang w:eastAsia="ja-JP"/>
              </w:rPr>
              <w:t>vs. ETSA Power’s last account on 29th September 1999.</w:t>
            </w:r>
          </w:p>
        </w:tc>
      </w:tr>
      <w:tr w:rsidR="008F3283" w:rsidRPr="008F3283" w:rsidTr="000232AA">
        <w:trPr>
          <w:cantSplit/>
          <w:trHeight w:val="964"/>
          <w:jc w:val="center"/>
        </w:trPr>
        <w:tc>
          <w:tcPr>
            <w:tcW w:w="1395"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95</w:t>
            </w:r>
          </w:p>
        </w:tc>
        <w:tc>
          <w:tcPr>
            <w:tcW w:w="17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Total</w:t>
            </w:r>
          </w:p>
        </w:tc>
        <w:tc>
          <w:tcPr>
            <w:tcW w:w="1700" w:type="dxa"/>
            <w:vAlign w:val="center"/>
          </w:tcPr>
          <w:p w:rsidR="008F3283" w:rsidRPr="008F3283" w:rsidRDefault="008F3283" w:rsidP="008F3283">
            <w:pPr>
              <w:jc w:val="center"/>
              <w:rPr>
                <w:rFonts w:ascii="Arial" w:hAnsi="Arial"/>
                <w:b/>
                <w:sz w:val="18"/>
                <w:lang w:eastAsia="ja-JP"/>
              </w:rPr>
            </w:pPr>
          </w:p>
        </w:tc>
        <w:tc>
          <w:tcPr>
            <w:tcW w:w="1700"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1,457</w:t>
            </w:r>
          </w:p>
        </w:tc>
        <w:tc>
          <w:tcPr>
            <w:tcW w:w="1500" w:type="dxa"/>
            <w:vAlign w:val="center"/>
          </w:tcPr>
          <w:p w:rsidR="008F3283" w:rsidRPr="008F3283" w:rsidRDefault="003406F0" w:rsidP="008F3283">
            <w:pPr>
              <w:jc w:val="center"/>
              <w:rPr>
                <w:rFonts w:ascii="Arial" w:hAnsi="Arial"/>
                <w:b/>
                <w:sz w:val="18"/>
                <w:lang w:eastAsia="ja-JP"/>
              </w:rPr>
            </w:pPr>
            <w:r>
              <w:rPr>
                <w:rFonts w:ascii="Arial" w:hAnsi="Arial"/>
                <w:b/>
                <w:sz w:val="18"/>
                <w:lang w:eastAsia="ja-JP"/>
              </w:rPr>
              <w:t>$</w:t>
            </w:r>
            <w:r w:rsidR="008F3283" w:rsidRPr="008F3283">
              <w:rPr>
                <w:rFonts w:ascii="Arial" w:hAnsi="Arial"/>
                <w:b/>
                <w:sz w:val="18"/>
                <w:lang w:eastAsia="ja-JP"/>
              </w:rPr>
              <w:t>161.54</w:t>
            </w:r>
          </w:p>
        </w:tc>
        <w:tc>
          <w:tcPr>
            <w:tcW w:w="5600" w:type="dxa"/>
            <w:vAlign w:val="center"/>
          </w:tcPr>
          <w:p w:rsidR="008F3283" w:rsidRDefault="00F879E6" w:rsidP="008F3283">
            <w:pPr>
              <w:rPr>
                <w:rFonts w:ascii="Arial" w:hAnsi="Arial"/>
                <w:sz w:val="18"/>
                <w:lang w:eastAsia="ja-JP"/>
              </w:rPr>
            </w:pPr>
            <w:r w:rsidRPr="00F879E6">
              <w:rPr>
                <w:rFonts w:ascii="Arial" w:hAnsi="Arial"/>
                <w:sz w:val="18"/>
                <w:lang w:eastAsia="ja-JP"/>
              </w:rPr>
              <w:t xml:space="preserve">No change </w:t>
            </w:r>
            <w:r w:rsidR="008F3283" w:rsidRPr="00C85799">
              <w:rPr>
                <w:rFonts w:ascii="Arial" w:hAnsi="Arial"/>
                <w:sz w:val="18"/>
                <w:lang w:eastAsia="ja-JP"/>
              </w:rPr>
              <w:t>compared to 29</w:t>
            </w:r>
            <w:r w:rsidR="008F3283" w:rsidRPr="00C85799">
              <w:rPr>
                <w:rFonts w:ascii="Arial" w:hAnsi="Arial"/>
                <w:sz w:val="18"/>
                <w:vertAlign w:val="superscript"/>
                <w:lang w:eastAsia="ja-JP"/>
              </w:rPr>
              <w:t>th</w:t>
            </w:r>
            <w:r w:rsidR="008F3283" w:rsidRPr="00C85799">
              <w:rPr>
                <w:rFonts w:ascii="Arial" w:hAnsi="Arial"/>
                <w:sz w:val="18"/>
                <w:lang w:eastAsia="ja-JP"/>
              </w:rPr>
              <w:t xml:space="preserve"> September 1999 charges.</w:t>
            </w:r>
          </w:p>
          <w:p w:rsidR="00F879E6" w:rsidRDefault="00F879E6" w:rsidP="008F3283">
            <w:pPr>
              <w:rPr>
                <w:rFonts w:ascii="Arial" w:hAnsi="Arial"/>
                <w:sz w:val="18"/>
                <w:lang w:eastAsia="ja-JP"/>
              </w:rPr>
            </w:pPr>
          </w:p>
          <w:p w:rsidR="00C85799" w:rsidRPr="00176303" w:rsidRDefault="00C85799" w:rsidP="00076529">
            <w:pPr>
              <w:rPr>
                <w:rFonts w:ascii="Arial" w:hAnsi="Arial"/>
                <w:b/>
                <w:sz w:val="18"/>
                <w:lang w:eastAsia="ja-JP"/>
              </w:rPr>
            </w:pPr>
            <w:r w:rsidRPr="00176303">
              <w:rPr>
                <w:rFonts w:ascii="Arial" w:hAnsi="Arial"/>
                <w:b/>
                <w:sz w:val="18"/>
                <w:lang w:eastAsia="ja-JP"/>
              </w:rPr>
              <w:t>Overall average cost of power = 11.0</w:t>
            </w:r>
            <w:r w:rsidR="00472987">
              <w:rPr>
                <w:rFonts w:ascii="Arial" w:hAnsi="Arial"/>
                <w:b/>
                <w:sz w:val="18"/>
                <w:lang w:eastAsia="ja-JP"/>
              </w:rPr>
              <w:t>9</w:t>
            </w:r>
            <w:r w:rsidRPr="00176303">
              <w:rPr>
                <w:rFonts w:ascii="Arial" w:hAnsi="Arial"/>
                <w:b/>
                <w:sz w:val="18"/>
                <w:lang w:eastAsia="ja-JP"/>
              </w:rPr>
              <w:t xml:space="preserve"> cents per KWh.</w:t>
            </w:r>
          </w:p>
        </w:tc>
      </w:tr>
    </w:tbl>
    <w:p w:rsidR="009E1ACE" w:rsidRPr="009E1ACE" w:rsidRDefault="009E1ACE" w:rsidP="008F3283">
      <w:pPr>
        <w:tabs>
          <w:tab w:val="left" w:pos="1531"/>
          <w:tab w:val="left" w:pos="3153"/>
          <w:tab w:val="left" w:pos="5563"/>
          <w:tab w:val="left" w:pos="7406"/>
          <w:tab w:val="left" w:pos="8965"/>
          <w:tab w:val="left" w:pos="10241"/>
          <w:tab w:val="left" w:pos="13575"/>
        </w:tabs>
        <w:spacing w:before="120" w:after="120"/>
        <w:ind w:left="113"/>
        <w:rPr>
          <w:sz w:val="22"/>
          <w:szCs w:val="22"/>
          <w:lang w:eastAsia="ja-JP"/>
        </w:rPr>
      </w:pPr>
      <w:r w:rsidRPr="009E1ACE">
        <w:rPr>
          <w:sz w:val="22"/>
          <w:szCs w:val="22"/>
          <w:lang w:eastAsia="ja-JP"/>
        </w:rPr>
        <w:t>This was the first and only account where AGL acted as agent for ETSA Power. All subsequent accounts have been by AGL and the household account has been maintained unchanged to this day.</w:t>
      </w:r>
    </w:p>
    <w:p w:rsidR="0079238D" w:rsidRDefault="0079238D">
      <w:pPr>
        <w:rPr>
          <w:sz w:val="22"/>
          <w:szCs w:val="22"/>
          <w:lang w:eastAsia="ja-JP"/>
        </w:rPr>
      </w:pPr>
      <w:r>
        <w:rPr>
          <w:sz w:val="22"/>
          <w:szCs w:val="22"/>
          <w:lang w:eastAsia="ja-JP"/>
        </w:rPr>
        <w:br w:type="page"/>
      </w:r>
    </w:p>
    <w:p w:rsidR="00240441" w:rsidRPr="00E16310" w:rsidRDefault="00240441" w:rsidP="00240441">
      <w:pPr>
        <w:pStyle w:val="DWTableCaption"/>
      </w:pPr>
      <w:bookmarkStart w:id="67" w:name="_Toc472599255"/>
      <w:r>
        <w:t xml:space="preserve">Table </w:t>
      </w:r>
      <w:r w:rsidR="00524F02">
        <w:fldChar w:fldCharType="begin"/>
      </w:r>
      <w:r w:rsidR="00524F02">
        <w:instrText xml:space="preserve"> SEQ Table \* Arabic \s 1 \* MERGEFORMAT </w:instrText>
      </w:r>
      <w:r w:rsidR="00524F02">
        <w:fldChar w:fldCharType="separate"/>
      </w:r>
      <w:r w:rsidR="00B6524A">
        <w:rPr>
          <w:noProof/>
        </w:rPr>
        <w:t>7</w:t>
      </w:r>
      <w:r w:rsidR="00524F02">
        <w:rPr>
          <w:noProof/>
        </w:rPr>
        <w:fldChar w:fldCharType="end"/>
      </w:r>
      <w:r>
        <w:t>.</w:t>
      </w:r>
      <w:r>
        <w:tab/>
      </w:r>
      <w:r w:rsidRPr="00240441">
        <w:t>AGL Inv</w:t>
      </w:r>
      <w:r>
        <w:t>oice issued 24th September 2014</w:t>
      </w:r>
      <w:bookmarkEnd w:id="67"/>
    </w:p>
    <w:tbl>
      <w:tblPr>
        <w:tblW w:w="1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1705"/>
        <w:gridCol w:w="1700"/>
        <w:gridCol w:w="1695"/>
        <w:gridCol w:w="1500"/>
        <w:gridCol w:w="5605"/>
      </w:tblGrid>
      <w:tr w:rsidR="008F3283" w:rsidRPr="00274E42" w:rsidTr="00672029">
        <w:trPr>
          <w:cantSplit/>
          <w:trHeight w:hRule="exact" w:val="397"/>
          <w:tblHeader/>
          <w:jc w:val="center"/>
        </w:trPr>
        <w:tc>
          <w:tcPr>
            <w:tcW w:w="1395" w:type="dxa"/>
            <w:vAlign w:val="center"/>
          </w:tcPr>
          <w:p w:rsidR="008F3283" w:rsidRPr="00274E42" w:rsidRDefault="008F3283" w:rsidP="000757B4">
            <w:pPr>
              <w:jc w:val="center"/>
              <w:rPr>
                <w:rFonts w:ascii="Arial" w:hAnsi="Arial"/>
                <w:b/>
                <w:sz w:val="18"/>
                <w:lang w:eastAsia="ja-JP"/>
              </w:rPr>
            </w:pPr>
            <w:r w:rsidRPr="00274E42">
              <w:rPr>
                <w:rFonts w:ascii="Arial" w:hAnsi="Arial"/>
                <w:b/>
                <w:sz w:val="18"/>
                <w:lang w:eastAsia="ja-JP"/>
              </w:rPr>
              <w:t>Period</w:t>
            </w:r>
            <w:r w:rsidR="000757B4">
              <w:rPr>
                <w:rFonts w:ascii="Arial" w:hAnsi="Arial"/>
                <w:b/>
                <w:sz w:val="18"/>
                <w:lang w:eastAsia="ja-JP"/>
              </w:rPr>
              <w:t xml:space="preserve"> </w:t>
            </w:r>
            <w:r w:rsidRPr="00274E42">
              <w:rPr>
                <w:rFonts w:ascii="Arial" w:hAnsi="Arial"/>
                <w:b/>
                <w:sz w:val="18"/>
                <w:lang w:eastAsia="ja-JP"/>
              </w:rPr>
              <w:t>(Days)</w:t>
            </w:r>
          </w:p>
        </w:tc>
        <w:tc>
          <w:tcPr>
            <w:tcW w:w="1705" w:type="dxa"/>
            <w:vAlign w:val="center"/>
          </w:tcPr>
          <w:p w:rsidR="008F3283" w:rsidRPr="00274E42" w:rsidRDefault="008F3283" w:rsidP="008F3283">
            <w:pPr>
              <w:jc w:val="center"/>
              <w:rPr>
                <w:rFonts w:ascii="Arial" w:hAnsi="Arial"/>
                <w:b/>
                <w:sz w:val="18"/>
                <w:lang w:eastAsia="ja-JP"/>
              </w:rPr>
            </w:pPr>
            <w:r w:rsidRPr="00274E42">
              <w:rPr>
                <w:rFonts w:ascii="Arial" w:hAnsi="Arial"/>
                <w:b/>
                <w:sz w:val="18"/>
                <w:lang w:eastAsia="ja-JP"/>
              </w:rPr>
              <w:t>Type of Charge</w:t>
            </w:r>
          </w:p>
        </w:tc>
        <w:tc>
          <w:tcPr>
            <w:tcW w:w="1700" w:type="dxa"/>
            <w:vAlign w:val="center"/>
          </w:tcPr>
          <w:p w:rsidR="008F3283" w:rsidRPr="00274E42" w:rsidRDefault="008F3283" w:rsidP="008F3283">
            <w:pPr>
              <w:jc w:val="center"/>
              <w:rPr>
                <w:rFonts w:ascii="Arial" w:hAnsi="Arial"/>
                <w:b/>
                <w:sz w:val="18"/>
                <w:lang w:eastAsia="ja-JP"/>
              </w:rPr>
            </w:pPr>
            <w:r w:rsidRPr="00274E42">
              <w:rPr>
                <w:rFonts w:ascii="Arial" w:hAnsi="Arial"/>
                <w:b/>
                <w:sz w:val="18"/>
                <w:lang w:eastAsia="ja-JP"/>
              </w:rPr>
              <w:t>Cost (cents/unit)</w:t>
            </w:r>
          </w:p>
        </w:tc>
        <w:tc>
          <w:tcPr>
            <w:tcW w:w="1695" w:type="dxa"/>
            <w:vAlign w:val="center"/>
          </w:tcPr>
          <w:p w:rsidR="008F3283" w:rsidRPr="00274E42" w:rsidRDefault="008F3283" w:rsidP="008F3283">
            <w:pPr>
              <w:jc w:val="center"/>
              <w:rPr>
                <w:rFonts w:ascii="Arial" w:hAnsi="Arial"/>
                <w:b/>
                <w:sz w:val="18"/>
                <w:lang w:eastAsia="ja-JP"/>
              </w:rPr>
            </w:pPr>
            <w:r w:rsidRPr="00274E42">
              <w:rPr>
                <w:rFonts w:ascii="Arial" w:hAnsi="Arial"/>
                <w:b/>
                <w:sz w:val="18"/>
                <w:lang w:eastAsia="ja-JP"/>
              </w:rPr>
              <w:t>No Units (KWh)</w:t>
            </w:r>
          </w:p>
        </w:tc>
        <w:tc>
          <w:tcPr>
            <w:tcW w:w="1500" w:type="dxa"/>
            <w:vAlign w:val="center"/>
          </w:tcPr>
          <w:p w:rsidR="008F3283" w:rsidRPr="00274E42" w:rsidRDefault="008F3283" w:rsidP="008F3283">
            <w:pPr>
              <w:jc w:val="center"/>
              <w:rPr>
                <w:rFonts w:ascii="Arial" w:hAnsi="Arial"/>
                <w:b/>
                <w:sz w:val="18"/>
                <w:lang w:eastAsia="ja-JP"/>
              </w:rPr>
            </w:pPr>
            <w:r w:rsidRPr="00274E42">
              <w:rPr>
                <w:rFonts w:ascii="Arial" w:hAnsi="Arial"/>
                <w:b/>
                <w:sz w:val="18"/>
                <w:lang w:eastAsia="ja-JP"/>
              </w:rPr>
              <w:t>Cost ($)</w:t>
            </w:r>
          </w:p>
        </w:tc>
        <w:tc>
          <w:tcPr>
            <w:tcW w:w="5605" w:type="dxa"/>
            <w:vAlign w:val="center"/>
          </w:tcPr>
          <w:p w:rsidR="008F3283" w:rsidRPr="00274E42" w:rsidRDefault="008F3283" w:rsidP="008F3283">
            <w:pPr>
              <w:jc w:val="center"/>
              <w:rPr>
                <w:rFonts w:ascii="Arial" w:hAnsi="Arial"/>
                <w:b/>
                <w:sz w:val="18"/>
                <w:lang w:eastAsia="ja-JP"/>
              </w:rPr>
            </w:pPr>
            <w:r w:rsidRPr="00274E42">
              <w:rPr>
                <w:rFonts w:ascii="Arial" w:hAnsi="Arial"/>
                <w:b/>
                <w:sz w:val="18"/>
                <w:lang w:eastAsia="ja-JP"/>
              </w:rPr>
              <w:t>Remarks</w:t>
            </w:r>
          </w:p>
        </w:tc>
      </w:tr>
      <w:tr w:rsidR="008F3283" w:rsidRPr="008F3283" w:rsidTr="00672029">
        <w:trPr>
          <w:cantSplit/>
          <w:trHeight w:hRule="exact" w:val="397"/>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170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Peak</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26.72</w:t>
            </w:r>
          </w:p>
        </w:tc>
        <w:tc>
          <w:tcPr>
            <w:tcW w:w="16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270</w:t>
            </w:r>
          </w:p>
        </w:tc>
        <w:tc>
          <w:tcPr>
            <w:tcW w:w="15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72.14</w:t>
            </w:r>
          </w:p>
        </w:tc>
        <w:tc>
          <w:tcPr>
            <w:tcW w:w="5605" w:type="dxa"/>
            <w:vMerge w:val="restart"/>
            <w:vAlign w:val="center"/>
          </w:tcPr>
          <w:p w:rsidR="000757B4" w:rsidRDefault="000757B4" w:rsidP="00C336A2">
            <w:pPr>
              <w:spacing w:before="60" w:after="60"/>
              <w:rPr>
                <w:rFonts w:ascii="Arial" w:hAnsi="Arial"/>
                <w:sz w:val="18"/>
                <w:lang w:eastAsia="ja-JP"/>
              </w:rPr>
            </w:pPr>
            <w:r w:rsidRPr="000757B4">
              <w:rPr>
                <w:rFonts w:ascii="Arial" w:hAnsi="Arial"/>
                <w:sz w:val="18"/>
                <w:lang w:eastAsia="ja-JP"/>
              </w:rPr>
              <w:t xml:space="preserve">Average cost of domestic light &amp; power = </w:t>
            </w:r>
            <w:r w:rsidR="006728FD">
              <w:rPr>
                <w:rFonts w:ascii="Arial" w:hAnsi="Arial"/>
                <w:sz w:val="18"/>
                <w:lang w:eastAsia="ja-JP"/>
              </w:rPr>
              <w:t>26.51</w:t>
            </w:r>
            <w:r w:rsidRPr="000757B4">
              <w:rPr>
                <w:rFonts w:ascii="Arial" w:hAnsi="Arial"/>
                <w:sz w:val="18"/>
                <w:lang w:eastAsia="ja-JP"/>
              </w:rPr>
              <w:t xml:space="preserve"> cents/KWh</w:t>
            </w:r>
          </w:p>
          <w:p w:rsidR="000757B4" w:rsidRPr="008F3283" w:rsidRDefault="000757B4" w:rsidP="006728FD">
            <w:pPr>
              <w:spacing w:before="60" w:after="60"/>
              <w:rPr>
                <w:rFonts w:ascii="Arial" w:hAnsi="Arial"/>
                <w:sz w:val="18"/>
                <w:lang w:eastAsia="ja-JP"/>
              </w:rPr>
            </w:pPr>
            <w:r w:rsidRPr="000757B4">
              <w:rPr>
                <w:rFonts w:ascii="Arial" w:hAnsi="Arial"/>
                <w:sz w:val="18"/>
                <w:lang w:eastAsia="ja-JP"/>
              </w:rPr>
              <w:t xml:space="preserve">Average cost is </w:t>
            </w:r>
            <w:r w:rsidR="006728FD">
              <w:rPr>
                <w:rFonts w:ascii="Arial" w:hAnsi="Arial"/>
                <w:sz w:val="18"/>
                <w:lang w:eastAsia="ja-JP"/>
              </w:rPr>
              <w:t>108.9</w:t>
            </w:r>
            <w:r w:rsidRPr="000757B4">
              <w:rPr>
                <w:rFonts w:ascii="Arial" w:hAnsi="Arial"/>
                <w:sz w:val="18"/>
                <w:lang w:eastAsia="ja-JP"/>
              </w:rPr>
              <w:t xml:space="preserve">% higher than </w:t>
            </w:r>
            <w:r w:rsidR="00672029">
              <w:rPr>
                <w:rFonts w:ascii="Arial" w:hAnsi="Arial"/>
                <w:sz w:val="18"/>
                <w:lang w:eastAsia="ja-JP"/>
              </w:rPr>
              <w:t>28</w:t>
            </w:r>
            <w:r w:rsidR="00672029" w:rsidRPr="00C336A2">
              <w:rPr>
                <w:rFonts w:ascii="Arial" w:hAnsi="Arial"/>
                <w:sz w:val="18"/>
                <w:lang w:eastAsia="ja-JP"/>
              </w:rPr>
              <w:t>th</w:t>
            </w:r>
            <w:r w:rsidR="00672029">
              <w:rPr>
                <w:rFonts w:ascii="Arial" w:hAnsi="Arial"/>
                <w:sz w:val="18"/>
                <w:lang w:eastAsia="ja-JP"/>
              </w:rPr>
              <w:t xml:space="preserve"> March 2000</w:t>
            </w:r>
          </w:p>
        </w:tc>
      </w:tr>
      <w:tr w:rsidR="008F3283" w:rsidRPr="008F3283" w:rsidTr="00F0439B">
        <w:trPr>
          <w:cantSplit/>
          <w:trHeight w:hRule="exact" w:val="520"/>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170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Peak Next</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27.23</w:t>
            </w:r>
          </w:p>
        </w:tc>
        <w:tc>
          <w:tcPr>
            <w:tcW w:w="16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587</w:t>
            </w:r>
          </w:p>
        </w:tc>
        <w:tc>
          <w:tcPr>
            <w:tcW w:w="15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159.84</w:t>
            </w:r>
          </w:p>
        </w:tc>
        <w:tc>
          <w:tcPr>
            <w:tcW w:w="5605" w:type="dxa"/>
            <w:vMerge/>
            <w:vAlign w:val="center"/>
          </w:tcPr>
          <w:p w:rsidR="008F3283" w:rsidRPr="008F3283" w:rsidRDefault="008F3283" w:rsidP="00C336A2">
            <w:pPr>
              <w:spacing w:before="60" w:after="60"/>
              <w:rPr>
                <w:rFonts w:ascii="Arial" w:hAnsi="Arial"/>
                <w:sz w:val="18"/>
                <w:lang w:eastAsia="ja-JP"/>
              </w:rPr>
            </w:pPr>
          </w:p>
        </w:tc>
      </w:tr>
      <w:tr w:rsidR="008F3283" w:rsidRPr="008F3283" w:rsidTr="00C336A2">
        <w:trPr>
          <w:cantSplit/>
          <w:trHeight w:val="687"/>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170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Controlled Load</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12.07</w:t>
            </w:r>
          </w:p>
        </w:tc>
        <w:tc>
          <w:tcPr>
            <w:tcW w:w="16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600</w:t>
            </w:r>
          </w:p>
        </w:tc>
        <w:tc>
          <w:tcPr>
            <w:tcW w:w="15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72.42</w:t>
            </w:r>
          </w:p>
        </w:tc>
        <w:tc>
          <w:tcPr>
            <w:tcW w:w="5605" w:type="dxa"/>
            <w:vAlign w:val="center"/>
          </w:tcPr>
          <w:p w:rsidR="00767D2F" w:rsidRDefault="00767D2F" w:rsidP="00C336A2">
            <w:pPr>
              <w:spacing w:before="60" w:after="60"/>
              <w:rPr>
                <w:rFonts w:ascii="Arial" w:hAnsi="Arial"/>
                <w:sz w:val="18"/>
                <w:lang w:eastAsia="ja-JP"/>
              </w:rPr>
            </w:pPr>
            <w:r w:rsidRPr="00767D2F">
              <w:rPr>
                <w:rFonts w:ascii="Arial" w:hAnsi="Arial"/>
                <w:sz w:val="18"/>
                <w:lang w:eastAsia="ja-JP"/>
              </w:rPr>
              <w:t xml:space="preserve">Average cost of </w:t>
            </w:r>
            <w:r>
              <w:rPr>
                <w:rFonts w:ascii="Arial" w:hAnsi="Arial"/>
                <w:sz w:val="18"/>
                <w:lang w:eastAsia="ja-JP"/>
              </w:rPr>
              <w:t>off-peak</w:t>
            </w:r>
            <w:r w:rsidRPr="00767D2F">
              <w:rPr>
                <w:rFonts w:ascii="Arial" w:hAnsi="Arial"/>
                <w:sz w:val="18"/>
                <w:lang w:eastAsia="ja-JP"/>
              </w:rPr>
              <w:t xml:space="preserve"> power = </w:t>
            </w:r>
            <w:r>
              <w:rPr>
                <w:rFonts w:ascii="Arial" w:hAnsi="Arial"/>
                <w:sz w:val="18"/>
                <w:lang w:eastAsia="ja-JP"/>
              </w:rPr>
              <w:t>12</w:t>
            </w:r>
            <w:r w:rsidRPr="00767D2F">
              <w:rPr>
                <w:rFonts w:ascii="Arial" w:hAnsi="Arial"/>
                <w:sz w:val="18"/>
                <w:lang w:eastAsia="ja-JP"/>
              </w:rPr>
              <w:t>.07 cents/KWh</w:t>
            </w:r>
          </w:p>
          <w:p w:rsidR="008F3283" w:rsidRPr="008F3283" w:rsidRDefault="00767D2F" w:rsidP="00C336A2">
            <w:pPr>
              <w:spacing w:before="60" w:after="60"/>
              <w:rPr>
                <w:rFonts w:ascii="Arial" w:hAnsi="Arial"/>
                <w:sz w:val="18"/>
                <w:lang w:eastAsia="ja-JP"/>
              </w:rPr>
            </w:pPr>
            <w:r w:rsidRPr="00767D2F">
              <w:rPr>
                <w:rFonts w:ascii="Arial" w:hAnsi="Arial"/>
                <w:sz w:val="18"/>
                <w:lang w:eastAsia="ja-JP"/>
              </w:rPr>
              <w:t xml:space="preserve">Average cost is </w:t>
            </w:r>
            <w:r w:rsidR="00C80BC0">
              <w:rPr>
                <w:rFonts w:ascii="Arial" w:hAnsi="Arial"/>
                <w:sz w:val="18"/>
                <w:lang w:eastAsia="ja-JP"/>
              </w:rPr>
              <w:t>151.98</w:t>
            </w:r>
            <w:r w:rsidRPr="00767D2F">
              <w:rPr>
                <w:rFonts w:ascii="Arial" w:hAnsi="Arial"/>
                <w:sz w:val="18"/>
                <w:lang w:eastAsia="ja-JP"/>
              </w:rPr>
              <w:t>% higher than 28</w:t>
            </w:r>
            <w:r w:rsidRPr="00C336A2">
              <w:rPr>
                <w:rFonts w:ascii="Arial" w:hAnsi="Arial"/>
                <w:sz w:val="18"/>
                <w:lang w:eastAsia="ja-JP"/>
              </w:rPr>
              <w:t>th</w:t>
            </w:r>
            <w:r>
              <w:rPr>
                <w:rFonts w:ascii="Arial" w:hAnsi="Arial"/>
                <w:sz w:val="18"/>
                <w:lang w:eastAsia="ja-JP"/>
              </w:rPr>
              <w:t xml:space="preserve"> </w:t>
            </w:r>
            <w:r w:rsidRPr="00767D2F">
              <w:rPr>
                <w:rFonts w:ascii="Arial" w:hAnsi="Arial"/>
                <w:sz w:val="18"/>
                <w:lang w:eastAsia="ja-JP"/>
              </w:rPr>
              <w:t>March 2000</w:t>
            </w:r>
          </w:p>
        </w:tc>
      </w:tr>
      <w:tr w:rsidR="008F3283" w:rsidRPr="008F3283" w:rsidTr="00356B1E">
        <w:trPr>
          <w:cantSplit/>
          <w:trHeight w:val="567"/>
          <w:jc w:val="center"/>
        </w:trPr>
        <w:tc>
          <w:tcPr>
            <w:tcW w:w="13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95</w:t>
            </w:r>
          </w:p>
        </w:tc>
        <w:tc>
          <w:tcPr>
            <w:tcW w:w="170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Supply Charge (per day)</w:t>
            </w:r>
          </w:p>
        </w:tc>
        <w:tc>
          <w:tcPr>
            <w:tcW w:w="17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59.77</w:t>
            </w:r>
          </w:p>
        </w:tc>
        <w:tc>
          <w:tcPr>
            <w:tcW w:w="1695"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w:t>
            </w:r>
          </w:p>
        </w:tc>
        <w:tc>
          <w:tcPr>
            <w:tcW w:w="1500" w:type="dxa"/>
            <w:vAlign w:val="center"/>
          </w:tcPr>
          <w:p w:rsidR="008F3283" w:rsidRPr="008F3283" w:rsidRDefault="008F3283" w:rsidP="008F3283">
            <w:pPr>
              <w:jc w:val="center"/>
              <w:rPr>
                <w:rFonts w:ascii="Arial" w:hAnsi="Arial"/>
                <w:sz w:val="18"/>
                <w:lang w:eastAsia="ja-JP"/>
              </w:rPr>
            </w:pPr>
            <w:r w:rsidRPr="008F3283">
              <w:rPr>
                <w:rFonts w:ascii="Arial" w:hAnsi="Arial"/>
                <w:sz w:val="18"/>
                <w:lang w:eastAsia="ja-JP"/>
              </w:rPr>
              <w:t>56.78</w:t>
            </w:r>
          </w:p>
        </w:tc>
        <w:tc>
          <w:tcPr>
            <w:tcW w:w="5605" w:type="dxa"/>
            <w:vAlign w:val="center"/>
          </w:tcPr>
          <w:p w:rsidR="008F3283" w:rsidRPr="008F3283" w:rsidRDefault="008F3283" w:rsidP="00CB21E6">
            <w:pPr>
              <w:spacing w:before="60" w:after="60"/>
              <w:rPr>
                <w:rFonts w:ascii="Arial" w:hAnsi="Arial"/>
                <w:sz w:val="18"/>
                <w:lang w:eastAsia="ja-JP"/>
              </w:rPr>
            </w:pPr>
            <w:r w:rsidRPr="008F3283">
              <w:rPr>
                <w:rFonts w:ascii="Arial" w:hAnsi="Arial"/>
                <w:sz w:val="18"/>
                <w:lang w:eastAsia="ja-JP"/>
              </w:rPr>
              <w:t xml:space="preserve">Average cost in cents per unit is </w:t>
            </w:r>
            <w:r w:rsidR="00CB21E6">
              <w:rPr>
                <w:rFonts w:ascii="Arial" w:hAnsi="Arial"/>
                <w:sz w:val="18"/>
                <w:lang w:eastAsia="ja-JP"/>
              </w:rPr>
              <w:t>136.06</w:t>
            </w:r>
            <w:r w:rsidRPr="008F3283">
              <w:rPr>
                <w:rFonts w:ascii="Arial" w:hAnsi="Arial"/>
                <w:sz w:val="18"/>
                <w:lang w:eastAsia="ja-JP"/>
              </w:rPr>
              <w:t>% higher than 28</w:t>
            </w:r>
            <w:r w:rsidRPr="00C336A2">
              <w:rPr>
                <w:rFonts w:ascii="Arial" w:hAnsi="Arial"/>
                <w:sz w:val="18"/>
                <w:lang w:eastAsia="ja-JP"/>
              </w:rPr>
              <w:t>th</w:t>
            </w:r>
            <w:r w:rsidRPr="008F3283">
              <w:rPr>
                <w:rFonts w:ascii="Arial" w:hAnsi="Arial"/>
                <w:sz w:val="18"/>
                <w:lang w:eastAsia="ja-JP"/>
              </w:rPr>
              <w:t xml:space="preserve"> March 2000</w:t>
            </w:r>
          </w:p>
        </w:tc>
      </w:tr>
      <w:tr w:rsidR="008F3283" w:rsidRPr="008F3283" w:rsidTr="00356B1E">
        <w:trPr>
          <w:cantSplit/>
          <w:trHeight w:val="567"/>
          <w:jc w:val="center"/>
        </w:trPr>
        <w:tc>
          <w:tcPr>
            <w:tcW w:w="1395"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95</w:t>
            </w:r>
          </w:p>
        </w:tc>
        <w:tc>
          <w:tcPr>
            <w:tcW w:w="1705"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Sub-Total</w:t>
            </w:r>
          </w:p>
        </w:tc>
        <w:tc>
          <w:tcPr>
            <w:tcW w:w="1700" w:type="dxa"/>
            <w:vAlign w:val="center"/>
          </w:tcPr>
          <w:p w:rsidR="008F3283" w:rsidRPr="008F3283" w:rsidRDefault="008F3283" w:rsidP="008F3283">
            <w:pPr>
              <w:jc w:val="center"/>
              <w:rPr>
                <w:rFonts w:ascii="Arial" w:hAnsi="Arial"/>
                <w:b/>
                <w:sz w:val="18"/>
                <w:lang w:eastAsia="ja-JP"/>
              </w:rPr>
            </w:pPr>
          </w:p>
        </w:tc>
        <w:tc>
          <w:tcPr>
            <w:tcW w:w="1695"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1,457</w:t>
            </w:r>
          </w:p>
        </w:tc>
        <w:tc>
          <w:tcPr>
            <w:tcW w:w="1500" w:type="dxa"/>
            <w:vAlign w:val="center"/>
          </w:tcPr>
          <w:p w:rsidR="008F3283" w:rsidRPr="008F3283" w:rsidRDefault="00F0439B" w:rsidP="008F3283">
            <w:pPr>
              <w:jc w:val="center"/>
              <w:rPr>
                <w:rFonts w:ascii="Arial" w:hAnsi="Arial"/>
                <w:b/>
                <w:sz w:val="18"/>
                <w:lang w:eastAsia="ja-JP"/>
              </w:rPr>
            </w:pPr>
            <w:r>
              <w:rPr>
                <w:rFonts w:ascii="Arial" w:hAnsi="Arial"/>
                <w:b/>
                <w:sz w:val="18"/>
                <w:lang w:eastAsia="ja-JP"/>
              </w:rPr>
              <w:t>$</w:t>
            </w:r>
            <w:r w:rsidR="008F3283" w:rsidRPr="008F3283">
              <w:rPr>
                <w:rFonts w:ascii="Arial" w:hAnsi="Arial"/>
                <w:b/>
                <w:sz w:val="18"/>
                <w:lang w:eastAsia="ja-JP"/>
              </w:rPr>
              <w:t>361.18</w:t>
            </w:r>
          </w:p>
        </w:tc>
        <w:tc>
          <w:tcPr>
            <w:tcW w:w="5605" w:type="dxa"/>
            <w:vAlign w:val="center"/>
          </w:tcPr>
          <w:p w:rsidR="008F3283" w:rsidRDefault="008F3283" w:rsidP="00F8307F">
            <w:pPr>
              <w:spacing w:before="60" w:after="60"/>
              <w:rPr>
                <w:rFonts w:ascii="Arial" w:hAnsi="Arial"/>
                <w:sz w:val="18"/>
                <w:lang w:eastAsia="ja-JP"/>
              </w:rPr>
            </w:pPr>
            <w:r w:rsidRPr="008F3283">
              <w:rPr>
                <w:rFonts w:ascii="Arial" w:hAnsi="Arial"/>
                <w:sz w:val="18"/>
                <w:lang w:eastAsia="ja-JP"/>
              </w:rPr>
              <w:t>123.6% cost increase compared to 28</w:t>
            </w:r>
            <w:r w:rsidRPr="008F3283">
              <w:rPr>
                <w:rFonts w:ascii="Arial" w:hAnsi="Arial"/>
                <w:sz w:val="18"/>
                <w:vertAlign w:val="superscript"/>
                <w:lang w:eastAsia="ja-JP"/>
              </w:rPr>
              <w:t>th</w:t>
            </w:r>
            <w:r w:rsidRPr="008F3283">
              <w:rPr>
                <w:rFonts w:ascii="Arial" w:hAnsi="Arial"/>
                <w:sz w:val="18"/>
                <w:lang w:eastAsia="ja-JP"/>
              </w:rPr>
              <w:t xml:space="preserve"> March 2000 charges over 14 years.</w:t>
            </w:r>
          </w:p>
          <w:p w:rsidR="00CC6052" w:rsidRPr="008F3283" w:rsidRDefault="00CC6052" w:rsidP="00030D9D">
            <w:pPr>
              <w:spacing w:before="60" w:after="60"/>
              <w:rPr>
                <w:rFonts w:ascii="Arial" w:hAnsi="Arial"/>
                <w:sz w:val="18"/>
                <w:lang w:eastAsia="ja-JP"/>
              </w:rPr>
            </w:pPr>
            <w:r w:rsidRPr="00C85799">
              <w:rPr>
                <w:rFonts w:ascii="Arial" w:hAnsi="Arial"/>
                <w:b/>
                <w:sz w:val="18"/>
                <w:lang w:eastAsia="ja-JP"/>
              </w:rPr>
              <w:t xml:space="preserve">Overall average cost of power = </w:t>
            </w:r>
            <w:r w:rsidR="008824DD">
              <w:rPr>
                <w:rFonts w:ascii="Arial" w:hAnsi="Arial"/>
                <w:b/>
                <w:sz w:val="18"/>
                <w:lang w:eastAsia="ja-JP"/>
              </w:rPr>
              <w:t>24.79</w:t>
            </w:r>
            <w:r w:rsidRPr="00C85799">
              <w:rPr>
                <w:rFonts w:ascii="Arial" w:hAnsi="Arial"/>
                <w:b/>
                <w:sz w:val="18"/>
                <w:lang w:eastAsia="ja-JP"/>
              </w:rPr>
              <w:t xml:space="preserve"> cents per KWh</w:t>
            </w:r>
            <w:r w:rsidR="00C353E3">
              <w:rPr>
                <w:rFonts w:ascii="Arial" w:hAnsi="Arial"/>
                <w:b/>
                <w:sz w:val="18"/>
                <w:lang w:eastAsia="ja-JP"/>
              </w:rPr>
              <w:t xml:space="preserve"> excluding GST</w:t>
            </w:r>
            <w:r w:rsidRPr="00C85799">
              <w:rPr>
                <w:rFonts w:ascii="Arial" w:hAnsi="Arial"/>
                <w:b/>
                <w:sz w:val="18"/>
                <w:lang w:eastAsia="ja-JP"/>
              </w:rPr>
              <w:t>.</w:t>
            </w:r>
          </w:p>
        </w:tc>
      </w:tr>
      <w:tr w:rsidR="008F3283" w:rsidRPr="008F3283" w:rsidTr="0031138C">
        <w:trPr>
          <w:cantSplit/>
          <w:trHeight w:val="336"/>
          <w:jc w:val="center"/>
        </w:trPr>
        <w:tc>
          <w:tcPr>
            <w:tcW w:w="1395" w:type="dxa"/>
            <w:vAlign w:val="center"/>
          </w:tcPr>
          <w:p w:rsidR="008F3283" w:rsidRPr="008F3283" w:rsidRDefault="008F3283" w:rsidP="008F3283">
            <w:pPr>
              <w:jc w:val="center"/>
              <w:rPr>
                <w:rFonts w:ascii="Arial" w:hAnsi="Arial"/>
                <w:sz w:val="18"/>
                <w:lang w:eastAsia="ja-JP"/>
              </w:rPr>
            </w:pPr>
          </w:p>
        </w:tc>
        <w:tc>
          <w:tcPr>
            <w:tcW w:w="1705"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GST</w:t>
            </w:r>
          </w:p>
        </w:tc>
        <w:tc>
          <w:tcPr>
            <w:tcW w:w="1700" w:type="dxa"/>
            <w:vAlign w:val="center"/>
          </w:tcPr>
          <w:p w:rsidR="008F3283" w:rsidRPr="008F3283" w:rsidRDefault="008F3283" w:rsidP="008F3283">
            <w:pPr>
              <w:jc w:val="center"/>
              <w:rPr>
                <w:rFonts w:ascii="Arial" w:hAnsi="Arial"/>
                <w:b/>
                <w:sz w:val="18"/>
                <w:lang w:eastAsia="ja-JP"/>
              </w:rPr>
            </w:pPr>
          </w:p>
        </w:tc>
        <w:tc>
          <w:tcPr>
            <w:tcW w:w="1695" w:type="dxa"/>
            <w:vAlign w:val="center"/>
          </w:tcPr>
          <w:p w:rsidR="008F3283" w:rsidRPr="008F3283" w:rsidRDefault="008F3283" w:rsidP="008F3283">
            <w:pPr>
              <w:jc w:val="center"/>
              <w:rPr>
                <w:rFonts w:ascii="Arial" w:hAnsi="Arial"/>
                <w:b/>
                <w:sz w:val="18"/>
                <w:lang w:eastAsia="ja-JP"/>
              </w:rPr>
            </w:pPr>
          </w:p>
        </w:tc>
        <w:tc>
          <w:tcPr>
            <w:tcW w:w="1500" w:type="dxa"/>
            <w:vAlign w:val="center"/>
          </w:tcPr>
          <w:p w:rsidR="008F3283" w:rsidRPr="008F3283" w:rsidRDefault="00F0439B" w:rsidP="008F3283">
            <w:pPr>
              <w:jc w:val="center"/>
              <w:rPr>
                <w:rFonts w:ascii="Arial" w:hAnsi="Arial"/>
                <w:b/>
                <w:sz w:val="18"/>
                <w:lang w:eastAsia="ja-JP"/>
              </w:rPr>
            </w:pPr>
            <w:r>
              <w:rPr>
                <w:rFonts w:ascii="Arial" w:hAnsi="Arial"/>
                <w:b/>
                <w:sz w:val="18"/>
                <w:lang w:eastAsia="ja-JP"/>
              </w:rPr>
              <w:t>$</w:t>
            </w:r>
            <w:r w:rsidR="008F3283" w:rsidRPr="008F3283">
              <w:rPr>
                <w:rFonts w:ascii="Arial" w:hAnsi="Arial"/>
                <w:b/>
                <w:sz w:val="18"/>
                <w:lang w:eastAsia="ja-JP"/>
              </w:rPr>
              <w:t>36.12</w:t>
            </w:r>
          </w:p>
        </w:tc>
        <w:tc>
          <w:tcPr>
            <w:tcW w:w="5605" w:type="dxa"/>
            <w:vAlign w:val="center"/>
          </w:tcPr>
          <w:p w:rsidR="008F3283" w:rsidRPr="008F3283" w:rsidRDefault="008F3283" w:rsidP="008F3283">
            <w:pPr>
              <w:rPr>
                <w:rFonts w:ascii="Arial" w:hAnsi="Arial"/>
                <w:sz w:val="18"/>
                <w:lang w:eastAsia="ja-JP"/>
              </w:rPr>
            </w:pPr>
          </w:p>
        </w:tc>
      </w:tr>
      <w:tr w:rsidR="008F3283" w:rsidRPr="008F3283" w:rsidTr="00601274">
        <w:trPr>
          <w:cantSplit/>
          <w:trHeight w:val="1200"/>
          <w:jc w:val="center"/>
        </w:trPr>
        <w:tc>
          <w:tcPr>
            <w:tcW w:w="1395" w:type="dxa"/>
            <w:vAlign w:val="center"/>
          </w:tcPr>
          <w:p w:rsidR="008F3283" w:rsidRPr="008F3283" w:rsidRDefault="008F3283" w:rsidP="008F3283">
            <w:pPr>
              <w:jc w:val="center"/>
              <w:rPr>
                <w:rFonts w:ascii="Arial" w:hAnsi="Arial"/>
                <w:sz w:val="18"/>
                <w:lang w:eastAsia="ja-JP"/>
              </w:rPr>
            </w:pPr>
          </w:p>
        </w:tc>
        <w:tc>
          <w:tcPr>
            <w:tcW w:w="1705"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Total</w:t>
            </w:r>
          </w:p>
        </w:tc>
        <w:tc>
          <w:tcPr>
            <w:tcW w:w="1700" w:type="dxa"/>
            <w:vAlign w:val="center"/>
          </w:tcPr>
          <w:p w:rsidR="008F3283" w:rsidRPr="008F3283" w:rsidRDefault="008F3283" w:rsidP="008F3283">
            <w:pPr>
              <w:jc w:val="center"/>
              <w:rPr>
                <w:rFonts w:ascii="Arial" w:hAnsi="Arial"/>
                <w:b/>
                <w:sz w:val="18"/>
                <w:lang w:eastAsia="ja-JP"/>
              </w:rPr>
            </w:pPr>
          </w:p>
        </w:tc>
        <w:tc>
          <w:tcPr>
            <w:tcW w:w="1695" w:type="dxa"/>
            <w:vAlign w:val="center"/>
          </w:tcPr>
          <w:p w:rsidR="008F3283" w:rsidRPr="008F3283" w:rsidRDefault="008F3283" w:rsidP="008F3283">
            <w:pPr>
              <w:jc w:val="center"/>
              <w:rPr>
                <w:rFonts w:ascii="Arial" w:hAnsi="Arial"/>
                <w:b/>
                <w:sz w:val="18"/>
                <w:lang w:eastAsia="ja-JP"/>
              </w:rPr>
            </w:pPr>
            <w:r w:rsidRPr="008F3283">
              <w:rPr>
                <w:rFonts w:ascii="Arial" w:hAnsi="Arial"/>
                <w:b/>
                <w:sz w:val="18"/>
                <w:lang w:eastAsia="ja-JP"/>
              </w:rPr>
              <w:t>1,457</w:t>
            </w:r>
          </w:p>
        </w:tc>
        <w:tc>
          <w:tcPr>
            <w:tcW w:w="1500" w:type="dxa"/>
            <w:vAlign w:val="center"/>
          </w:tcPr>
          <w:p w:rsidR="008F3283" w:rsidRPr="008F3283" w:rsidRDefault="00F0439B" w:rsidP="008F3283">
            <w:pPr>
              <w:jc w:val="center"/>
              <w:rPr>
                <w:rFonts w:ascii="Arial" w:hAnsi="Arial"/>
                <w:b/>
                <w:sz w:val="18"/>
                <w:lang w:eastAsia="ja-JP"/>
              </w:rPr>
            </w:pPr>
            <w:r>
              <w:rPr>
                <w:rFonts w:ascii="Arial" w:hAnsi="Arial"/>
                <w:b/>
                <w:sz w:val="18"/>
                <w:lang w:eastAsia="ja-JP"/>
              </w:rPr>
              <w:t>$</w:t>
            </w:r>
            <w:r w:rsidR="008F3283" w:rsidRPr="008F3283">
              <w:rPr>
                <w:rFonts w:ascii="Arial" w:hAnsi="Arial"/>
                <w:b/>
                <w:sz w:val="18"/>
                <w:lang w:eastAsia="ja-JP"/>
              </w:rPr>
              <w:t>397.30</w:t>
            </w:r>
          </w:p>
        </w:tc>
        <w:tc>
          <w:tcPr>
            <w:tcW w:w="5605" w:type="dxa"/>
            <w:vAlign w:val="center"/>
          </w:tcPr>
          <w:p w:rsidR="008F3283" w:rsidRDefault="008F3283" w:rsidP="00C336A2">
            <w:pPr>
              <w:spacing w:before="60" w:after="60"/>
              <w:rPr>
                <w:rFonts w:ascii="Arial" w:hAnsi="Arial"/>
                <w:sz w:val="18"/>
                <w:lang w:eastAsia="ja-JP"/>
              </w:rPr>
            </w:pPr>
            <w:r w:rsidRPr="001A2D58">
              <w:rPr>
                <w:rFonts w:ascii="Arial" w:hAnsi="Arial"/>
                <w:sz w:val="18"/>
                <w:lang w:eastAsia="ja-JP"/>
              </w:rPr>
              <w:t xml:space="preserve">Including </w:t>
            </w:r>
            <w:r w:rsidR="00CC6052" w:rsidRPr="001A2D58">
              <w:rPr>
                <w:rFonts w:ascii="Arial" w:hAnsi="Arial"/>
                <w:sz w:val="18"/>
                <w:lang w:eastAsia="ja-JP"/>
              </w:rPr>
              <w:t xml:space="preserve">10% </w:t>
            </w:r>
            <w:r w:rsidRPr="001A2D58">
              <w:rPr>
                <w:rFonts w:ascii="Arial" w:hAnsi="Arial"/>
                <w:sz w:val="18"/>
                <w:lang w:eastAsia="ja-JP"/>
              </w:rPr>
              <w:t>GST brings the cost increase up to 145.9%</w:t>
            </w:r>
            <w:r w:rsidR="00F0439B">
              <w:rPr>
                <w:rFonts w:ascii="Arial" w:hAnsi="Arial"/>
                <w:sz w:val="18"/>
                <w:lang w:eastAsia="ja-JP"/>
              </w:rPr>
              <w:t xml:space="preserve"> </w:t>
            </w:r>
            <w:r w:rsidRPr="001A2D58">
              <w:rPr>
                <w:rFonts w:ascii="Arial" w:hAnsi="Arial"/>
                <w:sz w:val="18"/>
                <w:lang w:eastAsia="ja-JP"/>
              </w:rPr>
              <w:t xml:space="preserve">compared to </w:t>
            </w:r>
            <w:r w:rsidR="00FA77E7" w:rsidRPr="00FA77E7">
              <w:rPr>
                <w:rFonts w:ascii="Arial" w:hAnsi="Arial"/>
                <w:sz w:val="18"/>
                <w:lang w:eastAsia="ja-JP"/>
              </w:rPr>
              <w:t xml:space="preserve">GST free </w:t>
            </w:r>
            <w:r w:rsidRPr="001A2D58">
              <w:rPr>
                <w:rFonts w:ascii="Arial" w:hAnsi="Arial"/>
                <w:sz w:val="18"/>
                <w:lang w:eastAsia="ja-JP"/>
              </w:rPr>
              <w:t>28</w:t>
            </w:r>
            <w:r w:rsidRPr="001A2D58">
              <w:rPr>
                <w:rFonts w:ascii="Arial" w:hAnsi="Arial"/>
                <w:sz w:val="18"/>
                <w:vertAlign w:val="superscript"/>
                <w:lang w:eastAsia="ja-JP"/>
              </w:rPr>
              <w:t>th</w:t>
            </w:r>
            <w:r w:rsidRPr="001A2D58">
              <w:rPr>
                <w:rFonts w:ascii="Arial" w:hAnsi="Arial"/>
                <w:sz w:val="18"/>
                <w:lang w:eastAsia="ja-JP"/>
              </w:rPr>
              <w:t xml:space="preserve"> March 2000 charges over 14 years.</w:t>
            </w:r>
          </w:p>
          <w:p w:rsidR="001A2D58" w:rsidRPr="008F3283" w:rsidRDefault="001A2D58" w:rsidP="00030D9D">
            <w:pPr>
              <w:spacing w:before="60" w:after="60"/>
              <w:rPr>
                <w:rFonts w:ascii="Arial" w:hAnsi="Arial"/>
                <w:sz w:val="18"/>
                <w:lang w:eastAsia="ja-JP"/>
              </w:rPr>
            </w:pPr>
            <w:r w:rsidRPr="00C85799">
              <w:rPr>
                <w:rFonts w:ascii="Arial" w:hAnsi="Arial"/>
                <w:b/>
                <w:sz w:val="18"/>
                <w:lang w:eastAsia="ja-JP"/>
              </w:rPr>
              <w:t xml:space="preserve">Overall average cost of power = </w:t>
            </w:r>
            <w:r w:rsidR="008824DD" w:rsidRPr="008824DD">
              <w:rPr>
                <w:rFonts w:ascii="Arial" w:hAnsi="Arial"/>
                <w:b/>
                <w:sz w:val="18"/>
                <w:lang w:eastAsia="ja-JP"/>
              </w:rPr>
              <w:t xml:space="preserve">27.3 </w:t>
            </w:r>
            <w:r w:rsidRPr="00C85799">
              <w:rPr>
                <w:rFonts w:ascii="Arial" w:hAnsi="Arial"/>
                <w:b/>
                <w:sz w:val="18"/>
                <w:lang w:eastAsia="ja-JP"/>
              </w:rPr>
              <w:t>cents per KWh</w:t>
            </w:r>
            <w:r w:rsidR="00C353E3">
              <w:rPr>
                <w:rFonts w:ascii="Arial" w:hAnsi="Arial"/>
                <w:b/>
                <w:sz w:val="18"/>
                <w:lang w:eastAsia="ja-JP"/>
              </w:rPr>
              <w:t xml:space="preserve"> including GST</w:t>
            </w:r>
            <w:r w:rsidRPr="00C85799">
              <w:rPr>
                <w:rFonts w:ascii="Arial" w:hAnsi="Arial"/>
                <w:b/>
                <w:sz w:val="18"/>
                <w:lang w:eastAsia="ja-JP"/>
              </w:rPr>
              <w:t>.</w:t>
            </w:r>
          </w:p>
        </w:tc>
      </w:tr>
    </w:tbl>
    <w:p w:rsidR="00D27933" w:rsidRDefault="00D27933" w:rsidP="008F3283">
      <w:pPr>
        <w:tabs>
          <w:tab w:val="left" w:pos="1508"/>
          <w:tab w:val="left" w:pos="3213"/>
          <w:tab w:val="left" w:pos="4913"/>
          <w:tab w:val="left" w:pos="6608"/>
          <w:tab w:val="left" w:pos="8108"/>
        </w:tabs>
        <w:ind w:left="113"/>
        <w:rPr>
          <w:rFonts w:ascii="Arial" w:hAnsi="Arial"/>
          <w:sz w:val="18"/>
          <w:lang w:eastAsia="ja-JP"/>
        </w:rPr>
      </w:pPr>
      <w:r w:rsidRPr="008F3283">
        <w:rPr>
          <w:rFonts w:ascii="Arial" w:hAnsi="Arial"/>
          <w:sz w:val="18"/>
          <w:lang w:eastAsia="ja-JP"/>
        </w:rPr>
        <w:tab/>
      </w:r>
    </w:p>
    <w:p w:rsidR="006B387E" w:rsidRPr="00360EE8" w:rsidRDefault="006B387E" w:rsidP="008F3283">
      <w:pPr>
        <w:tabs>
          <w:tab w:val="left" w:pos="1508"/>
          <w:tab w:val="left" w:pos="3213"/>
          <w:tab w:val="left" w:pos="4913"/>
          <w:tab w:val="left" w:pos="6608"/>
          <w:tab w:val="left" w:pos="8108"/>
        </w:tabs>
        <w:ind w:left="113"/>
        <w:rPr>
          <w:rFonts w:ascii="Arial" w:hAnsi="Arial"/>
          <w:b/>
          <w:sz w:val="18"/>
          <w:lang w:eastAsia="ja-JP"/>
        </w:rPr>
      </w:pPr>
      <w:r w:rsidRPr="00360EE8">
        <w:rPr>
          <w:b/>
          <w:sz w:val="22"/>
          <w:szCs w:val="22"/>
          <w:lang w:eastAsia="ja-JP"/>
        </w:rPr>
        <w:t>New charges were introduced on 3</w:t>
      </w:r>
      <w:r w:rsidRPr="00360EE8">
        <w:rPr>
          <w:b/>
          <w:sz w:val="22"/>
          <w:szCs w:val="22"/>
          <w:vertAlign w:val="superscript"/>
          <w:lang w:eastAsia="ja-JP"/>
        </w:rPr>
        <w:t>rd</w:t>
      </w:r>
      <w:r w:rsidRPr="00360EE8">
        <w:rPr>
          <w:b/>
          <w:sz w:val="22"/>
          <w:szCs w:val="22"/>
          <w:lang w:eastAsia="ja-JP"/>
        </w:rPr>
        <w:t xml:space="preserve"> July 2014 following removal of the carbon tax on 1</w:t>
      </w:r>
      <w:r w:rsidRPr="00360EE8">
        <w:rPr>
          <w:b/>
          <w:sz w:val="22"/>
          <w:szCs w:val="22"/>
          <w:vertAlign w:val="superscript"/>
          <w:lang w:eastAsia="ja-JP"/>
        </w:rPr>
        <w:t>st</w:t>
      </w:r>
      <w:r w:rsidRPr="00360EE8">
        <w:rPr>
          <w:b/>
          <w:sz w:val="22"/>
          <w:szCs w:val="22"/>
          <w:lang w:eastAsia="ja-JP"/>
        </w:rPr>
        <w:t xml:space="preserve"> July 2014 and these have been used in the above table.</w:t>
      </w:r>
    </w:p>
    <w:p w:rsidR="00D27933" w:rsidRPr="00D27933" w:rsidRDefault="00D27933" w:rsidP="00601274">
      <w:pPr>
        <w:tabs>
          <w:tab w:val="left" w:pos="1508"/>
          <w:tab w:val="left" w:pos="3213"/>
          <w:tab w:val="left" w:pos="4913"/>
          <w:tab w:val="left" w:pos="6608"/>
          <w:tab w:val="left" w:pos="8108"/>
        </w:tabs>
        <w:ind w:left="113"/>
        <w:jc w:val="center"/>
        <w:rPr>
          <w:sz w:val="22"/>
          <w:szCs w:val="22"/>
          <w:lang w:eastAsia="ja-JP"/>
        </w:rPr>
      </w:pPr>
    </w:p>
    <w:p w:rsidR="008F3283" w:rsidRDefault="008F3283" w:rsidP="00C004AF">
      <w:pPr>
        <w:pStyle w:val="DWAppHeading1"/>
        <w:pageBreakBefore w:val="0"/>
        <w:numPr>
          <w:ilvl w:val="1"/>
          <w:numId w:val="35"/>
        </w:numPr>
        <w:outlineLvl w:val="1"/>
      </w:pPr>
      <w:r w:rsidRPr="008F3283">
        <w:rPr>
          <w:rFonts w:ascii="Arial" w:hAnsi="Arial"/>
          <w:b w:val="0"/>
          <w:szCs w:val="24"/>
          <w:lang w:eastAsia="ja-JP"/>
        </w:rPr>
        <w:br w:type="page"/>
      </w:r>
      <w:bookmarkStart w:id="68" w:name="_Toc472599245"/>
      <w:r w:rsidR="00C004AF" w:rsidRPr="00C004AF">
        <w:t xml:space="preserve">SA ELECTRICITY </w:t>
      </w:r>
      <w:r w:rsidR="00CD4A67">
        <w:t xml:space="preserve">Prices - </w:t>
      </w:r>
      <w:r w:rsidRPr="00C548C4">
        <w:t>Public Ownership</w:t>
      </w:r>
      <w:r w:rsidR="00DB45CE">
        <w:t xml:space="preserve"> 1985-1999</w:t>
      </w:r>
      <w:r w:rsidR="00C004AF">
        <w:t xml:space="preserve"> – Summary</w:t>
      </w:r>
      <w:bookmarkEnd w:id="68"/>
    </w:p>
    <w:p w:rsidR="008F3283" w:rsidRPr="008F3283" w:rsidRDefault="008F3283" w:rsidP="005565A8">
      <w:pPr>
        <w:spacing w:before="240" w:after="120"/>
        <w:jc w:val="center"/>
        <w:rPr>
          <w:rFonts w:ascii="Arial" w:hAnsi="Arial"/>
          <w:b/>
          <w:lang w:eastAsia="ja-JP"/>
        </w:rPr>
      </w:pPr>
      <w:r w:rsidRPr="008F3283">
        <w:rPr>
          <w:rFonts w:ascii="Arial" w:hAnsi="Arial"/>
          <w:b/>
          <w:lang w:eastAsia="ja-JP"/>
        </w:rPr>
        <w:t>ETSA account issued 18th November 1985 (Pre-GST) vs 29th September 1999 (Pre-GST)</w:t>
      </w:r>
    </w:p>
    <w:p w:rsidR="008F3283" w:rsidRPr="008F3283" w:rsidRDefault="008F3283" w:rsidP="00C24E29">
      <w:pPr>
        <w:tabs>
          <w:tab w:val="left" w:pos="1531"/>
          <w:tab w:val="left" w:pos="3153"/>
          <w:tab w:val="left" w:pos="5563"/>
          <w:tab w:val="left" w:pos="7406"/>
          <w:tab w:val="left" w:pos="8965"/>
          <w:tab w:val="left" w:pos="10241"/>
          <w:tab w:val="left" w:pos="13575"/>
        </w:tabs>
        <w:spacing w:before="240" w:after="120"/>
        <w:rPr>
          <w:sz w:val="22"/>
          <w:szCs w:val="22"/>
          <w:lang w:eastAsia="ja-JP"/>
        </w:rPr>
      </w:pPr>
      <w:r w:rsidRPr="008F3283">
        <w:rPr>
          <w:sz w:val="22"/>
          <w:szCs w:val="22"/>
          <w:lang w:eastAsia="ja-JP"/>
        </w:rPr>
        <w:t xml:space="preserve">According to the </w:t>
      </w:r>
      <w:hyperlink r:id="rId44" w:history="1">
        <w:r w:rsidRPr="008F3283">
          <w:rPr>
            <w:color w:val="0000FF"/>
            <w:sz w:val="22"/>
            <w:szCs w:val="22"/>
            <w:u w:val="single"/>
            <w:lang w:eastAsia="ja-JP"/>
          </w:rPr>
          <w:t>Reserve Bank of Australia (RBA) Inflation Calculator</w:t>
        </w:r>
      </w:hyperlink>
      <w:r w:rsidRPr="008F3283">
        <w:rPr>
          <w:sz w:val="22"/>
          <w:szCs w:val="22"/>
          <w:lang w:eastAsia="ja-JP"/>
        </w:rPr>
        <w:t xml:space="preserve"> $106.75 (not including GST) in 1985 would be worth $186.22 in 1999 and represents a 74.4% price increase over </w:t>
      </w:r>
      <w:r w:rsidRPr="008F3283">
        <w:rPr>
          <w:b/>
          <w:sz w:val="22"/>
          <w:szCs w:val="22"/>
          <w:lang w:eastAsia="ja-JP"/>
        </w:rPr>
        <w:t>14 years</w:t>
      </w:r>
      <w:r w:rsidRPr="008F3283">
        <w:rPr>
          <w:sz w:val="22"/>
          <w:szCs w:val="22"/>
          <w:lang w:eastAsia="ja-JP"/>
        </w:rPr>
        <w:t xml:space="preserve"> at an average inflation rate of 4.1%. </w:t>
      </w:r>
    </w:p>
    <w:p w:rsidR="008F3283" w:rsidRPr="008F3283" w:rsidRDefault="008F3283" w:rsidP="00C24E29">
      <w:pPr>
        <w:tabs>
          <w:tab w:val="left" w:pos="1531"/>
          <w:tab w:val="left" w:pos="3153"/>
          <w:tab w:val="left" w:pos="5563"/>
          <w:tab w:val="left" w:pos="7406"/>
          <w:tab w:val="left" w:pos="8965"/>
          <w:tab w:val="left" w:pos="10241"/>
          <w:tab w:val="left" w:pos="13575"/>
        </w:tabs>
        <w:spacing w:before="240" w:after="120"/>
        <w:rPr>
          <w:rFonts w:ascii="Arial" w:hAnsi="Arial"/>
          <w:b/>
          <w:lang w:eastAsia="ja-JP"/>
        </w:rPr>
      </w:pPr>
      <w:r w:rsidRPr="008F3283">
        <w:rPr>
          <w:sz w:val="22"/>
          <w:szCs w:val="22"/>
          <w:lang w:eastAsia="ja-JP"/>
        </w:rPr>
        <w:t xml:space="preserve">The </w:t>
      </w:r>
      <w:r w:rsidR="004A6560">
        <w:rPr>
          <w:sz w:val="22"/>
          <w:szCs w:val="22"/>
          <w:lang w:eastAsia="ja-JP"/>
        </w:rPr>
        <w:t xml:space="preserve">actual </w:t>
      </w:r>
      <w:r w:rsidRPr="008F3283">
        <w:rPr>
          <w:sz w:val="22"/>
          <w:szCs w:val="22"/>
          <w:lang w:eastAsia="ja-JP"/>
        </w:rPr>
        <w:t>price increases by ETSA over 14 years as a public utility was 51.3%, 13.9% less than the price predicted by the RBA’s inflation rate from 1985 to 1999.</w:t>
      </w:r>
    </w:p>
    <w:p w:rsidR="008F3283" w:rsidRDefault="00000EFA" w:rsidP="00000EFA">
      <w:pPr>
        <w:pStyle w:val="DWAppHeading1"/>
        <w:pageBreakBefore w:val="0"/>
        <w:numPr>
          <w:ilvl w:val="1"/>
          <w:numId w:val="35"/>
        </w:numPr>
        <w:outlineLvl w:val="1"/>
      </w:pPr>
      <w:bookmarkStart w:id="69" w:name="_Toc472599246"/>
      <w:r w:rsidRPr="00000EFA">
        <w:tab/>
        <w:t xml:space="preserve">SA ELECTRICITY </w:t>
      </w:r>
      <w:r w:rsidR="00CD4A67">
        <w:t xml:space="preserve">Prices - </w:t>
      </w:r>
      <w:r w:rsidR="008F3283" w:rsidRPr="00C548C4">
        <w:t>Private Ownership</w:t>
      </w:r>
      <w:r>
        <w:t xml:space="preserve"> </w:t>
      </w:r>
      <w:r w:rsidR="00DB45CE">
        <w:t>2000-2014</w:t>
      </w:r>
      <w:r>
        <w:t>– Summary</w:t>
      </w:r>
      <w:bookmarkEnd w:id="69"/>
    </w:p>
    <w:p w:rsidR="008F3283" w:rsidRPr="008F3283" w:rsidRDefault="008F3283" w:rsidP="005565A8">
      <w:pPr>
        <w:spacing w:before="240" w:after="120"/>
        <w:jc w:val="center"/>
        <w:rPr>
          <w:rFonts w:ascii="Arial" w:hAnsi="Arial"/>
          <w:b/>
          <w:lang w:eastAsia="ja-JP"/>
        </w:rPr>
      </w:pPr>
      <w:r w:rsidRPr="008F3283">
        <w:rPr>
          <w:rFonts w:ascii="Arial" w:hAnsi="Arial"/>
          <w:b/>
          <w:lang w:eastAsia="ja-JP"/>
        </w:rPr>
        <w:t>AGL Invoice issued 28th March 2000 (Pre-GST) vs. AGL Invoice issued 24th September 2014</w:t>
      </w:r>
    </w:p>
    <w:p w:rsidR="008F3283" w:rsidRPr="008F3283" w:rsidRDefault="008F3283" w:rsidP="00C24E29">
      <w:pPr>
        <w:spacing w:before="240" w:after="120"/>
        <w:rPr>
          <w:sz w:val="22"/>
          <w:szCs w:val="22"/>
          <w:lang w:eastAsia="ja-JP"/>
        </w:rPr>
      </w:pPr>
      <w:r w:rsidRPr="008F3283">
        <w:rPr>
          <w:sz w:val="22"/>
          <w:szCs w:val="22"/>
          <w:lang w:eastAsia="ja-JP"/>
        </w:rPr>
        <w:t xml:space="preserve">According to the </w:t>
      </w:r>
      <w:hyperlink r:id="rId45" w:history="1">
        <w:r w:rsidRPr="008F3283">
          <w:rPr>
            <w:color w:val="0000FF"/>
            <w:sz w:val="22"/>
            <w:szCs w:val="22"/>
            <w:u w:val="single"/>
            <w:lang w:eastAsia="ja-JP"/>
          </w:rPr>
          <w:t>Reserve Bank of Australia (RBA) Inflation Calculator</w:t>
        </w:r>
      </w:hyperlink>
      <w:r w:rsidRPr="008F3283">
        <w:rPr>
          <w:sz w:val="22"/>
          <w:szCs w:val="22"/>
          <w:lang w:eastAsia="ja-JP"/>
        </w:rPr>
        <w:t xml:space="preserve"> $161.54 (not including GST) in 2000 would be worth $239.74 in 2014 and represents a 48.4% price increase over </w:t>
      </w:r>
      <w:r w:rsidRPr="008F3283">
        <w:rPr>
          <w:b/>
          <w:sz w:val="22"/>
          <w:szCs w:val="22"/>
          <w:lang w:eastAsia="ja-JP"/>
        </w:rPr>
        <w:t>14 years</w:t>
      </w:r>
      <w:r w:rsidRPr="008F3283">
        <w:rPr>
          <w:sz w:val="22"/>
          <w:szCs w:val="22"/>
          <w:lang w:eastAsia="ja-JP"/>
        </w:rPr>
        <w:t xml:space="preserve"> at an average inflation rate of 2.9%. Applying GST to the price increase brings the total to $239.74 + $23.97 = $263.71.</w:t>
      </w:r>
    </w:p>
    <w:p w:rsidR="00C24E29" w:rsidRPr="00737A62" w:rsidRDefault="008F3283" w:rsidP="00737A62">
      <w:pPr>
        <w:spacing w:before="240" w:after="120"/>
        <w:rPr>
          <w:sz w:val="22"/>
          <w:szCs w:val="22"/>
          <w:lang w:eastAsia="ja-JP"/>
        </w:rPr>
      </w:pPr>
      <w:r w:rsidRPr="008F3283">
        <w:rPr>
          <w:sz w:val="22"/>
          <w:szCs w:val="22"/>
          <w:lang w:eastAsia="ja-JP"/>
        </w:rPr>
        <w:t xml:space="preserve">The </w:t>
      </w:r>
      <w:r w:rsidR="00051CEF">
        <w:rPr>
          <w:sz w:val="22"/>
          <w:szCs w:val="22"/>
          <w:lang w:eastAsia="ja-JP"/>
        </w:rPr>
        <w:t>simulated</w:t>
      </w:r>
      <w:r w:rsidRPr="008F3283">
        <w:rPr>
          <w:sz w:val="22"/>
          <w:szCs w:val="22"/>
          <w:lang w:eastAsia="ja-JP"/>
        </w:rPr>
        <w:t xml:space="preserve"> cost for 24</w:t>
      </w:r>
      <w:r w:rsidRPr="008F3283">
        <w:rPr>
          <w:sz w:val="22"/>
          <w:szCs w:val="22"/>
          <w:vertAlign w:val="superscript"/>
          <w:lang w:eastAsia="ja-JP"/>
        </w:rPr>
        <w:t>th</w:t>
      </w:r>
      <w:r w:rsidRPr="008F3283">
        <w:rPr>
          <w:sz w:val="22"/>
          <w:szCs w:val="22"/>
          <w:lang w:eastAsia="ja-JP"/>
        </w:rPr>
        <w:t xml:space="preserve"> September 2014 account </w:t>
      </w:r>
      <w:r w:rsidR="00B4410D">
        <w:rPr>
          <w:sz w:val="22"/>
          <w:szCs w:val="22"/>
          <w:lang w:eastAsia="ja-JP"/>
        </w:rPr>
        <w:t>=</w:t>
      </w:r>
      <w:r w:rsidRPr="008F3283">
        <w:rPr>
          <w:sz w:val="22"/>
          <w:szCs w:val="22"/>
          <w:lang w:eastAsia="ja-JP"/>
        </w:rPr>
        <w:t xml:space="preserve"> $361.18</w:t>
      </w:r>
      <w:r w:rsidR="00B4410D">
        <w:rPr>
          <w:sz w:val="22"/>
          <w:szCs w:val="22"/>
          <w:lang w:eastAsia="ja-JP"/>
        </w:rPr>
        <w:t xml:space="preserve"> and used </w:t>
      </w:r>
      <w:r w:rsidR="00051CEF">
        <w:rPr>
          <w:sz w:val="22"/>
          <w:szCs w:val="22"/>
          <w:lang w:eastAsia="ja-JP"/>
        </w:rPr>
        <w:t>real charges</w:t>
      </w:r>
      <w:r w:rsidR="00476FD9">
        <w:rPr>
          <w:sz w:val="22"/>
          <w:szCs w:val="22"/>
          <w:lang w:eastAsia="ja-JP"/>
        </w:rPr>
        <w:t>,</w:t>
      </w:r>
      <w:r w:rsidR="00051CEF">
        <w:rPr>
          <w:sz w:val="22"/>
          <w:szCs w:val="22"/>
          <w:lang w:eastAsia="ja-JP"/>
        </w:rPr>
        <w:t xml:space="preserve"> </w:t>
      </w:r>
      <w:r w:rsidRPr="008F3283">
        <w:rPr>
          <w:sz w:val="22"/>
          <w:szCs w:val="22"/>
          <w:lang w:eastAsia="ja-JP"/>
        </w:rPr>
        <w:t>exclud</w:t>
      </w:r>
      <w:r w:rsidR="00B4410D">
        <w:rPr>
          <w:sz w:val="22"/>
          <w:szCs w:val="22"/>
          <w:lang w:eastAsia="ja-JP"/>
        </w:rPr>
        <w:t>ing</w:t>
      </w:r>
      <w:r w:rsidRPr="008F3283">
        <w:rPr>
          <w:sz w:val="22"/>
          <w:szCs w:val="22"/>
          <w:lang w:eastAsia="ja-JP"/>
        </w:rPr>
        <w:t xml:space="preserve"> GST</w:t>
      </w:r>
      <w:r w:rsidR="00B4410D">
        <w:rPr>
          <w:sz w:val="22"/>
          <w:szCs w:val="22"/>
          <w:lang w:eastAsia="ja-JP"/>
        </w:rPr>
        <w:t>.</w:t>
      </w:r>
      <w:r w:rsidRPr="008F3283">
        <w:rPr>
          <w:sz w:val="22"/>
          <w:szCs w:val="22"/>
          <w:lang w:eastAsia="ja-JP"/>
        </w:rPr>
        <w:t xml:space="preserve"> </w:t>
      </w:r>
      <w:r w:rsidR="00B4410D">
        <w:rPr>
          <w:sz w:val="22"/>
          <w:szCs w:val="22"/>
          <w:lang w:eastAsia="ja-JP"/>
        </w:rPr>
        <w:t>This cost</w:t>
      </w:r>
      <w:r w:rsidRPr="008F3283">
        <w:rPr>
          <w:sz w:val="22"/>
          <w:szCs w:val="22"/>
          <w:lang w:eastAsia="ja-JP"/>
        </w:rPr>
        <w:t xml:space="preserve"> is 50.7% higher than the price </w:t>
      </w:r>
      <w:r w:rsidR="00817B89">
        <w:rPr>
          <w:sz w:val="22"/>
          <w:szCs w:val="22"/>
          <w:lang w:eastAsia="ja-JP"/>
        </w:rPr>
        <w:t xml:space="preserve">of </w:t>
      </w:r>
      <w:r w:rsidR="00817B89" w:rsidRPr="00817B89">
        <w:rPr>
          <w:sz w:val="22"/>
          <w:szCs w:val="22"/>
          <w:lang w:eastAsia="ja-JP"/>
        </w:rPr>
        <w:t xml:space="preserve">$239.74 </w:t>
      </w:r>
      <w:r w:rsidRPr="008F3283">
        <w:rPr>
          <w:sz w:val="22"/>
          <w:szCs w:val="22"/>
          <w:lang w:eastAsia="ja-JP"/>
        </w:rPr>
        <w:t>predicted by the RBA’s inflation rate. This price increase has occurred entirely since ETSA Corporation was privatised in 1999 and is substantially above the price predicted by the RBA’s inflation calculator.</w:t>
      </w:r>
      <w:r w:rsidR="00C24E29">
        <w:br w:type="page"/>
      </w:r>
    </w:p>
    <w:p w:rsidR="00737A62" w:rsidRDefault="00737A62" w:rsidP="003C6E69">
      <w:pPr>
        <w:pStyle w:val="DWAppHeading1"/>
        <w:pageBreakBefore w:val="0"/>
        <w:numPr>
          <w:ilvl w:val="1"/>
          <w:numId w:val="35"/>
        </w:numPr>
        <w:jc w:val="both"/>
        <w:outlineLvl w:val="1"/>
      </w:pPr>
      <w:bookmarkStart w:id="70" w:name="_Toc472599247"/>
      <w:r>
        <w:t>Comparing Electricity Supply Charges 19</w:t>
      </w:r>
      <w:r w:rsidR="003C6E69">
        <w:t>84 &amp; 2014</w:t>
      </w:r>
      <w:bookmarkEnd w:id="70"/>
    </w:p>
    <w:p w:rsidR="0031138C" w:rsidRPr="00E16310" w:rsidRDefault="0031138C" w:rsidP="0031138C">
      <w:pPr>
        <w:pStyle w:val="DWTableCaption"/>
      </w:pPr>
      <w:bookmarkStart w:id="71" w:name="_Toc472599256"/>
      <w:r>
        <w:t xml:space="preserve">Table </w:t>
      </w:r>
      <w:r w:rsidR="00524F02">
        <w:fldChar w:fldCharType="begin"/>
      </w:r>
      <w:r w:rsidR="00524F02">
        <w:instrText xml:space="preserve"> SEQ Table \* Arabic \s 1 \* MERGEFORMAT </w:instrText>
      </w:r>
      <w:r w:rsidR="00524F02">
        <w:fldChar w:fldCharType="separate"/>
      </w:r>
      <w:r w:rsidR="00B6524A">
        <w:rPr>
          <w:noProof/>
        </w:rPr>
        <w:t>8</w:t>
      </w:r>
      <w:r w:rsidR="00524F02">
        <w:rPr>
          <w:noProof/>
        </w:rPr>
        <w:fldChar w:fldCharType="end"/>
      </w:r>
      <w:r>
        <w:t>.</w:t>
      </w:r>
      <w:r>
        <w:tab/>
      </w:r>
      <w:r w:rsidR="00232A77">
        <w:t xml:space="preserve">Comparing Electricity </w:t>
      </w:r>
      <w:r w:rsidR="003C6E69">
        <w:t xml:space="preserve">Supply </w:t>
      </w:r>
      <w:r w:rsidR="00232A77">
        <w:t xml:space="preserve">Charges 1984 </w:t>
      </w:r>
      <w:r w:rsidR="003C6E69">
        <w:t>&amp;</w:t>
      </w:r>
      <w:r w:rsidR="00232A77">
        <w:t xml:space="preserve"> 2014</w:t>
      </w:r>
      <w:bookmarkEnd w:id="71"/>
    </w:p>
    <w:tbl>
      <w:tblPr>
        <w:tblW w:w="13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2300"/>
        <w:gridCol w:w="2300"/>
        <w:gridCol w:w="1700"/>
        <w:gridCol w:w="1600"/>
        <w:gridCol w:w="1200"/>
        <w:gridCol w:w="2700"/>
      </w:tblGrid>
      <w:tr w:rsidR="00AA344E" w:rsidRPr="008F3283" w:rsidTr="00E3654D">
        <w:trPr>
          <w:cantSplit/>
          <w:trHeight w:val="624"/>
          <w:jc w:val="center"/>
        </w:trPr>
        <w:tc>
          <w:tcPr>
            <w:tcW w:w="1395" w:type="dxa"/>
            <w:vAlign w:val="center"/>
          </w:tcPr>
          <w:p w:rsidR="00AA344E" w:rsidRPr="008F3283" w:rsidRDefault="00AA344E" w:rsidP="006A445D">
            <w:pPr>
              <w:jc w:val="center"/>
              <w:rPr>
                <w:rFonts w:ascii="Arial" w:hAnsi="Arial"/>
                <w:b/>
                <w:sz w:val="18"/>
                <w:lang w:eastAsia="ja-JP"/>
              </w:rPr>
            </w:pPr>
            <w:r>
              <w:rPr>
                <w:rFonts w:ascii="Arial" w:hAnsi="Arial"/>
                <w:b/>
                <w:sz w:val="18"/>
                <w:lang w:eastAsia="ja-JP"/>
              </w:rPr>
              <w:t>Account Date</w:t>
            </w:r>
          </w:p>
        </w:tc>
        <w:tc>
          <w:tcPr>
            <w:tcW w:w="2300" w:type="dxa"/>
            <w:vAlign w:val="center"/>
          </w:tcPr>
          <w:p w:rsidR="00AA344E" w:rsidRDefault="00F772B6" w:rsidP="006A445D">
            <w:pPr>
              <w:jc w:val="center"/>
              <w:rPr>
                <w:rFonts w:ascii="Arial" w:hAnsi="Arial"/>
                <w:b/>
                <w:sz w:val="18"/>
                <w:lang w:eastAsia="ja-JP"/>
              </w:rPr>
            </w:pPr>
            <w:r>
              <w:rPr>
                <w:rFonts w:ascii="Arial" w:hAnsi="Arial"/>
                <w:b/>
                <w:sz w:val="18"/>
                <w:lang w:eastAsia="ja-JP"/>
              </w:rPr>
              <w:t>SA Electricity Industry Provision</w:t>
            </w:r>
          </w:p>
        </w:tc>
        <w:tc>
          <w:tcPr>
            <w:tcW w:w="2300" w:type="dxa"/>
            <w:vAlign w:val="center"/>
          </w:tcPr>
          <w:p w:rsidR="00AA344E" w:rsidRDefault="00AA344E" w:rsidP="006A445D">
            <w:pPr>
              <w:jc w:val="center"/>
              <w:rPr>
                <w:rFonts w:ascii="Arial" w:hAnsi="Arial"/>
                <w:b/>
                <w:sz w:val="18"/>
                <w:lang w:eastAsia="ja-JP"/>
              </w:rPr>
            </w:pPr>
            <w:r>
              <w:rPr>
                <w:rFonts w:ascii="Arial" w:hAnsi="Arial"/>
                <w:b/>
                <w:sz w:val="18"/>
                <w:lang w:eastAsia="ja-JP"/>
              </w:rPr>
              <w:t xml:space="preserve">Light &amp; Power </w:t>
            </w:r>
          </w:p>
          <w:p w:rsidR="00AA344E" w:rsidRPr="008F3283" w:rsidRDefault="00AA344E" w:rsidP="004E6037">
            <w:pPr>
              <w:jc w:val="center"/>
              <w:rPr>
                <w:rFonts w:ascii="Arial" w:hAnsi="Arial"/>
                <w:b/>
                <w:sz w:val="18"/>
                <w:lang w:eastAsia="ja-JP"/>
              </w:rPr>
            </w:pPr>
            <w:r>
              <w:rPr>
                <w:rFonts w:ascii="Arial" w:hAnsi="Arial"/>
                <w:b/>
                <w:sz w:val="18"/>
                <w:lang w:eastAsia="ja-JP"/>
              </w:rPr>
              <w:t>(cents per KW</w:t>
            </w:r>
            <w:r w:rsidR="004E6037">
              <w:rPr>
                <w:rFonts w:ascii="Arial" w:hAnsi="Arial"/>
                <w:b/>
                <w:sz w:val="18"/>
                <w:lang w:eastAsia="ja-JP"/>
              </w:rPr>
              <w:t>h</w:t>
            </w:r>
            <w:r>
              <w:rPr>
                <w:rFonts w:ascii="Arial" w:hAnsi="Arial"/>
                <w:b/>
                <w:sz w:val="18"/>
                <w:lang w:eastAsia="ja-JP"/>
              </w:rPr>
              <w:t>)</w:t>
            </w:r>
          </w:p>
        </w:tc>
        <w:tc>
          <w:tcPr>
            <w:tcW w:w="1700" w:type="dxa"/>
            <w:vAlign w:val="center"/>
          </w:tcPr>
          <w:p w:rsidR="00AA344E" w:rsidRPr="008F3283" w:rsidRDefault="00AA344E" w:rsidP="004E6037">
            <w:pPr>
              <w:jc w:val="center"/>
              <w:rPr>
                <w:rFonts w:ascii="Arial" w:hAnsi="Arial"/>
                <w:b/>
                <w:sz w:val="18"/>
                <w:lang w:eastAsia="ja-JP"/>
              </w:rPr>
            </w:pPr>
            <w:r>
              <w:rPr>
                <w:rFonts w:ascii="Arial" w:hAnsi="Arial"/>
                <w:b/>
                <w:sz w:val="18"/>
                <w:lang w:eastAsia="ja-JP"/>
              </w:rPr>
              <w:t xml:space="preserve">Off-Peak Power </w:t>
            </w:r>
            <w:r w:rsidRPr="00082628">
              <w:rPr>
                <w:rFonts w:ascii="Arial" w:hAnsi="Arial"/>
                <w:b/>
                <w:sz w:val="18"/>
                <w:lang w:eastAsia="ja-JP"/>
              </w:rPr>
              <w:t>(cents per KW</w:t>
            </w:r>
            <w:r w:rsidR="004E6037">
              <w:rPr>
                <w:rFonts w:ascii="Arial" w:hAnsi="Arial"/>
                <w:b/>
                <w:sz w:val="18"/>
                <w:lang w:eastAsia="ja-JP"/>
              </w:rPr>
              <w:t>h</w:t>
            </w:r>
            <w:r w:rsidRPr="00082628">
              <w:rPr>
                <w:rFonts w:ascii="Arial" w:hAnsi="Arial"/>
                <w:b/>
                <w:sz w:val="18"/>
                <w:lang w:eastAsia="ja-JP"/>
              </w:rPr>
              <w:t>)</w:t>
            </w:r>
          </w:p>
        </w:tc>
        <w:tc>
          <w:tcPr>
            <w:tcW w:w="1600" w:type="dxa"/>
            <w:vAlign w:val="center"/>
          </w:tcPr>
          <w:p w:rsidR="00AA344E" w:rsidRDefault="00AA344E" w:rsidP="006A445D">
            <w:pPr>
              <w:jc w:val="center"/>
              <w:rPr>
                <w:rFonts w:ascii="Arial" w:hAnsi="Arial"/>
                <w:b/>
                <w:sz w:val="18"/>
                <w:lang w:eastAsia="ja-JP"/>
              </w:rPr>
            </w:pPr>
            <w:r>
              <w:rPr>
                <w:rFonts w:ascii="Arial" w:hAnsi="Arial"/>
                <w:b/>
                <w:sz w:val="18"/>
                <w:lang w:eastAsia="ja-JP"/>
              </w:rPr>
              <w:t>Supply Charge</w:t>
            </w:r>
          </w:p>
          <w:p w:rsidR="00AA344E" w:rsidRPr="008F3283" w:rsidRDefault="00AA344E" w:rsidP="006A445D">
            <w:pPr>
              <w:jc w:val="center"/>
              <w:rPr>
                <w:rFonts w:ascii="Arial" w:hAnsi="Arial"/>
                <w:b/>
                <w:sz w:val="18"/>
                <w:lang w:eastAsia="ja-JP"/>
              </w:rPr>
            </w:pPr>
            <w:r>
              <w:rPr>
                <w:rFonts w:ascii="Arial" w:hAnsi="Arial"/>
                <w:b/>
                <w:sz w:val="18"/>
                <w:lang w:eastAsia="ja-JP"/>
              </w:rPr>
              <w:t>(cents per day)</w:t>
            </w:r>
          </w:p>
        </w:tc>
        <w:tc>
          <w:tcPr>
            <w:tcW w:w="1200" w:type="dxa"/>
            <w:vAlign w:val="center"/>
          </w:tcPr>
          <w:p w:rsidR="00AA344E" w:rsidRPr="008F3283" w:rsidRDefault="00AA344E" w:rsidP="006A445D">
            <w:pPr>
              <w:jc w:val="center"/>
              <w:rPr>
                <w:rFonts w:ascii="Arial" w:hAnsi="Arial"/>
                <w:b/>
                <w:sz w:val="18"/>
                <w:lang w:eastAsia="ja-JP"/>
              </w:rPr>
            </w:pPr>
            <w:r>
              <w:rPr>
                <w:rFonts w:ascii="Arial" w:hAnsi="Arial"/>
                <w:b/>
                <w:sz w:val="18"/>
                <w:lang w:eastAsia="ja-JP"/>
              </w:rPr>
              <w:t>GST</w:t>
            </w:r>
          </w:p>
        </w:tc>
        <w:tc>
          <w:tcPr>
            <w:tcW w:w="2700" w:type="dxa"/>
            <w:vAlign w:val="center"/>
          </w:tcPr>
          <w:p w:rsidR="00AA344E" w:rsidRPr="008F3283" w:rsidRDefault="00AA344E" w:rsidP="006A445D">
            <w:pPr>
              <w:jc w:val="center"/>
              <w:rPr>
                <w:rFonts w:ascii="Arial" w:hAnsi="Arial"/>
                <w:b/>
                <w:sz w:val="18"/>
                <w:lang w:eastAsia="ja-JP"/>
              </w:rPr>
            </w:pPr>
            <w:r w:rsidRPr="008F3283">
              <w:rPr>
                <w:rFonts w:ascii="Arial" w:hAnsi="Arial"/>
                <w:b/>
                <w:sz w:val="18"/>
                <w:lang w:eastAsia="ja-JP"/>
              </w:rPr>
              <w:t>Remarks</w:t>
            </w:r>
          </w:p>
        </w:tc>
      </w:tr>
      <w:tr w:rsidR="00AA344E" w:rsidRPr="008F3283" w:rsidTr="00F772B6">
        <w:trPr>
          <w:cantSplit/>
          <w:trHeight w:val="454"/>
          <w:jc w:val="center"/>
        </w:trPr>
        <w:tc>
          <w:tcPr>
            <w:tcW w:w="1395" w:type="dxa"/>
            <w:vAlign w:val="center"/>
          </w:tcPr>
          <w:p w:rsidR="00AA344E" w:rsidRPr="008F3283" w:rsidRDefault="00AA344E" w:rsidP="006A445D">
            <w:pPr>
              <w:jc w:val="center"/>
              <w:rPr>
                <w:rFonts w:ascii="Arial" w:hAnsi="Arial"/>
                <w:sz w:val="18"/>
                <w:lang w:eastAsia="ja-JP"/>
              </w:rPr>
            </w:pPr>
            <w:r>
              <w:rPr>
                <w:rFonts w:ascii="Arial" w:hAnsi="Arial"/>
                <w:sz w:val="18"/>
                <w:lang w:eastAsia="ja-JP"/>
              </w:rPr>
              <w:t>18/11/1985</w:t>
            </w:r>
          </w:p>
        </w:tc>
        <w:tc>
          <w:tcPr>
            <w:tcW w:w="2300" w:type="dxa"/>
            <w:vAlign w:val="center"/>
          </w:tcPr>
          <w:p w:rsidR="00AA344E" w:rsidRPr="008F3283" w:rsidRDefault="00584011" w:rsidP="006A445D">
            <w:pPr>
              <w:jc w:val="center"/>
              <w:rPr>
                <w:rFonts w:ascii="Arial" w:hAnsi="Arial"/>
                <w:sz w:val="18"/>
                <w:lang w:eastAsia="ja-JP"/>
              </w:rPr>
            </w:pPr>
            <w:r>
              <w:rPr>
                <w:rFonts w:ascii="Arial" w:hAnsi="Arial"/>
                <w:sz w:val="18"/>
                <w:lang w:eastAsia="ja-JP"/>
              </w:rPr>
              <w:t xml:space="preserve">ETSA &amp; </w:t>
            </w:r>
            <w:r w:rsidR="00F772B6">
              <w:rPr>
                <w:rFonts w:ascii="Arial" w:hAnsi="Arial"/>
                <w:sz w:val="18"/>
                <w:lang w:eastAsia="ja-JP"/>
              </w:rPr>
              <w:t>Public</w:t>
            </w:r>
          </w:p>
        </w:tc>
        <w:tc>
          <w:tcPr>
            <w:tcW w:w="2300" w:type="dxa"/>
            <w:vAlign w:val="center"/>
          </w:tcPr>
          <w:p w:rsidR="00AA344E" w:rsidRPr="008F3283" w:rsidRDefault="00AA344E" w:rsidP="006A445D">
            <w:pPr>
              <w:jc w:val="center"/>
              <w:rPr>
                <w:rFonts w:ascii="Arial" w:hAnsi="Arial"/>
                <w:sz w:val="18"/>
                <w:lang w:eastAsia="ja-JP"/>
              </w:rPr>
            </w:pPr>
            <w:r>
              <w:rPr>
                <w:rFonts w:ascii="Arial" w:hAnsi="Arial"/>
                <w:sz w:val="18"/>
                <w:lang w:eastAsia="ja-JP"/>
              </w:rPr>
              <w:t>Average = 9.35</w:t>
            </w:r>
          </w:p>
        </w:tc>
        <w:tc>
          <w:tcPr>
            <w:tcW w:w="1700" w:type="dxa"/>
            <w:vAlign w:val="center"/>
          </w:tcPr>
          <w:p w:rsidR="00AA344E" w:rsidRPr="008F3283" w:rsidRDefault="00F772B6" w:rsidP="006A445D">
            <w:pPr>
              <w:jc w:val="center"/>
              <w:rPr>
                <w:rFonts w:ascii="Arial" w:hAnsi="Arial"/>
                <w:sz w:val="18"/>
                <w:lang w:eastAsia="ja-JP"/>
              </w:rPr>
            </w:pPr>
            <w:r>
              <w:rPr>
                <w:rFonts w:ascii="Arial" w:hAnsi="Arial"/>
                <w:sz w:val="18"/>
                <w:lang w:eastAsia="ja-JP"/>
              </w:rPr>
              <w:t>4.43</w:t>
            </w:r>
          </w:p>
        </w:tc>
        <w:tc>
          <w:tcPr>
            <w:tcW w:w="1600" w:type="dxa"/>
            <w:vAlign w:val="center"/>
          </w:tcPr>
          <w:p w:rsidR="00AA344E" w:rsidRPr="008F3283" w:rsidRDefault="00F772B6" w:rsidP="006A445D">
            <w:pPr>
              <w:jc w:val="center"/>
              <w:rPr>
                <w:rFonts w:ascii="Arial" w:hAnsi="Arial"/>
                <w:sz w:val="18"/>
                <w:lang w:eastAsia="ja-JP"/>
              </w:rPr>
            </w:pPr>
            <w:r>
              <w:rPr>
                <w:rFonts w:ascii="Arial" w:hAnsi="Arial"/>
                <w:sz w:val="18"/>
                <w:lang w:eastAsia="ja-JP"/>
              </w:rPr>
              <w:t>Nil</w:t>
            </w:r>
          </w:p>
        </w:tc>
        <w:tc>
          <w:tcPr>
            <w:tcW w:w="1200" w:type="dxa"/>
            <w:vAlign w:val="center"/>
          </w:tcPr>
          <w:p w:rsidR="00AA344E" w:rsidRPr="008F3283" w:rsidRDefault="00F772B6" w:rsidP="006A445D">
            <w:pPr>
              <w:jc w:val="center"/>
              <w:rPr>
                <w:rFonts w:ascii="Arial" w:hAnsi="Arial"/>
                <w:sz w:val="18"/>
                <w:lang w:eastAsia="ja-JP"/>
              </w:rPr>
            </w:pPr>
            <w:r>
              <w:rPr>
                <w:rFonts w:ascii="Arial" w:hAnsi="Arial"/>
                <w:sz w:val="18"/>
                <w:lang w:eastAsia="ja-JP"/>
              </w:rPr>
              <w:t>Nil</w:t>
            </w:r>
          </w:p>
        </w:tc>
        <w:tc>
          <w:tcPr>
            <w:tcW w:w="2700" w:type="dxa"/>
            <w:vAlign w:val="center"/>
          </w:tcPr>
          <w:p w:rsidR="00AA344E" w:rsidRPr="0094429B" w:rsidRDefault="00097414" w:rsidP="006A445D">
            <w:pPr>
              <w:rPr>
                <w:rFonts w:ascii="Arial" w:hAnsi="Arial"/>
                <w:sz w:val="18"/>
                <w:lang w:eastAsia="ja-JP"/>
              </w:rPr>
            </w:pPr>
            <w:r>
              <w:rPr>
                <w:rFonts w:ascii="Arial" w:hAnsi="Arial"/>
                <w:sz w:val="18"/>
                <w:lang w:eastAsia="ja-JP"/>
              </w:rPr>
              <w:t>ETSA not corporatised</w:t>
            </w:r>
          </w:p>
        </w:tc>
      </w:tr>
      <w:tr w:rsidR="000B2CC5" w:rsidRPr="008F3283" w:rsidTr="00F772B6">
        <w:trPr>
          <w:cantSplit/>
          <w:trHeight w:val="454"/>
          <w:jc w:val="center"/>
        </w:trPr>
        <w:tc>
          <w:tcPr>
            <w:tcW w:w="1395" w:type="dxa"/>
            <w:vAlign w:val="center"/>
          </w:tcPr>
          <w:p w:rsidR="000B2CC5" w:rsidRDefault="006F4A2C" w:rsidP="006A445D">
            <w:pPr>
              <w:jc w:val="center"/>
              <w:rPr>
                <w:rFonts w:ascii="Arial" w:hAnsi="Arial"/>
                <w:sz w:val="18"/>
                <w:lang w:eastAsia="ja-JP"/>
              </w:rPr>
            </w:pPr>
            <w:r>
              <w:rPr>
                <w:rFonts w:ascii="Arial" w:hAnsi="Arial"/>
                <w:sz w:val="18"/>
                <w:lang w:eastAsia="ja-JP"/>
              </w:rPr>
              <w:t>25/8/1988</w:t>
            </w:r>
          </w:p>
        </w:tc>
        <w:tc>
          <w:tcPr>
            <w:tcW w:w="2300" w:type="dxa"/>
            <w:vAlign w:val="center"/>
          </w:tcPr>
          <w:p w:rsidR="000B2CC5" w:rsidRDefault="006F4A2C" w:rsidP="006A445D">
            <w:pPr>
              <w:jc w:val="center"/>
              <w:rPr>
                <w:rFonts w:ascii="Arial" w:hAnsi="Arial"/>
                <w:sz w:val="18"/>
                <w:lang w:eastAsia="ja-JP"/>
              </w:rPr>
            </w:pPr>
            <w:r w:rsidRPr="006F4A2C">
              <w:rPr>
                <w:rFonts w:ascii="Arial" w:hAnsi="Arial"/>
                <w:sz w:val="18"/>
                <w:lang w:eastAsia="ja-JP"/>
              </w:rPr>
              <w:t>ETSA &amp; Public</w:t>
            </w:r>
          </w:p>
        </w:tc>
        <w:tc>
          <w:tcPr>
            <w:tcW w:w="2300" w:type="dxa"/>
            <w:vAlign w:val="center"/>
          </w:tcPr>
          <w:p w:rsidR="000B2CC5" w:rsidRDefault="00906DBF" w:rsidP="006A445D">
            <w:pPr>
              <w:jc w:val="center"/>
              <w:rPr>
                <w:rFonts w:ascii="Arial" w:hAnsi="Arial"/>
                <w:sz w:val="18"/>
                <w:lang w:eastAsia="ja-JP"/>
              </w:rPr>
            </w:pPr>
            <w:r>
              <w:rPr>
                <w:rFonts w:ascii="Arial" w:hAnsi="Arial"/>
                <w:sz w:val="18"/>
                <w:lang w:eastAsia="ja-JP"/>
              </w:rPr>
              <w:t>9.93</w:t>
            </w:r>
          </w:p>
        </w:tc>
        <w:tc>
          <w:tcPr>
            <w:tcW w:w="1700" w:type="dxa"/>
            <w:vAlign w:val="center"/>
          </w:tcPr>
          <w:p w:rsidR="000B2CC5" w:rsidRDefault="00906DBF" w:rsidP="006A445D">
            <w:pPr>
              <w:jc w:val="center"/>
              <w:rPr>
                <w:rFonts w:ascii="Arial" w:hAnsi="Arial"/>
                <w:sz w:val="18"/>
                <w:lang w:eastAsia="ja-JP"/>
              </w:rPr>
            </w:pPr>
            <w:r>
              <w:rPr>
                <w:rFonts w:ascii="Arial" w:hAnsi="Arial"/>
                <w:sz w:val="18"/>
                <w:lang w:eastAsia="ja-JP"/>
              </w:rPr>
              <w:t>5.18</w:t>
            </w:r>
          </w:p>
        </w:tc>
        <w:tc>
          <w:tcPr>
            <w:tcW w:w="1600" w:type="dxa"/>
            <w:vAlign w:val="center"/>
          </w:tcPr>
          <w:p w:rsidR="000B2CC5" w:rsidRDefault="00AB73AD" w:rsidP="006A445D">
            <w:pPr>
              <w:jc w:val="center"/>
              <w:rPr>
                <w:rFonts w:ascii="Arial" w:hAnsi="Arial"/>
                <w:sz w:val="18"/>
                <w:lang w:eastAsia="ja-JP"/>
              </w:rPr>
            </w:pPr>
            <w:r>
              <w:rPr>
                <w:rFonts w:ascii="Arial" w:hAnsi="Arial"/>
                <w:sz w:val="18"/>
                <w:lang w:eastAsia="ja-JP"/>
              </w:rPr>
              <w:t>10.96</w:t>
            </w:r>
          </w:p>
        </w:tc>
        <w:tc>
          <w:tcPr>
            <w:tcW w:w="1200" w:type="dxa"/>
            <w:vAlign w:val="center"/>
          </w:tcPr>
          <w:p w:rsidR="000B2CC5" w:rsidRDefault="00906DBF" w:rsidP="006A445D">
            <w:pPr>
              <w:jc w:val="center"/>
              <w:rPr>
                <w:rFonts w:ascii="Arial" w:hAnsi="Arial"/>
                <w:sz w:val="18"/>
                <w:lang w:eastAsia="ja-JP"/>
              </w:rPr>
            </w:pPr>
            <w:r>
              <w:rPr>
                <w:rFonts w:ascii="Arial" w:hAnsi="Arial"/>
                <w:sz w:val="18"/>
                <w:lang w:eastAsia="ja-JP"/>
              </w:rPr>
              <w:t>Nil</w:t>
            </w:r>
          </w:p>
        </w:tc>
        <w:tc>
          <w:tcPr>
            <w:tcW w:w="2700" w:type="dxa"/>
            <w:vAlign w:val="center"/>
          </w:tcPr>
          <w:p w:rsidR="000B2CC5" w:rsidRDefault="00AB73AD" w:rsidP="006A445D">
            <w:pPr>
              <w:rPr>
                <w:rFonts w:ascii="Arial" w:hAnsi="Arial"/>
                <w:sz w:val="18"/>
                <w:lang w:eastAsia="ja-JP"/>
              </w:rPr>
            </w:pPr>
            <w:r>
              <w:rPr>
                <w:rFonts w:ascii="Arial" w:hAnsi="Arial"/>
                <w:sz w:val="18"/>
                <w:lang w:eastAsia="ja-JP"/>
              </w:rPr>
              <w:t xml:space="preserve">Supply charge </w:t>
            </w:r>
            <w:r w:rsidR="00907E0C">
              <w:rPr>
                <w:rFonts w:ascii="Arial" w:hAnsi="Arial"/>
                <w:sz w:val="18"/>
                <w:lang w:eastAsia="ja-JP"/>
              </w:rPr>
              <w:t xml:space="preserve">first </w:t>
            </w:r>
            <w:r>
              <w:rPr>
                <w:rFonts w:ascii="Arial" w:hAnsi="Arial"/>
                <w:sz w:val="18"/>
                <w:lang w:eastAsia="ja-JP"/>
              </w:rPr>
              <w:t>introduced</w:t>
            </w:r>
          </w:p>
        </w:tc>
      </w:tr>
      <w:tr w:rsidR="00AA344E" w:rsidRPr="008F3283" w:rsidTr="00F772B6">
        <w:trPr>
          <w:cantSplit/>
          <w:trHeight w:val="454"/>
          <w:jc w:val="center"/>
        </w:trPr>
        <w:tc>
          <w:tcPr>
            <w:tcW w:w="1395" w:type="dxa"/>
            <w:vAlign w:val="center"/>
          </w:tcPr>
          <w:p w:rsidR="00AA344E" w:rsidRPr="008F3283" w:rsidRDefault="00097414" w:rsidP="006A445D">
            <w:pPr>
              <w:jc w:val="center"/>
              <w:rPr>
                <w:rFonts w:ascii="Arial" w:hAnsi="Arial"/>
                <w:sz w:val="18"/>
                <w:lang w:eastAsia="ja-JP"/>
              </w:rPr>
            </w:pPr>
            <w:r>
              <w:rPr>
                <w:rFonts w:ascii="Arial" w:hAnsi="Arial"/>
                <w:sz w:val="18"/>
                <w:lang w:eastAsia="ja-JP"/>
              </w:rPr>
              <w:t>29/9/1999</w:t>
            </w:r>
          </w:p>
        </w:tc>
        <w:tc>
          <w:tcPr>
            <w:tcW w:w="2300" w:type="dxa"/>
            <w:vAlign w:val="center"/>
          </w:tcPr>
          <w:p w:rsidR="00AA344E" w:rsidRPr="008F3283" w:rsidRDefault="00584011" w:rsidP="006A445D">
            <w:pPr>
              <w:jc w:val="center"/>
              <w:rPr>
                <w:rFonts w:ascii="Arial" w:hAnsi="Arial"/>
                <w:sz w:val="18"/>
                <w:lang w:eastAsia="ja-JP"/>
              </w:rPr>
            </w:pPr>
            <w:r>
              <w:rPr>
                <w:rFonts w:ascii="Arial" w:hAnsi="Arial"/>
                <w:sz w:val="18"/>
                <w:lang w:eastAsia="ja-JP"/>
              </w:rPr>
              <w:t xml:space="preserve">ETSA Power &amp; </w:t>
            </w:r>
            <w:r w:rsidR="00097414">
              <w:rPr>
                <w:rFonts w:ascii="Arial" w:hAnsi="Arial"/>
                <w:sz w:val="18"/>
                <w:lang w:eastAsia="ja-JP"/>
              </w:rPr>
              <w:t>Public</w:t>
            </w:r>
          </w:p>
        </w:tc>
        <w:tc>
          <w:tcPr>
            <w:tcW w:w="2300" w:type="dxa"/>
            <w:vAlign w:val="center"/>
          </w:tcPr>
          <w:p w:rsidR="00AA344E" w:rsidRPr="008F3283" w:rsidRDefault="00097414" w:rsidP="006A445D">
            <w:pPr>
              <w:jc w:val="center"/>
              <w:rPr>
                <w:rFonts w:ascii="Arial" w:hAnsi="Arial"/>
                <w:sz w:val="18"/>
                <w:lang w:eastAsia="ja-JP"/>
              </w:rPr>
            </w:pPr>
            <w:r>
              <w:rPr>
                <w:rFonts w:ascii="Arial" w:hAnsi="Arial"/>
                <w:sz w:val="18"/>
                <w:lang w:eastAsia="ja-JP"/>
              </w:rPr>
              <w:t>12.69</w:t>
            </w:r>
          </w:p>
        </w:tc>
        <w:tc>
          <w:tcPr>
            <w:tcW w:w="1700" w:type="dxa"/>
            <w:vAlign w:val="center"/>
          </w:tcPr>
          <w:p w:rsidR="00AA344E" w:rsidRPr="008F3283" w:rsidRDefault="00B75C8E" w:rsidP="006A445D">
            <w:pPr>
              <w:jc w:val="center"/>
              <w:rPr>
                <w:rFonts w:ascii="Arial" w:hAnsi="Arial"/>
                <w:sz w:val="18"/>
                <w:lang w:eastAsia="ja-JP"/>
              </w:rPr>
            </w:pPr>
            <w:r>
              <w:rPr>
                <w:rFonts w:ascii="Arial" w:hAnsi="Arial"/>
                <w:sz w:val="18"/>
                <w:lang w:eastAsia="ja-JP"/>
              </w:rPr>
              <w:t>4.79</w:t>
            </w:r>
          </w:p>
        </w:tc>
        <w:tc>
          <w:tcPr>
            <w:tcW w:w="1600" w:type="dxa"/>
            <w:vAlign w:val="center"/>
          </w:tcPr>
          <w:p w:rsidR="00AA344E" w:rsidRPr="008F3283" w:rsidRDefault="00B75C8E" w:rsidP="006A445D">
            <w:pPr>
              <w:jc w:val="center"/>
              <w:rPr>
                <w:rFonts w:ascii="Arial" w:hAnsi="Arial"/>
                <w:sz w:val="18"/>
                <w:lang w:eastAsia="ja-JP"/>
              </w:rPr>
            </w:pPr>
            <w:r>
              <w:rPr>
                <w:rFonts w:ascii="Arial" w:hAnsi="Arial"/>
                <w:sz w:val="18"/>
                <w:lang w:eastAsia="ja-JP"/>
              </w:rPr>
              <w:t>25.32</w:t>
            </w:r>
          </w:p>
        </w:tc>
        <w:tc>
          <w:tcPr>
            <w:tcW w:w="1200" w:type="dxa"/>
            <w:vAlign w:val="center"/>
          </w:tcPr>
          <w:p w:rsidR="00AA344E" w:rsidRPr="008F3283" w:rsidRDefault="00B75C8E" w:rsidP="006A445D">
            <w:pPr>
              <w:jc w:val="center"/>
              <w:rPr>
                <w:rFonts w:ascii="Arial" w:hAnsi="Arial"/>
                <w:sz w:val="18"/>
                <w:lang w:eastAsia="ja-JP"/>
              </w:rPr>
            </w:pPr>
            <w:r>
              <w:rPr>
                <w:rFonts w:ascii="Arial" w:hAnsi="Arial"/>
                <w:sz w:val="18"/>
                <w:lang w:eastAsia="ja-JP"/>
              </w:rPr>
              <w:t>Nil</w:t>
            </w:r>
          </w:p>
        </w:tc>
        <w:tc>
          <w:tcPr>
            <w:tcW w:w="2700" w:type="dxa"/>
            <w:vAlign w:val="center"/>
          </w:tcPr>
          <w:p w:rsidR="00AA344E" w:rsidRPr="0094429B" w:rsidRDefault="00B75C8E" w:rsidP="006A445D">
            <w:pPr>
              <w:rPr>
                <w:rFonts w:ascii="Arial" w:hAnsi="Arial"/>
                <w:sz w:val="18"/>
                <w:lang w:eastAsia="ja-JP"/>
              </w:rPr>
            </w:pPr>
            <w:r>
              <w:rPr>
                <w:rFonts w:ascii="Arial" w:hAnsi="Arial"/>
                <w:sz w:val="18"/>
                <w:lang w:eastAsia="ja-JP"/>
              </w:rPr>
              <w:t>ETSA Corporation split up into components of which ETSA Powers was one</w:t>
            </w:r>
            <w:r w:rsidR="00A06234">
              <w:rPr>
                <w:rFonts w:ascii="Arial" w:hAnsi="Arial"/>
                <w:sz w:val="18"/>
                <w:lang w:eastAsia="ja-JP"/>
              </w:rPr>
              <w:t xml:space="preserve"> of the new entities</w:t>
            </w:r>
            <w:r>
              <w:rPr>
                <w:rFonts w:ascii="Arial" w:hAnsi="Arial"/>
                <w:sz w:val="18"/>
                <w:lang w:eastAsia="ja-JP"/>
              </w:rPr>
              <w:t>.</w:t>
            </w:r>
          </w:p>
        </w:tc>
      </w:tr>
      <w:tr w:rsidR="00DE3F47" w:rsidRPr="00702AFB" w:rsidTr="006A445D">
        <w:trPr>
          <w:cantSplit/>
          <w:trHeight w:val="454"/>
          <w:jc w:val="center"/>
        </w:trPr>
        <w:tc>
          <w:tcPr>
            <w:tcW w:w="3695" w:type="dxa"/>
            <w:gridSpan w:val="2"/>
            <w:vAlign w:val="center"/>
          </w:tcPr>
          <w:p w:rsidR="00DE3F47" w:rsidRPr="00702AFB" w:rsidRDefault="00DE3F47" w:rsidP="00DE3F47">
            <w:pPr>
              <w:jc w:val="center"/>
              <w:rPr>
                <w:rFonts w:ascii="Arial" w:hAnsi="Arial"/>
                <w:b/>
                <w:sz w:val="18"/>
                <w:lang w:eastAsia="ja-JP"/>
              </w:rPr>
            </w:pPr>
            <w:r w:rsidRPr="00702AFB">
              <w:rPr>
                <w:rFonts w:ascii="Arial" w:hAnsi="Arial"/>
                <w:b/>
                <w:sz w:val="18"/>
                <w:lang w:eastAsia="ja-JP"/>
              </w:rPr>
              <w:t xml:space="preserve">% </w:t>
            </w:r>
            <w:r>
              <w:rPr>
                <w:rFonts w:ascii="Arial" w:hAnsi="Arial"/>
                <w:b/>
                <w:sz w:val="18"/>
                <w:lang w:eastAsia="ja-JP"/>
              </w:rPr>
              <w:t>increase over 14 years in public hands</w:t>
            </w:r>
          </w:p>
        </w:tc>
        <w:tc>
          <w:tcPr>
            <w:tcW w:w="2300" w:type="dxa"/>
            <w:vAlign w:val="center"/>
          </w:tcPr>
          <w:p w:rsidR="00DE3F47" w:rsidRPr="00702AFB" w:rsidRDefault="00F54245" w:rsidP="006A445D">
            <w:pPr>
              <w:jc w:val="center"/>
              <w:rPr>
                <w:rFonts w:ascii="Arial" w:hAnsi="Arial"/>
                <w:b/>
                <w:sz w:val="18"/>
                <w:lang w:eastAsia="ja-JP"/>
              </w:rPr>
            </w:pPr>
            <w:r>
              <w:rPr>
                <w:rFonts w:ascii="Arial" w:hAnsi="Arial"/>
                <w:b/>
                <w:sz w:val="18"/>
                <w:lang w:eastAsia="ja-JP"/>
              </w:rPr>
              <w:t>35.72</w:t>
            </w:r>
            <w:r w:rsidR="00DE3F47">
              <w:rPr>
                <w:rFonts w:ascii="Arial" w:hAnsi="Arial"/>
                <w:b/>
                <w:sz w:val="18"/>
                <w:lang w:eastAsia="ja-JP"/>
              </w:rPr>
              <w:t>%</w:t>
            </w:r>
          </w:p>
        </w:tc>
        <w:tc>
          <w:tcPr>
            <w:tcW w:w="1700" w:type="dxa"/>
            <w:vAlign w:val="center"/>
          </w:tcPr>
          <w:p w:rsidR="00DE3F47" w:rsidRPr="00702AFB" w:rsidRDefault="00F54245" w:rsidP="006A445D">
            <w:pPr>
              <w:jc w:val="center"/>
              <w:rPr>
                <w:rFonts w:ascii="Arial" w:hAnsi="Arial"/>
                <w:b/>
                <w:sz w:val="18"/>
                <w:lang w:eastAsia="ja-JP"/>
              </w:rPr>
            </w:pPr>
            <w:r>
              <w:rPr>
                <w:rFonts w:ascii="Arial" w:hAnsi="Arial"/>
                <w:b/>
                <w:sz w:val="18"/>
                <w:lang w:eastAsia="ja-JP"/>
              </w:rPr>
              <w:t>8.13</w:t>
            </w:r>
            <w:r w:rsidR="00DE3F47">
              <w:rPr>
                <w:rFonts w:ascii="Arial" w:hAnsi="Arial"/>
                <w:b/>
                <w:sz w:val="18"/>
                <w:lang w:eastAsia="ja-JP"/>
              </w:rPr>
              <w:t>%</w:t>
            </w:r>
          </w:p>
        </w:tc>
        <w:tc>
          <w:tcPr>
            <w:tcW w:w="1600" w:type="dxa"/>
            <w:vAlign w:val="center"/>
          </w:tcPr>
          <w:p w:rsidR="00DE3F47" w:rsidRPr="00702AFB" w:rsidRDefault="00DE3F47" w:rsidP="005B283C">
            <w:pPr>
              <w:jc w:val="center"/>
              <w:rPr>
                <w:rFonts w:ascii="Arial" w:hAnsi="Arial"/>
                <w:b/>
                <w:sz w:val="18"/>
                <w:lang w:eastAsia="ja-JP"/>
              </w:rPr>
            </w:pPr>
            <w:r>
              <w:rPr>
                <w:rFonts w:ascii="Arial" w:hAnsi="Arial"/>
                <w:b/>
                <w:sz w:val="18"/>
                <w:lang w:eastAsia="ja-JP"/>
              </w:rPr>
              <w:t>13</w:t>
            </w:r>
            <w:r w:rsidR="005B283C">
              <w:rPr>
                <w:rFonts w:ascii="Arial" w:hAnsi="Arial"/>
                <w:b/>
                <w:sz w:val="18"/>
                <w:lang w:eastAsia="ja-JP"/>
              </w:rPr>
              <w:t>1</w:t>
            </w:r>
            <w:r>
              <w:rPr>
                <w:rFonts w:ascii="Arial" w:hAnsi="Arial"/>
                <w:b/>
                <w:sz w:val="18"/>
                <w:lang w:eastAsia="ja-JP"/>
              </w:rPr>
              <w:t>.0</w:t>
            </w:r>
            <w:r w:rsidR="005B283C">
              <w:rPr>
                <w:rFonts w:ascii="Arial" w:hAnsi="Arial"/>
                <w:b/>
                <w:sz w:val="18"/>
                <w:lang w:eastAsia="ja-JP"/>
              </w:rPr>
              <w:t>2</w:t>
            </w:r>
            <w:r>
              <w:rPr>
                <w:rFonts w:ascii="Arial" w:hAnsi="Arial"/>
                <w:b/>
                <w:sz w:val="18"/>
                <w:lang w:eastAsia="ja-JP"/>
              </w:rPr>
              <w:t>%</w:t>
            </w:r>
          </w:p>
        </w:tc>
        <w:tc>
          <w:tcPr>
            <w:tcW w:w="1200" w:type="dxa"/>
            <w:vAlign w:val="center"/>
          </w:tcPr>
          <w:p w:rsidR="00DE3F47" w:rsidRPr="00702AFB" w:rsidRDefault="00DE3F47" w:rsidP="006A445D">
            <w:pPr>
              <w:jc w:val="center"/>
              <w:rPr>
                <w:rFonts w:ascii="Arial" w:hAnsi="Arial"/>
                <w:b/>
                <w:sz w:val="18"/>
                <w:lang w:eastAsia="ja-JP"/>
              </w:rPr>
            </w:pPr>
          </w:p>
        </w:tc>
        <w:tc>
          <w:tcPr>
            <w:tcW w:w="2700" w:type="dxa"/>
            <w:vAlign w:val="center"/>
          </w:tcPr>
          <w:p w:rsidR="00DE3F47" w:rsidRPr="00702AFB" w:rsidRDefault="00DE3F47" w:rsidP="006A445D">
            <w:pPr>
              <w:rPr>
                <w:rFonts w:ascii="Arial" w:hAnsi="Arial"/>
                <w:b/>
                <w:sz w:val="18"/>
                <w:lang w:eastAsia="ja-JP"/>
              </w:rPr>
            </w:pPr>
          </w:p>
        </w:tc>
      </w:tr>
      <w:tr w:rsidR="00AA344E" w:rsidRPr="008F3283" w:rsidTr="00F772B6">
        <w:trPr>
          <w:cantSplit/>
          <w:trHeight w:val="454"/>
          <w:jc w:val="center"/>
        </w:trPr>
        <w:tc>
          <w:tcPr>
            <w:tcW w:w="1395" w:type="dxa"/>
            <w:vAlign w:val="center"/>
          </w:tcPr>
          <w:p w:rsidR="00AA344E" w:rsidRPr="008F3283" w:rsidRDefault="00584011" w:rsidP="006A445D">
            <w:pPr>
              <w:jc w:val="center"/>
              <w:rPr>
                <w:rFonts w:ascii="Arial" w:hAnsi="Arial"/>
                <w:sz w:val="18"/>
                <w:lang w:eastAsia="ja-JP"/>
              </w:rPr>
            </w:pPr>
            <w:r>
              <w:rPr>
                <w:rFonts w:ascii="Arial" w:hAnsi="Arial"/>
                <w:sz w:val="18"/>
                <w:lang w:eastAsia="ja-JP"/>
              </w:rPr>
              <w:t>28/3</w:t>
            </w:r>
            <w:r w:rsidR="003A04D8">
              <w:rPr>
                <w:rFonts w:ascii="Arial" w:hAnsi="Arial"/>
                <w:sz w:val="18"/>
                <w:lang w:eastAsia="ja-JP"/>
              </w:rPr>
              <w:t>/2000</w:t>
            </w:r>
          </w:p>
        </w:tc>
        <w:tc>
          <w:tcPr>
            <w:tcW w:w="2300" w:type="dxa"/>
            <w:vAlign w:val="center"/>
          </w:tcPr>
          <w:p w:rsidR="00AA344E" w:rsidRPr="008F3283" w:rsidRDefault="003A04D8" w:rsidP="006A445D">
            <w:pPr>
              <w:jc w:val="center"/>
              <w:rPr>
                <w:rFonts w:ascii="Arial" w:hAnsi="Arial"/>
                <w:sz w:val="18"/>
                <w:lang w:eastAsia="ja-JP"/>
              </w:rPr>
            </w:pPr>
            <w:r>
              <w:rPr>
                <w:rFonts w:ascii="Arial" w:hAnsi="Arial"/>
                <w:sz w:val="18"/>
                <w:lang w:eastAsia="ja-JP"/>
              </w:rPr>
              <w:t>AGL &amp; Private</w:t>
            </w:r>
          </w:p>
        </w:tc>
        <w:tc>
          <w:tcPr>
            <w:tcW w:w="2300" w:type="dxa"/>
            <w:vAlign w:val="center"/>
          </w:tcPr>
          <w:p w:rsidR="00AA344E" w:rsidRPr="008F3283" w:rsidRDefault="003A04D8" w:rsidP="006A445D">
            <w:pPr>
              <w:jc w:val="center"/>
              <w:rPr>
                <w:rFonts w:ascii="Arial" w:hAnsi="Arial"/>
                <w:sz w:val="18"/>
                <w:lang w:eastAsia="ja-JP"/>
              </w:rPr>
            </w:pPr>
            <w:r>
              <w:rPr>
                <w:rFonts w:ascii="Arial" w:hAnsi="Arial"/>
                <w:sz w:val="18"/>
                <w:lang w:eastAsia="ja-JP"/>
              </w:rPr>
              <w:t>12.69</w:t>
            </w:r>
          </w:p>
        </w:tc>
        <w:tc>
          <w:tcPr>
            <w:tcW w:w="1700" w:type="dxa"/>
            <w:vAlign w:val="center"/>
          </w:tcPr>
          <w:p w:rsidR="00AA344E" w:rsidRPr="008F3283" w:rsidRDefault="003A04D8" w:rsidP="006A445D">
            <w:pPr>
              <w:jc w:val="center"/>
              <w:rPr>
                <w:rFonts w:ascii="Arial" w:hAnsi="Arial"/>
                <w:sz w:val="18"/>
                <w:lang w:eastAsia="ja-JP"/>
              </w:rPr>
            </w:pPr>
            <w:r>
              <w:rPr>
                <w:rFonts w:ascii="Arial" w:hAnsi="Arial"/>
                <w:sz w:val="18"/>
                <w:lang w:eastAsia="ja-JP"/>
              </w:rPr>
              <w:t>4.79</w:t>
            </w:r>
          </w:p>
        </w:tc>
        <w:tc>
          <w:tcPr>
            <w:tcW w:w="1600" w:type="dxa"/>
            <w:vAlign w:val="center"/>
          </w:tcPr>
          <w:p w:rsidR="00AA344E" w:rsidRPr="008F3283" w:rsidRDefault="00741017" w:rsidP="006A445D">
            <w:pPr>
              <w:jc w:val="center"/>
              <w:rPr>
                <w:rFonts w:ascii="Arial" w:hAnsi="Arial"/>
                <w:sz w:val="18"/>
                <w:lang w:eastAsia="ja-JP"/>
              </w:rPr>
            </w:pPr>
            <w:r>
              <w:rPr>
                <w:rFonts w:ascii="Arial" w:hAnsi="Arial"/>
                <w:sz w:val="18"/>
                <w:lang w:eastAsia="ja-JP"/>
              </w:rPr>
              <w:t>25.32</w:t>
            </w:r>
          </w:p>
        </w:tc>
        <w:tc>
          <w:tcPr>
            <w:tcW w:w="1200" w:type="dxa"/>
            <w:vAlign w:val="center"/>
          </w:tcPr>
          <w:p w:rsidR="00AA344E" w:rsidRPr="008F3283" w:rsidRDefault="00741017" w:rsidP="006A445D">
            <w:pPr>
              <w:jc w:val="center"/>
              <w:rPr>
                <w:rFonts w:ascii="Arial" w:hAnsi="Arial"/>
                <w:sz w:val="18"/>
                <w:lang w:eastAsia="ja-JP"/>
              </w:rPr>
            </w:pPr>
            <w:r>
              <w:rPr>
                <w:rFonts w:ascii="Arial" w:hAnsi="Arial"/>
                <w:sz w:val="18"/>
                <w:lang w:eastAsia="ja-JP"/>
              </w:rPr>
              <w:t>Nil</w:t>
            </w:r>
          </w:p>
        </w:tc>
        <w:tc>
          <w:tcPr>
            <w:tcW w:w="2700" w:type="dxa"/>
            <w:vAlign w:val="center"/>
          </w:tcPr>
          <w:p w:rsidR="00AA344E" w:rsidRPr="0094429B" w:rsidRDefault="00A06234" w:rsidP="006A445D">
            <w:pPr>
              <w:rPr>
                <w:rFonts w:ascii="Arial" w:hAnsi="Arial"/>
                <w:sz w:val="18"/>
                <w:lang w:eastAsia="ja-JP"/>
              </w:rPr>
            </w:pPr>
            <w:r>
              <w:rPr>
                <w:rFonts w:ascii="Arial" w:hAnsi="Arial"/>
                <w:sz w:val="18"/>
                <w:lang w:eastAsia="ja-JP"/>
              </w:rPr>
              <w:t>AGL’s first invoice</w:t>
            </w:r>
          </w:p>
        </w:tc>
      </w:tr>
      <w:tr w:rsidR="00AA344E" w:rsidRPr="002E1477" w:rsidTr="00F772B6">
        <w:trPr>
          <w:cantSplit/>
          <w:trHeight w:val="454"/>
          <w:jc w:val="center"/>
        </w:trPr>
        <w:tc>
          <w:tcPr>
            <w:tcW w:w="1395" w:type="dxa"/>
            <w:vAlign w:val="center"/>
          </w:tcPr>
          <w:p w:rsidR="00AA344E" w:rsidRPr="002E1477" w:rsidRDefault="002E1477" w:rsidP="006A445D">
            <w:pPr>
              <w:jc w:val="center"/>
              <w:rPr>
                <w:rFonts w:ascii="Arial" w:hAnsi="Arial"/>
                <w:sz w:val="18"/>
                <w:lang w:eastAsia="ja-JP"/>
              </w:rPr>
            </w:pPr>
            <w:r w:rsidRPr="002E1477">
              <w:rPr>
                <w:rFonts w:ascii="Arial" w:hAnsi="Arial"/>
                <w:sz w:val="18"/>
                <w:lang w:eastAsia="ja-JP"/>
              </w:rPr>
              <w:t>24/9/2014</w:t>
            </w:r>
          </w:p>
        </w:tc>
        <w:tc>
          <w:tcPr>
            <w:tcW w:w="2300" w:type="dxa"/>
            <w:vAlign w:val="center"/>
          </w:tcPr>
          <w:p w:rsidR="00AA344E" w:rsidRPr="002E1477" w:rsidRDefault="002E1477" w:rsidP="006A445D">
            <w:pPr>
              <w:jc w:val="center"/>
              <w:rPr>
                <w:rFonts w:ascii="Arial" w:hAnsi="Arial"/>
                <w:sz w:val="18"/>
                <w:lang w:eastAsia="ja-JP"/>
              </w:rPr>
            </w:pPr>
            <w:r w:rsidRPr="002E1477">
              <w:rPr>
                <w:rFonts w:ascii="Arial" w:hAnsi="Arial"/>
                <w:sz w:val="18"/>
                <w:lang w:eastAsia="ja-JP"/>
              </w:rPr>
              <w:t>AGL &amp; Private</w:t>
            </w:r>
          </w:p>
        </w:tc>
        <w:tc>
          <w:tcPr>
            <w:tcW w:w="2300" w:type="dxa"/>
            <w:vAlign w:val="center"/>
          </w:tcPr>
          <w:p w:rsidR="00AA344E" w:rsidRPr="002E1477" w:rsidRDefault="006F4A2C" w:rsidP="006A445D">
            <w:pPr>
              <w:jc w:val="center"/>
              <w:rPr>
                <w:rFonts w:ascii="Arial" w:hAnsi="Arial"/>
                <w:sz w:val="18"/>
                <w:lang w:eastAsia="ja-JP"/>
              </w:rPr>
            </w:pPr>
            <w:r>
              <w:rPr>
                <w:rFonts w:ascii="Arial" w:hAnsi="Arial"/>
                <w:sz w:val="18"/>
                <w:lang w:eastAsia="ja-JP"/>
              </w:rPr>
              <w:t xml:space="preserve">Average = </w:t>
            </w:r>
            <w:r w:rsidR="00A320A9">
              <w:rPr>
                <w:rFonts w:ascii="Arial" w:hAnsi="Arial"/>
                <w:sz w:val="18"/>
                <w:lang w:eastAsia="ja-JP"/>
              </w:rPr>
              <w:t>27.07</w:t>
            </w:r>
          </w:p>
        </w:tc>
        <w:tc>
          <w:tcPr>
            <w:tcW w:w="1700" w:type="dxa"/>
            <w:vAlign w:val="center"/>
          </w:tcPr>
          <w:p w:rsidR="00AA344E" w:rsidRPr="002E1477" w:rsidRDefault="00A320A9" w:rsidP="006A445D">
            <w:pPr>
              <w:jc w:val="center"/>
              <w:rPr>
                <w:rFonts w:ascii="Arial" w:hAnsi="Arial"/>
                <w:sz w:val="18"/>
                <w:lang w:eastAsia="ja-JP"/>
              </w:rPr>
            </w:pPr>
            <w:r>
              <w:rPr>
                <w:rFonts w:ascii="Arial" w:hAnsi="Arial"/>
                <w:sz w:val="18"/>
                <w:lang w:eastAsia="ja-JP"/>
              </w:rPr>
              <w:t>12.07</w:t>
            </w:r>
          </w:p>
        </w:tc>
        <w:tc>
          <w:tcPr>
            <w:tcW w:w="1600" w:type="dxa"/>
            <w:vAlign w:val="center"/>
          </w:tcPr>
          <w:p w:rsidR="00AA344E" w:rsidRPr="002E1477" w:rsidRDefault="00A320A9" w:rsidP="006A445D">
            <w:pPr>
              <w:jc w:val="center"/>
              <w:rPr>
                <w:rFonts w:ascii="Arial" w:hAnsi="Arial"/>
                <w:sz w:val="18"/>
                <w:lang w:eastAsia="ja-JP"/>
              </w:rPr>
            </w:pPr>
            <w:r>
              <w:rPr>
                <w:rFonts w:ascii="Arial" w:hAnsi="Arial"/>
                <w:sz w:val="18"/>
                <w:lang w:eastAsia="ja-JP"/>
              </w:rPr>
              <w:t>59.77</w:t>
            </w:r>
          </w:p>
        </w:tc>
        <w:tc>
          <w:tcPr>
            <w:tcW w:w="1200" w:type="dxa"/>
            <w:vAlign w:val="center"/>
          </w:tcPr>
          <w:p w:rsidR="00AA344E" w:rsidRPr="002E1477" w:rsidRDefault="00A320A9" w:rsidP="006A445D">
            <w:pPr>
              <w:jc w:val="center"/>
              <w:rPr>
                <w:rFonts w:ascii="Arial" w:hAnsi="Arial"/>
                <w:sz w:val="18"/>
                <w:lang w:eastAsia="ja-JP"/>
              </w:rPr>
            </w:pPr>
            <w:r>
              <w:rPr>
                <w:rFonts w:ascii="Arial" w:hAnsi="Arial"/>
                <w:sz w:val="18"/>
                <w:lang w:eastAsia="ja-JP"/>
              </w:rPr>
              <w:t>10%</w:t>
            </w:r>
          </w:p>
        </w:tc>
        <w:tc>
          <w:tcPr>
            <w:tcW w:w="2700" w:type="dxa"/>
            <w:vAlign w:val="center"/>
          </w:tcPr>
          <w:p w:rsidR="00AA344E" w:rsidRPr="002E1477" w:rsidRDefault="00C24E29" w:rsidP="006A445D">
            <w:pPr>
              <w:rPr>
                <w:rFonts w:ascii="Arial" w:hAnsi="Arial"/>
                <w:sz w:val="18"/>
                <w:lang w:eastAsia="ja-JP"/>
              </w:rPr>
            </w:pPr>
            <w:r>
              <w:rPr>
                <w:rFonts w:ascii="Arial" w:hAnsi="Arial"/>
                <w:sz w:val="18"/>
                <w:lang w:eastAsia="ja-JP"/>
              </w:rPr>
              <w:t>AGL’s</w:t>
            </w:r>
            <w:r w:rsidR="00E3654D">
              <w:rPr>
                <w:rFonts w:ascii="Arial" w:hAnsi="Arial"/>
                <w:sz w:val="18"/>
                <w:lang w:eastAsia="ja-JP"/>
              </w:rPr>
              <w:t xml:space="preserve"> first</w:t>
            </w:r>
            <w:r>
              <w:rPr>
                <w:rFonts w:ascii="Arial" w:hAnsi="Arial"/>
                <w:sz w:val="18"/>
                <w:lang w:eastAsia="ja-JP"/>
              </w:rPr>
              <w:t xml:space="preserve"> invoice after removal of carbon tax by Abbott Government</w:t>
            </w:r>
            <w:r w:rsidR="00826302">
              <w:rPr>
                <w:rFonts w:ascii="Arial" w:hAnsi="Arial"/>
                <w:sz w:val="18"/>
                <w:lang w:eastAsia="ja-JP"/>
              </w:rPr>
              <w:t xml:space="preserve"> in 2014</w:t>
            </w:r>
          </w:p>
        </w:tc>
      </w:tr>
      <w:tr w:rsidR="008A4270" w:rsidRPr="00702AFB" w:rsidTr="006A445D">
        <w:trPr>
          <w:cantSplit/>
          <w:trHeight w:val="454"/>
          <w:jc w:val="center"/>
        </w:trPr>
        <w:tc>
          <w:tcPr>
            <w:tcW w:w="3695" w:type="dxa"/>
            <w:gridSpan w:val="2"/>
            <w:vAlign w:val="center"/>
          </w:tcPr>
          <w:p w:rsidR="008A4270" w:rsidRPr="00702AFB" w:rsidRDefault="008A4270" w:rsidP="005B283C">
            <w:pPr>
              <w:jc w:val="center"/>
              <w:rPr>
                <w:rFonts w:ascii="Arial" w:hAnsi="Arial"/>
                <w:b/>
                <w:sz w:val="18"/>
                <w:lang w:eastAsia="ja-JP"/>
              </w:rPr>
            </w:pPr>
            <w:r w:rsidRPr="00702AFB">
              <w:rPr>
                <w:rFonts w:ascii="Arial" w:hAnsi="Arial"/>
                <w:b/>
                <w:sz w:val="18"/>
                <w:lang w:eastAsia="ja-JP"/>
              </w:rPr>
              <w:t xml:space="preserve">% increase </w:t>
            </w:r>
            <w:r w:rsidR="005B283C">
              <w:rPr>
                <w:rFonts w:ascii="Arial" w:hAnsi="Arial"/>
                <w:b/>
                <w:sz w:val="18"/>
                <w:lang w:eastAsia="ja-JP"/>
              </w:rPr>
              <w:t>over 14 years</w:t>
            </w:r>
            <w:r w:rsidRPr="00702AFB">
              <w:rPr>
                <w:rFonts w:ascii="Arial" w:hAnsi="Arial"/>
                <w:b/>
                <w:sz w:val="18"/>
                <w:lang w:eastAsia="ja-JP"/>
              </w:rPr>
              <w:t xml:space="preserve"> </w:t>
            </w:r>
            <w:r w:rsidR="005B283C">
              <w:rPr>
                <w:rFonts w:ascii="Arial" w:hAnsi="Arial"/>
                <w:b/>
                <w:sz w:val="18"/>
                <w:lang w:eastAsia="ja-JP"/>
              </w:rPr>
              <w:t>private hands</w:t>
            </w:r>
          </w:p>
        </w:tc>
        <w:tc>
          <w:tcPr>
            <w:tcW w:w="2300" w:type="dxa"/>
            <w:vAlign w:val="center"/>
          </w:tcPr>
          <w:p w:rsidR="008A4270" w:rsidRPr="00702AFB" w:rsidRDefault="00CD7484" w:rsidP="006A445D">
            <w:pPr>
              <w:jc w:val="center"/>
              <w:rPr>
                <w:rFonts w:ascii="Arial" w:hAnsi="Arial"/>
                <w:b/>
                <w:sz w:val="18"/>
                <w:lang w:eastAsia="ja-JP"/>
              </w:rPr>
            </w:pPr>
            <w:r>
              <w:rPr>
                <w:rFonts w:ascii="Arial" w:hAnsi="Arial"/>
                <w:b/>
                <w:sz w:val="18"/>
                <w:lang w:eastAsia="ja-JP"/>
              </w:rPr>
              <w:t>113.32%</w:t>
            </w:r>
          </w:p>
        </w:tc>
        <w:tc>
          <w:tcPr>
            <w:tcW w:w="1700" w:type="dxa"/>
            <w:vAlign w:val="center"/>
          </w:tcPr>
          <w:p w:rsidR="008A4270" w:rsidRPr="00702AFB" w:rsidRDefault="003E5EE4" w:rsidP="006A445D">
            <w:pPr>
              <w:jc w:val="center"/>
              <w:rPr>
                <w:rFonts w:ascii="Arial" w:hAnsi="Arial"/>
                <w:b/>
                <w:sz w:val="18"/>
                <w:lang w:eastAsia="ja-JP"/>
              </w:rPr>
            </w:pPr>
            <w:r>
              <w:rPr>
                <w:rFonts w:ascii="Arial" w:hAnsi="Arial"/>
                <w:b/>
                <w:sz w:val="18"/>
                <w:lang w:eastAsia="ja-JP"/>
              </w:rPr>
              <w:t>151.98%</w:t>
            </w:r>
          </w:p>
        </w:tc>
        <w:tc>
          <w:tcPr>
            <w:tcW w:w="1600" w:type="dxa"/>
            <w:vAlign w:val="center"/>
          </w:tcPr>
          <w:p w:rsidR="008A4270" w:rsidRPr="00702AFB" w:rsidRDefault="001B6E99" w:rsidP="006A445D">
            <w:pPr>
              <w:jc w:val="center"/>
              <w:rPr>
                <w:rFonts w:ascii="Arial" w:hAnsi="Arial"/>
                <w:b/>
                <w:sz w:val="18"/>
                <w:lang w:eastAsia="ja-JP"/>
              </w:rPr>
            </w:pPr>
            <w:r>
              <w:rPr>
                <w:rFonts w:ascii="Arial" w:hAnsi="Arial"/>
                <w:b/>
                <w:sz w:val="18"/>
                <w:lang w:eastAsia="ja-JP"/>
              </w:rPr>
              <w:t>136.06%</w:t>
            </w:r>
          </w:p>
        </w:tc>
        <w:tc>
          <w:tcPr>
            <w:tcW w:w="1200" w:type="dxa"/>
            <w:vAlign w:val="center"/>
          </w:tcPr>
          <w:p w:rsidR="008A4270" w:rsidRPr="00702AFB" w:rsidRDefault="008A4270" w:rsidP="006A445D">
            <w:pPr>
              <w:jc w:val="center"/>
              <w:rPr>
                <w:rFonts w:ascii="Arial" w:hAnsi="Arial"/>
                <w:b/>
                <w:sz w:val="18"/>
                <w:lang w:eastAsia="ja-JP"/>
              </w:rPr>
            </w:pPr>
          </w:p>
        </w:tc>
        <w:tc>
          <w:tcPr>
            <w:tcW w:w="2700" w:type="dxa"/>
            <w:vAlign w:val="center"/>
          </w:tcPr>
          <w:p w:rsidR="008A4270" w:rsidRPr="00702AFB" w:rsidRDefault="008A4270" w:rsidP="006A445D">
            <w:pPr>
              <w:rPr>
                <w:rFonts w:ascii="Arial" w:hAnsi="Arial"/>
                <w:b/>
                <w:sz w:val="18"/>
                <w:lang w:eastAsia="ja-JP"/>
              </w:rPr>
            </w:pPr>
          </w:p>
        </w:tc>
      </w:tr>
      <w:tr w:rsidR="00702AFB" w:rsidRPr="00702AFB" w:rsidTr="006A445D">
        <w:trPr>
          <w:cantSplit/>
          <w:trHeight w:val="454"/>
          <w:jc w:val="center"/>
        </w:trPr>
        <w:tc>
          <w:tcPr>
            <w:tcW w:w="3695" w:type="dxa"/>
            <w:gridSpan w:val="2"/>
            <w:vAlign w:val="center"/>
          </w:tcPr>
          <w:p w:rsidR="00702AFB" w:rsidRPr="00702AFB" w:rsidRDefault="00702AFB" w:rsidP="006A445D">
            <w:pPr>
              <w:jc w:val="center"/>
              <w:rPr>
                <w:rFonts w:ascii="Arial" w:hAnsi="Arial"/>
                <w:b/>
                <w:sz w:val="18"/>
                <w:lang w:eastAsia="ja-JP"/>
              </w:rPr>
            </w:pPr>
            <w:r>
              <w:rPr>
                <w:rFonts w:ascii="Arial" w:hAnsi="Arial"/>
                <w:b/>
                <w:sz w:val="18"/>
                <w:lang w:eastAsia="ja-JP"/>
              </w:rPr>
              <w:t>Overall % increase since 1985</w:t>
            </w:r>
            <w:r w:rsidR="007366A2">
              <w:rPr>
                <w:rFonts w:ascii="Arial" w:hAnsi="Arial"/>
                <w:b/>
                <w:sz w:val="18"/>
                <w:lang w:eastAsia="ja-JP"/>
              </w:rPr>
              <w:t xml:space="preserve"> or introduction</w:t>
            </w:r>
            <w:r w:rsidR="00E24B28">
              <w:rPr>
                <w:rFonts w:ascii="Arial" w:hAnsi="Arial"/>
                <w:b/>
                <w:sz w:val="18"/>
                <w:lang w:eastAsia="ja-JP"/>
              </w:rPr>
              <w:t xml:space="preserve"> of charge</w:t>
            </w:r>
          </w:p>
        </w:tc>
        <w:tc>
          <w:tcPr>
            <w:tcW w:w="2300" w:type="dxa"/>
            <w:vAlign w:val="center"/>
          </w:tcPr>
          <w:p w:rsidR="00702AFB" w:rsidRPr="00702AFB" w:rsidRDefault="00A56080" w:rsidP="006A445D">
            <w:pPr>
              <w:jc w:val="center"/>
              <w:rPr>
                <w:rFonts w:ascii="Arial" w:hAnsi="Arial"/>
                <w:b/>
                <w:sz w:val="18"/>
                <w:lang w:eastAsia="ja-JP"/>
              </w:rPr>
            </w:pPr>
            <w:r>
              <w:rPr>
                <w:rFonts w:ascii="Arial" w:hAnsi="Arial"/>
                <w:b/>
                <w:sz w:val="18"/>
                <w:lang w:eastAsia="ja-JP"/>
              </w:rPr>
              <w:t>189.52%</w:t>
            </w:r>
          </w:p>
        </w:tc>
        <w:tc>
          <w:tcPr>
            <w:tcW w:w="1700" w:type="dxa"/>
            <w:vAlign w:val="center"/>
          </w:tcPr>
          <w:p w:rsidR="00702AFB" w:rsidRPr="00702AFB" w:rsidRDefault="003E5EE4" w:rsidP="006A445D">
            <w:pPr>
              <w:jc w:val="center"/>
              <w:rPr>
                <w:rFonts w:ascii="Arial" w:hAnsi="Arial"/>
                <w:b/>
                <w:sz w:val="18"/>
                <w:lang w:eastAsia="ja-JP"/>
              </w:rPr>
            </w:pPr>
            <w:r>
              <w:rPr>
                <w:rFonts w:ascii="Arial" w:hAnsi="Arial"/>
                <w:b/>
                <w:sz w:val="18"/>
                <w:lang w:eastAsia="ja-JP"/>
              </w:rPr>
              <w:t>172.46%</w:t>
            </w:r>
          </w:p>
        </w:tc>
        <w:tc>
          <w:tcPr>
            <w:tcW w:w="1600" w:type="dxa"/>
            <w:vAlign w:val="center"/>
          </w:tcPr>
          <w:p w:rsidR="00702AFB" w:rsidRPr="00702AFB" w:rsidRDefault="001B6E99" w:rsidP="006A445D">
            <w:pPr>
              <w:jc w:val="center"/>
              <w:rPr>
                <w:rFonts w:ascii="Arial" w:hAnsi="Arial"/>
                <w:b/>
                <w:sz w:val="18"/>
                <w:lang w:eastAsia="ja-JP"/>
              </w:rPr>
            </w:pPr>
            <w:r>
              <w:rPr>
                <w:rFonts w:ascii="Arial" w:hAnsi="Arial"/>
                <w:b/>
                <w:sz w:val="18"/>
                <w:lang w:eastAsia="ja-JP"/>
              </w:rPr>
              <w:t>445.35%</w:t>
            </w:r>
          </w:p>
        </w:tc>
        <w:tc>
          <w:tcPr>
            <w:tcW w:w="1200" w:type="dxa"/>
            <w:vAlign w:val="center"/>
          </w:tcPr>
          <w:p w:rsidR="00702AFB" w:rsidRPr="00702AFB" w:rsidRDefault="00702AFB" w:rsidP="006A445D">
            <w:pPr>
              <w:jc w:val="center"/>
              <w:rPr>
                <w:rFonts w:ascii="Arial" w:hAnsi="Arial"/>
                <w:b/>
                <w:sz w:val="18"/>
                <w:lang w:eastAsia="ja-JP"/>
              </w:rPr>
            </w:pPr>
          </w:p>
        </w:tc>
        <w:tc>
          <w:tcPr>
            <w:tcW w:w="2700" w:type="dxa"/>
            <w:vAlign w:val="center"/>
          </w:tcPr>
          <w:p w:rsidR="00702AFB" w:rsidRPr="00702AFB" w:rsidRDefault="00702AFB" w:rsidP="006A445D">
            <w:pPr>
              <w:rPr>
                <w:rFonts w:ascii="Arial" w:hAnsi="Arial"/>
                <w:b/>
                <w:sz w:val="18"/>
                <w:lang w:eastAsia="ja-JP"/>
              </w:rPr>
            </w:pPr>
          </w:p>
        </w:tc>
      </w:tr>
    </w:tbl>
    <w:p w:rsidR="008F3283" w:rsidRPr="008F3283" w:rsidRDefault="008F3283" w:rsidP="008F3283">
      <w:pPr>
        <w:rPr>
          <w:rFonts w:ascii="Arial" w:hAnsi="Arial"/>
          <w:b/>
          <w:sz w:val="24"/>
          <w:szCs w:val="24"/>
          <w:lang w:eastAsia="ja-JP"/>
        </w:rPr>
      </w:pPr>
    </w:p>
    <w:p w:rsidR="00DC3CE1" w:rsidRDefault="00DC3CE1">
      <w:pPr>
        <w:rPr>
          <w:sz w:val="22"/>
        </w:rPr>
      </w:pPr>
      <w:r>
        <w:br w:type="page"/>
      </w:r>
    </w:p>
    <w:p w:rsidR="00C13AFA" w:rsidRDefault="00CC4C9E" w:rsidP="004B5EF4">
      <w:pPr>
        <w:pStyle w:val="DWAppHeading1"/>
        <w:numPr>
          <w:ilvl w:val="0"/>
          <w:numId w:val="35"/>
        </w:numPr>
      </w:pPr>
      <w:bookmarkStart w:id="72" w:name="_Ref442391448"/>
      <w:bookmarkStart w:id="73" w:name="_Ref442391476"/>
      <w:bookmarkStart w:id="74" w:name="_Ref442423506"/>
      <w:bookmarkStart w:id="75" w:name="_Toc472599248"/>
      <w:r>
        <w:t>United States</w:t>
      </w:r>
      <w:r w:rsidR="00043885">
        <w:t xml:space="preserve"> Electricity</w:t>
      </w:r>
      <w:r w:rsidR="00D70054">
        <w:t xml:space="preserve"> A</w:t>
      </w:r>
      <w:r w:rsidR="00043885">
        <w:t xml:space="preserve">verage </w:t>
      </w:r>
      <w:r w:rsidR="00D70054">
        <w:t>R</w:t>
      </w:r>
      <w:r w:rsidR="00043885">
        <w:t xml:space="preserve">etail </w:t>
      </w:r>
      <w:r w:rsidR="00D70054">
        <w:t>P</w:t>
      </w:r>
      <w:r w:rsidR="00043885">
        <w:t>rices</w:t>
      </w:r>
      <w:bookmarkEnd w:id="72"/>
      <w:bookmarkEnd w:id="73"/>
      <w:r w:rsidR="004A168B">
        <w:t xml:space="preserve"> 1990-2009</w:t>
      </w:r>
      <w:bookmarkEnd w:id="74"/>
      <w:bookmarkEnd w:id="75"/>
    </w:p>
    <w:p w:rsidR="008F3283" w:rsidRPr="004A2E3D" w:rsidRDefault="005A7710" w:rsidP="005A7710">
      <w:pPr>
        <w:pStyle w:val="DWAppParaText"/>
        <w:spacing w:before="120"/>
        <w:jc w:val="center"/>
      </w:pPr>
      <w:bookmarkStart w:id="76" w:name="_Toc472599257"/>
      <w:r>
        <w:t xml:space="preserve">Table </w:t>
      </w:r>
      <w:r w:rsidR="00524F02">
        <w:fldChar w:fldCharType="begin"/>
      </w:r>
      <w:r w:rsidR="00524F02">
        <w:instrText xml:space="preserve"> SEQ Table \* Arabic \s 1 \* MERGEFORMAT </w:instrText>
      </w:r>
      <w:r w:rsidR="00524F02">
        <w:fldChar w:fldCharType="separate"/>
      </w:r>
      <w:r w:rsidR="00B6524A">
        <w:rPr>
          <w:noProof/>
        </w:rPr>
        <w:t>9</w:t>
      </w:r>
      <w:r w:rsidR="00524F02">
        <w:rPr>
          <w:noProof/>
        </w:rPr>
        <w:fldChar w:fldCharType="end"/>
      </w:r>
      <w:r>
        <w:t>.</w:t>
      </w:r>
      <w:r>
        <w:tab/>
      </w:r>
      <w:r w:rsidRPr="005A7710">
        <w:t>Table 947. Electricity-end use and average retail prices</w:t>
      </w:r>
      <w:r w:rsidR="00CC4C9E">
        <w:t xml:space="preserve"> (US$)</w:t>
      </w:r>
      <w:r w:rsidR="009754A7">
        <w:rPr>
          <w:noProof/>
          <w:lang w:eastAsia="en-AU"/>
        </w:rPr>
        <w:drawing>
          <wp:anchor distT="0" distB="0" distL="114300" distR="114300" simplePos="0" relativeHeight="251658240" behindDoc="0" locked="0" layoutInCell="1" allowOverlap="1" wp14:anchorId="367FCD08" wp14:editId="5FE98764">
            <wp:simplePos x="0" y="0"/>
            <wp:positionH relativeFrom="column">
              <wp:posOffset>1660525</wp:posOffset>
            </wp:positionH>
            <wp:positionV relativeFrom="paragraph">
              <wp:posOffset>410845</wp:posOffset>
            </wp:positionV>
            <wp:extent cx="6468745" cy="5017770"/>
            <wp:effectExtent l="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04CC4.tmp"/>
                    <pic:cNvPicPr/>
                  </pic:nvPicPr>
                  <pic:blipFill>
                    <a:blip r:embed="rId46">
                      <a:extLst>
                        <a:ext uri="{28A0092B-C50C-407E-A947-70E740481C1C}">
                          <a14:useLocalDpi xmlns:a14="http://schemas.microsoft.com/office/drawing/2010/main" val="0"/>
                        </a:ext>
                      </a:extLst>
                    </a:blip>
                    <a:stretch>
                      <a:fillRect/>
                    </a:stretch>
                  </pic:blipFill>
                  <pic:spPr>
                    <a:xfrm>
                      <a:off x="0" y="0"/>
                      <a:ext cx="6468745" cy="5017770"/>
                    </a:xfrm>
                    <a:prstGeom prst="rect">
                      <a:avLst/>
                    </a:prstGeom>
                  </pic:spPr>
                </pic:pic>
              </a:graphicData>
            </a:graphic>
          </wp:anchor>
        </w:drawing>
      </w:r>
      <w:bookmarkEnd w:id="76"/>
    </w:p>
    <w:sectPr w:rsidR="008F3283" w:rsidRPr="004A2E3D" w:rsidSect="004B09B6">
      <w:pgSz w:w="16838" w:h="11906" w:orient="landscape" w:code="9"/>
      <w:pgMar w:top="1417" w:right="1417" w:bottom="1134" w:left="1417" w:header="567" w:footer="43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136" w:rsidRDefault="00454136">
      <w:r>
        <w:separator/>
      </w:r>
    </w:p>
  </w:endnote>
  <w:endnote w:type="continuationSeparator" w:id="0">
    <w:p w:rsidR="00454136" w:rsidRDefault="0045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5" w:type="dxa"/>
      <w:jc w:val="center"/>
      <w:tblLayout w:type="fixed"/>
      <w:tblLook w:val="0000" w:firstRow="0" w:lastRow="0" w:firstColumn="0" w:lastColumn="0" w:noHBand="0" w:noVBand="0"/>
    </w:tblPr>
    <w:tblGrid>
      <w:gridCol w:w="6400"/>
      <w:gridCol w:w="616"/>
      <w:gridCol w:w="2479"/>
    </w:tblGrid>
    <w:tr w:rsidR="004D42D9" w:rsidTr="00C67AFF">
      <w:trPr>
        <w:cantSplit/>
        <w:trHeight w:val="139"/>
        <w:jc w:val="center"/>
      </w:trPr>
      <w:tc>
        <w:tcPr>
          <w:tcW w:w="6400" w:type="dxa"/>
          <w:tcBorders>
            <w:top w:val="single" w:sz="4" w:space="0" w:color="auto"/>
          </w:tcBorders>
        </w:tcPr>
        <w:p w:rsidR="004D42D9" w:rsidRPr="00E174C2" w:rsidRDefault="004D42D9" w:rsidP="00822A56">
          <w:pPr>
            <w:pStyle w:val="DWTableText"/>
            <w:rPr>
              <w:rFonts w:ascii="Arial" w:hAnsi="Arial" w:cs="Arial"/>
              <w:sz w:val="16"/>
              <w:szCs w:val="16"/>
            </w:rPr>
          </w:pPr>
          <w:r w:rsidRPr="00E174C2">
            <w:rPr>
              <w:rFonts w:ascii="Arial" w:hAnsi="Arial" w:cs="Arial"/>
              <w:sz w:val="16"/>
              <w:szCs w:val="16"/>
            </w:rPr>
            <w:fldChar w:fldCharType="begin"/>
          </w:r>
          <w:r w:rsidRPr="00E174C2">
            <w:rPr>
              <w:rFonts w:ascii="Arial" w:hAnsi="Arial" w:cs="Arial"/>
              <w:sz w:val="16"/>
              <w:szCs w:val="16"/>
            </w:rPr>
            <w:instrText xml:space="preserve"> FILENAME</w:instrText>
          </w:r>
          <w:r w:rsidRPr="00E174C2">
            <w:rPr>
              <w:rFonts w:ascii="Arial" w:hAnsi="Arial" w:cs="Arial"/>
              <w:sz w:val="16"/>
              <w:szCs w:val="16"/>
            </w:rPr>
            <w:fldChar w:fldCharType="separate"/>
          </w:r>
          <w:r>
            <w:rPr>
              <w:rFonts w:ascii="Arial" w:hAnsi="Arial" w:cs="Arial"/>
              <w:noProof/>
              <w:sz w:val="16"/>
              <w:szCs w:val="16"/>
            </w:rPr>
            <w:t>Pre-BudgetSubmission2017-18_AGT-SUB-002_1.0</w:t>
          </w:r>
          <w:r w:rsidRPr="00E174C2">
            <w:rPr>
              <w:rFonts w:ascii="Arial" w:hAnsi="Arial" w:cs="Arial"/>
              <w:sz w:val="16"/>
              <w:szCs w:val="16"/>
            </w:rPr>
            <w:fldChar w:fldCharType="end"/>
          </w:r>
        </w:p>
      </w:tc>
      <w:tc>
        <w:tcPr>
          <w:tcW w:w="616" w:type="dxa"/>
          <w:tcBorders>
            <w:top w:val="single" w:sz="4" w:space="0" w:color="auto"/>
          </w:tcBorders>
        </w:tcPr>
        <w:p w:rsidR="004D42D9" w:rsidRDefault="004D42D9">
          <w:pPr>
            <w:pStyle w:val="DWHF10"/>
            <w:spacing w:after="0"/>
          </w:pPr>
        </w:p>
      </w:tc>
      <w:tc>
        <w:tcPr>
          <w:tcW w:w="2479" w:type="dxa"/>
          <w:tcBorders>
            <w:top w:val="single" w:sz="4" w:space="0" w:color="auto"/>
          </w:tcBorders>
        </w:tcPr>
        <w:p w:rsidR="004D42D9" w:rsidRPr="00E174C2" w:rsidRDefault="004D42D9">
          <w:pPr>
            <w:pStyle w:val="DWHF10"/>
            <w:jc w:val="right"/>
            <w:rPr>
              <w:rFonts w:ascii="Arial" w:hAnsi="Arial" w:cs="Arial"/>
              <w:sz w:val="18"/>
              <w:szCs w:val="18"/>
            </w:rPr>
          </w:pPr>
          <w:r w:rsidRPr="00E174C2">
            <w:rPr>
              <w:rFonts w:ascii="Arial" w:hAnsi="Arial" w:cs="Arial"/>
              <w:sz w:val="18"/>
              <w:szCs w:val="18"/>
            </w:rPr>
            <w:t xml:space="preserve">Page  </w:t>
          </w:r>
          <w:r w:rsidRPr="00E174C2">
            <w:rPr>
              <w:rFonts w:ascii="Arial" w:hAnsi="Arial" w:cs="Arial"/>
              <w:sz w:val="18"/>
              <w:szCs w:val="18"/>
            </w:rPr>
            <w:fldChar w:fldCharType="begin"/>
          </w:r>
          <w:r w:rsidRPr="00E174C2">
            <w:rPr>
              <w:rFonts w:ascii="Arial" w:hAnsi="Arial" w:cs="Arial"/>
              <w:sz w:val="18"/>
              <w:szCs w:val="18"/>
            </w:rPr>
            <w:instrText xml:space="preserve"> PAGE  \* MERGEFORMAT </w:instrText>
          </w:r>
          <w:r w:rsidRPr="00E174C2">
            <w:rPr>
              <w:rFonts w:ascii="Arial" w:hAnsi="Arial" w:cs="Arial"/>
              <w:sz w:val="18"/>
              <w:szCs w:val="18"/>
            </w:rPr>
            <w:fldChar w:fldCharType="separate"/>
          </w:r>
          <w:r w:rsidR="004F0F11">
            <w:rPr>
              <w:rFonts w:ascii="Arial" w:hAnsi="Arial" w:cs="Arial"/>
              <w:noProof/>
              <w:sz w:val="18"/>
              <w:szCs w:val="18"/>
            </w:rPr>
            <w:t>1</w:t>
          </w:r>
          <w:r w:rsidRPr="00E174C2">
            <w:rPr>
              <w:rFonts w:ascii="Arial" w:hAnsi="Arial" w:cs="Arial"/>
              <w:sz w:val="18"/>
              <w:szCs w:val="18"/>
            </w:rPr>
            <w:fldChar w:fldCharType="end"/>
          </w:r>
          <w:r w:rsidRPr="00E174C2">
            <w:rPr>
              <w:rFonts w:ascii="Arial" w:hAnsi="Arial" w:cs="Arial"/>
              <w:sz w:val="18"/>
              <w:szCs w:val="18"/>
            </w:rPr>
            <w:t xml:space="preserve"> of </w:t>
          </w:r>
          <w:r w:rsidRPr="00E174C2">
            <w:rPr>
              <w:rFonts w:ascii="Arial" w:hAnsi="Arial" w:cs="Arial"/>
              <w:sz w:val="18"/>
              <w:szCs w:val="18"/>
            </w:rPr>
            <w:fldChar w:fldCharType="begin"/>
          </w:r>
          <w:r w:rsidRPr="00E174C2">
            <w:rPr>
              <w:rFonts w:ascii="Arial" w:hAnsi="Arial" w:cs="Arial"/>
              <w:sz w:val="18"/>
              <w:szCs w:val="18"/>
            </w:rPr>
            <w:instrText xml:space="preserve"> NUMPAGES  \* MERGEFORMAT </w:instrText>
          </w:r>
          <w:r w:rsidRPr="00E174C2">
            <w:rPr>
              <w:rFonts w:ascii="Arial" w:hAnsi="Arial" w:cs="Arial"/>
              <w:sz w:val="18"/>
              <w:szCs w:val="18"/>
            </w:rPr>
            <w:fldChar w:fldCharType="separate"/>
          </w:r>
          <w:r w:rsidR="004F0F11">
            <w:rPr>
              <w:rFonts w:ascii="Arial" w:hAnsi="Arial" w:cs="Arial"/>
              <w:noProof/>
              <w:sz w:val="18"/>
              <w:szCs w:val="18"/>
            </w:rPr>
            <w:t>3</w:t>
          </w:r>
          <w:r w:rsidRPr="00E174C2">
            <w:rPr>
              <w:rFonts w:ascii="Arial" w:hAnsi="Arial" w:cs="Arial"/>
              <w:sz w:val="18"/>
              <w:szCs w:val="18"/>
            </w:rPr>
            <w:fldChar w:fldCharType="end"/>
          </w:r>
        </w:p>
      </w:tc>
    </w:tr>
  </w:tbl>
  <w:p w:rsidR="004D42D9" w:rsidRDefault="004D42D9" w:rsidP="00FF7F64">
    <w:pPr>
      <w:pStyle w:val="DWSpace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136" w:rsidRDefault="00454136">
      <w:r>
        <w:separator/>
      </w:r>
    </w:p>
  </w:footnote>
  <w:footnote w:type="continuationSeparator" w:id="0">
    <w:p w:rsidR="00454136" w:rsidRDefault="00454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4" w:type="dxa"/>
      <w:jc w:val="center"/>
      <w:tblBorders>
        <w:bottom w:val="single" w:sz="8" w:space="0" w:color="auto"/>
      </w:tblBorders>
      <w:tblLayout w:type="fixed"/>
      <w:tblLook w:val="0000" w:firstRow="0" w:lastRow="0" w:firstColumn="0" w:lastColumn="0" w:noHBand="0" w:noVBand="0"/>
    </w:tblPr>
    <w:tblGrid>
      <w:gridCol w:w="2624"/>
      <w:gridCol w:w="2100"/>
      <w:gridCol w:w="1800"/>
      <w:gridCol w:w="800"/>
      <w:gridCol w:w="2200"/>
    </w:tblGrid>
    <w:tr w:rsidR="004D42D9" w:rsidTr="00BF4509">
      <w:trPr>
        <w:cantSplit/>
        <w:jc w:val="center"/>
      </w:trPr>
      <w:tc>
        <w:tcPr>
          <w:tcW w:w="2624" w:type="dxa"/>
          <w:vMerge w:val="restart"/>
          <w:vAlign w:val="center"/>
        </w:tcPr>
        <w:p w:rsidR="004D42D9" w:rsidRPr="00B044B4" w:rsidRDefault="004D42D9" w:rsidP="0056009D">
          <w:pPr>
            <w:pStyle w:val="DWHFSecurity"/>
            <w:rPr>
              <w:b w:val="0"/>
              <w:sz w:val="20"/>
            </w:rPr>
          </w:pPr>
          <w:r w:rsidRPr="00B044B4">
            <w:rPr>
              <w:b w:val="0"/>
              <w:sz w:val="20"/>
            </w:rPr>
            <w:t>jOHN e. cALDECOTT</w:t>
          </w:r>
        </w:p>
      </w:tc>
      <w:tc>
        <w:tcPr>
          <w:tcW w:w="4700" w:type="dxa"/>
          <w:gridSpan w:val="3"/>
        </w:tcPr>
        <w:p w:rsidR="004D42D9" w:rsidRDefault="004D42D9" w:rsidP="0056009D">
          <w:pPr>
            <w:pStyle w:val="DWHFSecurity"/>
          </w:pPr>
          <w:r>
            <w:fldChar w:fldCharType="begin"/>
          </w:r>
          <w:r>
            <w:instrText xml:space="preserve"> DOCPROPERTY "DW$_Security"</w:instrText>
          </w:r>
          <w:r>
            <w:fldChar w:fldCharType="separate"/>
          </w:r>
          <w:r>
            <w:t xml:space="preserve"> </w:t>
          </w:r>
          <w:r>
            <w:fldChar w:fldCharType="end"/>
          </w:r>
        </w:p>
      </w:tc>
      <w:tc>
        <w:tcPr>
          <w:tcW w:w="2200" w:type="dxa"/>
        </w:tcPr>
        <w:p w:rsidR="004D42D9" w:rsidRDefault="004D42D9" w:rsidP="0056009D">
          <w:pPr>
            <w:pStyle w:val="DWHFStatus"/>
          </w:pPr>
          <w:r>
            <w:fldChar w:fldCharType="begin"/>
          </w:r>
          <w:r>
            <w:instrText xml:space="preserve"> DOCPROPERTY "DW$_Status"</w:instrText>
          </w:r>
          <w:r>
            <w:fldChar w:fldCharType="separate"/>
          </w:r>
          <w:r>
            <w:t xml:space="preserve"> </w:t>
          </w:r>
          <w:r>
            <w:fldChar w:fldCharType="end"/>
          </w:r>
        </w:p>
      </w:tc>
    </w:tr>
    <w:tr w:rsidR="004D42D9" w:rsidTr="00BF4509">
      <w:trPr>
        <w:cantSplit/>
        <w:jc w:val="center"/>
      </w:trPr>
      <w:tc>
        <w:tcPr>
          <w:tcW w:w="2624" w:type="dxa"/>
          <w:vMerge/>
        </w:tcPr>
        <w:p w:rsidR="004D42D9" w:rsidRDefault="004D42D9" w:rsidP="0056009D">
          <w:pPr>
            <w:pStyle w:val="DWHF8"/>
            <w:jc w:val="center"/>
          </w:pPr>
        </w:p>
      </w:tc>
      <w:tc>
        <w:tcPr>
          <w:tcW w:w="2100" w:type="dxa"/>
        </w:tcPr>
        <w:p w:rsidR="004D42D9" w:rsidRDefault="004D42D9" w:rsidP="0056009D">
          <w:pPr>
            <w:pStyle w:val="DWHF8"/>
            <w:jc w:val="center"/>
          </w:pPr>
          <w:r>
            <w:t>Public</w:t>
          </w:r>
        </w:p>
      </w:tc>
      <w:tc>
        <w:tcPr>
          <w:tcW w:w="1800" w:type="dxa"/>
        </w:tcPr>
        <w:p w:rsidR="004D42D9" w:rsidRDefault="004D42D9" w:rsidP="0056009D">
          <w:pPr>
            <w:pStyle w:val="DWHF8"/>
            <w:spacing w:after="0"/>
            <w:ind w:left="-127" w:firstLine="127"/>
            <w:jc w:val="center"/>
          </w:pPr>
          <w:r>
            <w:t>Issue Date</w:t>
          </w:r>
        </w:p>
      </w:tc>
      <w:tc>
        <w:tcPr>
          <w:tcW w:w="800" w:type="dxa"/>
        </w:tcPr>
        <w:p w:rsidR="004D42D9" w:rsidRDefault="004D42D9" w:rsidP="0056009D">
          <w:pPr>
            <w:pStyle w:val="DWHF8"/>
            <w:spacing w:after="0"/>
            <w:jc w:val="center"/>
          </w:pPr>
          <w:r>
            <w:t>Issue</w:t>
          </w:r>
        </w:p>
      </w:tc>
      <w:tc>
        <w:tcPr>
          <w:tcW w:w="2200" w:type="dxa"/>
        </w:tcPr>
        <w:p w:rsidR="004D42D9" w:rsidRDefault="004D42D9" w:rsidP="0056009D">
          <w:pPr>
            <w:pStyle w:val="DWHF8"/>
            <w:spacing w:after="0"/>
            <w:jc w:val="right"/>
          </w:pPr>
          <w:r>
            <w:t>Document No.</w:t>
          </w:r>
        </w:p>
      </w:tc>
    </w:tr>
    <w:tr w:rsidR="004D42D9" w:rsidTr="00BF4509">
      <w:trPr>
        <w:cantSplit/>
        <w:jc w:val="center"/>
      </w:trPr>
      <w:tc>
        <w:tcPr>
          <w:tcW w:w="2624" w:type="dxa"/>
          <w:vMerge/>
        </w:tcPr>
        <w:p w:rsidR="004D42D9" w:rsidRDefault="004D42D9" w:rsidP="0056009D">
          <w:pPr>
            <w:pStyle w:val="DWHF10"/>
          </w:pPr>
        </w:p>
      </w:tc>
      <w:tc>
        <w:tcPr>
          <w:tcW w:w="2100" w:type="dxa"/>
        </w:tcPr>
        <w:p w:rsidR="004D42D9" w:rsidRDefault="004D42D9" w:rsidP="0056009D">
          <w:pPr>
            <w:pStyle w:val="DWHF10"/>
          </w:pPr>
          <w:r>
            <w:fldChar w:fldCharType="begin"/>
          </w:r>
          <w:r>
            <w:instrText xml:space="preserve"> DOCPROPERTY "DW$_Department"</w:instrText>
          </w:r>
          <w:r>
            <w:fldChar w:fldCharType="separate"/>
          </w:r>
          <w:r>
            <w:t>Submissions</w:t>
          </w:r>
          <w:r>
            <w:fldChar w:fldCharType="end"/>
          </w:r>
        </w:p>
      </w:tc>
      <w:tc>
        <w:tcPr>
          <w:tcW w:w="1800" w:type="dxa"/>
          <w:vAlign w:val="center"/>
        </w:tcPr>
        <w:p w:rsidR="004D42D9" w:rsidRDefault="004D42D9" w:rsidP="0056009D">
          <w:pPr>
            <w:pStyle w:val="DWHF10"/>
          </w:pPr>
          <w:r>
            <w:fldChar w:fldCharType="begin"/>
          </w:r>
          <w:r>
            <w:instrText xml:space="preserve"> DOCPROPERTY "DW$_IssueDate"</w:instrText>
          </w:r>
          <w:r>
            <w:fldChar w:fldCharType="separate"/>
          </w:r>
          <w:r>
            <w:t>19 January 2017</w:t>
          </w:r>
          <w:r>
            <w:fldChar w:fldCharType="end"/>
          </w:r>
        </w:p>
      </w:tc>
      <w:tc>
        <w:tcPr>
          <w:tcW w:w="800" w:type="dxa"/>
          <w:vAlign w:val="center"/>
        </w:tcPr>
        <w:p w:rsidR="004D42D9" w:rsidRDefault="004D42D9" w:rsidP="0056009D">
          <w:pPr>
            <w:pStyle w:val="DWHF10"/>
          </w:pPr>
          <w:r>
            <w:fldChar w:fldCharType="begin"/>
          </w:r>
          <w:r>
            <w:instrText xml:space="preserve"> DOCPROPERTY "DW$_Issue"</w:instrText>
          </w:r>
          <w:r>
            <w:fldChar w:fldCharType="separate"/>
          </w:r>
          <w:r>
            <w:t>1.0</w:t>
          </w:r>
          <w:r>
            <w:fldChar w:fldCharType="end"/>
          </w:r>
        </w:p>
      </w:tc>
      <w:tc>
        <w:tcPr>
          <w:tcW w:w="2200" w:type="dxa"/>
          <w:vAlign w:val="center"/>
        </w:tcPr>
        <w:p w:rsidR="004D42D9" w:rsidRDefault="004D42D9" w:rsidP="0056009D">
          <w:pPr>
            <w:pStyle w:val="DWHF10"/>
            <w:jc w:val="right"/>
          </w:pPr>
          <w:r>
            <w:fldChar w:fldCharType="begin"/>
          </w:r>
          <w:r>
            <w:instrText xml:space="preserve"> DOCPROPERTY "DW$_DocumentID"</w:instrText>
          </w:r>
          <w:r>
            <w:fldChar w:fldCharType="separate"/>
          </w:r>
          <w:r>
            <w:t>AGT-SUB-002</w:t>
          </w:r>
          <w:r>
            <w:fldChar w:fldCharType="end"/>
          </w:r>
        </w:p>
      </w:tc>
    </w:tr>
  </w:tbl>
  <w:p w:rsidR="004D42D9" w:rsidRPr="00766E6F" w:rsidRDefault="004D42D9" w:rsidP="00DD02F4">
    <w:pPr>
      <w:pStyle w:val="DWSpace3"/>
      <w:tabs>
        <w:tab w:val="left" w:pos="4608"/>
      </w:tabs>
      <w:spacing w:before="0"/>
      <w:rPr>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B2460A"/>
    <w:lvl w:ilvl="0">
      <w:start w:val="1"/>
      <w:numFmt w:val="bullet"/>
      <w:pStyle w:val="ListNumber5"/>
      <w:lvlText w:val=""/>
      <w:lvlJc w:val="left"/>
      <w:pPr>
        <w:tabs>
          <w:tab w:val="num" w:pos="1985"/>
        </w:tabs>
        <w:ind w:left="1985" w:hanging="567"/>
      </w:pPr>
      <w:rPr>
        <w:rFonts w:ascii="Symbol" w:hAnsi="Symbol"/>
        <w:sz w:val="24"/>
      </w:rPr>
    </w:lvl>
  </w:abstractNum>
  <w:abstractNum w:abstractNumId="1">
    <w:nsid w:val="FFFFFF7D"/>
    <w:multiLevelType w:val="singleLevel"/>
    <w:tmpl w:val="4F08508E"/>
    <w:lvl w:ilvl="0">
      <w:start w:val="1"/>
      <w:numFmt w:val="decimal"/>
      <w:pStyle w:val="ListNumber4"/>
      <w:lvlText w:val="[%1]"/>
      <w:lvlJc w:val="center"/>
      <w:pPr>
        <w:tabs>
          <w:tab w:val="num" w:pos="648"/>
        </w:tabs>
        <w:ind w:firstLine="288"/>
      </w:pPr>
    </w:lvl>
  </w:abstractNum>
  <w:abstractNum w:abstractNumId="2">
    <w:nsid w:val="FFFFFF7E"/>
    <w:multiLevelType w:val="singleLevel"/>
    <w:tmpl w:val="36FA61F4"/>
    <w:lvl w:ilvl="0">
      <w:start w:val="1"/>
      <w:numFmt w:val="bullet"/>
      <w:pStyle w:val="ListNumber3"/>
      <w:lvlText w:val="-"/>
      <w:lvlJc w:val="left"/>
      <w:pPr>
        <w:tabs>
          <w:tab w:val="num" w:pos="2552"/>
        </w:tabs>
        <w:ind w:left="2552" w:hanging="567"/>
      </w:pPr>
      <w:rPr>
        <w:rFonts w:ascii="Symbol" w:hAnsi="Symbol"/>
        <w:sz w:val="24"/>
      </w:rPr>
    </w:lvl>
  </w:abstractNum>
  <w:abstractNum w:abstractNumId="3">
    <w:nsid w:val="FFFFFF7F"/>
    <w:multiLevelType w:val="singleLevel"/>
    <w:tmpl w:val="A566CED4"/>
    <w:lvl w:ilvl="0">
      <w:start w:val="1"/>
      <w:numFmt w:val="lowerRoman"/>
      <w:pStyle w:val="ListNumber2"/>
      <w:lvlText w:val="%1."/>
      <w:lvlJc w:val="left"/>
      <w:pPr>
        <w:tabs>
          <w:tab w:val="num" w:pos="2552"/>
        </w:tabs>
        <w:ind w:left="2552" w:hanging="567"/>
      </w:pPr>
      <w:rPr>
        <w:rFonts w:ascii="Times New Roman" w:hAnsi="Times New Roman"/>
      </w:rPr>
    </w:lvl>
  </w:abstractNum>
  <w:abstractNum w:abstractNumId="4">
    <w:nsid w:val="FFFFFF80"/>
    <w:multiLevelType w:val="singleLevel"/>
    <w:tmpl w:val="65E8F7FC"/>
    <w:lvl w:ilvl="0">
      <w:start w:val="1"/>
      <w:numFmt w:val="decimal"/>
      <w:pStyle w:val="ListBullet5"/>
      <w:lvlText w:val="%1."/>
      <w:lvlJc w:val="left"/>
      <w:pPr>
        <w:tabs>
          <w:tab w:val="num" w:pos="3119"/>
        </w:tabs>
        <w:ind w:left="3119" w:hanging="567"/>
      </w:pPr>
      <w:rPr>
        <w:rFonts w:ascii="Times New Roman" w:hAnsi="Times New Roman" w:hint="default"/>
      </w:rPr>
    </w:lvl>
  </w:abstractNum>
  <w:abstractNum w:abstractNumId="5">
    <w:nsid w:val="FFFFFF81"/>
    <w:multiLevelType w:val="singleLevel"/>
    <w:tmpl w:val="C9B4ABB2"/>
    <w:lvl w:ilvl="0">
      <w:start w:val="1"/>
      <w:numFmt w:val="lowerLetter"/>
      <w:pStyle w:val="ListBullet4"/>
      <w:lvlText w:val="%1."/>
      <w:lvlJc w:val="left"/>
      <w:pPr>
        <w:tabs>
          <w:tab w:val="num" w:pos="1985"/>
        </w:tabs>
        <w:ind w:left="1985" w:hanging="567"/>
      </w:pPr>
      <w:rPr>
        <w:rFonts w:ascii="Times New Roman" w:hAnsi="Times New Roman" w:hint="default"/>
      </w:rPr>
    </w:lvl>
  </w:abstractNum>
  <w:abstractNum w:abstractNumId="6">
    <w:nsid w:val="FFFFFF82"/>
    <w:multiLevelType w:val="singleLevel"/>
    <w:tmpl w:val="089477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C347DD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7A006F4"/>
    <w:lvl w:ilvl="0">
      <w:start w:val="1"/>
      <w:numFmt w:val="decimal"/>
      <w:pStyle w:val="ListNumber"/>
      <w:lvlText w:val="%1."/>
      <w:lvlJc w:val="left"/>
      <w:pPr>
        <w:tabs>
          <w:tab w:val="num" w:pos="360"/>
        </w:tabs>
        <w:ind w:left="360" w:hanging="360"/>
      </w:pPr>
    </w:lvl>
  </w:abstractNum>
  <w:abstractNum w:abstractNumId="9">
    <w:nsid w:val="FFFFFF89"/>
    <w:multiLevelType w:val="singleLevel"/>
    <w:tmpl w:val="74C6487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F77D8"/>
    <w:multiLevelType w:val="singleLevel"/>
    <w:tmpl w:val="FB5CC232"/>
    <w:name w:val="$M_RefNumbGallery"/>
    <w:lvl w:ilvl="0">
      <w:start w:val="1"/>
      <w:numFmt w:val="decimal"/>
      <w:lvlText w:val="[%1]"/>
      <w:lvlJc w:val="left"/>
      <w:pPr>
        <w:tabs>
          <w:tab w:val="num" w:pos="357"/>
        </w:tabs>
        <w:ind w:left="357" w:hanging="357"/>
      </w:pPr>
    </w:lvl>
  </w:abstractNum>
  <w:abstractNum w:abstractNumId="11">
    <w:nsid w:val="086D7577"/>
    <w:multiLevelType w:val="singleLevel"/>
    <w:tmpl w:val="69684070"/>
    <w:lvl w:ilvl="0">
      <w:start w:val="1"/>
      <w:numFmt w:val="decimal"/>
      <w:lvlText w:val="%1."/>
      <w:lvlJc w:val="left"/>
      <w:pPr>
        <w:tabs>
          <w:tab w:val="num" w:pos="720"/>
        </w:tabs>
        <w:ind w:left="720" w:hanging="720"/>
      </w:pPr>
      <w:rPr>
        <w:rFonts w:hint="default"/>
      </w:rPr>
    </w:lvl>
  </w:abstractNum>
  <w:abstractNum w:abstractNumId="12">
    <w:nsid w:val="08E9010B"/>
    <w:multiLevelType w:val="multilevel"/>
    <w:tmpl w:val="90ACA538"/>
    <w:lvl w:ilvl="0">
      <w:start w:val="1"/>
      <w:numFmt w:val="lowerLetter"/>
      <w:lvlText w:val="%1."/>
      <w:lvlJc w:val="left"/>
      <w:pPr>
        <w:tabs>
          <w:tab w:val="num" w:pos="1984"/>
        </w:tabs>
        <w:ind w:left="1984" w:hanging="567"/>
      </w:pPr>
    </w:lvl>
    <w:lvl w:ilvl="1">
      <w:start w:val="1"/>
      <w:numFmt w:val="lowerRoman"/>
      <w:lvlText w:val="%2."/>
      <w:lvlJc w:val="left"/>
      <w:pPr>
        <w:tabs>
          <w:tab w:val="num" w:pos="2551"/>
        </w:tabs>
        <w:ind w:left="2551" w:hanging="567"/>
      </w:pPr>
    </w:lvl>
    <w:lvl w:ilvl="2">
      <w:start w:val="1"/>
      <w:numFmt w:val="decimal"/>
      <w:lvlText w:val="%3."/>
      <w:lvlJc w:val="left"/>
      <w:pPr>
        <w:tabs>
          <w:tab w:val="num" w:pos="3118"/>
        </w:tabs>
        <w:ind w:left="3118" w:hanging="567"/>
      </w:pPr>
    </w:lvl>
    <w:lvl w:ilvl="3">
      <w:start w:val="1"/>
      <w:numFmt w:val="lowerLetter"/>
      <w:lvlText w:val="%4."/>
      <w:lvlJc w:val="left"/>
      <w:pPr>
        <w:tabs>
          <w:tab w:val="num" w:pos="397"/>
        </w:tabs>
        <w:ind w:left="397" w:hanging="397"/>
      </w:pPr>
    </w:lvl>
    <w:lvl w:ilvl="4">
      <w:start w:val="1"/>
      <w:numFmt w:val="lowerRoman"/>
      <w:lvlText w:val="%5."/>
      <w:lvlJc w:val="left"/>
      <w:pPr>
        <w:tabs>
          <w:tab w:val="num" w:pos="794"/>
        </w:tabs>
        <w:ind w:left="794" w:hanging="397"/>
      </w:pPr>
    </w:lvl>
    <w:lvl w:ilvl="5">
      <w:start w:val="1"/>
      <w:numFmt w:val="decimal"/>
      <w:lvlText w:val="%6."/>
      <w:lvlJc w:val="left"/>
      <w:pPr>
        <w:tabs>
          <w:tab w:val="num" w:pos="1191"/>
        </w:tabs>
        <w:ind w:left="1191" w:hanging="397"/>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nsid w:val="10217CD1"/>
    <w:multiLevelType w:val="multilevel"/>
    <w:tmpl w:val="FFE477A8"/>
    <w:name w:val="$M_SpecialGallery22"/>
    <w:lvl w:ilvl="0">
      <w:start w:val="1"/>
      <w:numFmt w:val="lowerLetter"/>
      <w:lvlText w:val="%1."/>
      <w:lvlJc w:val="left"/>
      <w:pPr>
        <w:tabs>
          <w:tab w:val="num" w:pos="1701"/>
        </w:tabs>
        <w:ind w:left="1701" w:hanging="284"/>
      </w:pPr>
    </w:lvl>
    <w:lvl w:ilvl="1">
      <w:start w:val="1"/>
      <w:numFmt w:val="lowerRoman"/>
      <w:lvlText w:val="%2."/>
      <w:lvlJc w:val="left"/>
      <w:pPr>
        <w:tabs>
          <w:tab w:val="num" w:pos="2268"/>
        </w:tabs>
        <w:ind w:left="2268" w:hanging="284"/>
      </w:pPr>
    </w:lvl>
    <w:lvl w:ilvl="2">
      <w:start w:val="1"/>
      <w:numFmt w:val="decimal"/>
      <w:lvlText w:val="%3."/>
      <w:lvlJc w:val="left"/>
      <w:pPr>
        <w:tabs>
          <w:tab w:val="num" w:pos="2835"/>
        </w:tabs>
        <w:ind w:left="2835" w:hanging="284"/>
      </w:pPr>
    </w:lvl>
    <w:lvl w:ilvl="3">
      <w:start w:val="1"/>
      <w:numFmt w:val="lowerLetter"/>
      <w:lvlText w:val="(%4)"/>
      <w:lvlJc w:val="left"/>
      <w:pPr>
        <w:tabs>
          <w:tab w:val="num" w:pos="4252"/>
        </w:tabs>
        <w:ind w:left="4252" w:hanging="709"/>
      </w:pPr>
    </w:lvl>
    <w:lvl w:ilvl="4">
      <w:start w:val="1"/>
      <w:numFmt w:val="lowerRoman"/>
      <w:lvlText w:val="(%5)"/>
      <w:lvlJc w:val="left"/>
      <w:pPr>
        <w:tabs>
          <w:tab w:val="num" w:pos="3543"/>
        </w:tabs>
        <w:ind w:left="3543" w:hanging="708"/>
      </w:pPr>
    </w:lvl>
    <w:lvl w:ilvl="5">
      <w:start w:val="1"/>
      <w:numFmt w:val="decimal"/>
      <w:lvlText w:val="(%6)"/>
      <w:lvlJc w:val="left"/>
      <w:pPr>
        <w:tabs>
          <w:tab w:val="num" w:pos="4252"/>
        </w:tabs>
        <w:ind w:left="4252" w:hanging="709"/>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14A95446"/>
    <w:multiLevelType w:val="multilevel"/>
    <w:tmpl w:val="A22E3146"/>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397"/>
        </w:tabs>
        <w:ind w:left="397" w:hanging="397"/>
      </w:pPr>
    </w:lvl>
    <w:lvl w:ilvl="4">
      <w:start w:val="1"/>
      <w:numFmt w:val="lowerRoman"/>
      <w:lvlText w:val="%5."/>
      <w:lvlJc w:val="left"/>
      <w:pPr>
        <w:tabs>
          <w:tab w:val="num" w:pos="794"/>
        </w:tabs>
        <w:ind w:left="794" w:hanging="397"/>
      </w:pPr>
    </w:lvl>
    <w:lvl w:ilvl="5">
      <w:start w:val="1"/>
      <w:numFmt w:val="decimal"/>
      <w:lvlText w:val="%6."/>
      <w:lvlJc w:val="left"/>
      <w:pPr>
        <w:tabs>
          <w:tab w:val="num" w:pos="1191"/>
        </w:tabs>
        <w:ind w:left="1191" w:hanging="397"/>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nsid w:val="15616716"/>
    <w:multiLevelType w:val="multilevel"/>
    <w:tmpl w:val="A9C67C0C"/>
    <w:lvl w:ilvl="0">
      <w:start w:val="1"/>
      <w:numFmt w:val="upperLetter"/>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1CC9148A"/>
    <w:multiLevelType w:val="multilevel"/>
    <w:tmpl w:val="90ACA538"/>
    <w:lvl w:ilvl="0">
      <w:start w:val="1"/>
      <w:numFmt w:val="lowerLetter"/>
      <w:lvlText w:val="%1."/>
      <w:lvlJc w:val="left"/>
      <w:pPr>
        <w:tabs>
          <w:tab w:val="num" w:pos="1984"/>
        </w:tabs>
        <w:ind w:left="1984" w:hanging="567"/>
      </w:pPr>
    </w:lvl>
    <w:lvl w:ilvl="1">
      <w:start w:val="1"/>
      <w:numFmt w:val="lowerRoman"/>
      <w:lvlText w:val="%2."/>
      <w:lvlJc w:val="left"/>
      <w:pPr>
        <w:tabs>
          <w:tab w:val="num" w:pos="2551"/>
        </w:tabs>
        <w:ind w:left="2551" w:hanging="567"/>
      </w:pPr>
    </w:lvl>
    <w:lvl w:ilvl="2">
      <w:start w:val="1"/>
      <w:numFmt w:val="decimal"/>
      <w:lvlText w:val="%3."/>
      <w:lvlJc w:val="left"/>
      <w:pPr>
        <w:tabs>
          <w:tab w:val="num" w:pos="3118"/>
        </w:tabs>
        <w:ind w:left="3118" w:hanging="567"/>
      </w:pPr>
    </w:lvl>
    <w:lvl w:ilvl="3">
      <w:start w:val="1"/>
      <w:numFmt w:val="lowerLetter"/>
      <w:lvlText w:val="%4."/>
      <w:lvlJc w:val="left"/>
      <w:pPr>
        <w:tabs>
          <w:tab w:val="num" w:pos="397"/>
        </w:tabs>
        <w:ind w:left="397" w:hanging="397"/>
      </w:pPr>
    </w:lvl>
    <w:lvl w:ilvl="4">
      <w:start w:val="1"/>
      <w:numFmt w:val="lowerRoman"/>
      <w:lvlText w:val="%5."/>
      <w:lvlJc w:val="left"/>
      <w:pPr>
        <w:tabs>
          <w:tab w:val="num" w:pos="794"/>
        </w:tabs>
        <w:ind w:left="794" w:hanging="397"/>
      </w:pPr>
    </w:lvl>
    <w:lvl w:ilvl="5">
      <w:start w:val="1"/>
      <w:numFmt w:val="decimal"/>
      <w:lvlText w:val="%6."/>
      <w:lvlJc w:val="left"/>
      <w:pPr>
        <w:tabs>
          <w:tab w:val="num" w:pos="1191"/>
        </w:tabs>
        <w:ind w:left="1191" w:hanging="397"/>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7">
    <w:nsid w:val="215573C8"/>
    <w:multiLevelType w:val="multilevel"/>
    <w:tmpl w:val="B4661BBA"/>
    <w:lvl w:ilvl="0">
      <w:start w:val="1"/>
      <w:numFmt w:val="upperLetter"/>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start w:val="1"/>
      <w:numFmt w:val="decimal"/>
      <w:lvlText w:val="%1.%2.%3.%4.%5.%6.%7.%8.%9"/>
      <w:lvlJc w:val="left"/>
      <w:pPr>
        <w:tabs>
          <w:tab w:val="num" w:pos="1417"/>
        </w:tabs>
        <w:ind w:left="1417" w:hanging="1417"/>
      </w:pPr>
    </w:lvl>
  </w:abstractNum>
  <w:abstractNum w:abstractNumId="18">
    <w:nsid w:val="240D409F"/>
    <w:multiLevelType w:val="hybridMultilevel"/>
    <w:tmpl w:val="B53C64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4212C16"/>
    <w:multiLevelType w:val="multilevel"/>
    <w:tmpl w:val="00064180"/>
    <w:lvl w:ilvl="0">
      <w:start w:val="1"/>
      <w:numFmt w:val="decimal"/>
      <w:lvlText w:val="%1"/>
      <w:lvlJc w:val="left"/>
      <w:pPr>
        <w:tabs>
          <w:tab w:val="num" w:pos="1418"/>
        </w:tabs>
        <w:ind w:left="1418" w:hanging="1418"/>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lvlText w:val="%1.%2.%3.%4"/>
      <w:lvlJc w:val="left"/>
      <w:pPr>
        <w:tabs>
          <w:tab w:val="num" w:pos="1418"/>
        </w:tabs>
        <w:ind w:left="1418" w:hanging="1418"/>
      </w:pPr>
    </w:lvl>
    <w:lvl w:ilvl="4">
      <w:start w:val="1"/>
      <w:numFmt w:val="decimal"/>
      <w:lvlText w:val="%1.%2.%3.%4.%5"/>
      <w:lvlJc w:val="left"/>
      <w:pPr>
        <w:tabs>
          <w:tab w:val="num" w:pos="1418"/>
        </w:tabs>
        <w:ind w:left="1418" w:hanging="1418"/>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418"/>
        </w:tabs>
        <w:ind w:left="1418" w:hanging="1418"/>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418"/>
        </w:tabs>
        <w:ind w:left="1418" w:hanging="1418"/>
      </w:pPr>
    </w:lvl>
  </w:abstractNum>
  <w:abstractNum w:abstractNumId="20">
    <w:nsid w:val="2CE57E90"/>
    <w:multiLevelType w:val="multilevel"/>
    <w:tmpl w:val="B4661BBA"/>
    <w:lvl w:ilvl="0">
      <w:start w:val="1"/>
      <w:numFmt w:val="upperLetter"/>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start w:val="1"/>
      <w:numFmt w:val="decimal"/>
      <w:lvlText w:val="%1.%2.%3.%4.%5.%6.%7.%8.%9"/>
      <w:lvlJc w:val="left"/>
      <w:pPr>
        <w:tabs>
          <w:tab w:val="num" w:pos="1417"/>
        </w:tabs>
        <w:ind w:left="1417" w:hanging="1417"/>
      </w:pPr>
    </w:lvl>
  </w:abstractNum>
  <w:abstractNum w:abstractNumId="21">
    <w:nsid w:val="2DB41E04"/>
    <w:multiLevelType w:val="multilevel"/>
    <w:tmpl w:val="8C0E9000"/>
    <w:lvl w:ilvl="0">
      <w:start w:val="1"/>
      <w:numFmt w:val="lowerLetter"/>
      <w:lvlText w:val="%1."/>
      <w:lvlJc w:val="left"/>
      <w:pPr>
        <w:tabs>
          <w:tab w:val="num" w:pos="1984"/>
        </w:tabs>
        <w:ind w:left="1984" w:hanging="567"/>
      </w:pPr>
    </w:lvl>
    <w:lvl w:ilvl="1">
      <w:start w:val="1"/>
      <w:numFmt w:val="lowerRoman"/>
      <w:lvlText w:val="%2."/>
      <w:lvlJc w:val="left"/>
      <w:pPr>
        <w:tabs>
          <w:tab w:val="num" w:pos="2551"/>
        </w:tabs>
        <w:ind w:left="2551" w:hanging="567"/>
      </w:pPr>
    </w:lvl>
    <w:lvl w:ilvl="2">
      <w:start w:val="1"/>
      <w:numFmt w:val="decimal"/>
      <w:lvlText w:val="%3."/>
      <w:lvlJc w:val="left"/>
      <w:pPr>
        <w:tabs>
          <w:tab w:val="num" w:pos="3118"/>
        </w:tabs>
        <w:ind w:left="3118" w:hanging="567"/>
      </w:pPr>
    </w:lvl>
    <w:lvl w:ilvl="3">
      <w:start w:val="1"/>
      <w:numFmt w:val="lowerLetter"/>
      <w:lvlText w:val="%4."/>
      <w:lvlJc w:val="left"/>
      <w:pPr>
        <w:tabs>
          <w:tab w:val="num" w:pos="397"/>
        </w:tabs>
        <w:ind w:left="397" w:hanging="397"/>
      </w:pPr>
    </w:lvl>
    <w:lvl w:ilvl="4">
      <w:start w:val="1"/>
      <w:numFmt w:val="lowerRoman"/>
      <w:lvlText w:val="%5."/>
      <w:lvlJc w:val="left"/>
      <w:pPr>
        <w:tabs>
          <w:tab w:val="num" w:pos="794"/>
        </w:tabs>
        <w:ind w:left="794" w:hanging="397"/>
      </w:pPr>
    </w:lvl>
    <w:lvl w:ilvl="5">
      <w:start w:val="1"/>
      <w:numFmt w:val="decimal"/>
      <w:lvlText w:val="%6."/>
      <w:lvlJc w:val="left"/>
      <w:pPr>
        <w:tabs>
          <w:tab w:val="num" w:pos="1191"/>
        </w:tabs>
        <w:ind w:left="1191" w:hanging="397"/>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2">
    <w:nsid w:val="2F9C41E3"/>
    <w:multiLevelType w:val="singleLevel"/>
    <w:tmpl w:val="DCF414BE"/>
    <w:lvl w:ilvl="0">
      <w:start w:val="1"/>
      <w:numFmt w:val="bullet"/>
      <w:lvlText w:val=""/>
      <w:lvlJc w:val="left"/>
      <w:pPr>
        <w:tabs>
          <w:tab w:val="num" w:pos="283"/>
        </w:tabs>
        <w:ind w:left="283" w:hanging="283"/>
      </w:pPr>
      <w:rPr>
        <w:rFonts w:ascii="Symbol" w:eastAsia="Times New Roman" w:hAnsi="Symbol" w:hint="default"/>
        <w:sz w:val="16"/>
      </w:rPr>
    </w:lvl>
  </w:abstractNum>
  <w:abstractNum w:abstractNumId="23">
    <w:nsid w:val="30932A62"/>
    <w:multiLevelType w:val="singleLevel"/>
    <w:tmpl w:val="04090011"/>
    <w:lvl w:ilvl="0">
      <w:start w:val="1"/>
      <w:numFmt w:val="decimal"/>
      <w:lvlText w:val="%1)"/>
      <w:lvlJc w:val="left"/>
      <w:pPr>
        <w:tabs>
          <w:tab w:val="num" w:pos="360"/>
        </w:tabs>
        <w:ind w:left="360" w:hanging="360"/>
      </w:pPr>
    </w:lvl>
  </w:abstractNum>
  <w:abstractNum w:abstractNumId="24">
    <w:nsid w:val="31024E8A"/>
    <w:multiLevelType w:val="multilevel"/>
    <w:tmpl w:val="69D47896"/>
    <w:lvl w:ilvl="0">
      <w:start w:val="1"/>
      <w:numFmt w:val="lowerLetter"/>
      <w:lvlText w:val="%1."/>
      <w:lvlJc w:val="left"/>
      <w:pPr>
        <w:tabs>
          <w:tab w:val="num" w:pos="1984"/>
        </w:tabs>
        <w:ind w:left="1984" w:hanging="567"/>
      </w:pPr>
    </w:lvl>
    <w:lvl w:ilvl="1">
      <w:start w:val="1"/>
      <w:numFmt w:val="lowerRoman"/>
      <w:lvlText w:val="%2."/>
      <w:lvlJc w:val="left"/>
      <w:pPr>
        <w:tabs>
          <w:tab w:val="num" w:pos="2551"/>
        </w:tabs>
        <w:ind w:left="2551" w:hanging="567"/>
      </w:pPr>
    </w:lvl>
    <w:lvl w:ilvl="2">
      <w:start w:val="1"/>
      <w:numFmt w:val="decimal"/>
      <w:lvlText w:val="%3."/>
      <w:lvlJc w:val="left"/>
      <w:pPr>
        <w:tabs>
          <w:tab w:val="num" w:pos="3118"/>
        </w:tabs>
        <w:ind w:left="3118" w:hanging="567"/>
      </w:pPr>
    </w:lvl>
    <w:lvl w:ilvl="3">
      <w:start w:val="1"/>
      <w:numFmt w:val="lowerLetter"/>
      <w:lvlText w:val="%4."/>
      <w:lvlJc w:val="left"/>
      <w:pPr>
        <w:tabs>
          <w:tab w:val="num" w:pos="397"/>
        </w:tabs>
        <w:ind w:left="397" w:hanging="397"/>
      </w:pPr>
    </w:lvl>
    <w:lvl w:ilvl="4">
      <w:start w:val="1"/>
      <w:numFmt w:val="lowerRoman"/>
      <w:lvlText w:val="%5."/>
      <w:lvlJc w:val="left"/>
      <w:pPr>
        <w:tabs>
          <w:tab w:val="num" w:pos="794"/>
        </w:tabs>
        <w:ind w:left="794" w:hanging="397"/>
      </w:pPr>
    </w:lvl>
    <w:lvl w:ilvl="5">
      <w:start w:val="1"/>
      <w:numFmt w:val="decimal"/>
      <w:lvlText w:val="%6."/>
      <w:lvlJc w:val="left"/>
      <w:pPr>
        <w:tabs>
          <w:tab w:val="num" w:pos="1191"/>
        </w:tabs>
        <w:ind w:left="1191" w:hanging="397"/>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nsid w:val="34710825"/>
    <w:multiLevelType w:val="multilevel"/>
    <w:tmpl w:val="2784454C"/>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start w:val="1"/>
      <w:numFmt w:val="decimal"/>
      <w:lvlText w:val="%1.%2.%3.%4.%5.%6.%7.%8.%9"/>
      <w:lvlJc w:val="left"/>
      <w:pPr>
        <w:tabs>
          <w:tab w:val="num" w:pos="1417"/>
        </w:tabs>
        <w:ind w:left="1417" w:hanging="1417"/>
      </w:pPr>
    </w:lvl>
  </w:abstractNum>
  <w:abstractNum w:abstractNumId="26">
    <w:nsid w:val="38042A4D"/>
    <w:multiLevelType w:val="multilevel"/>
    <w:tmpl w:val="06CC1844"/>
    <w:lvl w:ilvl="0">
      <w:start w:val="1"/>
      <w:numFmt w:val="lowerLetter"/>
      <w:lvlText w:val="%1."/>
      <w:lvlJc w:val="left"/>
      <w:pPr>
        <w:tabs>
          <w:tab w:val="num" w:pos="1984"/>
        </w:tabs>
        <w:ind w:left="1984" w:hanging="567"/>
      </w:pPr>
      <w:rPr>
        <w:b w:val="0"/>
      </w:rPr>
    </w:lvl>
    <w:lvl w:ilvl="1">
      <w:start w:val="1"/>
      <w:numFmt w:val="lowerRoman"/>
      <w:lvlText w:val="%2."/>
      <w:lvlJc w:val="left"/>
      <w:pPr>
        <w:tabs>
          <w:tab w:val="num" w:pos="2551"/>
        </w:tabs>
        <w:ind w:left="2551" w:hanging="567"/>
      </w:pPr>
    </w:lvl>
    <w:lvl w:ilvl="2">
      <w:start w:val="1"/>
      <w:numFmt w:val="decimal"/>
      <w:lvlText w:val="%3."/>
      <w:lvlJc w:val="left"/>
      <w:pPr>
        <w:tabs>
          <w:tab w:val="num" w:pos="3118"/>
        </w:tabs>
        <w:ind w:left="3118" w:hanging="567"/>
      </w:pPr>
    </w:lvl>
    <w:lvl w:ilvl="3">
      <w:start w:val="1"/>
      <w:numFmt w:val="lowerLetter"/>
      <w:lvlText w:val="%4."/>
      <w:lvlJc w:val="left"/>
      <w:pPr>
        <w:tabs>
          <w:tab w:val="num" w:pos="397"/>
        </w:tabs>
        <w:ind w:left="397" w:hanging="397"/>
      </w:pPr>
    </w:lvl>
    <w:lvl w:ilvl="4">
      <w:start w:val="1"/>
      <w:numFmt w:val="lowerRoman"/>
      <w:lvlText w:val="%5."/>
      <w:lvlJc w:val="left"/>
      <w:pPr>
        <w:tabs>
          <w:tab w:val="num" w:pos="794"/>
        </w:tabs>
        <w:ind w:left="794" w:hanging="397"/>
      </w:pPr>
    </w:lvl>
    <w:lvl w:ilvl="5">
      <w:start w:val="1"/>
      <w:numFmt w:val="decimal"/>
      <w:lvlText w:val="%6."/>
      <w:lvlJc w:val="left"/>
      <w:pPr>
        <w:tabs>
          <w:tab w:val="num" w:pos="1191"/>
        </w:tabs>
        <w:ind w:left="1191" w:hanging="397"/>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7">
    <w:nsid w:val="3DF80414"/>
    <w:multiLevelType w:val="multilevel"/>
    <w:tmpl w:val="C248F69C"/>
    <w:lvl w:ilvl="0">
      <w:start w:val="1"/>
      <w:numFmt w:val="lowerLetter"/>
      <w:lvlText w:val="%1."/>
      <w:lvlJc w:val="left"/>
      <w:pPr>
        <w:tabs>
          <w:tab w:val="num" w:pos="1984"/>
        </w:tabs>
        <w:ind w:left="1984" w:hanging="567"/>
      </w:pPr>
    </w:lvl>
    <w:lvl w:ilvl="1">
      <w:start w:val="1"/>
      <w:numFmt w:val="lowerRoman"/>
      <w:lvlText w:val="%2."/>
      <w:lvlJc w:val="left"/>
      <w:pPr>
        <w:tabs>
          <w:tab w:val="num" w:pos="2551"/>
        </w:tabs>
        <w:ind w:left="2551" w:hanging="567"/>
      </w:pPr>
    </w:lvl>
    <w:lvl w:ilvl="2">
      <w:start w:val="1"/>
      <w:numFmt w:val="decimal"/>
      <w:lvlText w:val="%3."/>
      <w:lvlJc w:val="left"/>
      <w:pPr>
        <w:tabs>
          <w:tab w:val="num" w:pos="3118"/>
        </w:tabs>
        <w:ind w:left="3118" w:hanging="567"/>
      </w:pPr>
    </w:lvl>
    <w:lvl w:ilvl="3">
      <w:start w:val="1"/>
      <w:numFmt w:val="lowerLetter"/>
      <w:lvlText w:val="%4."/>
      <w:lvlJc w:val="left"/>
      <w:pPr>
        <w:tabs>
          <w:tab w:val="num" w:pos="397"/>
        </w:tabs>
        <w:ind w:left="397" w:hanging="397"/>
      </w:pPr>
    </w:lvl>
    <w:lvl w:ilvl="4">
      <w:start w:val="1"/>
      <w:numFmt w:val="lowerRoman"/>
      <w:lvlText w:val="%5."/>
      <w:lvlJc w:val="left"/>
      <w:pPr>
        <w:tabs>
          <w:tab w:val="num" w:pos="794"/>
        </w:tabs>
        <w:ind w:left="794" w:hanging="397"/>
      </w:pPr>
    </w:lvl>
    <w:lvl w:ilvl="5">
      <w:start w:val="1"/>
      <w:numFmt w:val="decimal"/>
      <w:lvlText w:val="%6."/>
      <w:lvlJc w:val="left"/>
      <w:pPr>
        <w:tabs>
          <w:tab w:val="num" w:pos="1191"/>
        </w:tabs>
        <w:ind w:left="1191" w:hanging="397"/>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8">
    <w:nsid w:val="3F4B6EE6"/>
    <w:multiLevelType w:val="multilevel"/>
    <w:tmpl w:val="2784454C"/>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start w:val="1"/>
      <w:numFmt w:val="decimal"/>
      <w:lvlText w:val="%1.%2.%3.%4.%5.%6.%7.%8.%9"/>
      <w:lvlJc w:val="left"/>
      <w:pPr>
        <w:tabs>
          <w:tab w:val="num" w:pos="1417"/>
        </w:tabs>
        <w:ind w:left="1417" w:hanging="1417"/>
      </w:pPr>
    </w:lvl>
  </w:abstractNum>
  <w:abstractNum w:abstractNumId="29">
    <w:nsid w:val="413C5103"/>
    <w:multiLevelType w:val="multilevel"/>
    <w:tmpl w:val="FFE477A8"/>
    <w:name w:val="$M_SpecialGallery2"/>
    <w:lvl w:ilvl="0">
      <w:start w:val="1"/>
      <w:numFmt w:val="lowerLetter"/>
      <w:lvlText w:val="%1."/>
      <w:lvlJc w:val="left"/>
      <w:pPr>
        <w:tabs>
          <w:tab w:val="num" w:pos="1701"/>
        </w:tabs>
        <w:ind w:left="1701" w:hanging="284"/>
      </w:pPr>
    </w:lvl>
    <w:lvl w:ilvl="1">
      <w:start w:val="1"/>
      <w:numFmt w:val="lowerRoman"/>
      <w:lvlText w:val="%2."/>
      <w:lvlJc w:val="left"/>
      <w:pPr>
        <w:tabs>
          <w:tab w:val="num" w:pos="2268"/>
        </w:tabs>
        <w:ind w:left="2268" w:hanging="284"/>
      </w:pPr>
    </w:lvl>
    <w:lvl w:ilvl="2">
      <w:start w:val="1"/>
      <w:numFmt w:val="decimal"/>
      <w:lvlText w:val="%3."/>
      <w:lvlJc w:val="left"/>
      <w:pPr>
        <w:tabs>
          <w:tab w:val="num" w:pos="2835"/>
        </w:tabs>
        <w:ind w:left="2835" w:hanging="284"/>
      </w:pPr>
    </w:lvl>
    <w:lvl w:ilvl="3">
      <w:start w:val="1"/>
      <w:numFmt w:val="lowerLetter"/>
      <w:lvlText w:val="(%4)"/>
      <w:lvlJc w:val="left"/>
      <w:pPr>
        <w:tabs>
          <w:tab w:val="num" w:pos="4252"/>
        </w:tabs>
        <w:ind w:left="4252" w:hanging="709"/>
      </w:pPr>
    </w:lvl>
    <w:lvl w:ilvl="4">
      <w:start w:val="1"/>
      <w:numFmt w:val="lowerRoman"/>
      <w:lvlText w:val="(%5)"/>
      <w:lvlJc w:val="left"/>
      <w:pPr>
        <w:tabs>
          <w:tab w:val="num" w:pos="3543"/>
        </w:tabs>
        <w:ind w:left="3543" w:hanging="708"/>
      </w:pPr>
    </w:lvl>
    <w:lvl w:ilvl="5">
      <w:start w:val="1"/>
      <w:numFmt w:val="decimal"/>
      <w:lvlText w:val="(%6)"/>
      <w:lvlJc w:val="left"/>
      <w:pPr>
        <w:tabs>
          <w:tab w:val="num" w:pos="4252"/>
        </w:tabs>
        <w:ind w:left="4252" w:hanging="709"/>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441066ED"/>
    <w:multiLevelType w:val="hybridMultilevel"/>
    <w:tmpl w:val="BBA68732"/>
    <w:lvl w:ilvl="0" w:tplc="0C090001">
      <w:start w:val="1"/>
      <w:numFmt w:val="bullet"/>
      <w:lvlText w:val=""/>
      <w:lvlJc w:val="left"/>
      <w:pPr>
        <w:ind w:left="720" w:hanging="360"/>
      </w:pPr>
      <w:rPr>
        <w:rFonts w:ascii="Symbol" w:hAnsi="Symbol" w:hint="default"/>
      </w:rPr>
    </w:lvl>
    <w:lvl w:ilvl="1" w:tplc="E59066CE">
      <w:start w:val="1"/>
      <w:numFmt w:val="bullet"/>
      <w:lvlText w:val="-"/>
      <w:lvlJc w:val="left"/>
      <w:pPr>
        <w:ind w:left="1021" w:hanging="284"/>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72357B2"/>
    <w:multiLevelType w:val="singleLevel"/>
    <w:tmpl w:val="DCF414BE"/>
    <w:lvl w:ilvl="0">
      <w:start w:val="1"/>
      <w:numFmt w:val="bullet"/>
      <w:lvlText w:val=""/>
      <w:lvlJc w:val="left"/>
      <w:pPr>
        <w:tabs>
          <w:tab w:val="num" w:pos="283"/>
        </w:tabs>
        <w:ind w:left="283" w:hanging="283"/>
      </w:pPr>
      <w:rPr>
        <w:rFonts w:ascii="Symbol" w:eastAsia="Times New Roman" w:hAnsi="Symbol" w:hint="default"/>
        <w:sz w:val="16"/>
      </w:rPr>
    </w:lvl>
  </w:abstractNum>
  <w:abstractNum w:abstractNumId="32">
    <w:nsid w:val="4ADF1C80"/>
    <w:multiLevelType w:val="multilevel"/>
    <w:tmpl w:val="90ACA538"/>
    <w:lvl w:ilvl="0">
      <w:start w:val="1"/>
      <w:numFmt w:val="lowerLetter"/>
      <w:lvlText w:val="%1."/>
      <w:lvlJc w:val="left"/>
      <w:pPr>
        <w:tabs>
          <w:tab w:val="num" w:pos="1984"/>
        </w:tabs>
        <w:ind w:left="1984" w:hanging="567"/>
      </w:pPr>
    </w:lvl>
    <w:lvl w:ilvl="1">
      <w:start w:val="1"/>
      <w:numFmt w:val="lowerRoman"/>
      <w:lvlText w:val="%2."/>
      <w:lvlJc w:val="left"/>
      <w:pPr>
        <w:tabs>
          <w:tab w:val="num" w:pos="2551"/>
        </w:tabs>
        <w:ind w:left="2551" w:hanging="567"/>
      </w:pPr>
    </w:lvl>
    <w:lvl w:ilvl="2">
      <w:start w:val="1"/>
      <w:numFmt w:val="decimal"/>
      <w:lvlText w:val="%3."/>
      <w:lvlJc w:val="left"/>
      <w:pPr>
        <w:tabs>
          <w:tab w:val="num" w:pos="3118"/>
        </w:tabs>
        <w:ind w:left="3118" w:hanging="567"/>
      </w:pPr>
    </w:lvl>
    <w:lvl w:ilvl="3">
      <w:start w:val="1"/>
      <w:numFmt w:val="lowerLetter"/>
      <w:lvlText w:val="%4."/>
      <w:lvlJc w:val="left"/>
      <w:pPr>
        <w:tabs>
          <w:tab w:val="num" w:pos="397"/>
        </w:tabs>
        <w:ind w:left="397" w:hanging="397"/>
      </w:pPr>
    </w:lvl>
    <w:lvl w:ilvl="4">
      <w:start w:val="1"/>
      <w:numFmt w:val="lowerRoman"/>
      <w:lvlText w:val="%5."/>
      <w:lvlJc w:val="left"/>
      <w:pPr>
        <w:tabs>
          <w:tab w:val="num" w:pos="794"/>
        </w:tabs>
        <w:ind w:left="794" w:hanging="397"/>
      </w:pPr>
    </w:lvl>
    <w:lvl w:ilvl="5">
      <w:start w:val="1"/>
      <w:numFmt w:val="decimal"/>
      <w:lvlText w:val="%6."/>
      <w:lvlJc w:val="left"/>
      <w:pPr>
        <w:tabs>
          <w:tab w:val="num" w:pos="1191"/>
        </w:tabs>
        <w:ind w:left="1191" w:hanging="397"/>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3">
    <w:nsid w:val="4DE21F12"/>
    <w:multiLevelType w:val="singleLevel"/>
    <w:tmpl w:val="486CA732"/>
    <w:lvl w:ilvl="0">
      <w:start w:val="1"/>
      <w:numFmt w:val="decimal"/>
      <w:lvlText w:val="[%1]"/>
      <w:lvlJc w:val="left"/>
      <w:pPr>
        <w:tabs>
          <w:tab w:val="num" w:pos="357"/>
        </w:tabs>
        <w:ind w:left="357" w:hanging="357"/>
      </w:pPr>
    </w:lvl>
  </w:abstractNum>
  <w:abstractNum w:abstractNumId="34">
    <w:nsid w:val="575C3AAC"/>
    <w:multiLevelType w:val="multilevel"/>
    <w:tmpl w:val="850C7EC8"/>
    <w:lvl w:ilvl="0">
      <w:start w:val="1"/>
      <w:numFmt w:val="decimal"/>
      <w:lvlText w:val="%1"/>
      <w:lvlJc w:val="left"/>
      <w:pPr>
        <w:tabs>
          <w:tab w:val="num" w:pos="1440"/>
        </w:tabs>
        <w:ind w:left="0" w:firstLine="0"/>
      </w:pPr>
    </w:lvl>
    <w:lvl w:ilvl="1">
      <w:start w:val="1"/>
      <w:numFmt w:val="decimal"/>
      <w:lvlText w:val="%1.%2"/>
      <w:lvlJc w:val="left"/>
      <w:pPr>
        <w:tabs>
          <w:tab w:val="num" w:pos="108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57966E90"/>
    <w:multiLevelType w:val="multilevel"/>
    <w:tmpl w:val="B4661BBA"/>
    <w:lvl w:ilvl="0">
      <w:start w:val="1"/>
      <w:numFmt w:val="upperLetter"/>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start w:val="1"/>
      <w:numFmt w:val="decimal"/>
      <w:lvlText w:val="%1.%2.%3.%4.%5.%6.%7.%8.%9"/>
      <w:lvlJc w:val="left"/>
      <w:pPr>
        <w:tabs>
          <w:tab w:val="num" w:pos="1417"/>
        </w:tabs>
        <w:ind w:left="1417" w:hanging="1417"/>
      </w:pPr>
    </w:lvl>
  </w:abstractNum>
  <w:abstractNum w:abstractNumId="36">
    <w:nsid w:val="57B32E37"/>
    <w:multiLevelType w:val="singleLevel"/>
    <w:tmpl w:val="D6563BBE"/>
    <w:lvl w:ilvl="0">
      <w:start w:val="1"/>
      <w:numFmt w:val="bullet"/>
      <w:lvlText w:val=""/>
      <w:lvlJc w:val="left"/>
      <w:pPr>
        <w:tabs>
          <w:tab w:val="num" w:pos="1984"/>
        </w:tabs>
        <w:ind w:left="1984" w:hanging="567"/>
      </w:pPr>
      <w:rPr>
        <w:rFonts w:ascii="Symbol" w:hAnsi="Symbol" w:hint="default"/>
        <w:sz w:val="20"/>
      </w:rPr>
    </w:lvl>
  </w:abstractNum>
  <w:abstractNum w:abstractNumId="37">
    <w:nsid w:val="597D5967"/>
    <w:multiLevelType w:val="multilevel"/>
    <w:tmpl w:val="69D47896"/>
    <w:lvl w:ilvl="0">
      <w:start w:val="1"/>
      <w:numFmt w:val="lowerLetter"/>
      <w:lvlText w:val="%1."/>
      <w:lvlJc w:val="left"/>
      <w:pPr>
        <w:tabs>
          <w:tab w:val="num" w:pos="1984"/>
        </w:tabs>
        <w:ind w:left="1984" w:hanging="567"/>
      </w:pPr>
    </w:lvl>
    <w:lvl w:ilvl="1">
      <w:start w:val="1"/>
      <w:numFmt w:val="lowerRoman"/>
      <w:lvlText w:val="%2."/>
      <w:lvlJc w:val="left"/>
      <w:pPr>
        <w:tabs>
          <w:tab w:val="num" w:pos="2551"/>
        </w:tabs>
        <w:ind w:left="2551" w:hanging="567"/>
      </w:pPr>
    </w:lvl>
    <w:lvl w:ilvl="2">
      <w:start w:val="1"/>
      <w:numFmt w:val="decimal"/>
      <w:lvlText w:val="%3."/>
      <w:lvlJc w:val="left"/>
      <w:pPr>
        <w:tabs>
          <w:tab w:val="num" w:pos="3118"/>
        </w:tabs>
        <w:ind w:left="3118" w:hanging="567"/>
      </w:pPr>
    </w:lvl>
    <w:lvl w:ilvl="3">
      <w:start w:val="1"/>
      <w:numFmt w:val="lowerLetter"/>
      <w:lvlText w:val="%4."/>
      <w:lvlJc w:val="left"/>
      <w:pPr>
        <w:tabs>
          <w:tab w:val="num" w:pos="397"/>
        </w:tabs>
        <w:ind w:left="397" w:hanging="397"/>
      </w:pPr>
    </w:lvl>
    <w:lvl w:ilvl="4">
      <w:start w:val="1"/>
      <w:numFmt w:val="lowerRoman"/>
      <w:lvlText w:val="%5."/>
      <w:lvlJc w:val="left"/>
      <w:pPr>
        <w:tabs>
          <w:tab w:val="num" w:pos="794"/>
        </w:tabs>
        <w:ind w:left="794" w:hanging="397"/>
      </w:pPr>
    </w:lvl>
    <w:lvl w:ilvl="5">
      <w:start w:val="1"/>
      <w:numFmt w:val="decimal"/>
      <w:lvlText w:val="%6."/>
      <w:lvlJc w:val="left"/>
      <w:pPr>
        <w:tabs>
          <w:tab w:val="num" w:pos="1191"/>
        </w:tabs>
        <w:ind w:left="1191" w:hanging="397"/>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nsid w:val="59A028D9"/>
    <w:multiLevelType w:val="multilevel"/>
    <w:tmpl w:val="B4661BBA"/>
    <w:lvl w:ilvl="0">
      <w:start w:val="1"/>
      <w:numFmt w:val="upperLetter"/>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start w:val="1"/>
      <w:numFmt w:val="decimal"/>
      <w:lvlText w:val="%1.%2.%3.%4.%5.%6.%7.%8.%9"/>
      <w:lvlJc w:val="left"/>
      <w:pPr>
        <w:tabs>
          <w:tab w:val="num" w:pos="1417"/>
        </w:tabs>
        <w:ind w:left="1417" w:hanging="1417"/>
      </w:pPr>
    </w:lvl>
  </w:abstractNum>
  <w:abstractNum w:abstractNumId="39">
    <w:nsid w:val="5C295AE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0">
    <w:nsid w:val="5D375900"/>
    <w:multiLevelType w:val="hybridMultilevel"/>
    <w:tmpl w:val="2DC420E8"/>
    <w:lvl w:ilvl="0" w:tplc="0C090001">
      <w:start w:val="1"/>
      <w:numFmt w:val="bullet"/>
      <w:lvlText w:val=""/>
      <w:lvlJc w:val="left"/>
      <w:pPr>
        <w:ind w:left="720" w:hanging="360"/>
      </w:pPr>
      <w:rPr>
        <w:rFonts w:ascii="Symbol" w:hAnsi="Symbol" w:hint="default"/>
      </w:rPr>
    </w:lvl>
    <w:lvl w:ilvl="1" w:tplc="ECE0E716">
      <w:start w:val="1"/>
      <w:numFmt w:val="bullet"/>
      <w:lvlText w:val="-"/>
      <w:lvlJc w:val="left"/>
      <w:pPr>
        <w:ind w:left="1021" w:hanging="284"/>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DFA1C75"/>
    <w:multiLevelType w:val="multilevel"/>
    <w:tmpl w:val="EA5ECB3A"/>
    <w:lvl w:ilvl="0">
      <w:start w:val="1"/>
      <w:numFmt w:val="decimal"/>
      <w:lvlText w:val="%1"/>
      <w:lvlJc w:val="left"/>
      <w:pPr>
        <w:tabs>
          <w:tab w:val="num" w:pos="1418"/>
        </w:tabs>
        <w:ind w:left="1418" w:hanging="1418"/>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lvlText w:val="%1.%2.%3.%4"/>
      <w:lvlJc w:val="left"/>
      <w:pPr>
        <w:tabs>
          <w:tab w:val="num" w:pos="1418"/>
        </w:tabs>
        <w:ind w:left="1418" w:hanging="1418"/>
      </w:pPr>
    </w:lvl>
    <w:lvl w:ilvl="4">
      <w:start w:val="1"/>
      <w:numFmt w:val="decimal"/>
      <w:lvlText w:val="%1.%2.%3.%4.%5"/>
      <w:lvlJc w:val="left"/>
      <w:pPr>
        <w:tabs>
          <w:tab w:val="num" w:pos="1418"/>
        </w:tabs>
        <w:ind w:left="1418" w:hanging="1418"/>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418"/>
        </w:tabs>
        <w:ind w:left="1418" w:hanging="1418"/>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418"/>
        </w:tabs>
        <w:ind w:left="1418" w:hanging="1418"/>
      </w:pPr>
    </w:lvl>
  </w:abstractNum>
  <w:abstractNum w:abstractNumId="42">
    <w:nsid w:val="656471E6"/>
    <w:multiLevelType w:val="hybridMultilevel"/>
    <w:tmpl w:val="EDEAC2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B25445A"/>
    <w:multiLevelType w:val="singleLevel"/>
    <w:tmpl w:val="0409000F"/>
    <w:lvl w:ilvl="0">
      <w:start w:val="7"/>
      <w:numFmt w:val="decimal"/>
      <w:lvlText w:val="%1."/>
      <w:lvlJc w:val="left"/>
      <w:pPr>
        <w:tabs>
          <w:tab w:val="num" w:pos="360"/>
        </w:tabs>
        <w:ind w:left="360" w:hanging="360"/>
      </w:pPr>
      <w:rPr>
        <w:rFonts w:hint="default"/>
      </w:rPr>
    </w:lvl>
  </w:abstractNum>
  <w:abstractNum w:abstractNumId="44">
    <w:nsid w:val="6CB108B3"/>
    <w:multiLevelType w:val="multilevel"/>
    <w:tmpl w:val="FFE477A8"/>
    <w:name w:val="$M_SpecialGallery"/>
    <w:lvl w:ilvl="0">
      <w:start w:val="1"/>
      <w:numFmt w:val="lowerLetter"/>
      <w:lvlText w:val="%1."/>
      <w:lvlJc w:val="left"/>
      <w:pPr>
        <w:tabs>
          <w:tab w:val="num" w:pos="1701"/>
        </w:tabs>
        <w:ind w:left="1701" w:hanging="284"/>
      </w:pPr>
    </w:lvl>
    <w:lvl w:ilvl="1">
      <w:start w:val="1"/>
      <w:numFmt w:val="lowerRoman"/>
      <w:lvlText w:val="%2."/>
      <w:lvlJc w:val="left"/>
      <w:pPr>
        <w:tabs>
          <w:tab w:val="num" w:pos="2268"/>
        </w:tabs>
        <w:ind w:left="2268" w:hanging="284"/>
      </w:pPr>
    </w:lvl>
    <w:lvl w:ilvl="2">
      <w:start w:val="1"/>
      <w:numFmt w:val="decimal"/>
      <w:lvlText w:val="%3."/>
      <w:lvlJc w:val="left"/>
      <w:pPr>
        <w:tabs>
          <w:tab w:val="num" w:pos="2835"/>
        </w:tabs>
        <w:ind w:left="2835" w:hanging="284"/>
      </w:pPr>
    </w:lvl>
    <w:lvl w:ilvl="3">
      <w:start w:val="1"/>
      <w:numFmt w:val="lowerLetter"/>
      <w:lvlText w:val="(%4)"/>
      <w:lvlJc w:val="left"/>
      <w:pPr>
        <w:tabs>
          <w:tab w:val="num" w:pos="4252"/>
        </w:tabs>
        <w:ind w:left="4252" w:hanging="709"/>
      </w:pPr>
    </w:lvl>
    <w:lvl w:ilvl="4">
      <w:start w:val="1"/>
      <w:numFmt w:val="lowerRoman"/>
      <w:lvlText w:val="(%5)"/>
      <w:lvlJc w:val="left"/>
      <w:pPr>
        <w:tabs>
          <w:tab w:val="num" w:pos="3543"/>
        </w:tabs>
        <w:ind w:left="3543" w:hanging="708"/>
      </w:pPr>
    </w:lvl>
    <w:lvl w:ilvl="5">
      <w:start w:val="1"/>
      <w:numFmt w:val="decimal"/>
      <w:lvlText w:val="(%6)"/>
      <w:lvlJc w:val="left"/>
      <w:pPr>
        <w:tabs>
          <w:tab w:val="num" w:pos="4252"/>
        </w:tabs>
        <w:ind w:left="4252" w:hanging="709"/>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5">
    <w:nsid w:val="6CF30708"/>
    <w:multiLevelType w:val="hybridMultilevel"/>
    <w:tmpl w:val="4E72D9CE"/>
    <w:lvl w:ilvl="0" w:tplc="B7A00A80">
      <w:start w:val="1"/>
      <w:numFmt w:val="bullet"/>
      <w:lvlText w:val=""/>
      <w:lvlJc w:val="left"/>
      <w:pPr>
        <w:ind w:left="567" w:hanging="20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17617F2"/>
    <w:multiLevelType w:val="singleLevel"/>
    <w:tmpl w:val="6F64E530"/>
    <w:lvl w:ilvl="0">
      <w:start w:val="1"/>
      <w:numFmt w:val="lowerLetter"/>
      <w:lvlText w:val="%1."/>
      <w:lvlJc w:val="left"/>
      <w:pPr>
        <w:tabs>
          <w:tab w:val="num" w:pos="1985"/>
        </w:tabs>
        <w:ind w:left="1985" w:hanging="567"/>
      </w:pPr>
      <w:rPr>
        <w:rFonts w:ascii="Times New Roman" w:hAnsi="Times New Roman" w:hint="default"/>
      </w:rPr>
    </w:lvl>
  </w:abstractNum>
  <w:abstractNum w:abstractNumId="47">
    <w:nsid w:val="777E5E37"/>
    <w:multiLevelType w:val="singleLevel"/>
    <w:tmpl w:val="0409000F"/>
    <w:lvl w:ilvl="0">
      <w:start w:val="8"/>
      <w:numFmt w:val="decimal"/>
      <w:lvlText w:val="%1."/>
      <w:lvlJc w:val="left"/>
      <w:pPr>
        <w:tabs>
          <w:tab w:val="num" w:pos="360"/>
        </w:tabs>
        <w:ind w:left="360" w:hanging="360"/>
      </w:pPr>
      <w:rPr>
        <w:rFonts w:hint="default"/>
      </w:rPr>
    </w:lvl>
  </w:abstractNum>
  <w:abstractNum w:abstractNumId="48">
    <w:nsid w:val="7A1A19ED"/>
    <w:multiLevelType w:val="multilevel"/>
    <w:tmpl w:val="EA5ECB3A"/>
    <w:lvl w:ilvl="0">
      <w:start w:val="1"/>
      <w:numFmt w:val="decimal"/>
      <w:lvlText w:val="%1"/>
      <w:lvlJc w:val="left"/>
      <w:pPr>
        <w:tabs>
          <w:tab w:val="num" w:pos="1418"/>
        </w:tabs>
        <w:ind w:left="1418" w:hanging="1418"/>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lvlText w:val="%1.%2.%3.%4"/>
      <w:lvlJc w:val="left"/>
      <w:pPr>
        <w:tabs>
          <w:tab w:val="num" w:pos="1418"/>
        </w:tabs>
        <w:ind w:left="1418" w:hanging="1418"/>
      </w:pPr>
    </w:lvl>
    <w:lvl w:ilvl="4">
      <w:start w:val="1"/>
      <w:numFmt w:val="decimal"/>
      <w:lvlText w:val="%1.%2.%3.%4.%5"/>
      <w:lvlJc w:val="left"/>
      <w:pPr>
        <w:tabs>
          <w:tab w:val="num" w:pos="1418"/>
        </w:tabs>
        <w:ind w:left="1418" w:hanging="1418"/>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418"/>
        </w:tabs>
        <w:ind w:left="1418" w:hanging="1418"/>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418"/>
        </w:tabs>
        <w:ind w:left="1418" w:hanging="1418"/>
      </w:pPr>
    </w:lvl>
  </w:abstractNum>
  <w:abstractNum w:abstractNumId="49">
    <w:nsid w:val="7F302FEC"/>
    <w:multiLevelType w:val="singleLevel"/>
    <w:tmpl w:val="DCF414BE"/>
    <w:lvl w:ilvl="0">
      <w:start w:val="1"/>
      <w:numFmt w:val="bullet"/>
      <w:lvlText w:val=""/>
      <w:lvlJc w:val="left"/>
      <w:pPr>
        <w:tabs>
          <w:tab w:val="num" w:pos="283"/>
        </w:tabs>
        <w:ind w:left="283" w:hanging="283"/>
      </w:pPr>
      <w:rPr>
        <w:rFonts w:ascii="Symbol" w:eastAsia="Times New Roman" w:hAnsi="Symbol" w:hint="default"/>
        <w:sz w:val="16"/>
      </w:rPr>
    </w:lvl>
  </w:abstractNum>
  <w:num w:numId="1">
    <w:abstractNumId w:val="46"/>
  </w:num>
  <w:num w:numId="2">
    <w:abstractNumId w:val="3"/>
  </w:num>
  <w:num w:numId="3">
    <w:abstractNumId w:val="33"/>
  </w:num>
  <w:num w:numId="4">
    <w:abstractNumId w:val="7"/>
  </w:num>
  <w:num w:numId="5">
    <w:abstractNumId w:val="21"/>
  </w:num>
  <w:num w:numId="6">
    <w:abstractNumId w:val="2"/>
  </w:num>
  <w:num w:numId="7">
    <w:abstractNumId w:val="0"/>
  </w:num>
  <w:num w:numId="8">
    <w:abstractNumId w:val="1"/>
  </w:num>
  <w:num w:numId="9">
    <w:abstractNumId w:val="5"/>
  </w:num>
  <w:num w:numId="10">
    <w:abstractNumId w:val="4"/>
  </w:num>
  <w:num w:numId="11">
    <w:abstractNumId w:val="9"/>
  </w:num>
  <w:num w:numId="12">
    <w:abstractNumId w:val="6"/>
  </w:num>
  <w:num w:numId="13">
    <w:abstractNumId w:val="8"/>
  </w:num>
  <w:num w:numId="14">
    <w:abstractNumId w:val="19"/>
  </w:num>
  <w:num w:numId="15">
    <w:abstractNumId w:val="41"/>
  </w:num>
  <w:num w:numId="16">
    <w:abstractNumId w:val="48"/>
  </w:num>
  <w:num w:numId="17">
    <w:abstractNumId w:val="34"/>
  </w:num>
  <w:num w:numId="18">
    <w:abstractNumId w:val="15"/>
  </w:num>
  <w:num w:numId="19">
    <w:abstractNumId w:val="23"/>
  </w:num>
  <w:num w:numId="20">
    <w:abstractNumId w:val="14"/>
  </w:num>
  <w:num w:numId="21">
    <w:abstractNumId w:val="39"/>
  </w:num>
  <w:num w:numId="22">
    <w:abstractNumId w:val="18"/>
  </w:num>
  <w:num w:numId="23">
    <w:abstractNumId w:val="42"/>
  </w:num>
  <w:num w:numId="24">
    <w:abstractNumId w:val="11"/>
  </w:num>
  <w:num w:numId="25">
    <w:abstractNumId w:val="47"/>
  </w:num>
  <w:num w:numId="26">
    <w:abstractNumId w:val="43"/>
  </w:num>
  <w:num w:numId="27">
    <w:abstractNumId w:val="35"/>
  </w:num>
  <w:num w:numId="28">
    <w:abstractNumId w:val="38"/>
  </w:num>
  <w:num w:numId="29">
    <w:abstractNumId w:val="25"/>
  </w:num>
  <w:num w:numId="30">
    <w:abstractNumId w:val="17"/>
  </w:num>
  <w:num w:numId="31">
    <w:abstractNumId w:val="31"/>
  </w:num>
  <w:num w:numId="32">
    <w:abstractNumId w:val="49"/>
  </w:num>
  <w:num w:numId="33">
    <w:abstractNumId w:val="22"/>
  </w:num>
  <w:num w:numId="34">
    <w:abstractNumId w:val="28"/>
  </w:num>
  <w:num w:numId="35">
    <w:abstractNumId w:val="20"/>
  </w:num>
  <w:num w:numId="36">
    <w:abstractNumId w:val="26"/>
  </w:num>
  <w:num w:numId="37">
    <w:abstractNumId w:val="32"/>
  </w:num>
  <w:num w:numId="38">
    <w:abstractNumId w:val="16"/>
  </w:num>
  <w:num w:numId="39">
    <w:abstractNumId w:val="12"/>
  </w:num>
  <w:num w:numId="40">
    <w:abstractNumId w:val="27"/>
  </w:num>
  <w:num w:numId="41">
    <w:abstractNumId w:val="36"/>
  </w:num>
  <w:num w:numId="42">
    <w:abstractNumId w:val="24"/>
  </w:num>
  <w:num w:numId="43">
    <w:abstractNumId w:val="45"/>
  </w:num>
  <w:num w:numId="44">
    <w:abstractNumId w:val="40"/>
  </w:num>
  <w:num w:numId="45">
    <w:abstractNumId w:val="30"/>
  </w:num>
  <w:num w:numId="46">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45"/>
    <w:rsid w:val="00000107"/>
    <w:rsid w:val="00000EFA"/>
    <w:rsid w:val="00000F52"/>
    <w:rsid w:val="00002FBF"/>
    <w:rsid w:val="00004596"/>
    <w:rsid w:val="00005E7F"/>
    <w:rsid w:val="00011E0A"/>
    <w:rsid w:val="000124C2"/>
    <w:rsid w:val="0001394C"/>
    <w:rsid w:val="000232AA"/>
    <w:rsid w:val="00026ABD"/>
    <w:rsid w:val="00030D9D"/>
    <w:rsid w:val="000346E9"/>
    <w:rsid w:val="00036ACC"/>
    <w:rsid w:val="00037431"/>
    <w:rsid w:val="000432D6"/>
    <w:rsid w:val="00043885"/>
    <w:rsid w:val="00045EF1"/>
    <w:rsid w:val="00046247"/>
    <w:rsid w:val="000473AA"/>
    <w:rsid w:val="00051C49"/>
    <w:rsid w:val="00051CEF"/>
    <w:rsid w:val="00053286"/>
    <w:rsid w:val="000575AD"/>
    <w:rsid w:val="00060964"/>
    <w:rsid w:val="000647BF"/>
    <w:rsid w:val="00065321"/>
    <w:rsid w:val="000757B4"/>
    <w:rsid w:val="00076529"/>
    <w:rsid w:val="00076CF2"/>
    <w:rsid w:val="00077BD8"/>
    <w:rsid w:val="00080431"/>
    <w:rsid w:val="00081237"/>
    <w:rsid w:val="000816A4"/>
    <w:rsid w:val="00082628"/>
    <w:rsid w:val="0008266A"/>
    <w:rsid w:val="00082CCD"/>
    <w:rsid w:val="00083638"/>
    <w:rsid w:val="000842B2"/>
    <w:rsid w:val="00084593"/>
    <w:rsid w:val="00085EED"/>
    <w:rsid w:val="000919E3"/>
    <w:rsid w:val="00091BBF"/>
    <w:rsid w:val="00093F35"/>
    <w:rsid w:val="00095BDD"/>
    <w:rsid w:val="0009638E"/>
    <w:rsid w:val="00097414"/>
    <w:rsid w:val="00097C41"/>
    <w:rsid w:val="000A068C"/>
    <w:rsid w:val="000A26C6"/>
    <w:rsid w:val="000A2A49"/>
    <w:rsid w:val="000A3839"/>
    <w:rsid w:val="000A4ED8"/>
    <w:rsid w:val="000A634A"/>
    <w:rsid w:val="000A6E38"/>
    <w:rsid w:val="000B1185"/>
    <w:rsid w:val="000B2224"/>
    <w:rsid w:val="000B2CC5"/>
    <w:rsid w:val="000B33E4"/>
    <w:rsid w:val="000B3C51"/>
    <w:rsid w:val="000B45D8"/>
    <w:rsid w:val="000B5A48"/>
    <w:rsid w:val="000B63D5"/>
    <w:rsid w:val="000C0B1D"/>
    <w:rsid w:val="000C462D"/>
    <w:rsid w:val="000C6C27"/>
    <w:rsid w:val="000C6CC6"/>
    <w:rsid w:val="000C75E7"/>
    <w:rsid w:val="000D0C90"/>
    <w:rsid w:val="000D41FE"/>
    <w:rsid w:val="000D6488"/>
    <w:rsid w:val="000D68DE"/>
    <w:rsid w:val="000E642F"/>
    <w:rsid w:val="000E6F12"/>
    <w:rsid w:val="000E7FBF"/>
    <w:rsid w:val="000F0542"/>
    <w:rsid w:val="000F6A0E"/>
    <w:rsid w:val="001004C9"/>
    <w:rsid w:val="00101176"/>
    <w:rsid w:val="00102142"/>
    <w:rsid w:val="001047C0"/>
    <w:rsid w:val="00105B45"/>
    <w:rsid w:val="00106877"/>
    <w:rsid w:val="00110C5B"/>
    <w:rsid w:val="00112027"/>
    <w:rsid w:val="001122BC"/>
    <w:rsid w:val="001122C1"/>
    <w:rsid w:val="0011320C"/>
    <w:rsid w:val="00113FE7"/>
    <w:rsid w:val="00115C09"/>
    <w:rsid w:val="00115C2A"/>
    <w:rsid w:val="00116154"/>
    <w:rsid w:val="001168A1"/>
    <w:rsid w:val="00117619"/>
    <w:rsid w:val="001202C6"/>
    <w:rsid w:val="0012743A"/>
    <w:rsid w:val="00131C5F"/>
    <w:rsid w:val="00131E2C"/>
    <w:rsid w:val="00135D59"/>
    <w:rsid w:val="00136F46"/>
    <w:rsid w:val="001376F7"/>
    <w:rsid w:val="001404A5"/>
    <w:rsid w:val="001431EB"/>
    <w:rsid w:val="00145AAB"/>
    <w:rsid w:val="00145F97"/>
    <w:rsid w:val="001479E9"/>
    <w:rsid w:val="00150CFB"/>
    <w:rsid w:val="00151A8B"/>
    <w:rsid w:val="00155E1B"/>
    <w:rsid w:val="00160E74"/>
    <w:rsid w:val="00161956"/>
    <w:rsid w:val="00162375"/>
    <w:rsid w:val="001623C3"/>
    <w:rsid w:val="0016384B"/>
    <w:rsid w:val="00163970"/>
    <w:rsid w:val="00165232"/>
    <w:rsid w:val="0016722B"/>
    <w:rsid w:val="00171595"/>
    <w:rsid w:val="00176097"/>
    <w:rsid w:val="00176168"/>
    <w:rsid w:val="00176303"/>
    <w:rsid w:val="00177DC5"/>
    <w:rsid w:val="00177F9C"/>
    <w:rsid w:val="00185673"/>
    <w:rsid w:val="001879AD"/>
    <w:rsid w:val="00190016"/>
    <w:rsid w:val="00191750"/>
    <w:rsid w:val="00191FF2"/>
    <w:rsid w:val="0019372B"/>
    <w:rsid w:val="00196D9C"/>
    <w:rsid w:val="0019782C"/>
    <w:rsid w:val="00197DF2"/>
    <w:rsid w:val="00197E70"/>
    <w:rsid w:val="001A0999"/>
    <w:rsid w:val="001A2D58"/>
    <w:rsid w:val="001A553A"/>
    <w:rsid w:val="001A629A"/>
    <w:rsid w:val="001A78FE"/>
    <w:rsid w:val="001B05D7"/>
    <w:rsid w:val="001B1876"/>
    <w:rsid w:val="001B2169"/>
    <w:rsid w:val="001B2BD4"/>
    <w:rsid w:val="001B6E99"/>
    <w:rsid w:val="001B7B0D"/>
    <w:rsid w:val="001C198C"/>
    <w:rsid w:val="001C581C"/>
    <w:rsid w:val="001C6EC7"/>
    <w:rsid w:val="001D099B"/>
    <w:rsid w:val="001D0C74"/>
    <w:rsid w:val="001D2C1C"/>
    <w:rsid w:val="001D490D"/>
    <w:rsid w:val="001D7032"/>
    <w:rsid w:val="001E2A2F"/>
    <w:rsid w:val="001E6289"/>
    <w:rsid w:val="001E6435"/>
    <w:rsid w:val="001F18A6"/>
    <w:rsid w:val="001F25CA"/>
    <w:rsid w:val="001F26D5"/>
    <w:rsid w:val="001F35AA"/>
    <w:rsid w:val="001F42C3"/>
    <w:rsid w:val="001F498A"/>
    <w:rsid w:val="001F4F91"/>
    <w:rsid w:val="002030F4"/>
    <w:rsid w:val="002053D5"/>
    <w:rsid w:val="002104C4"/>
    <w:rsid w:val="00210CA8"/>
    <w:rsid w:val="0021206F"/>
    <w:rsid w:val="0021533C"/>
    <w:rsid w:val="00223340"/>
    <w:rsid w:val="0022436B"/>
    <w:rsid w:val="0022472A"/>
    <w:rsid w:val="002257D2"/>
    <w:rsid w:val="00232A77"/>
    <w:rsid w:val="0023535F"/>
    <w:rsid w:val="00240441"/>
    <w:rsid w:val="002404D9"/>
    <w:rsid w:val="002411FE"/>
    <w:rsid w:val="00241A72"/>
    <w:rsid w:val="00242ECC"/>
    <w:rsid w:val="00245FCE"/>
    <w:rsid w:val="0024730B"/>
    <w:rsid w:val="00251612"/>
    <w:rsid w:val="002555B7"/>
    <w:rsid w:val="00256694"/>
    <w:rsid w:val="00257613"/>
    <w:rsid w:val="002600F9"/>
    <w:rsid w:val="00264B5B"/>
    <w:rsid w:val="00267121"/>
    <w:rsid w:val="00271C7E"/>
    <w:rsid w:val="00273BAB"/>
    <w:rsid w:val="00274E42"/>
    <w:rsid w:val="00275739"/>
    <w:rsid w:val="00276BE6"/>
    <w:rsid w:val="00281401"/>
    <w:rsid w:val="002879FB"/>
    <w:rsid w:val="002904CF"/>
    <w:rsid w:val="0029082A"/>
    <w:rsid w:val="00293F67"/>
    <w:rsid w:val="00294451"/>
    <w:rsid w:val="002A11E6"/>
    <w:rsid w:val="002A1297"/>
    <w:rsid w:val="002A4E20"/>
    <w:rsid w:val="002A59B8"/>
    <w:rsid w:val="002A5CF4"/>
    <w:rsid w:val="002A66BE"/>
    <w:rsid w:val="002A7BCD"/>
    <w:rsid w:val="002B15F1"/>
    <w:rsid w:val="002B58C8"/>
    <w:rsid w:val="002B5ABF"/>
    <w:rsid w:val="002B6254"/>
    <w:rsid w:val="002B6C67"/>
    <w:rsid w:val="002B7B07"/>
    <w:rsid w:val="002C0073"/>
    <w:rsid w:val="002C17D5"/>
    <w:rsid w:val="002C36DE"/>
    <w:rsid w:val="002D0901"/>
    <w:rsid w:val="002D1FC6"/>
    <w:rsid w:val="002E0E64"/>
    <w:rsid w:val="002E1477"/>
    <w:rsid w:val="002E2CF0"/>
    <w:rsid w:val="002E2FDC"/>
    <w:rsid w:val="002E5B66"/>
    <w:rsid w:val="002F003F"/>
    <w:rsid w:val="002F1E0D"/>
    <w:rsid w:val="002F4281"/>
    <w:rsid w:val="002F4843"/>
    <w:rsid w:val="002F4E1B"/>
    <w:rsid w:val="002F5390"/>
    <w:rsid w:val="002F756D"/>
    <w:rsid w:val="0030064A"/>
    <w:rsid w:val="00301396"/>
    <w:rsid w:val="00301406"/>
    <w:rsid w:val="0030297B"/>
    <w:rsid w:val="00303C63"/>
    <w:rsid w:val="0030422E"/>
    <w:rsid w:val="00304C0A"/>
    <w:rsid w:val="00304CBF"/>
    <w:rsid w:val="00305ED1"/>
    <w:rsid w:val="00307626"/>
    <w:rsid w:val="00307B89"/>
    <w:rsid w:val="0031138C"/>
    <w:rsid w:val="003139F2"/>
    <w:rsid w:val="003140E8"/>
    <w:rsid w:val="003174B4"/>
    <w:rsid w:val="00317B76"/>
    <w:rsid w:val="003216C5"/>
    <w:rsid w:val="00323787"/>
    <w:rsid w:val="003249C8"/>
    <w:rsid w:val="00324DA5"/>
    <w:rsid w:val="00325FA9"/>
    <w:rsid w:val="00326428"/>
    <w:rsid w:val="00330C73"/>
    <w:rsid w:val="003325E6"/>
    <w:rsid w:val="00332A73"/>
    <w:rsid w:val="00334A77"/>
    <w:rsid w:val="003365EA"/>
    <w:rsid w:val="003406F0"/>
    <w:rsid w:val="00341778"/>
    <w:rsid w:val="00341801"/>
    <w:rsid w:val="00341855"/>
    <w:rsid w:val="00342F73"/>
    <w:rsid w:val="0034394F"/>
    <w:rsid w:val="00343BC4"/>
    <w:rsid w:val="003508EC"/>
    <w:rsid w:val="00351205"/>
    <w:rsid w:val="00353983"/>
    <w:rsid w:val="00354FA0"/>
    <w:rsid w:val="00355483"/>
    <w:rsid w:val="00356B1E"/>
    <w:rsid w:val="0035724C"/>
    <w:rsid w:val="003573FB"/>
    <w:rsid w:val="0035779A"/>
    <w:rsid w:val="00360123"/>
    <w:rsid w:val="00360EE8"/>
    <w:rsid w:val="00361052"/>
    <w:rsid w:val="00361CCB"/>
    <w:rsid w:val="003631D3"/>
    <w:rsid w:val="00363A45"/>
    <w:rsid w:val="00367993"/>
    <w:rsid w:val="0037051E"/>
    <w:rsid w:val="00373B51"/>
    <w:rsid w:val="0037431F"/>
    <w:rsid w:val="0037625C"/>
    <w:rsid w:val="0037662C"/>
    <w:rsid w:val="00376639"/>
    <w:rsid w:val="0037751B"/>
    <w:rsid w:val="00380486"/>
    <w:rsid w:val="003845E9"/>
    <w:rsid w:val="00385F16"/>
    <w:rsid w:val="0038754B"/>
    <w:rsid w:val="00387DE6"/>
    <w:rsid w:val="00390705"/>
    <w:rsid w:val="00391301"/>
    <w:rsid w:val="00393D94"/>
    <w:rsid w:val="0039495A"/>
    <w:rsid w:val="003971B3"/>
    <w:rsid w:val="003A04D8"/>
    <w:rsid w:val="003A4466"/>
    <w:rsid w:val="003A4EFF"/>
    <w:rsid w:val="003A5C54"/>
    <w:rsid w:val="003A6FA3"/>
    <w:rsid w:val="003A7730"/>
    <w:rsid w:val="003B05A5"/>
    <w:rsid w:val="003B0788"/>
    <w:rsid w:val="003B302B"/>
    <w:rsid w:val="003B380C"/>
    <w:rsid w:val="003B531D"/>
    <w:rsid w:val="003B601C"/>
    <w:rsid w:val="003B7546"/>
    <w:rsid w:val="003C0440"/>
    <w:rsid w:val="003C11BC"/>
    <w:rsid w:val="003C3126"/>
    <w:rsid w:val="003C674B"/>
    <w:rsid w:val="003C6E54"/>
    <w:rsid w:val="003C6E69"/>
    <w:rsid w:val="003C7224"/>
    <w:rsid w:val="003D36C4"/>
    <w:rsid w:val="003D3B02"/>
    <w:rsid w:val="003E3221"/>
    <w:rsid w:val="003E35BD"/>
    <w:rsid w:val="003E39A7"/>
    <w:rsid w:val="003E5EE4"/>
    <w:rsid w:val="003E6233"/>
    <w:rsid w:val="003E6B68"/>
    <w:rsid w:val="003E7CD9"/>
    <w:rsid w:val="003F169E"/>
    <w:rsid w:val="003F1DA4"/>
    <w:rsid w:val="003F57D6"/>
    <w:rsid w:val="003F765B"/>
    <w:rsid w:val="00400ECC"/>
    <w:rsid w:val="004017F1"/>
    <w:rsid w:val="00401E17"/>
    <w:rsid w:val="004031BE"/>
    <w:rsid w:val="004037D5"/>
    <w:rsid w:val="004038C3"/>
    <w:rsid w:val="00412BD9"/>
    <w:rsid w:val="00412F0E"/>
    <w:rsid w:val="00414CCE"/>
    <w:rsid w:val="00416319"/>
    <w:rsid w:val="00422E49"/>
    <w:rsid w:val="0042315D"/>
    <w:rsid w:val="00423D47"/>
    <w:rsid w:val="004250BB"/>
    <w:rsid w:val="004251D1"/>
    <w:rsid w:val="00430D0F"/>
    <w:rsid w:val="00432E88"/>
    <w:rsid w:val="00437A42"/>
    <w:rsid w:val="00443A89"/>
    <w:rsid w:val="00444B8A"/>
    <w:rsid w:val="00444C77"/>
    <w:rsid w:val="00447517"/>
    <w:rsid w:val="004479A1"/>
    <w:rsid w:val="004507FE"/>
    <w:rsid w:val="00450F4C"/>
    <w:rsid w:val="00453007"/>
    <w:rsid w:val="00454136"/>
    <w:rsid w:val="00454E2C"/>
    <w:rsid w:val="004567A7"/>
    <w:rsid w:val="00460243"/>
    <w:rsid w:val="00460C11"/>
    <w:rsid w:val="00461EA0"/>
    <w:rsid w:val="00466B54"/>
    <w:rsid w:val="00466EF2"/>
    <w:rsid w:val="004710D7"/>
    <w:rsid w:val="004721CD"/>
    <w:rsid w:val="00472987"/>
    <w:rsid w:val="004735F9"/>
    <w:rsid w:val="0047406F"/>
    <w:rsid w:val="00476FD9"/>
    <w:rsid w:val="004806EB"/>
    <w:rsid w:val="00481EAB"/>
    <w:rsid w:val="00483A07"/>
    <w:rsid w:val="0048610C"/>
    <w:rsid w:val="00486B71"/>
    <w:rsid w:val="00487BEA"/>
    <w:rsid w:val="00487DBE"/>
    <w:rsid w:val="00490163"/>
    <w:rsid w:val="00490665"/>
    <w:rsid w:val="004917BA"/>
    <w:rsid w:val="004937BC"/>
    <w:rsid w:val="00493A76"/>
    <w:rsid w:val="004946B1"/>
    <w:rsid w:val="00494A8A"/>
    <w:rsid w:val="0049588B"/>
    <w:rsid w:val="00495B0E"/>
    <w:rsid w:val="0049639A"/>
    <w:rsid w:val="00496926"/>
    <w:rsid w:val="004A03BE"/>
    <w:rsid w:val="004A168B"/>
    <w:rsid w:val="004A1BCE"/>
    <w:rsid w:val="004A23D6"/>
    <w:rsid w:val="004A2E3D"/>
    <w:rsid w:val="004A3848"/>
    <w:rsid w:val="004A3C4D"/>
    <w:rsid w:val="004A525B"/>
    <w:rsid w:val="004A5EE8"/>
    <w:rsid w:val="004A6560"/>
    <w:rsid w:val="004B09B6"/>
    <w:rsid w:val="004B0E1E"/>
    <w:rsid w:val="004B4EC5"/>
    <w:rsid w:val="004B5735"/>
    <w:rsid w:val="004B5EF4"/>
    <w:rsid w:val="004B6331"/>
    <w:rsid w:val="004B6ABA"/>
    <w:rsid w:val="004B7071"/>
    <w:rsid w:val="004B7530"/>
    <w:rsid w:val="004C3094"/>
    <w:rsid w:val="004C3463"/>
    <w:rsid w:val="004C4315"/>
    <w:rsid w:val="004C5817"/>
    <w:rsid w:val="004C5E64"/>
    <w:rsid w:val="004C7592"/>
    <w:rsid w:val="004C779E"/>
    <w:rsid w:val="004D11DD"/>
    <w:rsid w:val="004D12BC"/>
    <w:rsid w:val="004D2898"/>
    <w:rsid w:val="004D42D9"/>
    <w:rsid w:val="004D65B6"/>
    <w:rsid w:val="004D73C2"/>
    <w:rsid w:val="004D769E"/>
    <w:rsid w:val="004E0231"/>
    <w:rsid w:val="004E0F21"/>
    <w:rsid w:val="004E15A0"/>
    <w:rsid w:val="004E5430"/>
    <w:rsid w:val="004E5922"/>
    <w:rsid w:val="004E5FD4"/>
    <w:rsid w:val="004E6037"/>
    <w:rsid w:val="004E7627"/>
    <w:rsid w:val="004F0F11"/>
    <w:rsid w:val="005017F4"/>
    <w:rsid w:val="00503A78"/>
    <w:rsid w:val="0050598D"/>
    <w:rsid w:val="00505B4E"/>
    <w:rsid w:val="00514541"/>
    <w:rsid w:val="00514B04"/>
    <w:rsid w:val="00517FAA"/>
    <w:rsid w:val="00520C3E"/>
    <w:rsid w:val="00523C14"/>
    <w:rsid w:val="00524D3D"/>
    <w:rsid w:val="00524F02"/>
    <w:rsid w:val="00525416"/>
    <w:rsid w:val="00530678"/>
    <w:rsid w:val="00537349"/>
    <w:rsid w:val="00537993"/>
    <w:rsid w:val="005400D6"/>
    <w:rsid w:val="00541392"/>
    <w:rsid w:val="00541C5F"/>
    <w:rsid w:val="00542B79"/>
    <w:rsid w:val="00547F29"/>
    <w:rsid w:val="005500D1"/>
    <w:rsid w:val="00552964"/>
    <w:rsid w:val="0055326A"/>
    <w:rsid w:val="005565A8"/>
    <w:rsid w:val="00557F7D"/>
    <w:rsid w:val="0056009D"/>
    <w:rsid w:val="00563182"/>
    <w:rsid w:val="00565618"/>
    <w:rsid w:val="00565D57"/>
    <w:rsid w:val="00566084"/>
    <w:rsid w:val="00567E8B"/>
    <w:rsid w:val="005713CB"/>
    <w:rsid w:val="005749AC"/>
    <w:rsid w:val="00580720"/>
    <w:rsid w:val="00582576"/>
    <w:rsid w:val="005826B1"/>
    <w:rsid w:val="00582DF8"/>
    <w:rsid w:val="00583135"/>
    <w:rsid w:val="00584011"/>
    <w:rsid w:val="00584362"/>
    <w:rsid w:val="00584532"/>
    <w:rsid w:val="00585D5C"/>
    <w:rsid w:val="00590642"/>
    <w:rsid w:val="00591B7E"/>
    <w:rsid w:val="00592838"/>
    <w:rsid w:val="00592B4D"/>
    <w:rsid w:val="00596B04"/>
    <w:rsid w:val="005973D3"/>
    <w:rsid w:val="005A0832"/>
    <w:rsid w:val="005A3918"/>
    <w:rsid w:val="005A7710"/>
    <w:rsid w:val="005A7F03"/>
    <w:rsid w:val="005B283C"/>
    <w:rsid w:val="005B3A49"/>
    <w:rsid w:val="005B3F81"/>
    <w:rsid w:val="005B53F8"/>
    <w:rsid w:val="005B63C5"/>
    <w:rsid w:val="005B6F15"/>
    <w:rsid w:val="005B7CFD"/>
    <w:rsid w:val="005C357F"/>
    <w:rsid w:val="005C410A"/>
    <w:rsid w:val="005C5484"/>
    <w:rsid w:val="005C54AA"/>
    <w:rsid w:val="005C7570"/>
    <w:rsid w:val="005D19C2"/>
    <w:rsid w:val="005E42CB"/>
    <w:rsid w:val="005E4378"/>
    <w:rsid w:val="005E5083"/>
    <w:rsid w:val="005E5D07"/>
    <w:rsid w:val="005F13C5"/>
    <w:rsid w:val="005F185C"/>
    <w:rsid w:val="005F2FAD"/>
    <w:rsid w:val="006008A5"/>
    <w:rsid w:val="00601274"/>
    <w:rsid w:val="00606D5E"/>
    <w:rsid w:val="00607F34"/>
    <w:rsid w:val="00610846"/>
    <w:rsid w:val="00610AB2"/>
    <w:rsid w:val="0061363F"/>
    <w:rsid w:val="00615F6C"/>
    <w:rsid w:val="00625443"/>
    <w:rsid w:val="00625C9F"/>
    <w:rsid w:val="00627289"/>
    <w:rsid w:val="0062771D"/>
    <w:rsid w:val="00631DBF"/>
    <w:rsid w:val="0063298A"/>
    <w:rsid w:val="00632A25"/>
    <w:rsid w:val="0064054B"/>
    <w:rsid w:val="00641D68"/>
    <w:rsid w:val="00641E49"/>
    <w:rsid w:val="00643B26"/>
    <w:rsid w:val="00645017"/>
    <w:rsid w:val="00646A09"/>
    <w:rsid w:val="00646CA8"/>
    <w:rsid w:val="00646F18"/>
    <w:rsid w:val="00650904"/>
    <w:rsid w:val="00650A6F"/>
    <w:rsid w:val="006545E2"/>
    <w:rsid w:val="00654C0A"/>
    <w:rsid w:val="006569EE"/>
    <w:rsid w:val="006622A7"/>
    <w:rsid w:val="00665A84"/>
    <w:rsid w:val="0067075F"/>
    <w:rsid w:val="00671136"/>
    <w:rsid w:val="006718CB"/>
    <w:rsid w:val="00671AC6"/>
    <w:rsid w:val="00671FBE"/>
    <w:rsid w:val="00672029"/>
    <w:rsid w:val="006728FD"/>
    <w:rsid w:val="00674C00"/>
    <w:rsid w:val="006751E5"/>
    <w:rsid w:val="00676845"/>
    <w:rsid w:val="0067697D"/>
    <w:rsid w:val="0068014B"/>
    <w:rsid w:val="006813AA"/>
    <w:rsid w:val="00684395"/>
    <w:rsid w:val="00686061"/>
    <w:rsid w:val="006867C5"/>
    <w:rsid w:val="00686D4B"/>
    <w:rsid w:val="00686F3B"/>
    <w:rsid w:val="006A06E8"/>
    <w:rsid w:val="006A445D"/>
    <w:rsid w:val="006A4FE0"/>
    <w:rsid w:val="006A798D"/>
    <w:rsid w:val="006B07AE"/>
    <w:rsid w:val="006B30D8"/>
    <w:rsid w:val="006B387E"/>
    <w:rsid w:val="006B5A30"/>
    <w:rsid w:val="006B73AB"/>
    <w:rsid w:val="006B7744"/>
    <w:rsid w:val="006C2073"/>
    <w:rsid w:val="006C6748"/>
    <w:rsid w:val="006C6DAA"/>
    <w:rsid w:val="006C6E65"/>
    <w:rsid w:val="006D1E29"/>
    <w:rsid w:val="006D2B44"/>
    <w:rsid w:val="006D3D79"/>
    <w:rsid w:val="006D5214"/>
    <w:rsid w:val="006D566A"/>
    <w:rsid w:val="006D5E98"/>
    <w:rsid w:val="006D67FE"/>
    <w:rsid w:val="006E1415"/>
    <w:rsid w:val="006E453F"/>
    <w:rsid w:val="006E5973"/>
    <w:rsid w:val="006E600E"/>
    <w:rsid w:val="006E7A0B"/>
    <w:rsid w:val="006F1022"/>
    <w:rsid w:val="006F13EB"/>
    <w:rsid w:val="006F4A2C"/>
    <w:rsid w:val="006F73F2"/>
    <w:rsid w:val="00702AFB"/>
    <w:rsid w:val="00703244"/>
    <w:rsid w:val="00704E8D"/>
    <w:rsid w:val="00705E05"/>
    <w:rsid w:val="007108E1"/>
    <w:rsid w:val="00713F42"/>
    <w:rsid w:val="00715B96"/>
    <w:rsid w:val="00716B8C"/>
    <w:rsid w:val="007170A1"/>
    <w:rsid w:val="00717688"/>
    <w:rsid w:val="00717F16"/>
    <w:rsid w:val="007203D0"/>
    <w:rsid w:val="00722267"/>
    <w:rsid w:val="007228A8"/>
    <w:rsid w:val="00722942"/>
    <w:rsid w:val="00725986"/>
    <w:rsid w:val="00730570"/>
    <w:rsid w:val="00734FDD"/>
    <w:rsid w:val="007366A2"/>
    <w:rsid w:val="00736B89"/>
    <w:rsid w:val="007372BC"/>
    <w:rsid w:val="00737A62"/>
    <w:rsid w:val="007407FD"/>
    <w:rsid w:val="00741017"/>
    <w:rsid w:val="00745618"/>
    <w:rsid w:val="007472D5"/>
    <w:rsid w:val="00761ED5"/>
    <w:rsid w:val="007642B6"/>
    <w:rsid w:val="00764D24"/>
    <w:rsid w:val="00765481"/>
    <w:rsid w:val="00765606"/>
    <w:rsid w:val="00766E6F"/>
    <w:rsid w:val="00767D2F"/>
    <w:rsid w:val="007711E0"/>
    <w:rsid w:val="00771B2C"/>
    <w:rsid w:val="007727DB"/>
    <w:rsid w:val="00774928"/>
    <w:rsid w:val="0077776B"/>
    <w:rsid w:val="00782C68"/>
    <w:rsid w:val="0078309B"/>
    <w:rsid w:val="007846D0"/>
    <w:rsid w:val="00785BD1"/>
    <w:rsid w:val="00786B6E"/>
    <w:rsid w:val="007871E5"/>
    <w:rsid w:val="007916AC"/>
    <w:rsid w:val="00791D7B"/>
    <w:rsid w:val="00791E21"/>
    <w:rsid w:val="0079238D"/>
    <w:rsid w:val="00793140"/>
    <w:rsid w:val="00793839"/>
    <w:rsid w:val="00793DB7"/>
    <w:rsid w:val="00795DF6"/>
    <w:rsid w:val="007A31E9"/>
    <w:rsid w:val="007B5ECA"/>
    <w:rsid w:val="007C2692"/>
    <w:rsid w:val="007C3A1C"/>
    <w:rsid w:val="007C599F"/>
    <w:rsid w:val="007D0A25"/>
    <w:rsid w:val="007D1DE0"/>
    <w:rsid w:val="007D40DE"/>
    <w:rsid w:val="007D45CC"/>
    <w:rsid w:val="007D5EDC"/>
    <w:rsid w:val="007D7561"/>
    <w:rsid w:val="007E1719"/>
    <w:rsid w:val="007E3C6C"/>
    <w:rsid w:val="007E53B5"/>
    <w:rsid w:val="007E76C3"/>
    <w:rsid w:val="007F0B66"/>
    <w:rsid w:val="007F2C51"/>
    <w:rsid w:val="00800904"/>
    <w:rsid w:val="00801434"/>
    <w:rsid w:val="008016AF"/>
    <w:rsid w:val="0080372D"/>
    <w:rsid w:val="00804F6B"/>
    <w:rsid w:val="00805EA8"/>
    <w:rsid w:val="0080696B"/>
    <w:rsid w:val="0081118A"/>
    <w:rsid w:val="00811954"/>
    <w:rsid w:val="00814440"/>
    <w:rsid w:val="00815524"/>
    <w:rsid w:val="00815847"/>
    <w:rsid w:val="00817B89"/>
    <w:rsid w:val="008204A7"/>
    <w:rsid w:val="00821486"/>
    <w:rsid w:val="00822A56"/>
    <w:rsid w:val="00823A37"/>
    <w:rsid w:val="00826302"/>
    <w:rsid w:val="00830122"/>
    <w:rsid w:val="008342BF"/>
    <w:rsid w:val="008414AC"/>
    <w:rsid w:val="00841CB2"/>
    <w:rsid w:val="00845FDF"/>
    <w:rsid w:val="008479FA"/>
    <w:rsid w:val="00847F5C"/>
    <w:rsid w:val="00851841"/>
    <w:rsid w:val="00852C98"/>
    <w:rsid w:val="00857B03"/>
    <w:rsid w:val="00857ED5"/>
    <w:rsid w:val="00860962"/>
    <w:rsid w:val="00861F7F"/>
    <w:rsid w:val="0086357C"/>
    <w:rsid w:val="00866DA3"/>
    <w:rsid w:val="00867EDF"/>
    <w:rsid w:val="00867FB1"/>
    <w:rsid w:val="00871F09"/>
    <w:rsid w:val="0087653D"/>
    <w:rsid w:val="00882419"/>
    <w:rsid w:val="008824DD"/>
    <w:rsid w:val="00890187"/>
    <w:rsid w:val="008905DB"/>
    <w:rsid w:val="00890EA0"/>
    <w:rsid w:val="00892427"/>
    <w:rsid w:val="008937C8"/>
    <w:rsid w:val="00897B6D"/>
    <w:rsid w:val="008A1A16"/>
    <w:rsid w:val="008A3170"/>
    <w:rsid w:val="008A317D"/>
    <w:rsid w:val="008A4270"/>
    <w:rsid w:val="008A5E6D"/>
    <w:rsid w:val="008A68D5"/>
    <w:rsid w:val="008B1305"/>
    <w:rsid w:val="008B2936"/>
    <w:rsid w:val="008B34A6"/>
    <w:rsid w:val="008B4C7C"/>
    <w:rsid w:val="008B5A77"/>
    <w:rsid w:val="008B5C42"/>
    <w:rsid w:val="008C0C48"/>
    <w:rsid w:val="008C18BE"/>
    <w:rsid w:val="008C2EB2"/>
    <w:rsid w:val="008C55BF"/>
    <w:rsid w:val="008C5C87"/>
    <w:rsid w:val="008C6CBF"/>
    <w:rsid w:val="008D2B3F"/>
    <w:rsid w:val="008D454C"/>
    <w:rsid w:val="008D5036"/>
    <w:rsid w:val="008D5FD0"/>
    <w:rsid w:val="008D6376"/>
    <w:rsid w:val="008D72AE"/>
    <w:rsid w:val="008D7367"/>
    <w:rsid w:val="008E03A3"/>
    <w:rsid w:val="008E1BA8"/>
    <w:rsid w:val="008E3F43"/>
    <w:rsid w:val="008E756B"/>
    <w:rsid w:val="008F25A5"/>
    <w:rsid w:val="008F3283"/>
    <w:rsid w:val="008F4113"/>
    <w:rsid w:val="008F4EAA"/>
    <w:rsid w:val="00900E72"/>
    <w:rsid w:val="00903A5B"/>
    <w:rsid w:val="00903F9F"/>
    <w:rsid w:val="0090558F"/>
    <w:rsid w:val="00906136"/>
    <w:rsid w:val="00906622"/>
    <w:rsid w:val="00906DBF"/>
    <w:rsid w:val="00907E0C"/>
    <w:rsid w:val="00911832"/>
    <w:rsid w:val="00916739"/>
    <w:rsid w:val="00916E8F"/>
    <w:rsid w:val="00917296"/>
    <w:rsid w:val="00924C70"/>
    <w:rsid w:val="00925084"/>
    <w:rsid w:val="00931AE9"/>
    <w:rsid w:val="00932272"/>
    <w:rsid w:val="0093304B"/>
    <w:rsid w:val="00933C17"/>
    <w:rsid w:val="00937126"/>
    <w:rsid w:val="00937D42"/>
    <w:rsid w:val="0094429B"/>
    <w:rsid w:val="009444D1"/>
    <w:rsid w:val="00946B06"/>
    <w:rsid w:val="00947A77"/>
    <w:rsid w:val="00956B57"/>
    <w:rsid w:val="009571EC"/>
    <w:rsid w:val="009576B2"/>
    <w:rsid w:val="00957FE9"/>
    <w:rsid w:val="00962FA4"/>
    <w:rsid w:val="00963B3F"/>
    <w:rsid w:val="00964A49"/>
    <w:rsid w:val="00964C7E"/>
    <w:rsid w:val="00965739"/>
    <w:rsid w:val="00967D35"/>
    <w:rsid w:val="00970D97"/>
    <w:rsid w:val="00972917"/>
    <w:rsid w:val="00974F10"/>
    <w:rsid w:val="009754A7"/>
    <w:rsid w:val="00980C39"/>
    <w:rsid w:val="009819CE"/>
    <w:rsid w:val="00990A62"/>
    <w:rsid w:val="00994746"/>
    <w:rsid w:val="009A0084"/>
    <w:rsid w:val="009A384C"/>
    <w:rsid w:val="009A4047"/>
    <w:rsid w:val="009A5714"/>
    <w:rsid w:val="009A5738"/>
    <w:rsid w:val="009A6898"/>
    <w:rsid w:val="009A6AF2"/>
    <w:rsid w:val="009B3E7F"/>
    <w:rsid w:val="009B609D"/>
    <w:rsid w:val="009B7EBF"/>
    <w:rsid w:val="009C0D6E"/>
    <w:rsid w:val="009C17C8"/>
    <w:rsid w:val="009C1ED2"/>
    <w:rsid w:val="009C3869"/>
    <w:rsid w:val="009C39AD"/>
    <w:rsid w:val="009C56B4"/>
    <w:rsid w:val="009D0500"/>
    <w:rsid w:val="009D09B6"/>
    <w:rsid w:val="009D55A8"/>
    <w:rsid w:val="009E116A"/>
    <w:rsid w:val="009E1ACE"/>
    <w:rsid w:val="009E28AB"/>
    <w:rsid w:val="009E7847"/>
    <w:rsid w:val="009F1A84"/>
    <w:rsid w:val="009F6235"/>
    <w:rsid w:val="009F6798"/>
    <w:rsid w:val="009F79CB"/>
    <w:rsid w:val="00A01D18"/>
    <w:rsid w:val="00A021D6"/>
    <w:rsid w:val="00A0225C"/>
    <w:rsid w:val="00A03538"/>
    <w:rsid w:val="00A06234"/>
    <w:rsid w:val="00A07648"/>
    <w:rsid w:val="00A1025A"/>
    <w:rsid w:val="00A11F74"/>
    <w:rsid w:val="00A13F1C"/>
    <w:rsid w:val="00A163BB"/>
    <w:rsid w:val="00A208A5"/>
    <w:rsid w:val="00A22BDC"/>
    <w:rsid w:val="00A24B7F"/>
    <w:rsid w:val="00A305F3"/>
    <w:rsid w:val="00A30AB4"/>
    <w:rsid w:val="00A320A9"/>
    <w:rsid w:val="00A35ACD"/>
    <w:rsid w:val="00A3733B"/>
    <w:rsid w:val="00A379A0"/>
    <w:rsid w:val="00A4179C"/>
    <w:rsid w:val="00A43C15"/>
    <w:rsid w:val="00A461EC"/>
    <w:rsid w:val="00A5048A"/>
    <w:rsid w:val="00A5233F"/>
    <w:rsid w:val="00A53D11"/>
    <w:rsid w:val="00A55132"/>
    <w:rsid w:val="00A56080"/>
    <w:rsid w:val="00A61FCF"/>
    <w:rsid w:val="00A64991"/>
    <w:rsid w:val="00A654BE"/>
    <w:rsid w:val="00A66307"/>
    <w:rsid w:val="00A67EE8"/>
    <w:rsid w:val="00A70F34"/>
    <w:rsid w:val="00A71959"/>
    <w:rsid w:val="00A74EC6"/>
    <w:rsid w:val="00A755E1"/>
    <w:rsid w:val="00A75A68"/>
    <w:rsid w:val="00A767EA"/>
    <w:rsid w:val="00A818C0"/>
    <w:rsid w:val="00A8552C"/>
    <w:rsid w:val="00A87BD7"/>
    <w:rsid w:val="00A90854"/>
    <w:rsid w:val="00A92A05"/>
    <w:rsid w:val="00A92F97"/>
    <w:rsid w:val="00AA05CD"/>
    <w:rsid w:val="00AA2211"/>
    <w:rsid w:val="00AA28C6"/>
    <w:rsid w:val="00AA344E"/>
    <w:rsid w:val="00AA39A9"/>
    <w:rsid w:val="00AA5D13"/>
    <w:rsid w:val="00AA6459"/>
    <w:rsid w:val="00AA67FE"/>
    <w:rsid w:val="00AB052B"/>
    <w:rsid w:val="00AB0B3A"/>
    <w:rsid w:val="00AB18D4"/>
    <w:rsid w:val="00AB469D"/>
    <w:rsid w:val="00AB5698"/>
    <w:rsid w:val="00AB7208"/>
    <w:rsid w:val="00AB73AD"/>
    <w:rsid w:val="00AC1990"/>
    <w:rsid w:val="00AC2D5E"/>
    <w:rsid w:val="00AC306B"/>
    <w:rsid w:val="00AC38DE"/>
    <w:rsid w:val="00AC3E2F"/>
    <w:rsid w:val="00AC6AF1"/>
    <w:rsid w:val="00AD0BE5"/>
    <w:rsid w:val="00AD2CCC"/>
    <w:rsid w:val="00AD45F8"/>
    <w:rsid w:val="00AE0474"/>
    <w:rsid w:val="00AE0C54"/>
    <w:rsid w:val="00AE18D8"/>
    <w:rsid w:val="00AE1D68"/>
    <w:rsid w:val="00AE26DB"/>
    <w:rsid w:val="00AE7A80"/>
    <w:rsid w:val="00AF079F"/>
    <w:rsid w:val="00AF5FCF"/>
    <w:rsid w:val="00AF643D"/>
    <w:rsid w:val="00B01F07"/>
    <w:rsid w:val="00B044B4"/>
    <w:rsid w:val="00B057F8"/>
    <w:rsid w:val="00B10294"/>
    <w:rsid w:val="00B10BCB"/>
    <w:rsid w:val="00B11280"/>
    <w:rsid w:val="00B128A7"/>
    <w:rsid w:val="00B12B17"/>
    <w:rsid w:val="00B1408B"/>
    <w:rsid w:val="00B14D79"/>
    <w:rsid w:val="00B16698"/>
    <w:rsid w:val="00B2200A"/>
    <w:rsid w:val="00B2276B"/>
    <w:rsid w:val="00B23E9B"/>
    <w:rsid w:val="00B244F9"/>
    <w:rsid w:val="00B26F7D"/>
    <w:rsid w:val="00B30106"/>
    <w:rsid w:val="00B30346"/>
    <w:rsid w:val="00B33ACF"/>
    <w:rsid w:val="00B35B08"/>
    <w:rsid w:val="00B416BC"/>
    <w:rsid w:val="00B42CD7"/>
    <w:rsid w:val="00B4410D"/>
    <w:rsid w:val="00B441B1"/>
    <w:rsid w:val="00B446C7"/>
    <w:rsid w:val="00B501EB"/>
    <w:rsid w:val="00B523E8"/>
    <w:rsid w:val="00B52C92"/>
    <w:rsid w:val="00B5447B"/>
    <w:rsid w:val="00B56CE4"/>
    <w:rsid w:val="00B6135C"/>
    <w:rsid w:val="00B6143D"/>
    <w:rsid w:val="00B650A9"/>
    <w:rsid w:val="00B651E4"/>
    <w:rsid w:val="00B6524A"/>
    <w:rsid w:val="00B6580D"/>
    <w:rsid w:val="00B66CEA"/>
    <w:rsid w:val="00B736E9"/>
    <w:rsid w:val="00B7493E"/>
    <w:rsid w:val="00B75552"/>
    <w:rsid w:val="00B75C8E"/>
    <w:rsid w:val="00B763C9"/>
    <w:rsid w:val="00B779E6"/>
    <w:rsid w:val="00B8391C"/>
    <w:rsid w:val="00B84D22"/>
    <w:rsid w:val="00B87795"/>
    <w:rsid w:val="00B912D6"/>
    <w:rsid w:val="00B91EC1"/>
    <w:rsid w:val="00B93023"/>
    <w:rsid w:val="00B9378D"/>
    <w:rsid w:val="00B94DF6"/>
    <w:rsid w:val="00BA0DFE"/>
    <w:rsid w:val="00BA10E7"/>
    <w:rsid w:val="00BB27D9"/>
    <w:rsid w:val="00BB418D"/>
    <w:rsid w:val="00BB42D3"/>
    <w:rsid w:val="00BB504D"/>
    <w:rsid w:val="00BB5105"/>
    <w:rsid w:val="00BC2702"/>
    <w:rsid w:val="00BC3712"/>
    <w:rsid w:val="00BC4842"/>
    <w:rsid w:val="00BC65D7"/>
    <w:rsid w:val="00BD0068"/>
    <w:rsid w:val="00BD14A2"/>
    <w:rsid w:val="00BD2829"/>
    <w:rsid w:val="00BD3FCF"/>
    <w:rsid w:val="00BD4E9F"/>
    <w:rsid w:val="00BD5F2C"/>
    <w:rsid w:val="00BD6C4F"/>
    <w:rsid w:val="00BE26CE"/>
    <w:rsid w:val="00BE3B91"/>
    <w:rsid w:val="00BE705E"/>
    <w:rsid w:val="00BE76C7"/>
    <w:rsid w:val="00BF0560"/>
    <w:rsid w:val="00BF3FA1"/>
    <w:rsid w:val="00BF4509"/>
    <w:rsid w:val="00BF58DF"/>
    <w:rsid w:val="00BF6B0C"/>
    <w:rsid w:val="00C004AF"/>
    <w:rsid w:val="00C00620"/>
    <w:rsid w:val="00C06A7E"/>
    <w:rsid w:val="00C0736D"/>
    <w:rsid w:val="00C07952"/>
    <w:rsid w:val="00C110CC"/>
    <w:rsid w:val="00C110D4"/>
    <w:rsid w:val="00C13AFA"/>
    <w:rsid w:val="00C152FD"/>
    <w:rsid w:val="00C16122"/>
    <w:rsid w:val="00C164F6"/>
    <w:rsid w:val="00C20628"/>
    <w:rsid w:val="00C20D3F"/>
    <w:rsid w:val="00C24E29"/>
    <w:rsid w:val="00C261BC"/>
    <w:rsid w:val="00C26695"/>
    <w:rsid w:val="00C27E1B"/>
    <w:rsid w:val="00C31190"/>
    <w:rsid w:val="00C321D3"/>
    <w:rsid w:val="00C336A2"/>
    <w:rsid w:val="00C347FB"/>
    <w:rsid w:val="00C353E3"/>
    <w:rsid w:val="00C427BB"/>
    <w:rsid w:val="00C439D7"/>
    <w:rsid w:val="00C43FF3"/>
    <w:rsid w:val="00C4652D"/>
    <w:rsid w:val="00C47D24"/>
    <w:rsid w:val="00C51DFB"/>
    <w:rsid w:val="00C533BE"/>
    <w:rsid w:val="00C53645"/>
    <w:rsid w:val="00C548C4"/>
    <w:rsid w:val="00C57C39"/>
    <w:rsid w:val="00C613BF"/>
    <w:rsid w:val="00C62956"/>
    <w:rsid w:val="00C63FB2"/>
    <w:rsid w:val="00C64760"/>
    <w:rsid w:val="00C67888"/>
    <w:rsid w:val="00C67AFF"/>
    <w:rsid w:val="00C72E82"/>
    <w:rsid w:val="00C7330B"/>
    <w:rsid w:val="00C75A63"/>
    <w:rsid w:val="00C75D7F"/>
    <w:rsid w:val="00C77D56"/>
    <w:rsid w:val="00C80BC0"/>
    <w:rsid w:val="00C81327"/>
    <w:rsid w:val="00C84FCD"/>
    <w:rsid w:val="00C85799"/>
    <w:rsid w:val="00C872F8"/>
    <w:rsid w:val="00C875AE"/>
    <w:rsid w:val="00C87810"/>
    <w:rsid w:val="00C94834"/>
    <w:rsid w:val="00C97745"/>
    <w:rsid w:val="00C97B1F"/>
    <w:rsid w:val="00CB12B8"/>
    <w:rsid w:val="00CB21E6"/>
    <w:rsid w:val="00CB33C4"/>
    <w:rsid w:val="00CB3615"/>
    <w:rsid w:val="00CB4A0E"/>
    <w:rsid w:val="00CB5AAE"/>
    <w:rsid w:val="00CB63D0"/>
    <w:rsid w:val="00CB70FB"/>
    <w:rsid w:val="00CB71C3"/>
    <w:rsid w:val="00CB7B1F"/>
    <w:rsid w:val="00CB7D89"/>
    <w:rsid w:val="00CC2AD4"/>
    <w:rsid w:val="00CC3613"/>
    <w:rsid w:val="00CC4C9E"/>
    <w:rsid w:val="00CC6052"/>
    <w:rsid w:val="00CD0B10"/>
    <w:rsid w:val="00CD0D02"/>
    <w:rsid w:val="00CD11E7"/>
    <w:rsid w:val="00CD298A"/>
    <w:rsid w:val="00CD2DF9"/>
    <w:rsid w:val="00CD4A67"/>
    <w:rsid w:val="00CD6F72"/>
    <w:rsid w:val="00CD7484"/>
    <w:rsid w:val="00CD779F"/>
    <w:rsid w:val="00CE07D9"/>
    <w:rsid w:val="00CE140C"/>
    <w:rsid w:val="00CE2361"/>
    <w:rsid w:val="00CE3C07"/>
    <w:rsid w:val="00CF07DD"/>
    <w:rsid w:val="00CF2CBC"/>
    <w:rsid w:val="00CF4ABE"/>
    <w:rsid w:val="00CF4F95"/>
    <w:rsid w:val="00CF5C4D"/>
    <w:rsid w:val="00CF72FC"/>
    <w:rsid w:val="00D00D4C"/>
    <w:rsid w:val="00D0126B"/>
    <w:rsid w:val="00D0274E"/>
    <w:rsid w:val="00D027D1"/>
    <w:rsid w:val="00D030F0"/>
    <w:rsid w:val="00D10557"/>
    <w:rsid w:val="00D12509"/>
    <w:rsid w:val="00D152F1"/>
    <w:rsid w:val="00D159D3"/>
    <w:rsid w:val="00D166AC"/>
    <w:rsid w:val="00D17EFD"/>
    <w:rsid w:val="00D2047D"/>
    <w:rsid w:val="00D204E5"/>
    <w:rsid w:val="00D26837"/>
    <w:rsid w:val="00D27933"/>
    <w:rsid w:val="00D3034D"/>
    <w:rsid w:val="00D341FC"/>
    <w:rsid w:val="00D36E93"/>
    <w:rsid w:val="00D4733F"/>
    <w:rsid w:val="00D54755"/>
    <w:rsid w:val="00D547CA"/>
    <w:rsid w:val="00D54F6F"/>
    <w:rsid w:val="00D67441"/>
    <w:rsid w:val="00D70054"/>
    <w:rsid w:val="00D70B4C"/>
    <w:rsid w:val="00D72599"/>
    <w:rsid w:val="00D72858"/>
    <w:rsid w:val="00D72A39"/>
    <w:rsid w:val="00D7355D"/>
    <w:rsid w:val="00D803C6"/>
    <w:rsid w:val="00D829F0"/>
    <w:rsid w:val="00D83535"/>
    <w:rsid w:val="00D835D9"/>
    <w:rsid w:val="00D838BA"/>
    <w:rsid w:val="00D8457F"/>
    <w:rsid w:val="00D90F9F"/>
    <w:rsid w:val="00D9143F"/>
    <w:rsid w:val="00D91A09"/>
    <w:rsid w:val="00D93A65"/>
    <w:rsid w:val="00D96BE8"/>
    <w:rsid w:val="00D97D94"/>
    <w:rsid w:val="00DA25B9"/>
    <w:rsid w:val="00DA31B2"/>
    <w:rsid w:val="00DA456A"/>
    <w:rsid w:val="00DA6ED3"/>
    <w:rsid w:val="00DA79BF"/>
    <w:rsid w:val="00DB038E"/>
    <w:rsid w:val="00DB2768"/>
    <w:rsid w:val="00DB32E2"/>
    <w:rsid w:val="00DB45CE"/>
    <w:rsid w:val="00DC1E63"/>
    <w:rsid w:val="00DC1FD6"/>
    <w:rsid w:val="00DC3CE1"/>
    <w:rsid w:val="00DC45F4"/>
    <w:rsid w:val="00DC50F9"/>
    <w:rsid w:val="00DC5DAC"/>
    <w:rsid w:val="00DD02F4"/>
    <w:rsid w:val="00DD04D1"/>
    <w:rsid w:val="00DD086C"/>
    <w:rsid w:val="00DD7195"/>
    <w:rsid w:val="00DD763C"/>
    <w:rsid w:val="00DE035F"/>
    <w:rsid w:val="00DE3E7A"/>
    <w:rsid w:val="00DE3F47"/>
    <w:rsid w:val="00DF1E90"/>
    <w:rsid w:val="00DF27FB"/>
    <w:rsid w:val="00DF3F6C"/>
    <w:rsid w:val="00DF444F"/>
    <w:rsid w:val="00DF69C2"/>
    <w:rsid w:val="00DF7DBA"/>
    <w:rsid w:val="00E00B08"/>
    <w:rsid w:val="00E02B13"/>
    <w:rsid w:val="00E0786E"/>
    <w:rsid w:val="00E16310"/>
    <w:rsid w:val="00E174C2"/>
    <w:rsid w:val="00E17D20"/>
    <w:rsid w:val="00E21E95"/>
    <w:rsid w:val="00E2467C"/>
    <w:rsid w:val="00E24B28"/>
    <w:rsid w:val="00E34BE9"/>
    <w:rsid w:val="00E3654D"/>
    <w:rsid w:val="00E42BDA"/>
    <w:rsid w:val="00E432FB"/>
    <w:rsid w:val="00E43712"/>
    <w:rsid w:val="00E47D07"/>
    <w:rsid w:val="00E50A4D"/>
    <w:rsid w:val="00E52784"/>
    <w:rsid w:val="00E5454F"/>
    <w:rsid w:val="00E54A69"/>
    <w:rsid w:val="00E5508A"/>
    <w:rsid w:val="00E55197"/>
    <w:rsid w:val="00E571A8"/>
    <w:rsid w:val="00E62BF1"/>
    <w:rsid w:val="00E63E0D"/>
    <w:rsid w:val="00E67FA7"/>
    <w:rsid w:val="00E7258E"/>
    <w:rsid w:val="00E7291E"/>
    <w:rsid w:val="00E742D4"/>
    <w:rsid w:val="00E770AD"/>
    <w:rsid w:val="00E81927"/>
    <w:rsid w:val="00E82D54"/>
    <w:rsid w:val="00E83D6E"/>
    <w:rsid w:val="00E8591B"/>
    <w:rsid w:val="00E85C35"/>
    <w:rsid w:val="00E9280C"/>
    <w:rsid w:val="00E93286"/>
    <w:rsid w:val="00E933A6"/>
    <w:rsid w:val="00E94B39"/>
    <w:rsid w:val="00E957FB"/>
    <w:rsid w:val="00EA0B28"/>
    <w:rsid w:val="00EA3404"/>
    <w:rsid w:val="00EA3AD9"/>
    <w:rsid w:val="00EA3F5E"/>
    <w:rsid w:val="00EA49E9"/>
    <w:rsid w:val="00EB0A97"/>
    <w:rsid w:val="00EC0242"/>
    <w:rsid w:val="00EC0A40"/>
    <w:rsid w:val="00EC31C4"/>
    <w:rsid w:val="00EC3701"/>
    <w:rsid w:val="00EC628A"/>
    <w:rsid w:val="00EC7B1D"/>
    <w:rsid w:val="00ED03C3"/>
    <w:rsid w:val="00ED4483"/>
    <w:rsid w:val="00ED6BC5"/>
    <w:rsid w:val="00EE088C"/>
    <w:rsid w:val="00EE184E"/>
    <w:rsid w:val="00EE1A48"/>
    <w:rsid w:val="00EE27C7"/>
    <w:rsid w:val="00EE3221"/>
    <w:rsid w:val="00EE382B"/>
    <w:rsid w:val="00EE3AB5"/>
    <w:rsid w:val="00EE66F5"/>
    <w:rsid w:val="00EE7F59"/>
    <w:rsid w:val="00EF1637"/>
    <w:rsid w:val="00EF20F8"/>
    <w:rsid w:val="00EF38F4"/>
    <w:rsid w:val="00EF6326"/>
    <w:rsid w:val="00EF63D0"/>
    <w:rsid w:val="00EF7FB6"/>
    <w:rsid w:val="00F00699"/>
    <w:rsid w:val="00F01EB1"/>
    <w:rsid w:val="00F02339"/>
    <w:rsid w:val="00F0439B"/>
    <w:rsid w:val="00F04BB5"/>
    <w:rsid w:val="00F05048"/>
    <w:rsid w:val="00F12028"/>
    <w:rsid w:val="00F12813"/>
    <w:rsid w:val="00F1395F"/>
    <w:rsid w:val="00F16C4F"/>
    <w:rsid w:val="00F234CB"/>
    <w:rsid w:val="00F24100"/>
    <w:rsid w:val="00F26CD7"/>
    <w:rsid w:val="00F26E2D"/>
    <w:rsid w:val="00F308F8"/>
    <w:rsid w:val="00F30EA8"/>
    <w:rsid w:val="00F31DD8"/>
    <w:rsid w:val="00F324F7"/>
    <w:rsid w:val="00F4044D"/>
    <w:rsid w:val="00F42E6A"/>
    <w:rsid w:val="00F431CC"/>
    <w:rsid w:val="00F440A4"/>
    <w:rsid w:val="00F44D55"/>
    <w:rsid w:val="00F50275"/>
    <w:rsid w:val="00F51773"/>
    <w:rsid w:val="00F54245"/>
    <w:rsid w:val="00F56FB4"/>
    <w:rsid w:val="00F579A8"/>
    <w:rsid w:val="00F635A3"/>
    <w:rsid w:val="00F6634A"/>
    <w:rsid w:val="00F70578"/>
    <w:rsid w:val="00F71D10"/>
    <w:rsid w:val="00F73F54"/>
    <w:rsid w:val="00F74B23"/>
    <w:rsid w:val="00F75763"/>
    <w:rsid w:val="00F75A1C"/>
    <w:rsid w:val="00F75DDA"/>
    <w:rsid w:val="00F7662F"/>
    <w:rsid w:val="00F772B6"/>
    <w:rsid w:val="00F77A54"/>
    <w:rsid w:val="00F80E3A"/>
    <w:rsid w:val="00F8307F"/>
    <w:rsid w:val="00F85356"/>
    <w:rsid w:val="00F879E6"/>
    <w:rsid w:val="00F918B9"/>
    <w:rsid w:val="00F91C1C"/>
    <w:rsid w:val="00F96535"/>
    <w:rsid w:val="00F96602"/>
    <w:rsid w:val="00F96E67"/>
    <w:rsid w:val="00FA2F13"/>
    <w:rsid w:val="00FA44B3"/>
    <w:rsid w:val="00FA6EA3"/>
    <w:rsid w:val="00FA76D2"/>
    <w:rsid w:val="00FA77E7"/>
    <w:rsid w:val="00FB50A9"/>
    <w:rsid w:val="00FB5301"/>
    <w:rsid w:val="00FB7374"/>
    <w:rsid w:val="00FC0447"/>
    <w:rsid w:val="00FC1D4B"/>
    <w:rsid w:val="00FC6D97"/>
    <w:rsid w:val="00FC73D7"/>
    <w:rsid w:val="00FD07B5"/>
    <w:rsid w:val="00FD1DBC"/>
    <w:rsid w:val="00FD4CE6"/>
    <w:rsid w:val="00FD7B60"/>
    <w:rsid w:val="00FD7FE1"/>
    <w:rsid w:val="00FE0DE3"/>
    <w:rsid w:val="00FE2EE3"/>
    <w:rsid w:val="00FE478E"/>
    <w:rsid w:val="00FE793A"/>
    <w:rsid w:val="00FF3651"/>
    <w:rsid w:val="00FF7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138C"/>
    <w:rPr>
      <w:lang w:eastAsia="en-US"/>
    </w:rPr>
  </w:style>
  <w:style w:type="paragraph" w:styleId="Heading1">
    <w:name w:val="heading 1"/>
    <w:basedOn w:val="DWHeading1"/>
    <w:next w:val="DWParaText"/>
    <w:qFormat/>
    <w:rsid w:val="00481EAB"/>
  </w:style>
  <w:style w:type="paragraph" w:styleId="Heading2">
    <w:name w:val="heading 2"/>
    <w:basedOn w:val="DWHeading2"/>
    <w:next w:val="DWParaText"/>
    <w:qFormat/>
    <w:rsid w:val="00481EAB"/>
  </w:style>
  <w:style w:type="paragraph" w:styleId="Heading3">
    <w:name w:val="heading 3"/>
    <w:basedOn w:val="DWHeading3"/>
    <w:next w:val="DWParaText"/>
    <w:qFormat/>
    <w:rsid w:val="00481EAB"/>
  </w:style>
  <w:style w:type="paragraph" w:styleId="Heading4">
    <w:name w:val="heading 4"/>
    <w:basedOn w:val="DWHeading4"/>
    <w:next w:val="DWParaText"/>
    <w:qFormat/>
    <w:rsid w:val="00481EAB"/>
  </w:style>
  <w:style w:type="paragraph" w:styleId="Heading5">
    <w:name w:val="heading 5"/>
    <w:basedOn w:val="DWHeading5"/>
    <w:next w:val="DWParaText"/>
    <w:qFormat/>
    <w:rsid w:val="00481EAB"/>
  </w:style>
  <w:style w:type="paragraph" w:styleId="Heading6">
    <w:name w:val="heading 6"/>
    <w:basedOn w:val="DWHeading6"/>
    <w:next w:val="DWParaText"/>
    <w:qFormat/>
    <w:rsid w:val="00481EAB"/>
  </w:style>
  <w:style w:type="paragraph" w:styleId="Heading7">
    <w:name w:val="heading 7"/>
    <w:basedOn w:val="DWHeading7"/>
    <w:next w:val="DWParaText"/>
    <w:qFormat/>
    <w:rsid w:val="00481EAB"/>
  </w:style>
  <w:style w:type="paragraph" w:styleId="Heading8">
    <w:name w:val="heading 8"/>
    <w:basedOn w:val="DWHeading8"/>
    <w:next w:val="DWParaText"/>
    <w:qFormat/>
    <w:rsid w:val="00481EAB"/>
  </w:style>
  <w:style w:type="paragraph" w:styleId="Heading9">
    <w:name w:val="heading 9"/>
    <w:basedOn w:val="DWHeading9"/>
    <w:next w:val="DWParaText"/>
    <w:qFormat/>
    <w:rsid w:val="00481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Heading1">
    <w:name w:val="DW$_Heading 1"/>
    <w:basedOn w:val="DWParaText"/>
    <w:next w:val="DWParaText"/>
    <w:rsid w:val="00481EAB"/>
    <w:pPr>
      <w:keepNext/>
      <w:pageBreakBefore/>
      <w:tabs>
        <w:tab w:val="left" w:pos="1418"/>
        <w:tab w:val="right" w:pos="9072"/>
      </w:tabs>
      <w:spacing w:before="0"/>
      <w:ind w:left="0"/>
      <w:outlineLvl w:val="0"/>
    </w:pPr>
    <w:rPr>
      <w:b/>
      <w:caps/>
      <w:kern w:val="28"/>
      <w:sz w:val="24"/>
    </w:rPr>
  </w:style>
  <w:style w:type="paragraph" w:customStyle="1" w:styleId="DWParaText">
    <w:name w:val="DW$_Para Text"/>
    <w:rsid w:val="00481EAB"/>
    <w:pPr>
      <w:keepLines/>
      <w:suppressAutoHyphens/>
      <w:spacing w:before="240"/>
      <w:ind w:left="1418"/>
    </w:pPr>
    <w:rPr>
      <w:sz w:val="22"/>
      <w:lang w:eastAsia="en-US"/>
    </w:rPr>
  </w:style>
  <w:style w:type="paragraph" w:customStyle="1" w:styleId="DWHeading2">
    <w:name w:val="DW$_Heading 2"/>
    <w:basedOn w:val="DWHeading1"/>
    <w:next w:val="DWParaText"/>
    <w:rsid w:val="00481EAB"/>
    <w:pPr>
      <w:pageBreakBefore w:val="0"/>
      <w:spacing w:before="240"/>
      <w:outlineLvl w:val="1"/>
    </w:pPr>
    <w:rPr>
      <w:caps w:val="0"/>
    </w:rPr>
  </w:style>
  <w:style w:type="paragraph" w:customStyle="1" w:styleId="DWHeading3">
    <w:name w:val="DW$_Heading 3"/>
    <w:basedOn w:val="DWHeading2"/>
    <w:next w:val="DWParaText"/>
    <w:rsid w:val="00481EAB"/>
    <w:pPr>
      <w:outlineLvl w:val="2"/>
    </w:pPr>
  </w:style>
  <w:style w:type="paragraph" w:customStyle="1" w:styleId="DWHeading4">
    <w:name w:val="DW$_Heading 4"/>
    <w:basedOn w:val="DWHeading2"/>
    <w:next w:val="DWParaText"/>
    <w:rsid w:val="00481EAB"/>
    <w:pPr>
      <w:outlineLvl w:val="3"/>
    </w:pPr>
  </w:style>
  <w:style w:type="paragraph" w:customStyle="1" w:styleId="DWHeading5">
    <w:name w:val="DW$_Heading 5"/>
    <w:basedOn w:val="DWHeading2"/>
    <w:next w:val="DWParaText"/>
    <w:rsid w:val="00481EAB"/>
    <w:pPr>
      <w:outlineLvl w:val="4"/>
    </w:pPr>
  </w:style>
  <w:style w:type="paragraph" w:customStyle="1" w:styleId="DWHeading6">
    <w:name w:val="DW$_Heading 6"/>
    <w:basedOn w:val="DWHeading2"/>
    <w:next w:val="DWParaText"/>
    <w:rsid w:val="00481EAB"/>
    <w:pPr>
      <w:outlineLvl w:val="5"/>
    </w:pPr>
  </w:style>
  <w:style w:type="paragraph" w:customStyle="1" w:styleId="DWHeading7">
    <w:name w:val="DW$_Heading 7"/>
    <w:basedOn w:val="DWHeading2"/>
    <w:next w:val="DWParaText"/>
    <w:rsid w:val="00481EAB"/>
    <w:pPr>
      <w:outlineLvl w:val="6"/>
    </w:pPr>
  </w:style>
  <w:style w:type="paragraph" w:customStyle="1" w:styleId="DWHeading8">
    <w:name w:val="DW$_Heading 8"/>
    <w:basedOn w:val="DWHeading2"/>
    <w:next w:val="DWParaText"/>
    <w:rsid w:val="00481EAB"/>
    <w:pPr>
      <w:outlineLvl w:val="7"/>
    </w:pPr>
  </w:style>
  <w:style w:type="paragraph" w:customStyle="1" w:styleId="DWHeading9">
    <w:name w:val="DW$_Heading 9"/>
    <w:basedOn w:val="DWHeading2"/>
    <w:next w:val="DWParaText"/>
    <w:rsid w:val="00481EAB"/>
    <w:pPr>
      <w:outlineLvl w:val="8"/>
    </w:pPr>
  </w:style>
  <w:style w:type="paragraph" w:styleId="TOC1">
    <w:name w:val="toc 1"/>
    <w:basedOn w:val="DWTOC1"/>
    <w:next w:val="DWTOC1"/>
    <w:uiPriority w:val="39"/>
    <w:rsid w:val="00481EAB"/>
    <w:pPr>
      <w:tabs>
        <w:tab w:val="clear" w:pos="9213"/>
        <w:tab w:val="right" w:leader="dot" w:pos="9214"/>
      </w:tabs>
    </w:pPr>
  </w:style>
  <w:style w:type="paragraph" w:customStyle="1" w:styleId="DWTOC1">
    <w:name w:val="DW$_TOC 1"/>
    <w:basedOn w:val="DWParaText"/>
    <w:rsid w:val="00481EAB"/>
    <w:pPr>
      <w:keepNext/>
      <w:tabs>
        <w:tab w:val="left" w:pos="1134"/>
        <w:tab w:val="right" w:leader="dot" w:pos="9213"/>
      </w:tabs>
      <w:spacing w:before="120"/>
      <w:ind w:left="1134" w:hanging="1134"/>
    </w:pPr>
    <w:rPr>
      <w:b/>
      <w:caps/>
    </w:rPr>
  </w:style>
  <w:style w:type="paragraph" w:styleId="TOC2">
    <w:name w:val="toc 2"/>
    <w:basedOn w:val="DWTOC2"/>
    <w:next w:val="DWTOC2"/>
    <w:uiPriority w:val="39"/>
    <w:rsid w:val="00481EAB"/>
    <w:pPr>
      <w:tabs>
        <w:tab w:val="clear" w:pos="1417"/>
        <w:tab w:val="clear" w:pos="9213"/>
        <w:tab w:val="left" w:pos="1418"/>
        <w:tab w:val="right" w:leader="dot" w:pos="9214"/>
      </w:tabs>
    </w:pPr>
  </w:style>
  <w:style w:type="paragraph" w:customStyle="1" w:styleId="DWTOC2">
    <w:name w:val="DW$_TOC 2"/>
    <w:basedOn w:val="DWTOC1"/>
    <w:rsid w:val="00481EAB"/>
    <w:pPr>
      <w:keepNext w:val="0"/>
      <w:tabs>
        <w:tab w:val="clear" w:pos="1134"/>
        <w:tab w:val="left" w:pos="1417"/>
      </w:tabs>
      <w:spacing w:before="0"/>
      <w:ind w:left="1418" w:hanging="1418"/>
    </w:pPr>
    <w:rPr>
      <w:b w:val="0"/>
      <w:caps w:val="0"/>
    </w:rPr>
  </w:style>
  <w:style w:type="paragraph" w:styleId="TOC3">
    <w:name w:val="toc 3"/>
    <w:basedOn w:val="DWTOC3"/>
    <w:next w:val="DWTOC3"/>
    <w:uiPriority w:val="39"/>
    <w:rsid w:val="00481EAB"/>
  </w:style>
  <w:style w:type="paragraph" w:customStyle="1" w:styleId="DWTOC3">
    <w:name w:val="DW$_TOC 3"/>
    <w:basedOn w:val="DWTOC2"/>
    <w:rsid w:val="00481EAB"/>
    <w:pPr>
      <w:tabs>
        <w:tab w:val="clear" w:pos="1417"/>
        <w:tab w:val="left" w:pos="1701"/>
      </w:tabs>
      <w:ind w:left="1701" w:hanging="1701"/>
    </w:pPr>
  </w:style>
  <w:style w:type="paragraph" w:styleId="TableofFigures">
    <w:name w:val="table of figures"/>
    <w:basedOn w:val="Normal"/>
    <w:next w:val="Normal"/>
    <w:uiPriority w:val="99"/>
    <w:rsid w:val="00481EAB"/>
    <w:pPr>
      <w:tabs>
        <w:tab w:val="right" w:leader="dot" w:pos="9214"/>
      </w:tabs>
      <w:spacing w:before="120"/>
    </w:pPr>
  </w:style>
  <w:style w:type="paragraph" w:customStyle="1" w:styleId="DWAppHeading7">
    <w:name w:val="DW$_App Heading 7"/>
    <w:basedOn w:val="DWAppHeading6"/>
    <w:next w:val="DWAppParaText"/>
    <w:rsid w:val="00481EAB"/>
    <w:pPr>
      <w:outlineLvl w:val="6"/>
    </w:pPr>
  </w:style>
  <w:style w:type="paragraph" w:customStyle="1" w:styleId="DWAppHeading6">
    <w:name w:val="DW$_App Heading 6"/>
    <w:basedOn w:val="DWAppHeading5"/>
    <w:next w:val="DWAppParaText"/>
    <w:rsid w:val="00481EAB"/>
    <w:pPr>
      <w:outlineLvl w:val="5"/>
    </w:pPr>
  </w:style>
  <w:style w:type="paragraph" w:customStyle="1" w:styleId="DWAppHeading5">
    <w:name w:val="DW$_App Heading 5"/>
    <w:basedOn w:val="DWAppHeading4"/>
    <w:next w:val="DWAppParaText"/>
    <w:rsid w:val="00481EAB"/>
    <w:pPr>
      <w:outlineLvl w:val="4"/>
    </w:pPr>
  </w:style>
  <w:style w:type="paragraph" w:customStyle="1" w:styleId="DWAppHeading4">
    <w:name w:val="DW$_App Heading 4"/>
    <w:basedOn w:val="DWAppHeading3"/>
    <w:next w:val="DWAppParaText"/>
    <w:rsid w:val="00481EAB"/>
    <w:pPr>
      <w:outlineLvl w:val="3"/>
    </w:pPr>
  </w:style>
  <w:style w:type="paragraph" w:customStyle="1" w:styleId="DWAppHeading3">
    <w:name w:val="DW$_App Heading 3"/>
    <w:basedOn w:val="DWAppHeading2"/>
    <w:next w:val="DWAppParaText"/>
    <w:rsid w:val="00481EAB"/>
    <w:pPr>
      <w:outlineLvl w:val="2"/>
    </w:pPr>
  </w:style>
  <w:style w:type="paragraph" w:customStyle="1" w:styleId="DWAppHeading2">
    <w:name w:val="DW$_App Heading 2"/>
    <w:basedOn w:val="DWAppHeading1"/>
    <w:next w:val="DWAppParaText"/>
    <w:rsid w:val="00481EAB"/>
    <w:pPr>
      <w:pageBreakBefore w:val="0"/>
      <w:spacing w:before="240"/>
      <w:outlineLvl w:val="1"/>
    </w:pPr>
    <w:rPr>
      <w:caps w:val="0"/>
    </w:rPr>
  </w:style>
  <w:style w:type="paragraph" w:customStyle="1" w:styleId="DWAppHeading1">
    <w:name w:val="DW$_App Heading 1"/>
    <w:basedOn w:val="DWHeading1"/>
    <w:next w:val="DWAppParaText"/>
    <w:rsid w:val="00481EAB"/>
  </w:style>
  <w:style w:type="paragraph" w:customStyle="1" w:styleId="DWAppParaText">
    <w:name w:val="DW$_App Para Text"/>
    <w:basedOn w:val="DWParaText"/>
    <w:rsid w:val="00481EAB"/>
  </w:style>
  <w:style w:type="paragraph" w:styleId="BodyTextIndent">
    <w:name w:val="Body Text Indent"/>
    <w:basedOn w:val="Normal"/>
    <w:rsid w:val="00481EAB"/>
    <w:pPr>
      <w:spacing w:after="120"/>
      <w:ind w:left="283"/>
    </w:pPr>
  </w:style>
  <w:style w:type="paragraph" w:styleId="TOC4">
    <w:name w:val="toc 4"/>
    <w:basedOn w:val="DWTOC4"/>
    <w:next w:val="DWTOC4"/>
    <w:semiHidden/>
    <w:rsid w:val="00481EAB"/>
    <w:pPr>
      <w:tabs>
        <w:tab w:val="clear" w:pos="1984"/>
        <w:tab w:val="left" w:pos="1985"/>
      </w:tabs>
    </w:pPr>
  </w:style>
  <w:style w:type="paragraph" w:customStyle="1" w:styleId="DWTOC4">
    <w:name w:val="DW$_TOC 4"/>
    <w:basedOn w:val="DWTOC2"/>
    <w:rsid w:val="00481EAB"/>
    <w:pPr>
      <w:tabs>
        <w:tab w:val="clear" w:pos="1417"/>
        <w:tab w:val="left" w:pos="1984"/>
      </w:tabs>
      <w:ind w:left="1985" w:hanging="1985"/>
    </w:pPr>
  </w:style>
  <w:style w:type="paragraph" w:styleId="TOC5">
    <w:name w:val="toc 5"/>
    <w:basedOn w:val="DWTOC5"/>
    <w:next w:val="DWTOC5"/>
    <w:semiHidden/>
    <w:rsid w:val="00481EAB"/>
  </w:style>
  <w:style w:type="paragraph" w:customStyle="1" w:styleId="DWTOC5">
    <w:name w:val="DW$_TOC 5"/>
    <w:basedOn w:val="DWTOC2"/>
    <w:rsid w:val="00481EAB"/>
    <w:pPr>
      <w:tabs>
        <w:tab w:val="clear" w:pos="1417"/>
        <w:tab w:val="left" w:pos="2268"/>
      </w:tabs>
      <w:ind w:left="2268" w:hanging="2268"/>
    </w:pPr>
  </w:style>
  <w:style w:type="paragraph" w:styleId="TOC6">
    <w:name w:val="toc 6"/>
    <w:basedOn w:val="DWTOC6"/>
    <w:next w:val="DWTOC6"/>
    <w:semiHidden/>
    <w:rsid w:val="00481EAB"/>
  </w:style>
  <w:style w:type="paragraph" w:customStyle="1" w:styleId="DWTOC6">
    <w:name w:val="DW$_TOC 6"/>
    <w:basedOn w:val="DWTOC2"/>
    <w:rsid w:val="00481EAB"/>
    <w:pPr>
      <w:tabs>
        <w:tab w:val="clear" w:pos="1417"/>
        <w:tab w:val="left" w:pos="2552"/>
      </w:tabs>
      <w:ind w:left="2552" w:hanging="2552"/>
    </w:pPr>
  </w:style>
  <w:style w:type="paragraph" w:styleId="TOC7">
    <w:name w:val="toc 7"/>
    <w:basedOn w:val="DWTOC7"/>
    <w:next w:val="DWTOC7"/>
    <w:semiHidden/>
    <w:rsid w:val="00481EAB"/>
  </w:style>
  <w:style w:type="paragraph" w:customStyle="1" w:styleId="DWTOC7">
    <w:name w:val="DW$_TOC 7"/>
    <w:basedOn w:val="DWTOC2"/>
    <w:rsid w:val="00481EAB"/>
    <w:pPr>
      <w:tabs>
        <w:tab w:val="clear" w:pos="1417"/>
        <w:tab w:val="left" w:pos="2835"/>
      </w:tabs>
      <w:ind w:left="2835" w:hanging="2835"/>
    </w:pPr>
  </w:style>
  <w:style w:type="paragraph" w:styleId="TOC8">
    <w:name w:val="toc 8"/>
    <w:basedOn w:val="DWTOC8"/>
    <w:next w:val="DWTOC8"/>
    <w:semiHidden/>
    <w:rsid w:val="00481EAB"/>
  </w:style>
  <w:style w:type="paragraph" w:customStyle="1" w:styleId="DWTOC8">
    <w:name w:val="DW$_TOC 8"/>
    <w:basedOn w:val="DWTOC2"/>
    <w:rsid w:val="00481EAB"/>
    <w:pPr>
      <w:tabs>
        <w:tab w:val="clear" w:pos="1417"/>
        <w:tab w:val="left" w:pos="3119"/>
      </w:tabs>
      <w:ind w:left="3119" w:hanging="3119"/>
    </w:pPr>
  </w:style>
  <w:style w:type="paragraph" w:styleId="TOC9">
    <w:name w:val="toc 9"/>
    <w:basedOn w:val="DWTOC9"/>
    <w:next w:val="DWTOC9"/>
    <w:semiHidden/>
    <w:rsid w:val="00481EAB"/>
  </w:style>
  <w:style w:type="paragraph" w:customStyle="1" w:styleId="DWTOC9">
    <w:name w:val="DW$_TOC 9"/>
    <w:basedOn w:val="DWTOC2"/>
    <w:rsid w:val="00481EAB"/>
    <w:pPr>
      <w:tabs>
        <w:tab w:val="clear" w:pos="1417"/>
        <w:tab w:val="left" w:pos="3402"/>
      </w:tabs>
      <w:ind w:left="3402" w:hanging="3402"/>
    </w:pPr>
  </w:style>
  <w:style w:type="paragraph" w:styleId="Caption">
    <w:name w:val="caption"/>
    <w:basedOn w:val="Normal"/>
    <w:next w:val="Normal"/>
    <w:qFormat/>
    <w:rsid w:val="00481EAB"/>
    <w:pPr>
      <w:suppressAutoHyphens/>
      <w:spacing w:before="120"/>
      <w:ind w:left="1418"/>
      <w:jc w:val="center"/>
    </w:pPr>
    <w:rPr>
      <w:b/>
      <w:sz w:val="24"/>
    </w:rPr>
  </w:style>
  <w:style w:type="paragraph" w:styleId="FootnoteText">
    <w:name w:val="footnote text"/>
    <w:semiHidden/>
    <w:rsid w:val="00481EAB"/>
    <w:pPr>
      <w:framePr w:hSpace="181" w:vSpace="181" w:wrap="notBeside" w:vAnchor="text" w:hAnchor="text" w:y="1"/>
    </w:pPr>
    <w:rPr>
      <w:noProof/>
      <w:sz w:val="16"/>
      <w:lang w:val="en-US" w:eastAsia="en-US"/>
    </w:rPr>
  </w:style>
  <w:style w:type="paragraph" w:styleId="Footer">
    <w:name w:val="footer"/>
    <w:basedOn w:val="Normal"/>
    <w:rsid w:val="00481EAB"/>
    <w:pPr>
      <w:jc w:val="center"/>
    </w:pPr>
    <w:rPr>
      <w:sz w:val="16"/>
    </w:rPr>
  </w:style>
  <w:style w:type="paragraph" w:styleId="Header">
    <w:name w:val="header"/>
    <w:basedOn w:val="Normal"/>
    <w:rsid w:val="00481EAB"/>
    <w:pPr>
      <w:tabs>
        <w:tab w:val="center" w:pos="4153"/>
        <w:tab w:val="right" w:pos="8306"/>
      </w:tabs>
      <w:jc w:val="center"/>
    </w:pPr>
  </w:style>
  <w:style w:type="paragraph" w:styleId="DocumentMap">
    <w:name w:val="Document Map"/>
    <w:basedOn w:val="DWDocumentMap"/>
    <w:next w:val="DWDocumentMap"/>
    <w:semiHidden/>
    <w:rsid w:val="00481EAB"/>
    <w:pPr>
      <w:framePr w:wrap="notBeside"/>
    </w:pPr>
  </w:style>
  <w:style w:type="paragraph" w:customStyle="1" w:styleId="DWDocumentMap">
    <w:name w:val="DW$_Document Map"/>
    <w:rsid w:val="00481EAB"/>
    <w:pPr>
      <w:framePr w:hSpace="181" w:vSpace="181" w:wrap="notBeside" w:vAnchor="text" w:hAnchor="text" w:y="1"/>
      <w:shd w:val="clear" w:color="auto" w:fill="000080"/>
    </w:pPr>
    <w:rPr>
      <w:rFonts w:ascii="Arial" w:hAnsi="Arial"/>
      <w:noProof/>
      <w:sz w:val="16"/>
      <w:lang w:val="en-US" w:eastAsia="en-US"/>
    </w:rPr>
  </w:style>
  <w:style w:type="paragraph" w:styleId="TableofAuthorities">
    <w:name w:val="table of authorities"/>
    <w:basedOn w:val="Normal"/>
    <w:next w:val="Normal"/>
    <w:semiHidden/>
    <w:rsid w:val="00481EAB"/>
  </w:style>
  <w:style w:type="paragraph" w:styleId="TOAHeading">
    <w:name w:val="toa heading"/>
    <w:basedOn w:val="Normal"/>
    <w:next w:val="Normal"/>
    <w:semiHidden/>
    <w:rsid w:val="00481EAB"/>
    <w:pPr>
      <w:spacing w:before="120"/>
    </w:pPr>
    <w:rPr>
      <w:rFonts w:ascii="Arial" w:hAnsi="Arial"/>
      <w:b/>
      <w:sz w:val="24"/>
    </w:rPr>
  </w:style>
  <w:style w:type="character" w:styleId="FootnoteReference">
    <w:name w:val="footnote reference"/>
    <w:basedOn w:val="DefaultParagraphFont"/>
    <w:semiHidden/>
    <w:rsid w:val="00481EAB"/>
    <w:rPr>
      <w:vertAlign w:val="superscript"/>
    </w:rPr>
  </w:style>
  <w:style w:type="paragraph" w:styleId="Index1">
    <w:name w:val="index 1"/>
    <w:basedOn w:val="Normal"/>
    <w:next w:val="Normal"/>
    <w:semiHidden/>
    <w:rsid w:val="00481EAB"/>
    <w:pPr>
      <w:ind w:left="200" w:hanging="200"/>
    </w:pPr>
  </w:style>
  <w:style w:type="paragraph" w:customStyle="1" w:styleId="DWApprovalLabel">
    <w:name w:val="DW$_Approval Label"/>
    <w:basedOn w:val="DWParaText"/>
    <w:rsid w:val="00481EAB"/>
    <w:pPr>
      <w:keepNext/>
      <w:spacing w:before="60" w:after="60"/>
      <w:ind w:left="0"/>
      <w:jc w:val="right"/>
    </w:pPr>
  </w:style>
  <w:style w:type="paragraph" w:customStyle="1" w:styleId="DWAuthorisation">
    <w:name w:val="DW$_Authorisation"/>
    <w:basedOn w:val="DWParaText"/>
    <w:rsid w:val="00481EAB"/>
    <w:pPr>
      <w:spacing w:before="60" w:after="60"/>
      <w:ind w:left="0"/>
    </w:pPr>
  </w:style>
  <w:style w:type="paragraph" w:customStyle="1" w:styleId="DWBullet">
    <w:name w:val="DW$_Bullet"/>
    <w:basedOn w:val="DWParaText"/>
    <w:rsid w:val="00481EAB"/>
    <w:pPr>
      <w:spacing w:before="120"/>
      <w:ind w:left="567" w:hanging="567"/>
    </w:pPr>
  </w:style>
  <w:style w:type="paragraph" w:customStyle="1" w:styleId="DWCopyRight">
    <w:name w:val="DW$_CopyRight"/>
    <w:basedOn w:val="DWParaText"/>
    <w:rsid w:val="00481EAB"/>
    <w:pPr>
      <w:framePr w:wrap="around" w:vAnchor="page" w:hAnchor="page" w:x="433" w:y="11809"/>
      <w:spacing w:before="120" w:after="120"/>
      <w:ind w:left="0"/>
      <w:jc w:val="center"/>
    </w:pPr>
  </w:style>
  <w:style w:type="paragraph" w:customStyle="1" w:styleId="DWFigureCaption">
    <w:name w:val="DW$_Figure Caption"/>
    <w:basedOn w:val="DWParaText"/>
    <w:next w:val="DWParaText"/>
    <w:rsid w:val="00481EAB"/>
    <w:pPr>
      <w:spacing w:before="120"/>
      <w:ind w:left="2552" w:hanging="1134"/>
      <w:jc w:val="center"/>
    </w:pPr>
    <w:rPr>
      <w:b/>
    </w:rPr>
  </w:style>
  <w:style w:type="paragraph" w:customStyle="1" w:styleId="DWHF10">
    <w:name w:val="DW$_H&amp;F 10"/>
    <w:basedOn w:val="DWParaText"/>
    <w:rsid w:val="00481EAB"/>
    <w:pPr>
      <w:spacing w:before="40" w:after="40"/>
      <w:ind w:left="0"/>
      <w:jc w:val="center"/>
    </w:pPr>
    <w:rPr>
      <w:sz w:val="20"/>
    </w:rPr>
  </w:style>
  <w:style w:type="paragraph" w:customStyle="1" w:styleId="DWHF8">
    <w:name w:val="DW$_H&amp;F 8"/>
    <w:basedOn w:val="DWParaText"/>
    <w:rsid w:val="00481EAB"/>
    <w:pPr>
      <w:spacing w:before="40" w:after="40"/>
      <w:ind w:left="0"/>
    </w:pPr>
    <w:rPr>
      <w:sz w:val="16"/>
    </w:rPr>
  </w:style>
  <w:style w:type="paragraph" w:customStyle="1" w:styleId="DWHFPrivacy">
    <w:name w:val="DW$_H&amp;F Privacy"/>
    <w:basedOn w:val="DWParaText"/>
    <w:rsid w:val="00481EAB"/>
    <w:pPr>
      <w:spacing w:before="40"/>
      <w:ind w:left="0"/>
      <w:jc w:val="center"/>
    </w:pPr>
    <w:rPr>
      <w:b/>
      <w:caps/>
    </w:rPr>
  </w:style>
  <w:style w:type="paragraph" w:customStyle="1" w:styleId="DWHFSecurity">
    <w:name w:val="DW$_H&amp;F Security"/>
    <w:basedOn w:val="DWParaText"/>
    <w:rsid w:val="00481EAB"/>
    <w:pPr>
      <w:spacing w:before="0"/>
      <w:ind w:left="0"/>
      <w:jc w:val="center"/>
    </w:pPr>
    <w:rPr>
      <w:b/>
      <w:caps/>
      <w:sz w:val="28"/>
    </w:rPr>
  </w:style>
  <w:style w:type="paragraph" w:customStyle="1" w:styleId="DWHFStatus">
    <w:name w:val="DW$_H&amp;F Status"/>
    <w:basedOn w:val="DWParaText"/>
    <w:rsid w:val="00481EAB"/>
    <w:pPr>
      <w:spacing w:before="120"/>
      <w:ind w:left="0"/>
      <w:jc w:val="right"/>
    </w:pPr>
    <w:rPr>
      <w:b/>
      <w:caps/>
    </w:rPr>
  </w:style>
  <w:style w:type="paragraph" w:customStyle="1" w:styleId="DWListDash">
    <w:name w:val="DW$_List Dash"/>
    <w:basedOn w:val="DWBullet"/>
    <w:rsid w:val="00481EAB"/>
    <w:pPr>
      <w:tabs>
        <w:tab w:val="num" w:pos="2552"/>
      </w:tabs>
      <w:ind w:left="2552"/>
    </w:pPr>
  </w:style>
  <w:style w:type="paragraph" w:customStyle="1" w:styleId="DWTableText">
    <w:name w:val="DW$_Table Text"/>
    <w:basedOn w:val="DWParaText"/>
    <w:rsid w:val="00481EAB"/>
    <w:pPr>
      <w:spacing w:before="60" w:after="60"/>
      <w:ind w:left="0"/>
    </w:pPr>
    <w:rPr>
      <w:sz w:val="20"/>
    </w:rPr>
  </w:style>
  <w:style w:type="paragraph" w:customStyle="1" w:styleId="DWReferenceNumber">
    <w:name w:val="DW$_Reference Number"/>
    <w:basedOn w:val="DWTableText"/>
    <w:rsid w:val="00481EAB"/>
    <w:pPr>
      <w:jc w:val="center"/>
    </w:pPr>
    <w:rPr>
      <w:sz w:val="16"/>
    </w:rPr>
  </w:style>
  <w:style w:type="paragraph" w:customStyle="1" w:styleId="DWSubNumber">
    <w:name w:val="DW$_SubNumber"/>
    <w:basedOn w:val="DWParaText"/>
    <w:rsid w:val="00481EAB"/>
    <w:pPr>
      <w:tabs>
        <w:tab w:val="left" w:pos="1985"/>
      </w:tabs>
      <w:spacing w:before="120"/>
      <w:ind w:left="1985" w:hanging="567"/>
    </w:pPr>
  </w:style>
  <w:style w:type="paragraph" w:customStyle="1" w:styleId="DWTableCaption">
    <w:name w:val="DW$_Table Caption"/>
    <w:basedOn w:val="DWParaText"/>
    <w:next w:val="DWParaText"/>
    <w:rsid w:val="00481EAB"/>
    <w:pPr>
      <w:keepNext/>
      <w:spacing w:after="120"/>
      <w:ind w:left="2552" w:hanging="1134"/>
      <w:jc w:val="center"/>
    </w:pPr>
    <w:rPr>
      <w:b/>
    </w:rPr>
  </w:style>
  <w:style w:type="paragraph" w:customStyle="1" w:styleId="DWTableHeading">
    <w:name w:val="DW$_Table Heading"/>
    <w:basedOn w:val="DWTableText"/>
    <w:rsid w:val="00481EAB"/>
    <w:pPr>
      <w:keepNext/>
      <w:pBdr>
        <w:top w:val="single" w:sz="2" w:space="1" w:color="auto"/>
        <w:left w:val="single" w:sz="2" w:space="4" w:color="auto"/>
        <w:bottom w:val="single" w:sz="2" w:space="1" w:color="auto"/>
        <w:right w:val="single" w:sz="2" w:space="4" w:color="auto"/>
      </w:pBdr>
      <w:shd w:val="pct15" w:color="auto" w:fill="FFFFFF"/>
    </w:pPr>
    <w:rPr>
      <w:b/>
    </w:rPr>
  </w:style>
  <w:style w:type="paragraph" w:customStyle="1" w:styleId="DWTableofFigures">
    <w:name w:val="DW$_Table of Figures"/>
    <w:basedOn w:val="DWParaText"/>
    <w:next w:val="Normal"/>
    <w:rsid w:val="00481EAB"/>
    <w:pPr>
      <w:tabs>
        <w:tab w:val="left" w:pos="1134"/>
        <w:tab w:val="right" w:leader="dot" w:pos="9213"/>
      </w:tabs>
      <w:spacing w:before="120"/>
      <w:ind w:left="1134" w:hanging="1134"/>
    </w:pPr>
  </w:style>
  <w:style w:type="paragraph" w:customStyle="1" w:styleId="DWTOCHeading">
    <w:name w:val="DW$_TOC Heading"/>
    <w:basedOn w:val="DWParaText"/>
    <w:next w:val="Normal"/>
    <w:rsid w:val="00481EAB"/>
    <w:pPr>
      <w:keepNext/>
      <w:tabs>
        <w:tab w:val="right" w:pos="9356"/>
      </w:tabs>
      <w:spacing w:before="0" w:after="240"/>
      <w:ind w:left="0"/>
      <w:jc w:val="center"/>
      <w:outlineLvl w:val="0"/>
    </w:pPr>
    <w:rPr>
      <w:b/>
      <w:sz w:val="28"/>
    </w:rPr>
  </w:style>
  <w:style w:type="paragraph" w:customStyle="1" w:styleId="DWTOCSubHeading">
    <w:name w:val="DW$_TOC SubHeading"/>
    <w:basedOn w:val="DWParaText"/>
    <w:rsid w:val="00481EAB"/>
    <w:pPr>
      <w:keepNext/>
      <w:tabs>
        <w:tab w:val="left" w:pos="8789"/>
      </w:tabs>
      <w:spacing w:after="120"/>
      <w:ind w:left="0"/>
    </w:pPr>
    <w:rPr>
      <w:b/>
      <w:sz w:val="24"/>
    </w:rPr>
  </w:style>
  <w:style w:type="paragraph" w:customStyle="1" w:styleId="DWAppHeading8">
    <w:name w:val="DW$_App Heading 8"/>
    <w:basedOn w:val="DWAppHeading7"/>
    <w:next w:val="DWAppParaText"/>
    <w:rsid w:val="00481EAB"/>
    <w:pPr>
      <w:outlineLvl w:val="7"/>
    </w:pPr>
  </w:style>
  <w:style w:type="paragraph" w:customStyle="1" w:styleId="DWAppHeading9">
    <w:name w:val="DW$_App Heading 9"/>
    <w:basedOn w:val="DWAppHeading8"/>
    <w:next w:val="DWAppParaText"/>
    <w:rsid w:val="00481EAB"/>
    <w:pPr>
      <w:outlineLvl w:val="8"/>
    </w:pPr>
  </w:style>
  <w:style w:type="paragraph" w:customStyle="1" w:styleId="DWSpace3">
    <w:name w:val="DW$_Space 3"/>
    <w:basedOn w:val="DWParaText"/>
    <w:next w:val="DWParaText"/>
    <w:rsid w:val="00481EAB"/>
    <w:pPr>
      <w:spacing w:before="60"/>
    </w:pPr>
    <w:rPr>
      <w:sz w:val="16"/>
    </w:rPr>
  </w:style>
  <w:style w:type="paragraph" w:customStyle="1" w:styleId="DWSpace6">
    <w:name w:val="DW$_Space 6"/>
    <w:basedOn w:val="DWParaText"/>
    <w:next w:val="DWParaText"/>
    <w:rsid w:val="00481EAB"/>
    <w:pPr>
      <w:spacing w:before="120"/>
    </w:pPr>
    <w:rPr>
      <w:sz w:val="16"/>
    </w:rPr>
  </w:style>
  <w:style w:type="paragraph" w:customStyle="1" w:styleId="DWTitleCentre14">
    <w:name w:val="DW$_Title Centre 14"/>
    <w:basedOn w:val="DWParaText"/>
    <w:rsid w:val="00481EAB"/>
    <w:pPr>
      <w:keepNext/>
      <w:ind w:left="0"/>
      <w:jc w:val="center"/>
    </w:pPr>
    <w:rPr>
      <w:b/>
      <w:sz w:val="28"/>
    </w:rPr>
  </w:style>
  <w:style w:type="paragraph" w:customStyle="1" w:styleId="DWTitleCentre16">
    <w:name w:val="DW$_Title Centre 16"/>
    <w:basedOn w:val="DWParaText"/>
    <w:rsid w:val="00481EAB"/>
    <w:pPr>
      <w:keepNext/>
      <w:ind w:left="0"/>
      <w:jc w:val="center"/>
    </w:pPr>
    <w:rPr>
      <w:b/>
      <w:sz w:val="32"/>
    </w:rPr>
  </w:style>
  <w:style w:type="paragraph" w:customStyle="1" w:styleId="DWTitleCentre8">
    <w:name w:val="DW$_Title Centre 8"/>
    <w:basedOn w:val="DWParaText"/>
    <w:rsid w:val="00481EAB"/>
    <w:pPr>
      <w:keepNext/>
      <w:spacing w:before="120"/>
      <w:ind w:left="0"/>
      <w:jc w:val="center"/>
    </w:pPr>
    <w:rPr>
      <w:b/>
      <w:sz w:val="16"/>
    </w:rPr>
  </w:style>
  <w:style w:type="paragraph" w:customStyle="1" w:styleId="DWGraphic">
    <w:name w:val="DW$_Graphic"/>
    <w:basedOn w:val="DWParaText"/>
    <w:rsid w:val="00481EAB"/>
    <w:pPr>
      <w:jc w:val="center"/>
    </w:pPr>
  </w:style>
  <w:style w:type="character" w:customStyle="1" w:styleId="DWHyperLink">
    <w:name w:val="DW$_HyperLink"/>
    <w:basedOn w:val="DefaultParagraphFont"/>
    <w:rsid w:val="00481EAB"/>
    <w:rPr>
      <w:color w:val="0000FF"/>
      <w:u w:val="single"/>
    </w:rPr>
  </w:style>
  <w:style w:type="paragraph" w:styleId="BlockText">
    <w:name w:val="Block Text"/>
    <w:basedOn w:val="Normal"/>
    <w:rsid w:val="00481EAB"/>
    <w:pPr>
      <w:spacing w:after="120"/>
      <w:ind w:left="1440" w:right="1440"/>
    </w:pPr>
  </w:style>
  <w:style w:type="paragraph" w:styleId="List">
    <w:name w:val="List"/>
    <w:basedOn w:val="Normal"/>
    <w:rsid w:val="00481EAB"/>
    <w:pPr>
      <w:ind w:left="283" w:hanging="283"/>
    </w:pPr>
  </w:style>
  <w:style w:type="paragraph" w:styleId="List2">
    <w:name w:val="List 2"/>
    <w:basedOn w:val="Normal"/>
    <w:rsid w:val="00481EAB"/>
    <w:pPr>
      <w:ind w:left="566" w:hanging="283"/>
    </w:pPr>
  </w:style>
  <w:style w:type="paragraph" w:styleId="ListBullet2">
    <w:name w:val="List Bullet 2"/>
    <w:basedOn w:val="Normal"/>
    <w:rsid w:val="00481EAB"/>
    <w:pPr>
      <w:numPr>
        <w:numId w:val="4"/>
      </w:numPr>
    </w:pPr>
  </w:style>
  <w:style w:type="paragraph" w:styleId="ListNumber2">
    <w:name w:val="List Number 2"/>
    <w:basedOn w:val="Normal"/>
    <w:rsid w:val="00481EAB"/>
    <w:pPr>
      <w:numPr>
        <w:numId w:val="2"/>
      </w:numPr>
    </w:pPr>
  </w:style>
  <w:style w:type="paragraph" w:styleId="MacroText">
    <w:name w:val="macro"/>
    <w:semiHidden/>
    <w:rsid w:val="00481EAB"/>
    <w:pPr>
      <w:framePr w:hSpace="181" w:vSpace="181" w:wrap="notBeside" w:vAnchor="text" w:hAnchor="text" w:y="1"/>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BodyText">
    <w:name w:val="Body Text"/>
    <w:basedOn w:val="Normal"/>
    <w:rsid w:val="00481EAB"/>
    <w:pPr>
      <w:spacing w:after="120"/>
    </w:pPr>
  </w:style>
  <w:style w:type="paragraph" w:styleId="BodyText2">
    <w:name w:val="Body Text 2"/>
    <w:basedOn w:val="Normal"/>
    <w:rsid w:val="00481EAB"/>
    <w:pPr>
      <w:spacing w:after="120" w:line="480" w:lineRule="auto"/>
    </w:pPr>
  </w:style>
  <w:style w:type="paragraph" w:styleId="BodyText3">
    <w:name w:val="Body Text 3"/>
    <w:basedOn w:val="Normal"/>
    <w:rsid w:val="00481EAB"/>
    <w:pPr>
      <w:spacing w:after="120"/>
    </w:pPr>
    <w:rPr>
      <w:sz w:val="16"/>
    </w:rPr>
  </w:style>
  <w:style w:type="paragraph" w:styleId="BodyTextFirstIndent">
    <w:name w:val="Body Text First Indent"/>
    <w:basedOn w:val="BodyText"/>
    <w:rsid w:val="00481EAB"/>
    <w:pPr>
      <w:ind w:firstLine="210"/>
    </w:pPr>
  </w:style>
  <w:style w:type="paragraph" w:styleId="BodyTextFirstIndent2">
    <w:name w:val="Body Text First Indent 2"/>
    <w:basedOn w:val="BodyTextIndent"/>
    <w:rsid w:val="00481EAB"/>
    <w:pPr>
      <w:ind w:firstLine="210"/>
    </w:pPr>
  </w:style>
  <w:style w:type="paragraph" w:styleId="BodyTextIndent2">
    <w:name w:val="Body Text Indent 2"/>
    <w:basedOn w:val="Normal"/>
    <w:rsid w:val="00481EAB"/>
    <w:pPr>
      <w:spacing w:after="120" w:line="480" w:lineRule="auto"/>
      <w:ind w:left="283"/>
    </w:pPr>
  </w:style>
  <w:style w:type="paragraph" w:styleId="BodyTextIndent3">
    <w:name w:val="Body Text Indent 3"/>
    <w:basedOn w:val="Normal"/>
    <w:rsid w:val="00481EAB"/>
    <w:pPr>
      <w:spacing w:after="120"/>
      <w:ind w:left="283"/>
    </w:pPr>
    <w:rPr>
      <w:sz w:val="16"/>
    </w:rPr>
  </w:style>
  <w:style w:type="paragraph" w:styleId="Closing">
    <w:name w:val="Closing"/>
    <w:basedOn w:val="Normal"/>
    <w:rsid w:val="00481EAB"/>
    <w:pPr>
      <w:ind w:left="4252"/>
    </w:pPr>
  </w:style>
  <w:style w:type="paragraph" w:styleId="CommentText">
    <w:name w:val="annotation text"/>
    <w:basedOn w:val="Normal"/>
    <w:semiHidden/>
    <w:rsid w:val="00481EAB"/>
  </w:style>
  <w:style w:type="paragraph" w:styleId="Date">
    <w:name w:val="Date"/>
    <w:basedOn w:val="Normal"/>
    <w:next w:val="Normal"/>
    <w:rsid w:val="00481EAB"/>
  </w:style>
  <w:style w:type="paragraph" w:styleId="EndnoteText">
    <w:name w:val="endnote text"/>
    <w:basedOn w:val="Normal"/>
    <w:semiHidden/>
    <w:rsid w:val="00481EAB"/>
  </w:style>
  <w:style w:type="paragraph" w:styleId="EnvelopeAddress">
    <w:name w:val="envelope address"/>
    <w:basedOn w:val="Normal"/>
    <w:rsid w:val="00481EA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81EAB"/>
    <w:rPr>
      <w:rFonts w:ascii="Arial" w:hAnsi="Arial"/>
    </w:rPr>
  </w:style>
  <w:style w:type="paragraph" w:styleId="Index2">
    <w:name w:val="index 2"/>
    <w:basedOn w:val="Normal"/>
    <w:next w:val="Normal"/>
    <w:semiHidden/>
    <w:rsid w:val="00481EAB"/>
    <w:pPr>
      <w:ind w:left="400" w:hanging="200"/>
    </w:pPr>
  </w:style>
  <w:style w:type="paragraph" w:styleId="Index3">
    <w:name w:val="index 3"/>
    <w:basedOn w:val="Normal"/>
    <w:next w:val="Normal"/>
    <w:semiHidden/>
    <w:rsid w:val="00481EAB"/>
    <w:pPr>
      <w:ind w:left="600" w:hanging="200"/>
    </w:pPr>
  </w:style>
  <w:style w:type="paragraph" w:styleId="Index4">
    <w:name w:val="index 4"/>
    <w:basedOn w:val="Normal"/>
    <w:next w:val="Normal"/>
    <w:semiHidden/>
    <w:rsid w:val="00481EAB"/>
    <w:pPr>
      <w:ind w:left="800" w:hanging="200"/>
    </w:pPr>
  </w:style>
  <w:style w:type="paragraph" w:styleId="Index5">
    <w:name w:val="index 5"/>
    <w:basedOn w:val="Normal"/>
    <w:next w:val="Normal"/>
    <w:semiHidden/>
    <w:rsid w:val="00481EAB"/>
    <w:pPr>
      <w:ind w:left="1000" w:hanging="200"/>
    </w:pPr>
  </w:style>
  <w:style w:type="paragraph" w:styleId="Index6">
    <w:name w:val="index 6"/>
    <w:basedOn w:val="Normal"/>
    <w:next w:val="Normal"/>
    <w:semiHidden/>
    <w:rsid w:val="00481EAB"/>
    <w:pPr>
      <w:ind w:left="1200" w:hanging="200"/>
    </w:pPr>
  </w:style>
  <w:style w:type="paragraph" w:styleId="Index7">
    <w:name w:val="index 7"/>
    <w:basedOn w:val="Normal"/>
    <w:next w:val="Normal"/>
    <w:semiHidden/>
    <w:rsid w:val="00481EAB"/>
    <w:pPr>
      <w:ind w:left="1400" w:hanging="200"/>
    </w:pPr>
  </w:style>
  <w:style w:type="paragraph" w:styleId="Index8">
    <w:name w:val="index 8"/>
    <w:basedOn w:val="Normal"/>
    <w:next w:val="Normal"/>
    <w:semiHidden/>
    <w:rsid w:val="00481EAB"/>
    <w:pPr>
      <w:ind w:left="1600" w:hanging="200"/>
    </w:pPr>
  </w:style>
  <w:style w:type="paragraph" w:styleId="Index9">
    <w:name w:val="index 9"/>
    <w:basedOn w:val="Normal"/>
    <w:next w:val="Normal"/>
    <w:semiHidden/>
    <w:rsid w:val="00481EAB"/>
    <w:pPr>
      <w:ind w:left="1800" w:hanging="200"/>
    </w:pPr>
  </w:style>
  <w:style w:type="paragraph" w:styleId="IndexHeading">
    <w:name w:val="index heading"/>
    <w:basedOn w:val="Normal"/>
    <w:next w:val="Index1"/>
    <w:semiHidden/>
    <w:rsid w:val="00481EAB"/>
    <w:rPr>
      <w:rFonts w:ascii="Arial" w:hAnsi="Arial"/>
      <w:b/>
    </w:rPr>
  </w:style>
  <w:style w:type="paragraph" w:styleId="List3">
    <w:name w:val="List 3"/>
    <w:basedOn w:val="Normal"/>
    <w:rsid w:val="00481EAB"/>
    <w:pPr>
      <w:ind w:left="849" w:hanging="283"/>
    </w:pPr>
  </w:style>
  <w:style w:type="paragraph" w:styleId="List4">
    <w:name w:val="List 4"/>
    <w:basedOn w:val="Normal"/>
    <w:rsid w:val="00481EAB"/>
    <w:pPr>
      <w:ind w:left="1132" w:hanging="283"/>
    </w:pPr>
  </w:style>
  <w:style w:type="paragraph" w:styleId="List5">
    <w:name w:val="List 5"/>
    <w:basedOn w:val="Normal"/>
    <w:rsid w:val="00481EAB"/>
    <w:pPr>
      <w:ind w:left="1415" w:hanging="283"/>
    </w:pPr>
  </w:style>
  <w:style w:type="paragraph" w:styleId="ListBullet">
    <w:name w:val="List Bullet"/>
    <w:basedOn w:val="Normal"/>
    <w:rsid w:val="00481EAB"/>
    <w:pPr>
      <w:numPr>
        <w:numId w:val="11"/>
      </w:numPr>
    </w:pPr>
  </w:style>
  <w:style w:type="paragraph" w:styleId="ListBullet3">
    <w:name w:val="List Bullet 3"/>
    <w:basedOn w:val="Normal"/>
    <w:rsid w:val="00481EAB"/>
    <w:pPr>
      <w:numPr>
        <w:numId w:val="12"/>
      </w:numPr>
    </w:pPr>
  </w:style>
  <w:style w:type="paragraph" w:styleId="ListBullet4">
    <w:name w:val="List Bullet 4"/>
    <w:basedOn w:val="Normal"/>
    <w:rsid w:val="00481EAB"/>
    <w:pPr>
      <w:numPr>
        <w:numId w:val="9"/>
      </w:numPr>
    </w:pPr>
  </w:style>
  <w:style w:type="paragraph" w:styleId="ListBullet5">
    <w:name w:val="List Bullet 5"/>
    <w:basedOn w:val="Normal"/>
    <w:rsid w:val="00481EAB"/>
    <w:pPr>
      <w:numPr>
        <w:numId w:val="10"/>
      </w:numPr>
    </w:pPr>
  </w:style>
  <w:style w:type="paragraph" w:styleId="ListContinue">
    <w:name w:val="List Continue"/>
    <w:basedOn w:val="Normal"/>
    <w:rsid w:val="00481EAB"/>
    <w:pPr>
      <w:spacing w:after="120"/>
      <w:ind w:left="283"/>
    </w:pPr>
  </w:style>
  <w:style w:type="paragraph" w:styleId="ListContinue2">
    <w:name w:val="List Continue 2"/>
    <w:basedOn w:val="Normal"/>
    <w:rsid w:val="00481EAB"/>
    <w:pPr>
      <w:spacing w:after="120"/>
      <w:ind w:left="566"/>
    </w:pPr>
  </w:style>
  <w:style w:type="paragraph" w:styleId="ListContinue3">
    <w:name w:val="List Continue 3"/>
    <w:basedOn w:val="Normal"/>
    <w:rsid w:val="00481EAB"/>
    <w:pPr>
      <w:spacing w:after="120"/>
      <w:ind w:left="849"/>
    </w:pPr>
  </w:style>
  <w:style w:type="paragraph" w:styleId="ListContinue4">
    <w:name w:val="List Continue 4"/>
    <w:basedOn w:val="Normal"/>
    <w:rsid w:val="00481EAB"/>
    <w:pPr>
      <w:spacing w:after="120"/>
      <w:ind w:left="1132"/>
    </w:pPr>
  </w:style>
  <w:style w:type="paragraph" w:styleId="ListContinue5">
    <w:name w:val="List Continue 5"/>
    <w:basedOn w:val="Normal"/>
    <w:rsid w:val="00481EAB"/>
    <w:pPr>
      <w:spacing w:after="120"/>
      <w:ind w:left="1415"/>
    </w:pPr>
  </w:style>
  <w:style w:type="paragraph" w:styleId="ListNumber">
    <w:name w:val="List Number"/>
    <w:basedOn w:val="Normal"/>
    <w:rsid w:val="00481EAB"/>
    <w:pPr>
      <w:numPr>
        <w:numId w:val="13"/>
      </w:numPr>
    </w:pPr>
  </w:style>
  <w:style w:type="paragraph" w:styleId="ListNumber3">
    <w:name w:val="List Number 3"/>
    <w:basedOn w:val="Normal"/>
    <w:rsid w:val="00481EAB"/>
    <w:pPr>
      <w:numPr>
        <w:numId w:val="6"/>
      </w:numPr>
    </w:pPr>
  </w:style>
  <w:style w:type="paragraph" w:styleId="ListNumber4">
    <w:name w:val="List Number 4"/>
    <w:basedOn w:val="Normal"/>
    <w:rsid w:val="00481EAB"/>
    <w:pPr>
      <w:numPr>
        <w:numId w:val="8"/>
      </w:numPr>
    </w:pPr>
  </w:style>
  <w:style w:type="paragraph" w:styleId="ListNumber5">
    <w:name w:val="List Number 5"/>
    <w:basedOn w:val="Normal"/>
    <w:rsid w:val="00481EAB"/>
    <w:pPr>
      <w:numPr>
        <w:numId w:val="7"/>
      </w:numPr>
    </w:pPr>
  </w:style>
  <w:style w:type="paragraph" w:styleId="MessageHeader">
    <w:name w:val="Message Header"/>
    <w:basedOn w:val="Normal"/>
    <w:rsid w:val="00481EA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rsid w:val="00481EAB"/>
    <w:pPr>
      <w:ind w:left="720"/>
    </w:pPr>
  </w:style>
  <w:style w:type="paragraph" w:styleId="NoteHeading">
    <w:name w:val="Note Heading"/>
    <w:basedOn w:val="Normal"/>
    <w:next w:val="Normal"/>
    <w:rsid w:val="00481EAB"/>
  </w:style>
  <w:style w:type="paragraph" w:styleId="PlainText">
    <w:name w:val="Plain Text"/>
    <w:basedOn w:val="Normal"/>
    <w:rsid w:val="00481EAB"/>
    <w:rPr>
      <w:rFonts w:ascii="Courier New" w:hAnsi="Courier New"/>
    </w:rPr>
  </w:style>
  <w:style w:type="paragraph" w:styleId="Salutation">
    <w:name w:val="Salutation"/>
    <w:basedOn w:val="Normal"/>
    <w:next w:val="Normal"/>
    <w:rsid w:val="00481EAB"/>
  </w:style>
  <w:style w:type="paragraph" w:styleId="Signature">
    <w:name w:val="Signature"/>
    <w:basedOn w:val="Normal"/>
    <w:rsid w:val="00481EAB"/>
    <w:pPr>
      <w:ind w:left="4252"/>
    </w:pPr>
  </w:style>
  <w:style w:type="paragraph" w:styleId="Subtitle">
    <w:name w:val="Subtitle"/>
    <w:basedOn w:val="Normal"/>
    <w:qFormat/>
    <w:rsid w:val="00481EAB"/>
    <w:pPr>
      <w:spacing w:after="60"/>
      <w:jc w:val="center"/>
      <w:outlineLvl w:val="1"/>
    </w:pPr>
    <w:rPr>
      <w:rFonts w:ascii="Arial" w:hAnsi="Arial"/>
      <w:sz w:val="24"/>
    </w:rPr>
  </w:style>
  <w:style w:type="paragraph" w:styleId="Title">
    <w:name w:val="Title"/>
    <w:basedOn w:val="Normal"/>
    <w:qFormat/>
    <w:rsid w:val="00481EAB"/>
    <w:pPr>
      <w:spacing w:before="240" w:after="60"/>
      <w:jc w:val="center"/>
      <w:outlineLvl w:val="0"/>
    </w:pPr>
    <w:rPr>
      <w:rFonts w:ascii="Arial" w:hAnsi="Arial"/>
      <w:b/>
      <w:kern w:val="28"/>
      <w:sz w:val="32"/>
    </w:rPr>
  </w:style>
  <w:style w:type="paragraph" w:customStyle="1" w:styleId="CopyRight">
    <w:name w:val="CopyRight"/>
    <w:basedOn w:val="Normal"/>
    <w:rsid w:val="00481EAB"/>
    <w:pPr>
      <w:framePr w:wrap="around" w:vAnchor="page" w:hAnchor="page" w:x="433" w:y="11809"/>
    </w:pPr>
    <w:rPr>
      <w:sz w:val="24"/>
    </w:rPr>
  </w:style>
  <w:style w:type="paragraph" w:customStyle="1" w:styleId="Style3">
    <w:name w:val="Style3"/>
    <w:basedOn w:val="DWTableText"/>
    <w:rsid w:val="00481EAB"/>
  </w:style>
  <w:style w:type="paragraph" w:styleId="BalloonText">
    <w:name w:val="Balloon Text"/>
    <w:basedOn w:val="Normal"/>
    <w:link w:val="BalloonTextChar"/>
    <w:rsid w:val="00495B0E"/>
    <w:rPr>
      <w:rFonts w:ascii="Segoe UI" w:hAnsi="Segoe UI" w:cs="Segoe UI"/>
      <w:sz w:val="18"/>
      <w:szCs w:val="18"/>
    </w:rPr>
  </w:style>
  <w:style w:type="character" w:customStyle="1" w:styleId="BalloonTextChar">
    <w:name w:val="Balloon Text Char"/>
    <w:basedOn w:val="DefaultParagraphFont"/>
    <w:link w:val="BalloonText"/>
    <w:rsid w:val="00495B0E"/>
    <w:rPr>
      <w:rFonts w:ascii="Segoe UI" w:hAnsi="Segoe UI" w:cs="Segoe UI"/>
      <w:sz w:val="18"/>
      <w:szCs w:val="18"/>
      <w:lang w:eastAsia="en-US"/>
    </w:rPr>
  </w:style>
  <w:style w:type="paragraph" w:styleId="ListParagraph">
    <w:name w:val="List Paragraph"/>
    <w:basedOn w:val="Normal"/>
    <w:uiPriority w:val="34"/>
    <w:qFormat/>
    <w:rsid w:val="0064054B"/>
    <w:pPr>
      <w:spacing w:after="200" w:line="276" w:lineRule="auto"/>
      <w:ind w:left="720"/>
      <w:contextualSpacing/>
    </w:pPr>
    <w:rPr>
      <w:rFonts w:ascii="Calibri" w:hAnsi="Calibri"/>
      <w:sz w:val="22"/>
      <w:szCs w:val="22"/>
    </w:rPr>
  </w:style>
  <w:style w:type="character" w:styleId="Hyperlink">
    <w:name w:val="Hyperlink"/>
    <w:basedOn w:val="DefaultParagraphFont"/>
    <w:rsid w:val="00F42E6A"/>
    <w:rPr>
      <w:color w:val="0563C1" w:themeColor="hyperlink"/>
      <w:u w:val="single"/>
    </w:rPr>
  </w:style>
  <w:style w:type="character" w:styleId="FollowedHyperlink">
    <w:name w:val="FollowedHyperlink"/>
    <w:basedOn w:val="DefaultParagraphFont"/>
    <w:rsid w:val="000B222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138C"/>
    <w:rPr>
      <w:lang w:eastAsia="en-US"/>
    </w:rPr>
  </w:style>
  <w:style w:type="paragraph" w:styleId="Heading1">
    <w:name w:val="heading 1"/>
    <w:basedOn w:val="DWHeading1"/>
    <w:next w:val="DWParaText"/>
    <w:qFormat/>
    <w:rsid w:val="00481EAB"/>
  </w:style>
  <w:style w:type="paragraph" w:styleId="Heading2">
    <w:name w:val="heading 2"/>
    <w:basedOn w:val="DWHeading2"/>
    <w:next w:val="DWParaText"/>
    <w:qFormat/>
    <w:rsid w:val="00481EAB"/>
  </w:style>
  <w:style w:type="paragraph" w:styleId="Heading3">
    <w:name w:val="heading 3"/>
    <w:basedOn w:val="DWHeading3"/>
    <w:next w:val="DWParaText"/>
    <w:qFormat/>
    <w:rsid w:val="00481EAB"/>
  </w:style>
  <w:style w:type="paragraph" w:styleId="Heading4">
    <w:name w:val="heading 4"/>
    <w:basedOn w:val="DWHeading4"/>
    <w:next w:val="DWParaText"/>
    <w:qFormat/>
    <w:rsid w:val="00481EAB"/>
  </w:style>
  <w:style w:type="paragraph" w:styleId="Heading5">
    <w:name w:val="heading 5"/>
    <w:basedOn w:val="DWHeading5"/>
    <w:next w:val="DWParaText"/>
    <w:qFormat/>
    <w:rsid w:val="00481EAB"/>
  </w:style>
  <w:style w:type="paragraph" w:styleId="Heading6">
    <w:name w:val="heading 6"/>
    <w:basedOn w:val="DWHeading6"/>
    <w:next w:val="DWParaText"/>
    <w:qFormat/>
    <w:rsid w:val="00481EAB"/>
  </w:style>
  <w:style w:type="paragraph" w:styleId="Heading7">
    <w:name w:val="heading 7"/>
    <w:basedOn w:val="DWHeading7"/>
    <w:next w:val="DWParaText"/>
    <w:qFormat/>
    <w:rsid w:val="00481EAB"/>
  </w:style>
  <w:style w:type="paragraph" w:styleId="Heading8">
    <w:name w:val="heading 8"/>
    <w:basedOn w:val="DWHeading8"/>
    <w:next w:val="DWParaText"/>
    <w:qFormat/>
    <w:rsid w:val="00481EAB"/>
  </w:style>
  <w:style w:type="paragraph" w:styleId="Heading9">
    <w:name w:val="heading 9"/>
    <w:basedOn w:val="DWHeading9"/>
    <w:next w:val="DWParaText"/>
    <w:qFormat/>
    <w:rsid w:val="00481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Heading1">
    <w:name w:val="DW$_Heading 1"/>
    <w:basedOn w:val="DWParaText"/>
    <w:next w:val="DWParaText"/>
    <w:rsid w:val="00481EAB"/>
    <w:pPr>
      <w:keepNext/>
      <w:pageBreakBefore/>
      <w:tabs>
        <w:tab w:val="left" w:pos="1418"/>
        <w:tab w:val="right" w:pos="9072"/>
      </w:tabs>
      <w:spacing w:before="0"/>
      <w:ind w:left="0"/>
      <w:outlineLvl w:val="0"/>
    </w:pPr>
    <w:rPr>
      <w:b/>
      <w:caps/>
      <w:kern w:val="28"/>
      <w:sz w:val="24"/>
    </w:rPr>
  </w:style>
  <w:style w:type="paragraph" w:customStyle="1" w:styleId="DWParaText">
    <w:name w:val="DW$_Para Text"/>
    <w:rsid w:val="00481EAB"/>
    <w:pPr>
      <w:keepLines/>
      <w:suppressAutoHyphens/>
      <w:spacing w:before="240"/>
      <w:ind w:left="1418"/>
    </w:pPr>
    <w:rPr>
      <w:sz w:val="22"/>
      <w:lang w:eastAsia="en-US"/>
    </w:rPr>
  </w:style>
  <w:style w:type="paragraph" w:customStyle="1" w:styleId="DWHeading2">
    <w:name w:val="DW$_Heading 2"/>
    <w:basedOn w:val="DWHeading1"/>
    <w:next w:val="DWParaText"/>
    <w:rsid w:val="00481EAB"/>
    <w:pPr>
      <w:pageBreakBefore w:val="0"/>
      <w:spacing w:before="240"/>
      <w:outlineLvl w:val="1"/>
    </w:pPr>
    <w:rPr>
      <w:caps w:val="0"/>
    </w:rPr>
  </w:style>
  <w:style w:type="paragraph" w:customStyle="1" w:styleId="DWHeading3">
    <w:name w:val="DW$_Heading 3"/>
    <w:basedOn w:val="DWHeading2"/>
    <w:next w:val="DWParaText"/>
    <w:rsid w:val="00481EAB"/>
    <w:pPr>
      <w:outlineLvl w:val="2"/>
    </w:pPr>
  </w:style>
  <w:style w:type="paragraph" w:customStyle="1" w:styleId="DWHeading4">
    <w:name w:val="DW$_Heading 4"/>
    <w:basedOn w:val="DWHeading2"/>
    <w:next w:val="DWParaText"/>
    <w:rsid w:val="00481EAB"/>
    <w:pPr>
      <w:outlineLvl w:val="3"/>
    </w:pPr>
  </w:style>
  <w:style w:type="paragraph" w:customStyle="1" w:styleId="DWHeading5">
    <w:name w:val="DW$_Heading 5"/>
    <w:basedOn w:val="DWHeading2"/>
    <w:next w:val="DWParaText"/>
    <w:rsid w:val="00481EAB"/>
    <w:pPr>
      <w:outlineLvl w:val="4"/>
    </w:pPr>
  </w:style>
  <w:style w:type="paragraph" w:customStyle="1" w:styleId="DWHeading6">
    <w:name w:val="DW$_Heading 6"/>
    <w:basedOn w:val="DWHeading2"/>
    <w:next w:val="DWParaText"/>
    <w:rsid w:val="00481EAB"/>
    <w:pPr>
      <w:outlineLvl w:val="5"/>
    </w:pPr>
  </w:style>
  <w:style w:type="paragraph" w:customStyle="1" w:styleId="DWHeading7">
    <w:name w:val="DW$_Heading 7"/>
    <w:basedOn w:val="DWHeading2"/>
    <w:next w:val="DWParaText"/>
    <w:rsid w:val="00481EAB"/>
    <w:pPr>
      <w:outlineLvl w:val="6"/>
    </w:pPr>
  </w:style>
  <w:style w:type="paragraph" w:customStyle="1" w:styleId="DWHeading8">
    <w:name w:val="DW$_Heading 8"/>
    <w:basedOn w:val="DWHeading2"/>
    <w:next w:val="DWParaText"/>
    <w:rsid w:val="00481EAB"/>
    <w:pPr>
      <w:outlineLvl w:val="7"/>
    </w:pPr>
  </w:style>
  <w:style w:type="paragraph" w:customStyle="1" w:styleId="DWHeading9">
    <w:name w:val="DW$_Heading 9"/>
    <w:basedOn w:val="DWHeading2"/>
    <w:next w:val="DWParaText"/>
    <w:rsid w:val="00481EAB"/>
    <w:pPr>
      <w:outlineLvl w:val="8"/>
    </w:pPr>
  </w:style>
  <w:style w:type="paragraph" w:styleId="TOC1">
    <w:name w:val="toc 1"/>
    <w:basedOn w:val="DWTOC1"/>
    <w:next w:val="DWTOC1"/>
    <w:uiPriority w:val="39"/>
    <w:rsid w:val="00481EAB"/>
    <w:pPr>
      <w:tabs>
        <w:tab w:val="clear" w:pos="9213"/>
        <w:tab w:val="right" w:leader="dot" w:pos="9214"/>
      </w:tabs>
    </w:pPr>
  </w:style>
  <w:style w:type="paragraph" w:customStyle="1" w:styleId="DWTOC1">
    <w:name w:val="DW$_TOC 1"/>
    <w:basedOn w:val="DWParaText"/>
    <w:rsid w:val="00481EAB"/>
    <w:pPr>
      <w:keepNext/>
      <w:tabs>
        <w:tab w:val="left" w:pos="1134"/>
        <w:tab w:val="right" w:leader="dot" w:pos="9213"/>
      </w:tabs>
      <w:spacing w:before="120"/>
      <w:ind w:left="1134" w:hanging="1134"/>
    </w:pPr>
    <w:rPr>
      <w:b/>
      <w:caps/>
    </w:rPr>
  </w:style>
  <w:style w:type="paragraph" w:styleId="TOC2">
    <w:name w:val="toc 2"/>
    <w:basedOn w:val="DWTOC2"/>
    <w:next w:val="DWTOC2"/>
    <w:uiPriority w:val="39"/>
    <w:rsid w:val="00481EAB"/>
    <w:pPr>
      <w:tabs>
        <w:tab w:val="clear" w:pos="1417"/>
        <w:tab w:val="clear" w:pos="9213"/>
        <w:tab w:val="left" w:pos="1418"/>
        <w:tab w:val="right" w:leader="dot" w:pos="9214"/>
      </w:tabs>
    </w:pPr>
  </w:style>
  <w:style w:type="paragraph" w:customStyle="1" w:styleId="DWTOC2">
    <w:name w:val="DW$_TOC 2"/>
    <w:basedOn w:val="DWTOC1"/>
    <w:rsid w:val="00481EAB"/>
    <w:pPr>
      <w:keepNext w:val="0"/>
      <w:tabs>
        <w:tab w:val="clear" w:pos="1134"/>
        <w:tab w:val="left" w:pos="1417"/>
      </w:tabs>
      <w:spacing w:before="0"/>
      <w:ind w:left="1418" w:hanging="1418"/>
    </w:pPr>
    <w:rPr>
      <w:b w:val="0"/>
      <w:caps w:val="0"/>
    </w:rPr>
  </w:style>
  <w:style w:type="paragraph" w:styleId="TOC3">
    <w:name w:val="toc 3"/>
    <w:basedOn w:val="DWTOC3"/>
    <w:next w:val="DWTOC3"/>
    <w:uiPriority w:val="39"/>
    <w:rsid w:val="00481EAB"/>
  </w:style>
  <w:style w:type="paragraph" w:customStyle="1" w:styleId="DWTOC3">
    <w:name w:val="DW$_TOC 3"/>
    <w:basedOn w:val="DWTOC2"/>
    <w:rsid w:val="00481EAB"/>
    <w:pPr>
      <w:tabs>
        <w:tab w:val="clear" w:pos="1417"/>
        <w:tab w:val="left" w:pos="1701"/>
      </w:tabs>
      <w:ind w:left="1701" w:hanging="1701"/>
    </w:pPr>
  </w:style>
  <w:style w:type="paragraph" w:styleId="TableofFigures">
    <w:name w:val="table of figures"/>
    <w:basedOn w:val="Normal"/>
    <w:next w:val="Normal"/>
    <w:uiPriority w:val="99"/>
    <w:rsid w:val="00481EAB"/>
    <w:pPr>
      <w:tabs>
        <w:tab w:val="right" w:leader="dot" w:pos="9214"/>
      </w:tabs>
      <w:spacing w:before="120"/>
    </w:pPr>
  </w:style>
  <w:style w:type="paragraph" w:customStyle="1" w:styleId="DWAppHeading7">
    <w:name w:val="DW$_App Heading 7"/>
    <w:basedOn w:val="DWAppHeading6"/>
    <w:next w:val="DWAppParaText"/>
    <w:rsid w:val="00481EAB"/>
    <w:pPr>
      <w:outlineLvl w:val="6"/>
    </w:pPr>
  </w:style>
  <w:style w:type="paragraph" w:customStyle="1" w:styleId="DWAppHeading6">
    <w:name w:val="DW$_App Heading 6"/>
    <w:basedOn w:val="DWAppHeading5"/>
    <w:next w:val="DWAppParaText"/>
    <w:rsid w:val="00481EAB"/>
    <w:pPr>
      <w:outlineLvl w:val="5"/>
    </w:pPr>
  </w:style>
  <w:style w:type="paragraph" w:customStyle="1" w:styleId="DWAppHeading5">
    <w:name w:val="DW$_App Heading 5"/>
    <w:basedOn w:val="DWAppHeading4"/>
    <w:next w:val="DWAppParaText"/>
    <w:rsid w:val="00481EAB"/>
    <w:pPr>
      <w:outlineLvl w:val="4"/>
    </w:pPr>
  </w:style>
  <w:style w:type="paragraph" w:customStyle="1" w:styleId="DWAppHeading4">
    <w:name w:val="DW$_App Heading 4"/>
    <w:basedOn w:val="DWAppHeading3"/>
    <w:next w:val="DWAppParaText"/>
    <w:rsid w:val="00481EAB"/>
    <w:pPr>
      <w:outlineLvl w:val="3"/>
    </w:pPr>
  </w:style>
  <w:style w:type="paragraph" w:customStyle="1" w:styleId="DWAppHeading3">
    <w:name w:val="DW$_App Heading 3"/>
    <w:basedOn w:val="DWAppHeading2"/>
    <w:next w:val="DWAppParaText"/>
    <w:rsid w:val="00481EAB"/>
    <w:pPr>
      <w:outlineLvl w:val="2"/>
    </w:pPr>
  </w:style>
  <w:style w:type="paragraph" w:customStyle="1" w:styleId="DWAppHeading2">
    <w:name w:val="DW$_App Heading 2"/>
    <w:basedOn w:val="DWAppHeading1"/>
    <w:next w:val="DWAppParaText"/>
    <w:rsid w:val="00481EAB"/>
    <w:pPr>
      <w:pageBreakBefore w:val="0"/>
      <w:spacing w:before="240"/>
      <w:outlineLvl w:val="1"/>
    </w:pPr>
    <w:rPr>
      <w:caps w:val="0"/>
    </w:rPr>
  </w:style>
  <w:style w:type="paragraph" w:customStyle="1" w:styleId="DWAppHeading1">
    <w:name w:val="DW$_App Heading 1"/>
    <w:basedOn w:val="DWHeading1"/>
    <w:next w:val="DWAppParaText"/>
    <w:rsid w:val="00481EAB"/>
  </w:style>
  <w:style w:type="paragraph" w:customStyle="1" w:styleId="DWAppParaText">
    <w:name w:val="DW$_App Para Text"/>
    <w:basedOn w:val="DWParaText"/>
    <w:rsid w:val="00481EAB"/>
  </w:style>
  <w:style w:type="paragraph" w:styleId="BodyTextIndent">
    <w:name w:val="Body Text Indent"/>
    <w:basedOn w:val="Normal"/>
    <w:rsid w:val="00481EAB"/>
    <w:pPr>
      <w:spacing w:after="120"/>
      <w:ind w:left="283"/>
    </w:pPr>
  </w:style>
  <w:style w:type="paragraph" w:styleId="TOC4">
    <w:name w:val="toc 4"/>
    <w:basedOn w:val="DWTOC4"/>
    <w:next w:val="DWTOC4"/>
    <w:semiHidden/>
    <w:rsid w:val="00481EAB"/>
    <w:pPr>
      <w:tabs>
        <w:tab w:val="clear" w:pos="1984"/>
        <w:tab w:val="left" w:pos="1985"/>
      </w:tabs>
    </w:pPr>
  </w:style>
  <w:style w:type="paragraph" w:customStyle="1" w:styleId="DWTOC4">
    <w:name w:val="DW$_TOC 4"/>
    <w:basedOn w:val="DWTOC2"/>
    <w:rsid w:val="00481EAB"/>
    <w:pPr>
      <w:tabs>
        <w:tab w:val="clear" w:pos="1417"/>
        <w:tab w:val="left" w:pos="1984"/>
      </w:tabs>
      <w:ind w:left="1985" w:hanging="1985"/>
    </w:pPr>
  </w:style>
  <w:style w:type="paragraph" w:styleId="TOC5">
    <w:name w:val="toc 5"/>
    <w:basedOn w:val="DWTOC5"/>
    <w:next w:val="DWTOC5"/>
    <w:semiHidden/>
    <w:rsid w:val="00481EAB"/>
  </w:style>
  <w:style w:type="paragraph" w:customStyle="1" w:styleId="DWTOC5">
    <w:name w:val="DW$_TOC 5"/>
    <w:basedOn w:val="DWTOC2"/>
    <w:rsid w:val="00481EAB"/>
    <w:pPr>
      <w:tabs>
        <w:tab w:val="clear" w:pos="1417"/>
        <w:tab w:val="left" w:pos="2268"/>
      </w:tabs>
      <w:ind w:left="2268" w:hanging="2268"/>
    </w:pPr>
  </w:style>
  <w:style w:type="paragraph" w:styleId="TOC6">
    <w:name w:val="toc 6"/>
    <w:basedOn w:val="DWTOC6"/>
    <w:next w:val="DWTOC6"/>
    <w:semiHidden/>
    <w:rsid w:val="00481EAB"/>
  </w:style>
  <w:style w:type="paragraph" w:customStyle="1" w:styleId="DWTOC6">
    <w:name w:val="DW$_TOC 6"/>
    <w:basedOn w:val="DWTOC2"/>
    <w:rsid w:val="00481EAB"/>
    <w:pPr>
      <w:tabs>
        <w:tab w:val="clear" w:pos="1417"/>
        <w:tab w:val="left" w:pos="2552"/>
      </w:tabs>
      <w:ind w:left="2552" w:hanging="2552"/>
    </w:pPr>
  </w:style>
  <w:style w:type="paragraph" w:styleId="TOC7">
    <w:name w:val="toc 7"/>
    <w:basedOn w:val="DWTOC7"/>
    <w:next w:val="DWTOC7"/>
    <w:semiHidden/>
    <w:rsid w:val="00481EAB"/>
  </w:style>
  <w:style w:type="paragraph" w:customStyle="1" w:styleId="DWTOC7">
    <w:name w:val="DW$_TOC 7"/>
    <w:basedOn w:val="DWTOC2"/>
    <w:rsid w:val="00481EAB"/>
    <w:pPr>
      <w:tabs>
        <w:tab w:val="clear" w:pos="1417"/>
        <w:tab w:val="left" w:pos="2835"/>
      </w:tabs>
      <w:ind w:left="2835" w:hanging="2835"/>
    </w:pPr>
  </w:style>
  <w:style w:type="paragraph" w:styleId="TOC8">
    <w:name w:val="toc 8"/>
    <w:basedOn w:val="DWTOC8"/>
    <w:next w:val="DWTOC8"/>
    <w:semiHidden/>
    <w:rsid w:val="00481EAB"/>
  </w:style>
  <w:style w:type="paragraph" w:customStyle="1" w:styleId="DWTOC8">
    <w:name w:val="DW$_TOC 8"/>
    <w:basedOn w:val="DWTOC2"/>
    <w:rsid w:val="00481EAB"/>
    <w:pPr>
      <w:tabs>
        <w:tab w:val="clear" w:pos="1417"/>
        <w:tab w:val="left" w:pos="3119"/>
      </w:tabs>
      <w:ind w:left="3119" w:hanging="3119"/>
    </w:pPr>
  </w:style>
  <w:style w:type="paragraph" w:styleId="TOC9">
    <w:name w:val="toc 9"/>
    <w:basedOn w:val="DWTOC9"/>
    <w:next w:val="DWTOC9"/>
    <w:semiHidden/>
    <w:rsid w:val="00481EAB"/>
  </w:style>
  <w:style w:type="paragraph" w:customStyle="1" w:styleId="DWTOC9">
    <w:name w:val="DW$_TOC 9"/>
    <w:basedOn w:val="DWTOC2"/>
    <w:rsid w:val="00481EAB"/>
    <w:pPr>
      <w:tabs>
        <w:tab w:val="clear" w:pos="1417"/>
        <w:tab w:val="left" w:pos="3402"/>
      </w:tabs>
      <w:ind w:left="3402" w:hanging="3402"/>
    </w:pPr>
  </w:style>
  <w:style w:type="paragraph" w:styleId="Caption">
    <w:name w:val="caption"/>
    <w:basedOn w:val="Normal"/>
    <w:next w:val="Normal"/>
    <w:qFormat/>
    <w:rsid w:val="00481EAB"/>
    <w:pPr>
      <w:suppressAutoHyphens/>
      <w:spacing w:before="120"/>
      <w:ind w:left="1418"/>
      <w:jc w:val="center"/>
    </w:pPr>
    <w:rPr>
      <w:b/>
      <w:sz w:val="24"/>
    </w:rPr>
  </w:style>
  <w:style w:type="paragraph" w:styleId="FootnoteText">
    <w:name w:val="footnote text"/>
    <w:semiHidden/>
    <w:rsid w:val="00481EAB"/>
    <w:pPr>
      <w:framePr w:hSpace="181" w:vSpace="181" w:wrap="notBeside" w:vAnchor="text" w:hAnchor="text" w:y="1"/>
    </w:pPr>
    <w:rPr>
      <w:noProof/>
      <w:sz w:val="16"/>
      <w:lang w:val="en-US" w:eastAsia="en-US"/>
    </w:rPr>
  </w:style>
  <w:style w:type="paragraph" w:styleId="Footer">
    <w:name w:val="footer"/>
    <w:basedOn w:val="Normal"/>
    <w:rsid w:val="00481EAB"/>
    <w:pPr>
      <w:jc w:val="center"/>
    </w:pPr>
    <w:rPr>
      <w:sz w:val="16"/>
    </w:rPr>
  </w:style>
  <w:style w:type="paragraph" w:styleId="Header">
    <w:name w:val="header"/>
    <w:basedOn w:val="Normal"/>
    <w:rsid w:val="00481EAB"/>
    <w:pPr>
      <w:tabs>
        <w:tab w:val="center" w:pos="4153"/>
        <w:tab w:val="right" w:pos="8306"/>
      </w:tabs>
      <w:jc w:val="center"/>
    </w:pPr>
  </w:style>
  <w:style w:type="paragraph" w:styleId="DocumentMap">
    <w:name w:val="Document Map"/>
    <w:basedOn w:val="DWDocumentMap"/>
    <w:next w:val="DWDocumentMap"/>
    <w:semiHidden/>
    <w:rsid w:val="00481EAB"/>
    <w:pPr>
      <w:framePr w:wrap="notBeside"/>
    </w:pPr>
  </w:style>
  <w:style w:type="paragraph" w:customStyle="1" w:styleId="DWDocumentMap">
    <w:name w:val="DW$_Document Map"/>
    <w:rsid w:val="00481EAB"/>
    <w:pPr>
      <w:framePr w:hSpace="181" w:vSpace="181" w:wrap="notBeside" w:vAnchor="text" w:hAnchor="text" w:y="1"/>
      <w:shd w:val="clear" w:color="auto" w:fill="000080"/>
    </w:pPr>
    <w:rPr>
      <w:rFonts w:ascii="Arial" w:hAnsi="Arial"/>
      <w:noProof/>
      <w:sz w:val="16"/>
      <w:lang w:val="en-US" w:eastAsia="en-US"/>
    </w:rPr>
  </w:style>
  <w:style w:type="paragraph" w:styleId="TableofAuthorities">
    <w:name w:val="table of authorities"/>
    <w:basedOn w:val="Normal"/>
    <w:next w:val="Normal"/>
    <w:semiHidden/>
    <w:rsid w:val="00481EAB"/>
  </w:style>
  <w:style w:type="paragraph" w:styleId="TOAHeading">
    <w:name w:val="toa heading"/>
    <w:basedOn w:val="Normal"/>
    <w:next w:val="Normal"/>
    <w:semiHidden/>
    <w:rsid w:val="00481EAB"/>
    <w:pPr>
      <w:spacing w:before="120"/>
    </w:pPr>
    <w:rPr>
      <w:rFonts w:ascii="Arial" w:hAnsi="Arial"/>
      <w:b/>
      <w:sz w:val="24"/>
    </w:rPr>
  </w:style>
  <w:style w:type="character" w:styleId="FootnoteReference">
    <w:name w:val="footnote reference"/>
    <w:basedOn w:val="DefaultParagraphFont"/>
    <w:semiHidden/>
    <w:rsid w:val="00481EAB"/>
    <w:rPr>
      <w:vertAlign w:val="superscript"/>
    </w:rPr>
  </w:style>
  <w:style w:type="paragraph" w:styleId="Index1">
    <w:name w:val="index 1"/>
    <w:basedOn w:val="Normal"/>
    <w:next w:val="Normal"/>
    <w:semiHidden/>
    <w:rsid w:val="00481EAB"/>
    <w:pPr>
      <w:ind w:left="200" w:hanging="200"/>
    </w:pPr>
  </w:style>
  <w:style w:type="paragraph" w:customStyle="1" w:styleId="DWApprovalLabel">
    <w:name w:val="DW$_Approval Label"/>
    <w:basedOn w:val="DWParaText"/>
    <w:rsid w:val="00481EAB"/>
    <w:pPr>
      <w:keepNext/>
      <w:spacing w:before="60" w:after="60"/>
      <w:ind w:left="0"/>
      <w:jc w:val="right"/>
    </w:pPr>
  </w:style>
  <w:style w:type="paragraph" w:customStyle="1" w:styleId="DWAuthorisation">
    <w:name w:val="DW$_Authorisation"/>
    <w:basedOn w:val="DWParaText"/>
    <w:rsid w:val="00481EAB"/>
    <w:pPr>
      <w:spacing w:before="60" w:after="60"/>
      <w:ind w:left="0"/>
    </w:pPr>
  </w:style>
  <w:style w:type="paragraph" w:customStyle="1" w:styleId="DWBullet">
    <w:name w:val="DW$_Bullet"/>
    <w:basedOn w:val="DWParaText"/>
    <w:rsid w:val="00481EAB"/>
    <w:pPr>
      <w:spacing w:before="120"/>
      <w:ind w:left="567" w:hanging="567"/>
    </w:pPr>
  </w:style>
  <w:style w:type="paragraph" w:customStyle="1" w:styleId="DWCopyRight">
    <w:name w:val="DW$_CopyRight"/>
    <w:basedOn w:val="DWParaText"/>
    <w:rsid w:val="00481EAB"/>
    <w:pPr>
      <w:framePr w:wrap="around" w:vAnchor="page" w:hAnchor="page" w:x="433" w:y="11809"/>
      <w:spacing w:before="120" w:after="120"/>
      <w:ind w:left="0"/>
      <w:jc w:val="center"/>
    </w:pPr>
  </w:style>
  <w:style w:type="paragraph" w:customStyle="1" w:styleId="DWFigureCaption">
    <w:name w:val="DW$_Figure Caption"/>
    <w:basedOn w:val="DWParaText"/>
    <w:next w:val="DWParaText"/>
    <w:rsid w:val="00481EAB"/>
    <w:pPr>
      <w:spacing w:before="120"/>
      <w:ind w:left="2552" w:hanging="1134"/>
      <w:jc w:val="center"/>
    </w:pPr>
    <w:rPr>
      <w:b/>
    </w:rPr>
  </w:style>
  <w:style w:type="paragraph" w:customStyle="1" w:styleId="DWHF10">
    <w:name w:val="DW$_H&amp;F 10"/>
    <w:basedOn w:val="DWParaText"/>
    <w:rsid w:val="00481EAB"/>
    <w:pPr>
      <w:spacing w:before="40" w:after="40"/>
      <w:ind w:left="0"/>
      <w:jc w:val="center"/>
    </w:pPr>
    <w:rPr>
      <w:sz w:val="20"/>
    </w:rPr>
  </w:style>
  <w:style w:type="paragraph" w:customStyle="1" w:styleId="DWHF8">
    <w:name w:val="DW$_H&amp;F 8"/>
    <w:basedOn w:val="DWParaText"/>
    <w:rsid w:val="00481EAB"/>
    <w:pPr>
      <w:spacing w:before="40" w:after="40"/>
      <w:ind w:left="0"/>
    </w:pPr>
    <w:rPr>
      <w:sz w:val="16"/>
    </w:rPr>
  </w:style>
  <w:style w:type="paragraph" w:customStyle="1" w:styleId="DWHFPrivacy">
    <w:name w:val="DW$_H&amp;F Privacy"/>
    <w:basedOn w:val="DWParaText"/>
    <w:rsid w:val="00481EAB"/>
    <w:pPr>
      <w:spacing w:before="40"/>
      <w:ind w:left="0"/>
      <w:jc w:val="center"/>
    </w:pPr>
    <w:rPr>
      <w:b/>
      <w:caps/>
    </w:rPr>
  </w:style>
  <w:style w:type="paragraph" w:customStyle="1" w:styleId="DWHFSecurity">
    <w:name w:val="DW$_H&amp;F Security"/>
    <w:basedOn w:val="DWParaText"/>
    <w:rsid w:val="00481EAB"/>
    <w:pPr>
      <w:spacing w:before="0"/>
      <w:ind w:left="0"/>
      <w:jc w:val="center"/>
    </w:pPr>
    <w:rPr>
      <w:b/>
      <w:caps/>
      <w:sz w:val="28"/>
    </w:rPr>
  </w:style>
  <w:style w:type="paragraph" w:customStyle="1" w:styleId="DWHFStatus">
    <w:name w:val="DW$_H&amp;F Status"/>
    <w:basedOn w:val="DWParaText"/>
    <w:rsid w:val="00481EAB"/>
    <w:pPr>
      <w:spacing w:before="120"/>
      <w:ind w:left="0"/>
      <w:jc w:val="right"/>
    </w:pPr>
    <w:rPr>
      <w:b/>
      <w:caps/>
    </w:rPr>
  </w:style>
  <w:style w:type="paragraph" w:customStyle="1" w:styleId="DWListDash">
    <w:name w:val="DW$_List Dash"/>
    <w:basedOn w:val="DWBullet"/>
    <w:rsid w:val="00481EAB"/>
    <w:pPr>
      <w:tabs>
        <w:tab w:val="num" w:pos="2552"/>
      </w:tabs>
      <w:ind w:left="2552"/>
    </w:pPr>
  </w:style>
  <w:style w:type="paragraph" w:customStyle="1" w:styleId="DWTableText">
    <w:name w:val="DW$_Table Text"/>
    <w:basedOn w:val="DWParaText"/>
    <w:rsid w:val="00481EAB"/>
    <w:pPr>
      <w:spacing w:before="60" w:after="60"/>
      <w:ind w:left="0"/>
    </w:pPr>
    <w:rPr>
      <w:sz w:val="20"/>
    </w:rPr>
  </w:style>
  <w:style w:type="paragraph" w:customStyle="1" w:styleId="DWReferenceNumber">
    <w:name w:val="DW$_Reference Number"/>
    <w:basedOn w:val="DWTableText"/>
    <w:rsid w:val="00481EAB"/>
    <w:pPr>
      <w:jc w:val="center"/>
    </w:pPr>
    <w:rPr>
      <w:sz w:val="16"/>
    </w:rPr>
  </w:style>
  <w:style w:type="paragraph" w:customStyle="1" w:styleId="DWSubNumber">
    <w:name w:val="DW$_SubNumber"/>
    <w:basedOn w:val="DWParaText"/>
    <w:rsid w:val="00481EAB"/>
    <w:pPr>
      <w:tabs>
        <w:tab w:val="left" w:pos="1985"/>
      </w:tabs>
      <w:spacing w:before="120"/>
      <w:ind w:left="1985" w:hanging="567"/>
    </w:pPr>
  </w:style>
  <w:style w:type="paragraph" w:customStyle="1" w:styleId="DWTableCaption">
    <w:name w:val="DW$_Table Caption"/>
    <w:basedOn w:val="DWParaText"/>
    <w:next w:val="DWParaText"/>
    <w:rsid w:val="00481EAB"/>
    <w:pPr>
      <w:keepNext/>
      <w:spacing w:after="120"/>
      <w:ind w:left="2552" w:hanging="1134"/>
      <w:jc w:val="center"/>
    </w:pPr>
    <w:rPr>
      <w:b/>
    </w:rPr>
  </w:style>
  <w:style w:type="paragraph" w:customStyle="1" w:styleId="DWTableHeading">
    <w:name w:val="DW$_Table Heading"/>
    <w:basedOn w:val="DWTableText"/>
    <w:rsid w:val="00481EAB"/>
    <w:pPr>
      <w:keepNext/>
      <w:pBdr>
        <w:top w:val="single" w:sz="2" w:space="1" w:color="auto"/>
        <w:left w:val="single" w:sz="2" w:space="4" w:color="auto"/>
        <w:bottom w:val="single" w:sz="2" w:space="1" w:color="auto"/>
        <w:right w:val="single" w:sz="2" w:space="4" w:color="auto"/>
      </w:pBdr>
      <w:shd w:val="pct15" w:color="auto" w:fill="FFFFFF"/>
    </w:pPr>
    <w:rPr>
      <w:b/>
    </w:rPr>
  </w:style>
  <w:style w:type="paragraph" w:customStyle="1" w:styleId="DWTableofFigures">
    <w:name w:val="DW$_Table of Figures"/>
    <w:basedOn w:val="DWParaText"/>
    <w:next w:val="Normal"/>
    <w:rsid w:val="00481EAB"/>
    <w:pPr>
      <w:tabs>
        <w:tab w:val="left" w:pos="1134"/>
        <w:tab w:val="right" w:leader="dot" w:pos="9213"/>
      </w:tabs>
      <w:spacing w:before="120"/>
      <w:ind w:left="1134" w:hanging="1134"/>
    </w:pPr>
  </w:style>
  <w:style w:type="paragraph" w:customStyle="1" w:styleId="DWTOCHeading">
    <w:name w:val="DW$_TOC Heading"/>
    <w:basedOn w:val="DWParaText"/>
    <w:next w:val="Normal"/>
    <w:rsid w:val="00481EAB"/>
    <w:pPr>
      <w:keepNext/>
      <w:tabs>
        <w:tab w:val="right" w:pos="9356"/>
      </w:tabs>
      <w:spacing w:before="0" w:after="240"/>
      <w:ind w:left="0"/>
      <w:jc w:val="center"/>
      <w:outlineLvl w:val="0"/>
    </w:pPr>
    <w:rPr>
      <w:b/>
      <w:sz w:val="28"/>
    </w:rPr>
  </w:style>
  <w:style w:type="paragraph" w:customStyle="1" w:styleId="DWTOCSubHeading">
    <w:name w:val="DW$_TOC SubHeading"/>
    <w:basedOn w:val="DWParaText"/>
    <w:rsid w:val="00481EAB"/>
    <w:pPr>
      <w:keepNext/>
      <w:tabs>
        <w:tab w:val="left" w:pos="8789"/>
      </w:tabs>
      <w:spacing w:after="120"/>
      <w:ind w:left="0"/>
    </w:pPr>
    <w:rPr>
      <w:b/>
      <w:sz w:val="24"/>
    </w:rPr>
  </w:style>
  <w:style w:type="paragraph" w:customStyle="1" w:styleId="DWAppHeading8">
    <w:name w:val="DW$_App Heading 8"/>
    <w:basedOn w:val="DWAppHeading7"/>
    <w:next w:val="DWAppParaText"/>
    <w:rsid w:val="00481EAB"/>
    <w:pPr>
      <w:outlineLvl w:val="7"/>
    </w:pPr>
  </w:style>
  <w:style w:type="paragraph" w:customStyle="1" w:styleId="DWAppHeading9">
    <w:name w:val="DW$_App Heading 9"/>
    <w:basedOn w:val="DWAppHeading8"/>
    <w:next w:val="DWAppParaText"/>
    <w:rsid w:val="00481EAB"/>
    <w:pPr>
      <w:outlineLvl w:val="8"/>
    </w:pPr>
  </w:style>
  <w:style w:type="paragraph" w:customStyle="1" w:styleId="DWSpace3">
    <w:name w:val="DW$_Space 3"/>
    <w:basedOn w:val="DWParaText"/>
    <w:next w:val="DWParaText"/>
    <w:rsid w:val="00481EAB"/>
    <w:pPr>
      <w:spacing w:before="60"/>
    </w:pPr>
    <w:rPr>
      <w:sz w:val="16"/>
    </w:rPr>
  </w:style>
  <w:style w:type="paragraph" w:customStyle="1" w:styleId="DWSpace6">
    <w:name w:val="DW$_Space 6"/>
    <w:basedOn w:val="DWParaText"/>
    <w:next w:val="DWParaText"/>
    <w:rsid w:val="00481EAB"/>
    <w:pPr>
      <w:spacing w:before="120"/>
    </w:pPr>
    <w:rPr>
      <w:sz w:val="16"/>
    </w:rPr>
  </w:style>
  <w:style w:type="paragraph" w:customStyle="1" w:styleId="DWTitleCentre14">
    <w:name w:val="DW$_Title Centre 14"/>
    <w:basedOn w:val="DWParaText"/>
    <w:rsid w:val="00481EAB"/>
    <w:pPr>
      <w:keepNext/>
      <w:ind w:left="0"/>
      <w:jc w:val="center"/>
    </w:pPr>
    <w:rPr>
      <w:b/>
      <w:sz w:val="28"/>
    </w:rPr>
  </w:style>
  <w:style w:type="paragraph" w:customStyle="1" w:styleId="DWTitleCentre16">
    <w:name w:val="DW$_Title Centre 16"/>
    <w:basedOn w:val="DWParaText"/>
    <w:rsid w:val="00481EAB"/>
    <w:pPr>
      <w:keepNext/>
      <w:ind w:left="0"/>
      <w:jc w:val="center"/>
    </w:pPr>
    <w:rPr>
      <w:b/>
      <w:sz w:val="32"/>
    </w:rPr>
  </w:style>
  <w:style w:type="paragraph" w:customStyle="1" w:styleId="DWTitleCentre8">
    <w:name w:val="DW$_Title Centre 8"/>
    <w:basedOn w:val="DWParaText"/>
    <w:rsid w:val="00481EAB"/>
    <w:pPr>
      <w:keepNext/>
      <w:spacing w:before="120"/>
      <w:ind w:left="0"/>
      <w:jc w:val="center"/>
    </w:pPr>
    <w:rPr>
      <w:b/>
      <w:sz w:val="16"/>
    </w:rPr>
  </w:style>
  <w:style w:type="paragraph" w:customStyle="1" w:styleId="DWGraphic">
    <w:name w:val="DW$_Graphic"/>
    <w:basedOn w:val="DWParaText"/>
    <w:rsid w:val="00481EAB"/>
    <w:pPr>
      <w:jc w:val="center"/>
    </w:pPr>
  </w:style>
  <w:style w:type="character" w:customStyle="1" w:styleId="DWHyperLink">
    <w:name w:val="DW$_HyperLink"/>
    <w:basedOn w:val="DefaultParagraphFont"/>
    <w:rsid w:val="00481EAB"/>
    <w:rPr>
      <w:color w:val="0000FF"/>
      <w:u w:val="single"/>
    </w:rPr>
  </w:style>
  <w:style w:type="paragraph" w:styleId="BlockText">
    <w:name w:val="Block Text"/>
    <w:basedOn w:val="Normal"/>
    <w:rsid w:val="00481EAB"/>
    <w:pPr>
      <w:spacing w:after="120"/>
      <w:ind w:left="1440" w:right="1440"/>
    </w:pPr>
  </w:style>
  <w:style w:type="paragraph" w:styleId="List">
    <w:name w:val="List"/>
    <w:basedOn w:val="Normal"/>
    <w:rsid w:val="00481EAB"/>
    <w:pPr>
      <w:ind w:left="283" w:hanging="283"/>
    </w:pPr>
  </w:style>
  <w:style w:type="paragraph" w:styleId="List2">
    <w:name w:val="List 2"/>
    <w:basedOn w:val="Normal"/>
    <w:rsid w:val="00481EAB"/>
    <w:pPr>
      <w:ind w:left="566" w:hanging="283"/>
    </w:pPr>
  </w:style>
  <w:style w:type="paragraph" w:styleId="ListBullet2">
    <w:name w:val="List Bullet 2"/>
    <w:basedOn w:val="Normal"/>
    <w:rsid w:val="00481EAB"/>
    <w:pPr>
      <w:numPr>
        <w:numId w:val="4"/>
      </w:numPr>
    </w:pPr>
  </w:style>
  <w:style w:type="paragraph" w:styleId="ListNumber2">
    <w:name w:val="List Number 2"/>
    <w:basedOn w:val="Normal"/>
    <w:rsid w:val="00481EAB"/>
    <w:pPr>
      <w:numPr>
        <w:numId w:val="2"/>
      </w:numPr>
    </w:pPr>
  </w:style>
  <w:style w:type="paragraph" w:styleId="MacroText">
    <w:name w:val="macro"/>
    <w:semiHidden/>
    <w:rsid w:val="00481EAB"/>
    <w:pPr>
      <w:framePr w:hSpace="181" w:vSpace="181" w:wrap="notBeside" w:vAnchor="text" w:hAnchor="text" w:y="1"/>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BodyText">
    <w:name w:val="Body Text"/>
    <w:basedOn w:val="Normal"/>
    <w:rsid w:val="00481EAB"/>
    <w:pPr>
      <w:spacing w:after="120"/>
    </w:pPr>
  </w:style>
  <w:style w:type="paragraph" w:styleId="BodyText2">
    <w:name w:val="Body Text 2"/>
    <w:basedOn w:val="Normal"/>
    <w:rsid w:val="00481EAB"/>
    <w:pPr>
      <w:spacing w:after="120" w:line="480" w:lineRule="auto"/>
    </w:pPr>
  </w:style>
  <w:style w:type="paragraph" w:styleId="BodyText3">
    <w:name w:val="Body Text 3"/>
    <w:basedOn w:val="Normal"/>
    <w:rsid w:val="00481EAB"/>
    <w:pPr>
      <w:spacing w:after="120"/>
    </w:pPr>
    <w:rPr>
      <w:sz w:val="16"/>
    </w:rPr>
  </w:style>
  <w:style w:type="paragraph" w:styleId="BodyTextFirstIndent">
    <w:name w:val="Body Text First Indent"/>
    <w:basedOn w:val="BodyText"/>
    <w:rsid w:val="00481EAB"/>
    <w:pPr>
      <w:ind w:firstLine="210"/>
    </w:pPr>
  </w:style>
  <w:style w:type="paragraph" w:styleId="BodyTextFirstIndent2">
    <w:name w:val="Body Text First Indent 2"/>
    <w:basedOn w:val="BodyTextIndent"/>
    <w:rsid w:val="00481EAB"/>
    <w:pPr>
      <w:ind w:firstLine="210"/>
    </w:pPr>
  </w:style>
  <w:style w:type="paragraph" w:styleId="BodyTextIndent2">
    <w:name w:val="Body Text Indent 2"/>
    <w:basedOn w:val="Normal"/>
    <w:rsid w:val="00481EAB"/>
    <w:pPr>
      <w:spacing w:after="120" w:line="480" w:lineRule="auto"/>
      <w:ind w:left="283"/>
    </w:pPr>
  </w:style>
  <w:style w:type="paragraph" w:styleId="BodyTextIndent3">
    <w:name w:val="Body Text Indent 3"/>
    <w:basedOn w:val="Normal"/>
    <w:rsid w:val="00481EAB"/>
    <w:pPr>
      <w:spacing w:after="120"/>
      <w:ind w:left="283"/>
    </w:pPr>
    <w:rPr>
      <w:sz w:val="16"/>
    </w:rPr>
  </w:style>
  <w:style w:type="paragraph" w:styleId="Closing">
    <w:name w:val="Closing"/>
    <w:basedOn w:val="Normal"/>
    <w:rsid w:val="00481EAB"/>
    <w:pPr>
      <w:ind w:left="4252"/>
    </w:pPr>
  </w:style>
  <w:style w:type="paragraph" w:styleId="CommentText">
    <w:name w:val="annotation text"/>
    <w:basedOn w:val="Normal"/>
    <w:semiHidden/>
    <w:rsid w:val="00481EAB"/>
  </w:style>
  <w:style w:type="paragraph" w:styleId="Date">
    <w:name w:val="Date"/>
    <w:basedOn w:val="Normal"/>
    <w:next w:val="Normal"/>
    <w:rsid w:val="00481EAB"/>
  </w:style>
  <w:style w:type="paragraph" w:styleId="EndnoteText">
    <w:name w:val="endnote text"/>
    <w:basedOn w:val="Normal"/>
    <w:semiHidden/>
    <w:rsid w:val="00481EAB"/>
  </w:style>
  <w:style w:type="paragraph" w:styleId="EnvelopeAddress">
    <w:name w:val="envelope address"/>
    <w:basedOn w:val="Normal"/>
    <w:rsid w:val="00481EA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81EAB"/>
    <w:rPr>
      <w:rFonts w:ascii="Arial" w:hAnsi="Arial"/>
    </w:rPr>
  </w:style>
  <w:style w:type="paragraph" w:styleId="Index2">
    <w:name w:val="index 2"/>
    <w:basedOn w:val="Normal"/>
    <w:next w:val="Normal"/>
    <w:semiHidden/>
    <w:rsid w:val="00481EAB"/>
    <w:pPr>
      <w:ind w:left="400" w:hanging="200"/>
    </w:pPr>
  </w:style>
  <w:style w:type="paragraph" w:styleId="Index3">
    <w:name w:val="index 3"/>
    <w:basedOn w:val="Normal"/>
    <w:next w:val="Normal"/>
    <w:semiHidden/>
    <w:rsid w:val="00481EAB"/>
    <w:pPr>
      <w:ind w:left="600" w:hanging="200"/>
    </w:pPr>
  </w:style>
  <w:style w:type="paragraph" w:styleId="Index4">
    <w:name w:val="index 4"/>
    <w:basedOn w:val="Normal"/>
    <w:next w:val="Normal"/>
    <w:semiHidden/>
    <w:rsid w:val="00481EAB"/>
    <w:pPr>
      <w:ind w:left="800" w:hanging="200"/>
    </w:pPr>
  </w:style>
  <w:style w:type="paragraph" w:styleId="Index5">
    <w:name w:val="index 5"/>
    <w:basedOn w:val="Normal"/>
    <w:next w:val="Normal"/>
    <w:semiHidden/>
    <w:rsid w:val="00481EAB"/>
    <w:pPr>
      <w:ind w:left="1000" w:hanging="200"/>
    </w:pPr>
  </w:style>
  <w:style w:type="paragraph" w:styleId="Index6">
    <w:name w:val="index 6"/>
    <w:basedOn w:val="Normal"/>
    <w:next w:val="Normal"/>
    <w:semiHidden/>
    <w:rsid w:val="00481EAB"/>
    <w:pPr>
      <w:ind w:left="1200" w:hanging="200"/>
    </w:pPr>
  </w:style>
  <w:style w:type="paragraph" w:styleId="Index7">
    <w:name w:val="index 7"/>
    <w:basedOn w:val="Normal"/>
    <w:next w:val="Normal"/>
    <w:semiHidden/>
    <w:rsid w:val="00481EAB"/>
    <w:pPr>
      <w:ind w:left="1400" w:hanging="200"/>
    </w:pPr>
  </w:style>
  <w:style w:type="paragraph" w:styleId="Index8">
    <w:name w:val="index 8"/>
    <w:basedOn w:val="Normal"/>
    <w:next w:val="Normal"/>
    <w:semiHidden/>
    <w:rsid w:val="00481EAB"/>
    <w:pPr>
      <w:ind w:left="1600" w:hanging="200"/>
    </w:pPr>
  </w:style>
  <w:style w:type="paragraph" w:styleId="Index9">
    <w:name w:val="index 9"/>
    <w:basedOn w:val="Normal"/>
    <w:next w:val="Normal"/>
    <w:semiHidden/>
    <w:rsid w:val="00481EAB"/>
    <w:pPr>
      <w:ind w:left="1800" w:hanging="200"/>
    </w:pPr>
  </w:style>
  <w:style w:type="paragraph" w:styleId="IndexHeading">
    <w:name w:val="index heading"/>
    <w:basedOn w:val="Normal"/>
    <w:next w:val="Index1"/>
    <w:semiHidden/>
    <w:rsid w:val="00481EAB"/>
    <w:rPr>
      <w:rFonts w:ascii="Arial" w:hAnsi="Arial"/>
      <w:b/>
    </w:rPr>
  </w:style>
  <w:style w:type="paragraph" w:styleId="List3">
    <w:name w:val="List 3"/>
    <w:basedOn w:val="Normal"/>
    <w:rsid w:val="00481EAB"/>
    <w:pPr>
      <w:ind w:left="849" w:hanging="283"/>
    </w:pPr>
  </w:style>
  <w:style w:type="paragraph" w:styleId="List4">
    <w:name w:val="List 4"/>
    <w:basedOn w:val="Normal"/>
    <w:rsid w:val="00481EAB"/>
    <w:pPr>
      <w:ind w:left="1132" w:hanging="283"/>
    </w:pPr>
  </w:style>
  <w:style w:type="paragraph" w:styleId="List5">
    <w:name w:val="List 5"/>
    <w:basedOn w:val="Normal"/>
    <w:rsid w:val="00481EAB"/>
    <w:pPr>
      <w:ind w:left="1415" w:hanging="283"/>
    </w:pPr>
  </w:style>
  <w:style w:type="paragraph" w:styleId="ListBullet">
    <w:name w:val="List Bullet"/>
    <w:basedOn w:val="Normal"/>
    <w:rsid w:val="00481EAB"/>
    <w:pPr>
      <w:numPr>
        <w:numId w:val="11"/>
      </w:numPr>
    </w:pPr>
  </w:style>
  <w:style w:type="paragraph" w:styleId="ListBullet3">
    <w:name w:val="List Bullet 3"/>
    <w:basedOn w:val="Normal"/>
    <w:rsid w:val="00481EAB"/>
    <w:pPr>
      <w:numPr>
        <w:numId w:val="12"/>
      </w:numPr>
    </w:pPr>
  </w:style>
  <w:style w:type="paragraph" w:styleId="ListBullet4">
    <w:name w:val="List Bullet 4"/>
    <w:basedOn w:val="Normal"/>
    <w:rsid w:val="00481EAB"/>
    <w:pPr>
      <w:numPr>
        <w:numId w:val="9"/>
      </w:numPr>
    </w:pPr>
  </w:style>
  <w:style w:type="paragraph" w:styleId="ListBullet5">
    <w:name w:val="List Bullet 5"/>
    <w:basedOn w:val="Normal"/>
    <w:rsid w:val="00481EAB"/>
    <w:pPr>
      <w:numPr>
        <w:numId w:val="10"/>
      </w:numPr>
    </w:pPr>
  </w:style>
  <w:style w:type="paragraph" w:styleId="ListContinue">
    <w:name w:val="List Continue"/>
    <w:basedOn w:val="Normal"/>
    <w:rsid w:val="00481EAB"/>
    <w:pPr>
      <w:spacing w:after="120"/>
      <w:ind w:left="283"/>
    </w:pPr>
  </w:style>
  <w:style w:type="paragraph" w:styleId="ListContinue2">
    <w:name w:val="List Continue 2"/>
    <w:basedOn w:val="Normal"/>
    <w:rsid w:val="00481EAB"/>
    <w:pPr>
      <w:spacing w:after="120"/>
      <w:ind w:left="566"/>
    </w:pPr>
  </w:style>
  <w:style w:type="paragraph" w:styleId="ListContinue3">
    <w:name w:val="List Continue 3"/>
    <w:basedOn w:val="Normal"/>
    <w:rsid w:val="00481EAB"/>
    <w:pPr>
      <w:spacing w:after="120"/>
      <w:ind w:left="849"/>
    </w:pPr>
  </w:style>
  <w:style w:type="paragraph" w:styleId="ListContinue4">
    <w:name w:val="List Continue 4"/>
    <w:basedOn w:val="Normal"/>
    <w:rsid w:val="00481EAB"/>
    <w:pPr>
      <w:spacing w:after="120"/>
      <w:ind w:left="1132"/>
    </w:pPr>
  </w:style>
  <w:style w:type="paragraph" w:styleId="ListContinue5">
    <w:name w:val="List Continue 5"/>
    <w:basedOn w:val="Normal"/>
    <w:rsid w:val="00481EAB"/>
    <w:pPr>
      <w:spacing w:after="120"/>
      <w:ind w:left="1415"/>
    </w:pPr>
  </w:style>
  <w:style w:type="paragraph" w:styleId="ListNumber">
    <w:name w:val="List Number"/>
    <w:basedOn w:val="Normal"/>
    <w:rsid w:val="00481EAB"/>
    <w:pPr>
      <w:numPr>
        <w:numId w:val="13"/>
      </w:numPr>
    </w:pPr>
  </w:style>
  <w:style w:type="paragraph" w:styleId="ListNumber3">
    <w:name w:val="List Number 3"/>
    <w:basedOn w:val="Normal"/>
    <w:rsid w:val="00481EAB"/>
    <w:pPr>
      <w:numPr>
        <w:numId w:val="6"/>
      </w:numPr>
    </w:pPr>
  </w:style>
  <w:style w:type="paragraph" w:styleId="ListNumber4">
    <w:name w:val="List Number 4"/>
    <w:basedOn w:val="Normal"/>
    <w:rsid w:val="00481EAB"/>
    <w:pPr>
      <w:numPr>
        <w:numId w:val="8"/>
      </w:numPr>
    </w:pPr>
  </w:style>
  <w:style w:type="paragraph" w:styleId="ListNumber5">
    <w:name w:val="List Number 5"/>
    <w:basedOn w:val="Normal"/>
    <w:rsid w:val="00481EAB"/>
    <w:pPr>
      <w:numPr>
        <w:numId w:val="7"/>
      </w:numPr>
    </w:pPr>
  </w:style>
  <w:style w:type="paragraph" w:styleId="MessageHeader">
    <w:name w:val="Message Header"/>
    <w:basedOn w:val="Normal"/>
    <w:rsid w:val="00481EA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rsid w:val="00481EAB"/>
    <w:pPr>
      <w:ind w:left="720"/>
    </w:pPr>
  </w:style>
  <w:style w:type="paragraph" w:styleId="NoteHeading">
    <w:name w:val="Note Heading"/>
    <w:basedOn w:val="Normal"/>
    <w:next w:val="Normal"/>
    <w:rsid w:val="00481EAB"/>
  </w:style>
  <w:style w:type="paragraph" w:styleId="PlainText">
    <w:name w:val="Plain Text"/>
    <w:basedOn w:val="Normal"/>
    <w:rsid w:val="00481EAB"/>
    <w:rPr>
      <w:rFonts w:ascii="Courier New" w:hAnsi="Courier New"/>
    </w:rPr>
  </w:style>
  <w:style w:type="paragraph" w:styleId="Salutation">
    <w:name w:val="Salutation"/>
    <w:basedOn w:val="Normal"/>
    <w:next w:val="Normal"/>
    <w:rsid w:val="00481EAB"/>
  </w:style>
  <w:style w:type="paragraph" w:styleId="Signature">
    <w:name w:val="Signature"/>
    <w:basedOn w:val="Normal"/>
    <w:rsid w:val="00481EAB"/>
    <w:pPr>
      <w:ind w:left="4252"/>
    </w:pPr>
  </w:style>
  <w:style w:type="paragraph" w:styleId="Subtitle">
    <w:name w:val="Subtitle"/>
    <w:basedOn w:val="Normal"/>
    <w:qFormat/>
    <w:rsid w:val="00481EAB"/>
    <w:pPr>
      <w:spacing w:after="60"/>
      <w:jc w:val="center"/>
      <w:outlineLvl w:val="1"/>
    </w:pPr>
    <w:rPr>
      <w:rFonts w:ascii="Arial" w:hAnsi="Arial"/>
      <w:sz w:val="24"/>
    </w:rPr>
  </w:style>
  <w:style w:type="paragraph" w:styleId="Title">
    <w:name w:val="Title"/>
    <w:basedOn w:val="Normal"/>
    <w:qFormat/>
    <w:rsid w:val="00481EAB"/>
    <w:pPr>
      <w:spacing w:before="240" w:after="60"/>
      <w:jc w:val="center"/>
      <w:outlineLvl w:val="0"/>
    </w:pPr>
    <w:rPr>
      <w:rFonts w:ascii="Arial" w:hAnsi="Arial"/>
      <w:b/>
      <w:kern w:val="28"/>
      <w:sz w:val="32"/>
    </w:rPr>
  </w:style>
  <w:style w:type="paragraph" w:customStyle="1" w:styleId="CopyRight">
    <w:name w:val="CopyRight"/>
    <w:basedOn w:val="Normal"/>
    <w:rsid w:val="00481EAB"/>
    <w:pPr>
      <w:framePr w:wrap="around" w:vAnchor="page" w:hAnchor="page" w:x="433" w:y="11809"/>
    </w:pPr>
    <w:rPr>
      <w:sz w:val="24"/>
    </w:rPr>
  </w:style>
  <w:style w:type="paragraph" w:customStyle="1" w:styleId="Style3">
    <w:name w:val="Style3"/>
    <w:basedOn w:val="DWTableText"/>
    <w:rsid w:val="00481EAB"/>
  </w:style>
  <w:style w:type="paragraph" w:styleId="BalloonText">
    <w:name w:val="Balloon Text"/>
    <w:basedOn w:val="Normal"/>
    <w:link w:val="BalloonTextChar"/>
    <w:rsid w:val="00495B0E"/>
    <w:rPr>
      <w:rFonts w:ascii="Segoe UI" w:hAnsi="Segoe UI" w:cs="Segoe UI"/>
      <w:sz w:val="18"/>
      <w:szCs w:val="18"/>
    </w:rPr>
  </w:style>
  <w:style w:type="character" w:customStyle="1" w:styleId="BalloonTextChar">
    <w:name w:val="Balloon Text Char"/>
    <w:basedOn w:val="DefaultParagraphFont"/>
    <w:link w:val="BalloonText"/>
    <w:rsid w:val="00495B0E"/>
    <w:rPr>
      <w:rFonts w:ascii="Segoe UI" w:hAnsi="Segoe UI" w:cs="Segoe UI"/>
      <w:sz w:val="18"/>
      <w:szCs w:val="18"/>
      <w:lang w:eastAsia="en-US"/>
    </w:rPr>
  </w:style>
  <w:style w:type="paragraph" w:styleId="ListParagraph">
    <w:name w:val="List Paragraph"/>
    <w:basedOn w:val="Normal"/>
    <w:uiPriority w:val="34"/>
    <w:qFormat/>
    <w:rsid w:val="0064054B"/>
    <w:pPr>
      <w:spacing w:after="200" w:line="276" w:lineRule="auto"/>
      <w:ind w:left="720"/>
      <w:contextualSpacing/>
    </w:pPr>
    <w:rPr>
      <w:rFonts w:ascii="Calibri" w:hAnsi="Calibri"/>
      <w:sz w:val="22"/>
      <w:szCs w:val="22"/>
    </w:rPr>
  </w:style>
  <w:style w:type="character" w:styleId="Hyperlink">
    <w:name w:val="Hyperlink"/>
    <w:basedOn w:val="DefaultParagraphFont"/>
    <w:rsid w:val="00F42E6A"/>
    <w:rPr>
      <w:color w:val="0563C1" w:themeColor="hyperlink"/>
      <w:u w:val="single"/>
    </w:rPr>
  </w:style>
  <w:style w:type="character" w:styleId="FollowedHyperlink">
    <w:name w:val="FollowedHyperlink"/>
    <w:basedOn w:val="DefaultParagraphFont"/>
    <w:rsid w:val="000B22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252049">
      <w:bodyDiv w:val="1"/>
      <w:marLeft w:val="0"/>
      <w:marRight w:val="0"/>
      <w:marTop w:val="0"/>
      <w:marBottom w:val="0"/>
      <w:divBdr>
        <w:top w:val="none" w:sz="0" w:space="0" w:color="auto"/>
        <w:left w:val="none" w:sz="0" w:space="0" w:color="auto"/>
        <w:bottom w:val="none" w:sz="0" w:space="0" w:color="auto"/>
        <w:right w:val="none" w:sz="0" w:space="0" w:color="auto"/>
      </w:divBdr>
      <w:divsChild>
        <w:div w:id="1512333061">
          <w:marLeft w:val="0"/>
          <w:marRight w:val="0"/>
          <w:marTop w:val="0"/>
          <w:marBottom w:val="0"/>
          <w:divBdr>
            <w:top w:val="none" w:sz="0" w:space="0" w:color="auto"/>
            <w:left w:val="none" w:sz="0" w:space="0" w:color="auto"/>
            <w:bottom w:val="none" w:sz="0" w:space="0" w:color="auto"/>
            <w:right w:val="none" w:sz="0" w:space="0" w:color="auto"/>
          </w:divBdr>
        </w:div>
        <w:div w:id="153322539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rbt.treasury.gov.au/submissions/PlatformForConsultation/html/sub233.htm" TargetMode="External"/><Relationship Id="rId26" Type="http://schemas.openxmlformats.org/officeDocument/2006/relationships/hyperlink" Target="http://theconversation.com/factcheck-qanda-what-are-the-real-numbers-on-refugees-and-other-migrants-coming-to-australia-66912" TargetMode="External"/><Relationship Id="rId39" Type="http://schemas.openxmlformats.org/officeDocument/2006/relationships/hyperlink" Target="http://mitpress.mit.edu/books/made-japan" TargetMode="External"/><Relationship Id="rId3" Type="http://schemas.openxmlformats.org/officeDocument/2006/relationships/customXml" Target="../customXml/item3.xml"/><Relationship Id="rId21" Type="http://schemas.openxmlformats.org/officeDocument/2006/relationships/hyperlink" Target="http://edition.cnn.com/2016/07/05/politics/white-house-salary-report/" TargetMode="External"/><Relationship Id="rId34" Type="http://schemas.openxmlformats.org/officeDocument/2006/relationships/hyperlink" Target="https://en.wikipedia.org/wiki/Median_household_income_in_Australia_and_New_Zealand" TargetMode="External"/><Relationship Id="rId42" Type="http://schemas.openxmlformats.org/officeDocument/2006/relationships/hyperlink" Target="http://www.abc.net.au/7.30/stories/s763920.htm" TargetMode="Externa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rbt.treasury.gov.au/submissions/platformConsultation.htm" TargetMode="External"/><Relationship Id="rId25" Type="http://schemas.openxmlformats.org/officeDocument/2006/relationships/hyperlink" Target="http://theconversation.com/factcheck-are-australians-paying-twice-as-much-for-electricity-as-americans-69980" TargetMode="External"/><Relationship Id="rId33" Type="http://schemas.openxmlformats.org/officeDocument/2006/relationships/hyperlink" Target="http://www.rba.gov.au/calculator/" TargetMode="External"/><Relationship Id="rId38" Type="http://schemas.openxmlformats.org/officeDocument/2006/relationships/hyperlink" Target="http://mitpress.mit.edu/books/made-america" TargetMode="External"/><Relationship Id="rId46"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hyperlink" Target="http://mitpress.mit.edu/books/made-america" TargetMode="External"/><Relationship Id="rId20" Type="http://schemas.openxmlformats.org/officeDocument/2006/relationships/hyperlink" Target="http://www.infoplease.com/ipa/A0875856.html" TargetMode="External"/><Relationship Id="rId29" Type="http://schemas.openxmlformats.org/officeDocument/2006/relationships/hyperlink" Target="https://en.wikipedia.org/wiki/Thomas_Playford_IV"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abc.net.au/news/2016-06-02/fact-check-are-there-over-a-million-457s-out-there/7463706" TargetMode="External"/><Relationship Id="rId32" Type="http://schemas.openxmlformats.org/officeDocument/2006/relationships/hyperlink" Target="http://www.officeworks.com.au/shop/officeworks/p/clax-cart-le9321021" TargetMode="External"/><Relationship Id="rId37" Type="http://schemas.openxmlformats.org/officeDocument/2006/relationships/hyperlink" Target="https://en.wikipedia.org/wiki/Brexit" TargetMode="External"/><Relationship Id="rId40" Type="http://schemas.openxmlformats.org/officeDocument/2006/relationships/header" Target="header1.xml"/><Relationship Id="rId45" Type="http://schemas.openxmlformats.org/officeDocument/2006/relationships/hyperlink" Target="http://www.rba.gov.au/calculator/annualDecimal.html" TargetMode="External"/><Relationship Id="rId5" Type="http://schemas.openxmlformats.org/officeDocument/2006/relationships/customXml" Target="../customXml/item5.xml"/><Relationship Id="rId15" Type="http://schemas.openxmlformats.org/officeDocument/2006/relationships/hyperlink" Target="http://mitpress.mit.edu/books/made-japan" TargetMode="External"/><Relationship Id="rId23" Type="http://schemas.openxmlformats.org/officeDocument/2006/relationships/hyperlink" Target="https://www.opm.gov/policy-data-oversight/pay-leave/salaries-wages/salary-tables/17Tables/exec/html/EX.aspx" TargetMode="External"/><Relationship Id="rId28" Type="http://schemas.openxmlformats.org/officeDocument/2006/relationships/hyperlink" Target="https://www.eia.gov/dnav/pet/hist/LeafHandler.ashx?n=PET&amp;s=M_EPLLPA_PRS_NUS_DPG&amp;f=M" TargetMode="External"/><Relationship Id="rId36" Type="http://schemas.openxmlformats.org/officeDocument/2006/relationships/hyperlink" Target="https://en.wikipedia.org/wiki/Chief_Justice_of_Australia" TargetMode="External"/><Relationship Id="rId10" Type="http://schemas.openxmlformats.org/officeDocument/2006/relationships/settings" Target="settings.xml"/><Relationship Id="rId19" Type="http://schemas.openxmlformats.org/officeDocument/2006/relationships/hyperlink" Target="http://www.alrc.gov.au/inquiries/royal-commissions-and-official-inquiries" TargetMode="External"/><Relationship Id="rId31" Type="http://schemas.openxmlformats.org/officeDocument/2006/relationships/hyperlink" Target="http://www.clax.de/shop/clax-trolley-3/" TargetMode="External"/><Relationship Id="rId44" Type="http://schemas.openxmlformats.org/officeDocument/2006/relationships/hyperlink" Target="http://www.rba.gov.au/calculator/annualDecimal.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iea.org/countries/membercountries/unitedstates/" TargetMode="External"/><Relationship Id="rId22" Type="http://schemas.openxmlformats.org/officeDocument/2006/relationships/hyperlink" Target="https://www.whitehouse.gov/21stcenturygov/tools/salaries" TargetMode="External"/><Relationship Id="rId27" Type="http://schemas.openxmlformats.org/officeDocument/2006/relationships/hyperlink" Target="http://www.eia.gov/petroleum/gasdiesel/" TargetMode="External"/><Relationship Id="rId30" Type="http://schemas.openxmlformats.org/officeDocument/2006/relationships/hyperlink" Target="http://theconversation.com/factcheck-is-australias-level-of-media-ownership-concentration-one-of-the-highest-in-the-world-68437" TargetMode="External"/><Relationship Id="rId35" Type="http://schemas.openxmlformats.org/officeDocument/2006/relationships/hyperlink" Target="https://en.wikipedia.org/wiki/Household_income_in_the_United_States" TargetMode="External"/><Relationship Id="rId43" Type="http://schemas.openxmlformats.org/officeDocument/2006/relationships/hyperlink" Target="https://www.youtube.com/watch?v=za03H7Ig7i8&amp;t=48"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C\DATA\Business\Submissions\AustralianGovBudget2016\BasicDocumentTemplate_JEC-T-001_0-1a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2017FG-94-5848</_dlc_DocId>
    <TaxCatchAll xmlns="e544e5cc-ab70-42e1-849e-1a0f8bb1f4ef">
      <Value>2</Value>
    </TaxCatchAll>
    <_dlc_DocIdUrl xmlns="e544e5cc-ab70-42e1-849e-1a0f8bb1f4ef">
      <Url>http://tweb/sites/fg/bpd/_layouts/15/DocIdRedir.aspx?ID=2017FG-94-5848</Url>
      <Description>2017FG-94-5848</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23C0-952F-4A49-A10A-5EC03F5870C6}">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2.xml><?xml version="1.0" encoding="utf-8"?>
<ds:datastoreItem xmlns:ds="http://schemas.openxmlformats.org/officeDocument/2006/customXml" ds:itemID="{F7A79800-8F38-477F-A98F-877D1D4BEEFB}">
  <ds:schemaRefs>
    <ds:schemaRef ds:uri="http://schemas.microsoft.com/sharepoint/v3/contenttype/forms"/>
  </ds:schemaRefs>
</ds:datastoreItem>
</file>

<file path=customXml/itemProps3.xml><?xml version="1.0" encoding="utf-8"?>
<ds:datastoreItem xmlns:ds="http://schemas.openxmlformats.org/officeDocument/2006/customXml" ds:itemID="{0708118B-F005-4102-8F5A-687A0A3331CC}">
  <ds:schemaRefs>
    <ds:schemaRef ds:uri="office.server.policy"/>
  </ds:schemaRefs>
</ds:datastoreItem>
</file>

<file path=customXml/itemProps4.xml><?xml version="1.0" encoding="utf-8"?>
<ds:datastoreItem xmlns:ds="http://schemas.openxmlformats.org/officeDocument/2006/customXml" ds:itemID="{3D09095F-66E9-4BBC-8310-84B96F0F3A11}">
  <ds:schemaRefs>
    <ds:schemaRef ds:uri="http://schemas.microsoft.com/sharepoint/events"/>
  </ds:schemaRefs>
</ds:datastoreItem>
</file>

<file path=customXml/itemProps5.xml><?xml version="1.0" encoding="utf-8"?>
<ds:datastoreItem xmlns:ds="http://schemas.openxmlformats.org/officeDocument/2006/customXml" ds:itemID="{50509282-DD09-4251-B787-1A4C05DAE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D83930-E93F-465A-9C0E-0A2A5A0E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BasicDocumentTemplate_JEC-T-001_0-1a1.dotx</Template>
  <TotalTime>0</TotalTime>
  <Pages>3</Pages>
  <Words>10488</Words>
  <Characters>57044</Characters>
  <Application>Microsoft Office Word</Application>
  <DocSecurity>0</DocSecurity>
  <Lines>1330</Lines>
  <Paragraphs>607</Paragraphs>
  <ScaleCrop>false</ScaleCrop>
  <Company/>
  <LinksUpToDate>false</LinksUpToDate>
  <CharactersWithSpaces>67009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Caldecott John E - 2017-18 Pre-Budget Submission</dc:title>
  <dc:subject/>
  <dc:creator/>
  <cp:keywords/>
  <dc:description/>
  <cp:lastModifiedBy/>
  <cp:revision>1</cp:revision>
  <dcterms:created xsi:type="dcterms:W3CDTF">2017-02-13T23:02:00Z</dcterms:created>
  <dcterms:modified xsi:type="dcterms:W3CDTF">2017-02-13T23:02:00Z</dcterms:modified>
  <cp:category/>
  <dc:language>English</dc:language>
</cp:coreProperties>
</file>