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01AA7" w14:textId="77777777" w:rsidR="00136F98" w:rsidRDefault="00136F98" w:rsidP="005C5633">
      <w:pPr>
        <w:pStyle w:val="areasconsulted"/>
        <w:spacing w:before="0" w:after="0"/>
      </w:pPr>
    </w:p>
    <w:p w14:paraId="1B7B5176" w14:textId="77777777" w:rsidR="00664A1B" w:rsidRPr="00372F6E" w:rsidRDefault="00664A1B" w:rsidP="00664A1B">
      <w:pPr>
        <w:keepNext/>
        <w:keepLines/>
        <w:spacing w:before="240" w:after="0"/>
        <w:jc w:val="center"/>
        <w:outlineLvl w:val="0"/>
        <w:rPr>
          <w:rFonts w:eastAsiaTheme="majorEastAsia"/>
          <w:b/>
          <w:bCs/>
          <w:sz w:val="28"/>
          <w:szCs w:val="28"/>
          <w:lang w:eastAsia="en-US"/>
        </w:rPr>
      </w:pPr>
      <w:r w:rsidRPr="00372F6E">
        <w:rPr>
          <w:rFonts w:eastAsiaTheme="majorEastAsia"/>
          <w:b/>
          <w:bCs/>
          <w:sz w:val="28"/>
          <w:szCs w:val="28"/>
          <w:lang w:eastAsia="en-US"/>
        </w:rPr>
        <w:t>Affordable Housing Working Group</w:t>
      </w:r>
    </w:p>
    <w:p w14:paraId="64F0D8B5" w14:textId="77777777" w:rsidR="00664A1B" w:rsidRPr="00372F6E" w:rsidRDefault="00664A1B" w:rsidP="00664A1B">
      <w:pPr>
        <w:keepNext/>
        <w:keepLines/>
        <w:spacing w:before="240" w:after="0"/>
        <w:jc w:val="center"/>
        <w:outlineLvl w:val="0"/>
        <w:rPr>
          <w:rFonts w:eastAsiaTheme="majorEastAsia"/>
          <w:b/>
          <w:bCs/>
          <w:sz w:val="28"/>
          <w:szCs w:val="28"/>
          <w:lang w:eastAsia="en-US"/>
        </w:rPr>
      </w:pPr>
      <w:r w:rsidRPr="00372F6E">
        <w:rPr>
          <w:rFonts w:eastAsiaTheme="majorEastAsia"/>
          <w:b/>
          <w:bCs/>
          <w:sz w:val="28"/>
          <w:szCs w:val="28"/>
          <w:lang w:eastAsia="en-US"/>
        </w:rPr>
        <w:t>Terms of Reference</w:t>
      </w:r>
    </w:p>
    <w:p w14:paraId="06B6847B" w14:textId="77777777" w:rsidR="00664A1B" w:rsidRPr="00372F6E" w:rsidRDefault="00664A1B" w:rsidP="00372F6E">
      <w:pPr>
        <w:pStyle w:val="Heading3"/>
        <w:rPr>
          <w:rFonts w:eastAsiaTheme="minorHAnsi"/>
          <w:b w:val="0"/>
          <w:lang w:eastAsia="en-US"/>
        </w:rPr>
      </w:pPr>
      <w:r w:rsidRPr="00372F6E">
        <w:rPr>
          <w:rFonts w:eastAsiaTheme="minorHAnsi"/>
          <w:lang w:eastAsia="en-US"/>
        </w:rPr>
        <w:t>Context</w:t>
      </w:r>
    </w:p>
    <w:p w14:paraId="2305054D" w14:textId="76477ADC" w:rsidR="00664A1B" w:rsidRDefault="00664A1B" w:rsidP="00664A1B">
      <w:pPr>
        <w:rPr>
          <w:rFonts w:eastAsiaTheme="minorHAnsi"/>
          <w:sz w:val="22"/>
          <w:szCs w:val="22"/>
          <w:lang w:eastAsia="en-US"/>
        </w:rPr>
      </w:pPr>
      <w:r w:rsidRPr="00CD247F">
        <w:rPr>
          <w:rFonts w:eastAsiaTheme="minorHAnsi"/>
          <w:sz w:val="22"/>
          <w:szCs w:val="22"/>
          <w:lang w:eastAsia="en-US"/>
        </w:rPr>
        <w:t>Affordable housing is that which reduces or eliminates</w:t>
      </w:r>
      <w:r w:rsidR="007E14F6">
        <w:rPr>
          <w:rFonts w:eastAsiaTheme="minorHAnsi"/>
          <w:sz w:val="22"/>
          <w:szCs w:val="22"/>
          <w:lang w:eastAsia="en-US"/>
        </w:rPr>
        <w:t xml:space="preserve"> </w:t>
      </w:r>
      <w:r w:rsidRPr="00CD247F">
        <w:rPr>
          <w:rFonts w:eastAsiaTheme="minorHAnsi"/>
          <w:sz w:val="22"/>
          <w:szCs w:val="22"/>
          <w:lang w:eastAsia="en-US"/>
        </w:rPr>
        <w:t xml:space="preserve">housing stress for low </w:t>
      </w:r>
      <w:r>
        <w:rPr>
          <w:rFonts w:eastAsiaTheme="minorHAnsi"/>
          <w:sz w:val="22"/>
          <w:szCs w:val="22"/>
          <w:lang w:eastAsia="en-US"/>
        </w:rPr>
        <w:t>income and disadvantaged</w:t>
      </w:r>
      <w:r w:rsidRPr="00CD247F">
        <w:rPr>
          <w:rFonts w:eastAsiaTheme="minorHAnsi"/>
          <w:sz w:val="22"/>
          <w:szCs w:val="22"/>
          <w:lang w:eastAsia="en-US"/>
        </w:rPr>
        <w:t xml:space="preserve"> families</w:t>
      </w:r>
      <w:r w:rsidR="00D57744">
        <w:rPr>
          <w:rFonts w:eastAsiaTheme="minorHAnsi"/>
          <w:sz w:val="22"/>
          <w:szCs w:val="22"/>
          <w:lang w:eastAsia="en-US"/>
        </w:rPr>
        <w:t xml:space="preserve"> and individuals </w:t>
      </w:r>
      <w:r w:rsidR="003642A1">
        <w:rPr>
          <w:rFonts w:eastAsiaTheme="minorHAnsi"/>
          <w:sz w:val="22"/>
          <w:szCs w:val="22"/>
          <w:lang w:eastAsia="en-US"/>
        </w:rPr>
        <w:t>in order to assist them with meeting</w:t>
      </w:r>
      <w:r w:rsidR="00D57744">
        <w:rPr>
          <w:rFonts w:eastAsiaTheme="minorHAnsi"/>
          <w:sz w:val="22"/>
          <w:szCs w:val="22"/>
          <w:lang w:eastAsia="en-US"/>
        </w:rPr>
        <w:t xml:space="preserve"> other essential basic needs on a sustainable basis</w:t>
      </w:r>
      <w:r w:rsidRPr="00CD247F">
        <w:rPr>
          <w:rFonts w:eastAsiaTheme="minorHAnsi"/>
          <w:sz w:val="22"/>
          <w:szCs w:val="22"/>
          <w:lang w:eastAsia="en-US"/>
        </w:rPr>
        <w:t xml:space="preserve">, </w:t>
      </w:r>
      <w:r w:rsidR="00890959">
        <w:rPr>
          <w:rFonts w:eastAsiaTheme="minorHAnsi"/>
          <w:sz w:val="22"/>
          <w:szCs w:val="22"/>
          <w:lang w:eastAsia="en-US"/>
        </w:rPr>
        <w:t xml:space="preserve">whilst balancing the need </w:t>
      </w:r>
      <w:r w:rsidR="00D57744">
        <w:rPr>
          <w:rFonts w:eastAsiaTheme="minorHAnsi"/>
          <w:sz w:val="22"/>
          <w:szCs w:val="22"/>
          <w:lang w:eastAsia="en-US"/>
        </w:rPr>
        <w:t xml:space="preserve">for housing </w:t>
      </w:r>
      <w:r w:rsidR="00890959">
        <w:rPr>
          <w:rFonts w:eastAsiaTheme="minorHAnsi"/>
          <w:sz w:val="22"/>
          <w:szCs w:val="22"/>
          <w:lang w:eastAsia="en-US"/>
        </w:rPr>
        <w:t>to be of</w:t>
      </w:r>
      <w:r w:rsidRPr="00CD247F">
        <w:rPr>
          <w:rFonts w:eastAsiaTheme="minorHAnsi"/>
          <w:sz w:val="22"/>
          <w:szCs w:val="22"/>
          <w:lang w:eastAsia="en-US"/>
        </w:rPr>
        <w:t xml:space="preserve"> a </w:t>
      </w:r>
      <w:r w:rsidR="00D57744">
        <w:rPr>
          <w:rFonts w:eastAsiaTheme="minorHAnsi"/>
          <w:sz w:val="22"/>
          <w:szCs w:val="22"/>
          <w:lang w:eastAsia="en-US"/>
        </w:rPr>
        <w:t xml:space="preserve">minimum </w:t>
      </w:r>
      <w:r w:rsidRPr="00CD247F">
        <w:rPr>
          <w:rFonts w:eastAsiaTheme="minorHAnsi"/>
          <w:sz w:val="22"/>
          <w:szCs w:val="22"/>
          <w:lang w:eastAsia="en-US"/>
        </w:rPr>
        <w:t xml:space="preserve">appropriate standard and </w:t>
      </w:r>
      <w:r w:rsidR="00D57744">
        <w:rPr>
          <w:rFonts w:eastAsiaTheme="minorHAnsi"/>
          <w:sz w:val="22"/>
          <w:szCs w:val="22"/>
          <w:lang w:eastAsia="en-US"/>
        </w:rPr>
        <w:t xml:space="preserve">accessible </w:t>
      </w:r>
      <w:r w:rsidRPr="00CD247F">
        <w:rPr>
          <w:rFonts w:eastAsiaTheme="minorHAnsi"/>
          <w:sz w:val="22"/>
          <w:szCs w:val="22"/>
          <w:lang w:eastAsia="en-US"/>
        </w:rPr>
        <w:t>to employment and services.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12A931AB" w14:textId="29967C67" w:rsidR="00664A1B" w:rsidRDefault="00D57744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There is </w:t>
      </w:r>
      <w:r w:rsidR="000E4A29">
        <w:rPr>
          <w:rFonts w:eastAsiaTheme="minorHAnsi"/>
          <w:sz w:val="22"/>
          <w:szCs w:val="22"/>
          <w:lang w:eastAsia="en-US"/>
        </w:rPr>
        <w:t xml:space="preserve">currently </w:t>
      </w:r>
      <w:r>
        <w:rPr>
          <w:rFonts w:eastAsiaTheme="minorHAnsi"/>
          <w:sz w:val="22"/>
          <w:szCs w:val="22"/>
          <w:lang w:eastAsia="en-US"/>
        </w:rPr>
        <w:t xml:space="preserve">a structural problem in Australia where </w:t>
      </w:r>
      <w:r w:rsidR="00664A1B">
        <w:rPr>
          <w:rFonts w:eastAsiaTheme="minorHAnsi"/>
          <w:sz w:val="22"/>
          <w:szCs w:val="22"/>
          <w:lang w:eastAsia="en-US"/>
        </w:rPr>
        <w:t>the demand for affordable housing outstrip</w:t>
      </w:r>
      <w:r>
        <w:rPr>
          <w:rFonts w:eastAsiaTheme="minorHAnsi"/>
          <w:sz w:val="22"/>
          <w:szCs w:val="22"/>
          <w:lang w:eastAsia="en-US"/>
        </w:rPr>
        <w:t>s</w:t>
      </w:r>
      <w:r w:rsidR="00664A1B">
        <w:rPr>
          <w:rFonts w:eastAsiaTheme="minorHAnsi"/>
          <w:sz w:val="22"/>
          <w:szCs w:val="22"/>
          <w:lang w:eastAsia="en-US"/>
        </w:rPr>
        <w:t xml:space="preserve"> its supply, leading to </w:t>
      </w:r>
      <w:r w:rsidR="00316603">
        <w:rPr>
          <w:rFonts w:eastAsiaTheme="minorHAnsi"/>
          <w:sz w:val="22"/>
          <w:szCs w:val="22"/>
          <w:lang w:eastAsia="en-US"/>
        </w:rPr>
        <w:t xml:space="preserve">lengthy </w:t>
      </w:r>
      <w:r>
        <w:rPr>
          <w:rFonts w:eastAsiaTheme="minorHAnsi"/>
          <w:sz w:val="22"/>
          <w:szCs w:val="22"/>
          <w:lang w:eastAsia="en-US"/>
        </w:rPr>
        <w:t xml:space="preserve">social housing waitlists and </w:t>
      </w:r>
      <w:r w:rsidR="00664A1B">
        <w:rPr>
          <w:rFonts w:eastAsiaTheme="minorHAnsi"/>
          <w:sz w:val="22"/>
          <w:szCs w:val="22"/>
          <w:lang w:eastAsia="en-US"/>
        </w:rPr>
        <w:t xml:space="preserve">some </w:t>
      </w:r>
      <w:r>
        <w:rPr>
          <w:rFonts w:eastAsiaTheme="minorHAnsi"/>
          <w:sz w:val="22"/>
          <w:szCs w:val="22"/>
          <w:lang w:eastAsia="en-US"/>
        </w:rPr>
        <w:t xml:space="preserve">low-income </w:t>
      </w:r>
      <w:r w:rsidR="00664A1B">
        <w:rPr>
          <w:rFonts w:eastAsiaTheme="minorHAnsi"/>
          <w:sz w:val="22"/>
          <w:szCs w:val="22"/>
          <w:lang w:eastAsia="en-US"/>
        </w:rPr>
        <w:t>households facing rental stress</w:t>
      </w:r>
      <w:r w:rsidR="00F353D0">
        <w:rPr>
          <w:rFonts w:eastAsiaTheme="minorHAnsi"/>
          <w:sz w:val="22"/>
          <w:szCs w:val="22"/>
          <w:lang w:eastAsia="en-US"/>
        </w:rPr>
        <w:t xml:space="preserve"> or </w:t>
      </w:r>
      <w:r w:rsidR="00E249A5">
        <w:rPr>
          <w:rFonts w:eastAsiaTheme="minorHAnsi"/>
          <w:sz w:val="22"/>
          <w:szCs w:val="22"/>
          <w:lang w:eastAsia="en-US"/>
        </w:rPr>
        <w:t xml:space="preserve">being </w:t>
      </w:r>
      <w:r w:rsidR="00F353D0">
        <w:rPr>
          <w:rFonts w:eastAsiaTheme="minorHAnsi"/>
          <w:sz w:val="22"/>
          <w:szCs w:val="22"/>
          <w:lang w:eastAsia="en-US"/>
        </w:rPr>
        <w:t>unable to retain housing at all</w:t>
      </w:r>
      <w:r w:rsidR="00664A1B">
        <w:rPr>
          <w:rFonts w:eastAsiaTheme="minorHAnsi"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The problem is too big for governments to solve (and financ</w:t>
      </w:r>
      <w:bookmarkStart w:id="0" w:name="_GoBack"/>
      <w:bookmarkEnd w:id="0"/>
      <w:r>
        <w:rPr>
          <w:rFonts w:eastAsiaTheme="minorHAnsi"/>
          <w:sz w:val="22"/>
          <w:szCs w:val="22"/>
          <w:lang w:eastAsia="en-US"/>
        </w:rPr>
        <w:t>e) alone</w:t>
      </w:r>
      <w:r w:rsidR="000E4A29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0E4A29">
        <w:rPr>
          <w:rFonts w:eastAsiaTheme="minorHAnsi"/>
          <w:sz w:val="22"/>
          <w:szCs w:val="22"/>
          <w:lang w:eastAsia="en-US"/>
        </w:rPr>
        <w:t>requiring</w:t>
      </w:r>
      <w:r>
        <w:rPr>
          <w:rFonts w:eastAsiaTheme="minorHAnsi"/>
          <w:sz w:val="22"/>
          <w:szCs w:val="22"/>
          <w:lang w:eastAsia="en-US"/>
        </w:rPr>
        <w:t xml:space="preserve"> a long-term market-oriented response, at scale.</w:t>
      </w:r>
    </w:p>
    <w:p w14:paraId="7FE326AA" w14:textId="7CE3FC6A" w:rsidR="00664A1B" w:rsidRDefault="00664A1B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Access to affordable housing</w:t>
      </w:r>
      <w:r w:rsidR="003C4AB7">
        <w:rPr>
          <w:rFonts w:eastAsiaTheme="minorHAnsi"/>
          <w:sz w:val="22"/>
          <w:szCs w:val="22"/>
          <w:lang w:eastAsia="en-US"/>
        </w:rPr>
        <w:t xml:space="preserve"> (</w:t>
      </w:r>
      <w:r>
        <w:rPr>
          <w:rFonts w:eastAsiaTheme="minorHAnsi"/>
          <w:sz w:val="22"/>
          <w:szCs w:val="22"/>
          <w:lang w:eastAsia="en-US"/>
        </w:rPr>
        <w:t>social housing</w:t>
      </w:r>
      <w:r w:rsidR="0080477A">
        <w:rPr>
          <w:rFonts w:eastAsiaTheme="minorHAnsi"/>
          <w:sz w:val="22"/>
          <w:szCs w:val="22"/>
          <w:lang w:eastAsia="en-US"/>
        </w:rPr>
        <w:t xml:space="preserve"> and affordable private rental</w:t>
      </w:r>
      <w:r w:rsidR="003C4AB7">
        <w:rPr>
          <w:rFonts w:eastAsiaTheme="minorHAnsi"/>
          <w:sz w:val="22"/>
          <w:szCs w:val="22"/>
          <w:lang w:eastAsia="en-US"/>
        </w:rPr>
        <w:t xml:space="preserve">) </w:t>
      </w:r>
      <w:r>
        <w:rPr>
          <w:rFonts w:eastAsiaTheme="minorHAnsi"/>
          <w:sz w:val="22"/>
          <w:szCs w:val="22"/>
          <w:lang w:eastAsia="en-US"/>
        </w:rPr>
        <w:t xml:space="preserve">has interactions with employment and other social outcomes. As such, deteriorations in the accessibility of affordable housing </w:t>
      </w:r>
      <w:r w:rsidR="007E14F6">
        <w:rPr>
          <w:rFonts w:eastAsiaTheme="minorHAnsi"/>
          <w:sz w:val="22"/>
          <w:szCs w:val="22"/>
          <w:lang w:eastAsia="en-US"/>
        </w:rPr>
        <w:t xml:space="preserve">can have </w:t>
      </w:r>
      <w:r>
        <w:rPr>
          <w:rFonts w:eastAsiaTheme="minorHAnsi"/>
          <w:sz w:val="22"/>
          <w:szCs w:val="22"/>
          <w:lang w:eastAsia="en-US"/>
        </w:rPr>
        <w:t xml:space="preserve">a negative effect on other </w:t>
      </w:r>
      <w:r w:rsidR="00D57744">
        <w:rPr>
          <w:rFonts w:eastAsiaTheme="minorHAnsi"/>
          <w:sz w:val="22"/>
          <w:szCs w:val="22"/>
          <w:lang w:eastAsia="en-US"/>
        </w:rPr>
        <w:t xml:space="preserve">areas, </w:t>
      </w:r>
      <w:r>
        <w:rPr>
          <w:rFonts w:eastAsiaTheme="minorHAnsi"/>
          <w:sz w:val="22"/>
          <w:szCs w:val="22"/>
          <w:lang w:eastAsia="en-US"/>
        </w:rPr>
        <w:t xml:space="preserve">such as </w:t>
      </w:r>
      <w:r w:rsidR="00D57744">
        <w:rPr>
          <w:rFonts w:eastAsiaTheme="minorHAnsi"/>
          <w:sz w:val="22"/>
          <w:szCs w:val="22"/>
          <w:lang w:eastAsia="en-US"/>
        </w:rPr>
        <w:t xml:space="preserve">employment, </w:t>
      </w:r>
      <w:r>
        <w:rPr>
          <w:rFonts w:eastAsiaTheme="minorHAnsi"/>
          <w:sz w:val="22"/>
          <w:szCs w:val="22"/>
          <w:lang w:eastAsia="en-US"/>
        </w:rPr>
        <w:t>welfare</w:t>
      </w:r>
      <w:r w:rsidR="00D57744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health</w:t>
      </w:r>
      <w:r w:rsidR="00D57744">
        <w:rPr>
          <w:rFonts w:eastAsiaTheme="minorHAnsi"/>
          <w:sz w:val="22"/>
          <w:szCs w:val="22"/>
          <w:lang w:eastAsia="en-US"/>
        </w:rPr>
        <w:t>, justice and productivity</w:t>
      </w:r>
      <w:r>
        <w:rPr>
          <w:rFonts w:eastAsiaTheme="minorHAnsi"/>
          <w:sz w:val="22"/>
          <w:szCs w:val="22"/>
          <w:lang w:eastAsia="en-US"/>
        </w:rPr>
        <w:t xml:space="preserve">.  </w:t>
      </w:r>
    </w:p>
    <w:p w14:paraId="484F34C7" w14:textId="7A9E5EF3" w:rsidR="00664A1B" w:rsidRDefault="00664A1B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State and territor</w:t>
      </w:r>
      <w:r w:rsidR="00D57744">
        <w:rPr>
          <w:rFonts w:eastAsiaTheme="minorHAnsi"/>
          <w:sz w:val="22"/>
          <w:szCs w:val="22"/>
          <w:lang w:eastAsia="en-US"/>
        </w:rPr>
        <w:t xml:space="preserve">y governments </w:t>
      </w:r>
      <w:r>
        <w:rPr>
          <w:rFonts w:eastAsiaTheme="minorHAnsi"/>
          <w:sz w:val="22"/>
          <w:szCs w:val="22"/>
          <w:lang w:eastAsia="en-US"/>
        </w:rPr>
        <w:t xml:space="preserve">are responsible for the </w:t>
      </w:r>
      <w:r w:rsidR="00D57744">
        <w:rPr>
          <w:rFonts w:eastAsiaTheme="minorHAnsi"/>
          <w:sz w:val="22"/>
          <w:szCs w:val="22"/>
          <w:lang w:eastAsia="en-US"/>
        </w:rPr>
        <w:t xml:space="preserve">service </w:t>
      </w:r>
      <w:r>
        <w:rPr>
          <w:rFonts w:eastAsiaTheme="minorHAnsi"/>
          <w:sz w:val="22"/>
          <w:szCs w:val="22"/>
          <w:lang w:eastAsia="en-US"/>
        </w:rPr>
        <w:t xml:space="preserve">provision of social housing, </w:t>
      </w:r>
      <w:r w:rsidR="00D57744">
        <w:rPr>
          <w:rFonts w:eastAsiaTheme="minorHAnsi"/>
          <w:sz w:val="22"/>
          <w:szCs w:val="22"/>
          <w:lang w:eastAsia="en-US"/>
        </w:rPr>
        <w:t xml:space="preserve">in conjunction </w:t>
      </w:r>
      <w:r>
        <w:rPr>
          <w:rFonts w:eastAsiaTheme="minorHAnsi"/>
          <w:sz w:val="22"/>
          <w:szCs w:val="22"/>
          <w:lang w:eastAsia="en-US"/>
        </w:rPr>
        <w:t xml:space="preserve">with funding from the Commonwealth. There </w:t>
      </w:r>
      <w:r w:rsidR="00F353D0">
        <w:rPr>
          <w:rFonts w:eastAsiaTheme="minorHAnsi"/>
          <w:sz w:val="22"/>
          <w:szCs w:val="22"/>
          <w:lang w:eastAsia="en-US"/>
        </w:rPr>
        <w:t>are</w:t>
      </w:r>
      <w:r>
        <w:rPr>
          <w:rFonts w:eastAsiaTheme="minorHAnsi"/>
          <w:sz w:val="22"/>
          <w:szCs w:val="22"/>
          <w:lang w:eastAsia="en-US"/>
        </w:rPr>
        <w:t xml:space="preserve"> significant </w:t>
      </w:r>
      <w:r w:rsidR="00D57744">
        <w:rPr>
          <w:rFonts w:eastAsiaTheme="minorHAnsi"/>
          <w:sz w:val="22"/>
          <w:szCs w:val="22"/>
          <w:lang w:eastAsia="en-US"/>
        </w:rPr>
        <w:t xml:space="preserve">variations </w:t>
      </w:r>
      <w:r>
        <w:rPr>
          <w:rFonts w:eastAsiaTheme="minorHAnsi"/>
          <w:sz w:val="22"/>
          <w:szCs w:val="22"/>
          <w:lang w:eastAsia="en-US"/>
        </w:rPr>
        <w:t xml:space="preserve">across jurisdictions </w:t>
      </w:r>
      <w:r w:rsidR="00D57744">
        <w:rPr>
          <w:rFonts w:eastAsiaTheme="minorHAnsi"/>
          <w:sz w:val="22"/>
          <w:szCs w:val="22"/>
          <w:lang w:eastAsia="en-US"/>
        </w:rPr>
        <w:t xml:space="preserve">including the amount of stock, level of </w:t>
      </w:r>
      <w:r>
        <w:rPr>
          <w:rFonts w:eastAsiaTheme="minorHAnsi"/>
          <w:sz w:val="22"/>
          <w:szCs w:val="22"/>
          <w:lang w:eastAsia="en-US"/>
        </w:rPr>
        <w:t>maintenance</w:t>
      </w:r>
      <w:r w:rsidR="00D57744">
        <w:rPr>
          <w:rFonts w:eastAsiaTheme="minorHAnsi"/>
          <w:sz w:val="22"/>
          <w:szCs w:val="22"/>
          <w:lang w:eastAsia="en-US"/>
        </w:rPr>
        <w:t xml:space="preserve">, location and overall standard </w:t>
      </w:r>
      <w:r>
        <w:rPr>
          <w:rFonts w:eastAsiaTheme="minorHAnsi"/>
          <w:sz w:val="22"/>
          <w:szCs w:val="22"/>
          <w:lang w:eastAsia="en-US"/>
        </w:rPr>
        <w:t xml:space="preserve">of </w:t>
      </w:r>
      <w:r w:rsidR="003C4AB7">
        <w:rPr>
          <w:rFonts w:eastAsiaTheme="minorHAnsi"/>
          <w:sz w:val="22"/>
          <w:szCs w:val="22"/>
          <w:lang w:eastAsia="en-US"/>
        </w:rPr>
        <w:t xml:space="preserve">the </w:t>
      </w:r>
      <w:r>
        <w:rPr>
          <w:rFonts w:eastAsiaTheme="minorHAnsi"/>
          <w:sz w:val="22"/>
          <w:szCs w:val="22"/>
          <w:lang w:eastAsia="en-US"/>
        </w:rPr>
        <w:t>social housing stock</w:t>
      </w:r>
      <w:r w:rsidR="0080477A">
        <w:rPr>
          <w:rFonts w:eastAsiaTheme="minorHAnsi"/>
          <w:sz w:val="22"/>
          <w:szCs w:val="22"/>
          <w:lang w:eastAsia="en-US"/>
        </w:rPr>
        <w:t xml:space="preserve"> and policies to support affordable private rental</w:t>
      </w:r>
      <w:r>
        <w:rPr>
          <w:rFonts w:eastAsiaTheme="minorHAnsi"/>
          <w:sz w:val="22"/>
          <w:szCs w:val="22"/>
          <w:lang w:eastAsia="en-US"/>
        </w:rPr>
        <w:t xml:space="preserve">. </w:t>
      </w:r>
      <w:r w:rsidR="00D57744">
        <w:rPr>
          <w:rFonts w:eastAsiaTheme="minorHAnsi"/>
          <w:sz w:val="22"/>
          <w:szCs w:val="22"/>
          <w:lang w:eastAsia="en-US"/>
        </w:rPr>
        <w:t>Despite these differences</w:t>
      </w:r>
      <w:r>
        <w:rPr>
          <w:rFonts w:eastAsiaTheme="minorHAnsi"/>
          <w:sz w:val="22"/>
          <w:szCs w:val="22"/>
          <w:lang w:eastAsia="en-US"/>
        </w:rPr>
        <w:t xml:space="preserve">, both the states and territories and the Commonwealth have a desire to improve the </w:t>
      </w:r>
      <w:r w:rsidR="00D57744">
        <w:rPr>
          <w:rFonts w:eastAsiaTheme="minorHAnsi"/>
          <w:sz w:val="22"/>
          <w:szCs w:val="22"/>
          <w:lang w:eastAsia="en-US"/>
        </w:rPr>
        <w:t xml:space="preserve">affordable </w:t>
      </w:r>
      <w:r>
        <w:rPr>
          <w:rFonts w:eastAsiaTheme="minorHAnsi"/>
          <w:sz w:val="22"/>
          <w:szCs w:val="22"/>
          <w:lang w:eastAsia="en-US"/>
        </w:rPr>
        <w:t>housing provided to Australians, whilst also facing a constrained budget environment.</w:t>
      </w:r>
    </w:p>
    <w:p w14:paraId="21A89B39" w14:textId="51576CE9" w:rsidR="00D57744" w:rsidRDefault="00D57744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The rental system is central to a healthy housing continuum in Australia – and a very high proportion of people on low incomes rely on it. As such, the twin goals of maintaining a strong social housing safety net for those on </w:t>
      </w:r>
      <w:r w:rsidR="004B7A7D">
        <w:rPr>
          <w:rFonts w:eastAsiaTheme="minorHAnsi"/>
          <w:sz w:val="22"/>
          <w:szCs w:val="22"/>
          <w:lang w:eastAsia="en-US"/>
        </w:rPr>
        <w:t xml:space="preserve">the </w:t>
      </w:r>
      <w:r>
        <w:rPr>
          <w:rFonts w:eastAsiaTheme="minorHAnsi"/>
          <w:sz w:val="22"/>
          <w:szCs w:val="22"/>
          <w:lang w:eastAsia="en-US"/>
        </w:rPr>
        <w:t xml:space="preserve">lowest incomes and </w:t>
      </w:r>
      <w:r w:rsidR="004B7A7D">
        <w:rPr>
          <w:rFonts w:eastAsiaTheme="minorHAnsi"/>
          <w:sz w:val="22"/>
          <w:szCs w:val="22"/>
          <w:lang w:eastAsia="en-US"/>
        </w:rPr>
        <w:t xml:space="preserve">in the </w:t>
      </w:r>
      <w:r>
        <w:rPr>
          <w:rFonts w:eastAsiaTheme="minorHAnsi"/>
          <w:sz w:val="22"/>
          <w:szCs w:val="22"/>
          <w:lang w:eastAsia="en-US"/>
        </w:rPr>
        <w:t>greatest need, while also facilitating large-scale market investment in an affordable rental market</w:t>
      </w:r>
      <w:r w:rsidR="00A738BB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is </w:t>
      </w:r>
      <w:r w:rsidR="00A738BB">
        <w:rPr>
          <w:rFonts w:eastAsiaTheme="minorHAnsi"/>
          <w:sz w:val="22"/>
          <w:szCs w:val="22"/>
          <w:lang w:eastAsia="en-US"/>
        </w:rPr>
        <w:t xml:space="preserve">the </w:t>
      </w:r>
      <w:r>
        <w:rPr>
          <w:rFonts w:eastAsiaTheme="minorHAnsi"/>
          <w:sz w:val="22"/>
          <w:szCs w:val="22"/>
          <w:lang w:eastAsia="en-US"/>
        </w:rPr>
        <w:t>focus of this work.</w:t>
      </w:r>
    </w:p>
    <w:p w14:paraId="5C57A6E2" w14:textId="77777777" w:rsidR="007C0527" w:rsidRPr="00CD247F" w:rsidRDefault="007C0527" w:rsidP="00664A1B">
      <w:pPr>
        <w:rPr>
          <w:rFonts w:eastAsiaTheme="minorHAnsi"/>
          <w:sz w:val="22"/>
          <w:szCs w:val="22"/>
          <w:lang w:eastAsia="en-US"/>
        </w:rPr>
      </w:pPr>
    </w:p>
    <w:p w14:paraId="29AA0964" w14:textId="77777777" w:rsidR="00664A1B" w:rsidRPr="00372F6E" w:rsidRDefault="00664A1B" w:rsidP="00372F6E">
      <w:pPr>
        <w:pStyle w:val="Heading3"/>
        <w:rPr>
          <w:rFonts w:eastAsiaTheme="minorHAnsi"/>
          <w:b w:val="0"/>
          <w:lang w:eastAsia="en-US"/>
        </w:rPr>
      </w:pPr>
      <w:r w:rsidRPr="00372F6E">
        <w:rPr>
          <w:rFonts w:eastAsiaTheme="minorHAnsi"/>
          <w:lang w:eastAsia="en-US"/>
        </w:rPr>
        <w:t>Objectives</w:t>
      </w:r>
    </w:p>
    <w:p w14:paraId="7B36FA45" w14:textId="77777777" w:rsidR="00E37328" w:rsidRDefault="00664A1B" w:rsidP="00664A1B">
      <w:pPr>
        <w:rPr>
          <w:rFonts w:eastAsiaTheme="minorHAnsi"/>
          <w:sz w:val="22"/>
          <w:szCs w:val="22"/>
          <w:lang w:eastAsia="en-US"/>
        </w:rPr>
      </w:pPr>
      <w:r w:rsidRPr="00CD247F">
        <w:rPr>
          <w:rFonts w:eastAsiaTheme="minorHAnsi"/>
          <w:sz w:val="22"/>
          <w:szCs w:val="22"/>
          <w:lang w:eastAsia="en-US"/>
        </w:rPr>
        <w:t>The Affordable Housing Working Group</w:t>
      </w:r>
      <w:r>
        <w:rPr>
          <w:rFonts w:eastAsiaTheme="minorHAnsi"/>
          <w:sz w:val="22"/>
          <w:szCs w:val="22"/>
          <w:lang w:eastAsia="en-US"/>
        </w:rPr>
        <w:t xml:space="preserve"> (‘the Working Group’)</w:t>
      </w:r>
      <w:r w:rsidRPr="00CD247F">
        <w:rPr>
          <w:rFonts w:eastAsiaTheme="minorHAnsi"/>
          <w:sz w:val="22"/>
          <w:szCs w:val="22"/>
          <w:lang w:eastAsia="en-US"/>
        </w:rPr>
        <w:t xml:space="preserve"> will</w:t>
      </w:r>
      <w:r w:rsidR="00E37328">
        <w:rPr>
          <w:rFonts w:eastAsiaTheme="minorHAnsi"/>
          <w:sz w:val="22"/>
          <w:szCs w:val="22"/>
          <w:lang w:eastAsia="en-US"/>
        </w:rPr>
        <w:t>:</w:t>
      </w:r>
    </w:p>
    <w:p w14:paraId="072C2B12" w14:textId="7FC4B676" w:rsidR="00664A1B" w:rsidRDefault="00664A1B" w:rsidP="00D31EEA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rFonts w:eastAsiaTheme="minorHAnsi"/>
          <w:sz w:val="22"/>
          <w:szCs w:val="22"/>
          <w:lang w:eastAsia="en-US"/>
        </w:rPr>
      </w:pPr>
      <w:r w:rsidRPr="00996E02">
        <w:rPr>
          <w:rFonts w:eastAsiaTheme="minorHAnsi"/>
          <w:sz w:val="22"/>
          <w:szCs w:val="22"/>
          <w:lang w:eastAsia="en-US"/>
        </w:rPr>
        <w:t>identify potential f</w:t>
      </w:r>
      <w:r w:rsidR="00622DBB">
        <w:rPr>
          <w:rFonts w:eastAsiaTheme="minorHAnsi"/>
          <w:sz w:val="22"/>
          <w:szCs w:val="22"/>
          <w:lang w:eastAsia="en-US"/>
        </w:rPr>
        <w:t>inancing</w:t>
      </w:r>
      <w:r w:rsidRPr="00996E02">
        <w:rPr>
          <w:rFonts w:eastAsiaTheme="minorHAnsi"/>
          <w:sz w:val="22"/>
          <w:szCs w:val="22"/>
          <w:lang w:eastAsia="en-US"/>
        </w:rPr>
        <w:t xml:space="preserve"> and structural </w:t>
      </w:r>
      <w:r w:rsidR="0080477A">
        <w:rPr>
          <w:rFonts w:eastAsiaTheme="minorHAnsi"/>
          <w:sz w:val="22"/>
          <w:szCs w:val="22"/>
          <w:lang w:eastAsia="en-US"/>
        </w:rPr>
        <w:t xml:space="preserve">reform </w:t>
      </w:r>
      <w:r w:rsidRPr="00996E02">
        <w:rPr>
          <w:rFonts w:eastAsiaTheme="minorHAnsi"/>
          <w:sz w:val="22"/>
          <w:szCs w:val="22"/>
          <w:lang w:eastAsia="en-US"/>
        </w:rPr>
        <w:t>models that increase the provision of affordable housing</w:t>
      </w:r>
      <w:r w:rsidR="009C1BC9">
        <w:rPr>
          <w:rFonts w:eastAsiaTheme="minorHAnsi"/>
          <w:sz w:val="22"/>
          <w:szCs w:val="22"/>
          <w:lang w:eastAsia="en-US"/>
        </w:rPr>
        <w:t xml:space="preserve"> (</w:t>
      </w:r>
      <w:r w:rsidRPr="00996E02">
        <w:rPr>
          <w:rFonts w:eastAsiaTheme="minorHAnsi"/>
          <w:sz w:val="22"/>
          <w:szCs w:val="22"/>
          <w:lang w:eastAsia="en-US"/>
        </w:rPr>
        <w:t>social housing and housing in the private rental market</w:t>
      </w:r>
      <w:r w:rsidR="009C1BC9">
        <w:rPr>
          <w:rFonts w:eastAsiaTheme="minorHAnsi"/>
          <w:sz w:val="22"/>
          <w:szCs w:val="22"/>
          <w:lang w:eastAsia="en-US"/>
        </w:rPr>
        <w:t>)</w:t>
      </w:r>
      <w:r w:rsidRPr="00996E02">
        <w:rPr>
          <w:rFonts w:eastAsiaTheme="minorHAnsi"/>
          <w:sz w:val="22"/>
          <w:szCs w:val="22"/>
          <w:lang w:eastAsia="en-US"/>
        </w:rPr>
        <w:t xml:space="preserve"> for those </w:t>
      </w:r>
      <w:r w:rsidR="00060FD5">
        <w:rPr>
          <w:rFonts w:eastAsiaTheme="minorHAnsi"/>
          <w:sz w:val="22"/>
          <w:lang w:eastAsia="en-US"/>
        </w:rPr>
        <w:t>on</w:t>
      </w:r>
      <w:r w:rsidR="00060FD5" w:rsidRPr="00996E02">
        <w:rPr>
          <w:rFonts w:eastAsiaTheme="minorHAnsi"/>
          <w:sz w:val="22"/>
          <w:lang w:eastAsia="en-US"/>
        </w:rPr>
        <w:t xml:space="preserve"> </w:t>
      </w:r>
      <w:r w:rsidRPr="00996E02">
        <w:rPr>
          <w:rFonts w:eastAsiaTheme="minorHAnsi"/>
          <w:sz w:val="22"/>
          <w:szCs w:val="22"/>
          <w:lang w:eastAsia="en-US"/>
        </w:rPr>
        <w:t>low incomes</w:t>
      </w:r>
      <w:r w:rsidR="00E37328">
        <w:rPr>
          <w:rFonts w:eastAsiaTheme="minorHAnsi"/>
          <w:sz w:val="22"/>
          <w:szCs w:val="22"/>
          <w:lang w:eastAsia="en-US"/>
        </w:rPr>
        <w:t>;</w:t>
      </w:r>
    </w:p>
    <w:p w14:paraId="447D0AB6" w14:textId="77777777" w:rsidR="00E37328" w:rsidRPr="00E37328" w:rsidRDefault="00E37328" w:rsidP="00D31EEA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rFonts w:eastAsiaTheme="minorHAnsi"/>
          <w:sz w:val="22"/>
          <w:szCs w:val="22"/>
          <w:lang w:eastAsia="en-US"/>
        </w:rPr>
      </w:pPr>
      <w:r w:rsidRPr="00E37328">
        <w:rPr>
          <w:rFonts w:eastAsiaTheme="minorHAnsi"/>
          <w:sz w:val="22"/>
          <w:szCs w:val="22"/>
          <w:lang w:eastAsia="en-US"/>
        </w:rPr>
        <w:t>provide assessments of potentially viable propos</w:t>
      </w:r>
      <w:r>
        <w:rPr>
          <w:rFonts w:eastAsiaTheme="minorHAnsi"/>
          <w:sz w:val="22"/>
          <w:szCs w:val="22"/>
          <w:lang w:eastAsia="en-US"/>
        </w:rPr>
        <w:t>als put forward by stakeholders; and</w:t>
      </w:r>
      <w:r w:rsidRPr="00E37328">
        <w:rPr>
          <w:rFonts w:eastAsiaTheme="minorHAnsi"/>
          <w:sz w:val="22"/>
          <w:szCs w:val="22"/>
          <w:lang w:eastAsia="en-US"/>
        </w:rPr>
        <w:t xml:space="preserve"> </w:t>
      </w:r>
    </w:p>
    <w:p w14:paraId="0C10B24D" w14:textId="77777777" w:rsidR="00664A1B" w:rsidRPr="00996E02" w:rsidRDefault="00664A1B" w:rsidP="00D31EEA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rFonts w:eastAsiaTheme="minorHAnsi"/>
          <w:sz w:val="22"/>
          <w:szCs w:val="22"/>
          <w:lang w:eastAsia="en-US"/>
        </w:rPr>
      </w:pPr>
      <w:r w:rsidRPr="00996E02">
        <w:rPr>
          <w:rFonts w:eastAsiaTheme="minorHAnsi"/>
          <w:sz w:val="22"/>
          <w:szCs w:val="22"/>
          <w:lang w:eastAsia="en-US"/>
        </w:rPr>
        <w:t xml:space="preserve">outline the best method to progress </w:t>
      </w:r>
      <w:r w:rsidR="00E37328">
        <w:rPr>
          <w:rFonts w:eastAsiaTheme="minorHAnsi"/>
          <w:sz w:val="22"/>
          <w:szCs w:val="22"/>
          <w:lang w:eastAsia="en-US"/>
        </w:rPr>
        <w:t>further any</w:t>
      </w:r>
      <w:r w:rsidRPr="00996E02">
        <w:rPr>
          <w:rFonts w:eastAsiaTheme="minorHAnsi"/>
          <w:sz w:val="22"/>
          <w:szCs w:val="22"/>
          <w:lang w:eastAsia="en-US"/>
        </w:rPr>
        <w:t xml:space="preserve"> models </w:t>
      </w:r>
      <w:r w:rsidR="00E37328">
        <w:rPr>
          <w:rFonts w:eastAsiaTheme="minorHAnsi"/>
          <w:sz w:val="22"/>
          <w:szCs w:val="22"/>
          <w:lang w:eastAsia="en-US"/>
        </w:rPr>
        <w:t>that are identified as potentially viable</w:t>
      </w:r>
      <w:r w:rsidRPr="00996E02">
        <w:rPr>
          <w:rFonts w:eastAsiaTheme="minorHAnsi"/>
          <w:sz w:val="22"/>
          <w:szCs w:val="22"/>
          <w:lang w:eastAsia="en-US"/>
        </w:rPr>
        <w:t xml:space="preserve">. </w:t>
      </w:r>
    </w:p>
    <w:p w14:paraId="7794E0B4" w14:textId="6DCECC67" w:rsidR="007C0527" w:rsidRPr="00CD247F" w:rsidRDefault="003C4AB7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This work will culminate in a report by the Working Group</w:t>
      </w:r>
      <w:r w:rsidR="00ED1F75">
        <w:rPr>
          <w:rFonts w:eastAsiaTheme="minorHAnsi"/>
          <w:sz w:val="22"/>
          <w:szCs w:val="22"/>
          <w:lang w:eastAsia="en-US"/>
        </w:rPr>
        <w:t xml:space="preserve"> to the Heads of Treasuries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C9D590E" w14:textId="77777777" w:rsidR="007E14F6" w:rsidRDefault="007E14F6" w:rsidP="00372F6E">
      <w:pPr>
        <w:pStyle w:val="Heading3"/>
        <w:rPr>
          <w:rFonts w:eastAsiaTheme="minorHAnsi"/>
          <w:lang w:eastAsia="en-US"/>
        </w:rPr>
      </w:pPr>
    </w:p>
    <w:p w14:paraId="257D4417" w14:textId="77777777" w:rsidR="00664A1B" w:rsidRPr="00372F6E" w:rsidRDefault="00664A1B" w:rsidP="00372F6E">
      <w:pPr>
        <w:pStyle w:val="Heading3"/>
        <w:rPr>
          <w:rFonts w:eastAsiaTheme="minorHAnsi"/>
          <w:b w:val="0"/>
          <w:lang w:eastAsia="en-US"/>
        </w:rPr>
      </w:pPr>
      <w:r w:rsidRPr="00372F6E">
        <w:rPr>
          <w:rFonts w:eastAsiaTheme="minorHAnsi"/>
          <w:lang w:eastAsia="en-US"/>
        </w:rPr>
        <w:t>Terms of Reference</w:t>
      </w:r>
    </w:p>
    <w:p w14:paraId="7B6528F6" w14:textId="3929B9F5" w:rsidR="00664A1B" w:rsidRDefault="007C0527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The Working Group will </w:t>
      </w:r>
      <w:r w:rsidR="00664A1B">
        <w:rPr>
          <w:rFonts w:eastAsiaTheme="minorHAnsi"/>
          <w:sz w:val="22"/>
          <w:szCs w:val="22"/>
          <w:lang w:eastAsia="en-US"/>
        </w:rPr>
        <w:t xml:space="preserve">report on the current state of affordable housing, focusing on </w:t>
      </w:r>
      <w:r w:rsidR="009C1BC9">
        <w:rPr>
          <w:rFonts w:eastAsiaTheme="minorHAnsi"/>
          <w:sz w:val="22"/>
          <w:szCs w:val="22"/>
          <w:lang w:eastAsia="en-US"/>
        </w:rPr>
        <w:t xml:space="preserve">both </w:t>
      </w:r>
      <w:r w:rsidR="00664A1B">
        <w:rPr>
          <w:rFonts w:eastAsiaTheme="minorHAnsi"/>
          <w:sz w:val="22"/>
          <w:szCs w:val="22"/>
          <w:lang w:eastAsia="en-US"/>
        </w:rPr>
        <w:t>social housing</w:t>
      </w:r>
      <w:r w:rsidR="009C1BC9">
        <w:rPr>
          <w:rFonts w:eastAsiaTheme="minorHAnsi"/>
          <w:sz w:val="22"/>
          <w:szCs w:val="22"/>
          <w:lang w:eastAsia="en-US"/>
        </w:rPr>
        <w:t xml:space="preserve"> and the affordable private rental market</w:t>
      </w:r>
      <w:r w:rsidR="003C4AB7">
        <w:rPr>
          <w:rFonts w:eastAsiaTheme="minorHAnsi"/>
          <w:sz w:val="22"/>
          <w:szCs w:val="22"/>
          <w:lang w:eastAsia="en-US"/>
        </w:rPr>
        <w:t xml:space="preserve"> for low income households</w:t>
      </w:r>
      <w:r w:rsidR="00664A1B">
        <w:rPr>
          <w:rFonts w:eastAsiaTheme="minorHAnsi"/>
          <w:sz w:val="22"/>
          <w:szCs w:val="22"/>
          <w:lang w:eastAsia="en-US"/>
        </w:rPr>
        <w:t xml:space="preserve">. </w:t>
      </w:r>
      <w:r>
        <w:rPr>
          <w:rFonts w:eastAsiaTheme="minorHAnsi"/>
          <w:sz w:val="22"/>
          <w:szCs w:val="22"/>
          <w:lang w:eastAsia="en-US"/>
        </w:rPr>
        <w:t xml:space="preserve">This report </w:t>
      </w:r>
      <w:r w:rsidR="00664A1B">
        <w:rPr>
          <w:rFonts w:eastAsiaTheme="minorHAnsi"/>
          <w:sz w:val="22"/>
          <w:szCs w:val="22"/>
          <w:lang w:eastAsia="en-US"/>
        </w:rPr>
        <w:t xml:space="preserve">will include the historical and current role that all levels of government play in its provision and the differences in approach between jurisdictions. </w:t>
      </w:r>
    </w:p>
    <w:p w14:paraId="72E16471" w14:textId="208A2226" w:rsidR="00664A1B" w:rsidRPr="009A2087" w:rsidRDefault="00664A1B" w:rsidP="00664A1B">
      <w:pPr>
        <w:rPr>
          <w:rFonts w:eastAsiaTheme="minorHAnsi"/>
          <w:sz w:val="22"/>
          <w:szCs w:val="22"/>
          <w:lang w:eastAsia="en-US"/>
        </w:rPr>
      </w:pPr>
      <w:r w:rsidRPr="00E955EB">
        <w:rPr>
          <w:rFonts w:eastAsiaTheme="minorHAnsi"/>
          <w:sz w:val="22"/>
          <w:szCs w:val="22"/>
          <w:lang w:eastAsia="en-US"/>
        </w:rPr>
        <w:t>The Working Group will examine the feasibility of</w:t>
      </w:r>
      <w:r w:rsidR="00F028E8">
        <w:rPr>
          <w:rFonts w:eastAsiaTheme="minorHAnsi"/>
          <w:sz w:val="22"/>
          <w:szCs w:val="22"/>
          <w:lang w:eastAsia="en-US"/>
        </w:rPr>
        <w:t>, and make recommendations for</w:t>
      </w:r>
      <w:r w:rsidR="00C17C48">
        <w:rPr>
          <w:rFonts w:eastAsiaTheme="minorHAnsi"/>
          <w:sz w:val="22"/>
          <w:szCs w:val="22"/>
          <w:lang w:eastAsia="en-US"/>
        </w:rPr>
        <w:t>,</w:t>
      </w:r>
      <w:r w:rsidR="00F028E8">
        <w:rPr>
          <w:rFonts w:eastAsiaTheme="minorHAnsi"/>
          <w:sz w:val="22"/>
          <w:szCs w:val="22"/>
          <w:lang w:eastAsia="en-US"/>
        </w:rPr>
        <w:t xml:space="preserve"> how the states and territories and Commonwealth can progress</w:t>
      </w:r>
      <w:r w:rsidRPr="00E955EB">
        <w:rPr>
          <w:rFonts w:eastAsiaTheme="minorHAnsi"/>
          <w:sz w:val="22"/>
          <w:szCs w:val="22"/>
          <w:lang w:eastAsia="en-US"/>
        </w:rPr>
        <w:t xml:space="preserve"> innovative </w:t>
      </w:r>
      <w:r w:rsidR="009C1BC9">
        <w:rPr>
          <w:rFonts w:eastAsiaTheme="minorHAnsi"/>
          <w:sz w:val="22"/>
          <w:szCs w:val="22"/>
          <w:lang w:eastAsia="en-US"/>
        </w:rPr>
        <w:t xml:space="preserve">financing </w:t>
      </w:r>
      <w:r w:rsidRPr="00E955EB">
        <w:rPr>
          <w:rFonts w:eastAsiaTheme="minorHAnsi"/>
          <w:sz w:val="22"/>
          <w:szCs w:val="22"/>
          <w:lang w:eastAsia="en-US"/>
        </w:rPr>
        <w:t>models</w:t>
      </w:r>
      <w:r w:rsidRPr="00E955EB">
        <w:rPr>
          <w:sz w:val="22"/>
          <w:szCs w:val="22"/>
        </w:rPr>
        <w:t xml:space="preserve"> t</w:t>
      </w:r>
      <w:r w:rsidRPr="00E955EB">
        <w:rPr>
          <w:rFonts w:eastAsiaTheme="minorHAnsi"/>
          <w:sz w:val="22"/>
          <w:szCs w:val="22"/>
        </w:rPr>
        <w:t xml:space="preserve">o facilitate </w:t>
      </w:r>
      <w:r w:rsidR="009C1BC9">
        <w:rPr>
          <w:rFonts w:eastAsiaTheme="minorHAnsi"/>
          <w:sz w:val="22"/>
          <w:szCs w:val="22"/>
        </w:rPr>
        <w:t xml:space="preserve">sustainable long-term </w:t>
      </w:r>
      <w:r w:rsidRPr="00E955EB">
        <w:rPr>
          <w:rFonts w:eastAsiaTheme="minorHAnsi"/>
          <w:sz w:val="22"/>
          <w:szCs w:val="22"/>
        </w:rPr>
        <w:lastRenderedPageBreak/>
        <w:t xml:space="preserve">private </w:t>
      </w:r>
      <w:r w:rsidRPr="009A2087">
        <w:rPr>
          <w:rFonts w:eastAsiaTheme="minorHAnsi"/>
          <w:sz w:val="22"/>
          <w:szCs w:val="22"/>
        </w:rPr>
        <w:t xml:space="preserve">sector investment </w:t>
      </w:r>
      <w:r w:rsidR="009C1BC9">
        <w:rPr>
          <w:rFonts w:eastAsiaTheme="minorHAnsi"/>
          <w:sz w:val="22"/>
          <w:szCs w:val="22"/>
        </w:rPr>
        <w:t xml:space="preserve">at scale </w:t>
      </w:r>
      <w:r w:rsidRPr="009A2087">
        <w:rPr>
          <w:rFonts w:eastAsiaTheme="minorHAnsi"/>
          <w:sz w:val="22"/>
          <w:szCs w:val="22"/>
        </w:rPr>
        <w:t>to increase the supply</w:t>
      </w:r>
      <w:r w:rsidR="000B0628">
        <w:rPr>
          <w:rFonts w:eastAsiaTheme="minorHAnsi"/>
          <w:sz w:val="22"/>
          <w:szCs w:val="22"/>
        </w:rPr>
        <w:t xml:space="preserve"> and availability</w:t>
      </w:r>
      <w:r w:rsidRPr="009A2087">
        <w:rPr>
          <w:rFonts w:eastAsiaTheme="minorHAnsi"/>
          <w:sz w:val="22"/>
          <w:szCs w:val="22"/>
        </w:rPr>
        <w:t xml:space="preserve"> of affordable housing</w:t>
      </w:r>
      <w:r w:rsidRPr="009A2087">
        <w:rPr>
          <w:rFonts w:eastAsiaTheme="minorHAnsi"/>
          <w:sz w:val="22"/>
          <w:szCs w:val="22"/>
          <w:lang w:eastAsia="en-US"/>
        </w:rPr>
        <w:t>, including (but not limited to):</w:t>
      </w:r>
    </w:p>
    <w:p w14:paraId="19BD5137" w14:textId="77777777" w:rsidR="009C1BC9" w:rsidRPr="009A2087" w:rsidRDefault="009C1BC9" w:rsidP="009A2087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capital provided at scale through normal market mechanisms such as bonds, for the purposes of creating an intermediate rental asset class;</w:t>
      </w:r>
    </w:p>
    <w:p w14:paraId="151503A7" w14:textId="77777777" w:rsidR="00622DBB" w:rsidRPr="009A2087" w:rsidRDefault="00622DBB" w:rsidP="00622DBB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 xml:space="preserve">housing </w:t>
      </w:r>
      <w:r>
        <w:rPr>
          <w:sz w:val="22"/>
          <w:szCs w:val="22"/>
        </w:rPr>
        <w:t>loan/</w:t>
      </w:r>
      <w:r w:rsidRPr="009A2087">
        <w:rPr>
          <w:sz w:val="22"/>
          <w:szCs w:val="22"/>
        </w:rPr>
        <w:t>bond aggregators, where a</w:t>
      </w:r>
      <w:r>
        <w:rPr>
          <w:sz w:val="22"/>
          <w:szCs w:val="22"/>
        </w:rPr>
        <w:t>n</w:t>
      </w:r>
      <w:r w:rsidRPr="009A2087">
        <w:rPr>
          <w:sz w:val="22"/>
          <w:szCs w:val="22"/>
        </w:rPr>
        <w:t xml:space="preserve"> entity acts as an intermediary </w:t>
      </w:r>
      <w:r>
        <w:rPr>
          <w:sz w:val="22"/>
          <w:szCs w:val="22"/>
        </w:rPr>
        <w:t>between the capital markets and the housing delivery system (primarily</w:t>
      </w:r>
      <w:r w:rsidRPr="009A2087">
        <w:rPr>
          <w:sz w:val="22"/>
          <w:szCs w:val="22"/>
        </w:rPr>
        <w:t xml:space="preserve"> community housing providers</w:t>
      </w:r>
      <w:r>
        <w:rPr>
          <w:sz w:val="22"/>
          <w:szCs w:val="22"/>
        </w:rPr>
        <w:t>)</w:t>
      </w:r>
      <w:r w:rsidRPr="009A2087">
        <w:rPr>
          <w:sz w:val="22"/>
          <w:szCs w:val="22"/>
        </w:rPr>
        <w:t xml:space="preserve">; </w:t>
      </w:r>
    </w:p>
    <w:p w14:paraId="6239E021" w14:textId="497D64D1" w:rsidR="00622DBB" w:rsidRDefault="00622DBB" w:rsidP="00622DBB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 xml:space="preserve">housing trusts, where </w:t>
      </w:r>
      <w:r w:rsidR="00764468">
        <w:rPr>
          <w:sz w:val="22"/>
          <w:szCs w:val="22"/>
        </w:rPr>
        <w:t>existing</w:t>
      </w:r>
      <w:r w:rsidRPr="009A2087">
        <w:rPr>
          <w:sz w:val="22"/>
          <w:szCs w:val="22"/>
        </w:rPr>
        <w:t xml:space="preserve"> housing assets are pooled together to attract private investment and improve management</w:t>
      </w:r>
      <w:r>
        <w:rPr>
          <w:sz w:val="22"/>
          <w:szCs w:val="22"/>
        </w:rPr>
        <w:t xml:space="preserve"> of the assets;</w:t>
      </w:r>
    </w:p>
    <w:p w14:paraId="6158303F" w14:textId="5AB0C621" w:rsidR="00622DBB" w:rsidRPr="009A2087" w:rsidRDefault="00622DBB" w:rsidP="00622DBB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housing co-operatives and mutuals, where residents may own a share of a dwelling alongside other community members; </w:t>
      </w:r>
    </w:p>
    <w:p w14:paraId="4BD745A7" w14:textId="748886DC" w:rsidR="00664A1B" w:rsidRPr="009A2087" w:rsidRDefault="00664A1B" w:rsidP="009A2087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>impact investing models, where investors are able to pursue opportunities that provide both social and financial returns through either direct investment in not-for-profit or social enterprises, or through alternative intermediaries;</w:t>
      </w:r>
      <w:r w:rsidR="00622DBB">
        <w:rPr>
          <w:sz w:val="22"/>
          <w:szCs w:val="22"/>
        </w:rPr>
        <w:t xml:space="preserve"> and</w:t>
      </w:r>
    </w:p>
    <w:p w14:paraId="1C97E239" w14:textId="21FA10F8" w:rsidR="00664A1B" w:rsidRDefault="00664A1B" w:rsidP="009A2087">
      <w:pPr>
        <w:pStyle w:val="Bullet"/>
        <w:numPr>
          <w:ilvl w:val="0"/>
          <w:numId w:val="2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>social impact bonds, where the public sector issues a contract with non-government providers in which a commitment is made to pay for improved social outcomes that result in public sector savings</w:t>
      </w:r>
      <w:r w:rsidR="00C17C48">
        <w:rPr>
          <w:sz w:val="22"/>
          <w:szCs w:val="22"/>
        </w:rPr>
        <w:t>.</w:t>
      </w:r>
      <w:r w:rsidRPr="009A2087">
        <w:rPr>
          <w:sz w:val="22"/>
          <w:szCs w:val="22"/>
        </w:rPr>
        <w:t xml:space="preserve"> </w:t>
      </w:r>
    </w:p>
    <w:p w14:paraId="1A81BE06" w14:textId="4DB8F51E" w:rsidR="0020544F" w:rsidRPr="00D31EEA" w:rsidRDefault="00664A1B" w:rsidP="00D31EEA">
      <w:pPr>
        <w:rPr>
          <w:rFonts w:eastAsiaTheme="minorHAnsi"/>
          <w:sz w:val="22"/>
          <w:szCs w:val="22"/>
          <w:lang w:eastAsia="en-US"/>
        </w:rPr>
      </w:pPr>
      <w:r w:rsidRPr="00890959">
        <w:rPr>
          <w:sz w:val="22"/>
          <w:szCs w:val="22"/>
        </w:rPr>
        <w:t xml:space="preserve">In doing this, the Working Group will also consider </w:t>
      </w:r>
      <w:r w:rsidR="009C1BC9">
        <w:rPr>
          <w:sz w:val="22"/>
          <w:szCs w:val="22"/>
        </w:rPr>
        <w:t>the roles of governments, investors, the not</w:t>
      </w:r>
      <w:r w:rsidR="008535DC">
        <w:rPr>
          <w:sz w:val="22"/>
          <w:szCs w:val="22"/>
        </w:rPr>
        <w:noBreakHyphen/>
      </w:r>
      <w:r w:rsidR="009C1BC9">
        <w:rPr>
          <w:sz w:val="22"/>
          <w:szCs w:val="22"/>
        </w:rPr>
        <w:t>for</w:t>
      </w:r>
      <w:r w:rsidR="008535DC">
        <w:rPr>
          <w:sz w:val="22"/>
          <w:szCs w:val="22"/>
        </w:rPr>
        <w:noBreakHyphen/>
      </w:r>
      <w:r w:rsidR="009C1BC9">
        <w:rPr>
          <w:sz w:val="22"/>
          <w:szCs w:val="22"/>
        </w:rPr>
        <w:t xml:space="preserve">profit </w:t>
      </w:r>
      <w:r w:rsidR="008535DC">
        <w:rPr>
          <w:sz w:val="22"/>
          <w:szCs w:val="22"/>
        </w:rPr>
        <w:t>sector</w:t>
      </w:r>
      <w:r w:rsidR="009C1BC9">
        <w:rPr>
          <w:sz w:val="22"/>
          <w:szCs w:val="22"/>
        </w:rPr>
        <w:t xml:space="preserve"> and other</w:t>
      </w:r>
      <w:r w:rsidR="00316603">
        <w:rPr>
          <w:sz w:val="22"/>
          <w:szCs w:val="22"/>
        </w:rPr>
        <w:t xml:space="preserve"> groups</w:t>
      </w:r>
      <w:r w:rsidR="00622DBB">
        <w:rPr>
          <w:sz w:val="22"/>
          <w:szCs w:val="22"/>
        </w:rPr>
        <w:t xml:space="preserve"> in the provision of affordable housin</w:t>
      </w:r>
      <w:r w:rsidR="0020544F">
        <w:rPr>
          <w:sz w:val="22"/>
          <w:szCs w:val="22"/>
        </w:rPr>
        <w:t>g</w:t>
      </w:r>
      <w:r w:rsidR="0020544F">
        <w:rPr>
          <w:rFonts w:eastAsiaTheme="minorHAnsi"/>
          <w:sz w:val="22"/>
          <w:szCs w:val="22"/>
          <w:lang w:eastAsia="en-US"/>
        </w:rPr>
        <w:t xml:space="preserve">. </w:t>
      </w:r>
      <w:r w:rsidR="009C1BC9">
        <w:rPr>
          <w:sz w:val="22"/>
          <w:szCs w:val="22"/>
        </w:rPr>
        <w:t xml:space="preserve"> </w:t>
      </w:r>
    </w:p>
    <w:p w14:paraId="66E41E6E" w14:textId="56767DEA" w:rsidR="00664A1B" w:rsidRPr="007E14F6" w:rsidRDefault="0020544F" w:rsidP="007E14F6">
      <w:pPr>
        <w:pStyle w:val="Bullet"/>
        <w:numPr>
          <w:ilvl w:val="0"/>
          <w:numId w:val="0"/>
        </w:numPr>
        <w:rPr>
          <w:rFonts w:eastAsiaTheme="minorHAnsi"/>
        </w:rPr>
      </w:pPr>
      <w:r>
        <w:rPr>
          <w:sz w:val="22"/>
          <w:szCs w:val="22"/>
        </w:rPr>
        <w:t xml:space="preserve">The Working Group </w:t>
      </w:r>
      <w:r w:rsidR="009C1BC9">
        <w:rPr>
          <w:sz w:val="22"/>
          <w:szCs w:val="22"/>
        </w:rPr>
        <w:t xml:space="preserve">may also consider </w:t>
      </w:r>
      <w:r w:rsidR="00664A1B" w:rsidRPr="00890959">
        <w:rPr>
          <w:sz w:val="22"/>
          <w:szCs w:val="22"/>
        </w:rPr>
        <w:t>alternative structural models that facilitate improved affordable housing outcomes</w:t>
      </w:r>
      <w:r w:rsidR="00F353D0">
        <w:rPr>
          <w:sz w:val="22"/>
          <w:szCs w:val="22"/>
        </w:rPr>
        <w:t>, such as the role of community housing and housing associations in the provision of social housing</w:t>
      </w:r>
      <w:r>
        <w:rPr>
          <w:sz w:val="22"/>
          <w:szCs w:val="22"/>
        </w:rPr>
        <w:t xml:space="preserve"> and</w:t>
      </w:r>
      <w:r w:rsidR="001A0994">
        <w:rPr>
          <w:sz w:val="22"/>
          <w:szCs w:val="22"/>
        </w:rPr>
        <w:t xml:space="preserve"> </w:t>
      </w:r>
      <w:r w:rsidR="00664A1B" w:rsidRPr="007A020E">
        <w:rPr>
          <w:rFonts w:eastAsiaTheme="minorHAnsi"/>
          <w:sz w:val="22"/>
          <w:szCs w:val="22"/>
          <w:lang w:eastAsia="en-US"/>
        </w:rPr>
        <w:t>examine</w:t>
      </w:r>
      <w:r w:rsidR="00664A1B" w:rsidRPr="007A020E">
        <w:rPr>
          <w:rFonts w:eastAsiaTheme="minorHAnsi"/>
          <w:sz w:val="22"/>
          <w:szCs w:val="22"/>
        </w:rPr>
        <w:t xml:space="preserve"> other regulatory changes, including planning and zoning changes, which would support the increased supply of affordable housing</w:t>
      </w:r>
      <w:r w:rsidR="005A7839">
        <w:rPr>
          <w:rFonts w:eastAsiaTheme="minorHAnsi"/>
          <w:sz w:val="22"/>
          <w:szCs w:val="22"/>
        </w:rPr>
        <w:t xml:space="preserve"> accessible to employment and services</w:t>
      </w:r>
      <w:r w:rsidR="00664A1B" w:rsidRPr="007A020E">
        <w:rPr>
          <w:rFonts w:eastAsiaTheme="minorHAnsi"/>
          <w:sz w:val="22"/>
          <w:szCs w:val="22"/>
        </w:rPr>
        <w:t>.</w:t>
      </w:r>
      <w:r w:rsidR="00024810">
        <w:rPr>
          <w:rFonts w:eastAsiaTheme="minorHAnsi"/>
          <w:sz w:val="22"/>
          <w:szCs w:val="22"/>
        </w:rPr>
        <w:t xml:space="preserve"> This work would include</w:t>
      </w:r>
      <w:r w:rsidR="00024810">
        <w:rPr>
          <w:sz w:val="22"/>
          <w:szCs w:val="22"/>
        </w:rPr>
        <w:t xml:space="preserve"> </w:t>
      </w:r>
      <w:r w:rsidR="00024810">
        <w:rPr>
          <w:rFonts w:eastAsiaTheme="minorHAnsi"/>
          <w:sz w:val="22"/>
          <w:szCs w:val="22"/>
          <w:lang w:eastAsia="en-US"/>
        </w:rPr>
        <w:t>consideration of the appropriate mix of tenant cohorts within social housing and affordable private rental, and more broadly within the wider community.</w:t>
      </w:r>
    </w:p>
    <w:p w14:paraId="74247105" w14:textId="77777777" w:rsidR="001C1CDD" w:rsidRDefault="001C1CDD" w:rsidP="00664A1B">
      <w:pPr>
        <w:rPr>
          <w:rFonts w:eastAsiaTheme="minorHAnsi"/>
          <w:sz w:val="22"/>
          <w:szCs w:val="22"/>
          <w:lang w:eastAsia="en-US"/>
        </w:rPr>
      </w:pPr>
    </w:p>
    <w:p w14:paraId="58704EC1" w14:textId="77777777" w:rsidR="00EC5718" w:rsidRDefault="00EC5718" w:rsidP="00E4091E">
      <w:pPr>
        <w:pStyle w:val="Heading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Process</w:t>
      </w:r>
    </w:p>
    <w:p w14:paraId="48568EE9" w14:textId="3D64DAE8" w:rsidR="0020544F" w:rsidRDefault="0020544F" w:rsidP="0020544F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</w:t>
      </w:r>
      <w:r w:rsidR="00EC5718">
        <w:rPr>
          <w:rFonts w:eastAsiaTheme="minorHAnsi"/>
          <w:sz w:val="22"/>
          <w:szCs w:val="22"/>
          <w:lang w:eastAsia="en-US"/>
        </w:rPr>
        <w:t xml:space="preserve">he Working Group will undertake </w:t>
      </w:r>
      <w:r>
        <w:rPr>
          <w:rFonts w:eastAsiaTheme="minorHAnsi"/>
          <w:sz w:val="22"/>
          <w:szCs w:val="22"/>
          <w:lang w:eastAsia="en-US"/>
        </w:rPr>
        <w:t xml:space="preserve">public consultation, and </w:t>
      </w:r>
      <w:r w:rsidR="00EC5718">
        <w:rPr>
          <w:rFonts w:eastAsiaTheme="minorHAnsi"/>
          <w:sz w:val="22"/>
          <w:szCs w:val="22"/>
          <w:lang w:eastAsia="en-US"/>
        </w:rPr>
        <w:t>targeted stakeholder engagement</w:t>
      </w:r>
      <w:r>
        <w:rPr>
          <w:rFonts w:eastAsiaTheme="minorHAnsi"/>
          <w:sz w:val="22"/>
          <w:szCs w:val="22"/>
          <w:lang w:eastAsia="en-US"/>
        </w:rPr>
        <w:t>, including</w:t>
      </w:r>
      <w:r w:rsidR="00EC5718">
        <w:rPr>
          <w:rFonts w:eastAsiaTheme="minorHAnsi"/>
          <w:sz w:val="22"/>
          <w:szCs w:val="22"/>
          <w:lang w:eastAsia="en-US"/>
        </w:rPr>
        <w:t xml:space="preserve"> roundtable discussions with key stakeholders in early 2016.</w:t>
      </w:r>
      <w:r w:rsidR="002D2909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Following this </w:t>
      </w:r>
      <w:r w:rsidR="00E42E6A">
        <w:rPr>
          <w:rFonts w:eastAsiaTheme="minorHAnsi"/>
          <w:sz w:val="22"/>
          <w:szCs w:val="22"/>
          <w:lang w:eastAsia="en-US"/>
        </w:rPr>
        <w:t xml:space="preserve">consultation </w:t>
      </w:r>
      <w:r>
        <w:rPr>
          <w:rFonts w:eastAsiaTheme="minorHAnsi"/>
          <w:sz w:val="22"/>
          <w:szCs w:val="22"/>
          <w:lang w:eastAsia="en-US"/>
        </w:rPr>
        <w:t>process t</w:t>
      </w:r>
      <w:r w:rsidRPr="006B7BA6">
        <w:rPr>
          <w:rFonts w:eastAsiaTheme="minorHAnsi"/>
          <w:sz w:val="22"/>
          <w:szCs w:val="22"/>
          <w:lang w:eastAsia="en-US"/>
        </w:rPr>
        <w:t xml:space="preserve">he Working Group will </w:t>
      </w:r>
      <w:r>
        <w:rPr>
          <w:rFonts w:eastAsiaTheme="minorHAnsi"/>
          <w:sz w:val="22"/>
          <w:szCs w:val="22"/>
          <w:lang w:eastAsia="en-US"/>
        </w:rPr>
        <w:t>assess</w:t>
      </w:r>
      <w:r w:rsidRPr="006B7BA6">
        <w:rPr>
          <w:rFonts w:eastAsiaTheme="minorHAnsi"/>
          <w:sz w:val="22"/>
          <w:szCs w:val="22"/>
          <w:lang w:eastAsia="en-US"/>
        </w:rPr>
        <w:t xml:space="preserve"> </w:t>
      </w:r>
      <w:r w:rsidR="007A1785">
        <w:rPr>
          <w:rFonts w:eastAsiaTheme="minorHAnsi"/>
          <w:sz w:val="22"/>
          <w:szCs w:val="22"/>
          <w:lang w:eastAsia="en-US"/>
        </w:rPr>
        <w:t>workable</w:t>
      </w:r>
      <w:r>
        <w:rPr>
          <w:rFonts w:eastAsiaTheme="minorHAnsi"/>
          <w:sz w:val="22"/>
          <w:szCs w:val="22"/>
          <w:lang w:eastAsia="en-US"/>
        </w:rPr>
        <w:t xml:space="preserve"> proposals put forward by </w:t>
      </w:r>
      <w:r w:rsidRPr="006B7BA6">
        <w:rPr>
          <w:rFonts w:eastAsiaTheme="minorHAnsi"/>
          <w:sz w:val="22"/>
          <w:szCs w:val="22"/>
          <w:lang w:eastAsia="en-US"/>
        </w:rPr>
        <w:t>s</w:t>
      </w:r>
      <w:r w:rsidRPr="000A7BCD">
        <w:rPr>
          <w:rFonts w:eastAsiaTheme="minorHAnsi"/>
          <w:sz w:val="22"/>
          <w:szCs w:val="22"/>
          <w:lang w:eastAsia="en-US"/>
        </w:rPr>
        <w:t xml:space="preserve">takeholders, including </w:t>
      </w:r>
      <w:r>
        <w:rPr>
          <w:rFonts w:eastAsiaTheme="minorHAnsi"/>
          <w:sz w:val="22"/>
          <w:szCs w:val="22"/>
          <w:lang w:eastAsia="en-US"/>
        </w:rPr>
        <w:t xml:space="preserve">those from </w:t>
      </w:r>
      <w:r w:rsidR="000B0628">
        <w:rPr>
          <w:rFonts w:eastAsiaTheme="minorHAnsi"/>
          <w:sz w:val="22"/>
          <w:szCs w:val="22"/>
          <w:lang w:eastAsia="en-US"/>
        </w:rPr>
        <w:t>the not for profit</w:t>
      </w:r>
      <w:r w:rsidRPr="000A7BCD">
        <w:rPr>
          <w:rFonts w:eastAsiaTheme="minorHAnsi"/>
          <w:sz w:val="22"/>
          <w:szCs w:val="22"/>
          <w:lang w:eastAsia="en-US"/>
        </w:rPr>
        <w:t>, financial and government</w:t>
      </w:r>
      <w:r>
        <w:rPr>
          <w:rFonts w:eastAsiaTheme="minorHAnsi"/>
          <w:sz w:val="22"/>
          <w:szCs w:val="22"/>
          <w:lang w:eastAsia="en-US"/>
        </w:rPr>
        <w:t xml:space="preserve"> sectors to determine their workability.</w:t>
      </w:r>
    </w:p>
    <w:p w14:paraId="10625659" w14:textId="42AD613A" w:rsidR="00664A1B" w:rsidRDefault="0020544F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In doing so the</w:t>
      </w:r>
      <w:r w:rsidRPr="007E14F6">
        <w:rPr>
          <w:rFonts w:eastAsiaTheme="minorHAnsi"/>
        </w:rPr>
        <w:t xml:space="preserve"> </w:t>
      </w:r>
      <w:r w:rsidR="00664A1B" w:rsidRPr="00CD247F">
        <w:rPr>
          <w:rFonts w:eastAsiaTheme="minorHAnsi"/>
          <w:sz w:val="22"/>
          <w:szCs w:val="22"/>
          <w:lang w:eastAsia="en-US"/>
        </w:rPr>
        <w:t xml:space="preserve">Working Group </w:t>
      </w:r>
      <w:r w:rsidR="00664A1B">
        <w:rPr>
          <w:rFonts w:eastAsiaTheme="minorHAnsi"/>
          <w:sz w:val="22"/>
          <w:szCs w:val="22"/>
          <w:lang w:eastAsia="en-US"/>
        </w:rPr>
        <w:t>will</w:t>
      </w:r>
      <w:r w:rsidR="00664A1B" w:rsidRPr="00CD247F">
        <w:rPr>
          <w:rFonts w:eastAsiaTheme="minorHAnsi"/>
          <w:sz w:val="22"/>
          <w:szCs w:val="22"/>
          <w:lang w:eastAsia="en-US"/>
        </w:rPr>
        <w:t xml:space="preserve"> draw on relevant</w:t>
      </w:r>
      <w:r w:rsidR="00664A1B">
        <w:rPr>
          <w:rFonts w:eastAsiaTheme="minorHAnsi"/>
          <w:sz w:val="22"/>
          <w:szCs w:val="22"/>
          <w:lang w:eastAsia="en-US"/>
        </w:rPr>
        <w:t xml:space="preserve"> local and</w:t>
      </w:r>
      <w:r w:rsidR="00664A1B" w:rsidRPr="00CD247F">
        <w:rPr>
          <w:rFonts w:eastAsiaTheme="minorHAnsi"/>
          <w:sz w:val="22"/>
          <w:szCs w:val="22"/>
          <w:lang w:eastAsia="en-US"/>
        </w:rPr>
        <w:t xml:space="preserve"> international experience and </w:t>
      </w:r>
      <w:r w:rsidR="00664A1B">
        <w:rPr>
          <w:rFonts w:eastAsiaTheme="minorHAnsi"/>
          <w:sz w:val="22"/>
          <w:szCs w:val="22"/>
          <w:lang w:eastAsia="en-US"/>
        </w:rPr>
        <w:t>consult</w:t>
      </w:r>
      <w:r w:rsidR="00664A1B" w:rsidRPr="00CD247F">
        <w:rPr>
          <w:rFonts w:eastAsiaTheme="minorHAnsi"/>
          <w:sz w:val="22"/>
          <w:szCs w:val="22"/>
          <w:lang w:eastAsia="en-US"/>
        </w:rPr>
        <w:t xml:space="preserve"> with a range of </w:t>
      </w:r>
      <w:r w:rsidR="009E1125">
        <w:rPr>
          <w:rFonts w:eastAsiaTheme="minorHAnsi"/>
          <w:sz w:val="22"/>
          <w:szCs w:val="22"/>
          <w:lang w:eastAsia="en-US"/>
        </w:rPr>
        <w:t xml:space="preserve">stakeholders, including </w:t>
      </w:r>
      <w:r w:rsidR="009C1BC9">
        <w:rPr>
          <w:rFonts w:eastAsiaTheme="minorHAnsi"/>
          <w:sz w:val="22"/>
          <w:szCs w:val="22"/>
          <w:lang w:eastAsia="en-US"/>
        </w:rPr>
        <w:t>subject matter experts from across sectors</w:t>
      </w:r>
      <w:r w:rsidR="00664A1B" w:rsidRPr="00CD247F">
        <w:rPr>
          <w:rFonts w:eastAsiaTheme="minorHAnsi"/>
          <w:sz w:val="22"/>
          <w:szCs w:val="22"/>
          <w:lang w:eastAsia="en-US"/>
        </w:rPr>
        <w:t xml:space="preserve">, including governments, </w:t>
      </w:r>
      <w:r w:rsidR="009C1BC9">
        <w:rPr>
          <w:rFonts w:eastAsiaTheme="minorHAnsi"/>
          <w:sz w:val="22"/>
          <w:szCs w:val="22"/>
          <w:lang w:eastAsia="en-US"/>
        </w:rPr>
        <w:t xml:space="preserve">the community sector </w:t>
      </w:r>
      <w:r w:rsidR="00664A1B" w:rsidRPr="00CD247F">
        <w:rPr>
          <w:rFonts w:eastAsiaTheme="minorHAnsi"/>
          <w:sz w:val="22"/>
          <w:szCs w:val="22"/>
          <w:lang w:eastAsia="en-US"/>
        </w:rPr>
        <w:t>and financial investors.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775A3CB3" w14:textId="704D7DB0" w:rsidR="0020544F" w:rsidRPr="00CD247F" w:rsidRDefault="0020544F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The Working Group will also </w:t>
      </w:r>
      <w:r w:rsidRPr="000A7BCD">
        <w:rPr>
          <w:rFonts w:eastAsiaTheme="minorHAnsi"/>
          <w:sz w:val="22"/>
          <w:szCs w:val="22"/>
          <w:lang w:eastAsia="en-US"/>
        </w:rPr>
        <w:t xml:space="preserve">draw on submissions </w:t>
      </w:r>
      <w:r>
        <w:rPr>
          <w:rFonts w:eastAsiaTheme="minorHAnsi"/>
          <w:sz w:val="22"/>
          <w:szCs w:val="22"/>
          <w:lang w:eastAsia="en-US"/>
        </w:rPr>
        <w:t xml:space="preserve">and proposals that have been made </w:t>
      </w:r>
      <w:r w:rsidRPr="000A7BCD">
        <w:rPr>
          <w:rFonts w:eastAsiaTheme="minorHAnsi"/>
          <w:sz w:val="22"/>
          <w:szCs w:val="22"/>
          <w:lang w:eastAsia="en-US"/>
        </w:rPr>
        <w:t xml:space="preserve">to other review processes </w:t>
      </w:r>
      <w:r>
        <w:rPr>
          <w:rFonts w:eastAsiaTheme="minorHAnsi"/>
          <w:sz w:val="22"/>
          <w:szCs w:val="22"/>
          <w:lang w:eastAsia="en-US"/>
        </w:rPr>
        <w:t xml:space="preserve">in relation to </w:t>
      </w:r>
      <w:r w:rsidRPr="000A7BCD">
        <w:rPr>
          <w:rFonts w:eastAsiaTheme="minorHAnsi"/>
          <w:sz w:val="22"/>
          <w:szCs w:val="22"/>
          <w:lang w:eastAsia="en-US"/>
        </w:rPr>
        <w:t>affordable housing</w:t>
      </w:r>
      <w:r>
        <w:rPr>
          <w:rFonts w:eastAsiaTheme="minorHAnsi"/>
          <w:sz w:val="22"/>
          <w:szCs w:val="22"/>
          <w:lang w:eastAsia="en-US"/>
        </w:rPr>
        <w:t>.</w:t>
      </w:r>
    </w:p>
    <w:p w14:paraId="0F4AF307" w14:textId="6E349A3B" w:rsidR="0020544F" w:rsidRDefault="0020544F" w:rsidP="00664A1B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The Working Group will then develop its final report:</w:t>
      </w:r>
    </w:p>
    <w:p w14:paraId="23C44C09" w14:textId="0AAC7389" w:rsidR="0020544F" w:rsidRPr="00D31EEA" w:rsidRDefault="007A1785" w:rsidP="007E14F6">
      <w:pPr>
        <w:pStyle w:val="ListParagraph"/>
        <w:numPr>
          <w:ilvl w:val="0"/>
          <w:numId w:val="8"/>
        </w:num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having</w:t>
      </w:r>
      <w:r w:rsidR="00664A1B" w:rsidRPr="00D31EEA">
        <w:rPr>
          <w:rFonts w:eastAsiaTheme="minorHAnsi"/>
          <w:sz w:val="22"/>
          <w:szCs w:val="22"/>
          <w:lang w:eastAsia="en-US"/>
        </w:rPr>
        <w:t xml:space="preserve"> regard to the work of the Cities and Built Environment Taskforce, the Reform of the Federation White Paper and the Housing Supply Working Group</w:t>
      </w:r>
      <w:r w:rsidR="0020544F">
        <w:rPr>
          <w:rFonts w:eastAsiaTheme="minorHAnsi"/>
          <w:sz w:val="22"/>
          <w:szCs w:val="22"/>
          <w:lang w:eastAsia="en-US"/>
        </w:rPr>
        <w:t>;</w:t>
      </w:r>
    </w:p>
    <w:p w14:paraId="49ACE794" w14:textId="61D697F9" w:rsidR="00992BD5" w:rsidRDefault="007A1785" w:rsidP="007E14F6">
      <w:pPr>
        <w:pStyle w:val="ListParagraph"/>
        <w:numPr>
          <w:ilvl w:val="0"/>
          <w:numId w:val="8"/>
        </w:num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taking</w:t>
      </w:r>
      <w:r w:rsidR="007C0527" w:rsidRPr="00D31EEA">
        <w:rPr>
          <w:rFonts w:eastAsiaTheme="minorHAnsi"/>
          <w:sz w:val="22"/>
          <w:szCs w:val="22"/>
          <w:lang w:eastAsia="en-US"/>
        </w:rPr>
        <w:t xml:space="preserve"> into account experiences in developing a social housing investment trial based on applicable social impact investment models, in coordination with relevant areas of Treasury and the Department of Social Services</w:t>
      </w:r>
      <w:r w:rsidR="0020544F">
        <w:rPr>
          <w:rFonts w:eastAsiaTheme="minorHAnsi"/>
          <w:sz w:val="22"/>
          <w:szCs w:val="22"/>
          <w:lang w:eastAsia="en-US"/>
        </w:rPr>
        <w:t>; and</w:t>
      </w:r>
    </w:p>
    <w:p w14:paraId="0135540E" w14:textId="479422E8" w:rsidR="00F353D0" w:rsidRPr="00D31EEA" w:rsidRDefault="00F353D0" w:rsidP="007E14F6">
      <w:pPr>
        <w:pStyle w:val="ListParagraph"/>
        <w:numPr>
          <w:ilvl w:val="0"/>
          <w:numId w:val="8"/>
        </w:numPr>
        <w:rPr>
          <w:rFonts w:eastAsiaTheme="minorHAnsi"/>
          <w:sz w:val="22"/>
          <w:szCs w:val="22"/>
          <w:lang w:eastAsia="en-US"/>
        </w:rPr>
      </w:pPr>
      <w:r w:rsidRPr="00D31EEA">
        <w:rPr>
          <w:rFonts w:eastAsiaTheme="minorHAnsi"/>
          <w:sz w:val="22"/>
          <w:szCs w:val="22"/>
          <w:lang w:eastAsia="en-US"/>
        </w:rPr>
        <w:t>assess</w:t>
      </w:r>
      <w:r w:rsidR="007A1785">
        <w:rPr>
          <w:rFonts w:eastAsiaTheme="minorHAnsi"/>
          <w:sz w:val="22"/>
          <w:szCs w:val="22"/>
          <w:lang w:eastAsia="en-US"/>
        </w:rPr>
        <w:t>ing</w:t>
      </w:r>
      <w:r w:rsidRPr="00D31EEA">
        <w:rPr>
          <w:rFonts w:eastAsiaTheme="minorHAnsi"/>
          <w:sz w:val="22"/>
          <w:szCs w:val="22"/>
          <w:lang w:eastAsia="en-US"/>
        </w:rPr>
        <w:t xml:space="preserve"> and tak</w:t>
      </w:r>
      <w:r w:rsidR="007A1785">
        <w:rPr>
          <w:rFonts w:eastAsiaTheme="minorHAnsi"/>
          <w:sz w:val="22"/>
          <w:szCs w:val="22"/>
          <w:lang w:eastAsia="en-US"/>
        </w:rPr>
        <w:t>ing</w:t>
      </w:r>
      <w:r w:rsidRPr="00D31EEA">
        <w:rPr>
          <w:rFonts w:eastAsiaTheme="minorHAnsi"/>
          <w:sz w:val="22"/>
          <w:szCs w:val="22"/>
          <w:lang w:eastAsia="en-US"/>
        </w:rPr>
        <w:t xml:space="preserve"> account of differences between states and territories.</w:t>
      </w:r>
    </w:p>
    <w:p w14:paraId="75E65F8B" w14:textId="69D7C885" w:rsidR="00664A1B" w:rsidRPr="00CD247F" w:rsidRDefault="00664A1B" w:rsidP="00AA48EF">
      <w:pPr>
        <w:rPr>
          <w:rFonts w:eastAsiaTheme="minorHAnsi"/>
          <w:sz w:val="22"/>
          <w:szCs w:val="22"/>
          <w:lang w:eastAsia="en-US"/>
        </w:rPr>
      </w:pPr>
      <w:r w:rsidRPr="00CD247F">
        <w:rPr>
          <w:rFonts w:eastAsiaTheme="minorHAnsi"/>
          <w:sz w:val="22"/>
          <w:szCs w:val="22"/>
          <w:lang w:eastAsia="en-US"/>
        </w:rPr>
        <w:lastRenderedPageBreak/>
        <w:t xml:space="preserve">The Affordable Housing Working Group will provide </w:t>
      </w:r>
      <w:r w:rsidR="00992BD5">
        <w:rPr>
          <w:rFonts w:eastAsiaTheme="minorHAnsi"/>
          <w:sz w:val="22"/>
          <w:szCs w:val="22"/>
          <w:lang w:eastAsia="en-US"/>
        </w:rPr>
        <w:t xml:space="preserve">its final </w:t>
      </w:r>
      <w:r w:rsidRPr="00CD247F">
        <w:rPr>
          <w:rFonts w:eastAsiaTheme="minorHAnsi"/>
          <w:sz w:val="22"/>
          <w:szCs w:val="22"/>
          <w:lang w:eastAsia="en-US"/>
        </w:rPr>
        <w:t>repor</w:t>
      </w:r>
      <w:r>
        <w:rPr>
          <w:rFonts w:eastAsiaTheme="minorHAnsi"/>
          <w:sz w:val="22"/>
          <w:szCs w:val="22"/>
          <w:lang w:eastAsia="en-US"/>
        </w:rPr>
        <w:t xml:space="preserve">t to Heads of Treasuries by </w:t>
      </w:r>
      <w:r w:rsidR="00AA48EF">
        <w:rPr>
          <w:rFonts w:eastAsiaTheme="minorHAnsi"/>
          <w:sz w:val="22"/>
          <w:szCs w:val="22"/>
          <w:lang w:eastAsia="en-US"/>
        </w:rPr>
        <w:t>30 June </w:t>
      </w:r>
      <w:r w:rsidRPr="00CD247F">
        <w:rPr>
          <w:rFonts w:eastAsiaTheme="minorHAnsi"/>
          <w:sz w:val="22"/>
          <w:szCs w:val="22"/>
          <w:lang w:eastAsia="en-US"/>
        </w:rPr>
        <w:t>2016.</w:t>
      </w:r>
    </w:p>
    <w:p w14:paraId="21EC5C1F" w14:textId="77777777" w:rsidR="00287B01" w:rsidRDefault="00287B01" w:rsidP="007C0527">
      <w:pPr>
        <w:pStyle w:val="Heading3"/>
        <w:rPr>
          <w:rFonts w:eastAsiaTheme="minorHAnsi"/>
          <w:lang w:eastAsia="en-US"/>
        </w:rPr>
      </w:pPr>
    </w:p>
    <w:p w14:paraId="0396E39D" w14:textId="77777777" w:rsidR="007C0527" w:rsidRDefault="007C0527" w:rsidP="007C0527">
      <w:pPr>
        <w:pStyle w:val="Heading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Membership</w:t>
      </w:r>
    </w:p>
    <w:p w14:paraId="4EA6A30D" w14:textId="77777777" w:rsidR="00664A1B" w:rsidRPr="009A2087" w:rsidRDefault="00664A1B" w:rsidP="00664A1B">
      <w:pPr>
        <w:rPr>
          <w:rFonts w:eastAsiaTheme="minorHAnsi"/>
          <w:sz w:val="22"/>
          <w:szCs w:val="22"/>
          <w:lang w:eastAsia="en-US"/>
        </w:rPr>
      </w:pPr>
      <w:r w:rsidRPr="009A2087">
        <w:rPr>
          <w:rFonts w:eastAsiaTheme="minorHAnsi"/>
          <w:sz w:val="22"/>
          <w:szCs w:val="22"/>
          <w:lang w:eastAsia="en-US"/>
        </w:rPr>
        <w:t>The members of the Working Group will be:</w:t>
      </w:r>
    </w:p>
    <w:p w14:paraId="69C9F938" w14:textId="7B3247C4" w:rsidR="00664A1B" w:rsidRPr="009A2087" w:rsidRDefault="00664A1B" w:rsidP="009A2087">
      <w:pPr>
        <w:pStyle w:val="Bullet"/>
        <w:numPr>
          <w:ilvl w:val="0"/>
          <w:numId w:val="6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>Commonwealth Treasury</w:t>
      </w:r>
      <w:r w:rsidR="000D043F">
        <w:rPr>
          <w:sz w:val="22"/>
          <w:szCs w:val="22"/>
        </w:rPr>
        <w:t xml:space="preserve">; </w:t>
      </w:r>
      <w:r w:rsidRPr="009A2087">
        <w:rPr>
          <w:sz w:val="22"/>
          <w:szCs w:val="22"/>
        </w:rPr>
        <w:t xml:space="preserve"> </w:t>
      </w:r>
    </w:p>
    <w:p w14:paraId="046ACED6" w14:textId="1AF89FC3" w:rsidR="00664A1B" w:rsidRPr="009A2087" w:rsidRDefault="00664A1B" w:rsidP="009A2087">
      <w:pPr>
        <w:pStyle w:val="Bullet"/>
        <w:numPr>
          <w:ilvl w:val="0"/>
          <w:numId w:val="6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 w:rsidRPr="009A2087">
        <w:rPr>
          <w:sz w:val="22"/>
          <w:szCs w:val="22"/>
        </w:rPr>
        <w:t>Commonwealth Department of Social Services</w:t>
      </w:r>
      <w:r w:rsidR="000D043F">
        <w:rPr>
          <w:sz w:val="22"/>
          <w:szCs w:val="22"/>
        </w:rPr>
        <w:t xml:space="preserve">; </w:t>
      </w:r>
    </w:p>
    <w:p w14:paraId="108D9407" w14:textId="3D17F929" w:rsidR="00664A1B" w:rsidRDefault="007C0527" w:rsidP="009A2087">
      <w:pPr>
        <w:pStyle w:val="Bullet"/>
        <w:numPr>
          <w:ilvl w:val="0"/>
          <w:numId w:val="6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New South Wales Treasury</w:t>
      </w:r>
      <w:r w:rsidR="000D043F">
        <w:rPr>
          <w:sz w:val="22"/>
          <w:szCs w:val="22"/>
        </w:rPr>
        <w:t xml:space="preserve">; </w:t>
      </w:r>
    </w:p>
    <w:p w14:paraId="2274916F" w14:textId="0D865D72" w:rsidR="007C0527" w:rsidRDefault="007C0527" w:rsidP="009A2087">
      <w:pPr>
        <w:pStyle w:val="Bullet"/>
        <w:numPr>
          <w:ilvl w:val="0"/>
          <w:numId w:val="6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Victoria Department of Treasury and Finance</w:t>
      </w:r>
      <w:r w:rsidR="000D043F">
        <w:rPr>
          <w:sz w:val="22"/>
          <w:szCs w:val="22"/>
        </w:rPr>
        <w:t xml:space="preserve">; and </w:t>
      </w:r>
    </w:p>
    <w:p w14:paraId="6CFC0E56" w14:textId="4A347F15" w:rsidR="007C0527" w:rsidRPr="009A2087" w:rsidRDefault="007C0527" w:rsidP="009A2087">
      <w:pPr>
        <w:pStyle w:val="Bullet"/>
        <w:numPr>
          <w:ilvl w:val="0"/>
          <w:numId w:val="6"/>
        </w:numPr>
        <w:tabs>
          <w:tab w:val="left" w:pos="2085"/>
          <w:tab w:val="left" w:pos="7080"/>
        </w:tabs>
        <w:spacing w:before="0" w:after="240" w:line="276" w:lineRule="auto"/>
        <w:rPr>
          <w:sz w:val="22"/>
          <w:szCs w:val="22"/>
        </w:rPr>
      </w:pPr>
      <w:r>
        <w:rPr>
          <w:sz w:val="22"/>
          <w:szCs w:val="22"/>
        </w:rPr>
        <w:t>Western Australia Department of Treasury</w:t>
      </w:r>
      <w:r w:rsidR="000D043F">
        <w:rPr>
          <w:sz w:val="22"/>
          <w:szCs w:val="22"/>
        </w:rPr>
        <w:t xml:space="preserve">. </w:t>
      </w:r>
    </w:p>
    <w:p w14:paraId="1CBEF03B" w14:textId="77777777" w:rsidR="00996E02" w:rsidRDefault="00996E02" w:rsidP="006A1913">
      <w:pPr>
        <w:rPr>
          <w:sz w:val="22"/>
          <w:szCs w:val="22"/>
        </w:rPr>
      </w:pPr>
      <w:r>
        <w:rPr>
          <w:sz w:val="22"/>
          <w:szCs w:val="22"/>
        </w:rPr>
        <w:t xml:space="preserve">Jurisdictions will draw on the expertise of their relevant housing </w:t>
      </w:r>
      <w:r w:rsidR="0080477A">
        <w:rPr>
          <w:sz w:val="22"/>
          <w:szCs w:val="22"/>
        </w:rPr>
        <w:t xml:space="preserve">and planning </w:t>
      </w:r>
      <w:r>
        <w:rPr>
          <w:sz w:val="22"/>
          <w:szCs w:val="22"/>
        </w:rPr>
        <w:t>department</w:t>
      </w:r>
      <w:r w:rsidR="009A782E">
        <w:rPr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412CBFE" w14:textId="77777777" w:rsidR="00A07E19" w:rsidRDefault="007C0527" w:rsidP="00A07E19">
      <w:r>
        <w:rPr>
          <w:sz w:val="22"/>
          <w:szCs w:val="22"/>
        </w:rPr>
        <w:t xml:space="preserve">External expertise </w:t>
      </w:r>
      <w:r w:rsidR="00527FB6">
        <w:rPr>
          <w:sz w:val="22"/>
          <w:szCs w:val="22"/>
        </w:rPr>
        <w:t xml:space="preserve">will </w:t>
      </w:r>
      <w:r>
        <w:rPr>
          <w:sz w:val="22"/>
          <w:szCs w:val="22"/>
        </w:rPr>
        <w:t>be engaged as appropriate.</w:t>
      </w:r>
    </w:p>
    <w:sectPr w:rsidR="00A07E19" w:rsidSect="003166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6CAD5" w14:textId="77777777" w:rsidR="00D31EEA" w:rsidRDefault="00D31EEA" w:rsidP="00BA2F6D">
      <w:pPr>
        <w:spacing w:after="0"/>
      </w:pPr>
      <w:r>
        <w:separator/>
      </w:r>
    </w:p>
  </w:endnote>
  <w:endnote w:type="continuationSeparator" w:id="0">
    <w:p w14:paraId="04841DD8" w14:textId="77777777" w:rsidR="00D31EEA" w:rsidRDefault="00D31EEA" w:rsidP="00BA2F6D">
      <w:pPr>
        <w:spacing w:after="0"/>
      </w:pPr>
      <w:r>
        <w:continuationSeparator/>
      </w:r>
    </w:p>
  </w:endnote>
  <w:endnote w:type="continuationNotice" w:id="1">
    <w:p w14:paraId="6505F2E4" w14:textId="77777777" w:rsidR="00D31EEA" w:rsidRDefault="00D31E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10120" w14:textId="77777777" w:rsidR="004A023C" w:rsidRDefault="004A0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A1637" w14:textId="075C6E79" w:rsidR="00BD7D8F" w:rsidRDefault="00BD7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16B78E" w14:textId="77777777" w:rsidR="00BD7D8F" w:rsidRDefault="00BD7D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237A5" w14:textId="77777777" w:rsidR="004A023C" w:rsidRDefault="004A0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8C1D0" w14:textId="77777777" w:rsidR="00D31EEA" w:rsidRDefault="00D31EEA" w:rsidP="00BA2F6D">
      <w:pPr>
        <w:spacing w:after="0"/>
      </w:pPr>
      <w:r>
        <w:separator/>
      </w:r>
    </w:p>
  </w:footnote>
  <w:footnote w:type="continuationSeparator" w:id="0">
    <w:p w14:paraId="685B95CD" w14:textId="77777777" w:rsidR="00D31EEA" w:rsidRDefault="00D31EEA" w:rsidP="00BA2F6D">
      <w:pPr>
        <w:spacing w:after="0"/>
      </w:pPr>
      <w:r>
        <w:continuationSeparator/>
      </w:r>
    </w:p>
  </w:footnote>
  <w:footnote w:type="continuationNotice" w:id="1">
    <w:p w14:paraId="2DDD238F" w14:textId="77777777" w:rsidR="00D31EEA" w:rsidRDefault="00D31EE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C7941" w14:textId="68123D5C" w:rsidR="00BD7D8F" w:rsidRDefault="00BD7D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4B098" w14:textId="1EC8F014" w:rsidR="00BD7D8F" w:rsidRDefault="00BD7D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B678" w14:textId="15228342" w:rsidR="00BD7D8F" w:rsidRPr="00C450BC" w:rsidRDefault="00BD7D8F" w:rsidP="00C450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E7812EE"/>
    <w:multiLevelType w:val="hybridMultilevel"/>
    <w:tmpl w:val="CAD848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4B26BC5"/>
    <w:multiLevelType w:val="multilevel"/>
    <w:tmpl w:val="81D8A7F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B400F83"/>
    <w:multiLevelType w:val="multilevel"/>
    <w:tmpl w:val="F0EE9C22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53E0053"/>
    <w:multiLevelType w:val="multilevel"/>
    <w:tmpl w:val="FCB2F92C"/>
    <w:lvl w:ilvl="0">
      <w:start w:val="1"/>
      <w:numFmt w:val="bullet"/>
      <w:pStyle w:val="Summar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5">
    <w:nsid w:val="5F3A0CA8"/>
    <w:multiLevelType w:val="hybridMultilevel"/>
    <w:tmpl w:val="7B14136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True"/>
    <w:docVar w:name="SecurityDLMInHeader" w:val="False"/>
  </w:docVars>
  <w:rsids>
    <w:rsidRoot w:val="001603E0"/>
    <w:rsid w:val="000057B4"/>
    <w:rsid w:val="00005B2B"/>
    <w:rsid w:val="000067B3"/>
    <w:rsid w:val="00011C48"/>
    <w:rsid w:val="0001533E"/>
    <w:rsid w:val="000224D9"/>
    <w:rsid w:val="00023CBB"/>
    <w:rsid w:val="00024810"/>
    <w:rsid w:val="00026068"/>
    <w:rsid w:val="00036157"/>
    <w:rsid w:val="0004113E"/>
    <w:rsid w:val="0004417A"/>
    <w:rsid w:val="00047010"/>
    <w:rsid w:val="00056EB3"/>
    <w:rsid w:val="00060FD5"/>
    <w:rsid w:val="00062109"/>
    <w:rsid w:val="00066005"/>
    <w:rsid w:val="000671E1"/>
    <w:rsid w:val="000839DF"/>
    <w:rsid w:val="00087CC2"/>
    <w:rsid w:val="000911D5"/>
    <w:rsid w:val="000A16A7"/>
    <w:rsid w:val="000A1707"/>
    <w:rsid w:val="000A7BCD"/>
    <w:rsid w:val="000B0628"/>
    <w:rsid w:val="000B1CAF"/>
    <w:rsid w:val="000B1E12"/>
    <w:rsid w:val="000C23A3"/>
    <w:rsid w:val="000C532D"/>
    <w:rsid w:val="000D043F"/>
    <w:rsid w:val="000D64B1"/>
    <w:rsid w:val="000D6C85"/>
    <w:rsid w:val="000E387D"/>
    <w:rsid w:val="000E3C58"/>
    <w:rsid w:val="000E4A29"/>
    <w:rsid w:val="000F4F69"/>
    <w:rsid w:val="000F5FCD"/>
    <w:rsid w:val="001003D8"/>
    <w:rsid w:val="00113658"/>
    <w:rsid w:val="001167C6"/>
    <w:rsid w:val="00123A1C"/>
    <w:rsid w:val="00123D40"/>
    <w:rsid w:val="00124928"/>
    <w:rsid w:val="00126484"/>
    <w:rsid w:val="00126E7A"/>
    <w:rsid w:val="00136F98"/>
    <w:rsid w:val="00142C42"/>
    <w:rsid w:val="00147B4C"/>
    <w:rsid w:val="00153727"/>
    <w:rsid w:val="00153A1A"/>
    <w:rsid w:val="001603E0"/>
    <w:rsid w:val="001641CC"/>
    <w:rsid w:val="00170693"/>
    <w:rsid w:val="00170D46"/>
    <w:rsid w:val="0018665B"/>
    <w:rsid w:val="0019003A"/>
    <w:rsid w:val="0019525F"/>
    <w:rsid w:val="001A0994"/>
    <w:rsid w:val="001A14CE"/>
    <w:rsid w:val="001A1684"/>
    <w:rsid w:val="001A78AC"/>
    <w:rsid w:val="001B0ADE"/>
    <w:rsid w:val="001B12AF"/>
    <w:rsid w:val="001B265A"/>
    <w:rsid w:val="001B6C4E"/>
    <w:rsid w:val="001C1CDD"/>
    <w:rsid w:val="001C35AE"/>
    <w:rsid w:val="001C3B5A"/>
    <w:rsid w:val="001D50D7"/>
    <w:rsid w:val="001D6626"/>
    <w:rsid w:val="001D6D00"/>
    <w:rsid w:val="001D7887"/>
    <w:rsid w:val="00202F7C"/>
    <w:rsid w:val="002041B6"/>
    <w:rsid w:val="0020544F"/>
    <w:rsid w:val="00210EF4"/>
    <w:rsid w:val="00212253"/>
    <w:rsid w:val="002173FF"/>
    <w:rsid w:val="00224818"/>
    <w:rsid w:val="0022571D"/>
    <w:rsid w:val="002259BD"/>
    <w:rsid w:val="00237154"/>
    <w:rsid w:val="00253F22"/>
    <w:rsid w:val="00262B4B"/>
    <w:rsid w:val="00266D44"/>
    <w:rsid w:val="00266E70"/>
    <w:rsid w:val="00267C30"/>
    <w:rsid w:val="0027539D"/>
    <w:rsid w:val="00281C7D"/>
    <w:rsid w:val="00282747"/>
    <w:rsid w:val="00283245"/>
    <w:rsid w:val="002869B0"/>
    <w:rsid w:val="00287B01"/>
    <w:rsid w:val="002A0901"/>
    <w:rsid w:val="002A6910"/>
    <w:rsid w:val="002B76F1"/>
    <w:rsid w:val="002C5516"/>
    <w:rsid w:val="002C56C7"/>
    <w:rsid w:val="002D0A2C"/>
    <w:rsid w:val="002D2909"/>
    <w:rsid w:val="002D7333"/>
    <w:rsid w:val="002E61AB"/>
    <w:rsid w:val="002F5C7B"/>
    <w:rsid w:val="00300A6E"/>
    <w:rsid w:val="003021C3"/>
    <w:rsid w:val="0030359C"/>
    <w:rsid w:val="00304E3D"/>
    <w:rsid w:val="00316603"/>
    <w:rsid w:val="0031739B"/>
    <w:rsid w:val="0032457E"/>
    <w:rsid w:val="003335E3"/>
    <w:rsid w:val="00344041"/>
    <w:rsid w:val="003466AD"/>
    <w:rsid w:val="00347ABE"/>
    <w:rsid w:val="003553D7"/>
    <w:rsid w:val="00360AA4"/>
    <w:rsid w:val="003642A1"/>
    <w:rsid w:val="00365D40"/>
    <w:rsid w:val="00365F73"/>
    <w:rsid w:val="00367901"/>
    <w:rsid w:val="00371BFD"/>
    <w:rsid w:val="00372F6E"/>
    <w:rsid w:val="00375A62"/>
    <w:rsid w:val="00380FEE"/>
    <w:rsid w:val="00381B95"/>
    <w:rsid w:val="00385FA1"/>
    <w:rsid w:val="00391398"/>
    <w:rsid w:val="003B2546"/>
    <w:rsid w:val="003B5281"/>
    <w:rsid w:val="003B584D"/>
    <w:rsid w:val="003C0973"/>
    <w:rsid w:val="003C1293"/>
    <w:rsid w:val="003C48A1"/>
    <w:rsid w:val="003C4AB7"/>
    <w:rsid w:val="003C593D"/>
    <w:rsid w:val="003D3878"/>
    <w:rsid w:val="003D3EEC"/>
    <w:rsid w:val="003E0E57"/>
    <w:rsid w:val="003E3A3E"/>
    <w:rsid w:val="00413B9B"/>
    <w:rsid w:val="0041757B"/>
    <w:rsid w:val="00417974"/>
    <w:rsid w:val="00421C46"/>
    <w:rsid w:val="00432299"/>
    <w:rsid w:val="00444701"/>
    <w:rsid w:val="0044633F"/>
    <w:rsid w:val="00456D8C"/>
    <w:rsid w:val="0046179F"/>
    <w:rsid w:val="0047085B"/>
    <w:rsid w:val="0047377A"/>
    <w:rsid w:val="004746AF"/>
    <w:rsid w:val="00476203"/>
    <w:rsid w:val="00483210"/>
    <w:rsid w:val="00487A04"/>
    <w:rsid w:val="004A023C"/>
    <w:rsid w:val="004A1957"/>
    <w:rsid w:val="004A23F9"/>
    <w:rsid w:val="004A3362"/>
    <w:rsid w:val="004A3B97"/>
    <w:rsid w:val="004A57B2"/>
    <w:rsid w:val="004A6418"/>
    <w:rsid w:val="004B0559"/>
    <w:rsid w:val="004B14FB"/>
    <w:rsid w:val="004B16FD"/>
    <w:rsid w:val="004B2B6F"/>
    <w:rsid w:val="004B7A7D"/>
    <w:rsid w:val="004C03E9"/>
    <w:rsid w:val="004C2784"/>
    <w:rsid w:val="004C2A39"/>
    <w:rsid w:val="004C31C7"/>
    <w:rsid w:val="004C473D"/>
    <w:rsid w:val="004D021C"/>
    <w:rsid w:val="004D4D48"/>
    <w:rsid w:val="004E7C91"/>
    <w:rsid w:val="00502B85"/>
    <w:rsid w:val="00511D9A"/>
    <w:rsid w:val="00514CDA"/>
    <w:rsid w:val="00517CBF"/>
    <w:rsid w:val="00526B75"/>
    <w:rsid w:val="00527E4F"/>
    <w:rsid w:val="00527FB6"/>
    <w:rsid w:val="00530697"/>
    <w:rsid w:val="00541139"/>
    <w:rsid w:val="00543E05"/>
    <w:rsid w:val="00544B0E"/>
    <w:rsid w:val="00544CB4"/>
    <w:rsid w:val="00545CBF"/>
    <w:rsid w:val="00557F8D"/>
    <w:rsid w:val="0056050D"/>
    <w:rsid w:val="005705D3"/>
    <w:rsid w:val="00572E7F"/>
    <w:rsid w:val="005776FE"/>
    <w:rsid w:val="00580E4A"/>
    <w:rsid w:val="00584C26"/>
    <w:rsid w:val="0058664E"/>
    <w:rsid w:val="00590702"/>
    <w:rsid w:val="00590E92"/>
    <w:rsid w:val="005935FA"/>
    <w:rsid w:val="005A7839"/>
    <w:rsid w:val="005C24F0"/>
    <w:rsid w:val="005C5633"/>
    <w:rsid w:val="005C59D2"/>
    <w:rsid w:val="005F1603"/>
    <w:rsid w:val="005F75C6"/>
    <w:rsid w:val="00607347"/>
    <w:rsid w:val="0062271B"/>
    <w:rsid w:val="00622DBB"/>
    <w:rsid w:val="0062450C"/>
    <w:rsid w:val="006305D1"/>
    <w:rsid w:val="006443D0"/>
    <w:rsid w:val="00646723"/>
    <w:rsid w:val="00647132"/>
    <w:rsid w:val="00663829"/>
    <w:rsid w:val="00664A1B"/>
    <w:rsid w:val="00670D7A"/>
    <w:rsid w:val="00676402"/>
    <w:rsid w:val="0068154E"/>
    <w:rsid w:val="00683424"/>
    <w:rsid w:val="00687FB0"/>
    <w:rsid w:val="00687FCC"/>
    <w:rsid w:val="00691E64"/>
    <w:rsid w:val="00692D3D"/>
    <w:rsid w:val="00694467"/>
    <w:rsid w:val="006A1913"/>
    <w:rsid w:val="006A7C33"/>
    <w:rsid w:val="006B7BA6"/>
    <w:rsid w:val="006C0A20"/>
    <w:rsid w:val="006C1058"/>
    <w:rsid w:val="006C23ED"/>
    <w:rsid w:val="006C4E4A"/>
    <w:rsid w:val="006C6CF5"/>
    <w:rsid w:val="006E1FB1"/>
    <w:rsid w:val="006E55BB"/>
    <w:rsid w:val="006E6728"/>
    <w:rsid w:val="006E7C94"/>
    <w:rsid w:val="006F3DD7"/>
    <w:rsid w:val="006F4082"/>
    <w:rsid w:val="00700772"/>
    <w:rsid w:val="0070405F"/>
    <w:rsid w:val="007055D8"/>
    <w:rsid w:val="00732C19"/>
    <w:rsid w:val="00733448"/>
    <w:rsid w:val="00764468"/>
    <w:rsid w:val="007653D8"/>
    <w:rsid w:val="00770497"/>
    <w:rsid w:val="00773024"/>
    <w:rsid w:val="00776720"/>
    <w:rsid w:val="007878EE"/>
    <w:rsid w:val="007931C2"/>
    <w:rsid w:val="007943B1"/>
    <w:rsid w:val="00795422"/>
    <w:rsid w:val="007A020E"/>
    <w:rsid w:val="007A1785"/>
    <w:rsid w:val="007A1C05"/>
    <w:rsid w:val="007A2AB6"/>
    <w:rsid w:val="007A4456"/>
    <w:rsid w:val="007A6228"/>
    <w:rsid w:val="007B77AB"/>
    <w:rsid w:val="007C0527"/>
    <w:rsid w:val="007D314B"/>
    <w:rsid w:val="007D5A4E"/>
    <w:rsid w:val="007D5D8F"/>
    <w:rsid w:val="007E14F6"/>
    <w:rsid w:val="007E4021"/>
    <w:rsid w:val="007F1E87"/>
    <w:rsid w:val="00800E83"/>
    <w:rsid w:val="0080477A"/>
    <w:rsid w:val="00806FA8"/>
    <w:rsid w:val="00813272"/>
    <w:rsid w:val="008154C2"/>
    <w:rsid w:val="0081785B"/>
    <w:rsid w:val="00823774"/>
    <w:rsid w:val="0082406C"/>
    <w:rsid w:val="0083179A"/>
    <w:rsid w:val="00832815"/>
    <w:rsid w:val="00835705"/>
    <w:rsid w:val="0084133F"/>
    <w:rsid w:val="00845B8F"/>
    <w:rsid w:val="00850C56"/>
    <w:rsid w:val="00852B40"/>
    <w:rsid w:val="008535DC"/>
    <w:rsid w:val="00856773"/>
    <w:rsid w:val="00864512"/>
    <w:rsid w:val="00866665"/>
    <w:rsid w:val="00867672"/>
    <w:rsid w:val="00881F37"/>
    <w:rsid w:val="00890959"/>
    <w:rsid w:val="008A3FB6"/>
    <w:rsid w:val="008B1F0D"/>
    <w:rsid w:val="008D7012"/>
    <w:rsid w:val="008E00BC"/>
    <w:rsid w:val="008E13B8"/>
    <w:rsid w:val="008E38E9"/>
    <w:rsid w:val="008F08D4"/>
    <w:rsid w:val="008F51A4"/>
    <w:rsid w:val="008F65D5"/>
    <w:rsid w:val="008F7806"/>
    <w:rsid w:val="00901C1F"/>
    <w:rsid w:val="0091021B"/>
    <w:rsid w:val="0091036F"/>
    <w:rsid w:val="0091287C"/>
    <w:rsid w:val="009155C7"/>
    <w:rsid w:val="00916EF0"/>
    <w:rsid w:val="00917404"/>
    <w:rsid w:val="00932634"/>
    <w:rsid w:val="00936AA1"/>
    <w:rsid w:val="00936F45"/>
    <w:rsid w:val="00941C55"/>
    <w:rsid w:val="00942D52"/>
    <w:rsid w:val="00946559"/>
    <w:rsid w:val="00950A5A"/>
    <w:rsid w:val="00973798"/>
    <w:rsid w:val="00981B65"/>
    <w:rsid w:val="00981FD5"/>
    <w:rsid w:val="00992BD5"/>
    <w:rsid w:val="00996E02"/>
    <w:rsid w:val="009A2087"/>
    <w:rsid w:val="009A782E"/>
    <w:rsid w:val="009C1BC9"/>
    <w:rsid w:val="009D168F"/>
    <w:rsid w:val="009D39AA"/>
    <w:rsid w:val="009D4628"/>
    <w:rsid w:val="009E1125"/>
    <w:rsid w:val="009E7CB4"/>
    <w:rsid w:val="00A06029"/>
    <w:rsid w:val="00A07E19"/>
    <w:rsid w:val="00A219F4"/>
    <w:rsid w:val="00A21E2B"/>
    <w:rsid w:val="00A26C16"/>
    <w:rsid w:val="00A34360"/>
    <w:rsid w:val="00A3469E"/>
    <w:rsid w:val="00A34EB7"/>
    <w:rsid w:val="00A41DE4"/>
    <w:rsid w:val="00A46227"/>
    <w:rsid w:val="00A54E04"/>
    <w:rsid w:val="00A56F8E"/>
    <w:rsid w:val="00A62F64"/>
    <w:rsid w:val="00A70C8C"/>
    <w:rsid w:val="00A72764"/>
    <w:rsid w:val="00A738BB"/>
    <w:rsid w:val="00A73E76"/>
    <w:rsid w:val="00A775AD"/>
    <w:rsid w:val="00A82067"/>
    <w:rsid w:val="00A905BC"/>
    <w:rsid w:val="00A9216B"/>
    <w:rsid w:val="00A92370"/>
    <w:rsid w:val="00A92A20"/>
    <w:rsid w:val="00A93482"/>
    <w:rsid w:val="00A97948"/>
    <w:rsid w:val="00AA1CD7"/>
    <w:rsid w:val="00AA37B6"/>
    <w:rsid w:val="00AA48EF"/>
    <w:rsid w:val="00AA6417"/>
    <w:rsid w:val="00AB1E81"/>
    <w:rsid w:val="00AC7878"/>
    <w:rsid w:val="00AC7B97"/>
    <w:rsid w:val="00AD01A6"/>
    <w:rsid w:val="00AD32BD"/>
    <w:rsid w:val="00AD569E"/>
    <w:rsid w:val="00AE038A"/>
    <w:rsid w:val="00AE058D"/>
    <w:rsid w:val="00AE217B"/>
    <w:rsid w:val="00AE6424"/>
    <w:rsid w:val="00AE7A35"/>
    <w:rsid w:val="00AF5829"/>
    <w:rsid w:val="00B106B8"/>
    <w:rsid w:val="00B11FEF"/>
    <w:rsid w:val="00B135EC"/>
    <w:rsid w:val="00B13F88"/>
    <w:rsid w:val="00B25A8C"/>
    <w:rsid w:val="00B3596C"/>
    <w:rsid w:val="00B41715"/>
    <w:rsid w:val="00B4172F"/>
    <w:rsid w:val="00B548E0"/>
    <w:rsid w:val="00B557A4"/>
    <w:rsid w:val="00B57D09"/>
    <w:rsid w:val="00B64177"/>
    <w:rsid w:val="00B717D8"/>
    <w:rsid w:val="00B7490D"/>
    <w:rsid w:val="00B81386"/>
    <w:rsid w:val="00B831FC"/>
    <w:rsid w:val="00B8486B"/>
    <w:rsid w:val="00B861BF"/>
    <w:rsid w:val="00B87042"/>
    <w:rsid w:val="00B920D3"/>
    <w:rsid w:val="00B96206"/>
    <w:rsid w:val="00BA2F6D"/>
    <w:rsid w:val="00BB5B60"/>
    <w:rsid w:val="00BC3689"/>
    <w:rsid w:val="00BC5BF5"/>
    <w:rsid w:val="00BD3AE4"/>
    <w:rsid w:val="00BD4911"/>
    <w:rsid w:val="00BD7D8F"/>
    <w:rsid w:val="00BE6B98"/>
    <w:rsid w:val="00BF5AC8"/>
    <w:rsid w:val="00BF642B"/>
    <w:rsid w:val="00C0436C"/>
    <w:rsid w:val="00C05D5C"/>
    <w:rsid w:val="00C07070"/>
    <w:rsid w:val="00C112DB"/>
    <w:rsid w:val="00C17C48"/>
    <w:rsid w:val="00C3197A"/>
    <w:rsid w:val="00C32284"/>
    <w:rsid w:val="00C341FE"/>
    <w:rsid w:val="00C450BC"/>
    <w:rsid w:val="00C5385F"/>
    <w:rsid w:val="00C54A60"/>
    <w:rsid w:val="00C652BA"/>
    <w:rsid w:val="00C72A9E"/>
    <w:rsid w:val="00C73689"/>
    <w:rsid w:val="00C7497C"/>
    <w:rsid w:val="00C833CF"/>
    <w:rsid w:val="00C87DEB"/>
    <w:rsid w:val="00CA2121"/>
    <w:rsid w:val="00CA5C3F"/>
    <w:rsid w:val="00CA7024"/>
    <w:rsid w:val="00CB5996"/>
    <w:rsid w:val="00CC75DB"/>
    <w:rsid w:val="00CD247F"/>
    <w:rsid w:val="00CD3C74"/>
    <w:rsid w:val="00CE2E79"/>
    <w:rsid w:val="00CF4C37"/>
    <w:rsid w:val="00D2376D"/>
    <w:rsid w:val="00D31EEA"/>
    <w:rsid w:val="00D3433E"/>
    <w:rsid w:val="00D35779"/>
    <w:rsid w:val="00D402F3"/>
    <w:rsid w:val="00D511EB"/>
    <w:rsid w:val="00D5624A"/>
    <w:rsid w:val="00D57744"/>
    <w:rsid w:val="00D607A5"/>
    <w:rsid w:val="00D72513"/>
    <w:rsid w:val="00D74359"/>
    <w:rsid w:val="00D74D18"/>
    <w:rsid w:val="00D766D9"/>
    <w:rsid w:val="00D87275"/>
    <w:rsid w:val="00D944D6"/>
    <w:rsid w:val="00DA72C4"/>
    <w:rsid w:val="00DB5377"/>
    <w:rsid w:val="00DB6E3C"/>
    <w:rsid w:val="00DC3BAD"/>
    <w:rsid w:val="00DD058B"/>
    <w:rsid w:val="00DE0C8E"/>
    <w:rsid w:val="00E0287C"/>
    <w:rsid w:val="00E0331B"/>
    <w:rsid w:val="00E15689"/>
    <w:rsid w:val="00E22558"/>
    <w:rsid w:val="00E249A5"/>
    <w:rsid w:val="00E27D2B"/>
    <w:rsid w:val="00E3720C"/>
    <w:rsid w:val="00E37328"/>
    <w:rsid w:val="00E4091E"/>
    <w:rsid w:val="00E42E6A"/>
    <w:rsid w:val="00E46BF3"/>
    <w:rsid w:val="00E63299"/>
    <w:rsid w:val="00E657B4"/>
    <w:rsid w:val="00E66503"/>
    <w:rsid w:val="00E67496"/>
    <w:rsid w:val="00E72954"/>
    <w:rsid w:val="00E75CA7"/>
    <w:rsid w:val="00E7734E"/>
    <w:rsid w:val="00E806D2"/>
    <w:rsid w:val="00E8562D"/>
    <w:rsid w:val="00E879A4"/>
    <w:rsid w:val="00E87D31"/>
    <w:rsid w:val="00E9521F"/>
    <w:rsid w:val="00E97326"/>
    <w:rsid w:val="00EA7158"/>
    <w:rsid w:val="00EB5DAD"/>
    <w:rsid w:val="00EC5718"/>
    <w:rsid w:val="00EC7B14"/>
    <w:rsid w:val="00ED1F75"/>
    <w:rsid w:val="00ED2F26"/>
    <w:rsid w:val="00ED695A"/>
    <w:rsid w:val="00F028E8"/>
    <w:rsid w:val="00F1238D"/>
    <w:rsid w:val="00F13F2A"/>
    <w:rsid w:val="00F16705"/>
    <w:rsid w:val="00F25502"/>
    <w:rsid w:val="00F2714C"/>
    <w:rsid w:val="00F353D0"/>
    <w:rsid w:val="00F36168"/>
    <w:rsid w:val="00F40ADE"/>
    <w:rsid w:val="00F45F5E"/>
    <w:rsid w:val="00F51D4D"/>
    <w:rsid w:val="00F602EF"/>
    <w:rsid w:val="00F63C9E"/>
    <w:rsid w:val="00F72D94"/>
    <w:rsid w:val="00F7599E"/>
    <w:rsid w:val="00F81AC2"/>
    <w:rsid w:val="00FA1EC3"/>
    <w:rsid w:val="00FA3E65"/>
    <w:rsid w:val="00FB33C7"/>
    <w:rsid w:val="00FB74FF"/>
    <w:rsid w:val="00FC6DF9"/>
    <w:rsid w:val="00FC7640"/>
    <w:rsid w:val="00FD099D"/>
    <w:rsid w:val="00FD09F4"/>
    <w:rsid w:val="00FD104F"/>
    <w:rsid w:val="00FD4065"/>
    <w:rsid w:val="00FD45BC"/>
    <w:rsid w:val="00FD4BD4"/>
    <w:rsid w:val="00FD563D"/>
    <w:rsid w:val="00FF0053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192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AD"/>
    <w:pPr>
      <w:spacing w:after="200"/>
    </w:pPr>
    <w:rPr>
      <w:rFonts w:eastAsia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511E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511E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511EB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511E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D51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BAD"/>
    <w:pPr>
      <w:spacing w:before="120"/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C3BAD"/>
    <w:rPr>
      <w:rFonts w:eastAsia="Times New Roman"/>
      <w:b/>
      <w:caps/>
      <w:sz w:val="28"/>
      <w:szCs w:val="28"/>
      <w:lang w:eastAsia="en-AU"/>
    </w:rPr>
  </w:style>
  <w:style w:type="paragraph" w:styleId="Footer">
    <w:name w:val="footer"/>
    <w:basedOn w:val="Normal"/>
    <w:link w:val="FooterChar"/>
    <w:uiPriority w:val="99"/>
    <w:rsid w:val="00D511E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F6D"/>
    <w:rPr>
      <w:rFonts w:eastAsia="Times New Roman"/>
      <w:sz w:val="24"/>
      <w:lang w:eastAsia="en-AU"/>
    </w:rPr>
  </w:style>
  <w:style w:type="table" w:styleId="TableGrid">
    <w:name w:val="Table Grid"/>
    <w:basedOn w:val="TableNormal"/>
    <w:rsid w:val="00D511EB"/>
    <w:rPr>
      <w:rFonts w:eastAsia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">
    <w:name w:val="Bullet"/>
    <w:basedOn w:val="Normal"/>
    <w:link w:val="BulletChar"/>
    <w:qFormat/>
    <w:rsid w:val="00136F98"/>
    <w:pPr>
      <w:numPr>
        <w:numId w:val="4"/>
      </w:numPr>
      <w:spacing w:before="280"/>
    </w:pPr>
  </w:style>
  <w:style w:type="character" w:customStyle="1" w:styleId="BulletChar">
    <w:name w:val="Bullet Char"/>
    <w:basedOn w:val="DefaultParagraphFont"/>
    <w:link w:val="Bullet"/>
    <w:rsid w:val="00136F98"/>
    <w:rPr>
      <w:rFonts w:eastAsia="Times New Roman"/>
      <w:sz w:val="24"/>
      <w:lang w:eastAsia="en-AU"/>
    </w:rPr>
  </w:style>
  <w:style w:type="paragraph" w:customStyle="1" w:styleId="Dash">
    <w:name w:val="Dash"/>
    <w:basedOn w:val="Normal"/>
    <w:link w:val="DashChar"/>
    <w:qFormat/>
    <w:rsid w:val="00D511EB"/>
    <w:pPr>
      <w:numPr>
        <w:ilvl w:val="1"/>
        <w:numId w:val="4"/>
      </w:numPr>
    </w:pPr>
  </w:style>
  <w:style w:type="character" w:customStyle="1" w:styleId="DashChar">
    <w:name w:val="Dash Char"/>
    <w:basedOn w:val="DefaultParagraphFont"/>
    <w:link w:val="Dash"/>
    <w:rsid w:val="00BA2F6D"/>
    <w:rPr>
      <w:rFonts w:eastAsia="Times New Roman"/>
      <w:sz w:val="24"/>
      <w:lang w:eastAsia="en-AU"/>
    </w:rPr>
  </w:style>
  <w:style w:type="paragraph" w:customStyle="1" w:styleId="DoubleDot">
    <w:name w:val="Double Dot"/>
    <w:basedOn w:val="Normal"/>
    <w:link w:val="DoubleDotChar"/>
    <w:qFormat/>
    <w:rsid w:val="00D511EB"/>
    <w:pPr>
      <w:numPr>
        <w:ilvl w:val="2"/>
        <w:numId w:val="4"/>
      </w:numPr>
    </w:pPr>
  </w:style>
  <w:style w:type="character" w:customStyle="1" w:styleId="DoubleDotChar">
    <w:name w:val="Double Dot Char"/>
    <w:basedOn w:val="DefaultParagraphFont"/>
    <w:link w:val="DoubleDot"/>
    <w:rsid w:val="00BA2F6D"/>
    <w:rPr>
      <w:rFonts w:eastAsia="Times New Roman"/>
      <w:sz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11EB"/>
    <w:rPr>
      <w:color w:val="808080"/>
    </w:rPr>
  </w:style>
  <w:style w:type="paragraph" w:styleId="BalloonText">
    <w:name w:val="Balloon Text"/>
    <w:basedOn w:val="Normal"/>
    <w:link w:val="BalloonTextChar"/>
    <w:rsid w:val="00D511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1EB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BA2F6D"/>
    <w:rPr>
      <w:rFonts w:eastAsia="Times New Roman"/>
      <w:b/>
      <w:caps/>
      <w:sz w:val="28"/>
      <w:szCs w:val="28"/>
      <w:lang w:eastAsia="en-AU"/>
    </w:rPr>
  </w:style>
  <w:style w:type="paragraph" w:customStyle="1" w:styleId="Addressee">
    <w:name w:val="Addressee"/>
    <w:basedOn w:val="Normal"/>
    <w:rsid w:val="00D511EB"/>
    <w:pPr>
      <w:tabs>
        <w:tab w:val="left" w:pos="4253"/>
      </w:tabs>
      <w:spacing w:before="120" w:after="0"/>
      <w:ind w:left="4678" w:hanging="4678"/>
    </w:pPr>
  </w:style>
  <w:style w:type="paragraph" w:customStyle="1" w:styleId="Areas">
    <w:name w:val="Areas"/>
    <w:basedOn w:val="Normal"/>
    <w:qFormat/>
    <w:rsid w:val="00D511EB"/>
    <w:rPr>
      <w:sz w:val="20"/>
    </w:rPr>
  </w:style>
  <w:style w:type="paragraph" w:customStyle="1" w:styleId="SinglePara">
    <w:name w:val="Single Para"/>
    <w:basedOn w:val="Normal"/>
    <w:rsid w:val="00D511EB"/>
    <w:pPr>
      <w:spacing w:after="0"/>
    </w:pPr>
    <w:rPr>
      <w:sz w:val="20"/>
    </w:rPr>
  </w:style>
  <w:style w:type="paragraph" w:customStyle="1" w:styleId="Box">
    <w:name w:val="Box"/>
    <w:basedOn w:val="SinglePara"/>
    <w:rsid w:val="00D511EB"/>
    <w:pPr>
      <w:spacing w:before="40" w:after="40"/>
    </w:pPr>
  </w:style>
  <w:style w:type="paragraph" w:customStyle="1" w:styleId="boxfirstpara">
    <w:name w:val="boxfirstpara"/>
    <w:basedOn w:val="Box"/>
    <w:rsid w:val="00D511EB"/>
    <w:rPr>
      <w:sz w:val="6"/>
    </w:rPr>
  </w:style>
  <w:style w:type="paragraph" w:customStyle="1" w:styleId="ChartMainHeading">
    <w:name w:val="Chart Main Heading"/>
    <w:basedOn w:val="Normal"/>
    <w:next w:val="Normal"/>
    <w:rsid w:val="00D511E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D511EB"/>
    <w:pPr>
      <w:spacing w:after="0"/>
      <w:jc w:val="center"/>
    </w:pPr>
    <w:rPr>
      <w:b/>
    </w:rPr>
  </w:style>
  <w:style w:type="paragraph" w:customStyle="1" w:styleId="DLMSecurityFooter">
    <w:name w:val="DLM Security Footer"/>
    <w:link w:val="DLMSecurityFoot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customStyle="1" w:styleId="DLMSecurityHeader">
    <w:name w:val="DLM Security Header"/>
    <w:link w:val="DLMSecurityHead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styleId="EnvelopeAddress">
    <w:name w:val="envelope address"/>
    <w:basedOn w:val="Normal"/>
    <w:rsid w:val="00D511E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noteText">
    <w:name w:val="footnote text"/>
    <w:basedOn w:val="Normal"/>
    <w:link w:val="FootnoteTextChar"/>
    <w:semiHidden/>
    <w:rsid w:val="00D511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11EB"/>
    <w:rPr>
      <w:rFonts w:eastAsia="Times New Roman"/>
      <w:lang w:eastAsia="en-AU"/>
    </w:rPr>
  </w:style>
  <w:style w:type="character" w:customStyle="1" w:styleId="Heading2Char">
    <w:name w:val="Heading 2 Char"/>
    <w:basedOn w:val="DefaultParagraphFont"/>
    <w:link w:val="Heading2"/>
    <w:rsid w:val="00D511EB"/>
    <w:rPr>
      <w:rFonts w:eastAsia="Times New Roman"/>
      <w:b/>
      <w:caps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D511EB"/>
    <w:rPr>
      <w:rFonts w:eastAsia="Times New Roman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511EB"/>
    <w:rPr>
      <w:rFonts w:eastAsia="Times New Roman"/>
      <w:i/>
      <w:kern w:val="1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D511EB"/>
    <w:rPr>
      <w:rFonts w:eastAsia="Times New Roman"/>
      <w:b/>
      <w:bCs/>
      <w:i/>
      <w:iCs/>
      <w:sz w:val="26"/>
      <w:szCs w:val="26"/>
      <w:lang w:eastAsia="en-AU"/>
    </w:rPr>
  </w:style>
  <w:style w:type="paragraph" w:customStyle="1" w:styleId="KeyPoints">
    <w:name w:val="Key Points"/>
    <w:basedOn w:val="Normal"/>
    <w:next w:val="Bullet"/>
    <w:rsid w:val="00D511EB"/>
    <w:pPr>
      <w:spacing w:before="120"/>
    </w:pPr>
    <w:rPr>
      <w:b/>
      <w:caps/>
      <w:szCs w:val="24"/>
    </w:rPr>
  </w:style>
  <w:style w:type="paragraph" w:styleId="MacroText">
    <w:name w:val="macro"/>
    <w:link w:val="MacroTextChar"/>
    <w:semiHidden/>
    <w:rsid w:val="00D511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eastAsia="Times New Roman" w:hAnsi="Arial"/>
      <w:kern w:val="16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D511EB"/>
    <w:rPr>
      <w:rFonts w:ascii="Arial" w:eastAsia="Times New Roman" w:hAnsi="Arial"/>
      <w:kern w:val="16"/>
      <w:lang w:eastAsia="en-AU"/>
    </w:rPr>
  </w:style>
  <w:style w:type="paragraph" w:customStyle="1" w:styleId="MeasureTableHeading">
    <w:name w:val="Measure Table Heading"/>
    <w:basedOn w:val="Normal"/>
    <w:rsid w:val="00D511EB"/>
    <w:pPr>
      <w:keepNext/>
      <w:spacing w:after="0"/>
    </w:pPr>
    <w:rPr>
      <w:rFonts w:ascii="Arial" w:hAnsi="Arial"/>
      <w:sz w:val="16"/>
    </w:rPr>
  </w:style>
  <w:style w:type="paragraph" w:customStyle="1" w:styleId="MeasureTableTextLeftAligned">
    <w:name w:val="Measure Table Text Left Aligned"/>
    <w:basedOn w:val="Normal"/>
    <w:rsid w:val="00D511EB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TextRightAligned">
    <w:name w:val="Measure Table Text Right Aligned"/>
    <w:basedOn w:val="Normal"/>
    <w:rsid w:val="00D511EB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D511EB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rsid w:val="00D511EB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character" w:customStyle="1" w:styleId="MinisterDate">
    <w:name w:val="MinisterDate"/>
    <w:basedOn w:val="DefaultParagraphFont"/>
    <w:rsid w:val="006C4E4A"/>
    <w:rPr>
      <w:b/>
    </w:rPr>
  </w:style>
  <w:style w:type="paragraph" w:customStyle="1" w:styleId="MinuteDate">
    <w:name w:val="Minute Date"/>
    <w:basedOn w:val="SinglePara"/>
    <w:rsid w:val="00D511EB"/>
    <w:pPr>
      <w:spacing w:before="120"/>
      <w:jc w:val="right"/>
    </w:pPr>
    <w:rPr>
      <w:noProof/>
      <w:sz w:val="24"/>
    </w:rPr>
  </w:style>
  <w:style w:type="paragraph" w:customStyle="1" w:styleId="MinuteNumber">
    <w:name w:val="Minute Number"/>
    <w:basedOn w:val="Header"/>
    <w:rsid w:val="00CA2121"/>
    <w:pPr>
      <w:pBdr>
        <w:bottom w:val="double" w:sz="6" w:space="6" w:color="auto"/>
      </w:pBdr>
      <w:tabs>
        <w:tab w:val="right" w:pos="8222"/>
      </w:tabs>
      <w:spacing w:after="120"/>
      <w:jc w:val="right"/>
    </w:pPr>
    <w:rPr>
      <w:b w:val="0"/>
      <w:caps w:val="0"/>
      <w:kern w:val="16"/>
      <w:sz w:val="24"/>
      <w:szCs w:val="24"/>
    </w:rPr>
  </w:style>
  <w:style w:type="paragraph" w:styleId="NormalIndent">
    <w:name w:val="Normal Indent"/>
    <w:basedOn w:val="Normal"/>
    <w:rsid w:val="00D511EB"/>
    <w:pPr>
      <w:ind w:left="720"/>
    </w:pPr>
  </w:style>
  <w:style w:type="paragraph" w:customStyle="1" w:styleId="SecurityClassification">
    <w:name w:val="Security Classification"/>
    <w:basedOn w:val="Header"/>
    <w:rsid w:val="00D511EB"/>
    <w:rPr>
      <w:rFonts w:ascii="Tahoma" w:hAnsi="Tahoma"/>
      <w:caps w:val="0"/>
      <w:sz w:val="20"/>
    </w:rPr>
  </w:style>
  <w:style w:type="paragraph" w:customStyle="1" w:styleId="SecurityClassificationFooter">
    <w:name w:val="Security Classification Footer"/>
    <w:link w:val="SecurityClassificationFoot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ingleParagraph">
    <w:name w:val="SingleParagraph"/>
    <w:basedOn w:val="Normal"/>
    <w:next w:val="Normal"/>
    <w:rsid w:val="00D511EB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Summary">
    <w:name w:val="Summary"/>
    <w:basedOn w:val="Normal"/>
    <w:next w:val="Normal"/>
    <w:rsid w:val="00D511EB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D511EB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D511EB"/>
    <w:rPr>
      <w:rFonts w:eastAsia="Times New Roman" w:cs="Arial"/>
      <w:b/>
      <w:bCs/>
      <w:caps/>
      <w:sz w:val="24"/>
      <w:szCs w:val="24"/>
      <w:lang w:eastAsia="en-AU"/>
    </w:rPr>
  </w:style>
  <w:style w:type="paragraph" w:customStyle="1" w:styleId="Recommendation">
    <w:name w:val="Recommendation"/>
    <w:basedOn w:val="Normal"/>
    <w:qFormat/>
    <w:rsid w:val="006C4E4A"/>
    <w:pPr>
      <w:spacing w:before="120"/>
    </w:pPr>
    <w:rPr>
      <w:b/>
    </w:rPr>
  </w:style>
  <w:style w:type="paragraph" w:customStyle="1" w:styleId="areasconsulted">
    <w:name w:val="areasconsulted"/>
    <w:basedOn w:val="Normal"/>
    <w:qFormat/>
    <w:rsid w:val="00DC3BAD"/>
    <w:pPr>
      <w:spacing w:before="120" w:after="120"/>
    </w:pPr>
    <w:rPr>
      <w:sz w:val="20"/>
    </w:rPr>
  </w:style>
  <w:style w:type="paragraph" w:customStyle="1" w:styleId="Spacing">
    <w:name w:val="Spacing"/>
    <w:basedOn w:val="Footer"/>
    <w:qFormat/>
    <w:rsid w:val="00580E4A"/>
    <w:pPr>
      <w:spacing w:after="60"/>
    </w:pPr>
    <w:rPr>
      <w:strike/>
      <w:sz w:val="16"/>
      <w:szCs w:val="16"/>
    </w:rPr>
  </w:style>
  <w:style w:type="paragraph" w:customStyle="1" w:styleId="ImpactHeading">
    <w:name w:val="ImpactHeading"/>
    <w:basedOn w:val="Box"/>
    <w:qFormat/>
    <w:rsid w:val="00ED2F26"/>
    <w:pPr>
      <w:spacing w:before="160"/>
    </w:pPr>
  </w:style>
  <w:style w:type="character" w:styleId="FootnoteReference">
    <w:name w:val="footnote reference"/>
    <w:basedOn w:val="DefaultParagraphFont"/>
    <w:uiPriority w:val="99"/>
    <w:unhideWhenUsed/>
    <w:rsid w:val="00C322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1E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0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9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9D"/>
    <w:rPr>
      <w:rFonts w:eastAsia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9D"/>
    <w:rPr>
      <w:rFonts w:eastAsia="Times New Roman"/>
      <w:b/>
      <w:bCs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A64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328"/>
    <w:pPr>
      <w:ind w:left="720"/>
      <w:contextualSpacing/>
    </w:pPr>
  </w:style>
  <w:style w:type="paragraph" w:styleId="Revision">
    <w:name w:val="Revision"/>
    <w:hidden/>
    <w:uiPriority w:val="99"/>
    <w:semiHidden/>
    <w:rsid w:val="00D31EEA"/>
    <w:rPr>
      <w:rFonts w:eastAsia="Times New Roman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AD"/>
    <w:pPr>
      <w:spacing w:after="200"/>
    </w:pPr>
    <w:rPr>
      <w:rFonts w:eastAsia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511E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511E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511EB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511E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D51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BAD"/>
    <w:pPr>
      <w:spacing w:before="120"/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C3BAD"/>
    <w:rPr>
      <w:rFonts w:eastAsia="Times New Roman"/>
      <w:b/>
      <w:caps/>
      <w:sz w:val="28"/>
      <w:szCs w:val="28"/>
      <w:lang w:eastAsia="en-AU"/>
    </w:rPr>
  </w:style>
  <w:style w:type="paragraph" w:styleId="Footer">
    <w:name w:val="footer"/>
    <w:basedOn w:val="Normal"/>
    <w:link w:val="FooterChar"/>
    <w:uiPriority w:val="99"/>
    <w:rsid w:val="00D511E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F6D"/>
    <w:rPr>
      <w:rFonts w:eastAsia="Times New Roman"/>
      <w:sz w:val="24"/>
      <w:lang w:eastAsia="en-AU"/>
    </w:rPr>
  </w:style>
  <w:style w:type="table" w:styleId="TableGrid">
    <w:name w:val="Table Grid"/>
    <w:basedOn w:val="TableNormal"/>
    <w:rsid w:val="00D511EB"/>
    <w:rPr>
      <w:rFonts w:eastAsia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">
    <w:name w:val="Bullet"/>
    <w:basedOn w:val="Normal"/>
    <w:link w:val="BulletChar"/>
    <w:qFormat/>
    <w:rsid w:val="00136F98"/>
    <w:pPr>
      <w:numPr>
        <w:numId w:val="4"/>
      </w:numPr>
      <w:spacing w:before="280"/>
    </w:pPr>
  </w:style>
  <w:style w:type="character" w:customStyle="1" w:styleId="BulletChar">
    <w:name w:val="Bullet Char"/>
    <w:basedOn w:val="DefaultParagraphFont"/>
    <w:link w:val="Bullet"/>
    <w:rsid w:val="00136F98"/>
    <w:rPr>
      <w:rFonts w:eastAsia="Times New Roman"/>
      <w:sz w:val="24"/>
      <w:lang w:eastAsia="en-AU"/>
    </w:rPr>
  </w:style>
  <w:style w:type="paragraph" w:customStyle="1" w:styleId="Dash">
    <w:name w:val="Dash"/>
    <w:basedOn w:val="Normal"/>
    <w:link w:val="DashChar"/>
    <w:qFormat/>
    <w:rsid w:val="00D511EB"/>
    <w:pPr>
      <w:numPr>
        <w:ilvl w:val="1"/>
        <w:numId w:val="4"/>
      </w:numPr>
    </w:pPr>
  </w:style>
  <w:style w:type="character" w:customStyle="1" w:styleId="DashChar">
    <w:name w:val="Dash Char"/>
    <w:basedOn w:val="DefaultParagraphFont"/>
    <w:link w:val="Dash"/>
    <w:rsid w:val="00BA2F6D"/>
    <w:rPr>
      <w:rFonts w:eastAsia="Times New Roman"/>
      <w:sz w:val="24"/>
      <w:lang w:eastAsia="en-AU"/>
    </w:rPr>
  </w:style>
  <w:style w:type="paragraph" w:customStyle="1" w:styleId="DoubleDot">
    <w:name w:val="Double Dot"/>
    <w:basedOn w:val="Normal"/>
    <w:link w:val="DoubleDotChar"/>
    <w:qFormat/>
    <w:rsid w:val="00D511EB"/>
    <w:pPr>
      <w:numPr>
        <w:ilvl w:val="2"/>
        <w:numId w:val="4"/>
      </w:numPr>
    </w:pPr>
  </w:style>
  <w:style w:type="character" w:customStyle="1" w:styleId="DoubleDotChar">
    <w:name w:val="Double Dot Char"/>
    <w:basedOn w:val="DefaultParagraphFont"/>
    <w:link w:val="DoubleDot"/>
    <w:rsid w:val="00BA2F6D"/>
    <w:rPr>
      <w:rFonts w:eastAsia="Times New Roman"/>
      <w:sz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11EB"/>
    <w:rPr>
      <w:color w:val="808080"/>
    </w:rPr>
  </w:style>
  <w:style w:type="paragraph" w:styleId="BalloonText">
    <w:name w:val="Balloon Text"/>
    <w:basedOn w:val="Normal"/>
    <w:link w:val="BalloonTextChar"/>
    <w:rsid w:val="00D511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1EB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BA2F6D"/>
    <w:rPr>
      <w:rFonts w:eastAsia="Times New Roman"/>
      <w:b/>
      <w:caps/>
      <w:sz w:val="28"/>
      <w:szCs w:val="28"/>
      <w:lang w:eastAsia="en-AU"/>
    </w:rPr>
  </w:style>
  <w:style w:type="paragraph" w:customStyle="1" w:styleId="Addressee">
    <w:name w:val="Addressee"/>
    <w:basedOn w:val="Normal"/>
    <w:rsid w:val="00D511EB"/>
    <w:pPr>
      <w:tabs>
        <w:tab w:val="left" w:pos="4253"/>
      </w:tabs>
      <w:spacing w:before="120" w:after="0"/>
      <w:ind w:left="4678" w:hanging="4678"/>
    </w:pPr>
  </w:style>
  <w:style w:type="paragraph" w:customStyle="1" w:styleId="Areas">
    <w:name w:val="Areas"/>
    <w:basedOn w:val="Normal"/>
    <w:qFormat/>
    <w:rsid w:val="00D511EB"/>
    <w:rPr>
      <w:sz w:val="20"/>
    </w:rPr>
  </w:style>
  <w:style w:type="paragraph" w:customStyle="1" w:styleId="SinglePara">
    <w:name w:val="Single Para"/>
    <w:basedOn w:val="Normal"/>
    <w:rsid w:val="00D511EB"/>
    <w:pPr>
      <w:spacing w:after="0"/>
    </w:pPr>
    <w:rPr>
      <w:sz w:val="20"/>
    </w:rPr>
  </w:style>
  <w:style w:type="paragraph" w:customStyle="1" w:styleId="Box">
    <w:name w:val="Box"/>
    <w:basedOn w:val="SinglePara"/>
    <w:rsid w:val="00D511EB"/>
    <w:pPr>
      <w:spacing w:before="40" w:after="40"/>
    </w:pPr>
  </w:style>
  <w:style w:type="paragraph" w:customStyle="1" w:styleId="boxfirstpara">
    <w:name w:val="boxfirstpara"/>
    <w:basedOn w:val="Box"/>
    <w:rsid w:val="00D511EB"/>
    <w:rPr>
      <w:sz w:val="6"/>
    </w:rPr>
  </w:style>
  <w:style w:type="paragraph" w:customStyle="1" w:styleId="ChartMainHeading">
    <w:name w:val="Chart Main Heading"/>
    <w:basedOn w:val="Normal"/>
    <w:next w:val="Normal"/>
    <w:rsid w:val="00D511E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D511EB"/>
    <w:pPr>
      <w:spacing w:after="0"/>
      <w:jc w:val="center"/>
    </w:pPr>
    <w:rPr>
      <w:b/>
    </w:rPr>
  </w:style>
  <w:style w:type="paragraph" w:customStyle="1" w:styleId="DLMSecurityFooter">
    <w:name w:val="DLM Security Footer"/>
    <w:link w:val="DLMSecurityFoot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customStyle="1" w:styleId="DLMSecurityHeader">
    <w:name w:val="DLM Security Header"/>
    <w:link w:val="DLMSecurityHead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styleId="EnvelopeAddress">
    <w:name w:val="envelope address"/>
    <w:basedOn w:val="Normal"/>
    <w:rsid w:val="00D511E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noteText">
    <w:name w:val="footnote text"/>
    <w:basedOn w:val="Normal"/>
    <w:link w:val="FootnoteTextChar"/>
    <w:semiHidden/>
    <w:rsid w:val="00D511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11EB"/>
    <w:rPr>
      <w:rFonts w:eastAsia="Times New Roman"/>
      <w:lang w:eastAsia="en-AU"/>
    </w:rPr>
  </w:style>
  <w:style w:type="character" w:customStyle="1" w:styleId="Heading2Char">
    <w:name w:val="Heading 2 Char"/>
    <w:basedOn w:val="DefaultParagraphFont"/>
    <w:link w:val="Heading2"/>
    <w:rsid w:val="00D511EB"/>
    <w:rPr>
      <w:rFonts w:eastAsia="Times New Roman"/>
      <w:b/>
      <w:caps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D511EB"/>
    <w:rPr>
      <w:rFonts w:eastAsia="Times New Roman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511EB"/>
    <w:rPr>
      <w:rFonts w:eastAsia="Times New Roman"/>
      <w:i/>
      <w:kern w:val="1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D511EB"/>
    <w:rPr>
      <w:rFonts w:eastAsia="Times New Roman"/>
      <w:b/>
      <w:bCs/>
      <w:i/>
      <w:iCs/>
      <w:sz w:val="26"/>
      <w:szCs w:val="26"/>
      <w:lang w:eastAsia="en-AU"/>
    </w:rPr>
  </w:style>
  <w:style w:type="paragraph" w:customStyle="1" w:styleId="KeyPoints">
    <w:name w:val="Key Points"/>
    <w:basedOn w:val="Normal"/>
    <w:next w:val="Bullet"/>
    <w:rsid w:val="00D511EB"/>
    <w:pPr>
      <w:spacing w:before="120"/>
    </w:pPr>
    <w:rPr>
      <w:b/>
      <w:caps/>
      <w:szCs w:val="24"/>
    </w:rPr>
  </w:style>
  <w:style w:type="paragraph" w:styleId="MacroText">
    <w:name w:val="macro"/>
    <w:link w:val="MacroTextChar"/>
    <w:semiHidden/>
    <w:rsid w:val="00D511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eastAsia="Times New Roman" w:hAnsi="Arial"/>
      <w:kern w:val="16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D511EB"/>
    <w:rPr>
      <w:rFonts w:ascii="Arial" w:eastAsia="Times New Roman" w:hAnsi="Arial"/>
      <w:kern w:val="16"/>
      <w:lang w:eastAsia="en-AU"/>
    </w:rPr>
  </w:style>
  <w:style w:type="paragraph" w:customStyle="1" w:styleId="MeasureTableHeading">
    <w:name w:val="Measure Table Heading"/>
    <w:basedOn w:val="Normal"/>
    <w:rsid w:val="00D511EB"/>
    <w:pPr>
      <w:keepNext/>
      <w:spacing w:after="0"/>
    </w:pPr>
    <w:rPr>
      <w:rFonts w:ascii="Arial" w:hAnsi="Arial"/>
      <w:sz w:val="16"/>
    </w:rPr>
  </w:style>
  <w:style w:type="paragraph" w:customStyle="1" w:styleId="MeasureTableTextLeftAligned">
    <w:name w:val="Measure Table Text Left Aligned"/>
    <w:basedOn w:val="Normal"/>
    <w:rsid w:val="00D511EB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TextRightAligned">
    <w:name w:val="Measure Table Text Right Aligned"/>
    <w:basedOn w:val="Normal"/>
    <w:rsid w:val="00D511EB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D511EB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rsid w:val="00D511EB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character" w:customStyle="1" w:styleId="MinisterDate">
    <w:name w:val="MinisterDate"/>
    <w:basedOn w:val="DefaultParagraphFont"/>
    <w:rsid w:val="006C4E4A"/>
    <w:rPr>
      <w:b/>
    </w:rPr>
  </w:style>
  <w:style w:type="paragraph" w:customStyle="1" w:styleId="MinuteDate">
    <w:name w:val="Minute Date"/>
    <w:basedOn w:val="SinglePara"/>
    <w:rsid w:val="00D511EB"/>
    <w:pPr>
      <w:spacing w:before="120"/>
      <w:jc w:val="right"/>
    </w:pPr>
    <w:rPr>
      <w:noProof/>
      <w:sz w:val="24"/>
    </w:rPr>
  </w:style>
  <w:style w:type="paragraph" w:customStyle="1" w:styleId="MinuteNumber">
    <w:name w:val="Minute Number"/>
    <w:basedOn w:val="Header"/>
    <w:rsid w:val="00CA2121"/>
    <w:pPr>
      <w:pBdr>
        <w:bottom w:val="double" w:sz="6" w:space="6" w:color="auto"/>
      </w:pBdr>
      <w:tabs>
        <w:tab w:val="right" w:pos="8222"/>
      </w:tabs>
      <w:spacing w:after="120"/>
      <w:jc w:val="right"/>
    </w:pPr>
    <w:rPr>
      <w:b w:val="0"/>
      <w:caps w:val="0"/>
      <w:kern w:val="16"/>
      <w:sz w:val="24"/>
      <w:szCs w:val="24"/>
    </w:rPr>
  </w:style>
  <w:style w:type="paragraph" w:styleId="NormalIndent">
    <w:name w:val="Normal Indent"/>
    <w:basedOn w:val="Normal"/>
    <w:rsid w:val="00D511EB"/>
    <w:pPr>
      <w:ind w:left="720"/>
    </w:pPr>
  </w:style>
  <w:style w:type="paragraph" w:customStyle="1" w:styleId="SecurityClassification">
    <w:name w:val="Security Classification"/>
    <w:basedOn w:val="Header"/>
    <w:rsid w:val="00D511EB"/>
    <w:rPr>
      <w:rFonts w:ascii="Tahoma" w:hAnsi="Tahoma"/>
      <w:caps w:val="0"/>
      <w:sz w:val="20"/>
    </w:rPr>
  </w:style>
  <w:style w:type="paragraph" w:customStyle="1" w:styleId="SecurityClassificationFooter">
    <w:name w:val="Security Classification Footer"/>
    <w:link w:val="SecurityClassificationFoot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ingleParagraph">
    <w:name w:val="SingleParagraph"/>
    <w:basedOn w:val="Normal"/>
    <w:next w:val="Normal"/>
    <w:rsid w:val="00D511EB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Summary">
    <w:name w:val="Summary"/>
    <w:basedOn w:val="Normal"/>
    <w:next w:val="Normal"/>
    <w:rsid w:val="00D511EB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D511EB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D511EB"/>
    <w:rPr>
      <w:rFonts w:eastAsia="Times New Roman" w:cs="Arial"/>
      <w:b/>
      <w:bCs/>
      <w:caps/>
      <w:sz w:val="24"/>
      <w:szCs w:val="24"/>
      <w:lang w:eastAsia="en-AU"/>
    </w:rPr>
  </w:style>
  <w:style w:type="paragraph" w:customStyle="1" w:styleId="Recommendation">
    <w:name w:val="Recommendation"/>
    <w:basedOn w:val="Normal"/>
    <w:qFormat/>
    <w:rsid w:val="006C4E4A"/>
    <w:pPr>
      <w:spacing w:before="120"/>
    </w:pPr>
    <w:rPr>
      <w:b/>
    </w:rPr>
  </w:style>
  <w:style w:type="paragraph" w:customStyle="1" w:styleId="areasconsulted">
    <w:name w:val="areasconsulted"/>
    <w:basedOn w:val="Normal"/>
    <w:qFormat/>
    <w:rsid w:val="00DC3BAD"/>
    <w:pPr>
      <w:spacing w:before="120" w:after="120"/>
    </w:pPr>
    <w:rPr>
      <w:sz w:val="20"/>
    </w:rPr>
  </w:style>
  <w:style w:type="paragraph" w:customStyle="1" w:styleId="Spacing">
    <w:name w:val="Spacing"/>
    <w:basedOn w:val="Footer"/>
    <w:qFormat/>
    <w:rsid w:val="00580E4A"/>
    <w:pPr>
      <w:spacing w:after="60"/>
    </w:pPr>
    <w:rPr>
      <w:strike/>
      <w:sz w:val="16"/>
      <w:szCs w:val="16"/>
    </w:rPr>
  </w:style>
  <w:style w:type="paragraph" w:customStyle="1" w:styleId="ImpactHeading">
    <w:name w:val="ImpactHeading"/>
    <w:basedOn w:val="Box"/>
    <w:qFormat/>
    <w:rsid w:val="00ED2F26"/>
    <w:pPr>
      <w:spacing w:before="160"/>
    </w:pPr>
  </w:style>
  <w:style w:type="character" w:styleId="FootnoteReference">
    <w:name w:val="footnote reference"/>
    <w:basedOn w:val="DefaultParagraphFont"/>
    <w:uiPriority w:val="99"/>
    <w:unhideWhenUsed/>
    <w:rsid w:val="00C322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1E2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0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99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9D"/>
    <w:rPr>
      <w:rFonts w:eastAsia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9D"/>
    <w:rPr>
      <w:rFonts w:eastAsia="Times New Roman"/>
      <w:b/>
      <w:bCs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A641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328"/>
    <w:pPr>
      <w:ind w:left="720"/>
      <w:contextualSpacing/>
    </w:pPr>
  </w:style>
  <w:style w:type="paragraph" w:styleId="Revision">
    <w:name w:val="Revision"/>
    <w:hidden/>
    <w:uiPriority w:val="99"/>
    <w:semiHidden/>
    <w:rsid w:val="00D31EEA"/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E863-D7FA-4D01-B9C1-504991A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5811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on Federal Financial Relations Affordable Housing Working Group - Innovative financing models</vt:lpstr>
    </vt:vector>
  </TitlesOfParts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on Federal Financial Relations Affordable Housing Working Group - Innovative financing models</dc:title>
  <dc:subject>Terms of Reference</dc:subject>
  <dc:creator/>
  <cp:lastModifiedBy/>
  <cp:revision>1</cp:revision>
  <dcterms:created xsi:type="dcterms:W3CDTF">2016-01-31T23:41:00Z</dcterms:created>
  <dcterms:modified xsi:type="dcterms:W3CDTF">2016-01-31T23:42:00Z</dcterms:modified>
</cp:coreProperties>
</file>