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BF476" w14:textId="77777777" w:rsidR="0056559F" w:rsidRPr="00F15A1A" w:rsidRDefault="00110001" w:rsidP="00F15A1A">
      <w:pPr>
        <w:pStyle w:val="CoverTitleMain"/>
      </w:pPr>
      <w:bookmarkStart w:id="0" w:name="_GoBack"/>
      <w:bookmarkEnd w:id="0"/>
      <w:r w:rsidRPr="00F15A1A">
        <w:t xml:space="preserve">Review of </w:t>
      </w:r>
      <w:r w:rsidR="0015796F" w:rsidRPr="00F15A1A">
        <w:t xml:space="preserve">tax and </w:t>
      </w:r>
      <w:r w:rsidRPr="00F15A1A">
        <w:t>corporate</w:t>
      </w:r>
      <w:r w:rsidR="0097769E" w:rsidRPr="0097769E">
        <w:br/>
      </w:r>
      <w:r w:rsidRPr="00F15A1A">
        <w:t>whistleblower protections</w:t>
      </w:r>
      <w:r w:rsidR="0015796F" w:rsidRPr="00F15A1A">
        <w:t xml:space="preserve"> in Australia</w:t>
      </w:r>
    </w:p>
    <w:p w14:paraId="103BF477" w14:textId="33A55F56" w:rsidR="0056559F" w:rsidRPr="00F15A1A" w:rsidRDefault="004964AF">
      <w:pPr>
        <w:pStyle w:val="CoverTitleSub"/>
      </w:pPr>
      <w:r w:rsidRPr="00F15A1A">
        <w:t xml:space="preserve"> </w:t>
      </w:r>
      <w:r w:rsidR="00343FC6">
        <w:t>20</w:t>
      </w:r>
      <w:r w:rsidR="00B21B77" w:rsidRPr="00F15A1A">
        <w:t xml:space="preserve"> </w:t>
      </w:r>
      <w:r w:rsidR="001C02E3" w:rsidRPr="00F15A1A">
        <w:t>December</w:t>
      </w:r>
      <w:r w:rsidR="0060566D" w:rsidRPr="00F15A1A">
        <w:t xml:space="preserve"> 2016</w:t>
      </w:r>
    </w:p>
    <w:tbl>
      <w:tblPr>
        <w:tblW w:w="4885" w:type="pct"/>
        <w:tblInd w:w="108" w:type="dxa"/>
        <w:shd w:val="clear" w:color="auto" w:fill="E6E6E6"/>
        <w:tblLook w:val="01E0" w:firstRow="1" w:lastRow="1" w:firstColumn="1" w:lastColumn="1" w:noHBand="0" w:noVBand="0"/>
      </w:tblPr>
      <w:tblGrid>
        <w:gridCol w:w="9072"/>
      </w:tblGrid>
      <w:tr w:rsidR="000A7BCF" w14:paraId="103BF47B" w14:textId="77777777" w:rsidTr="00447234">
        <w:tc>
          <w:tcPr>
            <w:tcW w:w="5000" w:type="pct"/>
            <w:shd w:val="clear" w:color="auto" w:fill="E6E6E6"/>
          </w:tcPr>
          <w:p w14:paraId="103BF478" w14:textId="77777777" w:rsidR="000A7BCF" w:rsidRPr="00F15A1A" w:rsidRDefault="00B21B77" w:rsidP="00F15A1A">
            <w:pPr>
              <w:pStyle w:val="BoxHeadingnonumber-Large"/>
            </w:pPr>
            <w:r w:rsidRPr="00F15A1A">
              <w:t>Note</w:t>
            </w:r>
            <w:r w:rsidR="00352FCF" w:rsidRPr="00F15A1A">
              <w:t xml:space="preserve"> to </w:t>
            </w:r>
            <w:r w:rsidRPr="00F15A1A">
              <w:t>submitters</w:t>
            </w:r>
          </w:p>
          <w:p w14:paraId="103BF479" w14:textId="77777777" w:rsidR="00EB553E" w:rsidRPr="00F15A1A" w:rsidRDefault="00EB553E" w:rsidP="00F15A1A">
            <w:pPr>
              <w:pStyle w:val="BoxText-Large"/>
            </w:pPr>
            <w:r w:rsidRPr="00F15A1A">
              <w:t xml:space="preserve">Submissions </w:t>
            </w:r>
            <w:r w:rsidR="00EC20A6" w:rsidRPr="00F15A1A">
              <w:t xml:space="preserve">are </w:t>
            </w:r>
            <w:r w:rsidRPr="00F15A1A">
              <w:t>due by</w:t>
            </w:r>
            <w:r w:rsidR="0008440C" w:rsidRPr="00F15A1A">
              <w:t xml:space="preserve"> </w:t>
            </w:r>
            <w:r w:rsidR="00E56A62" w:rsidRPr="00F15A1A">
              <w:t xml:space="preserve">10 </w:t>
            </w:r>
            <w:r w:rsidR="0008440C" w:rsidRPr="00F15A1A">
              <w:t>February 2017</w:t>
            </w:r>
            <w:r w:rsidRPr="00F15A1A">
              <w:t>.</w:t>
            </w:r>
          </w:p>
          <w:p w14:paraId="103BF47A" w14:textId="77777777" w:rsidR="000A7BCF" w:rsidRPr="008950C5" w:rsidRDefault="00B21B77" w:rsidP="00F15A1A">
            <w:pPr>
              <w:pStyle w:val="BoxText-Large"/>
            </w:pPr>
            <w:r w:rsidRPr="00F15A1A">
              <w:rPr>
                <w:b/>
              </w:rPr>
              <w:t xml:space="preserve">This paper is for discussion purposes only. </w:t>
            </w:r>
            <w:r w:rsidR="00352FCF" w:rsidRPr="00F15A1A">
              <w:rPr>
                <w:b/>
              </w:rPr>
              <w:t xml:space="preserve">The </w:t>
            </w:r>
            <w:r w:rsidR="0060566D" w:rsidRPr="00F15A1A">
              <w:rPr>
                <w:b/>
              </w:rPr>
              <w:t xml:space="preserve">policy considerations </w:t>
            </w:r>
            <w:r w:rsidR="00352FCF" w:rsidRPr="00F15A1A">
              <w:rPr>
                <w:b/>
              </w:rPr>
              <w:t xml:space="preserve">outlined in this paper </w:t>
            </w:r>
            <w:r w:rsidRPr="00F15A1A">
              <w:rPr>
                <w:b/>
              </w:rPr>
              <w:t xml:space="preserve">are not, and may not, become </w:t>
            </w:r>
            <w:r w:rsidR="0056559F" w:rsidRPr="00F15A1A">
              <w:rPr>
                <w:b/>
              </w:rPr>
              <w:t xml:space="preserve">law. </w:t>
            </w:r>
          </w:p>
        </w:tc>
      </w:tr>
    </w:tbl>
    <w:p w14:paraId="103BF47C" w14:textId="77777777" w:rsidR="0056559F" w:rsidRDefault="0056559F"/>
    <w:p w14:paraId="103BF47D" w14:textId="77777777" w:rsidR="000A7BCF" w:rsidRDefault="000A7BCF">
      <w:pPr>
        <w:sectPr w:rsidR="000A7BCF" w:rsidSect="0056559F">
          <w:footerReference w:type="even" r:id="rId14"/>
          <w:footerReference w:type="default" r:id="rId15"/>
          <w:headerReference w:type="first" r:id="rId16"/>
          <w:pgSz w:w="11906" w:h="16838" w:code="9"/>
          <w:pgMar w:top="1418" w:right="1418" w:bottom="1418" w:left="1418" w:header="709" w:footer="709" w:gutter="0"/>
          <w:cols w:space="708"/>
          <w:titlePg/>
          <w:docGrid w:linePitch="360"/>
        </w:sectPr>
      </w:pPr>
    </w:p>
    <w:p w14:paraId="103BF47E" w14:textId="77777777" w:rsidR="007A717F" w:rsidRPr="007A717F" w:rsidRDefault="007A717F" w:rsidP="007A717F">
      <w:pPr>
        <w:spacing w:line="264" w:lineRule="auto"/>
        <w:rPr>
          <w:rFonts w:ascii="Calibri" w:hAnsi="Calibri"/>
        </w:rPr>
      </w:pPr>
      <w:r w:rsidRPr="007A717F">
        <w:rPr>
          <w:rFonts w:ascii="Calibri" w:hAnsi="Calibri"/>
        </w:rPr>
        <w:lastRenderedPageBreak/>
        <w:t>© Commonwealth of Australia 2016</w:t>
      </w:r>
    </w:p>
    <w:p w14:paraId="103BF480" w14:textId="77777777" w:rsidR="007A717F" w:rsidRPr="007A717F" w:rsidRDefault="007A717F" w:rsidP="007A717F">
      <w:pPr>
        <w:spacing w:line="264" w:lineRule="auto"/>
        <w:rPr>
          <w:rFonts w:ascii="Calibri" w:hAnsi="Calibri"/>
          <w:sz w:val="24"/>
          <w:szCs w:val="24"/>
        </w:rPr>
      </w:pPr>
      <w:r w:rsidRPr="007A717F">
        <w:rPr>
          <w:rFonts w:ascii="Calibri" w:hAnsi="Calibri"/>
        </w:rPr>
        <w:t>This publication is available for your use under a</w:t>
      </w:r>
      <w:r w:rsidRPr="007A717F">
        <w:rPr>
          <w:rFonts w:ascii="Calibri" w:hAnsi="Calibri" w:cs="Arial"/>
          <w:sz w:val="24"/>
          <w:szCs w:val="24"/>
        </w:rPr>
        <w:t xml:space="preserve"> </w:t>
      </w:r>
      <w:hyperlink r:id="rId17" w:history="1">
        <w:r w:rsidRPr="00F15A1A">
          <w:rPr>
            <w:rStyle w:val="Hyperlink"/>
          </w:rPr>
          <w:t>Creative Commons Attribution 3.0 Australia</w:t>
        </w:r>
      </w:hyperlink>
      <w:r w:rsidRPr="007A717F">
        <w:rPr>
          <w:rFonts w:ascii="Calibri" w:hAnsi="Calibri" w:cs="Arial"/>
          <w:sz w:val="24"/>
          <w:szCs w:val="24"/>
        </w:rPr>
        <w:t xml:space="preserve"> </w:t>
      </w:r>
      <w:r w:rsidRPr="007A717F">
        <w:rPr>
          <w:rFonts w:ascii="Calibri" w:hAnsi="Calibri"/>
        </w:rPr>
        <w:t>licence, with the exception of the Commonwealth Coat of Arms, the Treasury logo, photographs, images, signatures and where otherwise stated. The full licence terms are available from</w:t>
      </w:r>
      <w:r w:rsidRPr="007A717F">
        <w:rPr>
          <w:rFonts w:ascii="Calibri" w:hAnsi="Calibri" w:cs="Arial"/>
          <w:sz w:val="24"/>
          <w:szCs w:val="24"/>
        </w:rPr>
        <w:t xml:space="preserve"> </w:t>
      </w:r>
      <w:hyperlink r:id="rId18" w:history="1">
        <w:r w:rsidRPr="00F15A1A">
          <w:rPr>
            <w:rStyle w:val="Hyperlink"/>
          </w:rPr>
          <w:t>http://creativecommons.org/licenses/by/3.0/au/legalcode</w:t>
        </w:r>
      </w:hyperlink>
      <w:r w:rsidRPr="007A717F">
        <w:rPr>
          <w:rFonts w:ascii="Calibri" w:hAnsi="Calibri"/>
          <w:b/>
          <w:color w:val="0070C0"/>
        </w:rPr>
        <w:t>.</w:t>
      </w:r>
      <w:r w:rsidRPr="007A717F">
        <w:rPr>
          <w:rFonts w:ascii="Calibri" w:hAnsi="Calibri"/>
          <w:sz w:val="24"/>
          <w:szCs w:val="24"/>
        </w:rPr>
        <w:t xml:space="preserve"> </w:t>
      </w:r>
    </w:p>
    <w:p w14:paraId="103BF481" w14:textId="77777777" w:rsidR="007A717F" w:rsidRPr="007A717F" w:rsidRDefault="007A717F" w:rsidP="007A717F">
      <w:pPr>
        <w:spacing w:line="264" w:lineRule="auto"/>
        <w:rPr>
          <w:rFonts w:ascii="Calibri" w:hAnsi="Calibri"/>
        </w:rPr>
      </w:pPr>
      <w:r w:rsidRPr="007A717F">
        <w:rPr>
          <w:rFonts w:ascii="Calibri" w:hAnsi="Calibri"/>
          <w:noProof/>
        </w:rPr>
        <w:drawing>
          <wp:inline distT="0" distB="0" distL="0" distR="0" wp14:anchorId="103BF68C" wp14:editId="103BF68D">
            <wp:extent cx="809625" cy="285750"/>
            <wp:effectExtent l="0" t="0" r="9525" b="0"/>
            <wp:docPr id="5" name="Picture 5" descr="Creative Commons attribution 3.0 licence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03BF482" w14:textId="77777777" w:rsidR="007A717F" w:rsidRPr="007A717F" w:rsidRDefault="007A717F" w:rsidP="007A717F">
      <w:pPr>
        <w:spacing w:line="264" w:lineRule="auto"/>
        <w:rPr>
          <w:rFonts w:ascii="Calibri" w:hAnsi="Calibri"/>
        </w:rPr>
      </w:pPr>
      <w:r w:rsidRPr="007A717F">
        <w:rPr>
          <w:rFonts w:ascii="Calibri" w:hAnsi="Calibri"/>
        </w:rPr>
        <w:t>Use of Treasury material under a</w:t>
      </w:r>
      <w:r w:rsidRPr="007A717F">
        <w:rPr>
          <w:rFonts w:ascii="Calibri" w:hAnsi="Calibri" w:cs="Arial"/>
          <w:sz w:val="24"/>
          <w:szCs w:val="24"/>
        </w:rPr>
        <w:t xml:space="preserve"> </w:t>
      </w:r>
      <w:hyperlink r:id="rId20" w:history="1">
        <w:r w:rsidRPr="00F15A1A">
          <w:rPr>
            <w:rStyle w:val="Hyperlink"/>
          </w:rPr>
          <w:t>Creative Commons Attribution 3.0 Australia</w:t>
        </w:r>
      </w:hyperlink>
      <w:r w:rsidRPr="007A717F">
        <w:rPr>
          <w:rFonts w:ascii="Calibri" w:hAnsi="Calibri"/>
          <w:b/>
          <w:color w:val="0070C0"/>
        </w:rPr>
        <w:t xml:space="preserve"> </w:t>
      </w:r>
      <w:r w:rsidRPr="007A717F">
        <w:rPr>
          <w:rFonts w:ascii="Calibri" w:hAnsi="Calibri"/>
        </w:rPr>
        <w:t xml:space="preserve">licence requires you to attribute the work (but not in any way that suggests that the Treasury endorses you or your use of the work). </w:t>
      </w:r>
    </w:p>
    <w:p w14:paraId="103BF483" w14:textId="77777777" w:rsidR="007A717F" w:rsidRPr="007A717F" w:rsidRDefault="007A717F" w:rsidP="007A717F">
      <w:pPr>
        <w:spacing w:line="264" w:lineRule="auto"/>
        <w:rPr>
          <w:rFonts w:ascii="Calibri" w:hAnsi="Calibri"/>
          <w:b/>
        </w:rPr>
      </w:pPr>
      <w:r w:rsidRPr="007A717F">
        <w:rPr>
          <w:rFonts w:ascii="Calibri" w:hAnsi="Calibri"/>
          <w:b/>
        </w:rPr>
        <w:t>Treasury material used ‘as supplied’</w:t>
      </w:r>
    </w:p>
    <w:p w14:paraId="103BF484" w14:textId="77777777" w:rsidR="007A717F" w:rsidRPr="007A717F" w:rsidRDefault="007A717F" w:rsidP="007A717F">
      <w:pPr>
        <w:spacing w:line="264" w:lineRule="auto"/>
        <w:rPr>
          <w:rFonts w:ascii="Calibri" w:hAnsi="Calibri"/>
        </w:rPr>
      </w:pPr>
      <w:r w:rsidRPr="007A717F">
        <w:rPr>
          <w:rFonts w:ascii="Calibri" w:hAnsi="Calibri"/>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103BF485" w14:textId="77777777" w:rsidR="007A717F" w:rsidRPr="007A717F" w:rsidRDefault="007A717F" w:rsidP="007A717F">
      <w:pPr>
        <w:spacing w:line="264" w:lineRule="auto"/>
        <w:ind w:left="567"/>
        <w:rPr>
          <w:rFonts w:ascii="Calibri" w:hAnsi="Calibri"/>
        </w:rPr>
      </w:pPr>
      <w:r w:rsidRPr="007A717F">
        <w:rPr>
          <w:rFonts w:ascii="Calibri" w:hAnsi="Calibri"/>
        </w:rPr>
        <w:t>Source: The Australian Government the Treasury</w:t>
      </w:r>
    </w:p>
    <w:p w14:paraId="103BF486" w14:textId="77777777" w:rsidR="007A717F" w:rsidRPr="007A717F" w:rsidRDefault="007A717F" w:rsidP="007A717F">
      <w:pPr>
        <w:spacing w:line="264" w:lineRule="auto"/>
        <w:rPr>
          <w:rFonts w:ascii="Calibri" w:hAnsi="Calibri"/>
          <w:b/>
        </w:rPr>
      </w:pPr>
      <w:r w:rsidRPr="007A717F">
        <w:rPr>
          <w:rFonts w:ascii="Calibri" w:hAnsi="Calibri"/>
          <w:b/>
        </w:rPr>
        <w:t>Derivative material</w:t>
      </w:r>
    </w:p>
    <w:p w14:paraId="103BF487" w14:textId="77777777" w:rsidR="007A717F" w:rsidRPr="007A717F" w:rsidRDefault="007A717F" w:rsidP="007A717F">
      <w:pPr>
        <w:spacing w:line="264" w:lineRule="auto"/>
        <w:rPr>
          <w:rFonts w:ascii="Calibri" w:hAnsi="Calibri"/>
        </w:rPr>
      </w:pPr>
      <w:r w:rsidRPr="007A717F">
        <w:rPr>
          <w:rFonts w:ascii="Calibri" w:hAnsi="Calibri"/>
        </w:rPr>
        <w:t xml:space="preserve">If you have modified or transformed Treasury material, or derived new material from those of the Treasury in any way, then Treasury prefers the following attribution: </w:t>
      </w:r>
    </w:p>
    <w:p w14:paraId="103BF488" w14:textId="77777777" w:rsidR="007A717F" w:rsidRPr="007A717F" w:rsidRDefault="007A717F" w:rsidP="007A717F">
      <w:pPr>
        <w:spacing w:line="264" w:lineRule="auto"/>
        <w:ind w:left="567"/>
        <w:rPr>
          <w:rFonts w:ascii="Calibri" w:hAnsi="Calibri"/>
        </w:rPr>
      </w:pPr>
      <w:r w:rsidRPr="007A717F">
        <w:rPr>
          <w:rFonts w:ascii="Calibri" w:hAnsi="Calibri"/>
        </w:rPr>
        <w:t xml:space="preserve">Based on The Australian Government the Treasury data </w:t>
      </w:r>
    </w:p>
    <w:p w14:paraId="103BF489" w14:textId="77777777" w:rsidR="007A717F" w:rsidRPr="007A717F" w:rsidRDefault="007A717F" w:rsidP="007A717F">
      <w:pPr>
        <w:spacing w:line="264" w:lineRule="auto"/>
        <w:rPr>
          <w:rFonts w:ascii="Calibri" w:hAnsi="Calibri"/>
          <w:b/>
        </w:rPr>
      </w:pPr>
      <w:r w:rsidRPr="007A717F">
        <w:rPr>
          <w:rFonts w:ascii="Calibri" w:hAnsi="Calibri"/>
          <w:b/>
        </w:rPr>
        <w:t>Use of the Coat of Arms</w:t>
      </w:r>
    </w:p>
    <w:p w14:paraId="103BF48A" w14:textId="77777777" w:rsidR="007A717F" w:rsidRPr="007A717F" w:rsidRDefault="007A717F" w:rsidP="007A717F">
      <w:pPr>
        <w:spacing w:line="264" w:lineRule="auto"/>
        <w:rPr>
          <w:rFonts w:ascii="Calibri" w:hAnsi="Calibri"/>
        </w:rPr>
      </w:pPr>
      <w:r w:rsidRPr="007A717F">
        <w:rPr>
          <w:rFonts w:ascii="Calibri" w:hAnsi="Calibri"/>
        </w:rPr>
        <w:t>The terms under which the Coat of Arms can be used are set out on the It’s an Honour website (see </w:t>
      </w:r>
      <w:hyperlink r:id="rId21" w:history="1">
        <w:r w:rsidRPr="00F15A1A">
          <w:rPr>
            <w:rStyle w:val="Hyperlink"/>
          </w:rPr>
          <w:t>www.itsanhonour.gov.au</w:t>
        </w:r>
      </w:hyperlink>
      <w:r w:rsidRPr="007A717F">
        <w:rPr>
          <w:rFonts w:ascii="Calibri" w:hAnsi="Calibri"/>
        </w:rPr>
        <w:t>).</w:t>
      </w:r>
    </w:p>
    <w:p w14:paraId="103BF48B" w14:textId="77777777" w:rsidR="007A717F" w:rsidRPr="007A717F" w:rsidRDefault="007A717F" w:rsidP="007A717F">
      <w:pPr>
        <w:spacing w:line="264" w:lineRule="auto"/>
        <w:rPr>
          <w:rFonts w:ascii="Calibri" w:hAnsi="Calibri"/>
          <w:b/>
        </w:rPr>
      </w:pPr>
      <w:r w:rsidRPr="007A717F">
        <w:rPr>
          <w:rFonts w:ascii="Calibri" w:hAnsi="Calibri"/>
          <w:b/>
        </w:rPr>
        <w:t>Other uses</w:t>
      </w:r>
    </w:p>
    <w:p w14:paraId="103BF48C" w14:textId="77777777" w:rsidR="007A717F" w:rsidRPr="007A717F" w:rsidRDefault="007A717F" w:rsidP="007A717F">
      <w:pPr>
        <w:spacing w:line="264" w:lineRule="auto"/>
        <w:rPr>
          <w:rFonts w:ascii="Calibri" w:hAnsi="Calibri"/>
        </w:rPr>
      </w:pPr>
      <w:r w:rsidRPr="007A717F">
        <w:rPr>
          <w:rFonts w:ascii="Calibri" w:hAnsi="Calibri"/>
        </w:rPr>
        <w:t>Enquiries regarding this licence and any other use of this document are welcome at:</w:t>
      </w:r>
    </w:p>
    <w:p w14:paraId="103BF48D" w14:textId="77777777" w:rsidR="007A717F" w:rsidRPr="007A717F" w:rsidRDefault="007A717F" w:rsidP="007A717F">
      <w:pPr>
        <w:spacing w:line="264" w:lineRule="auto"/>
        <w:ind w:left="567"/>
        <w:jc w:val="left"/>
        <w:rPr>
          <w:rFonts w:ascii="Calibri" w:hAnsi="Calibri"/>
        </w:rPr>
      </w:pPr>
      <w:r w:rsidRPr="007A717F">
        <w:rPr>
          <w:rFonts w:ascii="Calibri" w:hAnsi="Calibri"/>
        </w:rPr>
        <w:t>Manager</w:t>
      </w:r>
      <w:r w:rsidRPr="007A717F">
        <w:rPr>
          <w:rFonts w:ascii="Calibri" w:hAnsi="Calibri"/>
        </w:rPr>
        <w:br/>
        <w:t xml:space="preserve">Media Unit </w:t>
      </w:r>
      <w:r w:rsidRPr="007A717F">
        <w:rPr>
          <w:rFonts w:ascii="Calibri" w:hAnsi="Calibri"/>
        </w:rPr>
        <w:br/>
        <w:t>The Treasury</w:t>
      </w:r>
      <w:r w:rsidRPr="007A717F">
        <w:rPr>
          <w:rFonts w:ascii="Calibri" w:hAnsi="Calibri"/>
        </w:rPr>
        <w:br/>
        <w:t xml:space="preserve">Langton Crescent </w:t>
      </w:r>
      <w:r w:rsidRPr="007A717F">
        <w:rPr>
          <w:rFonts w:ascii="Calibri" w:hAnsi="Calibri"/>
        </w:rPr>
        <w:br/>
      </w:r>
      <w:proofErr w:type="gramStart"/>
      <w:r w:rsidRPr="007A717F">
        <w:rPr>
          <w:rFonts w:ascii="Calibri" w:hAnsi="Calibri"/>
        </w:rPr>
        <w:t>Parkes  ACT</w:t>
      </w:r>
      <w:proofErr w:type="gramEnd"/>
      <w:r w:rsidRPr="007A717F">
        <w:rPr>
          <w:rFonts w:ascii="Calibri" w:hAnsi="Calibri"/>
        </w:rPr>
        <w:t xml:space="preserve">  2600</w:t>
      </w:r>
    </w:p>
    <w:p w14:paraId="103BF48E" w14:textId="77777777" w:rsidR="007A717F" w:rsidRPr="007A717F" w:rsidRDefault="007A717F" w:rsidP="007A717F">
      <w:pPr>
        <w:spacing w:line="264" w:lineRule="auto"/>
        <w:ind w:left="567"/>
        <w:rPr>
          <w:rFonts w:ascii="Calibri" w:hAnsi="Calibri"/>
          <w:b/>
          <w:color w:val="0070C0"/>
        </w:rPr>
      </w:pPr>
      <w:r w:rsidRPr="007A717F">
        <w:rPr>
          <w:rFonts w:ascii="Calibri" w:hAnsi="Calibri"/>
        </w:rPr>
        <w:t xml:space="preserve">Email: </w:t>
      </w:r>
      <w:hyperlink r:id="rId22" w:history="1">
        <w:r w:rsidRPr="00F15A1A">
          <w:rPr>
            <w:rStyle w:val="Hyperlink"/>
          </w:rPr>
          <w:t>medialiaison@treasury.gov.au</w:t>
        </w:r>
      </w:hyperlink>
    </w:p>
    <w:p w14:paraId="103BF48F" w14:textId="77777777" w:rsidR="003E7ACE" w:rsidRDefault="003E7ACE" w:rsidP="00F15A1A"/>
    <w:p w14:paraId="103BF490" w14:textId="77777777" w:rsidR="00F15A1A" w:rsidRPr="00F15A1A" w:rsidRDefault="00F15A1A" w:rsidP="00F15A1A">
      <w:pPr>
        <w:sectPr w:rsidR="00F15A1A" w:rsidRPr="00F15A1A" w:rsidSect="00D20567">
          <w:footerReference w:type="default" r:id="rId23"/>
          <w:headerReference w:type="first" r:id="rId24"/>
          <w:pgSz w:w="11906" w:h="16838" w:code="9"/>
          <w:pgMar w:top="1418" w:right="1418" w:bottom="1418" w:left="1418" w:header="709" w:footer="709" w:gutter="0"/>
          <w:pgNumType w:fmt="upperRoman"/>
          <w:cols w:space="708"/>
          <w:titlePg/>
          <w:docGrid w:linePitch="360"/>
        </w:sectPr>
      </w:pPr>
    </w:p>
    <w:p w14:paraId="103BF491" w14:textId="77777777" w:rsidR="0056559F" w:rsidRPr="003E7ACE" w:rsidRDefault="0056559F">
      <w:pPr>
        <w:pStyle w:val="ContentsHeading"/>
      </w:pPr>
      <w:r w:rsidRPr="003E7ACE">
        <w:lastRenderedPageBreak/>
        <w:t>Contents</w:t>
      </w:r>
    </w:p>
    <w:p w14:paraId="103BF492" w14:textId="77777777" w:rsidR="00011E0C" w:rsidRDefault="008A6C52">
      <w:pPr>
        <w:pStyle w:val="TOC1"/>
        <w:rPr>
          <w:rFonts w:asciiTheme="minorHAnsi" w:eastAsiaTheme="minorEastAsia" w:hAnsiTheme="minorHAnsi" w:cstheme="minorBidi"/>
          <w:b w:val="0"/>
          <w:color w:val="auto"/>
        </w:rPr>
      </w:pPr>
      <w:r>
        <w:fldChar w:fldCharType="begin"/>
      </w:r>
      <w:r>
        <w:instrText xml:space="preserve"> TOC \o "1-2" \h \z \u </w:instrText>
      </w:r>
      <w:r>
        <w:fldChar w:fldCharType="separate"/>
      </w:r>
      <w:hyperlink w:anchor="_Toc469407823" w:history="1">
        <w:r w:rsidR="00011E0C" w:rsidRPr="00113EA5">
          <w:rPr>
            <w:rStyle w:val="Hyperlink"/>
          </w:rPr>
          <w:t>Consultation Process</w:t>
        </w:r>
        <w:r w:rsidR="00011E0C">
          <w:rPr>
            <w:webHidden/>
          </w:rPr>
          <w:tab/>
        </w:r>
        <w:r w:rsidR="00011E0C">
          <w:rPr>
            <w:webHidden/>
          </w:rPr>
          <w:fldChar w:fldCharType="begin"/>
        </w:r>
        <w:r w:rsidR="00011E0C">
          <w:rPr>
            <w:webHidden/>
          </w:rPr>
          <w:instrText xml:space="preserve"> PAGEREF _Toc469407823 \h </w:instrText>
        </w:r>
        <w:r w:rsidR="00011E0C">
          <w:rPr>
            <w:webHidden/>
          </w:rPr>
        </w:r>
        <w:r w:rsidR="00011E0C">
          <w:rPr>
            <w:webHidden/>
          </w:rPr>
          <w:fldChar w:fldCharType="separate"/>
        </w:r>
        <w:r w:rsidR="00697994">
          <w:rPr>
            <w:webHidden/>
          </w:rPr>
          <w:t>V</w:t>
        </w:r>
        <w:r w:rsidR="00011E0C">
          <w:rPr>
            <w:webHidden/>
          </w:rPr>
          <w:fldChar w:fldCharType="end"/>
        </w:r>
      </w:hyperlink>
    </w:p>
    <w:p w14:paraId="103BF493" w14:textId="77777777" w:rsidR="00011E0C" w:rsidRDefault="00955236">
      <w:pPr>
        <w:pStyle w:val="TOC1"/>
        <w:rPr>
          <w:rFonts w:asciiTheme="minorHAnsi" w:eastAsiaTheme="minorEastAsia" w:hAnsiTheme="minorHAnsi" w:cstheme="minorBidi"/>
          <w:b w:val="0"/>
          <w:color w:val="auto"/>
        </w:rPr>
      </w:pPr>
      <w:hyperlink w:anchor="_Toc469407824" w:history="1">
        <w:r w:rsidR="00011E0C" w:rsidRPr="00113EA5">
          <w:rPr>
            <w:rStyle w:val="Hyperlink"/>
          </w:rPr>
          <w:t>Foreword</w:t>
        </w:r>
        <w:r w:rsidR="00011E0C">
          <w:rPr>
            <w:webHidden/>
          </w:rPr>
          <w:tab/>
        </w:r>
        <w:r w:rsidR="00011E0C">
          <w:rPr>
            <w:webHidden/>
          </w:rPr>
          <w:fldChar w:fldCharType="begin"/>
        </w:r>
        <w:r w:rsidR="00011E0C">
          <w:rPr>
            <w:webHidden/>
          </w:rPr>
          <w:instrText xml:space="preserve"> PAGEREF _Toc469407824 \h </w:instrText>
        </w:r>
        <w:r w:rsidR="00011E0C">
          <w:rPr>
            <w:webHidden/>
          </w:rPr>
        </w:r>
        <w:r w:rsidR="00011E0C">
          <w:rPr>
            <w:webHidden/>
          </w:rPr>
          <w:fldChar w:fldCharType="separate"/>
        </w:r>
        <w:r w:rsidR="00697994">
          <w:rPr>
            <w:webHidden/>
          </w:rPr>
          <w:t>VII</w:t>
        </w:r>
        <w:r w:rsidR="00011E0C">
          <w:rPr>
            <w:webHidden/>
          </w:rPr>
          <w:fldChar w:fldCharType="end"/>
        </w:r>
      </w:hyperlink>
    </w:p>
    <w:p w14:paraId="103BF494" w14:textId="77777777" w:rsidR="00011E0C" w:rsidRDefault="00955236">
      <w:pPr>
        <w:pStyle w:val="TOC1"/>
        <w:rPr>
          <w:rFonts w:asciiTheme="minorHAnsi" w:eastAsiaTheme="minorEastAsia" w:hAnsiTheme="minorHAnsi" w:cstheme="minorBidi"/>
          <w:b w:val="0"/>
          <w:color w:val="auto"/>
        </w:rPr>
      </w:pPr>
      <w:hyperlink w:anchor="_Toc469407825" w:history="1">
        <w:r w:rsidR="00011E0C" w:rsidRPr="00113EA5">
          <w:rPr>
            <w:rStyle w:val="Hyperlink"/>
          </w:rPr>
          <w:t>1.</w:t>
        </w:r>
        <w:r w:rsidR="00011E0C">
          <w:rPr>
            <w:rFonts w:asciiTheme="minorHAnsi" w:eastAsiaTheme="minorEastAsia" w:hAnsiTheme="minorHAnsi" w:cstheme="minorBidi"/>
            <w:b w:val="0"/>
            <w:color w:val="auto"/>
          </w:rPr>
          <w:tab/>
        </w:r>
        <w:r w:rsidR="00011E0C" w:rsidRPr="00113EA5">
          <w:rPr>
            <w:rStyle w:val="Hyperlink"/>
          </w:rPr>
          <w:t>Introduction</w:t>
        </w:r>
        <w:r w:rsidR="00011E0C">
          <w:rPr>
            <w:webHidden/>
          </w:rPr>
          <w:tab/>
        </w:r>
        <w:r w:rsidR="00011E0C">
          <w:rPr>
            <w:webHidden/>
          </w:rPr>
          <w:fldChar w:fldCharType="begin"/>
        </w:r>
        <w:r w:rsidR="00011E0C">
          <w:rPr>
            <w:webHidden/>
          </w:rPr>
          <w:instrText xml:space="preserve"> PAGEREF _Toc469407825 \h </w:instrText>
        </w:r>
        <w:r w:rsidR="00011E0C">
          <w:rPr>
            <w:webHidden/>
          </w:rPr>
        </w:r>
        <w:r w:rsidR="00011E0C">
          <w:rPr>
            <w:webHidden/>
          </w:rPr>
          <w:fldChar w:fldCharType="separate"/>
        </w:r>
        <w:r w:rsidR="00697994">
          <w:rPr>
            <w:webHidden/>
          </w:rPr>
          <w:t>1</w:t>
        </w:r>
        <w:r w:rsidR="00011E0C">
          <w:rPr>
            <w:webHidden/>
          </w:rPr>
          <w:fldChar w:fldCharType="end"/>
        </w:r>
      </w:hyperlink>
    </w:p>
    <w:p w14:paraId="103BF495" w14:textId="77777777" w:rsidR="00011E0C" w:rsidRDefault="00955236">
      <w:pPr>
        <w:pStyle w:val="TOC1"/>
        <w:rPr>
          <w:rFonts w:asciiTheme="minorHAnsi" w:eastAsiaTheme="minorEastAsia" w:hAnsiTheme="minorHAnsi" w:cstheme="minorBidi"/>
          <w:b w:val="0"/>
          <w:color w:val="auto"/>
        </w:rPr>
      </w:pPr>
      <w:hyperlink w:anchor="_Toc469407826" w:history="1">
        <w:r w:rsidR="00011E0C" w:rsidRPr="00113EA5">
          <w:rPr>
            <w:rStyle w:val="Hyperlink"/>
          </w:rPr>
          <w:t>2.</w:t>
        </w:r>
        <w:r w:rsidR="00011E0C">
          <w:rPr>
            <w:rFonts w:asciiTheme="minorHAnsi" w:eastAsiaTheme="minorEastAsia" w:hAnsiTheme="minorHAnsi" w:cstheme="minorBidi"/>
            <w:b w:val="0"/>
            <w:color w:val="auto"/>
          </w:rPr>
          <w:tab/>
        </w:r>
        <w:r w:rsidR="00011E0C" w:rsidRPr="00113EA5">
          <w:rPr>
            <w:rStyle w:val="Hyperlink"/>
          </w:rPr>
          <w:t>Existing tax whistleblowing protections in Australia</w:t>
        </w:r>
        <w:r w:rsidR="00011E0C">
          <w:rPr>
            <w:webHidden/>
          </w:rPr>
          <w:tab/>
        </w:r>
        <w:r w:rsidR="00011E0C">
          <w:rPr>
            <w:webHidden/>
          </w:rPr>
          <w:fldChar w:fldCharType="begin"/>
        </w:r>
        <w:r w:rsidR="00011E0C">
          <w:rPr>
            <w:webHidden/>
          </w:rPr>
          <w:instrText xml:space="preserve"> PAGEREF _Toc469407826 \h </w:instrText>
        </w:r>
        <w:r w:rsidR="00011E0C">
          <w:rPr>
            <w:webHidden/>
          </w:rPr>
        </w:r>
        <w:r w:rsidR="00011E0C">
          <w:rPr>
            <w:webHidden/>
          </w:rPr>
          <w:fldChar w:fldCharType="separate"/>
        </w:r>
        <w:r w:rsidR="00697994">
          <w:rPr>
            <w:webHidden/>
          </w:rPr>
          <w:t>2</w:t>
        </w:r>
        <w:r w:rsidR="00011E0C">
          <w:rPr>
            <w:webHidden/>
          </w:rPr>
          <w:fldChar w:fldCharType="end"/>
        </w:r>
      </w:hyperlink>
    </w:p>
    <w:p w14:paraId="103BF496" w14:textId="77777777" w:rsidR="00011E0C" w:rsidRDefault="00955236">
      <w:pPr>
        <w:pStyle w:val="TOC1"/>
        <w:rPr>
          <w:rFonts w:asciiTheme="minorHAnsi" w:eastAsiaTheme="minorEastAsia" w:hAnsiTheme="minorHAnsi" w:cstheme="minorBidi"/>
          <w:b w:val="0"/>
          <w:color w:val="auto"/>
        </w:rPr>
      </w:pPr>
      <w:hyperlink w:anchor="_Toc469407827" w:history="1">
        <w:r w:rsidR="00011E0C" w:rsidRPr="00113EA5">
          <w:rPr>
            <w:rStyle w:val="Hyperlink"/>
          </w:rPr>
          <w:t>3.</w:t>
        </w:r>
        <w:r w:rsidR="00011E0C">
          <w:rPr>
            <w:rFonts w:asciiTheme="minorHAnsi" w:eastAsiaTheme="minorEastAsia" w:hAnsiTheme="minorHAnsi" w:cstheme="minorBidi"/>
            <w:b w:val="0"/>
            <w:color w:val="auto"/>
          </w:rPr>
          <w:tab/>
        </w:r>
        <w:r w:rsidR="00011E0C" w:rsidRPr="00113EA5">
          <w:rPr>
            <w:rStyle w:val="Hyperlink"/>
          </w:rPr>
          <w:t>Existing corporate whistleblowing protections in Australia</w:t>
        </w:r>
        <w:r w:rsidR="00011E0C">
          <w:rPr>
            <w:webHidden/>
          </w:rPr>
          <w:tab/>
        </w:r>
        <w:r w:rsidR="00011E0C">
          <w:rPr>
            <w:webHidden/>
          </w:rPr>
          <w:fldChar w:fldCharType="begin"/>
        </w:r>
        <w:r w:rsidR="00011E0C">
          <w:rPr>
            <w:webHidden/>
          </w:rPr>
          <w:instrText xml:space="preserve"> PAGEREF _Toc469407827 \h </w:instrText>
        </w:r>
        <w:r w:rsidR="00011E0C">
          <w:rPr>
            <w:webHidden/>
          </w:rPr>
        </w:r>
        <w:r w:rsidR="00011E0C">
          <w:rPr>
            <w:webHidden/>
          </w:rPr>
          <w:fldChar w:fldCharType="separate"/>
        </w:r>
        <w:r w:rsidR="00697994">
          <w:rPr>
            <w:webHidden/>
          </w:rPr>
          <w:t>4</w:t>
        </w:r>
        <w:r w:rsidR="00011E0C">
          <w:rPr>
            <w:webHidden/>
          </w:rPr>
          <w:fldChar w:fldCharType="end"/>
        </w:r>
      </w:hyperlink>
    </w:p>
    <w:p w14:paraId="103BF497" w14:textId="77777777" w:rsidR="00011E0C" w:rsidRDefault="00955236">
      <w:pPr>
        <w:pStyle w:val="TOC2"/>
        <w:rPr>
          <w:rFonts w:asciiTheme="minorHAnsi" w:eastAsiaTheme="minorEastAsia" w:hAnsiTheme="minorHAnsi" w:cstheme="minorBidi"/>
          <w:noProof/>
          <w:color w:val="auto"/>
          <w:sz w:val="22"/>
          <w:szCs w:val="22"/>
        </w:rPr>
      </w:pPr>
      <w:hyperlink w:anchor="_Toc469407828" w:history="1">
        <w:r w:rsidR="00011E0C" w:rsidRPr="00113EA5">
          <w:rPr>
            <w:rStyle w:val="Hyperlink"/>
            <w:noProof/>
          </w:rPr>
          <w:t>Other corporate whistleblower protections in Australia</w:t>
        </w:r>
        <w:r w:rsidR="00011E0C">
          <w:rPr>
            <w:noProof/>
            <w:webHidden/>
          </w:rPr>
          <w:tab/>
        </w:r>
        <w:r w:rsidR="00011E0C">
          <w:rPr>
            <w:noProof/>
            <w:webHidden/>
          </w:rPr>
          <w:fldChar w:fldCharType="begin"/>
        </w:r>
        <w:r w:rsidR="00011E0C">
          <w:rPr>
            <w:noProof/>
            <w:webHidden/>
          </w:rPr>
          <w:instrText xml:space="preserve"> PAGEREF _Toc469407828 \h </w:instrText>
        </w:r>
        <w:r w:rsidR="00011E0C">
          <w:rPr>
            <w:noProof/>
            <w:webHidden/>
          </w:rPr>
        </w:r>
        <w:r w:rsidR="00011E0C">
          <w:rPr>
            <w:noProof/>
            <w:webHidden/>
          </w:rPr>
          <w:fldChar w:fldCharType="separate"/>
        </w:r>
        <w:r w:rsidR="00697994">
          <w:rPr>
            <w:noProof/>
            <w:webHidden/>
          </w:rPr>
          <w:t>5</w:t>
        </w:r>
        <w:r w:rsidR="00011E0C">
          <w:rPr>
            <w:noProof/>
            <w:webHidden/>
          </w:rPr>
          <w:fldChar w:fldCharType="end"/>
        </w:r>
      </w:hyperlink>
    </w:p>
    <w:p w14:paraId="103BF498" w14:textId="77777777" w:rsidR="00011E0C" w:rsidRDefault="00955236">
      <w:pPr>
        <w:pStyle w:val="TOC1"/>
        <w:rPr>
          <w:rFonts w:asciiTheme="minorHAnsi" w:eastAsiaTheme="minorEastAsia" w:hAnsiTheme="minorHAnsi" w:cstheme="minorBidi"/>
          <w:b w:val="0"/>
          <w:color w:val="auto"/>
        </w:rPr>
      </w:pPr>
      <w:hyperlink w:anchor="_Toc469407829" w:history="1">
        <w:r w:rsidR="00011E0C" w:rsidRPr="00113EA5">
          <w:rPr>
            <w:rStyle w:val="Hyperlink"/>
          </w:rPr>
          <w:t>4.</w:t>
        </w:r>
        <w:r w:rsidR="00011E0C">
          <w:rPr>
            <w:rFonts w:asciiTheme="minorHAnsi" w:eastAsiaTheme="minorEastAsia" w:hAnsiTheme="minorHAnsi" w:cstheme="minorBidi"/>
            <w:b w:val="0"/>
            <w:color w:val="auto"/>
          </w:rPr>
          <w:tab/>
        </w:r>
        <w:r w:rsidR="00011E0C" w:rsidRPr="00113EA5">
          <w:rPr>
            <w:rStyle w:val="Hyperlink"/>
          </w:rPr>
          <w:t>Public sector whistleblower protections in Australia</w:t>
        </w:r>
        <w:r w:rsidR="00011E0C">
          <w:rPr>
            <w:webHidden/>
          </w:rPr>
          <w:tab/>
        </w:r>
        <w:r w:rsidR="00011E0C">
          <w:rPr>
            <w:webHidden/>
          </w:rPr>
          <w:fldChar w:fldCharType="begin"/>
        </w:r>
        <w:r w:rsidR="00011E0C">
          <w:rPr>
            <w:webHidden/>
          </w:rPr>
          <w:instrText xml:space="preserve"> PAGEREF _Toc469407829 \h </w:instrText>
        </w:r>
        <w:r w:rsidR="00011E0C">
          <w:rPr>
            <w:webHidden/>
          </w:rPr>
        </w:r>
        <w:r w:rsidR="00011E0C">
          <w:rPr>
            <w:webHidden/>
          </w:rPr>
          <w:fldChar w:fldCharType="separate"/>
        </w:r>
        <w:r w:rsidR="00697994">
          <w:rPr>
            <w:webHidden/>
          </w:rPr>
          <w:t>6</w:t>
        </w:r>
        <w:r w:rsidR="00011E0C">
          <w:rPr>
            <w:webHidden/>
          </w:rPr>
          <w:fldChar w:fldCharType="end"/>
        </w:r>
      </w:hyperlink>
    </w:p>
    <w:p w14:paraId="103BF499" w14:textId="523162CB" w:rsidR="00011E0C" w:rsidRDefault="00955236">
      <w:pPr>
        <w:pStyle w:val="TOC1"/>
        <w:rPr>
          <w:rFonts w:asciiTheme="minorHAnsi" w:eastAsiaTheme="minorEastAsia" w:hAnsiTheme="minorHAnsi" w:cstheme="minorBidi"/>
          <w:b w:val="0"/>
          <w:color w:val="auto"/>
        </w:rPr>
      </w:pPr>
      <w:hyperlink w:anchor="_Toc469407830" w:history="1">
        <w:r w:rsidR="00011E0C" w:rsidRPr="00113EA5">
          <w:rPr>
            <w:rStyle w:val="Hyperlink"/>
          </w:rPr>
          <w:t>5.</w:t>
        </w:r>
        <w:r w:rsidR="00011E0C">
          <w:rPr>
            <w:rFonts w:asciiTheme="minorHAnsi" w:eastAsiaTheme="minorEastAsia" w:hAnsiTheme="minorHAnsi" w:cstheme="minorBidi"/>
            <w:b w:val="0"/>
            <w:color w:val="auto"/>
          </w:rPr>
          <w:tab/>
        </w:r>
        <w:r w:rsidR="00093CDC">
          <w:rPr>
            <w:rStyle w:val="Hyperlink"/>
          </w:rPr>
          <w:t>W</w:t>
        </w:r>
        <w:r w:rsidR="00093CDC" w:rsidRPr="00113EA5">
          <w:rPr>
            <w:rStyle w:val="Hyperlink"/>
          </w:rPr>
          <w:t xml:space="preserve">histleblower </w:t>
        </w:r>
        <w:r w:rsidR="00011E0C" w:rsidRPr="00113EA5">
          <w:rPr>
            <w:rStyle w:val="Hyperlink"/>
          </w:rPr>
          <w:t>protections under The Fair Work (Registered Organisations) Amendment Act 2016</w:t>
        </w:r>
        <w:r w:rsidR="00011E0C">
          <w:rPr>
            <w:webHidden/>
          </w:rPr>
          <w:tab/>
        </w:r>
        <w:r w:rsidR="00011E0C">
          <w:rPr>
            <w:webHidden/>
          </w:rPr>
          <w:fldChar w:fldCharType="begin"/>
        </w:r>
        <w:r w:rsidR="00011E0C">
          <w:rPr>
            <w:webHidden/>
          </w:rPr>
          <w:instrText xml:space="preserve"> PAGEREF _Toc469407830 \h </w:instrText>
        </w:r>
        <w:r w:rsidR="00011E0C">
          <w:rPr>
            <w:webHidden/>
          </w:rPr>
        </w:r>
        <w:r w:rsidR="00011E0C">
          <w:rPr>
            <w:webHidden/>
          </w:rPr>
          <w:fldChar w:fldCharType="separate"/>
        </w:r>
        <w:r w:rsidR="00697994">
          <w:rPr>
            <w:webHidden/>
          </w:rPr>
          <w:t>7</w:t>
        </w:r>
        <w:r w:rsidR="00011E0C">
          <w:rPr>
            <w:webHidden/>
          </w:rPr>
          <w:fldChar w:fldCharType="end"/>
        </w:r>
      </w:hyperlink>
    </w:p>
    <w:p w14:paraId="103BF49A" w14:textId="77777777" w:rsidR="00011E0C" w:rsidRDefault="00955236">
      <w:pPr>
        <w:pStyle w:val="TOC1"/>
        <w:rPr>
          <w:rFonts w:asciiTheme="minorHAnsi" w:eastAsiaTheme="minorEastAsia" w:hAnsiTheme="minorHAnsi" w:cstheme="minorBidi"/>
          <w:b w:val="0"/>
          <w:color w:val="auto"/>
        </w:rPr>
      </w:pPr>
      <w:hyperlink w:anchor="_Toc469407831" w:history="1">
        <w:r w:rsidR="00011E0C" w:rsidRPr="00113EA5">
          <w:rPr>
            <w:rStyle w:val="Hyperlink"/>
          </w:rPr>
          <w:t>6.</w:t>
        </w:r>
        <w:r w:rsidR="00011E0C">
          <w:rPr>
            <w:rFonts w:asciiTheme="minorHAnsi" w:eastAsiaTheme="minorEastAsia" w:hAnsiTheme="minorHAnsi" w:cstheme="minorBidi"/>
            <w:b w:val="0"/>
            <w:color w:val="auto"/>
          </w:rPr>
          <w:tab/>
        </w:r>
        <w:r w:rsidR="00011E0C" w:rsidRPr="00113EA5">
          <w:rPr>
            <w:rStyle w:val="Hyperlink"/>
          </w:rPr>
          <w:t>Tax and corporate whistleblower protections in international jurisdictions</w:t>
        </w:r>
        <w:r w:rsidR="00011E0C">
          <w:rPr>
            <w:webHidden/>
          </w:rPr>
          <w:tab/>
        </w:r>
        <w:r w:rsidR="00011E0C">
          <w:rPr>
            <w:webHidden/>
          </w:rPr>
          <w:fldChar w:fldCharType="begin"/>
        </w:r>
        <w:r w:rsidR="00011E0C">
          <w:rPr>
            <w:webHidden/>
          </w:rPr>
          <w:instrText xml:space="preserve"> PAGEREF _Toc469407831 \h </w:instrText>
        </w:r>
        <w:r w:rsidR="00011E0C">
          <w:rPr>
            <w:webHidden/>
          </w:rPr>
        </w:r>
        <w:r w:rsidR="00011E0C">
          <w:rPr>
            <w:webHidden/>
          </w:rPr>
          <w:fldChar w:fldCharType="separate"/>
        </w:r>
        <w:r w:rsidR="00697994">
          <w:rPr>
            <w:webHidden/>
          </w:rPr>
          <w:t>8</w:t>
        </w:r>
        <w:r w:rsidR="00011E0C">
          <w:rPr>
            <w:webHidden/>
          </w:rPr>
          <w:fldChar w:fldCharType="end"/>
        </w:r>
      </w:hyperlink>
    </w:p>
    <w:p w14:paraId="103BF49B" w14:textId="77777777" w:rsidR="00011E0C" w:rsidRDefault="00955236">
      <w:pPr>
        <w:pStyle w:val="TOC2"/>
        <w:rPr>
          <w:rFonts w:asciiTheme="minorHAnsi" w:eastAsiaTheme="minorEastAsia" w:hAnsiTheme="minorHAnsi" w:cstheme="minorBidi"/>
          <w:noProof/>
          <w:color w:val="auto"/>
          <w:sz w:val="22"/>
          <w:szCs w:val="22"/>
        </w:rPr>
      </w:pPr>
      <w:hyperlink w:anchor="_Toc469407832" w:history="1">
        <w:r w:rsidR="00011E0C" w:rsidRPr="00113EA5">
          <w:rPr>
            <w:rStyle w:val="Hyperlink"/>
            <w:noProof/>
          </w:rPr>
          <w:t>The UK</w:t>
        </w:r>
        <w:r w:rsidR="00011E0C">
          <w:rPr>
            <w:noProof/>
            <w:webHidden/>
          </w:rPr>
          <w:tab/>
        </w:r>
        <w:r w:rsidR="00011E0C">
          <w:rPr>
            <w:noProof/>
            <w:webHidden/>
          </w:rPr>
          <w:fldChar w:fldCharType="begin"/>
        </w:r>
        <w:r w:rsidR="00011E0C">
          <w:rPr>
            <w:noProof/>
            <w:webHidden/>
          </w:rPr>
          <w:instrText xml:space="preserve"> PAGEREF _Toc469407832 \h </w:instrText>
        </w:r>
        <w:r w:rsidR="00011E0C">
          <w:rPr>
            <w:noProof/>
            <w:webHidden/>
          </w:rPr>
        </w:r>
        <w:r w:rsidR="00011E0C">
          <w:rPr>
            <w:noProof/>
            <w:webHidden/>
          </w:rPr>
          <w:fldChar w:fldCharType="separate"/>
        </w:r>
        <w:r w:rsidR="00697994">
          <w:rPr>
            <w:noProof/>
            <w:webHidden/>
          </w:rPr>
          <w:t>8</w:t>
        </w:r>
        <w:r w:rsidR="00011E0C">
          <w:rPr>
            <w:noProof/>
            <w:webHidden/>
          </w:rPr>
          <w:fldChar w:fldCharType="end"/>
        </w:r>
      </w:hyperlink>
    </w:p>
    <w:p w14:paraId="103BF49C" w14:textId="77777777" w:rsidR="00011E0C" w:rsidRDefault="00955236">
      <w:pPr>
        <w:pStyle w:val="TOC2"/>
        <w:rPr>
          <w:rFonts w:asciiTheme="minorHAnsi" w:eastAsiaTheme="minorEastAsia" w:hAnsiTheme="minorHAnsi" w:cstheme="minorBidi"/>
          <w:noProof/>
          <w:color w:val="auto"/>
          <w:sz w:val="22"/>
          <w:szCs w:val="22"/>
        </w:rPr>
      </w:pPr>
      <w:hyperlink w:anchor="_Toc469407833" w:history="1">
        <w:r w:rsidR="00011E0C" w:rsidRPr="00113EA5">
          <w:rPr>
            <w:rStyle w:val="Hyperlink"/>
            <w:noProof/>
          </w:rPr>
          <w:t>Canada</w:t>
        </w:r>
        <w:r w:rsidR="00011E0C">
          <w:rPr>
            <w:noProof/>
            <w:webHidden/>
          </w:rPr>
          <w:tab/>
        </w:r>
        <w:r w:rsidR="00011E0C">
          <w:rPr>
            <w:noProof/>
            <w:webHidden/>
          </w:rPr>
          <w:fldChar w:fldCharType="begin"/>
        </w:r>
        <w:r w:rsidR="00011E0C">
          <w:rPr>
            <w:noProof/>
            <w:webHidden/>
          </w:rPr>
          <w:instrText xml:space="preserve"> PAGEREF _Toc469407833 \h </w:instrText>
        </w:r>
        <w:r w:rsidR="00011E0C">
          <w:rPr>
            <w:noProof/>
            <w:webHidden/>
          </w:rPr>
        </w:r>
        <w:r w:rsidR="00011E0C">
          <w:rPr>
            <w:noProof/>
            <w:webHidden/>
          </w:rPr>
          <w:fldChar w:fldCharType="separate"/>
        </w:r>
        <w:r w:rsidR="00697994">
          <w:rPr>
            <w:noProof/>
            <w:webHidden/>
          </w:rPr>
          <w:t>9</w:t>
        </w:r>
        <w:r w:rsidR="00011E0C">
          <w:rPr>
            <w:noProof/>
            <w:webHidden/>
          </w:rPr>
          <w:fldChar w:fldCharType="end"/>
        </w:r>
      </w:hyperlink>
    </w:p>
    <w:p w14:paraId="103BF49D" w14:textId="77777777" w:rsidR="00011E0C" w:rsidRDefault="00955236">
      <w:pPr>
        <w:pStyle w:val="TOC2"/>
        <w:rPr>
          <w:rFonts w:asciiTheme="minorHAnsi" w:eastAsiaTheme="minorEastAsia" w:hAnsiTheme="minorHAnsi" w:cstheme="minorBidi"/>
          <w:noProof/>
          <w:color w:val="auto"/>
          <w:sz w:val="22"/>
          <w:szCs w:val="22"/>
        </w:rPr>
      </w:pPr>
      <w:hyperlink w:anchor="_Toc469407834" w:history="1">
        <w:r w:rsidR="00011E0C" w:rsidRPr="00113EA5">
          <w:rPr>
            <w:rStyle w:val="Hyperlink"/>
            <w:noProof/>
          </w:rPr>
          <w:t>The United States (US)</w:t>
        </w:r>
        <w:r w:rsidR="00011E0C">
          <w:rPr>
            <w:noProof/>
            <w:webHidden/>
          </w:rPr>
          <w:tab/>
        </w:r>
        <w:r w:rsidR="00011E0C">
          <w:rPr>
            <w:noProof/>
            <w:webHidden/>
          </w:rPr>
          <w:fldChar w:fldCharType="begin"/>
        </w:r>
        <w:r w:rsidR="00011E0C">
          <w:rPr>
            <w:noProof/>
            <w:webHidden/>
          </w:rPr>
          <w:instrText xml:space="preserve"> PAGEREF _Toc469407834 \h </w:instrText>
        </w:r>
        <w:r w:rsidR="00011E0C">
          <w:rPr>
            <w:noProof/>
            <w:webHidden/>
          </w:rPr>
        </w:r>
        <w:r w:rsidR="00011E0C">
          <w:rPr>
            <w:noProof/>
            <w:webHidden/>
          </w:rPr>
          <w:fldChar w:fldCharType="separate"/>
        </w:r>
        <w:r w:rsidR="00697994">
          <w:rPr>
            <w:noProof/>
            <w:webHidden/>
          </w:rPr>
          <w:t>10</w:t>
        </w:r>
        <w:r w:rsidR="00011E0C">
          <w:rPr>
            <w:noProof/>
            <w:webHidden/>
          </w:rPr>
          <w:fldChar w:fldCharType="end"/>
        </w:r>
      </w:hyperlink>
    </w:p>
    <w:p w14:paraId="103BF49E" w14:textId="77777777" w:rsidR="00011E0C" w:rsidRDefault="00955236">
      <w:pPr>
        <w:pStyle w:val="TOC2"/>
        <w:rPr>
          <w:rFonts w:asciiTheme="minorHAnsi" w:eastAsiaTheme="minorEastAsia" w:hAnsiTheme="minorHAnsi" w:cstheme="minorBidi"/>
          <w:noProof/>
          <w:color w:val="auto"/>
          <w:sz w:val="22"/>
          <w:szCs w:val="22"/>
        </w:rPr>
      </w:pPr>
      <w:hyperlink w:anchor="_Toc469407835" w:history="1">
        <w:r w:rsidR="00011E0C" w:rsidRPr="00113EA5">
          <w:rPr>
            <w:rStyle w:val="Hyperlink"/>
            <w:noProof/>
          </w:rPr>
          <w:t>New Zealand</w:t>
        </w:r>
        <w:r w:rsidR="00011E0C">
          <w:rPr>
            <w:noProof/>
            <w:webHidden/>
          </w:rPr>
          <w:tab/>
        </w:r>
        <w:r w:rsidR="00011E0C">
          <w:rPr>
            <w:noProof/>
            <w:webHidden/>
          </w:rPr>
          <w:fldChar w:fldCharType="begin"/>
        </w:r>
        <w:r w:rsidR="00011E0C">
          <w:rPr>
            <w:noProof/>
            <w:webHidden/>
          </w:rPr>
          <w:instrText xml:space="preserve"> PAGEREF _Toc469407835 \h </w:instrText>
        </w:r>
        <w:r w:rsidR="00011E0C">
          <w:rPr>
            <w:noProof/>
            <w:webHidden/>
          </w:rPr>
        </w:r>
        <w:r w:rsidR="00011E0C">
          <w:rPr>
            <w:noProof/>
            <w:webHidden/>
          </w:rPr>
          <w:fldChar w:fldCharType="separate"/>
        </w:r>
        <w:r w:rsidR="00697994">
          <w:rPr>
            <w:noProof/>
            <w:webHidden/>
          </w:rPr>
          <w:t>12</w:t>
        </w:r>
        <w:r w:rsidR="00011E0C">
          <w:rPr>
            <w:noProof/>
            <w:webHidden/>
          </w:rPr>
          <w:fldChar w:fldCharType="end"/>
        </w:r>
      </w:hyperlink>
    </w:p>
    <w:p w14:paraId="103BF49F" w14:textId="77777777" w:rsidR="00011E0C" w:rsidRDefault="00955236">
      <w:pPr>
        <w:pStyle w:val="TOC1"/>
        <w:rPr>
          <w:rFonts w:asciiTheme="minorHAnsi" w:eastAsiaTheme="minorEastAsia" w:hAnsiTheme="minorHAnsi" w:cstheme="minorBidi"/>
          <w:b w:val="0"/>
          <w:color w:val="auto"/>
        </w:rPr>
      </w:pPr>
      <w:hyperlink w:anchor="_Toc469407836" w:history="1">
        <w:r w:rsidR="00011E0C" w:rsidRPr="00113EA5">
          <w:rPr>
            <w:rStyle w:val="Hyperlink"/>
          </w:rPr>
          <w:t>7.</w:t>
        </w:r>
        <w:r w:rsidR="00011E0C">
          <w:rPr>
            <w:rFonts w:asciiTheme="minorHAnsi" w:eastAsiaTheme="minorEastAsia" w:hAnsiTheme="minorHAnsi" w:cstheme="minorBidi"/>
            <w:b w:val="0"/>
            <w:color w:val="auto"/>
          </w:rPr>
          <w:tab/>
        </w:r>
        <w:r w:rsidR="00011E0C" w:rsidRPr="00113EA5">
          <w:rPr>
            <w:rStyle w:val="Hyperlink"/>
          </w:rPr>
          <w:t>Recent evaluations of australian protections</w:t>
        </w:r>
        <w:r w:rsidR="00011E0C">
          <w:rPr>
            <w:webHidden/>
          </w:rPr>
          <w:tab/>
        </w:r>
        <w:r w:rsidR="00011E0C">
          <w:rPr>
            <w:webHidden/>
          </w:rPr>
          <w:fldChar w:fldCharType="begin"/>
        </w:r>
        <w:r w:rsidR="00011E0C">
          <w:rPr>
            <w:webHidden/>
          </w:rPr>
          <w:instrText xml:space="preserve"> PAGEREF _Toc469407836 \h </w:instrText>
        </w:r>
        <w:r w:rsidR="00011E0C">
          <w:rPr>
            <w:webHidden/>
          </w:rPr>
        </w:r>
        <w:r w:rsidR="00011E0C">
          <w:rPr>
            <w:webHidden/>
          </w:rPr>
          <w:fldChar w:fldCharType="separate"/>
        </w:r>
        <w:r w:rsidR="00697994">
          <w:rPr>
            <w:webHidden/>
          </w:rPr>
          <w:t>14</w:t>
        </w:r>
        <w:r w:rsidR="00011E0C">
          <w:rPr>
            <w:webHidden/>
          </w:rPr>
          <w:fldChar w:fldCharType="end"/>
        </w:r>
      </w:hyperlink>
    </w:p>
    <w:p w14:paraId="103BF4A0" w14:textId="77777777" w:rsidR="00011E0C" w:rsidRDefault="00955236">
      <w:pPr>
        <w:pStyle w:val="TOC2"/>
        <w:rPr>
          <w:rFonts w:asciiTheme="minorHAnsi" w:eastAsiaTheme="minorEastAsia" w:hAnsiTheme="minorHAnsi" w:cstheme="minorBidi"/>
          <w:noProof/>
          <w:color w:val="auto"/>
          <w:sz w:val="22"/>
          <w:szCs w:val="22"/>
        </w:rPr>
      </w:pPr>
      <w:hyperlink w:anchor="_Toc469407837" w:history="1">
        <w:r w:rsidR="00011E0C" w:rsidRPr="00113EA5">
          <w:rPr>
            <w:rStyle w:val="Hyperlink"/>
            <w:noProof/>
          </w:rPr>
          <w:t>G20 evaluation of public and private sector protections</w:t>
        </w:r>
        <w:r w:rsidR="00011E0C">
          <w:rPr>
            <w:noProof/>
            <w:webHidden/>
          </w:rPr>
          <w:tab/>
        </w:r>
        <w:r w:rsidR="00011E0C">
          <w:rPr>
            <w:noProof/>
            <w:webHidden/>
          </w:rPr>
          <w:fldChar w:fldCharType="begin"/>
        </w:r>
        <w:r w:rsidR="00011E0C">
          <w:rPr>
            <w:noProof/>
            <w:webHidden/>
          </w:rPr>
          <w:instrText xml:space="preserve"> PAGEREF _Toc469407837 \h </w:instrText>
        </w:r>
        <w:r w:rsidR="00011E0C">
          <w:rPr>
            <w:noProof/>
            <w:webHidden/>
          </w:rPr>
        </w:r>
        <w:r w:rsidR="00011E0C">
          <w:rPr>
            <w:noProof/>
            <w:webHidden/>
          </w:rPr>
          <w:fldChar w:fldCharType="separate"/>
        </w:r>
        <w:r w:rsidR="00697994">
          <w:rPr>
            <w:noProof/>
            <w:webHidden/>
          </w:rPr>
          <w:t>14</w:t>
        </w:r>
        <w:r w:rsidR="00011E0C">
          <w:rPr>
            <w:noProof/>
            <w:webHidden/>
          </w:rPr>
          <w:fldChar w:fldCharType="end"/>
        </w:r>
      </w:hyperlink>
    </w:p>
    <w:p w14:paraId="103BF4A1" w14:textId="77777777" w:rsidR="00011E0C" w:rsidRDefault="00955236">
      <w:pPr>
        <w:pStyle w:val="TOC1"/>
        <w:rPr>
          <w:rFonts w:asciiTheme="minorHAnsi" w:eastAsiaTheme="minorEastAsia" w:hAnsiTheme="minorHAnsi" w:cstheme="minorBidi"/>
          <w:b w:val="0"/>
          <w:color w:val="auto"/>
        </w:rPr>
      </w:pPr>
      <w:hyperlink w:anchor="_Toc469407838" w:history="1">
        <w:r w:rsidR="00011E0C" w:rsidRPr="00113EA5">
          <w:rPr>
            <w:rStyle w:val="Hyperlink"/>
          </w:rPr>
          <w:t>8.</w:t>
        </w:r>
        <w:r w:rsidR="00011E0C">
          <w:rPr>
            <w:rFonts w:asciiTheme="minorHAnsi" w:eastAsiaTheme="minorEastAsia" w:hAnsiTheme="minorHAnsi" w:cstheme="minorBidi"/>
            <w:b w:val="0"/>
            <w:color w:val="auto"/>
          </w:rPr>
          <w:tab/>
        </w:r>
        <w:r w:rsidR="00011E0C" w:rsidRPr="00113EA5">
          <w:rPr>
            <w:rStyle w:val="Hyperlink"/>
          </w:rPr>
          <w:t>Options for enhancing corporate whistleblower protections</w:t>
        </w:r>
        <w:r w:rsidR="00011E0C">
          <w:rPr>
            <w:webHidden/>
          </w:rPr>
          <w:tab/>
        </w:r>
        <w:r w:rsidR="00011E0C">
          <w:rPr>
            <w:webHidden/>
          </w:rPr>
          <w:fldChar w:fldCharType="begin"/>
        </w:r>
        <w:r w:rsidR="00011E0C">
          <w:rPr>
            <w:webHidden/>
          </w:rPr>
          <w:instrText xml:space="preserve"> PAGEREF _Toc469407838 \h </w:instrText>
        </w:r>
        <w:r w:rsidR="00011E0C">
          <w:rPr>
            <w:webHidden/>
          </w:rPr>
        </w:r>
        <w:r w:rsidR="00011E0C">
          <w:rPr>
            <w:webHidden/>
          </w:rPr>
          <w:fldChar w:fldCharType="separate"/>
        </w:r>
        <w:r w:rsidR="00697994">
          <w:rPr>
            <w:webHidden/>
          </w:rPr>
          <w:t>18</w:t>
        </w:r>
        <w:r w:rsidR="00011E0C">
          <w:rPr>
            <w:webHidden/>
          </w:rPr>
          <w:fldChar w:fldCharType="end"/>
        </w:r>
      </w:hyperlink>
    </w:p>
    <w:p w14:paraId="103BF4A2" w14:textId="77777777" w:rsidR="00011E0C" w:rsidRDefault="00955236">
      <w:pPr>
        <w:pStyle w:val="TOC2"/>
        <w:rPr>
          <w:rFonts w:asciiTheme="minorHAnsi" w:eastAsiaTheme="minorEastAsia" w:hAnsiTheme="minorHAnsi" w:cstheme="minorBidi"/>
          <w:noProof/>
          <w:color w:val="auto"/>
          <w:sz w:val="22"/>
          <w:szCs w:val="22"/>
        </w:rPr>
      </w:pPr>
      <w:hyperlink w:anchor="_Toc469407839" w:history="1">
        <w:r w:rsidR="00011E0C" w:rsidRPr="00113EA5">
          <w:rPr>
            <w:rStyle w:val="Hyperlink"/>
            <w:noProof/>
            <w:spacing w:val="-6"/>
          </w:rPr>
          <w:t>Categories of qualifying 'whistleblowers' – are they too narrow?</w:t>
        </w:r>
        <w:r w:rsidR="00011E0C">
          <w:rPr>
            <w:noProof/>
            <w:webHidden/>
          </w:rPr>
          <w:tab/>
        </w:r>
        <w:r w:rsidR="00011E0C">
          <w:rPr>
            <w:noProof/>
            <w:webHidden/>
          </w:rPr>
          <w:fldChar w:fldCharType="begin"/>
        </w:r>
        <w:r w:rsidR="00011E0C">
          <w:rPr>
            <w:noProof/>
            <w:webHidden/>
          </w:rPr>
          <w:instrText xml:space="preserve"> PAGEREF _Toc469407839 \h </w:instrText>
        </w:r>
        <w:r w:rsidR="00011E0C">
          <w:rPr>
            <w:noProof/>
            <w:webHidden/>
          </w:rPr>
        </w:r>
        <w:r w:rsidR="00011E0C">
          <w:rPr>
            <w:noProof/>
            <w:webHidden/>
          </w:rPr>
          <w:fldChar w:fldCharType="separate"/>
        </w:r>
        <w:r w:rsidR="00697994">
          <w:rPr>
            <w:noProof/>
            <w:webHidden/>
          </w:rPr>
          <w:t>18</w:t>
        </w:r>
        <w:r w:rsidR="00011E0C">
          <w:rPr>
            <w:noProof/>
            <w:webHidden/>
          </w:rPr>
          <w:fldChar w:fldCharType="end"/>
        </w:r>
      </w:hyperlink>
    </w:p>
    <w:p w14:paraId="103BF4A3" w14:textId="77777777" w:rsidR="00011E0C" w:rsidRDefault="00955236">
      <w:pPr>
        <w:pStyle w:val="TOC1"/>
        <w:rPr>
          <w:rFonts w:asciiTheme="minorHAnsi" w:eastAsiaTheme="minorEastAsia" w:hAnsiTheme="minorHAnsi" w:cstheme="minorBidi"/>
          <w:b w:val="0"/>
          <w:color w:val="auto"/>
        </w:rPr>
      </w:pPr>
      <w:hyperlink w:anchor="_Toc469407840" w:history="1">
        <w:r w:rsidR="00011E0C" w:rsidRPr="00113EA5">
          <w:rPr>
            <w:rStyle w:val="Hyperlink"/>
          </w:rPr>
          <w:t>9.</w:t>
        </w:r>
        <w:r w:rsidR="00011E0C">
          <w:rPr>
            <w:rFonts w:asciiTheme="minorHAnsi" w:eastAsiaTheme="minorEastAsia" w:hAnsiTheme="minorHAnsi" w:cstheme="minorBidi"/>
            <w:b w:val="0"/>
            <w:color w:val="auto"/>
          </w:rPr>
          <w:tab/>
        </w:r>
        <w:r w:rsidR="00011E0C" w:rsidRPr="00113EA5">
          <w:rPr>
            <w:rStyle w:val="Hyperlink"/>
          </w:rPr>
          <w:t>Proposed protections for tax whistleblowers</w:t>
        </w:r>
        <w:r w:rsidR="00011E0C">
          <w:rPr>
            <w:webHidden/>
          </w:rPr>
          <w:tab/>
        </w:r>
        <w:r w:rsidR="00011E0C">
          <w:rPr>
            <w:webHidden/>
          </w:rPr>
          <w:fldChar w:fldCharType="begin"/>
        </w:r>
        <w:r w:rsidR="00011E0C">
          <w:rPr>
            <w:webHidden/>
          </w:rPr>
          <w:instrText xml:space="preserve"> PAGEREF _Toc469407840 \h </w:instrText>
        </w:r>
        <w:r w:rsidR="00011E0C">
          <w:rPr>
            <w:webHidden/>
          </w:rPr>
        </w:r>
        <w:r w:rsidR="00011E0C">
          <w:rPr>
            <w:webHidden/>
          </w:rPr>
          <w:fldChar w:fldCharType="separate"/>
        </w:r>
        <w:r w:rsidR="00697994">
          <w:rPr>
            <w:webHidden/>
          </w:rPr>
          <w:t>32</w:t>
        </w:r>
        <w:r w:rsidR="00011E0C">
          <w:rPr>
            <w:webHidden/>
          </w:rPr>
          <w:fldChar w:fldCharType="end"/>
        </w:r>
      </w:hyperlink>
    </w:p>
    <w:p w14:paraId="103BF4A4" w14:textId="77777777" w:rsidR="00011E0C" w:rsidRDefault="00955236">
      <w:pPr>
        <w:pStyle w:val="TOC2"/>
        <w:rPr>
          <w:rFonts w:asciiTheme="minorHAnsi" w:eastAsiaTheme="minorEastAsia" w:hAnsiTheme="minorHAnsi" w:cstheme="minorBidi"/>
          <w:noProof/>
          <w:color w:val="auto"/>
          <w:sz w:val="22"/>
          <w:szCs w:val="22"/>
        </w:rPr>
      </w:pPr>
      <w:hyperlink w:anchor="_Toc469407841" w:history="1">
        <w:r w:rsidR="00011E0C" w:rsidRPr="00113EA5">
          <w:rPr>
            <w:rStyle w:val="Hyperlink"/>
            <w:noProof/>
          </w:rPr>
          <w:t>Definition of tax whistleblower</w:t>
        </w:r>
        <w:r w:rsidR="00011E0C">
          <w:rPr>
            <w:noProof/>
            <w:webHidden/>
          </w:rPr>
          <w:tab/>
        </w:r>
        <w:r w:rsidR="00011E0C">
          <w:rPr>
            <w:noProof/>
            <w:webHidden/>
          </w:rPr>
          <w:fldChar w:fldCharType="begin"/>
        </w:r>
        <w:r w:rsidR="00011E0C">
          <w:rPr>
            <w:noProof/>
            <w:webHidden/>
          </w:rPr>
          <w:instrText xml:space="preserve"> PAGEREF _Toc469407841 \h </w:instrText>
        </w:r>
        <w:r w:rsidR="00011E0C">
          <w:rPr>
            <w:noProof/>
            <w:webHidden/>
          </w:rPr>
        </w:r>
        <w:r w:rsidR="00011E0C">
          <w:rPr>
            <w:noProof/>
            <w:webHidden/>
          </w:rPr>
          <w:fldChar w:fldCharType="separate"/>
        </w:r>
        <w:r w:rsidR="00697994">
          <w:rPr>
            <w:noProof/>
            <w:webHidden/>
          </w:rPr>
          <w:t>32</w:t>
        </w:r>
        <w:r w:rsidR="00011E0C">
          <w:rPr>
            <w:noProof/>
            <w:webHidden/>
          </w:rPr>
          <w:fldChar w:fldCharType="end"/>
        </w:r>
      </w:hyperlink>
    </w:p>
    <w:p w14:paraId="103BF4A5" w14:textId="77777777" w:rsidR="0056559F" w:rsidRDefault="008A6C52" w:rsidP="0056559F">
      <w:r>
        <w:fldChar w:fldCharType="end"/>
      </w:r>
    </w:p>
    <w:p w14:paraId="103BF4A6" w14:textId="77777777" w:rsidR="00F30068" w:rsidRDefault="00F30068" w:rsidP="0056559F"/>
    <w:p w14:paraId="103BF4A7" w14:textId="77777777" w:rsidR="00BC651B" w:rsidRDefault="00BC651B" w:rsidP="0056559F">
      <w:pPr>
        <w:sectPr w:rsidR="00BC651B" w:rsidSect="00D20567">
          <w:footerReference w:type="first" r:id="rId25"/>
          <w:type w:val="oddPage"/>
          <w:pgSz w:w="11906" w:h="16838" w:code="9"/>
          <w:pgMar w:top="1418" w:right="1418" w:bottom="1418" w:left="1418" w:header="709" w:footer="709" w:gutter="0"/>
          <w:pgNumType w:fmt="upperRoman"/>
          <w:cols w:space="708"/>
          <w:titlePg/>
          <w:docGrid w:linePitch="360"/>
        </w:sectPr>
      </w:pPr>
    </w:p>
    <w:p w14:paraId="103BF4A8" w14:textId="77777777" w:rsidR="00F30068" w:rsidRPr="0097769E" w:rsidRDefault="00F30068">
      <w:pPr>
        <w:pStyle w:val="Heading1"/>
      </w:pPr>
      <w:bookmarkStart w:id="1" w:name="_Toc465344803"/>
      <w:bookmarkStart w:id="2" w:name="_Toc465418782"/>
      <w:bookmarkStart w:id="3" w:name="_Toc468971448"/>
      <w:bookmarkStart w:id="4" w:name="_Toc468977724"/>
      <w:bookmarkStart w:id="5" w:name="_Toc468995324"/>
      <w:bookmarkStart w:id="6" w:name="_Toc469407732"/>
      <w:bookmarkStart w:id="7" w:name="_Toc469407823"/>
      <w:r w:rsidRPr="0097769E">
        <w:lastRenderedPageBreak/>
        <w:t>Consultation Process</w:t>
      </w:r>
      <w:bookmarkEnd w:id="1"/>
      <w:bookmarkEnd w:id="2"/>
      <w:bookmarkEnd w:id="3"/>
      <w:bookmarkEnd w:id="4"/>
      <w:bookmarkEnd w:id="5"/>
      <w:bookmarkEnd w:id="6"/>
      <w:bookmarkEnd w:id="7"/>
    </w:p>
    <w:p w14:paraId="103BF4A9" w14:textId="77777777" w:rsidR="00F30068" w:rsidRPr="003E7ACE" w:rsidRDefault="00F30068">
      <w:pPr>
        <w:pStyle w:val="Heading2NoTOC"/>
      </w:pPr>
      <w:bookmarkStart w:id="8" w:name="_Toc465344804"/>
      <w:bookmarkStart w:id="9" w:name="_Toc465418783"/>
      <w:bookmarkStart w:id="10" w:name="_Toc468971449"/>
      <w:bookmarkStart w:id="11" w:name="_Toc468977725"/>
      <w:bookmarkStart w:id="12" w:name="_Toc468995325"/>
      <w:r w:rsidRPr="003E7ACE">
        <w:t>Request for feedback and comments</w:t>
      </w:r>
      <w:bookmarkEnd w:id="8"/>
      <w:bookmarkEnd w:id="9"/>
      <w:bookmarkEnd w:id="10"/>
      <w:bookmarkEnd w:id="11"/>
      <w:bookmarkEnd w:id="12"/>
    </w:p>
    <w:p w14:paraId="103BF4AA" w14:textId="152563D9" w:rsidR="00B21B77" w:rsidRDefault="00AB094D" w:rsidP="00F15A1A">
      <w:r>
        <w:t xml:space="preserve">The </w:t>
      </w:r>
      <w:r w:rsidR="00B21B77">
        <w:t>Government</w:t>
      </w:r>
      <w:r>
        <w:t xml:space="preserve"> is seeking </w:t>
      </w:r>
      <w:r w:rsidR="00B21B77">
        <w:t>public comment</w:t>
      </w:r>
      <w:r>
        <w:t xml:space="preserve"> to assist </w:t>
      </w:r>
      <w:r w:rsidR="00B21B77">
        <w:t>it</w:t>
      </w:r>
      <w:r>
        <w:t xml:space="preserve"> </w:t>
      </w:r>
      <w:r w:rsidR="0008440C">
        <w:t>with</w:t>
      </w:r>
      <w:r>
        <w:t xml:space="preserve"> the introduction of appropriate protections for tax </w:t>
      </w:r>
      <w:proofErr w:type="spellStart"/>
      <w:r>
        <w:t>whistleblowers</w:t>
      </w:r>
      <w:proofErr w:type="spellEnd"/>
      <w:r>
        <w:t xml:space="preserve"> and</w:t>
      </w:r>
      <w:r w:rsidR="0060566D">
        <w:t xml:space="preserve"> in assessing the adequacy of existing </w:t>
      </w:r>
      <w:proofErr w:type="spellStart"/>
      <w:r w:rsidR="00EB553E" w:rsidRPr="00EB553E">
        <w:t>whistleblower</w:t>
      </w:r>
      <w:proofErr w:type="spellEnd"/>
      <w:r w:rsidR="00EB553E" w:rsidRPr="00EB553E">
        <w:t xml:space="preserve"> protections in the corporate sector</w:t>
      </w:r>
      <w:r>
        <w:t xml:space="preserve">. </w:t>
      </w:r>
      <w:r w:rsidR="00B21B77">
        <w:t>In particular, it seeks comment</w:t>
      </w:r>
      <w:r w:rsidR="006E7C5B">
        <w:t xml:space="preserve"> on</w:t>
      </w:r>
      <w:r w:rsidR="0060566D">
        <w:t xml:space="preserve"> whether </w:t>
      </w:r>
      <w:r w:rsidR="0019698D">
        <w:t xml:space="preserve">corporate sector protections </w:t>
      </w:r>
      <w:r w:rsidR="0060566D">
        <w:t xml:space="preserve">and similar provisions under </w:t>
      </w:r>
      <w:r w:rsidR="0019698D">
        <w:t>financial system</w:t>
      </w:r>
      <w:r w:rsidR="0060566D">
        <w:t xml:space="preserve"> legislation should be </w:t>
      </w:r>
      <w:r w:rsidR="00147C22">
        <w:t>harmonise</w:t>
      </w:r>
      <w:r w:rsidR="0060566D">
        <w:t>d with</w:t>
      </w:r>
      <w:r w:rsidR="00147C22">
        <w:t xml:space="preserve"> </w:t>
      </w:r>
      <w:proofErr w:type="spellStart"/>
      <w:r w:rsidR="00147C22">
        <w:t>whistleblower</w:t>
      </w:r>
      <w:proofErr w:type="spellEnd"/>
      <w:r w:rsidR="00147C22">
        <w:t xml:space="preserve"> protections in the </w:t>
      </w:r>
      <w:r w:rsidR="00EB553E" w:rsidRPr="00EB553E">
        <w:t>public sector</w:t>
      </w:r>
      <w:r w:rsidR="0060566D">
        <w:t xml:space="preserve">. </w:t>
      </w:r>
    </w:p>
    <w:p w14:paraId="103BF4AB" w14:textId="2F7A38E7" w:rsidR="00114AAB" w:rsidRDefault="00B21B77" w:rsidP="00F15A1A">
      <w:r>
        <w:t xml:space="preserve">A Parliamentary Inquiry into </w:t>
      </w:r>
      <w:r w:rsidR="00150346">
        <w:rPr>
          <w:lang w:val="en"/>
        </w:rPr>
        <w:t>w</w:t>
      </w:r>
      <w:r>
        <w:rPr>
          <w:lang w:val="en"/>
        </w:rPr>
        <w:t>histleblower protections in the corporate, public and</w:t>
      </w:r>
      <w:r w:rsidR="007A717F">
        <w:rPr>
          <w:lang w:val="en"/>
        </w:rPr>
        <w:br/>
      </w:r>
      <w:r>
        <w:rPr>
          <w:lang w:val="en"/>
        </w:rPr>
        <w:t>not-for-profit sectors has also been</w:t>
      </w:r>
      <w:r w:rsidR="006E7C5B">
        <w:rPr>
          <w:lang w:val="en"/>
        </w:rPr>
        <w:t xml:space="preserve"> recently</w:t>
      </w:r>
      <w:r w:rsidR="00150346">
        <w:rPr>
          <w:lang w:val="en"/>
        </w:rPr>
        <w:t xml:space="preserve"> established</w:t>
      </w:r>
      <w:r>
        <w:t xml:space="preserve">. The Inquiry is due to report by </w:t>
      </w:r>
      <w:r w:rsidR="00B65404">
        <w:t>30 </w:t>
      </w:r>
      <w:r w:rsidR="00033819">
        <w:t>June </w:t>
      </w:r>
      <w:r>
        <w:t>2017. The Inquiry is seeking public submissions by 10 February 2017 and has released its Terms of Reference.</w:t>
      </w:r>
      <w:r w:rsidR="00114AAB" w:rsidRPr="00114AAB">
        <w:t xml:space="preserve"> </w:t>
      </w:r>
    </w:p>
    <w:p w14:paraId="103BF4AC" w14:textId="77777777" w:rsidR="00114AAB" w:rsidRDefault="00114AAB" w:rsidP="00F15A1A">
      <w:r>
        <w:t>This consultation process, focused upon tax and corporate sector whistleblowing, is intended to complement the work of the Inquiry</w:t>
      </w:r>
      <w:r w:rsidR="006E7C5B">
        <w:t>,</w:t>
      </w:r>
      <w:r>
        <w:t xml:space="preserve"> which has not issued a discussion paper of its own. This consultation paper will assist members of the public in making submissions to either or both processes as it:</w:t>
      </w:r>
    </w:p>
    <w:p w14:paraId="103BF4AD" w14:textId="77777777" w:rsidR="00114AAB" w:rsidRPr="00783B0D" w:rsidRDefault="00114AAB" w:rsidP="00F15A1A">
      <w:pPr>
        <w:pStyle w:val="Bullet"/>
      </w:pPr>
      <w:r w:rsidRPr="00783B0D">
        <w:t>Gather</w:t>
      </w:r>
      <w:r>
        <w:t>s</w:t>
      </w:r>
      <w:r w:rsidRPr="00783B0D">
        <w:t xml:space="preserve"> together information about existing </w:t>
      </w:r>
      <w:proofErr w:type="spellStart"/>
      <w:r w:rsidRPr="00783B0D">
        <w:t>whistleblower</w:t>
      </w:r>
      <w:proofErr w:type="spellEnd"/>
      <w:r w:rsidRPr="00783B0D">
        <w:t xml:space="preserve"> provisions already operating in Australia, including those under the recent amendments to the </w:t>
      </w:r>
      <w:r w:rsidR="00436E5C" w:rsidRPr="00234447">
        <w:rPr>
          <w:i/>
        </w:rPr>
        <w:t>Fair Work (Register</w:t>
      </w:r>
      <w:r w:rsidR="00436E5C">
        <w:rPr>
          <w:i/>
        </w:rPr>
        <w:t>ed Organisations) Amendment Act</w:t>
      </w:r>
      <w:r w:rsidR="00436E5C" w:rsidRPr="00234447">
        <w:rPr>
          <w:i/>
        </w:rPr>
        <w:t xml:space="preserve"> </w:t>
      </w:r>
      <w:r w:rsidR="00436E5C" w:rsidRPr="007A3587">
        <w:t>201</w:t>
      </w:r>
      <w:r w:rsidR="00436E5C">
        <w:t>6</w:t>
      </w:r>
      <w:r w:rsidRPr="00783B0D">
        <w:t xml:space="preserve">, and overseas in major comparable jurisdictions; </w:t>
      </w:r>
    </w:p>
    <w:p w14:paraId="103BF4AE" w14:textId="77777777" w:rsidR="00114AAB" w:rsidRPr="00436758" w:rsidRDefault="00114AAB" w:rsidP="00F15A1A">
      <w:pPr>
        <w:pStyle w:val="Bullet"/>
      </w:pPr>
      <w:r>
        <w:t>I</w:t>
      </w:r>
      <w:r w:rsidRPr="00436758">
        <w:t>ncludes critiques of existing Australian provisions;</w:t>
      </w:r>
    </w:p>
    <w:p w14:paraId="103BF4AF" w14:textId="77777777" w:rsidR="00114AAB" w:rsidRPr="00436758" w:rsidRDefault="00114AAB" w:rsidP="00F15A1A">
      <w:pPr>
        <w:pStyle w:val="Bullet"/>
      </w:pPr>
      <w:r w:rsidRPr="00436758">
        <w:t xml:space="preserve">Canvases a range of options for reform of existing protections under the </w:t>
      </w:r>
      <w:r>
        <w:rPr>
          <w:i/>
        </w:rPr>
        <w:t>Corporations </w:t>
      </w:r>
      <w:r w:rsidRPr="00E25193">
        <w:rPr>
          <w:i/>
        </w:rPr>
        <w:t>Act</w:t>
      </w:r>
      <w:r w:rsidRPr="00436758">
        <w:t xml:space="preserve"> 2001 and similar provisions under other financial system legislation administered by ASIC and APRA which apply to corporations;</w:t>
      </w:r>
    </w:p>
    <w:p w14:paraId="103BF4B0" w14:textId="77777777" w:rsidR="00114AAB" w:rsidRPr="00436758" w:rsidRDefault="00114AAB" w:rsidP="00F15A1A">
      <w:pPr>
        <w:pStyle w:val="Bullet"/>
      </w:pPr>
      <w:r w:rsidRPr="00436758">
        <w:t xml:space="preserve">Canvases a proposal for tax legislation to introduce specific protections for </w:t>
      </w:r>
      <w:proofErr w:type="spellStart"/>
      <w:r w:rsidRPr="00436758">
        <w:t>whistleblowers</w:t>
      </w:r>
      <w:proofErr w:type="spellEnd"/>
      <w:r w:rsidRPr="00436758">
        <w:t>; and</w:t>
      </w:r>
    </w:p>
    <w:p w14:paraId="103BF4B1" w14:textId="7A335494" w:rsidR="00114AAB" w:rsidRPr="00C24697" w:rsidRDefault="00114AAB" w:rsidP="00F15A1A">
      <w:pPr>
        <w:pStyle w:val="Bullet"/>
      </w:pPr>
      <w:r>
        <w:t>I</w:t>
      </w:r>
      <w:r w:rsidRPr="00436758">
        <w:t>dentifies the variety of legislative approaches that may be taken by the Government to broade</w:t>
      </w:r>
      <w:r w:rsidR="006E7C5B">
        <w:t>n</w:t>
      </w:r>
      <w:r w:rsidRPr="00436758">
        <w:t xml:space="preserve"> reform in this area generally. </w:t>
      </w:r>
    </w:p>
    <w:p w14:paraId="103BF4B2" w14:textId="5C310CD6" w:rsidR="00EB553E" w:rsidRDefault="00336F62" w:rsidP="00F15A1A">
      <w:r>
        <w:t xml:space="preserve">The </w:t>
      </w:r>
      <w:r w:rsidR="00B21B77">
        <w:t xml:space="preserve">results </w:t>
      </w:r>
      <w:r>
        <w:t xml:space="preserve">of this consultation process </w:t>
      </w:r>
      <w:r w:rsidR="00B21B77">
        <w:t xml:space="preserve">and </w:t>
      </w:r>
      <w:r w:rsidR="00114AAB">
        <w:t xml:space="preserve">any </w:t>
      </w:r>
      <w:r w:rsidR="00B21B77">
        <w:t xml:space="preserve">public submissions received in response to this paper </w:t>
      </w:r>
      <w:r>
        <w:t xml:space="preserve">will be </w:t>
      </w:r>
      <w:r w:rsidR="00B21B77">
        <w:t xml:space="preserve">made </w:t>
      </w:r>
      <w:r>
        <w:t xml:space="preserve">available to the </w:t>
      </w:r>
      <w:r w:rsidR="00150346">
        <w:t>Parliamentary I</w:t>
      </w:r>
      <w:r w:rsidR="00114AAB">
        <w:t xml:space="preserve">nquiry. </w:t>
      </w:r>
    </w:p>
    <w:p w14:paraId="103BF4B3" w14:textId="77777777" w:rsidR="00005868" w:rsidRDefault="00114AAB">
      <w:r>
        <w:t>Members of the public</w:t>
      </w:r>
      <w:r w:rsidR="00056E07">
        <w:t xml:space="preserve"> are invited to address any </w:t>
      </w:r>
      <w:r w:rsidR="00005868">
        <w:t xml:space="preserve">matter </w:t>
      </w:r>
      <w:r w:rsidR="00056E07">
        <w:t>raise</w:t>
      </w:r>
      <w:r w:rsidR="00197BDA">
        <w:t>d</w:t>
      </w:r>
      <w:r w:rsidR="00056E07">
        <w:t xml:space="preserve"> in this paper and should not feel obliged to address </w:t>
      </w:r>
      <w:r>
        <w:t xml:space="preserve">each and </w:t>
      </w:r>
      <w:r w:rsidR="00056E07">
        <w:t xml:space="preserve">every question. </w:t>
      </w:r>
    </w:p>
    <w:p w14:paraId="103BF4B4" w14:textId="77777777" w:rsidR="00F30068" w:rsidRPr="003E7ACE" w:rsidRDefault="00F30068">
      <w:pPr>
        <w:pStyle w:val="Heading3NoTOC"/>
      </w:pPr>
      <w:bookmarkStart w:id="13" w:name="_Toc465344805"/>
      <w:bookmarkStart w:id="14" w:name="_Toc465418784"/>
      <w:bookmarkStart w:id="15" w:name="_Toc468971450"/>
      <w:bookmarkStart w:id="16" w:name="_Toc468977726"/>
      <w:bookmarkStart w:id="17" w:name="_Toc468995326"/>
      <w:r w:rsidRPr="003E7ACE">
        <w:t xml:space="preserve">Closing date for submissions: </w:t>
      </w:r>
      <w:bookmarkEnd w:id="13"/>
      <w:bookmarkEnd w:id="14"/>
      <w:r w:rsidR="00E56A62" w:rsidRPr="003E7ACE">
        <w:t>10</w:t>
      </w:r>
      <w:r w:rsidR="00850070" w:rsidRPr="003E7ACE">
        <w:t xml:space="preserve"> </w:t>
      </w:r>
      <w:r w:rsidR="00A104D6" w:rsidRPr="003E7ACE">
        <w:t>February 2017</w:t>
      </w:r>
      <w:bookmarkEnd w:id="15"/>
      <w:bookmarkEnd w:id="16"/>
      <w:bookmarkEnd w:id="17"/>
    </w:p>
    <w:p w14:paraId="103BF4B5" w14:textId="77777777" w:rsidR="003E7ACE" w:rsidRDefault="003E7ACE">
      <w:pPr>
        <w:spacing w:after="0" w:line="240" w:lineRule="auto"/>
        <w:jc w:val="left"/>
      </w:pPr>
      <w:r>
        <w:br w:type="page"/>
      </w:r>
    </w:p>
    <w:p w14:paraId="103BF4B6" w14:textId="77777777" w:rsidR="00C40DC0" w:rsidRDefault="00C40DC0" w:rsidP="00F15A1A">
      <w:pPr>
        <w:pStyle w:val="Heading3NoTOC"/>
      </w:pPr>
      <w:r>
        <w:lastRenderedPageBreak/>
        <w:t>Contact details</w:t>
      </w:r>
      <w:r w:rsidRPr="00EB553E">
        <w:t xml:space="preserve"> for submissions</w:t>
      </w:r>
      <w:r>
        <w:t xml:space="preserve"> or queries</w:t>
      </w:r>
    </w:p>
    <w:p w14:paraId="103BF4B7" w14:textId="77777777" w:rsidR="003E7ACE" w:rsidRPr="003E7ACE" w:rsidRDefault="003E7ACE" w:rsidP="00F15A1A">
      <w:pPr>
        <w:tabs>
          <w:tab w:val="left" w:pos="1418"/>
        </w:tabs>
      </w:pPr>
      <w:r w:rsidRPr="003E7ACE">
        <w:t>Email:</w:t>
      </w:r>
      <w:r>
        <w:tab/>
      </w:r>
      <w:r w:rsidRPr="003E7ACE">
        <w:t>whistleblowers@treasury.gov.au</w:t>
      </w:r>
    </w:p>
    <w:p w14:paraId="103BF4B8" w14:textId="77777777" w:rsidR="003E7ACE" w:rsidRPr="003E7ACE" w:rsidRDefault="003E7ACE" w:rsidP="00F15A1A">
      <w:pPr>
        <w:tabs>
          <w:tab w:val="left" w:pos="1418"/>
        </w:tabs>
        <w:jc w:val="left"/>
      </w:pPr>
      <w:r w:rsidRPr="003E7ACE">
        <w:t>Mail:</w:t>
      </w:r>
      <w:r>
        <w:tab/>
      </w:r>
      <w:r w:rsidRPr="00F15A1A">
        <w:t xml:space="preserve">Tax and Corporate </w:t>
      </w:r>
      <w:proofErr w:type="spellStart"/>
      <w:r w:rsidRPr="00F15A1A">
        <w:t>Whistleblower</w:t>
      </w:r>
      <w:proofErr w:type="spellEnd"/>
      <w:r w:rsidRPr="00F15A1A">
        <w:t xml:space="preserve"> Protection Project</w:t>
      </w:r>
      <w:r>
        <w:br/>
      </w:r>
      <w:r>
        <w:tab/>
      </w:r>
      <w:r>
        <w:tab/>
      </w:r>
      <w:r w:rsidRPr="00F15A1A">
        <w:t>C/- Ms Jodi Keall</w:t>
      </w:r>
      <w:r>
        <w:br/>
      </w:r>
      <w:r>
        <w:tab/>
      </w:r>
      <w:r w:rsidRPr="00F15A1A">
        <w:t>Senior Adviser</w:t>
      </w:r>
      <w:r>
        <w:br/>
      </w:r>
      <w:r>
        <w:tab/>
      </w:r>
      <w:r w:rsidRPr="00F15A1A">
        <w:t>Financial System Division</w:t>
      </w:r>
      <w:r>
        <w:br/>
      </w:r>
      <w:r>
        <w:tab/>
      </w:r>
      <w:r w:rsidRPr="00F15A1A">
        <w:t>100 Market Street</w:t>
      </w:r>
      <w:r>
        <w:br/>
      </w:r>
      <w:r>
        <w:tab/>
      </w:r>
      <w:r w:rsidRPr="00F15A1A">
        <w:t>Sydney NSW 2000</w:t>
      </w:r>
    </w:p>
    <w:p w14:paraId="103BF4B9" w14:textId="77777777" w:rsidR="003E7ACE" w:rsidRPr="003E7ACE" w:rsidRDefault="003E7ACE" w:rsidP="00F15A1A">
      <w:pPr>
        <w:tabs>
          <w:tab w:val="left" w:pos="1418"/>
        </w:tabs>
      </w:pPr>
      <w:r w:rsidRPr="003E7ACE">
        <w:t>Enquiries:</w:t>
      </w:r>
      <w:r>
        <w:tab/>
      </w:r>
      <w:r w:rsidRPr="003E7ACE">
        <w:t>Enquiries can be initially directed to Jodi Keall</w:t>
      </w:r>
    </w:p>
    <w:p w14:paraId="103BF4BA" w14:textId="77777777" w:rsidR="003E7ACE" w:rsidRPr="003E7ACE" w:rsidRDefault="003E7ACE">
      <w:pPr>
        <w:tabs>
          <w:tab w:val="left" w:pos="1418"/>
        </w:tabs>
      </w:pPr>
      <w:r w:rsidRPr="003E7ACE">
        <w:t>Phone:</w:t>
      </w:r>
      <w:r>
        <w:tab/>
      </w:r>
      <w:r w:rsidRPr="00F15A1A">
        <w:t>02 6263 2311</w:t>
      </w:r>
    </w:p>
    <w:p w14:paraId="103BF4BB" w14:textId="77777777" w:rsidR="0056559F" w:rsidRDefault="0056559F" w:rsidP="0056559F"/>
    <w:p w14:paraId="103BF4BC" w14:textId="77777777" w:rsidR="00BC651B" w:rsidRDefault="00BC651B">
      <w:pPr>
        <w:spacing w:after="0" w:line="240" w:lineRule="auto"/>
        <w:jc w:val="left"/>
        <w:sectPr w:rsidR="00BC651B" w:rsidSect="00BC651B">
          <w:footerReference w:type="even" r:id="rId26"/>
          <w:footerReference w:type="first" r:id="rId27"/>
          <w:type w:val="oddPage"/>
          <w:pgSz w:w="11906" w:h="16838" w:code="9"/>
          <w:pgMar w:top="1418" w:right="1418" w:bottom="1418" w:left="1418" w:header="709" w:footer="709" w:gutter="0"/>
          <w:pgNumType w:fmt="upperRoman"/>
          <w:cols w:space="708"/>
          <w:titlePg/>
          <w:docGrid w:linePitch="360"/>
        </w:sectPr>
      </w:pPr>
    </w:p>
    <w:p w14:paraId="103BF4BD" w14:textId="77777777" w:rsidR="00C01E32" w:rsidRPr="005B7069" w:rsidRDefault="00E87C20" w:rsidP="005B7069">
      <w:pPr>
        <w:pStyle w:val="Heading1"/>
      </w:pPr>
      <w:bookmarkStart w:id="18" w:name="_Toc463518743"/>
      <w:bookmarkStart w:id="19" w:name="_Toc464207017"/>
      <w:bookmarkStart w:id="20" w:name="_Toc466542580"/>
      <w:bookmarkStart w:id="21" w:name="_Toc466547069"/>
      <w:bookmarkStart w:id="22" w:name="_Toc468971451"/>
      <w:bookmarkStart w:id="23" w:name="_Toc468977727"/>
      <w:bookmarkStart w:id="24" w:name="_Toc468995327"/>
      <w:bookmarkStart w:id="25" w:name="_Toc469407733"/>
      <w:bookmarkStart w:id="26" w:name="_Toc469407824"/>
      <w:r w:rsidRPr="00E87C20">
        <w:lastRenderedPageBreak/>
        <w:t>Foreword</w:t>
      </w:r>
      <w:bookmarkEnd w:id="18"/>
      <w:bookmarkEnd w:id="19"/>
      <w:bookmarkEnd w:id="20"/>
      <w:bookmarkEnd w:id="21"/>
      <w:bookmarkEnd w:id="22"/>
      <w:bookmarkEnd w:id="23"/>
      <w:bookmarkEnd w:id="24"/>
      <w:bookmarkEnd w:id="25"/>
      <w:bookmarkEnd w:id="26"/>
    </w:p>
    <w:p w14:paraId="103BF4BE" w14:textId="77777777" w:rsidR="005913E9" w:rsidRDefault="007B4BC4" w:rsidP="00D20567">
      <w:pPr>
        <w:spacing w:after="160" w:line="255" w:lineRule="exact"/>
        <w:rPr>
          <w:noProof/>
        </w:rPr>
      </w:pPr>
      <w:r w:rsidRPr="00AB601E">
        <w:rPr>
          <w:noProof/>
        </w:rPr>
        <w:drawing>
          <wp:anchor distT="0" distB="0" distL="114300" distR="114300" simplePos="0" relativeHeight="251658240" behindDoc="0" locked="0" layoutInCell="1" allowOverlap="1" wp14:anchorId="103BF68E" wp14:editId="103BF68F">
            <wp:simplePos x="0" y="0"/>
            <wp:positionH relativeFrom="column">
              <wp:posOffset>22225</wp:posOffset>
            </wp:positionH>
            <wp:positionV relativeFrom="paragraph">
              <wp:posOffset>47625</wp:posOffset>
            </wp:positionV>
            <wp:extent cx="1836000" cy="2142000"/>
            <wp:effectExtent l="0" t="0" r="0" b="0"/>
            <wp:wrapSquare wrapText="bothSides"/>
            <wp:docPr id="33" name="Picture 33" descr="Photo of the Minister for Revenue and Financial Services - Kelly O'Dwyer MP." title="Photo of Minis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iggins - kelly odwyer - 160503.jpg"/>
                    <pic:cNvPicPr/>
                  </pic:nvPicPr>
                  <pic:blipFill rotWithShape="1">
                    <a:blip r:embed="rId28" cstate="print">
                      <a:extLst>
                        <a:ext uri="{28A0092B-C50C-407E-A947-70E740481C1C}">
                          <a14:useLocalDpi xmlns:a14="http://schemas.microsoft.com/office/drawing/2010/main" val="0"/>
                        </a:ext>
                      </a:extLst>
                    </a:blip>
                    <a:srcRect l="5465" r="7052"/>
                    <a:stretch/>
                  </pic:blipFill>
                  <pic:spPr bwMode="auto">
                    <a:xfrm>
                      <a:off x="0" y="0"/>
                      <a:ext cx="1836000" cy="214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1E32">
        <w:rPr>
          <w:noProof/>
        </w:rPr>
        <w:t xml:space="preserve">As the Minister for Revenue and Financial Services, </w:t>
      </w:r>
      <w:r w:rsidR="005913E9">
        <w:rPr>
          <w:noProof/>
        </w:rPr>
        <w:t xml:space="preserve">I have committed to </w:t>
      </w:r>
      <w:r w:rsidR="00B41E3B">
        <w:rPr>
          <w:noProof/>
        </w:rPr>
        <w:t>creating</w:t>
      </w:r>
      <w:r w:rsidR="00B41E3B">
        <w:t xml:space="preserve"> more transparency and accountability in business by </w:t>
      </w:r>
      <w:r w:rsidR="005913E9">
        <w:rPr>
          <w:noProof/>
        </w:rPr>
        <w:t xml:space="preserve">leading </w:t>
      </w:r>
      <w:r w:rsidR="006067BF">
        <w:rPr>
          <w:noProof/>
        </w:rPr>
        <w:t xml:space="preserve">consultation on </w:t>
      </w:r>
      <w:r w:rsidR="006C5A3E">
        <w:rPr>
          <w:noProof/>
        </w:rPr>
        <w:t xml:space="preserve">the introduction of </w:t>
      </w:r>
      <w:r w:rsidR="006C5A3E" w:rsidRPr="00F80486">
        <w:t xml:space="preserve">protections for tax </w:t>
      </w:r>
      <w:r w:rsidR="006C5A3E">
        <w:rPr>
          <w:noProof/>
        </w:rPr>
        <w:t xml:space="preserve">whistleblowers and </w:t>
      </w:r>
      <w:r w:rsidR="006067BF">
        <w:rPr>
          <w:noProof/>
        </w:rPr>
        <w:t xml:space="preserve">possible </w:t>
      </w:r>
      <w:r w:rsidR="005913E9">
        <w:rPr>
          <w:noProof/>
        </w:rPr>
        <w:t xml:space="preserve">reforms </w:t>
      </w:r>
      <w:r w:rsidR="005913E9" w:rsidRPr="00F80486">
        <w:t xml:space="preserve">to </w:t>
      </w:r>
      <w:r w:rsidR="008C53F6">
        <w:rPr>
          <w:noProof/>
        </w:rPr>
        <w:t xml:space="preserve">corporate </w:t>
      </w:r>
      <w:proofErr w:type="spellStart"/>
      <w:r w:rsidR="005913E9" w:rsidRPr="00F80486">
        <w:t>whistleblower</w:t>
      </w:r>
      <w:proofErr w:type="spellEnd"/>
      <w:r w:rsidR="005913E9" w:rsidRPr="00F80486">
        <w:t xml:space="preserve"> protections</w:t>
      </w:r>
      <w:r w:rsidR="008C53F6">
        <w:rPr>
          <w:noProof/>
        </w:rPr>
        <w:t xml:space="preserve">. </w:t>
      </w:r>
    </w:p>
    <w:p w14:paraId="103BF4BF" w14:textId="77777777" w:rsidR="00B41E3B" w:rsidRDefault="00E56A62" w:rsidP="00D20567">
      <w:pPr>
        <w:spacing w:after="160" w:line="255" w:lineRule="exact"/>
        <w:rPr>
          <w:color w:val="000000" w:themeColor="text1"/>
          <w:szCs w:val="24"/>
        </w:rPr>
      </w:pPr>
      <w:r w:rsidRPr="00E56A62">
        <w:rPr>
          <w:noProof/>
        </w:rPr>
        <w:t xml:space="preserve">Whistleblowing plays a critical role in uncovering corporate and tax misconduct. It is a key means of combating poor compliance cultures, by ensuring that companies, officers and staff know that misconduct will be reported. </w:t>
      </w:r>
      <w:r w:rsidR="005913E9" w:rsidRPr="0059251F">
        <w:rPr>
          <w:color w:val="000000" w:themeColor="text1"/>
          <w:szCs w:val="24"/>
        </w:rPr>
        <w:t>The opaque and complex nature of corporate crime makes it difficult for law enforcement to detect</w:t>
      </w:r>
      <w:r w:rsidR="005913E9">
        <w:rPr>
          <w:color w:val="000000" w:themeColor="text1"/>
          <w:szCs w:val="24"/>
        </w:rPr>
        <w:t xml:space="preserve"> abusive practices</w:t>
      </w:r>
      <w:r w:rsidR="005913E9" w:rsidRPr="0059251F">
        <w:rPr>
          <w:color w:val="000000" w:themeColor="text1"/>
          <w:szCs w:val="24"/>
        </w:rPr>
        <w:t>. In many cases, corporate crime is only detected because individuals come forward, sometimes at significant personal and financial risk</w:t>
      </w:r>
      <w:r w:rsidR="00316B22">
        <w:rPr>
          <w:color w:val="000000" w:themeColor="text1"/>
          <w:szCs w:val="24"/>
        </w:rPr>
        <w:t xml:space="preserve">. </w:t>
      </w:r>
    </w:p>
    <w:p w14:paraId="103BF4C0" w14:textId="77777777" w:rsidR="00DB10B7" w:rsidRPr="00DB10B7" w:rsidRDefault="00C01E32" w:rsidP="00D20567">
      <w:pPr>
        <w:spacing w:after="160" w:line="255" w:lineRule="exact"/>
        <w:rPr>
          <w:color w:val="000000" w:themeColor="text1"/>
          <w:szCs w:val="24"/>
        </w:rPr>
      </w:pPr>
      <w:r>
        <w:t xml:space="preserve">The importance of protecting corporate </w:t>
      </w:r>
      <w:proofErr w:type="spellStart"/>
      <w:r>
        <w:t>whistleblowers</w:t>
      </w:r>
      <w:proofErr w:type="spellEnd"/>
      <w:r>
        <w:t xml:space="preserve"> has been recognised for many years. However, while legislative protections </w:t>
      </w:r>
      <w:r w:rsidR="006067BF">
        <w:t>have formed part of</w:t>
      </w:r>
      <w:r>
        <w:t xml:space="preserve"> the </w:t>
      </w:r>
      <w:r>
        <w:rPr>
          <w:i/>
        </w:rPr>
        <w:t>Corporations Act </w:t>
      </w:r>
      <w:r w:rsidRPr="00F80486">
        <w:t>2001</w:t>
      </w:r>
      <w:r w:rsidR="006067BF">
        <w:t xml:space="preserve"> </w:t>
      </w:r>
      <w:r w:rsidR="001F7C8C">
        <w:t>since 2004</w:t>
      </w:r>
      <w:r w:rsidRPr="00471723">
        <w:t>,</w:t>
      </w:r>
      <w:r>
        <w:t xml:space="preserve"> they have been </w:t>
      </w:r>
      <w:r w:rsidR="006067BF">
        <w:t>sparingly</w:t>
      </w:r>
      <w:r>
        <w:t xml:space="preserve"> used</w:t>
      </w:r>
      <w:r w:rsidR="006067BF">
        <w:t xml:space="preserve"> and are increasingly perceived as inadequate having regard to recent advances in the public sector and overseas</w:t>
      </w:r>
      <w:r>
        <w:t xml:space="preserve">. </w:t>
      </w:r>
      <w:r w:rsidR="00DB10B7">
        <w:rPr>
          <w:color w:val="000000" w:themeColor="text1"/>
          <w:szCs w:val="24"/>
        </w:rPr>
        <w:t xml:space="preserve">Currently, there are no specific protections for tax </w:t>
      </w:r>
      <w:proofErr w:type="spellStart"/>
      <w:r w:rsidR="00DB10B7">
        <w:rPr>
          <w:color w:val="000000" w:themeColor="text1"/>
          <w:szCs w:val="24"/>
        </w:rPr>
        <w:t>whistleblowers</w:t>
      </w:r>
      <w:proofErr w:type="spellEnd"/>
      <w:r w:rsidR="00DB10B7">
        <w:rPr>
          <w:color w:val="000000" w:themeColor="text1"/>
          <w:szCs w:val="24"/>
        </w:rPr>
        <w:t xml:space="preserve">, </w:t>
      </w:r>
      <w:r w:rsidR="006067BF">
        <w:rPr>
          <w:color w:val="000000" w:themeColor="text1"/>
          <w:szCs w:val="24"/>
        </w:rPr>
        <w:t xml:space="preserve">and the range of secrecy and privacy provisions relied upon are incapable of guaranteeing </w:t>
      </w:r>
      <w:r w:rsidR="00DB10B7">
        <w:rPr>
          <w:color w:val="000000" w:themeColor="text1"/>
          <w:szCs w:val="24"/>
        </w:rPr>
        <w:t xml:space="preserve">absolute protection. </w:t>
      </w:r>
      <w:r w:rsidR="00097544">
        <w:rPr>
          <w:color w:val="000000" w:themeColor="text1"/>
          <w:szCs w:val="24"/>
        </w:rPr>
        <w:t>That</w:t>
      </w:r>
      <w:r w:rsidR="00DB10B7">
        <w:rPr>
          <w:color w:val="000000" w:themeColor="text1"/>
          <w:szCs w:val="24"/>
        </w:rPr>
        <w:t xml:space="preserve"> is why, in the 2016-17 Budget, the Government </w:t>
      </w:r>
      <w:r w:rsidR="00097544">
        <w:rPr>
          <w:color w:val="000000" w:themeColor="text1"/>
          <w:szCs w:val="24"/>
        </w:rPr>
        <w:t>announced</w:t>
      </w:r>
      <w:r w:rsidR="00DB10B7">
        <w:rPr>
          <w:color w:val="000000" w:themeColor="text1"/>
          <w:szCs w:val="24"/>
        </w:rPr>
        <w:t xml:space="preserve"> greater protections for </w:t>
      </w:r>
      <w:r w:rsidR="00097544">
        <w:rPr>
          <w:color w:val="000000" w:themeColor="text1"/>
          <w:szCs w:val="24"/>
        </w:rPr>
        <w:t xml:space="preserve">those who disclose information about tax misconduct to the </w:t>
      </w:r>
      <w:r w:rsidR="006067BF">
        <w:rPr>
          <w:color w:val="000000" w:themeColor="text1"/>
          <w:szCs w:val="24"/>
        </w:rPr>
        <w:t>Australian Taxation Office</w:t>
      </w:r>
      <w:r w:rsidR="00097544">
        <w:rPr>
          <w:color w:val="000000" w:themeColor="text1"/>
          <w:szCs w:val="24"/>
        </w:rPr>
        <w:t>. This</w:t>
      </w:r>
      <w:r w:rsidR="00B53187">
        <w:rPr>
          <w:color w:val="000000" w:themeColor="text1"/>
          <w:szCs w:val="24"/>
        </w:rPr>
        <w:t xml:space="preserve"> will further</w:t>
      </w:r>
      <w:r w:rsidR="00097544">
        <w:rPr>
          <w:color w:val="000000" w:themeColor="text1"/>
          <w:szCs w:val="24"/>
        </w:rPr>
        <w:t xml:space="preserve"> </w:t>
      </w:r>
      <w:r w:rsidR="00DB10B7">
        <w:rPr>
          <w:color w:val="000000" w:themeColor="text1"/>
          <w:szCs w:val="24"/>
        </w:rPr>
        <w:t xml:space="preserve">strengthen </w:t>
      </w:r>
      <w:r w:rsidR="00B53187">
        <w:rPr>
          <w:color w:val="000000" w:themeColor="text1"/>
          <w:szCs w:val="24"/>
        </w:rPr>
        <w:t xml:space="preserve">the integrity of Australia’s tax system. </w:t>
      </w:r>
    </w:p>
    <w:p w14:paraId="103BF4C1" w14:textId="77777777" w:rsidR="00456AF9" w:rsidRDefault="00E56A62" w:rsidP="00D20567">
      <w:pPr>
        <w:spacing w:after="160" w:line="255" w:lineRule="exact"/>
      </w:pPr>
      <w:r w:rsidRPr="00E56A62">
        <w:rPr>
          <w:noProof/>
        </w:rPr>
        <w:t>Active protection of whistleblowers to encourage them to make disclosures is essential and the Government is determined to ensure it has the right legislative settings in place to achieve this, while at the same time ensuring disclosures can be fully investigated and that procedural fairness is provided to those who may be the subject of a disclosure</w:t>
      </w:r>
      <w:r>
        <w:rPr>
          <w:noProof/>
        </w:rPr>
        <w:t>.</w:t>
      </w:r>
      <w:r w:rsidR="00456AF9" w:rsidRPr="00456AF9">
        <w:t xml:space="preserve"> </w:t>
      </w:r>
      <w:r w:rsidR="00456AF9">
        <w:t xml:space="preserve">That is why I am pleased to release this paper for comment on ways to strengthen the current framework to ensure both corporate and tax </w:t>
      </w:r>
      <w:proofErr w:type="spellStart"/>
      <w:r w:rsidR="00456AF9">
        <w:t>whistleblowers</w:t>
      </w:r>
      <w:proofErr w:type="spellEnd"/>
      <w:r w:rsidR="00456AF9">
        <w:t xml:space="preserve"> can be confident of protection and have greater incentive</w:t>
      </w:r>
      <w:r w:rsidR="00A4596C">
        <w:t>s</w:t>
      </w:r>
      <w:r w:rsidR="00456AF9">
        <w:t xml:space="preserve"> to make disclosures.</w:t>
      </w:r>
    </w:p>
    <w:p w14:paraId="103BF4C2" w14:textId="77777777" w:rsidR="003E33D8" w:rsidRDefault="00C01E32" w:rsidP="00D20567">
      <w:pPr>
        <w:spacing w:after="160" w:line="255" w:lineRule="exact"/>
      </w:pPr>
      <w:r>
        <w:t xml:space="preserve">This paper deals with a series of concerns which have been identified </w:t>
      </w:r>
      <w:r w:rsidR="003E33D8">
        <w:t xml:space="preserve">through recent evaluations of </w:t>
      </w:r>
      <w:r>
        <w:t xml:space="preserve">existing </w:t>
      </w:r>
      <w:proofErr w:type="spellStart"/>
      <w:r w:rsidR="006067BF">
        <w:t>whistleblower</w:t>
      </w:r>
      <w:proofErr w:type="spellEnd"/>
      <w:r w:rsidR="006067BF">
        <w:t xml:space="preserve"> </w:t>
      </w:r>
      <w:r>
        <w:t xml:space="preserve">protections and </w:t>
      </w:r>
      <w:r w:rsidR="001F7C8C">
        <w:t xml:space="preserve">presents </w:t>
      </w:r>
      <w:r>
        <w:t xml:space="preserve">a number of options for addressing </w:t>
      </w:r>
      <w:r w:rsidR="006067BF">
        <w:t>perceived shortcomings</w:t>
      </w:r>
      <w:r>
        <w:t xml:space="preserve">. </w:t>
      </w:r>
      <w:r w:rsidR="00AB067E">
        <w:t>The paper seeks comments on a range of issues</w:t>
      </w:r>
      <w:r>
        <w:t xml:space="preserve"> includ</w:t>
      </w:r>
      <w:r w:rsidR="00AB067E">
        <w:t>ing</w:t>
      </w:r>
      <w:r>
        <w:t xml:space="preserve"> who </w:t>
      </w:r>
      <w:r w:rsidR="00AB067E">
        <w:t xml:space="preserve">should </w:t>
      </w:r>
      <w:r>
        <w:t>qualif</w:t>
      </w:r>
      <w:r w:rsidR="00AB067E">
        <w:t>y</w:t>
      </w:r>
      <w:r>
        <w:t xml:space="preserve"> for protection, </w:t>
      </w:r>
      <w:r w:rsidR="00AB067E">
        <w:t>what matters</w:t>
      </w:r>
      <w:r>
        <w:t xml:space="preserve"> </w:t>
      </w:r>
      <w:proofErr w:type="spellStart"/>
      <w:r>
        <w:t>whistleblowers</w:t>
      </w:r>
      <w:proofErr w:type="spellEnd"/>
      <w:r>
        <w:t xml:space="preserve"> </w:t>
      </w:r>
      <w:r w:rsidR="00AB067E">
        <w:t>may</w:t>
      </w:r>
      <w:r>
        <w:t xml:space="preserve"> disclose, </w:t>
      </w:r>
      <w:r w:rsidR="00AB067E">
        <w:t>anonymity, motives in disclosing,</w:t>
      </w:r>
      <w:r w:rsidR="003E33D8">
        <w:t xml:space="preserve"> </w:t>
      </w:r>
      <w:r w:rsidR="00AB067E">
        <w:t xml:space="preserve">adequacy of </w:t>
      </w:r>
      <w:r w:rsidR="003E33D8">
        <w:t>protections against retaliation</w:t>
      </w:r>
      <w:r w:rsidR="00AB067E">
        <w:t>, adequacy of compensation arrangements,</w:t>
      </w:r>
      <w:r w:rsidR="003E33D8">
        <w:t xml:space="preserve"> </w:t>
      </w:r>
      <w:r w:rsidR="00AB067E">
        <w:t xml:space="preserve">and whether a </w:t>
      </w:r>
      <w:r w:rsidR="003E33D8">
        <w:t>reward</w:t>
      </w:r>
      <w:r w:rsidR="00AB067E">
        <w:t>s system should be introduced</w:t>
      </w:r>
      <w:r w:rsidR="003E33D8">
        <w:t xml:space="preserve">. The paper looks also at </w:t>
      </w:r>
      <w:r w:rsidR="00AB067E">
        <w:t xml:space="preserve">proposals for </w:t>
      </w:r>
      <w:r w:rsidR="003E33D8">
        <w:t xml:space="preserve">enhancing internal company procedures for reporting misconduct to appropriate regulatory agencies and </w:t>
      </w:r>
      <w:r w:rsidR="00AB067E">
        <w:t>whether there is a</w:t>
      </w:r>
      <w:r w:rsidR="00D967E3">
        <w:t xml:space="preserve"> need for </w:t>
      </w:r>
      <w:r w:rsidR="003E33D8">
        <w:t xml:space="preserve">an oversight agency responsible for </w:t>
      </w:r>
      <w:proofErr w:type="spellStart"/>
      <w:r w:rsidR="003E33D8">
        <w:t>whistleblower</w:t>
      </w:r>
      <w:proofErr w:type="spellEnd"/>
      <w:r w:rsidR="003E33D8">
        <w:t xml:space="preserve"> protection.</w:t>
      </w:r>
    </w:p>
    <w:p w14:paraId="103BF4C3" w14:textId="77777777" w:rsidR="00B736D3" w:rsidRDefault="00C01E32" w:rsidP="00D20567">
      <w:pPr>
        <w:spacing w:after="160" w:line="255" w:lineRule="exact"/>
      </w:pPr>
      <w:r>
        <w:t xml:space="preserve">I invite all </w:t>
      </w:r>
      <w:r w:rsidR="00AB067E">
        <w:t>members of the public</w:t>
      </w:r>
      <w:r>
        <w:t xml:space="preserve"> to </w:t>
      </w:r>
      <w:r w:rsidR="00514F28">
        <w:t>provide</w:t>
      </w:r>
      <w:r>
        <w:t xml:space="preserve"> their views</w:t>
      </w:r>
      <w:r w:rsidR="00AB067E">
        <w:t xml:space="preserve"> in response to the paper</w:t>
      </w:r>
      <w:r>
        <w:t>.</w:t>
      </w:r>
    </w:p>
    <w:p w14:paraId="103BF4C4" w14:textId="77777777" w:rsidR="00456AF9" w:rsidDel="00E56A62" w:rsidRDefault="00456AF9" w:rsidP="00D20567">
      <w:pPr>
        <w:pStyle w:val="ChartGraphic"/>
        <w:jc w:val="left"/>
      </w:pPr>
      <w:r>
        <w:rPr>
          <w:noProof/>
        </w:rPr>
        <w:drawing>
          <wp:inline distT="0" distB="0" distL="0" distR="0" wp14:anchorId="103BF690" wp14:editId="103BF691">
            <wp:extent cx="1438275" cy="683895"/>
            <wp:effectExtent l="0" t="0" r="952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 Odwyer_Signature.tif"/>
                    <pic:cNvPicPr/>
                  </pic:nvPicPr>
                  <pic:blipFill rotWithShape="1">
                    <a:blip r:embed="rId29" cstate="print">
                      <a:extLst>
                        <a:ext uri="{28A0092B-C50C-407E-A947-70E740481C1C}">
                          <a14:useLocalDpi xmlns:a14="http://schemas.microsoft.com/office/drawing/2010/main" val="0"/>
                        </a:ext>
                      </a:extLst>
                    </a:blip>
                    <a:srcRect l="4623" t="12286" r="3596" b="13129"/>
                    <a:stretch/>
                  </pic:blipFill>
                  <pic:spPr bwMode="auto">
                    <a:xfrm>
                      <a:off x="0" y="0"/>
                      <a:ext cx="1438275" cy="683895"/>
                    </a:xfrm>
                    <a:prstGeom prst="rect">
                      <a:avLst/>
                    </a:prstGeom>
                    <a:ln>
                      <a:noFill/>
                    </a:ln>
                    <a:extLst>
                      <a:ext uri="{53640926-AAD7-44D8-BBD7-CCE9431645EC}">
                        <a14:shadowObscured xmlns:a14="http://schemas.microsoft.com/office/drawing/2010/main"/>
                      </a:ext>
                    </a:extLst>
                  </pic:spPr>
                </pic:pic>
              </a:graphicData>
            </a:graphic>
          </wp:inline>
        </w:drawing>
      </w:r>
    </w:p>
    <w:p w14:paraId="103BF4C5" w14:textId="77777777" w:rsidR="00456AF9" w:rsidRDefault="00456AF9" w:rsidP="00B736D3">
      <w:pPr>
        <w:spacing w:after="0" w:line="240" w:lineRule="auto"/>
        <w:rPr>
          <w:b/>
        </w:rPr>
      </w:pPr>
    </w:p>
    <w:p w14:paraId="103BF4C6" w14:textId="77777777" w:rsidR="00B736D3" w:rsidRPr="00B736D3" w:rsidRDefault="00B736D3" w:rsidP="00B736D3">
      <w:pPr>
        <w:spacing w:after="0" w:line="240" w:lineRule="auto"/>
        <w:rPr>
          <w:b/>
        </w:rPr>
      </w:pPr>
      <w:r w:rsidRPr="00B736D3">
        <w:rPr>
          <w:b/>
        </w:rPr>
        <w:t xml:space="preserve">The </w:t>
      </w:r>
      <w:proofErr w:type="spellStart"/>
      <w:r w:rsidRPr="00B736D3">
        <w:rPr>
          <w:b/>
        </w:rPr>
        <w:t>Hon</w:t>
      </w:r>
      <w:proofErr w:type="spellEnd"/>
      <w:r w:rsidRPr="00B736D3">
        <w:rPr>
          <w:b/>
        </w:rPr>
        <w:t xml:space="preserve"> Kelly </w:t>
      </w:r>
      <w:proofErr w:type="spellStart"/>
      <w:r w:rsidRPr="00B736D3">
        <w:rPr>
          <w:b/>
        </w:rPr>
        <w:t>O'Dwyer</w:t>
      </w:r>
      <w:proofErr w:type="spellEnd"/>
      <w:r w:rsidRPr="00B736D3">
        <w:rPr>
          <w:b/>
        </w:rPr>
        <w:t xml:space="preserve"> MP</w:t>
      </w:r>
    </w:p>
    <w:p w14:paraId="103BF4C7" w14:textId="77777777" w:rsidR="00B736D3" w:rsidRPr="00B736D3" w:rsidRDefault="00B736D3" w:rsidP="00B736D3">
      <w:pPr>
        <w:spacing w:after="0" w:line="240" w:lineRule="auto"/>
        <w:rPr>
          <w:b/>
        </w:rPr>
      </w:pPr>
      <w:r w:rsidRPr="00B736D3">
        <w:rPr>
          <w:b/>
        </w:rPr>
        <w:t>Minister for Revenue and Financial Services</w:t>
      </w:r>
    </w:p>
    <w:p w14:paraId="103BF4C8" w14:textId="77777777" w:rsidR="0056559F" w:rsidRPr="00E87C20" w:rsidRDefault="0056559F" w:rsidP="00B736D3">
      <w:pPr>
        <w:jc w:val="left"/>
        <w:sectPr w:rsidR="0056559F" w:rsidRPr="00E87C20" w:rsidSect="00D20567">
          <w:pgSz w:w="11906" w:h="16838" w:code="9"/>
          <w:pgMar w:top="1418" w:right="1418" w:bottom="1418" w:left="1418" w:header="709" w:footer="709" w:gutter="0"/>
          <w:pgNumType w:fmt="upperRoman"/>
          <w:cols w:space="708"/>
          <w:titlePg/>
          <w:docGrid w:linePitch="360"/>
        </w:sectPr>
      </w:pPr>
    </w:p>
    <w:p w14:paraId="103BF4C9" w14:textId="77777777" w:rsidR="000A7BCF" w:rsidRPr="00F15A1A" w:rsidRDefault="0027548A" w:rsidP="00F15A1A">
      <w:pPr>
        <w:pStyle w:val="Heading1-Numbered"/>
      </w:pPr>
      <w:bookmarkStart w:id="27" w:name="_Toc468971452"/>
      <w:bookmarkStart w:id="28" w:name="_Toc468995328"/>
      <w:bookmarkStart w:id="29" w:name="_Toc468977728"/>
      <w:bookmarkStart w:id="30" w:name="_Toc469407734"/>
      <w:bookmarkStart w:id="31" w:name="_Toc469407825"/>
      <w:r w:rsidRPr="00F15A1A">
        <w:lastRenderedPageBreak/>
        <w:t>Introduction</w:t>
      </w:r>
      <w:bookmarkEnd w:id="27"/>
      <w:bookmarkEnd w:id="28"/>
      <w:bookmarkEnd w:id="29"/>
      <w:bookmarkEnd w:id="30"/>
      <w:bookmarkEnd w:id="31"/>
    </w:p>
    <w:p w14:paraId="103BF4CA" w14:textId="18B279FE" w:rsidR="00005868" w:rsidRDefault="001B22AD" w:rsidP="00426C49">
      <w:r>
        <w:t xml:space="preserve">In the 2016-17 Federal Budget </w:t>
      </w:r>
      <w:r w:rsidR="00A104D6">
        <w:t xml:space="preserve">the </w:t>
      </w:r>
      <w:r>
        <w:t xml:space="preserve">Government announced </w:t>
      </w:r>
      <w:r w:rsidR="00005868">
        <w:t>the introduction of</w:t>
      </w:r>
      <w:r>
        <w:t xml:space="preserve"> new arrangements to better protect tax </w:t>
      </w:r>
      <w:proofErr w:type="spellStart"/>
      <w:r>
        <w:t>whistleblowers</w:t>
      </w:r>
      <w:proofErr w:type="spellEnd"/>
      <w:r w:rsidR="00160A62">
        <w:t xml:space="preserve"> as part of </w:t>
      </w:r>
      <w:r w:rsidR="00005868">
        <w:t>its</w:t>
      </w:r>
      <w:r w:rsidR="004C226D">
        <w:t xml:space="preserve"> </w:t>
      </w:r>
      <w:r w:rsidR="00160A62">
        <w:t xml:space="preserve">commitment to tackling tax </w:t>
      </w:r>
      <w:r w:rsidR="0027685F">
        <w:t>misconduct</w:t>
      </w:r>
      <w:r w:rsidR="00160A62">
        <w:t xml:space="preserve">. </w:t>
      </w:r>
    </w:p>
    <w:p w14:paraId="103BF4CB" w14:textId="77777777" w:rsidR="00E777C0" w:rsidRDefault="00005868" w:rsidP="0037456E">
      <w:r>
        <w:t xml:space="preserve">In addition, as part of the Open Government </w:t>
      </w:r>
      <w:r w:rsidR="002A68AB">
        <w:t>National Action Plan</w:t>
      </w:r>
      <w:r w:rsidR="002A68AB">
        <w:rPr>
          <w:rStyle w:val="FootnoteReference"/>
        </w:rPr>
        <w:footnoteReference w:id="2"/>
      </w:r>
      <w:r>
        <w:t xml:space="preserve">, </w:t>
      </w:r>
      <w:r w:rsidR="00A104D6">
        <w:t xml:space="preserve">the </w:t>
      </w:r>
      <w:r>
        <w:t xml:space="preserve">Government </w:t>
      </w:r>
      <w:r w:rsidR="00951099">
        <w:t xml:space="preserve">has committed to </w:t>
      </w:r>
      <w:r w:rsidR="00951099" w:rsidRPr="006067BF">
        <w:t>ensur</w:t>
      </w:r>
      <w:r w:rsidR="00951099">
        <w:t>ing</w:t>
      </w:r>
      <w:r w:rsidR="00951099" w:rsidRPr="006067BF">
        <w:t xml:space="preserve"> </w:t>
      </w:r>
      <w:r w:rsidR="002A68AB" w:rsidRPr="006067BF">
        <w:t>appropriate protections are in place for people who report corruption, fraud, tax evasion or avoidance, and misconduct within the corporate sector.</w:t>
      </w:r>
      <w:r w:rsidR="002A68AB">
        <w:t xml:space="preserve"> The Government has </w:t>
      </w:r>
      <w:r w:rsidR="00951099">
        <w:t xml:space="preserve">also </w:t>
      </w:r>
      <w:r w:rsidR="002A68AB">
        <w:t xml:space="preserve">committed to </w:t>
      </w:r>
      <w:r w:rsidR="002A68AB" w:rsidRPr="006067BF">
        <w:t xml:space="preserve">improving </w:t>
      </w:r>
      <w:proofErr w:type="spellStart"/>
      <w:r w:rsidR="002A68AB" w:rsidRPr="006067BF">
        <w:t>whistleblower</w:t>
      </w:r>
      <w:proofErr w:type="spellEnd"/>
      <w:r w:rsidR="002A68AB" w:rsidRPr="006067BF">
        <w:t xml:space="preserve"> protections for people who disclose information about tax misconduct to the</w:t>
      </w:r>
      <w:r w:rsidR="00951099">
        <w:t xml:space="preserve"> A</w:t>
      </w:r>
      <w:r w:rsidR="000565C6">
        <w:t xml:space="preserve">ustralian </w:t>
      </w:r>
      <w:r w:rsidR="00951099">
        <w:t>T</w:t>
      </w:r>
      <w:r w:rsidR="000565C6">
        <w:t xml:space="preserve">ax </w:t>
      </w:r>
      <w:r w:rsidR="00951099">
        <w:t>O</w:t>
      </w:r>
      <w:r w:rsidR="000565C6">
        <w:t>ffice (</w:t>
      </w:r>
      <w:r w:rsidR="00951099">
        <w:t>ATO</w:t>
      </w:r>
      <w:r w:rsidR="000565C6">
        <w:t>)</w:t>
      </w:r>
      <w:r w:rsidR="002A68AB">
        <w:t>, and to p</w:t>
      </w:r>
      <w:r w:rsidR="002A68AB" w:rsidRPr="006067BF">
        <w:t>ursu</w:t>
      </w:r>
      <w:r w:rsidR="002A68AB">
        <w:t>ing</w:t>
      </w:r>
      <w:r w:rsidR="002A68AB" w:rsidRPr="006067BF">
        <w:t xml:space="preserve"> reforms to </w:t>
      </w:r>
      <w:proofErr w:type="spellStart"/>
      <w:r w:rsidR="002A68AB" w:rsidRPr="006067BF">
        <w:t>whistleblower</w:t>
      </w:r>
      <w:proofErr w:type="spellEnd"/>
      <w:r w:rsidR="002A68AB" w:rsidRPr="006067BF">
        <w:t xml:space="preserve"> protections in the corporate sector to harmonise these protections with those in the public sector.</w:t>
      </w:r>
      <w:r w:rsidR="00EC7F7E">
        <w:t xml:space="preserve"> </w:t>
      </w:r>
    </w:p>
    <w:p w14:paraId="103BF4CC" w14:textId="2B8E7157" w:rsidR="00951099" w:rsidRDefault="00150346" w:rsidP="006D5A6B">
      <w:r w:rsidRPr="00150346">
        <w:t xml:space="preserve">The Government also supports the Parliamentary Inquiry that was recently announced to inquire into and report on, among other things, the development and implementation of </w:t>
      </w:r>
      <w:proofErr w:type="spellStart"/>
      <w:r w:rsidRPr="00150346">
        <w:t>whistleblower</w:t>
      </w:r>
      <w:proofErr w:type="spellEnd"/>
      <w:r w:rsidRPr="00150346">
        <w:t xml:space="preserve"> protections in the corporate, public and not-for-profit sectors, taking into account the </w:t>
      </w:r>
      <w:r w:rsidRPr="00150346">
        <w:rPr>
          <w:i/>
        </w:rPr>
        <w:t>Fair Work (Registered Organisations) Amendment Act</w:t>
      </w:r>
      <w:r w:rsidRPr="00150346">
        <w:t xml:space="preserve"> 2016 passed by the Parliament in November 2016. </w:t>
      </w:r>
      <w:r w:rsidR="00BB0B9C">
        <w:t xml:space="preserve"> </w:t>
      </w:r>
    </w:p>
    <w:p w14:paraId="103BF4CD" w14:textId="77777777" w:rsidR="006D5A6B" w:rsidRDefault="001F7C8C" w:rsidP="006D5A6B">
      <w:r>
        <w:t>As noted, t</w:t>
      </w:r>
      <w:r w:rsidR="00731C7D">
        <w:t xml:space="preserve">his </w:t>
      </w:r>
      <w:r w:rsidR="006D5A6B">
        <w:t>consultation</w:t>
      </w:r>
      <w:r w:rsidR="00AA362B">
        <w:t xml:space="preserve"> </w:t>
      </w:r>
      <w:r w:rsidR="00731C7D">
        <w:t>compl</w:t>
      </w:r>
      <w:r w:rsidR="00951099">
        <w:t>e</w:t>
      </w:r>
      <w:r w:rsidR="00731C7D">
        <w:t>ment</w:t>
      </w:r>
      <w:r w:rsidR="009623B3">
        <w:t>s</w:t>
      </w:r>
      <w:r w:rsidR="00731C7D">
        <w:t xml:space="preserve"> the Parliamentary </w:t>
      </w:r>
      <w:r w:rsidR="00951099">
        <w:t>I</w:t>
      </w:r>
      <w:r w:rsidR="00731C7D">
        <w:t>nquiry</w:t>
      </w:r>
      <w:r w:rsidR="00951099">
        <w:t>. Public submissions and responses to this paper</w:t>
      </w:r>
      <w:r w:rsidR="00731C7D" w:rsidDel="00951099">
        <w:t xml:space="preserve"> </w:t>
      </w:r>
      <w:r w:rsidR="00BB0B9C">
        <w:t xml:space="preserve">will be available to </w:t>
      </w:r>
      <w:r w:rsidR="009623B3">
        <w:t xml:space="preserve">the Committee to </w:t>
      </w:r>
      <w:r w:rsidR="00BB0B9C">
        <w:t>support the</w:t>
      </w:r>
      <w:r w:rsidR="009623B3">
        <w:t>ir</w:t>
      </w:r>
      <w:r w:rsidR="00BB0B9C">
        <w:t xml:space="preserve"> work</w:t>
      </w:r>
      <w:r w:rsidR="009623B3">
        <w:t xml:space="preserve"> and assist </w:t>
      </w:r>
      <w:r w:rsidR="00B6750A">
        <w:t xml:space="preserve">to </w:t>
      </w:r>
      <w:r w:rsidR="009623B3">
        <w:t>progress the required legislative reforms</w:t>
      </w:r>
      <w:r w:rsidR="00EC7F7E">
        <w:t>.</w:t>
      </w:r>
    </w:p>
    <w:p w14:paraId="103BF4CE" w14:textId="77777777" w:rsidR="006D5A6B" w:rsidRDefault="006D5A6B" w:rsidP="006D5A6B"/>
    <w:p w14:paraId="103BF4CF" w14:textId="77777777" w:rsidR="00A95723" w:rsidRDefault="00A95723" w:rsidP="00465659">
      <w:pPr>
        <w:spacing w:after="0" w:line="240" w:lineRule="auto"/>
        <w:jc w:val="left"/>
        <w:sectPr w:rsidR="00A95723" w:rsidSect="009C21B9">
          <w:footerReference w:type="default" r:id="rId30"/>
          <w:footerReference w:type="first" r:id="rId31"/>
          <w:pgSz w:w="11906" w:h="16838" w:code="9"/>
          <w:pgMar w:top="1418" w:right="1418" w:bottom="1418" w:left="1418" w:header="709" w:footer="709" w:gutter="0"/>
          <w:pgNumType w:start="1"/>
          <w:cols w:space="708"/>
          <w:titlePg/>
          <w:docGrid w:linePitch="360"/>
        </w:sectPr>
      </w:pPr>
    </w:p>
    <w:p w14:paraId="103BF4D0" w14:textId="77777777" w:rsidR="00FD47ED" w:rsidRPr="00E87C20" w:rsidRDefault="00FD47ED" w:rsidP="00F15A1A">
      <w:pPr>
        <w:pStyle w:val="Heading1-Numbered"/>
      </w:pPr>
      <w:bookmarkStart w:id="32" w:name="_Toc465344808"/>
      <w:bookmarkStart w:id="33" w:name="_Toc465418787"/>
      <w:bookmarkStart w:id="34" w:name="_Toc468971453"/>
      <w:bookmarkStart w:id="35" w:name="_Toc468977729"/>
      <w:bookmarkStart w:id="36" w:name="_Toc468995329"/>
      <w:bookmarkStart w:id="37" w:name="_Toc469407735"/>
      <w:bookmarkStart w:id="38" w:name="_Toc469407826"/>
      <w:r w:rsidRPr="00E87C20">
        <w:lastRenderedPageBreak/>
        <w:t>Existing tax whistleblowing protections in Australia</w:t>
      </w:r>
      <w:bookmarkEnd w:id="32"/>
      <w:bookmarkEnd w:id="33"/>
      <w:bookmarkEnd w:id="34"/>
      <w:bookmarkEnd w:id="35"/>
      <w:bookmarkEnd w:id="36"/>
      <w:bookmarkEnd w:id="37"/>
      <w:bookmarkEnd w:id="38"/>
    </w:p>
    <w:p w14:paraId="103BF4D1" w14:textId="77777777" w:rsidR="00DB5A15" w:rsidRPr="00575598" w:rsidRDefault="00951099" w:rsidP="00DB5A15">
      <w:bookmarkStart w:id="39" w:name="_Toc465344809"/>
      <w:bookmarkStart w:id="40" w:name="_Toc465418788"/>
      <w:r>
        <w:t>Currently t</w:t>
      </w:r>
      <w:r w:rsidR="00DB5A15" w:rsidRPr="00575598">
        <w:t xml:space="preserve">here are no specific legal protections under tax law </w:t>
      </w:r>
      <w:r>
        <w:t xml:space="preserve">to ensure there is no revelation of the identity of </w:t>
      </w:r>
      <w:r w:rsidR="00DB5A15" w:rsidRPr="00575598">
        <w:t>people who disclose</w:t>
      </w:r>
      <w:r>
        <w:t>,</w:t>
      </w:r>
      <w:r w:rsidR="00DB5A15" w:rsidRPr="00575598">
        <w:t xml:space="preserve"> on a confidential basis, information about individuals or businesses which they believe may </w:t>
      </w:r>
      <w:r w:rsidR="00DB5A15">
        <w:t>not be meeting their</w:t>
      </w:r>
      <w:r w:rsidR="00DB5A15" w:rsidRPr="00575598">
        <w:t xml:space="preserve"> tax </w:t>
      </w:r>
      <w:r w:rsidR="00DB5A15">
        <w:t xml:space="preserve">obligations </w:t>
      </w:r>
      <w:r w:rsidR="00DB5A15" w:rsidRPr="00575598">
        <w:t>(</w:t>
      </w:r>
      <w:r w:rsidR="00B65404" w:rsidRPr="00575598">
        <w:t>tax</w:t>
      </w:r>
      <w:r w:rsidR="00B65404">
        <w:t> </w:t>
      </w:r>
      <w:proofErr w:type="spellStart"/>
      <w:r w:rsidR="00DB5A15" w:rsidRPr="00575598">
        <w:t>whistleblowers</w:t>
      </w:r>
      <w:proofErr w:type="spellEnd"/>
      <w:r w:rsidR="00DB5A15" w:rsidRPr="00575598">
        <w:t>).</w:t>
      </w:r>
    </w:p>
    <w:p w14:paraId="103BF4D2" w14:textId="77777777" w:rsidR="00DB5A15" w:rsidRPr="00575598" w:rsidRDefault="00DB5A15" w:rsidP="00DB5A15">
      <w:r w:rsidRPr="00575598">
        <w:t xml:space="preserve">Presently, the identity of tax </w:t>
      </w:r>
      <w:proofErr w:type="spellStart"/>
      <w:r w:rsidRPr="00575598">
        <w:t>whistleblowers</w:t>
      </w:r>
      <w:proofErr w:type="spellEnd"/>
      <w:r w:rsidRPr="00575598">
        <w:t xml:space="preserve"> </w:t>
      </w:r>
      <w:r w:rsidR="00951099">
        <w:t>is</w:t>
      </w:r>
      <w:r w:rsidR="00951099" w:rsidRPr="00575598">
        <w:t xml:space="preserve"> </w:t>
      </w:r>
      <w:r w:rsidRPr="00575598">
        <w:t xml:space="preserve">afforded </w:t>
      </w:r>
      <w:r w:rsidR="00951099">
        <w:t xml:space="preserve">some </w:t>
      </w:r>
      <w:r w:rsidRPr="00575598">
        <w:t xml:space="preserve">protection incidentally via </w:t>
      </w:r>
      <w:r>
        <w:t xml:space="preserve">the </w:t>
      </w:r>
      <w:r w:rsidRPr="00575598">
        <w:t>tax</w:t>
      </w:r>
      <w:r>
        <w:t>ation confidentiality</w:t>
      </w:r>
      <w:r w:rsidRPr="00575598">
        <w:t xml:space="preserve"> provisions pertaining to individual taxpayer affairs (Division 355 of the </w:t>
      </w:r>
      <w:r w:rsidRPr="00575598">
        <w:rPr>
          <w:i/>
        </w:rPr>
        <w:t xml:space="preserve">Taxation Administration Act </w:t>
      </w:r>
      <w:r w:rsidRPr="006067BF">
        <w:t>1953</w:t>
      </w:r>
      <w:r w:rsidRPr="00575598">
        <w:t>)</w:t>
      </w:r>
      <w:r w:rsidR="00951099">
        <w:t xml:space="preserve"> and privacy laws</w:t>
      </w:r>
      <w:r w:rsidRPr="00575598">
        <w:t xml:space="preserve">. </w:t>
      </w:r>
    </w:p>
    <w:p w14:paraId="103BF4D3" w14:textId="77777777" w:rsidR="00DB5A15" w:rsidRDefault="00951099" w:rsidP="00DB5A15">
      <w:r>
        <w:t>T</w:t>
      </w:r>
      <w:r w:rsidR="00DB5A15">
        <w:t>his</w:t>
      </w:r>
      <w:r w:rsidR="00DB5A15" w:rsidRPr="00575598">
        <w:t xml:space="preserve"> protection</w:t>
      </w:r>
      <w:r w:rsidR="00DB5A15">
        <w:t xml:space="preserve"> is not absolute</w:t>
      </w:r>
      <w:r w:rsidR="00DB5A15" w:rsidRPr="00575598">
        <w:t xml:space="preserve"> due to a number of exemptions under </w:t>
      </w:r>
      <w:r w:rsidR="00DB5A15">
        <w:t>the</w:t>
      </w:r>
      <w:r w:rsidR="00DB5A15" w:rsidRPr="00575598">
        <w:t xml:space="preserve"> law </w:t>
      </w:r>
      <w:r w:rsidR="00DB5A15">
        <w:t>that</w:t>
      </w:r>
      <w:r w:rsidR="00DB5A15" w:rsidRPr="00575598">
        <w:t xml:space="preserve"> allow for personal information to be revealed in certain circumstances, including when the information has been disclosed voluntarily by the </w:t>
      </w:r>
      <w:proofErr w:type="spellStart"/>
      <w:r w:rsidR="00DB5A15" w:rsidRPr="00575598">
        <w:t>whistleblower</w:t>
      </w:r>
      <w:proofErr w:type="spellEnd"/>
      <w:r w:rsidR="00DB5A15">
        <w:t xml:space="preserve"> (for example, if a court compels the disclosure of the identity of tax </w:t>
      </w:r>
      <w:proofErr w:type="spellStart"/>
      <w:r w:rsidR="00DB5A15">
        <w:t>whistleblower</w:t>
      </w:r>
      <w:proofErr w:type="spellEnd"/>
      <w:r w:rsidR="00DB5A15">
        <w:t xml:space="preserve"> as a result of item 1 of the table in subsection 355-70(1) of the </w:t>
      </w:r>
      <w:r w:rsidR="00DB5A15" w:rsidRPr="00581DBA">
        <w:rPr>
          <w:i/>
        </w:rPr>
        <w:t>Taxation Administration Act</w:t>
      </w:r>
      <w:r w:rsidR="00DB5A15" w:rsidRPr="00575598">
        <w:t xml:space="preserve">). </w:t>
      </w:r>
      <w:r>
        <w:t>N</w:t>
      </w:r>
      <w:r w:rsidR="00DB5A15" w:rsidRPr="00575598">
        <w:t xml:space="preserve">either </w:t>
      </w:r>
      <w:r w:rsidR="00DB5A15">
        <w:t xml:space="preserve">the taxation confidentiality provisions nor the privacy laws </w:t>
      </w:r>
      <w:r w:rsidR="00DB5A15" w:rsidRPr="00575598">
        <w:t xml:space="preserve">prohibit victimisation of </w:t>
      </w:r>
      <w:proofErr w:type="spellStart"/>
      <w:r w:rsidR="00DB5A15" w:rsidRPr="00575598">
        <w:t>whistleblowers</w:t>
      </w:r>
      <w:proofErr w:type="spellEnd"/>
      <w:r w:rsidR="00DB5A15" w:rsidRPr="00575598">
        <w:t xml:space="preserve"> if their identity becomes known or provides compensation if victimisation occurs. </w:t>
      </w:r>
    </w:p>
    <w:p w14:paraId="103BF4D4" w14:textId="77777777" w:rsidR="00726DF9" w:rsidRDefault="00726DF9" w:rsidP="00DB5A15">
      <w:r>
        <w:t xml:space="preserve">In addition, factual information pertaining to the name of the taxpayer and the section of tax law breached are not protected even if provided as part of a report by tax or </w:t>
      </w:r>
      <w:proofErr w:type="spellStart"/>
      <w:r>
        <w:t>whistleblower</w:t>
      </w:r>
      <w:proofErr w:type="spellEnd"/>
      <w:r>
        <w:t xml:space="preserve"> lawyers</w:t>
      </w:r>
      <w:r w:rsidR="007528DE">
        <w:t>’</w:t>
      </w:r>
      <w:r>
        <w:t xml:space="preserve"> that is otherwise subject to legal professional privilege</w:t>
      </w:r>
      <w:r w:rsidR="001F7C8C">
        <w:t>. This is because</w:t>
      </w:r>
      <w:r>
        <w:t xml:space="preserve"> factual matters are not protected by privilege. </w:t>
      </w:r>
    </w:p>
    <w:p w14:paraId="103BF4D5" w14:textId="77777777" w:rsidR="00DB5A15" w:rsidRDefault="00DB5A15" w:rsidP="00DB5A15">
      <w:r w:rsidRPr="00575598">
        <w:t xml:space="preserve">The absence of specific protections and remedies to compensate </w:t>
      </w:r>
      <w:r>
        <w:t xml:space="preserve">tax </w:t>
      </w:r>
      <w:proofErr w:type="spellStart"/>
      <w:r w:rsidRPr="00575598">
        <w:t>whistleblowers</w:t>
      </w:r>
      <w:proofErr w:type="spellEnd"/>
      <w:r w:rsidRPr="00575598">
        <w:t xml:space="preserve"> puts Australia at odds with comparable overseas jurisdictions which specific</w:t>
      </w:r>
      <w:r w:rsidR="00726DF9">
        <w:t>ally provide for each</w:t>
      </w:r>
      <w:r w:rsidRPr="00575598">
        <w:t>.</w:t>
      </w:r>
      <w:r>
        <w:t xml:space="preserve"> </w:t>
      </w:r>
      <w:r w:rsidR="00726DF9">
        <w:t>Nonetheless,</w:t>
      </w:r>
      <w:r>
        <w:t xml:space="preserve"> the ATO encourages reporting of behaviour that indicates particular taxpayers may not be meeting their tax or superannuation obligations.</w:t>
      </w:r>
    </w:p>
    <w:p w14:paraId="103BF4D6" w14:textId="77777777" w:rsidR="00EF0E21" w:rsidRDefault="00DB5A15" w:rsidP="00DB5A15">
      <w:r>
        <w:t>Currently, m</w:t>
      </w:r>
      <w:r w:rsidRPr="00AC26F4">
        <w:t xml:space="preserve">embers of the public </w:t>
      </w:r>
      <w:r>
        <w:t>can</w:t>
      </w:r>
      <w:r w:rsidRPr="00AC26F4">
        <w:t xml:space="preserve"> </w:t>
      </w:r>
      <w:r w:rsidR="00726DF9">
        <w:t xml:space="preserve">inform </w:t>
      </w:r>
      <w:r>
        <w:t>the ATO about</w:t>
      </w:r>
      <w:r w:rsidRPr="00AC26F4">
        <w:t xml:space="preserve"> </w:t>
      </w:r>
      <w:r w:rsidR="00726DF9">
        <w:t>anyone</w:t>
      </w:r>
      <w:r w:rsidR="00726DF9" w:rsidRPr="00AC26F4">
        <w:t xml:space="preserve"> </w:t>
      </w:r>
      <w:r>
        <w:t xml:space="preserve">they know who </w:t>
      </w:r>
      <w:r w:rsidRPr="00AC26F4">
        <w:t xml:space="preserve">is </w:t>
      </w:r>
      <w:r>
        <w:t xml:space="preserve">doing the wrong thing by avoiding or reducing the amount of tax or super that </w:t>
      </w:r>
      <w:r w:rsidR="00D74886">
        <w:t xml:space="preserve">they </w:t>
      </w:r>
      <w:r>
        <w:t xml:space="preserve">ought to </w:t>
      </w:r>
      <w:r w:rsidR="00D74886">
        <w:t>be</w:t>
      </w:r>
      <w:r>
        <w:t xml:space="preserve"> pay</w:t>
      </w:r>
      <w:r w:rsidR="00D74886">
        <w:t>ing</w:t>
      </w:r>
      <w:r>
        <w:t>. Information</w:t>
      </w:r>
      <w:r w:rsidRPr="00AC26F4">
        <w:t xml:space="preserve"> </w:t>
      </w:r>
      <w:r>
        <w:t xml:space="preserve">can be provided </w:t>
      </w:r>
      <w:r w:rsidR="00726DF9">
        <w:t xml:space="preserve">anonymously </w:t>
      </w:r>
      <w:r w:rsidR="00583A37">
        <w:t xml:space="preserve">or </w:t>
      </w:r>
      <w:r w:rsidR="001F7C8C">
        <w:t>on</w:t>
      </w:r>
      <w:r w:rsidR="00583A37">
        <w:t xml:space="preserve"> a disclosed basis </w:t>
      </w:r>
      <w:r w:rsidRPr="00AC26F4">
        <w:t>to the ATO by online form,</w:t>
      </w:r>
      <w:r>
        <w:t xml:space="preserve"> </w:t>
      </w:r>
      <w:r w:rsidRPr="00AC26F4">
        <w:t xml:space="preserve">phone, letter </w:t>
      </w:r>
      <w:r>
        <w:t>or</w:t>
      </w:r>
      <w:r w:rsidRPr="00AC26F4">
        <w:t xml:space="preserve"> email</w:t>
      </w:r>
      <w:r>
        <w:t xml:space="preserve">, or by using the ‘Report a concern’ tool in the ATO app. </w:t>
      </w:r>
      <w:r w:rsidR="00726DF9">
        <w:t>In addition, a</w:t>
      </w:r>
      <w:r w:rsidRPr="00AC26F4">
        <w:t xml:space="preserve"> specific </w:t>
      </w:r>
      <w:r w:rsidR="00726DF9">
        <w:t>facility</w:t>
      </w:r>
      <w:r w:rsidR="00726DF9" w:rsidRPr="00AC26F4">
        <w:t xml:space="preserve"> </w:t>
      </w:r>
      <w:r w:rsidRPr="00AC26F4">
        <w:t xml:space="preserve">is provided to allow tax practitioners to report instances of unlawful behaviour directly to the ATO. </w:t>
      </w:r>
      <w:r w:rsidR="00726DF9">
        <w:t>If they wish to assert a claim of legal professional privilege they need to apply via a claim form on the ATO website which aids the ATO in determining whether to accept or challenge such claims.</w:t>
      </w:r>
    </w:p>
    <w:p w14:paraId="103BF4D7" w14:textId="77777777" w:rsidR="00726DF9" w:rsidRDefault="00DB5A15" w:rsidP="00DB5A15">
      <w:r>
        <w:t xml:space="preserve">Information provided to the ATO is actioned by the Tax Evasion Reporting Centre (TERC). </w:t>
      </w:r>
      <w:r w:rsidRPr="00AC26F4">
        <w:t xml:space="preserve">The information provided is </w:t>
      </w:r>
      <w:r>
        <w:t xml:space="preserve">assessed and </w:t>
      </w:r>
      <w:r w:rsidRPr="00AC26F4">
        <w:t xml:space="preserve">distributed to </w:t>
      </w:r>
      <w:r w:rsidR="00D74886">
        <w:t>the relevant</w:t>
      </w:r>
      <w:r w:rsidRPr="00AC26F4">
        <w:t xml:space="preserve"> ATO compliance areas for consideration. The information may also </w:t>
      </w:r>
      <w:r>
        <w:t xml:space="preserve">be </w:t>
      </w:r>
      <w:r w:rsidRPr="00AC26F4">
        <w:t xml:space="preserve">used to determine industry trends, </w:t>
      </w:r>
      <w:r w:rsidR="00726DF9">
        <w:t xml:space="preserve">identify </w:t>
      </w:r>
      <w:r w:rsidRPr="00AC26F4">
        <w:t xml:space="preserve">new risk areas and to assist in developing compliance strategies. </w:t>
      </w:r>
    </w:p>
    <w:p w14:paraId="103BF4D8" w14:textId="77777777" w:rsidR="00DB5A15" w:rsidRPr="00575598" w:rsidRDefault="00DB5A15" w:rsidP="00DB5A15">
      <w:r w:rsidRPr="00810EB9">
        <w:t xml:space="preserve">Some potential </w:t>
      </w:r>
      <w:proofErr w:type="spellStart"/>
      <w:r w:rsidRPr="00810EB9">
        <w:t>whistleblowers</w:t>
      </w:r>
      <w:proofErr w:type="spellEnd"/>
      <w:r w:rsidRPr="00810EB9">
        <w:t xml:space="preserve"> do not use the TERC process and instead contact an ATO officer directly.</w:t>
      </w:r>
      <w:r w:rsidR="00D74886">
        <w:t xml:space="preserve"> While the ATO currently receive</w:t>
      </w:r>
      <w:r w:rsidR="00726DF9">
        <w:t>s</w:t>
      </w:r>
      <w:r w:rsidR="00D74886">
        <w:t xml:space="preserve"> and act</w:t>
      </w:r>
      <w:r w:rsidR="00726DF9">
        <w:t>s</w:t>
      </w:r>
      <w:r w:rsidR="00D74886">
        <w:t xml:space="preserve"> on disclosures, </w:t>
      </w:r>
      <w:r w:rsidR="001F7C8C">
        <w:t xml:space="preserve">it has </w:t>
      </w:r>
      <w:r w:rsidR="00D74886">
        <w:t xml:space="preserve">no </w:t>
      </w:r>
      <w:r w:rsidR="00726DF9">
        <w:t xml:space="preserve">express </w:t>
      </w:r>
      <w:r w:rsidR="001F7C8C">
        <w:t xml:space="preserve">power to protect people </w:t>
      </w:r>
      <w:r w:rsidR="00D74886">
        <w:t>from reprisal</w:t>
      </w:r>
      <w:r w:rsidR="001F7C8C">
        <w:t>s</w:t>
      </w:r>
      <w:r w:rsidR="00D74886">
        <w:t xml:space="preserve"> or other ramifications.</w:t>
      </w:r>
    </w:p>
    <w:p w14:paraId="103BF4D9" w14:textId="77777777" w:rsidR="00680502" w:rsidDel="006D39E2" w:rsidRDefault="00726DF9" w:rsidP="00465659">
      <w:r>
        <w:lastRenderedPageBreak/>
        <w:t>T</w:t>
      </w:r>
      <w:r w:rsidR="00DB5A15" w:rsidRPr="00575598">
        <w:t>he lack of overlap with corporate sector protections</w:t>
      </w:r>
      <w:r>
        <w:t xml:space="preserve"> is also problematic</w:t>
      </w:r>
      <w:r w:rsidR="00DB5A15" w:rsidRPr="00575598">
        <w:t xml:space="preserve">. A number of tax </w:t>
      </w:r>
      <w:proofErr w:type="spellStart"/>
      <w:r w:rsidR="00DB5A15" w:rsidRPr="00575598">
        <w:t>whistleblowers</w:t>
      </w:r>
      <w:proofErr w:type="spellEnd"/>
      <w:r w:rsidR="00DB5A15" w:rsidRPr="00575598">
        <w:t xml:space="preserve"> have made disclosures to the Australian Securities &amp; Investments Commission (ASIC) in the mistaken belief that they are protected by provisions </w:t>
      </w:r>
      <w:r w:rsidR="00583A37">
        <w:t xml:space="preserve">currently </w:t>
      </w:r>
      <w:r w:rsidR="00DB5A15" w:rsidRPr="00575598">
        <w:t xml:space="preserve">under the </w:t>
      </w:r>
      <w:r w:rsidR="00DB5A15" w:rsidRPr="00575598">
        <w:rPr>
          <w:i/>
        </w:rPr>
        <w:t xml:space="preserve">Corporations Act </w:t>
      </w:r>
      <w:r w:rsidR="00DB5A15" w:rsidRPr="00575598">
        <w:t>2001, when in fact those provisions only provide protection for disclosures concerning contraventions of corporate, not tax, law.</w:t>
      </w:r>
    </w:p>
    <w:p w14:paraId="103BF4DA" w14:textId="77777777" w:rsidR="00A95723" w:rsidRDefault="00A95723" w:rsidP="00465659"/>
    <w:p w14:paraId="103BF4DB" w14:textId="77777777" w:rsidR="00A95723" w:rsidRDefault="00A95723" w:rsidP="00465659"/>
    <w:p w14:paraId="103BF4DC" w14:textId="77777777" w:rsidR="00A95723" w:rsidRDefault="00A95723" w:rsidP="00465659">
      <w:pPr>
        <w:sectPr w:rsidR="00A95723" w:rsidSect="00D20567">
          <w:footerReference w:type="first" r:id="rId32"/>
          <w:pgSz w:w="11906" w:h="16838" w:code="9"/>
          <w:pgMar w:top="1418" w:right="1418" w:bottom="1418" w:left="1418" w:header="709" w:footer="709" w:gutter="0"/>
          <w:cols w:space="708"/>
          <w:titlePg/>
          <w:docGrid w:linePitch="360"/>
        </w:sectPr>
      </w:pPr>
    </w:p>
    <w:p w14:paraId="103BF4DD" w14:textId="77777777" w:rsidR="00FD47ED" w:rsidRDefault="00FD47ED" w:rsidP="00F15A1A">
      <w:pPr>
        <w:pStyle w:val="Heading1-Numbered"/>
      </w:pPr>
      <w:bookmarkStart w:id="41" w:name="_Toc468971454"/>
      <w:bookmarkStart w:id="42" w:name="_Toc468977730"/>
      <w:bookmarkStart w:id="43" w:name="_Toc468995330"/>
      <w:bookmarkStart w:id="44" w:name="_Toc469407736"/>
      <w:bookmarkStart w:id="45" w:name="_Toc469407827"/>
      <w:r w:rsidRPr="005B726F">
        <w:lastRenderedPageBreak/>
        <w:t>Existing corporate whistleblowing protections in Australia</w:t>
      </w:r>
      <w:bookmarkEnd w:id="39"/>
      <w:bookmarkEnd w:id="40"/>
      <w:bookmarkEnd w:id="41"/>
      <w:bookmarkEnd w:id="42"/>
      <w:bookmarkEnd w:id="43"/>
      <w:bookmarkEnd w:id="44"/>
      <w:bookmarkEnd w:id="45"/>
    </w:p>
    <w:p w14:paraId="103BF4DE" w14:textId="77777777" w:rsidR="005B726F" w:rsidRPr="00EF26E3" w:rsidRDefault="005B726F" w:rsidP="007A6B38">
      <w:r w:rsidRPr="00EF26E3">
        <w:t xml:space="preserve">Statutory protections for </w:t>
      </w:r>
      <w:proofErr w:type="spellStart"/>
      <w:r w:rsidRPr="00EF26E3">
        <w:t>whistleblower</w:t>
      </w:r>
      <w:proofErr w:type="spellEnd"/>
      <w:r w:rsidRPr="00EF26E3">
        <w:t xml:space="preserve"> disclosures in the </w:t>
      </w:r>
      <w:r w:rsidR="003E68B4">
        <w:t xml:space="preserve">corporate </w:t>
      </w:r>
      <w:r w:rsidRPr="00EF26E3">
        <w:t xml:space="preserve">sector </w:t>
      </w:r>
      <w:r w:rsidR="00CF303F">
        <w:t>are contained</w:t>
      </w:r>
      <w:r w:rsidRPr="00EF26E3">
        <w:t xml:space="preserve"> </w:t>
      </w:r>
      <w:r w:rsidR="00CF303F">
        <w:t>in</w:t>
      </w:r>
      <w:r w:rsidRPr="00EF26E3">
        <w:t xml:space="preserve"> Part 9.4AAA of the </w:t>
      </w:r>
      <w:r w:rsidRPr="00EF26E3">
        <w:rPr>
          <w:i/>
        </w:rPr>
        <w:t xml:space="preserve">Corporations Act </w:t>
      </w:r>
      <w:r w:rsidRPr="00EF26E3">
        <w:t xml:space="preserve">2001 </w:t>
      </w:r>
      <w:r w:rsidR="00CF303F">
        <w:t>which was introduced as part of a range of corporate legislative reforms in</w:t>
      </w:r>
      <w:r>
        <w:t xml:space="preserve"> </w:t>
      </w:r>
      <w:r w:rsidRPr="00EF26E3">
        <w:t xml:space="preserve">2004. </w:t>
      </w:r>
    </w:p>
    <w:p w14:paraId="103BF4DF" w14:textId="77777777" w:rsidR="00C66C3A" w:rsidRPr="00EF26E3" w:rsidRDefault="00C66C3A" w:rsidP="007A6B38">
      <w:r w:rsidRPr="00EF26E3">
        <w:t>The protections offered under Part 9.4AAA</w:t>
      </w:r>
      <w:r w:rsidR="007F156F">
        <w:t xml:space="preserve"> in respect of any disclosure about an actual or potential contravention of </w:t>
      </w:r>
      <w:proofErr w:type="gramStart"/>
      <w:r w:rsidR="007F156F">
        <w:t>corporations</w:t>
      </w:r>
      <w:proofErr w:type="gramEnd"/>
      <w:r w:rsidR="007F156F">
        <w:t xml:space="preserve"> legislation</w:t>
      </w:r>
      <w:r w:rsidRPr="00EF26E3">
        <w:t>:</w:t>
      </w:r>
    </w:p>
    <w:p w14:paraId="103BF4E0" w14:textId="77777777" w:rsidR="00C66C3A" w:rsidRDefault="00C66C3A" w:rsidP="00F15A1A">
      <w:pPr>
        <w:pStyle w:val="AlphaParagraph"/>
      </w:pPr>
      <w:r w:rsidRPr="00F15A1A">
        <w:t>confer</w:t>
      </w:r>
      <w:r w:rsidR="005B726F" w:rsidRPr="00F15A1A">
        <w:t xml:space="preserve"> statutory immunity </w:t>
      </w:r>
      <w:r w:rsidRPr="00F15A1A">
        <w:t>on</w:t>
      </w:r>
      <w:r w:rsidR="005B726F" w:rsidRPr="00F15A1A">
        <w:t xml:space="preserve"> the </w:t>
      </w:r>
      <w:proofErr w:type="spellStart"/>
      <w:r w:rsidR="005B726F" w:rsidRPr="00F15A1A">
        <w:t>whistleblower</w:t>
      </w:r>
      <w:proofErr w:type="spellEnd"/>
      <w:r w:rsidR="005B726F" w:rsidRPr="00F15A1A">
        <w:t xml:space="preserve"> </w:t>
      </w:r>
      <w:r w:rsidR="00CF5B08" w:rsidRPr="00F15A1A">
        <w:t>from</w:t>
      </w:r>
      <w:r w:rsidR="005B726F" w:rsidRPr="00F15A1A">
        <w:t xml:space="preserve"> civil or criminal liability</w:t>
      </w:r>
      <w:r w:rsidR="007D5732" w:rsidRPr="00F15A1A">
        <w:t xml:space="preserve"> for making the disclosure</w:t>
      </w:r>
      <w:r w:rsidRPr="00F15A1A">
        <w:t>;</w:t>
      </w:r>
    </w:p>
    <w:p w14:paraId="103BF4E1" w14:textId="77777777" w:rsidR="005B726F" w:rsidRPr="00EF26E3" w:rsidRDefault="00C66C3A" w:rsidP="00F15A1A">
      <w:pPr>
        <w:pStyle w:val="AlphaParagraph"/>
      </w:pPr>
      <w:r>
        <w:t>constrain</w:t>
      </w:r>
      <w:r w:rsidR="005B726F" w:rsidRPr="00EF26E3">
        <w:t xml:space="preserve"> </w:t>
      </w:r>
      <w:r w:rsidR="00CF5B08">
        <w:t xml:space="preserve">employer </w:t>
      </w:r>
      <w:r w:rsidR="005B726F" w:rsidRPr="00EF26E3">
        <w:t>right</w:t>
      </w:r>
      <w:r w:rsidR="00CF5B08">
        <w:t>s</w:t>
      </w:r>
      <w:r w:rsidR="005B726F" w:rsidRPr="00EF26E3">
        <w:t xml:space="preserve"> to enforce a contract remedy against the </w:t>
      </w:r>
      <w:proofErr w:type="spellStart"/>
      <w:r w:rsidR="005B726F" w:rsidRPr="00EF26E3">
        <w:t>whistleblower</w:t>
      </w:r>
      <w:proofErr w:type="spellEnd"/>
      <w:r w:rsidR="005B726F" w:rsidRPr="00EF26E3">
        <w:t xml:space="preserve"> (including any contractual right to terminate employment) arising as a result of the disclosure;</w:t>
      </w:r>
    </w:p>
    <w:p w14:paraId="103BF4E2" w14:textId="77777777" w:rsidR="005B726F" w:rsidRPr="00EF26E3" w:rsidRDefault="005B726F" w:rsidP="00F15A1A">
      <w:pPr>
        <w:pStyle w:val="AlphaParagraph"/>
      </w:pPr>
      <w:r w:rsidRPr="00EF26E3">
        <w:t xml:space="preserve">prohibit victimisation of the </w:t>
      </w:r>
      <w:proofErr w:type="spellStart"/>
      <w:r w:rsidRPr="00EF26E3">
        <w:t>whistleblower</w:t>
      </w:r>
      <w:proofErr w:type="spellEnd"/>
      <w:r w:rsidRPr="00EF26E3">
        <w:t>;</w:t>
      </w:r>
    </w:p>
    <w:p w14:paraId="103BF4E3" w14:textId="77777777" w:rsidR="005B726F" w:rsidRPr="00EF26E3" w:rsidRDefault="00832CC5" w:rsidP="00F15A1A">
      <w:pPr>
        <w:pStyle w:val="AlphaParagraph"/>
      </w:pPr>
      <w:r>
        <w:t>confer</w:t>
      </w:r>
      <w:r w:rsidR="005B726F" w:rsidRPr="00EF26E3">
        <w:t xml:space="preserve"> </w:t>
      </w:r>
      <w:r>
        <w:t>a</w:t>
      </w:r>
      <w:r w:rsidR="005B726F" w:rsidRPr="00EF26E3">
        <w:t xml:space="preserve"> right </w:t>
      </w:r>
      <w:r w:rsidR="00CF5B08">
        <w:t xml:space="preserve">on the </w:t>
      </w:r>
      <w:proofErr w:type="spellStart"/>
      <w:r w:rsidR="00CF5B08">
        <w:t>whistleblower</w:t>
      </w:r>
      <w:proofErr w:type="spellEnd"/>
      <w:r w:rsidR="00CF5B08">
        <w:t xml:space="preserve"> </w:t>
      </w:r>
      <w:r w:rsidR="005B726F" w:rsidRPr="00EF26E3">
        <w:t>to seek compensation if damage is suffered as a result of victimisation; and</w:t>
      </w:r>
    </w:p>
    <w:p w14:paraId="103BF4E4" w14:textId="77777777" w:rsidR="005B726F" w:rsidRPr="00EF26E3" w:rsidRDefault="005B726F" w:rsidP="00F15A1A">
      <w:pPr>
        <w:pStyle w:val="AlphaParagraph"/>
      </w:pPr>
      <w:proofErr w:type="gramStart"/>
      <w:r w:rsidRPr="00EF26E3">
        <w:t>prohibit</w:t>
      </w:r>
      <w:proofErr w:type="gramEnd"/>
      <w:r w:rsidRPr="00EF26E3">
        <w:t xml:space="preserve"> </w:t>
      </w:r>
      <w:r w:rsidR="00832CC5">
        <w:t>revelation</w:t>
      </w:r>
      <w:r w:rsidRPr="00EF26E3" w:rsidDel="00583A37">
        <w:t xml:space="preserve"> </w:t>
      </w:r>
      <w:r w:rsidR="00583A37">
        <w:t>of</w:t>
      </w:r>
      <w:r w:rsidR="00583A37" w:rsidRPr="00EF26E3">
        <w:t xml:space="preserve"> </w:t>
      </w:r>
      <w:r w:rsidRPr="00EF26E3">
        <w:t xml:space="preserve">the </w:t>
      </w:r>
      <w:proofErr w:type="spellStart"/>
      <w:r w:rsidRPr="00EF26E3">
        <w:t>whistleblower's</w:t>
      </w:r>
      <w:proofErr w:type="spellEnd"/>
      <w:r w:rsidRPr="00EF26E3">
        <w:t xml:space="preserve"> identity or the information </w:t>
      </w:r>
      <w:r w:rsidR="00832CC5">
        <w:t xml:space="preserve">disclosed by the </w:t>
      </w:r>
      <w:proofErr w:type="spellStart"/>
      <w:r w:rsidR="00832CC5">
        <w:t>whistleblower</w:t>
      </w:r>
      <w:proofErr w:type="spellEnd"/>
      <w:r w:rsidR="00832CC5">
        <w:t xml:space="preserve"> </w:t>
      </w:r>
      <w:r w:rsidR="00615E33">
        <w:t>with limited exceptions</w:t>
      </w:r>
      <w:r w:rsidR="00832CC5">
        <w:t>.</w:t>
      </w:r>
    </w:p>
    <w:p w14:paraId="103BF4E5" w14:textId="77777777" w:rsidR="005B726F" w:rsidRPr="00615E33" w:rsidRDefault="005B726F" w:rsidP="007A6B38">
      <w:r w:rsidRPr="00EF26E3">
        <w:t xml:space="preserve">To </w:t>
      </w:r>
      <w:r w:rsidR="00C66545">
        <w:t>qualify</w:t>
      </w:r>
      <w:r w:rsidRPr="00EF26E3">
        <w:t xml:space="preserve"> </w:t>
      </w:r>
      <w:r w:rsidR="00C66545">
        <w:t>for</w:t>
      </w:r>
      <w:r w:rsidRPr="00EF26E3">
        <w:t xml:space="preserve"> protection </w:t>
      </w:r>
      <w:proofErr w:type="spellStart"/>
      <w:r w:rsidR="00832CC5">
        <w:t>whistleblower</w:t>
      </w:r>
      <w:r w:rsidR="00CF5B08">
        <w:t>s</w:t>
      </w:r>
      <w:proofErr w:type="spellEnd"/>
      <w:r w:rsidRPr="00EF26E3">
        <w:t xml:space="preserve"> must:</w:t>
      </w:r>
    </w:p>
    <w:p w14:paraId="103BF4E6" w14:textId="77777777" w:rsidR="005B726F" w:rsidRPr="00EF26E3" w:rsidRDefault="005B726F" w:rsidP="00F15A1A">
      <w:pPr>
        <w:pStyle w:val="AlphaParagraph"/>
        <w:numPr>
          <w:ilvl w:val="0"/>
          <w:numId w:val="39"/>
        </w:numPr>
      </w:pPr>
      <w:r w:rsidRPr="00EF26E3">
        <w:t xml:space="preserve">be either </w:t>
      </w:r>
      <w:r w:rsidR="00CF5B08">
        <w:t>current</w:t>
      </w:r>
      <w:r w:rsidRPr="00EF26E3">
        <w:t xml:space="preserve"> officer</w:t>
      </w:r>
      <w:r w:rsidR="00CF5B08">
        <w:t>s</w:t>
      </w:r>
      <w:r w:rsidRPr="00EF26E3">
        <w:t xml:space="preserve"> or employee</w:t>
      </w:r>
      <w:r w:rsidR="00CF5B08">
        <w:t>s</w:t>
      </w:r>
      <w:r w:rsidRPr="00EF26E3">
        <w:t xml:space="preserve"> of the company</w:t>
      </w:r>
      <w:r>
        <w:t xml:space="preserve"> </w:t>
      </w:r>
      <w:r w:rsidR="00832CC5">
        <w:t>in question</w:t>
      </w:r>
      <w:r w:rsidRPr="00EF26E3">
        <w:t xml:space="preserve"> (</w:t>
      </w:r>
      <w:r w:rsidR="00B65404">
        <w:t xml:space="preserve">that is, </w:t>
      </w:r>
      <w:r w:rsidR="00832CC5">
        <w:t xml:space="preserve">an </w:t>
      </w:r>
      <w:r w:rsidRPr="00EF26E3">
        <w:t>insider) or contractor</w:t>
      </w:r>
      <w:r w:rsidR="00CF5B08">
        <w:t>s</w:t>
      </w:r>
      <w:r w:rsidRPr="00EF26E3">
        <w:t xml:space="preserve"> </w:t>
      </w:r>
      <w:r w:rsidR="00832CC5">
        <w:t>(including</w:t>
      </w:r>
      <w:r>
        <w:t xml:space="preserve"> </w:t>
      </w:r>
      <w:r w:rsidRPr="00706FAD">
        <w:t>an employee of the contractor</w:t>
      </w:r>
      <w:r w:rsidR="00832CC5">
        <w:t xml:space="preserve">) </w:t>
      </w:r>
      <w:r w:rsidRPr="00EF26E3">
        <w:t>to the company (</w:t>
      </w:r>
      <w:r w:rsidR="00B65404">
        <w:t xml:space="preserve">that is, </w:t>
      </w:r>
      <w:r w:rsidR="00832CC5">
        <w:t xml:space="preserve">an </w:t>
      </w:r>
      <w:r w:rsidRPr="00EF26E3">
        <w:t>outsider);</w:t>
      </w:r>
    </w:p>
    <w:p w14:paraId="103BF4E7" w14:textId="77777777" w:rsidR="005B726F" w:rsidRPr="00EF26E3" w:rsidRDefault="005B726F" w:rsidP="00F15A1A">
      <w:pPr>
        <w:pStyle w:val="AlphaParagraph"/>
      </w:pPr>
      <w:r w:rsidRPr="00EF26E3">
        <w:t xml:space="preserve">make the disclosure to ASIC, the company’s auditor, or nominated persons within the company 'in good faith' and have reasonable grounds to suspect that either the company, or </w:t>
      </w:r>
      <w:r w:rsidR="00CF5B08">
        <w:t>some</w:t>
      </w:r>
      <w:r w:rsidRPr="00EF26E3">
        <w:t xml:space="preserve"> of its officers or staff, have breached (or might have breached) a provision of the corporations </w:t>
      </w:r>
      <w:r w:rsidR="00832CC5">
        <w:t>legislation</w:t>
      </w:r>
      <w:r w:rsidRPr="00EF26E3">
        <w:t>; and</w:t>
      </w:r>
    </w:p>
    <w:p w14:paraId="103BF4E8" w14:textId="77777777" w:rsidR="005B726F" w:rsidRPr="00A61BD0" w:rsidRDefault="005B726F" w:rsidP="00F15A1A">
      <w:pPr>
        <w:pStyle w:val="AlphaParagraph"/>
      </w:pPr>
      <w:proofErr w:type="gramStart"/>
      <w:r w:rsidRPr="00EF26E3">
        <w:t>provide</w:t>
      </w:r>
      <w:proofErr w:type="gramEnd"/>
      <w:r w:rsidRPr="00EF26E3">
        <w:t xml:space="preserve"> their name</w:t>
      </w:r>
      <w:r w:rsidR="00CF5B08">
        <w:t>s</w:t>
      </w:r>
      <w:r w:rsidRPr="00EF26E3">
        <w:t xml:space="preserve"> before making the d</w:t>
      </w:r>
      <w:r w:rsidR="008A7295" w:rsidRPr="00EF26E3">
        <w:t>isclosure (</w:t>
      </w:r>
      <w:r w:rsidR="00B65404">
        <w:t xml:space="preserve">that is, </w:t>
      </w:r>
      <w:r w:rsidR="008A7295" w:rsidRPr="00EF26E3">
        <w:t xml:space="preserve">the disclosure </w:t>
      </w:r>
      <w:r w:rsidRPr="00EF26E3">
        <w:t>cannot be made anonymously</w:t>
      </w:r>
      <w:r w:rsidR="000436BA">
        <w:t>)</w:t>
      </w:r>
      <w:r w:rsidRPr="00A61BD0">
        <w:t>.</w:t>
      </w:r>
    </w:p>
    <w:p w14:paraId="103BF4E9" w14:textId="77777777" w:rsidR="00615E33" w:rsidRPr="003E68B4" w:rsidRDefault="00CF5B08" w:rsidP="007A6B38">
      <w:r>
        <w:t xml:space="preserve">If the disclosures are made to nominated company officers or </w:t>
      </w:r>
      <w:r w:rsidR="007528DE">
        <w:t xml:space="preserve">to </w:t>
      </w:r>
      <w:r>
        <w:t xml:space="preserve">the company auditor, those people may </w:t>
      </w:r>
      <w:r w:rsidR="00583A37">
        <w:t>identify</w:t>
      </w:r>
      <w:r w:rsidR="00615E33" w:rsidRPr="003E68B4" w:rsidDel="00583A37">
        <w:t xml:space="preserve"> </w:t>
      </w:r>
      <w:r w:rsidR="00615E33" w:rsidRPr="003E68B4">
        <w:t xml:space="preserve">the </w:t>
      </w:r>
      <w:proofErr w:type="spellStart"/>
      <w:r w:rsidR="00615E33" w:rsidRPr="003E68B4">
        <w:t>whistleblower</w:t>
      </w:r>
      <w:proofErr w:type="spellEnd"/>
      <w:r w:rsidR="00615E33" w:rsidRPr="003E68B4">
        <w:t xml:space="preserve"> and </w:t>
      </w:r>
      <w:r>
        <w:t xml:space="preserve">pass on </w:t>
      </w:r>
      <w:r w:rsidR="00615E33" w:rsidRPr="003E68B4">
        <w:t>the i</w:t>
      </w:r>
      <w:r w:rsidR="005B726F" w:rsidRPr="003E68B4">
        <w:t xml:space="preserve">nformation </w:t>
      </w:r>
      <w:r w:rsidR="005B726F" w:rsidRPr="003E68B4" w:rsidDel="000C3514">
        <w:t xml:space="preserve">disclosed </w:t>
      </w:r>
      <w:r w:rsidR="005B726F" w:rsidRPr="003E68B4">
        <w:t xml:space="preserve">to ASIC, </w:t>
      </w:r>
      <w:r w:rsidR="00615E33" w:rsidRPr="003E68B4">
        <w:t xml:space="preserve">the Australian Prudential Regulatory Authority (APRA) </w:t>
      </w:r>
      <w:r w:rsidR="005B726F" w:rsidRPr="003E68B4">
        <w:t>or a member o</w:t>
      </w:r>
      <w:r w:rsidR="00615E33" w:rsidRPr="003E68B4">
        <w:t xml:space="preserve">f the Australian Federal Police (AFP), or </w:t>
      </w:r>
      <w:r w:rsidR="00583A37" w:rsidRPr="003E68B4">
        <w:t xml:space="preserve">with the </w:t>
      </w:r>
      <w:proofErr w:type="spellStart"/>
      <w:r w:rsidR="00583A37" w:rsidRPr="003E68B4">
        <w:t>whistleblower’s</w:t>
      </w:r>
      <w:proofErr w:type="spellEnd"/>
      <w:r w:rsidR="00583A37" w:rsidRPr="003E68B4">
        <w:t xml:space="preserve"> consent</w:t>
      </w:r>
      <w:r w:rsidR="00583A37">
        <w:t xml:space="preserve">, </w:t>
      </w:r>
      <w:r w:rsidR="00615E33" w:rsidRPr="003E68B4">
        <w:t>other persons</w:t>
      </w:r>
      <w:r w:rsidR="005B726F" w:rsidRPr="003E68B4">
        <w:t xml:space="preserve">. </w:t>
      </w:r>
    </w:p>
    <w:p w14:paraId="103BF4EA" w14:textId="77777777" w:rsidR="00E80530" w:rsidRPr="00D20567" w:rsidRDefault="00E80530" w:rsidP="00D20567">
      <w:r w:rsidRPr="00D20567">
        <w:br w:type="page"/>
      </w:r>
    </w:p>
    <w:p w14:paraId="103BF4EB" w14:textId="77777777" w:rsidR="00D4286B" w:rsidRDefault="00D4286B" w:rsidP="00F15A1A">
      <w:pPr>
        <w:pStyle w:val="Heading2NotNumbered"/>
      </w:pPr>
      <w:bookmarkStart w:id="46" w:name="_Toc469407737"/>
      <w:bookmarkStart w:id="47" w:name="_Toc469407828"/>
      <w:r>
        <w:lastRenderedPageBreak/>
        <w:t xml:space="preserve">Other </w:t>
      </w:r>
      <w:r w:rsidR="000F38D6">
        <w:t xml:space="preserve">corporate </w:t>
      </w:r>
      <w:proofErr w:type="spellStart"/>
      <w:r>
        <w:t>whistleblower</w:t>
      </w:r>
      <w:proofErr w:type="spellEnd"/>
      <w:r>
        <w:t xml:space="preserve"> protections in Australia</w:t>
      </w:r>
      <w:bookmarkEnd w:id="46"/>
      <w:bookmarkEnd w:id="47"/>
    </w:p>
    <w:p w14:paraId="103BF4EC" w14:textId="1E409A71" w:rsidR="00DA5B93" w:rsidRDefault="007F156F" w:rsidP="00DA5B93">
      <w:r>
        <w:t xml:space="preserve">Similar </w:t>
      </w:r>
      <w:proofErr w:type="spellStart"/>
      <w:r>
        <w:t>whistleblower</w:t>
      </w:r>
      <w:proofErr w:type="spellEnd"/>
      <w:r>
        <w:t xml:space="preserve"> p</w:t>
      </w:r>
      <w:r w:rsidR="00D4286B" w:rsidRPr="00EA3993">
        <w:t xml:space="preserve">rotections </w:t>
      </w:r>
      <w:r>
        <w:t>to those set out in the Corporations Act are contained in the statutes below. These are</w:t>
      </w:r>
      <w:r w:rsidDel="00583A37">
        <w:t xml:space="preserve"> </w:t>
      </w:r>
      <w:r w:rsidR="00583A37">
        <w:t xml:space="preserve">available </w:t>
      </w:r>
      <w:r>
        <w:t>if the disclosures concern misconduct or an improper state of affairs or circumstances affecting th</w:t>
      </w:r>
      <w:r w:rsidR="00960C87">
        <w:t>e</w:t>
      </w:r>
      <w:r w:rsidR="00DA5B93">
        <w:t xml:space="preserve"> institutions supervised by APRA</w:t>
      </w:r>
      <w:r w:rsidR="00944930">
        <w:t xml:space="preserve"> —</w:t>
      </w:r>
      <w:r w:rsidR="00944930" w:rsidRPr="00944930">
        <w:t xml:space="preserve"> </w:t>
      </w:r>
      <w:r w:rsidR="00944930">
        <w:t>Authorised Deposit-taking Institutions (ADIs), insurers and superannuation entities.</w:t>
      </w:r>
    </w:p>
    <w:p w14:paraId="103BF4ED" w14:textId="77777777" w:rsidR="00D4286B" w:rsidRPr="007F156F" w:rsidRDefault="00D4286B" w:rsidP="00F15A1A">
      <w:pPr>
        <w:pStyle w:val="AlphaParagraph"/>
        <w:numPr>
          <w:ilvl w:val="0"/>
          <w:numId w:val="40"/>
        </w:numPr>
      </w:pPr>
      <w:r w:rsidRPr="007F156F">
        <w:t xml:space="preserve">the </w:t>
      </w:r>
      <w:r w:rsidRPr="00F15A1A">
        <w:rPr>
          <w:i/>
        </w:rPr>
        <w:t xml:space="preserve">Banking Act </w:t>
      </w:r>
      <w:r w:rsidRPr="007F156F">
        <w:t>1959 (</w:t>
      </w:r>
      <w:proofErr w:type="spellStart"/>
      <w:r w:rsidR="00C93A39" w:rsidRPr="007F156F">
        <w:t>Cth</w:t>
      </w:r>
      <w:proofErr w:type="spellEnd"/>
      <w:r w:rsidRPr="007F156F">
        <w:t>)</w:t>
      </w:r>
      <w:r w:rsidR="008A7295" w:rsidRPr="007F156F">
        <w:t>;</w:t>
      </w:r>
    </w:p>
    <w:p w14:paraId="103BF4EE" w14:textId="77777777" w:rsidR="00D4286B" w:rsidRPr="007F156F" w:rsidRDefault="00D4286B" w:rsidP="00F15A1A">
      <w:pPr>
        <w:pStyle w:val="AlphaParagraph"/>
      </w:pPr>
      <w:r w:rsidRPr="007F156F">
        <w:t xml:space="preserve">the </w:t>
      </w:r>
      <w:r w:rsidRPr="007F156F">
        <w:rPr>
          <w:i/>
        </w:rPr>
        <w:t>Insurance Act</w:t>
      </w:r>
      <w:r w:rsidRPr="007F156F">
        <w:t xml:space="preserve"> 1973 (</w:t>
      </w:r>
      <w:proofErr w:type="spellStart"/>
      <w:r w:rsidR="00C93A39" w:rsidRPr="007F156F">
        <w:t>Cth</w:t>
      </w:r>
      <w:proofErr w:type="spellEnd"/>
      <w:r w:rsidRPr="007F156F">
        <w:t>)</w:t>
      </w:r>
      <w:r w:rsidR="008A7295" w:rsidRPr="007F156F">
        <w:t>;</w:t>
      </w:r>
    </w:p>
    <w:p w14:paraId="103BF4EF" w14:textId="77777777" w:rsidR="00D4286B" w:rsidRPr="007F156F" w:rsidRDefault="00D4286B" w:rsidP="00F15A1A">
      <w:pPr>
        <w:pStyle w:val="AlphaParagraph"/>
      </w:pPr>
      <w:r w:rsidRPr="007F156F">
        <w:t xml:space="preserve">the </w:t>
      </w:r>
      <w:r w:rsidRPr="007F156F">
        <w:rPr>
          <w:i/>
        </w:rPr>
        <w:t>Life Insurance Act</w:t>
      </w:r>
      <w:r w:rsidRPr="007F156F">
        <w:t xml:space="preserve"> 1995 (</w:t>
      </w:r>
      <w:proofErr w:type="spellStart"/>
      <w:r w:rsidR="00C93A39" w:rsidRPr="007F156F">
        <w:t>Cth</w:t>
      </w:r>
      <w:proofErr w:type="spellEnd"/>
      <w:r w:rsidRPr="007F156F">
        <w:t>)</w:t>
      </w:r>
      <w:r w:rsidR="008A7295" w:rsidRPr="007F156F">
        <w:t>;</w:t>
      </w:r>
      <w:r w:rsidR="00006BD4">
        <w:t xml:space="preserve"> and</w:t>
      </w:r>
    </w:p>
    <w:p w14:paraId="103BF4F0" w14:textId="77777777" w:rsidR="00C93A39" w:rsidRPr="007F156F" w:rsidRDefault="00D4286B" w:rsidP="00F15A1A">
      <w:pPr>
        <w:pStyle w:val="AlphaParagraph"/>
      </w:pPr>
      <w:proofErr w:type="gramStart"/>
      <w:r w:rsidRPr="007F156F">
        <w:t>the</w:t>
      </w:r>
      <w:proofErr w:type="gramEnd"/>
      <w:r w:rsidRPr="007F156F">
        <w:t xml:space="preserve"> </w:t>
      </w:r>
      <w:r w:rsidRPr="007F156F">
        <w:rPr>
          <w:i/>
        </w:rPr>
        <w:t>Superannuation Industry (Supervision) Act</w:t>
      </w:r>
      <w:r w:rsidRPr="007F156F">
        <w:t xml:space="preserve"> 1993 (</w:t>
      </w:r>
      <w:proofErr w:type="spellStart"/>
      <w:r w:rsidR="00C93A39" w:rsidRPr="007F156F">
        <w:t>Cth</w:t>
      </w:r>
      <w:proofErr w:type="spellEnd"/>
      <w:r w:rsidRPr="007F156F">
        <w:t>)</w:t>
      </w:r>
      <w:r w:rsidR="00006BD4">
        <w:t>.</w:t>
      </w:r>
    </w:p>
    <w:p w14:paraId="103BF4F1" w14:textId="2A8E7FAB" w:rsidR="00DA5B93" w:rsidRDefault="00583A37" w:rsidP="00DA5B93">
      <w:r>
        <w:t>Under</w:t>
      </w:r>
      <w:r w:rsidR="00DA5B93">
        <w:t xml:space="preserve"> the Banking Act </w:t>
      </w:r>
      <w:r>
        <w:t xml:space="preserve">for instance, a person may </w:t>
      </w:r>
      <w:r w:rsidR="00DA5B93">
        <w:t xml:space="preserve">qualify for protections </w:t>
      </w:r>
      <w:r>
        <w:t>if</w:t>
      </w:r>
      <w:r w:rsidR="00DA5B93">
        <w:t xml:space="preserve"> the disclosure: </w:t>
      </w:r>
    </w:p>
    <w:p w14:paraId="103BF4F2" w14:textId="77777777" w:rsidR="00DA5B93" w:rsidRDefault="00DA5B93" w:rsidP="00F15A1A">
      <w:pPr>
        <w:pStyle w:val="AlphaParagraph"/>
        <w:numPr>
          <w:ilvl w:val="0"/>
          <w:numId w:val="41"/>
        </w:numPr>
      </w:pPr>
      <w:r w:rsidRPr="00DA5B93">
        <w:t>relate</w:t>
      </w:r>
      <w:r w:rsidR="00583A37">
        <w:t>s</w:t>
      </w:r>
      <w:r w:rsidRPr="00DA5B93">
        <w:t xml:space="preserve"> to misconduct, or an improper state of affairs or circumstances in relation to the ADI; and</w:t>
      </w:r>
    </w:p>
    <w:p w14:paraId="103BF4F3" w14:textId="77777777" w:rsidR="00DA5B93" w:rsidRPr="00DA5B93" w:rsidRDefault="00DA5B93" w:rsidP="00F15A1A">
      <w:pPr>
        <w:pStyle w:val="AlphaParagraph"/>
      </w:pPr>
      <w:proofErr w:type="gramStart"/>
      <w:r w:rsidRPr="00DA5B93">
        <w:t>the</w:t>
      </w:r>
      <w:proofErr w:type="gramEnd"/>
      <w:r w:rsidRPr="00DA5B93">
        <w:t xml:space="preserve"> </w:t>
      </w:r>
      <w:proofErr w:type="spellStart"/>
      <w:r w:rsidRPr="00DA5B93">
        <w:t>whistleblower</w:t>
      </w:r>
      <w:proofErr w:type="spellEnd"/>
      <w:r w:rsidRPr="00DA5B93">
        <w:t xml:space="preserve"> considers that the information may assist the recipient of the disclosure to perform his or her functions or duties.</w:t>
      </w:r>
    </w:p>
    <w:p w14:paraId="103BF4F4" w14:textId="77777777" w:rsidR="00DA5B93" w:rsidRDefault="00DA5B93" w:rsidP="00DA5B93">
      <w:r>
        <w:t>The disclosure is authorised if it is made to ASIC, APRA,</w:t>
      </w:r>
      <w:r w:rsidR="00D7499B">
        <w:t xml:space="preserve"> </w:t>
      </w:r>
      <w:r>
        <w:t>A</w:t>
      </w:r>
      <w:r w:rsidR="00D7499B">
        <w:t>FP</w:t>
      </w:r>
      <w:r>
        <w:t xml:space="preserve"> or with the consent of the </w:t>
      </w:r>
      <w:proofErr w:type="spellStart"/>
      <w:r>
        <w:t>whistleblower</w:t>
      </w:r>
      <w:proofErr w:type="spellEnd"/>
      <w:r>
        <w:t>.</w:t>
      </w:r>
    </w:p>
    <w:p w14:paraId="103BF4F5" w14:textId="77777777" w:rsidR="00DA5B93" w:rsidRDefault="00DA5B93" w:rsidP="00DA5B93">
      <w:r>
        <w:t xml:space="preserve">Similar requirements are set out for insurers and superannuation entities in the </w:t>
      </w:r>
      <w:r w:rsidRPr="00E777C0">
        <w:rPr>
          <w:i/>
        </w:rPr>
        <w:t xml:space="preserve">Life Insurance Act </w:t>
      </w:r>
      <w:r>
        <w:t xml:space="preserve">1995, the </w:t>
      </w:r>
      <w:r w:rsidRPr="00E777C0">
        <w:rPr>
          <w:i/>
        </w:rPr>
        <w:t>Insurance Act</w:t>
      </w:r>
      <w:r>
        <w:t xml:space="preserve"> 1973 and the </w:t>
      </w:r>
      <w:r w:rsidRPr="00E777C0">
        <w:rPr>
          <w:i/>
        </w:rPr>
        <w:t>Superannuation Industry (Supervision) Act</w:t>
      </w:r>
      <w:r>
        <w:t xml:space="preserve"> 1993</w:t>
      </w:r>
      <w:r w:rsidR="001F7C8C">
        <w:t xml:space="preserve"> respectively</w:t>
      </w:r>
      <w:r>
        <w:t>, with some minor differences to reflect the roles of the actuary for insurers and superannuation entities as well as the role of the trustee of the superannuation entity.</w:t>
      </w:r>
    </w:p>
    <w:p w14:paraId="103BF4F6" w14:textId="77777777" w:rsidR="00960C87" w:rsidRDefault="002B6223" w:rsidP="00960C87">
      <w:r w:rsidRPr="00960C87">
        <w:t>In addition, a</w:t>
      </w:r>
      <w:r w:rsidR="00DA5B93" w:rsidRPr="00960C87">
        <w:t xml:space="preserve"> number of APRA’s Prudential Standards include requirements for ADIs to maintain adequate processes for dealing with disclosures from </w:t>
      </w:r>
      <w:proofErr w:type="spellStart"/>
      <w:r w:rsidR="00DA5B93" w:rsidRPr="00960C87">
        <w:t>whistleblowers</w:t>
      </w:r>
      <w:proofErr w:type="spellEnd"/>
      <w:r w:rsidR="00DA5B93" w:rsidRPr="00960C87">
        <w:t>.</w:t>
      </w:r>
      <w:bookmarkStart w:id="48" w:name="_Toc465344810"/>
      <w:bookmarkStart w:id="49" w:name="_Toc465418789"/>
    </w:p>
    <w:p w14:paraId="103BF4F7" w14:textId="77777777" w:rsidR="00583A37" w:rsidRPr="00960C87" w:rsidRDefault="00583A37" w:rsidP="00960C87">
      <w:r>
        <w:t xml:space="preserve">Accordingly, the comments or observations made in this paper about the Corporations Act </w:t>
      </w:r>
      <w:proofErr w:type="spellStart"/>
      <w:r>
        <w:t>whistleblower</w:t>
      </w:r>
      <w:proofErr w:type="spellEnd"/>
      <w:r>
        <w:t xml:space="preserve"> provisions could just as readily be made about the </w:t>
      </w:r>
      <w:proofErr w:type="spellStart"/>
      <w:r>
        <w:t>whistleblower</w:t>
      </w:r>
      <w:proofErr w:type="spellEnd"/>
      <w:r>
        <w:t xml:space="preserve"> provisions under the above-named statutes. Given the overlapping responsibilities of ASIC and APRA for corporate entities, albeit with differing regulatory mandates, submitters should give consideration in responding to this paper whether </w:t>
      </w:r>
      <w:r w:rsidR="0074617B">
        <w:t xml:space="preserve">there is a case for reforming each of these </w:t>
      </w:r>
      <w:proofErr w:type="spellStart"/>
      <w:r w:rsidR="0074617B">
        <w:t>whistleblower</w:t>
      </w:r>
      <w:proofErr w:type="spellEnd"/>
      <w:r w:rsidR="0074617B">
        <w:t xml:space="preserve"> provisions at the same time as any amendments </w:t>
      </w:r>
      <w:r w:rsidR="007528DE">
        <w:t xml:space="preserve">that </w:t>
      </w:r>
      <w:r w:rsidR="0074617B">
        <w:t xml:space="preserve">may be made to the Corporations Act, to ensure consistency of regulation and that </w:t>
      </w:r>
      <w:proofErr w:type="spellStart"/>
      <w:r w:rsidR="0074617B">
        <w:t>whistleblowers</w:t>
      </w:r>
      <w:proofErr w:type="spellEnd"/>
      <w:r w:rsidR="0074617B">
        <w:t xml:space="preserve"> across the financial s</w:t>
      </w:r>
      <w:r w:rsidR="00FF526F">
        <w:t>ystem have the same protections and obligations in making disclosures.</w:t>
      </w:r>
      <w:r w:rsidR="0074617B">
        <w:t xml:space="preserve"> </w:t>
      </w:r>
    </w:p>
    <w:p w14:paraId="103BF4F8" w14:textId="77777777" w:rsidR="00BC651B" w:rsidRDefault="00BC651B">
      <w:pPr>
        <w:spacing w:after="0" w:line="240" w:lineRule="auto"/>
        <w:jc w:val="left"/>
      </w:pPr>
    </w:p>
    <w:p w14:paraId="103BF4F9" w14:textId="77777777" w:rsidR="00BC651B" w:rsidRDefault="00BC651B">
      <w:pPr>
        <w:spacing w:after="0" w:line="240" w:lineRule="auto"/>
        <w:jc w:val="left"/>
        <w:sectPr w:rsidR="00BC651B" w:rsidSect="00BC651B">
          <w:footerReference w:type="default" r:id="rId33"/>
          <w:footerReference w:type="first" r:id="rId34"/>
          <w:pgSz w:w="11906" w:h="16838" w:code="9"/>
          <w:pgMar w:top="1418" w:right="1418" w:bottom="1418" w:left="1418" w:header="709" w:footer="709" w:gutter="0"/>
          <w:cols w:space="708"/>
          <w:titlePg/>
          <w:docGrid w:linePitch="360"/>
        </w:sectPr>
      </w:pPr>
    </w:p>
    <w:p w14:paraId="103BF4FA" w14:textId="77777777" w:rsidR="005B726F" w:rsidRPr="00744E25" w:rsidRDefault="00D4286B" w:rsidP="00F15A1A">
      <w:pPr>
        <w:pStyle w:val="Heading1-Numbered"/>
      </w:pPr>
      <w:bookmarkStart w:id="50" w:name="_Toc469395489"/>
      <w:bookmarkStart w:id="51" w:name="_Toc468971455"/>
      <w:bookmarkStart w:id="52" w:name="_Toc468977731"/>
      <w:bookmarkStart w:id="53" w:name="_Toc468995331"/>
      <w:bookmarkStart w:id="54" w:name="_Toc469407738"/>
      <w:bookmarkStart w:id="55" w:name="_Toc469407829"/>
      <w:bookmarkEnd w:id="50"/>
      <w:r w:rsidRPr="00734FAE">
        <w:lastRenderedPageBreak/>
        <w:t>Public sector whistleblower</w:t>
      </w:r>
      <w:r w:rsidR="005B726F" w:rsidRPr="00734FAE">
        <w:t xml:space="preserve"> protections in Australia</w:t>
      </w:r>
      <w:bookmarkEnd w:id="48"/>
      <w:bookmarkEnd w:id="49"/>
      <w:bookmarkEnd w:id="51"/>
      <w:bookmarkEnd w:id="52"/>
      <w:bookmarkEnd w:id="53"/>
      <w:bookmarkEnd w:id="54"/>
      <w:bookmarkEnd w:id="55"/>
    </w:p>
    <w:p w14:paraId="103BF4FB" w14:textId="77777777" w:rsidR="005B726F" w:rsidRPr="00744E25" w:rsidRDefault="005B726F" w:rsidP="00D20567">
      <w:pPr>
        <w:spacing w:after="220"/>
      </w:pPr>
      <w:r w:rsidRPr="00744E25">
        <w:t>Protections for public sector employees or appointees are provided under the</w:t>
      </w:r>
      <w:r w:rsidRPr="00744E25">
        <w:rPr>
          <w:i/>
        </w:rPr>
        <w:t xml:space="preserve"> Public Interest Disclosure Act </w:t>
      </w:r>
      <w:r w:rsidRPr="00744E25">
        <w:t>2013 (AUS-PIDA)</w:t>
      </w:r>
      <w:r w:rsidR="00CC630F" w:rsidRPr="00744E25">
        <w:t xml:space="preserve">, which seeks to </w:t>
      </w:r>
      <w:r w:rsidRPr="00744E25">
        <w:t>promote integrity and accountability of the Commonwealth public sector by:</w:t>
      </w:r>
    </w:p>
    <w:p w14:paraId="103BF4FC" w14:textId="77777777" w:rsidR="005B726F" w:rsidRPr="007A6B38" w:rsidRDefault="007D5732" w:rsidP="00D20567">
      <w:pPr>
        <w:pStyle w:val="AlphaParagraph"/>
        <w:numPr>
          <w:ilvl w:val="0"/>
          <w:numId w:val="42"/>
        </w:numPr>
        <w:spacing w:after="220"/>
      </w:pPr>
      <w:proofErr w:type="gramStart"/>
      <w:r>
        <w:t>encouraging</w:t>
      </w:r>
      <w:proofErr w:type="gramEnd"/>
      <w:r>
        <w:t xml:space="preserve"> and facilitating the disclosure of information by public officials </w:t>
      </w:r>
      <w:r w:rsidR="00033819">
        <w:t>(‘</w:t>
      </w:r>
      <w:r>
        <w:t>public interest disclosure</w:t>
      </w:r>
      <w:r w:rsidR="00033819">
        <w:t xml:space="preserve">’) </w:t>
      </w:r>
      <w:r>
        <w:t>about suspected wrongdoing within an Australian Government Agency, or by a public official, or a Commonwealth contracted service provider. Wrongdoing may including contravention of a law, corruption, maladministration, abuse of public trust, deception in respect of scientific research, wastage of public money, unreasonable danger to health or safety, danger to the environment, abuse of position, or grounds for disciplinary action;</w:t>
      </w:r>
    </w:p>
    <w:p w14:paraId="103BF4FD" w14:textId="77777777" w:rsidR="005B726F" w:rsidRPr="007A6B38" w:rsidRDefault="005B726F" w:rsidP="00D20567">
      <w:pPr>
        <w:pStyle w:val="AlphaParagraph"/>
        <w:spacing w:after="220"/>
      </w:pPr>
      <w:r w:rsidRPr="007A6B38">
        <w:t>ensuring that public officials who make public interest disclosures are supported and protected from adverse consequences; and</w:t>
      </w:r>
    </w:p>
    <w:p w14:paraId="103BF4FE" w14:textId="77777777" w:rsidR="005B726F" w:rsidRDefault="005B726F" w:rsidP="00D20567">
      <w:pPr>
        <w:pStyle w:val="AlphaParagraph"/>
        <w:spacing w:after="220"/>
      </w:pPr>
      <w:proofErr w:type="gramStart"/>
      <w:r w:rsidRPr="007A6B38">
        <w:t>ensuring</w:t>
      </w:r>
      <w:proofErr w:type="gramEnd"/>
      <w:r w:rsidRPr="007A6B38">
        <w:t xml:space="preserve"> that </w:t>
      </w:r>
      <w:r w:rsidR="00796833" w:rsidRPr="007A6B38">
        <w:t xml:space="preserve">public interest </w:t>
      </w:r>
      <w:r w:rsidRPr="007A6B38">
        <w:t>disclosures by public officials are properly investigated and dealt with.</w:t>
      </w:r>
    </w:p>
    <w:p w14:paraId="103BF4FF" w14:textId="17887BE0" w:rsidR="007D5732" w:rsidRDefault="007D5732" w:rsidP="00D20567">
      <w:pPr>
        <w:spacing w:after="220"/>
      </w:pPr>
      <w:r>
        <w:t>The disclosure can be made by a person that is either a current or former ‘public official’ if the person believes on reasonable grounds there is wrongdoing</w:t>
      </w:r>
      <w:r w:rsidR="001F7C8C">
        <w:t>,</w:t>
      </w:r>
      <w:r>
        <w:t xml:space="preserve"> defined as ‘disclosable conduct’. </w:t>
      </w:r>
      <w:r w:rsidR="00FF526F">
        <w:t xml:space="preserve">Public official </w:t>
      </w:r>
      <w:r>
        <w:t xml:space="preserve">includes public servants, Defence Force members, statutory office holders and service providers under a Commonwealth contract. </w:t>
      </w:r>
    </w:p>
    <w:p w14:paraId="103BF500" w14:textId="77777777" w:rsidR="007D5732" w:rsidRDefault="007D5732" w:rsidP="00D20567">
      <w:pPr>
        <w:spacing w:after="220"/>
      </w:pPr>
      <w:r>
        <w:t>The emphasis of the scheme is on disclosures of wrongdoing being reported to</w:t>
      </w:r>
      <w:r w:rsidR="001F7C8C">
        <w:t>,</w:t>
      </w:r>
      <w:r>
        <w:t xml:space="preserve"> and investigated within</w:t>
      </w:r>
      <w:r w:rsidR="001F7C8C">
        <w:t>,</w:t>
      </w:r>
      <w:r>
        <w:t xml:space="preserve"> government. This emphasis is designed to ensure that problems are identified and rectified</w:t>
      </w:r>
      <w:r w:rsidR="001F7C8C">
        <w:t xml:space="preserve"> quickly</w:t>
      </w:r>
      <w:r>
        <w:t>. Where an official does not wish to make a disclosure to their own agency, the disclosure can be made to the Commonwealth Ombudsman or the</w:t>
      </w:r>
      <w:r w:rsidR="00033819">
        <w:br/>
      </w:r>
      <w:r>
        <w:t xml:space="preserve">Inspector-General of Intelligence and Security. Officials can make disclosures to </w:t>
      </w:r>
      <w:r w:rsidR="00FF526F">
        <w:t>people outside</w:t>
      </w:r>
      <w:r>
        <w:t xml:space="preserve"> government </w:t>
      </w:r>
      <w:r w:rsidR="00FF526F">
        <w:t>(</w:t>
      </w:r>
      <w:r>
        <w:t>other than a foreign public official</w:t>
      </w:r>
      <w:r w:rsidR="00FF526F">
        <w:t>)</w:t>
      </w:r>
      <w:r>
        <w:t xml:space="preserve"> where certain criteria are met. However, </w:t>
      </w:r>
      <w:r w:rsidR="00FF526F">
        <w:t xml:space="preserve">a disclosure must first be reported internally to government </w:t>
      </w:r>
      <w:r>
        <w:t xml:space="preserve">except in the case of </w:t>
      </w:r>
      <w:r w:rsidR="00FF526F">
        <w:t xml:space="preserve">disclosures in an </w:t>
      </w:r>
      <w:r>
        <w:t xml:space="preserve">‘emergency’ </w:t>
      </w:r>
      <w:r w:rsidR="001F7C8C">
        <w:t xml:space="preserve">or </w:t>
      </w:r>
      <w:r w:rsidR="00FF526F">
        <w:t xml:space="preserve">to a </w:t>
      </w:r>
      <w:r>
        <w:t xml:space="preserve">‘legal practitioner’ </w:t>
      </w:r>
      <w:r w:rsidR="00FF526F">
        <w:t>to</w:t>
      </w:r>
      <w:r w:rsidR="00DA4BC4">
        <w:t xml:space="preserve"> obtain legal advice</w:t>
      </w:r>
      <w:r w:rsidDel="00FF526F">
        <w:t>.</w:t>
      </w:r>
    </w:p>
    <w:p w14:paraId="103BF501" w14:textId="77777777" w:rsidR="007D5732" w:rsidRDefault="007D5732" w:rsidP="00D20567">
      <w:pPr>
        <w:spacing w:after="220"/>
      </w:pPr>
      <w:r>
        <w:t xml:space="preserve">Qualifying disclosures entitle public sector </w:t>
      </w:r>
      <w:proofErr w:type="spellStart"/>
      <w:r>
        <w:t>whistleblowers</w:t>
      </w:r>
      <w:proofErr w:type="spellEnd"/>
      <w:r>
        <w:t xml:space="preserve"> to protection from exposure of their identities</w:t>
      </w:r>
      <w:r>
        <w:rPr>
          <w:rStyle w:val="FootnoteReference"/>
        </w:rPr>
        <w:footnoteReference w:id="3"/>
      </w:r>
      <w:r>
        <w:t>, and immunity from civil, criminal and administrative liabilities for making the disclosure</w:t>
      </w:r>
      <w:r>
        <w:rPr>
          <w:rStyle w:val="FootnoteReference"/>
        </w:rPr>
        <w:footnoteReference w:id="4"/>
      </w:r>
      <w:r>
        <w:t xml:space="preserve">. The Act also gives protections </w:t>
      </w:r>
      <w:r w:rsidR="001F7C8C">
        <w:t xml:space="preserve">to </w:t>
      </w:r>
      <w:r>
        <w:t xml:space="preserve">public officials </w:t>
      </w:r>
      <w:r w:rsidR="001F7C8C">
        <w:t>from</w:t>
      </w:r>
      <w:r w:rsidR="00DA4BC4">
        <w:t xml:space="preserve"> victimisation and discrimination as a result of </w:t>
      </w:r>
      <w:r>
        <w:t xml:space="preserve">making a public interest disclosure. </w:t>
      </w:r>
      <w:r w:rsidR="00DA4BC4">
        <w:t xml:space="preserve">A </w:t>
      </w:r>
      <w:proofErr w:type="spellStart"/>
      <w:r w:rsidR="00DA4BC4">
        <w:t>whistleblower</w:t>
      </w:r>
      <w:proofErr w:type="spellEnd"/>
      <w:r>
        <w:t xml:space="preserve"> can also seek </w:t>
      </w:r>
      <w:r w:rsidR="00DA4BC4">
        <w:t xml:space="preserve">a range of </w:t>
      </w:r>
      <w:r>
        <w:t xml:space="preserve">civil remedies through a court including an apology, injunction, </w:t>
      </w:r>
      <w:proofErr w:type="gramStart"/>
      <w:r>
        <w:t>reinstatement</w:t>
      </w:r>
      <w:proofErr w:type="gramEnd"/>
      <w:r>
        <w:t xml:space="preserve"> order, compensation for loss or damage</w:t>
      </w:r>
      <w:r w:rsidR="001F7C8C">
        <w:t>,</w:t>
      </w:r>
      <w:r>
        <w:t xml:space="preserve"> and costs. </w:t>
      </w:r>
    </w:p>
    <w:p w14:paraId="103BF502" w14:textId="77777777" w:rsidR="0037691A" w:rsidRPr="00A95723" w:rsidRDefault="007D5732">
      <w:r w:rsidRPr="00A95723">
        <w:t xml:space="preserve">In 2016, the Government commissioned a statutory review into the effectiveness and operation of the PID Act. </w:t>
      </w:r>
      <w:r w:rsidR="001F7C8C">
        <w:t>The Review</w:t>
      </w:r>
      <w:r w:rsidRPr="00A95723">
        <w:t xml:space="preserve"> is discussed later in this paper.</w:t>
      </w:r>
      <w:bookmarkStart w:id="56" w:name="_Toc465344811"/>
      <w:bookmarkStart w:id="57" w:name="_Toc465418790"/>
    </w:p>
    <w:p w14:paraId="103BF503" w14:textId="77777777" w:rsidR="00F15A1A" w:rsidRPr="00F15A1A" w:rsidRDefault="00F15A1A" w:rsidP="00F15A1A">
      <w:pPr>
        <w:sectPr w:rsidR="00F15A1A" w:rsidRPr="00F15A1A" w:rsidSect="00D20567">
          <w:pgSz w:w="11906" w:h="16838" w:code="9"/>
          <w:pgMar w:top="1418" w:right="1418" w:bottom="1418" w:left="1418" w:header="709" w:footer="709" w:gutter="0"/>
          <w:cols w:space="708"/>
          <w:titlePg/>
          <w:docGrid w:linePitch="360"/>
        </w:sectPr>
      </w:pPr>
      <w:bookmarkStart w:id="58" w:name="_Toc468971456"/>
      <w:bookmarkStart w:id="59" w:name="_Toc468977732"/>
      <w:bookmarkStart w:id="60" w:name="_Toc468995332"/>
    </w:p>
    <w:p w14:paraId="103BF504" w14:textId="77777777" w:rsidR="00234447" w:rsidRDefault="0037691A" w:rsidP="00F15A1A">
      <w:pPr>
        <w:pStyle w:val="Heading1-Numbered"/>
      </w:pPr>
      <w:bookmarkStart w:id="61" w:name="_Toc469407739"/>
      <w:bookmarkStart w:id="62" w:name="_Toc469407830"/>
      <w:r w:rsidRPr="00734FAE">
        <w:lastRenderedPageBreak/>
        <w:t xml:space="preserve">whistleblower protections </w:t>
      </w:r>
      <w:r>
        <w:t>under The Fair Work (</w:t>
      </w:r>
      <w:r w:rsidRPr="00BB0B9C">
        <w:t>R</w:t>
      </w:r>
      <w:r>
        <w:t xml:space="preserve">egistered </w:t>
      </w:r>
      <w:r w:rsidRPr="00BB0B9C">
        <w:t>O</w:t>
      </w:r>
      <w:r w:rsidR="00D85887">
        <w:t xml:space="preserve">rganisations) Amendment </w:t>
      </w:r>
      <w:r w:rsidR="00C507B2">
        <w:t>Act</w:t>
      </w:r>
      <w:r>
        <w:t xml:space="preserve"> 201</w:t>
      </w:r>
      <w:r w:rsidR="007D5732">
        <w:t>6</w:t>
      </w:r>
      <w:bookmarkEnd w:id="58"/>
      <w:bookmarkEnd w:id="59"/>
      <w:bookmarkEnd w:id="60"/>
      <w:bookmarkEnd w:id="61"/>
      <w:bookmarkEnd w:id="62"/>
    </w:p>
    <w:p w14:paraId="103BF505" w14:textId="77777777" w:rsidR="00234447" w:rsidRDefault="00D7499B" w:rsidP="007A3587">
      <w:r>
        <w:t>On 21 November 2016</w:t>
      </w:r>
      <w:r w:rsidR="00234447">
        <w:t xml:space="preserve">, the Parliament </w:t>
      </w:r>
      <w:r w:rsidR="00234447" w:rsidRPr="00234447">
        <w:t xml:space="preserve">passed </w:t>
      </w:r>
      <w:r w:rsidR="00847CE3" w:rsidRPr="00234447">
        <w:t xml:space="preserve">amendments </w:t>
      </w:r>
      <w:r w:rsidR="00234447">
        <w:t xml:space="preserve">to </w:t>
      </w:r>
      <w:r w:rsidR="00234447" w:rsidRPr="00234447">
        <w:t xml:space="preserve">the </w:t>
      </w:r>
      <w:r w:rsidR="00234447" w:rsidRPr="00234447">
        <w:rPr>
          <w:i/>
        </w:rPr>
        <w:t>Fair Work (Register</w:t>
      </w:r>
      <w:r w:rsidR="00EE7FD0">
        <w:rPr>
          <w:i/>
        </w:rPr>
        <w:t>ed Organisations) Amendment Act</w:t>
      </w:r>
      <w:r w:rsidR="00234447" w:rsidRPr="00234447">
        <w:rPr>
          <w:i/>
        </w:rPr>
        <w:t xml:space="preserve"> </w:t>
      </w:r>
      <w:r w:rsidR="00234447" w:rsidRPr="007A3587">
        <w:t>201</w:t>
      </w:r>
      <w:r w:rsidR="001A1D51">
        <w:t>6</w:t>
      </w:r>
      <w:r w:rsidR="00234447" w:rsidRPr="006A3FE6">
        <w:t xml:space="preserve"> </w:t>
      </w:r>
      <w:r w:rsidR="00471989">
        <w:t>(the RO</w:t>
      </w:r>
      <w:r w:rsidR="00C507B2">
        <w:t xml:space="preserve"> Act</w:t>
      </w:r>
      <w:r w:rsidR="00471989">
        <w:t>)</w:t>
      </w:r>
      <w:r w:rsidR="000E44E3" w:rsidRPr="000E44E3">
        <w:t> </w:t>
      </w:r>
      <w:r w:rsidR="00234447">
        <w:t>which significantly strengthen</w:t>
      </w:r>
      <w:r w:rsidR="00836759">
        <w:t>ed</w:t>
      </w:r>
      <w:r w:rsidR="00234447">
        <w:t xml:space="preserve"> </w:t>
      </w:r>
      <w:proofErr w:type="spellStart"/>
      <w:r w:rsidR="00234447">
        <w:t>whistleblower</w:t>
      </w:r>
      <w:proofErr w:type="spellEnd"/>
      <w:r w:rsidR="00234447">
        <w:t xml:space="preserve"> protections </w:t>
      </w:r>
      <w:r w:rsidR="009E1D1E">
        <w:t xml:space="preserve">for people who report corruption or misconduct </w:t>
      </w:r>
      <w:r w:rsidR="00234447">
        <w:t>in</w:t>
      </w:r>
      <w:r w:rsidR="009E1D1E">
        <w:t xml:space="preserve"> unions and employer organisations</w:t>
      </w:r>
      <w:r w:rsidR="00234447">
        <w:t>.</w:t>
      </w:r>
    </w:p>
    <w:p w14:paraId="103BF506" w14:textId="77777777" w:rsidR="004C34E0" w:rsidRDefault="004C34E0" w:rsidP="007A3587">
      <w:r>
        <w:t xml:space="preserve">The amendments </w:t>
      </w:r>
      <w:r w:rsidR="003628D2">
        <w:t>provide</w:t>
      </w:r>
      <w:r w:rsidR="009F4B34">
        <w:t xml:space="preserve"> </w:t>
      </w:r>
      <w:r>
        <w:t xml:space="preserve">protections to </w:t>
      </w:r>
      <w:r w:rsidRPr="00C64EDA">
        <w:t xml:space="preserve">persons </w:t>
      </w:r>
      <w:r w:rsidR="00E92674">
        <w:t xml:space="preserve">— </w:t>
      </w:r>
      <w:r w:rsidR="00C004D7">
        <w:t>‘the disclosers’</w:t>
      </w:r>
      <w:r w:rsidR="003628D2">
        <w:t>—</w:t>
      </w:r>
      <w:r w:rsidR="00DB0630">
        <w:t xml:space="preserve"> </w:t>
      </w:r>
      <w:r w:rsidR="00E92674">
        <w:t>‘</w:t>
      </w:r>
      <w:r w:rsidRPr="00C64EDA">
        <w:t>who disclose information about certain contraventions of the law</w:t>
      </w:r>
      <w:r>
        <w:t>’</w:t>
      </w:r>
      <w:r w:rsidR="00E92674">
        <w:t xml:space="preserve">, </w:t>
      </w:r>
      <w:r w:rsidRPr="00C64EDA">
        <w:t xml:space="preserve">including </w:t>
      </w:r>
      <w:r w:rsidR="009F4B34">
        <w:t xml:space="preserve">current and former </w:t>
      </w:r>
      <w:r w:rsidRPr="00C64EDA">
        <w:t>officers, employees, members and contractors of organisations</w:t>
      </w:r>
      <w:r w:rsidR="00E92674">
        <w:t xml:space="preserve">. </w:t>
      </w:r>
      <w:r w:rsidR="003628D2">
        <w:t>A</w:t>
      </w:r>
      <w:r w:rsidR="007B7D99" w:rsidRPr="00847CE3">
        <w:t>nonymous disclosures</w:t>
      </w:r>
      <w:r w:rsidR="003628D2">
        <w:t xml:space="preserve"> are allowed</w:t>
      </w:r>
      <w:r w:rsidR="007B7D99">
        <w:t xml:space="preserve">. </w:t>
      </w:r>
    </w:p>
    <w:p w14:paraId="103BF507" w14:textId="51CC934A" w:rsidR="007724C8" w:rsidRPr="007A3587" w:rsidDel="007724C8" w:rsidRDefault="005479E3" w:rsidP="00316B22">
      <w:r>
        <w:t>To</w:t>
      </w:r>
      <w:r w:rsidR="009F4B34">
        <w:t xml:space="preserve"> qualify for protections the disclosure has </w:t>
      </w:r>
      <w:r w:rsidR="001F7C8C">
        <w:t xml:space="preserve">to </w:t>
      </w:r>
      <w:r w:rsidR="00C004D7">
        <w:t xml:space="preserve">be made </w:t>
      </w:r>
      <w:r w:rsidR="00B41E3B">
        <w:t xml:space="preserve">either to </w:t>
      </w:r>
      <w:r w:rsidR="001F7C8C">
        <w:t>the</w:t>
      </w:r>
      <w:r w:rsidR="00B41E3B">
        <w:t xml:space="preserve"> </w:t>
      </w:r>
      <w:r w:rsidR="007724C8">
        <w:t>Registered Organisations Commission, Fair Work Ombudsman or Fair Work Commission if the discloser suspects on reasonable grounds that it refers to 'd</w:t>
      </w:r>
      <w:r w:rsidR="007724C8" w:rsidRPr="00847CE3">
        <w:t xml:space="preserve">isclosable conduct' </w:t>
      </w:r>
      <w:r w:rsidR="007724C8">
        <w:t>defined broadly as ‘an act or omission that:</w:t>
      </w:r>
    </w:p>
    <w:p w14:paraId="103BF508" w14:textId="77777777" w:rsidR="009F4B34" w:rsidRDefault="009F4B34" w:rsidP="00F15A1A">
      <w:pPr>
        <w:pStyle w:val="AlphaParagraph"/>
        <w:numPr>
          <w:ilvl w:val="0"/>
          <w:numId w:val="43"/>
        </w:numPr>
      </w:pPr>
      <w:r>
        <w:t xml:space="preserve">contravenes, or may contravene, a provision of </w:t>
      </w:r>
      <w:r w:rsidR="00680502">
        <w:t xml:space="preserve">the RO </w:t>
      </w:r>
      <w:r>
        <w:t xml:space="preserve">Act, the Fair Work Act or the </w:t>
      </w:r>
      <w:r w:rsidRPr="00E80530">
        <w:rPr>
          <w:i/>
        </w:rPr>
        <w:t>Competition and Consumer Act</w:t>
      </w:r>
      <w:r>
        <w:t xml:space="preserve"> 2010; or</w:t>
      </w:r>
    </w:p>
    <w:p w14:paraId="103BF509" w14:textId="77777777" w:rsidR="007724C8" w:rsidRDefault="009F4B34" w:rsidP="00F15A1A">
      <w:pPr>
        <w:pStyle w:val="AlphaParagraph"/>
      </w:pPr>
      <w:proofErr w:type="gramStart"/>
      <w:r>
        <w:t>constitutes</w:t>
      </w:r>
      <w:proofErr w:type="gramEnd"/>
      <w:r>
        <w:t xml:space="preserve">, or may constitute, an offence against a law of the Commonwealth’. </w:t>
      </w:r>
    </w:p>
    <w:p w14:paraId="103BF50A" w14:textId="77777777" w:rsidR="007724C8" w:rsidRDefault="007724C8" w:rsidP="006067BF">
      <w:pPr>
        <w:spacing w:line="240" w:lineRule="auto"/>
      </w:pPr>
      <w:r>
        <w:t>The disclosure can be made via the discloser’s lawyer</w:t>
      </w:r>
      <w:r w:rsidR="00680502">
        <w:t>.</w:t>
      </w:r>
      <w:r>
        <w:t xml:space="preserve"> </w:t>
      </w:r>
      <w:r w:rsidR="00680502">
        <w:t>D</w:t>
      </w:r>
      <w:r>
        <w:t>isclosure</w:t>
      </w:r>
      <w:r w:rsidR="00BD4923">
        <w:t>s</w:t>
      </w:r>
      <w:r>
        <w:t xml:space="preserve"> to other external parties </w:t>
      </w:r>
      <w:r w:rsidR="00BD4923">
        <w:t>do not qualify for these protections</w:t>
      </w:r>
      <w:r>
        <w:t>.</w:t>
      </w:r>
    </w:p>
    <w:p w14:paraId="103BF50B" w14:textId="77777777" w:rsidR="006B4BC7" w:rsidRDefault="00D219E9" w:rsidP="007A3587">
      <w:r>
        <w:t xml:space="preserve">The </w:t>
      </w:r>
      <w:r w:rsidR="003628D2">
        <w:t>Court</w:t>
      </w:r>
      <w:r>
        <w:t>s</w:t>
      </w:r>
      <w:r w:rsidR="003628D2">
        <w:t xml:space="preserve"> can award </w:t>
      </w:r>
      <w:r w:rsidR="006B4BC7" w:rsidRPr="0056319F">
        <w:t>compensation</w:t>
      </w:r>
      <w:r w:rsidR="003628D2">
        <w:t xml:space="preserve">, </w:t>
      </w:r>
      <w:r w:rsidR="00680502">
        <w:t xml:space="preserve">impose </w:t>
      </w:r>
      <w:r w:rsidR="003628D2">
        <w:t xml:space="preserve">injunctions and </w:t>
      </w:r>
      <w:r w:rsidR="00680502">
        <w:t xml:space="preserve">craft </w:t>
      </w:r>
      <w:r w:rsidR="003628D2">
        <w:t xml:space="preserve">other </w:t>
      </w:r>
      <w:r w:rsidR="00680502">
        <w:t>relief</w:t>
      </w:r>
      <w:r w:rsidR="00680502" w:rsidRPr="0056319F">
        <w:t xml:space="preserve"> </w:t>
      </w:r>
      <w:r w:rsidR="003628D2">
        <w:t xml:space="preserve">to </w:t>
      </w:r>
      <w:r w:rsidR="00680502">
        <w:t>rectify any</w:t>
      </w:r>
      <w:r w:rsidR="006B4BC7" w:rsidRPr="0056319F">
        <w:t xml:space="preserve"> detriment </w:t>
      </w:r>
      <w:r w:rsidR="00680502">
        <w:t xml:space="preserve">that may </w:t>
      </w:r>
      <w:r w:rsidR="006B4BC7" w:rsidRPr="0056319F">
        <w:t>flow</w:t>
      </w:r>
      <w:r w:rsidR="00680502">
        <w:t xml:space="preserve"> </w:t>
      </w:r>
      <w:r w:rsidR="006B4BC7" w:rsidRPr="0056319F" w:rsidDel="00680502">
        <w:t xml:space="preserve">from </w:t>
      </w:r>
      <w:r w:rsidR="006B4BC7" w:rsidRPr="0056319F">
        <w:t xml:space="preserve">actual </w:t>
      </w:r>
      <w:r w:rsidR="00680502">
        <w:t xml:space="preserve">or threatened </w:t>
      </w:r>
      <w:r w:rsidR="006B4BC7" w:rsidRPr="0056319F">
        <w:t>reprisals</w:t>
      </w:r>
      <w:r w:rsidR="003628D2">
        <w:t>.</w:t>
      </w:r>
    </w:p>
    <w:p w14:paraId="103BF50C" w14:textId="1B934310" w:rsidR="00E052AD" w:rsidRDefault="0056319F" w:rsidP="007A3587">
      <w:r>
        <w:t xml:space="preserve">Importantly, </w:t>
      </w:r>
      <w:r w:rsidR="006B4BC7" w:rsidRPr="0056319F">
        <w:t>Court</w:t>
      </w:r>
      <w:r w:rsidR="00680502">
        <w:t>s</w:t>
      </w:r>
      <w:r w:rsidR="003628D2" w:rsidRPr="006A3FE6">
        <w:t xml:space="preserve"> can </w:t>
      </w:r>
      <w:r w:rsidR="003628D2">
        <w:t xml:space="preserve">also </w:t>
      </w:r>
      <w:r w:rsidR="006B4BC7" w:rsidRPr="0056319F">
        <w:t>make</w:t>
      </w:r>
      <w:r w:rsidRPr="0056319F">
        <w:t xml:space="preserve"> compensation orders </w:t>
      </w:r>
      <w:r w:rsidR="00680502">
        <w:t xml:space="preserve">even when </w:t>
      </w:r>
      <w:r w:rsidR="003628D2" w:rsidRPr="00D97995">
        <w:t>detriment ensued</w:t>
      </w:r>
      <w:r w:rsidR="00680502">
        <w:t xml:space="preserve"> from a failure by a manager to prevent a reprisal</w:t>
      </w:r>
      <w:r w:rsidR="003628D2">
        <w:t>. This is because employer</w:t>
      </w:r>
      <w:r w:rsidR="00680502">
        <w:t>s</w:t>
      </w:r>
      <w:r>
        <w:t xml:space="preserve"> </w:t>
      </w:r>
      <w:r w:rsidR="00680502">
        <w:t xml:space="preserve">are objectively </w:t>
      </w:r>
      <w:r>
        <w:t xml:space="preserve">liable </w:t>
      </w:r>
      <w:r w:rsidR="00680502">
        <w:t xml:space="preserve">for reprisals </w:t>
      </w:r>
      <w:r w:rsidR="001041CF">
        <w:t xml:space="preserve">and actual or constructive knowledge of an actual or potential disclosure is sufficient to create the liability. </w:t>
      </w:r>
    </w:p>
    <w:p w14:paraId="103BF50D" w14:textId="77777777" w:rsidR="007B7D99" w:rsidRPr="007A3587" w:rsidRDefault="001041CF" w:rsidP="007A3587">
      <w:r>
        <w:t>T</w:t>
      </w:r>
      <w:r w:rsidR="001E5A53">
        <w:t xml:space="preserve">he amendments </w:t>
      </w:r>
      <w:r>
        <w:t xml:space="preserve">also </w:t>
      </w:r>
      <w:r w:rsidR="001E5A53">
        <w:t>g</w:t>
      </w:r>
      <w:r w:rsidR="001E5A53" w:rsidRPr="006A3FE6">
        <w:t>uarantee</w:t>
      </w:r>
      <w:r w:rsidR="007B7D99" w:rsidRPr="001E5A53">
        <w:t xml:space="preserve"> that if </w:t>
      </w:r>
      <w:proofErr w:type="spellStart"/>
      <w:r w:rsidR="007B7D99" w:rsidRPr="001E5A53">
        <w:t>whistleblower</w:t>
      </w:r>
      <w:r>
        <w:t>s</w:t>
      </w:r>
      <w:proofErr w:type="spellEnd"/>
      <w:r w:rsidR="007B7D99" w:rsidRPr="001E5A53">
        <w:t xml:space="preserve"> seek</w:t>
      </w:r>
      <w:r w:rsidR="007B7D99" w:rsidRPr="001E5A53" w:rsidDel="001041CF">
        <w:t xml:space="preserve"> </w:t>
      </w:r>
      <w:r w:rsidR="007B7D99" w:rsidRPr="001E5A53">
        <w:t xml:space="preserve">compensation, they will not </w:t>
      </w:r>
      <w:r>
        <w:t xml:space="preserve">be subject to adverse </w:t>
      </w:r>
      <w:r w:rsidR="007B7D99" w:rsidRPr="001E5A53">
        <w:t xml:space="preserve">legal costs </w:t>
      </w:r>
      <w:r>
        <w:t xml:space="preserve">orders if their compensation claims do not succeed, </w:t>
      </w:r>
      <w:r w:rsidR="007B7D99" w:rsidRPr="001E5A53">
        <w:t>unless their claim</w:t>
      </w:r>
      <w:r>
        <w:t>s</w:t>
      </w:r>
      <w:r w:rsidR="007B7D99" w:rsidRPr="001E5A53">
        <w:t xml:space="preserve"> </w:t>
      </w:r>
      <w:r>
        <w:t>are</w:t>
      </w:r>
      <w:r w:rsidRPr="001E5A53">
        <w:t xml:space="preserve"> </w:t>
      </w:r>
      <w:r w:rsidR="007B7D99" w:rsidRPr="001E5A53">
        <w:t xml:space="preserve">vexatious or an abuse of </w:t>
      </w:r>
      <w:r w:rsidR="007B7D99">
        <w:t>process.</w:t>
      </w:r>
    </w:p>
    <w:p w14:paraId="103BF50E" w14:textId="77777777" w:rsidR="00234447" w:rsidRDefault="001E5A53" w:rsidP="007A3587">
      <w:r>
        <w:t>The amendments</w:t>
      </w:r>
      <w:r w:rsidR="009F4B34">
        <w:t xml:space="preserve"> also provide</w:t>
      </w:r>
      <w:r w:rsidR="009F4B34" w:rsidRPr="00C64EDA">
        <w:t xml:space="preserve"> </w:t>
      </w:r>
      <w:r w:rsidR="007724C8">
        <w:t>more specific guidance on</w:t>
      </w:r>
      <w:r w:rsidR="009F4B34" w:rsidRPr="00C64EDA">
        <w:t xml:space="preserve"> </w:t>
      </w:r>
      <w:r w:rsidR="001041CF">
        <w:t xml:space="preserve">the use </w:t>
      </w:r>
      <w:r w:rsidR="009F4B34" w:rsidRPr="00C64EDA">
        <w:t>of protected disclosures</w:t>
      </w:r>
      <w:r w:rsidR="007724C8">
        <w:t xml:space="preserve"> </w:t>
      </w:r>
      <w:r w:rsidR="001041CF">
        <w:t xml:space="preserve">in </w:t>
      </w:r>
      <w:r w:rsidR="001041CF" w:rsidRPr="00C64EDA">
        <w:t>investigation</w:t>
      </w:r>
      <w:r w:rsidR="001041CF">
        <w:t>s</w:t>
      </w:r>
      <w:r w:rsidR="001041CF" w:rsidRPr="00C64EDA">
        <w:t xml:space="preserve"> </w:t>
      </w:r>
      <w:r w:rsidR="007724C8">
        <w:t xml:space="preserve">conducted by the Registered Organisations Commission, Fair Work Ombudsman </w:t>
      </w:r>
      <w:r w:rsidR="001041CF">
        <w:t xml:space="preserve">or </w:t>
      </w:r>
      <w:r w:rsidR="007724C8">
        <w:t>Fair Work Commission.</w:t>
      </w:r>
    </w:p>
    <w:p w14:paraId="103BF50F" w14:textId="77777777" w:rsidR="00B65404" w:rsidRDefault="00B65404" w:rsidP="007A3587">
      <w:pPr>
        <w:rPr>
          <w:b/>
          <w:bCs/>
          <w:iCs/>
          <w:smallCaps/>
        </w:rPr>
        <w:sectPr w:rsidR="00B65404" w:rsidSect="00B65404">
          <w:footerReference w:type="first" r:id="rId35"/>
          <w:pgSz w:w="11906" w:h="16838" w:code="9"/>
          <w:pgMar w:top="1418" w:right="1418" w:bottom="1418" w:left="1418" w:header="709" w:footer="709" w:gutter="0"/>
          <w:cols w:space="708"/>
          <w:titlePg/>
          <w:docGrid w:linePitch="360"/>
        </w:sectPr>
      </w:pPr>
    </w:p>
    <w:p w14:paraId="103BF510" w14:textId="77777777" w:rsidR="00D4286B" w:rsidRDefault="00E1240F" w:rsidP="00F15A1A">
      <w:pPr>
        <w:pStyle w:val="Heading1-Numbered"/>
      </w:pPr>
      <w:bookmarkStart w:id="63" w:name="_Toc469395492"/>
      <w:bookmarkStart w:id="64" w:name="_Toc468971457"/>
      <w:bookmarkStart w:id="65" w:name="_Toc468977733"/>
      <w:bookmarkStart w:id="66" w:name="_Toc468995333"/>
      <w:bookmarkStart w:id="67" w:name="_Toc469407740"/>
      <w:bookmarkStart w:id="68" w:name="_Toc469407831"/>
      <w:bookmarkEnd w:id="63"/>
      <w:r>
        <w:lastRenderedPageBreak/>
        <w:t>Tax and c</w:t>
      </w:r>
      <w:r w:rsidR="00D4286B">
        <w:t>orporate whistleblower protections in international jurisdictions</w:t>
      </w:r>
      <w:bookmarkEnd w:id="56"/>
      <w:bookmarkEnd w:id="57"/>
      <w:bookmarkEnd w:id="64"/>
      <w:bookmarkEnd w:id="65"/>
      <w:bookmarkEnd w:id="66"/>
      <w:bookmarkEnd w:id="67"/>
      <w:bookmarkEnd w:id="68"/>
    </w:p>
    <w:p w14:paraId="103BF511" w14:textId="77777777" w:rsidR="008E2D26" w:rsidRDefault="004F6DF4" w:rsidP="008E2D26">
      <w:r>
        <w:t>Th</w:t>
      </w:r>
      <w:r w:rsidR="008E2D26">
        <w:t>is</w:t>
      </w:r>
      <w:r>
        <w:t xml:space="preserve"> section </w:t>
      </w:r>
      <w:r w:rsidR="001041CF">
        <w:t>summarises</w:t>
      </w:r>
      <w:r w:rsidDel="001041CF">
        <w:t xml:space="preserve"> </w:t>
      </w:r>
      <w:r>
        <w:t xml:space="preserve">the key elements of </w:t>
      </w:r>
      <w:r w:rsidR="00BC5AC1">
        <w:t xml:space="preserve">tax and corporate </w:t>
      </w:r>
      <w:proofErr w:type="spellStart"/>
      <w:r w:rsidR="00926F3F">
        <w:t>whistleblower</w:t>
      </w:r>
      <w:proofErr w:type="spellEnd"/>
      <w:r w:rsidR="00926F3F">
        <w:t xml:space="preserve"> protection regimes under</w:t>
      </w:r>
      <w:r>
        <w:t xml:space="preserve"> </w:t>
      </w:r>
      <w:r w:rsidR="00511041">
        <w:t xml:space="preserve">the </w:t>
      </w:r>
      <w:r>
        <w:t>U</w:t>
      </w:r>
      <w:r w:rsidR="00511041">
        <w:t xml:space="preserve">nited </w:t>
      </w:r>
      <w:r>
        <w:t>K</w:t>
      </w:r>
      <w:r w:rsidR="00511041">
        <w:t>ingdom (UK)</w:t>
      </w:r>
      <w:r>
        <w:t>, Canada,</w:t>
      </w:r>
      <w:r w:rsidR="00511041">
        <w:t xml:space="preserve"> </w:t>
      </w:r>
      <w:proofErr w:type="gramStart"/>
      <w:r w:rsidR="00511041">
        <w:t>the</w:t>
      </w:r>
      <w:proofErr w:type="gramEnd"/>
      <w:r>
        <w:t xml:space="preserve"> U</w:t>
      </w:r>
      <w:r w:rsidR="00511041">
        <w:t xml:space="preserve">nited </w:t>
      </w:r>
      <w:r>
        <w:t>S</w:t>
      </w:r>
      <w:r w:rsidR="00511041">
        <w:t>tates (US)</w:t>
      </w:r>
      <w:r>
        <w:t xml:space="preserve"> </w:t>
      </w:r>
      <w:r w:rsidR="00376981">
        <w:t xml:space="preserve">and New Zealand </w:t>
      </w:r>
      <w:r w:rsidR="00926F3F">
        <w:t>law</w:t>
      </w:r>
      <w:r w:rsidR="001041CF">
        <w:t xml:space="preserve"> purely for the purpose of benchmarking</w:t>
      </w:r>
      <w:r w:rsidR="00BE4CDA">
        <w:rPr>
          <w:rStyle w:val="FootnoteReference"/>
        </w:rPr>
        <w:footnoteReference w:id="5"/>
      </w:r>
      <w:r w:rsidR="00926F3F">
        <w:t>.</w:t>
      </w:r>
      <w:bookmarkStart w:id="69" w:name="_Toc465344812"/>
      <w:r w:rsidR="001041CF">
        <w:t xml:space="preserve"> </w:t>
      </w:r>
    </w:p>
    <w:p w14:paraId="103BF512" w14:textId="77777777" w:rsidR="00D4286B" w:rsidRDefault="00D4286B" w:rsidP="00F15A1A">
      <w:pPr>
        <w:pStyle w:val="Heading2NotNumbered"/>
      </w:pPr>
      <w:bookmarkStart w:id="70" w:name="_Toc465418791"/>
      <w:bookmarkStart w:id="71" w:name="_Toc468971458"/>
      <w:bookmarkStart w:id="72" w:name="_Toc468977734"/>
      <w:bookmarkStart w:id="73" w:name="_Toc468995334"/>
      <w:bookmarkStart w:id="74" w:name="_Toc469407741"/>
      <w:bookmarkStart w:id="75" w:name="_Toc469407832"/>
      <w:r>
        <w:t>The UK</w:t>
      </w:r>
      <w:bookmarkEnd w:id="69"/>
      <w:bookmarkEnd w:id="70"/>
      <w:bookmarkEnd w:id="71"/>
      <w:bookmarkEnd w:id="72"/>
      <w:bookmarkEnd w:id="73"/>
      <w:bookmarkEnd w:id="74"/>
      <w:bookmarkEnd w:id="75"/>
    </w:p>
    <w:p w14:paraId="103BF513" w14:textId="77777777" w:rsidR="00C7638A" w:rsidRPr="00F15A1A" w:rsidRDefault="00C7638A" w:rsidP="00F15A1A">
      <w:pPr>
        <w:pStyle w:val="Heading3"/>
      </w:pPr>
      <w:r w:rsidRPr="00F15A1A">
        <w:t>Tax Whistleblowers</w:t>
      </w:r>
      <w:r w:rsidR="004F6DF4" w:rsidRPr="00F15A1A">
        <w:t xml:space="preserve"> Report to H</w:t>
      </w:r>
      <w:r w:rsidR="00511041" w:rsidRPr="00F15A1A">
        <w:t xml:space="preserve">er </w:t>
      </w:r>
      <w:r w:rsidR="004F6DF4" w:rsidRPr="00F15A1A">
        <w:t>M</w:t>
      </w:r>
      <w:r w:rsidR="00511041" w:rsidRPr="00F15A1A">
        <w:t xml:space="preserve">ajesty’s </w:t>
      </w:r>
      <w:r w:rsidR="004F6DF4" w:rsidRPr="00F15A1A">
        <w:t>R</w:t>
      </w:r>
      <w:r w:rsidR="00511041" w:rsidRPr="00F15A1A">
        <w:t xml:space="preserve">evenue and </w:t>
      </w:r>
      <w:r w:rsidR="003F7C89" w:rsidRPr="00F15A1A">
        <w:t>Customs</w:t>
      </w:r>
      <w:r w:rsidR="00511041" w:rsidRPr="00F15A1A">
        <w:t xml:space="preserve"> (HMRC)</w:t>
      </w:r>
    </w:p>
    <w:p w14:paraId="103BF514" w14:textId="77777777" w:rsidR="000061C9" w:rsidRDefault="00C66545" w:rsidP="00C66545">
      <w:r>
        <w:t>Consistent with</w:t>
      </w:r>
      <w:r w:rsidR="000061C9">
        <w:t xml:space="preserve"> the current ATO </w:t>
      </w:r>
      <w:r w:rsidR="00511041">
        <w:t>approach</w:t>
      </w:r>
      <w:r w:rsidR="000061C9">
        <w:t xml:space="preserve">, details of </w:t>
      </w:r>
      <w:r w:rsidR="00BE4CDA">
        <w:t xml:space="preserve">tax </w:t>
      </w:r>
      <w:proofErr w:type="spellStart"/>
      <w:r w:rsidR="00BE4CDA">
        <w:t>whistleblowers</w:t>
      </w:r>
      <w:proofErr w:type="spellEnd"/>
      <w:r w:rsidR="000061C9">
        <w:t xml:space="preserve"> are kept confidential </w:t>
      </w:r>
      <w:r w:rsidR="00BE4CDA">
        <w:t xml:space="preserve">to HMRC </w:t>
      </w:r>
      <w:r w:rsidR="000061C9">
        <w:t xml:space="preserve">but no formal protections </w:t>
      </w:r>
      <w:r>
        <w:t>exist</w:t>
      </w:r>
      <w:r w:rsidR="000061C9">
        <w:t xml:space="preserve">. </w:t>
      </w:r>
    </w:p>
    <w:p w14:paraId="103BF515" w14:textId="77777777" w:rsidR="006345C5" w:rsidRDefault="00A34533" w:rsidP="00C66545">
      <w:r>
        <w:t xml:space="preserve">HMRC </w:t>
      </w:r>
      <w:r w:rsidR="00C7638A">
        <w:t xml:space="preserve">operates a ‘tax evasion hotline’ and </w:t>
      </w:r>
      <w:r w:rsidR="00A7358B">
        <w:t xml:space="preserve">a secure </w:t>
      </w:r>
      <w:r w:rsidR="00C7638A">
        <w:t xml:space="preserve">online reporting service which </w:t>
      </w:r>
      <w:r>
        <w:t>encourages individuals to report tax</w:t>
      </w:r>
      <w:r w:rsidR="00511041">
        <w:t xml:space="preserve"> </w:t>
      </w:r>
      <w:r>
        <w:t xml:space="preserve">evasion </w:t>
      </w:r>
      <w:r w:rsidR="00C7638A">
        <w:t xml:space="preserve">including </w:t>
      </w:r>
      <w:r w:rsidR="005479E3">
        <w:t>the evasion of</w:t>
      </w:r>
      <w:r w:rsidR="00C7638A">
        <w:t xml:space="preserve"> income tax, corporation</w:t>
      </w:r>
      <w:r w:rsidR="00BE4CDA">
        <w:t>s</w:t>
      </w:r>
      <w:r w:rsidR="00C7638A">
        <w:t xml:space="preserve"> tax, capital gains tax, inheritance tax, VAT and national insurance. </w:t>
      </w:r>
    </w:p>
    <w:p w14:paraId="103BF516" w14:textId="77777777" w:rsidR="00BC5AC1" w:rsidRPr="00E440D8" w:rsidRDefault="00C7638A" w:rsidP="00E440D8">
      <w:r>
        <w:t>HMRC offer</w:t>
      </w:r>
      <w:r w:rsidR="0083740F">
        <w:t>s</w:t>
      </w:r>
      <w:r>
        <w:t xml:space="preserve"> financial rewards to tax informers</w:t>
      </w:r>
      <w:r w:rsidR="005479E3">
        <w:t>;</w:t>
      </w:r>
      <w:r>
        <w:t xml:space="preserve"> however, the mechanism for determining how much is paid and in what circumstances is not public. Payments are discretionary and made on a case-by-case basis. </w:t>
      </w:r>
    </w:p>
    <w:p w14:paraId="103BF517" w14:textId="77777777" w:rsidR="00A34533" w:rsidRDefault="002E34E1" w:rsidP="00F15A1A">
      <w:pPr>
        <w:pStyle w:val="Heading3"/>
      </w:pPr>
      <w:r>
        <w:t xml:space="preserve">Public Interest Disclosure Act </w:t>
      </w:r>
    </w:p>
    <w:p w14:paraId="103BF518" w14:textId="77777777" w:rsidR="00D4286B" w:rsidRDefault="00D4286B" w:rsidP="00C518E7">
      <w:r>
        <w:t xml:space="preserve">In the UK, </w:t>
      </w:r>
      <w:r w:rsidRPr="004429CF">
        <w:t xml:space="preserve">the </w:t>
      </w:r>
      <w:r w:rsidRPr="000D0974">
        <w:rPr>
          <w:i/>
        </w:rPr>
        <w:t>Public Interest Disclosure Act</w:t>
      </w:r>
      <w:r>
        <w:t xml:space="preserve"> </w:t>
      </w:r>
      <w:r w:rsidRPr="004429CF">
        <w:t>1998</w:t>
      </w:r>
      <w:r>
        <w:t xml:space="preserve"> (amended in 2013)</w:t>
      </w:r>
      <w:r w:rsidR="000D0974" w:rsidRPr="000D0974">
        <w:t xml:space="preserve"> </w:t>
      </w:r>
      <w:r w:rsidR="000D0974">
        <w:t>(UK–PIDA)</w:t>
      </w:r>
      <w:r w:rsidR="000D0974" w:rsidRPr="004429CF">
        <w:t xml:space="preserve"> </w:t>
      </w:r>
      <w:r>
        <w:t>provides</w:t>
      </w:r>
      <w:r w:rsidRPr="004429CF">
        <w:t xml:space="preserve"> protections for both public and private sector </w:t>
      </w:r>
      <w:proofErr w:type="spellStart"/>
      <w:r w:rsidRPr="004429CF">
        <w:t>whistleblowers</w:t>
      </w:r>
      <w:proofErr w:type="spellEnd"/>
      <w:r>
        <w:t>.</w:t>
      </w:r>
      <w:r w:rsidRPr="004429CF">
        <w:t xml:space="preserve"> </w:t>
      </w:r>
      <w:r w:rsidR="00BE4CDA">
        <w:t xml:space="preserve">It </w:t>
      </w:r>
      <w:r w:rsidR="00BE4CDA" w:rsidRPr="00A61BD0">
        <w:t xml:space="preserve">applies to a </w:t>
      </w:r>
      <w:r w:rsidR="00BE4CDA">
        <w:t>‘</w:t>
      </w:r>
      <w:r w:rsidR="00BE4CDA" w:rsidRPr="00A61BD0">
        <w:t>worker</w:t>
      </w:r>
      <w:r w:rsidR="00BE4CDA">
        <w:t>’</w:t>
      </w:r>
      <w:r w:rsidR="00BE4CDA" w:rsidRPr="00A61BD0">
        <w:t xml:space="preserve"> in </w:t>
      </w:r>
      <w:r w:rsidR="00BE4CDA">
        <w:t xml:space="preserve">both </w:t>
      </w:r>
      <w:r w:rsidR="00BE4CDA" w:rsidRPr="00A61BD0">
        <w:t xml:space="preserve">the </w:t>
      </w:r>
      <w:r w:rsidR="00BE4CDA">
        <w:t xml:space="preserve">public and private </w:t>
      </w:r>
      <w:r w:rsidR="00BE4CDA" w:rsidRPr="00A61BD0">
        <w:t>sectors, and extends pr</w:t>
      </w:r>
      <w:r w:rsidR="00BE4CDA">
        <w:t>otection to contractors</w:t>
      </w:r>
      <w:r w:rsidR="00BE4CDA" w:rsidRPr="00A61BD0">
        <w:t>.</w:t>
      </w:r>
      <w:r w:rsidR="00BE4CDA">
        <w:t xml:space="preserve"> It also protects confidential, not anonymous reporting and includes </w:t>
      </w:r>
      <w:r w:rsidR="00BE4CDA" w:rsidRPr="00D4286B">
        <w:t xml:space="preserve">a </w:t>
      </w:r>
      <w:r w:rsidR="00BE4CDA">
        <w:t xml:space="preserve">public interest </w:t>
      </w:r>
      <w:r w:rsidR="00BE4CDA" w:rsidRPr="00D4286B">
        <w:t xml:space="preserve">requirement </w:t>
      </w:r>
      <w:r w:rsidR="00BE4CDA">
        <w:t>to prevent abuse of the protections by disclosers</w:t>
      </w:r>
      <w:r w:rsidR="00BE4CDA" w:rsidRPr="00D4286B">
        <w:t>.</w:t>
      </w:r>
    </w:p>
    <w:p w14:paraId="103BF519" w14:textId="77777777" w:rsidR="00D4286B" w:rsidRPr="00D4286B" w:rsidRDefault="00BE4CDA" w:rsidP="00C518E7">
      <w:r w:rsidRPr="00D4286B">
        <w:t xml:space="preserve">The UK-PIDA protects workers from </w:t>
      </w:r>
      <w:r>
        <w:t xml:space="preserve">specific forms of </w:t>
      </w:r>
      <w:r w:rsidRPr="00D4286B">
        <w:t xml:space="preserve">retaliation by their employer, including dismissal, disciplinary action or transfer. Unless the employer can show a valid reason for the dismissal or detriment, </w:t>
      </w:r>
      <w:r>
        <w:t>an</w:t>
      </w:r>
      <w:r w:rsidRPr="00D4286B">
        <w:t xml:space="preserve"> employment tribunal</w:t>
      </w:r>
      <w:r>
        <w:t xml:space="preserve">, on an application by the </w:t>
      </w:r>
      <w:proofErr w:type="spellStart"/>
      <w:r>
        <w:t>whistleblower</w:t>
      </w:r>
      <w:proofErr w:type="spellEnd"/>
      <w:r>
        <w:t>,</w:t>
      </w:r>
      <w:r w:rsidRPr="00D4286B">
        <w:t xml:space="preserve"> </w:t>
      </w:r>
      <w:r>
        <w:t>can</w:t>
      </w:r>
      <w:r w:rsidRPr="00D4286B">
        <w:t xml:space="preserve"> order the company to compensate the </w:t>
      </w:r>
      <w:proofErr w:type="spellStart"/>
      <w:r>
        <w:t>whistleblower</w:t>
      </w:r>
      <w:proofErr w:type="spellEnd"/>
      <w:r w:rsidRPr="00D4286B">
        <w:t xml:space="preserve"> for losses suffered and</w:t>
      </w:r>
      <w:r>
        <w:t xml:space="preserve"> require</w:t>
      </w:r>
      <w:r w:rsidRPr="00D4286B">
        <w:t xml:space="preserve"> </w:t>
      </w:r>
      <w:r>
        <w:t xml:space="preserve">reinstatement of employment. </w:t>
      </w:r>
    </w:p>
    <w:p w14:paraId="103BF51A" w14:textId="1622ECE8" w:rsidR="00D4286B" w:rsidRPr="003F7C89" w:rsidRDefault="00D4286B" w:rsidP="00C518E7">
      <w:pPr>
        <w:rPr>
          <w:vertAlign w:val="superscript"/>
        </w:rPr>
      </w:pPr>
      <w:r w:rsidRPr="00D4286B">
        <w:t xml:space="preserve">To </w:t>
      </w:r>
      <w:r w:rsidR="00C66545">
        <w:t>qualify for</w:t>
      </w:r>
      <w:r w:rsidRPr="00D4286B">
        <w:t xml:space="preserve"> protection, a </w:t>
      </w:r>
      <w:proofErr w:type="spellStart"/>
      <w:r w:rsidR="00C66545">
        <w:t>whistleblower</w:t>
      </w:r>
      <w:proofErr w:type="spellEnd"/>
      <w:r w:rsidRPr="00D4286B">
        <w:t xml:space="preserve"> must meet specific criteria relating to the content of disclosed information </w:t>
      </w:r>
      <w:r w:rsidR="00C66545">
        <w:t xml:space="preserve">(it </w:t>
      </w:r>
      <w:r w:rsidRPr="00D4286B">
        <w:t>must concern wrongdoi</w:t>
      </w:r>
      <w:r w:rsidR="000D0974">
        <w:t>ng</w:t>
      </w:r>
      <w:r w:rsidR="00C66545">
        <w:t>)</w:t>
      </w:r>
      <w:r w:rsidR="00BE4CDA">
        <w:t>. T</w:t>
      </w:r>
      <w:r w:rsidR="00C66545">
        <w:t>he means by</w:t>
      </w:r>
      <w:r w:rsidRPr="00D4286B">
        <w:t xml:space="preserve"> wh</w:t>
      </w:r>
      <w:r w:rsidR="000D0974">
        <w:t xml:space="preserve">ich disclosures </w:t>
      </w:r>
      <w:r w:rsidR="00B6082B">
        <w:t>can be</w:t>
      </w:r>
      <w:r w:rsidR="000D0974">
        <w:t xml:space="preserve"> made</w:t>
      </w:r>
      <w:r w:rsidR="00BE4CDA">
        <w:t xml:space="preserve"> is codified</w:t>
      </w:r>
      <w:r w:rsidRPr="00D4286B">
        <w:t xml:space="preserve">. </w:t>
      </w:r>
      <w:r w:rsidR="00BE4CDA">
        <w:t>Essentially,</w:t>
      </w:r>
      <w:r w:rsidR="00571070">
        <w:t xml:space="preserve"> it operates as </w:t>
      </w:r>
      <w:r w:rsidRPr="00AA57FD">
        <w:t>a 'tiered' disclosure system,</w:t>
      </w:r>
      <w:r w:rsidRPr="00AA57FD" w:rsidDel="00571070">
        <w:t xml:space="preserve"> </w:t>
      </w:r>
      <w:r w:rsidR="00571070">
        <w:t xml:space="preserve">which allows wider disclosure (to </w:t>
      </w:r>
      <w:r w:rsidR="00571070" w:rsidRPr="00A61BD0">
        <w:t xml:space="preserve">regulatory agencies, </w:t>
      </w:r>
      <w:r w:rsidR="00571070">
        <w:t>‘</w:t>
      </w:r>
      <w:r w:rsidR="00571070" w:rsidRPr="00A61BD0">
        <w:t>external</w:t>
      </w:r>
      <w:r w:rsidR="00571070">
        <w:t>’</w:t>
      </w:r>
      <w:r w:rsidR="00571070" w:rsidRPr="00A61BD0">
        <w:t xml:space="preserve"> individuals such as members of Parliament, or directly to the media</w:t>
      </w:r>
      <w:r w:rsidR="00571070">
        <w:t>) if the employer fails to act effectively or at all on the disclosure</w:t>
      </w:r>
      <w:r w:rsidR="001F7C8C">
        <w:t>.</w:t>
      </w:r>
      <w:r w:rsidR="00E70D8A">
        <w:t xml:space="preserve"> </w:t>
      </w:r>
      <w:r w:rsidR="001F7C8C">
        <w:t xml:space="preserve">However, it </w:t>
      </w:r>
      <w:r w:rsidR="00571070">
        <w:t xml:space="preserve">also imposes correspondingly greater obligations upon </w:t>
      </w:r>
      <w:proofErr w:type="spellStart"/>
      <w:r w:rsidR="00571070">
        <w:lastRenderedPageBreak/>
        <w:t>whistleblowers</w:t>
      </w:r>
      <w:proofErr w:type="spellEnd"/>
      <w:r w:rsidR="00571070">
        <w:t xml:space="preserve"> in terms of accuracy or urgency or both, the further afield they make their disclosures. If these obligations are not met </w:t>
      </w:r>
      <w:proofErr w:type="spellStart"/>
      <w:r w:rsidR="00571070">
        <w:t>whistleblowers</w:t>
      </w:r>
      <w:proofErr w:type="spellEnd"/>
      <w:r w:rsidR="00571070" w:rsidRPr="00A61BD0">
        <w:t xml:space="preserve"> </w:t>
      </w:r>
      <w:r w:rsidR="00571070">
        <w:t>are not</w:t>
      </w:r>
      <w:r w:rsidR="00571070" w:rsidRPr="00A61BD0">
        <w:t xml:space="preserve"> legally protected</w:t>
      </w:r>
      <w:r w:rsidR="006D39E2">
        <w:t>.</w:t>
      </w:r>
      <w:r w:rsidR="00033819" w:rsidRPr="003F7C89">
        <w:rPr>
          <w:vertAlign w:val="superscript"/>
        </w:rPr>
        <w:footnoteReference w:id="6"/>
      </w:r>
      <w:r w:rsidR="00033819">
        <w:rPr>
          <w:vertAlign w:val="superscript"/>
        </w:rPr>
        <w:t xml:space="preserve"> </w:t>
      </w:r>
    </w:p>
    <w:p w14:paraId="103BF51B" w14:textId="77777777" w:rsidR="005C6712" w:rsidRDefault="005C6712" w:rsidP="00F15A1A">
      <w:pPr>
        <w:pStyle w:val="Heading2NotNumbered"/>
      </w:pPr>
      <w:bookmarkStart w:id="76" w:name="Canada"/>
      <w:bookmarkStart w:id="77" w:name="_Toc465344813"/>
      <w:bookmarkStart w:id="78" w:name="_Toc465418792"/>
      <w:bookmarkStart w:id="79" w:name="_Toc468971459"/>
      <w:bookmarkStart w:id="80" w:name="_Toc468977735"/>
      <w:bookmarkStart w:id="81" w:name="_Toc468995335"/>
      <w:bookmarkStart w:id="82" w:name="_Toc469407742"/>
      <w:bookmarkStart w:id="83" w:name="_Toc469407833"/>
      <w:r>
        <w:t>Canada</w:t>
      </w:r>
      <w:bookmarkEnd w:id="76"/>
      <w:bookmarkEnd w:id="77"/>
      <w:bookmarkEnd w:id="78"/>
      <w:bookmarkEnd w:id="79"/>
      <w:bookmarkEnd w:id="80"/>
      <w:bookmarkEnd w:id="81"/>
      <w:bookmarkEnd w:id="82"/>
      <w:bookmarkEnd w:id="83"/>
      <w:r>
        <w:t xml:space="preserve"> </w:t>
      </w:r>
    </w:p>
    <w:p w14:paraId="103BF51C" w14:textId="77777777" w:rsidR="005C6712" w:rsidRDefault="005C6712" w:rsidP="00F15A1A">
      <w:pPr>
        <w:pStyle w:val="Heading3"/>
      </w:pPr>
      <w:r>
        <w:t>Offshore Tax Informant Program (OTIP)</w:t>
      </w:r>
    </w:p>
    <w:p w14:paraId="103BF51D" w14:textId="77777777" w:rsidR="005C6712" w:rsidRDefault="0005089E" w:rsidP="005C6712">
      <w:r>
        <w:t>In 2013, t</w:t>
      </w:r>
      <w:r w:rsidR="005C6712">
        <w:t>o mitigate growing concern about international financial transactions and mechanisms being used to avoid or evade tax, Canada introduced the Offshore T</w:t>
      </w:r>
      <w:r>
        <w:t xml:space="preserve">ax Informant Program (OTIP). </w:t>
      </w:r>
    </w:p>
    <w:p w14:paraId="103BF51E" w14:textId="77777777" w:rsidR="00883072" w:rsidRDefault="003162CD" w:rsidP="005C6712">
      <w:r>
        <w:t>The</w:t>
      </w:r>
      <w:r w:rsidR="00C64A59">
        <w:t xml:space="preserve"> </w:t>
      </w:r>
      <w:r w:rsidR="00C64A59">
        <w:rPr>
          <w:i/>
        </w:rPr>
        <w:t xml:space="preserve">Income Tax Act </w:t>
      </w:r>
      <w:r w:rsidR="00C64A59" w:rsidRPr="00C3482F">
        <w:t>1985</w:t>
      </w:r>
      <w:r w:rsidR="00C64A59">
        <w:rPr>
          <w:i/>
        </w:rPr>
        <w:t xml:space="preserve"> </w:t>
      </w:r>
      <w:r>
        <w:t xml:space="preserve">provides protection </w:t>
      </w:r>
      <w:r w:rsidR="00571070">
        <w:t xml:space="preserve">to prevent revelation </w:t>
      </w:r>
      <w:r>
        <w:t>of the personal information of tax informant</w:t>
      </w:r>
      <w:r w:rsidR="00883072">
        <w:t>s except where necessary for court proceedings (in w</w:t>
      </w:r>
      <w:r w:rsidR="006D39E2">
        <w:t>h</w:t>
      </w:r>
      <w:r w:rsidR="00883072">
        <w:t>ich case informants are notified in advance of this occurring)</w:t>
      </w:r>
      <w:r>
        <w:t xml:space="preserve">. </w:t>
      </w:r>
      <w:r w:rsidR="00883072">
        <w:t xml:space="preserve">Eligibility requirements apply to exclude specified public officials from qualifying as </w:t>
      </w:r>
      <w:proofErr w:type="spellStart"/>
      <w:r w:rsidR="00883072">
        <w:t>whistleblowers</w:t>
      </w:r>
      <w:proofErr w:type="spellEnd"/>
      <w:r w:rsidR="00883072">
        <w:t xml:space="preserve">. Public officials include current or former federal, provincial, or municipal employees, officials, representatives or contractors who obtained information as part of their duties, and employees of the Canadian Revenue Agency (CRA). Aside from these, anyone else, including overseas residents, </w:t>
      </w:r>
      <w:r w:rsidR="00883072" w:rsidDel="00883072">
        <w:t xml:space="preserve">are </w:t>
      </w:r>
      <w:r w:rsidR="00883072">
        <w:t xml:space="preserve">eligible to become informants under the program. The CRA operates a dedicated </w:t>
      </w:r>
      <w:r w:rsidR="00033819">
        <w:t>North </w:t>
      </w:r>
      <w:r w:rsidR="00883072">
        <w:t>American toll-free number for disclosures.</w:t>
      </w:r>
    </w:p>
    <w:p w14:paraId="103BF51F" w14:textId="77777777" w:rsidR="005C6712" w:rsidRDefault="00940C34" w:rsidP="005C6712">
      <w:r>
        <w:t xml:space="preserve">The </w:t>
      </w:r>
      <w:r w:rsidR="005C6712">
        <w:t xml:space="preserve">OTIP allows </w:t>
      </w:r>
      <w:r w:rsidR="00C3482F">
        <w:t>the</w:t>
      </w:r>
      <w:r w:rsidR="005C6712">
        <w:t xml:space="preserve"> </w:t>
      </w:r>
      <w:r w:rsidR="0005089E">
        <w:t xml:space="preserve">CRA </w:t>
      </w:r>
      <w:r w:rsidR="005C6712">
        <w:t xml:space="preserve">to make financial awards to individuals who provide information related to major international tax non-compliance that leads to the collection of taxes owing. </w:t>
      </w:r>
      <w:r w:rsidR="004C226D">
        <w:t>The CRA will only offer an informant a contract leading to an award if the potential assessment of federal taxes, excluding interest and penalties, exceeds CAD100</w:t>
      </w:r>
      <w:proofErr w:type="gramStart"/>
      <w:r w:rsidR="004C226D">
        <w:t>,000</w:t>
      </w:r>
      <w:proofErr w:type="gramEnd"/>
      <w:r w:rsidR="004C226D">
        <w:t xml:space="preserve">. </w:t>
      </w:r>
    </w:p>
    <w:p w14:paraId="103BF520" w14:textId="77777777" w:rsidR="00061C4A" w:rsidRDefault="00BB0B2A" w:rsidP="00F15A1A">
      <w:pPr>
        <w:pStyle w:val="Heading3"/>
      </w:pPr>
      <w:r w:rsidRPr="00061C4A">
        <w:t>Public Servants Disclosure Protection Act (PSDPA)</w:t>
      </w:r>
    </w:p>
    <w:p w14:paraId="103BF521" w14:textId="77777777" w:rsidR="00061C4A" w:rsidRDefault="001B611C" w:rsidP="00061C4A">
      <w:r>
        <w:t>T</w:t>
      </w:r>
      <w:r w:rsidRPr="00061C4A">
        <w:t xml:space="preserve">he </w:t>
      </w:r>
      <w:r w:rsidRPr="00581DBA">
        <w:rPr>
          <w:i/>
        </w:rPr>
        <w:t>Public Servants Disclosure Protection Act</w:t>
      </w:r>
      <w:r>
        <w:t xml:space="preserve"> (PSDPA), </w:t>
      </w:r>
      <w:r w:rsidRPr="00061C4A">
        <w:t>adopted in 2007</w:t>
      </w:r>
      <w:r>
        <w:t xml:space="preserve">, is </w:t>
      </w:r>
      <w:r w:rsidR="00061C4A" w:rsidRPr="00061C4A">
        <w:t>Canada's only freestanding</w:t>
      </w:r>
      <w:r>
        <w:t>,</w:t>
      </w:r>
      <w:r w:rsidR="00061C4A" w:rsidRPr="00061C4A">
        <w:t xml:space="preserve"> fe</w:t>
      </w:r>
      <w:r>
        <w:t xml:space="preserve">deral, </w:t>
      </w:r>
      <w:proofErr w:type="spellStart"/>
      <w:r>
        <w:t>whistleblower</w:t>
      </w:r>
      <w:proofErr w:type="spellEnd"/>
      <w:r>
        <w:t xml:space="preserve"> legislation. </w:t>
      </w:r>
      <w:r w:rsidR="006C632F">
        <w:t>The goal of the PSDPA</w:t>
      </w:r>
      <w:r w:rsidR="00061C4A">
        <w:t xml:space="preserve"> is to require employers in the public sector to establish a code of conduct that provides civil protections for </w:t>
      </w:r>
      <w:proofErr w:type="spellStart"/>
      <w:r w:rsidR="00061C4A">
        <w:t>whistleblowers</w:t>
      </w:r>
      <w:proofErr w:type="spellEnd"/>
      <w:r w:rsidR="00061C4A">
        <w:t xml:space="preserve"> including disciplinary actions against a public servant who </w:t>
      </w:r>
      <w:r w:rsidR="00883072">
        <w:t>subjects</w:t>
      </w:r>
      <w:r w:rsidR="00061C4A" w:rsidDel="00883072">
        <w:t xml:space="preserve"> a </w:t>
      </w:r>
      <w:proofErr w:type="spellStart"/>
      <w:r w:rsidR="00061C4A">
        <w:t>whistleblower</w:t>
      </w:r>
      <w:proofErr w:type="spellEnd"/>
      <w:r w:rsidR="00883072">
        <w:t xml:space="preserve"> to any reprisal for making a disclosure. It extends to an order for </w:t>
      </w:r>
      <w:r w:rsidR="00061C4A">
        <w:t xml:space="preserve">reinstatement or damages in lieu of reinstatement. </w:t>
      </w:r>
    </w:p>
    <w:p w14:paraId="103BF522" w14:textId="77777777" w:rsidR="00061C4A" w:rsidRDefault="00061C4A" w:rsidP="00061C4A">
      <w:r>
        <w:t xml:space="preserve">Each </w:t>
      </w:r>
      <w:r w:rsidR="009746BE">
        <w:t>public sector</w:t>
      </w:r>
      <w:r>
        <w:t xml:space="preserve"> chief executive must establish internal procedures to manag</w:t>
      </w:r>
      <w:r w:rsidR="006C632F">
        <w:t>e disclosures made under the PSDPA</w:t>
      </w:r>
      <w:r>
        <w:t xml:space="preserve"> by public servants </w:t>
      </w:r>
      <w:r w:rsidR="00883072">
        <w:t>within their area of responsibility</w:t>
      </w:r>
      <w:r>
        <w:t xml:space="preserve">. These executives must protect the identity of persons involved in the disclosure process, </w:t>
      </w:r>
      <w:r w:rsidR="00883072">
        <w:t>including not only</w:t>
      </w:r>
      <w:r>
        <w:t xml:space="preserve"> the persons making the disclosures, </w:t>
      </w:r>
      <w:r w:rsidR="00883072">
        <w:t xml:space="preserve">but also the identities of </w:t>
      </w:r>
      <w:r>
        <w:t>witnesses and persons alleged to be responsible</w:t>
      </w:r>
      <w:r w:rsidR="0090387C">
        <w:t xml:space="preserve"> for the misfeasance</w:t>
      </w:r>
      <w:r>
        <w:t>, and establish procedures to ensure the confidentiality of information collected in relation to disclosures of wrongdoings</w:t>
      </w:r>
      <w:r w:rsidR="0090387C">
        <w:t xml:space="preserve"> is maintained</w:t>
      </w:r>
      <w:r>
        <w:t>.</w:t>
      </w:r>
    </w:p>
    <w:p w14:paraId="103BF523" w14:textId="77777777" w:rsidR="006C632F" w:rsidRDefault="006C632F" w:rsidP="00F15A1A">
      <w:pPr>
        <w:pStyle w:val="Heading3"/>
      </w:pPr>
      <w:r w:rsidRPr="006C632F">
        <w:lastRenderedPageBreak/>
        <w:t>Criminal Code</w:t>
      </w:r>
    </w:p>
    <w:p w14:paraId="103BF524" w14:textId="77777777" w:rsidR="0090387C" w:rsidRDefault="0090387C" w:rsidP="000061C9">
      <w:pPr>
        <w:rPr>
          <w:lang w:val="en-US"/>
        </w:rPr>
      </w:pPr>
      <w:proofErr w:type="spellStart"/>
      <w:r>
        <w:t>W</w:t>
      </w:r>
      <w:r w:rsidR="00061C4A" w:rsidRPr="00061C4A">
        <w:t>histleblower</w:t>
      </w:r>
      <w:proofErr w:type="spellEnd"/>
      <w:r w:rsidR="00061C4A" w:rsidRPr="00061C4A">
        <w:t xml:space="preserve"> protection in the private sector is governed</w:t>
      </w:r>
      <w:r w:rsidR="006C632F">
        <w:t xml:space="preserve"> primarily by the Criminal Code which prohibits employers </w:t>
      </w:r>
      <w:r w:rsidR="00061C4A" w:rsidRPr="00061C4A">
        <w:t xml:space="preserve">from retaliating or threatening to take action against employees who </w:t>
      </w:r>
      <w:r>
        <w:t>disclose</w:t>
      </w:r>
      <w:r w:rsidRPr="00061C4A">
        <w:t xml:space="preserve"> </w:t>
      </w:r>
      <w:r w:rsidR="00061C4A" w:rsidRPr="00061C4A">
        <w:t xml:space="preserve">information. </w:t>
      </w:r>
      <w:r w:rsidR="00061C4A">
        <w:rPr>
          <w:lang w:val="en-US"/>
        </w:rPr>
        <w:t>Violating this section could lead to impris</w:t>
      </w:r>
      <w:r w:rsidR="006C632F">
        <w:rPr>
          <w:lang w:val="en-US"/>
        </w:rPr>
        <w:t xml:space="preserve">onment </w:t>
      </w:r>
      <w:r w:rsidR="001F7C8C">
        <w:rPr>
          <w:lang w:val="en-US"/>
        </w:rPr>
        <w:t xml:space="preserve">of </w:t>
      </w:r>
      <w:r w:rsidR="006C632F">
        <w:rPr>
          <w:lang w:val="en-US"/>
        </w:rPr>
        <w:t xml:space="preserve">up to </w:t>
      </w:r>
      <w:r w:rsidR="001E36B7">
        <w:rPr>
          <w:lang w:val="en-US"/>
        </w:rPr>
        <w:t xml:space="preserve">five </w:t>
      </w:r>
      <w:r w:rsidR="006C632F">
        <w:rPr>
          <w:lang w:val="en-US"/>
        </w:rPr>
        <w:t xml:space="preserve">years. </w:t>
      </w:r>
    </w:p>
    <w:p w14:paraId="103BF525" w14:textId="77777777" w:rsidR="00061C4A" w:rsidDel="009866DA" w:rsidRDefault="006C632F" w:rsidP="000061C9">
      <w:r>
        <w:rPr>
          <w:lang w:val="en-US"/>
        </w:rPr>
        <w:t>T</w:t>
      </w:r>
      <w:r w:rsidR="00061C4A">
        <w:rPr>
          <w:lang w:val="en-US"/>
        </w:rPr>
        <w:t xml:space="preserve">he </w:t>
      </w:r>
      <w:r w:rsidR="0090387C">
        <w:rPr>
          <w:lang w:val="en-US"/>
        </w:rPr>
        <w:t>Code</w:t>
      </w:r>
      <w:r>
        <w:rPr>
          <w:lang w:val="en-US"/>
        </w:rPr>
        <w:t xml:space="preserve"> </w:t>
      </w:r>
      <w:r w:rsidR="00061C4A">
        <w:rPr>
          <w:lang w:val="en-US"/>
        </w:rPr>
        <w:t>applies to employer wrongdoing that constitutes a criminal offence or is otherwise unlawful, and only protects employees who report to law enforcement officials. The Criminal Code does not protect employees who report wrongdoing such as misappropriation of funds internally within a company.</w:t>
      </w:r>
    </w:p>
    <w:p w14:paraId="103BF526" w14:textId="77777777" w:rsidR="00061C4A" w:rsidRPr="006C632F" w:rsidRDefault="0090387C" w:rsidP="0066445F">
      <w:bookmarkStart w:id="84" w:name="_Toc465344814"/>
      <w:bookmarkStart w:id="85" w:name="_Toc465418793"/>
      <w:r>
        <w:t>S</w:t>
      </w:r>
      <w:r w:rsidR="00BB0B2A" w:rsidRPr="006C632F">
        <w:t xml:space="preserve">ome </w:t>
      </w:r>
      <w:r>
        <w:t>Canadian provinces</w:t>
      </w:r>
      <w:r w:rsidRPr="006C632F">
        <w:t xml:space="preserve"> </w:t>
      </w:r>
      <w:r w:rsidR="00BB0B2A" w:rsidRPr="006C632F">
        <w:t>have</w:t>
      </w:r>
      <w:r>
        <w:t xml:space="preserve"> also</w:t>
      </w:r>
      <w:r w:rsidR="00BB0B2A" w:rsidRPr="006C632F">
        <w:t xml:space="preserve"> enacted specific </w:t>
      </w:r>
      <w:proofErr w:type="spellStart"/>
      <w:r w:rsidR="00BB0B2A" w:rsidRPr="006C632F">
        <w:t>whistleblower</w:t>
      </w:r>
      <w:proofErr w:type="spellEnd"/>
      <w:r w:rsidR="00BB0B2A" w:rsidRPr="006C632F">
        <w:t xml:space="preserve"> laws to provide protections in the public and private sectors</w:t>
      </w:r>
      <w:r>
        <w:t xml:space="preserve"> but these laws only apply within the particular province and are not uniform in scope</w:t>
      </w:r>
      <w:r w:rsidR="006C632F">
        <w:t>.</w:t>
      </w:r>
    </w:p>
    <w:p w14:paraId="103BF527" w14:textId="77777777" w:rsidR="00D4286B" w:rsidRDefault="00D4286B" w:rsidP="00F15A1A">
      <w:pPr>
        <w:pStyle w:val="Heading2NotNumbered"/>
      </w:pPr>
      <w:bookmarkStart w:id="86" w:name="_Toc468971460"/>
      <w:bookmarkStart w:id="87" w:name="_Toc468977736"/>
      <w:bookmarkStart w:id="88" w:name="_Toc468995336"/>
      <w:bookmarkStart w:id="89" w:name="_Toc469407743"/>
      <w:bookmarkStart w:id="90" w:name="_Toc469407834"/>
      <w:r>
        <w:t>The U</w:t>
      </w:r>
      <w:r w:rsidR="00B656E2">
        <w:t xml:space="preserve">nited </w:t>
      </w:r>
      <w:r>
        <w:t>S</w:t>
      </w:r>
      <w:bookmarkEnd w:id="84"/>
      <w:bookmarkEnd w:id="85"/>
      <w:r w:rsidR="00B656E2">
        <w:t>tates (US)</w:t>
      </w:r>
      <w:bookmarkEnd w:id="86"/>
      <w:bookmarkEnd w:id="87"/>
      <w:bookmarkEnd w:id="88"/>
      <w:bookmarkEnd w:id="89"/>
      <w:bookmarkEnd w:id="90"/>
    </w:p>
    <w:p w14:paraId="103BF528" w14:textId="77777777" w:rsidR="007C0E04" w:rsidRDefault="007C0E04" w:rsidP="007C0E04">
      <w:r w:rsidRPr="001130A1">
        <w:t xml:space="preserve">While </w:t>
      </w:r>
      <w:proofErr w:type="spellStart"/>
      <w:r w:rsidRPr="001130A1">
        <w:t>whistleblower</w:t>
      </w:r>
      <w:proofErr w:type="spellEnd"/>
      <w:r w:rsidRPr="001130A1">
        <w:t xml:space="preserve"> protections are included in a wide range of US laws,</w:t>
      </w:r>
      <w:r>
        <w:t xml:space="preserve"> </w:t>
      </w:r>
      <w:r w:rsidR="00C3482F">
        <w:t>the</w:t>
      </w:r>
      <w:r>
        <w:t xml:space="preserve"> key </w:t>
      </w:r>
      <w:r w:rsidR="00C3482F">
        <w:t>statute</w:t>
      </w:r>
      <w:r>
        <w:t xml:space="preserve"> on tax fraud disclosures</w:t>
      </w:r>
      <w:r w:rsidR="00C3482F">
        <w:t xml:space="preserve"> is</w:t>
      </w:r>
      <w:r>
        <w:t xml:space="preserve"> </w:t>
      </w:r>
      <w:r w:rsidR="0005089E">
        <w:t xml:space="preserve">the </w:t>
      </w:r>
      <w:r>
        <w:rPr>
          <w:i/>
        </w:rPr>
        <w:t xml:space="preserve">IRS </w:t>
      </w:r>
      <w:proofErr w:type="spellStart"/>
      <w:r>
        <w:rPr>
          <w:i/>
        </w:rPr>
        <w:t>Whistleblower</w:t>
      </w:r>
      <w:proofErr w:type="spellEnd"/>
      <w:r>
        <w:rPr>
          <w:i/>
        </w:rPr>
        <w:t xml:space="preserve"> Law </w:t>
      </w:r>
      <w:r w:rsidRPr="00351C88">
        <w:t>2006</w:t>
      </w:r>
      <w:r w:rsidR="00C3482F">
        <w:t>. There are also</w:t>
      </w:r>
      <w:r w:rsidRPr="001130A1">
        <w:t xml:space="preserve"> f</w:t>
      </w:r>
      <w:r>
        <w:t>our</w:t>
      </w:r>
      <w:r w:rsidRPr="001130A1">
        <w:t xml:space="preserve"> </w:t>
      </w:r>
      <w:r w:rsidR="0090387C">
        <w:t xml:space="preserve">other </w:t>
      </w:r>
      <w:r w:rsidRPr="001130A1">
        <w:t xml:space="preserve">key </w:t>
      </w:r>
      <w:r w:rsidR="00C3482F">
        <w:t>statutes covering</w:t>
      </w:r>
      <w:r>
        <w:t xml:space="preserve"> public interest </w:t>
      </w:r>
      <w:r w:rsidRPr="001130A1">
        <w:t>disclosures in the US private sector: the</w:t>
      </w:r>
      <w:r w:rsidRPr="001130A1" w:rsidDel="006D39E2">
        <w:t xml:space="preserve"> </w:t>
      </w:r>
      <w:proofErr w:type="spellStart"/>
      <w:r w:rsidRPr="00342ADB">
        <w:rPr>
          <w:i/>
        </w:rPr>
        <w:t>Whistleblower</w:t>
      </w:r>
      <w:proofErr w:type="spellEnd"/>
      <w:r w:rsidR="006D39E2">
        <w:rPr>
          <w:i/>
        </w:rPr>
        <w:t> </w:t>
      </w:r>
      <w:r w:rsidRPr="00342ADB">
        <w:rPr>
          <w:i/>
        </w:rPr>
        <w:t>Protection</w:t>
      </w:r>
      <w:r w:rsidR="006D39E2">
        <w:rPr>
          <w:i/>
        </w:rPr>
        <w:t> </w:t>
      </w:r>
      <w:r w:rsidRPr="00342ADB">
        <w:rPr>
          <w:i/>
        </w:rPr>
        <w:t>Act</w:t>
      </w:r>
      <w:r w:rsidR="006D39E2">
        <w:t> </w:t>
      </w:r>
      <w:r w:rsidRPr="001130A1">
        <w:t>1989</w:t>
      </w:r>
      <w:r>
        <w:t>;</w:t>
      </w:r>
      <w:r w:rsidRPr="001130A1">
        <w:t xml:space="preserve"> </w:t>
      </w:r>
      <w:r>
        <w:t xml:space="preserve">the </w:t>
      </w:r>
      <w:r w:rsidRPr="00342ADB">
        <w:rPr>
          <w:i/>
        </w:rPr>
        <w:t>False Claims Act</w:t>
      </w:r>
      <w:r>
        <w:t xml:space="preserve"> 1863;</w:t>
      </w:r>
      <w:r w:rsidRPr="001130A1">
        <w:t xml:space="preserve"> the </w:t>
      </w:r>
      <w:r w:rsidRPr="00342ADB">
        <w:rPr>
          <w:i/>
        </w:rPr>
        <w:t>Sarbanes-Oxley Act</w:t>
      </w:r>
      <w:r>
        <w:t xml:space="preserve"> 2002 and the </w:t>
      </w:r>
      <w:r w:rsidRPr="00342ADB">
        <w:rPr>
          <w:i/>
        </w:rPr>
        <w:t>Dodd-Frank Act</w:t>
      </w:r>
      <w:r>
        <w:t xml:space="preserve"> 2010.</w:t>
      </w:r>
    </w:p>
    <w:p w14:paraId="103BF529" w14:textId="77777777" w:rsidR="00A6332E" w:rsidRDefault="00A6332E" w:rsidP="00F15A1A">
      <w:pPr>
        <w:pStyle w:val="Heading3"/>
      </w:pPr>
      <w:r>
        <w:t xml:space="preserve">IRS </w:t>
      </w:r>
      <w:proofErr w:type="spellStart"/>
      <w:r>
        <w:t>Whistleblower</w:t>
      </w:r>
      <w:proofErr w:type="spellEnd"/>
      <w:r>
        <w:t xml:space="preserve"> Law</w:t>
      </w:r>
    </w:p>
    <w:p w14:paraId="103BF52A" w14:textId="77777777" w:rsidR="004956A3" w:rsidRDefault="009746BE" w:rsidP="00C518E7">
      <w:r>
        <w:t>The</w:t>
      </w:r>
      <w:r w:rsidR="004956A3">
        <w:t xml:space="preserve"> </w:t>
      </w:r>
      <w:r w:rsidR="00E462EE" w:rsidRPr="00EF26E3">
        <w:rPr>
          <w:i/>
        </w:rPr>
        <w:t xml:space="preserve">IRS </w:t>
      </w:r>
      <w:proofErr w:type="spellStart"/>
      <w:r w:rsidR="00E462EE" w:rsidRPr="00EF26E3">
        <w:rPr>
          <w:i/>
        </w:rPr>
        <w:t>Whistleblower</w:t>
      </w:r>
      <w:proofErr w:type="spellEnd"/>
      <w:r w:rsidR="00E462EE" w:rsidRPr="00EF26E3">
        <w:rPr>
          <w:i/>
        </w:rPr>
        <w:t xml:space="preserve"> Law </w:t>
      </w:r>
      <w:r w:rsidR="00E462EE" w:rsidRPr="00351C88">
        <w:t>2006</w:t>
      </w:r>
      <w:r w:rsidR="00E462EE">
        <w:rPr>
          <w:i/>
        </w:rPr>
        <w:t xml:space="preserve"> </w:t>
      </w:r>
      <w:r w:rsidR="00E462EE">
        <w:t xml:space="preserve">enables private individuals to report underpayments of tax and persons otherwise guilty of violating the internal revenue laws. </w:t>
      </w:r>
    </w:p>
    <w:p w14:paraId="103BF52B" w14:textId="77777777" w:rsidR="00E462EE" w:rsidRDefault="00A6332E" w:rsidP="00C518E7">
      <w:r>
        <w:t>The I</w:t>
      </w:r>
      <w:r w:rsidR="0005089E">
        <w:t xml:space="preserve">nland </w:t>
      </w:r>
      <w:r>
        <w:t>R</w:t>
      </w:r>
      <w:r w:rsidR="0005089E">
        <w:t xml:space="preserve">evenue </w:t>
      </w:r>
      <w:r>
        <w:t>S</w:t>
      </w:r>
      <w:r w:rsidR="0005089E">
        <w:t>ervice (IRS)</w:t>
      </w:r>
      <w:r w:rsidR="00835409">
        <w:t xml:space="preserve"> preserves and</w:t>
      </w:r>
      <w:r>
        <w:t xml:space="preserve"> protects </w:t>
      </w:r>
      <w:r w:rsidR="00835409">
        <w:t xml:space="preserve">the privacy </w:t>
      </w:r>
      <w:r w:rsidR="0005089E">
        <w:t xml:space="preserve">and </w:t>
      </w:r>
      <w:r>
        <w:t xml:space="preserve">identity of the </w:t>
      </w:r>
      <w:proofErr w:type="spellStart"/>
      <w:r>
        <w:t>whistleblower</w:t>
      </w:r>
      <w:proofErr w:type="spellEnd"/>
      <w:r>
        <w:t xml:space="preserve"> to the fulle</w:t>
      </w:r>
      <w:r w:rsidR="00835409">
        <w:t xml:space="preserve">st extent permitted by the law. </w:t>
      </w:r>
      <w:r>
        <w:t xml:space="preserve">However, </w:t>
      </w:r>
      <w:r w:rsidR="00A052F5">
        <w:t xml:space="preserve">as </w:t>
      </w:r>
      <w:r>
        <w:t xml:space="preserve">under </w:t>
      </w:r>
      <w:r w:rsidR="00A052F5">
        <w:t xml:space="preserve">comparable UK </w:t>
      </w:r>
      <w:r w:rsidR="0090387C">
        <w:t xml:space="preserve">and Canadian </w:t>
      </w:r>
      <w:r w:rsidR="00A052F5">
        <w:t xml:space="preserve">law, the identity of the </w:t>
      </w:r>
      <w:proofErr w:type="spellStart"/>
      <w:r w:rsidR="00A052F5">
        <w:t>whistleblower</w:t>
      </w:r>
      <w:proofErr w:type="spellEnd"/>
      <w:r w:rsidR="00A052F5">
        <w:t xml:space="preserve"> may be revealed in</w:t>
      </w:r>
      <w:r>
        <w:t xml:space="preserve"> some circumstances, such as when the </w:t>
      </w:r>
      <w:proofErr w:type="spellStart"/>
      <w:r>
        <w:t>whistleblower</w:t>
      </w:r>
      <w:proofErr w:type="spellEnd"/>
      <w:r>
        <w:t xml:space="preserve"> is an ess</w:t>
      </w:r>
      <w:r w:rsidR="00835409">
        <w:t>en</w:t>
      </w:r>
      <w:r>
        <w:t>tial witness in a judicial proceeding</w:t>
      </w:r>
      <w:r w:rsidR="00A052F5">
        <w:t xml:space="preserve"> or when</w:t>
      </w:r>
      <w:r>
        <w:t xml:space="preserve"> it </w:t>
      </w:r>
      <w:r w:rsidR="00A052F5">
        <w:t>is im</w:t>
      </w:r>
      <w:r>
        <w:t xml:space="preserve">possible to pursue </w:t>
      </w:r>
      <w:r w:rsidR="00A052F5">
        <w:t>an</w:t>
      </w:r>
      <w:r>
        <w:t xml:space="preserve"> investigation or examination without </w:t>
      </w:r>
      <w:r w:rsidR="00A052F5">
        <w:t xml:space="preserve">such </w:t>
      </w:r>
      <w:r w:rsidR="00CD5CDC">
        <w:t>revelation</w:t>
      </w:r>
      <w:r>
        <w:t xml:space="preserve">. In these cases the IRS informs the </w:t>
      </w:r>
      <w:proofErr w:type="spellStart"/>
      <w:r>
        <w:t>whistleblower</w:t>
      </w:r>
      <w:proofErr w:type="spellEnd"/>
      <w:r>
        <w:t xml:space="preserve"> before deciding whether to proceed. </w:t>
      </w:r>
    </w:p>
    <w:p w14:paraId="103BF52C" w14:textId="3DE03464" w:rsidR="00835409" w:rsidRDefault="00835409" w:rsidP="00C518E7">
      <w:r>
        <w:t xml:space="preserve">The </w:t>
      </w:r>
      <w:r w:rsidRPr="0005089E">
        <w:rPr>
          <w:i/>
        </w:rPr>
        <w:t xml:space="preserve">IRS </w:t>
      </w:r>
      <w:proofErr w:type="spellStart"/>
      <w:r w:rsidRPr="0005089E">
        <w:rPr>
          <w:i/>
        </w:rPr>
        <w:t>Whistleblower</w:t>
      </w:r>
      <w:proofErr w:type="spellEnd"/>
      <w:r w:rsidRPr="0005089E">
        <w:rPr>
          <w:i/>
        </w:rPr>
        <w:t xml:space="preserve"> Law</w:t>
      </w:r>
      <w:r>
        <w:t xml:space="preserve"> is complemented by the </w:t>
      </w:r>
      <w:r w:rsidRPr="0005089E">
        <w:rPr>
          <w:i/>
        </w:rPr>
        <w:t>Fair Labour Standards Act</w:t>
      </w:r>
      <w:r>
        <w:t xml:space="preserve"> and the </w:t>
      </w:r>
      <w:r w:rsidRPr="0005089E">
        <w:rPr>
          <w:i/>
        </w:rPr>
        <w:t xml:space="preserve">False Claims Act </w:t>
      </w:r>
      <w:r w:rsidR="007C0E04">
        <w:t xml:space="preserve">which </w:t>
      </w:r>
      <w:r w:rsidR="0078434E">
        <w:t>each</w:t>
      </w:r>
      <w:r>
        <w:t xml:space="preserve"> include anti-retaliation provisions making it unlawful to </w:t>
      </w:r>
      <w:r w:rsidR="000B2D7D">
        <w:t>dismiss or</w:t>
      </w:r>
      <w:r w:rsidR="007C0E04">
        <w:t xml:space="preserve"> discriminate against any employee </w:t>
      </w:r>
      <w:r w:rsidR="0078434E">
        <w:t>in any way for having made a</w:t>
      </w:r>
      <w:r w:rsidR="007C0E04">
        <w:t xml:space="preserve"> disclosure to the IRS. </w:t>
      </w:r>
      <w:r>
        <w:t xml:space="preserve">The </w:t>
      </w:r>
      <w:r w:rsidRPr="0005089E">
        <w:rPr>
          <w:i/>
        </w:rPr>
        <w:t>False Claims Act</w:t>
      </w:r>
      <w:r>
        <w:t xml:space="preserve"> additionally authorises private individuals who have knowledge of fraud committed against the </w:t>
      </w:r>
      <w:r w:rsidR="00095789">
        <w:t>G</w:t>
      </w:r>
      <w:r>
        <w:t>overnment</w:t>
      </w:r>
      <w:r w:rsidR="0090387C">
        <w:t>,</w:t>
      </w:r>
      <w:r>
        <w:t xml:space="preserve"> to sue the person committing the fraud</w:t>
      </w:r>
      <w:r w:rsidR="0090387C">
        <w:t xml:space="preserve"> on behalf of the Government (known as a </w:t>
      </w:r>
      <w:r w:rsidR="0090387C" w:rsidRPr="00581DBA">
        <w:rPr>
          <w:i/>
        </w:rPr>
        <w:t>qui tam</w:t>
      </w:r>
      <w:r w:rsidR="0090387C">
        <w:t xml:space="preserve"> action - see below)</w:t>
      </w:r>
      <w:r>
        <w:t xml:space="preserve">. </w:t>
      </w:r>
    </w:p>
    <w:p w14:paraId="103BF52D" w14:textId="77777777" w:rsidR="00BF699A" w:rsidRDefault="00835409" w:rsidP="00835409">
      <w:r>
        <w:t xml:space="preserve">The </w:t>
      </w:r>
      <w:r w:rsidRPr="0005089E">
        <w:rPr>
          <w:i/>
        </w:rPr>
        <w:t xml:space="preserve">IRS </w:t>
      </w:r>
      <w:proofErr w:type="spellStart"/>
      <w:r w:rsidRPr="0005089E">
        <w:rPr>
          <w:i/>
        </w:rPr>
        <w:t>Whistleblower</w:t>
      </w:r>
      <w:proofErr w:type="spellEnd"/>
      <w:r w:rsidRPr="0005089E">
        <w:rPr>
          <w:i/>
        </w:rPr>
        <w:t xml:space="preserve"> Law</w:t>
      </w:r>
      <w:r w:rsidR="0078434E">
        <w:t xml:space="preserve"> and </w:t>
      </w:r>
      <w:r>
        <w:t xml:space="preserve">the </w:t>
      </w:r>
      <w:r w:rsidRPr="0005089E">
        <w:rPr>
          <w:i/>
        </w:rPr>
        <w:t>False Claims Act</w:t>
      </w:r>
      <w:r>
        <w:t xml:space="preserve">, </w:t>
      </w:r>
      <w:r w:rsidR="0078434E">
        <w:t>each reward</w:t>
      </w:r>
      <w:r>
        <w:t xml:space="preserve"> </w:t>
      </w:r>
      <w:proofErr w:type="spellStart"/>
      <w:r>
        <w:t>whistleblowers</w:t>
      </w:r>
      <w:proofErr w:type="spellEnd"/>
      <w:r>
        <w:t xml:space="preserve"> </w:t>
      </w:r>
      <w:r w:rsidR="0078434E">
        <w:t>for</w:t>
      </w:r>
      <w:r>
        <w:t xml:space="preserve"> report</w:t>
      </w:r>
      <w:r w:rsidR="0078434E">
        <w:t>s involving</w:t>
      </w:r>
      <w:r>
        <w:t xml:space="preserve"> </w:t>
      </w:r>
      <w:r w:rsidR="0078434E">
        <w:t>successful prosecution</w:t>
      </w:r>
      <w:r>
        <w:t xml:space="preserve"> of fraud on the government. </w:t>
      </w:r>
      <w:r w:rsidR="0078434E">
        <w:t>W</w:t>
      </w:r>
      <w:r>
        <w:t>histleblower</w:t>
      </w:r>
      <w:r w:rsidR="0078434E">
        <w:t>s under these systems</w:t>
      </w:r>
      <w:r>
        <w:t xml:space="preserve"> can receive </w:t>
      </w:r>
      <w:r w:rsidR="0078434E">
        <w:t>re</w:t>
      </w:r>
      <w:r>
        <w:t>ward</w:t>
      </w:r>
      <w:r w:rsidR="0078434E">
        <w:t>s</w:t>
      </w:r>
      <w:r>
        <w:t xml:space="preserve"> of between 15 and 30 per cent of the collected proceeds (including penalties, interest, additions to tax and additional amounts)</w:t>
      </w:r>
      <w:r w:rsidR="007A635B">
        <w:t xml:space="preserve"> </w:t>
      </w:r>
      <w:r w:rsidR="00B53187">
        <w:t>if</w:t>
      </w:r>
      <w:r w:rsidR="007A635B">
        <w:t xml:space="preserve"> the </w:t>
      </w:r>
      <w:r w:rsidR="00B53187">
        <w:t>unpaid tax</w:t>
      </w:r>
      <w:r w:rsidR="007A635B">
        <w:t xml:space="preserve"> exceed</w:t>
      </w:r>
      <w:r w:rsidR="00B53187">
        <w:t>s</w:t>
      </w:r>
      <w:r w:rsidR="007A635B">
        <w:t xml:space="preserve"> </w:t>
      </w:r>
      <w:r w:rsidR="001F7C8C">
        <w:t>USD</w:t>
      </w:r>
      <w:r w:rsidR="007A635B">
        <w:t>2 million</w:t>
      </w:r>
      <w:r>
        <w:t>.</w:t>
      </w:r>
      <w:r w:rsidR="007A635B">
        <w:t xml:space="preserve"> If the collected proceeds do not exceed </w:t>
      </w:r>
      <w:r w:rsidR="001F7C8C">
        <w:t>USD</w:t>
      </w:r>
      <w:r w:rsidR="007A635B">
        <w:t>2 million, then th</w:t>
      </w:r>
      <w:r w:rsidR="00BF699A">
        <w:t>e maximum award is 15 per cent.</w:t>
      </w:r>
    </w:p>
    <w:p w14:paraId="103BF52E" w14:textId="77777777" w:rsidR="00835409" w:rsidRDefault="007A635B" w:rsidP="00835409">
      <w:r>
        <w:lastRenderedPageBreak/>
        <w:t>F</w:t>
      </w:r>
      <w:r w:rsidR="000F5149">
        <w:t xml:space="preserve">or a </w:t>
      </w:r>
      <w:proofErr w:type="spellStart"/>
      <w:r w:rsidR="000F5149">
        <w:t>whistleblower</w:t>
      </w:r>
      <w:proofErr w:type="spellEnd"/>
      <w:r w:rsidR="00835409">
        <w:t xml:space="preserve"> </w:t>
      </w:r>
      <w:r w:rsidR="000F5149">
        <w:t>to obtain a reward in cases involving individual taxpayers, the</w:t>
      </w:r>
      <w:r w:rsidR="00835409">
        <w:t xml:space="preserve"> taxable income</w:t>
      </w:r>
      <w:r w:rsidR="000F5149">
        <w:t xml:space="preserve"> of the fraudulent individual</w:t>
      </w:r>
      <w:r w:rsidR="00835409">
        <w:t xml:space="preserve"> </w:t>
      </w:r>
      <w:r w:rsidR="0078434E">
        <w:t>must exceed</w:t>
      </w:r>
      <w:r w:rsidR="00835409">
        <w:t xml:space="preserve"> USD200</w:t>
      </w:r>
      <w:proofErr w:type="gramStart"/>
      <w:r w:rsidR="00835409">
        <w:t>,00</w:t>
      </w:r>
      <w:r w:rsidR="00A7358B">
        <w:t>0</w:t>
      </w:r>
      <w:proofErr w:type="gramEnd"/>
      <w:r w:rsidR="00835409">
        <w:t xml:space="preserve"> in any year at iss</w:t>
      </w:r>
      <w:r w:rsidR="007C0E04">
        <w:t>u</w:t>
      </w:r>
      <w:r w:rsidR="00835409">
        <w:t xml:space="preserve">e. </w:t>
      </w:r>
      <w:r w:rsidR="007C0E04">
        <w:t>Disclosures of tax fraud are</w:t>
      </w:r>
      <w:r w:rsidR="00835409">
        <w:t xml:space="preserve"> handled by the IRS </w:t>
      </w:r>
      <w:proofErr w:type="spellStart"/>
      <w:r w:rsidR="00835409">
        <w:t>Whistleblower</w:t>
      </w:r>
      <w:proofErr w:type="spellEnd"/>
      <w:r w:rsidR="00835409">
        <w:t xml:space="preserve"> Office and disputes may be appealed to the Tax Court. </w:t>
      </w:r>
    </w:p>
    <w:p w14:paraId="103BF52F" w14:textId="77777777" w:rsidR="00D4286B" w:rsidRDefault="00D4286B" w:rsidP="00F15A1A">
      <w:pPr>
        <w:pStyle w:val="Heading3"/>
        <w:rPr>
          <w:rFonts w:cs="TimesNewRoman"/>
        </w:rPr>
      </w:pPr>
      <w:r>
        <w:rPr>
          <w:rFonts w:cs="TimesNewRoman"/>
        </w:rPr>
        <w:t>T</w:t>
      </w:r>
      <w:r w:rsidRPr="00FE219C">
        <w:rPr>
          <w:rFonts w:cs="TimesNewRoman"/>
        </w:rPr>
        <w:t xml:space="preserve">he </w:t>
      </w:r>
      <w:proofErr w:type="spellStart"/>
      <w:r w:rsidRPr="00FE219C">
        <w:t>Whistleblower</w:t>
      </w:r>
      <w:proofErr w:type="spellEnd"/>
      <w:r w:rsidRPr="00FE219C">
        <w:t xml:space="preserve"> Protection Act 1989</w:t>
      </w:r>
    </w:p>
    <w:p w14:paraId="103BF530" w14:textId="77777777" w:rsidR="0090387C" w:rsidRDefault="00D4286B" w:rsidP="0090387C">
      <w:r>
        <w:rPr>
          <w:lang w:val="en"/>
        </w:rPr>
        <w:t xml:space="preserve">The </w:t>
      </w:r>
      <w:r w:rsidRPr="00342ADB">
        <w:rPr>
          <w:i/>
          <w:lang w:val="en"/>
        </w:rPr>
        <w:t xml:space="preserve">Whistleblower Protection Act </w:t>
      </w:r>
      <w:r>
        <w:rPr>
          <w:lang w:val="en"/>
        </w:rPr>
        <w:t>1989</w:t>
      </w:r>
      <w:r w:rsidR="00342ADB">
        <w:rPr>
          <w:lang w:val="en"/>
        </w:rPr>
        <w:t xml:space="preserve"> (WPA)</w:t>
      </w:r>
      <w:r>
        <w:rPr>
          <w:lang w:val="en"/>
        </w:rPr>
        <w:t xml:space="preserve"> </w:t>
      </w:r>
      <w:r w:rsidR="00D6637A">
        <w:rPr>
          <w:lang w:val="en"/>
        </w:rPr>
        <w:t xml:space="preserve">applies to </w:t>
      </w:r>
      <w:r>
        <w:rPr>
          <w:lang w:val="en"/>
        </w:rPr>
        <w:t>federal public services employees</w:t>
      </w:r>
      <w:r w:rsidR="00E6187F">
        <w:rPr>
          <w:lang w:val="en"/>
        </w:rPr>
        <w:t xml:space="preserve"> who report agency misconduct </w:t>
      </w:r>
      <w:r w:rsidR="00D6637A">
        <w:t>if the</w:t>
      </w:r>
      <w:r w:rsidR="0090387C" w:rsidRPr="00A61BD0">
        <w:t xml:space="preserve"> disclosure </w:t>
      </w:r>
      <w:r w:rsidR="0090387C" w:rsidRPr="006C12BB">
        <w:t xml:space="preserve"> evidence</w:t>
      </w:r>
      <w:r w:rsidR="0090387C">
        <w:t>s</w:t>
      </w:r>
      <w:r w:rsidR="0090387C" w:rsidRPr="00A61BD0">
        <w:t xml:space="preserve"> a</w:t>
      </w:r>
      <w:r w:rsidR="0090387C">
        <w:t xml:space="preserve"> violation of any law, rule, or regulation, </w:t>
      </w:r>
      <w:r w:rsidR="0090387C" w:rsidRPr="00A61BD0">
        <w:t xml:space="preserve">gross mismanagement, gross waste of funds, abuse of authority, or </w:t>
      </w:r>
      <w:r w:rsidR="00D6637A">
        <w:t xml:space="preserve">constitutes </w:t>
      </w:r>
      <w:r w:rsidR="0090387C" w:rsidRPr="00A61BD0">
        <w:t>a substantial and specific danger to publi</w:t>
      </w:r>
      <w:r w:rsidR="0090387C" w:rsidRPr="006C12BB">
        <w:t xml:space="preserve">c health or safety; </w:t>
      </w:r>
      <w:r w:rsidR="0090387C">
        <w:t>that</w:t>
      </w:r>
      <w:r w:rsidR="0090387C" w:rsidRPr="006C12BB">
        <w:t xml:space="preserve"> </w:t>
      </w:r>
      <w:r w:rsidR="0090387C">
        <w:t xml:space="preserve">is </w:t>
      </w:r>
      <w:r w:rsidR="0090387C" w:rsidRPr="00A61BD0">
        <w:t>not prohibited by law or Executive Order</w:t>
      </w:r>
      <w:r w:rsidR="0090387C">
        <w:t>;</w:t>
      </w:r>
      <w:r w:rsidR="0090387C" w:rsidRPr="00A61BD0">
        <w:t xml:space="preserve"> </w:t>
      </w:r>
      <w:r w:rsidR="0090387C">
        <w:t>and which</w:t>
      </w:r>
      <w:r w:rsidR="0090387C" w:rsidRPr="00A61BD0">
        <w:t xml:space="preserve"> is made to the Special Counsel or to the Inspector General of an agency or another employee designated by the head of the agency to receive such disclosures.</w:t>
      </w:r>
    </w:p>
    <w:p w14:paraId="103BF531" w14:textId="77777777" w:rsidR="00D6637A" w:rsidRDefault="00D6637A" w:rsidP="0090387C">
      <w:r>
        <w:t>Presently</w:t>
      </w:r>
      <w:r w:rsidRPr="001613B9">
        <w:t xml:space="preserve">, current </w:t>
      </w:r>
      <w:r>
        <w:t xml:space="preserve">and </w:t>
      </w:r>
      <w:r w:rsidRPr="001613B9">
        <w:t xml:space="preserve">former </w:t>
      </w:r>
      <w:r>
        <w:t xml:space="preserve">public service </w:t>
      </w:r>
      <w:r w:rsidRPr="001613B9">
        <w:t>employees</w:t>
      </w:r>
      <w:r>
        <w:t xml:space="preserve"> (other than US Postal </w:t>
      </w:r>
      <w:r w:rsidRPr="001613B9">
        <w:t>employee</w:t>
      </w:r>
      <w:r>
        <w:t>s and a number of others who are subject to specific exclusions</w:t>
      </w:r>
      <w:r>
        <w:rPr>
          <w:rStyle w:val="FootnoteReference"/>
        </w:rPr>
        <w:footnoteReference w:id="7"/>
      </w:r>
      <w:r>
        <w:t xml:space="preserve">), or applicants for employment </w:t>
      </w:r>
      <w:r w:rsidRPr="001613B9">
        <w:t xml:space="preserve">to positions in the executive branch of government are covered </w:t>
      </w:r>
      <w:r w:rsidRPr="00A61BD0">
        <w:t xml:space="preserve">by the </w:t>
      </w:r>
      <w:r>
        <w:t>WPA</w:t>
      </w:r>
      <w:r w:rsidRPr="00A61BD0">
        <w:t>.</w:t>
      </w:r>
    </w:p>
    <w:p w14:paraId="103BF532" w14:textId="77777777" w:rsidR="0090387C" w:rsidRDefault="0090387C" w:rsidP="0090387C">
      <w:pPr>
        <w:rPr>
          <w:lang w:val="en"/>
        </w:rPr>
      </w:pPr>
      <w:r w:rsidRPr="00A61BD0">
        <w:t xml:space="preserve">The WPA protects </w:t>
      </w:r>
      <w:r w:rsidR="00D6637A">
        <w:t xml:space="preserve">public service </w:t>
      </w:r>
      <w:r w:rsidRPr="00A61BD0">
        <w:t xml:space="preserve">employees from reprisals in the form of </w:t>
      </w:r>
      <w:r>
        <w:t>‘</w:t>
      </w:r>
      <w:r w:rsidRPr="00DC06FA">
        <w:t>personnel action</w:t>
      </w:r>
      <w:r>
        <w:t>’</w:t>
      </w:r>
      <w:r w:rsidR="00D6637A">
        <w:t>.</w:t>
      </w:r>
      <w:r w:rsidRPr="00A61BD0">
        <w:t xml:space="preserve"> This </w:t>
      </w:r>
      <w:r w:rsidR="00D6637A">
        <w:t>covers</w:t>
      </w:r>
      <w:r w:rsidRPr="00A61BD0">
        <w:t xml:space="preserve"> actions by an agency </w:t>
      </w:r>
      <w:r w:rsidR="00D6637A">
        <w:t>which ha</w:t>
      </w:r>
      <w:r w:rsidR="00B44438">
        <w:t>s</w:t>
      </w:r>
      <w:r w:rsidRPr="00A61BD0">
        <w:t xml:space="preserve"> a negative or adverse impact on the employee.</w:t>
      </w:r>
      <w:r>
        <w:t xml:space="preserve"> </w:t>
      </w:r>
      <w:r w:rsidR="00D6637A">
        <w:t xml:space="preserve">A pre-condition is that </w:t>
      </w:r>
      <w:r>
        <w:t>p</w:t>
      </w:r>
      <w:r w:rsidRPr="005B2BA4">
        <w:t xml:space="preserve">ublic sector employees disclose </w:t>
      </w:r>
      <w:r w:rsidR="00D6637A">
        <w:t xml:space="preserve">the </w:t>
      </w:r>
      <w:r w:rsidRPr="005B2BA4">
        <w:t>wrongdoing to their employer first.</w:t>
      </w:r>
    </w:p>
    <w:p w14:paraId="103BF533" w14:textId="77777777" w:rsidR="00D6637A" w:rsidRDefault="00E6187F" w:rsidP="00C518E7">
      <w:pPr>
        <w:rPr>
          <w:lang w:val="en"/>
        </w:rPr>
      </w:pPr>
      <w:r>
        <w:rPr>
          <w:lang w:val="en"/>
        </w:rPr>
        <w:t>A</w:t>
      </w:r>
      <w:r w:rsidR="00D4286B">
        <w:rPr>
          <w:lang w:val="en"/>
        </w:rPr>
        <w:t xml:space="preserve"> federal agency violates the WPA if </w:t>
      </w:r>
      <w:r>
        <w:rPr>
          <w:lang w:val="en"/>
        </w:rPr>
        <w:t xml:space="preserve">the </w:t>
      </w:r>
      <w:r w:rsidR="00D4286B">
        <w:rPr>
          <w:lang w:val="en"/>
        </w:rPr>
        <w:t>agency take</w:t>
      </w:r>
      <w:r w:rsidR="0090387C">
        <w:rPr>
          <w:lang w:val="en"/>
        </w:rPr>
        <w:t>s</w:t>
      </w:r>
      <w:r w:rsidR="00D4286B">
        <w:rPr>
          <w:lang w:val="en"/>
        </w:rPr>
        <w:t xml:space="preserve"> (or threaten</w:t>
      </w:r>
      <w:r w:rsidR="0090387C">
        <w:rPr>
          <w:lang w:val="en"/>
        </w:rPr>
        <w:t>s</w:t>
      </w:r>
      <w:r w:rsidR="00D4286B">
        <w:rPr>
          <w:lang w:val="en"/>
        </w:rPr>
        <w:t xml:space="preserve"> to take) retaliatory personnel action against any employee or applicant because of disclosure of information. </w:t>
      </w:r>
    </w:p>
    <w:p w14:paraId="103BF534" w14:textId="77777777" w:rsidR="00D4286B" w:rsidRDefault="00D4286B" w:rsidP="00C518E7">
      <w:pPr>
        <w:rPr>
          <w:rFonts w:ascii="Arial" w:hAnsi="Arial" w:cs="Arial"/>
        </w:rPr>
      </w:pPr>
      <w:r>
        <w:rPr>
          <w:lang w:val="en"/>
        </w:rPr>
        <w:t>The WPA</w:t>
      </w:r>
      <w:r w:rsidRPr="00053BAA">
        <w:rPr>
          <w:lang w:val="en"/>
        </w:rPr>
        <w:t xml:space="preserve"> was </w:t>
      </w:r>
      <w:r w:rsidR="00F87371">
        <w:rPr>
          <w:lang w:val="en"/>
        </w:rPr>
        <w:t>amended</w:t>
      </w:r>
      <w:r w:rsidRPr="00053BAA">
        <w:rPr>
          <w:lang w:val="en"/>
        </w:rPr>
        <w:t xml:space="preserve"> in 2012 by the </w:t>
      </w:r>
      <w:r w:rsidRPr="00A61BD0">
        <w:rPr>
          <w:i/>
          <w:lang w:val="en"/>
        </w:rPr>
        <w:t>Whistleblower Protection Enhancement Act</w:t>
      </w:r>
      <w:r w:rsidR="00F87371">
        <w:rPr>
          <w:lang w:val="en"/>
        </w:rPr>
        <w:t xml:space="preserve"> to remove</w:t>
      </w:r>
      <w:r w:rsidRPr="00053BAA">
        <w:rPr>
          <w:lang w:val="en"/>
        </w:rPr>
        <w:t xml:space="preserve"> </w:t>
      </w:r>
      <w:r w:rsidR="00F87371">
        <w:rPr>
          <w:lang w:val="en"/>
        </w:rPr>
        <w:t>disincentives to report</w:t>
      </w:r>
      <w:r w:rsidRPr="00A61BD0">
        <w:rPr>
          <w:lang w:val="en"/>
        </w:rPr>
        <w:t xml:space="preserve">, broaden the </w:t>
      </w:r>
      <w:r w:rsidR="00F87371">
        <w:rPr>
          <w:lang w:val="en"/>
        </w:rPr>
        <w:t>type</w:t>
      </w:r>
      <w:r w:rsidRPr="00A61BD0">
        <w:rPr>
          <w:lang w:val="en"/>
        </w:rPr>
        <w:t xml:space="preserve"> of wrongdoing that can be reported, and shield whistleblower rights </w:t>
      </w:r>
      <w:r w:rsidR="00F87371">
        <w:rPr>
          <w:lang w:val="en"/>
        </w:rPr>
        <w:t>from</w:t>
      </w:r>
      <w:r w:rsidRPr="00A61BD0">
        <w:rPr>
          <w:lang w:val="en"/>
        </w:rPr>
        <w:t xml:space="preserve"> contradictory agency non-disclosure rules through an </w:t>
      </w:r>
      <w:r w:rsidR="00033819">
        <w:rPr>
          <w:lang w:val="en"/>
        </w:rPr>
        <w:t>‘</w:t>
      </w:r>
      <w:r w:rsidRPr="00A61BD0">
        <w:rPr>
          <w:lang w:val="en"/>
        </w:rPr>
        <w:t>anti-gag</w:t>
      </w:r>
      <w:r w:rsidR="00033819">
        <w:rPr>
          <w:lang w:val="en"/>
        </w:rPr>
        <w:t>’</w:t>
      </w:r>
      <w:r w:rsidR="00033819" w:rsidRPr="00A61BD0">
        <w:rPr>
          <w:lang w:val="en"/>
        </w:rPr>
        <w:t xml:space="preserve"> </w:t>
      </w:r>
      <w:r w:rsidRPr="00A61BD0">
        <w:rPr>
          <w:lang w:val="en"/>
        </w:rPr>
        <w:t>provision</w:t>
      </w:r>
      <w:r>
        <w:rPr>
          <w:rStyle w:val="FootnoteReference"/>
          <w:rFonts w:ascii="Arial" w:hAnsi="Arial" w:cs="Arial"/>
        </w:rPr>
        <w:footnoteReference w:id="8"/>
      </w:r>
      <w:r w:rsidR="00F87371">
        <w:rPr>
          <w:lang w:val="en"/>
        </w:rPr>
        <w:t xml:space="preserve">. </w:t>
      </w:r>
    </w:p>
    <w:p w14:paraId="103BF535" w14:textId="77777777" w:rsidR="00D4286B" w:rsidRPr="0024524E" w:rsidRDefault="00D4286B" w:rsidP="00F15A1A">
      <w:pPr>
        <w:pStyle w:val="Heading3"/>
      </w:pPr>
      <w:r w:rsidRPr="0024524E">
        <w:t>The Sarbanes-Oxley Act</w:t>
      </w:r>
    </w:p>
    <w:p w14:paraId="103BF536" w14:textId="77777777" w:rsidR="00D4286B" w:rsidRPr="005B2BA4" w:rsidRDefault="00D4286B" w:rsidP="00C518E7">
      <w:r>
        <w:t xml:space="preserve">The </w:t>
      </w:r>
      <w:r w:rsidRPr="00B82D27">
        <w:rPr>
          <w:i/>
        </w:rPr>
        <w:t xml:space="preserve">Sarbanes-Oxley Act </w:t>
      </w:r>
      <w:r w:rsidRPr="005B2BA4">
        <w:t>(SO</w:t>
      </w:r>
      <w:r w:rsidR="0069410E">
        <w:t>X</w:t>
      </w:r>
      <w:r w:rsidRPr="005B2BA4">
        <w:t>)</w:t>
      </w:r>
      <w:r>
        <w:t xml:space="preserve"> </w:t>
      </w:r>
      <w:r w:rsidRPr="005B2BA4">
        <w:t xml:space="preserve">was passed in 2002 to combat corporate criminal fraud and to strengthen corporate accountability. </w:t>
      </w:r>
      <w:r>
        <w:t>The SO</w:t>
      </w:r>
      <w:r w:rsidR="0069410E">
        <w:t>X</w:t>
      </w:r>
      <w:r>
        <w:t xml:space="preserve"> </w:t>
      </w:r>
      <w:r w:rsidRPr="005B2BA4">
        <w:t>includes a requirement for corporations to develop standardised internal disclosure mechanisms to ensure employees have a recognised method of reporting misconduct within the corporation.</w:t>
      </w:r>
      <w:r>
        <w:t xml:space="preserve"> It</w:t>
      </w:r>
      <w:r w:rsidRPr="00384466">
        <w:t xml:space="preserve"> covers only </w:t>
      </w:r>
      <w:r>
        <w:t xml:space="preserve">employees of </w:t>
      </w:r>
      <w:r w:rsidRPr="00384466">
        <w:t>publicly traded companies.</w:t>
      </w:r>
      <w:r w:rsidR="00E6187F">
        <w:t xml:space="preserve"> </w:t>
      </w:r>
    </w:p>
    <w:p w14:paraId="103BF537" w14:textId="77777777" w:rsidR="00D4286B" w:rsidRPr="005B2BA4" w:rsidRDefault="000A1528" w:rsidP="00C518E7">
      <w:r>
        <w:t>Under</w:t>
      </w:r>
      <w:r w:rsidR="00D4286B" w:rsidRPr="005B2BA4">
        <w:t xml:space="preserve"> the </w:t>
      </w:r>
      <w:r w:rsidR="00D4286B">
        <w:t>SO</w:t>
      </w:r>
      <w:r w:rsidR="0069410E">
        <w:t>X</w:t>
      </w:r>
      <w:r w:rsidR="00D4286B" w:rsidRPr="005B2BA4">
        <w:t xml:space="preserve"> </w:t>
      </w:r>
      <w:r>
        <w:t>e</w:t>
      </w:r>
      <w:r w:rsidR="00D4286B" w:rsidRPr="005B2BA4">
        <w:t>mployees are not required to complain to their employers first, but may complain to a Federal regulatory or law enforcement agency</w:t>
      </w:r>
      <w:r>
        <w:t>,</w:t>
      </w:r>
      <w:r w:rsidR="00D4286B" w:rsidRPr="005B2BA4">
        <w:t xml:space="preserve"> any Member of Congress</w:t>
      </w:r>
      <w:r>
        <w:t>,</w:t>
      </w:r>
      <w:r w:rsidR="00D4286B" w:rsidRPr="005B2BA4">
        <w:t xml:space="preserve"> any committee of Congress; or a person with supervisory authority over the employee.</w:t>
      </w:r>
    </w:p>
    <w:p w14:paraId="103BF538" w14:textId="77777777" w:rsidR="00D4286B" w:rsidRPr="005B2BA4" w:rsidRDefault="000A1528" w:rsidP="00C518E7">
      <w:r>
        <w:lastRenderedPageBreak/>
        <w:t>The SOX confers a</w:t>
      </w:r>
      <w:r w:rsidR="00D4286B" w:rsidRPr="005B2BA4">
        <w:t xml:space="preserve"> right </w:t>
      </w:r>
      <w:r>
        <w:t>on</w:t>
      </w:r>
      <w:r w:rsidR="00D4286B" w:rsidRPr="005B2BA4">
        <w:t xml:space="preserve"> </w:t>
      </w:r>
      <w:proofErr w:type="spellStart"/>
      <w:r w:rsidR="00D4286B" w:rsidRPr="005B2BA4">
        <w:t>whistleblower</w:t>
      </w:r>
      <w:r>
        <w:t>s</w:t>
      </w:r>
      <w:proofErr w:type="spellEnd"/>
      <w:r w:rsidR="00D4286B" w:rsidRPr="005B2BA4">
        <w:t xml:space="preserve"> to take legal action if they suffer retaliation</w:t>
      </w:r>
      <w:r>
        <w:t xml:space="preserve"> and also criminalises retaliation (t</w:t>
      </w:r>
      <w:r w:rsidR="00D4286B" w:rsidRPr="005B2BA4">
        <w:t>hose found guil</w:t>
      </w:r>
      <w:r w:rsidR="002C60D9">
        <w:t xml:space="preserve">ty </w:t>
      </w:r>
      <w:r>
        <w:t xml:space="preserve">can be jailed for </w:t>
      </w:r>
      <w:r w:rsidR="00D4286B" w:rsidRPr="005B2BA4">
        <w:t>up to ten years</w:t>
      </w:r>
      <w:r>
        <w:t>)</w:t>
      </w:r>
      <w:r w:rsidR="00D4286B" w:rsidRPr="005B2BA4">
        <w:t xml:space="preserve">. </w:t>
      </w:r>
    </w:p>
    <w:p w14:paraId="103BF539" w14:textId="77777777" w:rsidR="00D4286B" w:rsidRPr="00D02E54" w:rsidRDefault="00D4286B" w:rsidP="00F15A1A">
      <w:pPr>
        <w:pStyle w:val="Heading3"/>
      </w:pPr>
      <w:r w:rsidRPr="00A82F77">
        <w:t>The Fa</w:t>
      </w:r>
      <w:r>
        <w:t>lse Claims Act</w:t>
      </w:r>
    </w:p>
    <w:p w14:paraId="103BF53A" w14:textId="77777777" w:rsidR="00D4286B" w:rsidRPr="005B2BA4" w:rsidRDefault="00D4286B" w:rsidP="00C518E7">
      <w:r w:rsidRPr="005B2BA4">
        <w:t xml:space="preserve">The </w:t>
      </w:r>
      <w:r w:rsidRPr="00B82D27">
        <w:rPr>
          <w:i/>
        </w:rPr>
        <w:t>False Claims Act</w:t>
      </w:r>
      <w:r>
        <w:rPr>
          <w:i/>
        </w:rPr>
        <w:t xml:space="preserve"> </w:t>
      </w:r>
      <w:r w:rsidRPr="00A61BD0">
        <w:t>(FCA)</w:t>
      </w:r>
      <w:r w:rsidRPr="005B2BA4">
        <w:t xml:space="preserve">, also known as the 'Lincoln Law' (having originally been signed into law by President Lincoln in 1863), imposes liability on persons and companies who defraud government programs. A key feature of the False Claims Act is its </w:t>
      </w:r>
      <w:r w:rsidRPr="00B82D27">
        <w:rPr>
          <w:i/>
        </w:rPr>
        <w:t>qui tam</w:t>
      </w:r>
      <w:r w:rsidRPr="005B2BA4">
        <w:t xml:space="preserve"> provisions</w:t>
      </w:r>
      <w:r w:rsidR="000A1528">
        <w:t xml:space="preserve"> (</w:t>
      </w:r>
      <w:r w:rsidR="001F7C8C">
        <w:t>these</w:t>
      </w:r>
      <w:r w:rsidRPr="005B2BA4">
        <w:t xml:space="preserve"> allow people not affiliated with the government ('relators') to file actions on behalf of the government and </w:t>
      </w:r>
      <w:r w:rsidR="000A1528">
        <w:t xml:space="preserve">to </w:t>
      </w:r>
      <w:r w:rsidRPr="005B2BA4">
        <w:t>receive a portion of any recovered damages</w:t>
      </w:r>
      <w:r w:rsidR="000A1528">
        <w:t>)</w:t>
      </w:r>
      <w:r w:rsidRPr="005B2BA4">
        <w:t xml:space="preserve">. </w:t>
      </w:r>
    </w:p>
    <w:p w14:paraId="103BF53B" w14:textId="77777777" w:rsidR="00D4286B" w:rsidRPr="005B2BA4" w:rsidRDefault="00D4286B" w:rsidP="00C518E7">
      <w:r w:rsidRPr="005B2BA4">
        <w:t xml:space="preserve">The </w:t>
      </w:r>
      <w:r w:rsidRPr="00B82D27">
        <w:rPr>
          <w:i/>
        </w:rPr>
        <w:t>qui tam</w:t>
      </w:r>
      <w:r w:rsidRPr="005B2BA4">
        <w:t xml:space="preserve"> provisions are intended to encourage citizens with knowledge of fraud against the government to come forward. </w:t>
      </w:r>
      <w:r w:rsidR="00E6187F">
        <w:t xml:space="preserve">The </w:t>
      </w:r>
      <w:r w:rsidR="000A1528">
        <w:t>G</w:t>
      </w:r>
      <w:r w:rsidRPr="005B2BA4">
        <w:t xml:space="preserve">overnment </w:t>
      </w:r>
      <w:r w:rsidR="000A1528">
        <w:t>can</w:t>
      </w:r>
      <w:r w:rsidRPr="005B2BA4">
        <w:t xml:space="preserve"> decide whether to intervene </w:t>
      </w:r>
      <w:r w:rsidR="001F7C8C">
        <w:t>in</w:t>
      </w:r>
      <w:r w:rsidRPr="005B2BA4">
        <w:t xml:space="preserve"> a case based on a disclosure</w:t>
      </w:r>
      <w:r w:rsidR="00042C38">
        <w:t>.</w:t>
      </w:r>
      <w:r w:rsidR="003F7C89">
        <w:t xml:space="preserve"> </w:t>
      </w:r>
      <w:r w:rsidR="00042C38">
        <w:t>I</w:t>
      </w:r>
      <w:r w:rsidRPr="005B2BA4">
        <w:t xml:space="preserve">f it does intervene, the person who made the disclosure remains a relator to proceedings, and can </w:t>
      </w:r>
      <w:r w:rsidR="00042C38">
        <w:t xml:space="preserve">make a </w:t>
      </w:r>
      <w:r w:rsidRPr="005B2BA4">
        <w:t xml:space="preserve">claim for 15 to 25 per cent of any damages recovered. If the government declines to intervene, the relator can proceed alone, and </w:t>
      </w:r>
      <w:r w:rsidR="00042C38">
        <w:t xml:space="preserve">can make a </w:t>
      </w:r>
      <w:r w:rsidRPr="005B2BA4">
        <w:t>claim for 25 to 30 per cent of recovered damages (although such actions are typically less successful). Relators are protected from retaliation in their employment.</w:t>
      </w:r>
    </w:p>
    <w:p w14:paraId="103BF53C" w14:textId="77777777" w:rsidR="00D4286B" w:rsidRPr="00B82D27" w:rsidRDefault="00D4286B" w:rsidP="00C518E7">
      <w:r w:rsidRPr="005B2BA4">
        <w:t xml:space="preserve">The </w:t>
      </w:r>
      <w:r>
        <w:t>FCA</w:t>
      </w:r>
      <w:r w:rsidRPr="005B2BA4">
        <w:t xml:space="preserve"> requires </w:t>
      </w:r>
      <w:proofErr w:type="spellStart"/>
      <w:r w:rsidRPr="005B2BA4">
        <w:t>whistleblower</w:t>
      </w:r>
      <w:r w:rsidR="001F7C8C">
        <w:t>s</w:t>
      </w:r>
      <w:proofErr w:type="spellEnd"/>
      <w:r w:rsidRPr="005B2BA4">
        <w:t xml:space="preserve"> to initiate case</w:t>
      </w:r>
      <w:r w:rsidR="001F7C8C">
        <w:t>s</w:t>
      </w:r>
      <w:r w:rsidRPr="005B2BA4">
        <w:t>.</w:t>
      </w:r>
    </w:p>
    <w:p w14:paraId="103BF53D" w14:textId="77777777" w:rsidR="00D4286B" w:rsidRPr="00D02E54" w:rsidRDefault="00D4286B" w:rsidP="00F15A1A">
      <w:pPr>
        <w:pStyle w:val="Heading3"/>
      </w:pPr>
      <w:r>
        <w:t>Dodd-Frank Act</w:t>
      </w:r>
    </w:p>
    <w:p w14:paraId="103BF53E" w14:textId="77777777" w:rsidR="00D4286B" w:rsidRPr="005B2BA4" w:rsidRDefault="00D4286B" w:rsidP="00C518E7">
      <w:r w:rsidRPr="005B2BA4">
        <w:t xml:space="preserve">The </w:t>
      </w:r>
      <w:r w:rsidRPr="00B82D27">
        <w:rPr>
          <w:i/>
        </w:rPr>
        <w:t>Dodd-Frank Wall Street Reform and Consumer Protection Act</w:t>
      </w:r>
      <w:r>
        <w:t xml:space="preserve"> (the Dodd-Frank Act</w:t>
      </w:r>
      <w:r w:rsidRPr="005B2BA4">
        <w:t xml:space="preserve">) was enacted in 2010 through an amendment to the </w:t>
      </w:r>
      <w:r w:rsidRPr="002C60D9">
        <w:rPr>
          <w:i/>
        </w:rPr>
        <w:t>Securities Exchange Act</w:t>
      </w:r>
      <w:r w:rsidRPr="005B2BA4">
        <w:t xml:space="preserve"> 1934.</w:t>
      </w:r>
      <w:r>
        <w:t xml:space="preserve"> </w:t>
      </w:r>
      <w:r w:rsidRPr="00A61BD0">
        <w:t>Th</w:t>
      </w:r>
      <w:r>
        <w:t>is</w:t>
      </w:r>
      <w:r w:rsidRPr="002A522D">
        <w:t xml:space="preserve"> legislation covers only </w:t>
      </w:r>
      <w:r>
        <w:t xml:space="preserve">employees of </w:t>
      </w:r>
      <w:r w:rsidRPr="00A61BD0">
        <w:t>publicly traded companies.</w:t>
      </w:r>
    </w:p>
    <w:p w14:paraId="103BF53F" w14:textId="77777777" w:rsidR="00D4286B" w:rsidRPr="005B2BA4" w:rsidRDefault="00DC4073" w:rsidP="00C518E7">
      <w:r>
        <w:t xml:space="preserve">Under the </w:t>
      </w:r>
      <w:r w:rsidR="00B42989">
        <w:t xml:space="preserve">Dodd-Frank </w:t>
      </w:r>
      <w:r w:rsidR="00D4286B" w:rsidRPr="005B2BA4">
        <w:t xml:space="preserve">Act </w:t>
      </w:r>
      <w:r>
        <w:t>the</w:t>
      </w:r>
      <w:r w:rsidR="00D4286B" w:rsidRPr="005B2BA4">
        <w:t xml:space="preserve"> Securities Exchange Commission (SEC) </w:t>
      </w:r>
      <w:r>
        <w:t xml:space="preserve">established a </w:t>
      </w:r>
      <w:proofErr w:type="spellStart"/>
      <w:r w:rsidR="00D4286B" w:rsidRPr="005B2BA4">
        <w:t>whistleblower</w:t>
      </w:r>
      <w:proofErr w:type="spellEnd"/>
      <w:r w:rsidR="00D4286B" w:rsidRPr="005B2BA4">
        <w:t xml:space="preserve"> program</w:t>
      </w:r>
      <w:r>
        <w:t>. It has</w:t>
      </w:r>
      <w:r w:rsidR="00750C67">
        <w:t xml:space="preserve"> three fundamental components: </w:t>
      </w:r>
      <w:r w:rsidR="00D4286B" w:rsidRPr="005B2BA4">
        <w:t xml:space="preserve">monetary awards, retaliation protection and confidentiality protection. </w:t>
      </w:r>
      <w:r>
        <w:t>A</w:t>
      </w:r>
      <w:r w:rsidR="00D4286B" w:rsidRPr="005B2BA4">
        <w:t xml:space="preserve">wards can </w:t>
      </w:r>
      <w:r>
        <w:t xml:space="preserve">be paid </w:t>
      </w:r>
      <w:r w:rsidR="00D4286B" w:rsidRPr="005B2BA4">
        <w:t xml:space="preserve">to </w:t>
      </w:r>
      <w:proofErr w:type="spellStart"/>
      <w:r w:rsidR="00D4286B" w:rsidRPr="005B2BA4">
        <w:t>whistleblowers</w:t>
      </w:r>
      <w:proofErr w:type="spellEnd"/>
      <w:r w:rsidR="00D4286B" w:rsidRPr="005B2BA4">
        <w:t xml:space="preserve"> who provide the SEC with original information relating to a violation of securities laws</w:t>
      </w:r>
      <w:r>
        <w:t xml:space="preserve"> which</w:t>
      </w:r>
      <w:r w:rsidR="00D4286B" w:rsidRPr="005B2BA4">
        <w:t xml:space="preserve"> leads to an enforcement action</w:t>
      </w:r>
      <w:r w:rsidR="005E5708">
        <w:t>, and can</w:t>
      </w:r>
      <w:r w:rsidR="00D4286B" w:rsidRPr="005B2BA4">
        <w:t xml:space="preserve"> yield monetary sanctions of over US</w:t>
      </w:r>
      <w:r w:rsidR="005E5708">
        <w:t>D</w:t>
      </w:r>
      <w:r w:rsidR="00D4286B" w:rsidRPr="005B2BA4">
        <w:t xml:space="preserve">1 million. The range of awards </w:t>
      </w:r>
      <w:r>
        <w:t>can be</w:t>
      </w:r>
      <w:r w:rsidR="00D4286B" w:rsidRPr="005B2BA4">
        <w:t xml:space="preserve"> between 10 </w:t>
      </w:r>
      <w:r>
        <w:t>to</w:t>
      </w:r>
      <w:r w:rsidR="00D4286B" w:rsidRPr="005B2BA4">
        <w:t xml:space="preserve"> 30 per cent of the total monetary sanction. </w:t>
      </w:r>
    </w:p>
    <w:p w14:paraId="103BF540" w14:textId="77777777" w:rsidR="00D4286B" w:rsidRDefault="00D4286B" w:rsidP="00C518E7">
      <w:r w:rsidRPr="005B2BA4">
        <w:t xml:space="preserve">The Dodd-Frank Act also prohibits retaliation by employers against </w:t>
      </w:r>
      <w:proofErr w:type="spellStart"/>
      <w:r w:rsidRPr="005B2BA4">
        <w:t>whistleblowers</w:t>
      </w:r>
      <w:proofErr w:type="spellEnd"/>
      <w:r w:rsidRPr="005B2BA4">
        <w:t>, and provides them with a private cause of action in the event their employment is terminated or they are otherwise discriminated against.</w:t>
      </w:r>
    </w:p>
    <w:p w14:paraId="103BF541" w14:textId="77777777" w:rsidR="009866DA" w:rsidRPr="00247F72" w:rsidRDefault="009866DA" w:rsidP="00F15A1A">
      <w:pPr>
        <w:pStyle w:val="Heading2NotNumbered"/>
      </w:pPr>
      <w:bookmarkStart w:id="91" w:name="_Toc465344815"/>
      <w:bookmarkStart w:id="92" w:name="_Toc465418794"/>
      <w:bookmarkStart w:id="93" w:name="_Toc468971461"/>
      <w:bookmarkStart w:id="94" w:name="_Toc468977737"/>
      <w:bookmarkStart w:id="95" w:name="_Toc468995337"/>
      <w:bookmarkStart w:id="96" w:name="_Toc469407744"/>
      <w:bookmarkStart w:id="97" w:name="_Toc469407835"/>
      <w:bookmarkStart w:id="98" w:name="NewZealand"/>
      <w:r>
        <w:t>New Zealand</w:t>
      </w:r>
      <w:bookmarkEnd w:id="91"/>
      <w:bookmarkEnd w:id="92"/>
      <w:bookmarkEnd w:id="93"/>
      <w:bookmarkEnd w:id="94"/>
      <w:bookmarkEnd w:id="95"/>
      <w:bookmarkEnd w:id="96"/>
      <w:bookmarkEnd w:id="97"/>
    </w:p>
    <w:bookmarkEnd w:id="98"/>
    <w:p w14:paraId="103BF542" w14:textId="77777777" w:rsidR="009866DA" w:rsidRDefault="009866DA" w:rsidP="00F15A1A">
      <w:pPr>
        <w:pStyle w:val="Heading3"/>
      </w:pPr>
      <w:r>
        <w:t xml:space="preserve">IR873 </w:t>
      </w:r>
      <w:r w:rsidR="00B3611A">
        <w:t>Anonymously R</w:t>
      </w:r>
      <w:r>
        <w:t xml:space="preserve">eport </w:t>
      </w:r>
      <w:r w:rsidR="00B3611A">
        <w:t>Tax E</w:t>
      </w:r>
      <w:r>
        <w:t xml:space="preserve">vasion or </w:t>
      </w:r>
      <w:r w:rsidR="00B3611A">
        <w:t>F</w:t>
      </w:r>
      <w:r>
        <w:t>raud</w:t>
      </w:r>
    </w:p>
    <w:p w14:paraId="103BF543" w14:textId="77777777" w:rsidR="009866DA" w:rsidRDefault="009866DA" w:rsidP="009866DA">
      <w:r>
        <w:t xml:space="preserve">New Zealand allows informants to anonymously report information about tax evasion and fraud. </w:t>
      </w:r>
      <w:r w:rsidR="00042C38">
        <w:t>I</w:t>
      </w:r>
      <w:r>
        <w:t xml:space="preserve">nformants </w:t>
      </w:r>
      <w:r w:rsidR="00042C38">
        <w:t xml:space="preserve">may voluntarily </w:t>
      </w:r>
      <w:r>
        <w:t xml:space="preserve">provide their name or contact details </w:t>
      </w:r>
      <w:r w:rsidR="00042C38">
        <w:t xml:space="preserve">to </w:t>
      </w:r>
      <w:r>
        <w:t xml:space="preserve">the New Zealand Inland Revenue Department (IRD) </w:t>
      </w:r>
      <w:r w:rsidR="00042C38">
        <w:t xml:space="preserve">which </w:t>
      </w:r>
      <w:r>
        <w:t>keep</w:t>
      </w:r>
      <w:r w:rsidR="00042C38">
        <w:t>s</w:t>
      </w:r>
      <w:r>
        <w:t xml:space="preserve"> these </w:t>
      </w:r>
      <w:r w:rsidR="00042C38">
        <w:t xml:space="preserve">details </w:t>
      </w:r>
      <w:r>
        <w:t xml:space="preserve">confidential unless required </w:t>
      </w:r>
      <w:r w:rsidR="00D6637A">
        <w:t xml:space="preserve">by law </w:t>
      </w:r>
      <w:r>
        <w:t>or authorised to release.</w:t>
      </w:r>
    </w:p>
    <w:p w14:paraId="103BF544" w14:textId="77777777" w:rsidR="009866DA" w:rsidRDefault="009866DA" w:rsidP="009866DA">
      <w:r>
        <w:lastRenderedPageBreak/>
        <w:t xml:space="preserve">Similar to Canada’s OTIP and the US’s IRS </w:t>
      </w:r>
      <w:proofErr w:type="spellStart"/>
      <w:r>
        <w:t>whistleblower</w:t>
      </w:r>
      <w:proofErr w:type="spellEnd"/>
      <w:r>
        <w:t xml:space="preserve"> law, New Zealand’s secrecy obligations prevent IRD from releasing to the informant any taxpayer information or information pertaining to the progress of any investigations. </w:t>
      </w:r>
    </w:p>
    <w:p w14:paraId="103BF545" w14:textId="77777777" w:rsidR="00826CB7" w:rsidRDefault="00826CB7" w:rsidP="00F15A1A">
      <w:pPr>
        <w:pStyle w:val="Heading3"/>
      </w:pPr>
      <w:r>
        <w:t>Protected Disclosures Act</w:t>
      </w:r>
    </w:p>
    <w:p w14:paraId="103BF546" w14:textId="5D46BA8A" w:rsidR="009866DA" w:rsidRDefault="009866DA">
      <w:pPr>
        <w:pStyle w:val="Bullet"/>
        <w:numPr>
          <w:ilvl w:val="0"/>
          <w:numId w:val="0"/>
        </w:numPr>
      </w:pPr>
      <w:r>
        <w:t xml:space="preserve">The </w:t>
      </w:r>
      <w:r>
        <w:rPr>
          <w:i/>
        </w:rPr>
        <w:t xml:space="preserve">Protected Disclosures Act </w:t>
      </w:r>
      <w:r w:rsidRPr="00011E0C">
        <w:t>2000</w:t>
      </w:r>
      <w:r>
        <w:t xml:space="preserve"> protects </w:t>
      </w:r>
      <w:proofErr w:type="spellStart"/>
      <w:r>
        <w:t>whistleblowers</w:t>
      </w:r>
      <w:proofErr w:type="spellEnd"/>
      <w:r>
        <w:t xml:space="preserve"> who disclose information about illegal or harmful acts committed by their employer or co-worker</w:t>
      </w:r>
      <w:r w:rsidR="00042C38">
        <w:t>s</w:t>
      </w:r>
      <w:r>
        <w:t xml:space="preserve">. </w:t>
      </w:r>
      <w:r w:rsidR="00144E2B">
        <w:t xml:space="preserve">Whistleblowers are able </w:t>
      </w:r>
      <w:r w:rsidR="003F7C89">
        <w:t>to approach</w:t>
      </w:r>
      <w:r w:rsidR="00144E2B">
        <w:t xml:space="preserve"> the </w:t>
      </w:r>
      <w:r w:rsidR="00B16218">
        <w:t xml:space="preserve">Ombudsman’s </w:t>
      </w:r>
      <w:r w:rsidR="00144E2B">
        <w:t xml:space="preserve">office for advice regarding the protections prior to and after disclosing information. The </w:t>
      </w:r>
      <w:r w:rsidR="00144E2B">
        <w:rPr>
          <w:i/>
        </w:rPr>
        <w:t xml:space="preserve">Protected Disclosures Act </w:t>
      </w:r>
      <w:r w:rsidR="00144E2B" w:rsidRPr="00EF26E3">
        <w:t>2000</w:t>
      </w:r>
      <w:r w:rsidR="00144E2B">
        <w:t xml:space="preserve"> allows for protections </w:t>
      </w:r>
      <w:r w:rsidR="00042C38">
        <w:t>for</w:t>
      </w:r>
      <w:r w:rsidR="00144E2B">
        <w:t xml:space="preserve"> </w:t>
      </w:r>
      <w:proofErr w:type="spellStart"/>
      <w:r w:rsidR="00144E2B">
        <w:t>w</w:t>
      </w:r>
      <w:r w:rsidRPr="00144E2B">
        <w:t>histleblowers</w:t>
      </w:r>
      <w:proofErr w:type="spellEnd"/>
      <w:r>
        <w:t xml:space="preserve"> in both the private and public sectors provided they disclose information to the people or organisations specified in the Act. Protections include: </w:t>
      </w:r>
    </w:p>
    <w:p w14:paraId="103BF547" w14:textId="77777777" w:rsidR="009866DA" w:rsidRDefault="00D6637A">
      <w:pPr>
        <w:pStyle w:val="Bullet"/>
      </w:pPr>
      <w:r>
        <w:t xml:space="preserve">Prohibitions on </w:t>
      </w:r>
      <w:r w:rsidR="009866DA">
        <w:t xml:space="preserve">reprisals such as unjustified dismissal or unfair disadvantage; </w:t>
      </w:r>
      <w:r w:rsidR="00DC4073">
        <w:t>and</w:t>
      </w:r>
    </w:p>
    <w:p w14:paraId="103BF548" w14:textId="77777777" w:rsidR="00A95723" w:rsidRDefault="00D6637A">
      <w:pPr>
        <w:pStyle w:val="Bullet"/>
      </w:pPr>
      <w:r>
        <w:t>I</w:t>
      </w:r>
      <w:r w:rsidR="00DC4073">
        <w:t>mmunity</w:t>
      </w:r>
      <w:r w:rsidR="009866DA">
        <w:t xml:space="preserve"> from </w:t>
      </w:r>
      <w:r>
        <w:t xml:space="preserve">prosecution for </w:t>
      </w:r>
      <w:r w:rsidR="009866DA">
        <w:t>criminal offence</w:t>
      </w:r>
      <w:r w:rsidR="00DC4073">
        <w:t>s</w:t>
      </w:r>
      <w:r w:rsidR="009866DA">
        <w:t xml:space="preserve">, </w:t>
      </w:r>
      <w:r>
        <w:t xml:space="preserve">private </w:t>
      </w:r>
      <w:r w:rsidR="009866DA">
        <w:t>disciplinary action</w:t>
      </w:r>
      <w:r>
        <w:t>s</w:t>
      </w:r>
      <w:r w:rsidR="009866DA">
        <w:t xml:space="preserve"> </w:t>
      </w:r>
      <w:r>
        <w:t>and</w:t>
      </w:r>
      <w:r w:rsidR="00DC4073" w:rsidDel="00D6637A">
        <w:t xml:space="preserve"> </w:t>
      </w:r>
      <w:r w:rsidR="00DC4073">
        <w:t>suit</w:t>
      </w:r>
      <w:r>
        <w:t>s</w:t>
      </w:r>
      <w:r w:rsidR="009866DA">
        <w:t xml:space="preserve"> for damages.</w:t>
      </w:r>
    </w:p>
    <w:p w14:paraId="103BF549" w14:textId="77777777" w:rsidR="00A95723" w:rsidRPr="00A95723" w:rsidRDefault="00A95723" w:rsidP="00F15A1A"/>
    <w:p w14:paraId="103BF54A" w14:textId="77777777" w:rsidR="00A95723" w:rsidRPr="00A95723" w:rsidRDefault="00A95723" w:rsidP="00F15A1A"/>
    <w:p w14:paraId="103BF54B" w14:textId="77777777" w:rsidR="00A95723" w:rsidRDefault="00A95723" w:rsidP="00A95723">
      <w:pPr>
        <w:sectPr w:rsidR="00A95723" w:rsidSect="00D20567">
          <w:pgSz w:w="11906" w:h="16838" w:code="9"/>
          <w:pgMar w:top="1418" w:right="1418" w:bottom="1418" w:left="1418" w:header="709" w:footer="709" w:gutter="0"/>
          <w:cols w:space="708"/>
          <w:titlePg/>
          <w:docGrid w:linePitch="360"/>
        </w:sectPr>
      </w:pPr>
    </w:p>
    <w:p w14:paraId="103BF54C" w14:textId="77777777" w:rsidR="0083031F" w:rsidRPr="00D20567" w:rsidRDefault="00AE7C5F" w:rsidP="00D20567">
      <w:pPr>
        <w:pStyle w:val="Heading1-Numbered"/>
      </w:pPr>
      <w:bookmarkStart w:id="99" w:name="_Toc468971462"/>
      <w:bookmarkStart w:id="100" w:name="_Toc468977738"/>
      <w:bookmarkStart w:id="101" w:name="_Toc468995338"/>
      <w:bookmarkStart w:id="102" w:name="_Toc469407745"/>
      <w:bookmarkStart w:id="103" w:name="_Toc469407836"/>
      <w:r w:rsidRPr="00D20567">
        <w:lastRenderedPageBreak/>
        <w:t>R</w:t>
      </w:r>
      <w:r w:rsidR="00B65404" w:rsidRPr="00D20567">
        <w:t>ecent evaluations of</w:t>
      </w:r>
      <w:r w:rsidRPr="00D20567">
        <w:t xml:space="preserve"> </w:t>
      </w:r>
      <w:r w:rsidR="00B65404" w:rsidRPr="00D20567">
        <w:t>australian protections</w:t>
      </w:r>
      <w:bookmarkEnd w:id="99"/>
      <w:bookmarkEnd w:id="100"/>
      <w:bookmarkEnd w:id="101"/>
      <w:bookmarkEnd w:id="102"/>
      <w:bookmarkEnd w:id="103"/>
    </w:p>
    <w:p w14:paraId="103BF54D" w14:textId="77777777" w:rsidR="009572DD" w:rsidRDefault="009572DD" w:rsidP="00F15A1A">
      <w:pPr>
        <w:pStyle w:val="Heading2NotNumbered"/>
      </w:pPr>
      <w:bookmarkStart w:id="104" w:name="_Toc468971463"/>
      <w:bookmarkStart w:id="105" w:name="_Toc468977739"/>
      <w:bookmarkStart w:id="106" w:name="_Toc468995339"/>
      <w:bookmarkStart w:id="107" w:name="_Toc469407746"/>
      <w:bookmarkStart w:id="108" w:name="_Toc469407837"/>
      <w:r>
        <w:t>G20 evaluation</w:t>
      </w:r>
      <w:r w:rsidR="008B138A">
        <w:t xml:space="preserve"> of public and private sector protections</w:t>
      </w:r>
      <w:bookmarkEnd w:id="104"/>
      <w:bookmarkEnd w:id="105"/>
      <w:bookmarkEnd w:id="106"/>
      <w:bookmarkEnd w:id="107"/>
      <w:bookmarkEnd w:id="108"/>
    </w:p>
    <w:p w14:paraId="103BF54E" w14:textId="77777777" w:rsidR="00AD29FE" w:rsidRDefault="009572DD" w:rsidP="003F7C89">
      <w:pPr>
        <w:rPr>
          <w:rFonts w:cs="TimesNewRoman"/>
        </w:rPr>
      </w:pPr>
      <w:r>
        <w:t>An</w:t>
      </w:r>
      <w:r w:rsidR="00AD29FE" w:rsidRPr="00D77CF4">
        <w:t xml:space="preserve"> </w:t>
      </w:r>
      <w:r w:rsidR="00AD29FE" w:rsidRPr="00A61BD0">
        <w:rPr>
          <w:rFonts w:cs="TimesNewRoman"/>
        </w:rPr>
        <w:t xml:space="preserve">independent evaluation of G20 countries' whistleblowing laws </w:t>
      </w:r>
      <w:r>
        <w:rPr>
          <w:rFonts w:cs="TimesNewRoman"/>
        </w:rPr>
        <w:t xml:space="preserve">was undertaken in 2014. It </w:t>
      </w:r>
      <w:r w:rsidR="00AD29FE" w:rsidRPr="00A61BD0">
        <w:rPr>
          <w:rFonts w:cs="TimesNewRoman"/>
        </w:rPr>
        <w:t xml:space="preserve">assessed the current state of </w:t>
      </w:r>
      <w:proofErr w:type="spellStart"/>
      <w:r w:rsidR="00AD29FE" w:rsidRPr="00A61BD0">
        <w:rPr>
          <w:rFonts w:cs="TimesNewRoman"/>
        </w:rPr>
        <w:t>whistleblower</w:t>
      </w:r>
      <w:proofErr w:type="spellEnd"/>
      <w:r w:rsidR="00AD29FE" w:rsidRPr="00A61BD0">
        <w:rPr>
          <w:rFonts w:cs="TimesNewRoman"/>
        </w:rPr>
        <w:t xml:space="preserve"> protection against a set of 14 criteria, developed from five internationally sets of </w:t>
      </w:r>
      <w:proofErr w:type="spellStart"/>
      <w:r w:rsidR="00AD29FE" w:rsidRPr="00A61BD0">
        <w:rPr>
          <w:rFonts w:cs="TimesNewRoman"/>
        </w:rPr>
        <w:t>whistleblower</w:t>
      </w:r>
      <w:proofErr w:type="spellEnd"/>
      <w:r w:rsidR="00AD29FE" w:rsidRPr="00A61BD0">
        <w:rPr>
          <w:rFonts w:cs="TimesNewRoman"/>
        </w:rPr>
        <w:t xml:space="preserve"> principles </w:t>
      </w:r>
      <w:r w:rsidR="00B53187">
        <w:rPr>
          <w:rFonts w:cs="TimesNewRoman"/>
        </w:rPr>
        <w:t>recognised</w:t>
      </w:r>
      <w:r w:rsidR="00AD29FE" w:rsidRPr="00A61BD0">
        <w:rPr>
          <w:rFonts w:cs="TimesNewRoman"/>
        </w:rPr>
        <w:t xml:space="preserve"> </w:t>
      </w:r>
      <w:r>
        <w:rPr>
          <w:rFonts w:cs="TimesNewRoman"/>
        </w:rPr>
        <w:t xml:space="preserve">as constituting </w:t>
      </w:r>
      <w:r w:rsidR="00AD29FE" w:rsidRPr="00A61BD0">
        <w:rPr>
          <w:rFonts w:cs="TimesNewRoman"/>
        </w:rPr>
        <w:t>best practice</w:t>
      </w:r>
      <w:r>
        <w:rPr>
          <w:rFonts w:cs="TimesNewRoman"/>
        </w:rPr>
        <w:t>. In respect of Australia’s laws, the evaluator</w:t>
      </w:r>
      <w:r w:rsidR="00AD29FE" w:rsidRPr="00D77CF4">
        <w:rPr>
          <w:rFonts w:cs="TimesNewRoman"/>
        </w:rPr>
        <w:t xml:space="preserve"> concluded that</w:t>
      </w:r>
      <w:r w:rsidR="00AD29FE" w:rsidRPr="008A04F6">
        <w:rPr>
          <w:rFonts w:cs="TimesNewRoman"/>
        </w:rPr>
        <w:t xml:space="preserve"> </w:t>
      </w:r>
      <w:r w:rsidR="00E366BB">
        <w:rPr>
          <w:rFonts w:cs="TimesNewRoman"/>
        </w:rPr>
        <w:t xml:space="preserve">although </w:t>
      </w:r>
      <w:r w:rsidR="00AD29FE" w:rsidRPr="00A61BD0">
        <w:rPr>
          <w:rFonts w:cs="TimesNewRoman"/>
        </w:rPr>
        <w:t xml:space="preserve">Australia’s </w:t>
      </w:r>
      <w:proofErr w:type="spellStart"/>
      <w:r w:rsidR="00AD29FE" w:rsidRPr="00A61BD0">
        <w:rPr>
          <w:rFonts w:cs="TimesNewRoman"/>
        </w:rPr>
        <w:t>whistleblower</w:t>
      </w:r>
      <w:proofErr w:type="spellEnd"/>
      <w:r w:rsidR="00AD29FE" w:rsidRPr="00A61BD0">
        <w:rPr>
          <w:rFonts w:cs="TimesNewRoman"/>
        </w:rPr>
        <w:t xml:space="preserve"> protections were comprehensive for the public sector, </w:t>
      </w:r>
      <w:r w:rsidR="00E366BB">
        <w:rPr>
          <w:rFonts w:cs="TimesNewRoman"/>
        </w:rPr>
        <w:t>they</w:t>
      </w:r>
      <w:r w:rsidR="00AD29FE" w:rsidRPr="00A61BD0">
        <w:rPr>
          <w:rFonts w:cs="TimesNewRoman"/>
        </w:rPr>
        <w:t xml:space="preserve"> lagged </w:t>
      </w:r>
      <w:r w:rsidR="00E366BB">
        <w:rPr>
          <w:rFonts w:cs="TimesNewRoman"/>
        </w:rPr>
        <w:t>international</w:t>
      </w:r>
      <w:r w:rsidR="00AD29FE" w:rsidRPr="00A61BD0">
        <w:rPr>
          <w:rFonts w:cs="TimesNewRoman"/>
        </w:rPr>
        <w:t xml:space="preserve"> best practice</w:t>
      </w:r>
      <w:r w:rsidR="00AD29FE" w:rsidRPr="00D77CF4">
        <w:rPr>
          <w:rFonts w:cs="TimesNewRoman"/>
        </w:rPr>
        <w:t xml:space="preserve"> for the private</w:t>
      </w:r>
      <w:r w:rsidR="00AD29FE">
        <w:rPr>
          <w:rFonts w:cs="TimesNewRoman"/>
        </w:rPr>
        <w:t xml:space="preserve"> sector.</w:t>
      </w:r>
    </w:p>
    <w:p w14:paraId="103BF54F" w14:textId="77777777" w:rsidR="00AD29FE" w:rsidRDefault="00AD29FE" w:rsidP="00220600">
      <w:r>
        <w:t>The G20 evaluation identified the following areas for potential reform:</w:t>
      </w:r>
    </w:p>
    <w:p w14:paraId="103BF550" w14:textId="77777777" w:rsidR="00AD29FE" w:rsidRDefault="00AD29FE" w:rsidP="00F15A1A">
      <w:pPr>
        <w:pStyle w:val="Bullet"/>
      </w:pPr>
      <w:r>
        <w:t>broadening</w:t>
      </w:r>
      <w:r w:rsidRPr="000C2267">
        <w:t xml:space="preserve"> </w:t>
      </w:r>
      <w:r w:rsidR="00D6637A">
        <w:t xml:space="preserve">the </w:t>
      </w:r>
      <w:r w:rsidRPr="000C2267">
        <w:t>scope of w</w:t>
      </w:r>
      <w:r>
        <w:t>rongdoing covered</w:t>
      </w:r>
      <w:r w:rsidRPr="000C2267">
        <w:t>;</w:t>
      </w:r>
    </w:p>
    <w:p w14:paraId="103BF551" w14:textId="77777777" w:rsidR="00AD29FE" w:rsidRDefault="00AD29FE" w:rsidP="00F15A1A">
      <w:pPr>
        <w:pStyle w:val="Bullet"/>
      </w:pPr>
      <w:r>
        <w:t>introducing protections for anonymous complaints</w:t>
      </w:r>
      <w:r w:rsidRPr="000C2267">
        <w:t>;</w:t>
      </w:r>
    </w:p>
    <w:p w14:paraId="103BF552" w14:textId="77777777" w:rsidR="00AD29FE" w:rsidRDefault="00AD29FE" w:rsidP="00F15A1A">
      <w:pPr>
        <w:pStyle w:val="Bullet"/>
      </w:pPr>
      <w:r>
        <w:t xml:space="preserve">introducing </w:t>
      </w:r>
      <w:r w:rsidRPr="000C2267">
        <w:t xml:space="preserve">requirements for internal company procedures; </w:t>
      </w:r>
    </w:p>
    <w:p w14:paraId="103BF553" w14:textId="77777777" w:rsidR="00AD29FE" w:rsidRDefault="00AD29FE" w:rsidP="00F15A1A">
      <w:pPr>
        <w:pStyle w:val="Bullet"/>
      </w:pPr>
      <w:r>
        <w:t xml:space="preserve">improving </w:t>
      </w:r>
      <w:r w:rsidRPr="000C2267">
        <w:t>compensation</w:t>
      </w:r>
      <w:r>
        <w:t xml:space="preserve"> </w:t>
      </w:r>
      <w:r w:rsidR="00D4193F">
        <w:t>arrangements</w:t>
      </w:r>
      <w:r w:rsidRPr="000C2267">
        <w:t xml:space="preserve">; and </w:t>
      </w:r>
    </w:p>
    <w:p w14:paraId="103BF554" w14:textId="77777777" w:rsidR="00AD29FE" w:rsidRDefault="00AD29FE" w:rsidP="00F15A1A">
      <w:pPr>
        <w:pStyle w:val="Bullet"/>
      </w:pPr>
      <w:proofErr w:type="gramStart"/>
      <w:r w:rsidRPr="000C2267">
        <w:t>establishing</w:t>
      </w:r>
      <w:proofErr w:type="gramEnd"/>
      <w:r w:rsidRPr="000C2267">
        <w:t xml:space="preserve"> an oversight agency responsible for </w:t>
      </w:r>
      <w:proofErr w:type="spellStart"/>
      <w:r w:rsidRPr="000C2267">
        <w:t>whistleblower</w:t>
      </w:r>
      <w:proofErr w:type="spellEnd"/>
      <w:r w:rsidRPr="000C2267">
        <w:t xml:space="preserve"> protection</w:t>
      </w:r>
      <w:r>
        <w:t>s.</w:t>
      </w:r>
      <w:r w:rsidRPr="000C2267">
        <w:rPr>
          <w:vertAlign w:val="superscript"/>
        </w:rPr>
        <w:footnoteReference w:id="9"/>
      </w:r>
    </w:p>
    <w:p w14:paraId="103BF555" w14:textId="77777777" w:rsidR="009572DD" w:rsidRDefault="009572DD">
      <w:pPr>
        <w:pStyle w:val="Heading3"/>
      </w:pPr>
      <w:bookmarkStart w:id="109" w:name="_Toc468971464"/>
      <w:bookmarkStart w:id="110" w:name="_Toc468977740"/>
      <w:bookmarkStart w:id="111" w:name="_Toc468995340"/>
      <w:r>
        <w:t>Senate Committee evaluation</w:t>
      </w:r>
      <w:r w:rsidR="008B138A">
        <w:t xml:space="preserve"> of corporate sector protections</w:t>
      </w:r>
      <w:bookmarkEnd w:id="109"/>
      <w:bookmarkEnd w:id="110"/>
      <w:bookmarkEnd w:id="111"/>
    </w:p>
    <w:p w14:paraId="103BF556" w14:textId="77777777" w:rsidR="0060733E" w:rsidRDefault="00E366BB" w:rsidP="00220600">
      <w:r>
        <w:t>A s</w:t>
      </w:r>
      <w:r w:rsidR="00975E18">
        <w:t xml:space="preserve">eparate </w:t>
      </w:r>
      <w:r w:rsidR="00AD29FE">
        <w:t xml:space="preserve">assessment </w:t>
      </w:r>
      <w:r w:rsidR="00975E18">
        <w:t xml:space="preserve">of the same laws </w:t>
      </w:r>
      <w:r w:rsidR="00AD29FE">
        <w:t xml:space="preserve">was </w:t>
      </w:r>
      <w:r w:rsidR="00975E18">
        <w:t xml:space="preserve">undertaken </w:t>
      </w:r>
      <w:r w:rsidR="00AD29FE">
        <w:t xml:space="preserve">by the Senate Economics References Committee </w:t>
      </w:r>
      <w:r w:rsidR="00D6637A">
        <w:t>(</w:t>
      </w:r>
      <w:r w:rsidR="00D6637A" w:rsidRPr="00A13A74">
        <w:t>the Committee</w:t>
      </w:r>
      <w:r w:rsidR="00D6637A">
        <w:t xml:space="preserve">) </w:t>
      </w:r>
      <w:r w:rsidR="00975E18">
        <w:t xml:space="preserve">as part of its </w:t>
      </w:r>
      <w:r w:rsidR="00AD29FE">
        <w:t>Inquiry into the Performance of ASIC in 2014</w:t>
      </w:r>
      <w:r w:rsidR="00975E18">
        <w:t>. It</w:t>
      </w:r>
      <w:r w:rsidR="00AD29FE">
        <w:t xml:space="preserve"> found that the current corporate </w:t>
      </w:r>
      <w:proofErr w:type="spellStart"/>
      <w:r w:rsidR="00AD29FE">
        <w:t>whistleblower</w:t>
      </w:r>
      <w:proofErr w:type="spellEnd"/>
      <w:r w:rsidR="00AD29FE">
        <w:t xml:space="preserve"> protections are overly narrow and make it unnecessarily difficult for those with information</w:t>
      </w:r>
      <w:r w:rsidR="0060733E">
        <w:t xml:space="preserve"> to qualify for protections.</w:t>
      </w:r>
    </w:p>
    <w:p w14:paraId="103BF557" w14:textId="77777777" w:rsidR="0060733E" w:rsidRDefault="00AD29FE" w:rsidP="00220600">
      <w:r>
        <w:t xml:space="preserve">In addition, the </w:t>
      </w:r>
      <w:r w:rsidR="0065637E" w:rsidRPr="00A13A74">
        <w:t>Committee</w:t>
      </w:r>
      <w:r>
        <w:t xml:space="preserve"> found that the current legislation makes it difficult to preserve the </w:t>
      </w:r>
      <w:r w:rsidR="0060733E">
        <w:t xml:space="preserve">anonymity of the </w:t>
      </w:r>
      <w:proofErr w:type="spellStart"/>
      <w:r w:rsidR="0060733E">
        <w:t>whistleblower</w:t>
      </w:r>
      <w:proofErr w:type="spellEnd"/>
      <w:r w:rsidR="0060733E">
        <w:t>.</w:t>
      </w:r>
    </w:p>
    <w:p w14:paraId="103BF558" w14:textId="77777777" w:rsidR="00AD29FE" w:rsidRDefault="00AD29FE" w:rsidP="00220600">
      <w:r>
        <w:t xml:space="preserve">The </w:t>
      </w:r>
      <w:r w:rsidR="0065637E" w:rsidRPr="00A13A74">
        <w:t>Committee</w:t>
      </w:r>
      <w:r>
        <w:t xml:space="preserve"> recommended a comprehensive review of Australia’s corporate </w:t>
      </w:r>
      <w:proofErr w:type="spellStart"/>
      <w:r>
        <w:t>whistleblower</w:t>
      </w:r>
      <w:proofErr w:type="spellEnd"/>
      <w:r>
        <w:t xml:space="preserve"> framework</w:t>
      </w:r>
      <w:r w:rsidR="00975E18">
        <w:t xml:space="preserve"> to </w:t>
      </w:r>
      <w:r>
        <w:t xml:space="preserve">bring it closer to Australia’s public sector </w:t>
      </w:r>
      <w:proofErr w:type="spellStart"/>
      <w:r>
        <w:t>wh</w:t>
      </w:r>
      <w:r w:rsidR="002E66E0">
        <w:t>istleblower</w:t>
      </w:r>
      <w:proofErr w:type="spellEnd"/>
      <w:r w:rsidR="002E66E0">
        <w:t xml:space="preserve"> framework under the </w:t>
      </w:r>
      <w:r w:rsidR="002E66E0" w:rsidRPr="002E66E0">
        <w:t>AUS-PIDA</w:t>
      </w:r>
      <w:r>
        <w:t xml:space="preserve"> and introduc</w:t>
      </w:r>
      <w:r w:rsidR="005327CE">
        <w:t>e</w:t>
      </w:r>
      <w:r>
        <w:t xml:space="preserve"> a number of amendments to </w:t>
      </w:r>
      <w:r w:rsidR="005E5708">
        <w:t xml:space="preserve">the </w:t>
      </w:r>
      <w:r>
        <w:t>Corporations Act focusing on:</w:t>
      </w:r>
    </w:p>
    <w:p w14:paraId="103BF559" w14:textId="77777777" w:rsidR="00AD29FE" w:rsidRDefault="00AD29FE" w:rsidP="00F15A1A">
      <w:pPr>
        <w:pStyle w:val="Bullet"/>
      </w:pPr>
      <w:r>
        <w:t xml:space="preserve">extending the definition of </w:t>
      </w:r>
      <w:proofErr w:type="spellStart"/>
      <w:r>
        <w:t>whistleblowers</w:t>
      </w:r>
      <w:proofErr w:type="spellEnd"/>
      <w:r>
        <w:t xml:space="preserve"> by replicating the AUS-PIDA;</w:t>
      </w:r>
    </w:p>
    <w:p w14:paraId="103BF55A" w14:textId="77777777" w:rsidR="00AD29FE" w:rsidRDefault="00AD29FE" w:rsidP="00F15A1A">
      <w:pPr>
        <w:pStyle w:val="Bullet"/>
      </w:pPr>
      <w:r>
        <w:t xml:space="preserve">strengthening protections by expanding the scope of disclosures and victimisation provisions to match the level of </w:t>
      </w:r>
      <w:r w:rsidR="002E66E0">
        <w:t>protections provided by the AUS</w:t>
      </w:r>
      <w:r w:rsidR="002E66E0">
        <w:noBreakHyphen/>
      </w:r>
      <w:r>
        <w:t xml:space="preserve">PIDA; </w:t>
      </w:r>
      <w:r w:rsidR="00EF27DA">
        <w:t>and</w:t>
      </w:r>
    </w:p>
    <w:p w14:paraId="103BF55B" w14:textId="77777777" w:rsidR="00AD29FE" w:rsidRDefault="00AD29FE" w:rsidP="00F15A1A">
      <w:pPr>
        <w:pStyle w:val="Bullet"/>
      </w:pPr>
      <w:proofErr w:type="gramStart"/>
      <w:r>
        <w:t>including</w:t>
      </w:r>
      <w:proofErr w:type="gramEnd"/>
      <w:r>
        <w:t xml:space="preserve"> provisions in th</w:t>
      </w:r>
      <w:r w:rsidRPr="005611D0">
        <w:t xml:space="preserve">e Corporations Act </w:t>
      </w:r>
      <w:r>
        <w:t xml:space="preserve">that would not require ASIC to reveal a </w:t>
      </w:r>
      <w:proofErr w:type="spellStart"/>
      <w:r>
        <w:t>whistleblower’s</w:t>
      </w:r>
      <w:proofErr w:type="spellEnd"/>
      <w:r>
        <w:t xml:space="preserve"> identity without a court </w:t>
      </w:r>
      <w:r w:rsidR="00757339">
        <w:t>or</w:t>
      </w:r>
      <w:r>
        <w:t xml:space="preserve"> tribunal order.</w:t>
      </w:r>
    </w:p>
    <w:p w14:paraId="103BF55C" w14:textId="77777777" w:rsidR="005C6E9D" w:rsidRPr="00A95723" w:rsidRDefault="005C6E9D">
      <w:pPr>
        <w:pStyle w:val="Heading3"/>
      </w:pPr>
      <w:bookmarkStart w:id="112" w:name="_Toc468971465"/>
      <w:bookmarkStart w:id="113" w:name="_Toc468977741"/>
      <w:bookmarkStart w:id="114" w:name="_Toc468995341"/>
      <w:r w:rsidRPr="00A95723">
        <w:lastRenderedPageBreak/>
        <w:t xml:space="preserve">Statutory review of the </w:t>
      </w:r>
      <w:r w:rsidR="00D6637A" w:rsidRPr="00A95723">
        <w:t>AUS-</w:t>
      </w:r>
      <w:r w:rsidRPr="00A95723">
        <w:t>PID</w:t>
      </w:r>
      <w:r w:rsidR="00D6637A" w:rsidRPr="00A95723">
        <w:t>A</w:t>
      </w:r>
      <w:r w:rsidRPr="00A95723">
        <w:t xml:space="preserve"> </w:t>
      </w:r>
      <w:bookmarkEnd w:id="112"/>
      <w:bookmarkEnd w:id="113"/>
      <w:bookmarkEnd w:id="114"/>
    </w:p>
    <w:p w14:paraId="103BF55D" w14:textId="77777777" w:rsidR="00037D53" w:rsidRDefault="005C6E9D" w:rsidP="00D20567">
      <w:r>
        <w:t xml:space="preserve">In 2016, the Government commissioned a statutory review into the effectiveness and operation of the </w:t>
      </w:r>
      <w:r w:rsidR="00D6637A">
        <w:t>AUS-PIDA</w:t>
      </w:r>
      <w:r w:rsidR="00CD78C7">
        <w:t xml:space="preserve"> (the Review)</w:t>
      </w:r>
      <w:r>
        <w:t>. The r</w:t>
      </w:r>
      <w:r w:rsidRPr="008C524B">
        <w:t>eport was tabled in the Parliament on 20 October 2016</w:t>
      </w:r>
      <w:r>
        <w:t>.</w:t>
      </w:r>
    </w:p>
    <w:p w14:paraId="103BF55E" w14:textId="77777777" w:rsidR="00D6637A" w:rsidRDefault="00037D53" w:rsidP="00D20567">
      <w:r>
        <w:t xml:space="preserve">The </w:t>
      </w:r>
      <w:r w:rsidR="00D6637A">
        <w:t>R</w:t>
      </w:r>
      <w:r>
        <w:t xml:space="preserve">eview </w:t>
      </w:r>
      <w:r w:rsidR="00AE45C7">
        <w:t xml:space="preserve">assessed the degree to which the </w:t>
      </w:r>
      <w:r w:rsidR="00D6637A">
        <w:t>AUS-PIDA</w:t>
      </w:r>
      <w:r w:rsidR="00D6637A" w:rsidDel="00D6637A">
        <w:t xml:space="preserve"> </w:t>
      </w:r>
      <w:r w:rsidR="00AE45C7">
        <w:t xml:space="preserve">had, </w:t>
      </w:r>
      <w:r>
        <w:t xml:space="preserve">in </w:t>
      </w:r>
      <w:r w:rsidR="00AE45C7">
        <w:t xml:space="preserve">its first </w:t>
      </w:r>
      <w:r>
        <w:t xml:space="preserve">two and a half years </w:t>
      </w:r>
      <w:r w:rsidR="00AE45C7">
        <w:t xml:space="preserve">of </w:t>
      </w:r>
      <w:r>
        <w:t>operation</w:t>
      </w:r>
      <w:r w:rsidR="00AE45C7">
        <w:t>, delivered on its aims of</w:t>
      </w:r>
      <w:r>
        <w:t xml:space="preserve"> </w:t>
      </w:r>
      <w:r w:rsidRPr="00037D53">
        <w:t>bring</w:t>
      </w:r>
      <w:r>
        <w:t>ing</w:t>
      </w:r>
      <w:r w:rsidRPr="00037D53">
        <w:t xml:space="preserve"> t</w:t>
      </w:r>
      <w:r>
        <w:t xml:space="preserve">o light wrongdoing, </w:t>
      </w:r>
      <w:r w:rsidRPr="00037D53">
        <w:t>help</w:t>
      </w:r>
      <w:r>
        <w:t>ing</w:t>
      </w:r>
      <w:r w:rsidRPr="00037D53">
        <w:t xml:space="preserve"> agencies to understand wrongdoing and to respond appropriat</w:t>
      </w:r>
      <w:r>
        <w:t>ely.</w:t>
      </w:r>
    </w:p>
    <w:p w14:paraId="103BF55F" w14:textId="77777777" w:rsidR="00037D53" w:rsidRDefault="00D6637A" w:rsidP="00D20567">
      <w:r>
        <w:t xml:space="preserve">The Review </w:t>
      </w:r>
      <w:r w:rsidR="00AE45C7">
        <w:t xml:space="preserve">found that the Act </w:t>
      </w:r>
      <w:r w:rsidR="00AE45C7" w:rsidDel="00B12AC5">
        <w:t xml:space="preserve">had </w:t>
      </w:r>
      <w:r w:rsidR="00B12AC5">
        <w:t>only been partially successful in its aims</w:t>
      </w:r>
      <w:r w:rsidR="00AE45C7">
        <w:t xml:space="preserve">. </w:t>
      </w:r>
      <w:r w:rsidR="00B12AC5">
        <w:t xml:space="preserve">This was attributed in part to </w:t>
      </w:r>
      <w:r w:rsidR="00AE45C7">
        <w:t xml:space="preserve">the relative newness of the </w:t>
      </w:r>
      <w:r w:rsidR="00B12AC5">
        <w:t>AUS-PIDA</w:t>
      </w:r>
      <w:r w:rsidR="00AE45C7">
        <w:t xml:space="preserve"> framework</w:t>
      </w:r>
      <w:r w:rsidR="00B12AC5">
        <w:t xml:space="preserve"> and more fundamentally to in</w:t>
      </w:r>
      <w:r w:rsidR="00AE45C7">
        <w:t>effective operation of the framework.</w:t>
      </w:r>
    </w:p>
    <w:p w14:paraId="103BF560" w14:textId="77777777" w:rsidR="00037D53" w:rsidRDefault="00037D53" w:rsidP="00D20567">
      <w:r>
        <w:t xml:space="preserve">In particular, the </w:t>
      </w:r>
      <w:r w:rsidR="00B12AC5">
        <w:t>R</w:t>
      </w:r>
      <w:r>
        <w:t xml:space="preserve">eview found the </w:t>
      </w:r>
      <w:r w:rsidR="00B12AC5">
        <w:t>mechanisms under the AUS-PIDA</w:t>
      </w:r>
      <w:r w:rsidRPr="00037D53" w:rsidDel="00B12AC5">
        <w:t xml:space="preserve"> </w:t>
      </w:r>
      <w:r w:rsidR="005E5708">
        <w:t>which facilitate</w:t>
      </w:r>
      <w:r w:rsidRPr="00037D53" w:rsidDel="00B12AC5">
        <w:t xml:space="preserve"> </w:t>
      </w:r>
      <w:r w:rsidR="005E5708">
        <w:t xml:space="preserve">investigation of </w:t>
      </w:r>
      <w:r>
        <w:t xml:space="preserve">wrongdoing </w:t>
      </w:r>
      <w:r w:rsidR="005E5708">
        <w:t xml:space="preserve">were </w:t>
      </w:r>
      <w:r>
        <w:t xml:space="preserve">overly complex and </w:t>
      </w:r>
      <w:r w:rsidR="00B12AC5">
        <w:t xml:space="preserve">that </w:t>
      </w:r>
      <w:r>
        <w:t xml:space="preserve">the </w:t>
      </w:r>
      <w:r w:rsidR="00B12AC5">
        <w:t xml:space="preserve">categories </w:t>
      </w:r>
      <w:r>
        <w:t xml:space="preserve">of disclosable conduct </w:t>
      </w:r>
      <w:r w:rsidR="00B12AC5">
        <w:t xml:space="preserve">were </w:t>
      </w:r>
      <w:r>
        <w:t>too broad</w:t>
      </w:r>
      <w:r w:rsidR="00B12AC5">
        <w:t>. The Review considered the latter should be concentrated instead upon</w:t>
      </w:r>
      <w:r>
        <w:t xml:space="preserve"> </w:t>
      </w:r>
      <w:r w:rsidRPr="00037D53">
        <w:t>the most serious integrity risks, such as fraud, serious misconduct or corrupt conduct</w:t>
      </w:r>
      <w:r w:rsidR="00165739">
        <w:t>.</w:t>
      </w:r>
    </w:p>
    <w:p w14:paraId="103BF561" w14:textId="77777777" w:rsidR="005C6E9D" w:rsidRDefault="00666205" w:rsidP="005C6E9D">
      <w:pPr>
        <w:spacing w:after="0"/>
      </w:pPr>
      <w:r>
        <w:t xml:space="preserve">The </w:t>
      </w:r>
      <w:r w:rsidR="005E5708">
        <w:t>R</w:t>
      </w:r>
      <w:r w:rsidRPr="00666205">
        <w:t xml:space="preserve">eview made a number of recommendations to improve the operation of the </w:t>
      </w:r>
      <w:r w:rsidR="00B12AC5">
        <w:t>AUS-PIDA</w:t>
      </w:r>
      <w:r w:rsidR="00B12AC5" w:rsidRPr="00666205" w:rsidDel="00B12AC5">
        <w:t xml:space="preserve"> </w:t>
      </w:r>
      <w:r w:rsidRPr="00666205">
        <w:t>including</w:t>
      </w:r>
      <w:r w:rsidR="00397916">
        <w:t>:</w:t>
      </w:r>
    </w:p>
    <w:p w14:paraId="103BF562" w14:textId="77777777" w:rsidR="00954961" w:rsidRDefault="00954961" w:rsidP="005C6E9D">
      <w:pPr>
        <w:spacing w:after="0"/>
      </w:pPr>
    </w:p>
    <w:p w14:paraId="103BF563" w14:textId="77777777" w:rsidR="00AE45C7" w:rsidRDefault="00AE45C7">
      <w:pPr>
        <w:pStyle w:val="Bullet"/>
      </w:pPr>
      <w:r>
        <w:rPr>
          <w:rFonts w:cs="Calibri"/>
        </w:rPr>
        <w:t xml:space="preserve">strengthening the ability of the </w:t>
      </w:r>
      <w:r>
        <w:t>Commonwealth Ombudsman and t</w:t>
      </w:r>
      <w:r>
        <w:rPr>
          <w:rFonts w:cs="Calibri"/>
        </w:rPr>
        <w:t>he</w:t>
      </w:r>
      <w:r w:rsidR="00033819">
        <w:rPr>
          <w:rFonts w:cs="Calibri"/>
        </w:rPr>
        <w:br/>
      </w:r>
      <w:r>
        <w:rPr>
          <w:rFonts w:cs="Calibri"/>
        </w:rPr>
        <w:t>Inspector-General of Intelligence and Security</w:t>
      </w:r>
      <w:r>
        <w:t xml:space="preserve"> to scrutinise and monitor decisions of agencies about disclosures;</w:t>
      </w:r>
    </w:p>
    <w:p w14:paraId="103BF564" w14:textId="77777777" w:rsidR="00AE45C7" w:rsidRDefault="00AE45C7">
      <w:pPr>
        <w:pStyle w:val="Bullet"/>
      </w:pPr>
      <w:r>
        <w:rPr>
          <w:rFonts w:cs="Calibri"/>
        </w:rPr>
        <w:t xml:space="preserve">appointing additional </w:t>
      </w:r>
      <w:r>
        <w:t xml:space="preserve">investigative agencies under the </w:t>
      </w:r>
      <w:r w:rsidR="00B12AC5">
        <w:t>AUS-PIDA</w:t>
      </w:r>
      <w:r>
        <w:t>;</w:t>
      </w:r>
    </w:p>
    <w:p w14:paraId="103BF565" w14:textId="77777777" w:rsidR="00AE45C7" w:rsidRDefault="00AE45C7">
      <w:pPr>
        <w:pStyle w:val="Bullet"/>
      </w:pPr>
      <w:r>
        <w:t xml:space="preserve">redrafting procedural aspects of the </w:t>
      </w:r>
      <w:r w:rsidR="00B12AC5">
        <w:t>AUS-PIDA</w:t>
      </w:r>
      <w:r w:rsidR="00B12AC5" w:rsidDel="00B12AC5">
        <w:t xml:space="preserve"> </w:t>
      </w:r>
      <w:r>
        <w:t>using a ‘principles-based’ approach</w:t>
      </w:r>
      <w:r w:rsidR="0029519B">
        <w:t>;</w:t>
      </w:r>
    </w:p>
    <w:p w14:paraId="103BF566" w14:textId="77777777" w:rsidR="00AE45C7" w:rsidRDefault="00AE45C7">
      <w:pPr>
        <w:pStyle w:val="Bullet"/>
      </w:pPr>
      <w:r>
        <w:rPr>
          <w:rFonts w:cs="Calibri"/>
        </w:rPr>
        <w:t xml:space="preserve">strengthening the </w:t>
      </w:r>
      <w:r w:rsidR="00B12AC5">
        <w:t>AUS-PIDA</w:t>
      </w:r>
      <w:r>
        <w:rPr>
          <w:rFonts w:cs="Calibri"/>
        </w:rPr>
        <w:t xml:space="preserve">’s </w:t>
      </w:r>
      <w:r>
        <w:t>focus on significant wrongdoing;</w:t>
      </w:r>
    </w:p>
    <w:p w14:paraId="103BF567" w14:textId="77777777" w:rsidR="00AE45C7" w:rsidRDefault="00AE45C7">
      <w:pPr>
        <w:pStyle w:val="Bullet"/>
      </w:pPr>
      <w:r>
        <w:rPr>
          <w:rFonts w:cs="Calibri"/>
        </w:rPr>
        <w:t xml:space="preserve">including </w:t>
      </w:r>
      <w:r w:rsidR="005E5708">
        <w:rPr>
          <w:rFonts w:cs="Calibri"/>
        </w:rPr>
        <w:t>as permissible</w:t>
      </w:r>
      <w:r>
        <w:t xml:space="preserve"> </w:t>
      </w:r>
      <w:r w:rsidR="005E5708">
        <w:t xml:space="preserve">additional </w:t>
      </w:r>
      <w:r>
        <w:t xml:space="preserve">external disclosure </w:t>
      </w:r>
      <w:r w:rsidR="005E5708">
        <w:t xml:space="preserve">when </w:t>
      </w:r>
      <w:r>
        <w:t xml:space="preserve">disclosure within an agency has not been actioned as required by the </w:t>
      </w:r>
      <w:r w:rsidR="00B12AC5">
        <w:t>statute</w:t>
      </w:r>
      <w:r>
        <w:t>;</w:t>
      </w:r>
    </w:p>
    <w:p w14:paraId="103BF568" w14:textId="77777777" w:rsidR="00AE45C7" w:rsidRDefault="00AE45C7">
      <w:pPr>
        <w:pStyle w:val="Bullet"/>
      </w:pPr>
      <w:r>
        <w:t xml:space="preserve">inserting an explicit requirement </w:t>
      </w:r>
      <w:r w:rsidR="005E5708">
        <w:t xml:space="preserve">to accord </w:t>
      </w:r>
      <w:r>
        <w:t>procedural fairness to a person against whom wrongdoing is alleged before making adverse findings about that person;</w:t>
      </w:r>
    </w:p>
    <w:p w14:paraId="103BF569" w14:textId="77777777" w:rsidR="00AE45C7" w:rsidRDefault="00AE45C7">
      <w:pPr>
        <w:pStyle w:val="Bullet"/>
      </w:pPr>
      <w:r>
        <w:t xml:space="preserve">retaining criminal offences for </w:t>
      </w:r>
      <w:r w:rsidR="00B12AC5">
        <w:t xml:space="preserve">revealing </w:t>
      </w:r>
      <w:r>
        <w:t xml:space="preserve">identifying information but repealing </w:t>
      </w:r>
      <w:r w:rsidR="00B12AC5">
        <w:t xml:space="preserve">the prohibitions on </w:t>
      </w:r>
      <w:r>
        <w:t xml:space="preserve">not </w:t>
      </w:r>
      <w:r w:rsidR="00B12AC5">
        <w:t xml:space="preserve">using and not </w:t>
      </w:r>
      <w:r>
        <w:t>disclos</w:t>
      </w:r>
      <w:r w:rsidR="00B12AC5">
        <w:t>ing</w:t>
      </w:r>
      <w:r>
        <w:t xml:space="preserve"> </w:t>
      </w:r>
      <w:r>
        <w:rPr>
          <w:rFonts w:cs="Calibri-Bold"/>
          <w:bCs/>
        </w:rPr>
        <w:t>protected information</w:t>
      </w:r>
      <w:r w:rsidR="00B12AC5">
        <w:rPr>
          <w:rStyle w:val="FootnoteReference"/>
          <w:rFonts w:cs="Calibri-Bold"/>
          <w:bCs/>
        </w:rPr>
        <w:footnoteReference w:id="10"/>
      </w:r>
      <w:r>
        <w:rPr>
          <w:rFonts w:cs="Calibri-Bold"/>
          <w:bCs/>
        </w:rPr>
        <w:t>;</w:t>
      </w:r>
    </w:p>
    <w:p w14:paraId="103BF56A" w14:textId="77777777" w:rsidR="00AE45C7" w:rsidRDefault="00AE45C7">
      <w:pPr>
        <w:pStyle w:val="Bullet"/>
      </w:pPr>
      <w:r>
        <w:t>providing better support for disclosers, or potential disclosers, by enabling them to get help and advice from lawyers, and other professional support services;  and</w:t>
      </w:r>
    </w:p>
    <w:p w14:paraId="103BF56B" w14:textId="77777777" w:rsidR="00AE45C7" w:rsidRDefault="00AE45C7">
      <w:pPr>
        <w:pStyle w:val="Bullet"/>
      </w:pPr>
      <w:proofErr w:type="gramStart"/>
      <w:r>
        <w:lastRenderedPageBreak/>
        <w:t>providing</w:t>
      </w:r>
      <w:proofErr w:type="gramEnd"/>
      <w:r>
        <w:t xml:space="preserve"> witnesses </w:t>
      </w:r>
      <w:r w:rsidR="0039112B">
        <w:t xml:space="preserve">to the wrongdoing </w:t>
      </w:r>
      <w:r>
        <w:t xml:space="preserve">with the same protections as disclosers from detriment, </w:t>
      </w:r>
      <w:r w:rsidR="005E5708">
        <w:t>and immunity from</w:t>
      </w:r>
      <w:r>
        <w:t xml:space="preserve"> civil, criminal and administrative liability.</w:t>
      </w:r>
    </w:p>
    <w:p w14:paraId="103BF56C" w14:textId="77777777" w:rsidR="005C6E9D" w:rsidRDefault="00397916" w:rsidP="005C6E9D">
      <w:pPr>
        <w:spacing w:after="0"/>
      </w:pPr>
      <w:r>
        <w:t>The Government response to these recommendations is pending.</w:t>
      </w:r>
    </w:p>
    <w:p w14:paraId="103BF56D" w14:textId="77777777" w:rsidR="003F2A3D" w:rsidRPr="00A95723" w:rsidRDefault="00460AD6">
      <w:pPr>
        <w:pStyle w:val="Heading3"/>
      </w:pPr>
      <w:bookmarkStart w:id="115" w:name="_Toc468977742"/>
      <w:bookmarkStart w:id="116" w:name="_Toc468995342"/>
      <w:bookmarkStart w:id="117" w:name="_Toc468971466"/>
      <w:r w:rsidRPr="00A95723">
        <w:t xml:space="preserve">Independent Private </w:t>
      </w:r>
      <w:r w:rsidR="003F2A3D" w:rsidRPr="00A95723">
        <w:t>Research project ‘Whistling While They Work 2’</w:t>
      </w:r>
      <w:bookmarkEnd w:id="115"/>
      <w:bookmarkEnd w:id="116"/>
    </w:p>
    <w:p w14:paraId="103BF56E" w14:textId="06C73159" w:rsidR="003F2A3D" w:rsidRPr="00C77AF3" w:rsidRDefault="003F2A3D" w:rsidP="003F2A3D">
      <w:r w:rsidRPr="00C77AF3">
        <w:t xml:space="preserve">A </w:t>
      </w:r>
      <w:r w:rsidR="00460AD6">
        <w:t xml:space="preserve">private </w:t>
      </w:r>
      <w:r w:rsidRPr="00C77AF3">
        <w:t xml:space="preserve">research project into public interest whistleblowing, </w:t>
      </w:r>
      <w:r w:rsidRPr="00C77AF3">
        <w:rPr>
          <w:i/>
        </w:rPr>
        <w:t xml:space="preserve">Whistling While They Work 2, </w:t>
      </w:r>
      <w:r w:rsidRPr="00C77AF3">
        <w:t>is currently being led by</w:t>
      </w:r>
      <w:r w:rsidRPr="00C77AF3">
        <w:rPr>
          <w:i/>
        </w:rPr>
        <w:t xml:space="preserve"> </w:t>
      </w:r>
      <w:r w:rsidRPr="00C77AF3">
        <w:t xml:space="preserve">Griffith University with support from various organisations including Australia’s Commonwealth Ombudsman and </w:t>
      </w:r>
      <w:r>
        <w:t>ASIC</w:t>
      </w:r>
      <w:r w:rsidRPr="00C77AF3">
        <w:t>.</w:t>
      </w:r>
      <w:r>
        <w:t xml:space="preserve"> </w:t>
      </w:r>
      <w:r w:rsidRPr="006067BF">
        <w:t>The</w:t>
      </w:r>
      <w:r w:rsidRPr="006067BF" w:rsidDel="00460AD6">
        <w:t xml:space="preserve"> </w:t>
      </w:r>
      <w:r w:rsidR="00460AD6">
        <w:t>project</w:t>
      </w:r>
      <w:r w:rsidR="00460AD6" w:rsidRPr="006067BF">
        <w:t xml:space="preserve"> </w:t>
      </w:r>
      <w:r w:rsidRPr="006067BF">
        <w:t xml:space="preserve">seeks to review the experience of </w:t>
      </w:r>
      <w:proofErr w:type="spellStart"/>
      <w:r w:rsidRPr="006067BF">
        <w:t>whistleblowers</w:t>
      </w:r>
      <w:proofErr w:type="spellEnd"/>
      <w:r w:rsidRPr="006067BF">
        <w:t xml:space="preserve"> and management response</w:t>
      </w:r>
      <w:r w:rsidR="0039112B">
        <w:t>s</w:t>
      </w:r>
      <w:r w:rsidRPr="006067BF">
        <w:t xml:space="preserve"> to whistleblowing</w:t>
      </w:r>
      <w:r w:rsidR="00095789">
        <w:t>;</w:t>
      </w:r>
      <w:r w:rsidRPr="006067BF">
        <w:t xml:space="preserve"> to ascertain what worked well </w:t>
      </w:r>
      <w:r w:rsidR="0039112B">
        <w:t xml:space="preserve">so as </w:t>
      </w:r>
      <w:r w:rsidRPr="006067BF">
        <w:t>to inform future policy and law reform.</w:t>
      </w:r>
      <w:r w:rsidRPr="00C77AF3">
        <w:t xml:space="preserve"> </w:t>
      </w:r>
    </w:p>
    <w:p w14:paraId="103BF56F" w14:textId="77777777" w:rsidR="003F2A3D" w:rsidDel="00C77AF3" w:rsidRDefault="003F2A3D" w:rsidP="003F2A3D">
      <w:r w:rsidRPr="00C77AF3">
        <w:t xml:space="preserve">The research </w:t>
      </w:r>
      <w:r w:rsidR="00460AD6">
        <w:t xml:space="preserve">so far </w:t>
      </w:r>
      <w:r w:rsidRPr="00C77AF3">
        <w:t>draws on the results of surveys of whistleblowing processes and procedures across 702 public sector, business and not-for-profit organisations from Australia and New Zealand.</w:t>
      </w:r>
      <w:r>
        <w:t xml:space="preserve"> </w:t>
      </w:r>
      <w:r w:rsidR="0039112B">
        <w:t>P</w:t>
      </w:r>
      <w:r>
        <w:t>reliminary results indicate</w:t>
      </w:r>
      <w:r w:rsidRPr="00330D9A">
        <w:t xml:space="preserve"> </w:t>
      </w:r>
      <w:r w:rsidRPr="006067BF">
        <w:t xml:space="preserve">that a high number of organisations have </w:t>
      </w:r>
      <w:r w:rsidR="005E5708">
        <w:t>some form of</w:t>
      </w:r>
      <w:r w:rsidR="005E5708" w:rsidRPr="006067BF">
        <w:t xml:space="preserve"> </w:t>
      </w:r>
      <w:proofErr w:type="spellStart"/>
      <w:r w:rsidRPr="006067BF">
        <w:t>whistleblower</w:t>
      </w:r>
      <w:proofErr w:type="spellEnd"/>
      <w:r w:rsidRPr="006067BF">
        <w:t xml:space="preserve"> procedures</w:t>
      </w:r>
      <w:r w:rsidR="0039112B">
        <w:t xml:space="preserve"> but that there is no uniform approach. For instance:</w:t>
      </w:r>
    </w:p>
    <w:p w14:paraId="103BF570" w14:textId="77777777" w:rsidR="003F2A3D" w:rsidRPr="00A21AEC" w:rsidRDefault="00E27AB9" w:rsidP="00F15A1A">
      <w:pPr>
        <w:pStyle w:val="Bullet"/>
      </w:pPr>
      <w:r>
        <w:t xml:space="preserve">Only </w:t>
      </w:r>
      <w:r w:rsidR="003F2A3D">
        <w:t>1</w:t>
      </w:r>
      <w:r w:rsidR="003F2A3D" w:rsidRPr="00131EE6">
        <w:t>6% of all</w:t>
      </w:r>
      <w:r w:rsidR="003F2A3D">
        <w:t xml:space="preserve"> </w:t>
      </w:r>
      <w:r w:rsidR="003F2A3D" w:rsidRPr="00131EE6">
        <w:t>organisations have</w:t>
      </w:r>
      <w:r w:rsidR="003F2A3D" w:rsidRPr="00131EE6" w:rsidDel="003F0810">
        <w:t xml:space="preserve"> </w:t>
      </w:r>
      <w:r w:rsidR="003F2A3D" w:rsidRPr="00131EE6">
        <w:t xml:space="preserve">mechanisms for ensuring adequate compensation or restitution </w:t>
      </w:r>
      <w:r w:rsidR="00956FCB">
        <w:t xml:space="preserve">is made </w:t>
      </w:r>
      <w:r w:rsidR="003F2A3D" w:rsidRPr="00131EE6">
        <w:t>if staff</w:t>
      </w:r>
      <w:r w:rsidR="003F2A3D">
        <w:t xml:space="preserve"> </w:t>
      </w:r>
      <w:r w:rsidR="003F2A3D" w:rsidRPr="00131EE6">
        <w:t>experience reprisals or other detriment</w:t>
      </w:r>
      <w:r w:rsidR="0039112B">
        <w:t>s</w:t>
      </w:r>
      <w:r w:rsidR="003F2A3D" w:rsidRPr="00131EE6">
        <w:t xml:space="preserve"> after raising wrong</w:t>
      </w:r>
      <w:r w:rsidR="003F2A3D">
        <w:t>doing concerns;</w:t>
      </w:r>
    </w:p>
    <w:p w14:paraId="103BF571" w14:textId="77777777" w:rsidR="003F2A3D" w:rsidRDefault="003F2A3D" w:rsidP="00F15A1A">
      <w:pPr>
        <w:pStyle w:val="Bullet"/>
      </w:pPr>
      <w:r w:rsidRPr="00131EE6">
        <w:t>2</w:t>
      </w:r>
      <w:r>
        <w:t xml:space="preserve">3% of all organisations </w:t>
      </w:r>
      <w:r w:rsidRPr="00131EE6">
        <w:t>had</w:t>
      </w:r>
      <w:r>
        <w:t xml:space="preserve"> </w:t>
      </w:r>
      <w:r w:rsidRPr="00131EE6">
        <w:t>no particular system for recording and tracking wrongdoing concerns</w:t>
      </w:r>
      <w:r w:rsidR="00956FCB">
        <w:t xml:space="preserve"> and</w:t>
      </w:r>
      <w:r w:rsidR="00956FCB" w:rsidRPr="00956FCB">
        <w:t xml:space="preserve"> </w:t>
      </w:r>
      <w:r w:rsidR="00956FCB" w:rsidRPr="00131EE6">
        <w:t>did not currently</w:t>
      </w:r>
      <w:r w:rsidR="00956FCB">
        <w:t xml:space="preserve"> </w:t>
      </w:r>
      <w:r w:rsidR="00956FCB" w:rsidRPr="00131EE6">
        <w:t>have any strategy, program or process for supporting and protecting staff who raise concerns</w:t>
      </w:r>
      <w:r w:rsidR="00956FCB">
        <w:t>;</w:t>
      </w:r>
    </w:p>
    <w:p w14:paraId="103BF572" w14:textId="77777777" w:rsidR="003F2A3D" w:rsidRDefault="003F2A3D" w:rsidP="00F15A1A">
      <w:pPr>
        <w:pStyle w:val="Bullet"/>
      </w:pPr>
      <w:r>
        <w:t>38%</w:t>
      </w:r>
      <w:r w:rsidRPr="00131EE6">
        <w:t xml:space="preserve"> of </w:t>
      </w:r>
      <w:r>
        <w:t xml:space="preserve">all organisations </w:t>
      </w:r>
      <w:r w:rsidRPr="00131EE6">
        <w:t>indicated</w:t>
      </w:r>
      <w:r>
        <w:t xml:space="preserve"> </w:t>
      </w:r>
      <w:r w:rsidRPr="00131EE6">
        <w:t>they did not assess the risks of detrimental impacts that staff might experience from raising</w:t>
      </w:r>
      <w:r>
        <w:t xml:space="preserve"> </w:t>
      </w:r>
      <w:r w:rsidRPr="00131EE6">
        <w:t>wrongdoing concerns, either at all or until problems began to arise</w:t>
      </w:r>
      <w:r>
        <w:t>; and</w:t>
      </w:r>
    </w:p>
    <w:p w14:paraId="103BF573" w14:textId="77777777" w:rsidR="003F2A3D" w:rsidRDefault="00460AD6" w:rsidP="00F15A1A">
      <w:pPr>
        <w:pStyle w:val="Bullet"/>
      </w:pPr>
      <w:r>
        <w:t xml:space="preserve">Only </w:t>
      </w:r>
      <w:r w:rsidR="003F2A3D">
        <w:t xml:space="preserve">46% </w:t>
      </w:r>
      <w:r w:rsidR="003F2A3D" w:rsidRPr="00131EE6">
        <w:t>of all organisations</w:t>
      </w:r>
      <w:r w:rsidR="003F2A3D">
        <w:t xml:space="preserve"> </w:t>
      </w:r>
      <w:r w:rsidR="003F2A3D" w:rsidRPr="00131EE6">
        <w:t>provide</w:t>
      </w:r>
      <w:r>
        <w:t>d</w:t>
      </w:r>
      <w:r w:rsidR="003F2A3D" w:rsidRPr="00131EE6">
        <w:t xml:space="preserve"> potential </w:t>
      </w:r>
      <w:proofErr w:type="spellStart"/>
      <w:r w:rsidR="003F2A3D" w:rsidRPr="00131EE6">
        <w:t>whistleblowers</w:t>
      </w:r>
      <w:proofErr w:type="spellEnd"/>
      <w:r w:rsidR="003F2A3D" w:rsidRPr="00131EE6">
        <w:t xml:space="preserve"> with access to a management-designated support person</w:t>
      </w:r>
      <w:r w:rsidR="003F2A3D">
        <w:t xml:space="preserve"> </w:t>
      </w:r>
      <w:r w:rsidR="003F2A3D" w:rsidRPr="00131EE6">
        <w:t>inside the organisation as part of their</w:t>
      </w:r>
      <w:r w:rsidR="003F2A3D">
        <w:t xml:space="preserve"> response. </w:t>
      </w:r>
    </w:p>
    <w:p w14:paraId="103BF574" w14:textId="77777777" w:rsidR="005C6E9D" w:rsidRPr="00A95723" w:rsidRDefault="005C6E9D">
      <w:pPr>
        <w:pStyle w:val="Heading3"/>
      </w:pPr>
      <w:bookmarkStart w:id="118" w:name="_Toc468977743"/>
      <w:bookmarkStart w:id="119" w:name="_Toc468995343"/>
      <w:r w:rsidRPr="00A95723">
        <w:t>Senate Inquiry into the Scrutiny of Financial Advice</w:t>
      </w:r>
      <w:bookmarkEnd w:id="117"/>
      <w:bookmarkEnd w:id="118"/>
      <w:bookmarkEnd w:id="119"/>
    </w:p>
    <w:p w14:paraId="103BF575" w14:textId="291D6EFE" w:rsidR="005C6E9D" w:rsidRDefault="005C6E9D" w:rsidP="005C6E9D">
      <w:r>
        <w:t xml:space="preserve">Corporate </w:t>
      </w:r>
      <w:proofErr w:type="spellStart"/>
      <w:r>
        <w:t>whistleblower</w:t>
      </w:r>
      <w:proofErr w:type="spellEnd"/>
      <w:r>
        <w:t xml:space="preserve"> protections have also been reviewed in the context of the Senate Economics References Committee Inquiry into the Scrutiny of Financial Advice, which on </w:t>
      </w:r>
      <w:r w:rsidRPr="008E6E3C">
        <w:t>21</w:t>
      </w:r>
      <w:r>
        <w:t> </w:t>
      </w:r>
      <w:r w:rsidRPr="008E6E3C">
        <w:t>April 2016</w:t>
      </w:r>
      <w:r>
        <w:t>, released a related</w:t>
      </w:r>
      <w:r w:rsidRPr="008E6E3C">
        <w:t xml:space="preserve"> issue</w:t>
      </w:r>
      <w:r>
        <w:t>s</w:t>
      </w:r>
      <w:r w:rsidRPr="008E6E3C">
        <w:t xml:space="preserve"> paper </w:t>
      </w:r>
      <w:r w:rsidRPr="0039112B">
        <w:t>titled</w:t>
      </w:r>
      <w:r w:rsidRPr="00581DBA">
        <w:rPr>
          <w:i/>
        </w:rPr>
        <w:t xml:space="preserve"> ‘Corporate whistleblowing in Australia: ending corporate Australia’s cultures of silence’</w:t>
      </w:r>
      <w:r w:rsidRPr="008C524B">
        <w:t>. On 11 October 2016, the Senate agreed to the commit</w:t>
      </w:r>
      <w:r w:rsidR="004841B1">
        <w:t>tee's recommendation that this I</w:t>
      </w:r>
      <w:r w:rsidRPr="008C524B">
        <w:t xml:space="preserve">nquiry be </w:t>
      </w:r>
      <w:r w:rsidRPr="008C524B" w:rsidDel="00460AD6">
        <w:t>re-</w:t>
      </w:r>
      <w:r w:rsidR="00460AD6">
        <w:t>established</w:t>
      </w:r>
      <w:r w:rsidRPr="008C524B">
        <w:t xml:space="preserve"> in the 45th Parliament</w:t>
      </w:r>
      <w:r w:rsidR="00460AD6">
        <w:t xml:space="preserve"> (it was prorogued following the double dissolution of Parliament in 2016) to consider further </w:t>
      </w:r>
      <w:proofErr w:type="spellStart"/>
      <w:r w:rsidR="00460AD6">
        <w:t>whistleblower</w:t>
      </w:r>
      <w:proofErr w:type="spellEnd"/>
      <w:r w:rsidR="00460AD6">
        <w:t xml:space="preserve"> protections</w:t>
      </w:r>
      <w:r w:rsidRPr="008C524B">
        <w:t>. The committee is due to report by 30 June 2017</w:t>
      </w:r>
      <w:r>
        <w:t>.</w:t>
      </w:r>
    </w:p>
    <w:p w14:paraId="103BF576" w14:textId="77777777" w:rsidR="00033819" w:rsidRDefault="00033819">
      <w:pPr>
        <w:spacing w:after="0" w:line="240" w:lineRule="auto"/>
        <w:jc w:val="left"/>
        <w:rPr>
          <w:rFonts w:ascii="Calibri" w:hAnsi="Calibri" w:cs="Arial"/>
          <w:b/>
          <w:bCs/>
          <w:color w:val="1F497D" w:themeColor="text2"/>
          <w:sz w:val="29"/>
          <w:szCs w:val="29"/>
        </w:rPr>
      </w:pPr>
      <w:bookmarkStart w:id="120" w:name="_Toc468977744"/>
      <w:bookmarkStart w:id="121" w:name="_Toc468995344"/>
      <w:bookmarkStart w:id="122" w:name="_Toc468971467"/>
      <w:r>
        <w:br w:type="page"/>
      </w:r>
    </w:p>
    <w:p w14:paraId="103BF577" w14:textId="77777777" w:rsidR="00837A08" w:rsidRPr="00A95723" w:rsidRDefault="00837A08">
      <w:pPr>
        <w:pStyle w:val="Heading3"/>
      </w:pPr>
      <w:r w:rsidRPr="00A95723">
        <w:lastRenderedPageBreak/>
        <w:t>Senate Inquiry into Foreign Bribery</w:t>
      </w:r>
      <w:bookmarkEnd w:id="120"/>
      <w:bookmarkEnd w:id="121"/>
      <w:r w:rsidRPr="00A95723">
        <w:t xml:space="preserve"> </w:t>
      </w:r>
    </w:p>
    <w:p w14:paraId="103BF578" w14:textId="22BCE738" w:rsidR="00837A08" w:rsidRDefault="00837A08" w:rsidP="00837A08">
      <w:r w:rsidRPr="00BD07D5">
        <w:t xml:space="preserve">The adequacy of private sector </w:t>
      </w:r>
      <w:proofErr w:type="spellStart"/>
      <w:r w:rsidRPr="00BD07D5">
        <w:t>whistleblowers</w:t>
      </w:r>
      <w:proofErr w:type="spellEnd"/>
      <w:r w:rsidRPr="00BD07D5">
        <w:t xml:space="preserve"> provisions has also been considered by the Senate Economics References Committee Inquiry into Foreign Bribery</w:t>
      </w:r>
      <w:r>
        <w:t xml:space="preserve">. To </w:t>
      </w:r>
      <w:r w:rsidRPr="00BD07D5">
        <w:t>inform this Inquiry, Heads of Commonwealth Operational Law Enforcement Agencies (HOCOLEA</w:t>
      </w:r>
      <w:proofErr w:type="gramStart"/>
      <w:r w:rsidRPr="00BD07D5">
        <w:t xml:space="preserve">) </w:t>
      </w:r>
      <w:r w:rsidR="005E5708">
        <w:t xml:space="preserve"> </w:t>
      </w:r>
      <w:r w:rsidRPr="00BD07D5">
        <w:t>released</w:t>
      </w:r>
      <w:proofErr w:type="gramEnd"/>
      <w:r w:rsidRPr="00BD07D5">
        <w:t xml:space="preserve"> f</w:t>
      </w:r>
      <w:r>
        <w:t xml:space="preserve">or comment a </w:t>
      </w:r>
      <w:r w:rsidRPr="00BD07D5">
        <w:t>paper</w:t>
      </w:r>
      <w:r w:rsidR="00A3298F">
        <w:t xml:space="preserve"> </w:t>
      </w:r>
      <w:r w:rsidRPr="00BD07D5">
        <w:t>discussing </w:t>
      </w:r>
      <w:hyperlink r:id="rId36" w:history="1">
        <w:r w:rsidRPr="00BD07D5">
          <w:t xml:space="preserve">possible options </w:t>
        </w:r>
      </w:hyperlink>
      <w:r w:rsidRPr="00BD07D5">
        <w:t>to encourage, and possibly incentivise corporate whistleblowing.</w:t>
      </w:r>
      <w:r>
        <w:t xml:space="preserve"> Having </w:t>
      </w:r>
      <w:r w:rsidR="00460AD6">
        <w:t>been prorogued</w:t>
      </w:r>
      <w:r>
        <w:t xml:space="preserve"> due to the dissolution of the Parliament, this Inquiry has been </w:t>
      </w:r>
      <w:r w:rsidDel="00460AD6">
        <w:t>re-</w:t>
      </w:r>
      <w:r w:rsidR="00460AD6">
        <w:t>established</w:t>
      </w:r>
      <w:r>
        <w:t xml:space="preserve"> in the 45</w:t>
      </w:r>
      <w:r w:rsidRPr="00BD07D5">
        <w:rPr>
          <w:vertAlign w:val="superscript"/>
        </w:rPr>
        <w:t>th</w:t>
      </w:r>
      <w:r>
        <w:t xml:space="preserve"> Parliament and is </w:t>
      </w:r>
      <w:r w:rsidR="00460AD6">
        <w:t xml:space="preserve">also </w:t>
      </w:r>
      <w:r>
        <w:t>due to report by 30 June 2017.</w:t>
      </w:r>
    </w:p>
    <w:p w14:paraId="103BF579" w14:textId="77777777" w:rsidR="005C6E9D" w:rsidRPr="00A95723" w:rsidRDefault="005C6E9D">
      <w:pPr>
        <w:pStyle w:val="Heading3"/>
      </w:pPr>
      <w:bookmarkStart w:id="123" w:name="_Toc468977745"/>
      <w:bookmarkStart w:id="124" w:name="_Toc468995345"/>
      <w:r w:rsidRPr="00A95723">
        <w:t xml:space="preserve">Australian Bankers’ Association (ABA) </w:t>
      </w:r>
      <w:hyperlink r:id="rId37" w:tgtFrame="_blank" w:history="1">
        <w:proofErr w:type="spellStart"/>
        <w:r w:rsidRPr="00A95723">
          <w:t>whistleblower</w:t>
        </w:r>
        <w:proofErr w:type="spellEnd"/>
        <w:r w:rsidRPr="00A95723">
          <w:t xml:space="preserve"> principles</w:t>
        </w:r>
        <w:bookmarkEnd w:id="122"/>
        <w:bookmarkEnd w:id="123"/>
        <w:bookmarkEnd w:id="124"/>
      </w:hyperlink>
    </w:p>
    <w:p w14:paraId="103BF57A" w14:textId="77777777" w:rsidR="005C6E9D" w:rsidRDefault="005C6E9D" w:rsidP="005C6E9D">
      <w:r>
        <w:t>On 12 October 2016, the</w:t>
      </w:r>
      <w:r w:rsidRPr="005C6E9D">
        <w:t xml:space="preserve"> </w:t>
      </w:r>
      <w:r w:rsidRPr="00F73BC8">
        <w:t>Australian Bankers’ Association</w:t>
      </w:r>
      <w:r>
        <w:t xml:space="preserve"> (ABA) released for consultation </w:t>
      </w:r>
      <w:hyperlink r:id="rId38" w:tgtFrame="_blank" w:history="1">
        <w:r w:rsidRPr="0094314C">
          <w:t>draft principles</w:t>
        </w:r>
      </w:hyperlink>
      <w:r w:rsidRPr="0094314C">
        <w:t xml:space="preserve"> on how banks can strengthen their existing </w:t>
      </w:r>
      <w:proofErr w:type="spellStart"/>
      <w:r w:rsidRPr="0094314C">
        <w:t>whistleblower</w:t>
      </w:r>
      <w:proofErr w:type="spellEnd"/>
      <w:r w:rsidRPr="0094314C">
        <w:t xml:space="preserve"> programs, based on an analysis of international best practice standards</w:t>
      </w:r>
      <w:r>
        <w:t>.</w:t>
      </w:r>
    </w:p>
    <w:p w14:paraId="103BF57B" w14:textId="77777777" w:rsidR="005C6E9D" w:rsidRDefault="005C6E9D" w:rsidP="005C6E9D">
      <w:r w:rsidRPr="0094314C">
        <w:t xml:space="preserve">The principles </w:t>
      </w:r>
      <w:r w:rsidR="00780AE2">
        <w:t xml:space="preserve">will require </w:t>
      </w:r>
      <w:r w:rsidRPr="0094314C">
        <w:t xml:space="preserve">banks to ensure their </w:t>
      </w:r>
      <w:proofErr w:type="spellStart"/>
      <w:r w:rsidRPr="0094314C">
        <w:t>whistleblower</w:t>
      </w:r>
      <w:proofErr w:type="spellEnd"/>
      <w:r w:rsidRPr="0094314C">
        <w:t xml:space="preserve"> policies and programs meet the highest standards by July 2017.</w:t>
      </w:r>
    </w:p>
    <w:p w14:paraId="103BF57C" w14:textId="77777777" w:rsidR="00F15A1A" w:rsidRPr="00F15A1A" w:rsidRDefault="00F15A1A" w:rsidP="00F15A1A">
      <w:pPr>
        <w:sectPr w:rsidR="00F15A1A" w:rsidRPr="00F15A1A" w:rsidSect="00D20567">
          <w:pgSz w:w="11906" w:h="16838" w:code="9"/>
          <w:pgMar w:top="1418" w:right="1418" w:bottom="1418" w:left="1418" w:header="709" w:footer="709" w:gutter="0"/>
          <w:cols w:space="708"/>
          <w:titlePg/>
          <w:docGrid w:linePitch="360"/>
        </w:sectPr>
      </w:pPr>
      <w:bookmarkStart w:id="125" w:name="_Toc468971469"/>
      <w:bookmarkStart w:id="126" w:name="_Toc468977746"/>
      <w:bookmarkStart w:id="127" w:name="_Toc468995346"/>
    </w:p>
    <w:p w14:paraId="103BF57D" w14:textId="77777777" w:rsidR="00717F1E" w:rsidRPr="00D20567" w:rsidRDefault="00B65404" w:rsidP="00D20567">
      <w:pPr>
        <w:pStyle w:val="Heading1-Numbered"/>
      </w:pPr>
      <w:bookmarkStart w:id="128" w:name="_Toc469407747"/>
      <w:bookmarkStart w:id="129" w:name="_Toc469407838"/>
      <w:r w:rsidRPr="00D20567">
        <w:lastRenderedPageBreak/>
        <w:t>Options for enhancing corporate whistleblower protections</w:t>
      </w:r>
      <w:bookmarkEnd w:id="125"/>
      <w:bookmarkEnd w:id="126"/>
      <w:bookmarkEnd w:id="127"/>
      <w:bookmarkEnd w:id="128"/>
      <w:bookmarkEnd w:id="129"/>
    </w:p>
    <w:p w14:paraId="103BF57E" w14:textId="77777777" w:rsidR="00956FCB" w:rsidRDefault="00956FCB" w:rsidP="005C6E9D">
      <w:pPr>
        <w:spacing w:after="0"/>
      </w:pPr>
      <w:r>
        <w:t>It is evident from the foregoing that tax and corporate sector whistleblowing provisions in Australia lag those of the public sector and those of comparable overseas jurisdictions. The balance of this paper is directed first, in this section (8), to the range of options available to improve corporate sector protections and secondly, in section 9, to a proposal to establish specific tax law provisions. Comment is invited on all of these proposals.</w:t>
      </w:r>
    </w:p>
    <w:p w14:paraId="103BF57F" w14:textId="77777777" w:rsidR="005327CE" w:rsidRPr="00F15A1A" w:rsidRDefault="00846CB3" w:rsidP="00F15A1A">
      <w:pPr>
        <w:pStyle w:val="Heading2NotNumbered"/>
        <w:ind w:right="-113"/>
        <w:rPr>
          <w:spacing w:val="-6"/>
        </w:rPr>
      </w:pPr>
      <w:bookmarkStart w:id="130" w:name="_Toc469407748"/>
      <w:bookmarkStart w:id="131" w:name="_Toc469407839"/>
      <w:r w:rsidRPr="00F15A1A">
        <w:rPr>
          <w:spacing w:val="-6"/>
        </w:rPr>
        <w:t>Categories</w:t>
      </w:r>
      <w:bookmarkStart w:id="132" w:name="_Toc468971470"/>
      <w:bookmarkStart w:id="133" w:name="_Toc468977747"/>
      <w:bookmarkStart w:id="134" w:name="_Toc468995347"/>
      <w:bookmarkStart w:id="135" w:name="_Toc465344820"/>
      <w:bookmarkStart w:id="136" w:name="_Toc465418799"/>
      <w:r w:rsidRPr="00F15A1A">
        <w:rPr>
          <w:spacing w:val="-6"/>
        </w:rPr>
        <w:t xml:space="preserve"> of qualifying</w:t>
      </w:r>
      <w:r w:rsidR="005327CE" w:rsidRPr="00F15A1A">
        <w:rPr>
          <w:spacing w:val="-6"/>
        </w:rPr>
        <w:t xml:space="preserve"> '</w:t>
      </w:r>
      <w:proofErr w:type="spellStart"/>
      <w:r w:rsidR="005327CE" w:rsidRPr="00F15A1A">
        <w:rPr>
          <w:spacing w:val="-6"/>
        </w:rPr>
        <w:t>whistleblower</w:t>
      </w:r>
      <w:r w:rsidRPr="00F15A1A">
        <w:rPr>
          <w:spacing w:val="-6"/>
        </w:rPr>
        <w:t>s</w:t>
      </w:r>
      <w:proofErr w:type="spellEnd"/>
      <w:r w:rsidR="005327CE" w:rsidRPr="00F15A1A">
        <w:rPr>
          <w:spacing w:val="-6"/>
        </w:rPr>
        <w:t>'</w:t>
      </w:r>
      <w:bookmarkEnd w:id="132"/>
      <w:bookmarkEnd w:id="133"/>
      <w:bookmarkEnd w:id="134"/>
      <w:r w:rsidR="00956FCB" w:rsidRPr="00F15A1A">
        <w:rPr>
          <w:spacing w:val="-6"/>
        </w:rPr>
        <w:t xml:space="preserve"> – </w:t>
      </w:r>
      <w:r w:rsidRPr="00F15A1A">
        <w:rPr>
          <w:spacing w:val="-6"/>
        </w:rPr>
        <w:t>are they</w:t>
      </w:r>
      <w:r w:rsidR="00956FCB" w:rsidRPr="00F15A1A">
        <w:rPr>
          <w:spacing w:val="-6"/>
        </w:rPr>
        <w:t xml:space="preserve"> too narrow?</w:t>
      </w:r>
      <w:bookmarkEnd w:id="130"/>
      <w:bookmarkEnd w:id="131"/>
    </w:p>
    <w:p w14:paraId="103BF580" w14:textId="77777777" w:rsidR="00850070" w:rsidRDefault="00956FCB" w:rsidP="00DD436F">
      <w:pPr>
        <w:pStyle w:val="OutlineNumbered1"/>
        <w:numPr>
          <w:ilvl w:val="0"/>
          <w:numId w:val="0"/>
        </w:numPr>
      </w:pPr>
      <w:proofErr w:type="spellStart"/>
      <w:r>
        <w:t>W</w:t>
      </w:r>
      <w:r w:rsidR="00DD436F">
        <w:t>histleblower</w:t>
      </w:r>
      <w:proofErr w:type="spellEnd"/>
      <w:r w:rsidR="00DD436F">
        <w:t xml:space="preserve"> protections under the Corporations Act </w:t>
      </w:r>
      <w:r>
        <w:t xml:space="preserve">presently only </w:t>
      </w:r>
      <w:r w:rsidR="00DD436F">
        <w:t>apply to current</w:t>
      </w:r>
      <w:r w:rsidR="00DD436F" w:rsidRPr="00EF26E3">
        <w:t xml:space="preserve"> officer</w:t>
      </w:r>
      <w:r w:rsidR="00DD436F">
        <w:t>s</w:t>
      </w:r>
      <w:r w:rsidR="008441C0">
        <w:rPr>
          <w:rStyle w:val="FootnoteReference"/>
        </w:rPr>
        <w:footnoteReference w:id="11"/>
      </w:r>
      <w:r w:rsidR="00DD436F" w:rsidRPr="00EF26E3">
        <w:t xml:space="preserve"> or employee</w:t>
      </w:r>
      <w:r w:rsidR="00DD436F">
        <w:t>s</w:t>
      </w:r>
      <w:r w:rsidR="00DD436F" w:rsidRPr="00EF26E3">
        <w:t xml:space="preserve"> of the company</w:t>
      </w:r>
      <w:r w:rsidR="002354A0">
        <w:t>,</w:t>
      </w:r>
      <w:r w:rsidR="00DD436F">
        <w:t xml:space="preserve"> or contracto</w:t>
      </w:r>
      <w:r w:rsidR="00DD436F" w:rsidRPr="00EF26E3">
        <w:t>r</w:t>
      </w:r>
      <w:r w:rsidR="00DD436F">
        <w:t xml:space="preserve">s </w:t>
      </w:r>
      <w:r w:rsidR="00846CB3">
        <w:t xml:space="preserve">who supply services or goods </w:t>
      </w:r>
      <w:r w:rsidR="00DD436F">
        <w:t>to the company.</w:t>
      </w:r>
    </w:p>
    <w:p w14:paraId="103BF581" w14:textId="48A38667" w:rsidR="002354A0" w:rsidRDefault="002354A0" w:rsidP="00535FB4">
      <w:pPr>
        <w:pStyle w:val="OutlineNumbered1"/>
        <w:numPr>
          <w:ilvl w:val="0"/>
          <w:numId w:val="0"/>
        </w:numPr>
      </w:pPr>
      <w:r>
        <w:t>This</w:t>
      </w:r>
      <w:r w:rsidR="005434CE">
        <w:t xml:space="preserve"> </w:t>
      </w:r>
      <w:r w:rsidR="005E5708">
        <w:t>qualification</w:t>
      </w:r>
      <w:r w:rsidR="005434CE">
        <w:t xml:space="preserve"> </w:t>
      </w:r>
      <w:r>
        <w:t>appears to be</w:t>
      </w:r>
      <w:r w:rsidR="00521E2D" w:rsidDel="002354A0">
        <w:t xml:space="preserve"> </w:t>
      </w:r>
      <w:r w:rsidR="005434CE">
        <w:t xml:space="preserve">narrow </w:t>
      </w:r>
      <w:r>
        <w:t xml:space="preserve">relative to other jurisdictions as it excludes people who may have information that ought to be investigated such as former company officers and staff. The limitation to current officers and staff was </w:t>
      </w:r>
      <w:r w:rsidR="00846CB3">
        <w:t>presumably</w:t>
      </w:r>
      <w:r>
        <w:t xml:space="preserve"> intended originally because of the view that reprisals could not be made against former officers or staff. What this view </w:t>
      </w:r>
      <w:proofErr w:type="spellStart"/>
      <w:r>
        <w:t>misses</w:t>
      </w:r>
      <w:r w:rsidR="005C51C3">
        <w:t>n</w:t>
      </w:r>
      <w:proofErr w:type="spellEnd"/>
      <w:r>
        <w:t xml:space="preserve"> however</w:t>
      </w:r>
      <w:r w:rsidR="008E3E86">
        <w:t>,</w:t>
      </w:r>
      <w:r>
        <w:t xml:space="preserve"> is the fact that </w:t>
      </w:r>
      <w:proofErr w:type="spellStart"/>
      <w:r>
        <w:t>whistleblower</w:t>
      </w:r>
      <w:proofErr w:type="spellEnd"/>
      <w:r>
        <w:t xml:space="preserve"> provisions are not concerned solely with mitigating the effect of reprisals but also with providing statutory immunities from suits or prosecutions and providing an incentive to come for</w:t>
      </w:r>
      <w:r w:rsidR="00706CBB">
        <w:t>ward</w:t>
      </w:r>
      <w:r w:rsidR="005E5708">
        <w:t>.</w:t>
      </w:r>
      <w:r w:rsidR="00706CBB">
        <w:t xml:space="preserve"> </w:t>
      </w:r>
      <w:r w:rsidR="000B2D7D">
        <w:t>At</w:t>
      </w:r>
      <w:r w:rsidR="00706CBB">
        <w:t xml:space="preserve"> present</w:t>
      </w:r>
      <w:r w:rsidR="005E5708">
        <w:t>,</w:t>
      </w:r>
      <w:r w:rsidR="00706CBB">
        <w:t xml:space="preserve"> there is no incentive for former officers, staff or contractors to come forward as they</w:t>
      </w:r>
      <w:r w:rsidR="009A6A3E">
        <w:t xml:space="preserve"> are not covered by the existing provisions.</w:t>
      </w:r>
    </w:p>
    <w:p w14:paraId="103BF582" w14:textId="77777777" w:rsidR="00535FB4" w:rsidRDefault="002354A0" w:rsidP="00535FB4">
      <w:pPr>
        <w:pStyle w:val="OutlineNumbered1"/>
        <w:numPr>
          <w:ilvl w:val="0"/>
          <w:numId w:val="0"/>
        </w:numPr>
      </w:pPr>
      <w:r>
        <w:t>A simple amendment to extend the definition so it covers at least</w:t>
      </w:r>
      <w:r w:rsidR="005434CE">
        <w:t xml:space="preserve"> a company's former employees</w:t>
      </w:r>
      <w:r w:rsidR="00846CB3">
        <w:t xml:space="preserve"> and contractors</w:t>
      </w:r>
      <w:r>
        <w:t xml:space="preserve"> would align the Corporations Act with</w:t>
      </w:r>
      <w:r w:rsidR="00535FB4">
        <w:t xml:space="preserve"> the </w:t>
      </w:r>
      <w:r w:rsidR="00C507B2">
        <w:t>RO Act</w:t>
      </w:r>
      <w:r w:rsidR="00471989">
        <w:t xml:space="preserve">, </w:t>
      </w:r>
      <w:r w:rsidR="00535FB4">
        <w:t>AUS-PIDA, UK-PIDA</w:t>
      </w:r>
      <w:r>
        <w:t xml:space="preserve"> and</w:t>
      </w:r>
      <w:r w:rsidR="00535FB4" w:rsidDel="002354A0">
        <w:t xml:space="preserve"> </w:t>
      </w:r>
      <w:r w:rsidR="00535FB4">
        <w:t>US WPA which protect both current and former employees.</w:t>
      </w:r>
      <w:r w:rsidR="00846CB3">
        <w:t xml:space="preserve"> </w:t>
      </w:r>
    </w:p>
    <w:p w14:paraId="103BF583" w14:textId="0DFD6BEF" w:rsidR="00345AA4" w:rsidRDefault="00846CB3" w:rsidP="00CB2A7D">
      <w:r>
        <w:t>The amendment could be expanded to include financial services providers, lawyers</w:t>
      </w:r>
      <w:r w:rsidR="00033819">
        <w:t>,</w:t>
      </w:r>
      <w:r w:rsidR="009A6A3E">
        <w:rPr>
          <w:rStyle w:val="FootnoteReference"/>
        </w:rPr>
        <w:footnoteReference w:id="12"/>
      </w:r>
      <w:r>
        <w:t xml:space="preserve"> accountants, unpaid workers and business partners </w:t>
      </w:r>
      <w:r w:rsidR="00345AA4">
        <w:t>as these people are also likely in some cases to</w:t>
      </w:r>
      <w:r w:rsidR="00CB2A7D">
        <w:t xml:space="preserve"> </w:t>
      </w:r>
      <w:r w:rsidR="00521E2D">
        <w:t>hold information about suspected misconduct by a company</w:t>
      </w:r>
      <w:r w:rsidR="00345AA4">
        <w:t xml:space="preserve"> by reason of their dealings with the company</w:t>
      </w:r>
      <w:r w:rsidR="00CB2A7D">
        <w:t xml:space="preserve">. </w:t>
      </w:r>
      <w:r w:rsidR="00345AA4">
        <w:t>Arguably all of these categories except</w:t>
      </w:r>
      <w:r w:rsidR="00345AA4" w:rsidDel="000E14AF">
        <w:t xml:space="preserve"> </w:t>
      </w:r>
      <w:r w:rsidR="00345AA4">
        <w:t>unpai</w:t>
      </w:r>
      <w:r w:rsidR="002D057A">
        <w:t>d workers and business partners</w:t>
      </w:r>
      <w:r w:rsidR="00345AA4">
        <w:t xml:space="preserve"> already qualify under the contractor limb because they </w:t>
      </w:r>
      <w:r w:rsidR="005E5708">
        <w:t xml:space="preserve">would </w:t>
      </w:r>
      <w:r w:rsidR="00033819">
        <w:t>‘</w:t>
      </w:r>
      <w:r w:rsidR="00345AA4">
        <w:t>supply services</w:t>
      </w:r>
      <w:r w:rsidR="00033819">
        <w:t xml:space="preserve">’ </w:t>
      </w:r>
      <w:r w:rsidR="00345AA4">
        <w:t>to the company</w:t>
      </w:r>
      <w:r w:rsidR="005E5708">
        <w:t xml:space="preserve"> under a contract. However</w:t>
      </w:r>
      <w:r w:rsidR="00345AA4">
        <w:t xml:space="preserve">, this does not seem to be the conclusion reached by the </w:t>
      </w:r>
      <w:r w:rsidR="00CB2A7D">
        <w:t xml:space="preserve">Committee </w:t>
      </w:r>
      <w:r w:rsidR="001D5632">
        <w:t>responsible for the Inquiry into the Performance of ASIC</w:t>
      </w:r>
      <w:r w:rsidR="00345AA4">
        <w:t>. That</w:t>
      </w:r>
      <w:r w:rsidR="001D5632" w:rsidDel="00345AA4">
        <w:t xml:space="preserve"> </w:t>
      </w:r>
      <w:r w:rsidR="001D5632">
        <w:t>Committee</w:t>
      </w:r>
      <w:r w:rsidR="00345AA4">
        <w:t xml:space="preserve"> expressly recommended</w:t>
      </w:r>
      <w:r w:rsidR="00521E2D" w:rsidDel="00345AA4">
        <w:t xml:space="preserve"> </w:t>
      </w:r>
      <w:r w:rsidR="00521E2D">
        <w:t xml:space="preserve">that </w:t>
      </w:r>
      <w:r w:rsidR="00345AA4">
        <w:t xml:space="preserve">these other classes of people be considered for inclusion as </w:t>
      </w:r>
      <w:proofErr w:type="spellStart"/>
      <w:r w:rsidR="00521E2D">
        <w:t>whistleblowers</w:t>
      </w:r>
      <w:proofErr w:type="spellEnd"/>
      <w:r w:rsidR="00345AA4">
        <w:t xml:space="preserve">. To remove any doubt or ambiguity, the contractor provision could be </w:t>
      </w:r>
      <w:r w:rsidR="005E5708">
        <w:t>clarified</w:t>
      </w:r>
      <w:r w:rsidR="00345AA4">
        <w:t>.</w:t>
      </w:r>
    </w:p>
    <w:p w14:paraId="103BF584" w14:textId="77777777" w:rsidR="00781477" w:rsidRDefault="00345AA4" w:rsidP="00CB2A7D">
      <w:r>
        <w:lastRenderedPageBreak/>
        <w:t xml:space="preserve">There is no need to include company auditors in the list of qualifying </w:t>
      </w:r>
      <w:proofErr w:type="spellStart"/>
      <w:r>
        <w:t>whistleblowers</w:t>
      </w:r>
      <w:proofErr w:type="spellEnd"/>
      <w:r>
        <w:t xml:space="preserve"> because </w:t>
      </w:r>
      <w:r w:rsidR="00706CBB">
        <w:t xml:space="preserve">there is a separate mandatory disclosure requirement for auditors under the Corporations Act (see s.311) and auditors are among the class of people to whom disclosures can be made by </w:t>
      </w:r>
      <w:proofErr w:type="spellStart"/>
      <w:r w:rsidR="00706CBB">
        <w:t>whistleblowers</w:t>
      </w:r>
      <w:proofErr w:type="spellEnd"/>
      <w:r w:rsidR="00706CBB">
        <w:t xml:space="preserve"> under the Act.</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781477" w:rsidRPr="00781477" w14:paraId="103BF589" w14:textId="77777777" w:rsidTr="00F15A1A">
        <w:tc>
          <w:tcPr>
            <w:tcW w:w="9286" w:type="dxa"/>
            <w:shd w:val="clear" w:color="auto" w:fill="DBE5F1" w:themeFill="accent1" w:themeFillTint="33"/>
          </w:tcPr>
          <w:p w14:paraId="103BF585" w14:textId="77777777" w:rsidR="00781477" w:rsidRPr="00F15A1A" w:rsidRDefault="00781477" w:rsidP="00F15A1A">
            <w:pPr>
              <w:pStyle w:val="BoxHeadingnonumber"/>
            </w:pPr>
            <w:r w:rsidRPr="00F15A1A">
              <w:t>Questions</w:t>
            </w:r>
          </w:p>
          <w:p w14:paraId="103BF586" w14:textId="77777777" w:rsidR="00781477" w:rsidRPr="00F15A1A" w:rsidRDefault="00781477" w:rsidP="00F15A1A">
            <w:pPr>
              <w:pStyle w:val="BoxQuestions"/>
            </w:pPr>
            <w:r w:rsidRPr="00F15A1A">
              <w:t xml:space="preserve">Do you believe that the Corporations Act categories of </w:t>
            </w:r>
            <w:proofErr w:type="spellStart"/>
            <w:r w:rsidRPr="00F15A1A">
              <w:t>whistleblower</w:t>
            </w:r>
            <w:proofErr w:type="spellEnd"/>
            <w:r w:rsidRPr="00F15A1A">
              <w:t xml:space="preserve"> should be expanded to former officers, staff and contractors?</w:t>
            </w:r>
          </w:p>
          <w:p w14:paraId="103BF587" w14:textId="77777777" w:rsidR="00781477" w:rsidRPr="00F15A1A" w:rsidRDefault="00781477" w:rsidP="00F15A1A">
            <w:pPr>
              <w:pStyle w:val="BoxQuestions"/>
            </w:pPr>
            <w:r w:rsidRPr="00F15A1A">
              <w:t>Should it be made clear that the categories include other people associated with the company such as a company's former employees, financial services providers, accountants and auditors, unpaid workers and business partners?</w:t>
            </w:r>
          </w:p>
          <w:p w14:paraId="103BF588" w14:textId="77777777" w:rsidR="00781477" w:rsidRPr="00F15A1A" w:rsidRDefault="00781477" w:rsidP="00F15A1A">
            <w:pPr>
              <w:pStyle w:val="BoxQuestions"/>
            </w:pPr>
            <w:r w:rsidRPr="00F15A1A">
              <w:t xml:space="preserve">Are there any other types of </w:t>
            </w:r>
            <w:proofErr w:type="spellStart"/>
            <w:r w:rsidRPr="00F15A1A">
              <w:t>whistleblowers</w:t>
            </w:r>
            <w:proofErr w:type="spellEnd"/>
            <w:r w:rsidRPr="00F15A1A">
              <w:t xml:space="preserve"> that should be included, and if so, why?</w:t>
            </w:r>
          </w:p>
        </w:tc>
      </w:tr>
    </w:tbl>
    <w:p w14:paraId="103BF58A" w14:textId="77777777" w:rsidR="005327CE" w:rsidRPr="00E80530" w:rsidRDefault="008A7E8A">
      <w:pPr>
        <w:pStyle w:val="Heading3"/>
      </w:pPr>
      <w:bookmarkStart w:id="137" w:name="_Toc468971471"/>
      <w:bookmarkStart w:id="138" w:name="_Toc468977748"/>
      <w:bookmarkStart w:id="139" w:name="_Toc468995348"/>
      <w:r w:rsidRPr="00E80530">
        <w:t>Subject matter</w:t>
      </w:r>
      <w:r w:rsidR="005327CE" w:rsidRPr="00E80530">
        <w:t xml:space="preserve"> of disclosures covered by </w:t>
      </w:r>
      <w:proofErr w:type="spellStart"/>
      <w:r w:rsidR="005327CE" w:rsidRPr="00E80530">
        <w:t>whistleblower</w:t>
      </w:r>
      <w:proofErr w:type="spellEnd"/>
      <w:r w:rsidR="005327CE" w:rsidRPr="00E80530">
        <w:t xml:space="preserve"> protections</w:t>
      </w:r>
      <w:bookmarkEnd w:id="137"/>
      <w:bookmarkEnd w:id="138"/>
      <w:bookmarkEnd w:id="139"/>
      <w:r w:rsidR="0029368B" w:rsidRPr="00E80530">
        <w:t xml:space="preserve"> –</w:t>
      </w:r>
      <w:r w:rsidR="00033819">
        <w:br/>
      </w:r>
      <w:r w:rsidR="0029368B" w:rsidRPr="00E80530">
        <w:t>are these wide enough?</w:t>
      </w:r>
    </w:p>
    <w:p w14:paraId="103BF58B" w14:textId="77777777" w:rsidR="008A7E8A" w:rsidRDefault="00CE638D" w:rsidP="00CD4870">
      <w:r>
        <w:t xml:space="preserve">To qualify for </w:t>
      </w:r>
      <w:r w:rsidR="00D030D2">
        <w:t xml:space="preserve">current </w:t>
      </w:r>
      <w:r>
        <w:t xml:space="preserve">protections </w:t>
      </w:r>
      <w:r w:rsidR="008A7E8A">
        <w:t xml:space="preserve">the disclosure must be in relation to </w:t>
      </w:r>
      <w:r w:rsidR="00111D1A">
        <w:t xml:space="preserve">a </w:t>
      </w:r>
      <w:r w:rsidR="008A7E8A">
        <w:t xml:space="preserve">defined subject matter, namely the </w:t>
      </w:r>
      <w:proofErr w:type="gramStart"/>
      <w:r w:rsidR="008A7E8A">
        <w:t>corporations</w:t>
      </w:r>
      <w:proofErr w:type="gramEnd"/>
      <w:r w:rsidR="008A7E8A">
        <w:t xml:space="preserve"> legislation</w:t>
      </w:r>
      <w:r w:rsidR="008A7E8A">
        <w:rPr>
          <w:rStyle w:val="FootnoteReference"/>
        </w:rPr>
        <w:footnoteReference w:id="13"/>
      </w:r>
      <w:r w:rsidR="008A7E8A">
        <w:t xml:space="preserve">, and the discloser </w:t>
      </w:r>
      <w:r w:rsidR="00C933FE">
        <w:t xml:space="preserve">must have reasonable grounds to suspect </w:t>
      </w:r>
      <w:r w:rsidR="00D030D2">
        <w:t xml:space="preserve">an actual or potential contravention of </w:t>
      </w:r>
      <w:r w:rsidR="008A7E8A">
        <w:t>the legislation has occurred</w:t>
      </w:r>
      <w:r w:rsidR="00D030D2">
        <w:t>.</w:t>
      </w:r>
      <w:r w:rsidR="00D01BED">
        <w:t xml:space="preserve"> </w:t>
      </w:r>
    </w:p>
    <w:p w14:paraId="103BF58C" w14:textId="77777777" w:rsidR="00F50885" w:rsidRDefault="00D01BED" w:rsidP="00CD4870">
      <w:r>
        <w:t xml:space="preserve">The </w:t>
      </w:r>
      <w:r w:rsidR="008A7E8A">
        <w:t xml:space="preserve">subject matter qualification does not fully </w:t>
      </w:r>
      <w:r w:rsidR="0029368B">
        <w:t>support the range of investigative work that ASIC may undertake as part of its</w:t>
      </w:r>
      <w:r w:rsidR="008A7E8A">
        <w:t xml:space="preserve"> remit</w:t>
      </w:r>
      <w:r w:rsidR="0029368B">
        <w:t>.</w:t>
      </w:r>
      <w:r w:rsidR="008A7E8A">
        <w:t xml:space="preserve"> </w:t>
      </w:r>
      <w:r w:rsidR="0029368B">
        <w:t>That</w:t>
      </w:r>
      <w:r w:rsidR="008A7E8A">
        <w:t xml:space="preserve"> </w:t>
      </w:r>
      <w:r w:rsidR="0029368B">
        <w:t xml:space="preserve">is because ASIC’s </w:t>
      </w:r>
      <w:r w:rsidR="008A7E8A">
        <w:t xml:space="preserve">remit </w:t>
      </w:r>
      <w:r w:rsidR="0029368B">
        <w:t xml:space="preserve">covers not only those areas of regulatory responsibility expressly conferred upon ASIC under the corporations legislation but also those conferred upon ASIC under other statutes. </w:t>
      </w:r>
    </w:p>
    <w:p w14:paraId="103BF58D" w14:textId="50CAE8C6" w:rsidR="0029368B" w:rsidRDefault="0029368B" w:rsidP="00CD4870">
      <w:r>
        <w:t xml:space="preserve">This might suggest that the current framework is </w:t>
      </w:r>
      <w:r w:rsidR="00CE68CB">
        <w:t xml:space="preserve">inadequate </w:t>
      </w:r>
      <w:r>
        <w:t>given</w:t>
      </w:r>
      <w:r w:rsidR="00CE68CB">
        <w:t xml:space="preserve"> A</w:t>
      </w:r>
      <w:r w:rsidR="00D01BED">
        <w:t xml:space="preserve">SIC relies on </w:t>
      </w:r>
      <w:r>
        <w:t xml:space="preserve">a variety of </w:t>
      </w:r>
      <w:r w:rsidR="00D01BED">
        <w:t xml:space="preserve">reports of misconduct to </w:t>
      </w:r>
      <w:r w:rsidR="00CD4870">
        <w:t>support a robust regulatory framework</w:t>
      </w:r>
      <w:r w:rsidR="00CE68CB">
        <w:t xml:space="preserve">. </w:t>
      </w:r>
      <w:r w:rsidR="00F50885">
        <w:t xml:space="preserve">However, the gap </w:t>
      </w:r>
      <w:r>
        <w:t xml:space="preserve">only exists to the extent that the other statutes do not include </w:t>
      </w:r>
      <w:proofErr w:type="spellStart"/>
      <w:r>
        <w:t>whistleblower</w:t>
      </w:r>
      <w:proofErr w:type="spellEnd"/>
      <w:r>
        <w:t xml:space="preserve"> provisions. As noted in section 3 above a number of </w:t>
      </w:r>
      <w:r w:rsidR="00F50885">
        <w:t>these other</w:t>
      </w:r>
      <w:r>
        <w:t xml:space="preserve"> statutes </w:t>
      </w:r>
      <w:r w:rsidR="00E70D8A">
        <w:t xml:space="preserve">include </w:t>
      </w:r>
      <w:proofErr w:type="spellStart"/>
      <w:r w:rsidR="00E70D8A">
        <w:t>whistleblower</w:t>
      </w:r>
      <w:proofErr w:type="spellEnd"/>
      <w:r w:rsidR="00F50885">
        <w:t xml:space="preserve"> protections. </w:t>
      </w:r>
      <w:r w:rsidR="005E5708">
        <w:t>By contrast, t</w:t>
      </w:r>
      <w:r w:rsidR="00F50885" w:rsidRPr="004F3689">
        <w:t xml:space="preserve">here are no </w:t>
      </w:r>
      <w:proofErr w:type="spellStart"/>
      <w:r w:rsidR="00F50885" w:rsidRPr="004F3689">
        <w:t>whistleblower</w:t>
      </w:r>
      <w:proofErr w:type="spellEnd"/>
      <w:r w:rsidR="00F50885" w:rsidRPr="004F3689">
        <w:t xml:space="preserve"> provisions under credit legislation</w:t>
      </w:r>
      <w:r w:rsidR="00F50885">
        <w:t xml:space="preserve">, and there </w:t>
      </w:r>
      <w:r w:rsidR="005E5708">
        <w:t>is</w:t>
      </w:r>
      <w:r w:rsidR="00F50885">
        <w:t xml:space="preserve"> no reason to believe that the risk of misconduct in the financial system </w:t>
      </w:r>
      <w:r w:rsidR="005E5708">
        <w:t>stems only from</w:t>
      </w:r>
      <w:r w:rsidR="00F50885">
        <w:t xml:space="preserve"> financial services licensees but not credit licensees. So there is </w:t>
      </w:r>
      <w:r w:rsidR="000B2D7D">
        <w:t>logic</w:t>
      </w:r>
      <w:r w:rsidR="00F50885">
        <w:t xml:space="preserve"> to expanding the subject matter limitation to include breaches or potential breaches of any law administered by ASIC</w:t>
      </w:r>
      <w:r w:rsidR="00911689">
        <w:t xml:space="preserve"> if it is not already provided for as part of other </w:t>
      </w:r>
      <w:proofErr w:type="spellStart"/>
      <w:r w:rsidR="00911689">
        <w:t>whistleblower</w:t>
      </w:r>
      <w:proofErr w:type="spellEnd"/>
      <w:r w:rsidR="00911689">
        <w:t xml:space="preserve"> provisions.</w:t>
      </w:r>
    </w:p>
    <w:p w14:paraId="103BF58E" w14:textId="77777777" w:rsidR="00F50885" w:rsidRDefault="00911689" w:rsidP="00CD4870">
      <w:r>
        <w:t xml:space="preserve">This fragmented legislative approach (numerous statutes with separate, specific </w:t>
      </w:r>
      <w:proofErr w:type="spellStart"/>
      <w:r>
        <w:t>whistleblower</w:t>
      </w:r>
      <w:proofErr w:type="spellEnd"/>
      <w:r>
        <w:t xml:space="preserve"> regimes) is also problematic as potential </w:t>
      </w:r>
      <w:proofErr w:type="spellStart"/>
      <w:r>
        <w:t>whistleblowers</w:t>
      </w:r>
      <w:proofErr w:type="spellEnd"/>
      <w:r>
        <w:t xml:space="preserve"> might need to consult a number of statutes or a lawyer to determine whether they have protection or not</w:t>
      </w:r>
      <w:r w:rsidR="005E5708">
        <w:t>, adding unnecessary cost, uncertainty and delay</w:t>
      </w:r>
      <w:r>
        <w:t xml:space="preserve">. If a single general regime were to be adopted instead (either by amendment to the Corporations Act regime through the inclusion of a broader subject matter definition of the legislation that can be breached or via the development of a private sector </w:t>
      </w:r>
      <w:proofErr w:type="spellStart"/>
      <w:r>
        <w:t>whistleblower</w:t>
      </w:r>
      <w:proofErr w:type="spellEnd"/>
      <w:r>
        <w:t xml:space="preserve"> statute as a counterpart to the AUS-PIDA)</w:t>
      </w:r>
      <w:r w:rsidR="000D2BB6">
        <w:t xml:space="preserve">, </w:t>
      </w:r>
      <w:r w:rsidR="00A229B7">
        <w:t xml:space="preserve">this would significantly simplify the law and mean it is less likely that a </w:t>
      </w:r>
      <w:proofErr w:type="spellStart"/>
      <w:r w:rsidR="00A229B7">
        <w:t>whistleblower</w:t>
      </w:r>
      <w:proofErr w:type="spellEnd"/>
      <w:r w:rsidR="00A229B7">
        <w:t xml:space="preserve"> could fall between the gaps.</w:t>
      </w:r>
    </w:p>
    <w:p w14:paraId="103BF58F" w14:textId="234DB835" w:rsidR="00E84CBB" w:rsidRDefault="004211FB" w:rsidP="00CD4870">
      <w:r>
        <w:lastRenderedPageBreak/>
        <w:t xml:space="preserve">Adoption of </w:t>
      </w:r>
      <w:r w:rsidR="005E5708">
        <w:t>the former</w:t>
      </w:r>
      <w:r>
        <w:t xml:space="preserve"> approach to the</w:t>
      </w:r>
      <w:r w:rsidR="00BB1F63">
        <w:t xml:space="preserve"> corporate </w:t>
      </w:r>
      <w:proofErr w:type="spellStart"/>
      <w:r w:rsidR="00BB1F63">
        <w:t>whistleblower</w:t>
      </w:r>
      <w:proofErr w:type="spellEnd"/>
      <w:r w:rsidR="00BB1F63">
        <w:t xml:space="preserve"> </w:t>
      </w:r>
      <w:r>
        <w:t>regime would align it with</w:t>
      </w:r>
      <w:r w:rsidR="008B23BF">
        <w:t xml:space="preserve"> the RO </w:t>
      </w:r>
      <w:r w:rsidR="001D5632">
        <w:t>Act</w:t>
      </w:r>
      <w:r>
        <w:t xml:space="preserve"> regime</w:t>
      </w:r>
      <w:r w:rsidR="008B23BF">
        <w:t xml:space="preserve">, which extends the definition of ‘disclosable </w:t>
      </w:r>
      <w:r w:rsidR="00E70D8A">
        <w:t>conduct’ beyond</w:t>
      </w:r>
      <w:r w:rsidR="00BB1F63">
        <w:t xml:space="preserve"> a breach of workplace law to an</w:t>
      </w:r>
      <w:r>
        <w:t>y</w:t>
      </w:r>
      <w:r w:rsidR="00BB1F63">
        <w:t xml:space="preserve"> </w:t>
      </w:r>
      <w:r>
        <w:t>‘</w:t>
      </w:r>
      <w:r w:rsidR="00BB1F63">
        <w:t>act or omission that (...) constitutes, or may constitute, an offence against a law of the Commonwealth.</w:t>
      </w:r>
      <w:r w:rsidR="00111D1A" w:rsidRPr="00111D1A">
        <w:t xml:space="preserve"> </w:t>
      </w:r>
      <w:r w:rsidR="000B2D7D" w:rsidRPr="00111D1A">
        <w:t>‘</w:t>
      </w:r>
      <w:r w:rsidR="000B2D7D">
        <w:t>An</w:t>
      </w:r>
      <w:r w:rsidR="00057203">
        <w:t xml:space="preserve"> expansion of this kind to the Corporations Act regime might appear too broad</w:t>
      </w:r>
      <w:r w:rsidR="00C827B8">
        <w:t xml:space="preserve"> at first blush</w:t>
      </w:r>
      <w:r w:rsidR="00E84CBB">
        <w:t>, although an even wider approach is mandated to the reporting of suspect transactions</w:t>
      </w:r>
      <w:r w:rsidR="00E84CBB">
        <w:rPr>
          <w:rStyle w:val="FootnoteReference"/>
        </w:rPr>
        <w:footnoteReference w:id="14"/>
      </w:r>
      <w:r w:rsidR="00E84CBB">
        <w:t xml:space="preserve"> and some crimes in Australia</w:t>
      </w:r>
      <w:r w:rsidR="00057203">
        <w:t xml:space="preserve">.  </w:t>
      </w:r>
    </w:p>
    <w:p w14:paraId="103BF590" w14:textId="77777777" w:rsidR="00CD4870" w:rsidRDefault="00E84CBB" w:rsidP="00CD4870">
      <w:r>
        <w:t>T</w:t>
      </w:r>
      <w:r w:rsidR="00057203">
        <w:t>he immense range of corporate activity in Australia</w:t>
      </w:r>
      <w:r w:rsidR="00FC5FC7">
        <w:t xml:space="preserve"> </w:t>
      </w:r>
      <w:r w:rsidR="00C827B8">
        <w:t xml:space="preserve">would also appear to </w:t>
      </w:r>
      <w:r w:rsidR="00FC5FC7">
        <w:t>justify such an expansion</w:t>
      </w:r>
      <w:r>
        <w:t xml:space="preserve"> to cover at least Commonwealth law</w:t>
      </w:r>
      <w:r w:rsidR="00C827B8">
        <w:t>,</w:t>
      </w:r>
      <w:r>
        <w:t xml:space="preserve"> or more broadly</w:t>
      </w:r>
      <w:r w:rsidR="00C827B8">
        <w:t>,</w:t>
      </w:r>
      <w:r>
        <w:t xml:space="preserve"> because n</w:t>
      </w:r>
      <w:r w:rsidR="00FC5FC7">
        <w:t>ot all corporate offences are covered by the Corporations Act. Fraud, money laundering, bribery or corruption, and legislation addressing work</w:t>
      </w:r>
      <w:r w:rsidR="00C827B8">
        <w:t>,</w:t>
      </w:r>
      <w:r w:rsidR="00FC5FC7">
        <w:t xml:space="preserve"> health and safety and environmental protection are examples of activities that are not regulated under the Act. While offences under the latter legislation (which are generally State controlled) are governed by other regulators, fraud, bribery and corruption are matters of concern to ASIC </w:t>
      </w:r>
      <w:r w:rsidR="00C827B8">
        <w:t>(</w:t>
      </w:r>
      <w:r w:rsidR="00FC5FC7">
        <w:t>if they are indicative of systemic or cultural issues</w:t>
      </w:r>
      <w:r w:rsidR="00C827B8">
        <w:t xml:space="preserve">, </w:t>
      </w:r>
      <w:r w:rsidR="00FC5FC7">
        <w:t>might cause financial reports of listed companies to be materially inaccurate</w:t>
      </w:r>
      <w:r w:rsidR="00C827B8">
        <w:t>,</w:t>
      </w:r>
      <w:r w:rsidR="00FC5FC7">
        <w:t xml:space="preserve"> or heighten the risk of insolvency and consequential losses to investors</w:t>
      </w:r>
      <w:r w:rsidR="00C827B8">
        <w:t>)</w:t>
      </w:r>
      <w:r w:rsidR="00CE374F">
        <w:t>.</w:t>
      </w:r>
      <w:r w:rsidR="00FC5FC7">
        <w:t xml:space="preserve"> </w:t>
      </w:r>
    </w:p>
    <w:p w14:paraId="103BF591" w14:textId="77777777" w:rsidR="002C0260" w:rsidRDefault="004211FB" w:rsidP="002C0260">
      <w:r>
        <w:t>A number</w:t>
      </w:r>
      <w:r w:rsidR="008217C7">
        <w:t xml:space="preserve"> of i</w:t>
      </w:r>
      <w:r w:rsidR="004E1B2E">
        <w:t xml:space="preserve">ndependent </w:t>
      </w:r>
      <w:r w:rsidR="000E55ED">
        <w:t>evaluations</w:t>
      </w:r>
      <w:r>
        <w:rPr>
          <w:rStyle w:val="FootnoteReference"/>
        </w:rPr>
        <w:footnoteReference w:id="15"/>
      </w:r>
      <w:r w:rsidR="000E55ED">
        <w:t xml:space="preserve"> </w:t>
      </w:r>
      <w:r>
        <w:t>also</w:t>
      </w:r>
      <w:r w:rsidR="000E55ED">
        <w:t xml:space="preserve"> support the view </w:t>
      </w:r>
      <w:r w:rsidR="004E1B2E">
        <w:t xml:space="preserve">that </w:t>
      </w:r>
      <w:r w:rsidR="000E55ED">
        <w:t xml:space="preserve">protections </w:t>
      </w:r>
      <w:r w:rsidR="004E1B2E">
        <w:t xml:space="preserve">can be strengthened by expanding the scope of </w:t>
      </w:r>
      <w:r w:rsidR="00335728">
        <w:t>information that is covered</w:t>
      </w:r>
      <w:r w:rsidR="00BB1F63">
        <w:t xml:space="preserve"> and making </w:t>
      </w:r>
      <w:r w:rsidR="00D21AB8">
        <w:t>them</w:t>
      </w:r>
      <w:r w:rsidR="00BB1F63">
        <w:t xml:space="preserve"> comprehensive</w:t>
      </w:r>
      <w:r w:rsidR="00D21AB8">
        <w:t xml:space="preserve"> across </w:t>
      </w:r>
      <w:r w:rsidR="00F6258F">
        <w:t>C</w:t>
      </w:r>
      <w:r w:rsidR="00D21AB8">
        <w:t>ommonwealth legislation</w:t>
      </w:r>
      <w:r>
        <w:t>,</w:t>
      </w:r>
      <w:r w:rsidR="00D21AB8">
        <w:t xml:space="preserve"> as opposed to </w:t>
      </w:r>
      <w:r w:rsidR="00BB1F63">
        <w:t xml:space="preserve">siloed in individual </w:t>
      </w:r>
      <w:r w:rsidR="00D21AB8">
        <w:t>acts</w:t>
      </w:r>
      <w:r w:rsidR="00BB1F63">
        <w:t xml:space="preserve"> (</w:t>
      </w:r>
      <w:proofErr w:type="spellStart"/>
      <w:r w:rsidR="00F6258F">
        <w:t>eg</w:t>
      </w:r>
      <w:proofErr w:type="spellEnd"/>
      <w:r w:rsidR="00F6258F">
        <w:t xml:space="preserve">. </w:t>
      </w:r>
      <w:r w:rsidR="00BB1F63">
        <w:t>Corporations Act</w:t>
      </w:r>
      <w:r w:rsidR="00CE374F">
        <w:t>,</w:t>
      </w:r>
      <w:r w:rsidR="00BB1F63">
        <w:t xml:space="preserve"> Banking Act, Fair Work Act)</w:t>
      </w:r>
      <w:r w:rsidR="000E55ED">
        <w:t xml:space="preserve">. </w:t>
      </w:r>
      <w:r>
        <w:t>Conversely,</w:t>
      </w:r>
      <w:r w:rsidR="002C0260">
        <w:t xml:space="preserve"> the </w:t>
      </w:r>
      <w:r>
        <w:t>R</w:t>
      </w:r>
      <w:r w:rsidR="002C0260">
        <w:t xml:space="preserve">eview of AUS-PIDA </w:t>
      </w:r>
      <w:r>
        <w:t>was critical of the broad subject matter approach</w:t>
      </w:r>
      <w:r w:rsidR="002C0260">
        <w:t xml:space="preserve"> </w:t>
      </w:r>
      <w:r>
        <w:t xml:space="preserve">taken under that statute to </w:t>
      </w:r>
      <w:r w:rsidR="002C0260">
        <w:t xml:space="preserve">disclosable conduct </w:t>
      </w:r>
      <w:r>
        <w:t>because</w:t>
      </w:r>
      <w:r w:rsidR="002C0260">
        <w:t xml:space="preserve"> </w:t>
      </w:r>
      <w:r>
        <w:t>it appeared to have encouraged reporting of</w:t>
      </w:r>
      <w:r w:rsidR="002C0260">
        <w:t xml:space="preserve"> </w:t>
      </w:r>
      <w:r w:rsidR="00394A93">
        <w:t xml:space="preserve">personal grievances and other </w:t>
      </w:r>
      <w:r>
        <w:t>in</w:t>
      </w:r>
      <w:r w:rsidR="002C0260">
        <w:t xml:space="preserve">significant </w:t>
      </w:r>
      <w:r w:rsidR="00394A93">
        <w:t>matters</w:t>
      </w:r>
      <w:r w:rsidR="00F6258F">
        <w:t>,</w:t>
      </w:r>
      <w:r w:rsidR="00394A93">
        <w:t xml:space="preserve"> </w:t>
      </w:r>
      <w:r>
        <w:t xml:space="preserve">but few reports of serious fraud or misconduct. </w:t>
      </w:r>
      <w:r w:rsidR="002C0260">
        <w:t xml:space="preserve">The </w:t>
      </w:r>
      <w:r w:rsidR="00394A93">
        <w:t>R</w:t>
      </w:r>
      <w:r w:rsidR="002C0260">
        <w:t xml:space="preserve">eview recommended narrowing the scope </w:t>
      </w:r>
      <w:r w:rsidR="00394A93">
        <w:t xml:space="preserve">of the relevant AUS-PIDA provisions </w:t>
      </w:r>
      <w:r w:rsidR="002C0260">
        <w:t xml:space="preserve">by excluding matters solely related to personal employment-related grievances </w:t>
      </w:r>
      <w:r w:rsidR="00394A93">
        <w:t xml:space="preserve">that </w:t>
      </w:r>
      <w:r w:rsidR="002C0260">
        <w:t>are better dealt with through other existing processes.</w:t>
      </w:r>
    </w:p>
    <w:p w14:paraId="103BF592" w14:textId="77777777" w:rsidR="00E053FD" w:rsidRDefault="00E053FD" w:rsidP="002C0260">
      <w:r>
        <w:t xml:space="preserve">There is no evidence to suggest that this has been a problem under the Corporations Act regime. However, if amendments were to be made to expand the scope of the subject matter requirements as discussed above one means of striking an appropriate balance would be to introduce a concept of seriousness or materiality which could be coupled with these requirements. This would also be advantageous to ASIC as it would ensure that only more serious or significant breaches were reported, consistent with the approach currently applied </w:t>
      </w:r>
      <w:r w:rsidR="00057203">
        <w:t>to financial services licensee self-reporting requirements</w:t>
      </w:r>
      <w:r w:rsidR="00057203">
        <w:rPr>
          <w:rStyle w:val="FootnoteReference"/>
        </w:rPr>
        <w:footnoteReference w:id="16"/>
      </w:r>
      <w:r w:rsidR="00057203">
        <w:t>.</w:t>
      </w:r>
    </w:p>
    <w:p w14:paraId="103BF593" w14:textId="77777777" w:rsidR="00057203" w:rsidRPr="00E80530" w:rsidRDefault="00057203">
      <w:pPr>
        <w:pStyle w:val="Heading3"/>
      </w:pPr>
      <w:r w:rsidRPr="00E80530">
        <w:t>Good faith obligation – is it effective?</w:t>
      </w:r>
    </w:p>
    <w:p w14:paraId="103BF594" w14:textId="77777777" w:rsidR="006E278C" w:rsidRDefault="00E053FD">
      <w:pPr>
        <w:pStyle w:val="Bullet"/>
        <w:numPr>
          <w:ilvl w:val="0"/>
          <w:numId w:val="0"/>
        </w:numPr>
      </w:pPr>
      <w:r>
        <w:t>The</w:t>
      </w:r>
      <w:r w:rsidR="006E278C">
        <w:t xml:space="preserve"> good faith </w:t>
      </w:r>
      <w:r>
        <w:t xml:space="preserve">reporting requirement under the current Corporations Act regime was </w:t>
      </w:r>
      <w:r w:rsidR="00057203">
        <w:t xml:space="preserve">included </w:t>
      </w:r>
      <w:r>
        <w:t>originally to minimise the risk of personal grievances being reported since it e</w:t>
      </w:r>
      <w:r w:rsidR="00057203">
        <w:t>xcluded</w:t>
      </w:r>
      <w:r>
        <w:t xml:space="preserve"> protection for any reports made</w:t>
      </w:r>
      <w:r w:rsidR="006E278C">
        <w:t xml:space="preserve"> malicious</w:t>
      </w:r>
      <w:r>
        <w:t>ly</w:t>
      </w:r>
      <w:r w:rsidR="006E278C">
        <w:t xml:space="preserve"> or </w:t>
      </w:r>
      <w:r>
        <w:t xml:space="preserve">with an ulterior </w:t>
      </w:r>
      <w:r w:rsidR="006E278C">
        <w:t>motiv</w:t>
      </w:r>
      <w:r w:rsidR="00B2426B">
        <w:t>e</w:t>
      </w:r>
      <w:r w:rsidR="006E278C">
        <w:t xml:space="preserve">. </w:t>
      </w:r>
      <w:r w:rsidR="0054602B">
        <w:t xml:space="preserve">This </w:t>
      </w:r>
      <w:r w:rsidR="00057203">
        <w:lastRenderedPageBreak/>
        <w:t>obligation</w:t>
      </w:r>
      <w:r w:rsidR="00634EE6">
        <w:t>,</w:t>
      </w:r>
      <w:r w:rsidR="00057203">
        <w:t xml:space="preserve"> however</w:t>
      </w:r>
      <w:r w:rsidR="00634EE6">
        <w:t>,</w:t>
      </w:r>
      <w:r w:rsidR="00057203">
        <w:t xml:space="preserve"> could have the effect of discouraging </w:t>
      </w:r>
      <w:proofErr w:type="spellStart"/>
      <w:r w:rsidR="0054602B">
        <w:t>whistleblowers</w:t>
      </w:r>
      <w:proofErr w:type="spellEnd"/>
      <w:r w:rsidR="0054602B">
        <w:t xml:space="preserve"> from coming forward if they </w:t>
      </w:r>
      <w:r w:rsidR="00057203">
        <w:t>have multiple motives for making the disclosure, including self-interest.</w:t>
      </w:r>
    </w:p>
    <w:p w14:paraId="103BF595" w14:textId="77777777" w:rsidR="00781477" w:rsidRDefault="00057203" w:rsidP="00957BFC">
      <w:r>
        <w:t xml:space="preserve">Although there is no evidence that </w:t>
      </w:r>
      <w:r w:rsidR="00B2426B">
        <w:t xml:space="preserve">this </w:t>
      </w:r>
      <w:r>
        <w:t>has been the case under the Corporations Act regime</w:t>
      </w:r>
      <w:r w:rsidR="00B2426B">
        <w:t xml:space="preserve"> it may be </w:t>
      </w:r>
      <w:r w:rsidR="00F130B6">
        <w:t xml:space="preserve">appropriate </w:t>
      </w:r>
      <w:r>
        <w:t>nonetheless to consider whether</w:t>
      </w:r>
      <w:r w:rsidR="00F130B6">
        <w:t xml:space="preserve"> an objective test </w:t>
      </w:r>
      <w:r w:rsidR="00DA2549">
        <w:t xml:space="preserve">should </w:t>
      </w:r>
      <w:r w:rsidR="00F130B6">
        <w:t xml:space="preserve">be introduced, regardless of what the </w:t>
      </w:r>
      <w:proofErr w:type="spellStart"/>
      <w:r w:rsidR="00F130B6">
        <w:t>whistleblower</w:t>
      </w:r>
      <w:proofErr w:type="spellEnd"/>
      <w:r w:rsidR="00F130B6">
        <w:t xml:space="preserve"> believes. Such a test may require that a d</w:t>
      </w:r>
      <w:r w:rsidR="004E1B2E">
        <w:t xml:space="preserve">isclosure be based on an honest belief, </w:t>
      </w:r>
      <w:r w:rsidR="00DA2549">
        <w:t xml:space="preserve">held </w:t>
      </w:r>
      <w:r w:rsidR="004E1B2E">
        <w:t xml:space="preserve">on reasonable </w:t>
      </w:r>
      <w:proofErr w:type="gramStart"/>
      <w:r w:rsidR="004E1B2E">
        <w:t>grounds, that</w:t>
      </w:r>
      <w:proofErr w:type="gramEnd"/>
      <w:r w:rsidR="004E1B2E">
        <w:t xml:space="preserve"> the information disclosed sho</w:t>
      </w:r>
      <w:r w:rsidR="00F130B6">
        <w:t>ws or tends to show wrongdoing</w:t>
      </w:r>
      <w:r w:rsidR="00DA2549">
        <w:t xml:space="preserve"> has occurred</w:t>
      </w:r>
      <w:r w:rsidR="00F130B6">
        <w:t xml:space="preserve">. This is would </w:t>
      </w:r>
      <w:r w:rsidR="00DA2549">
        <w:t xml:space="preserve">align </w:t>
      </w:r>
      <w:r w:rsidR="00F130B6">
        <w:t xml:space="preserve">protections </w:t>
      </w:r>
      <w:r w:rsidR="00DA2549">
        <w:t>under the corporations regime</w:t>
      </w:r>
      <w:r w:rsidR="00F130B6">
        <w:t xml:space="preserve"> with </w:t>
      </w:r>
      <w:r w:rsidR="004C4529">
        <w:t>the RO Act</w:t>
      </w:r>
      <w:r w:rsidR="00D21AB8">
        <w:t xml:space="preserve">, </w:t>
      </w:r>
      <w:r w:rsidR="00F130B6">
        <w:t xml:space="preserve">AUS-PIDA, and international protections </w:t>
      </w:r>
      <w:r w:rsidR="00DA2549">
        <w:t>under</w:t>
      </w:r>
      <w:r w:rsidR="00F130B6">
        <w:t xml:space="preserve"> </w:t>
      </w:r>
      <w:r w:rsidR="004E1B2E">
        <w:t>UK-PIDA</w:t>
      </w:r>
      <w:r w:rsidR="00DA2549">
        <w:t>.</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781477" w14:paraId="103BF599" w14:textId="77777777" w:rsidTr="00F15A1A">
        <w:tc>
          <w:tcPr>
            <w:tcW w:w="9286" w:type="dxa"/>
            <w:shd w:val="clear" w:color="auto" w:fill="DBE5F1" w:themeFill="accent1" w:themeFillTint="33"/>
          </w:tcPr>
          <w:p w14:paraId="103BF596" w14:textId="77777777" w:rsidR="00781477" w:rsidRDefault="00322E77" w:rsidP="00F15A1A">
            <w:pPr>
              <w:pStyle w:val="BoxHeadingnonumber"/>
            </w:pPr>
            <w:r>
              <w:t>Questions</w:t>
            </w:r>
          </w:p>
          <w:p w14:paraId="103BF597" w14:textId="77777777" w:rsidR="00322E77" w:rsidRPr="00F15A1A" w:rsidRDefault="00322E77" w:rsidP="00F15A1A">
            <w:pPr>
              <w:pStyle w:val="BoxQuestions"/>
            </w:pPr>
            <w:r w:rsidRPr="00F15A1A">
              <w:t>Should the scope of information disclosed be extended? If so please indicate whether you agree with any of the options discussed above, and why. If you do not believe any of the above options should be considered please explain why not and whether there are any other options that could be considered instead.</w:t>
            </w:r>
          </w:p>
          <w:p w14:paraId="103BF598" w14:textId="77777777" w:rsidR="00322E77" w:rsidRDefault="00322E77" w:rsidP="00F15A1A">
            <w:pPr>
              <w:pStyle w:val="BoxQuestions"/>
            </w:pPr>
            <w:r w:rsidRPr="00F15A1A">
              <w:t xml:space="preserve">Should the ‘good faith’ requirement be replaced by an objective test requiring the disclosure be made on ‘reasonable grounds’? </w:t>
            </w:r>
          </w:p>
        </w:tc>
      </w:tr>
    </w:tbl>
    <w:p w14:paraId="103BF59A" w14:textId="77777777" w:rsidR="00AC7FF4" w:rsidRPr="00E80530" w:rsidRDefault="00AC7FF4">
      <w:pPr>
        <w:pStyle w:val="Heading3"/>
      </w:pPr>
      <w:bookmarkStart w:id="140" w:name="_Toc468971472"/>
      <w:bookmarkStart w:id="141" w:name="_Toc468977749"/>
      <w:bookmarkStart w:id="142" w:name="_Toc468995349"/>
      <w:r w:rsidRPr="00E80530">
        <w:t>Anonymous disclosures</w:t>
      </w:r>
      <w:bookmarkEnd w:id="140"/>
      <w:bookmarkEnd w:id="141"/>
      <w:bookmarkEnd w:id="142"/>
      <w:r w:rsidRPr="00E80530">
        <w:t xml:space="preserve"> </w:t>
      </w:r>
    </w:p>
    <w:p w14:paraId="103BF59B" w14:textId="77777777" w:rsidR="00AC7FF4" w:rsidRPr="000E7DCA" w:rsidRDefault="00BE3A1A" w:rsidP="00AC7FF4">
      <w:pPr>
        <w:pStyle w:val="CommentText"/>
      </w:pPr>
      <w:r>
        <w:rPr>
          <w:sz w:val="22"/>
        </w:rPr>
        <w:t>C</w:t>
      </w:r>
      <w:r w:rsidRPr="00C75110">
        <w:rPr>
          <w:sz w:val="22"/>
        </w:rPr>
        <w:t>urrent</w:t>
      </w:r>
      <w:r>
        <w:rPr>
          <w:sz w:val="22"/>
        </w:rPr>
        <w:t>ly</w:t>
      </w:r>
      <w:r w:rsidRPr="00C75110">
        <w:rPr>
          <w:sz w:val="22"/>
        </w:rPr>
        <w:t xml:space="preserve"> anonymous disclosures </w:t>
      </w:r>
      <w:r>
        <w:rPr>
          <w:sz w:val="22"/>
        </w:rPr>
        <w:t>are not protected under Australian corporate law, yet they are protected in the public sector under</w:t>
      </w:r>
      <w:r w:rsidR="00BD041E">
        <w:rPr>
          <w:sz w:val="22"/>
        </w:rPr>
        <w:t xml:space="preserve"> </w:t>
      </w:r>
      <w:r w:rsidR="00E43865">
        <w:rPr>
          <w:sz w:val="22"/>
        </w:rPr>
        <w:t xml:space="preserve">the </w:t>
      </w:r>
      <w:r w:rsidR="00BD041E">
        <w:rPr>
          <w:sz w:val="22"/>
        </w:rPr>
        <w:t xml:space="preserve">AUS-PIDA. </w:t>
      </w:r>
      <w:r w:rsidR="00F6258F">
        <w:rPr>
          <w:sz w:val="22"/>
        </w:rPr>
        <w:t>R</w:t>
      </w:r>
      <w:r w:rsidR="000A56FA" w:rsidRPr="00C75110">
        <w:rPr>
          <w:sz w:val="22"/>
        </w:rPr>
        <w:t xml:space="preserve">ecently introduced amendments to the RO </w:t>
      </w:r>
      <w:r>
        <w:rPr>
          <w:sz w:val="22"/>
        </w:rPr>
        <w:t>Act</w:t>
      </w:r>
      <w:r w:rsidR="000A56FA">
        <w:rPr>
          <w:sz w:val="22"/>
        </w:rPr>
        <w:t xml:space="preserve"> </w:t>
      </w:r>
      <w:r w:rsidR="00F6258F">
        <w:rPr>
          <w:sz w:val="22"/>
        </w:rPr>
        <w:t xml:space="preserve">also </w:t>
      </w:r>
      <w:r w:rsidR="000A56FA">
        <w:rPr>
          <w:sz w:val="22"/>
        </w:rPr>
        <w:t xml:space="preserve">permit protections for </w:t>
      </w:r>
      <w:r w:rsidR="000A56FA" w:rsidRPr="00C75110">
        <w:rPr>
          <w:sz w:val="22"/>
        </w:rPr>
        <w:t xml:space="preserve">anonymous disclosures. </w:t>
      </w:r>
    </w:p>
    <w:p w14:paraId="103BF59C" w14:textId="77777777" w:rsidR="00AC7FF4" w:rsidRDefault="00747635" w:rsidP="00AC7FF4">
      <w:r>
        <w:t>Internationally, the UK-PIDA protects anonymous disclosures. Also, u</w:t>
      </w:r>
      <w:r w:rsidR="00914C1E">
        <w:t xml:space="preserve">nder the </w:t>
      </w:r>
      <w:r w:rsidR="00AC7FF4">
        <w:t>SOX</w:t>
      </w:r>
      <w:r w:rsidR="00914C1E">
        <w:t xml:space="preserve">, </w:t>
      </w:r>
      <w:r w:rsidR="00AC7FF4">
        <w:t xml:space="preserve">every public company in the US </w:t>
      </w:r>
      <w:r w:rsidR="00914C1E">
        <w:t xml:space="preserve">must </w:t>
      </w:r>
      <w:r w:rsidR="00AC7FF4">
        <w:t>establish mechanisms which allow employees to provide information anonymously (</w:t>
      </w:r>
      <w:r w:rsidR="00B65404">
        <w:t xml:space="preserve">for example, </w:t>
      </w:r>
      <w:r w:rsidR="00AC7FF4">
        <w:t xml:space="preserve">via an anonymous hotline) to the company's board of directors. </w:t>
      </w:r>
    </w:p>
    <w:p w14:paraId="103BF59D" w14:textId="77777777" w:rsidR="003F687F" w:rsidRDefault="003F687F" w:rsidP="00AC7FF4">
      <w:r>
        <w:t xml:space="preserve">In the absence of a compelling policy rationale for a difference to be maintained between the </w:t>
      </w:r>
      <w:r w:rsidR="000A56FA">
        <w:t xml:space="preserve">corporate, </w:t>
      </w:r>
      <w:r>
        <w:t xml:space="preserve">public sectors </w:t>
      </w:r>
      <w:r w:rsidR="000A56FA">
        <w:t xml:space="preserve">and </w:t>
      </w:r>
      <w:r w:rsidR="007F5060">
        <w:t xml:space="preserve">the </w:t>
      </w:r>
      <w:r w:rsidR="000A56FA">
        <w:t>RO legislation</w:t>
      </w:r>
      <w:r>
        <w:t xml:space="preserve"> in Australia, it appears sensible to allow anonymity with appropriate conditions. </w:t>
      </w:r>
      <w:r w:rsidR="00A73649">
        <w:t>It may still need to be coupled with additional protections</w:t>
      </w:r>
      <w:r w:rsidR="00AA0DB1">
        <w:t>,</w:t>
      </w:r>
      <w:r w:rsidR="00A73649">
        <w:t xml:space="preserve"> however</w:t>
      </w:r>
      <w:r w:rsidR="00AA0DB1">
        <w:t>,</w:t>
      </w:r>
      <w:r w:rsidR="00A73649">
        <w:t xml:space="preserve"> such as obligations which limit further use or disclosure of information in some circumstances</w:t>
      </w:r>
      <w:r w:rsidR="00AA0DB1">
        <w:t>,</w:t>
      </w:r>
      <w:r w:rsidR="00A73649">
        <w:t xml:space="preserve"> because sometimes the very nature of the information is such that the identity of the anonymous discloser can be deduced. This risk is higher if the information could only have come from one source.</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DF31F0" w14:paraId="103BF5A2" w14:textId="77777777" w:rsidTr="00F15A1A">
        <w:tc>
          <w:tcPr>
            <w:tcW w:w="9286" w:type="dxa"/>
            <w:shd w:val="clear" w:color="auto" w:fill="DBE5F1" w:themeFill="accent1" w:themeFillTint="33"/>
          </w:tcPr>
          <w:p w14:paraId="103BF59E" w14:textId="77777777" w:rsidR="00DF31F0" w:rsidRDefault="00DF31F0" w:rsidP="00F15A1A">
            <w:pPr>
              <w:pStyle w:val="BoxHeadingnonumber"/>
            </w:pPr>
            <w:r>
              <w:t>Questions</w:t>
            </w:r>
          </w:p>
          <w:p w14:paraId="103BF59F" w14:textId="77777777" w:rsidR="00DF31F0" w:rsidRPr="00F15A1A" w:rsidRDefault="00DF31F0" w:rsidP="00F15A1A">
            <w:pPr>
              <w:pStyle w:val="BoxQuestions"/>
            </w:pPr>
            <w:r w:rsidRPr="00F15A1A">
              <w:t>Should anonymous disclosures be protected?</w:t>
            </w:r>
          </w:p>
          <w:p w14:paraId="103BF5A0" w14:textId="77777777" w:rsidR="00DF31F0" w:rsidRPr="00F15A1A" w:rsidRDefault="00DF31F0" w:rsidP="00F15A1A">
            <w:pPr>
              <w:pStyle w:val="BoxQuestions"/>
            </w:pPr>
            <w:r w:rsidRPr="00F15A1A">
              <w:t xml:space="preserve">Should the information provided by anonymous </w:t>
            </w:r>
            <w:proofErr w:type="spellStart"/>
            <w:r w:rsidRPr="00F15A1A">
              <w:t>whistleblowers</w:t>
            </w:r>
            <w:proofErr w:type="spellEnd"/>
            <w:r w:rsidRPr="00F15A1A">
              <w:t xml:space="preserve"> also be subject to rules limiting further dissemination of the information if the information might reveal that person’s identity?</w:t>
            </w:r>
          </w:p>
          <w:p w14:paraId="103BF5A1" w14:textId="469F5982" w:rsidR="00DF31F0" w:rsidRDefault="00DF31F0" w:rsidP="00E70D8A">
            <w:pPr>
              <w:pStyle w:val="BoxQuestions"/>
            </w:pPr>
            <w:r w:rsidRPr="00F15A1A">
              <w:t>Should regulators be able to resist production of this information under warrants, subpoenas or Freedom of Information processes?</w:t>
            </w:r>
          </w:p>
        </w:tc>
      </w:tr>
    </w:tbl>
    <w:p w14:paraId="103BF5A3" w14:textId="77777777" w:rsidR="00033819" w:rsidRPr="00D20567" w:rsidRDefault="00033819" w:rsidP="00D20567">
      <w:bookmarkStart w:id="143" w:name="_Toc468971473"/>
      <w:bookmarkStart w:id="144" w:name="_Toc468977750"/>
      <w:bookmarkStart w:id="145" w:name="_Toc468995350"/>
      <w:bookmarkStart w:id="146" w:name="_Toc465344823"/>
      <w:bookmarkEnd w:id="135"/>
      <w:bookmarkEnd w:id="136"/>
    </w:p>
    <w:p w14:paraId="103BF5A4" w14:textId="77777777" w:rsidR="00685657" w:rsidRPr="00DF31F0" w:rsidRDefault="00685657">
      <w:pPr>
        <w:pStyle w:val="Heading3"/>
      </w:pPr>
      <w:r w:rsidRPr="00DF31F0">
        <w:lastRenderedPageBreak/>
        <w:t xml:space="preserve">To whom </w:t>
      </w:r>
      <w:r w:rsidR="00613BA6" w:rsidRPr="00DF31F0">
        <w:t xml:space="preserve">information may be </w:t>
      </w:r>
      <w:r w:rsidRPr="00DF31F0">
        <w:t>disclose</w:t>
      </w:r>
      <w:r w:rsidR="00613BA6" w:rsidRPr="00DF31F0">
        <w:t>d</w:t>
      </w:r>
      <w:bookmarkEnd w:id="143"/>
      <w:bookmarkEnd w:id="144"/>
      <w:bookmarkEnd w:id="145"/>
    </w:p>
    <w:p w14:paraId="103BF5A5" w14:textId="78D83687" w:rsidR="00FE1C5F" w:rsidRPr="00E44758" w:rsidRDefault="003F687F">
      <w:pPr>
        <w:rPr>
          <w:b/>
          <w:smallCaps/>
        </w:rPr>
      </w:pPr>
      <w:r>
        <w:t xml:space="preserve">The current corporate protections are limited </w:t>
      </w:r>
      <w:r w:rsidR="00B2426B">
        <w:t xml:space="preserve">to </w:t>
      </w:r>
      <w:r>
        <w:t>disclosures made to ASIC, the company’s auditor, or nominated persons within the company. In contrast,</w:t>
      </w:r>
      <w:r w:rsidR="007F5060">
        <w:t xml:space="preserve"> the RO </w:t>
      </w:r>
      <w:r w:rsidR="006B2660">
        <w:t>Act</w:t>
      </w:r>
      <w:r w:rsidR="007F5060">
        <w:t xml:space="preserve"> allows the disclosures to be made </w:t>
      </w:r>
      <w:r w:rsidR="006D79D8">
        <w:t xml:space="preserve">to </w:t>
      </w:r>
      <w:r w:rsidR="00E70D8A">
        <w:t>the</w:t>
      </w:r>
      <w:r w:rsidR="006D79D8">
        <w:t xml:space="preserve"> Registered Organisations Commission, Fair Work Ombudsman and Fair Work Commission via</w:t>
      </w:r>
      <w:r w:rsidR="007F5060">
        <w:t xml:space="preserve"> </w:t>
      </w:r>
      <w:r w:rsidR="00F6258F">
        <w:t>an</w:t>
      </w:r>
      <w:r w:rsidR="007F5060">
        <w:t xml:space="preserve"> ‘external’ party: a lawyer. Also</w:t>
      </w:r>
      <w:r>
        <w:t xml:space="preserve">, </w:t>
      </w:r>
      <w:r w:rsidR="00E43865">
        <w:t xml:space="preserve">the </w:t>
      </w:r>
      <w:r w:rsidR="00FE1C5F">
        <w:t xml:space="preserve">AUS-PIDA and UK-PIDA </w:t>
      </w:r>
      <w:r>
        <w:t>b</w:t>
      </w:r>
      <w:r w:rsidR="00FE1C5F">
        <w:t xml:space="preserve">oth provide </w:t>
      </w:r>
      <w:r w:rsidR="00FE1C5F" w:rsidRPr="00AA57FD">
        <w:t>a 'tiered' disclosure system</w:t>
      </w:r>
      <w:r>
        <w:t xml:space="preserve"> to allow disclosure to wider classes of people in emergencies or if the initial di</w:t>
      </w:r>
      <w:r w:rsidR="00365932">
        <w:t>sclosure has not been acted upon (effectively or at all)</w:t>
      </w:r>
      <w:r>
        <w:t xml:space="preserve">. </w:t>
      </w:r>
      <w:r w:rsidR="00ED1755">
        <w:t xml:space="preserve">Under </w:t>
      </w:r>
      <w:r w:rsidR="00E43865">
        <w:t xml:space="preserve">the </w:t>
      </w:r>
      <w:r w:rsidR="00ED1755">
        <w:t>UK</w:t>
      </w:r>
      <w:r w:rsidR="00453CAE">
        <w:t>-</w:t>
      </w:r>
      <w:r w:rsidR="00ED1755">
        <w:t xml:space="preserve">PIDA, </w:t>
      </w:r>
      <w:r w:rsidR="00E70D8A">
        <w:t xml:space="preserve">disclosures </w:t>
      </w:r>
      <w:r w:rsidR="00E70D8A" w:rsidRPr="00384466">
        <w:t>can</w:t>
      </w:r>
      <w:r w:rsidR="00FE1C5F" w:rsidRPr="00384466">
        <w:t xml:space="preserve"> be made to </w:t>
      </w:r>
      <w:r w:rsidR="00FE1C5F">
        <w:t>‘</w:t>
      </w:r>
      <w:r w:rsidR="00FE1C5F" w:rsidRPr="00384466">
        <w:t>external</w:t>
      </w:r>
      <w:r w:rsidR="00FE1C5F">
        <w:t>’</w:t>
      </w:r>
      <w:r w:rsidR="00FE1C5F" w:rsidRPr="00384466">
        <w:t xml:space="preserve"> individuals such as members of Parliament, </w:t>
      </w:r>
      <w:r>
        <w:t xml:space="preserve">lawyers, </w:t>
      </w:r>
      <w:r w:rsidR="00FE1C5F" w:rsidRPr="00384466">
        <w:t>the media</w:t>
      </w:r>
      <w:r>
        <w:t xml:space="preserve"> and others in addition to the usual categories</w:t>
      </w:r>
      <w:r w:rsidR="00FE1C5F" w:rsidRPr="00384466">
        <w:t xml:space="preserve">. However, </w:t>
      </w:r>
      <w:r w:rsidR="00453CAE">
        <w:t>as noted</w:t>
      </w:r>
      <w:r w:rsidR="00E43865">
        <w:t>,</w:t>
      </w:r>
      <w:r w:rsidR="00453CAE">
        <w:t xml:space="preserve"> </w:t>
      </w:r>
      <w:r w:rsidR="00FE1C5F" w:rsidRPr="00384466">
        <w:t xml:space="preserve">the </w:t>
      </w:r>
      <w:r w:rsidR="00453CAE">
        <w:t xml:space="preserve">need for </w:t>
      </w:r>
      <w:r w:rsidR="00FE1C5F" w:rsidRPr="00384466">
        <w:t xml:space="preserve">accuracy </w:t>
      </w:r>
      <w:r w:rsidR="00453CAE">
        <w:t xml:space="preserve">or </w:t>
      </w:r>
      <w:r>
        <w:t>urgency increase</w:t>
      </w:r>
      <w:r w:rsidR="00453CAE">
        <w:t>s</w:t>
      </w:r>
      <w:r>
        <w:t xml:space="preserve"> </w:t>
      </w:r>
      <w:r w:rsidR="00453CAE">
        <w:t>as the dissemination of the information widens</w:t>
      </w:r>
      <w:r w:rsidR="00FE1C5F" w:rsidRPr="00384466">
        <w:t>.</w:t>
      </w:r>
    </w:p>
    <w:p w14:paraId="103BF5A6" w14:textId="77777777" w:rsidR="008217C7" w:rsidRDefault="008217C7">
      <w:r>
        <w:t xml:space="preserve">The </w:t>
      </w:r>
      <w:r w:rsidR="00453CAE">
        <w:t>R</w:t>
      </w:r>
      <w:r>
        <w:t xml:space="preserve">eview of </w:t>
      </w:r>
      <w:r w:rsidR="00616D54">
        <w:t xml:space="preserve">the </w:t>
      </w:r>
      <w:r>
        <w:t>AUS-PIDA</w:t>
      </w:r>
      <w:r w:rsidR="00677F90">
        <w:t xml:space="preserve"> </w:t>
      </w:r>
      <w:r>
        <w:t>recommen</w:t>
      </w:r>
      <w:r w:rsidR="00677F90">
        <w:t>d</w:t>
      </w:r>
      <w:r w:rsidR="00453CAE">
        <w:t>ed</w:t>
      </w:r>
      <w:r w:rsidR="00677F90">
        <w:t xml:space="preserve"> </w:t>
      </w:r>
      <w:r w:rsidR="00B33363">
        <w:t>strengthening provisions allowing for external disclosure when the agency failed to conduct an adeq</w:t>
      </w:r>
      <w:r w:rsidR="00CC1209">
        <w:t xml:space="preserve">uate or timely investigation </w:t>
      </w:r>
      <w:r w:rsidR="00453CAE">
        <w:t>or did not</w:t>
      </w:r>
      <w:r w:rsidR="00B33363">
        <w:t xml:space="preserve"> adequately respond to the findings of an investigation. To make it easier for disclosers</w:t>
      </w:r>
      <w:r w:rsidR="007B16B6">
        <w:t xml:space="preserve"> (and potential disclosers)</w:t>
      </w:r>
      <w:r w:rsidR="00B33363">
        <w:t xml:space="preserve"> to get advice and help, the </w:t>
      </w:r>
      <w:r w:rsidR="00453CAE">
        <w:t>R</w:t>
      </w:r>
      <w:r w:rsidR="00B33363">
        <w:t>eview recommend</w:t>
      </w:r>
      <w:r w:rsidR="00453CAE">
        <w:t>ed</w:t>
      </w:r>
      <w:r w:rsidR="00B33363">
        <w:t xml:space="preserve"> </w:t>
      </w:r>
      <w:r w:rsidR="00677F90">
        <w:t xml:space="preserve">allowing disclosure for the purpose of seeking professional advice about using </w:t>
      </w:r>
      <w:r w:rsidR="00417F76">
        <w:t xml:space="preserve">the </w:t>
      </w:r>
      <w:r w:rsidR="00677F90">
        <w:t>AUS-PIDA.</w:t>
      </w:r>
    </w:p>
    <w:p w14:paraId="103BF5A7" w14:textId="77777777" w:rsidR="00FB4CEB" w:rsidRDefault="00453CAE">
      <w:r>
        <w:t>W</w:t>
      </w:r>
      <w:r w:rsidR="0012253D" w:rsidRPr="0012253D">
        <w:t>histleblowing</w:t>
      </w:r>
      <w:r w:rsidR="0012253D">
        <w:t xml:space="preserve"> </w:t>
      </w:r>
      <w:r>
        <w:t xml:space="preserve">to a wider class than currently provided for under the corporate regime </w:t>
      </w:r>
      <w:r w:rsidR="0012253D">
        <w:t xml:space="preserve">in appropriate circumstances </w:t>
      </w:r>
      <w:r w:rsidR="0009157F">
        <w:t>could be an option</w:t>
      </w:r>
      <w:r w:rsidR="0012253D">
        <w:t xml:space="preserve"> </w:t>
      </w:r>
      <w:r>
        <w:t>as a contingency against inadequate company action following disclosure</w:t>
      </w:r>
      <w:r w:rsidR="0012253D">
        <w:t xml:space="preserve">. </w:t>
      </w:r>
      <w:r>
        <w:t xml:space="preserve">It provides an impetus to </w:t>
      </w:r>
      <w:r w:rsidR="0012253D">
        <w:t xml:space="preserve">companies </w:t>
      </w:r>
      <w:r>
        <w:t>to act</w:t>
      </w:r>
      <w:r w:rsidR="0012253D">
        <w:t xml:space="preserve"> quickly and decisively</w:t>
      </w:r>
      <w:r>
        <w:t xml:space="preserve"> if they know wider disclosure can be made. It also acts as an impetus for companies to involve ASIC or APRA or both</w:t>
      </w:r>
      <w:r w:rsidR="00F6258F">
        <w:t>,</w:t>
      </w:r>
      <w:r>
        <w:t xml:space="preserve"> as </w:t>
      </w:r>
      <w:proofErr w:type="gramStart"/>
      <w:r>
        <w:t>appropriate</w:t>
      </w:r>
      <w:proofErr w:type="gramEnd"/>
      <w:r w:rsidR="00F6258F">
        <w:t>,</w:t>
      </w:r>
      <w:r>
        <w:t xml:space="preserve"> earlier than they might currently.</w:t>
      </w:r>
      <w:r w:rsidR="0012253D">
        <w:t xml:space="preserve"> In the current climate w</w:t>
      </w:r>
      <w:r w:rsidR="00567507">
        <w:t>h</w:t>
      </w:r>
      <w:r w:rsidR="0012253D">
        <w:t xml:space="preserve">ere </w:t>
      </w:r>
      <w:r>
        <w:t>serial</w:t>
      </w:r>
      <w:r w:rsidR="0012253D">
        <w:t xml:space="preserve"> concerns have been raised about the </w:t>
      </w:r>
      <w:r>
        <w:t xml:space="preserve">perceived </w:t>
      </w:r>
      <w:r w:rsidR="0012253D">
        <w:t xml:space="preserve">lack of </w:t>
      </w:r>
      <w:r>
        <w:t>a</w:t>
      </w:r>
      <w:r w:rsidR="0012253D">
        <w:t xml:space="preserve"> compliance culture in a number of major financial institutions, active protection of </w:t>
      </w:r>
      <w:proofErr w:type="spellStart"/>
      <w:r w:rsidR="0012253D">
        <w:t>whistleblowers</w:t>
      </w:r>
      <w:proofErr w:type="spellEnd"/>
      <w:r w:rsidR="0012253D">
        <w:t xml:space="preserve"> and </w:t>
      </w:r>
      <w:r>
        <w:t>enabling</w:t>
      </w:r>
      <w:r w:rsidR="0012253D">
        <w:t xml:space="preserve"> them to make disclosures to company outsiders</w:t>
      </w:r>
      <w:r w:rsidR="00FB4CEB">
        <w:t xml:space="preserve">, including the media, if the company fails to take action, could materially improve compliance </w:t>
      </w:r>
      <w:r w:rsidR="00B31397">
        <w:t xml:space="preserve">and stimulate </w:t>
      </w:r>
      <w:r w:rsidR="00837A89">
        <w:t xml:space="preserve">a </w:t>
      </w:r>
      <w:r w:rsidR="00FB4CEB">
        <w:t>cultur</w:t>
      </w:r>
      <w:r w:rsidR="00B31397">
        <w:t>al change</w:t>
      </w:r>
      <w:r w:rsidR="00FB4CEB">
        <w:t xml:space="preserve">. Such changes </w:t>
      </w:r>
      <w:r w:rsidR="00B31397">
        <w:t>w</w:t>
      </w:r>
      <w:r w:rsidR="00FB4CEB">
        <w:t>ould also</w:t>
      </w:r>
      <w:bookmarkStart w:id="147" w:name="Disclosureoftaxpayerinformation"/>
      <w:r w:rsidR="00FB4CEB" w:rsidRPr="00FB4CEB">
        <w:t xml:space="preserve"> </w:t>
      </w:r>
      <w:r w:rsidR="00FB4CEB">
        <w:t xml:space="preserve">increase the </w:t>
      </w:r>
      <w:r w:rsidR="00FB4CEB" w:rsidRPr="00F574AB">
        <w:t>robustness of the whistleblowing regime</w:t>
      </w:r>
      <w:r w:rsidR="00FB4CEB">
        <w:t xml:space="preserve"> and provide an additional safety net mechanism to potential </w:t>
      </w:r>
      <w:proofErr w:type="spellStart"/>
      <w:r w:rsidR="00FB4CEB">
        <w:t>whistleblowers</w:t>
      </w:r>
      <w:proofErr w:type="spellEnd"/>
      <w:r w:rsidR="00FB4CEB">
        <w:t xml:space="preserve">. The public interest </w:t>
      </w:r>
      <w:r w:rsidR="00B31397">
        <w:t>would</w:t>
      </w:r>
      <w:r w:rsidR="00FB4CEB">
        <w:t xml:space="preserve"> also be better served by more timely </w:t>
      </w:r>
      <w:r w:rsidR="00F6258F">
        <w:t xml:space="preserve">identification and </w:t>
      </w:r>
      <w:r w:rsidR="00FB4CEB">
        <w:t xml:space="preserve">rectification </w:t>
      </w:r>
      <w:r w:rsidR="00F6258F">
        <w:t>of issues</w:t>
      </w:r>
      <w:r w:rsidR="00FB4CEB">
        <w:t xml:space="preserve"> than is currently possible if left to </w:t>
      </w:r>
      <w:r w:rsidR="00B31397">
        <w:t>companies alone that may not have the cultural settings to deal appropriately with the issues raised</w:t>
      </w:r>
      <w:r w:rsidR="00F6258F">
        <w:t>,</w:t>
      </w:r>
      <w:r w:rsidR="00B31397">
        <w:t xml:space="preserve"> or </w:t>
      </w:r>
      <w:r w:rsidR="00837A89">
        <w:t xml:space="preserve">a </w:t>
      </w:r>
      <w:r w:rsidR="00FB4CEB">
        <w:t xml:space="preserve">regulatory action after a prolonged investigation, which </w:t>
      </w:r>
      <w:r w:rsidR="00B31397">
        <w:t>can be</w:t>
      </w:r>
      <w:r w:rsidR="00FB4CEB">
        <w:t xml:space="preserve"> the case now. </w:t>
      </w:r>
    </w:p>
    <w:p w14:paraId="103BF5A8" w14:textId="77777777" w:rsidR="00FB55ED" w:rsidRDefault="00B31397">
      <w:r>
        <w:t xml:space="preserve">An expansion of this kind would maintain the primacy of the company as the locus for remedial action but allow others to be involved in ensuring this </w:t>
      </w:r>
      <w:r w:rsidR="00F6258F">
        <w:t>occurs independently</w:t>
      </w:r>
      <w:r>
        <w:t xml:space="preserve"> in the event of any inaction or ineffective action. This approach is utilised for auditor reports under s.311 of the Corporations Act</w:t>
      </w:r>
      <w:r w:rsidR="00AA0DB1">
        <w:t>,</w:t>
      </w:r>
      <w:r>
        <w:t xml:space="preserve"> and since auditors are one of the categories of people to whom </w:t>
      </w:r>
      <w:proofErr w:type="spellStart"/>
      <w:r>
        <w:t>whistleblowers</w:t>
      </w:r>
      <w:proofErr w:type="spellEnd"/>
      <w:r>
        <w:t xml:space="preserve"> may make a disclosure, it might enhance the role of audit, equip auditors to make reports more quickly and lead to more effective outcomes in the case of any material misstatements or misrepresentations in company financial statements or as to the financial position or affairs of the company.</w:t>
      </w:r>
    </w:p>
    <w:p w14:paraId="103BF5A9" w14:textId="77777777" w:rsidR="00B31397" w:rsidRDefault="00B31397"/>
    <w:p w14:paraId="103BF5AA" w14:textId="77777777" w:rsidR="00F760D3" w:rsidRDefault="00F760D3"/>
    <w:p w14:paraId="103BF5AB" w14:textId="77777777" w:rsidR="00F760D3" w:rsidRDefault="00F760D3"/>
    <w:tbl>
      <w:tblPr>
        <w:tblStyle w:val="TableGrid"/>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DBE5F1" w:themeFill="accent1" w:themeFillTint="33"/>
        <w:tblLook w:val="04A0" w:firstRow="1" w:lastRow="0" w:firstColumn="1" w:lastColumn="0" w:noHBand="0" w:noVBand="1"/>
      </w:tblPr>
      <w:tblGrid>
        <w:gridCol w:w="9286"/>
      </w:tblGrid>
      <w:tr w:rsidR="00DF31F0" w14:paraId="103BF5B3" w14:textId="77777777" w:rsidTr="00B45D2C">
        <w:tc>
          <w:tcPr>
            <w:tcW w:w="9286" w:type="dxa"/>
            <w:shd w:val="clear" w:color="auto" w:fill="DBE5F1" w:themeFill="accent1" w:themeFillTint="33"/>
          </w:tcPr>
          <w:p w14:paraId="103BF5AC" w14:textId="77777777" w:rsidR="00DF31F0" w:rsidRDefault="00DF31F0" w:rsidP="00F15A1A">
            <w:pPr>
              <w:pStyle w:val="BoxHeadingnonumber"/>
            </w:pPr>
            <w:r>
              <w:lastRenderedPageBreak/>
              <w:t>Questions</w:t>
            </w:r>
          </w:p>
          <w:p w14:paraId="103BF5AD" w14:textId="77777777" w:rsidR="00151488" w:rsidRPr="00111D1A" w:rsidRDefault="00151488" w:rsidP="004E2093">
            <w:pPr>
              <w:pStyle w:val="BoxQuestions"/>
              <w:spacing w:line="240" w:lineRule="auto"/>
            </w:pPr>
            <w:r w:rsidRPr="004E2093">
              <w:t>Should the specified en</w:t>
            </w:r>
            <w:r w:rsidRPr="00111D1A">
              <w:t>tities or people to whom a disclosure can be made be broadened? If so, which entities and people should be included?</w:t>
            </w:r>
          </w:p>
          <w:p w14:paraId="103BF5AE" w14:textId="77777777" w:rsidR="00151488" w:rsidRPr="00151488" w:rsidRDefault="00151488">
            <w:pPr>
              <w:pStyle w:val="BoxQuestions"/>
              <w:spacing w:line="240" w:lineRule="auto"/>
            </w:pPr>
            <w:r w:rsidRPr="00151488">
              <w:t xml:space="preserve">Should </w:t>
            </w:r>
            <w:proofErr w:type="spellStart"/>
            <w:r w:rsidRPr="00151488">
              <w:t>whistleblowers</w:t>
            </w:r>
            <w:proofErr w:type="spellEnd"/>
            <w:r w:rsidRPr="00151488">
              <w:t xml:space="preserve"> be allowed to make a disclosure to a third party (such as the media, members of parliament, union representatives, and so on) regardless of the circumstances? In the alternative, should such wider disclosures be allowed but only if the company has failed to act decisively on the information provided? Are there alternative limitations that should be considered? Please give reasons for your answers.</w:t>
            </w:r>
          </w:p>
          <w:p w14:paraId="103BF5AF" w14:textId="77777777" w:rsidR="00151488" w:rsidRPr="00151488" w:rsidRDefault="00151488">
            <w:pPr>
              <w:pStyle w:val="BoxQuestions"/>
              <w:spacing w:line="240" w:lineRule="auto"/>
            </w:pPr>
            <w:r w:rsidRPr="00151488">
              <w:t xml:space="preserve">What are the risks of extending corporate </w:t>
            </w:r>
            <w:proofErr w:type="spellStart"/>
            <w:r w:rsidRPr="00151488">
              <w:t>whistleblower</w:t>
            </w:r>
            <w:proofErr w:type="spellEnd"/>
            <w:r w:rsidRPr="00151488">
              <w:t xml:space="preserve"> protections to cover disclosures to third parties? How might these risks be managed?</w:t>
            </w:r>
          </w:p>
          <w:p w14:paraId="103BF5B0" w14:textId="77777777" w:rsidR="00151488" w:rsidRPr="00151488" w:rsidRDefault="00151488">
            <w:pPr>
              <w:pStyle w:val="BoxQuestions"/>
              <w:spacing w:line="240" w:lineRule="auto"/>
            </w:pPr>
            <w:r w:rsidRPr="00151488">
              <w:t>Do you believe there is value in a 'tiered' disclosure system being adopted similar to that in the UK?</w:t>
            </w:r>
          </w:p>
          <w:p w14:paraId="103BF5B1" w14:textId="77777777" w:rsidR="00151488" w:rsidRPr="00151488" w:rsidRDefault="00151488">
            <w:pPr>
              <w:pStyle w:val="BoxQuestions"/>
              <w:spacing w:line="240" w:lineRule="auto"/>
            </w:pPr>
            <w:r w:rsidRPr="00151488">
              <w:t xml:space="preserve">Should there be any exceptions in this context for small private companies? </w:t>
            </w:r>
          </w:p>
          <w:p w14:paraId="103BF5B2" w14:textId="77777777" w:rsidR="00033819" w:rsidRDefault="00151488" w:rsidP="00D85214">
            <w:pPr>
              <w:pStyle w:val="BoxQuestions"/>
              <w:spacing w:line="240" w:lineRule="auto"/>
            </w:pPr>
            <w:r w:rsidRPr="00E43865">
              <w:t xml:space="preserve">Should disclosure be allowed for the purpose of seeking professional advice about using </w:t>
            </w:r>
            <w:proofErr w:type="spellStart"/>
            <w:r w:rsidRPr="00E43865">
              <w:t>whistleblower</w:t>
            </w:r>
            <w:proofErr w:type="spellEnd"/>
            <w:r w:rsidRPr="00E43865">
              <w:t xml:space="preserve"> protections, obligations and disclosure risks</w:t>
            </w:r>
            <w:r w:rsidR="007B738D">
              <w:t xml:space="preserve"> </w:t>
            </w:r>
            <w:r w:rsidRPr="004E2093">
              <w:t xml:space="preserve">(as suggested by the review of AUS-PIDA)? </w:t>
            </w:r>
          </w:p>
        </w:tc>
      </w:tr>
    </w:tbl>
    <w:p w14:paraId="103BF5B4" w14:textId="77777777" w:rsidR="00F71FA2" w:rsidRPr="00E80530" w:rsidRDefault="00151488" w:rsidP="00F71FA2">
      <w:pPr>
        <w:pStyle w:val="Heading3"/>
      </w:pPr>
      <w:bookmarkStart w:id="148" w:name="_Toc465418803"/>
      <w:bookmarkEnd w:id="147"/>
      <w:r w:rsidRPr="00151488">
        <w:rPr>
          <w:rFonts w:ascii="Book Antiqua" w:hAnsi="Book Antiqua" w:cs="Times New Roman"/>
          <w:b w:val="0"/>
          <w:bCs w:val="0"/>
          <w:color w:val="000000"/>
          <w:sz w:val="22"/>
          <w:szCs w:val="20"/>
        </w:rPr>
        <w:t xml:space="preserve"> </w:t>
      </w:r>
      <w:r w:rsidR="00F71FA2" w:rsidRPr="00E80530">
        <w:t xml:space="preserve">Protection of </w:t>
      </w:r>
      <w:proofErr w:type="spellStart"/>
      <w:r w:rsidR="00F71FA2" w:rsidRPr="00E80530">
        <w:t>whistleblower’s</w:t>
      </w:r>
      <w:proofErr w:type="spellEnd"/>
      <w:r w:rsidR="00F71FA2" w:rsidRPr="00E80530">
        <w:t xml:space="preserve"> identity and procedural fairness</w:t>
      </w:r>
    </w:p>
    <w:p w14:paraId="103BF5B5" w14:textId="77777777" w:rsidR="00F71FA2" w:rsidRPr="00151488" w:rsidRDefault="00F71FA2" w:rsidP="00F71FA2">
      <w:pPr>
        <w:pStyle w:val="Heading3"/>
        <w:jc w:val="both"/>
        <w:rPr>
          <w:rFonts w:ascii="Book Antiqua" w:hAnsi="Book Antiqua" w:cs="Times New Roman"/>
          <w:b w:val="0"/>
          <w:bCs w:val="0"/>
          <w:color w:val="000000"/>
          <w:sz w:val="22"/>
          <w:szCs w:val="20"/>
        </w:rPr>
      </w:pPr>
      <w:r w:rsidRPr="00151488">
        <w:rPr>
          <w:rFonts w:ascii="Book Antiqua" w:hAnsi="Book Antiqua" w:cs="Times New Roman"/>
          <w:b w:val="0"/>
          <w:bCs w:val="0"/>
          <w:color w:val="000000"/>
          <w:sz w:val="22"/>
          <w:szCs w:val="20"/>
        </w:rPr>
        <w:t xml:space="preserve">Compared to legislation in other jurisdictions, the corporate </w:t>
      </w:r>
      <w:proofErr w:type="spellStart"/>
      <w:r w:rsidRPr="00151488">
        <w:rPr>
          <w:rFonts w:ascii="Book Antiqua" w:hAnsi="Book Antiqua" w:cs="Times New Roman"/>
          <w:b w:val="0"/>
          <w:bCs w:val="0"/>
          <w:color w:val="000000"/>
          <w:sz w:val="22"/>
          <w:szCs w:val="20"/>
        </w:rPr>
        <w:t>whistleblower</w:t>
      </w:r>
      <w:proofErr w:type="spellEnd"/>
      <w:r w:rsidRPr="00151488">
        <w:rPr>
          <w:rFonts w:ascii="Book Antiqua" w:hAnsi="Book Antiqua" w:cs="Times New Roman"/>
          <w:b w:val="0"/>
          <w:bCs w:val="0"/>
          <w:color w:val="000000"/>
          <w:sz w:val="22"/>
          <w:szCs w:val="20"/>
        </w:rPr>
        <w:t xml:space="preserve"> provisions provide limited protections to prevent revelation of a </w:t>
      </w:r>
      <w:proofErr w:type="spellStart"/>
      <w:r w:rsidRPr="00151488">
        <w:rPr>
          <w:rFonts w:ascii="Book Antiqua" w:hAnsi="Book Antiqua" w:cs="Times New Roman"/>
          <w:b w:val="0"/>
          <w:bCs w:val="0"/>
          <w:color w:val="000000"/>
          <w:sz w:val="22"/>
          <w:szCs w:val="20"/>
        </w:rPr>
        <w:t>whistleblower’s</w:t>
      </w:r>
      <w:proofErr w:type="spellEnd"/>
      <w:r w:rsidRPr="00151488">
        <w:rPr>
          <w:rFonts w:ascii="Book Antiqua" w:hAnsi="Book Antiqua" w:cs="Times New Roman"/>
          <w:b w:val="0"/>
          <w:bCs w:val="0"/>
          <w:color w:val="000000"/>
          <w:sz w:val="22"/>
          <w:szCs w:val="20"/>
        </w:rPr>
        <w:t xml:space="preserve"> identity. </w:t>
      </w:r>
    </w:p>
    <w:p w14:paraId="103BF5B6" w14:textId="4F56EAEE" w:rsidR="00F71FA2" w:rsidRPr="00151488" w:rsidRDefault="00F71FA2" w:rsidP="00F71FA2">
      <w:pPr>
        <w:pStyle w:val="Heading3"/>
        <w:jc w:val="both"/>
        <w:rPr>
          <w:rFonts w:ascii="Book Antiqua" w:hAnsi="Book Antiqua" w:cs="Times New Roman"/>
          <w:b w:val="0"/>
          <w:bCs w:val="0"/>
          <w:color w:val="000000"/>
          <w:sz w:val="22"/>
          <w:szCs w:val="20"/>
        </w:rPr>
      </w:pPr>
      <w:r w:rsidRPr="00151488">
        <w:rPr>
          <w:rFonts w:ascii="Book Antiqua" w:hAnsi="Book Antiqua" w:cs="Times New Roman"/>
          <w:b w:val="0"/>
          <w:bCs w:val="0"/>
          <w:color w:val="000000"/>
          <w:sz w:val="22"/>
          <w:szCs w:val="20"/>
        </w:rPr>
        <w:t xml:space="preserve">The current Corporations Act provisions also include restrictions on the use that may be made of information obtained from </w:t>
      </w:r>
      <w:proofErr w:type="spellStart"/>
      <w:r w:rsidRPr="00151488">
        <w:rPr>
          <w:rFonts w:ascii="Book Antiqua" w:hAnsi="Book Antiqua" w:cs="Times New Roman"/>
          <w:b w:val="0"/>
          <w:bCs w:val="0"/>
          <w:color w:val="000000"/>
          <w:sz w:val="22"/>
          <w:szCs w:val="20"/>
        </w:rPr>
        <w:t>whistleblowers</w:t>
      </w:r>
      <w:proofErr w:type="spellEnd"/>
      <w:r w:rsidRPr="00151488">
        <w:rPr>
          <w:rFonts w:ascii="Book Antiqua" w:hAnsi="Book Antiqua" w:cs="Times New Roman"/>
          <w:b w:val="0"/>
          <w:bCs w:val="0"/>
          <w:color w:val="000000"/>
          <w:sz w:val="22"/>
          <w:szCs w:val="20"/>
        </w:rPr>
        <w:t xml:space="preserve"> and wider dissemination except to certain nominated people or regulators, including ASIC, APRA, or a member of the AFP</w:t>
      </w:r>
      <w:r>
        <w:rPr>
          <w:rFonts w:ascii="Book Antiqua" w:hAnsi="Book Antiqua" w:cs="Times New Roman"/>
          <w:b w:val="0"/>
          <w:bCs w:val="0"/>
          <w:color w:val="000000"/>
          <w:sz w:val="22"/>
          <w:szCs w:val="20"/>
        </w:rPr>
        <w:t xml:space="preserve">. The </w:t>
      </w:r>
      <w:proofErr w:type="spellStart"/>
      <w:r>
        <w:rPr>
          <w:rFonts w:ascii="Book Antiqua" w:hAnsi="Book Antiqua" w:cs="Times New Roman"/>
          <w:b w:val="0"/>
          <w:bCs w:val="0"/>
          <w:color w:val="000000"/>
          <w:sz w:val="22"/>
          <w:szCs w:val="20"/>
        </w:rPr>
        <w:t>w</w:t>
      </w:r>
      <w:r w:rsidRPr="00151488">
        <w:rPr>
          <w:rFonts w:ascii="Book Antiqua" w:hAnsi="Book Antiqua" w:cs="Times New Roman"/>
          <w:b w:val="0"/>
          <w:bCs w:val="0"/>
          <w:color w:val="000000"/>
          <w:sz w:val="22"/>
          <w:szCs w:val="20"/>
        </w:rPr>
        <w:t>histleblower</w:t>
      </w:r>
      <w:proofErr w:type="spellEnd"/>
      <w:r w:rsidRPr="00151488">
        <w:rPr>
          <w:rFonts w:ascii="Book Antiqua" w:hAnsi="Book Antiqua" w:cs="Times New Roman"/>
          <w:b w:val="0"/>
          <w:bCs w:val="0"/>
          <w:color w:val="000000"/>
          <w:sz w:val="22"/>
          <w:szCs w:val="20"/>
        </w:rPr>
        <w:t xml:space="preserve"> information may be shared more widely with the </w:t>
      </w:r>
      <w:proofErr w:type="spellStart"/>
      <w:r w:rsidRPr="00151488">
        <w:rPr>
          <w:rFonts w:ascii="Book Antiqua" w:hAnsi="Book Antiqua" w:cs="Times New Roman"/>
          <w:b w:val="0"/>
          <w:bCs w:val="0"/>
          <w:color w:val="000000"/>
          <w:sz w:val="22"/>
          <w:szCs w:val="20"/>
        </w:rPr>
        <w:t>whistleblower’s</w:t>
      </w:r>
      <w:proofErr w:type="spellEnd"/>
      <w:r w:rsidRPr="00151488">
        <w:rPr>
          <w:rFonts w:ascii="Book Antiqua" w:hAnsi="Book Antiqua" w:cs="Times New Roman"/>
          <w:b w:val="0"/>
          <w:bCs w:val="0"/>
          <w:color w:val="000000"/>
          <w:sz w:val="22"/>
          <w:szCs w:val="20"/>
        </w:rPr>
        <w:t xml:space="preserve"> consent. </w:t>
      </w:r>
    </w:p>
    <w:p w14:paraId="103BF5B7" w14:textId="77777777" w:rsidR="00F71FA2" w:rsidRPr="00151488" w:rsidRDefault="00F71FA2" w:rsidP="00F71FA2">
      <w:pPr>
        <w:pStyle w:val="Heading3"/>
        <w:jc w:val="both"/>
        <w:rPr>
          <w:rFonts w:ascii="Book Antiqua" w:hAnsi="Book Antiqua" w:cs="Times New Roman"/>
          <w:b w:val="0"/>
          <w:bCs w:val="0"/>
          <w:color w:val="000000"/>
          <w:sz w:val="22"/>
          <w:szCs w:val="20"/>
        </w:rPr>
      </w:pPr>
      <w:r w:rsidRPr="00151488">
        <w:rPr>
          <w:rFonts w:ascii="Book Antiqua" w:hAnsi="Book Antiqua" w:cs="Times New Roman"/>
          <w:b w:val="0"/>
          <w:bCs w:val="0"/>
          <w:color w:val="000000"/>
          <w:sz w:val="22"/>
          <w:szCs w:val="20"/>
        </w:rPr>
        <w:t xml:space="preserve">Although the Corporations Act is silent on whether regulators, enforcement agencies or third party recipients may disseminate the information further or use it for investigative purposes, the latter is implicit in the scheme, whereas the former is not. It seems obvious that regulators or enforcement agencies ought to be able to further disseminate information for investigative or prosecutorial purposes, but this is by no means clear. It also seems obvious that if they were to disseminate the information more widely or personal information that identifies the </w:t>
      </w:r>
      <w:proofErr w:type="spellStart"/>
      <w:r w:rsidRPr="00151488">
        <w:rPr>
          <w:rFonts w:ascii="Book Antiqua" w:hAnsi="Book Antiqua" w:cs="Times New Roman"/>
          <w:b w:val="0"/>
          <w:bCs w:val="0"/>
          <w:color w:val="000000"/>
          <w:sz w:val="22"/>
          <w:szCs w:val="20"/>
        </w:rPr>
        <w:t>whistleblower</w:t>
      </w:r>
      <w:proofErr w:type="spellEnd"/>
      <w:r w:rsidR="00AA0DB1">
        <w:rPr>
          <w:rFonts w:ascii="Book Antiqua" w:hAnsi="Book Antiqua" w:cs="Times New Roman"/>
          <w:b w:val="0"/>
          <w:bCs w:val="0"/>
          <w:color w:val="000000"/>
          <w:sz w:val="22"/>
          <w:szCs w:val="20"/>
        </w:rPr>
        <w:t>,</w:t>
      </w:r>
      <w:r w:rsidRPr="00151488">
        <w:rPr>
          <w:rFonts w:ascii="Book Antiqua" w:hAnsi="Book Antiqua" w:cs="Times New Roman"/>
          <w:b w:val="0"/>
          <w:bCs w:val="0"/>
          <w:color w:val="000000"/>
          <w:sz w:val="22"/>
          <w:szCs w:val="20"/>
        </w:rPr>
        <w:t xml:space="preserve"> that each agency would come under the same duties of confidentiality that apply to initial discloses. Again</w:t>
      </w:r>
      <w:r w:rsidR="00AA0DB1">
        <w:rPr>
          <w:rFonts w:ascii="Book Antiqua" w:hAnsi="Book Antiqua" w:cs="Times New Roman"/>
          <w:b w:val="0"/>
          <w:bCs w:val="0"/>
          <w:color w:val="000000"/>
          <w:sz w:val="22"/>
          <w:szCs w:val="20"/>
        </w:rPr>
        <w:t>,</w:t>
      </w:r>
      <w:r w:rsidRPr="00151488">
        <w:rPr>
          <w:rFonts w:ascii="Book Antiqua" w:hAnsi="Book Antiqua" w:cs="Times New Roman"/>
          <w:b w:val="0"/>
          <w:bCs w:val="0"/>
          <w:color w:val="000000"/>
          <w:sz w:val="22"/>
          <w:szCs w:val="20"/>
        </w:rPr>
        <w:t xml:space="preserve"> however, this is unclear. As such, </w:t>
      </w:r>
      <w:proofErr w:type="spellStart"/>
      <w:r w:rsidRPr="00151488">
        <w:rPr>
          <w:rFonts w:ascii="Book Antiqua" w:hAnsi="Book Antiqua" w:cs="Times New Roman"/>
          <w:b w:val="0"/>
          <w:bCs w:val="0"/>
          <w:color w:val="000000"/>
          <w:sz w:val="22"/>
          <w:szCs w:val="20"/>
        </w:rPr>
        <w:t>whistleblowers</w:t>
      </w:r>
      <w:proofErr w:type="spellEnd"/>
      <w:r w:rsidRPr="00151488">
        <w:rPr>
          <w:rFonts w:ascii="Book Antiqua" w:hAnsi="Book Antiqua" w:cs="Times New Roman"/>
          <w:b w:val="0"/>
          <w:bCs w:val="0"/>
          <w:color w:val="000000"/>
          <w:sz w:val="22"/>
          <w:szCs w:val="20"/>
        </w:rPr>
        <w:t xml:space="preserve"> may be reluctant to make disclosures in the first place or to consent to wider dissemination if it vitiates their statutory protections.</w:t>
      </w:r>
    </w:p>
    <w:p w14:paraId="103BF5B8" w14:textId="05E7746D" w:rsidR="00F71FA2" w:rsidRPr="00151488" w:rsidRDefault="00F71FA2" w:rsidP="00F71FA2">
      <w:pPr>
        <w:pStyle w:val="Heading3"/>
        <w:jc w:val="both"/>
        <w:rPr>
          <w:rFonts w:ascii="Book Antiqua" w:hAnsi="Book Antiqua" w:cs="Times New Roman"/>
          <w:b w:val="0"/>
          <w:bCs w:val="0"/>
          <w:color w:val="000000"/>
          <w:sz w:val="22"/>
          <w:szCs w:val="20"/>
        </w:rPr>
      </w:pPr>
      <w:r w:rsidRPr="00151488">
        <w:rPr>
          <w:rFonts w:ascii="Book Antiqua" w:hAnsi="Book Antiqua" w:cs="Times New Roman"/>
          <w:b w:val="0"/>
          <w:bCs w:val="0"/>
          <w:color w:val="000000"/>
          <w:sz w:val="22"/>
          <w:szCs w:val="20"/>
        </w:rPr>
        <w:t xml:space="preserve">This state of affairs creates not only uncertainty and risk for </w:t>
      </w:r>
      <w:proofErr w:type="spellStart"/>
      <w:r w:rsidRPr="00151488">
        <w:rPr>
          <w:rFonts w:ascii="Book Antiqua" w:hAnsi="Book Antiqua" w:cs="Times New Roman"/>
          <w:b w:val="0"/>
          <w:bCs w:val="0"/>
          <w:color w:val="000000"/>
          <w:sz w:val="22"/>
          <w:szCs w:val="20"/>
        </w:rPr>
        <w:t>whistleblowers</w:t>
      </w:r>
      <w:proofErr w:type="spellEnd"/>
      <w:r w:rsidRPr="00151488">
        <w:rPr>
          <w:rFonts w:ascii="Book Antiqua" w:hAnsi="Book Antiqua" w:cs="Times New Roman"/>
          <w:b w:val="0"/>
          <w:bCs w:val="0"/>
          <w:color w:val="000000"/>
          <w:sz w:val="22"/>
          <w:szCs w:val="20"/>
        </w:rPr>
        <w:t xml:space="preserve"> – it also creates uncertainty for regulators and enforcement agencies as to what they may legitimately share for investigative or other statutory purposes</w:t>
      </w:r>
      <w:r>
        <w:rPr>
          <w:rFonts w:ascii="Book Antiqua" w:hAnsi="Book Antiqua" w:cs="Times New Roman"/>
          <w:b w:val="0"/>
          <w:bCs w:val="0"/>
          <w:color w:val="000000"/>
          <w:sz w:val="22"/>
          <w:szCs w:val="20"/>
        </w:rPr>
        <w:t>,</w:t>
      </w:r>
      <w:r w:rsidRPr="00151488">
        <w:rPr>
          <w:rFonts w:ascii="Book Antiqua" w:hAnsi="Book Antiqua" w:cs="Times New Roman"/>
          <w:b w:val="0"/>
          <w:bCs w:val="0"/>
          <w:color w:val="000000"/>
          <w:sz w:val="22"/>
          <w:szCs w:val="20"/>
        </w:rPr>
        <w:t xml:space="preserve"> and </w:t>
      </w:r>
      <w:r>
        <w:rPr>
          <w:rFonts w:ascii="Book Antiqua" w:hAnsi="Book Antiqua" w:cs="Times New Roman"/>
          <w:b w:val="0"/>
          <w:bCs w:val="0"/>
          <w:color w:val="000000"/>
          <w:sz w:val="22"/>
          <w:szCs w:val="20"/>
        </w:rPr>
        <w:t xml:space="preserve">may </w:t>
      </w:r>
      <w:r w:rsidRPr="00151488">
        <w:rPr>
          <w:rFonts w:ascii="Book Antiqua" w:hAnsi="Book Antiqua" w:cs="Times New Roman"/>
          <w:b w:val="0"/>
          <w:bCs w:val="0"/>
          <w:color w:val="000000"/>
          <w:sz w:val="22"/>
          <w:szCs w:val="20"/>
        </w:rPr>
        <w:t xml:space="preserve">retard the progress of investigations. </w:t>
      </w:r>
    </w:p>
    <w:p w14:paraId="103BF5B9" w14:textId="77777777" w:rsidR="00F71FA2" w:rsidRPr="00151488" w:rsidRDefault="00F71FA2" w:rsidP="00F71FA2">
      <w:pPr>
        <w:pStyle w:val="Heading3"/>
        <w:jc w:val="both"/>
        <w:rPr>
          <w:rFonts w:ascii="Book Antiqua" w:hAnsi="Book Antiqua" w:cs="Times New Roman"/>
          <w:b w:val="0"/>
          <w:bCs w:val="0"/>
          <w:color w:val="000000"/>
          <w:sz w:val="22"/>
          <w:szCs w:val="20"/>
        </w:rPr>
      </w:pPr>
      <w:r w:rsidRPr="00151488">
        <w:rPr>
          <w:rFonts w:ascii="Book Antiqua" w:hAnsi="Book Antiqua" w:cs="Times New Roman"/>
          <w:b w:val="0"/>
          <w:bCs w:val="0"/>
          <w:color w:val="000000"/>
          <w:sz w:val="22"/>
          <w:szCs w:val="20"/>
        </w:rPr>
        <w:t xml:space="preserve">In practice, ASIC may utilise s.127 of the ASIC Act to impose additional confidentiality constraints upon any entity or person it may share confidential information with. It has also utilised public interest immunity to seek to avoid having to make disclosures about a </w:t>
      </w:r>
      <w:proofErr w:type="spellStart"/>
      <w:r w:rsidRPr="00151488">
        <w:rPr>
          <w:rFonts w:ascii="Book Antiqua" w:hAnsi="Book Antiqua" w:cs="Times New Roman"/>
          <w:b w:val="0"/>
          <w:bCs w:val="0"/>
          <w:color w:val="000000"/>
          <w:sz w:val="22"/>
          <w:szCs w:val="20"/>
        </w:rPr>
        <w:t>whistleblower</w:t>
      </w:r>
      <w:proofErr w:type="spellEnd"/>
      <w:r w:rsidRPr="00151488">
        <w:rPr>
          <w:rFonts w:ascii="Book Antiqua" w:hAnsi="Book Antiqua" w:cs="Times New Roman"/>
          <w:b w:val="0"/>
          <w:bCs w:val="0"/>
          <w:color w:val="000000"/>
          <w:sz w:val="22"/>
          <w:szCs w:val="20"/>
        </w:rPr>
        <w:t xml:space="preserve"> in any </w:t>
      </w:r>
      <w:r>
        <w:rPr>
          <w:rFonts w:ascii="Book Antiqua" w:hAnsi="Book Antiqua" w:cs="Times New Roman"/>
          <w:b w:val="0"/>
          <w:bCs w:val="0"/>
          <w:color w:val="000000"/>
          <w:sz w:val="22"/>
          <w:szCs w:val="20"/>
        </w:rPr>
        <w:t>c</w:t>
      </w:r>
      <w:r w:rsidRPr="00151488">
        <w:rPr>
          <w:rFonts w:ascii="Book Antiqua" w:hAnsi="Book Antiqua" w:cs="Times New Roman"/>
          <w:b w:val="0"/>
          <w:bCs w:val="0"/>
          <w:color w:val="000000"/>
          <w:sz w:val="22"/>
          <w:szCs w:val="20"/>
        </w:rPr>
        <w:t xml:space="preserve">ourt or other proceedings under </w:t>
      </w:r>
      <w:r>
        <w:rPr>
          <w:rFonts w:ascii="Book Antiqua" w:hAnsi="Book Antiqua" w:cs="Times New Roman"/>
          <w:b w:val="0"/>
          <w:bCs w:val="0"/>
          <w:color w:val="000000"/>
          <w:sz w:val="22"/>
          <w:szCs w:val="20"/>
        </w:rPr>
        <w:t>subpoena</w:t>
      </w:r>
      <w:r w:rsidRPr="00151488">
        <w:rPr>
          <w:rFonts w:ascii="Book Antiqua" w:hAnsi="Book Antiqua" w:cs="Times New Roman"/>
          <w:b w:val="0"/>
          <w:bCs w:val="0"/>
          <w:color w:val="000000"/>
          <w:sz w:val="22"/>
          <w:szCs w:val="20"/>
        </w:rPr>
        <w:t xml:space="preserve"> or other compulsory </w:t>
      </w:r>
      <w:r w:rsidRPr="00151488">
        <w:rPr>
          <w:rFonts w:ascii="Book Antiqua" w:hAnsi="Book Antiqua" w:cs="Times New Roman"/>
          <w:b w:val="0"/>
          <w:bCs w:val="0"/>
          <w:color w:val="000000"/>
          <w:sz w:val="22"/>
          <w:szCs w:val="20"/>
        </w:rPr>
        <w:lastRenderedPageBreak/>
        <w:t xml:space="preserve">process, </w:t>
      </w:r>
      <w:r>
        <w:rPr>
          <w:rFonts w:ascii="Book Antiqua" w:hAnsi="Book Antiqua" w:cs="Times New Roman"/>
          <w:b w:val="0"/>
          <w:bCs w:val="0"/>
          <w:color w:val="000000"/>
          <w:sz w:val="22"/>
          <w:szCs w:val="20"/>
        </w:rPr>
        <w:t>which</w:t>
      </w:r>
      <w:r w:rsidRPr="00151488">
        <w:rPr>
          <w:rFonts w:ascii="Book Antiqua" w:hAnsi="Book Antiqua" w:cs="Times New Roman"/>
          <w:b w:val="0"/>
          <w:bCs w:val="0"/>
          <w:color w:val="000000"/>
          <w:sz w:val="22"/>
          <w:szCs w:val="20"/>
        </w:rPr>
        <w:t xml:space="preserve"> might limit the efficacy of its investigative processes. But </w:t>
      </w:r>
      <w:r>
        <w:rPr>
          <w:rFonts w:ascii="Book Antiqua" w:hAnsi="Book Antiqua" w:cs="Times New Roman"/>
          <w:b w:val="0"/>
          <w:bCs w:val="0"/>
          <w:color w:val="000000"/>
          <w:sz w:val="22"/>
          <w:szCs w:val="20"/>
        </w:rPr>
        <w:t>c</w:t>
      </w:r>
      <w:r w:rsidRPr="00151488">
        <w:rPr>
          <w:rFonts w:ascii="Book Antiqua" w:hAnsi="Book Antiqua" w:cs="Times New Roman"/>
          <w:b w:val="0"/>
          <w:bCs w:val="0"/>
          <w:color w:val="000000"/>
          <w:sz w:val="22"/>
          <w:szCs w:val="20"/>
        </w:rPr>
        <w:t>ourt relief in this regard is discretionary.</w:t>
      </w:r>
    </w:p>
    <w:p w14:paraId="103BF5BA" w14:textId="77777777" w:rsidR="00F71FA2" w:rsidRPr="00151488" w:rsidRDefault="00F71FA2" w:rsidP="00F71FA2">
      <w:pPr>
        <w:pStyle w:val="Heading3"/>
        <w:jc w:val="both"/>
        <w:rPr>
          <w:rFonts w:ascii="Book Antiqua" w:hAnsi="Book Antiqua" w:cs="Times New Roman"/>
          <w:b w:val="0"/>
          <w:bCs w:val="0"/>
          <w:color w:val="000000"/>
          <w:sz w:val="22"/>
          <w:szCs w:val="20"/>
        </w:rPr>
      </w:pPr>
      <w:r w:rsidRPr="00151488">
        <w:rPr>
          <w:rFonts w:ascii="Book Antiqua" w:hAnsi="Book Antiqua" w:cs="Times New Roman"/>
          <w:b w:val="0"/>
          <w:bCs w:val="0"/>
          <w:color w:val="000000"/>
          <w:sz w:val="22"/>
          <w:szCs w:val="20"/>
        </w:rPr>
        <w:t xml:space="preserve">In the US, the WPA prohibits the OSP from disclosing the identity of a </w:t>
      </w:r>
      <w:proofErr w:type="spellStart"/>
      <w:r w:rsidRPr="00151488">
        <w:rPr>
          <w:rFonts w:ascii="Book Antiqua" w:hAnsi="Book Antiqua" w:cs="Times New Roman"/>
          <w:b w:val="0"/>
          <w:bCs w:val="0"/>
          <w:color w:val="000000"/>
          <w:sz w:val="22"/>
          <w:szCs w:val="20"/>
        </w:rPr>
        <w:t>whistleblower</w:t>
      </w:r>
      <w:proofErr w:type="spellEnd"/>
      <w:r w:rsidRPr="00151488">
        <w:rPr>
          <w:rFonts w:ascii="Book Antiqua" w:hAnsi="Book Antiqua" w:cs="Times New Roman"/>
          <w:b w:val="0"/>
          <w:bCs w:val="0"/>
          <w:color w:val="000000"/>
          <w:sz w:val="22"/>
          <w:szCs w:val="20"/>
        </w:rPr>
        <w:t xml:space="preserve"> without his or her consent. The one exception is if there is imminent danger to public health or safety or imminent violation of any criminal law that makes it necessary to reveal </w:t>
      </w:r>
      <w:proofErr w:type="spellStart"/>
      <w:r w:rsidRPr="00151488">
        <w:rPr>
          <w:rFonts w:ascii="Book Antiqua" w:hAnsi="Book Antiqua" w:cs="Times New Roman"/>
          <w:b w:val="0"/>
          <w:bCs w:val="0"/>
          <w:color w:val="000000"/>
          <w:sz w:val="22"/>
          <w:szCs w:val="20"/>
        </w:rPr>
        <w:t>whistleblower’s</w:t>
      </w:r>
      <w:proofErr w:type="spellEnd"/>
      <w:r w:rsidRPr="00151488">
        <w:rPr>
          <w:rFonts w:ascii="Book Antiqua" w:hAnsi="Book Antiqua" w:cs="Times New Roman"/>
          <w:b w:val="0"/>
          <w:bCs w:val="0"/>
          <w:color w:val="000000"/>
          <w:sz w:val="22"/>
          <w:szCs w:val="20"/>
        </w:rPr>
        <w:t xml:space="preserve"> identity.</w:t>
      </w:r>
    </w:p>
    <w:p w14:paraId="103BF5BB" w14:textId="64ABB3BF" w:rsidR="00F71FA2" w:rsidRPr="00151488" w:rsidRDefault="00F71FA2" w:rsidP="00F71FA2">
      <w:pPr>
        <w:pStyle w:val="Heading3"/>
        <w:jc w:val="both"/>
        <w:rPr>
          <w:rFonts w:ascii="Book Antiqua" w:hAnsi="Book Antiqua" w:cs="Times New Roman"/>
          <w:b w:val="0"/>
          <w:bCs w:val="0"/>
          <w:color w:val="000000"/>
          <w:sz w:val="22"/>
          <w:szCs w:val="20"/>
        </w:rPr>
      </w:pPr>
      <w:r w:rsidRPr="00151488">
        <w:rPr>
          <w:rFonts w:ascii="Book Antiqua" w:hAnsi="Book Antiqua" w:cs="Times New Roman"/>
          <w:b w:val="0"/>
          <w:bCs w:val="0"/>
          <w:color w:val="000000"/>
          <w:sz w:val="22"/>
          <w:szCs w:val="20"/>
        </w:rPr>
        <w:t xml:space="preserve">Both the UK-PIDA and AUS-PIDA protect the confidentiality of the person making disclosure. The AUS-PIDA does so by prohibiting the release of any information by anyone to anyone (including to a court or tribunal) which might identify or disclose the identity of the </w:t>
      </w:r>
      <w:proofErr w:type="spellStart"/>
      <w:r w:rsidRPr="00151488">
        <w:rPr>
          <w:rFonts w:ascii="Book Antiqua" w:hAnsi="Book Antiqua" w:cs="Times New Roman"/>
          <w:b w:val="0"/>
          <w:bCs w:val="0"/>
          <w:color w:val="000000"/>
          <w:sz w:val="22"/>
          <w:szCs w:val="20"/>
        </w:rPr>
        <w:t>whistleblower</w:t>
      </w:r>
      <w:proofErr w:type="spellEnd"/>
      <w:r w:rsidRPr="00151488">
        <w:rPr>
          <w:rFonts w:ascii="Book Antiqua" w:hAnsi="Book Antiqua" w:cs="Times New Roman"/>
          <w:b w:val="0"/>
          <w:bCs w:val="0"/>
          <w:color w:val="000000"/>
          <w:sz w:val="22"/>
          <w:szCs w:val="20"/>
        </w:rPr>
        <w:t xml:space="preserve"> as well as the content of the ‘protected information’ obtained through disclosure investigations. However, the Review of the AUS-</w:t>
      </w:r>
      <w:r w:rsidR="00093CDC" w:rsidRPr="00151488">
        <w:rPr>
          <w:rFonts w:ascii="Book Antiqua" w:hAnsi="Book Antiqua" w:cs="Times New Roman"/>
          <w:b w:val="0"/>
          <w:bCs w:val="0"/>
          <w:color w:val="000000"/>
          <w:sz w:val="22"/>
          <w:szCs w:val="20"/>
        </w:rPr>
        <w:t xml:space="preserve">PIDA </w:t>
      </w:r>
      <w:r w:rsidR="00093CDC">
        <w:rPr>
          <w:rFonts w:ascii="Book Antiqua" w:hAnsi="Book Antiqua" w:cs="Times New Roman"/>
          <w:b w:val="0"/>
          <w:bCs w:val="0"/>
          <w:color w:val="000000"/>
          <w:sz w:val="22"/>
          <w:szCs w:val="20"/>
        </w:rPr>
        <w:t>criticised</w:t>
      </w:r>
      <w:r w:rsidRPr="00151488">
        <w:rPr>
          <w:rFonts w:ascii="Book Antiqua" w:hAnsi="Book Antiqua" w:cs="Times New Roman"/>
          <w:b w:val="0"/>
          <w:bCs w:val="0"/>
          <w:color w:val="000000"/>
          <w:sz w:val="22"/>
          <w:szCs w:val="20"/>
        </w:rPr>
        <w:t xml:space="preserve"> the breadth of this prohibition as too broad and recommended repeal of these provisions because they limited agencies’ ability to investigate alleged wrongdoin</w:t>
      </w:r>
      <w:r>
        <w:rPr>
          <w:rFonts w:ascii="Book Antiqua" w:hAnsi="Book Antiqua" w:cs="Times New Roman"/>
          <w:b w:val="0"/>
          <w:bCs w:val="0"/>
          <w:color w:val="000000"/>
          <w:sz w:val="22"/>
          <w:szCs w:val="20"/>
        </w:rPr>
        <w:t xml:space="preserve">g.  </w:t>
      </w:r>
    </w:p>
    <w:p w14:paraId="103BF5BC" w14:textId="6A8C8FC9" w:rsidR="00F71FA2" w:rsidRPr="00151488" w:rsidRDefault="00F71FA2" w:rsidP="00F71FA2">
      <w:pPr>
        <w:pStyle w:val="Heading3"/>
        <w:jc w:val="both"/>
        <w:rPr>
          <w:rFonts w:ascii="Book Antiqua" w:hAnsi="Book Antiqua" w:cs="Times New Roman"/>
          <w:b w:val="0"/>
          <w:bCs w:val="0"/>
          <w:color w:val="000000"/>
          <w:sz w:val="22"/>
          <w:szCs w:val="20"/>
        </w:rPr>
      </w:pPr>
      <w:r w:rsidRPr="00151488">
        <w:rPr>
          <w:rFonts w:ascii="Book Antiqua" w:hAnsi="Book Antiqua" w:cs="Times New Roman"/>
          <w:b w:val="0"/>
          <w:bCs w:val="0"/>
          <w:color w:val="000000"/>
          <w:sz w:val="22"/>
          <w:szCs w:val="20"/>
        </w:rPr>
        <w:t xml:space="preserve">It might be thought that repeal of these particular AUS-PIDA provisions would erode some important protections for </w:t>
      </w:r>
      <w:proofErr w:type="spellStart"/>
      <w:r w:rsidRPr="00151488">
        <w:rPr>
          <w:rFonts w:ascii="Book Antiqua" w:hAnsi="Book Antiqua" w:cs="Times New Roman"/>
          <w:b w:val="0"/>
          <w:bCs w:val="0"/>
          <w:color w:val="000000"/>
          <w:sz w:val="22"/>
          <w:szCs w:val="20"/>
        </w:rPr>
        <w:t>whistleblowers</w:t>
      </w:r>
      <w:proofErr w:type="spellEnd"/>
      <w:r w:rsidRPr="00151488">
        <w:rPr>
          <w:rFonts w:ascii="Book Antiqua" w:hAnsi="Book Antiqua" w:cs="Times New Roman"/>
          <w:b w:val="0"/>
          <w:bCs w:val="0"/>
          <w:color w:val="000000"/>
          <w:sz w:val="22"/>
          <w:szCs w:val="20"/>
        </w:rPr>
        <w:t xml:space="preserve">. But courts and tribunals have a range of mechanisms to carefully manage confidential information while allowing proceedings to continue in the administration of justice. These mechanisms include the ability to hold sessions or hearings in camera, to make suppression orders to prevent further dissemination or comment in the media, </w:t>
      </w:r>
      <w:r>
        <w:rPr>
          <w:rFonts w:ascii="Book Antiqua" w:hAnsi="Book Antiqua" w:cs="Times New Roman"/>
          <w:b w:val="0"/>
          <w:bCs w:val="0"/>
          <w:color w:val="000000"/>
          <w:sz w:val="22"/>
          <w:szCs w:val="20"/>
        </w:rPr>
        <w:t xml:space="preserve">and </w:t>
      </w:r>
      <w:r w:rsidRPr="00151488">
        <w:rPr>
          <w:rFonts w:ascii="Book Antiqua" w:hAnsi="Book Antiqua" w:cs="Times New Roman"/>
          <w:b w:val="0"/>
          <w:bCs w:val="0"/>
          <w:color w:val="000000"/>
          <w:sz w:val="22"/>
          <w:szCs w:val="20"/>
        </w:rPr>
        <w:t>to make orders limiting what is placed on court files and who has access to them. Courts also have a contempt power</w:t>
      </w:r>
      <w:r w:rsidR="00474823">
        <w:rPr>
          <w:rFonts w:ascii="Book Antiqua" w:hAnsi="Book Antiqua" w:cs="Times New Roman"/>
          <w:b w:val="0"/>
          <w:bCs w:val="0"/>
          <w:color w:val="000000"/>
          <w:sz w:val="22"/>
          <w:szCs w:val="20"/>
        </w:rPr>
        <w:t>,</w:t>
      </w:r>
      <w:r w:rsidRPr="00151488">
        <w:rPr>
          <w:rFonts w:ascii="Book Antiqua" w:hAnsi="Book Antiqua" w:cs="Times New Roman"/>
          <w:b w:val="0"/>
          <w:bCs w:val="0"/>
          <w:color w:val="000000"/>
          <w:sz w:val="22"/>
          <w:szCs w:val="20"/>
        </w:rPr>
        <w:t xml:space="preserve"> so can effectively enforce any breaches of their orders, including issue bench warrants and even jailing offenders for</w:t>
      </w:r>
      <w:r>
        <w:rPr>
          <w:rFonts w:ascii="Book Antiqua" w:hAnsi="Book Antiqua" w:cs="Times New Roman"/>
          <w:b w:val="0"/>
          <w:bCs w:val="0"/>
          <w:color w:val="000000"/>
          <w:sz w:val="22"/>
          <w:szCs w:val="20"/>
        </w:rPr>
        <w:t xml:space="preserve"> a period to ensure compliance, although such powers are rarely used.</w:t>
      </w:r>
    </w:p>
    <w:p w14:paraId="103BF5BD" w14:textId="77777777" w:rsidR="00F71FA2" w:rsidRPr="00151488" w:rsidRDefault="00F71FA2" w:rsidP="00F71FA2">
      <w:pPr>
        <w:pStyle w:val="Heading3"/>
        <w:jc w:val="both"/>
        <w:rPr>
          <w:rFonts w:ascii="Book Antiqua" w:hAnsi="Book Antiqua" w:cs="Times New Roman"/>
          <w:b w:val="0"/>
          <w:bCs w:val="0"/>
          <w:color w:val="000000"/>
          <w:sz w:val="22"/>
          <w:szCs w:val="20"/>
        </w:rPr>
      </w:pPr>
      <w:r w:rsidRPr="00151488">
        <w:rPr>
          <w:rFonts w:ascii="Book Antiqua" w:hAnsi="Book Antiqua" w:cs="Times New Roman"/>
          <w:b w:val="0"/>
          <w:bCs w:val="0"/>
          <w:color w:val="000000"/>
          <w:sz w:val="22"/>
          <w:szCs w:val="20"/>
        </w:rPr>
        <w:t xml:space="preserve">The Review found also that </w:t>
      </w:r>
      <w:r>
        <w:rPr>
          <w:rFonts w:ascii="Book Antiqua" w:hAnsi="Book Antiqua" w:cs="Times New Roman"/>
          <w:b w:val="0"/>
          <w:bCs w:val="0"/>
          <w:color w:val="000000"/>
          <w:sz w:val="22"/>
          <w:szCs w:val="20"/>
        </w:rPr>
        <w:t xml:space="preserve">the </w:t>
      </w:r>
      <w:r w:rsidRPr="00151488">
        <w:rPr>
          <w:rFonts w:ascii="Book Antiqua" w:hAnsi="Book Antiqua" w:cs="Times New Roman"/>
          <w:b w:val="0"/>
          <w:bCs w:val="0"/>
          <w:color w:val="000000"/>
          <w:sz w:val="22"/>
          <w:szCs w:val="20"/>
        </w:rPr>
        <w:t>broad confidentiality offences of the AUS-PIDA can make it hard for those accused of wrongdoing to defend themselves against allegations. It recommended including an explicit requirement for procedural fair</w:t>
      </w:r>
      <w:r>
        <w:rPr>
          <w:rFonts w:ascii="Book Antiqua" w:hAnsi="Book Antiqua" w:cs="Times New Roman"/>
          <w:b w:val="0"/>
          <w:bCs w:val="0"/>
          <w:color w:val="000000"/>
          <w:sz w:val="22"/>
          <w:szCs w:val="20"/>
        </w:rPr>
        <w:t>ness to address this imbalance.</w:t>
      </w:r>
    </w:p>
    <w:p w14:paraId="103BF5BE" w14:textId="77777777" w:rsidR="00A56FCA" w:rsidRDefault="00F71FA2" w:rsidP="00F71FA2">
      <w:pPr>
        <w:pStyle w:val="Heading3"/>
        <w:jc w:val="both"/>
      </w:pPr>
      <w:r w:rsidRPr="00151488">
        <w:rPr>
          <w:rFonts w:ascii="Book Antiqua" w:hAnsi="Book Antiqua" w:cs="Times New Roman"/>
          <w:b w:val="0"/>
          <w:bCs w:val="0"/>
          <w:color w:val="000000"/>
          <w:sz w:val="22"/>
          <w:szCs w:val="20"/>
        </w:rPr>
        <w:t>Given the foregoing, clarity as to the circumstances in which, and the means by which</w:t>
      </w:r>
      <w:r>
        <w:rPr>
          <w:rFonts w:ascii="Book Antiqua" w:hAnsi="Book Antiqua" w:cs="Times New Roman"/>
          <w:b w:val="0"/>
          <w:bCs w:val="0"/>
          <w:color w:val="000000"/>
          <w:sz w:val="22"/>
          <w:szCs w:val="20"/>
        </w:rPr>
        <w:t>,</w:t>
      </w:r>
      <w:r w:rsidRPr="00151488">
        <w:rPr>
          <w:rFonts w:ascii="Book Antiqua" w:hAnsi="Book Antiqua" w:cs="Times New Roman"/>
          <w:b w:val="0"/>
          <w:bCs w:val="0"/>
          <w:color w:val="000000"/>
          <w:sz w:val="22"/>
          <w:szCs w:val="20"/>
        </w:rPr>
        <w:t xml:space="preserve"> there may be further dissemination by the recipients of information from </w:t>
      </w:r>
      <w:proofErr w:type="spellStart"/>
      <w:r w:rsidRPr="00151488">
        <w:rPr>
          <w:rFonts w:ascii="Book Antiqua" w:hAnsi="Book Antiqua" w:cs="Times New Roman"/>
          <w:b w:val="0"/>
          <w:bCs w:val="0"/>
          <w:color w:val="000000"/>
          <w:sz w:val="22"/>
          <w:szCs w:val="20"/>
        </w:rPr>
        <w:t>whistleblowers</w:t>
      </w:r>
      <w:proofErr w:type="spellEnd"/>
      <w:r w:rsidR="00474823">
        <w:rPr>
          <w:rFonts w:ascii="Book Antiqua" w:hAnsi="Book Antiqua" w:cs="Times New Roman"/>
          <w:b w:val="0"/>
          <w:bCs w:val="0"/>
          <w:color w:val="000000"/>
          <w:sz w:val="22"/>
          <w:szCs w:val="20"/>
        </w:rPr>
        <w:t>,</w:t>
      </w:r>
      <w:r w:rsidRPr="00151488">
        <w:rPr>
          <w:rFonts w:ascii="Book Antiqua" w:hAnsi="Book Antiqua" w:cs="Times New Roman"/>
          <w:b w:val="0"/>
          <w:bCs w:val="0"/>
          <w:color w:val="000000"/>
          <w:sz w:val="22"/>
          <w:szCs w:val="20"/>
        </w:rPr>
        <w:t xml:space="preserve"> would appear to be necessary. This need not extend as far as banning any use of the information even in a </w:t>
      </w:r>
      <w:r>
        <w:rPr>
          <w:rFonts w:ascii="Book Antiqua" w:hAnsi="Book Antiqua" w:cs="Times New Roman"/>
          <w:b w:val="0"/>
          <w:bCs w:val="0"/>
          <w:color w:val="000000"/>
          <w:sz w:val="22"/>
          <w:szCs w:val="20"/>
        </w:rPr>
        <w:t>c</w:t>
      </w:r>
      <w:r w:rsidRPr="00151488">
        <w:rPr>
          <w:rFonts w:ascii="Book Antiqua" w:hAnsi="Book Antiqua" w:cs="Times New Roman"/>
          <w:b w:val="0"/>
          <w:bCs w:val="0"/>
          <w:color w:val="000000"/>
          <w:sz w:val="22"/>
          <w:szCs w:val="20"/>
        </w:rPr>
        <w:t xml:space="preserve">ourt as under </w:t>
      </w:r>
      <w:r>
        <w:rPr>
          <w:rFonts w:ascii="Book Antiqua" w:hAnsi="Book Antiqua" w:cs="Times New Roman"/>
          <w:b w:val="0"/>
          <w:bCs w:val="0"/>
          <w:color w:val="000000"/>
          <w:sz w:val="22"/>
          <w:szCs w:val="20"/>
        </w:rPr>
        <w:t xml:space="preserve">the </w:t>
      </w:r>
      <w:r w:rsidRPr="00151488">
        <w:rPr>
          <w:rFonts w:ascii="Book Antiqua" w:hAnsi="Book Antiqua" w:cs="Times New Roman"/>
          <w:b w:val="0"/>
          <w:bCs w:val="0"/>
          <w:color w:val="000000"/>
          <w:sz w:val="22"/>
          <w:szCs w:val="20"/>
        </w:rPr>
        <w:t>AUS-PIDA</w:t>
      </w:r>
      <w:r>
        <w:rPr>
          <w:rFonts w:ascii="Book Antiqua" w:hAnsi="Book Antiqua" w:cs="Times New Roman"/>
          <w:b w:val="0"/>
          <w:bCs w:val="0"/>
          <w:color w:val="000000"/>
          <w:sz w:val="22"/>
          <w:szCs w:val="20"/>
        </w:rPr>
        <w:t>,</w:t>
      </w:r>
      <w:r w:rsidRPr="00151488">
        <w:rPr>
          <w:rFonts w:ascii="Book Antiqua" w:hAnsi="Book Antiqua" w:cs="Times New Roman"/>
          <w:b w:val="0"/>
          <w:bCs w:val="0"/>
          <w:color w:val="000000"/>
          <w:sz w:val="22"/>
          <w:szCs w:val="20"/>
        </w:rPr>
        <w:t xml:space="preserve"> given the powers available to courts to manage informat</w:t>
      </w:r>
      <w:r>
        <w:rPr>
          <w:rFonts w:ascii="Book Antiqua" w:hAnsi="Book Antiqua" w:cs="Times New Roman"/>
          <w:b w:val="0"/>
          <w:bCs w:val="0"/>
          <w:color w:val="000000"/>
          <w:sz w:val="22"/>
          <w:szCs w:val="20"/>
        </w:rPr>
        <w:t xml:space="preserve">ion dissemination effectively. </w:t>
      </w:r>
      <w:r w:rsidRPr="00151488">
        <w:rPr>
          <w:rFonts w:ascii="Book Antiqua" w:hAnsi="Book Antiqua" w:cs="Times New Roman"/>
          <w:b w:val="0"/>
          <w:bCs w:val="0"/>
          <w:color w:val="000000"/>
          <w:sz w:val="22"/>
          <w:szCs w:val="20"/>
        </w:rPr>
        <w:t xml:space="preserve">It could include express provisions however, similar to other provisions of the AUS_PIDA and the recently amended RO Act which set up a mechanism for investigating disclosures and </w:t>
      </w:r>
      <w:r>
        <w:rPr>
          <w:rFonts w:ascii="Book Antiqua" w:hAnsi="Book Antiqua" w:cs="Times New Roman"/>
          <w:b w:val="0"/>
          <w:bCs w:val="0"/>
          <w:color w:val="000000"/>
          <w:sz w:val="22"/>
          <w:szCs w:val="20"/>
        </w:rPr>
        <w:t>to</w:t>
      </w:r>
      <w:r w:rsidRPr="00151488">
        <w:rPr>
          <w:rFonts w:ascii="Book Antiqua" w:hAnsi="Book Antiqua" w:cs="Times New Roman"/>
          <w:b w:val="0"/>
          <w:bCs w:val="0"/>
          <w:color w:val="000000"/>
          <w:sz w:val="22"/>
          <w:szCs w:val="20"/>
        </w:rPr>
        <w:t xml:space="preserve"> </w:t>
      </w:r>
      <w:r>
        <w:rPr>
          <w:rFonts w:ascii="Book Antiqua" w:hAnsi="Book Antiqua" w:cs="Times New Roman"/>
          <w:b w:val="0"/>
          <w:bCs w:val="0"/>
          <w:color w:val="000000"/>
          <w:sz w:val="22"/>
          <w:szCs w:val="20"/>
        </w:rPr>
        <w:t xml:space="preserve">allow </w:t>
      </w:r>
      <w:r w:rsidRPr="00151488">
        <w:rPr>
          <w:rFonts w:ascii="Book Antiqua" w:hAnsi="Book Antiqua" w:cs="Times New Roman"/>
          <w:b w:val="0"/>
          <w:bCs w:val="0"/>
          <w:color w:val="000000"/>
          <w:sz w:val="22"/>
          <w:szCs w:val="20"/>
        </w:rPr>
        <w:t>dissemination incidental to this purpose.</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666700" w:rsidRPr="00666700" w14:paraId="103BF5C5" w14:textId="77777777" w:rsidTr="00F15A1A">
        <w:tc>
          <w:tcPr>
            <w:tcW w:w="9286" w:type="dxa"/>
            <w:shd w:val="clear" w:color="auto" w:fill="DBE5F1" w:themeFill="accent1" w:themeFillTint="33"/>
          </w:tcPr>
          <w:p w14:paraId="103BF5BF" w14:textId="77777777" w:rsidR="00666700" w:rsidRPr="00F15A1A" w:rsidRDefault="00666700" w:rsidP="00F15A1A">
            <w:pPr>
              <w:pStyle w:val="BoxHeadingnonumber"/>
            </w:pPr>
            <w:r w:rsidRPr="00F15A1A">
              <w:t>Questions</w:t>
            </w:r>
          </w:p>
          <w:p w14:paraId="103BF5C0" w14:textId="77777777" w:rsidR="00666700" w:rsidRPr="00F15A1A" w:rsidRDefault="00666700" w:rsidP="00F15A1A">
            <w:pPr>
              <w:pStyle w:val="BoxQuestions"/>
            </w:pPr>
            <w:r w:rsidRPr="00F15A1A">
              <w:t xml:space="preserve">Is there a need to strengthen protections of a </w:t>
            </w:r>
            <w:proofErr w:type="spellStart"/>
            <w:r w:rsidRPr="00F15A1A">
              <w:t>whistleblower’s</w:t>
            </w:r>
            <w:proofErr w:type="spellEnd"/>
            <w:r w:rsidRPr="00F15A1A">
              <w:t xml:space="preserve"> identity, and if so, what specific amendments should be considered? </w:t>
            </w:r>
          </w:p>
          <w:p w14:paraId="103BF5C1" w14:textId="77777777" w:rsidR="003574A8" w:rsidRDefault="003574A8">
            <w:pPr>
              <w:pStyle w:val="BoxQuestions"/>
            </w:pPr>
            <w:r>
              <w:t xml:space="preserve">To whom should the provisions apply to – Government agencies who receive the information or all recipients of the information or both?  </w:t>
            </w:r>
          </w:p>
          <w:p w14:paraId="103BF5C2" w14:textId="77777777" w:rsidR="003574A8" w:rsidRDefault="003574A8">
            <w:pPr>
              <w:pStyle w:val="BoxQuestions"/>
            </w:pPr>
            <w:r>
              <w:t>Should courts</w:t>
            </w:r>
            <w:r w:rsidR="00253077">
              <w:t xml:space="preserve"> </w:t>
            </w:r>
            <w:r>
              <w:t xml:space="preserve">and tribunals be allowed access to information provided the confidential character of the information and the </w:t>
            </w:r>
            <w:proofErr w:type="spellStart"/>
            <w:r>
              <w:t>whistleblower’s</w:t>
            </w:r>
            <w:proofErr w:type="spellEnd"/>
            <w:r>
              <w:t xml:space="preserve"> identity is maintained through the use of bespoke judicial orders?</w:t>
            </w:r>
          </w:p>
          <w:p w14:paraId="103BF5C3" w14:textId="77777777" w:rsidR="003574A8" w:rsidRDefault="003574A8">
            <w:pPr>
              <w:pStyle w:val="BoxQuestions"/>
            </w:pPr>
            <w:r>
              <w:lastRenderedPageBreak/>
              <w:t xml:space="preserve">How should any additional protections of a </w:t>
            </w:r>
            <w:proofErr w:type="spellStart"/>
            <w:r>
              <w:t>whistleblower’s</w:t>
            </w:r>
            <w:proofErr w:type="spellEnd"/>
            <w:r>
              <w:t xml:space="preserve"> identity be balanced by the need for a company or agency to investigate the wrongdoing and also to ensure that procedural fairness is afforded to those alleged to have engaged, or been involved, in wrongdoing?</w:t>
            </w:r>
          </w:p>
          <w:p w14:paraId="103BF5C4" w14:textId="77777777" w:rsidR="00666700" w:rsidRPr="00F15A1A" w:rsidRDefault="003574A8" w:rsidP="00D85214">
            <w:pPr>
              <w:pStyle w:val="BoxQuestions"/>
            </w:pPr>
            <w:r>
              <w:t xml:space="preserve">Should consent by a </w:t>
            </w:r>
            <w:proofErr w:type="spellStart"/>
            <w:r>
              <w:t>whistleblower</w:t>
            </w:r>
            <w:proofErr w:type="spellEnd"/>
            <w:r>
              <w:t xml:space="preserve"> be required prior to disclosing the information to people or entities for the purposes of investigating a matter? If so, in what circumstances should consent be obtained? </w:t>
            </w:r>
          </w:p>
        </w:tc>
      </w:tr>
    </w:tbl>
    <w:p w14:paraId="103BF5C6" w14:textId="77777777" w:rsidR="009432E5" w:rsidRPr="00E80530" w:rsidRDefault="009432E5">
      <w:pPr>
        <w:pStyle w:val="Heading3"/>
      </w:pPr>
      <w:bookmarkStart w:id="149" w:name="_Toc468971475"/>
      <w:bookmarkStart w:id="150" w:name="_Toc468977752"/>
      <w:bookmarkStart w:id="151" w:name="_Toc468995352"/>
      <w:r w:rsidRPr="00E80530">
        <w:lastRenderedPageBreak/>
        <w:t>Protection against retaliation</w:t>
      </w:r>
      <w:bookmarkEnd w:id="149"/>
      <w:bookmarkEnd w:id="150"/>
      <w:bookmarkEnd w:id="151"/>
    </w:p>
    <w:p w14:paraId="103BF5C7" w14:textId="77777777" w:rsidR="003574A8" w:rsidRPr="003574A8" w:rsidRDefault="003574A8" w:rsidP="00111D1A">
      <w:pPr>
        <w:pStyle w:val="Heading3"/>
        <w:jc w:val="both"/>
        <w:rPr>
          <w:rFonts w:ascii="Book Antiqua" w:hAnsi="Book Antiqua" w:cs="Times New Roman"/>
          <w:b w:val="0"/>
          <w:bCs w:val="0"/>
          <w:color w:val="000000"/>
          <w:sz w:val="22"/>
          <w:szCs w:val="20"/>
        </w:rPr>
      </w:pPr>
      <w:r w:rsidRPr="003574A8">
        <w:rPr>
          <w:rFonts w:ascii="Book Antiqua" w:hAnsi="Book Antiqua" w:cs="Times New Roman"/>
          <w:b w:val="0"/>
          <w:bCs w:val="0"/>
          <w:color w:val="000000"/>
          <w:sz w:val="22"/>
          <w:szCs w:val="20"/>
        </w:rPr>
        <w:t xml:space="preserve">Corporate </w:t>
      </w:r>
      <w:proofErr w:type="spellStart"/>
      <w:r w:rsidRPr="003574A8">
        <w:rPr>
          <w:rFonts w:ascii="Book Antiqua" w:hAnsi="Book Antiqua" w:cs="Times New Roman"/>
          <w:b w:val="0"/>
          <w:bCs w:val="0"/>
          <w:color w:val="000000"/>
          <w:sz w:val="22"/>
          <w:szCs w:val="20"/>
        </w:rPr>
        <w:t>whistleblower</w:t>
      </w:r>
      <w:proofErr w:type="spellEnd"/>
      <w:r w:rsidRPr="003574A8">
        <w:rPr>
          <w:rFonts w:ascii="Book Antiqua" w:hAnsi="Book Antiqua" w:cs="Times New Roman"/>
          <w:b w:val="0"/>
          <w:bCs w:val="0"/>
          <w:color w:val="000000"/>
          <w:sz w:val="22"/>
          <w:szCs w:val="20"/>
        </w:rPr>
        <w:t xml:space="preserve"> protections prohibit victimisation of the </w:t>
      </w:r>
      <w:proofErr w:type="spellStart"/>
      <w:r w:rsidRPr="003574A8">
        <w:rPr>
          <w:rFonts w:ascii="Book Antiqua" w:hAnsi="Book Antiqua" w:cs="Times New Roman"/>
          <w:b w:val="0"/>
          <w:bCs w:val="0"/>
          <w:color w:val="000000"/>
          <w:sz w:val="22"/>
          <w:szCs w:val="20"/>
        </w:rPr>
        <w:t>whistleblower</w:t>
      </w:r>
      <w:proofErr w:type="spellEnd"/>
      <w:r w:rsidRPr="003574A8">
        <w:rPr>
          <w:rFonts w:ascii="Book Antiqua" w:hAnsi="Book Antiqua" w:cs="Times New Roman"/>
          <w:b w:val="0"/>
          <w:bCs w:val="0"/>
          <w:color w:val="000000"/>
          <w:sz w:val="22"/>
          <w:szCs w:val="20"/>
        </w:rPr>
        <w:t xml:space="preserve"> and give the </w:t>
      </w:r>
      <w:proofErr w:type="spellStart"/>
      <w:r w:rsidRPr="003574A8">
        <w:rPr>
          <w:rFonts w:ascii="Book Antiqua" w:hAnsi="Book Antiqua" w:cs="Times New Roman"/>
          <w:b w:val="0"/>
          <w:bCs w:val="0"/>
          <w:color w:val="000000"/>
          <w:sz w:val="22"/>
          <w:szCs w:val="20"/>
        </w:rPr>
        <w:t>whistleblower</w:t>
      </w:r>
      <w:proofErr w:type="spellEnd"/>
      <w:r w:rsidRPr="003574A8">
        <w:rPr>
          <w:rFonts w:ascii="Book Antiqua" w:hAnsi="Book Antiqua" w:cs="Times New Roman"/>
          <w:b w:val="0"/>
          <w:bCs w:val="0"/>
          <w:color w:val="000000"/>
          <w:sz w:val="22"/>
          <w:szCs w:val="20"/>
        </w:rPr>
        <w:t xml:space="preserve"> the right to seek compensation if damage is suffered as a result of victimisation. The Act does not seek to define concepts of reprisal or victimisation for this purpose</w:t>
      </w:r>
      <w:r w:rsidR="00253077">
        <w:rPr>
          <w:rFonts w:ascii="Book Antiqua" w:hAnsi="Book Antiqua" w:cs="Times New Roman"/>
          <w:b w:val="0"/>
          <w:bCs w:val="0"/>
          <w:color w:val="000000"/>
          <w:sz w:val="22"/>
          <w:szCs w:val="20"/>
        </w:rPr>
        <w:t xml:space="preserve"> </w:t>
      </w:r>
      <w:r w:rsidRPr="003574A8">
        <w:rPr>
          <w:rFonts w:ascii="Book Antiqua" w:hAnsi="Book Antiqua" w:cs="Times New Roman"/>
          <w:b w:val="0"/>
          <w:bCs w:val="0"/>
          <w:color w:val="000000"/>
          <w:sz w:val="22"/>
          <w:szCs w:val="20"/>
        </w:rPr>
        <w:t xml:space="preserve">(on compensation see the section immediately below in this paper). </w:t>
      </w:r>
    </w:p>
    <w:p w14:paraId="103BF5C8" w14:textId="01F06F8B" w:rsidR="003574A8" w:rsidRPr="003574A8" w:rsidRDefault="003574A8">
      <w:pPr>
        <w:pStyle w:val="Heading3"/>
        <w:jc w:val="both"/>
        <w:rPr>
          <w:rFonts w:ascii="Book Antiqua" w:hAnsi="Book Antiqua" w:cs="Times New Roman"/>
          <w:b w:val="0"/>
          <w:bCs w:val="0"/>
          <w:color w:val="000000"/>
          <w:sz w:val="22"/>
          <w:szCs w:val="20"/>
        </w:rPr>
      </w:pPr>
      <w:r w:rsidRPr="003574A8">
        <w:rPr>
          <w:rFonts w:ascii="Book Antiqua" w:hAnsi="Book Antiqua" w:cs="Times New Roman"/>
          <w:b w:val="0"/>
          <w:bCs w:val="0"/>
          <w:color w:val="000000"/>
          <w:sz w:val="22"/>
          <w:szCs w:val="20"/>
        </w:rPr>
        <w:t>By contrast the AUS-PIDA</w:t>
      </w:r>
      <w:r w:rsidR="000C014F">
        <w:rPr>
          <w:rFonts w:ascii="Book Antiqua" w:hAnsi="Book Antiqua" w:cs="Times New Roman"/>
          <w:b w:val="0"/>
          <w:bCs w:val="0"/>
          <w:color w:val="000000"/>
          <w:sz w:val="22"/>
          <w:szCs w:val="20"/>
        </w:rPr>
        <w:t xml:space="preserve"> </w:t>
      </w:r>
      <w:r w:rsidRPr="003574A8">
        <w:rPr>
          <w:rFonts w:ascii="Book Antiqua" w:hAnsi="Book Antiqua" w:cs="Times New Roman"/>
          <w:b w:val="0"/>
          <w:bCs w:val="0"/>
          <w:color w:val="000000"/>
          <w:sz w:val="22"/>
          <w:szCs w:val="20"/>
        </w:rPr>
        <w:t xml:space="preserve">identifies </w:t>
      </w:r>
      <w:r w:rsidR="006B250B">
        <w:rPr>
          <w:rFonts w:ascii="Book Antiqua" w:hAnsi="Book Antiqua" w:cs="Times New Roman"/>
          <w:b w:val="0"/>
          <w:bCs w:val="0"/>
          <w:color w:val="000000"/>
          <w:sz w:val="22"/>
          <w:szCs w:val="20"/>
        </w:rPr>
        <w:t>reprisals</w:t>
      </w:r>
      <w:r w:rsidRPr="003574A8">
        <w:rPr>
          <w:rFonts w:ascii="Book Antiqua" w:hAnsi="Book Antiqua" w:cs="Times New Roman"/>
          <w:b w:val="0"/>
          <w:bCs w:val="0"/>
          <w:color w:val="000000"/>
          <w:sz w:val="22"/>
          <w:szCs w:val="20"/>
        </w:rPr>
        <w:t xml:space="preserve"> as including discriminatory treatment, termination of employment, injury, intended to punish a </w:t>
      </w:r>
      <w:proofErr w:type="spellStart"/>
      <w:r w:rsidRPr="003574A8">
        <w:rPr>
          <w:rFonts w:ascii="Book Antiqua" w:hAnsi="Book Antiqua" w:cs="Times New Roman"/>
          <w:b w:val="0"/>
          <w:bCs w:val="0"/>
          <w:color w:val="000000"/>
          <w:sz w:val="22"/>
          <w:szCs w:val="20"/>
        </w:rPr>
        <w:t>whistleblower</w:t>
      </w:r>
      <w:proofErr w:type="spellEnd"/>
      <w:r w:rsidRPr="003574A8">
        <w:rPr>
          <w:rFonts w:ascii="Book Antiqua" w:hAnsi="Book Antiqua" w:cs="Times New Roman"/>
          <w:b w:val="0"/>
          <w:bCs w:val="0"/>
          <w:color w:val="000000"/>
          <w:sz w:val="22"/>
          <w:szCs w:val="20"/>
        </w:rPr>
        <w:t xml:space="preserve"> for making the disclosure. The AUS-PIDA also prevents anyone from trying to enforce any contractual or other remedy against them (such as termination of employment or damages for breach of contract or for defamation). </w:t>
      </w:r>
    </w:p>
    <w:p w14:paraId="103BF5C9" w14:textId="4A1F1653" w:rsidR="003574A8" w:rsidRPr="003574A8" w:rsidRDefault="003574A8">
      <w:pPr>
        <w:pStyle w:val="Heading3"/>
        <w:jc w:val="both"/>
        <w:rPr>
          <w:rFonts w:ascii="Book Antiqua" w:hAnsi="Book Antiqua" w:cs="Times New Roman"/>
          <w:b w:val="0"/>
          <w:bCs w:val="0"/>
          <w:color w:val="000000"/>
          <w:sz w:val="22"/>
          <w:szCs w:val="20"/>
        </w:rPr>
      </w:pPr>
      <w:r w:rsidRPr="003574A8">
        <w:rPr>
          <w:rFonts w:ascii="Book Antiqua" w:hAnsi="Book Antiqua" w:cs="Times New Roman"/>
          <w:b w:val="0"/>
          <w:bCs w:val="0"/>
          <w:color w:val="000000"/>
          <w:sz w:val="22"/>
          <w:szCs w:val="20"/>
        </w:rPr>
        <w:t xml:space="preserve">Similarly, the RO Act makes it a criminal offence to take or threaten to take a reprisal, </w:t>
      </w:r>
      <w:r w:rsidR="000C014F">
        <w:rPr>
          <w:rFonts w:ascii="Book Antiqua" w:hAnsi="Book Antiqua" w:cs="Times New Roman"/>
          <w:b w:val="0"/>
          <w:bCs w:val="0"/>
          <w:color w:val="000000"/>
          <w:sz w:val="22"/>
          <w:szCs w:val="20"/>
        </w:rPr>
        <w:t>however it has</w:t>
      </w:r>
      <w:r w:rsidR="00093CDC">
        <w:rPr>
          <w:rFonts w:ascii="Book Antiqua" w:hAnsi="Book Antiqua" w:cs="Times New Roman"/>
          <w:b w:val="0"/>
          <w:bCs w:val="0"/>
          <w:color w:val="000000"/>
          <w:sz w:val="22"/>
          <w:szCs w:val="20"/>
        </w:rPr>
        <w:t xml:space="preserve"> </w:t>
      </w:r>
      <w:r w:rsidR="000C014F">
        <w:rPr>
          <w:rFonts w:ascii="Book Antiqua" w:hAnsi="Book Antiqua" w:cs="Times New Roman"/>
          <w:b w:val="0"/>
          <w:bCs w:val="0"/>
          <w:color w:val="000000"/>
          <w:sz w:val="22"/>
          <w:szCs w:val="20"/>
        </w:rPr>
        <w:t xml:space="preserve">a </w:t>
      </w:r>
      <w:r w:rsidRPr="003574A8">
        <w:rPr>
          <w:rFonts w:ascii="Book Antiqua" w:hAnsi="Book Antiqua" w:cs="Times New Roman"/>
          <w:b w:val="0"/>
          <w:bCs w:val="0"/>
          <w:color w:val="000000"/>
          <w:sz w:val="22"/>
          <w:szCs w:val="20"/>
        </w:rPr>
        <w:t>broad</w:t>
      </w:r>
      <w:r w:rsidR="000C014F">
        <w:rPr>
          <w:rFonts w:ascii="Book Antiqua" w:hAnsi="Book Antiqua" w:cs="Times New Roman"/>
          <w:b w:val="0"/>
          <w:bCs w:val="0"/>
          <w:color w:val="000000"/>
          <w:sz w:val="22"/>
          <w:szCs w:val="20"/>
        </w:rPr>
        <w:t>er</w:t>
      </w:r>
      <w:r w:rsidRPr="003574A8">
        <w:rPr>
          <w:rFonts w:ascii="Book Antiqua" w:hAnsi="Book Antiqua" w:cs="Times New Roman"/>
          <w:b w:val="0"/>
          <w:bCs w:val="0"/>
          <w:color w:val="000000"/>
          <w:sz w:val="22"/>
          <w:szCs w:val="20"/>
        </w:rPr>
        <w:t xml:space="preserve"> range of defined conduct that is prohibited for this purpose</w:t>
      </w:r>
      <w:r w:rsidR="006B250B">
        <w:rPr>
          <w:rFonts w:ascii="Book Antiqua" w:hAnsi="Book Antiqua" w:cs="Times New Roman"/>
          <w:b w:val="0"/>
          <w:bCs w:val="0"/>
          <w:color w:val="000000"/>
          <w:sz w:val="22"/>
          <w:szCs w:val="20"/>
        </w:rPr>
        <w:t xml:space="preserve">, including </w:t>
      </w:r>
      <w:r w:rsidR="000C014F">
        <w:rPr>
          <w:rFonts w:ascii="Book Antiqua" w:hAnsi="Book Antiqua" w:cs="Times New Roman"/>
          <w:b w:val="0"/>
          <w:bCs w:val="0"/>
          <w:color w:val="000000"/>
          <w:sz w:val="22"/>
          <w:szCs w:val="20"/>
        </w:rPr>
        <w:t>damage to reputation, third party property d</w:t>
      </w:r>
      <w:r w:rsidR="006B250B">
        <w:rPr>
          <w:rFonts w:ascii="Book Antiqua" w:hAnsi="Book Antiqua" w:cs="Times New Roman"/>
          <w:b w:val="0"/>
          <w:bCs w:val="0"/>
          <w:color w:val="000000"/>
          <w:sz w:val="22"/>
          <w:szCs w:val="20"/>
        </w:rPr>
        <w:t>a</w:t>
      </w:r>
      <w:r w:rsidR="000C014F">
        <w:rPr>
          <w:rFonts w:ascii="Book Antiqua" w:hAnsi="Book Antiqua" w:cs="Times New Roman"/>
          <w:b w:val="0"/>
          <w:bCs w:val="0"/>
          <w:color w:val="000000"/>
          <w:sz w:val="22"/>
          <w:szCs w:val="20"/>
        </w:rPr>
        <w:t xml:space="preserve">mage, psychological harm </w:t>
      </w:r>
      <w:r w:rsidR="006B250B">
        <w:rPr>
          <w:rFonts w:ascii="Book Antiqua" w:hAnsi="Book Antiqua" w:cs="Times New Roman"/>
          <w:b w:val="0"/>
          <w:bCs w:val="0"/>
          <w:color w:val="000000"/>
          <w:sz w:val="22"/>
          <w:szCs w:val="20"/>
        </w:rPr>
        <w:t>and</w:t>
      </w:r>
      <w:r w:rsidR="000C014F">
        <w:rPr>
          <w:rFonts w:ascii="Book Antiqua" w:hAnsi="Book Antiqua" w:cs="Times New Roman"/>
          <w:b w:val="0"/>
          <w:bCs w:val="0"/>
          <w:color w:val="000000"/>
          <w:sz w:val="22"/>
          <w:szCs w:val="20"/>
        </w:rPr>
        <w:t xml:space="preserve"> other form</w:t>
      </w:r>
      <w:r w:rsidR="006B250B">
        <w:rPr>
          <w:rFonts w:ascii="Book Antiqua" w:hAnsi="Book Antiqua" w:cs="Times New Roman"/>
          <w:b w:val="0"/>
          <w:bCs w:val="0"/>
          <w:color w:val="000000"/>
          <w:sz w:val="22"/>
          <w:szCs w:val="20"/>
        </w:rPr>
        <w:t>s</w:t>
      </w:r>
      <w:r w:rsidR="000C014F">
        <w:rPr>
          <w:rFonts w:ascii="Book Antiqua" w:hAnsi="Book Antiqua" w:cs="Times New Roman"/>
          <w:b w:val="0"/>
          <w:bCs w:val="0"/>
          <w:color w:val="000000"/>
          <w:sz w:val="22"/>
          <w:szCs w:val="20"/>
        </w:rPr>
        <w:t xml:space="preserve"> of intimidation </w:t>
      </w:r>
      <w:r w:rsidR="006B250B">
        <w:rPr>
          <w:rFonts w:ascii="Book Antiqua" w:hAnsi="Book Antiqua" w:cs="Times New Roman"/>
          <w:b w:val="0"/>
          <w:bCs w:val="0"/>
          <w:color w:val="000000"/>
          <w:sz w:val="22"/>
          <w:szCs w:val="20"/>
        </w:rPr>
        <w:t>or</w:t>
      </w:r>
      <w:r w:rsidR="000C014F">
        <w:rPr>
          <w:rFonts w:ascii="Book Antiqua" w:hAnsi="Book Antiqua" w:cs="Times New Roman"/>
          <w:b w:val="0"/>
          <w:bCs w:val="0"/>
          <w:color w:val="000000"/>
          <w:sz w:val="22"/>
          <w:szCs w:val="20"/>
        </w:rPr>
        <w:t xml:space="preserve"> harassment</w:t>
      </w:r>
      <w:r w:rsidRPr="003574A8">
        <w:rPr>
          <w:rFonts w:ascii="Book Antiqua" w:hAnsi="Book Antiqua" w:cs="Times New Roman"/>
          <w:b w:val="0"/>
          <w:bCs w:val="0"/>
          <w:color w:val="000000"/>
          <w:sz w:val="22"/>
          <w:szCs w:val="20"/>
        </w:rPr>
        <w:t xml:space="preserve">, and provides a flexible remedies to redress </w:t>
      </w:r>
      <w:r w:rsidR="006B250B">
        <w:rPr>
          <w:rFonts w:ascii="Book Antiqua" w:hAnsi="Book Antiqua" w:cs="Times New Roman"/>
          <w:b w:val="0"/>
          <w:bCs w:val="0"/>
          <w:color w:val="000000"/>
          <w:sz w:val="22"/>
          <w:szCs w:val="20"/>
        </w:rPr>
        <w:t>these</w:t>
      </w:r>
      <w:r w:rsidRPr="003574A8">
        <w:rPr>
          <w:rFonts w:ascii="Book Antiqua" w:hAnsi="Book Antiqua" w:cs="Times New Roman"/>
          <w:b w:val="0"/>
          <w:bCs w:val="0"/>
          <w:color w:val="000000"/>
          <w:sz w:val="22"/>
          <w:szCs w:val="20"/>
        </w:rPr>
        <w:t>.</w:t>
      </w:r>
    </w:p>
    <w:p w14:paraId="103BF5CA" w14:textId="77777777" w:rsidR="00666700" w:rsidRDefault="003574A8" w:rsidP="009432E5">
      <w:pPr>
        <w:pStyle w:val="OutlineNumbered1"/>
        <w:numPr>
          <w:ilvl w:val="0"/>
          <w:numId w:val="0"/>
        </w:numPr>
      </w:pPr>
      <w:r w:rsidRPr="003574A8">
        <w:t xml:space="preserve">Internationally, the UK-PIDA protects workers from retaliation by their employer. In addition, the UK Prudential Regulatory Authority requires firms to ‘take all reasonable steps to ensure that no person under the firm’s control engages in victimisation of </w:t>
      </w:r>
      <w:proofErr w:type="spellStart"/>
      <w:r w:rsidRPr="003574A8">
        <w:t>whistleblowers</w:t>
      </w:r>
      <w:proofErr w:type="spellEnd"/>
      <w:r w:rsidRPr="003574A8">
        <w:t xml:space="preserve">, and </w:t>
      </w:r>
      <w:r w:rsidR="006B250B">
        <w:t xml:space="preserve">to </w:t>
      </w:r>
      <w:r w:rsidRPr="003574A8">
        <w:t>take appropriate measures against those responsible for any such victimisation’</w:t>
      </w:r>
      <w:r w:rsidR="009432E5">
        <w:t>.</w:t>
      </w:r>
      <w:r w:rsidR="009432E5" w:rsidRPr="008D01A9">
        <w:rPr>
          <w:rStyle w:val="FootnoteReference"/>
        </w:rPr>
        <w:footnoteReference w:id="17"/>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666700" w:rsidRPr="00666700" w14:paraId="103BF5CD" w14:textId="77777777" w:rsidTr="00F15A1A">
        <w:tc>
          <w:tcPr>
            <w:tcW w:w="9286" w:type="dxa"/>
            <w:shd w:val="clear" w:color="auto" w:fill="DBE5F1" w:themeFill="accent1" w:themeFillTint="33"/>
          </w:tcPr>
          <w:p w14:paraId="103BF5CB" w14:textId="77777777" w:rsidR="00666700" w:rsidRPr="00F15A1A" w:rsidRDefault="00666700" w:rsidP="00F15A1A">
            <w:pPr>
              <w:pStyle w:val="BoxHeadingnonumber"/>
            </w:pPr>
            <w:r w:rsidRPr="00F15A1A">
              <w:t>Question</w:t>
            </w:r>
          </w:p>
          <w:p w14:paraId="103BF5CC" w14:textId="77777777" w:rsidR="00666700" w:rsidRPr="00F15A1A" w:rsidRDefault="008D01A9" w:rsidP="00111D1A">
            <w:pPr>
              <w:pStyle w:val="BoxQuestions"/>
              <w:jc w:val="left"/>
            </w:pPr>
            <w:r w:rsidRPr="008D01A9">
              <w:t xml:space="preserve">Is there a need to strengthen the current prohibition against the victimisation of </w:t>
            </w:r>
            <w:proofErr w:type="spellStart"/>
            <w:r w:rsidRPr="008D01A9">
              <w:t>whistleblowers</w:t>
            </w:r>
            <w:proofErr w:type="spellEnd"/>
            <w:r w:rsidRPr="008D01A9">
              <w:t xml:space="preserve"> in the Corporations Act? If so, should these be similar to those which exis</w:t>
            </w:r>
            <w:r>
              <w:t>t under the AUS-PIDA and RO Act</w:t>
            </w:r>
            <w:r w:rsidRPr="008D01A9">
              <w:t>?</w:t>
            </w:r>
          </w:p>
        </w:tc>
      </w:tr>
    </w:tbl>
    <w:p w14:paraId="103BF5CE" w14:textId="77777777" w:rsidR="00AD29FE" w:rsidRPr="00D77CF4" w:rsidRDefault="003B4B2B">
      <w:pPr>
        <w:pStyle w:val="Heading3"/>
        <w:rPr>
          <w:rFonts w:cs="TimesNewRoman"/>
        </w:rPr>
      </w:pPr>
      <w:bookmarkStart w:id="152" w:name="_Toc468971476"/>
      <w:bookmarkStart w:id="153" w:name="_Toc468977753"/>
      <w:bookmarkStart w:id="154" w:name="_Toc468995353"/>
      <w:r>
        <w:t>C</w:t>
      </w:r>
      <w:r w:rsidR="00AD29FE" w:rsidRPr="001D11B0">
        <w:t>ompensation arrangements</w:t>
      </w:r>
      <w:bookmarkEnd w:id="146"/>
      <w:bookmarkEnd w:id="148"/>
      <w:bookmarkEnd w:id="152"/>
      <w:bookmarkEnd w:id="153"/>
      <w:bookmarkEnd w:id="154"/>
    </w:p>
    <w:p w14:paraId="103BF5CF" w14:textId="77777777" w:rsidR="00A626B5" w:rsidRDefault="005C6319" w:rsidP="00A626B5">
      <w:pPr>
        <w:pStyle w:val="OutlineNumbered1"/>
        <w:numPr>
          <w:ilvl w:val="0"/>
          <w:numId w:val="0"/>
        </w:numPr>
      </w:pPr>
      <w:r>
        <w:t xml:space="preserve">While the Corporations Act provides for compensation in the event that a </w:t>
      </w:r>
      <w:proofErr w:type="spellStart"/>
      <w:r>
        <w:t>whistleblower</w:t>
      </w:r>
      <w:proofErr w:type="spellEnd"/>
      <w:r>
        <w:t xml:space="preserve"> has suffered damage as a result of victimisation arising from the disclosure, practically</w:t>
      </w:r>
      <w:r w:rsidR="00D532B4">
        <w:t>,</w:t>
      </w:r>
      <w:r>
        <w:t xml:space="preserve"> compensat</w:t>
      </w:r>
      <w:r w:rsidR="00A626B5">
        <w:t xml:space="preserve">ion is difficult to access. The provisions do not provide clarity around what remedies are available and how the claim processes should work. Further, the legislation does not provide a centrally coordinated channel to enable </w:t>
      </w:r>
      <w:proofErr w:type="spellStart"/>
      <w:r w:rsidR="00A626B5">
        <w:t>whistleblowers</w:t>
      </w:r>
      <w:proofErr w:type="spellEnd"/>
      <w:r w:rsidR="00A626B5">
        <w:t xml:space="preserve"> to launch a claim for compensation without incurring significant cost and time delays, and compromising their anonymity and confidentiality. It is the claimant's responsibility to bring any action for compensation themselves. </w:t>
      </w:r>
    </w:p>
    <w:p w14:paraId="103BF5D0" w14:textId="77777777" w:rsidR="00B75E9C" w:rsidRDefault="005C6319" w:rsidP="00B75E9C">
      <w:r>
        <w:lastRenderedPageBreak/>
        <w:t xml:space="preserve">This is </w:t>
      </w:r>
      <w:r w:rsidR="008E64C8">
        <w:t xml:space="preserve">in </w:t>
      </w:r>
      <w:r>
        <w:t xml:space="preserve">contrast to </w:t>
      </w:r>
      <w:proofErr w:type="spellStart"/>
      <w:r>
        <w:t>w</w:t>
      </w:r>
      <w:r w:rsidR="00B75E9C">
        <w:t>histleblower</w:t>
      </w:r>
      <w:proofErr w:type="spellEnd"/>
      <w:r w:rsidR="00B75E9C">
        <w:t xml:space="preserve"> prot</w:t>
      </w:r>
      <w:r w:rsidR="00CD55CF">
        <w:t>ections in other jurisdictions</w:t>
      </w:r>
      <w:r w:rsidR="00B75E9C">
        <w:t xml:space="preserve"> </w:t>
      </w:r>
      <w:r w:rsidR="008E64C8">
        <w:t xml:space="preserve">which </w:t>
      </w:r>
      <w:r w:rsidR="00B75E9C">
        <w:t xml:space="preserve">provide </w:t>
      </w:r>
      <w:r w:rsidR="00CD55CF">
        <w:t xml:space="preserve">a </w:t>
      </w:r>
      <w:r w:rsidR="00B75E9C">
        <w:t xml:space="preserve">clearly defined path </w:t>
      </w:r>
      <w:r w:rsidR="006B250B">
        <w:t xml:space="preserve">to </w:t>
      </w:r>
      <w:r w:rsidR="00B75E9C">
        <w:t xml:space="preserve">compensation if the </w:t>
      </w:r>
      <w:proofErr w:type="spellStart"/>
      <w:r w:rsidR="00B75E9C">
        <w:t>whistleblower</w:t>
      </w:r>
      <w:proofErr w:type="spellEnd"/>
      <w:r w:rsidR="00B75E9C">
        <w:t xml:space="preserve"> </w:t>
      </w:r>
      <w:r w:rsidR="008E64C8">
        <w:t xml:space="preserve">suffers a </w:t>
      </w:r>
      <w:r w:rsidR="00B75E9C">
        <w:t xml:space="preserve">reprisal. Under UK-PIDA, workers can make a complaint to an employment tribunal if subjected to a detriment </w:t>
      </w:r>
      <w:r w:rsidR="008E64C8">
        <w:t>as a result of making</w:t>
      </w:r>
      <w:r w:rsidR="00B75E9C">
        <w:t xml:space="preserve"> a protected disclosure. </w:t>
      </w:r>
      <w:r w:rsidR="00B75E9C" w:rsidRPr="005D4890">
        <w:t xml:space="preserve">Unless the employer </w:t>
      </w:r>
      <w:r w:rsidR="00B75E9C">
        <w:t xml:space="preserve">can show a valid reason for the </w:t>
      </w:r>
      <w:r w:rsidR="00B75E9C" w:rsidRPr="005D4890">
        <w:t>dismissal or detriment, an employment</w:t>
      </w:r>
      <w:r w:rsidR="00B75E9C">
        <w:t xml:space="preserve"> </w:t>
      </w:r>
      <w:r w:rsidR="00B75E9C" w:rsidRPr="005D4890">
        <w:t xml:space="preserve">tribunal may </w:t>
      </w:r>
      <w:r w:rsidR="00B75E9C">
        <w:t xml:space="preserve">order the company to compensate </w:t>
      </w:r>
      <w:r w:rsidR="00B75E9C" w:rsidRPr="005D4890">
        <w:t>employee</w:t>
      </w:r>
      <w:r w:rsidR="008E64C8">
        <w:t>s</w:t>
      </w:r>
      <w:r w:rsidR="00B75E9C" w:rsidRPr="005D4890">
        <w:t xml:space="preserve"> for the losses suffered and, in rare</w:t>
      </w:r>
      <w:r w:rsidR="008E64C8">
        <w:t>r</w:t>
      </w:r>
      <w:r w:rsidR="00B75E9C" w:rsidRPr="005D4890">
        <w:t xml:space="preserve"> cases, mandate re-employment</w:t>
      </w:r>
      <w:r w:rsidR="00B75E9C">
        <w:t xml:space="preserve">. </w:t>
      </w:r>
    </w:p>
    <w:p w14:paraId="103BF5D1" w14:textId="77777777" w:rsidR="00AD29FE" w:rsidRDefault="00B75E9C">
      <w:r>
        <w:t xml:space="preserve">Similarly, the US WPA </w:t>
      </w:r>
      <w:r w:rsidRPr="00384466">
        <w:t xml:space="preserve">protects employees from reprisals in the form of an agency taking a </w:t>
      </w:r>
      <w:r>
        <w:t>‘</w:t>
      </w:r>
      <w:r w:rsidRPr="00DC06FA">
        <w:t>personnel action</w:t>
      </w:r>
      <w:r>
        <w:t>’</w:t>
      </w:r>
      <w:r w:rsidR="008E64C8">
        <w:t xml:space="preserve"> and can provide</w:t>
      </w:r>
      <w:r w:rsidRPr="00384466">
        <w:t xml:space="preserve"> a </w:t>
      </w:r>
      <w:r w:rsidR="008E64C8">
        <w:t>route to compensation in that event.</w:t>
      </w:r>
    </w:p>
    <w:p w14:paraId="103BF5D2" w14:textId="77777777" w:rsidR="00AD29FE" w:rsidRDefault="008F528C" w:rsidP="003B4B2B">
      <w:r>
        <w:t>T</w:t>
      </w:r>
      <w:r w:rsidR="00F27233">
        <w:t xml:space="preserve">he AUS-PIDA provides </w:t>
      </w:r>
      <w:r w:rsidR="00AD29FE" w:rsidRPr="00564658">
        <w:t xml:space="preserve">a right to </w:t>
      </w:r>
      <w:r w:rsidR="00AD29FE">
        <w:t xml:space="preserve">obtain an apology, an injunction, a reinstatement order, </w:t>
      </w:r>
      <w:proofErr w:type="gramStart"/>
      <w:r w:rsidR="00AD29FE" w:rsidRPr="00564658">
        <w:t>compensation</w:t>
      </w:r>
      <w:proofErr w:type="gramEnd"/>
      <w:r w:rsidR="00AD29FE" w:rsidRPr="00564658">
        <w:t xml:space="preserve"> if loss or damage is</w:t>
      </w:r>
      <w:r w:rsidR="00AD29FE">
        <w:t xml:space="preserve"> suffered because of a reprisal, and costs</w:t>
      </w:r>
      <w:r w:rsidR="005C1BFD">
        <w:t xml:space="preserve">. It </w:t>
      </w:r>
      <w:r w:rsidR="00AD29FE">
        <w:t xml:space="preserve">establishes </w:t>
      </w:r>
      <w:r w:rsidR="00AD29FE" w:rsidRPr="00A61BD0">
        <w:t xml:space="preserve">a dual system in which remedies for detrimental action are obtainable by application either through the Fair Work system or </w:t>
      </w:r>
      <w:r w:rsidR="008E64C8">
        <w:t xml:space="preserve">the </w:t>
      </w:r>
      <w:r w:rsidR="00AD29FE" w:rsidRPr="00A61BD0">
        <w:t>Federal Court in its general civil jurisdiction</w:t>
      </w:r>
      <w:r w:rsidR="00AD29FE">
        <w:t>.</w:t>
      </w:r>
    </w:p>
    <w:p w14:paraId="103BF5D3" w14:textId="77777777" w:rsidR="008E64C8" w:rsidRDefault="008E64C8" w:rsidP="003B4B2B">
      <w:r>
        <w:t>U</w:t>
      </w:r>
      <w:r w:rsidR="0091480C">
        <w:t xml:space="preserve">nder the recently passed RO </w:t>
      </w:r>
      <w:r w:rsidR="00B74B65">
        <w:t>Act</w:t>
      </w:r>
      <w:r w:rsidR="0091480C">
        <w:t xml:space="preserve">, the Court can award </w:t>
      </w:r>
      <w:r w:rsidR="0091480C" w:rsidRPr="0056319F">
        <w:t>compensation</w:t>
      </w:r>
      <w:r w:rsidR="0091480C">
        <w:t>, injunctions and other remedies</w:t>
      </w:r>
      <w:r w:rsidR="0091480C" w:rsidRPr="0056319F">
        <w:t xml:space="preserve"> </w:t>
      </w:r>
      <w:r w:rsidR="0091480C">
        <w:t xml:space="preserve">to </w:t>
      </w:r>
      <w:proofErr w:type="spellStart"/>
      <w:r w:rsidR="0091480C">
        <w:t>whistleblowers</w:t>
      </w:r>
      <w:proofErr w:type="spellEnd"/>
      <w:r w:rsidR="0091480C">
        <w:t xml:space="preserve"> </w:t>
      </w:r>
      <w:r w:rsidR="0091480C" w:rsidRPr="0056319F">
        <w:t xml:space="preserve">for detriment flowing from </w:t>
      </w:r>
      <w:r>
        <w:t xml:space="preserve">a </w:t>
      </w:r>
      <w:r w:rsidR="0091480C" w:rsidRPr="0056319F">
        <w:t xml:space="preserve">failure to prevent </w:t>
      </w:r>
      <w:r w:rsidR="00072004" w:rsidRPr="0056319F">
        <w:t>reprisals</w:t>
      </w:r>
      <w:r>
        <w:t xml:space="preserve"> relying on </w:t>
      </w:r>
      <w:r w:rsidR="006B250B">
        <w:t xml:space="preserve">actual or </w:t>
      </w:r>
      <w:r>
        <w:t>constructive knowledge. Their exposure to adverse costs orders is also mitigated when making compensation claims provided they have not been made vexatiously and do not constitute an abuse of process.</w:t>
      </w:r>
    </w:p>
    <w:p w14:paraId="103BF5D4" w14:textId="70C2DC7E" w:rsidR="008D01A9" w:rsidRDefault="008D01A9" w:rsidP="008D01A9">
      <w:r>
        <w:t>Enhancing the current compensation arrangements (and ensuring awareness of them) so that compensation can be sought more effectively could take into consideration: (1) the most appropriate mechanism for administering the compensation process to avoid any unnecessary delays; (2)</w:t>
      </w:r>
      <w:r w:rsidR="008503A4">
        <w:t xml:space="preserve"> </w:t>
      </w:r>
      <w:r>
        <w:t xml:space="preserve">mitigate hardship or suffering of </w:t>
      </w:r>
      <w:proofErr w:type="spellStart"/>
      <w:r>
        <w:t>whistleblowers</w:t>
      </w:r>
      <w:proofErr w:type="spellEnd"/>
      <w:r>
        <w:t>; and (3) remove the adverse cost risk</w:t>
      </w:r>
      <w:r w:rsidR="00093CDC">
        <w:t xml:space="preserve"> </w:t>
      </w:r>
      <w:r>
        <w:t xml:space="preserve">that </w:t>
      </w:r>
      <w:proofErr w:type="spellStart"/>
      <w:r>
        <w:t>whistleblowers</w:t>
      </w:r>
      <w:proofErr w:type="spellEnd"/>
      <w:r>
        <w:t xml:space="preserve"> face in bringing a compensation claim. </w:t>
      </w:r>
    </w:p>
    <w:p w14:paraId="103BF5D5" w14:textId="31F77F7C" w:rsidR="00666700" w:rsidRDefault="008D01A9" w:rsidP="000B7471">
      <w:r>
        <w:t xml:space="preserve">An alternate option may be to introduce a compensation scheme which allows </w:t>
      </w:r>
      <w:proofErr w:type="spellStart"/>
      <w:r>
        <w:t>whistleblowers</w:t>
      </w:r>
      <w:proofErr w:type="spellEnd"/>
      <w:r>
        <w:t xml:space="preserve"> to make claims confidentially to an </w:t>
      </w:r>
      <w:r w:rsidR="00093CDC">
        <w:t xml:space="preserve">ombudsman </w:t>
      </w:r>
      <w:r>
        <w:t xml:space="preserve">or similar public officer to remove the uncertainty and stress for </w:t>
      </w:r>
      <w:proofErr w:type="spellStart"/>
      <w:r>
        <w:t>whistleblowers</w:t>
      </w:r>
      <w:proofErr w:type="spellEnd"/>
      <w:r>
        <w:t xml:space="preserve"> in having to run court actions. If such a scheme were introduced it could operate in a couple of different ways. One is similar to</w:t>
      </w:r>
      <w:r w:rsidR="00A514E9">
        <w:t xml:space="preserve"> the Financial </w:t>
      </w:r>
      <w:r w:rsidR="00093CDC">
        <w:t xml:space="preserve">Ombudsman </w:t>
      </w:r>
      <w:r w:rsidR="00A514E9">
        <w:t>model</w:t>
      </w:r>
      <w:r w:rsidR="00A514E9">
        <w:rPr>
          <w:rStyle w:val="FootnoteReference"/>
        </w:rPr>
        <w:footnoteReference w:id="18"/>
      </w:r>
      <w:r w:rsidR="00093CDC">
        <w:t xml:space="preserve"> </w:t>
      </w:r>
      <w:r>
        <w:t>which combines public and private funding from financial licensees to cover costs. Others could involve purely public or purely private funding.</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666700" w:rsidRPr="00666700" w14:paraId="103BF5DD" w14:textId="77777777" w:rsidTr="00F15A1A">
        <w:tc>
          <w:tcPr>
            <w:tcW w:w="9286" w:type="dxa"/>
            <w:shd w:val="clear" w:color="auto" w:fill="DBE5F1" w:themeFill="accent1" w:themeFillTint="33"/>
          </w:tcPr>
          <w:p w14:paraId="103BF5D6" w14:textId="77777777" w:rsidR="00666700" w:rsidRPr="00F15A1A" w:rsidRDefault="00666700" w:rsidP="00F15A1A">
            <w:pPr>
              <w:pStyle w:val="BoxHeadingnonumber"/>
            </w:pPr>
            <w:r w:rsidRPr="00F15A1A">
              <w:t>Questions</w:t>
            </w:r>
          </w:p>
          <w:p w14:paraId="103BF5D7" w14:textId="77777777" w:rsidR="008D01A9" w:rsidRDefault="008D01A9">
            <w:pPr>
              <w:pStyle w:val="BoxQuestions"/>
            </w:pPr>
            <w:r>
              <w:t xml:space="preserve">Do the existing compensation arrangements in the Corporations Act need to be enhanced? If so, what changes should be made to ensure </w:t>
            </w:r>
            <w:proofErr w:type="spellStart"/>
            <w:r>
              <w:t>whistleblowers</w:t>
            </w:r>
            <w:proofErr w:type="spellEnd"/>
            <w:r>
              <w:t xml:space="preserve"> are not disadvantaged?</w:t>
            </w:r>
          </w:p>
          <w:p w14:paraId="103BF5D8" w14:textId="77777777" w:rsidR="008D01A9" w:rsidRDefault="008D01A9">
            <w:pPr>
              <w:pStyle w:val="BoxQuestions"/>
            </w:pPr>
            <w:r>
              <w:t xml:space="preserve">Does the existing legislation provide an adequate process for </w:t>
            </w:r>
            <w:proofErr w:type="spellStart"/>
            <w:r>
              <w:t>whistleblowers</w:t>
            </w:r>
            <w:proofErr w:type="spellEnd"/>
            <w:r>
              <w:t xml:space="preserve"> to seek compensation? Should these be aligned with </w:t>
            </w:r>
            <w:r w:rsidR="000B7471">
              <w:t xml:space="preserve">the </w:t>
            </w:r>
            <w:r>
              <w:t xml:space="preserve">AUS-PIDA and the RO Act?  Please include an explanation for your answer and identify what changes, if any, are needed and why. </w:t>
            </w:r>
          </w:p>
          <w:p w14:paraId="103BF5D9" w14:textId="77777777" w:rsidR="008D01A9" w:rsidRDefault="008D01A9">
            <w:pPr>
              <w:pStyle w:val="BoxQuestions"/>
            </w:pPr>
            <w:r>
              <w:t xml:space="preserve">What would be the most appropriate mechanism for administering the compensation process? Should it rely on </w:t>
            </w:r>
            <w:proofErr w:type="spellStart"/>
            <w:r>
              <w:t>whistleblowers</w:t>
            </w:r>
            <w:proofErr w:type="spellEnd"/>
            <w:r>
              <w:t xml:space="preserve"> having to make a claim or someone else as advocate on their behalf?</w:t>
            </w:r>
          </w:p>
          <w:p w14:paraId="103BF5DA" w14:textId="77777777" w:rsidR="008D01A9" w:rsidRDefault="008D01A9">
            <w:pPr>
              <w:pStyle w:val="BoxQuestions"/>
            </w:pPr>
            <w:r>
              <w:t xml:space="preserve">How should compensation be funded? </w:t>
            </w:r>
          </w:p>
          <w:p w14:paraId="103BF5DC" w14:textId="5F3865DA" w:rsidR="00666700" w:rsidRPr="00F15A1A" w:rsidRDefault="008D01A9" w:rsidP="00CC222B">
            <w:pPr>
              <w:pStyle w:val="BoxQuestions"/>
            </w:pPr>
            <w:r>
              <w:lastRenderedPageBreak/>
              <w:t xml:space="preserve">Should </w:t>
            </w:r>
            <w:proofErr w:type="spellStart"/>
            <w:r>
              <w:t>whistleblowers</w:t>
            </w:r>
            <w:proofErr w:type="spellEnd"/>
            <w:r>
              <w:t xml:space="preserve"> be required to bear their own and their opponent’s legal costs when seeking compensation or have the risk of adverse costs order removed as per recent amendments to the RO Act?  </w:t>
            </w:r>
          </w:p>
        </w:tc>
      </w:tr>
    </w:tbl>
    <w:p w14:paraId="103BF5DE" w14:textId="77777777" w:rsidR="00AD29FE" w:rsidRPr="00B35AD6" w:rsidRDefault="005F3CA2">
      <w:pPr>
        <w:pStyle w:val="Heading3"/>
      </w:pPr>
      <w:bookmarkStart w:id="155" w:name="_Toc465418804"/>
      <w:bookmarkStart w:id="156" w:name="_Toc468971477"/>
      <w:bookmarkStart w:id="157" w:name="_Toc468977754"/>
      <w:bookmarkStart w:id="158" w:name="_Toc468995354"/>
      <w:proofErr w:type="spellStart"/>
      <w:r>
        <w:lastRenderedPageBreak/>
        <w:t>Whistleblower</w:t>
      </w:r>
      <w:proofErr w:type="spellEnd"/>
      <w:r>
        <w:t xml:space="preserve"> r</w:t>
      </w:r>
      <w:r w:rsidR="00AD29FE" w:rsidRPr="00865D5F">
        <w:t>eward</w:t>
      </w:r>
      <w:r w:rsidR="00D01D34">
        <w:t>s</w:t>
      </w:r>
      <w:bookmarkEnd w:id="155"/>
      <w:bookmarkEnd w:id="156"/>
      <w:bookmarkEnd w:id="157"/>
      <w:bookmarkEnd w:id="158"/>
    </w:p>
    <w:p w14:paraId="103BF5DF" w14:textId="77777777" w:rsidR="008D01A9" w:rsidRPr="007528DE" w:rsidRDefault="008D01A9" w:rsidP="008D01A9">
      <w:r w:rsidRPr="007528DE">
        <w:t xml:space="preserve">Currently the Corporations Act does not allow for rewards to incentivise </w:t>
      </w:r>
      <w:proofErr w:type="spellStart"/>
      <w:r w:rsidRPr="007528DE">
        <w:t>whistleblowers</w:t>
      </w:r>
      <w:proofErr w:type="spellEnd"/>
      <w:r w:rsidRPr="007528DE">
        <w:t>.</w:t>
      </w:r>
    </w:p>
    <w:p w14:paraId="103BF5E0" w14:textId="77777777" w:rsidR="00A514E9" w:rsidRPr="00E43865" w:rsidRDefault="008D01A9" w:rsidP="000B7471">
      <w:r w:rsidRPr="000A69D0">
        <w:t xml:space="preserve">While introducing a reward system may encourage more whistleblowing, </w:t>
      </w:r>
      <w:r w:rsidRPr="003A6C2D">
        <w:t>individuals may only be willi</w:t>
      </w:r>
      <w:r w:rsidRPr="003A6C2D">
        <w:rPr>
          <w:rFonts w:cs="TimesNewRoman"/>
          <w:szCs w:val="22"/>
        </w:rPr>
        <w:t>ng to raise a concern when there is empirical proof of breach and a monetary reward is available (which could reduce the opportunity to detect malpractice early and prevent harm).</w:t>
      </w:r>
      <w:r w:rsidR="006C7BD1" w:rsidRPr="00C926F2">
        <w:rPr>
          <w:vertAlign w:val="superscript"/>
        </w:rPr>
        <w:footnoteReference w:id="19"/>
      </w:r>
      <w:r w:rsidR="00FD0F88" w:rsidRPr="00E161E8">
        <w:t xml:space="preserve"> </w:t>
      </w:r>
      <w:r w:rsidR="00A514E9" w:rsidRPr="00E161E8">
        <w:t>Conversely, a reward system could encourage greater levels of nuisance reporting to securities regulators. As the SEC has noted on its website</w:t>
      </w:r>
      <w:r w:rsidR="00E161E8" w:rsidRPr="004D042E">
        <w:t>,</w:t>
      </w:r>
      <w:r w:rsidR="00A514E9" w:rsidRPr="004D042E">
        <w:t xml:space="preserve"> only 34 complaints out of 14,000 received since the inception of the whistleblowing </w:t>
      </w:r>
      <w:r w:rsidR="006B250B">
        <w:t xml:space="preserve">reward </w:t>
      </w:r>
      <w:r w:rsidR="00A514E9" w:rsidRPr="004D042E">
        <w:t xml:space="preserve">program in 2011 have </w:t>
      </w:r>
      <w:r w:rsidR="006B250B">
        <w:t>resulted in</w:t>
      </w:r>
      <w:r w:rsidR="00A514E9" w:rsidRPr="004D042E">
        <w:t xml:space="preserve"> rewards being paid. </w:t>
      </w:r>
    </w:p>
    <w:p w14:paraId="103BF5E1" w14:textId="77777777" w:rsidR="00A514E9" w:rsidRDefault="00A514E9" w:rsidP="00A514E9">
      <w:r>
        <w:t>However i</w:t>
      </w:r>
      <w:r w:rsidRPr="00FD2363">
        <w:t>f the reward system is structured properly</w:t>
      </w:r>
      <w:r w:rsidR="00BF5F17">
        <w:rPr>
          <w:rStyle w:val="FootnoteReference"/>
        </w:rPr>
        <w:footnoteReference w:id="20"/>
      </w:r>
      <w:r w:rsidR="00BF5F17" w:rsidRPr="00FD2363">
        <w:t>,</w:t>
      </w:r>
      <w:r w:rsidR="00C5236D">
        <w:t xml:space="preserve"> </w:t>
      </w:r>
      <w:r>
        <w:t xml:space="preserve">it </w:t>
      </w:r>
      <w:r w:rsidR="006B250B">
        <w:t xml:space="preserve">may </w:t>
      </w:r>
      <w:r>
        <w:t xml:space="preserve">create a strong inducement to report. The fact that the SEC has received 14,000 complaints since inception of the program, even if few of them resulted in rewards, demonstrates </w:t>
      </w:r>
      <w:r w:rsidR="006B250B">
        <w:t>the power of a</w:t>
      </w:r>
      <w:r>
        <w:t xml:space="preserve"> monetary incentive system </w:t>
      </w:r>
      <w:r w:rsidR="006B250B">
        <w:t xml:space="preserve">in </w:t>
      </w:r>
      <w:r>
        <w:t>driving conduct. The SEC has paid a total of US$111 million in rewards payments, with approximately US$57 million of that total awarded in 2016 alone including the third-largest award of US$20 million in November 2016.</w:t>
      </w:r>
    </w:p>
    <w:p w14:paraId="103BF5E2" w14:textId="77777777" w:rsidR="00FD0F88" w:rsidRDefault="00A514E9" w:rsidP="00A514E9">
      <w:r>
        <w:t>Incentives other than money however (such as sense of civic duty, or a commitment to self-improvement, or moral concern) can be preferable motivators</w:t>
      </w:r>
      <w:r w:rsidR="00BF5F17" w:rsidRPr="00FD2363">
        <w:t>.</w:t>
      </w:r>
      <w:r w:rsidR="004F536A">
        <w:rPr>
          <w:rStyle w:val="FootnoteReference"/>
        </w:rPr>
        <w:footnoteReference w:id="21"/>
      </w:r>
    </w:p>
    <w:p w14:paraId="103BF5E3" w14:textId="77777777" w:rsidR="004B7C10" w:rsidRDefault="00A514E9" w:rsidP="004D042E">
      <w:r w:rsidRPr="00A514E9">
        <w:t xml:space="preserve">Further consideration to setting up a whistleblowing reward system in Australia may be worthwhile but there would also need to be: (1) more comprehensive whistleblowing reform; (2) higher penalties for wrongdoing; and (3) a special funding allocation to support the rewards program. This may be more </w:t>
      </w:r>
      <w:r w:rsidR="00FD0F88">
        <w:t>appropriate</w:t>
      </w:r>
      <w:r w:rsidR="00446D24">
        <w:t>ly</w:t>
      </w:r>
      <w:r w:rsidRPr="00A514E9">
        <w:t xml:space="preserve"> </w:t>
      </w:r>
      <w:r w:rsidR="00FD0F88">
        <w:t>consider</w:t>
      </w:r>
      <w:r w:rsidR="00446D24">
        <w:t>ed</w:t>
      </w:r>
      <w:r w:rsidRPr="00A514E9">
        <w:t xml:space="preserve"> in the context of tax whistleblowing having regard to the range and size of discretionary penalties and interest </w:t>
      </w:r>
      <w:r w:rsidR="00446D24">
        <w:t xml:space="preserve">charges </w:t>
      </w:r>
      <w:r w:rsidRPr="00A514E9">
        <w:t xml:space="preserve">that can be imposed by the ATO for non-payment of tax. </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666700" w:rsidRPr="00666700" w14:paraId="103BF5E9" w14:textId="77777777" w:rsidTr="00F15A1A">
        <w:tc>
          <w:tcPr>
            <w:tcW w:w="9286" w:type="dxa"/>
            <w:shd w:val="clear" w:color="auto" w:fill="DBE5F1" w:themeFill="accent1" w:themeFillTint="33"/>
          </w:tcPr>
          <w:p w14:paraId="103BF5E4" w14:textId="77777777" w:rsidR="00666700" w:rsidRPr="00F15A1A" w:rsidRDefault="00666700" w:rsidP="00F15A1A">
            <w:pPr>
              <w:pStyle w:val="BoxHeadingnonumber"/>
            </w:pPr>
            <w:r w:rsidRPr="00F15A1A">
              <w:t>Questions</w:t>
            </w:r>
          </w:p>
          <w:p w14:paraId="103BF5E5" w14:textId="77777777" w:rsidR="00A514E9" w:rsidRDefault="00A514E9">
            <w:pPr>
              <w:pStyle w:val="BoxQuestions"/>
            </w:pPr>
            <w:r>
              <w:t xml:space="preserve">Should financial rewards or other types of rewards be considered for </w:t>
            </w:r>
            <w:proofErr w:type="spellStart"/>
            <w:r>
              <w:t>whistleblowers</w:t>
            </w:r>
            <w:proofErr w:type="spellEnd"/>
            <w:r>
              <w:t>? Why or why not?</w:t>
            </w:r>
          </w:p>
          <w:p w14:paraId="103BF5E6" w14:textId="77777777" w:rsidR="00A514E9" w:rsidRDefault="00A514E9">
            <w:pPr>
              <w:pStyle w:val="BoxQuestions"/>
            </w:pPr>
            <w:r>
              <w:t xml:space="preserve">If so, what options should be considered in establishing a rewards system? </w:t>
            </w:r>
          </w:p>
          <w:p w14:paraId="103BF5E8" w14:textId="7814F817" w:rsidR="00666700" w:rsidRPr="00F15A1A" w:rsidRDefault="00A514E9" w:rsidP="00CC222B">
            <w:pPr>
              <w:pStyle w:val="BoxQuestions"/>
            </w:pPr>
            <w:r>
              <w:t>If a reward system is established, how should it be funded?</w:t>
            </w:r>
          </w:p>
        </w:tc>
      </w:tr>
    </w:tbl>
    <w:p w14:paraId="103BF5EB" w14:textId="77777777" w:rsidR="00AD29FE" w:rsidRDefault="00332742">
      <w:pPr>
        <w:pStyle w:val="Heading3"/>
      </w:pPr>
      <w:bookmarkStart w:id="159" w:name="_Toc465344825"/>
      <w:bookmarkStart w:id="160" w:name="_Toc465418805"/>
      <w:bookmarkStart w:id="161" w:name="_Toc468971478"/>
      <w:bookmarkStart w:id="162" w:name="_Toc468977755"/>
      <w:bookmarkStart w:id="163" w:name="_Toc468995355"/>
      <w:r>
        <w:lastRenderedPageBreak/>
        <w:t>I</w:t>
      </w:r>
      <w:r w:rsidR="00AD29FE" w:rsidRPr="00865D5F">
        <w:t>nternal company procedures</w:t>
      </w:r>
      <w:bookmarkEnd w:id="159"/>
      <w:bookmarkEnd w:id="160"/>
      <w:bookmarkEnd w:id="161"/>
      <w:bookmarkEnd w:id="162"/>
      <w:bookmarkEnd w:id="163"/>
    </w:p>
    <w:p w14:paraId="103BF5EC" w14:textId="77777777" w:rsidR="009C4A6E" w:rsidRPr="00AD29FE" w:rsidRDefault="009C4A6E" w:rsidP="009C4A6E">
      <w:r>
        <w:t xml:space="preserve">The Corporations Act does not require companies to implement internal </w:t>
      </w:r>
      <w:proofErr w:type="spellStart"/>
      <w:r>
        <w:t>whistleblower</w:t>
      </w:r>
      <w:proofErr w:type="spellEnd"/>
      <w:r>
        <w:t xml:space="preserve"> systems.</w:t>
      </w:r>
      <w:r w:rsidRPr="009C4A6E">
        <w:t xml:space="preserve"> </w:t>
      </w:r>
      <w:r>
        <w:t xml:space="preserve">This is in contrast to the public sector </w:t>
      </w:r>
      <w:r w:rsidR="00446D24">
        <w:t xml:space="preserve">approach </w:t>
      </w:r>
      <w:r>
        <w:t xml:space="preserve">under </w:t>
      </w:r>
      <w:r w:rsidR="00C926F2">
        <w:t xml:space="preserve">the </w:t>
      </w:r>
      <w:r>
        <w:t>AUS-PIDA</w:t>
      </w:r>
      <w:r w:rsidR="00446D24">
        <w:t>.</w:t>
      </w:r>
      <w:r w:rsidRPr="007E049C">
        <w:t xml:space="preserve"> </w:t>
      </w:r>
      <w:r w:rsidR="00446D24">
        <w:t>It</w:t>
      </w:r>
      <w:r>
        <w:t xml:space="preserve"> requires federal agencies to have 'procedures for facilitating and dealing with public interest disclosures relating to the agency’, which must comply with the standards set by the principal oversight agency, the Commonwealth Ombudsman.</w:t>
      </w:r>
    </w:p>
    <w:p w14:paraId="103BF5ED" w14:textId="77777777" w:rsidR="00666700" w:rsidRDefault="009C4A6E" w:rsidP="00332742">
      <w:r>
        <w:t>The</w:t>
      </w:r>
      <w:r w:rsidR="00AD29FE">
        <w:t xml:space="preserve"> </w:t>
      </w:r>
      <w:r w:rsidR="00AD29FE" w:rsidRPr="005D54EE">
        <w:t xml:space="preserve">Australian </w:t>
      </w:r>
      <w:r w:rsidR="00AD29FE">
        <w:t xml:space="preserve">Standard </w:t>
      </w:r>
      <w:proofErr w:type="spellStart"/>
      <w:r w:rsidR="00AF0D5F" w:rsidRPr="001B5B15">
        <w:t>Wh</w:t>
      </w:r>
      <w:r w:rsidR="00AF0D5F" w:rsidRPr="00E27D8A">
        <w:t>istleblower</w:t>
      </w:r>
      <w:proofErr w:type="spellEnd"/>
      <w:r w:rsidR="00AF0D5F" w:rsidRPr="00E27D8A">
        <w:t xml:space="preserve"> protection programs for</w:t>
      </w:r>
      <w:r w:rsidR="00AF0D5F">
        <w:t xml:space="preserve"> </w:t>
      </w:r>
      <w:r w:rsidR="00AF0D5F" w:rsidRPr="001B5B15">
        <w:t>entities</w:t>
      </w:r>
      <w:r w:rsidR="00666700">
        <w:t xml:space="preserve"> </w:t>
      </w:r>
      <w:r w:rsidR="00AD29FE">
        <w:t xml:space="preserve">– AS 8004-2003 – provides a voluntary framework for internal whistleblowing programs and includes a </w:t>
      </w:r>
      <w:r w:rsidR="00666700">
        <w:t>15 </w:t>
      </w:r>
      <w:r w:rsidR="00AD29FE">
        <w:t>point checklist for good practice. Key to this standard is having clear guidance around the purpose and principles underlying the scheme</w:t>
      </w:r>
      <w:r w:rsidR="009B6343">
        <w:t>, namely</w:t>
      </w:r>
      <w:r w:rsidR="00666700">
        <w:t>:</w:t>
      </w:r>
    </w:p>
    <w:p w14:paraId="103BF5EE" w14:textId="77777777" w:rsidR="00666700" w:rsidRDefault="009B6343" w:rsidP="00F15A1A">
      <w:pPr>
        <w:pStyle w:val="AlphaParagraph"/>
        <w:numPr>
          <w:ilvl w:val="0"/>
          <w:numId w:val="56"/>
        </w:numPr>
      </w:pPr>
      <w:r>
        <w:t>to ensure</w:t>
      </w:r>
      <w:r w:rsidR="00AD29FE">
        <w:t xml:space="preserve"> compliance </w:t>
      </w:r>
      <w:r>
        <w:t xml:space="preserve">with law, </w:t>
      </w:r>
      <w:r w:rsidR="00AD29FE">
        <w:t>and ethical behaviour;</w:t>
      </w:r>
    </w:p>
    <w:p w14:paraId="103BF5EF" w14:textId="77777777" w:rsidR="00666700" w:rsidRDefault="00AD29FE" w:rsidP="00F15A1A">
      <w:pPr>
        <w:pStyle w:val="AlphaParagraph"/>
      </w:pPr>
      <w:r>
        <w:t xml:space="preserve">to enshrine protection, confidentiality and feedback for </w:t>
      </w:r>
      <w:proofErr w:type="spellStart"/>
      <w:r>
        <w:t>whistleblower</w:t>
      </w:r>
      <w:r w:rsidR="009B6343">
        <w:t>s</w:t>
      </w:r>
      <w:proofErr w:type="spellEnd"/>
      <w:r>
        <w:t>; and</w:t>
      </w:r>
    </w:p>
    <w:p w14:paraId="103BF5F0" w14:textId="77777777" w:rsidR="00AD29FE" w:rsidRDefault="009B6343" w:rsidP="00F15A1A">
      <w:pPr>
        <w:pStyle w:val="AlphaParagraph"/>
      </w:pPr>
      <w:proofErr w:type="gramStart"/>
      <w:r>
        <w:t>to</w:t>
      </w:r>
      <w:proofErr w:type="gramEnd"/>
      <w:r>
        <w:t xml:space="preserve"> ensure there is</w:t>
      </w:r>
      <w:r w:rsidR="00AD29FE">
        <w:t xml:space="preserve"> commitment to the prominence and effectiveness of the scheme. </w:t>
      </w:r>
    </w:p>
    <w:p w14:paraId="103BF5F1" w14:textId="77777777" w:rsidR="00AD29FE" w:rsidRDefault="00AD29FE" w:rsidP="00332742">
      <w:r>
        <w:t>In the UK, the Financial Conduct Authority</w:t>
      </w:r>
      <w:r w:rsidR="00F27233">
        <w:t xml:space="preserve"> (FCA)</w:t>
      </w:r>
      <w:r w:rsidR="00BE2F3F">
        <w:t xml:space="preserve">, as part of </w:t>
      </w:r>
      <w:r w:rsidR="009B6343">
        <w:t>its</w:t>
      </w:r>
      <w:r w:rsidR="00BE2F3F">
        <w:t xml:space="preserve"> business conduct rules</w:t>
      </w:r>
      <w:r w:rsidR="009B6343">
        <w:t>,</w:t>
      </w:r>
      <w:r w:rsidR="00BE2F3F">
        <w:t xml:space="preserve"> </w:t>
      </w:r>
      <w:r w:rsidR="009B6343">
        <w:t>requires companies</w:t>
      </w:r>
      <w:r>
        <w:t xml:space="preserve"> to:</w:t>
      </w:r>
    </w:p>
    <w:p w14:paraId="103BF5F2" w14:textId="77777777" w:rsidR="00AD29FE" w:rsidRPr="0071340A" w:rsidRDefault="00AD29FE" w:rsidP="00F15A1A">
      <w:pPr>
        <w:pStyle w:val="Bullet"/>
      </w:pPr>
      <w:r w:rsidRPr="0071340A">
        <w:t xml:space="preserve">appoint a </w:t>
      </w:r>
      <w:r w:rsidR="00C926F2">
        <w:t>s</w:t>
      </w:r>
      <w:r w:rsidRPr="0071340A">
        <w:t xml:space="preserve">enior </w:t>
      </w:r>
      <w:r w:rsidR="00C926F2">
        <w:t>m</w:t>
      </w:r>
      <w:r w:rsidRPr="0071340A">
        <w:t xml:space="preserve">anager as their </w:t>
      </w:r>
      <w:proofErr w:type="spellStart"/>
      <w:r w:rsidRPr="0071340A">
        <w:t>whistleblowers’</w:t>
      </w:r>
      <w:proofErr w:type="spellEnd"/>
      <w:r w:rsidRPr="0071340A">
        <w:t xml:space="preserve"> champion</w:t>
      </w:r>
      <w:r>
        <w:t>;</w:t>
      </w:r>
    </w:p>
    <w:p w14:paraId="103BF5F3" w14:textId="77777777" w:rsidR="00AD29FE" w:rsidRPr="00D90AF1" w:rsidRDefault="00AD29FE" w:rsidP="00F15A1A">
      <w:pPr>
        <w:pStyle w:val="Bullet"/>
      </w:pPr>
      <w:r w:rsidRPr="00D90AF1">
        <w:t>put in place internal whistleblowing arrangements able to handle all types of disclosure from all types of person</w:t>
      </w:r>
      <w:r>
        <w:t>;</w:t>
      </w:r>
    </w:p>
    <w:p w14:paraId="103BF5F4" w14:textId="77777777" w:rsidR="00AD29FE" w:rsidRPr="00D90AF1" w:rsidRDefault="00AD29FE" w:rsidP="00F15A1A">
      <w:pPr>
        <w:pStyle w:val="Bullet"/>
      </w:pPr>
      <w:r w:rsidRPr="00D90AF1">
        <w:t>put text in settlement agreements explaining that workers have a legal right to blow the whistle</w:t>
      </w:r>
      <w:r>
        <w:t>;</w:t>
      </w:r>
    </w:p>
    <w:p w14:paraId="103BF5F5" w14:textId="77777777" w:rsidR="00AD29FE" w:rsidRPr="00D90AF1" w:rsidRDefault="00AD29FE" w:rsidP="00F15A1A">
      <w:pPr>
        <w:pStyle w:val="Bullet"/>
      </w:pPr>
      <w:r w:rsidRPr="00D90AF1">
        <w:t>tell UK-based employees about the FCA and P</w:t>
      </w:r>
      <w:r w:rsidR="00E6124E">
        <w:t xml:space="preserve">rudential </w:t>
      </w:r>
      <w:r w:rsidRPr="00D90AF1">
        <w:t>R</w:t>
      </w:r>
      <w:r w:rsidR="00E6124E">
        <w:t xml:space="preserve">egulatory </w:t>
      </w:r>
      <w:r w:rsidRPr="00D90AF1">
        <w:t>A</w:t>
      </w:r>
      <w:r w:rsidR="00E6124E">
        <w:t>uthority (</w:t>
      </w:r>
      <w:r w:rsidRPr="00D90AF1">
        <w:t>PRA</w:t>
      </w:r>
      <w:r w:rsidR="00E6124E">
        <w:t>)</w:t>
      </w:r>
      <w:r w:rsidRPr="00D90AF1">
        <w:t xml:space="preserve"> whistleblowing services</w:t>
      </w:r>
      <w:r>
        <w:t>;</w:t>
      </w:r>
    </w:p>
    <w:p w14:paraId="103BF5F6" w14:textId="77777777" w:rsidR="00AD29FE" w:rsidRPr="00D90AF1" w:rsidRDefault="00AD29FE" w:rsidP="00F15A1A">
      <w:pPr>
        <w:pStyle w:val="Bullet"/>
      </w:pPr>
      <w:r w:rsidRPr="00D90AF1">
        <w:t>present a report on whistleblowing to the board at least annually</w:t>
      </w:r>
      <w:r>
        <w:t>;</w:t>
      </w:r>
    </w:p>
    <w:p w14:paraId="103BF5F7" w14:textId="77777777" w:rsidR="00AD29FE" w:rsidRPr="00D90AF1" w:rsidRDefault="00AD29FE" w:rsidP="00F15A1A">
      <w:pPr>
        <w:pStyle w:val="Bullet"/>
      </w:pPr>
      <w:r w:rsidRPr="00D90AF1">
        <w:t xml:space="preserve">inform the FCA if it </w:t>
      </w:r>
      <w:r w:rsidR="00DA0F9E">
        <w:t>is referred to</w:t>
      </w:r>
      <w:r w:rsidRPr="00D90AF1">
        <w:t xml:space="preserve"> an employment tribunal </w:t>
      </w:r>
      <w:r w:rsidR="00DA0F9E">
        <w:t>by</w:t>
      </w:r>
      <w:r w:rsidRPr="00D90AF1">
        <w:t xml:space="preserve"> a </w:t>
      </w:r>
      <w:proofErr w:type="spellStart"/>
      <w:r w:rsidRPr="00D90AF1">
        <w:t>whistleblower</w:t>
      </w:r>
      <w:proofErr w:type="spellEnd"/>
      <w:r w:rsidR="00DA0F9E">
        <w:t xml:space="preserve"> and is required to pay compensation or provide some other relief or remedy</w:t>
      </w:r>
      <w:r>
        <w:t xml:space="preserve">; and </w:t>
      </w:r>
    </w:p>
    <w:p w14:paraId="103BF5F8" w14:textId="77777777" w:rsidR="00AD29FE" w:rsidRPr="008A04F6" w:rsidRDefault="00DA0F9E" w:rsidP="00F15A1A">
      <w:pPr>
        <w:pStyle w:val="Bullet"/>
      </w:pPr>
      <w:proofErr w:type="gramStart"/>
      <w:r>
        <w:t>ensure</w:t>
      </w:r>
      <w:proofErr w:type="gramEnd"/>
      <w:r w:rsidR="00AD29FE" w:rsidRPr="00D90AF1">
        <w:t xml:space="preserve"> its appointed representatives and tied agents tell their UK-based employees about the </w:t>
      </w:r>
      <w:r w:rsidR="00AD29FE" w:rsidRPr="00B57C26">
        <w:t>FCA whistleblowing service</w:t>
      </w:r>
      <w:r w:rsidR="00AD29FE">
        <w:t>.</w:t>
      </w:r>
    </w:p>
    <w:p w14:paraId="103BF5F9" w14:textId="6FCD97E8" w:rsidR="00BE2F3F" w:rsidRDefault="00DA0F9E" w:rsidP="00332742">
      <w:r>
        <w:t>C</w:t>
      </w:r>
      <w:r w:rsidR="00BE2F3F">
        <w:t>ompliance with</w:t>
      </w:r>
      <w:r w:rsidR="000B2D7D">
        <w:t xml:space="preserve"> </w:t>
      </w:r>
      <w:r w:rsidR="00446D24">
        <w:t>this scheme is</w:t>
      </w:r>
      <w:r w:rsidR="00BE2F3F">
        <w:t xml:space="preserve"> </w:t>
      </w:r>
      <w:r>
        <w:t>monitored as part</w:t>
      </w:r>
      <w:r w:rsidR="00BE2F3F">
        <w:t xml:space="preserve"> of the FCA’s risk-based surveillance and supervision</w:t>
      </w:r>
      <w:r>
        <w:t xml:space="preserve"> programs</w:t>
      </w:r>
      <w:r w:rsidR="00BE2F3F">
        <w:t>.</w:t>
      </w:r>
    </w:p>
    <w:p w14:paraId="103BF5FA" w14:textId="77777777" w:rsidR="00AD29FE" w:rsidRDefault="00AD29FE" w:rsidP="00332742">
      <w:r>
        <w:t xml:space="preserve">There </w:t>
      </w:r>
      <w:r w:rsidR="00DA0F9E">
        <w:t>is</w:t>
      </w:r>
      <w:r>
        <w:t xml:space="preserve"> potential for introducing mandatory internal whistleblowing arrangements within Australia</w:t>
      </w:r>
      <w:r w:rsidR="008E6D89">
        <w:t>n</w:t>
      </w:r>
      <w:r>
        <w:t xml:space="preserve"> corporates, taking into consideration the guidance in </w:t>
      </w:r>
      <w:r w:rsidRPr="009B0C89">
        <w:t>AS 8004-2003</w:t>
      </w:r>
      <w:r>
        <w:t xml:space="preserve">, </w:t>
      </w:r>
      <w:r w:rsidR="00033819">
        <w:t>the</w:t>
      </w:r>
      <w:r w:rsidR="00033819">
        <w:br/>
      </w:r>
      <w:r>
        <w:t xml:space="preserve">AUS-PIDA model, and the rules adopted in the UK and the US.  </w:t>
      </w:r>
    </w:p>
    <w:p w14:paraId="103BF5FB" w14:textId="77777777" w:rsidR="009C4A6E" w:rsidRDefault="009C4A6E" w:rsidP="009C4A6E">
      <w:r>
        <w:t xml:space="preserve">While prescribing requirements </w:t>
      </w:r>
      <w:r w:rsidR="00DA0F9E">
        <w:t>might</w:t>
      </w:r>
      <w:r>
        <w:t xml:space="preserve"> raise concerns about systems becoming overly rigid, this </w:t>
      </w:r>
      <w:r w:rsidR="00DA0F9E">
        <w:t>may</w:t>
      </w:r>
      <w:r>
        <w:t xml:space="preserve"> be </w:t>
      </w:r>
      <w:r w:rsidR="00446D24">
        <w:t xml:space="preserve">balanced </w:t>
      </w:r>
      <w:r>
        <w:t xml:space="preserve">against the benefits from increased whistleblowing </w:t>
      </w:r>
      <w:r w:rsidR="00DA0F9E">
        <w:t xml:space="preserve">and improved </w:t>
      </w:r>
      <w:r w:rsidR="00DA0F9E">
        <w:lastRenderedPageBreak/>
        <w:t>compliance overall with the law resulting from</w:t>
      </w:r>
      <w:r>
        <w:t xml:space="preserve"> more comprehensive internal whistleblowing policies and procedures – a correlation which is supported by research</w:t>
      </w:r>
      <w:r w:rsidR="00E80EEC">
        <w:rPr>
          <w:rStyle w:val="FootnoteReference"/>
        </w:rPr>
        <w:footnoteReference w:id="22"/>
      </w:r>
      <w:r>
        <w:t xml:space="preserve">. </w:t>
      </w:r>
    </w:p>
    <w:p w14:paraId="103BF5FC" w14:textId="77777777" w:rsidR="00666700" w:rsidRDefault="00AD29FE" w:rsidP="00332742">
      <w:r>
        <w:t xml:space="preserve">To mitigate the </w:t>
      </w:r>
      <w:r w:rsidR="00E80EEC">
        <w:t>risk</w:t>
      </w:r>
      <w:r>
        <w:t xml:space="preserve"> of systems becoming overly rigid, it </w:t>
      </w:r>
      <w:r w:rsidR="00E80EEC">
        <w:t>c</w:t>
      </w:r>
      <w:r>
        <w:t xml:space="preserve">ould be worthwhile exploring the potential for adopting a more principles-based approach (such as the UK FCA's approach). To ensure there is sufficient internal and external oversight in respect of the mandatory internal whistleblowing arrangements, it may be worthwhile </w:t>
      </w:r>
      <w:r w:rsidR="00E80EEC">
        <w:t xml:space="preserve">also </w:t>
      </w:r>
      <w:r>
        <w:t>considering rules that would require oversight by a company's board and a regulatory body, such as ASIC – as per the approach recently introduced by the FCA.</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666700" w:rsidRPr="00666700" w14:paraId="103BF602" w14:textId="77777777" w:rsidTr="00F15A1A">
        <w:tc>
          <w:tcPr>
            <w:tcW w:w="9286" w:type="dxa"/>
            <w:shd w:val="clear" w:color="auto" w:fill="DBE5F1" w:themeFill="accent1" w:themeFillTint="33"/>
          </w:tcPr>
          <w:p w14:paraId="103BF5FD" w14:textId="77777777" w:rsidR="00666700" w:rsidRPr="00F15A1A" w:rsidRDefault="00666700" w:rsidP="00F15A1A">
            <w:pPr>
              <w:pStyle w:val="BoxHeadingnonumber"/>
            </w:pPr>
            <w:r w:rsidRPr="00F15A1A">
              <w:t>Questions</w:t>
            </w:r>
          </w:p>
          <w:p w14:paraId="103BF5FE" w14:textId="77777777" w:rsidR="00666700" w:rsidRPr="00F15A1A" w:rsidRDefault="00666700" w:rsidP="00F15A1A">
            <w:pPr>
              <w:pStyle w:val="BoxQuestions"/>
            </w:pPr>
            <w:r w:rsidRPr="00F15A1A">
              <w:t>Do you believe there is merit in requiring companies to put in place systems for internal disclosures? If so, what form should this take?</w:t>
            </w:r>
          </w:p>
          <w:p w14:paraId="103BF5FF" w14:textId="77777777" w:rsidR="00666700" w:rsidRPr="00F15A1A" w:rsidRDefault="00666700" w:rsidP="00F15A1A">
            <w:pPr>
              <w:pStyle w:val="BoxQuestions"/>
            </w:pPr>
            <w:r w:rsidRPr="00F15A1A">
              <w:t>Mandating internal disclosure systems for companies would impose a higher regulatory burden but the benefits may outweigh the costs. Would you support a move to a mandatory system? Please give reasons for your answer.</w:t>
            </w:r>
          </w:p>
          <w:p w14:paraId="103BF600" w14:textId="77777777" w:rsidR="00666700" w:rsidRPr="00F15A1A" w:rsidRDefault="00666700" w:rsidP="00F15A1A">
            <w:pPr>
              <w:pStyle w:val="BoxQuestions"/>
            </w:pPr>
            <w:r w:rsidRPr="00F15A1A">
              <w:t>Should systems for internal disclosure be considered for all companies, irrespective of size or should there be an exception for small proprietary companies, as defined in the Corporations Act? Please explain why or why not.</w:t>
            </w:r>
          </w:p>
          <w:p w14:paraId="103BF601" w14:textId="77777777" w:rsidR="00666700" w:rsidRPr="00F15A1A" w:rsidRDefault="00666700" w:rsidP="00F15A1A">
            <w:pPr>
              <w:pStyle w:val="BoxQuestions"/>
            </w:pPr>
            <w:r w:rsidRPr="00F15A1A">
              <w:t>If internal procedures are required should any breach of these be the subject of internal disciplinary action or should responsibility for enforcement be undertaken by ASIC or another external regulator? What would be a potential mechanism for oversight and monitoring of internal company procedures by a regulator? Could it be modelled on the UK FCA’s approach?</w:t>
            </w:r>
          </w:p>
        </w:tc>
      </w:tr>
    </w:tbl>
    <w:p w14:paraId="103BF603" w14:textId="77777777" w:rsidR="00AD29FE" w:rsidRPr="00865D5F" w:rsidRDefault="00F139BA">
      <w:pPr>
        <w:pStyle w:val="Heading3"/>
      </w:pPr>
      <w:bookmarkStart w:id="164" w:name="_Toc448760314"/>
      <w:bookmarkStart w:id="165" w:name="_Toc465344827"/>
      <w:bookmarkStart w:id="166" w:name="_Toc465418807"/>
      <w:bookmarkStart w:id="167" w:name="_Toc468971479"/>
      <w:bookmarkStart w:id="168" w:name="_Toc468977756"/>
      <w:bookmarkStart w:id="169" w:name="_Toc468995356"/>
      <w:r>
        <w:t>O</w:t>
      </w:r>
      <w:r w:rsidR="00AD29FE" w:rsidRPr="00865D5F">
        <w:t xml:space="preserve">versight agency responsible for </w:t>
      </w:r>
      <w:proofErr w:type="spellStart"/>
      <w:r w:rsidR="00AD29FE" w:rsidRPr="00865D5F">
        <w:t>whistleblower</w:t>
      </w:r>
      <w:proofErr w:type="spellEnd"/>
      <w:r w:rsidR="00AD29FE" w:rsidRPr="00865D5F">
        <w:t xml:space="preserve"> protection</w:t>
      </w:r>
      <w:bookmarkEnd w:id="164"/>
      <w:bookmarkEnd w:id="165"/>
      <w:bookmarkEnd w:id="166"/>
      <w:bookmarkEnd w:id="167"/>
      <w:bookmarkEnd w:id="168"/>
      <w:bookmarkEnd w:id="169"/>
    </w:p>
    <w:p w14:paraId="103BF604" w14:textId="77777777" w:rsidR="00F80E63" w:rsidRDefault="00F80E63" w:rsidP="00F139BA">
      <w:r>
        <w:t xml:space="preserve">There is no independent oversight agency responsible for </w:t>
      </w:r>
      <w:r w:rsidR="00446D24">
        <w:t xml:space="preserve">corporate </w:t>
      </w:r>
      <w:r>
        <w:t xml:space="preserve">sector </w:t>
      </w:r>
      <w:proofErr w:type="spellStart"/>
      <w:r>
        <w:t>whistleblower</w:t>
      </w:r>
      <w:proofErr w:type="spellEnd"/>
      <w:r>
        <w:t xml:space="preserve"> protection.</w:t>
      </w:r>
    </w:p>
    <w:p w14:paraId="103BF605" w14:textId="77777777" w:rsidR="00446D24" w:rsidRDefault="00AD29FE" w:rsidP="00F139BA">
      <w:pPr>
        <w:rPr>
          <w:rFonts w:cs="TimesNewRoman"/>
        </w:rPr>
      </w:pPr>
      <w:r>
        <w:t xml:space="preserve">The operation of AUS-PIDA is </w:t>
      </w:r>
      <w:r>
        <w:rPr>
          <w:rFonts w:cs="TimesNewRoman"/>
        </w:rPr>
        <w:t xml:space="preserve">supported by two independent oversight agencies: the Ombudsman and, in respect of intelligence agencies, the </w:t>
      </w:r>
      <w:r w:rsidR="00AD7755">
        <w:rPr>
          <w:rFonts w:cs="TimesNewRoman"/>
        </w:rPr>
        <w:t>I</w:t>
      </w:r>
      <w:r>
        <w:rPr>
          <w:rFonts w:cs="TimesNewRoman"/>
        </w:rPr>
        <w:t>nspector-General of Intelligence and Security</w:t>
      </w:r>
      <w:r w:rsidR="00E12FC5">
        <w:rPr>
          <w:rFonts w:cs="TimesNewRoman"/>
        </w:rPr>
        <w:t xml:space="preserve"> (IGIS)</w:t>
      </w:r>
      <w:r>
        <w:rPr>
          <w:rFonts w:cs="TimesNewRoman"/>
        </w:rPr>
        <w:t xml:space="preserve">. A range of internal agency decisions must be notified to these oversight agencies, including exercises of discretions not to investigate disclosures, to ensure that disclosure systems are working and not being subverted or abused. The Ombudsman is given a back-up jurisdiction to investigate or reinvestigate any disclosure if required, and any </w:t>
      </w:r>
      <w:proofErr w:type="spellStart"/>
      <w:r>
        <w:rPr>
          <w:rFonts w:cs="TimesNewRoman"/>
        </w:rPr>
        <w:t>whistleblower</w:t>
      </w:r>
      <w:proofErr w:type="spellEnd"/>
      <w:r>
        <w:rPr>
          <w:rFonts w:cs="TimesNewRoman"/>
        </w:rPr>
        <w:t xml:space="preserve"> may complain to the Ombudsman or IGIS about any breakdown in the process, including failures in support. </w:t>
      </w:r>
    </w:p>
    <w:p w14:paraId="103BF606" w14:textId="77777777" w:rsidR="00AD29FE" w:rsidRPr="00AD29FE" w:rsidRDefault="00E12FC5" w:rsidP="00F139BA">
      <w:pPr>
        <w:rPr>
          <w:rFonts w:cs="TimesNewRoman"/>
        </w:rPr>
      </w:pPr>
      <w:r>
        <w:rPr>
          <w:rFonts w:cs="TimesNewRoman"/>
        </w:rPr>
        <w:t xml:space="preserve">The </w:t>
      </w:r>
      <w:r w:rsidR="00E80EEC">
        <w:rPr>
          <w:rFonts w:cs="TimesNewRoman"/>
        </w:rPr>
        <w:t>R</w:t>
      </w:r>
      <w:r>
        <w:rPr>
          <w:rFonts w:cs="TimesNewRoman"/>
        </w:rPr>
        <w:t xml:space="preserve">eview of AUS-PIDA </w:t>
      </w:r>
      <w:r w:rsidR="00E80EEC">
        <w:rPr>
          <w:rFonts w:cs="TimesNewRoman"/>
        </w:rPr>
        <w:t>recommended</w:t>
      </w:r>
      <w:r>
        <w:rPr>
          <w:rFonts w:cs="TimesNewRoman"/>
        </w:rPr>
        <w:t xml:space="preserve"> </w:t>
      </w:r>
      <w:r w:rsidRPr="00E12FC5">
        <w:rPr>
          <w:rFonts w:cs="TimesNewRoman"/>
        </w:rPr>
        <w:t>strengthen</w:t>
      </w:r>
      <w:r>
        <w:rPr>
          <w:rFonts w:cs="TimesNewRoman"/>
        </w:rPr>
        <w:t>ing</w:t>
      </w:r>
      <w:r w:rsidRPr="00E12FC5">
        <w:rPr>
          <w:rFonts w:cs="TimesNewRoman"/>
        </w:rPr>
        <w:t xml:space="preserve"> the Commonwealth Ombudsman’</w:t>
      </w:r>
      <w:r w:rsidR="00E80EEC">
        <w:rPr>
          <w:rFonts w:cs="TimesNewRoman"/>
        </w:rPr>
        <w:t>s</w:t>
      </w:r>
      <w:r w:rsidRPr="00E12FC5">
        <w:rPr>
          <w:rFonts w:cs="TimesNewRoman"/>
        </w:rPr>
        <w:t xml:space="preserve"> and the IGIS’ ability to scrutinise and monitor</w:t>
      </w:r>
      <w:r>
        <w:rPr>
          <w:rFonts w:cs="TimesNewRoman"/>
        </w:rPr>
        <w:t xml:space="preserve"> decisions of agencies about public interest disclosures</w:t>
      </w:r>
      <w:r w:rsidRPr="00E12FC5">
        <w:rPr>
          <w:rFonts w:cs="TimesNewRoman"/>
        </w:rPr>
        <w:t xml:space="preserve"> by strengthe</w:t>
      </w:r>
      <w:r>
        <w:rPr>
          <w:rFonts w:cs="TimesNewRoman"/>
        </w:rPr>
        <w:t xml:space="preserve">ning the transparency of agency </w:t>
      </w:r>
      <w:r w:rsidRPr="00002149">
        <w:t>decision-making</w:t>
      </w:r>
      <w:r w:rsidRPr="00B75791">
        <w:t xml:space="preserve">. </w:t>
      </w:r>
    </w:p>
    <w:p w14:paraId="103BF607" w14:textId="77777777" w:rsidR="00AD29FE" w:rsidRPr="00AD29FE" w:rsidRDefault="00F80E63" w:rsidP="00F139BA">
      <w:pPr>
        <w:rPr>
          <w:rFonts w:cs="TimesNewRoman"/>
        </w:rPr>
      </w:pPr>
      <w:r>
        <w:rPr>
          <w:rFonts w:cs="TimesNewRoman"/>
        </w:rPr>
        <w:t xml:space="preserve">Internationally, </w:t>
      </w:r>
      <w:r w:rsidR="00AD29FE">
        <w:rPr>
          <w:rFonts w:cs="TimesNewRoman"/>
        </w:rPr>
        <w:t>the US</w:t>
      </w:r>
      <w:r w:rsidR="00AD29FE">
        <w:t xml:space="preserve"> and</w:t>
      </w:r>
      <w:r w:rsidR="00AD29FE">
        <w:rPr>
          <w:rFonts w:cs="TimesNewRoman"/>
        </w:rPr>
        <w:t xml:space="preserve"> the UK have</w:t>
      </w:r>
      <w:r w:rsidR="00AD29FE" w:rsidDel="002C5136">
        <w:rPr>
          <w:rFonts w:cs="TimesNewRoman"/>
        </w:rPr>
        <w:t xml:space="preserve"> </w:t>
      </w:r>
      <w:r w:rsidR="00AD29FE">
        <w:rPr>
          <w:rFonts w:cs="TimesNewRoman"/>
        </w:rPr>
        <w:t xml:space="preserve">specialist </w:t>
      </w:r>
      <w:proofErr w:type="spellStart"/>
      <w:r w:rsidR="00AD29FE">
        <w:rPr>
          <w:rFonts w:cs="TimesNewRoman"/>
        </w:rPr>
        <w:t>whistleblower</w:t>
      </w:r>
      <w:proofErr w:type="spellEnd"/>
      <w:r w:rsidR="00AD29FE">
        <w:rPr>
          <w:rFonts w:cs="TimesNewRoman"/>
        </w:rPr>
        <w:t xml:space="preserve"> protection agencies</w:t>
      </w:r>
      <w:r w:rsidR="00B65404">
        <w:rPr>
          <w:rFonts w:cs="TimesNewRoman"/>
        </w:rPr>
        <w:t>, that is,</w:t>
      </w:r>
      <w:r w:rsidR="00AD29FE">
        <w:rPr>
          <w:rFonts w:cs="TimesNewRoman"/>
        </w:rPr>
        <w:t xml:space="preserve"> </w:t>
      </w:r>
      <w:r w:rsidR="008E6D89">
        <w:rPr>
          <w:rFonts w:cs="TimesNewRoman"/>
        </w:rPr>
        <w:t xml:space="preserve">the </w:t>
      </w:r>
      <w:r w:rsidR="00AD29FE">
        <w:rPr>
          <w:rFonts w:cs="TimesNewRoman"/>
        </w:rPr>
        <w:t xml:space="preserve">Office of Special Counsel and </w:t>
      </w:r>
      <w:r w:rsidR="00AD29FE" w:rsidRPr="001A0127">
        <w:rPr>
          <w:rFonts w:cs="TimesNewRoman"/>
        </w:rPr>
        <w:t>Public Concern at Work</w:t>
      </w:r>
      <w:r w:rsidR="00AD29FE">
        <w:rPr>
          <w:rFonts w:cs="TimesNewRoman"/>
        </w:rPr>
        <w:t xml:space="preserve"> respectively.</w:t>
      </w:r>
    </w:p>
    <w:p w14:paraId="103BF608" w14:textId="370DCE52" w:rsidR="00D96F51" w:rsidRDefault="00E80EEC" w:rsidP="00D20567">
      <w:pPr>
        <w:spacing w:after="230"/>
      </w:pPr>
      <w:r>
        <w:lastRenderedPageBreak/>
        <w:t>T</w:t>
      </w:r>
      <w:r w:rsidR="00AD29FE">
        <w:t xml:space="preserve">here </w:t>
      </w:r>
      <w:r>
        <w:t>may</w:t>
      </w:r>
      <w:r w:rsidR="00AD29FE">
        <w:t xml:space="preserve"> be benefits from establishing an independent oversight agency for corporate whistleblowing, including providing greater confidence to potential </w:t>
      </w:r>
      <w:proofErr w:type="spellStart"/>
      <w:r w:rsidR="00AD29FE">
        <w:t>whistleblowers</w:t>
      </w:r>
      <w:proofErr w:type="spellEnd"/>
      <w:r w:rsidR="00AD29FE">
        <w:t xml:space="preserve"> that disclosures will be managed in a fair and consistent manner</w:t>
      </w:r>
      <w:r>
        <w:t xml:space="preserve"> and increase both</w:t>
      </w:r>
      <w:r w:rsidR="00AD29FE">
        <w:t xml:space="preserve"> the quality and quantity of whistleblowing</w:t>
      </w:r>
      <w:r>
        <w:t>. There may also</w:t>
      </w:r>
      <w:r w:rsidR="00AD29FE">
        <w:t xml:space="preserve"> be </w:t>
      </w:r>
      <w:r w:rsidR="000B2D7D">
        <w:t>greater economies</w:t>
      </w:r>
      <w:r>
        <w:t xml:space="preserve"> of scale from referring corporate </w:t>
      </w:r>
      <w:proofErr w:type="spellStart"/>
      <w:r>
        <w:t>whistleblower</w:t>
      </w:r>
      <w:proofErr w:type="spellEnd"/>
      <w:r>
        <w:t xml:space="preserve"> issues to the Commonwealth </w:t>
      </w:r>
      <w:r w:rsidR="000B2D7D">
        <w:t xml:space="preserve">Ombudsman </w:t>
      </w:r>
      <w:r>
        <w:t>as that office already exists, although it may need increased resources to take on this role.</w:t>
      </w:r>
    </w:p>
    <w:p w14:paraId="103BF609" w14:textId="77777777" w:rsidR="00E80EEC" w:rsidRDefault="00E80EEC" w:rsidP="00D20567">
      <w:pPr>
        <w:spacing w:after="230"/>
      </w:pPr>
      <w:r>
        <w:t xml:space="preserve">On the other hand, other approaches may be less costly and involve no increase to public funded offices. </w:t>
      </w:r>
      <w:r w:rsidR="00033819">
        <w:t>One </w:t>
      </w:r>
      <w:r>
        <w:t xml:space="preserve">approach is to allow companies to address breaches internally. This </w:t>
      </w:r>
      <w:r w:rsidR="00FA2516">
        <w:t>could be couple</w:t>
      </w:r>
      <w:r w:rsidR="00D96F51">
        <w:t>d</w:t>
      </w:r>
      <w:r w:rsidR="00FA2516">
        <w:t xml:space="preserve"> with reporting o</w:t>
      </w:r>
      <w:r>
        <w:t xml:space="preserve">bligations to ASIC </w:t>
      </w:r>
      <w:r w:rsidR="00FA2516">
        <w:t xml:space="preserve">annually </w:t>
      </w:r>
      <w:r>
        <w:t>on compliance</w:t>
      </w:r>
      <w:r w:rsidR="00FA2516">
        <w:t xml:space="preserve"> with procedures by licensed entities, to guard</w:t>
      </w:r>
      <w:r w:rsidR="00AD29FE">
        <w:t xml:space="preserve"> against the </w:t>
      </w:r>
      <w:r w:rsidR="00FA2516">
        <w:t>risk of internal reviews becoming haphazard or a whitewash. Another alternative may be to require entities to procure periodic independent compliance audits and report serious anomalies or breaches to ASIC. Both approaches would enable ASIC to take corrective action</w:t>
      </w:r>
      <w:r w:rsidR="00AD29FE">
        <w:t xml:space="preserve"> for </w:t>
      </w:r>
      <w:r w:rsidR="00FA2516">
        <w:t>serious departures from the internal procedures through licensing action as appropriate.</w:t>
      </w:r>
    </w:p>
    <w:p w14:paraId="103BF60A" w14:textId="77777777" w:rsidR="00AD29FE" w:rsidRDefault="00AD29FE" w:rsidP="00D20567">
      <w:pPr>
        <w:spacing w:after="230"/>
      </w:pPr>
      <w:r>
        <w:t xml:space="preserve">It </w:t>
      </w:r>
      <w:r w:rsidR="00FA2516">
        <w:t>may</w:t>
      </w:r>
      <w:r w:rsidR="001F4E54">
        <w:t xml:space="preserve"> be</w:t>
      </w:r>
      <w:r>
        <w:t xml:space="preserve"> also</w:t>
      </w:r>
      <w:r w:rsidDel="002C5136">
        <w:t xml:space="preserve"> </w:t>
      </w:r>
      <w:r>
        <w:t>worth considering whether the benefits from the establishment of an independent oversight agency would be optimised if a comprehensive whole of private s</w:t>
      </w:r>
      <w:r w:rsidR="00E83586">
        <w:t xml:space="preserve">ector whistleblowing approach was </w:t>
      </w:r>
      <w:r>
        <w:t>adopted in Australia</w:t>
      </w:r>
      <w:r w:rsidR="00446D24">
        <w:t>. It</w:t>
      </w:r>
      <w:r>
        <w:t xml:space="preserve"> would </w:t>
      </w:r>
      <w:r w:rsidR="00446D24">
        <w:t xml:space="preserve">ensure </w:t>
      </w:r>
      <w:r>
        <w:t>a more consistent and coordinated approach across industries and regulators</w:t>
      </w:r>
      <w:r w:rsidR="00446D24">
        <w:t>, remove gaps, and promote greater certainty</w:t>
      </w:r>
      <w:r>
        <w:t xml:space="preserve">. </w:t>
      </w:r>
    </w:p>
    <w:p w14:paraId="103BF60B" w14:textId="50E2C5CA" w:rsidR="00545263" w:rsidRDefault="00FA2516" w:rsidP="00D20567">
      <w:pPr>
        <w:spacing w:after="230"/>
      </w:pPr>
      <w:r>
        <w:t>C</w:t>
      </w:r>
      <w:r w:rsidR="00AD29FE">
        <w:t xml:space="preserve">onsiderations around </w:t>
      </w:r>
      <w:r w:rsidR="00AD29FE" w:rsidRPr="00BC2261">
        <w:t xml:space="preserve">establishing a suitable governance framework </w:t>
      </w:r>
      <w:r w:rsidR="00AD29FE">
        <w:t>(</w:t>
      </w:r>
      <w:r w:rsidR="00B65404">
        <w:t xml:space="preserve">for example, </w:t>
      </w:r>
      <w:r w:rsidR="00AD29FE" w:rsidRPr="00BC2261">
        <w:t xml:space="preserve">through </w:t>
      </w:r>
      <w:r w:rsidR="00AD29FE">
        <w:t>regular</w:t>
      </w:r>
      <w:r w:rsidR="00AD29FE" w:rsidRPr="00BC2261">
        <w:t xml:space="preserve"> reporting to Government</w:t>
      </w:r>
      <w:r w:rsidR="00AD29FE">
        <w:t xml:space="preserve"> about the progress of matters under investigation and the outcome of investigations,</w:t>
      </w:r>
      <w:r w:rsidR="00AD29FE" w:rsidRPr="00BC2261">
        <w:t xml:space="preserve"> and </w:t>
      </w:r>
      <w:r w:rsidR="00AD29FE">
        <w:t xml:space="preserve">periodic </w:t>
      </w:r>
      <w:r w:rsidR="00AD29FE" w:rsidRPr="00BC2261">
        <w:t>audits</w:t>
      </w:r>
      <w:r w:rsidR="00AD29FE">
        <w:t xml:space="preserve">) </w:t>
      </w:r>
      <w:r w:rsidR="00446D24">
        <w:t xml:space="preserve">could </w:t>
      </w:r>
      <w:r w:rsidR="000B2D7D">
        <w:t>also be</w:t>
      </w:r>
      <w:r w:rsidR="00AD29FE">
        <w:t xml:space="preserve"> considered to ensure </w:t>
      </w:r>
      <w:proofErr w:type="gramStart"/>
      <w:r w:rsidR="00AD29FE">
        <w:t>a robust</w:t>
      </w:r>
      <w:proofErr w:type="gramEnd"/>
      <w:r w:rsidR="00AD29FE">
        <w:t xml:space="preserve"> governance</w:t>
      </w:r>
      <w:r w:rsidR="00446D24">
        <w:t xml:space="preserve"> and </w:t>
      </w:r>
      <w:r w:rsidR="00AD29FE">
        <w:t>accountability framework is in place.</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545263" w14:paraId="103BF60F" w14:textId="77777777" w:rsidTr="00F15A1A">
        <w:tc>
          <w:tcPr>
            <w:tcW w:w="9286" w:type="dxa"/>
            <w:shd w:val="clear" w:color="auto" w:fill="DBE5F1" w:themeFill="accent1" w:themeFillTint="33"/>
          </w:tcPr>
          <w:p w14:paraId="103BF60C" w14:textId="77777777" w:rsidR="00545263" w:rsidRPr="007E2932" w:rsidRDefault="00545263" w:rsidP="00545263">
            <w:pPr>
              <w:pStyle w:val="BoxHeadingnonumber"/>
            </w:pPr>
            <w:r w:rsidRPr="007E2932">
              <w:t>Questions</w:t>
            </w:r>
          </w:p>
          <w:p w14:paraId="103BF60D" w14:textId="77777777" w:rsidR="00545263" w:rsidRPr="00F15A1A" w:rsidRDefault="00545263" w:rsidP="00F15A1A">
            <w:pPr>
              <w:pStyle w:val="BoxQuestions"/>
            </w:pPr>
            <w:r w:rsidRPr="00F15A1A">
              <w:t xml:space="preserve">Should the Corporations Act establish a role for ASIC or another body to protect the interests of and generally act as an 'advocate' for </w:t>
            </w:r>
            <w:proofErr w:type="spellStart"/>
            <w:r w:rsidRPr="00F15A1A">
              <w:t>whistleblowers</w:t>
            </w:r>
            <w:proofErr w:type="spellEnd"/>
            <w:r w:rsidRPr="00F15A1A">
              <w:t>?</w:t>
            </w:r>
          </w:p>
          <w:p w14:paraId="103BF60E" w14:textId="77777777" w:rsidR="00545263" w:rsidRDefault="00545263" w:rsidP="00F15A1A">
            <w:pPr>
              <w:pStyle w:val="BoxQuestions"/>
            </w:pPr>
            <w:r w:rsidRPr="00F15A1A">
              <w:t>Should alternate private enforcement options be considered instead?</w:t>
            </w:r>
          </w:p>
        </w:tc>
      </w:tr>
    </w:tbl>
    <w:p w14:paraId="103BF610" w14:textId="77777777" w:rsidR="00E7357E" w:rsidRDefault="00E7357E">
      <w:pPr>
        <w:pStyle w:val="Heading3"/>
      </w:pPr>
      <w:bookmarkStart w:id="170" w:name="_Toc468971480"/>
      <w:bookmarkStart w:id="171" w:name="_Toc468977757"/>
      <w:bookmarkStart w:id="172" w:name="_Toc468995357"/>
      <w:r w:rsidRPr="00E7357E">
        <w:t>Scope of reforms</w:t>
      </w:r>
      <w:bookmarkEnd w:id="170"/>
      <w:bookmarkEnd w:id="171"/>
      <w:bookmarkEnd w:id="172"/>
    </w:p>
    <w:p w14:paraId="103BF611" w14:textId="77777777" w:rsidR="00006BD4" w:rsidRDefault="00FA2516" w:rsidP="00D20567">
      <w:pPr>
        <w:spacing w:after="230" w:line="240" w:lineRule="auto"/>
      </w:pPr>
      <w:r>
        <w:t>S</w:t>
      </w:r>
      <w:r w:rsidR="00006BD4">
        <w:t xml:space="preserve">imilar provisions </w:t>
      </w:r>
      <w:r>
        <w:t xml:space="preserve">to those discussed above are </w:t>
      </w:r>
      <w:r w:rsidR="00006BD4">
        <w:t xml:space="preserve">contained in other financial system legislation </w:t>
      </w:r>
      <w:r>
        <w:t>identif</w:t>
      </w:r>
      <w:r w:rsidR="00062993">
        <w:t>i</w:t>
      </w:r>
      <w:r>
        <w:t>ed in section 3 above</w:t>
      </w:r>
      <w:r w:rsidR="00006BD4">
        <w:t xml:space="preserve">.  </w:t>
      </w:r>
    </w:p>
    <w:p w14:paraId="103BF612" w14:textId="773C7EAF" w:rsidR="002F6D31" w:rsidRPr="00B84D3E" w:rsidRDefault="00FA2516" w:rsidP="00D20567">
      <w:pPr>
        <w:spacing w:after="230" w:line="240" w:lineRule="auto"/>
        <w:rPr>
          <w:bCs/>
          <w:iCs/>
        </w:rPr>
      </w:pPr>
      <w:r w:rsidRPr="00B84D3E">
        <w:rPr>
          <w:bCs/>
          <w:iCs/>
        </w:rPr>
        <w:t>Conversely</w:t>
      </w:r>
      <w:r w:rsidR="00201E21" w:rsidRPr="00B84D3E">
        <w:rPr>
          <w:bCs/>
          <w:iCs/>
        </w:rPr>
        <w:t>, t</w:t>
      </w:r>
      <w:r w:rsidR="002F6D31" w:rsidRPr="00B84D3E">
        <w:rPr>
          <w:bCs/>
          <w:iCs/>
        </w:rPr>
        <w:t xml:space="preserve">here are no </w:t>
      </w:r>
      <w:proofErr w:type="spellStart"/>
      <w:r w:rsidR="002F15D4" w:rsidRPr="00B84D3E">
        <w:rPr>
          <w:bCs/>
          <w:iCs/>
        </w:rPr>
        <w:t>whistleblower</w:t>
      </w:r>
      <w:proofErr w:type="spellEnd"/>
      <w:r w:rsidR="002F15D4" w:rsidRPr="00B84D3E">
        <w:rPr>
          <w:bCs/>
          <w:iCs/>
        </w:rPr>
        <w:t xml:space="preserve"> </w:t>
      </w:r>
      <w:r w:rsidR="002F6D31" w:rsidRPr="00B84D3E">
        <w:rPr>
          <w:bCs/>
          <w:iCs/>
        </w:rPr>
        <w:t xml:space="preserve">protections available </w:t>
      </w:r>
      <w:r w:rsidR="002F15D4" w:rsidRPr="00B84D3E">
        <w:rPr>
          <w:bCs/>
          <w:iCs/>
        </w:rPr>
        <w:t xml:space="preserve">under the </w:t>
      </w:r>
      <w:r w:rsidR="002F6D31" w:rsidRPr="00B84D3E">
        <w:rPr>
          <w:bCs/>
          <w:i/>
          <w:iCs/>
        </w:rPr>
        <w:t>National Consumer Credit Protection Act</w:t>
      </w:r>
      <w:r w:rsidR="002F6D31" w:rsidRPr="00B84D3E">
        <w:rPr>
          <w:bCs/>
          <w:iCs/>
        </w:rPr>
        <w:t xml:space="preserve"> 2009 for which ASIC</w:t>
      </w:r>
      <w:r w:rsidR="000B2D7D">
        <w:rPr>
          <w:bCs/>
          <w:iCs/>
        </w:rPr>
        <w:t xml:space="preserve"> </w:t>
      </w:r>
      <w:r w:rsidR="00446D24">
        <w:rPr>
          <w:bCs/>
          <w:iCs/>
        </w:rPr>
        <w:t xml:space="preserve">also </w:t>
      </w:r>
      <w:r w:rsidR="002F6D31" w:rsidRPr="00B84D3E">
        <w:rPr>
          <w:bCs/>
          <w:iCs/>
        </w:rPr>
        <w:t>has oversight.</w:t>
      </w:r>
    </w:p>
    <w:p w14:paraId="103BF613" w14:textId="77777777" w:rsidR="00984AD8" w:rsidRDefault="00006BD4" w:rsidP="00D20567">
      <w:pPr>
        <w:spacing w:after="230"/>
      </w:pPr>
      <w:r>
        <w:t xml:space="preserve">It would seem logical to consider harmonising </w:t>
      </w:r>
      <w:r w:rsidR="00FA2516">
        <w:t>any</w:t>
      </w:r>
      <w:r>
        <w:t xml:space="preserve"> </w:t>
      </w:r>
      <w:r w:rsidR="00806EC5">
        <w:t xml:space="preserve">proposed </w:t>
      </w:r>
      <w:r w:rsidR="008515D2">
        <w:t xml:space="preserve">Corporations Act </w:t>
      </w:r>
      <w:r>
        <w:t>reforms</w:t>
      </w:r>
      <w:r w:rsidR="008515D2">
        <w:t xml:space="preserve"> </w:t>
      </w:r>
      <w:r w:rsidR="00446D24">
        <w:t xml:space="preserve">with </w:t>
      </w:r>
      <w:r w:rsidR="008515D2">
        <w:t xml:space="preserve">these Acts to ensure a consistent and coordinated approach </w:t>
      </w:r>
      <w:r w:rsidR="00E7357E">
        <w:t xml:space="preserve">across </w:t>
      </w:r>
      <w:r w:rsidR="002A4ACD">
        <w:t xml:space="preserve">the </w:t>
      </w:r>
      <w:r w:rsidR="008515D2">
        <w:t xml:space="preserve">financial </w:t>
      </w:r>
      <w:r w:rsidR="002A4ACD">
        <w:t>system</w:t>
      </w:r>
      <w:r w:rsidR="00E7357E">
        <w:t>.</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545263" w14:paraId="103BF616" w14:textId="77777777" w:rsidTr="00F15A1A">
        <w:tc>
          <w:tcPr>
            <w:tcW w:w="9286" w:type="dxa"/>
            <w:shd w:val="clear" w:color="auto" w:fill="DBE5F1" w:themeFill="accent1" w:themeFillTint="33"/>
          </w:tcPr>
          <w:p w14:paraId="103BF614" w14:textId="77777777" w:rsidR="00545263" w:rsidRPr="007E2932" w:rsidRDefault="00545263" w:rsidP="00545263">
            <w:pPr>
              <w:pStyle w:val="BoxHeadingnonumber"/>
            </w:pPr>
            <w:r w:rsidRPr="007E2932">
              <w:t>Q</w:t>
            </w:r>
            <w:r>
              <w:t>uestion</w:t>
            </w:r>
          </w:p>
          <w:p w14:paraId="103BF615" w14:textId="77777777" w:rsidR="00545263" w:rsidRDefault="00545263" w:rsidP="00F15A1A">
            <w:pPr>
              <w:pStyle w:val="BoxQuestions"/>
            </w:pPr>
            <w:r w:rsidRPr="00F15A1A">
              <w:t>Should reforms be extended to the industries regulated under the other legislation identified above, including the credit legislation? If so, should the reforms be uniform across all similar legislative whistleblowing regimes, even those not named in this paper?</w:t>
            </w:r>
          </w:p>
        </w:tc>
      </w:tr>
    </w:tbl>
    <w:p w14:paraId="103BF617" w14:textId="77777777" w:rsidR="00E7357E" w:rsidRPr="00E7357E" w:rsidRDefault="00B81EB7">
      <w:pPr>
        <w:pStyle w:val="Heading3"/>
      </w:pPr>
      <w:bookmarkStart w:id="173" w:name="_Toc468971481"/>
      <w:bookmarkStart w:id="174" w:name="_Toc468977758"/>
      <w:bookmarkStart w:id="175" w:name="_Toc468995358"/>
      <w:r>
        <w:lastRenderedPageBreak/>
        <w:t>Varying legislative approaches to</w:t>
      </w:r>
      <w:r w:rsidR="00E7357E" w:rsidRPr="00E7357E">
        <w:t xml:space="preserve"> reform</w:t>
      </w:r>
      <w:bookmarkEnd w:id="173"/>
      <w:bookmarkEnd w:id="174"/>
      <w:bookmarkEnd w:id="175"/>
    </w:p>
    <w:p w14:paraId="103BF618" w14:textId="77777777" w:rsidR="00E7357E" w:rsidRPr="00196175" w:rsidRDefault="002A4ACD" w:rsidP="00E7357E">
      <w:pPr>
        <w:spacing w:after="0" w:line="240" w:lineRule="auto"/>
        <w:jc w:val="left"/>
      </w:pPr>
      <w:r>
        <w:t xml:space="preserve">Assuming the Government decides to reform the existing corporate </w:t>
      </w:r>
      <w:proofErr w:type="spellStart"/>
      <w:r>
        <w:t>whistleblower</w:t>
      </w:r>
      <w:proofErr w:type="spellEnd"/>
      <w:r>
        <w:t xml:space="preserve"> regime there are a number of ways it can achieve this, namely</w:t>
      </w:r>
      <w:r w:rsidR="00196175">
        <w:t>:</w:t>
      </w:r>
    </w:p>
    <w:p w14:paraId="103BF619" w14:textId="77777777" w:rsidR="00E7357E" w:rsidRPr="00E7357E" w:rsidRDefault="00E7357E" w:rsidP="00E7357E">
      <w:pPr>
        <w:spacing w:after="0" w:line="240" w:lineRule="auto"/>
        <w:jc w:val="left"/>
      </w:pPr>
    </w:p>
    <w:p w14:paraId="103BF61A" w14:textId="77777777" w:rsidR="002A4ACD" w:rsidRDefault="00196175" w:rsidP="00F15A1A">
      <w:pPr>
        <w:pStyle w:val="OneLevelNumberedParagraph"/>
        <w:numPr>
          <w:ilvl w:val="0"/>
          <w:numId w:val="57"/>
        </w:numPr>
      </w:pPr>
      <w:r w:rsidRPr="00E7357E">
        <w:t>Amend</w:t>
      </w:r>
      <w:r w:rsidR="002A4ACD">
        <w:t xml:space="preserve"> only</w:t>
      </w:r>
      <w:r w:rsidRPr="00E7357E">
        <w:t xml:space="preserve"> </w:t>
      </w:r>
      <w:r>
        <w:t xml:space="preserve">the </w:t>
      </w:r>
      <w:r w:rsidRPr="00E7357E">
        <w:t>Corporations Act</w:t>
      </w:r>
      <w:r w:rsidR="002A4ACD">
        <w:t>;</w:t>
      </w:r>
    </w:p>
    <w:p w14:paraId="103BF61B" w14:textId="77777777" w:rsidR="00196175" w:rsidRDefault="002A4ACD" w:rsidP="00F15A1A">
      <w:pPr>
        <w:pStyle w:val="OneLevelNumberedParagraph"/>
      </w:pPr>
      <w:r>
        <w:t>Amend that Act and the other statutes identified in section 3 above</w:t>
      </w:r>
      <w:r w:rsidR="00196175" w:rsidRPr="00E7357E">
        <w:t xml:space="preserve"> </w:t>
      </w:r>
      <w:r>
        <w:t xml:space="preserve">so the provisions continue to broadly mirror each other, and also amend the credit legislation to introduce a </w:t>
      </w:r>
      <w:proofErr w:type="spellStart"/>
      <w:r>
        <w:t>whistleblower</w:t>
      </w:r>
      <w:proofErr w:type="spellEnd"/>
      <w:r>
        <w:t xml:space="preserve"> regime;</w:t>
      </w:r>
    </w:p>
    <w:p w14:paraId="103BF61C" w14:textId="77777777" w:rsidR="00196175" w:rsidRDefault="00E7357E" w:rsidP="00F15A1A">
      <w:pPr>
        <w:pStyle w:val="OneLevelNumberedParagraph"/>
      </w:pPr>
      <w:r w:rsidRPr="00E7357E">
        <w:t xml:space="preserve">Amend </w:t>
      </w:r>
      <w:r w:rsidR="002A4ACD">
        <w:t>the AUS-PIDA</w:t>
      </w:r>
      <w:r w:rsidR="00196175">
        <w:t xml:space="preserve"> to expand the protections to </w:t>
      </w:r>
      <w:r w:rsidR="002A4ACD">
        <w:t xml:space="preserve">the </w:t>
      </w:r>
      <w:r w:rsidR="00196175">
        <w:t>c</w:t>
      </w:r>
      <w:r w:rsidR="00806EC5">
        <w:t xml:space="preserve">orporate </w:t>
      </w:r>
      <w:r w:rsidR="00196175">
        <w:t xml:space="preserve">sector </w:t>
      </w:r>
      <w:r w:rsidR="00446D24">
        <w:t>so that both public and private sectors are covered under a single statute</w:t>
      </w:r>
      <w:r w:rsidR="002A4ACD">
        <w:t>;</w:t>
      </w:r>
      <w:r w:rsidR="007D6775">
        <w:t xml:space="preserve"> or</w:t>
      </w:r>
    </w:p>
    <w:p w14:paraId="103BF61D" w14:textId="66D4E699" w:rsidR="002762FA" w:rsidRDefault="00196175" w:rsidP="00F15A1A">
      <w:pPr>
        <w:pStyle w:val="OneLevelNumberedParagraph"/>
      </w:pPr>
      <w:r>
        <w:t xml:space="preserve">Create a </w:t>
      </w:r>
      <w:r w:rsidR="00E7357E" w:rsidRPr="00E7357E">
        <w:t xml:space="preserve">new </w:t>
      </w:r>
      <w:r w:rsidR="002A4ACD">
        <w:t>statute</w:t>
      </w:r>
      <w:r w:rsidR="00E7357E" w:rsidRPr="00E7357E">
        <w:t xml:space="preserve"> covering</w:t>
      </w:r>
      <w:r w:rsidR="002A4ACD">
        <w:t xml:space="preserve"> </w:t>
      </w:r>
      <w:r w:rsidR="000B2D7D">
        <w:t>the entire</w:t>
      </w:r>
      <w:r w:rsidR="002A4ACD">
        <w:t xml:space="preserve"> corporate sector, as a counterpart to </w:t>
      </w:r>
      <w:r w:rsidR="00033819">
        <w:t>the</w:t>
      </w:r>
      <w:r w:rsidR="000D644F">
        <w:t xml:space="preserve"> </w:t>
      </w:r>
      <w:r w:rsidR="002A4ACD">
        <w:t>AUS-PIDA (which would be retained in its current form unless amended)</w:t>
      </w:r>
      <w:r w:rsidR="00B81EB7">
        <w:t>.</w:t>
      </w:r>
      <w:r w:rsidR="002A4ACD">
        <w:t xml:space="preserve"> </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545263" w:rsidRPr="00545263" w14:paraId="103BF620" w14:textId="77777777" w:rsidTr="00F15A1A">
        <w:tc>
          <w:tcPr>
            <w:tcW w:w="9286" w:type="dxa"/>
            <w:shd w:val="clear" w:color="auto" w:fill="DBE5F1" w:themeFill="accent1" w:themeFillTint="33"/>
          </w:tcPr>
          <w:p w14:paraId="103BF61E" w14:textId="77777777" w:rsidR="00545263" w:rsidRPr="00F15A1A" w:rsidRDefault="00545263" w:rsidP="00F15A1A">
            <w:pPr>
              <w:pStyle w:val="BoxHeadingnonumber"/>
            </w:pPr>
            <w:r w:rsidRPr="00F15A1A">
              <w:t>Question</w:t>
            </w:r>
          </w:p>
          <w:p w14:paraId="103BF61F" w14:textId="77777777" w:rsidR="00545263" w:rsidRPr="00F15A1A" w:rsidRDefault="00545263" w:rsidP="00F15A1A">
            <w:pPr>
              <w:pStyle w:val="BoxQuestions"/>
            </w:pPr>
            <w:r w:rsidRPr="00F15A1A">
              <w:t xml:space="preserve">Please provide your views on how the proposed reforms should be best structured and rationale. </w:t>
            </w:r>
          </w:p>
        </w:tc>
      </w:tr>
    </w:tbl>
    <w:p w14:paraId="103BF621" w14:textId="77777777" w:rsidR="00E7357E" w:rsidRDefault="00E7357E" w:rsidP="00F15A1A">
      <w:pPr>
        <w:pStyle w:val="Heading3"/>
      </w:pPr>
      <w:bookmarkStart w:id="176" w:name="_Toc468971482"/>
      <w:bookmarkStart w:id="177" w:name="_Toc468977759"/>
      <w:bookmarkStart w:id="178" w:name="_Toc468995359"/>
      <w:r w:rsidRPr="00E7357E">
        <w:t>Other</w:t>
      </w:r>
      <w:bookmarkEnd w:id="176"/>
      <w:bookmarkEnd w:id="177"/>
      <w:bookmarkEnd w:id="178"/>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545263" w14:paraId="103BF624" w14:textId="77777777" w:rsidTr="00F15A1A">
        <w:tc>
          <w:tcPr>
            <w:tcW w:w="9286" w:type="dxa"/>
            <w:shd w:val="clear" w:color="auto" w:fill="DBE5F1" w:themeFill="accent1" w:themeFillTint="33"/>
          </w:tcPr>
          <w:p w14:paraId="103BF622" w14:textId="77777777" w:rsidR="00545263" w:rsidRPr="007E2932" w:rsidRDefault="00545263" w:rsidP="00545263">
            <w:pPr>
              <w:pStyle w:val="BoxHeadingnonumber"/>
            </w:pPr>
            <w:r w:rsidRPr="007E2932">
              <w:t>Question</w:t>
            </w:r>
          </w:p>
          <w:p w14:paraId="103BF623" w14:textId="77777777" w:rsidR="00545263" w:rsidRPr="00111D1A" w:rsidRDefault="000025F8" w:rsidP="000025F8">
            <w:pPr>
              <w:pStyle w:val="BoxQuestions"/>
            </w:pPr>
            <w:r w:rsidRPr="00C4665B">
              <w:t xml:space="preserve">Please comment on any other matters you believe the Government should consider in strengthening the protections available for corporate </w:t>
            </w:r>
            <w:proofErr w:type="spellStart"/>
            <w:r w:rsidRPr="00C4665B">
              <w:t>whistleblowers</w:t>
            </w:r>
            <w:proofErr w:type="spellEnd"/>
            <w:r w:rsidR="008819E0">
              <w:t>.</w:t>
            </w:r>
          </w:p>
        </w:tc>
      </w:tr>
    </w:tbl>
    <w:p w14:paraId="103BF625" w14:textId="77777777" w:rsidR="00545263" w:rsidRPr="00F15A1A" w:rsidRDefault="00545263" w:rsidP="00F15A1A">
      <w:pPr>
        <w:rPr>
          <w:highlight w:val="green"/>
        </w:rPr>
      </w:pPr>
    </w:p>
    <w:p w14:paraId="103BF626" w14:textId="77777777" w:rsidR="00E7357E" w:rsidRDefault="00E7357E" w:rsidP="00F139BA"/>
    <w:p w14:paraId="103BF627" w14:textId="77777777" w:rsidR="00B65404" w:rsidRDefault="00B65404">
      <w:pPr>
        <w:spacing w:after="0" w:line="240" w:lineRule="auto"/>
        <w:jc w:val="left"/>
        <w:sectPr w:rsidR="00B65404" w:rsidSect="00E47556">
          <w:pgSz w:w="11906" w:h="16838" w:code="9"/>
          <w:pgMar w:top="1418" w:right="1418" w:bottom="1418" w:left="1418" w:header="709" w:footer="709" w:gutter="0"/>
          <w:cols w:space="708"/>
          <w:titlePg/>
          <w:docGrid w:linePitch="360"/>
        </w:sectPr>
      </w:pPr>
      <w:bookmarkStart w:id="179" w:name="_Toc465344819"/>
      <w:bookmarkStart w:id="180" w:name="_Toc465418798"/>
    </w:p>
    <w:p w14:paraId="103BF628" w14:textId="77777777" w:rsidR="00C138AA" w:rsidRPr="00D20567" w:rsidRDefault="00B65404" w:rsidP="00D20567">
      <w:pPr>
        <w:pStyle w:val="Heading1-Numbered"/>
      </w:pPr>
      <w:bookmarkStart w:id="181" w:name="_Toc469395502"/>
      <w:bookmarkStart w:id="182" w:name="_Toc468971483"/>
      <w:bookmarkStart w:id="183" w:name="_Toc468977760"/>
      <w:bookmarkStart w:id="184" w:name="_Toc468995360"/>
      <w:bookmarkStart w:id="185" w:name="_Toc469407749"/>
      <w:bookmarkStart w:id="186" w:name="_Toc469407840"/>
      <w:bookmarkEnd w:id="179"/>
      <w:bookmarkEnd w:id="180"/>
      <w:bookmarkEnd w:id="181"/>
      <w:r w:rsidRPr="00D20567">
        <w:lastRenderedPageBreak/>
        <w:t>Proposed protections for tax whistleblowers</w:t>
      </w:r>
      <w:bookmarkEnd w:id="182"/>
      <w:bookmarkEnd w:id="183"/>
      <w:bookmarkEnd w:id="184"/>
      <w:bookmarkEnd w:id="185"/>
      <w:bookmarkEnd w:id="186"/>
    </w:p>
    <w:p w14:paraId="103BF629" w14:textId="77777777" w:rsidR="00AC4E31" w:rsidRDefault="00CD73DA" w:rsidP="00C138AA">
      <w:r>
        <w:t>T</w:t>
      </w:r>
      <w:r w:rsidR="004964AF">
        <w:t xml:space="preserve">he Corporations Act only provides protection to </w:t>
      </w:r>
      <w:proofErr w:type="spellStart"/>
      <w:r w:rsidR="004964AF">
        <w:t>whistleblowers</w:t>
      </w:r>
      <w:proofErr w:type="spellEnd"/>
      <w:r w:rsidR="004964AF">
        <w:t xml:space="preserve"> who disclose information to ASIC</w:t>
      </w:r>
      <w:r w:rsidR="00B90D35">
        <w:t xml:space="preserve"> about </w:t>
      </w:r>
      <w:r w:rsidR="00762C8B">
        <w:t>breaches</w:t>
      </w:r>
      <w:r w:rsidR="00536764">
        <w:t xml:space="preserve"> of </w:t>
      </w:r>
      <w:proofErr w:type="gramStart"/>
      <w:r w:rsidR="00B90D35">
        <w:t>corporations</w:t>
      </w:r>
      <w:proofErr w:type="gramEnd"/>
      <w:r w:rsidR="00B90D35">
        <w:t xml:space="preserve"> legislation</w:t>
      </w:r>
      <w:r>
        <w:t>.</w:t>
      </w:r>
      <w:r w:rsidR="004964AF">
        <w:t xml:space="preserve"> </w:t>
      </w:r>
      <w:r>
        <w:t>I</w:t>
      </w:r>
      <w:r w:rsidR="004964AF">
        <w:t>ndividuals who disclose information on the taxation arrangements and behaviours of companies</w:t>
      </w:r>
      <w:r w:rsidR="00B53187">
        <w:t>, other entities</w:t>
      </w:r>
      <w:r w:rsidR="004964AF">
        <w:t xml:space="preserve"> and individuals</w:t>
      </w:r>
      <w:r w:rsidR="00D14C98">
        <w:t xml:space="preserve"> to the ATO are not protected. </w:t>
      </w:r>
      <w:r w:rsidR="004811FF">
        <w:t xml:space="preserve">This leaves tax </w:t>
      </w:r>
      <w:proofErr w:type="spellStart"/>
      <w:r w:rsidR="004811FF">
        <w:t>whistleblowers</w:t>
      </w:r>
      <w:proofErr w:type="spellEnd"/>
      <w:r w:rsidR="004811FF">
        <w:t xml:space="preserve"> open to reprisals </w:t>
      </w:r>
      <w:r w:rsidR="00D50A03">
        <w:t xml:space="preserve">including </w:t>
      </w:r>
      <w:r w:rsidR="004811FF">
        <w:t xml:space="preserve">job loss </w:t>
      </w:r>
      <w:r w:rsidR="00950EED">
        <w:t xml:space="preserve">or </w:t>
      </w:r>
      <w:r w:rsidR="004811FF">
        <w:t xml:space="preserve">civil, criminal and administrative liability. </w:t>
      </w:r>
      <w:r w:rsidR="00AC4E31">
        <w:t xml:space="preserve">The lack of specific protections for tax </w:t>
      </w:r>
      <w:proofErr w:type="spellStart"/>
      <w:r w:rsidR="00AC4E31">
        <w:t>whistleblowers</w:t>
      </w:r>
      <w:proofErr w:type="spellEnd"/>
      <w:r w:rsidR="00AC4E31">
        <w:t xml:space="preserve"> may discourage disclosures about tax avoidance or evasion and other potential breaches of tax law. Australia is becoming an outlier internationally in this regard.</w:t>
      </w:r>
    </w:p>
    <w:p w14:paraId="103BF62A" w14:textId="77777777" w:rsidR="000B149A" w:rsidRDefault="00C07A70" w:rsidP="00C138AA">
      <w:r>
        <w:t>As a result, t</w:t>
      </w:r>
      <w:r w:rsidR="00CA60FD">
        <w:t>he Government an</w:t>
      </w:r>
      <w:r w:rsidR="00270546">
        <w:t xml:space="preserve">nounced </w:t>
      </w:r>
      <w:r w:rsidR="00D14C98">
        <w:t xml:space="preserve">in the 2016-17 Budget </w:t>
      </w:r>
      <w:r w:rsidR="00270546">
        <w:t xml:space="preserve">new protections for individuals who disclose information to the ATO on tax avoidance behaviour and other tax issues. </w:t>
      </w:r>
      <w:r w:rsidR="00AC4E31">
        <w:t xml:space="preserve">The proposed protections for tax </w:t>
      </w:r>
      <w:proofErr w:type="spellStart"/>
      <w:r w:rsidR="00AC4E31">
        <w:t>whistleblowers</w:t>
      </w:r>
      <w:proofErr w:type="spellEnd"/>
      <w:r w:rsidR="00AC4E31">
        <w:t xml:space="preserve"> is based off the existing protections offered under AUS-PIDA, the Corporations Act, the RO-Act and other international jurisdictions.</w:t>
      </w:r>
      <w:r w:rsidR="00270546">
        <w:t xml:space="preserve"> </w:t>
      </w:r>
    </w:p>
    <w:p w14:paraId="103BF62B" w14:textId="77777777" w:rsidR="00813443" w:rsidRDefault="00813443" w:rsidP="00F15A1A">
      <w:pPr>
        <w:pStyle w:val="Heading2NotNumbered"/>
      </w:pPr>
      <w:bookmarkStart w:id="187" w:name="_Toc468971484"/>
      <w:bookmarkStart w:id="188" w:name="_Toc468977761"/>
      <w:bookmarkStart w:id="189" w:name="_Toc468995361"/>
      <w:bookmarkStart w:id="190" w:name="_Toc469407750"/>
      <w:bookmarkStart w:id="191" w:name="_Toc469407841"/>
      <w:r>
        <w:t xml:space="preserve">Definition of tax </w:t>
      </w:r>
      <w:proofErr w:type="spellStart"/>
      <w:r>
        <w:t>whistleblower</w:t>
      </w:r>
      <w:bookmarkEnd w:id="187"/>
      <w:bookmarkEnd w:id="188"/>
      <w:bookmarkEnd w:id="189"/>
      <w:bookmarkEnd w:id="190"/>
      <w:bookmarkEnd w:id="191"/>
      <w:proofErr w:type="spellEnd"/>
    </w:p>
    <w:p w14:paraId="103BF62C" w14:textId="77777777" w:rsidR="00E37A85" w:rsidRDefault="008C40F6" w:rsidP="000B149A">
      <w:r>
        <w:t>A</w:t>
      </w:r>
      <w:r w:rsidR="000B149A">
        <w:t xml:space="preserve"> tax </w:t>
      </w:r>
      <w:proofErr w:type="spellStart"/>
      <w:r w:rsidR="000B149A">
        <w:t>whistleblower</w:t>
      </w:r>
      <w:proofErr w:type="spellEnd"/>
      <w:r w:rsidR="000B149A">
        <w:t xml:space="preserve"> </w:t>
      </w:r>
      <w:r w:rsidR="00CD73DA">
        <w:t xml:space="preserve">is proposed to </w:t>
      </w:r>
      <w:r w:rsidR="00E37A85">
        <w:t xml:space="preserve">be defined as any person who: </w:t>
      </w:r>
    </w:p>
    <w:p w14:paraId="103BF62D" w14:textId="77777777" w:rsidR="00E37A85" w:rsidRPr="008A6C52" w:rsidRDefault="005479E3" w:rsidP="008A6C52">
      <w:pPr>
        <w:pStyle w:val="Bullet"/>
      </w:pPr>
      <w:r w:rsidRPr="008A6C52">
        <w:t>I</w:t>
      </w:r>
      <w:r w:rsidR="00E37A85" w:rsidRPr="008A6C52">
        <w:t>s</w:t>
      </w:r>
      <w:r w:rsidRPr="008A6C52">
        <w:t>, in relation to the taxpayer in question,</w:t>
      </w:r>
      <w:r w:rsidR="00E37A85" w:rsidRPr="008A6C52">
        <w:t xml:space="preserve"> a current or</w:t>
      </w:r>
      <w:r w:rsidR="000B149A" w:rsidRPr="008A6C52">
        <w:t xml:space="preserve"> former</w:t>
      </w:r>
      <w:r w:rsidR="00E37A85" w:rsidRPr="008A6C52">
        <w:t>:</w:t>
      </w:r>
      <w:r w:rsidR="000B149A" w:rsidRPr="008A6C52">
        <w:t xml:space="preserve"> </w:t>
      </w:r>
    </w:p>
    <w:p w14:paraId="103BF62E" w14:textId="77777777" w:rsidR="00E37A85" w:rsidRPr="008A6C52" w:rsidRDefault="000B149A" w:rsidP="008A6C52">
      <w:pPr>
        <w:pStyle w:val="Dash"/>
      </w:pPr>
      <w:r w:rsidRPr="008A6C52">
        <w:t xml:space="preserve">employee </w:t>
      </w:r>
      <w:r w:rsidR="00D57FCB" w:rsidRPr="008A6C52">
        <w:t xml:space="preserve">of </w:t>
      </w:r>
      <w:r w:rsidR="005E3DE0" w:rsidRPr="008A6C52">
        <w:t>the</w:t>
      </w:r>
      <w:r w:rsidR="00F1572A" w:rsidRPr="008A6C52">
        <w:t xml:space="preserve"> entity, organisation or business</w:t>
      </w:r>
      <w:r w:rsidR="000844FF" w:rsidRPr="008A6C52">
        <w:t>;</w:t>
      </w:r>
    </w:p>
    <w:p w14:paraId="103BF62F" w14:textId="77777777" w:rsidR="005E3DE0" w:rsidRDefault="00D57FCB" w:rsidP="008A6C52">
      <w:pPr>
        <w:pStyle w:val="Dash"/>
      </w:pPr>
      <w:r>
        <w:t>u</w:t>
      </w:r>
      <w:r w:rsidR="005E3DE0">
        <w:t>npaid worker</w:t>
      </w:r>
      <w:r w:rsidR="000844FF">
        <w:t>;</w:t>
      </w:r>
    </w:p>
    <w:p w14:paraId="103BF630" w14:textId="77777777" w:rsidR="00E37A85" w:rsidRDefault="000B149A" w:rsidP="008A6C52">
      <w:pPr>
        <w:pStyle w:val="Dash"/>
      </w:pPr>
      <w:r>
        <w:t>contractor</w:t>
      </w:r>
      <w:r w:rsidR="00961950">
        <w:t>;</w:t>
      </w:r>
    </w:p>
    <w:p w14:paraId="103BF631" w14:textId="77777777" w:rsidR="00E37A85" w:rsidRDefault="000B149A" w:rsidP="008A6C52">
      <w:pPr>
        <w:pStyle w:val="Dash"/>
      </w:pPr>
      <w:r>
        <w:t>financial service provider</w:t>
      </w:r>
      <w:r w:rsidR="000844FF">
        <w:t>;</w:t>
      </w:r>
    </w:p>
    <w:p w14:paraId="103BF632" w14:textId="77777777" w:rsidR="00E37A85" w:rsidRDefault="000B149A" w:rsidP="008A6C52">
      <w:pPr>
        <w:pStyle w:val="Dash"/>
      </w:pPr>
      <w:r>
        <w:t>accountant</w:t>
      </w:r>
      <w:r w:rsidR="000844FF">
        <w:t>;</w:t>
      </w:r>
      <w:r>
        <w:t xml:space="preserve"> </w:t>
      </w:r>
    </w:p>
    <w:p w14:paraId="103BF633" w14:textId="77777777" w:rsidR="00E37A85" w:rsidRDefault="000B149A" w:rsidP="008A6C52">
      <w:pPr>
        <w:pStyle w:val="Dash"/>
      </w:pPr>
      <w:r>
        <w:t>auditor</w:t>
      </w:r>
      <w:r w:rsidR="000844FF">
        <w:t>;</w:t>
      </w:r>
    </w:p>
    <w:p w14:paraId="103BF634" w14:textId="77777777" w:rsidR="00961950" w:rsidRDefault="00961950" w:rsidP="008A6C52">
      <w:pPr>
        <w:pStyle w:val="Dash"/>
      </w:pPr>
      <w:r>
        <w:t>tax agent*, legal advisor* or consultant*;</w:t>
      </w:r>
    </w:p>
    <w:p w14:paraId="103BF635" w14:textId="7F4BD83F" w:rsidR="00F1572A" w:rsidRDefault="000B149A" w:rsidP="008A6C52">
      <w:pPr>
        <w:pStyle w:val="Dash"/>
      </w:pPr>
      <w:r>
        <w:t>busines</w:t>
      </w:r>
      <w:r w:rsidR="005E3DE0">
        <w:t xml:space="preserve">s partner </w:t>
      </w:r>
      <w:r>
        <w:t>or joint venture</w:t>
      </w:r>
      <w:r w:rsidR="00961950">
        <w:t>*</w:t>
      </w:r>
      <w:r w:rsidR="00E37A85">
        <w:t>;</w:t>
      </w:r>
      <w:r w:rsidR="005E3DE0">
        <w:t xml:space="preserve"> </w:t>
      </w:r>
    </w:p>
    <w:p w14:paraId="103BF636" w14:textId="77777777" w:rsidR="00E37A85" w:rsidRDefault="0071272E" w:rsidP="008A6C52">
      <w:pPr>
        <w:pStyle w:val="Dash"/>
      </w:pPr>
      <w:r>
        <w:t>client*</w:t>
      </w:r>
      <w:r w:rsidR="00F1572A">
        <w:t xml:space="preserve"> of a </w:t>
      </w:r>
      <w:r w:rsidR="00C07A70">
        <w:t xml:space="preserve">financial </w:t>
      </w:r>
      <w:r w:rsidR="00F1572A">
        <w:t>service provider, accountant</w:t>
      </w:r>
      <w:r w:rsidR="00C07A70">
        <w:t xml:space="preserve"> or </w:t>
      </w:r>
      <w:r w:rsidR="00F1572A">
        <w:t>auditor</w:t>
      </w:r>
      <w:r w:rsidR="00154768">
        <w:t xml:space="preserve">; </w:t>
      </w:r>
      <w:r>
        <w:t xml:space="preserve">tax agent, legal advisor or consultant; </w:t>
      </w:r>
      <w:r w:rsidR="00836759">
        <w:t>and that</w:t>
      </w:r>
      <w:r w:rsidR="00E41194">
        <w:t xml:space="preserve"> </w:t>
      </w:r>
    </w:p>
    <w:p w14:paraId="103BF637" w14:textId="77777777" w:rsidR="00771C61" w:rsidRDefault="00836759">
      <w:pPr>
        <w:pStyle w:val="Bullet"/>
      </w:pPr>
      <w:proofErr w:type="gramStart"/>
      <w:r>
        <w:t>the</w:t>
      </w:r>
      <w:proofErr w:type="gramEnd"/>
      <w:r>
        <w:t xml:space="preserve"> person </w:t>
      </w:r>
      <w:r w:rsidR="000B149A">
        <w:t xml:space="preserve">provides information </w:t>
      </w:r>
      <w:r w:rsidR="005E3DE0">
        <w:t xml:space="preserve">about behaviour that they believe, </w:t>
      </w:r>
      <w:r w:rsidR="004C48E6">
        <w:t>on reasonable grounds</w:t>
      </w:r>
      <w:r w:rsidR="005E3DE0">
        <w:t>, amount</w:t>
      </w:r>
      <w:r w:rsidR="00961950">
        <w:t>s</w:t>
      </w:r>
      <w:r w:rsidR="005E3DE0">
        <w:t xml:space="preserve"> to</w:t>
      </w:r>
      <w:r w:rsidR="000B149A">
        <w:t xml:space="preserve"> actual or potential tax </w:t>
      </w:r>
      <w:r w:rsidR="00F1572A">
        <w:t>avoidance</w:t>
      </w:r>
      <w:r w:rsidR="00154768">
        <w:t xml:space="preserve">, </w:t>
      </w:r>
      <w:r w:rsidR="000B149A">
        <w:t>evasion or other breaches of tax law</w:t>
      </w:r>
      <w:r>
        <w:t xml:space="preserve">. </w:t>
      </w:r>
    </w:p>
    <w:p w14:paraId="103BF638" w14:textId="77777777" w:rsidR="00950EED" w:rsidRDefault="00950EED">
      <w:pPr>
        <w:pStyle w:val="Bullet"/>
        <w:numPr>
          <w:ilvl w:val="0"/>
          <w:numId w:val="0"/>
        </w:numPr>
      </w:pPr>
      <w:r>
        <w:t xml:space="preserve">This definition aligns with the </w:t>
      </w:r>
      <w:r w:rsidR="00961950">
        <w:t>expanded Corporations Act’s definition</w:t>
      </w:r>
      <w:r>
        <w:t xml:space="preserve"> </w:t>
      </w:r>
      <w:r w:rsidR="00961950">
        <w:t xml:space="preserve">recommended by the </w:t>
      </w:r>
      <w:r w:rsidR="008819E0">
        <w:t>Senate Economics References Committee (</w:t>
      </w:r>
      <w:r w:rsidR="008819E0" w:rsidRPr="00A13A74">
        <w:t>the Committee</w:t>
      </w:r>
      <w:r w:rsidR="008819E0">
        <w:t>) as part of its</w:t>
      </w:r>
      <w:r w:rsidR="00961950">
        <w:t xml:space="preserve"> Inquiry</w:t>
      </w:r>
      <w:r w:rsidR="008819E0">
        <w:t xml:space="preserve"> into the Performance of ASIC in 2014</w:t>
      </w:r>
      <w:r w:rsidR="00961950">
        <w:t>. It</w:t>
      </w:r>
      <w:r w:rsidR="0071272E">
        <w:t xml:space="preserve"> </w:t>
      </w:r>
      <w:r w:rsidR="00961950">
        <w:t>also includes specific individuals that are likely to</w:t>
      </w:r>
      <w:r>
        <w:t xml:space="preserve"> encounter tax avoidance </w:t>
      </w:r>
      <w:r w:rsidR="0071272E">
        <w:t>or evasion</w:t>
      </w:r>
      <w:r>
        <w:t xml:space="preserve"> behaviour and other breaches of tax law </w:t>
      </w:r>
      <w:r w:rsidR="0071272E">
        <w:t>(these are denoted by *)</w:t>
      </w:r>
      <w:r w:rsidR="00961950">
        <w:t xml:space="preserve">. </w:t>
      </w:r>
    </w:p>
    <w:p w14:paraId="103BF639" w14:textId="77777777" w:rsidR="003818D4" w:rsidRDefault="000B149A" w:rsidP="000B149A">
      <w:r>
        <w:lastRenderedPageBreak/>
        <w:t xml:space="preserve">The </w:t>
      </w:r>
      <w:r w:rsidR="00771C61">
        <w:t xml:space="preserve">proposed categories </w:t>
      </w:r>
      <w:r>
        <w:t xml:space="preserve">of </w:t>
      </w:r>
      <w:r w:rsidR="00771C61">
        <w:t xml:space="preserve">tax </w:t>
      </w:r>
      <w:proofErr w:type="spellStart"/>
      <w:r w:rsidR="008C40F6">
        <w:t>whistleblowers</w:t>
      </w:r>
      <w:proofErr w:type="spellEnd"/>
      <w:r>
        <w:t xml:space="preserve"> is br</w:t>
      </w:r>
      <w:r w:rsidR="00771C61">
        <w:t>oad</w:t>
      </w:r>
      <w:r w:rsidR="00CA60FD">
        <w:t xml:space="preserve"> in order</w:t>
      </w:r>
      <w:r w:rsidR="00771C61">
        <w:t xml:space="preserve"> to cover the </w:t>
      </w:r>
      <w:r w:rsidR="000810FD">
        <w:t xml:space="preserve">full </w:t>
      </w:r>
      <w:r w:rsidR="00836759">
        <w:t xml:space="preserve">scope of activities in which tax avoidance may occur and to </w:t>
      </w:r>
      <w:r w:rsidR="00E41194">
        <w:t>include</w:t>
      </w:r>
      <w:r w:rsidR="00771C61">
        <w:t xml:space="preserve"> the people who are </w:t>
      </w:r>
      <w:r>
        <w:t>most likely to uncover or become aware of actual or potential tax</w:t>
      </w:r>
      <w:r w:rsidR="005E3DE0">
        <w:t xml:space="preserve"> avoidance</w:t>
      </w:r>
      <w:r>
        <w:t xml:space="preserve">. </w:t>
      </w:r>
      <w:r w:rsidR="00293EC4">
        <w:t xml:space="preserve">Other breaches of tax law would extend to superannuation and excise obligations. The definition also adopts the test of belief on reasonable grounds, see </w:t>
      </w:r>
      <w:r w:rsidR="00293EC4">
        <w:rPr>
          <w:i/>
        </w:rPr>
        <w:t xml:space="preserve">Scope of Disclosures </w:t>
      </w:r>
      <w:r w:rsidR="00293EC4">
        <w:t>below.</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3818D4" w:rsidRPr="008A6C52" w14:paraId="103BF63D" w14:textId="77777777" w:rsidTr="008A6C52">
        <w:tc>
          <w:tcPr>
            <w:tcW w:w="9286" w:type="dxa"/>
            <w:shd w:val="clear" w:color="auto" w:fill="DBE5F1" w:themeFill="accent1" w:themeFillTint="33"/>
          </w:tcPr>
          <w:p w14:paraId="103BF63A" w14:textId="77777777" w:rsidR="003818D4" w:rsidRPr="008A6C52" w:rsidRDefault="003818D4" w:rsidP="008A6C52">
            <w:pPr>
              <w:pStyle w:val="BoxHeadingnonumber"/>
            </w:pPr>
            <w:r w:rsidRPr="008A6C52">
              <w:t>Questions</w:t>
            </w:r>
          </w:p>
          <w:p w14:paraId="103BF63B" w14:textId="77777777" w:rsidR="003818D4" w:rsidRPr="008A6C52" w:rsidRDefault="003818D4" w:rsidP="008A6C52">
            <w:pPr>
              <w:pStyle w:val="BoxQuestions"/>
            </w:pPr>
            <w:r w:rsidRPr="008A6C52">
              <w:t xml:space="preserve">Are the proposed categories of persons who can be a tax </w:t>
            </w:r>
            <w:proofErr w:type="spellStart"/>
            <w:r w:rsidRPr="008A6C52">
              <w:t>whistleblower</w:t>
            </w:r>
            <w:proofErr w:type="spellEnd"/>
            <w:r w:rsidRPr="008A6C52">
              <w:t xml:space="preserve"> appropriate?</w:t>
            </w:r>
          </w:p>
          <w:p w14:paraId="103BF63C" w14:textId="77777777" w:rsidR="003818D4" w:rsidRPr="008A6C52" w:rsidRDefault="003818D4" w:rsidP="008A6C52">
            <w:pPr>
              <w:pStyle w:val="BoxQuestions"/>
            </w:pPr>
            <w:r w:rsidRPr="008A6C52">
              <w:rPr>
                <w:rFonts w:eastAsiaTheme="minorHAnsi"/>
              </w:rPr>
              <w:t>Are there any other categories of individuals that should be included or excluded?</w:t>
            </w:r>
            <w:r>
              <w:rPr>
                <w:rFonts w:eastAsiaTheme="minorHAnsi"/>
              </w:rPr>
              <w:tab/>
            </w:r>
          </w:p>
        </w:tc>
      </w:tr>
    </w:tbl>
    <w:p w14:paraId="103BF63E" w14:textId="77777777" w:rsidR="0071272E" w:rsidRDefault="0071272E">
      <w:pPr>
        <w:pStyle w:val="Heading3"/>
      </w:pPr>
      <w:bookmarkStart w:id="192" w:name="_Toc468977762"/>
      <w:bookmarkStart w:id="193" w:name="_Toc468995362"/>
      <w:bookmarkStart w:id="194" w:name="_Toc468971485"/>
      <w:r>
        <w:t xml:space="preserve">Protection of a tax </w:t>
      </w:r>
      <w:proofErr w:type="spellStart"/>
      <w:r>
        <w:t>whistleblowers</w:t>
      </w:r>
      <w:proofErr w:type="spellEnd"/>
      <w:r>
        <w:t xml:space="preserve"> identity</w:t>
      </w:r>
      <w:bookmarkEnd w:id="192"/>
      <w:bookmarkEnd w:id="193"/>
    </w:p>
    <w:p w14:paraId="103BF63F" w14:textId="77777777" w:rsidR="0071272E" w:rsidRDefault="0071272E" w:rsidP="0071272E">
      <w:r>
        <w:t>In respect of specific protections it is proposed that:</w:t>
      </w:r>
    </w:p>
    <w:p w14:paraId="103BF640" w14:textId="77777777" w:rsidR="0071272E" w:rsidRDefault="0071272E" w:rsidP="0071272E">
      <w:pPr>
        <w:pStyle w:val="OutlineNumbered1"/>
      </w:pPr>
      <w:r>
        <w:t>T</w:t>
      </w:r>
      <w:r w:rsidRPr="008F0CB4">
        <w:t xml:space="preserve">he identity of </w:t>
      </w:r>
      <w:r>
        <w:t>a</w:t>
      </w:r>
      <w:r w:rsidRPr="008F0CB4">
        <w:t xml:space="preserve"> </w:t>
      </w:r>
      <w:r>
        <w:t xml:space="preserve">tax </w:t>
      </w:r>
      <w:proofErr w:type="spellStart"/>
      <w:r w:rsidRPr="008F0CB4">
        <w:t>whistleblower</w:t>
      </w:r>
      <w:proofErr w:type="spellEnd"/>
      <w:r w:rsidRPr="008F0CB4">
        <w:t xml:space="preserve"> and the disclosure of any information which is capable of revealing their identity </w:t>
      </w:r>
      <w:r>
        <w:t>be</w:t>
      </w:r>
      <w:r w:rsidRPr="008F0CB4">
        <w:t xml:space="preserve"> subject to an absolute requirement of confidentiality (</w:t>
      </w:r>
      <w:r w:rsidR="00B65404">
        <w:t>that is,</w:t>
      </w:r>
      <w:r w:rsidRPr="008F0CB4">
        <w:t xml:space="preserve"> prohibiting the release of any information by anyone to anyone, including to a court or tribunal), </w:t>
      </w:r>
      <w:r>
        <w:t>unless:</w:t>
      </w:r>
    </w:p>
    <w:p w14:paraId="103BF641" w14:textId="77777777" w:rsidR="0071272E" w:rsidRDefault="0071272E" w:rsidP="0071272E">
      <w:pPr>
        <w:pStyle w:val="OutlineNumbered2"/>
      </w:pPr>
      <w:r w:rsidRPr="008F0CB4">
        <w:t xml:space="preserve">the </w:t>
      </w:r>
      <w:proofErr w:type="spellStart"/>
      <w:r w:rsidRPr="008F0CB4">
        <w:t>whistleblower</w:t>
      </w:r>
      <w:proofErr w:type="spellEnd"/>
      <w:r w:rsidRPr="008F0CB4">
        <w:t xml:space="preserve"> gives </w:t>
      </w:r>
      <w:r>
        <w:t>informed consent to the release of their identity; or</w:t>
      </w:r>
    </w:p>
    <w:p w14:paraId="103BF642" w14:textId="77777777" w:rsidR="0071272E" w:rsidRPr="008A6C52" w:rsidRDefault="0071272E" w:rsidP="0071272E">
      <w:pPr>
        <w:pStyle w:val="OutlineNumbered2"/>
        <w:rPr>
          <w:bCs/>
          <w:iCs/>
        </w:rPr>
      </w:pPr>
      <w:proofErr w:type="gramStart"/>
      <w:r w:rsidRPr="008F0CB4">
        <w:t>the</w:t>
      </w:r>
      <w:proofErr w:type="gramEnd"/>
      <w:r w:rsidRPr="008F0CB4">
        <w:t xml:space="preserve"> revelation is necessary to avert imminent danger to public health or safety, to prevent imminent violation of any criminal law, </w:t>
      </w:r>
      <w:r>
        <w:t>or</w:t>
      </w:r>
      <w:r w:rsidRPr="008F0CB4">
        <w:t xml:space="preserve"> to enable </w:t>
      </w:r>
      <w:proofErr w:type="spellStart"/>
      <w:r w:rsidRPr="008F0CB4">
        <w:t>whistleblowers</w:t>
      </w:r>
      <w:proofErr w:type="spellEnd"/>
      <w:r w:rsidRPr="008F0CB4">
        <w:t xml:space="preserve"> to secure compensation  for reprisals</w:t>
      </w:r>
      <w:r w:rsidR="00D8422A">
        <w:t>.</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3818D4" w:rsidRPr="008A6C52" w14:paraId="103BF645" w14:textId="77777777" w:rsidTr="008A6C52">
        <w:tc>
          <w:tcPr>
            <w:tcW w:w="9286" w:type="dxa"/>
            <w:shd w:val="clear" w:color="auto" w:fill="DBE5F1" w:themeFill="accent1" w:themeFillTint="33"/>
          </w:tcPr>
          <w:p w14:paraId="103BF643" w14:textId="77777777" w:rsidR="003818D4" w:rsidRPr="008A6C52" w:rsidRDefault="003818D4" w:rsidP="008A6C52">
            <w:pPr>
              <w:pStyle w:val="BoxHeadingnonumber"/>
            </w:pPr>
            <w:r w:rsidRPr="008A6C52">
              <w:t>Question</w:t>
            </w:r>
          </w:p>
          <w:p w14:paraId="103BF644" w14:textId="77777777" w:rsidR="003818D4" w:rsidRPr="008A6C52" w:rsidRDefault="003818D4" w:rsidP="008A6C52">
            <w:pPr>
              <w:pStyle w:val="BoxQuestions"/>
            </w:pPr>
            <w:r w:rsidRPr="008A6C52">
              <w:rPr>
                <w:rFonts w:eastAsiaTheme="minorHAnsi"/>
              </w:rPr>
              <w:t xml:space="preserve">Do you consider the proposed protections for a tax </w:t>
            </w:r>
            <w:proofErr w:type="spellStart"/>
            <w:r w:rsidRPr="008A6C52">
              <w:rPr>
                <w:rFonts w:eastAsiaTheme="minorHAnsi"/>
              </w:rPr>
              <w:t>whistleblower’s</w:t>
            </w:r>
            <w:proofErr w:type="spellEnd"/>
            <w:r w:rsidRPr="008A6C52">
              <w:rPr>
                <w:rFonts w:eastAsiaTheme="minorHAnsi"/>
              </w:rPr>
              <w:t xml:space="preserve"> identity to be appropriate? </w:t>
            </w:r>
          </w:p>
        </w:tc>
      </w:tr>
    </w:tbl>
    <w:p w14:paraId="103BF646" w14:textId="77777777" w:rsidR="00287492" w:rsidRPr="00E80530" w:rsidRDefault="00287492">
      <w:pPr>
        <w:pStyle w:val="Heading3"/>
      </w:pPr>
      <w:bookmarkStart w:id="195" w:name="_Toc468977763"/>
      <w:bookmarkStart w:id="196" w:name="_Toc468995363"/>
      <w:r w:rsidRPr="00E80530">
        <w:t>Protection against retaliation</w:t>
      </w:r>
      <w:bookmarkEnd w:id="195"/>
      <w:bookmarkEnd w:id="196"/>
    </w:p>
    <w:p w14:paraId="103BF647" w14:textId="77777777" w:rsidR="00287492" w:rsidRDefault="00287492" w:rsidP="00287492">
      <w:pPr>
        <w:pStyle w:val="OutlineNumbered1"/>
        <w:numPr>
          <w:ilvl w:val="0"/>
          <w:numId w:val="0"/>
        </w:numPr>
      </w:pPr>
      <w:r>
        <w:t xml:space="preserve">AUS-PIDA, alongside the US, UK, Canada and New Zealand, all include anti-retaliation provisions that essentially make it unlawful to dismiss or discriminate </w:t>
      </w:r>
      <w:r w:rsidR="00CD73DA">
        <w:t>against</w:t>
      </w:r>
      <w:r>
        <w:t xml:space="preserve"> an individual for having made a disclosure.</w:t>
      </w:r>
    </w:p>
    <w:p w14:paraId="103BF648" w14:textId="77777777" w:rsidR="00287492" w:rsidRDefault="00287492" w:rsidP="00287492">
      <w:pPr>
        <w:pStyle w:val="OutlineNumbered1"/>
        <w:numPr>
          <w:ilvl w:val="0"/>
          <w:numId w:val="0"/>
        </w:numPr>
      </w:pPr>
      <w:r w:rsidRPr="007A39D5">
        <w:t xml:space="preserve">It is proposed that the tax </w:t>
      </w:r>
      <w:proofErr w:type="spellStart"/>
      <w:r w:rsidRPr="007A39D5">
        <w:t>whistleblower</w:t>
      </w:r>
      <w:proofErr w:type="spellEnd"/>
      <w:r w:rsidRPr="007A39D5">
        <w:t xml:space="preserve"> protections against retaliation match those provided by AUS-PIDA (refer to Sections 4 and 8 of this paper)</w:t>
      </w:r>
      <w:r>
        <w:t xml:space="preserve"> including </w:t>
      </w:r>
      <w:r w:rsidRPr="00C138AA">
        <w:t xml:space="preserve">immunity from criminal, civil and administrative liability for the commission of </w:t>
      </w:r>
      <w:r>
        <w:t xml:space="preserve">or involvement in </w:t>
      </w:r>
      <w:r w:rsidRPr="00C138AA">
        <w:t xml:space="preserve">any contravention of </w:t>
      </w:r>
      <w:r>
        <w:t xml:space="preserve">the </w:t>
      </w:r>
      <w:r w:rsidRPr="00C138AA">
        <w:t>tax law</w:t>
      </w:r>
      <w:r>
        <w:t xml:space="preserve">. </w:t>
      </w:r>
    </w:p>
    <w:p w14:paraId="103BF649" w14:textId="77777777" w:rsidR="003818D4" w:rsidRDefault="00287492" w:rsidP="00D20567">
      <w:pPr>
        <w:pStyle w:val="OutlineNumbered1"/>
        <w:numPr>
          <w:ilvl w:val="0"/>
          <w:numId w:val="0"/>
        </w:numPr>
      </w:pPr>
      <w:r>
        <w:t xml:space="preserve">Consistent with AUS-PIDA and the RO Act, it will be a criminal offence to take or threaten to take a reprisal and it will be within the </w:t>
      </w:r>
      <w:proofErr w:type="spellStart"/>
      <w:r>
        <w:t>whistleblower</w:t>
      </w:r>
      <w:r w:rsidR="00CD73DA">
        <w:t>’</w:t>
      </w:r>
      <w:r>
        <w:t>s</w:t>
      </w:r>
      <w:proofErr w:type="spellEnd"/>
      <w:r>
        <w:t xml:space="preserve"> rights to be granted compensation if detriment is suffered due to reprisal.</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3818D4" w:rsidRPr="008A6C52" w14:paraId="103BF64C" w14:textId="77777777" w:rsidTr="008A6C52">
        <w:tc>
          <w:tcPr>
            <w:tcW w:w="9286" w:type="dxa"/>
            <w:shd w:val="clear" w:color="auto" w:fill="DBE5F1" w:themeFill="accent1" w:themeFillTint="33"/>
          </w:tcPr>
          <w:p w14:paraId="103BF64A" w14:textId="77777777" w:rsidR="003818D4" w:rsidRPr="008A6C52" w:rsidRDefault="003818D4" w:rsidP="008A6C52">
            <w:pPr>
              <w:pStyle w:val="BoxHeadingnonumber"/>
            </w:pPr>
            <w:r w:rsidRPr="008A6C52">
              <w:t>Question</w:t>
            </w:r>
          </w:p>
          <w:p w14:paraId="103BF64B" w14:textId="77777777" w:rsidR="003818D4" w:rsidRPr="008A6C52" w:rsidRDefault="003818D4" w:rsidP="008A6C52">
            <w:pPr>
              <w:pStyle w:val="BoxQuestions"/>
            </w:pPr>
            <w:r w:rsidRPr="008A6C52">
              <w:t xml:space="preserve">Do you consider the proposed protections against retaliation for tax </w:t>
            </w:r>
            <w:proofErr w:type="spellStart"/>
            <w:r w:rsidRPr="008A6C52">
              <w:t>whistleblowers</w:t>
            </w:r>
            <w:proofErr w:type="spellEnd"/>
            <w:r w:rsidRPr="008A6C52">
              <w:t xml:space="preserve"> to be appropriate?</w:t>
            </w:r>
          </w:p>
        </w:tc>
      </w:tr>
    </w:tbl>
    <w:p w14:paraId="103BF64D" w14:textId="77777777" w:rsidR="00FB47C2" w:rsidRDefault="00FB47C2" w:rsidP="00D20567">
      <w:pPr>
        <w:pStyle w:val="Heading3"/>
        <w:spacing w:after="220"/>
      </w:pPr>
      <w:bookmarkStart w:id="197" w:name="_Toc468977764"/>
      <w:bookmarkStart w:id="198" w:name="_Toc468995364"/>
      <w:r>
        <w:lastRenderedPageBreak/>
        <w:t xml:space="preserve">Scope of </w:t>
      </w:r>
      <w:r w:rsidR="00DB0630">
        <w:t>d</w:t>
      </w:r>
      <w:r>
        <w:t xml:space="preserve">isclosures covered by tax </w:t>
      </w:r>
      <w:proofErr w:type="spellStart"/>
      <w:r>
        <w:t>whistleblower</w:t>
      </w:r>
      <w:proofErr w:type="spellEnd"/>
      <w:r>
        <w:t xml:space="preserve"> protections</w:t>
      </w:r>
      <w:bookmarkEnd w:id="194"/>
      <w:bookmarkEnd w:id="197"/>
      <w:bookmarkEnd w:id="198"/>
      <w:r>
        <w:t xml:space="preserve"> </w:t>
      </w:r>
    </w:p>
    <w:p w14:paraId="103BF64E" w14:textId="77777777" w:rsidR="00F02EBB" w:rsidRDefault="00FB47C2" w:rsidP="00D20567">
      <w:pPr>
        <w:spacing w:after="210"/>
      </w:pPr>
      <w:r>
        <w:t xml:space="preserve">To qualify for protection a tax </w:t>
      </w:r>
      <w:proofErr w:type="spellStart"/>
      <w:r>
        <w:t>whistleblower</w:t>
      </w:r>
      <w:proofErr w:type="spellEnd"/>
      <w:r>
        <w:t xml:space="preserve"> must disclose the information to the ATO and have reasonable grounds to suspect actual or potential tax avoidance behaviour or </w:t>
      </w:r>
      <w:r w:rsidR="00DB0630">
        <w:t>a</w:t>
      </w:r>
      <w:r>
        <w:t xml:space="preserve"> breach of tax law. </w:t>
      </w:r>
    </w:p>
    <w:p w14:paraId="103BF64F" w14:textId="77777777" w:rsidR="003818D4" w:rsidRDefault="00F02EBB" w:rsidP="00D20567">
      <w:pPr>
        <w:spacing w:after="210"/>
      </w:pPr>
      <w:r>
        <w:t xml:space="preserve">The requirement </w:t>
      </w:r>
      <w:r w:rsidR="00C07A70">
        <w:t xml:space="preserve">ensures </w:t>
      </w:r>
      <w:r>
        <w:t xml:space="preserve">that a </w:t>
      </w:r>
      <w:proofErr w:type="spellStart"/>
      <w:r>
        <w:t>whistleblower’s</w:t>
      </w:r>
      <w:proofErr w:type="spellEnd"/>
      <w:r>
        <w:t xml:space="preserve"> disclosure is based on an honest belief, on reasonable grounds, </w:t>
      </w:r>
      <w:r w:rsidR="00C07A70">
        <w:t xml:space="preserve">and </w:t>
      </w:r>
      <w:r>
        <w:t xml:space="preserve">that the information disclosed shows or tends to show wrong doing; an objective test, regardless of what the </w:t>
      </w:r>
      <w:proofErr w:type="spellStart"/>
      <w:r>
        <w:t>whistleblower</w:t>
      </w:r>
      <w:proofErr w:type="spellEnd"/>
      <w:r>
        <w:t xml:space="preserve"> believes. </w:t>
      </w:r>
      <w:r w:rsidR="00C07A70">
        <w:t xml:space="preserve">The inclusion of an objective test rather than ‘good faith’ aligns tax </w:t>
      </w:r>
      <w:proofErr w:type="spellStart"/>
      <w:r w:rsidR="00C07A70">
        <w:t>whistleblower</w:t>
      </w:r>
      <w:proofErr w:type="spellEnd"/>
      <w:r w:rsidR="00C07A70">
        <w:t xml:space="preserve"> protections with the </w:t>
      </w:r>
      <w:r>
        <w:t xml:space="preserve">recommendations made </w:t>
      </w:r>
      <w:r w:rsidR="008819E0">
        <w:t xml:space="preserve">by the Committee </w:t>
      </w:r>
      <w:r>
        <w:t xml:space="preserve">in 2014, </w:t>
      </w:r>
      <w:r w:rsidR="00FB47C2">
        <w:t xml:space="preserve">the RO Act, AUS-PIDA, the proposed amendments to the Corporations protections </w:t>
      </w:r>
      <w:r w:rsidR="000079A4">
        <w:t>in Section 8</w:t>
      </w:r>
      <w:r w:rsidR="00FB47C2">
        <w:t xml:space="preserve"> and international jurisdictions.</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3818D4" w:rsidRPr="008A6C52" w14:paraId="103BF652" w14:textId="77777777" w:rsidTr="008A6C52">
        <w:tc>
          <w:tcPr>
            <w:tcW w:w="9286" w:type="dxa"/>
            <w:shd w:val="clear" w:color="auto" w:fill="DBE5F1" w:themeFill="accent1" w:themeFillTint="33"/>
          </w:tcPr>
          <w:p w14:paraId="103BF650" w14:textId="77777777" w:rsidR="003818D4" w:rsidRPr="008A6C52" w:rsidRDefault="003818D4" w:rsidP="008A6C52">
            <w:pPr>
              <w:pStyle w:val="BoxHeadingnonumber"/>
            </w:pPr>
            <w:r w:rsidRPr="008A6C52">
              <w:t>Question</w:t>
            </w:r>
          </w:p>
          <w:p w14:paraId="103BF651" w14:textId="77777777" w:rsidR="003818D4" w:rsidRPr="008A6C52" w:rsidRDefault="003818D4" w:rsidP="008A6C52">
            <w:pPr>
              <w:pStyle w:val="BoxQuestions"/>
            </w:pPr>
            <w:r w:rsidRPr="008A6C52">
              <w:t>Should the scope of disclosures protected be determined by an objective test requiring the disclosure to be made on ‘reasonable grounds’?</w:t>
            </w:r>
          </w:p>
        </w:tc>
      </w:tr>
    </w:tbl>
    <w:p w14:paraId="103BF653" w14:textId="77777777" w:rsidR="00C277F4" w:rsidRDefault="00C277F4" w:rsidP="00D20567">
      <w:pPr>
        <w:pStyle w:val="Heading3"/>
        <w:spacing w:before="280" w:after="220"/>
      </w:pPr>
      <w:bookmarkStart w:id="199" w:name="_Toc468971486"/>
      <w:bookmarkStart w:id="200" w:name="_Toc468977765"/>
      <w:bookmarkStart w:id="201" w:name="_Toc468995365"/>
      <w:r>
        <w:t>Anonymous disclosures</w:t>
      </w:r>
      <w:bookmarkEnd w:id="199"/>
      <w:bookmarkEnd w:id="200"/>
      <w:bookmarkEnd w:id="201"/>
      <w:r>
        <w:t xml:space="preserve"> </w:t>
      </w:r>
    </w:p>
    <w:p w14:paraId="103BF654" w14:textId="77777777" w:rsidR="003818D4" w:rsidRDefault="00C277F4" w:rsidP="00D20567">
      <w:pPr>
        <w:spacing w:after="210"/>
      </w:pPr>
      <w:r>
        <w:t xml:space="preserve">The proposed definition does not include the requirement for the </w:t>
      </w:r>
      <w:proofErr w:type="spellStart"/>
      <w:r>
        <w:t>whistleblower</w:t>
      </w:r>
      <w:proofErr w:type="spellEnd"/>
      <w:r>
        <w:t xml:space="preserve"> to provide their name or contact details in order to enable voluntary disclosures. However, tax </w:t>
      </w:r>
      <w:proofErr w:type="spellStart"/>
      <w:r>
        <w:t>whistleblowers</w:t>
      </w:r>
      <w:proofErr w:type="spellEnd"/>
      <w:r>
        <w:t xml:space="preserve"> will be able to voluntarily provide their name and contact details. By enabling </w:t>
      </w:r>
      <w:proofErr w:type="spellStart"/>
      <w:r>
        <w:t>whistleblowers</w:t>
      </w:r>
      <w:proofErr w:type="spellEnd"/>
      <w:r>
        <w:t xml:space="preserve"> to disclose information anonymously it encourages disclosures from those who, although </w:t>
      </w:r>
      <w:r w:rsidR="00DB0630">
        <w:t>they</w:t>
      </w:r>
      <w:r>
        <w:t xml:space="preserve"> would be protected from reprisal and have their identity protected by law, may be discouraged by the requirement to provide personal details. This is similar to the anonymous disclosure system operating in New Zealand.</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3818D4" w:rsidRPr="008A6C52" w14:paraId="103BF657" w14:textId="77777777" w:rsidTr="008A6C52">
        <w:tc>
          <w:tcPr>
            <w:tcW w:w="9286" w:type="dxa"/>
            <w:shd w:val="clear" w:color="auto" w:fill="DBE5F1" w:themeFill="accent1" w:themeFillTint="33"/>
          </w:tcPr>
          <w:p w14:paraId="103BF655" w14:textId="77777777" w:rsidR="003818D4" w:rsidRPr="008A6C52" w:rsidRDefault="003818D4" w:rsidP="008A6C52">
            <w:pPr>
              <w:pStyle w:val="BoxHeadingnonumber"/>
            </w:pPr>
            <w:r w:rsidRPr="008A6C52">
              <w:t>Question</w:t>
            </w:r>
          </w:p>
          <w:p w14:paraId="103BF656" w14:textId="77777777" w:rsidR="003818D4" w:rsidRPr="008A6C52" w:rsidRDefault="003818D4" w:rsidP="008A6C52">
            <w:pPr>
              <w:pStyle w:val="BoxQuestions"/>
            </w:pPr>
            <w:r w:rsidRPr="008A6C52">
              <w:rPr>
                <w:rFonts w:eastAsiaTheme="minorHAnsi"/>
              </w:rPr>
              <w:t xml:space="preserve">Do you agree that tax </w:t>
            </w:r>
            <w:proofErr w:type="spellStart"/>
            <w:r w:rsidRPr="008A6C52">
              <w:rPr>
                <w:rFonts w:eastAsiaTheme="minorHAnsi"/>
              </w:rPr>
              <w:t>whistleblowers</w:t>
            </w:r>
            <w:proofErr w:type="spellEnd"/>
            <w:r w:rsidRPr="008A6C52">
              <w:rPr>
                <w:rFonts w:eastAsiaTheme="minorHAnsi"/>
              </w:rPr>
              <w:t xml:space="preserve"> should be able to disclose information anonymously? </w:t>
            </w:r>
          </w:p>
        </w:tc>
      </w:tr>
    </w:tbl>
    <w:p w14:paraId="103BF658" w14:textId="77777777" w:rsidR="00FB47C2" w:rsidRPr="007A39D5" w:rsidRDefault="00FB47C2" w:rsidP="00D20567">
      <w:pPr>
        <w:pStyle w:val="Heading3"/>
        <w:spacing w:before="280" w:after="220"/>
      </w:pPr>
      <w:r>
        <w:t>Compensation arrangements</w:t>
      </w:r>
    </w:p>
    <w:p w14:paraId="103BF659" w14:textId="77777777" w:rsidR="00FB47C2" w:rsidRDefault="00FB47C2" w:rsidP="00D20567">
      <w:pPr>
        <w:pStyle w:val="Bullet"/>
        <w:numPr>
          <w:ilvl w:val="0"/>
          <w:numId w:val="0"/>
        </w:numPr>
        <w:spacing w:after="210"/>
      </w:pPr>
      <w:r>
        <w:t xml:space="preserve">Consistent with the Registered Organisation amendment to the </w:t>
      </w:r>
      <w:r w:rsidRPr="00A57B27">
        <w:rPr>
          <w:i/>
        </w:rPr>
        <w:t>Fair Work Act 2014</w:t>
      </w:r>
      <w:r>
        <w:t>,</w:t>
      </w:r>
      <w:r w:rsidRPr="00C138AA">
        <w:t xml:space="preserve"> </w:t>
      </w:r>
      <w:r>
        <w:t xml:space="preserve">tax </w:t>
      </w:r>
      <w:proofErr w:type="spellStart"/>
      <w:r>
        <w:t>whistleblowers</w:t>
      </w:r>
      <w:proofErr w:type="spellEnd"/>
      <w:r>
        <w:t xml:space="preserve"> </w:t>
      </w:r>
      <w:r w:rsidR="00BA6240">
        <w:t>will</w:t>
      </w:r>
      <w:r>
        <w:t xml:space="preserve"> be</w:t>
      </w:r>
      <w:r w:rsidRPr="00C138AA">
        <w:t xml:space="preserve"> protected </w:t>
      </w:r>
      <w:r>
        <w:t>from</w:t>
      </w:r>
      <w:r w:rsidRPr="00C138AA">
        <w:t xml:space="preserve"> any reprisals</w:t>
      </w:r>
      <w:r>
        <w:t xml:space="preserve"> for whistleblowing and be </w:t>
      </w:r>
      <w:r w:rsidRPr="00836759">
        <w:t>able to be co</w:t>
      </w:r>
      <w:r>
        <w:t xml:space="preserve">mpensated for any reprisals through the court system. </w:t>
      </w:r>
    </w:p>
    <w:p w14:paraId="103BF65A" w14:textId="77777777" w:rsidR="00FB47C2" w:rsidRPr="00D20567" w:rsidRDefault="00FB47C2" w:rsidP="00D20567">
      <w:pPr>
        <w:spacing w:after="210"/>
      </w:pPr>
      <w:r w:rsidRPr="00D20567">
        <w:t>Compensation can include an order for damages, reinstatement of employment or both.</w:t>
      </w:r>
    </w:p>
    <w:p w14:paraId="103BF65B" w14:textId="77777777" w:rsidR="003818D4" w:rsidRDefault="00BA6240" w:rsidP="00D20567">
      <w:pPr>
        <w:pStyle w:val="Dash"/>
        <w:numPr>
          <w:ilvl w:val="0"/>
          <w:numId w:val="0"/>
        </w:numPr>
        <w:spacing w:after="210"/>
      </w:pPr>
      <w:r>
        <w:t xml:space="preserve">However, as discussed in Section 8 of this paper, there are issues around ensuring clear, appropriate and accessible mechanisms are established for </w:t>
      </w:r>
      <w:proofErr w:type="spellStart"/>
      <w:r>
        <w:t>whistleblowers</w:t>
      </w:r>
      <w:proofErr w:type="spellEnd"/>
      <w:r>
        <w:t xml:space="preserve"> claiming compensation.</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3818D4" w:rsidRPr="008A6C52" w14:paraId="103BF65F" w14:textId="77777777" w:rsidTr="008A6C52">
        <w:tc>
          <w:tcPr>
            <w:tcW w:w="9286" w:type="dxa"/>
            <w:shd w:val="clear" w:color="auto" w:fill="DBE5F1" w:themeFill="accent1" w:themeFillTint="33"/>
          </w:tcPr>
          <w:p w14:paraId="103BF65C" w14:textId="77777777" w:rsidR="003818D4" w:rsidRPr="008A6C52" w:rsidRDefault="003818D4" w:rsidP="008A6C52">
            <w:pPr>
              <w:pStyle w:val="BoxHeadingnonumber"/>
            </w:pPr>
            <w:r w:rsidRPr="008A6C52">
              <w:t>Questions</w:t>
            </w:r>
          </w:p>
          <w:p w14:paraId="103BF65D" w14:textId="77777777" w:rsidR="003818D4" w:rsidRPr="008A6C52" w:rsidRDefault="003818D4" w:rsidP="008A6C52">
            <w:pPr>
              <w:pStyle w:val="BoxQuestions"/>
            </w:pPr>
            <w:r w:rsidRPr="008A6C52">
              <w:t xml:space="preserve">How should the claim process for tax </w:t>
            </w:r>
            <w:proofErr w:type="spellStart"/>
            <w:r w:rsidRPr="008A6C52">
              <w:t>whistleblower</w:t>
            </w:r>
            <w:proofErr w:type="spellEnd"/>
            <w:r w:rsidRPr="008A6C52">
              <w:t xml:space="preserve"> compensation work?</w:t>
            </w:r>
          </w:p>
          <w:p w14:paraId="103BF65E" w14:textId="77777777" w:rsidR="003818D4" w:rsidRPr="008A6C52" w:rsidRDefault="003818D4" w:rsidP="008A6C52">
            <w:pPr>
              <w:pStyle w:val="BoxQuestions"/>
            </w:pPr>
            <w:r w:rsidRPr="008A6C52">
              <w:t xml:space="preserve">Are the proposed remedies for tax </w:t>
            </w:r>
            <w:proofErr w:type="spellStart"/>
            <w:r w:rsidRPr="008A6C52">
              <w:t>whistleblowers</w:t>
            </w:r>
            <w:proofErr w:type="spellEnd"/>
            <w:r w:rsidRPr="008A6C52">
              <w:t xml:space="preserve"> that are disadvantaged as a result of making a disclosure sufficient?</w:t>
            </w:r>
          </w:p>
        </w:tc>
      </w:tr>
    </w:tbl>
    <w:p w14:paraId="103BF660" w14:textId="77777777" w:rsidR="00DB0D27" w:rsidRPr="00837A08" w:rsidRDefault="00DB0D27" w:rsidP="008A6C52">
      <w:pPr>
        <w:pStyle w:val="Heading3"/>
        <w:rPr>
          <w:rStyle w:val="IntenseEmphasis"/>
          <w:rFonts w:asciiTheme="minorHAnsi" w:eastAsiaTheme="minorHAnsi" w:hAnsiTheme="minorHAnsi" w:cstheme="minorBidi"/>
          <w:bCs/>
          <w:i w:val="0"/>
          <w:color w:val="000000"/>
          <w:szCs w:val="22"/>
          <w:lang w:eastAsia="en-US"/>
        </w:rPr>
      </w:pPr>
      <w:r>
        <w:lastRenderedPageBreak/>
        <w:t>To whom information may be disclosed</w:t>
      </w:r>
    </w:p>
    <w:p w14:paraId="103BF661" w14:textId="77777777" w:rsidR="00E960A6" w:rsidRDefault="00F13653" w:rsidP="00E960A6">
      <w:pPr>
        <w:rPr>
          <w:bCs/>
          <w:iCs/>
        </w:rPr>
      </w:pPr>
      <w:r>
        <w:t>T</w:t>
      </w:r>
      <w:r w:rsidR="00064D05">
        <w:t xml:space="preserve">he primary reporting mechanism for tax </w:t>
      </w:r>
      <w:proofErr w:type="spellStart"/>
      <w:r w:rsidR="00064D05">
        <w:t>whistleblowers</w:t>
      </w:r>
      <w:proofErr w:type="spellEnd"/>
      <w:r w:rsidR="00064D05">
        <w:t xml:space="preserve"> will be</w:t>
      </w:r>
      <w:r w:rsidR="00B358F8">
        <w:t xml:space="preserve"> to</w:t>
      </w:r>
      <w:r w:rsidR="00064D05">
        <w:t xml:space="preserve"> the ATO via secure channels</w:t>
      </w:r>
      <w:r w:rsidR="00B358F8">
        <w:t xml:space="preserve">. </w:t>
      </w:r>
      <w:r w:rsidR="00EE316C">
        <w:t xml:space="preserve">It is proposed that </w:t>
      </w:r>
      <w:r w:rsidR="00E960A6" w:rsidRPr="00E960A6">
        <w:t xml:space="preserve">the ATO may </w:t>
      </w:r>
      <w:r w:rsidR="00F32D89" w:rsidRPr="00E960A6">
        <w:t>disclos</w:t>
      </w:r>
      <w:r w:rsidR="00E960A6" w:rsidRPr="00E960A6">
        <w:t xml:space="preserve">e the information provided by a </w:t>
      </w:r>
      <w:proofErr w:type="spellStart"/>
      <w:r w:rsidR="00E960A6" w:rsidRPr="00E960A6">
        <w:t>w</w:t>
      </w:r>
      <w:r w:rsidR="00F32D89" w:rsidRPr="00E960A6">
        <w:t>histleblower</w:t>
      </w:r>
      <w:proofErr w:type="spellEnd"/>
      <w:r w:rsidR="00E960A6" w:rsidRPr="00E960A6">
        <w:t xml:space="preserve"> </w:t>
      </w:r>
      <w:r w:rsidR="00F32D89" w:rsidRPr="00E960A6">
        <w:t xml:space="preserve">to </w:t>
      </w:r>
      <w:r w:rsidR="00E960A6" w:rsidRPr="00E960A6">
        <w:t>Government agencies</w:t>
      </w:r>
      <w:r w:rsidR="005E3DE0">
        <w:t xml:space="preserve"> and</w:t>
      </w:r>
      <w:r w:rsidR="00E960A6" w:rsidRPr="00E960A6">
        <w:t xml:space="preserve"> </w:t>
      </w:r>
      <w:r w:rsidR="00F32D89" w:rsidRPr="00E960A6">
        <w:t xml:space="preserve">people or entities </w:t>
      </w:r>
      <w:r w:rsidR="00E960A6" w:rsidRPr="00E960A6">
        <w:t xml:space="preserve">necessary to investigate, without the consent of the </w:t>
      </w:r>
      <w:proofErr w:type="spellStart"/>
      <w:r w:rsidR="00E960A6" w:rsidRPr="00E960A6">
        <w:t>wh</w:t>
      </w:r>
      <w:r w:rsidR="00F32D89" w:rsidRPr="00E960A6">
        <w:t>istleblower</w:t>
      </w:r>
      <w:proofErr w:type="spellEnd"/>
      <w:r w:rsidR="00F32D89" w:rsidRPr="00E960A6">
        <w:t xml:space="preserve">. </w:t>
      </w:r>
      <w:r w:rsidR="00E960A6" w:rsidRPr="00E960A6">
        <w:t xml:space="preserve">This is subject to the provision that </w:t>
      </w:r>
      <w:r w:rsidR="00DB0630">
        <w:t>the</w:t>
      </w:r>
      <w:r w:rsidR="00E960A6" w:rsidRPr="00E960A6">
        <w:t xml:space="preserve"> identity of the </w:t>
      </w:r>
      <w:proofErr w:type="spellStart"/>
      <w:r w:rsidR="00E960A6" w:rsidRPr="00E960A6">
        <w:t>whistleblower</w:t>
      </w:r>
      <w:proofErr w:type="spellEnd"/>
      <w:r w:rsidR="00E960A6" w:rsidRPr="00E960A6">
        <w:t xml:space="preserve"> is </w:t>
      </w:r>
      <w:r w:rsidR="00CD73DA">
        <w:t>protected by</w:t>
      </w:r>
      <w:r w:rsidR="00E960A6" w:rsidRPr="00E960A6">
        <w:t xml:space="preserve"> </w:t>
      </w:r>
      <w:r w:rsidR="00E960A6" w:rsidRPr="00E960A6">
        <w:rPr>
          <w:bCs/>
          <w:iCs/>
        </w:rPr>
        <w:t>an absolute requirement of confidentiality.</w:t>
      </w:r>
    </w:p>
    <w:p w14:paraId="103BF662" w14:textId="77777777" w:rsidR="0027447B" w:rsidRDefault="0027447B" w:rsidP="00E960A6">
      <w:pPr>
        <w:rPr>
          <w:bCs/>
          <w:iCs/>
        </w:rPr>
      </w:pPr>
      <w:r>
        <w:rPr>
          <w:bCs/>
          <w:iCs/>
        </w:rPr>
        <w:t xml:space="preserve">The proposed protections would extend to </w:t>
      </w:r>
      <w:proofErr w:type="spellStart"/>
      <w:r>
        <w:rPr>
          <w:bCs/>
          <w:iCs/>
        </w:rPr>
        <w:t>whistleblowers</w:t>
      </w:r>
      <w:proofErr w:type="spellEnd"/>
      <w:r>
        <w:rPr>
          <w:bCs/>
          <w:iCs/>
        </w:rPr>
        <w:t xml:space="preserve"> who disclose</w:t>
      </w:r>
      <w:r w:rsidR="00C3674D">
        <w:rPr>
          <w:bCs/>
          <w:iCs/>
        </w:rPr>
        <w:t>d</w:t>
      </w:r>
      <w:r>
        <w:rPr>
          <w:bCs/>
          <w:iCs/>
        </w:rPr>
        <w:t xml:space="preserve"> information on tax </w:t>
      </w:r>
      <w:r w:rsidR="00741494">
        <w:rPr>
          <w:bCs/>
          <w:iCs/>
        </w:rPr>
        <w:t>misconduct</w:t>
      </w:r>
      <w:r>
        <w:rPr>
          <w:bCs/>
          <w:iCs/>
        </w:rPr>
        <w:t xml:space="preserve"> </w:t>
      </w:r>
      <w:r w:rsidR="00741494">
        <w:rPr>
          <w:bCs/>
          <w:iCs/>
        </w:rPr>
        <w:t>via</w:t>
      </w:r>
      <w:r>
        <w:rPr>
          <w:bCs/>
          <w:iCs/>
        </w:rPr>
        <w:t xml:space="preserve"> </w:t>
      </w:r>
      <w:r w:rsidR="00CB2F77">
        <w:rPr>
          <w:bCs/>
          <w:iCs/>
        </w:rPr>
        <w:t>‘</w:t>
      </w:r>
      <w:r>
        <w:rPr>
          <w:bCs/>
          <w:iCs/>
        </w:rPr>
        <w:t>internal</w:t>
      </w:r>
      <w:r w:rsidR="00CB2F77">
        <w:rPr>
          <w:bCs/>
          <w:iCs/>
        </w:rPr>
        <w:t>’</w:t>
      </w:r>
      <w:r>
        <w:rPr>
          <w:bCs/>
          <w:iCs/>
        </w:rPr>
        <w:t xml:space="preserve"> whistleblowing mechanisms (</w:t>
      </w:r>
      <w:r w:rsidR="00B65404">
        <w:rPr>
          <w:bCs/>
          <w:iCs/>
        </w:rPr>
        <w:t xml:space="preserve">for example, </w:t>
      </w:r>
      <w:r w:rsidR="00741494">
        <w:rPr>
          <w:bCs/>
          <w:iCs/>
        </w:rPr>
        <w:t xml:space="preserve">to </w:t>
      </w:r>
      <w:r>
        <w:rPr>
          <w:bCs/>
          <w:iCs/>
        </w:rPr>
        <w:t>the</w:t>
      </w:r>
      <w:r w:rsidR="00741494">
        <w:rPr>
          <w:bCs/>
          <w:iCs/>
        </w:rPr>
        <w:t>ir</w:t>
      </w:r>
      <w:r>
        <w:rPr>
          <w:bCs/>
          <w:iCs/>
        </w:rPr>
        <w:t xml:space="preserve"> employer</w:t>
      </w:r>
      <w:r w:rsidR="00CB2F77">
        <w:rPr>
          <w:bCs/>
          <w:iCs/>
        </w:rPr>
        <w:t>)</w:t>
      </w:r>
      <w:r>
        <w:rPr>
          <w:bCs/>
          <w:iCs/>
        </w:rPr>
        <w:t xml:space="preserve"> </w:t>
      </w:r>
      <w:r w:rsidR="00C3674D">
        <w:rPr>
          <w:bCs/>
          <w:iCs/>
        </w:rPr>
        <w:t>and the ATO but only when</w:t>
      </w:r>
      <w:r w:rsidR="000F5AAA">
        <w:rPr>
          <w:bCs/>
          <w:iCs/>
        </w:rPr>
        <w:t xml:space="preserve"> the internal mechanisms </w:t>
      </w:r>
      <w:r w:rsidR="00C3674D">
        <w:rPr>
          <w:bCs/>
          <w:iCs/>
        </w:rPr>
        <w:t>have proven</w:t>
      </w:r>
      <w:r w:rsidR="000F5AAA">
        <w:rPr>
          <w:bCs/>
          <w:iCs/>
        </w:rPr>
        <w:t xml:space="preserve"> inadequate. The proposed protections would not extend </w:t>
      </w:r>
      <w:r w:rsidR="00741494">
        <w:rPr>
          <w:bCs/>
          <w:iCs/>
        </w:rPr>
        <w:t xml:space="preserve">to </w:t>
      </w:r>
      <w:r w:rsidR="00CB2F77">
        <w:rPr>
          <w:bCs/>
          <w:iCs/>
        </w:rPr>
        <w:t xml:space="preserve">‘external’ </w:t>
      </w:r>
      <w:r w:rsidR="00741494">
        <w:rPr>
          <w:bCs/>
          <w:iCs/>
        </w:rPr>
        <w:t>recipients</w:t>
      </w:r>
      <w:r w:rsidR="00CB2F77">
        <w:rPr>
          <w:bCs/>
          <w:iCs/>
        </w:rPr>
        <w:t xml:space="preserve"> such as the media or members of Parliament. </w:t>
      </w:r>
      <w:r w:rsidR="00D2603D">
        <w:rPr>
          <w:bCs/>
          <w:iCs/>
        </w:rPr>
        <w:t>This is due to the need to preserve confidentiality in relation to tax protected information.</w:t>
      </w:r>
    </w:p>
    <w:p w14:paraId="103BF663" w14:textId="77777777" w:rsidR="00C3674D" w:rsidRDefault="00C3674D" w:rsidP="00E960A6">
      <w:r>
        <w:rPr>
          <w:bCs/>
          <w:iCs/>
        </w:rPr>
        <w:t xml:space="preserve">The </w:t>
      </w:r>
      <w:r w:rsidRPr="00C3674D">
        <w:t>Federal Court has indicated that the Commissioner of Taxation can use privileged or illegally obtained information in making an income tax assessment.</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3818D4" w:rsidRPr="008A6C52" w14:paraId="103BF668" w14:textId="77777777" w:rsidTr="008A6C52">
        <w:tc>
          <w:tcPr>
            <w:tcW w:w="9286" w:type="dxa"/>
            <w:shd w:val="clear" w:color="auto" w:fill="DBE5F1" w:themeFill="accent1" w:themeFillTint="33"/>
          </w:tcPr>
          <w:p w14:paraId="103BF664" w14:textId="77777777" w:rsidR="003818D4" w:rsidRPr="008A6C52" w:rsidRDefault="003818D4" w:rsidP="008A6C52">
            <w:pPr>
              <w:pStyle w:val="BoxHeadingnonumber"/>
            </w:pPr>
            <w:r w:rsidRPr="008A6C52">
              <w:t>Questions</w:t>
            </w:r>
          </w:p>
          <w:p w14:paraId="103BF665" w14:textId="77777777" w:rsidR="003818D4" w:rsidRPr="008A6C52" w:rsidRDefault="003818D4" w:rsidP="008A6C52">
            <w:pPr>
              <w:pStyle w:val="BoxQuestions"/>
            </w:pPr>
            <w:r w:rsidRPr="008A6C52">
              <w:t xml:space="preserve">Do you agree with tax </w:t>
            </w:r>
            <w:proofErr w:type="spellStart"/>
            <w:r w:rsidRPr="008A6C52">
              <w:t>whistleblowers</w:t>
            </w:r>
            <w:proofErr w:type="spellEnd"/>
            <w:r w:rsidRPr="008A6C52">
              <w:t xml:space="preserve"> only being protected when disclosing information to the ATO to preserve the confidentiality of tax protected information?</w:t>
            </w:r>
          </w:p>
          <w:p w14:paraId="103BF666" w14:textId="77777777" w:rsidR="003818D4" w:rsidRPr="008A6C52" w:rsidRDefault="003818D4" w:rsidP="008A6C52">
            <w:pPr>
              <w:pStyle w:val="BoxQuestions"/>
            </w:pPr>
            <w:r w:rsidRPr="008A6C52">
              <w:t xml:space="preserve">Should tax </w:t>
            </w:r>
            <w:proofErr w:type="spellStart"/>
            <w:r w:rsidRPr="008A6C52">
              <w:t>whistleblowers</w:t>
            </w:r>
            <w:proofErr w:type="spellEnd"/>
            <w:r w:rsidRPr="008A6C52">
              <w:t xml:space="preserve"> be able to receive the proposed protections when disclosing to internal or external individuals? </w:t>
            </w:r>
          </w:p>
          <w:p w14:paraId="103BF667" w14:textId="77777777" w:rsidR="003818D4" w:rsidRPr="008A6C52" w:rsidRDefault="003818D4" w:rsidP="008A6C52">
            <w:pPr>
              <w:pStyle w:val="BoxQuestions"/>
            </w:pPr>
            <w:r w:rsidRPr="008A6C52">
              <w:t xml:space="preserve">To what extent should the Commissioner be able to use information disclosed under the proposed tax </w:t>
            </w:r>
            <w:proofErr w:type="spellStart"/>
            <w:r w:rsidRPr="008A6C52">
              <w:t>whistleblower</w:t>
            </w:r>
            <w:proofErr w:type="spellEnd"/>
            <w:r w:rsidRPr="008A6C52">
              <w:t xml:space="preserve"> system to make income tax assessments? </w:t>
            </w:r>
          </w:p>
        </w:tc>
      </w:tr>
    </w:tbl>
    <w:p w14:paraId="103BF669" w14:textId="77777777" w:rsidR="001367D9" w:rsidRDefault="001367D9">
      <w:pPr>
        <w:pStyle w:val="Heading3"/>
      </w:pPr>
      <w:bookmarkStart w:id="202" w:name="_Toc468971491"/>
      <w:bookmarkStart w:id="203" w:name="_Toc468977768"/>
      <w:bookmarkStart w:id="204" w:name="_Toc468995368"/>
      <w:r>
        <w:t>Rewards</w:t>
      </w:r>
      <w:bookmarkEnd w:id="202"/>
      <w:bookmarkEnd w:id="203"/>
      <w:bookmarkEnd w:id="204"/>
    </w:p>
    <w:p w14:paraId="103BF66A" w14:textId="77777777" w:rsidR="002734CD" w:rsidRDefault="002734CD" w:rsidP="002734CD">
      <w:r w:rsidRPr="00685092">
        <w:t>A number of OECD member</w:t>
      </w:r>
      <w:r>
        <w:t>s</w:t>
      </w:r>
      <w:r w:rsidRPr="00685092">
        <w:t xml:space="preserve"> provide rewards for information regarding </w:t>
      </w:r>
      <w:r>
        <w:t>taxpayer</w:t>
      </w:r>
      <w:r w:rsidRPr="00685092">
        <w:t>s</w:t>
      </w:r>
      <w:r>
        <w:t>’</w:t>
      </w:r>
      <w:r w:rsidR="00033819">
        <w:br/>
      </w:r>
      <w:r w:rsidRPr="00685092">
        <w:t>non-compliance, including Canada, the US and the UK</w:t>
      </w:r>
      <w:r w:rsidR="00A57B27">
        <w:t>, with varying a</w:t>
      </w:r>
      <w:r>
        <w:t xml:space="preserve">pproaches across international jurisdictions. In the UK, HMRC pays discretionary awards to informants of tax avoidance and evasion based on factors including the amount of tax recovered and the time saved in investigations. HMRC does not publicise its payments, and most of the </w:t>
      </w:r>
      <w:proofErr w:type="spellStart"/>
      <w:r>
        <w:t>whistleblowers</w:t>
      </w:r>
      <w:proofErr w:type="spellEnd"/>
      <w:r>
        <w:t xml:space="preserve"> who contact HMRC receive no reward. </w:t>
      </w:r>
    </w:p>
    <w:p w14:paraId="103BF66B" w14:textId="77777777" w:rsidR="002734CD" w:rsidRDefault="002734CD" w:rsidP="002734CD">
      <w:r>
        <w:t xml:space="preserve">In the US, the FCA and the Dodd-Frank Act offers generous rewards to tax </w:t>
      </w:r>
      <w:proofErr w:type="spellStart"/>
      <w:r>
        <w:t>whistleblowers</w:t>
      </w:r>
      <w:proofErr w:type="spellEnd"/>
      <w:r>
        <w:t xml:space="preserve"> for sharing information on tax avoidance and evasion ranging</w:t>
      </w:r>
      <w:r w:rsidRPr="005B2BA4">
        <w:t xml:space="preserve"> between 10 and 30 per cent of the total monetary sanction. </w:t>
      </w:r>
      <w:r w:rsidR="000B6822">
        <w:t>However, payment is only made after p</w:t>
      </w:r>
      <w:r w:rsidR="00B8534D" w:rsidRPr="00B8534D">
        <w:t xml:space="preserve">rotracted and expensive disputes or complaints around </w:t>
      </w:r>
      <w:r w:rsidR="00B8534D">
        <w:t xml:space="preserve">the </w:t>
      </w:r>
      <w:r w:rsidR="00B8534D" w:rsidRPr="00B8534D">
        <w:t>provision of the reward</w:t>
      </w:r>
      <w:r w:rsidR="000B6822">
        <w:t xml:space="preserve">. </w:t>
      </w:r>
      <w:r w:rsidR="000646C7">
        <w:t>All cases including the</w:t>
      </w:r>
      <w:r w:rsidR="00B8534D" w:rsidRPr="00B8534D">
        <w:t xml:space="preserve"> </w:t>
      </w:r>
      <w:r w:rsidR="000646C7">
        <w:t xml:space="preserve">reward </w:t>
      </w:r>
      <w:r w:rsidR="00B8534D" w:rsidRPr="00B8534D">
        <w:t xml:space="preserve">amount </w:t>
      </w:r>
      <w:r w:rsidR="000646C7">
        <w:t xml:space="preserve">payable </w:t>
      </w:r>
      <w:r w:rsidR="00B8534D" w:rsidRPr="00B8534D">
        <w:t xml:space="preserve">are handled exclusively by the US Tax Court. </w:t>
      </w:r>
    </w:p>
    <w:p w14:paraId="103BF66C" w14:textId="77777777" w:rsidR="00D20567" w:rsidRDefault="002734CD" w:rsidP="0039031D">
      <w:r w:rsidRPr="002F7BE2">
        <w:t>Under Canada’s 2013 Economic Action Plan, the CRA is able to offer a reward for information about major cases of international tax non-compliance</w:t>
      </w:r>
      <w:r w:rsidRPr="00EF26E3">
        <w:t xml:space="preserve">. The payment process begins once CAD$100,000 of federal tax relating to the assessments has been collected, and all recourse rights associated with the assessments have expired. </w:t>
      </w:r>
    </w:p>
    <w:p w14:paraId="103BF66D" w14:textId="77777777" w:rsidR="000F5AAA" w:rsidRPr="00282AD5" w:rsidRDefault="00BD1969" w:rsidP="00B8534D">
      <w:r w:rsidRPr="00282AD5">
        <w:t xml:space="preserve">While rewards systems for </w:t>
      </w:r>
      <w:proofErr w:type="spellStart"/>
      <w:r w:rsidRPr="00282AD5">
        <w:t>whistleblowers</w:t>
      </w:r>
      <w:proofErr w:type="spellEnd"/>
      <w:r w:rsidRPr="00282AD5">
        <w:t xml:space="preserve"> are used in practice</w:t>
      </w:r>
      <w:r w:rsidR="00282AD5">
        <w:t xml:space="preserve"> in other jurisdictions</w:t>
      </w:r>
      <w:r w:rsidR="00A57B27" w:rsidRPr="00282AD5">
        <w:t>,</w:t>
      </w:r>
      <w:r w:rsidRPr="00282AD5">
        <w:t xml:space="preserve"> a</w:t>
      </w:r>
      <w:r w:rsidR="004F01E4" w:rsidRPr="00282AD5">
        <w:t xml:space="preserve">cademic research </w:t>
      </w:r>
      <w:r w:rsidR="00B8534D" w:rsidRPr="00282AD5">
        <w:t xml:space="preserve">on </w:t>
      </w:r>
      <w:r w:rsidR="00282AD5">
        <w:t xml:space="preserve">the </w:t>
      </w:r>
      <w:r w:rsidR="00B8534D" w:rsidRPr="00282AD5">
        <w:t xml:space="preserve">systems in use </w:t>
      </w:r>
      <w:r w:rsidRPr="00282AD5">
        <w:t xml:space="preserve">has shown </w:t>
      </w:r>
      <w:r w:rsidR="004F01E4" w:rsidRPr="00282AD5">
        <w:t xml:space="preserve">there is little evidence that rewards </w:t>
      </w:r>
      <w:r w:rsidR="004F01E4" w:rsidRPr="00282AD5">
        <w:lastRenderedPageBreak/>
        <w:t>influence</w:t>
      </w:r>
      <w:r w:rsidRPr="00282AD5">
        <w:t xml:space="preserve"> the quality of</w:t>
      </w:r>
      <w:r w:rsidR="004F01E4" w:rsidRPr="00282AD5">
        <w:t xml:space="preserve"> disclosures</w:t>
      </w:r>
      <w:r w:rsidR="00C3674D">
        <w:rPr>
          <w:rStyle w:val="FootnoteReference"/>
        </w:rPr>
        <w:footnoteReference w:id="23"/>
      </w:r>
      <w:r w:rsidR="004F01E4" w:rsidRPr="00282AD5">
        <w:t xml:space="preserve">. </w:t>
      </w:r>
      <w:r w:rsidR="00C4665B" w:rsidRPr="00C4665B">
        <w:t xml:space="preserve">As discussed above in Section 8, since the implementation of the Dodd-Frank Act in 2011, the US SEC has provided rewards payments to only 34 of the 14,000 </w:t>
      </w:r>
      <w:proofErr w:type="spellStart"/>
      <w:r w:rsidR="00C4665B" w:rsidRPr="00C4665B">
        <w:t>whistleblowers</w:t>
      </w:r>
      <w:proofErr w:type="spellEnd"/>
      <w:r w:rsidR="00C4665B" w:rsidRPr="00C4665B">
        <w:t xml:space="preserve"> who lodged complaints. Issues identified with reward systems include increased administration costs; false claims; and incentives for informants to steal taxpayer information. However, as outlined in the corporations section above, correctly structured reward systems may help encourage </w:t>
      </w:r>
      <w:proofErr w:type="spellStart"/>
      <w:r w:rsidR="00C4665B" w:rsidRPr="00C4665B">
        <w:t>whistleblowers</w:t>
      </w:r>
      <w:proofErr w:type="spellEnd"/>
      <w:r w:rsidR="00C4665B" w:rsidRPr="00C4665B">
        <w:t xml:space="preserve"> to step forward with other non-monetary reward incentives also having shown to motivate disclosures.</w:t>
      </w:r>
    </w:p>
    <w:p w14:paraId="103BF66E" w14:textId="77777777" w:rsidR="003818D4" w:rsidRDefault="001F7743" w:rsidP="00C138AA">
      <w:r>
        <w:t>T</w:t>
      </w:r>
      <w:r w:rsidR="00BD1969">
        <w:t xml:space="preserve">he Government is open to </w:t>
      </w:r>
      <w:r w:rsidR="00282AD5">
        <w:t xml:space="preserve">exploring </w:t>
      </w:r>
      <w:r w:rsidR="00BD1969">
        <w:t xml:space="preserve">the possibility of including a reward system for tax </w:t>
      </w:r>
      <w:proofErr w:type="spellStart"/>
      <w:r w:rsidR="00BD1969">
        <w:t>whistleblowers</w:t>
      </w:r>
      <w:proofErr w:type="spellEnd"/>
      <w:r>
        <w:t xml:space="preserve">. </w:t>
      </w:r>
      <w:r w:rsidR="002C2A4C">
        <w:t xml:space="preserve">If a reward system </w:t>
      </w:r>
      <w:r w:rsidR="004B387D">
        <w:t>were to be</w:t>
      </w:r>
      <w:r w:rsidR="002C2A4C">
        <w:t xml:space="preserve"> adopted, the ability for rewards to be received would only be available to those </w:t>
      </w:r>
      <w:proofErr w:type="spellStart"/>
      <w:r w:rsidR="002C2A4C">
        <w:t>whistleblowers</w:t>
      </w:r>
      <w:proofErr w:type="spellEnd"/>
      <w:r w:rsidR="002C2A4C">
        <w:t xml:space="preserve"> that voluntarily provided their name and contact details.</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3818D4" w:rsidRPr="008A6C52" w14:paraId="103BF674" w14:textId="77777777" w:rsidTr="008A6C52">
        <w:tc>
          <w:tcPr>
            <w:tcW w:w="9286" w:type="dxa"/>
            <w:shd w:val="clear" w:color="auto" w:fill="DBE5F1" w:themeFill="accent1" w:themeFillTint="33"/>
          </w:tcPr>
          <w:p w14:paraId="103BF66F" w14:textId="77777777" w:rsidR="003818D4" w:rsidRPr="008A6C52" w:rsidRDefault="003818D4" w:rsidP="008A6C52">
            <w:pPr>
              <w:pStyle w:val="BoxHeadingnonumber"/>
            </w:pPr>
            <w:r w:rsidRPr="008A6C52">
              <w:t>Questions</w:t>
            </w:r>
          </w:p>
          <w:p w14:paraId="103BF670" w14:textId="77777777" w:rsidR="003818D4" w:rsidRPr="008A6C52" w:rsidRDefault="003818D4" w:rsidP="008A6C52">
            <w:pPr>
              <w:pStyle w:val="BoxQuestions"/>
            </w:pPr>
            <w:r w:rsidRPr="008A6C52">
              <w:t xml:space="preserve">Do you consider a reward system should be introduced for tax </w:t>
            </w:r>
            <w:proofErr w:type="spellStart"/>
            <w:r w:rsidRPr="008A6C52">
              <w:t>whistleblowers</w:t>
            </w:r>
            <w:proofErr w:type="spellEnd"/>
            <w:r w:rsidRPr="008A6C52">
              <w:t xml:space="preserve">? </w:t>
            </w:r>
          </w:p>
          <w:p w14:paraId="103BF671" w14:textId="77777777" w:rsidR="003818D4" w:rsidRPr="008A6C52" w:rsidRDefault="003818D4" w:rsidP="008A6C52">
            <w:pPr>
              <w:pStyle w:val="BoxQuestions"/>
            </w:pPr>
            <w:r w:rsidRPr="008A6C52">
              <w:t xml:space="preserve">If Australia were to introduce a reward systems for tax </w:t>
            </w:r>
            <w:proofErr w:type="spellStart"/>
            <w:r w:rsidRPr="008A6C52">
              <w:t>whistleblowers</w:t>
            </w:r>
            <w:proofErr w:type="spellEnd"/>
            <w:r w:rsidRPr="008A6C52">
              <w:t xml:space="preserve"> what structure should the Government consider implementing?</w:t>
            </w:r>
          </w:p>
          <w:p w14:paraId="103BF672" w14:textId="77777777" w:rsidR="003818D4" w:rsidRPr="008A6C52" w:rsidRDefault="003818D4" w:rsidP="008A6C52">
            <w:pPr>
              <w:pStyle w:val="BoxQuestions"/>
            </w:pPr>
            <w:r w:rsidRPr="008A6C52">
              <w:t xml:space="preserve">Should a </w:t>
            </w:r>
            <w:proofErr w:type="spellStart"/>
            <w:r w:rsidRPr="008A6C52">
              <w:t>whistleblower</w:t>
            </w:r>
            <w:proofErr w:type="spellEnd"/>
            <w:r w:rsidRPr="008A6C52">
              <w:t xml:space="preserve"> be entitled to a reward if they participated in the tax avoidance behaviour?</w:t>
            </w:r>
          </w:p>
          <w:p w14:paraId="103BF673" w14:textId="77777777" w:rsidR="003818D4" w:rsidRPr="008A6C52" w:rsidRDefault="003818D4" w:rsidP="008A6C52">
            <w:pPr>
              <w:pStyle w:val="BoxQuestions"/>
            </w:pPr>
            <w:r w:rsidRPr="00217210">
              <w:t>If a reward system were to be adopted should a threshold</w:t>
            </w:r>
            <w:r w:rsidRPr="008A6C52">
              <w:t xml:space="preserve"> </w:t>
            </w:r>
            <w:r w:rsidR="00B07582">
              <w:t>(i.e. the amount recovered by the ATO)</w:t>
            </w:r>
            <w:r w:rsidR="00B07582" w:rsidRPr="0058100C">
              <w:t xml:space="preserve"> be established</w:t>
            </w:r>
            <w:r w:rsidR="00B07582">
              <w:t xml:space="preserve"> to determine when </w:t>
            </w:r>
            <w:proofErr w:type="spellStart"/>
            <w:r w:rsidR="00B07582">
              <w:t>whistleblowers</w:t>
            </w:r>
            <w:proofErr w:type="spellEnd"/>
            <w:r w:rsidR="00B07582">
              <w:t xml:space="preserve"> are rewarded?</w:t>
            </w:r>
          </w:p>
        </w:tc>
      </w:tr>
    </w:tbl>
    <w:p w14:paraId="103BF675" w14:textId="77777777" w:rsidR="0028659C" w:rsidRDefault="0028659C">
      <w:pPr>
        <w:pStyle w:val="Heading3"/>
      </w:pPr>
      <w:bookmarkStart w:id="205" w:name="_Toc468971492"/>
      <w:bookmarkStart w:id="206" w:name="_Toc468977769"/>
      <w:bookmarkStart w:id="207" w:name="_Toc468995369"/>
      <w:r>
        <w:t>Disclosure of taxpayer information to the informant</w:t>
      </w:r>
      <w:bookmarkEnd w:id="205"/>
      <w:bookmarkEnd w:id="206"/>
      <w:bookmarkEnd w:id="207"/>
    </w:p>
    <w:p w14:paraId="103BF676" w14:textId="77777777" w:rsidR="0028659C" w:rsidRDefault="0028659C" w:rsidP="0028659C">
      <w:r>
        <w:t xml:space="preserve">In the US, New Zealand and Canada, all taxpayer information is covered by the confidentiality rules in federal tax legislation. </w:t>
      </w:r>
    </w:p>
    <w:p w14:paraId="103BF677" w14:textId="77777777" w:rsidR="0028659C" w:rsidRDefault="0028659C" w:rsidP="0028659C">
      <w:r>
        <w:t xml:space="preserve">The IRS </w:t>
      </w:r>
      <w:proofErr w:type="spellStart"/>
      <w:r>
        <w:t>Whistleblower</w:t>
      </w:r>
      <w:proofErr w:type="spellEnd"/>
      <w:r>
        <w:t xml:space="preserve"> Law and Canadian OTIP both prevent the disclosure of taxpayer information to the informant. The informant will only be told the status and disposition of their file, and the CRA, IRD and IRS will only confirm with the informant whether or not their file is still active. If the file has been closed, the CRA and IRS will confirm whether or not a reward is payable to the informant. </w:t>
      </w:r>
    </w:p>
    <w:p w14:paraId="103BF678" w14:textId="77777777" w:rsidR="003818D4" w:rsidRDefault="00C3674D" w:rsidP="0028659C">
      <w:pPr>
        <w:rPr>
          <w:bCs/>
          <w:iCs/>
        </w:rPr>
      </w:pPr>
      <w:r>
        <w:rPr>
          <w:bCs/>
          <w:iCs/>
        </w:rPr>
        <w:t xml:space="preserve">Similar to Canada’s OTIP, the US’s IRS </w:t>
      </w:r>
      <w:proofErr w:type="spellStart"/>
      <w:r>
        <w:rPr>
          <w:bCs/>
          <w:iCs/>
        </w:rPr>
        <w:t>whistleblower</w:t>
      </w:r>
      <w:proofErr w:type="spellEnd"/>
      <w:r>
        <w:rPr>
          <w:bCs/>
          <w:iCs/>
        </w:rPr>
        <w:t xml:space="preserve"> law and New Zealand’s secrecy laws, the ATO will not be permitted to release any information pertaining to the progress of any investigation.</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3818D4" w:rsidRPr="008A6C52" w14:paraId="103BF67C" w14:textId="77777777" w:rsidTr="008A6C52">
        <w:tc>
          <w:tcPr>
            <w:tcW w:w="9286" w:type="dxa"/>
            <w:shd w:val="clear" w:color="auto" w:fill="DBE5F1" w:themeFill="accent1" w:themeFillTint="33"/>
          </w:tcPr>
          <w:p w14:paraId="103BF679" w14:textId="77777777" w:rsidR="003818D4" w:rsidRPr="008A6C52" w:rsidRDefault="003818D4" w:rsidP="008A6C52">
            <w:pPr>
              <w:pStyle w:val="BoxHeadingnonumber"/>
            </w:pPr>
            <w:r w:rsidRPr="008A6C52">
              <w:t>Questions</w:t>
            </w:r>
          </w:p>
          <w:p w14:paraId="103BF67A" w14:textId="77777777" w:rsidR="003818D4" w:rsidRDefault="003818D4" w:rsidP="00D20567">
            <w:pPr>
              <w:pStyle w:val="BoxQuestions"/>
            </w:pPr>
            <w:r w:rsidRPr="008A6C52">
              <w:t xml:space="preserve">Do you agree that the proposed tax </w:t>
            </w:r>
            <w:proofErr w:type="spellStart"/>
            <w:r w:rsidRPr="008A6C52">
              <w:t>whistleblower</w:t>
            </w:r>
            <w:proofErr w:type="spellEnd"/>
            <w:r w:rsidRPr="008A6C52">
              <w:t xml:space="preserve"> protections should include provisions preventing the disclosure of taxpayer information to the informant?</w:t>
            </w:r>
          </w:p>
          <w:p w14:paraId="103BF67B" w14:textId="77777777" w:rsidR="003818D4" w:rsidRPr="008A6C52" w:rsidRDefault="00C85E4A" w:rsidP="00D20567">
            <w:pPr>
              <w:pStyle w:val="BoxQuestions"/>
            </w:pPr>
            <w:r w:rsidRPr="008A6C52">
              <w:lastRenderedPageBreak/>
              <w:t xml:space="preserve">Do you agree that the ATO should be prevented from providing </w:t>
            </w:r>
            <w:proofErr w:type="spellStart"/>
            <w:r w:rsidRPr="008A6C52">
              <w:t>whistleblowers</w:t>
            </w:r>
            <w:proofErr w:type="spellEnd"/>
            <w:r w:rsidRPr="008A6C52">
              <w:t xml:space="preserve"> with information relating to progress of investigations?</w:t>
            </w:r>
          </w:p>
        </w:tc>
      </w:tr>
    </w:tbl>
    <w:p w14:paraId="103BF67D" w14:textId="77777777" w:rsidR="008B12D9" w:rsidRDefault="008B12D9" w:rsidP="008A6C52">
      <w:pPr>
        <w:pStyle w:val="SingleParagraph"/>
      </w:pPr>
    </w:p>
    <w:p w14:paraId="103BF67E" w14:textId="77777777" w:rsidR="008B12D9" w:rsidRPr="003D0FDC" w:rsidRDefault="008B12D9" w:rsidP="008B12D9">
      <w:pPr>
        <w:pStyle w:val="BoxHeadingnonumber"/>
      </w:pPr>
      <w:r w:rsidRPr="003D0FDC">
        <w:t>Oversight Agency for tax whistleblowers</w:t>
      </w:r>
      <w:r>
        <w:t xml:space="preserve"> </w:t>
      </w:r>
    </w:p>
    <w:p w14:paraId="103BF67F" w14:textId="77777777" w:rsidR="008B12D9" w:rsidRPr="003D0FDC" w:rsidRDefault="008B12D9" w:rsidP="008B12D9">
      <w:r w:rsidRPr="003D0FDC">
        <w:t xml:space="preserve">The operation of AUS-PIDA is supported by two independent oversight agencies: the Ombudsman and the inspector-General of Intelligence and Security. Similarly, the US and UK have specialist </w:t>
      </w:r>
      <w:proofErr w:type="spellStart"/>
      <w:r w:rsidRPr="003D0FDC">
        <w:t>whistleblower</w:t>
      </w:r>
      <w:proofErr w:type="spellEnd"/>
      <w:r w:rsidRPr="003D0FDC">
        <w:t xml:space="preserve"> protection agencies, the Office of Special Counsel and Public Concern and Work respectively. (For further information see </w:t>
      </w:r>
      <w:r w:rsidRPr="003D0FDC">
        <w:rPr>
          <w:i/>
        </w:rPr>
        <w:t xml:space="preserve">Oversight Agency Responsible for </w:t>
      </w:r>
      <w:proofErr w:type="spellStart"/>
      <w:r w:rsidRPr="003D0FDC">
        <w:rPr>
          <w:i/>
        </w:rPr>
        <w:t>Whistleblower</w:t>
      </w:r>
      <w:proofErr w:type="spellEnd"/>
      <w:r w:rsidRPr="003D0FDC">
        <w:rPr>
          <w:i/>
        </w:rPr>
        <w:t xml:space="preserve"> Protection </w:t>
      </w:r>
      <w:r w:rsidR="00E53104" w:rsidRPr="00011E0C">
        <w:t xml:space="preserve">in Section </w:t>
      </w:r>
      <w:r w:rsidR="00E53104" w:rsidRPr="00211D62">
        <w:t>8</w:t>
      </w:r>
      <w:r w:rsidRPr="003D0FDC">
        <w:t xml:space="preserve">). </w:t>
      </w:r>
    </w:p>
    <w:p w14:paraId="103BF680" w14:textId="77777777" w:rsidR="008B12D9" w:rsidRDefault="008B12D9" w:rsidP="008B12D9">
      <w:r w:rsidRPr="003D0FDC">
        <w:t xml:space="preserve">While the ATO is the only proposed body in which tax </w:t>
      </w:r>
      <w:proofErr w:type="spellStart"/>
      <w:r w:rsidRPr="003D0FDC">
        <w:t>whistleblowers</w:t>
      </w:r>
      <w:proofErr w:type="spellEnd"/>
      <w:r w:rsidRPr="003D0FDC">
        <w:t xml:space="preserve"> can make disclosures to, there may be merit </w:t>
      </w:r>
      <w:r>
        <w:t>awarding greater powers to a separate, independent</w:t>
      </w:r>
      <w:r w:rsidRPr="003D0FDC">
        <w:t xml:space="preserve"> body to advocate for tax </w:t>
      </w:r>
      <w:proofErr w:type="spellStart"/>
      <w:r w:rsidRPr="003D0FDC">
        <w:t>whistleblowers</w:t>
      </w:r>
      <w:proofErr w:type="spellEnd"/>
      <w:r w:rsidRPr="003D0FDC">
        <w:t xml:space="preserve"> particularly in cases of retaliation or compensation claims.</w:t>
      </w:r>
    </w:p>
    <w:tbl>
      <w:tblPr>
        <w:tblW w:w="9291"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91"/>
      </w:tblGrid>
      <w:tr w:rsidR="008B12D9" w:rsidRPr="008A6C52" w14:paraId="103BF684" w14:textId="77777777" w:rsidTr="00D20567">
        <w:tc>
          <w:tcPr>
            <w:tcW w:w="9291" w:type="dxa"/>
            <w:shd w:val="clear" w:color="auto" w:fill="DBE5F1" w:themeFill="accent1" w:themeFillTint="33"/>
          </w:tcPr>
          <w:p w14:paraId="103BF681" w14:textId="77777777" w:rsidR="008B12D9" w:rsidRPr="008A6C52" w:rsidRDefault="008B12D9" w:rsidP="008A6C52">
            <w:pPr>
              <w:pStyle w:val="BoxHeadingnonumber"/>
            </w:pPr>
            <w:r w:rsidRPr="008A6C52">
              <w:t>Questions</w:t>
            </w:r>
          </w:p>
          <w:p w14:paraId="103BF682" w14:textId="77777777" w:rsidR="008B12D9" w:rsidRPr="008A6C52" w:rsidRDefault="008B12D9" w:rsidP="008A6C52">
            <w:pPr>
              <w:pStyle w:val="BoxQuestions"/>
            </w:pPr>
            <w:r w:rsidRPr="008A6C52">
              <w:t xml:space="preserve">As part of the new protections for tax </w:t>
            </w:r>
            <w:proofErr w:type="spellStart"/>
            <w:r w:rsidRPr="008A6C52">
              <w:t>whistleblowers</w:t>
            </w:r>
            <w:proofErr w:type="spellEnd"/>
            <w:r w:rsidRPr="008A6C52">
              <w:t xml:space="preserve"> should an existing body be empowered (or a new body be established) to protect the interests of tax </w:t>
            </w:r>
            <w:proofErr w:type="spellStart"/>
            <w:r w:rsidRPr="008A6C52">
              <w:t>whistleblowers</w:t>
            </w:r>
            <w:proofErr w:type="spellEnd"/>
            <w:r w:rsidRPr="008A6C52">
              <w:t xml:space="preserve">? Should it be empowered to take legal action on behalf of the </w:t>
            </w:r>
            <w:proofErr w:type="spellStart"/>
            <w:r w:rsidRPr="008A6C52">
              <w:t>whistleblowers</w:t>
            </w:r>
            <w:proofErr w:type="spellEnd"/>
            <w:r w:rsidRPr="008A6C52">
              <w:t xml:space="preserve">? </w:t>
            </w:r>
          </w:p>
          <w:p w14:paraId="103BF683" w14:textId="77777777" w:rsidR="008B12D9" w:rsidRPr="008A6C52" w:rsidRDefault="008B12D9" w:rsidP="008A6C52">
            <w:pPr>
              <w:pStyle w:val="BoxQuestions"/>
            </w:pPr>
            <w:r w:rsidRPr="008A6C52">
              <w:t xml:space="preserve">If an oversight body was to be established should it solely focus on tax </w:t>
            </w:r>
            <w:proofErr w:type="spellStart"/>
            <w:r w:rsidRPr="008A6C52">
              <w:t>whistleblowers</w:t>
            </w:r>
            <w:proofErr w:type="spellEnd"/>
            <w:r w:rsidRPr="008A6C52">
              <w:t xml:space="preserve"> or act as a wider </w:t>
            </w:r>
            <w:proofErr w:type="spellStart"/>
            <w:r w:rsidRPr="008A6C52">
              <w:t>whistleblower</w:t>
            </w:r>
            <w:proofErr w:type="spellEnd"/>
            <w:r w:rsidRPr="008A6C52">
              <w:t xml:space="preserve"> oversight agency?</w:t>
            </w:r>
          </w:p>
        </w:tc>
      </w:tr>
    </w:tbl>
    <w:p w14:paraId="103BF685" w14:textId="77777777" w:rsidR="00406B0E" w:rsidRDefault="00406B0E">
      <w:pPr>
        <w:pStyle w:val="Heading3"/>
      </w:pPr>
      <w:bookmarkStart w:id="208" w:name="_Toc468977770"/>
      <w:bookmarkStart w:id="209" w:name="_Toc468995370"/>
      <w:bookmarkStart w:id="210" w:name="_Toc469031955"/>
      <w:r>
        <w:t>Other</w:t>
      </w:r>
      <w:bookmarkEnd w:id="208"/>
      <w:bookmarkEnd w:id="209"/>
      <w:bookmarkEnd w:id="210"/>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3818D4" w:rsidRPr="008A6C52" w14:paraId="103BF689" w14:textId="77777777" w:rsidTr="008A6C52">
        <w:tc>
          <w:tcPr>
            <w:tcW w:w="9286" w:type="dxa"/>
            <w:shd w:val="clear" w:color="auto" w:fill="DBE5F1" w:themeFill="accent1" w:themeFillTint="33"/>
          </w:tcPr>
          <w:p w14:paraId="103BF686" w14:textId="77777777" w:rsidR="008B12D9" w:rsidRPr="008A6C52" w:rsidRDefault="008B12D9" w:rsidP="008A6C52">
            <w:pPr>
              <w:pStyle w:val="BoxHeadingnonumber"/>
            </w:pPr>
            <w:r w:rsidRPr="008A6C52">
              <w:t>Questions</w:t>
            </w:r>
          </w:p>
          <w:p w14:paraId="103BF687" w14:textId="77777777" w:rsidR="008B12D9" w:rsidRPr="008A6C52" w:rsidRDefault="008B12D9" w:rsidP="008A6C52">
            <w:pPr>
              <w:pStyle w:val="BoxQuestions"/>
            </w:pPr>
            <w:r w:rsidRPr="008A6C52">
              <w:t xml:space="preserve">Are there any other protections that should be offered to tax </w:t>
            </w:r>
            <w:proofErr w:type="spellStart"/>
            <w:r w:rsidRPr="008A6C52">
              <w:t>whistleblowers</w:t>
            </w:r>
            <w:proofErr w:type="spellEnd"/>
            <w:r w:rsidRPr="008A6C52">
              <w:t>?</w:t>
            </w:r>
          </w:p>
          <w:p w14:paraId="103BF688" w14:textId="77777777" w:rsidR="003818D4" w:rsidRPr="008A6C52" w:rsidRDefault="008B12D9" w:rsidP="008A6C52">
            <w:pPr>
              <w:pStyle w:val="BoxQuestions"/>
            </w:pPr>
            <w:r w:rsidRPr="008A6C52">
              <w:t>What are the interactions, if any, between these proposed protections and professional advisors’ fiduciary including legal professional privilege or ethical obligations?</w:t>
            </w:r>
          </w:p>
        </w:tc>
      </w:tr>
    </w:tbl>
    <w:p w14:paraId="103BF68A" w14:textId="77777777" w:rsidR="003818D4" w:rsidRPr="008A6C52" w:rsidRDefault="003818D4" w:rsidP="008A6C52"/>
    <w:p w14:paraId="103BF68B" w14:textId="77777777" w:rsidR="00B567C1" w:rsidRPr="00B567C1" w:rsidRDefault="00B567C1" w:rsidP="004B387D"/>
    <w:sectPr w:rsidR="00B567C1" w:rsidRPr="00B567C1" w:rsidSect="00D2056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BF695" w14:textId="77777777" w:rsidR="001E6994" w:rsidRDefault="001E6994">
      <w:pPr>
        <w:spacing w:after="0" w:line="240" w:lineRule="auto"/>
      </w:pPr>
      <w:r>
        <w:separator/>
      </w:r>
    </w:p>
  </w:endnote>
  <w:endnote w:type="continuationSeparator" w:id="0">
    <w:p w14:paraId="103BF696" w14:textId="77777777" w:rsidR="001E6994" w:rsidRDefault="001E6994">
      <w:pPr>
        <w:spacing w:after="0" w:line="240" w:lineRule="auto"/>
      </w:pPr>
      <w:r>
        <w:continuationSeparator/>
      </w:r>
    </w:p>
  </w:endnote>
  <w:endnote w:type="continuationNotice" w:id="1">
    <w:p w14:paraId="103BF697" w14:textId="77777777" w:rsidR="001E6994" w:rsidRDefault="001E6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98" w14:textId="77777777" w:rsidR="001E6994" w:rsidRDefault="001E6994" w:rsidP="00D20567">
    <w:pPr>
      <w:pStyle w:val="FooterOdd"/>
      <w:jc w:val="both"/>
    </w:pPr>
    <w:r w:rsidRPr="00147402">
      <w:t xml:space="preserve">Page </w:t>
    </w:r>
    <w:r>
      <w:rPr>
        <w:rStyle w:val="PageNumber"/>
        <w:rFonts w:ascii="Calibri" w:hAnsi="Calibri"/>
        <w:sz w:val="20"/>
      </w:rPr>
      <w:fldChar w:fldCharType="begin"/>
    </w:r>
    <w:r>
      <w:rPr>
        <w:rStyle w:val="PageNumber"/>
        <w:rFonts w:ascii="Calibri" w:hAnsi="Calibri"/>
        <w:sz w:val="20"/>
      </w:rPr>
      <w:instrText xml:space="preserve"> PAGE  \* Arabic  \* MERGEFORMAT </w:instrText>
    </w:r>
    <w:r>
      <w:rPr>
        <w:rStyle w:val="PageNumber"/>
        <w:rFonts w:ascii="Calibri" w:hAnsi="Calibri"/>
        <w:sz w:val="20"/>
      </w:rPr>
      <w:fldChar w:fldCharType="separate"/>
    </w:r>
    <w:r>
      <w:rPr>
        <w:rStyle w:val="PageNumber"/>
        <w:rFonts w:ascii="Calibri" w:hAnsi="Calibri"/>
        <w:noProof/>
        <w:sz w:val="20"/>
      </w:rPr>
      <w:t>6</w:t>
    </w:r>
    <w:r>
      <w:rPr>
        <w:rStyle w:val="PageNumber"/>
        <w:rFonts w:ascii="Calibri" w:hAnsi="Calibri"/>
        <w:sz w:val="2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A4" w14:textId="77777777" w:rsidR="001E6994" w:rsidRPr="00833CBB" w:rsidRDefault="001E6994" w:rsidP="00D20567">
    <w:pPr>
      <w:pStyle w:val="FooterOdd"/>
    </w:pPr>
    <w:r>
      <w:t xml:space="preserve">Page </w:t>
    </w:r>
    <w:r>
      <w:fldChar w:fldCharType="begin"/>
    </w:r>
    <w:r>
      <w:instrText xml:space="preserve"> PAGE  \* Arabic  \* MERGEFORMAT </w:instrText>
    </w:r>
    <w:r>
      <w:fldChar w:fldCharType="separate"/>
    </w:r>
    <w:r w:rsidR="00955236">
      <w:rPr>
        <w:noProof/>
      </w:rPr>
      <w:t>37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A5" w14:textId="77777777" w:rsidR="001E6994" w:rsidRPr="00833CBB" w:rsidRDefault="001E6994" w:rsidP="00B865A1">
    <w:pPr>
      <w:pStyle w:val="FooterEven"/>
      <w:jc w:val="right"/>
    </w:pPr>
    <w:r>
      <w:t xml:space="preserve">Page </w:t>
    </w:r>
    <w:r>
      <w:fldChar w:fldCharType="begin"/>
    </w:r>
    <w:r>
      <w:instrText xml:space="preserve"> PAGE  \* Arabic  \* MERGEFORMAT </w:instrText>
    </w:r>
    <w:r>
      <w:fldChar w:fldCharType="separate"/>
    </w:r>
    <w:r w:rsidR="00955236">
      <w:rPr>
        <w:noProof/>
      </w:rPr>
      <w:t>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A6" w14:textId="77777777" w:rsidR="001E6994" w:rsidRPr="00833CBB" w:rsidRDefault="001E6994" w:rsidP="00D20567">
    <w:pPr>
      <w:pStyle w:val="FooterOdd"/>
    </w:pPr>
    <w:r>
      <w:t xml:space="preserve">Page </w:t>
    </w:r>
    <w:r>
      <w:fldChar w:fldCharType="begin"/>
    </w:r>
    <w:r>
      <w:instrText xml:space="preserve"> PAGE  \* Arabic  \* MERGEFORMAT </w:instrText>
    </w:r>
    <w:r>
      <w:fldChar w:fldCharType="separate"/>
    </w:r>
    <w:r w:rsidR="00955236">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99" w14:textId="77777777" w:rsidR="001E6994" w:rsidRPr="007B5D85" w:rsidRDefault="001E6994" w:rsidP="009C21B9">
    <w:pPr>
      <w:pStyle w:val="FooterOdd"/>
      <w:rPr>
        <w:rStyle w:val="PageNumber"/>
        <w:rFonts w:ascii="Century Gothic" w:hAnsi="Century Gothic"/>
      </w:rPr>
    </w:pPr>
    <w:r w:rsidRPr="007B5D85">
      <w:t xml:space="preserve"> </w:t>
    </w:r>
    <w:r w:rsidRPr="007B5D85">
      <w:rPr>
        <w:rStyle w:val="PageNumber"/>
        <w:rFonts w:ascii="Century Gothic" w:hAnsi="Century Gothic"/>
      </w:rPr>
      <w:fldChar w:fldCharType="begin"/>
    </w:r>
    <w:r w:rsidRPr="007B5D85">
      <w:rPr>
        <w:rStyle w:val="PageNumber"/>
        <w:rFonts w:ascii="Century Gothic" w:hAnsi="Century Gothic"/>
      </w:rPr>
      <w:instrText xml:space="preserve"> PAGE </w:instrText>
    </w:r>
    <w:r w:rsidRPr="007B5D85">
      <w:rPr>
        <w:rStyle w:val="PageNumber"/>
        <w:rFonts w:ascii="Century Gothic" w:hAnsi="Century Gothic"/>
      </w:rPr>
      <w:fldChar w:fldCharType="separate"/>
    </w:r>
    <w:r>
      <w:rPr>
        <w:rStyle w:val="PageNumber"/>
        <w:rFonts w:ascii="Century Gothic" w:hAnsi="Century Gothic"/>
        <w:noProof/>
      </w:rPr>
      <w:t>2</w:t>
    </w:r>
    <w:r w:rsidRPr="007B5D85">
      <w:rPr>
        <w:rStyle w:val="PageNumber"/>
        <w:rFonts w:ascii="Century Gothic" w:hAnsi="Century Gothic"/>
      </w:rPr>
      <w:fldChar w:fldCharType="end"/>
    </w:r>
  </w:p>
  <w:p w14:paraId="103BF69A" w14:textId="77777777" w:rsidR="001E6994" w:rsidRPr="007B5D85" w:rsidRDefault="001E6994">
    <w:pPr>
      <w:pStyle w:val="SecurityClassificationFooter"/>
      <w:rPr>
        <w:rFonts w:ascii="Century Gothic" w:hAnsi="Century Gothic"/>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9C" w14:textId="77777777" w:rsidR="001E6994" w:rsidRPr="00FF0827" w:rsidRDefault="001E6994" w:rsidP="00D20567">
    <w:pPr>
      <w:pStyle w:val="FooterOdd"/>
    </w:pPr>
    <w:r w:rsidRPr="00147402">
      <w:t xml:space="preserve">Page </w:t>
    </w:r>
    <w:r w:rsidRPr="00147402">
      <w:rPr>
        <w:rStyle w:val="PageNumber"/>
        <w:rFonts w:ascii="Calibri" w:hAnsi="Calibri"/>
        <w:sz w:val="20"/>
      </w:rPr>
      <w:fldChar w:fldCharType="begin"/>
    </w:r>
    <w:r w:rsidRPr="00147402">
      <w:rPr>
        <w:rStyle w:val="PageNumber"/>
        <w:rFonts w:ascii="Calibri" w:hAnsi="Calibri"/>
        <w:sz w:val="20"/>
      </w:rPr>
      <w:instrText xml:space="preserve"> PAGE  \* roman </w:instrText>
    </w:r>
    <w:r w:rsidRPr="00147402">
      <w:rPr>
        <w:rStyle w:val="PageNumber"/>
        <w:rFonts w:ascii="Calibri" w:hAnsi="Calibri"/>
        <w:sz w:val="20"/>
      </w:rPr>
      <w:fldChar w:fldCharType="separate"/>
    </w:r>
    <w:r w:rsidR="00955236">
      <w:rPr>
        <w:rStyle w:val="PageNumber"/>
        <w:rFonts w:ascii="Calibri" w:hAnsi="Calibri"/>
        <w:noProof/>
        <w:sz w:val="20"/>
      </w:rPr>
      <w:t>vi</w:t>
    </w:r>
    <w:r w:rsidRPr="00147402">
      <w:rPr>
        <w:rStyle w:val="PageNumber"/>
        <w:rFonts w:ascii="Calibri" w:hAnsi="Calibri"/>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9E" w14:textId="77777777" w:rsidR="001E6994" w:rsidRPr="00D20567" w:rsidRDefault="001E6994" w:rsidP="00D20567">
    <w:pPr>
      <w:pStyle w:val="FooterOdd"/>
    </w:pPr>
    <w:r w:rsidRPr="00D20567">
      <w:t xml:space="preserve">Page </w:t>
    </w:r>
    <w:r w:rsidRPr="00D20567">
      <w:rPr>
        <w:rStyle w:val="PageNumber"/>
        <w:rFonts w:ascii="Calibri" w:hAnsi="Calibri"/>
        <w:sz w:val="20"/>
      </w:rPr>
      <w:fldChar w:fldCharType="begin"/>
    </w:r>
    <w:r w:rsidRPr="00D20567">
      <w:rPr>
        <w:rStyle w:val="PageNumber"/>
        <w:rFonts w:ascii="Calibri" w:hAnsi="Calibri"/>
        <w:sz w:val="20"/>
      </w:rPr>
      <w:instrText xml:space="preserve"> PAGE  \* roman </w:instrText>
    </w:r>
    <w:r w:rsidRPr="00D20567">
      <w:rPr>
        <w:rStyle w:val="PageNumber"/>
        <w:rFonts w:ascii="Calibri" w:hAnsi="Calibri"/>
        <w:sz w:val="20"/>
      </w:rPr>
      <w:fldChar w:fldCharType="separate"/>
    </w:r>
    <w:r w:rsidR="00955236">
      <w:rPr>
        <w:rStyle w:val="PageNumber"/>
        <w:rFonts w:ascii="Calibri" w:hAnsi="Calibri"/>
        <w:noProof/>
        <w:sz w:val="20"/>
      </w:rPr>
      <w:t>iii</w:t>
    </w:r>
    <w:r w:rsidRPr="00D20567">
      <w:rPr>
        <w:rStyle w:val="PageNumber"/>
        <w:rFonts w:ascii="Calibri" w:hAnsi="Calibri"/>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9F" w14:textId="77777777" w:rsidR="001E6994" w:rsidRDefault="001E6994" w:rsidP="00D20567">
    <w:pPr>
      <w:pStyle w:val="FooterOdd"/>
      <w:jc w:val="both"/>
    </w:pPr>
    <w:r w:rsidRPr="00147402">
      <w:t xml:space="preserve">Page </w:t>
    </w:r>
    <w:r>
      <w:rPr>
        <w:rStyle w:val="PageNumber"/>
        <w:rFonts w:ascii="Calibri" w:hAnsi="Calibri"/>
        <w:sz w:val="20"/>
      </w:rPr>
      <w:fldChar w:fldCharType="begin"/>
    </w:r>
    <w:r>
      <w:rPr>
        <w:rStyle w:val="PageNumber"/>
        <w:rFonts w:ascii="Calibri" w:hAnsi="Calibri"/>
        <w:sz w:val="20"/>
      </w:rPr>
      <w:instrText xml:space="preserve"> PAGE  \* roman  \* MERGEFORMAT </w:instrText>
    </w:r>
    <w:r>
      <w:rPr>
        <w:rStyle w:val="PageNumber"/>
        <w:rFonts w:ascii="Calibri" w:hAnsi="Calibri"/>
        <w:sz w:val="20"/>
      </w:rPr>
      <w:fldChar w:fldCharType="separate"/>
    </w:r>
    <w:r>
      <w:rPr>
        <w:rStyle w:val="PageNumber"/>
        <w:rFonts w:ascii="Calibri" w:hAnsi="Calibri"/>
        <w:noProof/>
        <w:sz w:val="20"/>
      </w:rPr>
      <w:t>xxxix</w:t>
    </w:r>
    <w:r>
      <w:rPr>
        <w:rStyle w:val="PageNumber"/>
        <w:rFonts w:ascii="Calibri" w:hAnsi="Calibri"/>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A0" w14:textId="77777777" w:rsidR="001E6994" w:rsidRDefault="001E6994" w:rsidP="00D20567">
    <w:pPr>
      <w:pStyle w:val="FooterOdd"/>
    </w:pPr>
    <w:r w:rsidRPr="00147402">
      <w:t>Page</w:t>
    </w:r>
    <w:r>
      <w:t xml:space="preserve"> </w:t>
    </w:r>
    <w:r>
      <w:rPr>
        <w:rStyle w:val="PageNumber"/>
        <w:rFonts w:ascii="Calibri" w:hAnsi="Calibri"/>
        <w:sz w:val="20"/>
      </w:rPr>
      <w:fldChar w:fldCharType="begin"/>
    </w:r>
    <w:r>
      <w:rPr>
        <w:rStyle w:val="PageNumber"/>
        <w:rFonts w:ascii="Calibri" w:hAnsi="Calibri"/>
        <w:sz w:val="20"/>
      </w:rPr>
      <w:instrText xml:space="preserve"> PAGE  \* roman  \* MERGEFORMAT </w:instrText>
    </w:r>
    <w:r>
      <w:rPr>
        <w:rStyle w:val="PageNumber"/>
        <w:rFonts w:ascii="Calibri" w:hAnsi="Calibri"/>
        <w:sz w:val="20"/>
      </w:rPr>
      <w:fldChar w:fldCharType="separate"/>
    </w:r>
    <w:r w:rsidR="00955236">
      <w:rPr>
        <w:rStyle w:val="PageNumber"/>
        <w:rFonts w:ascii="Calibri" w:hAnsi="Calibri"/>
        <w:noProof/>
        <w:sz w:val="20"/>
      </w:rPr>
      <w:t>vii</w:t>
    </w:r>
    <w:r>
      <w:rPr>
        <w:rStyle w:val="PageNumber"/>
        <w:rFonts w:ascii="Calibri" w:hAnsi="Calibri"/>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A1" w14:textId="77777777" w:rsidR="001E6994" w:rsidRPr="00833CBB" w:rsidRDefault="001E6994" w:rsidP="00D20567">
    <w:pPr>
      <w:pStyle w:val="FooterOdd"/>
    </w:pPr>
    <w:r>
      <w:t xml:space="preserve">Page </w:t>
    </w:r>
    <w:r>
      <w:fldChar w:fldCharType="begin"/>
    </w:r>
    <w:r>
      <w:instrText xml:space="preserve"> PAGE  \* Arabic  \* MERGEFORMAT </w:instrText>
    </w:r>
    <w:r>
      <w:fldChar w:fldCharType="separate"/>
    </w:r>
    <w:r w:rsidR="00955236">
      <w:rPr>
        <w:noProof/>
      </w:rPr>
      <w:t>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A2" w14:textId="77777777" w:rsidR="001E6994" w:rsidRPr="00833CBB" w:rsidRDefault="001E6994" w:rsidP="00D20567">
    <w:pPr>
      <w:pStyle w:val="FooterOdd"/>
    </w:pPr>
    <w:r>
      <w:t xml:space="preserve">Page </w:t>
    </w:r>
    <w:r>
      <w:fldChar w:fldCharType="begin"/>
    </w:r>
    <w:r>
      <w:instrText xml:space="preserve"> PAGE  \* Arabic  \* MERGEFORMAT </w:instrText>
    </w:r>
    <w:r>
      <w:fldChar w:fldCharType="separate"/>
    </w:r>
    <w:r w:rsidR="00955236">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A3" w14:textId="77777777" w:rsidR="001E6994" w:rsidRPr="00833CBB" w:rsidRDefault="001E6994" w:rsidP="00697994">
    <w:pPr>
      <w:pStyle w:val="FooterEven"/>
      <w:jc w:val="right"/>
    </w:pPr>
    <w:r>
      <w:t xml:space="preserve">Page </w:t>
    </w:r>
    <w:r>
      <w:fldChar w:fldCharType="begin"/>
    </w:r>
    <w:r>
      <w:instrText xml:space="preserve"> PAGE  \* Arabic  \* MERGEFORMAT </w:instrText>
    </w:r>
    <w:r>
      <w:fldChar w:fldCharType="separate"/>
    </w:r>
    <w:r w:rsidR="0095523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BF692" w14:textId="77777777" w:rsidR="001E6994" w:rsidRDefault="001E6994">
      <w:pPr>
        <w:spacing w:after="0" w:line="240" w:lineRule="auto"/>
      </w:pPr>
      <w:r>
        <w:separator/>
      </w:r>
    </w:p>
  </w:footnote>
  <w:footnote w:type="continuationSeparator" w:id="0">
    <w:p w14:paraId="103BF693" w14:textId="77777777" w:rsidR="001E6994" w:rsidRDefault="001E6994">
      <w:pPr>
        <w:spacing w:after="0" w:line="240" w:lineRule="auto"/>
      </w:pPr>
      <w:r>
        <w:continuationSeparator/>
      </w:r>
    </w:p>
  </w:footnote>
  <w:footnote w:type="continuationNotice" w:id="1">
    <w:p w14:paraId="103BF694" w14:textId="77777777" w:rsidR="001E6994" w:rsidRDefault="001E6994">
      <w:pPr>
        <w:spacing w:after="0" w:line="240" w:lineRule="auto"/>
      </w:pPr>
    </w:p>
  </w:footnote>
  <w:footnote w:id="2">
    <w:p w14:paraId="103BF6A9" w14:textId="77777777" w:rsidR="001E6994" w:rsidRPr="00E80530" w:rsidRDefault="001E6994" w:rsidP="00E80530">
      <w:pPr>
        <w:pStyle w:val="FootnoteText"/>
      </w:pPr>
      <w:r w:rsidRPr="00E80530">
        <w:rPr>
          <w:rStyle w:val="FootnoteReference"/>
          <w:vertAlign w:val="baseline"/>
        </w:rPr>
        <w:footnoteRef/>
      </w:r>
      <w:r w:rsidRPr="00E80530">
        <w:t xml:space="preserve"> </w:t>
      </w:r>
      <w:r>
        <w:tab/>
      </w:r>
      <w:r w:rsidRPr="00E80530">
        <w:t>http://ogpau.pmc.gov.au/2016/12/07/australias-first-national-action-plan-submitted</w:t>
      </w:r>
    </w:p>
  </w:footnote>
  <w:footnote w:id="3">
    <w:p w14:paraId="103BF6AA" w14:textId="77777777" w:rsidR="001E6994" w:rsidRPr="00E80530" w:rsidRDefault="001E6994" w:rsidP="00E80530">
      <w:pPr>
        <w:pStyle w:val="FootnoteText"/>
        <w:tabs>
          <w:tab w:val="left" w:pos="720"/>
        </w:tabs>
      </w:pPr>
      <w:r w:rsidRPr="00E80530">
        <w:rPr>
          <w:rStyle w:val="FootnoteReference"/>
          <w:szCs w:val="18"/>
          <w:vertAlign w:val="baseline"/>
        </w:rPr>
        <w:footnoteRef/>
      </w:r>
      <w:r>
        <w:tab/>
        <w:t>D</w:t>
      </w:r>
      <w:r w:rsidRPr="00E80530">
        <w:t>iscriminatory treatment, termination of employment or seeking to enforce some other contractual remedy (such as damages for breach of contract) and physical injury or intimidation</w:t>
      </w:r>
    </w:p>
  </w:footnote>
  <w:footnote w:id="4">
    <w:p w14:paraId="103BF6AB" w14:textId="77777777" w:rsidR="001E6994" w:rsidRPr="00E80530" w:rsidRDefault="001E6994" w:rsidP="00E80530">
      <w:pPr>
        <w:pStyle w:val="FootnoteText"/>
      </w:pPr>
      <w:r w:rsidRPr="00E80530">
        <w:rPr>
          <w:rStyle w:val="FootnoteReference"/>
          <w:szCs w:val="18"/>
          <w:vertAlign w:val="baseline"/>
        </w:rPr>
        <w:footnoteRef/>
      </w:r>
      <w:r w:rsidRPr="00E80530">
        <w:t xml:space="preserve"> </w:t>
      </w:r>
      <w:r>
        <w:tab/>
      </w:r>
      <w:proofErr w:type="gramStart"/>
      <w:r w:rsidRPr="00E80530">
        <w:t>Including disciplinary action, defamation and banning, but not actions for perjury.</w:t>
      </w:r>
      <w:proofErr w:type="gramEnd"/>
    </w:p>
  </w:footnote>
  <w:footnote w:id="5">
    <w:p w14:paraId="103BF6AC" w14:textId="77777777" w:rsidR="001E6994" w:rsidRPr="00E80530" w:rsidRDefault="001E6994" w:rsidP="00E80530">
      <w:pPr>
        <w:pStyle w:val="FootnoteText"/>
        <w:rPr>
          <w:lang w:val="en-US"/>
        </w:rPr>
      </w:pPr>
      <w:r w:rsidRPr="00E80530">
        <w:rPr>
          <w:rStyle w:val="FootnoteReference"/>
          <w:vertAlign w:val="baseline"/>
        </w:rPr>
        <w:footnoteRef/>
      </w:r>
      <w:r w:rsidRPr="00E80530">
        <w:t xml:space="preserve"> </w:t>
      </w:r>
      <w:r w:rsidRPr="00E80530">
        <w:tab/>
        <w:t xml:space="preserve">We have refrained from undertaking any critique of overseas regimes as this task is beyond the scope of this paper and it </w:t>
      </w:r>
      <w:r>
        <w:t xml:space="preserve">is </w:t>
      </w:r>
      <w:r w:rsidRPr="00E80530">
        <w:t>inappropriate for the Government to comment upon the efficacy of law in foreign jurisdictions. Academic analyses exist and can readily be located via internet.</w:t>
      </w:r>
    </w:p>
  </w:footnote>
  <w:footnote w:id="6">
    <w:p w14:paraId="103BF6AD" w14:textId="77777777" w:rsidR="001E6994" w:rsidRPr="00E80530" w:rsidRDefault="001E6994" w:rsidP="00E80530">
      <w:pPr>
        <w:pStyle w:val="FootnoteText"/>
      </w:pPr>
      <w:r w:rsidRPr="00E80530">
        <w:rPr>
          <w:rStyle w:val="FootnoteReference"/>
          <w:vertAlign w:val="baseline"/>
        </w:rPr>
        <w:footnoteRef/>
      </w:r>
      <w:r w:rsidRPr="00E80530">
        <w:t xml:space="preserve"> </w:t>
      </w:r>
      <w:r>
        <w:tab/>
      </w:r>
      <w:r w:rsidRPr="00E80530">
        <w:t>There are three tiers of disclosure: (i) to employers or other responsible persons, (ii) to prescribed persons</w:t>
      </w:r>
      <w:r w:rsidRPr="00E80530" w:rsidDel="00B65404">
        <w:t xml:space="preserve"> </w:t>
      </w:r>
      <w:proofErr w:type="spellStart"/>
      <w:r w:rsidRPr="00E80530" w:rsidDel="00B65404">
        <w:t>e.g.</w:t>
      </w:r>
      <w:r>
        <w:t>for</w:t>
      </w:r>
      <w:proofErr w:type="spellEnd"/>
      <w:r>
        <w:t xml:space="preserve"> example, </w:t>
      </w:r>
      <w:r w:rsidRPr="00E80530">
        <w:t>Financial Conduct Authority, and (iii) other cases.</w:t>
      </w:r>
    </w:p>
  </w:footnote>
  <w:footnote w:id="7">
    <w:p w14:paraId="103BF6AE" w14:textId="77777777" w:rsidR="001E6994" w:rsidRPr="00E80530" w:rsidRDefault="001E6994" w:rsidP="00E80530">
      <w:pPr>
        <w:pStyle w:val="FootnoteText"/>
      </w:pPr>
      <w:r w:rsidRPr="00E80530">
        <w:rPr>
          <w:rStyle w:val="FootnoteReference"/>
          <w:vertAlign w:val="baseline"/>
        </w:rPr>
        <w:footnoteRef/>
      </w:r>
      <w:r w:rsidRPr="00E80530">
        <w:t xml:space="preserve"> </w:t>
      </w:r>
      <w:r>
        <w:tab/>
      </w:r>
      <w:r w:rsidRPr="00E80530">
        <w:t xml:space="preserve">The WPA does not apply to federal workers employed by the Postal Service or the Postal Rate Commission, the Government Accountability Office, the Federal Bureau of Investigation, the Central Intelligence Agency, the </w:t>
      </w:r>
      <w:proofErr w:type="spellStart"/>
      <w:r w:rsidRPr="00E80530">
        <w:t>Defense</w:t>
      </w:r>
      <w:proofErr w:type="spellEnd"/>
      <w:r w:rsidRPr="00E80530">
        <w:t xml:space="preserve"> Intelligence Agency, the National Imagery and Mapping Agency, the National Security Agency, and any other executive entity that the President determines primarily conducts foreign intelligence or counter-intelligence activities</w:t>
      </w:r>
    </w:p>
  </w:footnote>
  <w:footnote w:id="8">
    <w:p w14:paraId="103BF6AF" w14:textId="77777777" w:rsidR="001E6994" w:rsidRPr="00E80530" w:rsidRDefault="001E6994" w:rsidP="00E80530">
      <w:pPr>
        <w:pStyle w:val="FootnoteText"/>
      </w:pPr>
      <w:r w:rsidRPr="00E80530">
        <w:rPr>
          <w:rStyle w:val="FootnoteReference"/>
          <w:vertAlign w:val="baseline"/>
        </w:rPr>
        <w:footnoteRef/>
      </w:r>
      <w:r w:rsidRPr="00E80530">
        <w:t xml:space="preserve"> </w:t>
      </w:r>
      <w:r>
        <w:tab/>
      </w:r>
      <w:r w:rsidRPr="00E80530">
        <w:t xml:space="preserve">Project on Government Oversight, 2012, </w:t>
      </w:r>
      <w:proofErr w:type="spellStart"/>
      <w:r w:rsidRPr="00E80530">
        <w:rPr>
          <w:i/>
        </w:rPr>
        <w:t>Whistleblower</w:t>
      </w:r>
      <w:proofErr w:type="spellEnd"/>
      <w:r w:rsidRPr="00E80530">
        <w:rPr>
          <w:i/>
        </w:rPr>
        <w:t xml:space="preserve"> Protection Enhancement Act Summary of Reforms</w:t>
      </w:r>
    </w:p>
  </w:footnote>
  <w:footnote w:id="9">
    <w:p w14:paraId="103BF6B0" w14:textId="77777777" w:rsidR="001E6994" w:rsidRPr="00F15A1A" w:rsidRDefault="001E6994">
      <w:pPr>
        <w:pStyle w:val="FootnoteText"/>
        <w:rPr>
          <w:i/>
        </w:rPr>
      </w:pPr>
      <w:r w:rsidRPr="00E80530">
        <w:rPr>
          <w:rStyle w:val="FootnoteReference"/>
          <w:vertAlign w:val="baseline"/>
        </w:rPr>
        <w:footnoteRef/>
      </w:r>
      <w:r w:rsidRPr="00E80530">
        <w:t xml:space="preserve"> </w:t>
      </w:r>
      <w:r>
        <w:tab/>
      </w:r>
      <w:r w:rsidRPr="00F15A1A">
        <w:t xml:space="preserve">Simon Wolfe, Mark Worth, </w:t>
      </w:r>
      <w:proofErr w:type="spellStart"/>
      <w:r w:rsidRPr="00F15A1A">
        <w:t>Suelette</w:t>
      </w:r>
      <w:proofErr w:type="spellEnd"/>
      <w:r w:rsidRPr="00F15A1A">
        <w:t xml:space="preserve"> Dreyfus and A J Brown, 2014, </w:t>
      </w:r>
      <w:proofErr w:type="spellStart"/>
      <w:r w:rsidRPr="00F15A1A">
        <w:rPr>
          <w:i/>
        </w:rPr>
        <w:t>Whistleblower</w:t>
      </w:r>
      <w:proofErr w:type="spellEnd"/>
      <w:r w:rsidRPr="00F15A1A">
        <w:rPr>
          <w:i/>
        </w:rPr>
        <w:t xml:space="preserve"> Protection Laws in G20 Countries: Priorities for Action</w:t>
      </w:r>
    </w:p>
  </w:footnote>
  <w:footnote w:id="10">
    <w:p w14:paraId="103BF6B1" w14:textId="77777777" w:rsidR="001E6994" w:rsidRPr="00E80530" w:rsidRDefault="001E6994" w:rsidP="00E80530">
      <w:pPr>
        <w:pStyle w:val="FootnoteText"/>
        <w:rPr>
          <w:lang w:val="en-US"/>
        </w:rPr>
      </w:pPr>
      <w:r w:rsidRPr="00E80530">
        <w:rPr>
          <w:rStyle w:val="FootnoteReference"/>
          <w:vertAlign w:val="baseline"/>
        </w:rPr>
        <w:footnoteRef/>
      </w:r>
      <w:r w:rsidRPr="00E80530">
        <w:t xml:space="preserve"> </w:t>
      </w:r>
      <w:r>
        <w:tab/>
      </w:r>
      <w:r w:rsidRPr="00E80530">
        <w:rPr>
          <w:lang w:val="en-US"/>
        </w:rPr>
        <w:t>APRA has noted that similar offences under the Life Insurance Act (and by implication the Corporations Act and other like financial system legislation) should be reviewed as they may result in perverse outcomes</w:t>
      </w:r>
      <w:r>
        <w:rPr>
          <w:lang w:val="en-US"/>
        </w:rPr>
        <w:t xml:space="preserve">, that is, </w:t>
      </w:r>
      <w:r w:rsidRPr="00E80530">
        <w:rPr>
          <w:lang w:val="en-US"/>
        </w:rPr>
        <w:t xml:space="preserve">the prohibitions on wider dissemination might inhibit companies and regulators from investigating issues which are the subject of disclosures if they feel they cannot share information about the disclosure with others to facilitate investigation without committing an offence </w:t>
      </w:r>
    </w:p>
  </w:footnote>
  <w:footnote w:id="11">
    <w:p w14:paraId="103BF6B2" w14:textId="77777777" w:rsidR="001E6994" w:rsidRPr="00E80530" w:rsidRDefault="001E6994" w:rsidP="00E80530">
      <w:pPr>
        <w:pStyle w:val="FootnoteText"/>
        <w:rPr>
          <w:lang w:val="en-US"/>
        </w:rPr>
      </w:pPr>
      <w:r w:rsidRPr="00E80530">
        <w:rPr>
          <w:rStyle w:val="FootnoteReference"/>
          <w:vertAlign w:val="baseline"/>
        </w:rPr>
        <w:footnoteRef/>
      </w:r>
      <w:r w:rsidRPr="00E80530">
        <w:t xml:space="preserve"> </w:t>
      </w:r>
      <w:r w:rsidRPr="00E80530">
        <w:rPr>
          <w:lang w:val="en-US"/>
        </w:rPr>
        <w:tab/>
        <w:t xml:space="preserve">Officers includes directors, company secretaries, senior executives and anyone else falling within the definition of </w:t>
      </w:r>
      <w:r>
        <w:rPr>
          <w:lang w:val="en-US"/>
        </w:rPr>
        <w:t>‘</w:t>
      </w:r>
      <w:r w:rsidRPr="00E80530">
        <w:rPr>
          <w:lang w:val="en-US"/>
        </w:rPr>
        <w:t>officer</w:t>
      </w:r>
      <w:r>
        <w:rPr>
          <w:lang w:val="en-US"/>
        </w:rPr>
        <w:t>’</w:t>
      </w:r>
      <w:r w:rsidRPr="00E80530">
        <w:rPr>
          <w:lang w:val="en-US"/>
        </w:rPr>
        <w:t xml:space="preserve"> in s.9 of the Corporations Act, which includes shadow directors.  </w:t>
      </w:r>
    </w:p>
  </w:footnote>
  <w:footnote w:id="12">
    <w:p w14:paraId="103BF6B3" w14:textId="77777777" w:rsidR="001E6994" w:rsidRPr="00E80530" w:rsidRDefault="001E6994" w:rsidP="00E80530">
      <w:pPr>
        <w:pStyle w:val="FootnoteText"/>
        <w:rPr>
          <w:lang w:val="en-US"/>
        </w:rPr>
      </w:pPr>
      <w:r w:rsidRPr="00E80530">
        <w:rPr>
          <w:rStyle w:val="FootnoteReference"/>
          <w:vertAlign w:val="baseline"/>
        </w:rPr>
        <w:footnoteRef/>
      </w:r>
      <w:r w:rsidRPr="00E80530">
        <w:t xml:space="preserve"> </w:t>
      </w:r>
      <w:r w:rsidRPr="00E80530">
        <w:rPr>
          <w:lang w:val="en-US"/>
        </w:rPr>
        <w:tab/>
        <w:t xml:space="preserve">Ordinarily, matters discussed with lawyers are subject to legal professional privilege and a lawyer is duty bound to refrain from making any disclosure. However, legal professional privilege is not absolute – it does not apply in cases of illegality for instance, or where it is </w:t>
      </w:r>
      <w:r>
        <w:rPr>
          <w:lang w:val="en-US"/>
        </w:rPr>
        <w:t>expressly</w:t>
      </w:r>
      <w:r w:rsidRPr="00E80530">
        <w:rPr>
          <w:lang w:val="en-US"/>
        </w:rPr>
        <w:t xml:space="preserve"> abrogated by statute.</w:t>
      </w:r>
    </w:p>
  </w:footnote>
  <w:footnote w:id="13">
    <w:p w14:paraId="103BF6B4" w14:textId="77777777" w:rsidR="001E6994" w:rsidRPr="00E80530" w:rsidRDefault="001E6994" w:rsidP="00E80530">
      <w:pPr>
        <w:pStyle w:val="FootnoteText"/>
        <w:rPr>
          <w:lang w:val="en-US"/>
        </w:rPr>
      </w:pPr>
      <w:r w:rsidRPr="00E80530">
        <w:rPr>
          <w:rStyle w:val="FootnoteReference"/>
          <w:vertAlign w:val="baseline"/>
        </w:rPr>
        <w:footnoteRef/>
      </w:r>
      <w:r w:rsidRPr="00E80530">
        <w:t xml:space="preserve"> </w:t>
      </w:r>
      <w:r w:rsidRPr="00E80530">
        <w:rPr>
          <w:lang w:val="en-US"/>
        </w:rPr>
        <w:tab/>
        <w:t>Defined in s.9 of the Corporations Act as being that Act, the ASIC Act and any court rules made under a provision of the former Act.</w:t>
      </w:r>
    </w:p>
  </w:footnote>
  <w:footnote w:id="14">
    <w:p w14:paraId="103BF6B5" w14:textId="77777777" w:rsidR="001E6994" w:rsidRPr="00E80530" w:rsidRDefault="001E6994" w:rsidP="00E80530">
      <w:pPr>
        <w:pStyle w:val="FootnoteText"/>
        <w:rPr>
          <w:lang w:val="en-US"/>
        </w:rPr>
      </w:pPr>
      <w:r w:rsidRPr="00E80530">
        <w:rPr>
          <w:rStyle w:val="FootnoteReference"/>
          <w:vertAlign w:val="baseline"/>
        </w:rPr>
        <w:footnoteRef/>
      </w:r>
      <w:r w:rsidRPr="00E80530">
        <w:t xml:space="preserve"> </w:t>
      </w:r>
      <w:r w:rsidRPr="00E80530">
        <w:rPr>
          <w:lang w:val="en-US"/>
        </w:rPr>
        <w:tab/>
      </w:r>
      <w:r w:rsidRPr="00FB55ED">
        <w:rPr>
          <w:lang w:val="en-US"/>
        </w:rPr>
        <w:t xml:space="preserve">These reports are required to be made under the </w:t>
      </w:r>
      <w:r w:rsidRPr="004E2093">
        <w:rPr>
          <w:i/>
          <w:lang w:val="en-US"/>
        </w:rPr>
        <w:t xml:space="preserve">Financial Transaction Reports Act </w:t>
      </w:r>
      <w:r w:rsidRPr="00FB55ED">
        <w:rPr>
          <w:lang w:val="en-US"/>
        </w:rPr>
        <w:t>1988 in respect of transactions which might be relevant to an investigation of tax evasion, the prosecution of any person for an offence under any</w:t>
      </w:r>
      <w:r>
        <w:rPr>
          <w:lang w:val="en-US"/>
        </w:rPr>
        <w:t xml:space="preserve"> law of the Commonwealth or Territory</w:t>
      </w:r>
      <w:r w:rsidRPr="00FB55ED">
        <w:rPr>
          <w:lang w:val="en-US"/>
        </w:rPr>
        <w:t xml:space="preserve"> or relevant to enforcement of the proceeds of crime legislation</w:t>
      </w:r>
      <w:r>
        <w:rPr>
          <w:lang w:val="en-US"/>
        </w:rPr>
        <w:t>.</w:t>
      </w:r>
    </w:p>
  </w:footnote>
  <w:footnote w:id="15">
    <w:p w14:paraId="103BF6B6" w14:textId="77777777" w:rsidR="001E6994" w:rsidRPr="00E80530" w:rsidRDefault="001E6994" w:rsidP="00E80530">
      <w:pPr>
        <w:pStyle w:val="FootnoteText"/>
        <w:rPr>
          <w:lang w:val="en-US"/>
        </w:rPr>
      </w:pPr>
      <w:r w:rsidRPr="00E80530">
        <w:rPr>
          <w:rStyle w:val="FootnoteReference"/>
          <w:vertAlign w:val="baseline"/>
        </w:rPr>
        <w:footnoteRef/>
      </w:r>
      <w:r w:rsidRPr="00E80530">
        <w:t xml:space="preserve"> </w:t>
      </w:r>
      <w:r w:rsidRPr="00E80530">
        <w:rPr>
          <w:lang w:val="en-US"/>
        </w:rPr>
        <w:tab/>
      </w:r>
      <w:r>
        <w:rPr>
          <w:lang w:val="en-US"/>
        </w:rPr>
        <w:t>For example,</w:t>
      </w:r>
      <w:r w:rsidRPr="00FB55ED">
        <w:rPr>
          <w:lang w:val="en-US"/>
        </w:rPr>
        <w:t xml:space="preserve"> Brown, A. J., Lewis, D., Moberly, R. &amp; </w:t>
      </w:r>
      <w:proofErr w:type="spellStart"/>
      <w:r w:rsidRPr="00FB55ED">
        <w:rPr>
          <w:lang w:val="en-US"/>
        </w:rPr>
        <w:t>Vandekerckhove</w:t>
      </w:r>
      <w:proofErr w:type="spellEnd"/>
      <w:r w:rsidRPr="00FB55ED">
        <w:rPr>
          <w:lang w:val="en-US"/>
        </w:rPr>
        <w:t>, W. (</w:t>
      </w:r>
      <w:proofErr w:type="spellStart"/>
      <w:proofErr w:type="gramStart"/>
      <w:r w:rsidRPr="00FB55ED">
        <w:rPr>
          <w:lang w:val="en-US"/>
        </w:rPr>
        <w:t>eds</w:t>
      </w:r>
      <w:proofErr w:type="spellEnd"/>
      <w:proofErr w:type="gramEnd"/>
      <w:r w:rsidRPr="00FB55ED">
        <w:rPr>
          <w:lang w:val="en-US"/>
        </w:rPr>
        <w:t>), 2014, The International Handbook on Whistleblowing Research, Edward Elgar</w:t>
      </w:r>
      <w:r>
        <w:rPr>
          <w:lang w:val="en-US"/>
        </w:rPr>
        <w:t>.</w:t>
      </w:r>
    </w:p>
  </w:footnote>
  <w:footnote w:id="16">
    <w:p w14:paraId="103BF6B7" w14:textId="77777777" w:rsidR="001E6994" w:rsidRPr="00E80530" w:rsidRDefault="001E6994" w:rsidP="00E80530">
      <w:pPr>
        <w:pStyle w:val="FootnoteText"/>
        <w:rPr>
          <w:lang w:val="en-US"/>
        </w:rPr>
      </w:pPr>
      <w:r w:rsidRPr="00E80530">
        <w:rPr>
          <w:rStyle w:val="FootnoteReference"/>
          <w:vertAlign w:val="baseline"/>
        </w:rPr>
        <w:footnoteRef/>
      </w:r>
      <w:r w:rsidRPr="00E80530">
        <w:t xml:space="preserve"> </w:t>
      </w:r>
      <w:r w:rsidRPr="00E80530">
        <w:rPr>
          <w:lang w:val="en-US"/>
        </w:rPr>
        <w:tab/>
        <w:t>S.912D, Corporations Act. Note the breach reporting requirements for licensees under this provision are to be reviewed by the ASIC Enforcement Review Taskforce in early 2017</w:t>
      </w:r>
      <w:r>
        <w:rPr>
          <w:lang w:val="en-US"/>
        </w:rPr>
        <w:t xml:space="preserve"> </w:t>
      </w:r>
      <w:r w:rsidRPr="00E80530">
        <w:rPr>
          <w:lang w:val="en-US"/>
        </w:rPr>
        <w:t>and may change.</w:t>
      </w:r>
    </w:p>
  </w:footnote>
  <w:footnote w:id="17">
    <w:p w14:paraId="103BF6B8" w14:textId="77777777" w:rsidR="001E6994" w:rsidRPr="00E80530" w:rsidRDefault="001E6994" w:rsidP="00E80530">
      <w:pPr>
        <w:pStyle w:val="FootnoteText"/>
      </w:pPr>
      <w:r w:rsidRPr="00E80530">
        <w:rPr>
          <w:rStyle w:val="FootnoteReference"/>
          <w:vertAlign w:val="baseline"/>
        </w:rPr>
        <w:footnoteRef/>
      </w:r>
      <w:r w:rsidRPr="00E80530">
        <w:t xml:space="preserve"> </w:t>
      </w:r>
      <w:r>
        <w:tab/>
      </w:r>
      <w:r w:rsidRPr="00E80530">
        <w:t>PRA Supervisory Statement SS39/15, Page 5</w:t>
      </w:r>
    </w:p>
  </w:footnote>
  <w:footnote w:id="18">
    <w:p w14:paraId="103BF6B9" w14:textId="77777777" w:rsidR="001E6994" w:rsidRDefault="001E6994">
      <w:pPr>
        <w:pStyle w:val="FootnoteText"/>
      </w:pPr>
      <w:r w:rsidRPr="007528DE">
        <w:rPr>
          <w:rStyle w:val="FootnoteReference"/>
          <w:vertAlign w:val="baseline"/>
        </w:rPr>
        <w:footnoteRef/>
      </w:r>
      <w:r w:rsidRPr="00111D1A">
        <w:rPr>
          <w:rStyle w:val="FootnoteReference"/>
          <w:vertAlign w:val="baseline"/>
        </w:rPr>
        <w:t xml:space="preserve"> Currently under review – see the Interim Report of the External Dispute Resolution Review (ak</w:t>
      </w:r>
      <w:r>
        <w:rPr>
          <w:rStyle w:val="FootnoteReference"/>
          <w:vertAlign w:val="baseline"/>
        </w:rPr>
        <w:t xml:space="preserve">a the Ramsey </w:t>
      </w:r>
      <w:r w:rsidRPr="00111D1A">
        <w:rPr>
          <w:rStyle w:val="FootnoteReference"/>
          <w:vertAlign w:val="baseline"/>
        </w:rPr>
        <w:t>Review) published on 6 December 2016.</w:t>
      </w:r>
    </w:p>
  </w:footnote>
  <w:footnote w:id="19">
    <w:p w14:paraId="103BF6BA" w14:textId="77777777" w:rsidR="001E6994" w:rsidRPr="00E80530" w:rsidRDefault="001E6994" w:rsidP="00E80530">
      <w:pPr>
        <w:pStyle w:val="FootnoteText"/>
      </w:pPr>
      <w:r w:rsidRPr="00E80530">
        <w:rPr>
          <w:rStyle w:val="FootnoteReference"/>
          <w:vertAlign w:val="baseline"/>
        </w:rPr>
        <w:footnoteRef/>
      </w:r>
      <w:r w:rsidRPr="00E80530">
        <w:t xml:space="preserve"> </w:t>
      </w:r>
      <w:r>
        <w:tab/>
      </w:r>
      <w:proofErr w:type="gramStart"/>
      <w:r>
        <w:t xml:space="preserve">For example, </w:t>
      </w:r>
      <w:proofErr w:type="spellStart"/>
      <w:r w:rsidRPr="00E80530">
        <w:t>Mavrakis</w:t>
      </w:r>
      <w:proofErr w:type="spellEnd"/>
      <w:r w:rsidRPr="00E80530">
        <w:t xml:space="preserve"> and Legg, 2011, </w:t>
      </w:r>
      <w:r w:rsidRPr="00E80530">
        <w:rPr>
          <w:i/>
        </w:rPr>
        <w:t xml:space="preserve">Preparing for the Impact of US Securities </w:t>
      </w:r>
      <w:proofErr w:type="spellStart"/>
      <w:r w:rsidRPr="00E80530">
        <w:rPr>
          <w:i/>
        </w:rPr>
        <w:t>Whistleblower</w:t>
      </w:r>
      <w:proofErr w:type="spellEnd"/>
      <w:r w:rsidRPr="00E80530">
        <w:rPr>
          <w:i/>
        </w:rPr>
        <w:t xml:space="preserve"> Reforms – Employees Become Bounty Hunters</w:t>
      </w:r>
      <w:r w:rsidRPr="00E80530">
        <w:t xml:space="preserve">, 14 </w:t>
      </w:r>
      <w:proofErr w:type="spellStart"/>
      <w:r w:rsidRPr="00E80530">
        <w:t>Inhouse</w:t>
      </w:r>
      <w:proofErr w:type="spellEnd"/>
      <w:r w:rsidRPr="00E80530">
        <w:t xml:space="preserve"> Counsel 193.</w:t>
      </w:r>
      <w:proofErr w:type="gramEnd"/>
    </w:p>
  </w:footnote>
  <w:footnote w:id="20">
    <w:p w14:paraId="103BF6BB" w14:textId="77777777" w:rsidR="001E6994" w:rsidRPr="00E80530" w:rsidRDefault="001E6994" w:rsidP="00E80530">
      <w:pPr>
        <w:pStyle w:val="FootnoteText"/>
        <w:jc w:val="left"/>
      </w:pPr>
      <w:r w:rsidRPr="00E80530">
        <w:rPr>
          <w:rStyle w:val="FootnoteReference"/>
          <w:vertAlign w:val="baseline"/>
        </w:rPr>
        <w:footnoteRef/>
      </w:r>
      <w:r w:rsidRPr="00E80530">
        <w:t xml:space="preserve"> </w:t>
      </w:r>
      <w:r>
        <w:tab/>
        <w:t xml:space="preserve">For example, </w:t>
      </w:r>
      <w:r w:rsidRPr="00E80530">
        <w:t xml:space="preserve">Callaghan, E. S. and </w:t>
      </w:r>
      <w:proofErr w:type="spellStart"/>
      <w:r w:rsidRPr="00E80530">
        <w:t>Dowrkin</w:t>
      </w:r>
      <w:proofErr w:type="spellEnd"/>
      <w:r w:rsidRPr="00E80530">
        <w:t xml:space="preserve">, T. M. (1993), Do </w:t>
      </w:r>
      <w:proofErr w:type="gramStart"/>
      <w:r w:rsidRPr="00E80530">
        <w:t>good</w:t>
      </w:r>
      <w:proofErr w:type="gramEnd"/>
      <w:r w:rsidRPr="00E80530">
        <w:t xml:space="preserve"> and get rich: Financial incentives for Whistleblowing and the False Claims Act, Villanova Law Review, Vol. 37. http://digitalcommons.law.villanova.edu/cgi/viewcontent.cgi?article=2777&amp;context=vlr</w:t>
      </w:r>
    </w:p>
  </w:footnote>
  <w:footnote w:id="21">
    <w:p w14:paraId="103BF6BC" w14:textId="77777777" w:rsidR="001E6994" w:rsidRPr="00E80530" w:rsidRDefault="001E6994" w:rsidP="00E80530">
      <w:pPr>
        <w:pStyle w:val="FootnoteText"/>
      </w:pPr>
      <w:r w:rsidRPr="00E80530">
        <w:rPr>
          <w:rStyle w:val="FootnoteReference"/>
          <w:vertAlign w:val="baseline"/>
        </w:rPr>
        <w:footnoteRef/>
      </w:r>
      <w:r w:rsidRPr="00E80530">
        <w:t xml:space="preserve"> </w:t>
      </w:r>
      <w:r>
        <w:tab/>
        <w:t xml:space="preserve">For example, </w:t>
      </w:r>
      <w:r w:rsidRPr="00E80530">
        <w:t xml:space="preserve">Emad H. </w:t>
      </w:r>
      <w:proofErr w:type="spellStart"/>
      <w:r w:rsidRPr="00E80530">
        <w:t>Atiq</w:t>
      </w:r>
      <w:proofErr w:type="spellEnd"/>
      <w:r w:rsidRPr="00E80530">
        <w:t xml:space="preserve">, 2014, </w:t>
      </w:r>
      <w:r w:rsidRPr="00E80530">
        <w:rPr>
          <w:i/>
        </w:rPr>
        <w:t xml:space="preserve">Why Motives Matter: Reframing the Crowding </w:t>
      </w:r>
      <w:proofErr w:type="gramStart"/>
      <w:r w:rsidRPr="00E80530">
        <w:rPr>
          <w:i/>
        </w:rPr>
        <w:t>Out</w:t>
      </w:r>
      <w:proofErr w:type="gramEnd"/>
      <w:r w:rsidRPr="00E80530">
        <w:rPr>
          <w:i/>
        </w:rPr>
        <w:t xml:space="preserve"> Effect of Legal Incentives</w:t>
      </w:r>
      <w:r w:rsidRPr="00E80530">
        <w:t>, The Yale Law Journal, Vol 123. http://www.yalelawjournal.org/note/why-motives-matter-reframing-the-crowding-out-effect-of-legal-incentives</w:t>
      </w:r>
    </w:p>
  </w:footnote>
  <w:footnote w:id="22">
    <w:p w14:paraId="103BF6BD" w14:textId="05ADC6C7" w:rsidR="001E6994" w:rsidRPr="00E80530" w:rsidRDefault="001E6994" w:rsidP="00E80530">
      <w:pPr>
        <w:pStyle w:val="FootnoteText"/>
        <w:rPr>
          <w:lang w:val="en-US"/>
        </w:rPr>
      </w:pPr>
      <w:r w:rsidRPr="00E80530">
        <w:rPr>
          <w:rStyle w:val="FootnoteReference"/>
          <w:vertAlign w:val="baseline"/>
        </w:rPr>
        <w:footnoteRef/>
      </w:r>
      <w:r w:rsidRPr="00E80530">
        <w:t xml:space="preserve"> </w:t>
      </w:r>
      <w:r w:rsidRPr="00E80530">
        <w:rPr>
          <w:lang w:val="en-US"/>
        </w:rPr>
        <w:tab/>
      </w:r>
      <w:r>
        <w:rPr>
          <w:lang w:val="en-US"/>
        </w:rPr>
        <w:t>For example,</w:t>
      </w:r>
      <w:r w:rsidRPr="000025F8">
        <w:rPr>
          <w:lang w:val="en-US"/>
        </w:rPr>
        <w:t xml:space="preserve"> A. J. Brown (</w:t>
      </w:r>
      <w:proofErr w:type="spellStart"/>
      <w:r w:rsidRPr="000025F8">
        <w:rPr>
          <w:lang w:val="en-US"/>
        </w:rPr>
        <w:t>eds</w:t>
      </w:r>
      <w:proofErr w:type="spellEnd"/>
      <w:r w:rsidRPr="000025F8">
        <w:rPr>
          <w:lang w:val="en-US"/>
        </w:rPr>
        <w:t xml:space="preserve">),2008, Whistleblowing in the Australian Public Sector: Enhancing the theory and practice of internal witness management in public sector </w:t>
      </w:r>
      <w:proofErr w:type="spellStart"/>
      <w:r w:rsidRPr="000025F8">
        <w:rPr>
          <w:lang w:val="en-US"/>
        </w:rPr>
        <w:t>organisations</w:t>
      </w:r>
      <w:proofErr w:type="spellEnd"/>
      <w:r w:rsidRPr="000025F8">
        <w:rPr>
          <w:lang w:val="en-US"/>
        </w:rPr>
        <w:t>, ANU Press</w:t>
      </w:r>
    </w:p>
  </w:footnote>
  <w:footnote w:id="23">
    <w:p w14:paraId="103BF6BE" w14:textId="77777777" w:rsidR="001E6994" w:rsidRPr="00E80530" w:rsidRDefault="001E6994" w:rsidP="00E80530">
      <w:pPr>
        <w:pStyle w:val="FootnoteText"/>
        <w:rPr>
          <w:i/>
        </w:rPr>
      </w:pPr>
      <w:r w:rsidRPr="00E80530">
        <w:rPr>
          <w:rStyle w:val="FootnoteReference"/>
          <w:vertAlign w:val="baseline"/>
        </w:rPr>
        <w:footnoteRef/>
      </w:r>
      <w:r w:rsidRPr="00E80530">
        <w:t xml:space="preserve"> </w:t>
      </w:r>
      <w:r>
        <w:tab/>
      </w:r>
      <w:proofErr w:type="gramStart"/>
      <w:r>
        <w:t xml:space="preserve">For example, </w:t>
      </w:r>
      <w:proofErr w:type="spellStart"/>
      <w:r w:rsidRPr="00E80530">
        <w:t>Mavrakis</w:t>
      </w:r>
      <w:proofErr w:type="spellEnd"/>
      <w:r w:rsidRPr="00E80530">
        <w:t xml:space="preserve"> and Legg, 2011, </w:t>
      </w:r>
      <w:r w:rsidRPr="00E80530">
        <w:rPr>
          <w:i/>
        </w:rPr>
        <w:t xml:space="preserve">Preparing for the Impact of US Securities </w:t>
      </w:r>
      <w:proofErr w:type="spellStart"/>
      <w:r w:rsidRPr="00E80530">
        <w:rPr>
          <w:i/>
        </w:rPr>
        <w:t>Whistleblower</w:t>
      </w:r>
      <w:proofErr w:type="spellEnd"/>
      <w:r w:rsidRPr="00E80530">
        <w:rPr>
          <w:i/>
        </w:rPr>
        <w:t xml:space="preserve"> Reforms – Employees Become Bounty Hunters</w:t>
      </w:r>
      <w:r w:rsidRPr="00E80530">
        <w:t xml:space="preserve">, 14 </w:t>
      </w:r>
      <w:proofErr w:type="spellStart"/>
      <w:r w:rsidRPr="00E80530">
        <w:t>Inhouse</w:t>
      </w:r>
      <w:proofErr w:type="spellEnd"/>
      <w:r w:rsidRPr="00E80530">
        <w:t xml:space="preserve"> Counsel 193.</w:t>
      </w:r>
      <w:proofErr w:type="gramEnd"/>
      <w:r w:rsidRPr="00E80530">
        <w:t xml:space="preserve"> </w:t>
      </w:r>
    </w:p>
    <w:p w14:paraId="103BF6BF" w14:textId="77777777" w:rsidR="001E6994" w:rsidRPr="00E80530" w:rsidRDefault="001E6994" w:rsidP="00E80530">
      <w:pPr>
        <w:pStyle w:val="FootnoteText"/>
      </w:pPr>
    </w:p>
    <w:p w14:paraId="103BF6C0" w14:textId="77777777" w:rsidR="001E6994" w:rsidRPr="00E80530" w:rsidRDefault="001E6994" w:rsidP="00E8053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9B" w14:textId="77777777" w:rsidR="001E6994" w:rsidRDefault="001E6994" w:rsidP="00F15A1A">
    <w:pPr>
      <w:pStyle w:val="ChartGraphic"/>
    </w:pPr>
    <w:r>
      <w:rPr>
        <w:noProof/>
      </w:rPr>
      <w:drawing>
        <wp:inline distT="0" distB="0" distL="0" distR="0" wp14:anchorId="103BF6A7" wp14:editId="103BF6A8">
          <wp:extent cx="1800000" cy="903864"/>
          <wp:effectExtent l="0" t="0" r="0" b="0"/>
          <wp:docPr id="2" name="Picture 2"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90386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F69D" w14:textId="77777777" w:rsidR="001E6994" w:rsidRDefault="001E6994" w:rsidP="00D20567">
    <w:pPr>
      <w:pStyle w:val="Head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3A04C4"/>
    <w:lvl w:ilvl="0">
      <w:start w:val="1"/>
      <w:numFmt w:val="decimal"/>
      <w:lvlText w:val="%1."/>
      <w:lvlJc w:val="left"/>
      <w:pPr>
        <w:tabs>
          <w:tab w:val="num" w:pos="1492"/>
        </w:tabs>
        <w:ind w:left="1492" w:hanging="360"/>
      </w:pPr>
    </w:lvl>
  </w:abstractNum>
  <w:abstractNum w:abstractNumId="1">
    <w:nsid w:val="FFFFFF7D"/>
    <w:multiLevelType w:val="singleLevel"/>
    <w:tmpl w:val="39141A5C"/>
    <w:lvl w:ilvl="0">
      <w:start w:val="1"/>
      <w:numFmt w:val="decimal"/>
      <w:lvlText w:val="%1."/>
      <w:lvlJc w:val="left"/>
      <w:pPr>
        <w:tabs>
          <w:tab w:val="num" w:pos="1209"/>
        </w:tabs>
        <w:ind w:left="1209" w:hanging="360"/>
      </w:pPr>
    </w:lvl>
  </w:abstractNum>
  <w:abstractNum w:abstractNumId="2">
    <w:nsid w:val="FFFFFF7E"/>
    <w:multiLevelType w:val="singleLevel"/>
    <w:tmpl w:val="DEFC1B9A"/>
    <w:lvl w:ilvl="0">
      <w:start w:val="1"/>
      <w:numFmt w:val="decimal"/>
      <w:lvlText w:val="%1."/>
      <w:lvlJc w:val="left"/>
      <w:pPr>
        <w:tabs>
          <w:tab w:val="num" w:pos="926"/>
        </w:tabs>
        <w:ind w:left="926" w:hanging="360"/>
      </w:pPr>
    </w:lvl>
  </w:abstractNum>
  <w:abstractNum w:abstractNumId="3">
    <w:nsid w:val="FFFFFF7F"/>
    <w:multiLevelType w:val="singleLevel"/>
    <w:tmpl w:val="08D06464"/>
    <w:lvl w:ilvl="0">
      <w:start w:val="1"/>
      <w:numFmt w:val="decimal"/>
      <w:lvlText w:val="%1."/>
      <w:lvlJc w:val="left"/>
      <w:pPr>
        <w:tabs>
          <w:tab w:val="num" w:pos="643"/>
        </w:tabs>
        <w:ind w:left="643" w:hanging="360"/>
      </w:pPr>
    </w:lvl>
  </w:abstractNum>
  <w:abstractNum w:abstractNumId="4">
    <w:nsid w:val="FFFFFF80"/>
    <w:multiLevelType w:val="singleLevel"/>
    <w:tmpl w:val="FE7A5C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E87C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F6C12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2967F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429E6C"/>
    <w:lvl w:ilvl="0">
      <w:start w:val="1"/>
      <w:numFmt w:val="decimal"/>
      <w:lvlText w:val="%1."/>
      <w:lvlJc w:val="left"/>
      <w:pPr>
        <w:tabs>
          <w:tab w:val="num" w:pos="360"/>
        </w:tabs>
        <w:ind w:left="360" w:hanging="360"/>
      </w:pPr>
    </w:lvl>
  </w:abstractNum>
  <w:abstractNum w:abstractNumId="9">
    <w:nsid w:val="FFFFFF89"/>
    <w:multiLevelType w:val="singleLevel"/>
    <w:tmpl w:val="FFF28672"/>
    <w:lvl w:ilvl="0">
      <w:start w:val="1"/>
      <w:numFmt w:val="bullet"/>
      <w:lvlText w:val=""/>
      <w:lvlJc w:val="left"/>
      <w:pPr>
        <w:tabs>
          <w:tab w:val="num" w:pos="360"/>
        </w:tabs>
        <w:ind w:left="360" w:hanging="360"/>
      </w:pPr>
      <w:rPr>
        <w:rFonts w:ascii="Symbol" w:hAnsi="Symbol" w:hint="default"/>
      </w:rPr>
    </w:lvl>
  </w:abstractNum>
  <w:abstractNum w:abstractNumId="1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6EA7F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D9D7C2C"/>
    <w:multiLevelType w:val="hybridMultilevel"/>
    <w:tmpl w:val="0FB26B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12D34D9B"/>
    <w:multiLevelType w:val="hybridMultilevel"/>
    <w:tmpl w:val="3B6E5484"/>
    <w:lvl w:ilvl="0" w:tplc="CD7E0E5A">
      <w:start w:val="1"/>
      <w:numFmt w:val="decimal"/>
      <w:pStyle w:val="Heading1-Numbered"/>
      <w:lvlText w:val="%1."/>
      <w:lvlJc w:val="left"/>
      <w:pPr>
        <w:ind w:left="720" w:hanging="360"/>
      </w:pPr>
      <w:rPr>
        <w:rFonts w:ascii="Calibri" w:hAnsi="Calibri" w:hint="default"/>
        <w:b/>
        <w:i w:val="0"/>
        <w:color w:val="1F497D" w:themeColor="text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9C960FD"/>
    <w:multiLevelType w:val="multilevel"/>
    <w:tmpl w:val="D17282BA"/>
    <w:name w:val="OneLevelNumberedParagraphList"/>
    <w:lvl w:ilvl="0">
      <w:start w:val="1"/>
      <w:numFmt w:val="decimal"/>
      <w:lvlRestart w:val="0"/>
      <w:pStyle w:val="OneLevelNumberedParagraph"/>
      <w:lvlText w:val="%1."/>
      <w:lvlJc w:val="left"/>
      <w:pPr>
        <w:tabs>
          <w:tab w:val="num" w:pos="567"/>
        </w:tabs>
        <w:ind w:left="567" w:hanging="567"/>
      </w:pPr>
      <w:rPr>
        <w:rFonts w:ascii="Book Antiqua" w:hAnsi="Book Antiqua" w:cs="Times New Roman" w:hint="default"/>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15">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1E1A750E"/>
    <w:multiLevelType w:val="hybridMultilevel"/>
    <w:tmpl w:val="BA8AB7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2584082"/>
    <w:multiLevelType w:val="hybridMultilevel"/>
    <w:tmpl w:val="F274E8C2"/>
    <w:lvl w:ilvl="0" w:tplc="EDBE53DE">
      <w:start w:val="1"/>
      <w:numFmt w:val="bullet"/>
      <w:lvlText w:val=""/>
      <w:lvlJc w:val="left"/>
      <w:pPr>
        <w:ind w:left="780" w:hanging="360"/>
      </w:pPr>
      <w:rPr>
        <w:rFonts w:ascii="Symbol" w:hAnsi="Symbol" w:hint="default"/>
        <w:sz w:val="2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nsid w:val="244237C5"/>
    <w:multiLevelType w:val="multilevel"/>
    <w:tmpl w:val="39DC1EEA"/>
    <w:lvl w:ilvl="0">
      <w:start w:val="1"/>
      <w:numFmt w:val="decimal"/>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27440C8B"/>
    <w:multiLevelType w:val="multilevel"/>
    <w:tmpl w:val="7E90FE72"/>
    <w:name w:val="StandardBulletedList"/>
    <w:lvl w:ilvl="0">
      <w:start w:val="1"/>
      <w:numFmt w:val="bullet"/>
      <w:pStyle w:val="Bullet"/>
      <w:lvlText w:val="•"/>
      <w:lvlJc w:val="left"/>
      <w:pPr>
        <w:tabs>
          <w:tab w:val="num" w:pos="567"/>
        </w:tabs>
        <w:ind w:left="567" w:hanging="567"/>
      </w:pPr>
      <w:rPr>
        <w:rFonts w:ascii="Times New Roman" w:hAnsi="Times New Roman" w:cs="Times New Roman" w:hint="default"/>
        <w:b w:val="0"/>
        <w:i w:val="0"/>
      </w:rPr>
    </w:lvl>
    <w:lvl w:ilvl="1">
      <w:start w:val="1"/>
      <w:numFmt w:val="bullet"/>
      <w:pStyle w:val="Dash"/>
      <w:lvlText w:val="–"/>
      <w:lvlJc w:val="left"/>
      <w:pPr>
        <w:tabs>
          <w:tab w:val="num" w:pos="992"/>
        </w:tabs>
        <w:ind w:left="992" w:hanging="425"/>
      </w:pPr>
      <w:rPr>
        <w:rFonts w:ascii="Times New Roman" w:hAnsi="Times New Roman" w:cs="Times New Roman" w:hint="default"/>
        <w:b w:val="0"/>
        <w:i w:val="0"/>
      </w:rPr>
    </w:lvl>
    <w:lvl w:ilvl="2">
      <w:start w:val="1"/>
      <w:numFmt w:val="bullet"/>
      <w:pStyle w:val="DoubleDot"/>
      <w:lvlText w:val=":"/>
      <w:lvlJc w:val="left"/>
      <w:pPr>
        <w:tabs>
          <w:tab w:val="num" w:pos="1560"/>
        </w:tabs>
        <w:ind w:left="1560" w:hanging="520"/>
      </w:pPr>
      <w:rPr>
        <w:rFonts w:ascii="Times New Roman" w:hAnsi="Times New Roman" w:cs="Times New Roman" w:hint="default"/>
        <w:b w:val="0"/>
        <w:i w:val="0"/>
      </w:rPr>
    </w:lvl>
    <w:lvl w:ilvl="3">
      <w:start w:val="1"/>
      <w:numFmt w:val="decimal"/>
      <w:lvlText w:val="(%4)"/>
      <w:lvlJc w:val="left"/>
      <w:pPr>
        <w:tabs>
          <w:tab w:val="num" w:pos="2007"/>
        </w:tabs>
        <w:ind w:left="2007" w:hanging="360"/>
      </w:pPr>
      <w:rPr>
        <w:rFonts w:hint="default"/>
        <w:b w:val="0"/>
        <w:i w:val="0"/>
      </w:rPr>
    </w:lvl>
    <w:lvl w:ilvl="4">
      <w:start w:val="1"/>
      <w:numFmt w:val="lowerLetter"/>
      <w:lvlText w:val="(%5)"/>
      <w:lvlJc w:val="left"/>
      <w:pPr>
        <w:tabs>
          <w:tab w:val="num" w:pos="2367"/>
        </w:tabs>
        <w:ind w:left="2367" w:hanging="360"/>
      </w:pPr>
      <w:rPr>
        <w:rFonts w:hint="default"/>
        <w:b w:val="0"/>
        <w:i w:val="0"/>
      </w:rPr>
    </w:lvl>
    <w:lvl w:ilvl="5">
      <w:start w:val="1"/>
      <w:numFmt w:val="lowerRoman"/>
      <w:lvlText w:val="(%6)"/>
      <w:lvlJc w:val="left"/>
      <w:pPr>
        <w:tabs>
          <w:tab w:val="num" w:pos="2727"/>
        </w:tabs>
        <w:ind w:left="2727" w:hanging="360"/>
      </w:pPr>
      <w:rPr>
        <w:rFonts w:hint="default"/>
        <w:b w:val="0"/>
        <w:i w:val="0"/>
      </w:rPr>
    </w:lvl>
    <w:lvl w:ilvl="6">
      <w:start w:val="1"/>
      <w:numFmt w:val="decimal"/>
      <w:lvlText w:val="%7."/>
      <w:lvlJc w:val="left"/>
      <w:pPr>
        <w:tabs>
          <w:tab w:val="num" w:pos="3087"/>
        </w:tabs>
        <w:ind w:left="3087" w:hanging="360"/>
      </w:pPr>
      <w:rPr>
        <w:rFonts w:hint="default"/>
        <w:b w:val="0"/>
        <w:i w:val="0"/>
      </w:rPr>
    </w:lvl>
    <w:lvl w:ilvl="7">
      <w:start w:val="1"/>
      <w:numFmt w:val="lowerLetter"/>
      <w:lvlText w:val="%8."/>
      <w:lvlJc w:val="left"/>
      <w:pPr>
        <w:tabs>
          <w:tab w:val="num" w:pos="3447"/>
        </w:tabs>
        <w:ind w:left="3447" w:hanging="360"/>
      </w:pPr>
      <w:rPr>
        <w:rFonts w:hint="default"/>
        <w:b w:val="0"/>
        <w:i w:val="0"/>
      </w:rPr>
    </w:lvl>
    <w:lvl w:ilvl="8">
      <w:start w:val="1"/>
      <w:numFmt w:val="lowerRoman"/>
      <w:lvlText w:val="%9."/>
      <w:lvlJc w:val="left"/>
      <w:pPr>
        <w:tabs>
          <w:tab w:val="num" w:pos="3807"/>
        </w:tabs>
        <w:ind w:left="3807" w:hanging="360"/>
      </w:pPr>
      <w:rPr>
        <w:rFonts w:hint="default"/>
        <w:b w:val="0"/>
        <w:i w:val="0"/>
      </w:rPr>
    </w:lvl>
  </w:abstractNum>
  <w:abstractNum w:abstractNumId="21">
    <w:nsid w:val="2A7913F2"/>
    <w:multiLevelType w:val="hybridMultilevel"/>
    <w:tmpl w:val="BA8AB7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AFC2E90"/>
    <w:multiLevelType w:val="hybridMultilevel"/>
    <w:tmpl w:val="06EAB4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D665DFA"/>
    <w:multiLevelType w:val="singleLevel"/>
    <w:tmpl w:val="96269676"/>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hint="default"/>
        <w:b w:val="0"/>
        <w:i w:val="0"/>
        <w:sz w:val="22"/>
        <w:szCs w:val="22"/>
      </w:rPr>
    </w:lvl>
  </w:abstractNum>
  <w:abstractNum w:abstractNumId="24">
    <w:nsid w:val="2DF54350"/>
    <w:multiLevelType w:val="multilevel"/>
    <w:tmpl w:val="2DB61A66"/>
    <w:styleLink w:val="Outlinenumbering"/>
    <w:lvl w:ilvl="0">
      <w:start w:val="1"/>
      <w:numFmt w:val="bullet"/>
      <w:pStyle w:val="OutlineNumbered1"/>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2895E6E"/>
    <w:multiLevelType w:val="hybridMultilevel"/>
    <w:tmpl w:val="CDBE7070"/>
    <w:lvl w:ilvl="0" w:tplc="2C5A0588">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3E219EB"/>
    <w:multiLevelType w:val="hybridMultilevel"/>
    <w:tmpl w:val="492A42E2"/>
    <w:name w:val="OneLevelAlphaParagraphList2"/>
    <w:lvl w:ilvl="0" w:tplc="2CBC8F84">
      <w:start w:val="1"/>
      <w:numFmt w:val="decimal"/>
      <w:pStyle w:val="BoxQuestions"/>
      <w:lvlText w:val="%1."/>
      <w:lvlJc w:val="left"/>
      <w:pPr>
        <w:tabs>
          <w:tab w:val="num" w:pos="425"/>
        </w:tabs>
        <w:ind w:left="425" w:hanging="425"/>
      </w:pPr>
      <w:rPr>
        <w:rFonts w:ascii="Calibri" w:hAnsi="Calibri"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8">
    <w:nsid w:val="429C0D9A"/>
    <w:multiLevelType w:val="hybridMultilevel"/>
    <w:tmpl w:val="17FA49D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nsid w:val="4A87628F"/>
    <w:multiLevelType w:val="hybridMultilevel"/>
    <w:tmpl w:val="9EA82EA8"/>
    <w:lvl w:ilvl="0" w:tplc="6044661C">
      <w:start w:val="1"/>
      <w:numFmt w:val="lowerLetter"/>
      <w:lvlText w:val="%1)"/>
      <w:lvlJc w:val="left"/>
      <w:pPr>
        <w:ind w:left="1134" w:hanging="360"/>
      </w:pPr>
      <w:rPr>
        <w:rFonts w:hint="default"/>
      </w:rPr>
    </w:lvl>
    <w:lvl w:ilvl="1" w:tplc="0C090019" w:tentative="1">
      <w:start w:val="1"/>
      <w:numFmt w:val="lowerLetter"/>
      <w:lvlText w:val="%2."/>
      <w:lvlJc w:val="left"/>
      <w:pPr>
        <w:ind w:left="1134" w:hanging="360"/>
      </w:pPr>
    </w:lvl>
    <w:lvl w:ilvl="2" w:tplc="0C09001B" w:tentative="1">
      <w:start w:val="1"/>
      <w:numFmt w:val="lowerRoman"/>
      <w:lvlText w:val="%3."/>
      <w:lvlJc w:val="right"/>
      <w:pPr>
        <w:ind w:left="1854" w:hanging="180"/>
      </w:pPr>
    </w:lvl>
    <w:lvl w:ilvl="3" w:tplc="0C09000F" w:tentative="1">
      <w:start w:val="1"/>
      <w:numFmt w:val="decimal"/>
      <w:lvlText w:val="%4."/>
      <w:lvlJc w:val="left"/>
      <w:pPr>
        <w:ind w:left="2574" w:hanging="360"/>
      </w:pPr>
    </w:lvl>
    <w:lvl w:ilvl="4" w:tplc="0C090019" w:tentative="1">
      <w:start w:val="1"/>
      <w:numFmt w:val="lowerLetter"/>
      <w:lvlText w:val="%5."/>
      <w:lvlJc w:val="left"/>
      <w:pPr>
        <w:ind w:left="3294" w:hanging="360"/>
      </w:pPr>
    </w:lvl>
    <w:lvl w:ilvl="5" w:tplc="0C09001B" w:tentative="1">
      <w:start w:val="1"/>
      <w:numFmt w:val="lowerRoman"/>
      <w:lvlText w:val="%6."/>
      <w:lvlJc w:val="right"/>
      <w:pPr>
        <w:ind w:left="4014" w:hanging="180"/>
      </w:pPr>
    </w:lvl>
    <w:lvl w:ilvl="6" w:tplc="0C09000F" w:tentative="1">
      <w:start w:val="1"/>
      <w:numFmt w:val="decimal"/>
      <w:lvlText w:val="%7."/>
      <w:lvlJc w:val="left"/>
      <w:pPr>
        <w:ind w:left="4734" w:hanging="360"/>
      </w:pPr>
    </w:lvl>
    <w:lvl w:ilvl="7" w:tplc="0C090019" w:tentative="1">
      <w:start w:val="1"/>
      <w:numFmt w:val="lowerLetter"/>
      <w:lvlText w:val="%8."/>
      <w:lvlJc w:val="left"/>
      <w:pPr>
        <w:ind w:left="5454" w:hanging="360"/>
      </w:pPr>
    </w:lvl>
    <w:lvl w:ilvl="8" w:tplc="0C09001B" w:tentative="1">
      <w:start w:val="1"/>
      <w:numFmt w:val="lowerRoman"/>
      <w:lvlText w:val="%9."/>
      <w:lvlJc w:val="right"/>
      <w:pPr>
        <w:ind w:left="6174" w:hanging="180"/>
      </w:pPr>
    </w:lvl>
  </w:abstractNum>
  <w:abstractNum w:abstractNumId="30">
    <w:nsid w:val="4B400F83"/>
    <w:multiLevelType w:val="multilevel"/>
    <w:tmpl w:val="5DEA63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087"/>
        </w:tabs>
        <w:ind w:left="1087" w:hanging="520"/>
      </w:pPr>
      <w:rPr>
        <w:rFonts w:ascii="Times New Roman" w:hAnsi="Times New Roman" w:cs="Times New Roman"/>
      </w:rPr>
    </w:lvl>
    <w:lvl w:ilvl="2">
      <w:start w:val="1"/>
      <w:numFmt w:val="bullet"/>
      <w:lvlText w:val=":"/>
      <w:lvlJc w:val="left"/>
      <w:pPr>
        <w:tabs>
          <w:tab w:val="num" w:pos="1607"/>
        </w:tabs>
        <w:ind w:left="1607"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CA8031B"/>
    <w:multiLevelType w:val="hybridMultilevel"/>
    <w:tmpl w:val="82BCDD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33">
    <w:nsid w:val="4E2701CD"/>
    <w:multiLevelType w:val="hybridMultilevel"/>
    <w:tmpl w:val="CA56E7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50687EBD"/>
    <w:multiLevelType w:val="hybridMultilevel"/>
    <w:tmpl w:val="CC2AEBD2"/>
    <w:lvl w:ilvl="0" w:tplc="EDBE53DE">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0DB25AA"/>
    <w:multiLevelType w:val="multilevel"/>
    <w:tmpl w:val="468A880E"/>
    <w:lvl w:ilvl="0">
      <w:start w:val="1"/>
      <w:numFmt w:val="bullet"/>
      <w:lvlText w:val="o"/>
      <w:lvlJc w:val="left"/>
      <w:pPr>
        <w:tabs>
          <w:tab w:val="num" w:pos="1080"/>
        </w:tabs>
        <w:ind w:left="1080" w:hanging="360"/>
      </w:pPr>
      <w:rPr>
        <w:rFonts w:ascii="Courier New" w:hAnsi="Courier New" w:hint="default"/>
        <w:sz w:val="18"/>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7">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8">
    <w:nsid w:val="5EFB00D1"/>
    <w:multiLevelType w:val="multilevel"/>
    <w:tmpl w:val="BFC0D24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029470D"/>
    <w:multiLevelType w:val="multilevel"/>
    <w:tmpl w:val="E5EC16EC"/>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11B0387"/>
    <w:multiLevelType w:val="multilevel"/>
    <w:tmpl w:val="BDBED3B0"/>
    <w:lvl w:ilvl="0">
      <w:start w:val="1"/>
      <w:numFmt w:val="bullet"/>
      <w:lvlText w:val="•"/>
      <w:lvlJc w:val="left"/>
      <w:pPr>
        <w:tabs>
          <w:tab w:val="num" w:pos="992"/>
        </w:tabs>
        <w:ind w:left="992" w:hanging="567"/>
      </w:pPr>
      <w:rPr>
        <w:rFonts w:ascii="Times New Roman" w:hAnsi="Times New Roman" w:cs="Times New Roman"/>
      </w:rPr>
    </w:lvl>
    <w:lvl w:ilvl="1">
      <w:start w:val="1"/>
      <w:numFmt w:val="bullet"/>
      <w:lvlText w:val="–"/>
      <w:lvlJc w:val="left"/>
      <w:pPr>
        <w:tabs>
          <w:tab w:val="num" w:pos="1559"/>
        </w:tabs>
        <w:ind w:left="1559" w:hanging="567"/>
      </w:pPr>
      <w:rPr>
        <w:rFonts w:ascii="Times New Roman" w:hAnsi="Times New Roman" w:cs="Times New Roman"/>
      </w:rPr>
    </w:lvl>
    <w:lvl w:ilvl="2">
      <w:start w:val="1"/>
      <w:numFmt w:val="bullet"/>
      <w:lvlText w:val=":"/>
      <w:lvlJc w:val="left"/>
      <w:pPr>
        <w:tabs>
          <w:tab w:val="num" w:pos="2126"/>
        </w:tabs>
        <w:ind w:left="2126" w:hanging="567"/>
      </w:pPr>
      <w:rPr>
        <w:rFonts w:ascii="Times New Roman" w:hAnsi="Times New Roman" w:cs="Times New Roman"/>
      </w:rPr>
    </w:lvl>
    <w:lvl w:ilvl="3">
      <w:start w:val="1"/>
      <w:numFmt w:val="decimal"/>
      <w:lvlText w:val="(%4)"/>
      <w:lvlJc w:val="left"/>
      <w:pPr>
        <w:ind w:left="1865" w:hanging="360"/>
      </w:pPr>
    </w:lvl>
    <w:lvl w:ilvl="4">
      <w:start w:val="1"/>
      <w:numFmt w:val="lowerLetter"/>
      <w:lvlText w:val="(%5)"/>
      <w:lvlJc w:val="left"/>
      <w:pPr>
        <w:ind w:left="2225" w:hanging="360"/>
      </w:pPr>
    </w:lvl>
    <w:lvl w:ilvl="5">
      <w:start w:val="1"/>
      <w:numFmt w:val="lowerRoman"/>
      <w:lvlText w:val="(%6)"/>
      <w:lvlJc w:val="left"/>
      <w:pPr>
        <w:ind w:left="2585" w:hanging="360"/>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41">
    <w:nsid w:val="63AB5B9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3CF24E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57A1088"/>
    <w:multiLevelType w:val="singleLevel"/>
    <w:tmpl w:val="D80CBD5C"/>
    <w:styleLink w:val="Style1"/>
    <w:lvl w:ilvl="0">
      <w:start w:val="1"/>
      <w:numFmt w:val="bullet"/>
      <w:lvlText w:val=""/>
      <w:lvlJc w:val="left"/>
      <w:pPr>
        <w:tabs>
          <w:tab w:val="num" w:pos="1209"/>
        </w:tabs>
        <w:ind w:left="1209" w:hanging="360"/>
      </w:pPr>
      <w:rPr>
        <w:rFonts w:ascii="Symbol" w:hAnsi="Symbol" w:hint="default"/>
      </w:rPr>
    </w:lvl>
  </w:abstractNum>
  <w:abstractNum w:abstractNumId="45">
    <w:nsid w:val="76AB4AAC"/>
    <w:multiLevelType w:val="hybridMultilevel"/>
    <w:tmpl w:val="BA8AB7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EBF275E"/>
    <w:multiLevelType w:val="multilevel"/>
    <w:tmpl w:val="2DB61A66"/>
    <w:numStyleLink w:val="Outlinenumbering"/>
  </w:abstractNum>
  <w:num w:numId="1">
    <w:abstractNumId w:val="20"/>
  </w:num>
  <w:num w:numId="2">
    <w:abstractNumId w:val="23"/>
  </w:num>
  <w:num w:numId="3">
    <w:abstractNumId w:val="32"/>
  </w:num>
  <w:num w:numId="4">
    <w:abstractNumId w:val="36"/>
  </w:num>
  <w:num w:numId="5">
    <w:abstractNumId w:val="14"/>
  </w:num>
  <w:num w:numId="6">
    <w:abstractNumId w:val="15"/>
  </w:num>
  <w:num w:numId="7">
    <w:abstractNumId w:val="19"/>
  </w:num>
  <w:num w:numId="8">
    <w:abstractNumId w:val="24"/>
  </w:num>
  <w:num w:numId="9">
    <w:abstractNumId w:val="46"/>
  </w:num>
  <w:num w:numId="10">
    <w:abstractNumId w:val="42"/>
  </w:num>
  <w:num w:numId="11">
    <w:abstractNumId w:val="17"/>
  </w:num>
  <w:num w:numId="12">
    <w:abstractNumId w:val="39"/>
  </w:num>
  <w:num w:numId="13">
    <w:abstractNumId w:val="44"/>
  </w:num>
  <w:num w:numId="14">
    <w:abstractNumId w:val="28"/>
  </w:num>
  <w:num w:numId="15">
    <w:abstractNumId w:val="31"/>
  </w:num>
  <w:num w:numId="16">
    <w:abstractNumId w:val="41"/>
  </w:num>
  <w:num w:numId="17">
    <w:abstractNumId w:val="33"/>
  </w:num>
  <w:num w:numId="18">
    <w:abstractNumId w:val="29"/>
  </w:num>
  <w:num w:numId="19">
    <w:abstractNumId w:val="34"/>
  </w:num>
  <w:num w:numId="20">
    <w:abstractNumId w:val="22"/>
  </w:num>
  <w:num w:numId="21">
    <w:abstractNumId w:val="40"/>
  </w:num>
  <w:num w:numId="22">
    <w:abstractNumId w:val="18"/>
  </w:num>
  <w:num w:numId="23">
    <w:abstractNumId w:val="46"/>
  </w:num>
  <w:num w:numId="24">
    <w:abstractNumId w:val="11"/>
  </w:num>
  <w:num w:numId="25">
    <w:abstractNumId w:val="30"/>
  </w:num>
  <w:num w:numId="26">
    <w:abstractNumId w:val="10"/>
  </w:num>
  <w:num w:numId="27">
    <w:abstractNumId w:val="21"/>
  </w:num>
  <w:num w:numId="28">
    <w:abstractNumId w:val="16"/>
  </w:num>
  <w:num w:numId="29">
    <w:abstractNumId w:val="25"/>
  </w:num>
  <w:num w:numId="30">
    <w:abstractNumId w:val="43"/>
  </w:num>
  <w:num w:numId="31">
    <w:abstractNumId w:val="12"/>
  </w:num>
  <w:num w:numId="32">
    <w:abstractNumId w:val="45"/>
  </w:num>
  <w:num w:numId="33">
    <w:abstractNumId w:val="46"/>
  </w:num>
  <w:num w:numId="34">
    <w:abstractNumId w:val="38"/>
  </w:num>
  <w:num w:numId="35">
    <w:abstractNumId w:val="35"/>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3"/>
    <w:lvlOverride w:ilvl="0">
      <w:startOverride w:val="1"/>
    </w:lvlOverride>
  </w:num>
  <w:num w:numId="40">
    <w:abstractNumId w:val="23"/>
    <w:lvlOverride w:ilvl="0">
      <w:startOverride w:val="1"/>
    </w:lvlOverride>
  </w:num>
  <w:num w:numId="41">
    <w:abstractNumId w:val="23"/>
    <w:lvlOverride w:ilvl="0">
      <w:startOverride w:val="1"/>
    </w:lvlOverride>
  </w:num>
  <w:num w:numId="42">
    <w:abstractNumId w:val="23"/>
    <w:lvlOverride w:ilvl="0">
      <w:startOverride w:val="1"/>
    </w:lvlOverride>
  </w:num>
  <w:num w:numId="43">
    <w:abstractNumId w:val="23"/>
    <w:lvlOverride w:ilvl="0">
      <w:startOverride w:val="1"/>
    </w:lvlOverride>
  </w:num>
  <w:num w:numId="44">
    <w:abstractNumId w:val="23"/>
    <w:lvlOverride w:ilvl="0">
      <w:startOverride w:val="1"/>
    </w:lvlOverride>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 w:numId="55">
    <w:abstractNumId w:val="26"/>
  </w:num>
  <w:num w:numId="56">
    <w:abstractNumId w:val="23"/>
    <w:lvlOverride w:ilvl="0">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26"/>
  </w:num>
  <w:num w:numId="60">
    <w:abstractNumId w:val="26"/>
  </w:num>
  <w:num w:numId="61">
    <w:abstractNumId w:val="26"/>
  </w:num>
  <w:num w:numId="62">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110001"/>
    <w:rsid w:val="00000B4C"/>
    <w:rsid w:val="00000E30"/>
    <w:rsid w:val="00002149"/>
    <w:rsid w:val="000025F8"/>
    <w:rsid w:val="00005868"/>
    <w:rsid w:val="000061C9"/>
    <w:rsid w:val="00006BD4"/>
    <w:rsid w:val="0000767A"/>
    <w:rsid w:val="000079A4"/>
    <w:rsid w:val="00010981"/>
    <w:rsid w:val="00011E0C"/>
    <w:rsid w:val="00012165"/>
    <w:rsid w:val="00012AEB"/>
    <w:rsid w:val="00016366"/>
    <w:rsid w:val="00016411"/>
    <w:rsid w:val="00016D12"/>
    <w:rsid w:val="00020B02"/>
    <w:rsid w:val="00025C01"/>
    <w:rsid w:val="00025C12"/>
    <w:rsid w:val="00026385"/>
    <w:rsid w:val="00031463"/>
    <w:rsid w:val="00033819"/>
    <w:rsid w:val="00034A2D"/>
    <w:rsid w:val="00035363"/>
    <w:rsid w:val="00037D53"/>
    <w:rsid w:val="00040BFF"/>
    <w:rsid w:val="00042C38"/>
    <w:rsid w:val="000436BA"/>
    <w:rsid w:val="000466E4"/>
    <w:rsid w:val="0005089E"/>
    <w:rsid w:val="00050C82"/>
    <w:rsid w:val="00052C5E"/>
    <w:rsid w:val="000543A5"/>
    <w:rsid w:val="000550B0"/>
    <w:rsid w:val="000565A4"/>
    <w:rsid w:val="000565C6"/>
    <w:rsid w:val="00056719"/>
    <w:rsid w:val="00056E07"/>
    <w:rsid w:val="00057203"/>
    <w:rsid w:val="0006028D"/>
    <w:rsid w:val="00060A33"/>
    <w:rsid w:val="00060FE1"/>
    <w:rsid w:val="00061081"/>
    <w:rsid w:val="00061C4A"/>
    <w:rsid w:val="00062993"/>
    <w:rsid w:val="00062EC0"/>
    <w:rsid w:val="00063F3A"/>
    <w:rsid w:val="000646C7"/>
    <w:rsid w:val="00064D05"/>
    <w:rsid w:val="00065527"/>
    <w:rsid w:val="000704DC"/>
    <w:rsid w:val="000706C9"/>
    <w:rsid w:val="000710D1"/>
    <w:rsid w:val="00072004"/>
    <w:rsid w:val="000730AE"/>
    <w:rsid w:val="0007371D"/>
    <w:rsid w:val="000738FC"/>
    <w:rsid w:val="000763B6"/>
    <w:rsid w:val="00077B94"/>
    <w:rsid w:val="0008059F"/>
    <w:rsid w:val="000810FD"/>
    <w:rsid w:val="00081E9E"/>
    <w:rsid w:val="000829BE"/>
    <w:rsid w:val="0008440C"/>
    <w:rsid w:val="000844FF"/>
    <w:rsid w:val="0008688E"/>
    <w:rsid w:val="00090586"/>
    <w:rsid w:val="0009157F"/>
    <w:rsid w:val="0009183E"/>
    <w:rsid w:val="0009368D"/>
    <w:rsid w:val="00093CDC"/>
    <w:rsid w:val="000941FA"/>
    <w:rsid w:val="00095789"/>
    <w:rsid w:val="00096D92"/>
    <w:rsid w:val="00097544"/>
    <w:rsid w:val="000A08A4"/>
    <w:rsid w:val="000A1528"/>
    <w:rsid w:val="000A1532"/>
    <w:rsid w:val="000A2156"/>
    <w:rsid w:val="000A45F6"/>
    <w:rsid w:val="000A56FA"/>
    <w:rsid w:val="000A5814"/>
    <w:rsid w:val="000A659A"/>
    <w:rsid w:val="000A69D0"/>
    <w:rsid w:val="000A7BCF"/>
    <w:rsid w:val="000B149A"/>
    <w:rsid w:val="000B2D7D"/>
    <w:rsid w:val="000B478F"/>
    <w:rsid w:val="000B6822"/>
    <w:rsid w:val="000B7471"/>
    <w:rsid w:val="000C014F"/>
    <w:rsid w:val="000C114A"/>
    <w:rsid w:val="000C3514"/>
    <w:rsid w:val="000C61DE"/>
    <w:rsid w:val="000C6949"/>
    <w:rsid w:val="000D0974"/>
    <w:rsid w:val="000D13E6"/>
    <w:rsid w:val="000D2BB6"/>
    <w:rsid w:val="000D4041"/>
    <w:rsid w:val="000D644F"/>
    <w:rsid w:val="000E034B"/>
    <w:rsid w:val="000E14AF"/>
    <w:rsid w:val="000E1BC1"/>
    <w:rsid w:val="000E272F"/>
    <w:rsid w:val="000E44E3"/>
    <w:rsid w:val="000E55ED"/>
    <w:rsid w:val="000E635A"/>
    <w:rsid w:val="000E7005"/>
    <w:rsid w:val="000E753F"/>
    <w:rsid w:val="000E7DCA"/>
    <w:rsid w:val="000F2B14"/>
    <w:rsid w:val="000F38D6"/>
    <w:rsid w:val="000F5149"/>
    <w:rsid w:val="000F5AAA"/>
    <w:rsid w:val="001002C5"/>
    <w:rsid w:val="00100BDC"/>
    <w:rsid w:val="00100DD8"/>
    <w:rsid w:val="00103EFF"/>
    <w:rsid w:val="001041CF"/>
    <w:rsid w:val="00104289"/>
    <w:rsid w:val="00110001"/>
    <w:rsid w:val="001109DE"/>
    <w:rsid w:val="00111A63"/>
    <w:rsid w:val="00111D1A"/>
    <w:rsid w:val="0011250A"/>
    <w:rsid w:val="00112C68"/>
    <w:rsid w:val="0011462E"/>
    <w:rsid w:val="00114AAB"/>
    <w:rsid w:val="0012253D"/>
    <w:rsid w:val="001235E1"/>
    <w:rsid w:val="00123A09"/>
    <w:rsid w:val="00134913"/>
    <w:rsid w:val="00135905"/>
    <w:rsid w:val="00135F8F"/>
    <w:rsid w:val="001367D9"/>
    <w:rsid w:val="001378DD"/>
    <w:rsid w:val="00141ACF"/>
    <w:rsid w:val="00142524"/>
    <w:rsid w:val="0014334E"/>
    <w:rsid w:val="00143EF0"/>
    <w:rsid w:val="00144E2B"/>
    <w:rsid w:val="0014572D"/>
    <w:rsid w:val="0014787F"/>
    <w:rsid w:val="00147C22"/>
    <w:rsid w:val="00147FB9"/>
    <w:rsid w:val="00150346"/>
    <w:rsid w:val="001513B0"/>
    <w:rsid w:val="00151488"/>
    <w:rsid w:val="00152F6F"/>
    <w:rsid w:val="00154359"/>
    <w:rsid w:val="0015465D"/>
    <w:rsid w:val="00154768"/>
    <w:rsid w:val="0015526D"/>
    <w:rsid w:val="00155490"/>
    <w:rsid w:val="00156C0A"/>
    <w:rsid w:val="0015796F"/>
    <w:rsid w:val="00160A62"/>
    <w:rsid w:val="001635A6"/>
    <w:rsid w:val="00165739"/>
    <w:rsid w:val="001707DE"/>
    <w:rsid w:val="00171C41"/>
    <w:rsid w:val="001740AF"/>
    <w:rsid w:val="00174A31"/>
    <w:rsid w:val="00177429"/>
    <w:rsid w:val="00177BFA"/>
    <w:rsid w:val="00177EB8"/>
    <w:rsid w:val="00182227"/>
    <w:rsid w:val="00182465"/>
    <w:rsid w:val="001863F3"/>
    <w:rsid w:val="00186729"/>
    <w:rsid w:val="0019144D"/>
    <w:rsid w:val="00191FEA"/>
    <w:rsid w:val="001922E9"/>
    <w:rsid w:val="001943CD"/>
    <w:rsid w:val="00195540"/>
    <w:rsid w:val="00196175"/>
    <w:rsid w:val="0019698D"/>
    <w:rsid w:val="00196A2C"/>
    <w:rsid w:val="00197BDA"/>
    <w:rsid w:val="001A0464"/>
    <w:rsid w:val="001A1D51"/>
    <w:rsid w:val="001A1E1C"/>
    <w:rsid w:val="001B1036"/>
    <w:rsid w:val="001B22AD"/>
    <w:rsid w:val="001B5B15"/>
    <w:rsid w:val="001B611C"/>
    <w:rsid w:val="001B75CE"/>
    <w:rsid w:val="001C02E3"/>
    <w:rsid w:val="001C0A25"/>
    <w:rsid w:val="001C2615"/>
    <w:rsid w:val="001C4BC8"/>
    <w:rsid w:val="001C5FCC"/>
    <w:rsid w:val="001C644B"/>
    <w:rsid w:val="001C6522"/>
    <w:rsid w:val="001D1CCC"/>
    <w:rsid w:val="001D201A"/>
    <w:rsid w:val="001D2A9C"/>
    <w:rsid w:val="001D4A9B"/>
    <w:rsid w:val="001D4B15"/>
    <w:rsid w:val="001D5632"/>
    <w:rsid w:val="001D58AC"/>
    <w:rsid w:val="001D5E99"/>
    <w:rsid w:val="001D73B6"/>
    <w:rsid w:val="001E0A3D"/>
    <w:rsid w:val="001E0C49"/>
    <w:rsid w:val="001E1C4D"/>
    <w:rsid w:val="001E36B7"/>
    <w:rsid w:val="001E3E19"/>
    <w:rsid w:val="001E43D3"/>
    <w:rsid w:val="001E5A53"/>
    <w:rsid w:val="001E6994"/>
    <w:rsid w:val="001F350F"/>
    <w:rsid w:val="001F4E54"/>
    <w:rsid w:val="001F7743"/>
    <w:rsid w:val="001F7C8C"/>
    <w:rsid w:val="00201E21"/>
    <w:rsid w:val="00202E0B"/>
    <w:rsid w:val="002041C9"/>
    <w:rsid w:val="00205B5C"/>
    <w:rsid w:val="00205D1A"/>
    <w:rsid w:val="002076D2"/>
    <w:rsid w:val="00207988"/>
    <w:rsid w:val="00211D62"/>
    <w:rsid w:val="00214678"/>
    <w:rsid w:val="002146B4"/>
    <w:rsid w:val="00217210"/>
    <w:rsid w:val="00220600"/>
    <w:rsid w:val="002214C1"/>
    <w:rsid w:val="002232E4"/>
    <w:rsid w:val="0022544E"/>
    <w:rsid w:val="002264A7"/>
    <w:rsid w:val="00231196"/>
    <w:rsid w:val="00232A13"/>
    <w:rsid w:val="00232B72"/>
    <w:rsid w:val="00233E0E"/>
    <w:rsid w:val="00234447"/>
    <w:rsid w:val="002354A0"/>
    <w:rsid w:val="002372EE"/>
    <w:rsid w:val="0024032E"/>
    <w:rsid w:val="00240B9E"/>
    <w:rsid w:val="002435E3"/>
    <w:rsid w:val="0024449F"/>
    <w:rsid w:val="00245EAD"/>
    <w:rsid w:val="00246109"/>
    <w:rsid w:val="00250813"/>
    <w:rsid w:val="00253077"/>
    <w:rsid w:val="00253640"/>
    <w:rsid w:val="002536B8"/>
    <w:rsid w:val="00253FF6"/>
    <w:rsid w:val="00254D57"/>
    <w:rsid w:val="0025502A"/>
    <w:rsid w:val="00256109"/>
    <w:rsid w:val="002629E8"/>
    <w:rsid w:val="00264969"/>
    <w:rsid w:val="00270546"/>
    <w:rsid w:val="002706EC"/>
    <w:rsid w:val="00270BFF"/>
    <w:rsid w:val="0027205F"/>
    <w:rsid w:val="002734CD"/>
    <w:rsid w:val="002735AE"/>
    <w:rsid w:val="0027447B"/>
    <w:rsid w:val="00274FE2"/>
    <w:rsid w:val="0027548A"/>
    <w:rsid w:val="002762FA"/>
    <w:rsid w:val="0027685F"/>
    <w:rsid w:val="00276E8B"/>
    <w:rsid w:val="00277180"/>
    <w:rsid w:val="00277341"/>
    <w:rsid w:val="0028005B"/>
    <w:rsid w:val="00280A37"/>
    <w:rsid w:val="00281831"/>
    <w:rsid w:val="0028263D"/>
    <w:rsid w:val="00282AD5"/>
    <w:rsid w:val="00282D09"/>
    <w:rsid w:val="0028555E"/>
    <w:rsid w:val="00285C6A"/>
    <w:rsid w:val="00285FF0"/>
    <w:rsid w:val="0028659C"/>
    <w:rsid w:val="00286F1A"/>
    <w:rsid w:val="00287083"/>
    <w:rsid w:val="00287492"/>
    <w:rsid w:val="002900F1"/>
    <w:rsid w:val="002906A2"/>
    <w:rsid w:val="00290BC4"/>
    <w:rsid w:val="00292AF3"/>
    <w:rsid w:val="0029368B"/>
    <w:rsid w:val="00293EC4"/>
    <w:rsid w:val="0029519B"/>
    <w:rsid w:val="002A1192"/>
    <w:rsid w:val="002A17DC"/>
    <w:rsid w:val="002A3633"/>
    <w:rsid w:val="002A4676"/>
    <w:rsid w:val="002A4ACD"/>
    <w:rsid w:val="002A68AB"/>
    <w:rsid w:val="002B0F12"/>
    <w:rsid w:val="002B2476"/>
    <w:rsid w:val="002B2875"/>
    <w:rsid w:val="002B4021"/>
    <w:rsid w:val="002B5067"/>
    <w:rsid w:val="002B6223"/>
    <w:rsid w:val="002B703F"/>
    <w:rsid w:val="002C0260"/>
    <w:rsid w:val="002C036D"/>
    <w:rsid w:val="002C21FB"/>
    <w:rsid w:val="002C2796"/>
    <w:rsid w:val="002C2A4C"/>
    <w:rsid w:val="002C5136"/>
    <w:rsid w:val="002C5530"/>
    <w:rsid w:val="002C5FE8"/>
    <w:rsid w:val="002C60D9"/>
    <w:rsid w:val="002D057A"/>
    <w:rsid w:val="002D0E6F"/>
    <w:rsid w:val="002D1684"/>
    <w:rsid w:val="002D3930"/>
    <w:rsid w:val="002D5E72"/>
    <w:rsid w:val="002D6CC0"/>
    <w:rsid w:val="002E0351"/>
    <w:rsid w:val="002E2000"/>
    <w:rsid w:val="002E34E1"/>
    <w:rsid w:val="002E66E0"/>
    <w:rsid w:val="002E6B13"/>
    <w:rsid w:val="002F1351"/>
    <w:rsid w:val="002F15D4"/>
    <w:rsid w:val="002F1681"/>
    <w:rsid w:val="002F1964"/>
    <w:rsid w:val="002F3AF6"/>
    <w:rsid w:val="002F5C09"/>
    <w:rsid w:val="002F6D31"/>
    <w:rsid w:val="002F7BE2"/>
    <w:rsid w:val="00302799"/>
    <w:rsid w:val="00303B80"/>
    <w:rsid w:val="00303F7E"/>
    <w:rsid w:val="00306D3D"/>
    <w:rsid w:val="00306D8A"/>
    <w:rsid w:val="00307D8C"/>
    <w:rsid w:val="003118B4"/>
    <w:rsid w:val="0031250D"/>
    <w:rsid w:val="00313040"/>
    <w:rsid w:val="003133A3"/>
    <w:rsid w:val="00315BD2"/>
    <w:rsid w:val="003162CD"/>
    <w:rsid w:val="00316978"/>
    <w:rsid w:val="00316B22"/>
    <w:rsid w:val="00317003"/>
    <w:rsid w:val="00317599"/>
    <w:rsid w:val="00317D17"/>
    <w:rsid w:val="003204B4"/>
    <w:rsid w:val="00322E77"/>
    <w:rsid w:val="00324C9B"/>
    <w:rsid w:val="0032533B"/>
    <w:rsid w:val="00325703"/>
    <w:rsid w:val="00325C64"/>
    <w:rsid w:val="00326F4F"/>
    <w:rsid w:val="00327E73"/>
    <w:rsid w:val="00330349"/>
    <w:rsid w:val="00330D9A"/>
    <w:rsid w:val="003312CF"/>
    <w:rsid w:val="00331E66"/>
    <w:rsid w:val="00332742"/>
    <w:rsid w:val="00334DBD"/>
    <w:rsid w:val="00335728"/>
    <w:rsid w:val="00336A25"/>
    <w:rsid w:val="00336F62"/>
    <w:rsid w:val="00337506"/>
    <w:rsid w:val="00341BC4"/>
    <w:rsid w:val="00342ADB"/>
    <w:rsid w:val="00342DEF"/>
    <w:rsid w:val="00343FC6"/>
    <w:rsid w:val="00345AA4"/>
    <w:rsid w:val="003479BB"/>
    <w:rsid w:val="0035182D"/>
    <w:rsid w:val="00351BB1"/>
    <w:rsid w:val="00351C88"/>
    <w:rsid w:val="00352AD8"/>
    <w:rsid w:val="00352FBD"/>
    <w:rsid w:val="00352FCF"/>
    <w:rsid w:val="00355503"/>
    <w:rsid w:val="00356CCF"/>
    <w:rsid w:val="003574A8"/>
    <w:rsid w:val="003624B7"/>
    <w:rsid w:val="003628D2"/>
    <w:rsid w:val="00362FB7"/>
    <w:rsid w:val="00363289"/>
    <w:rsid w:val="00364640"/>
    <w:rsid w:val="003657F5"/>
    <w:rsid w:val="00365932"/>
    <w:rsid w:val="00367CA0"/>
    <w:rsid w:val="00370D7C"/>
    <w:rsid w:val="00370ED1"/>
    <w:rsid w:val="0037111E"/>
    <w:rsid w:val="00371A7C"/>
    <w:rsid w:val="003724E9"/>
    <w:rsid w:val="0037408D"/>
    <w:rsid w:val="0037456E"/>
    <w:rsid w:val="00374C40"/>
    <w:rsid w:val="003751E4"/>
    <w:rsid w:val="0037630E"/>
    <w:rsid w:val="0037691A"/>
    <w:rsid w:val="00376981"/>
    <w:rsid w:val="00377338"/>
    <w:rsid w:val="00377A70"/>
    <w:rsid w:val="003803EF"/>
    <w:rsid w:val="003818D4"/>
    <w:rsid w:val="003820B9"/>
    <w:rsid w:val="0038240B"/>
    <w:rsid w:val="003869E3"/>
    <w:rsid w:val="0039031D"/>
    <w:rsid w:val="0039112B"/>
    <w:rsid w:val="00393465"/>
    <w:rsid w:val="0039405B"/>
    <w:rsid w:val="00394213"/>
    <w:rsid w:val="00394A93"/>
    <w:rsid w:val="00394D23"/>
    <w:rsid w:val="0039674E"/>
    <w:rsid w:val="0039698B"/>
    <w:rsid w:val="00397232"/>
    <w:rsid w:val="00397916"/>
    <w:rsid w:val="003A337A"/>
    <w:rsid w:val="003A5428"/>
    <w:rsid w:val="003A6C2D"/>
    <w:rsid w:val="003A6CF1"/>
    <w:rsid w:val="003B046F"/>
    <w:rsid w:val="003B1776"/>
    <w:rsid w:val="003B249C"/>
    <w:rsid w:val="003B3453"/>
    <w:rsid w:val="003B363B"/>
    <w:rsid w:val="003B4AFE"/>
    <w:rsid w:val="003B4B2B"/>
    <w:rsid w:val="003B5378"/>
    <w:rsid w:val="003C144D"/>
    <w:rsid w:val="003C269B"/>
    <w:rsid w:val="003C7B47"/>
    <w:rsid w:val="003D01D4"/>
    <w:rsid w:val="003D0FDC"/>
    <w:rsid w:val="003D2560"/>
    <w:rsid w:val="003D31B9"/>
    <w:rsid w:val="003D3732"/>
    <w:rsid w:val="003D48AD"/>
    <w:rsid w:val="003D5877"/>
    <w:rsid w:val="003D6C3D"/>
    <w:rsid w:val="003E1026"/>
    <w:rsid w:val="003E32D6"/>
    <w:rsid w:val="003E33D8"/>
    <w:rsid w:val="003E452B"/>
    <w:rsid w:val="003E5793"/>
    <w:rsid w:val="003E5978"/>
    <w:rsid w:val="003E5CE9"/>
    <w:rsid w:val="003E68B4"/>
    <w:rsid w:val="003E6D39"/>
    <w:rsid w:val="003E7ACE"/>
    <w:rsid w:val="003F0810"/>
    <w:rsid w:val="003F1904"/>
    <w:rsid w:val="003F2A3D"/>
    <w:rsid w:val="003F2FCB"/>
    <w:rsid w:val="003F45B8"/>
    <w:rsid w:val="003F5744"/>
    <w:rsid w:val="003F687F"/>
    <w:rsid w:val="003F7C89"/>
    <w:rsid w:val="00400A67"/>
    <w:rsid w:val="00400B2E"/>
    <w:rsid w:val="004035FB"/>
    <w:rsid w:val="00404733"/>
    <w:rsid w:val="00405FAE"/>
    <w:rsid w:val="00406B0E"/>
    <w:rsid w:val="00407076"/>
    <w:rsid w:val="00407632"/>
    <w:rsid w:val="0041060A"/>
    <w:rsid w:val="004138CE"/>
    <w:rsid w:val="0041534D"/>
    <w:rsid w:val="00416B11"/>
    <w:rsid w:val="00417F76"/>
    <w:rsid w:val="00420ED0"/>
    <w:rsid w:val="004211FB"/>
    <w:rsid w:val="004213EF"/>
    <w:rsid w:val="00421575"/>
    <w:rsid w:val="004217D0"/>
    <w:rsid w:val="00421A44"/>
    <w:rsid w:val="00422CB4"/>
    <w:rsid w:val="00423879"/>
    <w:rsid w:val="00424C12"/>
    <w:rsid w:val="00426349"/>
    <w:rsid w:val="00426C49"/>
    <w:rsid w:val="00427413"/>
    <w:rsid w:val="00430408"/>
    <w:rsid w:val="00431541"/>
    <w:rsid w:val="0043370C"/>
    <w:rsid w:val="00433B65"/>
    <w:rsid w:val="004340D7"/>
    <w:rsid w:val="004355A2"/>
    <w:rsid w:val="00435C73"/>
    <w:rsid w:val="004365D6"/>
    <w:rsid w:val="00436E5C"/>
    <w:rsid w:val="00437029"/>
    <w:rsid w:val="004376E6"/>
    <w:rsid w:val="004406D8"/>
    <w:rsid w:val="004439D1"/>
    <w:rsid w:val="00445EB6"/>
    <w:rsid w:val="004468F6"/>
    <w:rsid w:val="00446A3E"/>
    <w:rsid w:val="00446D24"/>
    <w:rsid w:val="00447234"/>
    <w:rsid w:val="00450383"/>
    <w:rsid w:val="00453557"/>
    <w:rsid w:val="00453CAE"/>
    <w:rsid w:val="00454ACC"/>
    <w:rsid w:val="004555D0"/>
    <w:rsid w:val="00456AF9"/>
    <w:rsid w:val="004572A4"/>
    <w:rsid w:val="004573E8"/>
    <w:rsid w:val="00460853"/>
    <w:rsid w:val="00460AD6"/>
    <w:rsid w:val="00460C9D"/>
    <w:rsid w:val="00465659"/>
    <w:rsid w:val="00466B31"/>
    <w:rsid w:val="00466F2A"/>
    <w:rsid w:val="00467112"/>
    <w:rsid w:val="0047032D"/>
    <w:rsid w:val="00471723"/>
    <w:rsid w:val="00471989"/>
    <w:rsid w:val="00474823"/>
    <w:rsid w:val="00476346"/>
    <w:rsid w:val="004763D4"/>
    <w:rsid w:val="004811FF"/>
    <w:rsid w:val="00482689"/>
    <w:rsid w:val="00483CBC"/>
    <w:rsid w:val="004841B1"/>
    <w:rsid w:val="0048529C"/>
    <w:rsid w:val="004868A4"/>
    <w:rsid w:val="004869F3"/>
    <w:rsid w:val="00491A5C"/>
    <w:rsid w:val="00491C82"/>
    <w:rsid w:val="0049399A"/>
    <w:rsid w:val="004956A3"/>
    <w:rsid w:val="00495F47"/>
    <w:rsid w:val="00496028"/>
    <w:rsid w:val="004964AF"/>
    <w:rsid w:val="004A3321"/>
    <w:rsid w:val="004A3565"/>
    <w:rsid w:val="004A425B"/>
    <w:rsid w:val="004A4B08"/>
    <w:rsid w:val="004B1E9B"/>
    <w:rsid w:val="004B387D"/>
    <w:rsid w:val="004B3F46"/>
    <w:rsid w:val="004B6704"/>
    <w:rsid w:val="004B7C10"/>
    <w:rsid w:val="004C226D"/>
    <w:rsid w:val="004C34E0"/>
    <w:rsid w:val="004C4529"/>
    <w:rsid w:val="004C46E8"/>
    <w:rsid w:val="004C48E6"/>
    <w:rsid w:val="004C7FDD"/>
    <w:rsid w:val="004D042E"/>
    <w:rsid w:val="004D200F"/>
    <w:rsid w:val="004D2E6D"/>
    <w:rsid w:val="004D38D8"/>
    <w:rsid w:val="004D3BE3"/>
    <w:rsid w:val="004D446E"/>
    <w:rsid w:val="004D5012"/>
    <w:rsid w:val="004D52E9"/>
    <w:rsid w:val="004D5A54"/>
    <w:rsid w:val="004E00A2"/>
    <w:rsid w:val="004E145E"/>
    <w:rsid w:val="004E182A"/>
    <w:rsid w:val="004E1B2E"/>
    <w:rsid w:val="004E2093"/>
    <w:rsid w:val="004E36E6"/>
    <w:rsid w:val="004E61B3"/>
    <w:rsid w:val="004F01E4"/>
    <w:rsid w:val="004F072F"/>
    <w:rsid w:val="004F15CE"/>
    <w:rsid w:val="004F1C5B"/>
    <w:rsid w:val="004F2169"/>
    <w:rsid w:val="004F2DFA"/>
    <w:rsid w:val="004F3689"/>
    <w:rsid w:val="004F536A"/>
    <w:rsid w:val="004F6C1D"/>
    <w:rsid w:val="004F6DF4"/>
    <w:rsid w:val="004F6FCD"/>
    <w:rsid w:val="004F70B6"/>
    <w:rsid w:val="00501E7B"/>
    <w:rsid w:val="005039EE"/>
    <w:rsid w:val="00504B87"/>
    <w:rsid w:val="00506BB6"/>
    <w:rsid w:val="005074AD"/>
    <w:rsid w:val="00507E1D"/>
    <w:rsid w:val="00511041"/>
    <w:rsid w:val="00512D08"/>
    <w:rsid w:val="00512E8D"/>
    <w:rsid w:val="00514F28"/>
    <w:rsid w:val="00520E50"/>
    <w:rsid w:val="00521D4C"/>
    <w:rsid w:val="00521E2D"/>
    <w:rsid w:val="00525E66"/>
    <w:rsid w:val="00527150"/>
    <w:rsid w:val="005324A5"/>
    <w:rsid w:val="005327CE"/>
    <w:rsid w:val="005329D2"/>
    <w:rsid w:val="00532C14"/>
    <w:rsid w:val="00532C88"/>
    <w:rsid w:val="00534C10"/>
    <w:rsid w:val="00535FB4"/>
    <w:rsid w:val="00536764"/>
    <w:rsid w:val="00540687"/>
    <w:rsid w:val="00540ADF"/>
    <w:rsid w:val="00541D66"/>
    <w:rsid w:val="005434CE"/>
    <w:rsid w:val="00543AEF"/>
    <w:rsid w:val="00545263"/>
    <w:rsid w:val="00545957"/>
    <w:rsid w:val="0054602B"/>
    <w:rsid w:val="00547221"/>
    <w:rsid w:val="005479E3"/>
    <w:rsid w:val="005506B4"/>
    <w:rsid w:val="005518FA"/>
    <w:rsid w:val="00552FDE"/>
    <w:rsid w:val="00554A52"/>
    <w:rsid w:val="00555327"/>
    <w:rsid w:val="005562FE"/>
    <w:rsid w:val="00556936"/>
    <w:rsid w:val="00561135"/>
    <w:rsid w:val="00561E32"/>
    <w:rsid w:val="00561FA1"/>
    <w:rsid w:val="00562513"/>
    <w:rsid w:val="005629D3"/>
    <w:rsid w:val="0056319F"/>
    <w:rsid w:val="005632E9"/>
    <w:rsid w:val="00563485"/>
    <w:rsid w:val="0056559F"/>
    <w:rsid w:val="00566ED5"/>
    <w:rsid w:val="00567507"/>
    <w:rsid w:val="00571070"/>
    <w:rsid w:val="005716DB"/>
    <w:rsid w:val="00572D3A"/>
    <w:rsid w:val="005749D3"/>
    <w:rsid w:val="005750C6"/>
    <w:rsid w:val="005754C6"/>
    <w:rsid w:val="00576C80"/>
    <w:rsid w:val="00580D7D"/>
    <w:rsid w:val="0058100C"/>
    <w:rsid w:val="00581431"/>
    <w:rsid w:val="00581DBA"/>
    <w:rsid w:val="00583489"/>
    <w:rsid w:val="00583A37"/>
    <w:rsid w:val="005853E7"/>
    <w:rsid w:val="00586766"/>
    <w:rsid w:val="00587BBD"/>
    <w:rsid w:val="005900CB"/>
    <w:rsid w:val="0059078C"/>
    <w:rsid w:val="00591361"/>
    <w:rsid w:val="005913E9"/>
    <w:rsid w:val="005928DE"/>
    <w:rsid w:val="00594015"/>
    <w:rsid w:val="0059662A"/>
    <w:rsid w:val="00597294"/>
    <w:rsid w:val="005A09BB"/>
    <w:rsid w:val="005A42F3"/>
    <w:rsid w:val="005A4C8E"/>
    <w:rsid w:val="005A533A"/>
    <w:rsid w:val="005B27C5"/>
    <w:rsid w:val="005B320F"/>
    <w:rsid w:val="005B4AF7"/>
    <w:rsid w:val="005B58C8"/>
    <w:rsid w:val="005B7069"/>
    <w:rsid w:val="005B726F"/>
    <w:rsid w:val="005B73F2"/>
    <w:rsid w:val="005C0173"/>
    <w:rsid w:val="005C11AA"/>
    <w:rsid w:val="005C1BFD"/>
    <w:rsid w:val="005C3226"/>
    <w:rsid w:val="005C4CB3"/>
    <w:rsid w:val="005C51C3"/>
    <w:rsid w:val="005C53D4"/>
    <w:rsid w:val="005C5983"/>
    <w:rsid w:val="005C5C78"/>
    <w:rsid w:val="005C6319"/>
    <w:rsid w:val="005C6712"/>
    <w:rsid w:val="005C6E9D"/>
    <w:rsid w:val="005C7836"/>
    <w:rsid w:val="005D02CC"/>
    <w:rsid w:val="005D362B"/>
    <w:rsid w:val="005D3EE9"/>
    <w:rsid w:val="005D4807"/>
    <w:rsid w:val="005D6133"/>
    <w:rsid w:val="005D72C4"/>
    <w:rsid w:val="005D7764"/>
    <w:rsid w:val="005D77CB"/>
    <w:rsid w:val="005E2588"/>
    <w:rsid w:val="005E3926"/>
    <w:rsid w:val="005E3DE0"/>
    <w:rsid w:val="005E55FB"/>
    <w:rsid w:val="005E5708"/>
    <w:rsid w:val="005E5EEE"/>
    <w:rsid w:val="005E6650"/>
    <w:rsid w:val="005F38FB"/>
    <w:rsid w:val="005F3CA2"/>
    <w:rsid w:val="005F46BB"/>
    <w:rsid w:val="005F74D4"/>
    <w:rsid w:val="00600043"/>
    <w:rsid w:val="00601825"/>
    <w:rsid w:val="00601F2A"/>
    <w:rsid w:val="00603FF3"/>
    <w:rsid w:val="0060443A"/>
    <w:rsid w:val="0060566D"/>
    <w:rsid w:val="006067BF"/>
    <w:rsid w:val="00606E73"/>
    <w:rsid w:val="0060733E"/>
    <w:rsid w:val="00613BA6"/>
    <w:rsid w:val="00615E33"/>
    <w:rsid w:val="00616231"/>
    <w:rsid w:val="00616509"/>
    <w:rsid w:val="00616D54"/>
    <w:rsid w:val="0061744E"/>
    <w:rsid w:val="00624BE3"/>
    <w:rsid w:val="00625D42"/>
    <w:rsid w:val="00627CBB"/>
    <w:rsid w:val="00630D27"/>
    <w:rsid w:val="006345C5"/>
    <w:rsid w:val="00634903"/>
    <w:rsid w:val="00634EE6"/>
    <w:rsid w:val="00635257"/>
    <w:rsid w:val="00635D06"/>
    <w:rsid w:val="006413C2"/>
    <w:rsid w:val="00642800"/>
    <w:rsid w:val="00647F22"/>
    <w:rsid w:val="00650D22"/>
    <w:rsid w:val="00651DED"/>
    <w:rsid w:val="006522D3"/>
    <w:rsid w:val="0065397C"/>
    <w:rsid w:val="00653B99"/>
    <w:rsid w:val="006545E0"/>
    <w:rsid w:val="00654D58"/>
    <w:rsid w:val="0065637E"/>
    <w:rsid w:val="00656C6C"/>
    <w:rsid w:val="00657DB6"/>
    <w:rsid w:val="006604F9"/>
    <w:rsid w:val="0066091C"/>
    <w:rsid w:val="00660B80"/>
    <w:rsid w:val="00661B9E"/>
    <w:rsid w:val="00662F27"/>
    <w:rsid w:val="00663BD8"/>
    <w:rsid w:val="0066445F"/>
    <w:rsid w:val="00665D80"/>
    <w:rsid w:val="00666205"/>
    <w:rsid w:val="00666700"/>
    <w:rsid w:val="00667CCF"/>
    <w:rsid w:val="00667F1C"/>
    <w:rsid w:val="00670472"/>
    <w:rsid w:val="00670E69"/>
    <w:rsid w:val="0067486F"/>
    <w:rsid w:val="00677F90"/>
    <w:rsid w:val="0068043D"/>
    <w:rsid w:val="00680502"/>
    <w:rsid w:val="00682F66"/>
    <w:rsid w:val="00684179"/>
    <w:rsid w:val="00684434"/>
    <w:rsid w:val="00685092"/>
    <w:rsid w:val="00685657"/>
    <w:rsid w:val="006869F1"/>
    <w:rsid w:val="00686B65"/>
    <w:rsid w:val="00686DA4"/>
    <w:rsid w:val="006879FE"/>
    <w:rsid w:val="00690ED2"/>
    <w:rsid w:val="00692B52"/>
    <w:rsid w:val="0069410E"/>
    <w:rsid w:val="00694A95"/>
    <w:rsid w:val="00694E91"/>
    <w:rsid w:val="006960B4"/>
    <w:rsid w:val="00697994"/>
    <w:rsid w:val="006A00C7"/>
    <w:rsid w:val="006A17D5"/>
    <w:rsid w:val="006A24BB"/>
    <w:rsid w:val="006A37CC"/>
    <w:rsid w:val="006A3FE6"/>
    <w:rsid w:val="006A6A61"/>
    <w:rsid w:val="006A704C"/>
    <w:rsid w:val="006A75C3"/>
    <w:rsid w:val="006B250B"/>
    <w:rsid w:val="006B2660"/>
    <w:rsid w:val="006B3DEF"/>
    <w:rsid w:val="006B4BC7"/>
    <w:rsid w:val="006B7669"/>
    <w:rsid w:val="006C0BCE"/>
    <w:rsid w:val="006C0E4A"/>
    <w:rsid w:val="006C3F05"/>
    <w:rsid w:val="006C4A5C"/>
    <w:rsid w:val="006C5A3E"/>
    <w:rsid w:val="006C5E47"/>
    <w:rsid w:val="006C61C8"/>
    <w:rsid w:val="006C632F"/>
    <w:rsid w:val="006C7BD1"/>
    <w:rsid w:val="006D0ACE"/>
    <w:rsid w:val="006D234C"/>
    <w:rsid w:val="006D2F27"/>
    <w:rsid w:val="006D39E2"/>
    <w:rsid w:val="006D3A69"/>
    <w:rsid w:val="006D4CE6"/>
    <w:rsid w:val="006D4FEB"/>
    <w:rsid w:val="006D58A6"/>
    <w:rsid w:val="006D5A6B"/>
    <w:rsid w:val="006D5EF0"/>
    <w:rsid w:val="006D79D8"/>
    <w:rsid w:val="006E09A9"/>
    <w:rsid w:val="006E1AAC"/>
    <w:rsid w:val="006E1B33"/>
    <w:rsid w:val="006E278C"/>
    <w:rsid w:val="006E2A38"/>
    <w:rsid w:val="006E3CA8"/>
    <w:rsid w:val="006E54B2"/>
    <w:rsid w:val="006E648D"/>
    <w:rsid w:val="006E79A5"/>
    <w:rsid w:val="006E7C5B"/>
    <w:rsid w:val="006F57E1"/>
    <w:rsid w:val="00700DEC"/>
    <w:rsid w:val="007031C4"/>
    <w:rsid w:val="00703CDE"/>
    <w:rsid w:val="00704BE3"/>
    <w:rsid w:val="00704D19"/>
    <w:rsid w:val="007066F7"/>
    <w:rsid w:val="00706CBB"/>
    <w:rsid w:val="0070747C"/>
    <w:rsid w:val="00707606"/>
    <w:rsid w:val="00707A8C"/>
    <w:rsid w:val="00711939"/>
    <w:rsid w:val="00711B49"/>
    <w:rsid w:val="0071272E"/>
    <w:rsid w:val="00712EDF"/>
    <w:rsid w:val="00713B3F"/>
    <w:rsid w:val="00713E34"/>
    <w:rsid w:val="00713E48"/>
    <w:rsid w:val="007153D8"/>
    <w:rsid w:val="00715E78"/>
    <w:rsid w:val="00717426"/>
    <w:rsid w:val="0071772B"/>
    <w:rsid w:val="00717939"/>
    <w:rsid w:val="00717F1E"/>
    <w:rsid w:val="00720598"/>
    <w:rsid w:val="0072302D"/>
    <w:rsid w:val="0072464E"/>
    <w:rsid w:val="00725CBE"/>
    <w:rsid w:val="00726DF9"/>
    <w:rsid w:val="00731C7D"/>
    <w:rsid w:val="00734FAE"/>
    <w:rsid w:val="00735894"/>
    <w:rsid w:val="0073634D"/>
    <w:rsid w:val="00736AF0"/>
    <w:rsid w:val="00737F93"/>
    <w:rsid w:val="00740660"/>
    <w:rsid w:val="00741494"/>
    <w:rsid w:val="00742109"/>
    <w:rsid w:val="0074237E"/>
    <w:rsid w:val="007427CA"/>
    <w:rsid w:val="007429A3"/>
    <w:rsid w:val="007432BA"/>
    <w:rsid w:val="00744573"/>
    <w:rsid w:val="00744E25"/>
    <w:rsid w:val="0074617B"/>
    <w:rsid w:val="00747635"/>
    <w:rsid w:val="007476D4"/>
    <w:rsid w:val="00747A49"/>
    <w:rsid w:val="00747FF2"/>
    <w:rsid w:val="0075039C"/>
    <w:rsid w:val="007503B0"/>
    <w:rsid w:val="00750C67"/>
    <w:rsid w:val="007528DE"/>
    <w:rsid w:val="00756381"/>
    <w:rsid w:val="00756781"/>
    <w:rsid w:val="00756CA7"/>
    <w:rsid w:val="00757339"/>
    <w:rsid w:val="00760C65"/>
    <w:rsid w:val="0076210A"/>
    <w:rsid w:val="00762C8B"/>
    <w:rsid w:val="00763263"/>
    <w:rsid w:val="0076396F"/>
    <w:rsid w:val="00764593"/>
    <w:rsid w:val="0076637F"/>
    <w:rsid w:val="00766908"/>
    <w:rsid w:val="00770E32"/>
    <w:rsid w:val="00771C61"/>
    <w:rsid w:val="007724C8"/>
    <w:rsid w:val="007725ED"/>
    <w:rsid w:val="00772DFD"/>
    <w:rsid w:val="00773986"/>
    <w:rsid w:val="00773D8C"/>
    <w:rsid w:val="00774A59"/>
    <w:rsid w:val="00780AE2"/>
    <w:rsid w:val="00781477"/>
    <w:rsid w:val="0078434E"/>
    <w:rsid w:val="007855A0"/>
    <w:rsid w:val="007867B0"/>
    <w:rsid w:val="007875F5"/>
    <w:rsid w:val="00787A09"/>
    <w:rsid w:val="0079244A"/>
    <w:rsid w:val="00795130"/>
    <w:rsid w:val="00795EE7"/>
    <w:rsid w:val="00796833"/>
    <w:rsid w:val="00796A62"/>
    <w:rsid w:val="00796F10"/>
    <w:rsid w:val="007A1432"/>
    <w:rsid w:val="007A19B9"/>
    <w:rsid w:val="007A1D64"/>
    <w:rsid w:val="007A21FB"/>
    <w:rsid w:val="007A2265"/>
    <w:rsid w:val="007A3587"/>
    <w:rsid w:val="007A5BAC"/>
    <w:rsid w:val="007A5FEB"/>
    <w:rsid w:val="007A635B"/>
    <w:rsid w:val="007A6B38"/>
    <w:rsid w:val="007A6FAA"/>
    <w:rsid w:val="007A717F"/>
    <w:rsid w:val="007A7505"/>
    <w:rsid w:val="007B16B6"/>
    <w:rsid w:val="007B240A"/>
    <w:rsid w:val="007B2FEF"/>
    <w:rsid w:val="007B354F"/>
    <w:rsid w:val="007B443C"/>
    <w:rsid w:val="007B4BC4"/>
    <w:rsid w:val="007B5D85"/>
    <w:rsid w:val="007B5FF6"/>
    <w:rsid w:val="007B738D"/>
    <w:rsid w:val="007B76D9"/>
    <w:rsid w:val="007B7D99"/>
    <w:rsid w:val="007C017C"/>
    <w:rsid w:val="007C0E04"/>
    <w:rsid w:val="007C27ED"/>
    <w:rsid w:val="007C448D"/>
    <w:rsid w:val="007C7CE4"/>
    <w:rsid w:val="007D376C"/>
    <w:rsid w:val="007D4E2B"/>
    <w:rsid w:val="007D5732"/>
    <w:rsid w:val="007D6775"/>
    <w:rsid w:val="007E0712"/>
    <w:rsid w:val="007E164B"/>
    <w:rsid w:val="007E1A7F"/>
    <w:rsid w:val="007E314E"/>
    <w:rsid w:val="007E372E"/>
    <w:rsid w:val="007E3F5E"/>
    <w:rsid w:val="007E4908"/>
    <w:rsid w:val="007E4AC0"/>
    <w:rsid w:val="007E4EBC"/>
    <w:rsid w:val="007E5F60"/>
    <w:rsid w:val="007E7318"/>
    <w:rsid w:val="007F156F"/>
    <w:rsid w:val="007F4568"/>
    <w:rsid w:val="007F5060"/>
    <w:rsid w:val="007F6E3F"/>
    <w:rsid w:val="007F76EC"/>
    <w:rsid w:val="008025CA"/>
    <w:rsid w:val="00803AAC"/>
    <w:rsid w:val="00805F3A"/>
    <w:rsid w:val="00806C0B"/>
    <w:rsid w:val="00806EC5"/>
    <w:rsid w:val="008115A7"/>
    <w:rsid w:val="008131A8"/>
    <w:rsid w:val="00813443"/>
    <w:rsid w:val="00813AC3"/>
    <w:rsid w:val="00815529"/>
    <w:rsid w:val="00815710"/>
    <w:rsid w:val="008179C3"/>
    <w:rsid w:val="00821316"/>
    <w:rsid w:val="00821552"/>
    <w:rsid w:val="008217C7"/>
    <w:rsid w:val="00821D55"/>
    <w:rsid w:val="008240C6"/>
    <w:rsid w:val="00824C14"/>
    <w:rsid w:val="00825AB7"/>
    <w:rsid w:val="00826CB7"/>
    <w:rsid w:val="0083031F"/>
    <w:rsid w:val="008307E6"/>
    <w:rsid w:val="00830A09"/>
    <w:rsid w:val="008313E4"/>
    <w:rsid w:val="0083238F"/>
    <w:rsid w:val="00832CC5"/>
    <w:rsid w:val="00833CBB"/>
    <w:rsid w:val="008346BA"/>
    <w:rsid w:val="00835409"/>
    <w:rsid w:val="008355CC"/>
    <w:rsid w:val="00835CFB"/>
    <w:rsid w:val="00835F92"/>
    <w:rsid w:val="00836759"/>
    <w:rsid w:val="0083740F"/>
    <w:rsid w:val="00837553"/>
    <w:rsid w:val="00837A08"/>
    <w:rsid w:val="00837A89"/>
    <w:rsid w:val="00840E65"/>
    <w:rsid w:val="00841F0E"/>
    <w:rsid w:val="0084253A"/>
    <w:rsid w:val="008441C0"/>
    <w:rsid w:val="00845955"/>
    <w:rsid w:val="0084667A"/>
    <w:rsid w:val="00846CB3"/>
    <w:rsid w:val="00847CE3"/>
    <w:rsid w:val="00847DC9"/>
    <w:rsid w:val="00850070"/>
    <w:rsid w:val="008503A4"/>
    <w:rsid w:val="00851380"/>
    <w:rsid w:val="008515D2"/>
    <w:rsid w:val="00855A51"/>
    <w:rsid w:val="00857053"/>
    <w:rsid w:val="00860034"/>
    <w:rsid w:val="00864780"/>
    <w:rsid w:val="008662C0"/>
    <w:rsid w:val="00870923"/>
    <w:rsid w:val="00870BC7"/>
    <w:rsid w:val="00872102"/>
    <w:rsid w:val="00872AE5"/>
    <w:rsid w:val="00872E10"/>
    <w:rsid w:val="00873543"/>
    <w:rsid w:val="00874E0A"/>
    <w:rsid w:val="008754D3"/>
    <w:rsid w:val="00875E5B"/>
    <w:rsid w:val="00875E6C"/>
    <w:rsid w:val="008819E0"/>
    <w:rsid w:val="00881DBC"/>
    <w:rsid w:val="00883072"/>
    <w:rsid w:val="00884EE2"/>
    <w:rsid w:val="00886914"/>
    <w:rsid w:val="00891D65"/>
    <w:rsid w:val="008931F8"/>
    <w:rsid w:val="008945CD"/>
    <w:rsid w:val="0089619F"/>
    <w:rsid w:val="008A070D"/>
    <w:rsid w:val="008A5B7A"/>
    <w:rsid w:val="008A6C52"/>
    <w:rsid w:val="008A7295"/>
    <w:rsid w:val="008A7CAF"/>
    <w:rsid w:val="008A7E8A"/>
    <w:rsid w:val="008B12D9"/>
    <w:rsid w:val="008B138A"/>
    <w:rsid w:val="008B23BF"/>
    <w:rsid w:val="008B2FFD"/>
    <w:rsid w:val="008B7AAC"/>
    <w:rsid w:val="008B7B45"/>
    <w:rsid w:val="008B7FC7"/>
    <w:rsid w:val="008C0DC0"/>
    <w:rsid w:val="008C135C"/>
    <w:rsid w:val="008C3FB6"/>
    <w:rsid w:val="008C40F6"/>
    <w:rsid w:val="008C53F6"/>
    <w:rsid w:val="008C5E05"/>
    <w:rsid w:val="008D0117"/>
    <w:rsid w:val="008D01A9"/>
    <w:rsid w:val="008D507F"/>
    <w:rsid w:val="008E13B5"/>
    <w:rsid w:val="008E152E"/>
    <w:rsid w:val="008E2D26"/>
    <w:rsid w:val="008E3E86"/>
    <w:rsid w:val="008E64C8"/>
    <w:rsid w:val="008E6D89"/>
    <w:rsid w:val="008E7740"/>
    <w:rsid w:val="008F04B8"/>
    <w:rsid w:val="008F0CB4"/>
    <w:rsid w:val="008F350B"/>
    <w:rsid w:val="008F3F00"/>
    <w:rsid w:val="008F43DB"/>
    <w:rsid w:val="008F528C"/>
    <w:rsid w:val="008F52CE"/>
    <w:rsid w:val="008F58A4"/>
    <w:rsid w:val="008F5B5A"/>
    <w:rsid w:val="009001EB"/>
    <w:rsid w:val="0090080F"/>
    <w:rsid w:val="009018B5"/>
    <w:rsid w:val="0090387C"/>
    <w:rsid w:val="00903C1F"/>
    <w:rsid w:val="0090540E"/>
    <w:rsid w:val="00905E95"/>
    <w:rsid w:val="00905EE0"/>
    <w:rsid w:val="009071D2"/>
    <w:rsid w:val="009107B2"/>
    <w:rsid w:val="00910CAE"/>
    <w:rsid w:val="00910D2A"/>
    <w:rsid w:val="00910D3D"/>
    <w:rsid w:val="0091166E"/>
    <w:rsid w:val="00911689"/>
    <w:rsid w:val="00911BFB"/>
    <w:rsid w:val="0091255C"/>
    <w:rsid w:val="00912FF9"/>
    <w:rsid w:val="00913542"/>
    <w:rsid w:val="0091480C"/>
    <w:rsid w:val="00914AF8"/>
    <w:rsid w:val="00914C1E"/>
    <w:rsid w:val="009163F9"/>
    <w:rsid w:val="00920DF0"/>
    <w:rsid w:val="00925FA4"/>
    <w:rsid w:val="00925FC4"/>
    <w:rsid w:val="00926C5E"/>
    <w:rsid w:val="00926F3F"/>
    <w:rsid w:val="00930F5F"/>
    <w:rsid w:val="009314C8"/>
    <w:rsid w:val="00937776"/>
    <w:rsid w:val="00937CDC"/>
    <w:rsid w:val="00937F06"/>
    <w:rsid w:val="00940C34"/>
    <w:rsid w:val="009432E5"/>
    <w:rsid w:val="00944930"/>
    <w:rsid w:val="0094616F"/>
    <w:rsid w:val="00946577"/>
    <w:rsid w:val="00946B41"/>
    <w:rsid w:val="00950EED"/>
    <w:rsid w:val="00951099"/>
    <w:rsid w:val="0095129F"/>
    <w:rsid w:val="0095191A"/>
    <w:rsid w:val="009521A8"/>
    <w:rsid w:val="00952769"/>
    <w:rsid w:val="009540D6"/>
    <w:rsid w:val="00954961"/>
    <w:rsid w:val="00955009"/>
    <w:rsid w:val="00955067"/>
    <w:rsid w:val="00955236"/>
    <w:rsid w:val="00956FCB"/>
    <w:rsid w:val="009572DD"/>
    <w:rsid w:val="00957BFC"/>
    <w:rsid w:val="00960564"/>
    <w:rsid w:val="00960C87"/>
    <w:rsid w:val="00961950"/>
    <w:rsid w:val="009623B3"/>
    <w:rsid w:val="00962E00"/>
    <w:rsid w:val="0096462D"/>
    <w:rsid w:val="0096554D"/>
    <w:rsid w:val="00966C37"/>
    <w:rsid w:val="00970351"/>
    <w:rsid w:val="00970C8F"/>
    <w:rsid w:val="00972888"/>
    <w:rsid w:val="00972E21"/>
    <w:rsid w:val="009733C2"/>
    <w:rsid w:val="009742F7"/>
    <w:rsid w:val="009746BE"/>
    <w:rsid w:val="00975E18"/>
    <w:rsid w:val="0097769E"/>
    <w:rsid w:val="00981C32"/>
    <w:rsid w:val="00983FFF"/>
    <w:rsid w:val="00984AD8"/>
    <w:rsid w:val="009866DA"/>
    <w:rsid w:val="009876A8"/>
    <w:rsid w:val="00990981"/>
    <w:rsid w:val="009919CA"/>
    <w:rsid w:val="00993B8A"/>
    <w:rsid w:val="00994EEF"/>
    <w:rsid w:val="00994FBD"/>
    <w:rsid w:val="009951AD"/>
    <w:rsid w:val="009959B0"/>
    <w:rsid w:val="009A1A73"/>
    <w:rsid w:val="009A3ABD"/>
    <w:rsid w:val="009A3E47"/>
    <w:rsid w:val="009A48F2"/>
    <w:rsid w:val="009A4CB9"/>
    <w:rsid w:val="009A5BF5"/>
    <w:rsid w:val="009A5C9A"/>
    <w:rsid w:val="009A6107"/>
    <w:rsid w:val="009A6A3E"/>
    <w:rsid w:val="009A7290"/>
    <w:rsid w:val="009B33AB"/>
    <w:rsid w:val="009B6343"/>
    <w:rsid w:val="009C01CE"/>
    <w:rsid w:val="009C04DC"/>
    <w:rsid w:val="009C21B9"/>
    <w:rsid w:val="009C3A41"/>
    <w:rsid w:val="009C4A6E"/>
    <w:rsid w:val="009C52F6"/>
    <w:rsid w:val="009C79EC"/>
    <w:rsid w:val="009D186E"/>
    <w:rsid w:val="009D4422"/>
    <w:rsid w:val="009D698B"/>
    <w:rsid w:val="009E102B"/>
    <w:rsid w:val="009E1ACE"/>
    <w:rsid w:val="009E1D1E"/>
    <w:rsid w:val="009E3BFE"/>
    <w:rsid w:val="009E656C"/>
    <w:rsid w:val="009E714D"/>
    <w:rsid w:val="009F3A3B"/>
    <w:rsid w:val="009F4B34"/>
    <w:rsid w:val="009F4DD9"/>
    <w:rsid w:val="009F65C7"/>
    <w:rsid w:val="00A00AC8"/>
    <w:rsid w:val="00A01B10"/>
    <w:rsid w:val="00A01CC2"/>
    <w:rsid w:val="00A037BF"/>
    <w:rsid w:val="00A04C8B"/>
    <w:rsid w:val="00A052F5"/>
    <w:rsid w:val="00A06EF1"/>
    <w:rsid w:val="00A06FDC"/>
    <w:rsid w:val="00A104D6"/>
    <w:rsid w:val="00A12021"/>
    <w:rsid w:val="00A177B6"/>
    <w:rsid w:val="00A17C49"/>
    <w:rsid w:val="00A20BC4"/>
    <w:rsid w:val="00A229B7"/>
    <w:rsid w:val="00A24D48"/>
    <w:rsid w:val="00A2535E"/>
    <w:rsid w:val="00A278FD"/>
    <w:rsid w:val="00A27FF1"/>
    <w:rsid w:val="00A30FCB"/>
    <w:rsid w:val="00A3298F"/>
    <w:rsid w:val="00A34533"/>
    <w:rsid w:val="00A41821"/>
    <w:rsid w:val="00A43347"/>
    <w:rsid w:val="00A43D1E"/>
    <w:rsid w:val="00A44C7A"/>
    <w:rsid w:val="00A4596C"/>
    <w:rsid w:val="00A45C82"/>
    <w:rsid w:val="00A47B79"/>
    <w:rsid w:val="00A47E1A"/>
    <w:rsid w:val="00A514E9"/>
    <w:rsid w:val="00A53B09"/>
    <w:rsid w:val="00A55A5E"/>
    <w:rsid w:val="00A56432"/>
    <w:rsid w:val="00A56FCA"/>
    <w:rsid w:val="00A579A6"/>
    <w:rsid w:val="00A57B27"/>
    <w:rsid w:val="00A6061A"/>
    <w:rsid w:val="00A60E61"/>
    <w:rsid w:val="00A6113D"/>
    <w:rsid w:val="00A626B5"/>
    <w:rsid w:val="00A6332E"/>
    <w:rsid w:val="00A646A4"/>
    <w:rsid w:val="00A66A8B"/>
    <w:rsid w:val="00A70C0A"/>
    <w:rsid w:val="00A7235E"/>
    <w:rsid w:val="00A732A7"/>
    <w:rsid w:val="00A7358B"/>
    <w:rsid w:val="00A73649"/>
    <w:rsid w:val="00A76065"/>
    <w:rsid w:val="00A816CD"/>
    <w:rsid w:val="00A8279F"/>
    <w:rsid w:val="00A82E8D"/>
    <w:rsid w:val="00A840F8"/>
    <w:rsid w:val="00A84154"/>
    <w:rsid w:val="00A844D8"/>
    <w:rsid w:val="00A84E69"/>
    <w:rsid w:val="00A8561C"/>
    <w:rsid w:val="00A87809"/>
    <w:rsid w:val="00A9478F"/>
    <w:rsid w:val="00A952F8"/>
    <w:rsid w:val="00A956CA"/>
    <w:rsid w:val="00A95723"/>
    <w:rsid w:val="00A95791"/>
    <w:rsid w:val="00A95BAF"/>
    <w:rsid w:val="00A96F5B"/>
    <w:rsid w:val="00A974FC"/>
    <w:rsid w:val="00AA014F"/>
    <w:rsid w:val="00AA0DB1"/>
    <w:rsid w:val="00AA2CBE"/>
    <w:rsid w:val="00AA323E"/>
    <w:rsid w:val="00AA362B"/>
    <w:rsid w:val="00AA6E9B"/>
    <w:rsid w:val="00AB067E"/>
    <w:rsid w:val="00AB094D"/>
    <w:rsid w:val="00AB0D07"/>
    <w:rsid w:val="00AB2B41"/>
    <w:rsid w:val="00AB440D"/>
    <w:rsid w:val="00AC13C7"/>
    <w:rsid w:val="00AC1622"/>
    <w:rsid w:val="00AC4E31"/>
    <w:rsid w:val="00AC6441"/>
    <w:rsid w:val="00AC7FF4"/>
    <w:rsid w:val="00AD29FE"/>
    <w:rsid w:val="00AD508F"/>
    <w:rsid w:val="00AD5C72"/>
    <w:rsid w:val="00AD7688"/>
    <w:rsid w:val="00AD7755"/>
    <w:rsid w:val="00AD7BE7"/>
    <w:rsid w:val="00AE031C"/>
    <w:rsid w:val="00AE0E27"/>
    <w:rsid w:val="00AE367C"/>
    <w:rsid w:val="00AE3A8A"/>
    <w:rsid w:val="00AE45C7"/>
    <w:rsid w:val="00AE7C5F"/>
    <w:rsid w:val="00AF0D5F"/>
    <w:rsid w:val="00AF10DD"/>
    <w:rsid w:val="00AF1FC0"/>
    <w:rsid w:val="00AF2659"/>
    <w:rsid w:val="00AF477E"/>
    <w:rsid w:val="00AF4B89"/>
    <w:rsid w:val="00AF60E5"/>
    <w:rsid w:val="00AF638E"/>
    <w:rsid w:val="00AF64B9"/>
    <w:rsid w:val="00AF7022"/>
    <w:rsid w:val="00AF7A73"/>
    <w:rsid w:val="00B0475D"/>
    <w:rsid w:val="00B07582"/>
    <w:rsid w:val="00B104CB"/>
    <w:rsid w:val="00B115C1"/>
    <w:rsid w:val="00B1224F"/>
    <w:rsid w:val="00B12AC5"/>
    <w:rsid w:val="00B13796"/>
    <w:rsid w:val="00B140BD"/>
    <w:rsid w:val="00B146B0"/>
    <w:rsid w:val="00B16037"/>
    <w:rsid w:val="00B16218"/>
    <w:rsid w:val="00B17149"/>
    <w:rsid w:val="00B17971"/>
    <w:rsid w:val="00B208AA"/>
    <w:rsid w:val="00B21B77"/>
    <w:rsid w:val="00B2426B"/>
    <w:rsid w:val="00B245FD"/>
    <w:rsid w:val="00B31397"/>
    <w:rsid w:val="00B3174C"/>
    <w:rsid w:val="00B33363"/>
    <w:rsid w:val="00B35387"/>
    <w:rsid w:val="00B358F8"/>
    <w:rsid w:val="00B35C87"/>
    <w:rsid w:val="00B3611A"/>
    <w:rsid w:val="00B41172"/>
    <w:rsid w:val="00B41E3B"/>
    <w:rsid w:val="00B4290C"/>
    <w:rsid w:val="00B42989"/>
    <w:rsid w:val="00B442A4"/>
    <w:rsid w:val="00B44438"/>
    <w:rsid w:val="00B44961"/>
    <w:rsid w:val="00B45D2C"/>
    <w:rsid w:val="00B462A0"/>
    <w:rsid w:val="00B4773D"/>
    <w:rsid w:val="00B47B8C"/>
    <w:rsid w:val="00B530B9"/>
    <w:rsid w:val="00B53187"/>
    <w:rsid w:val="00B567C1"/>
    <w:rsid w:val="00B57169"/>
    <w:rsid w:val="00B6082B"/>
    <w:rsid w:val="00B61A9D"/>
    <w:rsid w:val="00B62F48"/>
    <w:rsid w:val="00B63621"/>
    <w:rsid w:val="00B65404"/>
    <w:rsid w:val="00B656E2"/>
    <w:rsid w:val="00B6750A"/>
    <w:rsid w:val="00B70418"/>
    <w:rsid w:val="00B70D25"/>
    <w:rsid w:val="00B72136"/>
    <w:rsid w:val="00B72620"/>
    <w:rsid w:val="00B726B3"/>
    <w:rsid w:val="00B72C0A"/>
    <w:rsid w:val="00B736D3"/>
    <w:rsid w:val="00B73D4D"/>
    <w:rsid w:val="00B74247"/>
    <w:rsid w:val="00B74B65"/>
    <w:rsid w:val="00B75791"/>
    <w:rsid w:val="00B7594D"/>
    <w:rsid w:val="00B75E9C"/>
    <w:rsid w:val="00B76DB3"/>
    <w:rsid w:val="00B77AEE"/>
    <w:rsid w:val="00B77DAE"/>
    <w:rsid w:val="00B805E1"/>
    <w:rsid w:val="00B80787"/>
    <w:rsid w:val="00B81EB7"/>
    <w:rsid w:val="00B82249"/>
    <w:rsid w:val="00B83D39"/>
    <w:rsid w:val="00B84D3E"/>
    <w:rsid w:val="00B8534D"/>
    <w:rsid w:val="00B865A1"/>
    <w:rsid w:val="00B8773F"/>
    <w:rsid w:val="00B87A7C"/>
    <w:rsid w:val="00B87B0E"/>
    <w:rsid w:val="00B87EB6"/>
    <w:rsid w:val="00B903DD"/>
    <w:rsid w:val="00B90D35"/>
    <w:rsid w:val="00B90F10"/>
    <w:rsid w:val="00B93630"/>
    <w:rsid w:val="00B93ECB"/>
    <w:rsid w:val="00B93FC5"/>
    <w:rsid w:val="00B96DB0"/>
    <w:rsid w:val="00BA03C8"/>
    <w:rsid w:val="00BA5F97"/>
    <w:rsid w:val="00BA6240"/>
    <w:rsid w:val="00BA6E34"/>
    <w:rsid w:val="00BA7787"/>
    <w:rsid w:val="00BB00FC"/>
    <w:rsid w:val="00BB0B2A"/>
    <w:rsid w:val="00BB0B9C"/>
    <w:rsid w:val="00BB0D37"/>
    <w:rsid w:val="00BB1F63"/>
    <w:rsid w:val="00BB422B"/>
    <w:rsid w:val="00BB49AF"/>
    <w:rsid w:val="00BB718D"/>
    <w:rsid w:val="00BB7D5D"/>
    <w:rsid w:val="00BC0985"/>
    <w:rsid w:val="00BC134C"/>
    <w:rsid w:val="00BC2055"/>
    <w:rsid w:val="00BC41BB"/>
    <w:rsid w:val="00BC5AC1"/>
    <w:rsid w:val="00BC651B"/>
    <w:rsid w:val="00BC788A"/>
    <w:rsid w:val="00BD041E"/>
    <w:rsid w:val="00BD07D5"/>
    <w:rsid w:val="00BD0BE7"/>
    <w:rsid w:val="00BD1969"/>
    <w:rsid w:val="00BD4923"/>
    <w:rsid w:val="00BD5561"/>
    <w:rsid w:val="00BE0198"/>
    <w:rsid w:val="00BE0B91"/>
    <w:rsid w:val="00BE1242"/>
    <w:rsid w:val="00BE141C"/>
    <w:rsid w:val="00BE1B34"/>
    <w:rsid w:val="00BE2F3F"/>
    <w:rsid w:val="00BE3A1A"/>
    <w:rsid w:val="00BE4CDA"/>
    <w:rsid w:val="00BE7A7E"/>
    <w:rsid w:val="00BF08E7"/>
    <w:rsid w:val="00BF0E3A"/>
    <w:rsid w:val="00BF0FDC"/>
    <w:rsid w:val="00BF53AF"/>
    <w:rsid w:val="00BF5F17"/>
    <w:rsid w:val="00BF699A"/>
    <w:rsid w:val="00C004D7"/>
    <w:rsid w:val="00C01E32"/>
    <w:rsid w:val="00C0304F"/>
    <w:rsid w:val="00C04E69"/>
    <w:rsid w:val="00C07A70"/>
    <w:rsid w:val="00C07FC5"/>
    <w:rsid w:val="00C10837"/>
    <w:rsid w:val="00C12D42"/>
    <w:rsid w:val="00C138AA"/>
    <w:rsid w:val="00C142C1"/>
    <w:rsid w:val="00C14AC5"/>
    <w:rsid w:val="00C17D24"/>
    <w:rsid w:val="00C208CA"/>
    <w:rsid w:val="00C22E4C"/>
    <w:rsid w:val="00C23027"/>
    <w:rsid w:val="00C23381"/>
    <w:rsid w:val="00C26025"/>
    <w:rsid w:val="00C260E2"/>
    <w:rsid w:val="00C277F4"/>
    <w:rsid w:val="00C30E50"/>
    <w:rsid w:val="00C31D90"/>
    <w:rsid w:val="00C3216B"/>
    <w:rsid w:val="00C32998"/>
    <w:rsid w:val="00C3482F"/>
    <w:rsid w:val="00C34DF3"/>
    <w:rsid w:val="00C35E8F"/>
    <w:rsid w:val="00C366D7"/>
    <w:rsid w:val="00C3674D"/>
    <w:rsid w:val="00C36DE6"/>
    <w:rsid w:val="00C37777"/>
    <w:rsid w:val="00C40AE7"/>
    <w:rsid w:val="00C40D21"/>
    <w:rsid w:val="00C40DC0"/>
    <w:rsid w:val="00C413D0"/>
    <w:rsid w:val="00C41DCB"/>
    <w:rsid w:val="00C42526"/>
    <w:rsid w:val="00C44371"/>
    <w:rsid w:val="00C44D7D"/>
    <w:rsid w:val="00C45EE6"/>
    <w:rsid w:val="00C4665B"/>
    <w:rsid w:val="00C46C08"/>
    <w:rsid w:val="00C46F01"/>
    <w:rsid w:val="00C47458"/>
    <w:rsid w:val="00C47C18"/>
    <w:rsid w:val="00C504D6"/>
    <w:rsid w:val="00C505F4"/>
    <w:rsid w:val="00C507B2"/>
    <w:rsid w:val="00C518E7"/>
    <w:rsid w:val="00C52339"/>
    <w:rsid w:val="00C5236D"/>
    <w:rsid w:val="00C579AF"/>
    <w:rsid w:val="00C61963"/>
    <w:rsid w:val="00C62553"/>
    <w:rsid w:val="00C63810"/>
    <w:rsid w:val="00C64A59"/>
    <w:rsid w:val="00C651DF"/>
    <w:rsid w:val="00C66352"/>
    <w:rsid w:val="00C66545"/>
    <w:rsid w:val="00C66C3A"/>
    <w:rsid w:val="00C673F1"/>
    <w:rsid w:val="00C71640"/>
    <w:rsid w:val="00C722A8"/>
    <w:rsid w:val="00C726DC"/>
    <w:rsid w:val="00C72C50"/>
    <w:rsid w:val="00C7319B"/>
    <w:rsid w:val="00C73224"/>
    <w:rsid w:val="00C75110"/>
    <w:rsid w:val="00C75CD4"/>
    <w:rsid w:val="00C7638A"/>
    <w:rsid w:val="00C76F10"/>
    <w:rsid w:val="00C775AF"/>
    <w:rsid w:val="00C77AF3"/>
    <w:rsid w:val="00C812C0"/>
    <w:rsid w:val="00C8216E"/>
    <w:rsid w:val="00C827B8"/>
    <w:rsid w:val="00C82B40"/>
    <w:rsid w:val="00C83080"/>
    <w:rsid w:val="00C836A9"/>
    <w:rsid w:val="00C8453A"/>
    <w:rsid w:val="00C85E4A"/>
    <w:rsid w:val="00C8686D"/>
    <w:rsid w:val="00C868E6"/>
    <w:rsid w:val="00C87E4B"/>
    <w:rsid w:val="00C900BB"/>
    <w:rsid w:val="00C90FED"/>
    <w:rsid w:val="00C9112C"/>
    <w:rsid w:val="00C926F2"/>
    <w:rsid w:val="00C933FE"/>
    <w:rsid w:val="00C93A39"/>
    <w:rsid w:val="00CA24A0"/>
    <w:rsid w:val="00CA42C1"/>
    <w:rsid w:val="00CA5DCA"/>
    <w:rsid w:val="00CA5E28"/>
    <w:rsid w:val="00CA601E"/>
    <w:rsid w:val="00CA60FD"/>
    <w:rsid w:val="00CA7A94"/>
    <w:rsid w:val="00CB0FDD"/>
    <w:rsid w:val="00CB26B0"/>
    <w:rsid w:val="00CB2A7D"/>
    <w:rsid w:val="00CB2F77"/>
    <w:rsid w:val="00CB4A9F"/>
    <w:rsid w:val="00CB5479"/>
    <w:rsid w:val="00CC00C0"/>
    <w:rsid w:val="00CC036E"/>
    <w:rsid w:val="00CC1209"/>
    <w:rsid w:val="00CC1C2B"/>
    <w:rsid w:val="00CC1D04"/>
    <w:rsid w:val="00CC222B"/>
    <w:rsid w:val="00CC4306"/>
    <w:rsid w:val="00CC630F"/>
    <w:rsid w:val="00CC6DC1"/>
    <w:rsid w:val="00CD28B6"/>
    <w:rsid w:val="00CD349C"/>
    <w:rsid w:val="00CD4870"/>
    <w:rsid w:val="00CD55CF"/>
    <w:rsid w:val="00CD5CDC"/>
    <w:rsid w:val="00CD6C39"/>
    <w:rsid w:val="00CD6CBD"/>
    <w:rsid w:val="00CD73DA"/>
    <w:rsid w:val="00CD78C7"/>
    <w:rsid w:val="00CE1636"/>
    <w:rsid w:val="00CE1B65"/>
    <w:rsid w:val="00CE2513"/>
    <w:rsid w:val="00CE374F"/>
    <w:rsid w:val="00CE3B5B"/>
    <w:rsid w:val="00CE586E"/>
    <w:rsid w:val="00CE5B72"/>
    <w:rsid w:val="00CE638D"/>
    <w:rsid w:val="00CE6665"/>
    <w:rsid w:val="00CE68CB"/>
    <w:rsid w:val="00CE76FB"/>
    <w:rsid w:val="00CE77D3"/>
    <w:rsid w:val="00CE77FA"/>
    <w:rsid w:val="00CE7A08"/>
    <w:rsid w:val="00CF069B"/>
    <w:rsid w:val="00CF303F"/>
    <w:rsid w:val="00CF41AB"/>
    <w:rsid w:val="00CF54B8"/>
    <w:rsid w:val="00CF5B08"/>
    <w:rsid w:val="00CF5D23"/>
    <w:rsid w:val="00CF649A"/>
    <w:rsid w:val="00CF695A"/>
    <w:rsid w:val="00CF6B85"/>
    <w:rsid w:val="00D0152F"/>
    <w:rsid w:val="00D01BED"/>
    <w:rsid w:val="00D01D34"/>
    <w:rsid w:val="00D030D2"/>
    <w:rsid w:val="00D03106"/>
    <w:rsid w:val="00D04C17"/>
    <w:rsid w:val="00D13E03"/>
    <w:rsid w:val="00D14C98"/>
    <w:rsid w:val="00D15A7F"/>
    <w:rsid w:val="00D17C2D"/>
    <w:rsid w:val="00D20044"/>
    <w:rsid w:val="00D20567"/>
    <w:rsid w:val="00D219E9"/>
    <w:rsid w:val="00D21AB8"/>
    <w:rsid w:val="00D23982"/>
    <w:rsid w:val="00D25BE5"/>
    <w:rsid w:val="00D2603D"/>
    <w:rsid w:val="00D271DA"/>
    <w:rsid w:val="00D30C86"/>
    <w:rsid w:val="00D329A9"/>
    <w:rsid w:val="00D33AF7"/>
    <w:rsid w:val="00D33E2A"/>
    <w:rsid w:val="00D366D8"/>
    <w:rsid w:val="00D40001"/>
    <w:rsid w:val="00D400CE"/>
    <w:rsid w:val="00D4028D"/>
    <w:rsid w:val="00D40E0B"/>
    <w:rsid w:val="00D4193F"/>
    <w:rsid w:val="00D4218D"/>
    <w:rsid w:val="00D4286B"/>
    <w:rsid w:val="00D43293"/>
    <w:rsid w:val="00D443EA"/>
    <w:rsid w:val="00D4629A"/>
    <w:rsid w:val="00D50A03"/>
    <w:rsid w:val="00D52C0C"/>
    <w:rsid w:val="00D532B4"/>
    <w:rsid w:val="00D57FCB"/>
    <w:rsid w:val="00D6288D"/>
    <w:rsid w:val="00D63283"/>
    <w:rsid w:val="00D656C0"/>
    <w:rsid w:val="00D66182"/>
    <w:rsid w:val="00D6637A"/>
    <w:rsid w:val="00D70190"/>
    <w:rsid w:val="00D727F2"/>
    <w:rsid w:val="00D72BF3"/>
    <w:rsid w:val="00D74886"/>
    <w:rsid w:val="00D7499B"/>
    <w:rsid w:val="00D76182"/>
    <w:rsid w:val="00D8422A"/>
    <w:rsid w:val="00D85214"/>
    <w:rsid w:val="00D85887"/>
    <w:rsid w:val="00D86B04"/>
    <w:rsid w:val="00D9129A"/>
    <w:rsid w:val="00D92A79"/>
    <w:rsid w:val="00D93A33"/>
    <w:rsid w:val="00D945D2"/>
    <w:rsid w:val="00D95042"/>
    <w:rsid w:val="00D9513E"/>
    <w:rsid w:val="00D967E3"/>
    <w:rsid w:val="00D96F51"/>
    <w:rsid w:val="00DA0F9E"/>
    <w:rsid w:val="00DA2549"/>
    <w:rsid w:val="00DA28F3"/>
    <w:rsid w:val="00DA2D0A"/>
    <w:rsid w:val="00DA32EA"/>
    <w:rsid w:val="00DA4BC4"/>
    <w:rsid w:val="00DA5395"/>
    <w:rsid w:val="00DA55E7"/>
    <w:rsid w:val="00DA5B93"/>
    <w:rsid w:val="00DA67D8"/>
    <w:rsid w:val="00DB0630"/>
    <w:rsid w:val="00DB0C03"/>
    <w:rsid w:val="00DB0D27"/>
    <w:rsid w:val="00DB10B7"/>
    <w:rsid w:val="00DB29A7"/>
    <w:rsid w:val="00DB2DA8"/>
    <w:rsid w:val="00DB55BE"/>
    <w:rsid w:val="00DB5A15"/>
    <w:rsid w:val="00DB671E"/>
    <w:rsid w:val="00DB7A51"/>
    <w:rsid w:val="00DB7C3C"/>
    <w:rsid w:val="00DC4073"/>
    <w:rsid w:val="00DC5971"/>
    <w:rsid w:val="00DC5CF0"/>
    <w:rsid w:val="00DC5E55"/>
    <w:rsid w:val="00DD1609"/>
    <w:rsid w:val="00DD1C79"/>
    <w:rsid w:val="00DD27A0"/>
    <w:rsid w:val="00DD3C55"/>
    <w:rsid w:val="00DD436F"/>
    <w:rsid w:val="00DD5CA2"/>
    <w:rsid w:val="00DD6894"/>
    <w:rsid w:val="00DE140A"/>
    <w:rsid w:val="00DE1F08"/>
    <w:rsid w:val="00DE257C"/>
    <w:rsid w:val="00DE25E2"/>
    <w:rsid w:val="00DE39C1"/>
    <w:rsid w:val="00DE4C81"/>
    <w:rsid w:val="00DE6777"/>
    <w:rsid w:val="00DE7DA6"/>
    <w:rsid w:val="00DF13A2"/>
    <w:rsid w:val="00DF15E7"/>
    <w:rsid w:val="00DF31F0"/>
    <w:rsid w:val="00DF7E71"/>
    <w:rsid w:val="00E00BE9"/>
    <w:rsid w:val="00E017F8"/>
    <w:rsid w:val="00E0475B"/>
    <w:rsid w:val="00E04C52"/>
    <w:rsid w:val="00E05028"/>
    <w:rsid w:val="00E052AD"/>
    <w:rsid w:val="00E053FD"/>
    <w:rsid w:val="00E05899"/>
    <w:rsid w:val="00E07952"/>
    <w:rsid w:val="00E113C5"/>
    <w:rsid w:val="00E11852"/>
    <w:rsid w:val="00E1240F"/>
    <w:rsid w:val="00E12844"/>
    <w:rsid w:val="00E12FC5"/>
    <w:rsid w:val="00E13554"/>
    <w:rsid w:val="00E1438C"/>
    <w:rsid w:val="00E14E68"/>
    <w:rsid w:val="00E161E8"/>
    <w:rsid w:val="00E25C6B"/>
    <w:rsid w:val="00E261E2"/>
    <w:rsid w:val="00E27AB9"/>
    <w:rsid w:val="00E27D8A"/>
    <w:rsid w:val="00E321B7"/>
    <w:rsid w:val="00E35789"/>
    <w:rsid w:val="00E366BB"/>
    <w:rsid w:val="00E36B45"/>
    <w:rsid w:val="00E37A85"/>
    <w:rsid w:val="00E400D1"/>
    <w:rsid w:val="00E4012D"/>
    <w:rsid w:val="00E4080B"/>
    <w:rsid w:val="00E40EE6"/>
    <w:rsid w:val="00E41194"/>
    <w:rsid w:val="00E41312"/>
    <w:rsid w:val="00E43865"/>
    <w:rsid w:val="00E438CE"/>
    <w:rsid w:val="00E440D8"/>
    <w:rsid w:val="00E44758"/>
    <w:rsid w:val="00E44C54"/>
    <w:rsid w:val="00E45956"/>
    <w:rsid w:val="00E45D96"/>
    <w:rsid w:val="00E462EE"/>
    <w:rsid w:val="00E464D3"/>
    <w:rsid w:val="00E473FD"/>
    <w:rsid w:val="00E47556"/>
    <w:rsid w:val="00E476A0"/>
    <w:rsid w:val="00E530A2"/>
    <w:rsid w:val="00E53104"/>
    <w:rsid w:val="00E53165"/>
    <w:rsid w:val="00E54D42"/>
    <w:rsid w:val="00E55941"/>
    <w:rsid w:val="00E56A62"/>
    <w:rsid w:val="00E56BD2"/>
    <w:rsid w:val="00E56E93"/>
    <w:rsid w:val="00E6124E"/>
    <w:rsid w:val="00E6187F"/>
    <w:rsid w:val="00E625F6"/>
    <w:rsid w:val="00E644AE"/>
    <w:rsid w:val="00E65451"/>
    <w:rsid w:val="00E663FC"/>
    <w:rsid w:val="00E67468"/>
    <w:rsid w:val="00E679B9"/>
    <w:rsid w:val="00E70D8A"/>
    <w:rsid w:val="00E70F17"/>
    <w:rsid w:val="00E70F4D"/>
    <w:rsid w:val="00E71F99"/>
    <w:rsid w:val="00E72491"/>
    <w:rsid w:val="00E7357E"/>
    <w:rsid w:val="00E749C1"/>
    <w:rsid w:val="00E75FCD"/>
    <w:rsid w:val="00E777C0"/>
    <w:rsid w:val="00E77B84"/>
    <w:rsid w:val="00E80530"/>
    <w:rsid w:val="00E80EEC"/>
    <w:rsid w:val="00E83229"/>
    <w:rsid w:val="00E83586"/>
    <w:rsid w:val="00E84CBB"/>
    <w:rsid w:val="00E86DB4"/>
    <w:rsid w:val="00E87C20"/>
    <w:rsid w:val="00E9240E"/>
    <w:rsid w:val="00E92674"/>
    <w:rsid w:val="00E95F0B"/>
    <w:rsid w:val="00E960A6"/>
    <w:rsid w:val="00EA23ED"/>
    <w:rsid w:val="00EA2B5E"/>
    <w:rsid w:val="00EA3993"/>
    <w:rsid w:val="00EA542E"/>
    <w:rsid w:val="00EA6985"/>
    <w:rsid w:val="00EA7092"/>
    <w:rsid w:val="00EB0922"/>
    <w:rsid w:val="00EB094B"/>
    <w:rsid w:val="00EB0BB8"/>
    <w:rsid w:val="00EB13E9"/>
    <w:rsid w:val="00EB279B"/>
    <w:rsid w:val="00EB3416"/>
    <w:rsid w:val="00EB553E"/>
    <w:rsid w:val="00EB6F22"/>
    <w:rsid w:val="00EC0DA9"/>
    <w:rsid w:val="00EC20A6"/>
    <w:rsid w:val="00EC63A1"/>
    <w:rsid w:val="00EC6AA5"/>
    <w:rsid w:val="00EC7F7E"/>
    <w:rsid w:val="00ED1603"/>
    <w:rsid w:val="00ED1755"/>
    <w:rsid w:val="00ED2862"/>
    <w:rsid w:val="00ED3376"/>
    <w:rsid w:val="00ED4ECA"/>
    <w:rsid w:val="00ED7861"/>
    <w:rsid w:val="00EE18A6"/>
    <w:rsid w:val="00EE1C7E"/>
    <w:rsid w:val="00EE25FA"/>
    <w:rsid w:val="00EE316C"/>
    <w:rsid w:val="00EE3F88"/>
    <w:rsid w:val="00EE5427"/>
    <w:rsid w:val="00EE610C"/>
    <w:rsid w:val="00EE627F"/>
    <w:rsid w:val="00EE7203"/>
    <w:rsid w:val="00EE7B69"/>
    <w:rsid w:val="00EE7FD0"/>
    <w:rsid w:val="00EF0E21"/>
    <w:rsid w:val="00EF26E3"/>
    <w:rsid w:val="00EF27DA"/>
    <w:rsid w:val="00EF6486"/>
    <w:rsid w:val="00F0194E"/>
    <w:rsid w:val="00F02BFB"/>
    <w:rsid w:val="00F02EBB"/>
    <w:rsid w:val="00F03D25"/>
    <w:rsid w:val="00F05D66"/>
    <w:rsid w:val="00F06617"/>
    <w:rsid w:val="00F067CC"/>
    <w:rsid w:val="00F1159B"/>
    <w:rsid w:val="00F11ABD"/>
    <w:rsid w:val="00F12596"/>
    <w:rsid w:val="00F130B6"/>
    <w:rsid w:val="00F135F3"/>
    <w:rsid w:val="00F13653"/>
    <w:rsid w:val="00F139BA"/>
    <w:rsid w:val="00F13F0D"/>
    <w:rsid w:val="00F14376"/>
    <w:rsid w:val="00F144F5"/>
    <w:rsid w:val="00F1572A"/>
    <w:rsid w:val="00F15A1A"/>
    <w:rsid w:val="00F15B10"/>
    <w:rsid w:val="00F20184"/>
    <w:rsid w:val="00F21092"/>
    <w:rsid w:val="00F21998"/>
    <w:rsid w:val="00F2334F"/>
    <w:rsid w:val="00F25B35"/>
    <w:rsid w:val="00F27233"/>
    <w:rsid w:val="00F30068"/>
    <w:rsid w:val="00F3225B"/>
    <w:rsid w:val="00F32D89"/>
    <w:rsid w:val="00F3437A"/>
    <w:rsid w:val="00F347AC"/>
    <w:rsid w:val="00F35B49"/>
    <w:rsid w:val="00F36D1F"/>
    <w:rsid w:val="00F37417"/>
    <w:rsid w:val="00F3792A"/>
    <w:rsid w:val="00F37D77"/>
    <w:rsid w:val="00F403FE"/>
    <w:rsid w:val="00F40BE7"/>
    <w:rsid w:val="00F43349"/>
    <w:rsid w:val="00F451BD"/>
    <w:rsid w:val="00F47342"/>
    <w:rsid w:val="00F50885"/>
    <w:rsid w:val="00F52BA2"/>
    <w:rsid w:val="00F52C36"/>
    <w:rsid w:val="00F53079"/>
    <w:rsid w:val="00F5703D"/>
    <w:rsid w:val="00F615BB"/>
    <w:rsid w:val="00F6258F"/>
    <w:rsid w:val="00F62BA1"/>
    <w:rsid w:val="00F631AB"/>
    <w:rsid w:val="00F63B0E"/>
    <w:rsid w:val="00F6505F"/>
    <w:rsid w:val="00F654A5"/>
    <w:rsid w:val="00F65F9B"/>
    <w:rsid w:val="00F70855"/>
    <w:rsid w:val="00F71EB2"/>
    <w:rsid w:val="00F71FA2"/>
    <w:rsid w:val="00F72B16"/>
    <w:rsid w:val="00F72FEC"/>
    <w:rsid w:val="00F75A39"/>
    <w:rsid w:val="00F75F9B"/>
    <w:rsid w:val="00F760D3"/>
    <w:rsid w:val="00F76A5F"/>
    <w:rsid w:val="00F80486"/>
    <w:rsid w:val="00F80E63"/>
    <w:rsid w:val="00F83971"/>
    <w:rsid w:val="00F83A11"/>
    <w:rsid w:val="00F844F6"/>
    <w:rsid w:val="00F85FB8"/>
    <w:rsid w:val="00F8652B"/>
    <w:rsid w:val="00F87371"/>
    <w:rsid w:val="00F90C06"/>
    <w:rsid w:val="00F90D13"/>
    <w:rsid w:val="00F91C6D"/>
    <w:rsid w:val="00F920A5"/>
    <w:rsid w:val="00F94DCE"/>
    <w:rsid w:val="00F95056"/>
    <w:rsid w:val="00F95E25"/>
    <w:rsid w:val="00F970A9"/>
    <w:rsid w:val="00FA11C7"/>
    <w:rsid w:val="00FA1EDF"/>
    <w:rsid w:val="00FA2516"/>
    <w:rsid w:val="00FA2E28"/>
    <w:rsid w:val="00FA3518"/>
    <w:rsid w:val="00FA5375"/>
    <w:rsid w:val="00FA6C59"/>
    <w:rsid w:val="00FB441B"/>
    <w:rsid w:val="00FB47C2"/>
    <w:rsid w:val="00FB4AC6"/>
    <w:rsid w:val="00FB4CEB"/>
    <w:rsid w:val="00FB5131"/>
    <w:rsid w:val="00FB5513"/>
    <w:rsid w:val="00FB55ED"/>
    <w:rsid w:val="00FB6F2E"/>
    <w:rsid w:val="00FB713C"/>
    <w:rsid w:val="00FC02E5"/>
    <w:rsid w:val="00FC381D"/>
    <w:rsid w:val="00FC395D"/>
    <w:rsid w:val="00FC43B5"/>
    <w:rsid w:val="00FC5FC7"/>
    <w:rsid w:val="00FC7F53"/>
    <w:rsid w:val="00FD02E0"/>
    <w:rsid w:val="00FD0F88"/>
    <w:rsid w:val="00FD278C"/>
    <w:rsid w:val="00FD47ED"/>
    <w:rsid w:val="00FD498A"/>
    <w:rsid w:val="00FD5816"/>
    <w:rsid w:val="00FD5FF0"/>
    <w:rsid w:val="00FD7508"/>
    <w:rsid w:val="00FE0CFA"/>
    <w:rsid w:val="00FE1949"/>
    <w:rsid w:val="00FE1C5F"/>
    <w:rsid w:val="00FE1E52"/>
    <w:rsid w:val="00FE233C"/>
    <w:rsid w:val="00FE3E53"/>
    <w:rsid w:val="00FE4B2D"/>
    <w:rsid w:val="00FE55BE"/>
    <w:rsid w:val="00FE647D"/>
    <w:rsid w:val="00FF03F6"/>
    <w:rsid w:val="00FF0827"/>
    <w:rsid w:val="00FF2289"/>
    <w:rsid w:val="00FF2EDA"/>
    <w:rsid w:val="00FF52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3B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CE"/>
    <w:pPr>
      <w:spacing w:after="240" w:line="280" w:lineRule="exact"/>
      <w:jc w:val="both"/>
    </w:pPr>
    <w:rPr>
      <w:rFonts w:ascii="Book Antiqua" w:hAnsi="Book Antiqua"/>
      <w:color w:val="000000"/>
      <w:sz w:val="22"/>
    </w:rPr>
  </w:style>
  <w:style w:type="paragraph" w:styleId="Heading1">
    <w:name w:val="heading 1"/>
    <w:basedOn w:val="HeadingBase"/>
    <w:next w:val="OutlineNumbered1"/>
    <w:qFormat/>
    <w:rsid w:val="003E7ACE"/>
    <w:pPr>
      <w:pBdr>
        <w:bottom w:val="single" w:sz="4" w:space="14" w:color="1F497D" w:themeColor="text2"/>
      </w:pBdr>
      <w:spacing w:after="480"/>
      <w:outlineLvl w:val="0"/>
    </w:pPr>
    <w:rPr>
      <w:rFonts w:ascii="Calibri" w:hAnsi="Calibri" w:cs="Arial"/>
      <w:b/>
      <w:bCs/>
      <w:caps/>
      <w:kern w:val="32"/>
      <w:sz w:val="36"/>
      <w:szCs w:val="36"/>
    </w:rPr>
  </w:style>
  <w:style w:type="paragraph" w:styleId="Heading2">
    <w:name w:val="heading 2"/>
    <w:basedOn w:val="HeadingBase"/>
    <w:next w:val="OutlineNumbered1"/>
    <w:qFormat/>
    <w:rsid w:val="003E7ACE"/>
    <w:pPr>
      <w:numPr>
        <w:numId w:val="12"/>
      </w:numPr>
      <w:spacing w:before="300" w:after="180"/>
      <w:outlineLvl w:val="1"/>
    </w:pPr>
    <w:rPr>
      <w:rFonts w:ascii="Calibri" w:hAnsi="Calibri" w:cs="Arial"/>
      <w:b/>
      <w:bCs/>
      <w:iCs/>
      <w:smallCaps/>
      <w:sz w:val="36"/>
      <w:szCs w:val="28"/>
    </w:rPr>
  </w:style>
  <w:style w:type="paragraph" w:styleId="Heading3">
    <w:name w:val="heading 3"/>
    <w:basedOn w:val="HeadingBase"/>
    <w:next w:val="OutlineNumbered1"/>
    <w:qFormat/>
    <w:rsid w:val="00781477"/>
    <w:pPr>
      <w:spacing w:before="300" w:after="240"/>
      <w:outlineLvl w:val="2"/>
    </w:pPr>
    <w:rPr>
      <w:rFonts w:ascii="Calibri" w:hAnsi="Calibri" w:cs="Arial"/>
      <w:b/>
      <w:bCs/>
      <w:sz w:val="29"/>
      <w:szCs w:val="29"/>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7A717F"/>
    <w:rPr>
      <w:b/>
      <w:color w:val="1F497D" w:themeColor="text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E80530"/>
    <w:pPr>
      <w:tabs>
        <w:tab w:val="left" w:pos="340"/>
      </w:tabs>
      <w:spacing w:after="20" w:line="240" w:lineRule="auto"/>
      <w:ind w:left="340" w:hanging="340"/>
    </w:pPr>
    <w:rPr>
      <w:sz w:val="18"/>
    </w:rPr>
  </w:style>
  <w:style w:type="paragraph" w:customStyle="1" w:styleId="Bullet">
    <w:name w:val="Bullet"/>
    <w:aliases w:val="b,Body,b + line,b1,level 1,Bullet + line"/>
    <w:basedOn w:val="Normal"/>
    <w:link w:val="BulletChar"/>
    <w:qFormat/>
    <w:rsid w:val="00E80530"/>
    <w:pPr>
      <w:numPr>
        <w:numId w:val="1"/>
      </w:numPr>
    </w:pPr>
  </w:style>
  <w:style w:type="paragraph" w:customStyle="1" w:styleId="Dash">
    <w:name w:val="Dash"/>
    <w:basedOn w:val="Normal"/>
    <w:link w:val="DashChar"/>
    <w:qFormat/>
    <w:rsid w:val="003818D4"/>
    <w:pPr>
      <w:numPr>
        <w:ilvl w:val="1"/>
        <w:numId w:val="1"/>
      </w:numPr>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rsid w:val="001E43D3"/>
    <w:pPr>
      <w:numPr>
        <w:numId w:val="9"/>
      </w:numPr>
    </w:pPr>
  </w:style>
  <w:style w:type="paragraph" w:customStyle="1" w:styleId="OutlineNumbered2">
    <w:name w:val="Outline Numbered 2"/>
    <w:basedOn w:val="Normal"/>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E80530"/>
    <w:pPr>
      <w:numPr>
        <w:numId w:val="2"/>
      </w:numPr>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uiPriority w:val="99"/>
    <w:rsid w:val="000A7BCF"/>
    <w:rPr>
      <w:sz w:val="18"/>
    </w:rPr>
  </w:style>
  <w:style w:type="paragraph" w:customStyle="1" w:styleId="ContentsHeading">
    <w:name w:val="Contents Heading"/>
    <w:basedOn w:val="Heading1"/>
    <w:next w:val="Normal"/>
    <w:rsid w:val="008A6C52"/>
    <w:pPr>
      <w:outlineLvl w:val="9"/>
    </w:pPr>
  </w:style>
  <w:style w:type="paragraph" w:customStyle="1" w:styleId="CoverTitleMain">
    <w:name w:val="Cover Title Main"/>
    <w:basedOn w:val="HeadingBase"/>
    <w:next w:val="Normal"/>
    <w:rsid w:val="0097769E"/>
    <w:pPr>
      <w:pBdr>
        <w:bottom w:val="single" w:sz="12" w:space="16" w:color="1F497D" w:themeColor="text2"/>
      </w:pBdr>
      <w:spacing w:before="5000" w:after="840"/>
      <w:jc w:val="center"/>
    </w:pPr>
    <w:rPr>
      <w:rFonts w:ascii="Calibri" w:hAnsi="Calibri"/>
      <w:b/>
      <w:noProof/>
      <w:sz w:val="52"/>
    </w:rPr>
  </w:style>
  <w:style w:type="paragraph" w:customStyle="1" w:styleId="CoverTitleSub">
    <w:name w:val="Cover Title Sub"/>
    <w:basedOn w:val="HeadingBase"/>
    <w:rsid w:val="0097769E"/>
    <w:pPr>
      <w:spacing w:after="3000"/>
      <w:jc w:val="right"/>
    </w:pPr>
    <w:rPr>
      <w:rFonts w:ascii="Calibri" w:hAnsi="Calibri"/>
      <w:sz w:val="40"/>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BC651B"/>
    <w:rPr>
      <w:rFonts w:ascii="Calibri" w:hAnsi="Calibri"/>
      <w:sz w:val="20"/>
    </w:rPr>
  </w:style>
  <w:style w:type="paragraph" w:customStyle="1" w:styleId="FooterOdd">
    <w:name w:val="Footer Odd"/>
    <w:basedOn w:val="Footer"/>
    <w:rsid w:val="00BC651B"/>
    <w:pPr>
      <w:jc w:val="right"/>
    </w:pPr>
    <w:rPr>
      <w:rFonts w:ascii="Calibri" w:hAnsi="Calibri"/>
      <w:sz w:val="20"/>
    </w:r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BC651B"/>
    <w:rPr>
      <w:rFonts w:ascii="Calibri" w:hAnsi="Calibri"/>
      <w:sz w:val="20"/>
    </w:rPr>
  </w:style>
  <w:style w:type="paragraph" w:customStyle="1" w:styleId="HeaderOdd">
    <w:name w:val="Header Odd"/>
    <w:basedOn w:val="Header"/>
    <w:rsid w:val="00BC651B"/>
    <w:pPr>
      <w:jc w:val="right"/>
    </w:pPr>
    <w:rPr>
      <w:rFonts w:ascii="Calibri" w:hAnsi="Calibri"/>
      <w:sz w:val="20"/>
    </w:r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8A6C52"/>
    <w:pPr>
      <w:tabs>
        <w:tab w:val="left" w:pos="284"/>
        <w:tab w:val="right" w:leader="dot" w:pos="9072"/>
      </w:tabs>
      <w:spacing w:before="180" w:after="60"/>
      <w:ind w:left="284" w:right="851" w:hanging="284"/>
    </w:pPr>
    <w:rPr>
      <w:b/>
      <w:noProof/>
      <w:sz w:val="22"/>
      <w:szCs w:val="22"/>
    </w:rPr>
  </w:style>
  <w:style w:type="paragraph" w:styleId="TOC2">
    <w:name w:val="toc 2"/>
    <w:basedOn w:val="HeadingBase"/>
    <w:next w:val="Normal"/>
    <w:uiPriority w:val="39"/>
    <w:rsid w:val="00BC651B"/>
    <w:pPr>
      <w:tabs>
        <w:tab w:val="right" w:leader="dot" w:pos="9072"/>
      </w:tabs>
      <w:spacing w:before="60"/>
      <w:ind w:left="284" w:right="851"/>
    </w:pPr>
    <w:rPr>
      <w:sz w:val="21"/>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666700"/>
    <w:pPr>
      <w:numPr>
        <w:numId w:val="5"/>
      </w:numPr>
    </w:pPr>
  </w:style>
  <w:style w:type="paragraph" w:customStyle="1" w:styleId="BoxText">
    <w:name w:val="Box Text"/>
    <w:basedOn w:val="BoxTextBase"/>
    <w:rsid w:val="0097769E"/>
    <w:pPr>
      <w:spacing w:before="180" w:after="180"/>
    </w:pPr>
    <w:rPr>
      <w:rFonts w:ascii="Calibri" w:hAnsi="Calibri"/>
      <w:color w:val="auto"/>
    </w:rPr>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DF31F0"/>
    <w:pPr>
      <w:keepNext w:val="0"/>
      <w:numPr>
        <w:numId w:val="0"/>
      </w:numPr>
    </w:pPr>
    <w:rPr>
      <w:caps/>
      <w:sz w:val="24"/>
    </w:r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10"/>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3E7ACE"/>
    <w:pPr>
      <w:numPr>
        <w:numId w:val="0"/>
      </w:numPr>
    </w:pPr>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styleId="FootnoteReference">
    <w:name w:val="footnote reference"/>
    <w:basedOn w:val="DefaultParagraphFont"/>
    <w:uiPriority w:val="99"/>
    <w:semiHidden/>
    <w:unhideWhenUsed/>
    <w:rsid w:val="00512E8D"/>
    <w:rPr>
      <w:vertAlign w:val="superscript"/>
    </w:rPr>
  </w:style>
  <w:style w:type="character" w:customStyle="1" w:styleId="BulletChar">
    <w:name w:val="Bullet Char"/>
    <w:aliases w:val="b Char,b + line Char Char,b Char Char,b1 Char,b + line Char,Body Char,level 1 Char"/>
    <w:basedOn w:val="DefaultParagraphFont"/>
    <w:link w:val="Bullet"/>
    <w:rsid w:val="00E80530"/>
    <w:rPr>
      <w:rFonts w:ascii="Book Antiqua" w:hAnsi="Book Antiqua"/>
      <w:color w:val="000000"/>
      <w:sz w:val="22"/>
    </w:rPr>
  </w:style>
  <w:style w:type="character" w:customStyle="1" w:styleId="DashChar">
    <w:name w:val="Dash Char"/>
    <w:basedOn w:val="DefaultParagraphFont"/>
    <w:link w:val="Dash"/>
    <w:rsid w:val="003818D4"/>
    <w:rPr>
      <w:rFonts w:ascii="Book Antiqua" w:hAnsi="Book Antiqua"/>
      <w:color w:val="000000"/>
      <w:sz w:val="22"/>
    </w:rPr>
  </w:style>
  <w:style w:type="character" w:customStyle="1" w:styleId="FootnoteTextChar">
    <w:name w:val="Footnote Text Char"/>
    <w:basedOn w:val="DefaultParagraphFont"/>
    <w:link w:val="FootnoteText"/>
    <w:uiPriority w:val="99"/>
    <w:rsid w:val="00E80530"/>
    <w:rPr>
      <w:rFonts w:ascii="Book Antiqua" w:hAnsi="Book Antiqua"/>
      <w:color w:val="000000"/>
      <w:sz w:val="18"/>
    </w:rPr>
  </w:style>
  <w:style w:type="paragraph" w:styleId="ListParagraph">
    <w:name w:val="List Paragraph"/>
    <w:basedOn w:val="Normal"/>
    <w:uiPriority w:val="34"/>
    <w:qFormat/>
    <w:rsid w:val="00AD29FE"/>
    <w:pPr>
      <w:spacing w:after="200" w:line="276" w:lineRule="auto"/>
      <w:ind w:left="720"/>
      <w:contextualSpacing/>
      <w:jc w:val="left"/>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AD29FE"/>
    <w:rPr>
      <w:b/>
      <w:bCs/>
      <w:i/>
      <w:iCs/>
      <w:color w:val="4F81BD" w:themeColor="accent1"/>
    </w:rPr>
  </w:style>
  <w:style w:type="character" w:styleId="CommentReference">
    <w:name w:val="annotation reference"/>
    <w:basedOn w:val="DefaultParagraphFont"/>
    <w:uiPriority w:val="99"/>
    <w:semiHidden/>
    <w:unhideWhenUsed/>
    <w:rsid w:val="008A7295"/>
    <w:rPr>
      <w:sz w:val="16"/>
      <w:szCs w:val="16"/>
    </w:rPr>
  </w:style>
  <w:style w:type="paragraph" w:styleId="CommentText">
    <w:name w:val="annotation text"/>
    <w:basedOn w:val="Normal"/>
    <w:link w:val="CommentTextChar"/>
    <w:uiPriority w:val="99"/>
    <w:unhideWhenUsed/>
    <w:rsid w:val="008A7295"/>
    <w:pPr>
      <w:spacing w:line="240" w:lineRule="auto"/>
    </w:pPr>
    <w:rPr>
      <w:sz w:val="20"/>
    </w:rPr>
  </w:style>
  <w:style w:type="character" w:customStyle="1" w:styleId="CommentTextChar">
    <w:name w:val="Comment Text Char"/>
    <w:basedOn w:val="DefaultParagraphFont"/>
    <w:link w:val="CommentText"/>
    <w:uiPriority w:val="99"/>
    <w:rsid w:val="008A7295"/>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8A7295"/>
    <w:rPr>
      <w:b/>
      <w:bCs/>
    </w:rPr>
  </w:style>
  <w:style w:type="character" w:customStyle="1" w:styleId="CommentSubjectChar">
    <w:name w:val="Comment Subject Char"/>
    <w:basedOn w:val="CommentTextChar"/>
    <w:link w:val="CommentSubject"/>
    <w:uiPriority w:val="99"/>
    <w:semiHidden/>
    <w:rsid w:val="008A7295"/>
    <w:rPr>
      <w:rFonts w:ascii="Book Antiqua" w:hAnsi="Book Antiqua"/>
      <w:b/>
      <w:bCs/>
      <w:color w:val="000000"/>
    </w:rPr>
  </w:style>
  <w:style w:type="numbering" w:customStyle="1" w:styleId="Style1">
    <w:name w:val="Style1"/>
    <w:uiPriority w:val="99"/>
    <w:rsid w:val="002629E8"/>
    <w:pPr>
      <w:numPr>
        <w:numId w:val="13"/>
      </w:numPr>
    </w:pPr>
  </w:style>
  <w:style w:type="paragraph" w:styleId="Revision">
    <w:name w:val="Revision"/>
    <w:hidden/>
    <w:uiPriority w:val="99"/>
    <w:semiHidden/>
    <w:rsid w:val="00F43349"/>
    <w:rPr>
      <w:rFonts w:ascii="Book Antiqua" w:hAnsi="Book Antiqua"/>
      <w:color w:val="000000"/>
      <w:sz w:val="22"/>
    </w:rPr>
  </w:style>
  <w:style w:type="character" w:styleId="Strong">
    <w:name w:val="Strong"/>
    <w:basedOn w:val="DefaultParagraphFont"/>
    <w:uiPriority w:val="22"/>
    <w:qFormat/>
    <w:rsid w:val="00BB0B2A"/>
    <w:rPr>
      <w:b/>
      <w:bCs/>
    </w:rPr>
  </w:style>
  <w:style w:type="paragraph" w:customStyle="1" w:styleId="subsection">
    <w:name w:val="subsection"/>
    <w:basedOn w:val="Normal"/>
    <w:rsid w:val="002735AE"/>
    <w:pPr>
      <w:spacing w:before="100" w:beforeAutospacing="1" w:after="100" w:afterAutospacing="1" w:line="240" w:lineRule="auto"/>
      <w:jc w:val="left"/>
    </w:pPr>
    <w:rPr>
      <w:rFonts w:ascii="Times New Roman" w:hAnsi="Times New Roman"/>
      <w:color w:val="auto"/>
      <w:sz w:val="24"/>
      <w:szCs w:val="24"/>
    </w:rPr>
  </w:style>
  <w:style w:type="paragraph" w:customStyle="1" w:styleId="tablei">
    <w:name w:val="tablei"/>
    <w:basedOn w:val="Normal"/>
    <w:rsid w:val="002735AE"/>
    <w:pPr>
      <w:spacing w:before="100" w:beforeAutospacing="1" w:after="100" w:afterAutospacing="1" w:line="240" w:lineRule="auto"/>
      <w:jc w:val="left"/>
    </w:pPr>
    <w:rPr>
      <w:rFonts w:ascii="Times New Roman" w:hAnsi="Times New Roman"/>
      <w:color w:val="auto"/>
      <w:sz w:val="24"/>
      <w:szCs w:val="24"/>
    </w:rPr>
  </w:style>
  <w:style w:type="character" w:customStyle="1" w:styleId="apple-converted-space">
    <w:name w:val="apple-converted-space"/>
    <w:basedOn w:val="DefaultParagraphFont"/>
    <w:rsid w:val="00686B65"/>
  </w:style>
  <w:style w:type="character" w:styleId="Emphasis">
    <w:name w:val="Emphasis"/>
    <w:basedOn w:val="DefaultParagraphFont"/>
    <w:uiPriority w:val="20"/>
    <w:qFormat/>
    <w:rsid w:val="00686B65"/>
    <w:rPr>
      <w:b/>
      <w:bCs/>
      <w:i w:val="0"/>
      <w:iCs w:val="0"/>
    </w:rPr>
  </w:style>
  <w:style w:type="character" w:customStyle="1" w:styleId="st1">
    <w:name w:val="st1"/>
    <w:basedOn w:val="DefaultParagraphFont"/>
    <w:rsid w:val="00686B65"/>
  </w:style>
  <w:style w:type="paragraph" w:styleId="Date">
    <w:name w:val="Date"/>
    <w:basedOn w:val="Normal"/>
    <w:next w:val="Normal"/>
    <w:link w:val="DateChar"/>
    <w:semiHidden/>
    <w:unhideWhenUsed/>
    <w:rsid w:val="00C01E32"/>
    <w:pPr>
      <w:spacing w:after="200" w:line="240" w:lineRule="auto"/>
      <w:jc w:val="left"/>
    </w:pPr>
    <w:rPr>
      <w:rFonts w:asciiTheme="minorHAnsi" w:hAnsiTheme="minorHAnsi"/>
      <w:color w:val="auto"/>
    </w:rPr>
  </w:style>
  <w:style w:type="character" w:customStyle="1" w:styleId="DateChar">
    <w:name w:val="Date Char"/>
    <w:basedOn w:val="DefaultParagraphFont"/>
    <w:link w:val="Date"/>
    <w:semiHidden/>
    <w:rsid w:val="00C01E32"/>
    <w:rPr>
      <w:rFonts w:asciiTheme="minorHAnsi" w:hAnsiTheme="minorHAnsi"/>
      <w:sz w:val="22"/>
    </w:rPr>
  </w:style>
  <w:style w:type="paragraph" w:customStyle="1" w:styleId="paragraph">
    <w:name w:val="paragraph"/>
    <w:aliases w:val="a"/>
    <w:basedOn w:val="Normal"/>
    <w:link w:val="paragraphChar"/>
    <w:rsid w:val="00AB440D"/>
    <w:pPr>
      <w:tabs>
        <w:tab w:val="right" w:pos="1531"/>
      </w:tabs>
      <w:spacing w:before="40" w:after="0" w:line="240" w:lineRule="auto"/>
      <w:ind w:left="1644" w:hanging="1644"/>
      <w:jc w:val="left"/>
    </w:pPr>
    <w:rPr>
      <w:rFonts w:ascii="Times New Roman" w:hAnsi="Times New Roman"/>
      <w:color w:val="auto"/>
    </w:rPr>
  </w:style>
  <w:style w:type="character" w:customStyle="1" w:styleId="paragraphChar">
    <w:name w:val="paragraph Char"/>
    <w:aliases w:val="a Char"/>
    <w:link w:val="paragraph"/>
    <w:rsid w:val="00AB440D"/>
    <w:rPr>
      <w:sz w:val="22"/>
    </w:rPr>
  </w:style>
  <w:style w:type="paragraph" w:customStyle="1" w:styleId="Default">
    <w:name w:val="Default"/>
    <w:rsid w:val="00E27D8A"/>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7B5D85"/>
    <w:rPr>
      <w:rFonts w:ascii="Century Gothic" w:hAnsi="Century Gothic"/>
      <w:color w:val="1F497D" w:themeColor="text2"/>
      <w:sz w:val="18"/>
    </w:rPr>
  </w:style>
  <w:style w:type="paragraph" w:customStyle="1" w:styleId="BoxText-Large">
    <w:name w:val="Box Text - Large"/>
    <w:basedOn w:val="BoxText"/>
    <w:rsid w:val="0097769E"/>
    <w:rPr>
      <w:sz w:val="26"/>
    </w:rPr>
  </w:style>
  <w:style w:type="paragraph" w:customStyle="1" w:styleId="BoxHeadingnonumber-Large">
    <w:name w:val="Box Heading no number - Large"/>
    <w:basedOn w:val="BoxHeadingnonumber"/>
    <w:rsid w:val="0097769E"/>
    <w:pPr>
      <w:spacing w:before="180" w:after="180"/>
      <w:jc w:val="center"/>
    </w:pPr>
    <w:rPr>
      <w:sz w:val="28"/>
    </w:rPr>
  </w:style>
  <w:style w:type="paragraph" w:customStyle="1" w:styleId="Heading2NoTOC">
    <w:name w:val="Heading 2 No TOC"/>
    <w:basedOn w:val="Heading2NotNumbered"/>
    <w:rsid w:val="003E7ACE"/>
    <w:pPr>
      <w:outlineLvl w:val="9"/>
    </w:pPr>
  </w:style>
  <w:style w:type="paragraph" w:customStyle="1" w:styleId="Heading3NoTOC">
    <w:name w:val="Heading 3 No TOC"/>
    <w:basedOn w:val="Heading3"/>
    <w:rsid w:val="003E7ACE"/>
    <w:pPr>
      <w:outlineLvl w:val="9"/>
    </w:pPr>
  </w:style>
  <w:style w:type="paragraph" w:customStyle="1" w:styleId="Heading1-Numbered">
    <w:name w:val="Heading 1 - Numbered"/>
    <w:basedOn w:val="Heading1"/>
    <w:rsid w:val="007A717F"/>
    <w:pPr>
      <w:numPr>
        <w:numId w:val="38"/>
      </w:numPr>
      <w:tabs>
        <w:tab w:val="left" w:pos="425"/>
      </w:tabs>
      <w:ind w:left="425" w:hanging="425"/>
    </w:pPr>
  </w:style>
  <w:style w:type="paragraph" w:customStyle="1" w:styleId="BoxQuestions">
    <w:name w:val="Box Questions"/>
    <w:basedOn w:val="BoxHeadingnonumber"/>
    <w:rsid w:val="00666700"/>
    <w:pPr>
      <w:numPr>
        <w:numId w:val="55"/>
      </w:numPr>
      <w:ind w:right="113"/>
      <w:jc w:val="both"/>
    </w:pPr>
    <w:rPr>
      <w:rFonts w:ascii="Calibri" w:hAnsi="Calibri"/>
      <w:b w:val="0"/>
      <w:caps w:val="0"/>
      <w:color w:val="auto"/>
      <w:sz w:val="22"/>
    </w:rPr>
  </w:style>
  <w:style w:type="table" w:styleId="LightList-Accent4">
    <w:name w:val="Light List Accent 4"/>
    <w:basedOn w:val="TableNormal"/>
    <w:uiPriority w:val="61"/>
    <w:rsid w:val="003818D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NormalWeb">
    <w:name w:val="Normal (Web)"/>
    <w:basedOn w:val="Normal"/>
    <w:uiPriority w:val="99"/>
    <w:unhideWhenUsed/>
    <w:rsid w:val="00A514E9"/>
    <w:pPr>
      <w:spacing w:before="100" w:beforeAutospacing="1" w:after="100" w:afterAutospacing="1" w:line="240" w:lineRule="auto"/>
      <w:jc w:val="left"/>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CE"/>
    <w:pPr>
      <w:spacing w:after="240" w:line="280" w:lineRule="exact"/>
      <w:jc w:val="both"/>
    </w:pPr>
    <w:rPr>
      <w:rFonts w:ascii="Book Antiqua" w:hAnsi="Book Antiqua"/>
      <w:color w:val="000000"/>
      <w:sz w:val="22"/>
    </w:rPr>
  </w:style>
  <w:style w:type="paragraph" w:styleId="Heading1">
    <w:name w:val="heading 1"/>
    <w:basedOn w:val="HeadingBase"/>
    <w:next w:val="OutlineNumbered1"/>
    <w:qFormat/>
    <w:rsid w:val="003E7ACE"/>
    <w:pPr>
      <w:pBdr>
        <w:bottom w:val="single" w:sz="4" w:space="14" w:color="1F497D" w:themeColor="text2"/>
      </w:pBdr>
      <w:spacing w:after="480"/>
      <w:outlineLvl w:val="0"/>
    </w:pPr>
    <w:rPr>
      <w:rFonts w:ascii="Calibri" w:hAnsi="Calibri" w:cs="Arial"/>
      <w:b/>
      <w:bCs/>
      <w:caps/>
      <w:kern w:val="32"/>
      <w:sz w:val="36"/>
      <w:szCs w:val="36"/>
    </w:rPr>
  </w:style>
  <w:style w:type="paragraph" w:styleId="Heading2">
    <w:name w:val="heading 2"/>
    <w:basedOn w:val="HeadingBase"/>
    <w:next w:val="OutlineNumbered1"/>
    <w:qFormat/>
    <w:rsid w:val="003E7ACE"/>
    <w:pPr>
      <w:numPr>
        <w:numId w:val="12"/>
      </w:numPr>
      <w:spacing w:before="300" w:after="180"/>
      <w:outlineLvl w:val="1"/>
    </w:pPr>
    <w:rPr>
      <w:rFonts w:ascii="Calibri" w:hAnsi="Calibri" w:cs="Arial"/>
      <w:b/>
      <w:bCs/>
      <w:iCs/>
      <w:smallCaps/>
      <w:sz w:val="36"/>
      <w:szCs w:val="28"/>
    </w:rPr>
  </w:style>
  <w:style w:type="paragraph" w:styleId="Heading3">
    <w:name w:val="heading 3"/>
    <w:basedOn w:val="HeadingBase"/>
    <w:next w:val="OutlineNumbered1"/>
    <w:qFormat/>
    <w:rsid w:val="00781477"/>
    <w:pPr>
      <w:spacing w:before="300" w:after="240"/>
      <w:outlineLvl w:val="2"/>
    </w:pPr>
    <w:rPr>
      <w:rFonts w:ascii="Calibri" w:hAnsi="Calibri" w:cs="Arial"/>
      <w:b/>
      <w:bCs/>
      <w:sz w:val="29"/>
      <w:szCs w:val="29"/>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7A717F"/>
    <w:rPr>
      <w:b/>
      <w:color w:val="1F497D" w:themeColor="text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E80530"/>
    <w:pPr>
      <w:tabs>
        <w:tab w:val="left" w:pos="340"/>
      </w:tabs>
      <w:spacing w:after="20" w:line="240" w:lineRule="auto"/>
      <w:ind w:left="340" w:hanging="340"/>
    </w:pPr>
    <w:rPr>
      <w:sz w:val="18"/>
    </w:rPr>
  </w:style>
  <w:style w:type="paragraph" w:customStyle="1" w:styleId="Bullet">
    <w:name w:val="Bullet"/>
    <w:aliases w:val="b,Body,b + line,b1,level 1,Bullet + line"/>
    <w:basedOn w:val="Normal"/>
    <w:link w:val="BulletChar"/>
    <w:qFormat/>
    <w:rsid w:val="00E80530"/>
    <w:pPr>
      <w:numPr>
        <w:numId w:val="1"/>
      </w:numPr>
    </w:pPr>
  </w:style>
  <w:style w:type="paragraph" w:customStyle="1" w:styleId="Dash">
    <w:name w:val="Dash"/>
    <w:basedOn w:val="Normal"/>
    <w:link w:val="DashChar"/>
    <w:qFormat/>
    <w:rsid w:val="003818D4"/>
    <w:pPr>
      <w:numPr>
        <w:ilvl w:val="1"/>
        <w:numId w:val="1"/>
      </w:numPr>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rsid w:val="001E43D3"/>
    <w:pPr>
      <w:numPr>
        <w:numId w:val="9"/>
      </w:numPr>
    </w:pPr>
  </w:style>
  <w:style w:type="paragraph" w:customStyle="1" w:styleId="OutlineNumbered2">
    <w:name w:val="Outline Numbered 2"/>
    <w:basedOn w:val="Normal"/>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E80530"/>
    <w:pPr>
      <w:numPr>
        <w:numId w:val="2"/>
      </w:numPr>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uiPriority w:val="99"/>
    <w:rsid w:val="000A7BCF"/>
    <w:rPr>
      <w:sz w:val="18"/>
    </w:rPr>
  </w:style>
  <w:style w:type="paragraph" w:customStyle="1" w:styleId="ContentsHeading">
    <w:name w:val="Contents Heading"/>
    <w:basedOn w:val="Heading1"/>
    <w:next w:val="Normal"/>
    <w:rsid w:val="008A6C52"/>
    <w:pPr>
      <w:outlineLvl w:val="9"/>
    </w:pPr>
  </w:style>
  <w:style w:type="paragraph" w:customStyle="1" w:styleId="CoverTitleMain">
    <w:name w:val="Cover Title Main"/>
    <w:basedOn w:val="HeadingBase"/>
    <w:next w:val="Normal"/>
    <w:rsid w:val="0097769E"/>
    <w:pPr>
      <w:pBdr>
        <w:bottom w:val="single" w:sz="12" w:space="16" w:color="1F497D" w:themeColor="text2"/>
      </w:pBdr>
      <w:spacing w:before="5000" w:after="840"/>
      <w:jc w:val="center"/>
    </w:pPr>
    <w:rPr>
      <w:rFonts w:ascii="Calibri" w:hAnsi="Calibri"/>
      <w:b/>
      <w:noProof/>
      <w:sz w:val="52"/>
    </w:rPr>
  </w:style>
  <w:style w:type="paragraph" w:customStyle="1" w:styleId="CoverTitleSub">
    <w:name w:val="Cover Title Sub"/>
    <w:basedOn w:val="HeadingBase"/>
    <w:rsid w:val="0097769E"/>
    <w:pPr>
      <w:spacing w:after="3000"/>
      <w:jc w:val="right"/>
    </w:pPr>
    <w:rPr>
      <w:rFonts w:ascii="Calibri" w:hAnsi="Calibri"/>
      <w:sz w:val="40"/>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BC651B"/>
    <w:rPr>
      <w:rFonts w:ascii="Calibri" w:hAnsi="Calibri"/>
      <w:sz w:val="20"/>
    </w:rPr>
  </w:style>
  <w:style w:type="paragraph" w:customStyle="1" w:styleId="FooterOdd">
    <w:name w:val="Footer Odd"/>
    <w:basedOn w:val="Footer"/>
    <w:rsid w:val="00BC651B"/>
    <w:pPr>
      <w:jc w:val="right"/>
    </w:pPr>
    <w:rPr>
      <w:rFonts w:ascii="Calibri" w:hAnsi="Calibri"/>
      <w:sz w:val="20"/>
    </w:r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BC651B"/>
    <w:rPr>
      <w:rFonts w:ascii="Calibri" w:hAnsi="Calibri"/>
      <w:sz w:val="20"/>
    </w:rPr>
  </w:style>
  <w:style w:type="paragraph" w:customStyle="1" w:styleId="HeaderOdd">
    <w:name w:val="Header Odd"/>
    <w:basedOn w:val="Header"/>
    <w:rsid w:val="00BC651B"/>
    <w:pPr>
      <w:jc w:val="right"/>
    </w:pPr>
    <w:rPr>
      <w:rFonts w:ascii="Calibri" w:hAnsi="Calibri"/>
      <w:sz w:val="20"/>
    </w:r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8A6C52"/>
    <w:pPr>
      <w:tabs>
        <w:tab w:val="left" w:pos="284"/>
        <w:tab w:val="right" w:leader="dot" w:pos="9072"/>
      </w:tabs>
      <w:spacing w:before="180" w:after="60"/>
      <w:ind w:left="284" w:right="851" w:hanging="284"/>
    </w:pPr>
    <w:rPr>
      <w:b/>
      <w:noProof/>
      <w:sz w:val="22"/>
      <w:szCs w:val="22"/>
    </w:rPr>
  </w:style>
  <w:style w:type="paragraph" w:styleId="TOC2">
    <w:name w:val="toc 2"/>
    <w:basedOn w:val="HeadingBase"/>
    <w:next w:val="Normal"/>
    <w:uiPriority w:val="39"/>
    <w:rsid w:val="00BC651B"/>
    <w:pPr>
      <w:tabs>
        <w:tab w:val="right" w:leader="dot" w:pos="9072"/>
      </w:tabs>
      <w:spacing w:before="60"/>
      <w:ind w:left="284" w:right="851"/>
    </w:pPr>
    <w:rPr>
      <w:sz w:val="21"/>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666700"/>
    <w:pPr>
      <w:numPr>
        <w:numId w:val="5"/>
      </w:numPr>
    </w:pPr>
  </w:style>
  <w:style w:type="paragraph" w:customStyle="1" w:styleId="BoxText">
    <w:name w:val="Box Text"/>
    <w:basedOn w:val="BoxTextBase"/>
    <w:rsid w:val="0097769E"/>
    <w:pPr>
      <w:spacing w:before="180" w:after="180"/>
    </w:pPr>
    <w:rPr>
      <w:rFonts w:ascii="Calibri" w:hAnsi="Calibri"/>
      <w:color w:val="auto"/>
    </w:rPr>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DF31F0"/>
    <w:pPr>
      <w:keepNext w:val="0"/>
      <w:numPr>
        <w:numId w:val="0"/>
      </w:numPr>
    </w:pPr>
    <w:rPr>
      <w:caps/>
      <w:sz w:val="24"/>
    </w:r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10"/>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3E7ACE"/>
    <w:pPr>
      <w:numPr>
        <w:numId w:val="0"/>
      </w:numPr>
    </w:pPr>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styleId="FootnoteReference">
    <w:name w:val="footnote reference"/>
    <w:basedOn w:val="DefaultParagraphFont"/>
    <w:uiPriority w:val="99"/>
    <w:semiHidden/>
    <w:unhideWhenUsed/>
    <w:rsid w:val="00512E8D"/>
    <w:rPr>
      <w:vertAlign w:val="superscript"/>
    </w:rPr>
  </w:style>
  <w:style w:type="character" w:customStyle="1" w:styleId="BulletChar">
    <w:name w:val="Bullet Char"/>
    <w:aliases w:val="b Char,b + line Char Char,b Char Char,b1 Char,b + line Char,Body Char,level 1 Char"/>
    <w:basedOn w:val="DefaultParagraphFont"/>
    <w:link w:val="Bullet"/>
    <w:rsid w:val="00E80530"/>
    <w:rPr>
      <w:rFonts w:ascii="Book Antiqua" w:hAnsi="Book Antiqua"/>
      <w:color w:val="000000"/>
      <w:sz w:val="22"/>
    </w:rPr>
  </w:style>
  <w:style w:type="character" w:customStyle="1" w:styleId="DashChar">
    <w:name w:val="Dash Char"/>
    <w:basedOn w:val="DefaultParagraphFont"/>
    <w:link w:val="Dash"/>
    <w:rsid w:val="003818D4"/>
    <w:rPr>
      <w:rFonts w:ascii="Book Antiqua" w:hAnsi="Book Antiqua"/>
      <w:color w:val="000000"/>
      <w:sz w:val="22"/>
    </w:rPr>
  </w:style>
  <w:style w:type="character" w:customStyle="1" w:styleId="FootnoteTextChar">
    <w:name w:val="Footnote Text Char"/>
    <w:basedOn w:val="DefaultParagraphFont"/>
    <w:link w:val="FootnoteText"/>
    <w:uiPriority w:val="99"/>
    <w:rsid w:val="00E80530"/>
    <w:rPr>
      <w:rFonts w:ascii="Book Antiqua" w:hAnsi="Book Antiqua"/>
      <w:color w:val="000000"/>
      <w:sz w:val="18"/>
    </w:rPr>
  </w:style>
  <w:style w:type="paragraph" w:styleId="ListParagraph">
    <w:name w:val="List Paragraph"/>
    <w:basedOn w:val="Normal"/>
    <w:uiPriority w:val="34"/>
    <w:qFormat/>
    <w:rsid w:val="00AD29FE"/>
    <w:pPr>
      <w:spacing w:after="200" w:line="276" w:lineRule="auto"/>
      <w:ind w:left="720"/>
      <w:contextualSpacing/>
      <w:jc w:val="left"/>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AD29FE"/>
    <w:rPr>
      <w:b/>
      <w:bCs/>
      <w:i/>
      <w:iCs/>
      <w:color w:val="4F81BD" w:themeColor="accent1"/>
    </w:rPr>
  </w:style>
  <w:style w:type="character" w:styleId="CommentReference">
    <w:name w:val="annotation reference"/>
    <w:basedOn w:val="DefaultParagraphFont"/>
    <w:uiPriority w:val="99"/>
    <w:semiHidden/>
    <w:unhideWhenUsed/>
    <w:rsid w:val="008A7295"/>
    <w:rPr>
      <w:sz w:val="16"/>
      <w:szCs w:val="16"/>
    </w:rPr>
  </w:style>
  <w:style w:type="paragraph" w:styleId="CommentText">
    <w:name w:val="annotation text"/>
    <w:basedOn w:val="Normal"/>
    <w:link w:val="CommentTextChar"/>
    <w:uiPriority w:val="99"/>
    <w:unhideWhenUsed/>
    <w:rsid w:val="008A7295"/>
    <w:pPr>
      <w:spacing w:line="240" w:lineRule="auto"/>
    </w:pPr>
    <w:rPr>
      <w:sz w:val="20"/>
    </w:rPr>
  </w:style>
  <w:style w:type="character" w:customStyle="1" w:styleId="CommentTextChar">
    <w:name w:val="Comment Text Char"/>
    <w:basedOn w:val="DefaultParagraphFont"/>
    <w:link w:val="CommentText"/>
    <w:uiPriority w:val="99"/>
    <w:rsid w:val="008A7295"/>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8A7295"/>
    <w:rPr>
      <w:b/>
      <w:bCs/>
    </w:rPr>
  </w:style>
  <w:style w:type="character" w:customStyle="1" w:styleId="CommentSubjectChar">
    <w:name w:val="Comment Subject Char"/>
    <w:basedOn w:val="CommentTextChar"/>
    <w:link w:val="CommentSubject"/>
    <w:uiPriority w:val="99"/>
    <w:semiHidden/>
    <w:rsid w:val="008A7295"/>
    <w:rPr>
      <w:rFonts w:ascii="Book Antiqua" w:hAnsi="Book Antiqua"/>
      <w:b/>
      <w:bCs/>
      <w:color w:val="000000"/>
    </w:rPr>
  </w:style>
  <w:style w:type="numbering" w:customStyle="1" w:styleId="Style1">
    <w:name w:val="Style1"/>
    <w:uiPriority w:val="99"/>
    <w:rsid w:val="002629E8"/>
    <w:pPr>
      <w:numPr>
        <w:numId w:val="13"/>
      </w:numPr>
    </w:pPr>
  </w:style>
  <w:style w:type="paragraph" w:styleId="Revision">
    <w:name w:val="Revision"/>
    <w:hidden/>
    <w:uiPriority w:val="99"/>
    <w:semiHidden/>
    <w:rsid w:val="00F43349"/>
    <w:rPr>
      <w:rFonts w:ascii="Book Antiqua" w:hAnsi="Book Antiqua"/>
      <w:color w:val="000000"/>
      <w:sz w:val="22"/>
    </w:rPr>
  </w:style>
  <w:style w:type="character" w:styleId="Strong">
    <w:name w:val="Strong"/>
    <w:basedOn w:val="DefaultParagraphFont"/>
    <w:uiPriority w:val="22"/>
    <w:qFormat/>
    <w:rsid w:val="00BB0B2A"/>
    <w:rPr>
      <w:b/>
      <w:bCs/>
    </w:rPr>
  </w:style>
  <w:style w:type="paragraph" w:customStyle="1" w:styleId="subsection">
    <w:name w:val="subsection"/>
    <w:basedOn w:val="Normal"/>
    <w:rsid w:val="002735AE"/>
    <w:pPr>
      <w:spacing w:before="100" w:beforeAutospacing="1" w:after="100" w:afterAutospacing="1" w:line="240" w:lineRule="auto"/>
      <w:jc w:val="left"/>
    </w:pPr>
    <w:rPr>
      <w:rFonts w:ascii="Times New Roman" w:hAnsi="Times New Roman"/>
      <w:color w:val="auto"/>
      <w:sz w:val="24"/>
      <w:szCs w:val="24"/>
    </w:rPr>
  </w:style>
  <w:style w:type="paragraph" w:customStyle="1" w:styleId="tablei">
    <w:name w:val="tablei"/>
    <w:basedOn w:val="Normal"/>
    <w:rsid w:val="002735AE"/>
    <w:pPr>
      <w:spacing w:before="100" w:beforeAutospacing="1" w:after="100" w:afterAutospacing="1" w:line="240" w:lineRule="auto"/>
      <w:jc w:val="left"/>
    </w:pPr>
    <w:rPr>
      <w:rFonts w:ascii="Times New Roman" w:hAnsi="Times New Roman"/>
      <w:color w:val="auto"/>
      <w:sz w:val="24"/>
      <w:szCs w:val="24"/>
    </w:rPr>
  </w:style>
  <w:style w:type="character" w:customStyle="1" w:styleId="apple-converted-space">
    <w:name w:val="apple-converted-space"/>
    <w:basedOn w:val="DefaultParagraphFont"/>
    <w:rsid w:val="00686B65"/>
  </w:style>
  <w:style w:type="character" w:styleId="Emphasis">
    <w:name w:val="Emphasis"/>
    <w:basedOn w:val="DefaultParagraphFont"/>
    <w:uiPriority w:val="20"/>
    <w:qFormat/>
    <w:rsid w:val="00686B65"/>
    <w:rPr>
      <w:b/>
      <w:bCs/>
      <w:i w:val="0"/>
      <w:iCs w:val="0"/>
    </w:rPr>
  </w:style>
  <w:style w:type="character" w:customStyle="1" w:styleId="st1">
    <w:name w:val="st1"/>
    <w:basedOn w:val="DefaultParagraphFont"/>
    <w:rsid w:val="00686B65"/>
  </w:style>
  <w:style w:type="paragraph" w:styleId="Date">
    <w:name w:val="Date"/>
    <w:basedOn w:val="Normal"/>
    <w:next w:val="Normal"/>
    <w:link w:val="DateChar"/>
    <w:semiHidden/>
    <w:unhideWhenUsed/>
    <w:rsid w:val="00C01E32"/>
    <w:pPr>
      <w:spacing w:after="200" w:line="240" w:lineRule="auto"/>
      <w:jc w:val="left"/>
    </w:pPr>
    <w:rPr>
      <w:rFonts w:asciiTheme="minorHAnsi" w:hAnsiTheme="minorHAnsi"/>
      <w:color w:val="auto"/>
    </w:rPr>
  </w:style>
  <w:style w:type="character" w:customStyle="1" w:styleId="DateChar">
    <w:name w:val="Date Char"/>
    <w:basedOn w:val="DefaultParagraphFont"/>
    <w:link w:val="Date"/>
    <w:semiHidden/>
    <w:rsid w:val="00C01E32"/>
    <w:rPr>
      <w:rFonts w:asciiTheme="minorHAnsi" w:hAnsiTheme="minorHAnsi"/>
      <w:sz w:val="22"/>
    </w:rPr>
  </w:style>
  <w:style w:type="paragraph" w:customStyle="1" w:styleId="paragraph">
    <w:name w:val="paragraph"/>
    <w:aliases w:val="a"/>
    <w:basedOn w:val="Normal"/>
    <w:link w:val="paragraphChar"/>
    <w:rsid w:val="00AB440D"/>
    <w:pPr>
      <w:tabs>
        <w:tab w:val="right" w:pos="1531"/>
      </w:tabs>
      <w:spacing w:before="40" w:after="0" w:line="240" w:lineRule="auto"/>
      <w:ind w:left="1644" w:hanging="1644"/>
      <w:jc w:val="left"/>
    </w:pPr>
    <w:rPr>
      <w:rFonts w:ascii="Times New Roman" w:hAnsi="Times New Roman"/>
      <w:color w:val="auto"/>
    </w:rPr>
  </w:style>
  <w:style w:type="character" w:customStyle="1" w:styleId="paragraphChar">
    <w:name w:val="paragraph Char"/>
    <w:aliases w:val="a Char"/>
    <w:link w:val="paragraph"/>
    <w:rsid w:val="00AB440D"/>
    <w:rPr>
      <w:sz w:val="22"/>
    </w:rPr>
  </w:style>
  <w:style w:type="paragraph" w:customStyle="1" w:styleId="Default">
    <w:name w:val="Default"/>
    <w:rsid w:val="00E27D8A"/>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7B5D85"/>
    <w:rPr>
      <w:rFonts w:ascii="Century Gothic" w:hAnsi="Century Gothic"/>
      <w:color w:val="1F497D" w:themeColor="text2"/>
      <w:sz w:val="18"/>
    </w:rPr>
  </w:style>
  <w:style w:type="paragraph" w:customStyle="1" w:styleId="BoxText-Large">
    <w:name w:val="Box Text - Large"/>
    <w:basedOn w:val="BoxText"/>
    <w:rsid w:val="0097769E"/>
    <w:rPr>
      <w:sz w:val="26"/>
    </w:rPr>
  </w:style>
  <w:style w:type="paragraph" w:customStyle="1" w:styleId="BoxHeadingnonumber-Large">
    <w:name w:val="Box Heading no number - Large"/>
    <w:basedOn w:val="BoxHeadingnonumber"/>
    <w:rsid w:val="0097769E"/>
    <w:pPr>
      <w:spacing w:before="180" w:after="180"/>
      <w:jc w:val="center"/>
    </w:pPr>
    <w:rPr>
      <w:sz w:val="28"/>
    </w:rPr>
  </w:style>
  <w:style w:type="paragraph" w:customStyle="1" w:styleId="Heading2NoTOC">
    <w:name w:val="Heading 2 No TOC"/>
    <w:basedOn w:val="Heading2NotNumbered"/>
    <w:rsid w:val="003E7ACE"/>
    <w:pPr>
      <w:outlineLvl w:val="9"/>
    </w:pPr>
  </w:style>
  <w:style w:type="paragraph" w:customStyle="1" w:styleId="Heading3NoTOC">
    <w:name w:val="Heading 3 No TOC"/>
    <w:basedOn w:val="Heading3"/>
    <w:rsid w:val="003E7ACE"/>
    <w:pPr>
      <w:outlineLvl w:val="9"/>
    </w:pPr>
  </w:style>
  <w:style w:type="paragraph" w:customStyle="1" w:styleId="Heading1-Numbered">
    <w:name w:val="Heading 1 - Numbered"/>
    <w:basedOn w:val="Heading1"/>
    <w:rsid w:val="007A717F"/>
    <w:pPr>
      <w:numPr>
        <w:numId w:val="38"/>
      </w:numPr>
      <w:tabs>
        <w:tab w:val="left" w:pos="425"/>
      </w:tabs>
      <w:ind w:left="425" w:hanging="425"/>
    </w:pPr>
  </w:style>
  <w:style w:type="paragraph" w:customStyle="1" w:styleId="BoxQuestions">
    <w:name w:val="Box Questions"/>
    <w:basedOn w:val="BoxHeadingnonumber"/>
    <w:rsid w:val="00666700"/>
    <w:pPr>
      <w:numPr>
        <w:numId w:val="55"/>
      </w:numPr>
      <w:ind w:right="113"/>
      <w:jc w:val="both"/>
    </w:pPr>
    <w:rPr>
      <w:rFonts w:ascii="Calibri" w:hAnsi="Calibri"/>
      <w:b w:val="0"/>
      <w:caps w:val="0"/>
      <w:color w:val="auto"/>
      <w:sz w:val="22"/>
    </w:rPr>
  </w:style>
  <w:style w:type="table" w:styleId="LightList-Accent4">
    <w:name w:val="Light List Accent 4"/>
    <w:basedOn w:val="TableNormal"/>
    <w:uiPriority w:val="61"/>
    <w:rsid w:val="003818D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NormalWeb">
    <w:name w:val="Normal (Web)"/>
    <w:basedOn w:val="Normal"/>
    <w:uiPriority w:val="99"/>
    <w:unhideWhenUsed/>
    <w:rsid w:val="00A514E9"/>
    <w:pPr>
      <w:spacing w:before="100" w:beforeAutospacing="1" w:after="100" w:afterAutospacing="1" w:line="240" w:lineRule="auto"/>
      <w:jc w:val="left"/>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92851">
      <w:bodyDiv w:val="1"/>
      <w:marLeft w:val="0"/>
      <w:marRight w:val="0"/>
      <w:marTop w:val="0"/>
      <w:marBottom w:val="0"/>
      <w:divBdr>
        <w:top w:val="none" w:sz="0" w:space="0" w:color="auto"/>
        <w:left w:val="none" w:sz="0" w:space="0" w:color="auto"/>
        <w:bottom w:val="none" w:sz="0" w:space="0" w:color="auto"/>
        <w:right w:val="none" w:sz="0" w:space="0" w:color="auto"/>
      </w:divBdr>
    </w:div>
    <w:div w:id="547574999">
      <w:bodyDiv w:val="1"/>
      <w:marLeft w:val="0"/>
      <w:marRight w:val="0"/>
      <w:marTop w:val="0"/>
      <w:marBottom w:val="0"/>
      <w:divBdr>
        <w:top w:val="none" w:sz="0" w:space="0" w:color="auto"/>
        <w:left w:val="none" w:sz="0" w:space="0" w:color="auto"/>
        <w:bottom w:val="none" w:sz="0" w:space="0" w:color="auto"/>
        <w:right w:val="none" w:sz="0" w:space="0" w:color="auto"/>
      </w:divBdr>
    </w:div>
    <w:div w:id="1007050732">
      <w:bodyDiv w:val="1"/>
      <w:marLeft w:val="0"/>
      <w:marRight w:val="0"/>
      <w:marTop w:val="0"/>
      <w:marBottom w:val="0"/>
      <w:divBdr>
        <w:top w:val="none" w:sz="0" w:space="0" w:color="auto"/>
        <w:left w:val="none" w:sz="0" w:space="0" w:color="auto"/>
        <w:bottom w:val="none" w:sz="0" w:space="0" w:color="auto"/>
        <w:right w:val="none" w:sz="0" w:space="0" w:color="auto"/>
      </w:divBdr>
    </w:div>
    <w:div w:id="1059740818">
      <w:bodyDiv w:val="1"/>
      <w:marLeft w:val="0"/>
      <w:marRight w:val="0"/>
      <w:marTop w:val="0"/>
      <w:marBottom w:val="0"/>
      <w:divBdr>
        <w:top w:val="none" w:sz="0" w:space="0" w:color="auto"/>
        <w:left w:val="none" w:sz="0" w:space="0" w:color="auto"/>
        <w:bottom w:val="none" w:sz="0" w:space="0" w:color="auto"/>
        <w:right w:val="none" w:sz="0" w:space="0" w:color="auto"/>
      </w:divBdr>
      <w:divsChild>
        <w:div w:id="380373304">
          <w:marLeft w:val="0"/>
          <w:marRight w:val="0"/>
          <w:marTop w:val="0"/>
          <w:marBottom w:val="0"/>
          <w:divBdr>
            <w:top w:val="none" w:sz="0" w:space="0" w:color="auto"/>
            <w:left w:val="none" w:sz="0" w:space="0" w:color="auto"/>
            <w:bottom w:val="none" w:sz="0" w:space="0" w:color="auto"/>
            <w:right w:val="none" w:sz="0" w:space="0" w:color="auto"/>
          </w:divBdr>
          <w:divsChild>
            <w:div w:id="92094519">
              <w:marLeft w:val="0"/>
              <w:marRight w:val="0"/>
              <w:marTop w:val="0"/>
              <w:marBottom w:val="0"/>
              <w:divBdr>
                <w:top w:val="none" w:sz="0" w:space="0" w:color="auto"/>
                <w:left w:val="none" w:sz="0" w:space="0" w:color="auto"/>
                <w:bottom w:val="none" w:sz="0" w:space="0" w:color="auto"/>
                <w:right w:val="none" w:sz="0" w:space="0" w:color="auto"/>
              </w:divBdr>
              <w:divsChild>
                <w:div w:id="394547292">
                  <w:marLeft w:val="0"/>
                  <w:marRight w:val="0"/>
                  <w:marTop w:val="0"/>
                  <w:marBottom w:val="0"/>
                  <w:divBdr>
                    <w:top w:val="none" w:sz="0" w:space="0" w:color="auto"/>
                    <w:left w:val="none" w:sz="0" w:space="0" w:color="auto"/>
                    <w:bottom w:val="none" w:sz="0" w:space="0" w:color="auto"/>
                    <w:right w:val="none" w:sz="0" w:space="0" w:color="auto"/>
                  </w:divBdr>
                  <w:divsChild>
                    <w:div w:id="172650845">
                      <w:marLeft w:val="0"/>
                      <w:marRight w:val="0"/>
                      <w:marTop w:val="0"/>
                      <w:marBottom w:val="0"/>
                      <w:divBdr>
                        <w:top w:val="none" w:sz="0" w:space="0" w:color="auto"/>
                        <w:left w:val="none" w:sz="0" w:space="0" w:color="auto"/>
                        <w:bottom w:val="none" w:sz="0" w:space="0" w:color="auto"/>
                        <w:right w:val="none" w:sz="0" w:space="0" w:color="auto"/>
                      </w:divBdr>
                      <w:divsChild>
                        <w:div w:id="720713895">
                          <w:marLeft w:val="0"/>
                          <w:marRight w:val="0"/>
                          <w:marTop w:val="0"/>
                          <w:marBottom w:val="0"/>
                          <w:divBdr>
                            <w:top w:val="none" w:sz="0" w:space="0" w:color="auto"/>
                            <w:left w:val="none" w:sz="0" w:space="0" w:color="auto"/>
                            <w:bottom w:val="none" w:sz="0" w:space="0" w:color="auto"/>
                            <w:right w:val="none" w:sz="0" w:space="0" w:color="auto"/>
                          </w:divBdr>
                          <w:divsChild>
                            <w:div w:id="1007057406">
                              <w:marLeft w:val="0"/>
                              <w:marRight w:val="0"/>
                              <w:marTop w:val="0"/>
                              <w:marBottom w:val="0"/>
                              <w:divBdr>
                                <w:top w:val="none" w:sz="0" w:space="0" w:color="auto"/>
                                <w:left w:val="none" w:sz="0" w:space="0" w:color="auto"/>
                                <w:bottom w:val="none" w:sz="0" w:space="0" w:color="auto"/>
                                <w:right w:val="none" w:sz="0" w:space="0" w:color="auto"/>
                              </w:divBdr>
                              <w:divsChild>
                                <w:div w:id="957180693">
                                  <w:marLeft w:val="0"/>
                                  <w:marRight w:val="0"/>
                                  <w:marTop w:val="0"/>
                                  <w:marBottom w:val="0"/>
                                  <w:divBdr>
                                    <w:top w:val="none" w:sz="0" w:space="0" w:color="auto"/>
                                    <w:left w:val="none" w:sz="0" w:space="0" w:color="auto"/>
                                    <w:bottom w:val="none" w:sz="0" w:space="0" w:color="auto"/>
                                    <w:right w:val="none" w:sz="0" w:space="0" w:color="auto"/>
                                  </w:divBdr>
                                  <w:divsChild>
                                    <w:div w:id="1669863110">
                                      <w:marLeft w:val="0"/>
                                      <w:marRight w:val="0"/>
                                      <w:marTop w:val="0"/>
                                      <w:marBottom w:val="0"/>
                                      <w:divBdr>
                                        <w:top w:val="none" w:sz="0" w:space="0" w:color="auto"/>
                                        <w:left w:val="none" w:sz="0" w:space="0" w:color="auto"/>
                                        <w:bottom w:val="none" w:sz="0" w:space="0" w:color="auto"/>
                                        <w:right w:val="none" w:sz="0" w:space="0" w:color="auto"/>
                                      </w:divBdr>
                                      <w:divsChild>
                                        <w:div w:id="1764035247">
                                          <w:marLeft w:val="0"/>
                                          <w:marRight w:val="0"/>
                                          <w:marTop w:val="0"/>
                                          <w:marBottom w:val="0"/>
                                          <w:divBdr>
                                            <w:top w:val="none" w:sz="0" w:space="0" w:color="auto"/>
                                            <w:left w:val="none" w:sz="0" w:space="0" w:color="auto"/>
                                            <w:bottom w:val="none" w:sz="0" w:space="0" w:color="auto"/>
                                            <w:right w:val="none" w:sz="0" w:space="0" w:color="auto"/>
                                          </w:divBdr>
                                          <w:divsChild>
                                            <w:div w:id="1861161007">
                                              <w:marLeft w:val="0"/>
                                              <w:marRight w:val="0"/>
                                              <w:marTop w:val="0"/>
                                              <w:marBottom w:val="0"/>
                                              <w:divBdr>
                                                <w:top w:val="none" w:sz="0" w:space="0" w:color="auto"/>
                                                <w:left w:val="none" w:sz="0" w:space="0" w:color="auto"/>
                                                <w:bottom w:val="none" w:sz="0" w:space="0" w:color="auto"/>
                                                <w:right w:val="none" w:sz="0" w:space="0" w:color="auto"/>
                                              </w:divBdr>
                                              <w:divsChild>
                                                <w:div w:id="1620989427">
                                                  <w:marLeft w:val="0"/>
                                                  <w:marRight w:val="0"/>
                                                  <w:marTop w:val="0"/>
                                                  <w:marBottom w:val="0"/>
                                                  <w:divBdr>
                                                    <w:top w:val="none" w:sz="0" w:space="0" w:color="auto"/>
                                                    <w:left w:val="none" w:sz="0" w:space="0" w:color="auto"/>
                                                    <w:bottom w:val="none" w:sz="0" w:space="0" w:color="auto"/>
                                                    <w:right w:val="none" w:sz="0" w:space="0" w:color="auto"/>
                                                  </w:divBdr>
                                                  <w:divsChild>
                                                    <w:div w:id="1472015873">
                                                      <w:marLeft w:val="0"/>
                                                      <w:marRight w:val="0"/>
                                                      <w:marTop w:val="0"/>
                                                      <w:marBottom w:val="0"/>
                                                      <w:divBdr>
                                                        <w:top w:val="none" w:sz="0" w:space="0" w:color="auto"/>
                                                        <w:left w:val="none" w:sz="0" w:space="0" w:color="auto"/>
                                                        <w:bottom w:val="none" w:sz="0" w:space="0" w:color="auto"/>
                                                        <w:right w:val="none" w:sz="0" w:space="0" w:color="auto"/>
                                                      </w:divBdr>
                                                      <w:divsChild>
                                                        <w:div w:id="4835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438899">
      <w:bodyDiv w:val="1"/>
      <w:marLeft w:val="0"/>
      <w:marRight w:val="0"/>
      <w:marTop w:val="0"/>
      <w:marBottom w:val="0"/>
      <w:divBdr>
        <w:top w:val="none" w:sz="0" w:space="0" w:color="auto"/>
        <w:left w:val="none" w:sz="0" w:space="0" w:color="auto"/>
        <w:bottom w:val="none" w:sz="0" w:space="0" w:color="auto"/>
        <w:right w:val="none" w:sz="0" w:space="0" w:color="auto"/>
      </w:divBdr>
    </w:div>
    <w:div w:id="1242788807">
      <w:bodyDiv w:val="1"/>
      <w:marLeft w:val="0"/>
      <w:marRight w:val="0"/>
      <w:marTop w:val="0"/>
      <w:marBottom w:val="0"/>
      <w:divBdr>
        <w:top w:val="none" w:sz="0" w:space="0" w:color="auto"/>
        <w:left w:val="none" w:sz="0" w:space="0" w:color="auto"/>
        <w:bottom w:val="none" w:sz="0" w:space="0" w:color="auto"/>
        <w:right w:val="none" w:sz="0" w:space="0" w:color="auto"/>
      </w:divBdr>
    </w:div>
    <w:div w:id="1368530585">
      <w:bodyDiv w:val="1"/>
      <w:marLeft w:val="0"/>
      <w:marRight w:val="0"/>
      <w:marTop w:val="0"/>
      <w:marBottom w:val="0"/>
      <w:divBdr>
        <w:top w:val="none" w:sz="0" w:space="0" w:color="auto"/>
        <w:left w:val="none" w:sz="0" w:space="0" w:color="auto"/>
        <w:bottom w:val="none" w:sz="0" w:space="0" w:color="auto"/>
        <w:right w:val="none" w:sz="0" w:space="0" w:color="auto"/>
      </w:divBdr>
    </w:div>
    <w:div w:id="1756512221">
      <w:bodyDiv w:val="1"/>
      <w:marLeft w:val="0"/>
      <w:marRight w:val="0"/>
      <w:marTop w:val="0"/>
      <w:marBottom w:val="0"/>
      <w:divBdr>
        <w:top w:val="none" w:sz="0" w:space="0" w:color="auto"/>
        <w:left w:val="none" w:sz="0" w:space="0" w:color="auto"/>
        <w:bottom w:val="none" w:sz="0" w:space="0" w:color="auto"/>
        <w:right w:val="none" w:sz="0" w:space="0" w:color="auto"/>
      </w:divBdr>
    </w:div>
    <w:div w:id="1968242930">
      <w:bodyDiv w:val="1"/>
      <w:marLeft w:val="0"/>
      <w:marRight w:val="0"/>
      <w:marTop w:val="0"/>
      <w:marBottom w:val="0"/>
      <w:divBdr>
        <w:top w:val="none" w:sz="0" w:space="0" w:color="auto"/>
        <w:left w:val="none" w:sz="0" w:space="0" w:color="auto"/>
        <w:bottom w:val="none" w:sz="0" w:space="0" w:color="auto"/>
        <w:right w:val="none" w:sz="0" w:space="0" w:color="auto"/>
      </w:divBdr>
    </w:div>
    <w:div w:id="2026440478">
      <w:bodyDiv w:val="1"/>
      <w:marLeft w:val="0"/>
      <w:marRight w:val="0"/>
      <w:marTop w:val="0"/>
      <w:marBottom w:val="0"/>
      <w:divBdr>
        <w:top w:val="none" w:sz="0" w:space="0" w:color="auto"/>
        <w:left w:val="none" w:sz="0" w:space="0" w:color="auto"/>
        <w:bottom w:val="none" w:sz="0" w:space="0" w:color="auto"/>
        <w:right w:val="none" w:sz="0" w:space="0" w:color="auto"/>
      </w:divBdr>
    </w:div>
    <w:div w:id="2053073484">
      <w:bodyDiv w:val="1"/>
      <w:marLeft w:val="0"/>
      <w:marRight w:val="0"/>
      <w:marTop w:val="0"/>
      <w:marBottom w:val="0"/>
      <w:divBdr>
        <w:top w:val="none" w:sz="0" w:space="0" w:color="auto"/>
        <w:left w:val="none" w:sz="0" w:space="0" w:color="auto"/>
        <w:bottom w:val="none" w:sz="0" w:space="0" w:color="auto"/>
        <w:right w:val="none" w:sz="0" w:space="0" w:color="auto"/>
      </w:divBdr>
    </w:div>
    <w:div w:id="2056732679">
      <w:bodyDiv w:val="1"/>
      <w:marLeft w:val="0"/>
      <w:marRight w:val="0"/>
      <w:marTop w:val="0"/>
      <w:marBottom w:val="0"/>
      <w:divBdr>
        <w:top w:val="none" w:sz="0" w:space="0" w:color="auto"/>
        <w:left w:val="none" w:sz="0" w:space="0" w:color="auto"/>
        <w:bottom w:val="none" w:sz="0" w:space="0" w:color="auto"/>
        <w:right w:val="none" w:sz="0" w:space="0" w:color="auto"/>
      </w:divBdr>
    </w:div>
    <w:div w:id="2064719388">
      <w:bodyDiv w:val="1"/>
      <w:marLeft w:val="0"/>
      <w:marRight w:val="0"/>
      <w:marTop w:val="0"/>
      <w:marBottom w:val="0"/>
      <w:divBdr>
        <w:top w:val="none" w:sz="0" w:space="0" w:color="auto"/>
        <w:left w:val="none" w:sz="0" w:space="0" w:color="auto"/>
        <w:bottom w:val="none" w:sz="0" w:space="0" w:color="auto"/>
        <w:right w:val="none" w:sz="0" w:space="0" w:color="auto"/>
      </w:divBdr>
    </w:div>
    <w:div w:id="2108847289">
      <w:bodyDiv w:val="1"/>
      <w:marLeft w:val="0"/>
      <w:marRight w:val="0"/>
      <w:marTop w:val="0"/>
      <w:marBottom w:val="0"/>
      <w:divBdr>
        <w:top w:val="none" w:sz="0" w:space="0" w:color="auto"/>
        <w:left w:val="none" w:sz="0" w:space="0" w:color="auto"/>
        <w:bottom w:val="none" w:sz="0" w:space="0" w:color="auto"/>
        <w:right w:val="none" w:sz="0" w:space="0" w:color="auto"/>
      </w:divBdr>
    </w:div>
    <w:div w:id="212961787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legalcode" TargetMode="External"/><Relationship Id="rId26" Type="http://schemas.openxmlformats.org/officeDocument/2006/relationships/footer" Target="footer5.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tsanhonour.gov.au" TargetMode="External"/><Relationship Id="rId34" Type="http://schemas.openxmlformats.org/officeDocument/2006/relationships/footer" Target="foot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deed.en" TargetMode="External"/><Relationship Id="rId25" Type="http://schemas.openxmlformats.org/officeDocument/2006/relationships/footer" Target="footer4.xml"/><Relationship Id="rId33" Type="http://schemas.openxmlformats.org/officeDocument/2006/relationships/footer" Target="footer10.xml"/><Relationship Id="rId38" Type="http://schemas.openxmlformats.org/officeDocument/2006/relationships/hyperlink" Target="http://www.bankers.asn.au/ArticleDocuments/10255/ABA%20Draft%20Whistleblower%20Guiding%20Principles%20for%20consultation_FINAL.pdf.asp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creativecommons.org/licenses/by/3.0/au/deed.en" TargetMode="External"/><Relationship Id="rId29" Type="http://schemas.openxmlformats.org/officeDocument/2006/relationships/image" Target="media/image4.tif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oter" Target="footer9.xml"/><Relationship Id="rId37" Type="http://schemas.openxmlformats.org/officeDocument/2006/relationships/hyperlink" Target="http://www.bankers.asn.au/ArticleDocuments/10255/ABA%20Draft%20Whistleblower%20Guiding%20Principles%20for%20consultation_FINAL.pdf.aspx"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image" Target="media/image3.jpeg"/><Relationship Id="rId36" Type="http://schemas.openxmlformats.org/officeDocument/2006/relationships/hyperlink" Target="http://tweb/sites/mg/fsd/c/Corp%20Governance/Whistleblowing/HOCOLEA%2061%20-%20Agenda%20item%204.docx" TargetMode="External"/><Relationship Id="rId10" Type="http://schemas.openxmlformats.org/officeDocument/2006/relationships/settings" Target="settings.xml"/><Relationship Id="rId19" Type="http://schemas.openxmlformats.org/officeDocument/2006/relationships/image" Target="media/image2.wmf"/><Relationship Id="rId31" Type="http://schemas.openxmlformats.org/officeDocument/2006/relationships/footer" Target="footer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hyperlink" Target="mailto:medialiaison@treasury.gov.au" TargetMode="Externa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2016MG-90-16752</_dlc_DocId>
    <_dlc_DocIdUrl xmlns="d4dd4adf-ddb3-46a3-8d7c-fab3fb2a6bc7">
      <Url>http://tweb/sites/mg/fsd/_layouts/15/DocIdRedir.aspx?ID=2016MG-90-16752</Url>
      <Description>2016MG-90-16752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21" ma:contentTypeDescription=" " ma:contentTypeScope="" ma:versionID="32c49da48762d77f7fcb7be8636335b0">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582E-F55C-4B62-8FDD-EBF0B40A2730}">
  <ds:schemaRefs>
    <ds:schemaRef ds:uri="office.server.policy"/>
  </ds:schemaRefs>
</ds:datastoreItem>
</file>

<file path=customXml/itemProps2.xml><?xml version="1.0" encoding="utf-8"?>
<ds:datastoreItem xmlns:ds="http://schemas.openxmlformats.org/officeDocument/2006/customXml" ds:itemID="{F4357C77-8F60-41F6-860D-59B30027D3FA}">
  <ds:schemaRefs>
    <ds:schemaRef ds:uri="http://schemas.microsoft.com/sharepoint/v3/contenttype/forms"/>
  </ds:schemaRefs>
</ds:datastoreItem>
</file>

<file path=customXml/itemProps3.xml><?xml version="1.0" encoding="utf-8"?>
<ds:datastoreItem xmlns:ds="http://schemas.openxmlformats.org/officeDocument/2006/customXml" ds:itemID="{73B75D18-E05A-4267-969E-2B9840821E4F}">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schemas.microsoft.com/sharepoint/v3"/>
    <ds:schemaRef ds:uri="d4dd4adf-ddb3-46a3-8d7c-fab3fb2a6bc7"/>
    <ds:schemaRef ds:uri="http://schemas.microsoft.com/office/infopath/2007/PartnerControls"/>
    <ds:schemaRef ds:uri="http://schemas.microsoft.com/sharepoint/v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AA386F1-1BC8-43E8-8DB9-CC6018E2E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0E7DF9-2054-47FB-8DC1-43F7C4F60EA3}">
  <ds:schemaRefs>
    <ds:schemaRef ds:uri="http://schemas.microsoft.com/sharepoint/events"/>
  </ds:schemaRefs>
</ds:datastoreItem>
</file>

<file path=customXml/itemProps6.xml><?xml version="1.0" encoding="utf-8"?>
<ds:datastoreItem xmlns:ds="http://schemas.openxmlformats.org/officeDocument/2006/customXml" ds:itemID="{6F9ABFE4-5218-487E-99B9-FD9991ED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2</TotalTime>
  <Pages>44</Pages>
  <Words>14277</Words>
  <Characters>83091</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Consultation/Discussion paper</vt:lpstr>
    </vt:vector>
  </TitlesOfParts>
  <Company>The Treasury</Company>
  <LinksUpToDate>false</LinksUpToDate>
  <CharactersWithSpaces>97174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tax and corporate whistleblower protections in Australia</dc:title>
  <dc:subject>[Subject]</dc:subject>
  <dc:creator/>
  <cp:lastModifiedBy>Hansen, Kim</cp:lastModifiedBy>
  <cp:revision>3</cp:revision>
  <cp:lastPrinted>2016-12-13T04:59:00Z</cp:lastPrinted>
  <dcterms:created xsi:type="dcterms:W3CDTF">2016-12-19T01:28:00Z</dcterms:created>
  <dcterms:modified xsi:type="dcterms:W3CDTF">2016-12-19T01:31:00Z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In Confidence</vt:lpwstr>
  </property>
  <property fmtid="{D5CDD505-2E9C-101B-9397-08002B2CF9AE}" pid="3" name="Language">
    <vt:lpwstr>English</vt:lpwstr>
  </property>
  <property fmtid="{D5CDD505-2E9C-101B-9397-08002B2CF9AE}" pid="4" name="ContentTypeId">
    <vt:lpwstr>0x010100E95D40E5DFEA714B90E88DB5CE07A6B500935D0CF8835BE447895972B43AB8EC93</vt:lpwstr>
  </property>
  <property fmtid="{D5CDD505-2E9C-101B-9397-08002B2CF9AE}" pid="5" name="TSYRecordClass">
    <vt:lpwstr>2;#TSY RA-9081 - Retain as national archives|bbf0bcde-1687-4ff2-bc57-f31b5d545d4b</vt:lpwstr>
  </property>
  <property fmtid="{D5CDD505-2E9C-101B-9397-08002B2CF9AE}" pid="6" name="_dlc_DocIdItemGuid">
    <vt:lpwstr>a696e992-6d39-4880-80bf-0eef9bd0cdfe</vt:lpwstr>
  </property>
  <property fmtid="{D5CDD505-2E9C-101B-9397-08002B2CF9AE}" pid="7" name="_AdHocReviewCycleID">
    <vt:i4>570520588</vt:i4>
  </property>
  <property fmtid="{D5CDD505-2E9C-101B-9397-08002B2CF9AE}" pid="8" name="_NewReviewCycle">
    <vt:lpwstr/>
  </property>
  <property fmtid="{D5CDD505-2E9C-101B-9397-08002B2CF9AE}" pid="9" name="_EmailSubject">
    <vt:lpwstr>Consultation &amp; Discussions Papers #S32396 has been logged with the Publishing &amp; Design Team. [SEC=UNCLASSIFIED]</vt:lpwstr>
  </property>
  <property fmtid="{D5CDD505-2E9C-101B-9397-08002B2CF9AE}" pid="10" name="_AuthorEmail">
    <vt:lpwstr>Jodi.Keall@treasury.gov.au</vt:lpwstr>
  </property>
  <property fmtid="{D5CDD505-2E9C-101B-9397-08002B2CF9AE}" pid="11" name="_AuthorEmailDisplayName">
    <vt:lpwstr>Keall, Jodi</vt:lpwstr>
  </property>
  <property fmtid="{D5CDD505-2E9C-101B-9397-08002B2CF9AE}" pid="12" name="RecordPoint_WorkflowType">
    <vt:lpwstr>ActiveSubmitStub</vt:lpwstr>
  </property>
  <property fmtid="{D5CDD505-2E9C-101B-9397-08002B2CF9AE}" pid="13" name="RecordPoint_SubmissionCompleted">
    <vt:lpwstr>2016-12-15T14:03:14.5871861+11:00</vt:lpwstr>
  </property>
  <property fmtid="{D5CDD505-2E9C-101B-9397-08002B2CF9AE}" pid="14" name="RecordPoint_ActiveItemUniqueId">
    <vt:lpwstr>{1032c199-31d7-456e-b252-2aa6c5690368}</vt:lpwstr>
  </property>
  <property fmtid="{D5CDD505-2E9C-101B-9397-08002B2CF9AE}" pid="15" name="RecordPoint_ActiveItemWebId">
    <vt:lpwstr>{d08daa6a-5e5e-49f3-9d0d-66002ab0e83b}</vt:lpwstr>
  </property>
  <property fmtid="{D5CDD505-2E9C-101B-9397-08002B2CF9AE}" pid="16" name="RecordPoint_ActiveItemSiteId">
    <vt:lpwstr>{5b52b9a5-e5b2-4521-8814-a1e24ca2869d}</vt:lpwstr>
  </property>
  <property fmtid="{D5CDD505-2E9C-101B-9397-08002B2CF9AE}" pid="17" name="RecordPoint_ActiveItemListId">
    <vt:lpwstr>{e0c49dc1-47d3-4077-a361-f3624ed7fb76}</vt:lpwstr>
  </property>
  <property fmtid="{D5CDD505-2E9C-101B-9397-08002B2CF9AE}" pid="18" name="_PreviousAdHocReviewCycleID">
    <vt:i4>421068372</vt:i4>
  </property>
  <property fmtid="{D5CDD505-2E9C-101B-9397-08002B2CF9AE}" pid="19" name="RecordPoint_SubmissionDate">
    <vt:lpwstr/>
  </property>
  <property fmtid="{D5CDD505-2E9C-101B-9397-08002B2CF9AE}" pid="20" name="RecordPoint_RecordNumberSubmitted">
    <vt:lpwstr>R0001173654</vt:lpwstr>
  </property>
  <property fmtid="{D5CDD505-2E9C-101B-9397-08002B2CF9AE}" pid="21" name="RecordPoint_ActiveItemMoved">
    <vt:lpwstr/>
  </property>
  <property fmtid="{D5CDD505-2E9C-101B-9397-08002B2CF9AE}" pid="22" name="RecordPoint_RecordFormat">
    <vt:lpwstr/>
  </property>
  <property fmtid="{D5CDD505-2E9C-101B-9397-08002B2CF9AE}" pid="23" name="_ReviewingToolsShownOnce">
    <vt:lpwstr/>
  </property>
</Properties>
</file>