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057A3" w14:textId="77777777" w:rsidR="001E0AFA" w:rsidRDefault="001E0AFA" w:rsidP="00C22990">
      <w:pPr>
        <w:pStyle w:val="Baseparagraphcentred"/>
      </w:pPr>
      <w:bookmarkStart w:id="0" w:name="_GoBack"/>
      <w:bookmarkEnd w:id="0"/>
    </w:p>
    <w:p w14:paraId="1A138195" w14:textId="111E6272" w:rsidR="00645812" w:rsidRDefault="00645812" w:rsidP="00C22990">
      <w:pPr>
        <w:pStyle w:val="Baseparagraphcentred"/>
      </w:pPr>
    </w:p>
    <w:p w14:paraId="22F0F61C" w14:textId="77777777" w:rsidR="00645812" w:rsidRDefault="00645812" w:rsidP="00C22990">
      <w:pPr>
        <w:pStyle w:val="Baseparagraphcentred"/>
      </w:pPr>
    </w:p>
    <w:p w14:paraId="4D0FE83B" w14:textId="77777777" w:rsidR="00645812" w:rsidRDefault="00645812" w:rsidP="00C22990">
      <w:pPr>
        <w:pStyle w:val="Baseparagraphcentred"/>
      </w:pPr>
    </w:p>
    <w:p w14:paraId="4E89EB56" w14:textId="77777777" w:rsidR="00645812" w:rsidRDefault="00645812" w:rsidP="00C22990">
      <w:pPr>
        <w:pStyle w:val="Baseparagraphcentred"/>
      </w:pPr>
    </w:p>
    <w:p w14:paraId="460F09FE" w14:textId="77777777" w:rsidR="001E0AFA" w:rsidRDefault="001E0AFA" w:rsidP="00C22990">
      <w:pPr>
        <w:pStyle w:val="Baseparagraphcentred"/>
      </w:pPr>
    </w:p>
    <w:p w14:paraId="49FF1FD4" w14:textId="77777777" w:rsidR="001E0AFA" w:rsidRDefault="001E0AFA" w:rsidP="00C22990">
      <w:pPr>
        <w:pStyle w:val="Baseparagraphcentred"/>
      </w:pPr>
    </w:p>
    <w:p w14:paraId="5B74D797" w14:textId="3F0AF925" w:rsidR="001E0AFA" w:rsidRDefault="00645812" w:rsidP="00C22990">
      <w:pPr>
        <w:pStyle w:val="BillName"/>
      </w:pPr>
      <w:r>
        <w:t xml:space="preserve">exposure draft explanatory materials – better targeting of the zone tax offset </w:t>
      </w:r>
    </w:p>
    <w:p w14:paraId="2C7F91F3" w14:textId="77777777" w:rsidR="001E0AFA" w:rsidRDefault="001E0AFA" w:rsidP="00C22990">
      <w:pPr>
        <w:pStyle w:val="Baseparagraphcentred"/>
      </w:pPr>
    </w:p>
    <w:p w14:paraId="350EE5CE" w14:textId="77777777" w:rsidR="001E0AFA" w:rsidRDefault="001E0AFA" w:rsidP="00C22990">
      <w:pPr>
        <w:pStyle w:val="Baseparagraphcentred"/>
      </w:pPr>
    </w:p>
    <w:p w14:paraId="1792D11A" w14:textId="77777777" w:rsidR="001E0AFA" w:rsidRDefault="001E0AFA" w:rsidP="00C22990">
      <w:pPr>
        <w:pStyle w:val="Baseparagraphcentred"/>
      </w:pPr>
    </w:p>
    <w:p w14:paraId="766C8DEF" w14:textId="77777777" w:rsidR="001E0AFA" w:rsidRDefault="001E0AFA" w:rsidP="00C22990">
      <w:pPr>
        <w:pStyle w:val="Baseparagraphcentred"/>
      </w:pPr>
    </w:p>
    <w:p w14:paraId="0E6B318D" w14:textId="77777777" w:rsidR="001E0AFA" w:rsidRDefault="001E0AFA" w:rsidP="00C22990">
      <w:pPr>
        <w:pStyle w:val="Baseparagraphcentred"/>
      </w:pPr>
    </w:p>
    <w:p w14:paraId="41589EC7" w14:textId="77777777" w:rsidR="001E0AFA" w:rsidRDefault="001E0AFA" w:rsidP="00C22990">
      <w:pPr>
        <w:pStyle w:val="Baseparagraphcentred"/>
      </w:pPr>
    </w:p>
    <w:p w14:paraId="7FD006BD" w14:textId="77777777" w:rsidR="001E0AFA" w:rsidRDefault="001E0AFA" w:rsidP="00C22990">
      <w:pPr>
        <w:pStyle w:val="Baseparagraphcentred"/>
      </w:pPr>
    </w:p>
    <w:p w14:paraId="6A9F87AE" w14:textId="77777777" w:rsidR="001E0AFA" w:rsidRDefault="001E0AFA" w:rsidP="00C22990">
      <w:pPr>
        <w:pStyle w:val="Baseparagraphcentred"/>
      </w:pPr>
    </w:p>
    <w:p w14:paraId="781E8771" w14:textId="77777777" w:rsidR="001E0AFA" w:rsidRDefault="001E0AFA" w:rsidP="00C22990"/>
    <w:p w14:paraId="463EEA5E" w14:textId="77777777" w:rsidR="001E0AFA" w:rsidRDefault="001E0AFA" w:rsidP="00C22990">
      <w:pPr>
        <w:sectPr w:rsidR="001E0AFA" w:rsidSect="00C22990">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2466" w:right="2098" w:bottom="2466" w:left="2098" w:header="1559" w:footer="1899" w:gutter="0"/>
          <w:cols w:space="708"/>
          <w:titlePg/>
          <w:docGrid w:linePitch="360"/>
        </w:sectPr>
      </w:pPr>
    </w:p>
    <w:p w14:paraId="76B1FCC6" w14:textId="77777777" w:rsidR="001E0AFA" w:rsidRPr="003E0794" w:rsidRDefault="001E0AFA" w:rsidP="00C22990">
      <w:pPr>
        <w:pStyle w:val="TOCHeading"/>
      </w:pPr>
      <w:r w:rsidRPr="003E0794">
        <w:lastRenderedPageBreak/>
        <w:t>Table of contents</w:t>
      </w:r>
    </w:p>
    <w:p w14:paraId="275F5962" w14:textId="77777777" w:rsidR="00C20F91" w:rsidRDefault="001E0AFA">
      <w:pPr>
        <w:pStyle w:val="TOC2"/>
        <w:rPr>
          <w:rFonts w:asciiTheme="minorHAnsi" w:eastAsiaTheme="minorEastAsia" w:hAnsiTheme="minorHAnsi" w:cstheme="minorBidi"/>
          <w:sz w:val="22"/>
          <w:szCs w:val="22"/>
        </w:rPr>
      </w:pPr>
      <w:r>
        <w:rPr>
          <w:noProof w:val="0"/>
        </w:rPr>
        <w:fldChar w:fldCharType="begin"/>
      </w:r>
      <w:r>
        <w:instrText xml:space="preserve"> TOC \t "Chapter Heading,1,Chapter heading subdocument,2" </w:instrText>
      </w:r>
      <w:r>
        <w:rPr>
          <w:noProof w:val="0"/>
        </w:rPr>
        <w:fldChar w:fldCharType="separate"/>
      </w:r>
      <w:r w:rsidR="00C20F91">
        <w:t>Glossary</w:t>
      </w:r>
      <w:r w:rsidR="00C20F91">
        <w:tab/>
      </w:r>
      <w:r w:rsidR="00C20F91">
        <w:fldChar w:fldCharType="begin"/>
      </w:r>
      <w:r w:rsidR="00C20F91">
        <w:instrText xml:space="preserve"> PAGEREF _Toc424136126 \h </w:instrText>
      </w:r>
      <w:r w:rsidR="00C20F91">
        <w:fldChar w:fldCharType="separate"/>
      </w:r>
      <w:r w:rsidR="00C20F91">
        <w:t>1</w:t>
      </w:r>
      <w:r w:rsidR="00C20F91">
        <w:fldChar w:fldCharType="end"/>
      </w:r>
    </w:p>
    <w:p w14:paraId="0FF4D501" w14:textId="77777777" w:rsidR="00C20F91" w:rsidRDefault="00C20F91">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Better targeting of the Zone Tax Offset</w:t>
      </w:r>
      <w:r>
        <w:rPr>
          <w:noProof/>
        </w:rPr>
        <w:tab/>
      </w:r>
      <w:r>
        <w:rPr>
          <w:noProof/>
        </w:rPr>
        <w:fldChar w:fldCharType="begin"/>
      </w:r>
      <w:r>
        <w:rPr>
          <w:noProof/>
        </w:rPr>
        <w:instrText xml:space="preserve"> PAGEREF _Toc424136127 \h </w:instrText>
      </w:r>
      <w:r>
        <w:rPr>
          <w:noProof/>
        </w:rPr>
      </w:r>
      <w:r>
        <w:rPr>
          <w:noProof/>
        </w:rPr>
        <w:fldChar w:fldCharType="separate"/>
      </w:r>
      <w:r>
        <w:rPr>
          <w:noProof/>
        </w:rPr>
        <w:t>3</w:t>
      </w:r>
      <w:r>
        <w:rPr>
          <w:noProof/>
        </w:rPr>
        <w:fldChar w:fldCharType="end"/>
      </w:r>
    </w:p>
    <w:p w14:paraId="67EE5031" w14:textId="77777777" w:rsidR="001E0AFA" w:rsidRDefault="001E0AFA" w:rsidP="00C22990">
      <w:pPr>
        <w:pStyle w:val="base-text-paragraphnonumbers"/>
      </w:pPr>
      <w:r>
        <w:rPr>
          <w:b/>
          <w:bCs/>
          <w:noProof/>
          <w:lang w:val="en-US"/>
        </w:rPr>
        <w:fldChar w:fldCharType="end"/>
      </w:r>
    </w:p>
    <w:p w14:paraId="3C875F16" w14:textId="77777777" w:rsidR="001E0AFA" w:rsidRDefault="001E0AFA" w:rsidP="00C22990">
      <w:pPr>
        <w:pStyle w:val="Hiddentext"/>
      </w:pPr>
      <w:r>
        <w:t>Do not remove section break.</w:t>
      </w:r>
    </w:p>
    <w:p w14:paraId="3057AF6D" w14:textId="77777777" w:rsidR="001E0AFA" w:rsidRDefault="001E0AFA" w:rsidP="00C22990">
      <w:pPr>
        <w:pStyle w:val="base-text-paragraphnonumbers"/>
        <w:sectPr w:rsidR="001E0AFA" w:rsidSect="00C22990">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2466" w:right="2098" w:bottom="2466" w:left="2098" w:header="1559" w:footer="1899" w:gutter="0"/>
          <w:cols w:space="708"/>
          <w:titlePg/>
          <w:docGrid w:linePitch="360"/>
        </w:sectPr>
      </w:pPr>
    </w:p>
    <w:p w14:paraId="2EF1B9AC" w14:textId="77777777" w:rsidR="001E0AFA" w:rsidRPr="00A03E30" w:rsidRDefault="001E0AFA" w:rsidP="00C22990"/>
    <w:p w14:paraId="0A6CC37E" w14:textId="77777777" w:rsidR="001E0AFA" w:rsidRPr="00D67ADC" w:rsidRDefault="001E0AFA" w:rsidP="00C22990">
      <w:pPr>
        <w:pStyle w:val="Chapterheadingsubdocument"/>
      </w:pPr>
      <w:bookmarkStart w:id="1" w:name="_Toc424136126"/>
      <w:r w:rsidRPr="00D67ADC">
        <w:t>Glossary</w:t>
      </w:r>
      <w:bookmarkEnd w:id="1"/>
    </w:p>
    <w:p w14:paraId="0994819B" w14:textId="77777777" w:rsidR="001E0AFA" w:rsidRDefault="001E0AFA" w:rsidP="00C22990">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1E0AFA" w:rsidRPr="00123D96" w14:paraId="5F5AA2A3" w14:textId="77777777" w:rsidTr="00C22990">
        <w:tc>
          <w:tcPr>
            <w:tcW w:w="2721" w:type="dxa"/>
          </w:tcPr>
          <w:p w14:paraId="213CE011" w14:textId="77777777" w:rsidR="001E0AFA" w:rsidRPr="00123D96" w:rsidRDefault="001E0AFA" w:rsidP="00C22990">
            <w:pPr>
              <w:pStyle w:val="tableheaderwithintable"/>
            </w:pPr>
            <w:r w:rsidRPr="00123D96">
              <w:t>Abbreviation</w:t>
            </w:r>
          </w:p>
        </w:tc>
        <w:tc>
          <w:tcPr>
            <w:tcW w:w="3885" w:type="dxa"/>
          </w:tcPr>
          <w:p w14:paraId="376CADF7" w14:textId="77777777" w:rsidR="001E0AFA" w:rsidRPr="00123D96" w:rsidRDefault="001E0AFA" w:rsidP="00C22990">
            <w:pPr>
              <w:pStyle w:val="tableheaderwithintable"/>
            </w:pPr>
            <w:r w:rsidRPr="00123D96">
              <w:t>Definition</w:t>
            </w:r>
          </w:p>
        </w:tc>
      </w:tr>
      <w:tr w:rsidR="009F07BF" w:rsidRPr="002C43E8" w14:paraId="03B26BE2" w14:textId="77777777" w:rsidTr="00C22990">
        <w:tc>
          <w:tcPr>
            <w:tcW w:w="2721" w:type="dxa"/>
          </w:tcPr>
          <w:p w14:paraId="32293D25" w14:textId="0DF92275" w:rsidR="009F07BF" w:rsidRDefault="009F07BF" w:rsidP="00C22990">
            <w:pPr>
              <w:pStyle w:val="Glossarytabletext"/>
              <w:rPr>
                <w:lang w:val="en-US" w:eastAsia="en-US"/>
              </w:rPr>
            </w:pPr>
            <w:r>
              <w:rPr>
                <w:lang w:val="en-US" w:eastAsia="en-US"/>
              </w:rPr>
              <w:t>DICTO</w:t>
            </w:r>
          </w:p>
        </w:tc>
        <w:tc>
          <w:tcPr>
            <w:tcW w:w="3885" w:type="dxa"/>
          </w:tcPr>
          <w:p w14:paraId="731B91B9" w14:textId="29AB935C" w:rsidR="009F07BF" w:rsidRDefault="009F07BF" w:rsidP="00C22990">
            <w:pPr>
              <w:pStyle w:val="Glossarytabletext"/>
              <w:rPr>
                <w:lang w:val="en-US" w:eastAsia="en-US"/>
              </w:rPr>
            </w:pPr>
            <w:proofErr w:type="spellStart"/>
            <w:r>
              <w:rPr>
                <w:lang w:val="en-US" w:eastAsia="en-US"/>
              </w:rPr>
              <w:t>Dependant</w:t>
            </w:r>
            <w:proofErr w:type="spellEnd"/>
            <w:r>
              <w:rPr>
                <w:lang w:val="en-US" w:eastAsia="en-US"/>
              </w:rPr>
              <w:t xml:space="preserve"> (Invalid and </w:t>
            </w:r>
            <w:proofErr w:type="spellStart"/>
            <w:r>
              <w:rPr>
                <w:lang w:val="en-US" w:eastAsia="en-US"/>
              </w:rPr>
              <w:t>Carer</w:t>
            </w:r>
            <w:proofErr w:type="spellEnd"/>
            <w:r>
              <w:rPr>
                <w:lang w:val="en-US" w:eastAsia="en-US"/>
              </w:rPr>
              <w:t>) Tax Offset</w:t>
            </w:r>
          </w:p>
        </w:tc>
      </w:tr>
      <w:tr w:rsidR="001E0AFA" w:rsidRPr="002C43E8" w14:paraId="769F8683" w14:textId="77777777" w:rsidTr="00C22990">
        <w:tc>
          <w:tcPr>
            <w:tcW w:w="2721" w:type="dxa"/>
          </w:tcPr>
          <w:p w14:paraId="331E331D" w14:textId="77777777" w:rsidR="001E0AFA" w:rsidRPr="002C43E8" w:rsidRDefault="001E0AFA" w:rsidP="00C22990">
            <w:pPr>
              <w:pStyle w:val="Glossarytabletext"/>
              <w:rPr>
                <w:lang w:val="en-US" w:eastAsia="en-US"/>
              </w:rPr>
            </w:pPr>
            <w:r>
              <w:rPr>
                <w:lang w:val="en-US" w:eastAsia="en-US"/>
              </w:rPr>
              <w:t>FIFO</w:t>
            </w:r>
          </w:p>
        </w:tc>
        <w:tc>
          <w:tcPr>
            <w:tcW w:w="3885" w:type="dxa"/>
          </w:tcPr>
          <w:p w14:paraId="289BA898" w14:textId="77777777" w:rsidR="001E0AFA" w:rsidRPr="002C43E8" w:rsidRDefault="001E0AFA" w:rsidP="00C22990">
            <w:pPr>
              <w:pStyle w:val="Glossarytabletext"/>
              <w:rPr>
                <w:lang w:val="en-US" w:eastAsia="en-US"/>
              </w:rPr>
            </w:pPr>
            <w:r>
              <w:rPr>
                <w:lang w:val="en-US" w:eastAsia="en-US"/>
              </w:rPr>
              <w:t>Fly-in fly-out or drive-in drive out employees</w:t>
            </w:r>
          </w:p>
        </w:tc>
      </w:tr>
      <w:tr w:rsidR="001E0AFA" w:rsidRPr="002C43E8" w14:paraId="7E52B349" w14:textId="77777777" w:rsidTr="00C22990">
        <w:tc>
          <w:tcPr>
            <w:tcW w:w="2721" w:type="dxa"/>
          </w:tcPr>
          <w:p w14:paraId="60F851BD" w14:textId="77777777" w:rsidR="001E0AFA" w:rsidRPr="002C43E8" w:rsidRDefault="001E0AFA" w:rsidP="00C22990">
            <w:pPr>
              <w:pStyle w:val="Glossarytabletext"/>
              <w:rPr>
                <w:lang w:val="en-US" w:eastAsia="en-US"/>
              </w:rPr>
            </w:pPr>
            <w:r>
              <w:rPr>
                <w:lang w:val="en-US" w:eastAsia="en-US"/>
              </w:rPr>
              <w:t>FBTAA 1986</w:t>
            </w:r>
          </w:p>
        </w:tc>
        <w:tc>
          <w:tcPr>
            <w:tcW w:w="3885" w:type="dxa"/>
          </w:tcPr>
          <w:p w14:paraId="3164AD22" w14:textId="77777777" w:rsidR="001E0AFA" w:rsidRPr="00645812" w:rsidRDefault="001E0AFA" w:rsidP="00C22990">
            <w:pPr>
              <w:pStyle w:val="Glossarytabletext"/>
              <w:rPr>
                <w:i/>
                <w:lang w:val="en-US" w:eastAsia="en-US"/>
              </w:rPr>
            </w:pPr>
            <w:r w:rsidRPr="00645812">
              <w:rPr>
                <w:i/>
                <w:lang w:val="en-US" w:eastAsia="en-US"/>
              </w:rPr>
              <w:t>Fringe Benefits Tax Assessment Act 1986</w:t>
            </w:r>
          </w:p>
        </w:tc>
      </w:tr>
      <w:tr w:rsidR="001E0AFA" w:rsidRPr="002C43E8" w14:paraId="25D76ABF" w14:textId="77777777" w:rsidTr="00C22990">
        <w:tc>
          <w:tcPr>
            <w:tcW w:w="2721" w:type="dxa"/>
          </w:tcPr>
          <w:p w14:paraId="45B4F1BA" w14:textId="77777777" w:rsidR="001E0AFA" w:rsidRPr="002C43E8" w:rsidRDefault="001E0AFA" w:rsidP="00C22990">
            <w:pPr>
              <w:pStyle w:val="Glossarytabletext"/>
              <w:rPr>
                <w:lang w:val="en-US" w:eastAsia="en-US"/>
              </w:rPr>
            </w:pPr>
            <w:r>
              <w:rPr>
                <w:lang w:val="en-US" w:eastAsia="en-US"/>
              </w:rPr>
              <w:t>ITAA 1936</w:t>
            </w:r>
          </w:p>
        </w:tc>
        <w:tc>
          <w:tcPr>
            <w:tcW w:w="3885" w:type="dxa"/>
          </w:tcPr>
          <w:p w14:paraId="49AA504D" w14:textId="77777777" w:rsidR="001E0AFA" w:rsidRPr="00645812" w:rsidRDefault="001E0AFA" w:rsidP="00C22990">
            <w:pPr>
              <w:pStyle w:val="Glossarytabletext"/>
              <w:rPr>
                <w:i/>
                <w:lang w:val="en-US" w:eastAsia="en-US"/>
              </w:rPr>
            </w:pPr>
            <w:r w:rsidRPr="00645812">
              <w:rPr>
                <w:i/>
                <w:lang w:val="en-US" w:eastAsia="en-US"/>
              </w:rPr>
              <w:t>Income Tax Assessment Act 1936</w:t>
            </w:r>
          </w:p>
        </w:tc>
      </w:tr>
      <w:tr w:rsidR="001E0AFA" w:rsidRPr="002C43E8" w14:paraId="0B3B1622" w14:textId="77777777" w:rsidTr="00C22990">
        <w:tc>
          <w:tcPr>
            <w:tcW w:w="2721" w:type="dxa"/>
          </w:tcPr>
          <w:p w14:paraId="5426F3E2" w14:textId="77777777" w:rsidR="001E0AFA" w:rsidRPr="002C43E8" w:rsidRDefault="001E0AFA" w:rsidP="00C22990">
            <w:pPr>
              <w:pStyle w:val="Glossarytabletext"/>
              <w:rPr>
                <w:lang w:val="en-US" w:eastAsia="en-US"/>
              </w:rPr>
            </w:pPr>
            <w:r>
              <w:rPr>
                <w:lang w:val="en-US" w:eastAsia="en-US"/>
              </w:rPr>
              <w:t>ITAA 1997</w:t>
            </w:r>
          </w:p>
        </w:tc>
        <w:tc>
          <w:tcPr>
            <w:tcW w:w="3885" w:type="dxa"/>
          </w:tcPr>
          <w:p w14:paraId="7566FE6A" w14:textId="77777777" w:rsidR="001E0AFA" w:rsidRPr="00645812" w:rsidRDefault="001E0AFA" w:rsidP="00C22990">
            <w:pPr>
              <w:pStyle w:val="Glossarytabletext"/>
              <w:rPr>
                <w:i/>
                <w:lang w:val="en-US" w:eastAsia="en-US"/>
              </w:rPr>
            </w:pPr>
            <w:r w:rsidRPr="00645812">
              <w:rPr>
                <w:i/>
                <w:lang w:val="en-US" w:eastAsia="en-US"/>
              </w:rPr>
              <w:t>Income Tax Assessment Act 1997</w:t>
            </w:r>
          </w:p>
        </w:tc>
      </w:tr>
      <w:tr w:rsidR="001E0AFA" w:rsidRPr="002C43E8" w14:paraId="187DEEC3" w14:textId="77777777" w:rsidTr="00C22990">
        <w:tc>
          <w:tcPr>
            <w:tcW w:w="2721" w:type="dxa"/>
          </w:tcPr>
          <w:p w14:paraId="74CCBFEF" w14:textId="77777777" w:rsidR="001E0AFA" w:rsidRPr="002C43E8" w:rsidRDefault="001E0AFA" w:rsidP="00C22990">
            <w:pPr>
              <w:pStyle w:val="Glossarytabletext"/>
              <w:rPr>
                <w:lang w:val="en-US" w:eastAsia="en-US"/>
              </w:rPr>
            </w:pPr>
            <w:r>
              <w:rPr>
                <w:lang w:val="en-US" w:eastAsia="en-US"/>
              </w:rPr>
              <w:t>ZTO</w:t>
            </w:r>
          </w:p>
        </w:tc>
        <w:tc>
          <w:tcPr>
            <w:tcW w:w="3885" w:type="dxa"/>
          </w:tcPr>
          <w:p w14:paraId="6DEC2CC2" w14:textId="77777777" w:rsidR="001E0AFA" w:rsidRPr="00645812" w:rsidRDefault="001E0AFA" w:rsidP="00C22990">
            <w:pPr>
              <w:pStyle w:val="Glossarytabletext"/>
              <w:rPr>
                <w:lang w:val="en-US" w:eastAsia="en-US"/>
              </w:rPr>
            </w:pPr>
            <w:r w:rsidRPr="00645812">
              <w:rPr>
                <w:lang w:val="en-US" w:eastAsia="en-US"/>
              </w:rPr>
              <w:t>Zone Tax Offset</w:t>
            </w:r>
          </w:p>
        </w:tc>
      </w:tr>
    </w:tbl>
    <w:p w14:paraId="4F8C39D6" w14:textId="77777777" w:rsidR="001E0AFA" w:rsidRDefault="001E0AFA" w:rsidP="00C22990">
      <w:pPr>
        <w:sectPr w:rsidR="001E0AFA" w:rsidSect="00C22990">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2466" w:right="2098" w:bottom="2466" w:left="2098" w:header="1559" w:footer="1899" w:gutter="0"/>
          <w:pgNumType w:start="1"/>
          <w:cols w:space="708"/>
          <w:titlePg/>
          <w:docGrid w:linePitch="360"/>
        </w:sectPr>
      </w:pPr>
    </w:p>
    <w:p w14:paraId="682F420F" w14:textId="5F92CD86" w:rsidR="001E0AFA" w:rsidRPr="00F51A71" w:rsidRDefault="001E0AFA" w:rsidP="00C22990">
      <w:pPr>
        <w:pStyle w:val="ChapterHeading"/>
        <w:tabs>
          <w:tab w:val="clear" w:pos="1134"/>
          <w:tab w:val="num" w:pos="360"/>
        </w:tabs>
      </w:pPr>
      <w:r w:rsidRPr="00F51A71">
        <w:lastRenderedPageBreak/>
        <w:br/>
      </w:r>
      <w:bookmarkStart w:id="2" w:name="_Toc424136127"/>
      <w:r w:rsidR="00C20F91">
        <w:t>Better targeting of the Z</w:t>
      </w:r>
      <w:r w:rsidR="00C22990">
        <w:t xml:space="preserve">one </w:t>
      </w:r>
      <w:r w:rsidR="00C20F91">
        <w:t>T</w:t>
      </w:r>
      <w:r w:rsidR="00C22990">
        <w:t xml:space="preserve">ax </w:t>
      </w:r>
      <w:r w:rsidR="00C20F91">
        <w:t>O</w:t>
      </w:r>
      <w:r w:rsidR="00C22990">
        <w:t>ffset</w:t>
      </w:r>
      <w:bookmarkEnd w:id="2"/>
    </w:p>
    <w:p w14:paraId="78061F93" w14:textId="77777777" w:rsidR="001E0AFA" w:rsidRDefault="001E0AFA" w:rsidP="00C22990">
      <w:pPr>
        <w:pStyle w:val="Heading2"/>
      </w:pPr>
      <w:r>
        <w:t>Outline of chapter</w:t>
      </w:r>
    </w:p>
    <w:p w14:paraId="033DB3F5" w14:textId="70CDB755" w:rsidR="00D944AC" w:rsidRDefault="00C14529" w:rsidP="00C22990">
      <w:pPr>
        <w:pStyle w:val="base-text-paragraph"/>
        <w:tabs>
          <w:tab w:val="clear" w:pos="360"/>
          <w:tab w:val="num" w:pos="1985"/>
        </w:tabs>
        <w:ind w:left="1134"/>
      </w:pPr>
      <w:r>
        <w:t xml:space="preserve">Schedule # to this Bill amends the </w:t>
      </w:r>
      <w:r w:rsidRPr="00643708">
        <w:rPr>
          <w:i/>
        </w:rPr>
        <w:t>Income Tax Assessment Act</w:t>
      </w:r>
      <w:r w:rsidR="00C20F91">
        <w:rPr>
          <w:i/>
        </w:rPr>
        <w:t> </w:t>
      </w:r>
      <w:r w:rsidRPr="00643708">
        <w:rPr>
          <w:i/>
        </w:rPr>
        <w:t>1936</w:t>
      </w:r>
      <w:r>
        <w:t xml:space="preserve"> to ensure that the </w:t>
      </w:r>
      <w:r w:rsidR="00703E62">
        <w:t>Z</w:t>
      </w:r>
      <w:r>
        <w:t xml:space="preserve">one </w:t>
      </w:r>
      <w:r w:rsidR="00703E62">
        <w:t>T</w:t>
      </w:r>
      <w:r>
        <w:t xml:space="preserve">ax </w:t>
      </w:r>
      <w:r w:rsidR="00703E62">
        <w:t>O</w:t>
      </w:r>
      <w:r>
        <w:t>ffset</w:t>
      </w:r>
      <w:r w:rsidR="00703E62">
        <w:t xml:space="preserve"> (ZTO)</w:t>
      </w:r>
      <w:r>
        <w:t xml:space="preserve"> is appropriately targeted to people genuinely living in the designated</w:t>
      </w:r>
      <w:r w:rsidR="0000314A">
        <w:t xml:space="preserve"> geographical</w:t>
      </w:r>
      <w:r>
        <w:t xml:space="preserve"> zones</w:t>
      </w:r>
      <w:r w:rsidR="00CE2E6F">
        <w:t>,</w:t>
      </w:r>
      <w:r>
        <w:t xml:space="preserve"> by limiting access to the offset to those people whose normal place of residence is within a zone and by removing access to those people whose workplace is located within a zone</w:t>
      </w:r>
      <w:r w:rsidR="00D944AC">
        <w:t>.</w:t>
      </w:r>
      <w:r w:rsidR="00392BFB">
        <w:t xml:space="preserve"> </w:t>
      </w:r>
    </w:p>
    <w:p w14:paraId="1DF63A59" w14:textId="57DB6270" w:rsidR="001E0AFA" w:rsidRDefault="00D944AC" w:rsidP="00C22990">
      <w:pPr>
        <w:pStyle w:val="base-text-paragraph"/>
        <w:tabs>
          <w:tab w:val="clear" w:pos="360"/>
          <w:tab w:val="num" w:pos="1985"/>
        </w:tabs>
        <w:ind w:left="1134"/>
      </w:pPr>
      <w:r>
        <w:t>This</w:t>
      </w:r>
      <w:r w:rsidR="00C22990">
        <w:t xml:space="preserve"> </w:t>
      </w:r>
      <w:r w:rsidR="001E0AFA">
        <w:t>ensure</w:t>
      </w:r>
      <w:r>
        <w:t>s</w:t>
      </w:r>
      <w:r w:rsidR="001E0AFA">
        <w:t xml:space="preserve"> that the ZTO is appropriately targeted to </w:t>
      </w:r>
      <w:r w:rsidR="00C22990">
        <w:t xml:space="preserve">those </w:t>
      </w:r>
      <w:r w:rsidR="001E0AFA">
        <w:t>people genuinely living in the design</w:t>
      </w:r>
      <w:r>
        <w:t>ated zones. It excludes</w:t>
      </w:r>
      <w:r w:rsidR="00C22990">
        <w:t xml:space="preserve"> those</w:t>
      </w:r>
      <w:r w:rsidR="001E0AFA">
        <w:t xml:space="preserve"> people who work in the zones but fly or drive into those zones from </w:t>
      </w:r>
      <w:r w:rsidR="00C83993">
        <w:t>their normal residence</w:t>
      </w:r>
      <w:r w:rsidR="001E0AFA">
        <w:t xml:space="preserve"> (located outside of the zones)</w:t>
      </w:r>
      <w:r w:rsidR="00CA6398">
        <w:t>. Those people</w:t>
      </w:r>
      <w:r w:rsidR="00C22990">
        <w:t xml:space="preserve"> are assessed as residing at their normal residence and not their residence while working</w:t>
      </w:r>
      <w:r w:rsidR="001E0AFA">
        <w:t>.</w:t>
      </w:r>
    </w:p>
    <w:p w14:paraId="0A292A0C" w14:textId="77777777" w:rsidR="001E0AFA" w:rsidRDefault="001E0AFA" w:rsidP="00C22990">
      <w:pPr>
        <w:pStyle w:val="Heading2"/>
      </w:pPr>
      <w:r>
        <w:t>Context of amendments</w:t>
      </w:r>
    </w:p>
    <w:p w14:paraId="683ECD4C" w14:textId="300D51B6" w:rsidR="001E0AFA" w:rsidRDefault="0046472A" w:rsidP="001E0AFA">
      <w:pPr>
        <w:pStyle w:val="base-text-paragraph"/>
        <w:tabs>
          <w:tab w:val="clear" w:pos="360"/>
          <w:tab w:val="num" w:pos="1985"/>
        </w:tabs>
        <w:ind w:left="1134"/>
      </w:pPr>
      <w:r>
        <w:t xml:space="preserve">The ZTO is a non-refundable tax offset available to taxpayers who reside in specified remote areas. The ZTO, when introduced in 1945, was intended to compensate recipients for the disadvantages of living in remote areas including </w:t>
      </w:r>
      <w:r w:rsidR="00E91AD2">
        <w:t>distance</w:t>
      </w:r>
      <w:r w:rsidR="00127FDC">
        <w:t>, uncongenial climate</w:t>
      </w:r>
      <w:r>
        <w:t xml:space="preserve"> and the higher cost of living.</w:t>
      </w:r>
    </w:p>
    <w:p w14:paraId="546884E8" w14:textId="7382D29B" w:rsidR="0046472A" w:rsidRDefault="0046472A" w:rsidP="001E0AFA">
      <w:pPr>
        <w:pStyle w:val="base-text-paragraph"/>
        <w:tabs>
          <w:tab w:val="clear" w:pos="360"/>
          <w:tab w:val="num" w:pos="1985"/>
        </w:tabs>
        <w:ind w:left="1134"/>
      </w:pPr>
      <w:r>
        <w:t>There are two designated zones for claiming the ZTO, Zone A and Zone B, as well as “special areas” (representing particularly isolated areas) within these zones. Claimants of the ZTO are entitled to a base amount per year of $338 in Zone A, $57 in Zone B, $1,173 in in the special areas, as well as a 20 per cent</w:t>
      </w:r>
      <w:r w:rsidR="0047586F">
        <w:t xml:space="preserve"> loading</w:t>
      </w:r>
      <w:r>
        <w:t xml:space="preserve"> (for Zone B) or 50 per cent</w:t>
      </w:r>
      <w:r w:rsidR="0047586F">
        <w:t xml:space="preserve"> loading</w:t>
      </w:r>
      <w:r>
        <w:t xml:space="preserve"> (for Zone A and special areas)</w:t>
      </w:r>
      <w:r w:rsidR="00127FDC">
        <w:t>.</w:t>
      </w:r>
      <w:r>
        <w:t xml:space="preserve"> </w:t>
      </w:r>
      <w:r w:rsidR="00127FDC">
        <w:t>L</w:t>
      </w:r>
      <w:r>
        <w:t xml:space="preserve">oading </w:t>
      </w:r>
      <w:r w:rsidR="00127FDC">
        <w:t xml:space="preserve">is </w:t>
      </w:r>
      <w:r>
        <w:t>based on relevant dependency offsets if they are eligible.</w:t>
      </w:r>
    </w:p>
    <w:p w14:paraId="082A8E02" w14:textId="3A2C916D" w:rsidR="005C7A56" w:rsidRDefault="005C7A56" w:rsidP="001E0AFA">
      <w:pPr>
        <w:pStyle w:val="base-text-paragraph"/>
        <w:tabs>
          <w:tab w:val="clear" w:pos="360"/>
          <w:tab w:val="num" w:pos="1985"/>
        </w:tabs>
        <w:ind w:left="1134"/>
      </w:pPr>
      <w:r>
        <w:t xml:space="preserve">Section 79A of the </w:t>
      </w:r>
      <w:r>
        <w:rPr>
          <w:i/>
        </w:rPr>
        <w:t>Income Tax Assessment Act 1936</w:t>
      </w:r>
      <w:r>
        <w:t xml:space="preserve"> (ITAA 1936) provides that to be eligible for the ZTO, a taxpayer must reside or work in a specified remote area for more than 183 days in an income year.</w:t>
      </w:r>
    </w:p>
    <w:p w14:paraId="3E00A7A7" w14:textId="5D3324E6" w:rsidR="005C7A56" w:rsidRDefault="00387552" w:rsidP="001E0AFA">
      <w:pPr>
        <w:pStyle w:val="base-text-paragraph"/>
        <w:tabs>
          <w:tab w:val="clear" w:pos="360"/>
          <w:tab w:val="num" w:pos="1985"/>
        </w:tabs>
        <w:ind w:left="1134"/>
      </w:pPr>
      <w:r>
        <w:t>The residency test does not require a ZTO recipient to spend 183</w:t>
      </w:r>
      <w:r w:rsidR="00DB7479">
        <w:t> </w:t>
      </w:r>
      <w:r>
        <w:t xml:space="preserve">days continuously in the relevant zone. As a result, </w:t>
      </w:r>
      <w:r w:rsidR="00E87A6B">
        <w:t xml:space="preserve">the current law allows </w:t>
      </w:r>
      <w:r>
        <w:t xml:space="preserve">fly-in fly-out or drive-in drive out (FIFO) workers </w:t>
      </w:r>
      <w:r w:rsidR="00E87A6B">
        <w:t>to</w:t>
      </w:r>
      <w:r>
        <w:t xml:space="preserve"> claim the </w:t>
      </w:r>
      <w:r>
        <w:lastRenderedPageBreak/>
        <w:t>offset if they spend more than a total of 183 days in the zone for the year. This is the case even when their normal residential address is not located within a zone.</w:t>
      </w:r>
    </w:p>
    <w:p w14:paraId="73E9EFB8" w14:textId="40B0B3E4" w:rsidR="00387552" w:rsidRDefault="00387552" w:rsidP="001E0AFA">
      <w:pPr>
        <w:pStyle w:val="base-text-paragraph"/>
        <w:tabs>
          <w:tab w:val="clear" w:pos="360"/>
          <w:tab w:val="num" w:pos="1985"/>
        </w:tabs>
        <w:ind w:left="1134"/>
      </w:pPr>
      <w:r>
        <w:t xml:space="preserve">This is inconsistent with the intention of the ZTO which </w:t>
      </w:r>
      <w:r w:rsidR="00E87A6B">
        <w:t>is designed to compensate for the difficulties</w:t>
      </w:r>
      <w:r w:rsidR="00826DEA">
        <w:t xml:space="preserve"> associated with</w:t>
      </w:r>
      <w:r w:rsidR="00E87A6B">
        <w:t xml:space="preserve"> living in a remote area. When enacted, the ZTO could</w:t>
      </w:r>
      <w:r>
        <w:t xml:space="preserve"> not anticipate that people living in capital cities, flying into and out of the relevant zones for their employment, </w:t>
      </w:r>
      <w:r w:rsidR="00E87A6B">
        <w:t>would have an entitlement to claim.</w:t>
      </w:r>
      <w:r w:rsidR="00836421">
        <w:t xml:space="preserve"> Further, many FIFO employees are compensated by their employer for their out of pocket expenses and other adversities associated with their workplace being located in a remote area. Providing additional monetary compensation in these circumstances is not an appropriate use of the ZTO.</w:t>
      </w:r>
    </w:p>
    <w:p w14:paraId="6D161B36" w14:textId="77777777" w:rsidR="00B91095" w:rsidRDefault="00CF6F6C" w:rsidP="001E0AFA">
      <w:pPr>
        <w:pStyle w:val="base-text-paragraph"/>
        <w:tabs>
          <w:tab w:val="clear" w:pos="360"/>
          <w:tab w:val="num" w:pos="1985"/>
        </w:tabs>
        <w:ind w:left="1134"/>
      </w:pPr>
      <w:r>
        <w:t xml:space="preserve">Recent changes to offsets have made the Dependant (Invalid and Carer) Tax Offset </w:t>
      </w:r>
      <w:r w:rsidR="00B91095">
        <w:t xml:space="preserve">(DICTO) </w:t>
      </w:r>
      <w:r>
        <w:t>part of the ZTO</w:t>
      </w:r>
      <w:r w:rsidR="00B91095">
        <w:t xml:space="preserve"> if they meet the eligibility requirements for accessing the DICTO</w:t>
      </w:r>
      <w:r>
        <w:t xml:space="preserve">. </w:t>
      </w:r>
    </w:p>
    <w:p w14:paraId="2340598C" w14:textId="6E5C6B18" w:rsidR="00B91095" w:rsidRPr="000777BC" w:rsidRDefault="00B91095" w:rsidP="00DB7479">
      <w:pPr>
        <w:pStyle w:val="ExampleHeading"/>
      </w:pPr>
    </w:p>
    <w:p w14:paraId="0D13D6AB" w14:textId="2AFDC4E1" w:rsidR="00CF6F6C" w:rsidRPr="000777BC" w:rsidRDefault="00B91095" w:rsidP="00B91095">
      <w:pPr>
        <w:pStyle w:val="base-text-paragraph"/>
        <w:numPr>
          <w:ilvl w:val="0"/>
          <w:numId w:val="0"/>
        </w:numPr>
        <w:ind w:left="1134"/>
        <w:rPr>
          <w:sz w:val="20"/>
        </w:rPr>
      </w:pPr>
      <w:r w:rsidRPr="000777BC">
        <w:rPr>
          <w:sz w:val="20"/>
        </w:rPr>
        <w:t>Taxpayers who have a spouse who is genuinely unable to work due to invalidity or carer obligations are eligible for</w:t>
      </w:r>
      <w:r w:rsidR="0047586F">
        <w:rPr>
          <w:sz w:val="20"/>
        </w:rPr>
        <w:t xml:space="preserve"> the</w:t>
      </w:r>
      <w:r w:rsidRPr="000777BC">
        <w:rPr>
          <w:sz w:val="20"/>
        </w:rPr>
        <w:t xml:space="preserve"> DICTO. Affected taxpayers are able to access an additional 20 or 50 per cent of the DICTO entitlement</w:t>
      </w:r>
      <w:r w:rsidR="000777BC" w:rsidRPr="000777BC">
        <w:rPr>
          <w:sz w:val="20"/>
        </w:rPr>
        <w:t xml:space="preserve"> as a component of their ZTO. For example, Matt and Leila live in Darwin in Zone A. Matt travels to Kununurra (Zone A special area) for work on a FIFO basis and Leila stays at home where she cares for Matt’s disabled father in their residence.</w:t>
      </w:r>
    </w:p>
    <w:p w14:paraId="7CF62B52" w14:textId="1458CB75" w:rsidR="000777BC" w:rsidRPr="000777BC" w:rsidRDefault="000777BC" w:rsidP="00B91095">
      <w:pPr>
        <w:pStyle w:val="base-text-paragraph"/>
        <w:numPr>
          <w:ilvl w:val="0"/>
          <w:numId w:val="0"/>
        </w:numPr>
        <w:ind w:left="1134"/>
        <w:rPr>
          <w:sz w:val="20"/>
        </w:rPr>
      </w:pPr>
      <w:r w:rsidRPr="000777BC">
        <w:rPr>
          <w:sz w:val="20"/>
        </w:rPr>
        <w:t>Matt is able to claim the ZTO for Zone A, but not for the Zone A special area where he works. Matt is also able to claim the DICTO as Leila is unable to work due to her carer responsibilities caring for Matt’s father.</w:t>
      </w:r>
    </w:p>
    <w:p w14:paraId="4C56CCA0" w14:textId="77777777" w:rsidR="001E0AFA" w:rsidRDefault="001E0AFA" w:rsidP="00C22990">
      <w:pPr>
        <w:pStyle w:val="Heading2"/>
      </w:pPr>
      <w:r>
        <w:t>Summary of new law</w:t>
      </w:r>
    </w:p>
    <w:p w14:paraId="38F5052B" w14:textId="51771C0C" w:rsidR="001E0AFA" w:rsidRDefault="00E87A6B" w:rsidP="001E0AFA">
      <w:pPr>
        <w:pStyle w:val="base-text-paragraph"/>
        <w:tabs>
          <w:tab w:val="clear" w:pos="360"/>
          <w:tab w:val="num" w:pos="1985"/>
        </w:tabs>
        <w:ind w:left="1134"/>
      </w:pPr>
      <w:r>
        <w:t xml:space="preserve">Under the new law, FIFO employees (within the meaning of section 31E of the </w:t>
      </w:r>
      <w:r>
        <w:rPr>
          <w:i/>
        </w:rPr>
        <w:t xml:space="preserve">Fringe Benefits Tax Assessment Act 1986 </w:t>
      </w:r>
      <w:r>
        <w:t>(FBTAA 1986)</w:t>
      </w:r>
      <w:r w:rsidR="00C22990">
        <w:t>)</w:t>
      </w:r>
      <w:r>
        <w:t xml:space="preserve"> will be taken to be a resident of </w:t>
      </w:r>
      <w:r w:rsidR="00C22990">
        <w:t>the area incorporating their</w:t>
      </w:r>
      <w:r>
        <w:t xml:space="preserve"> normal residence (within the meaning of that section) </w:t>
      </w:r>
      <w:r w:rsidR="00826DEA">
        <w:t>rather than being considered</w:t>
      </w:r>
      <w:r>
        <w:t xml:space="preserve"> </w:t>
      </w:r>
      <w:r w:rsidR="00836421">
        <w:t xml:space="preserve">a resident </w:t>
      </w:r>
      <w:r w:rsidR="00826DEA">
        <w:t>of the area incorporating their</w:t>
      </w:r>
      <w:r w:rsidR="00C22990">
        <w:t xml:space="preserve"> </w:t>
      </w:r>
      <w:r w:rsidR="00836421">
        <w:t>place</w:t>
      </w:r>
      <w:r w:rsidR="00826DEA">
        <w:t xml:space="preserve"> of employment should that area be located within a Zone or a special area of a Zone</w:t>
      </w:r>
      <w:r>
        <w:t>.</w:t>
      </w:r>
      <w:r w:rsidR="00C3364B">
        <w:t xml:space="preserve">  </w:t>
      </w:r>
    </w:p>
    <w:p w14:paraId="1F99E3EA" w14:textId="46A5DFFC" w:rsidR="00E87A6B" w:rsidRPr="008F726E" w:rsidRDefault="00E87A6B" w:rsidP="001E0AFA">
      <w:pPr>
        <w:pStyle w:val="base-text-paragraph"/>
        <w:tabs>
          <w:tab w:val="clear" w:pos="360"/>
          <w:tab w:val="num" w:pos="1985"/>
        </w:tabs>
        <w:ind w:left="1134"/>
      </w:pPr>
      <w:r>
        <w:t>However, where a FIFO employee travels from a zone to a workplace outside of the zone, these employees will retain their entitlement to ZTO provided that they meet the other eligibility requirements of the ZTO including living in a zone for a total of 183 days.</w:t>
      </w:r>
    </w:p>
    <w:p w14:paraId="2AD423CE" w14:textId="77777777" w:rsidR="001E0AFA" w:rsidRDefault="001E0AFA" w:rsidP="00C22990">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1E0AFA" w:rsidRPr="004666B8" w14:paraId="2306ADC7" w14:textId="77777777" w:rsidTr="00C22990">
        <w:tc>
          <w:tcPr>
            <w:tcW w:w="3275" w:type="dxa"/>
          </w:tcPr>
          <w:p w14:paraId="276E5FDE" w14:textId="77777777" w:rsidR="001E0AFA" w:rsidRPr="004666B8" w:rsidRDefault="001E0AFA" w:rsidP="00C22990">
            <w:pPr>
              <w:pStyle w:val="tableheaderwithintable"/>
              <w:rPr>
                <w:lang w:val="en-US" w:eastAsia="en-US"/>
              </w:rPr>
            </w:pPr>
            <w:r w:rsidRPr="004666B8">
              <w:rPr>
                <w:lang w:val="en-US" w:eastAsia="en-US"/>
              </w:rPr>
              <w:t>New law</w:t>
            </w:r>
          </w:p>
        </w:tc>
        <w:tc>
          <w:tcPr>
            <w:tcW w:w="3276" w:type="dxa"/>
          </w:tcPr>
          <w:p w14:paraId="50608CCE" w14:textId="77777777" w:rsidR="001E0AFA" w:rsidRPr="004666B8" w:rsidRDefault="001E0AFA" w:rsidP="00C22990">
            <w:pPr>
              <w:pStyle w:val="tableheaderwithintable"/>
              <w:rPr>
                <w:lang w:val="en-US" w:eastAsia="en-US"/>
              </w:rPr>
            </w:pPr>
            <w:r w:rsidRPr="004666B8">
              <w:rPr>
                <w:lang w:val="en-US" w:eastAsia="en-US"/>
              </w:rPr>
              <w:t>Current law</w:t>
            </w:r>
          </w:p>
        </w:tc>
      </w:tr>
      <w:tr w:rsidR="001E0AFA" w:rsidRPr="004666B8" w14:paraId="20E93EE8" w14:textId="77777777" w:rsidTr="00C22990">
        <w:tc>
          <w:tcPr>
            <w:tcW w:w="3275" w:type="dxa"/>
          </w:tcPr>
          <w:p w14:paraId="52457732" w14:textId="732DE7AE" w:rsidR="001E0AFA" w:rsidRPr="004666B8" w:rsidRDefault="00DB7479" w:rsidP="00DB7479">
            <w:pPr>
              <w:pStyle w:val="tabletext"/>
              <w:rPr>
                <w:lang w:val="en-US" w:eastAsia="en-US"/>
              </w:rPr>
            </w:pPr>
            <w:r>
              <w:rPr>
                <w:lang w:val="en-US" w:eastAsia="en-US"/>
              </w:rPr>
              <w:t>W</w:t>
            </w:r>
            <w:r w:rsidR="00EE4A0E">
              <w:rPr>
                <w:lang w:val="en-US" w:eastAsia="en-US"/>
              </w:rPr>
              <w:t>he</w:t>
            </w:r>
            <w:r>
              <w:rPr>
                <w:lang w:val="en-US" w:eastAsia="en-US"/>
              </w:rPr>
              <w:t xml:space="preserve">re a person’s normal residence </w:t>
            </w:r>
            <w:r w:rsidR="00EE4A0E">
              <w:rPr>
                <w:lang w:val="en-US" w:eastAsia="en-US"/>
              </w:rPr>
              <w:t>is not within a prescribed area, they will be unable to claim the ZTO.</w:t>
            </w:r>
          </w:p>
        </w:tc>
        <w:tc>
          <w:tcPr>
            <w:tcW w:w="3276" w:type="dxa"/>
          </w:tcPr>
          <w:p w14:paraId="4DFA9314" w14:textId="4CE59C12" w:rsidR="001E0AFA" w:rsidRPr="004666B8" w:rsidRDefault="00DB7479" w:rsidP="00C22990">
            <w:pPr>
              <w:pStyle w:val="tabletext"/>
              <w:rPr>
                <w:lang w:val="en-US" w:eastAsia="en-US"/>
              </w:rPr>
            </w:pPr>
            <w:r>
              <w:rPr>
                <w:lang w:val="en-US" w:eastAsia="en-US"/>
              </w:rPr>
              <w:t>T</w:t>
            </w:r>
            <w:r w:rsidR="00E87A6B">
              <w:rPr>
                <w:lang w:val="en-US" w:eastAsia="en-US"/>
              </w:rPr>
              <w:t>he</w:t>
            </w:r>
            <w:r w:rsidR="00EE4A0E">
              <w:rPr>
                <w:lang w:val="en-US" w:eastAsia="en-US"/>
              </w:rPr>
              <w:t xml:space="preserve"> ZTO does not require that a person’s normal residence is within a prescribed area.</w:t>
            </w:r>
          </w:p>
        </w:tc>
      </w:tr>
    </w:tbl>
    <w:p w14:paraId="2F1F1F8D" w14:textId="77777777" w:rsidR="001E0AFA" w:rsidRDefault="001E0AFA" w:rsidP="00C22990">
      <w:pPr>
        <w:pStyle w:val="Heading2"/>
      </w:pPr>
      <w:r>
        <w:t>Detailed explanation of new law</w:t>
      </w:r>
    </w:p>
    <w:p w14:paraId="580A32D2" w14:textId="4B3888E9" w:rsidR="001E0AFA" w:rsidRDefault="00EE4A0E" w:rsidP="001E0AFA">
      <w:pPr>
        <w:pStyle w:val="base-text-paragraph"/>
        <w:tabs>
          <w:tab w:val="clear" w:pos="360"/>
          <w:tab w:val="num" w:pos="1985"/>
        </w:tabs>
        <w:ind w:left="1134"/>
      </w:pPr>
      <w:r>
        <w:t>In order to ensure that the offset is not claimed by people who work in remote areas, but who</w:t>
      </w:r>
      <w:r w:rsidR="00C22990">
        <w:t xml:space="preserve"> ordinarily</w:t>
      </w:r>
      <w:r>
        <w:t xml:space="preserve"> live outside of those areas, eligibility for the ZTO will be restricted.</w:t>
      </w:r>
      <w:r w:rsidR="00DF3EA1" w:rsidRPr="00DF3EA1">
        <w:t xml:space="preserve"> </w:t>
      </w:r>
      <w:r w:rsidR="00DF3EA1">
        <w:t xml:space="preserve">Under the new law, to be eligible for the ZTO, a taxpayer’s </w:t>
      </w:r>
      <w:r w:rsidR="0047586F">
        <w:t>normal</w:t>
      </w:r>
      <w:r w:rsidR="00DF3EA1">
        <w:t xml:space="preserve"> residence must be within a prescribed area (zone).</w:t>
      </w:r>
      <w:r w:rsidR="00C3364B">
        <w:t xml:space="preserve">  </w:t>
      </w:r>
      <w:r w:rsidR="00C3364B" w:rsidRPr="00BF1EA0">
        <w:rPr>
          <w:rStyle w:val="Referencingstyle"/>
        </w:rPr>
        <w:t xml:space="preserve">[Schedule #, item </w:t>
      </w:r>
      <w:r w:rsidR="00DB7479" w:rsidRPr="00BF1EA0">
        <w:rPr>
          <w:rStyle w:val="Referencingstyle"/>
        </w:rPr>
        <w:t xml:space="preserve">1 to 11, subsection 79A(2), paragraphs 79A(2)(b) and (c), subsection 79A(2AA), paragraphs </w:t>
      </w:r>
      <w:r w:rsidR="00BF1EA0" w:rsidRPr="00BF1EA0">
        <w:rPr>
          <w:rStyle w:val="Referencingstyle"/>
        </w:rPr>
        <w:t>79A(3B)(a) and (b), subparagraphs 79A(3B)(d)(</w:t>
      </w:r>
      <w:proofErr w:type="spellStart"/>
      <w:r w:rsidR="00BF1EA0" w:rsidRPr="00BF1EA0">
        <w:rPr>
          <w:rStyle w:val="Referencingstyle"/>
        </w:rPr>
        <w:t>i</w:t>
      </w:r>
      <w:proofErr w:type="spellEnd"/>
      <w:r w:rsidR="00BF1EA0" w:rsidRPr="00BF1EA0">
        <w:rPr>
          <w:rStyle w:val="Referencingstyle"/>
        </w:rPr>
        <w:t>), (ii), 79A(3B)(e)(</w:t>
      </w:r>
      <w:proofErr w:type="spellStart"/>
      <w:r w:rsidR="00BF1EA0" w:rsidRPr="00BF1EA0">
        <w:rPr>
          <w:rStyle w:val="Referencingstyle"/>
        </w:rPr>
        <w:t>i</w:t>
      </w:r>
      <w:proofErr w:type="spellEnd"/>
      <w:r w:rsidR="00BF1EA0" w:rsidRPr="00BF1EA0">
        <w:rPr>
          <w:rStyle w:val="Referencingstyle"/>
        </w:rPr>
        <w:t>), 79A(3B)(e)(v), subsection 79A(3C), paragraphs 79A3C)(a) and (b) of the ITAA 1936</w:t>
      </w:r>
      <w:r w:rsidR="00C3364B" w:rsidRPr="00BF1EA0">
        <w:rPr>
          <w:rStyle w:val="Referencingstyle"/>
        </w:rPr>
        <w:t>]</w:t>
      </w:r>
    </w:p>
    <w:p w14:paraId="673E8E1F" w14:textId="439E1E9D" w:rsidR="00EE4A0E" w:rsidRDefault="00EE4A0E" w:rsidP="001E0AFA">
      <w:pPr>
        <w:pStyle w:val="base-text-paragraph"/>
        <w:tabs>
          <w:tab w:val="clear" w:pos="360"/>
          <w:tab w:val="num" w:pos="1985"/>
        </w:tabs>
        <w:ind w:left="1134"/>
      </w:pPr>
      <w:r>
        <w:t>The restriction will link eligibility for the ZTO with the definition of FIFO employee contained in section 31E of the FBTAA 1986.</w:t>
      </w:r>
      <w:r w:rsidR="00C3364B">
        <w:t xml:space="preserve">  </w:t>
      </w:r>
      <w:r w:rsidR="00C3364B">
        <w:rPr>
          <w:rStyle w:val="Referencingstyle"/>
        </w:rPr>
        <w:t>[Schedule #, item</w:t>
      </w:r>
      <w:r w:rsidR="00BF1EA0">
        <w:rPr>
          <w:rStyle w:val="Referencingstyle"/>
        </w:rPr>
        <w:t xml:space="preserve"> </w:t>
      </w:r>
      <w:r w:rsidR="00DB7479">
        <w:rPr>
          <w:rStyle w:val="Referencingstyle"/>
        </w:rPr>
        <w:t xml:space="preserve"> 12, </w:t>
      </w:r>
      <w:r w:rsidR="00BF1EA0">
        <w:rPr>
          <w:rStyle w:val="Referencingstyle"/>
        </w:rPr>
        <w:t>subsection 79A(4) of the ITAA 1936]</w:t>
      </w:r>
    </w:p>
    <w:p w14:paraId="456A7D30" w14:textId="185755C1" w:rsidR="00B27C09" w:rsidRDefault="00B27C09" w:rsidP="001E0AFA">
      <w:pPr>
        <w:pStyle w:val="base-text-paragraph"/>
        <w:tabs>
          <w:tab w:val="clear" w:pos="360"/>
          <w:tab w:val="num" w:pos="1985"/>
        </w:tabs>
        <w:ind w:left="1134"/>
      </w:pPr>
      <w:r>
        <w:t>Under section 31E</w:t>
      </w:r>
      <w:r w:rsidR="00DF3EA1">
        <w:t xml:space="preserve"> </w:t>
      </w:r>
      <w:r>
        <w:t xml:space="preserve">of the FBTAA 1986, an employee is considered to be a FIFO employee if, on a regular or rotational basis, they </w:t>
      </w:r>
      <w:r w:rsidR="005773EE">
        <w:t xml:space="preserve">work for a number of days and then have a number of days off (but not the same days in consecutive weeks) and on completion of their working days, they </w:t>
      </w:r>
      <w:r w:rsidR="007B398D">
        <w:t xml:space="preserve">fly or drive </w:t>
      </w:r>
      <w:r w:rsidR="005773EE">
        <w:t>from their usual place of employment to their normal residence.</w:t>
      </w:r>
      <w:r w:rsidR="007B398D">
        <w:t xml:space="preserve"> The distance travelled is not conducive to travelling to and from their normal residence to work at the end of each working day.</w:t>
      </w:r>
      <w:r w:rsidR="005773EE">
        <w:t xml:space="preserve"> Following completion of their days off, they then return to their place of employment. Further, this basis of work must be customary for employees performing similar duties in that industry and it would be unreasonable for employees to travel between their usual place of employment and their normal residence on a daily basis on work days.</w:t>
      </w:r>
    </w:p>
    <w:p w14:paraId="318A90CC" w14:textId="00E0517B" w:rsidR="00C22990" w:rsidRDefault="00C22990" w:rsidP="00BF1EA0">
      <w:pPr>
        <w:pStyle w:val="ExampleHeading"/>
      </w:pPr>
    </w:p>
    <w:p w14:paraId="4A3564DD" w14:textId="6E041A07" w:rsidR="005773EE" w:rsidRDefault="005773EE" w:rsidP="00643708">
      <w:pPr>
        <w:pStyle w:val="exampletext"/>
      </w:pPr>
      <w:proofErr w:type="spellStart"/>
      <w:r>
        <w:t>Jonte</w:t>
      </w:r>
      <w:proofErr w:type="spellEnd"/>
      <w:r>
        <w:t xml:space="preserve"> </w:t>
      </w:r>
      <w:r w:rsidR="00134D89">
        <w:t xml:space="preserve">is an engineer who </w:t>
      </w:r>
      <w:r>
        <w:t xml:space="preserve">lives in Darwin </w:t>
      </w:r>
      <w:r w:rsidR="00BA4135">
        <w:t xml:space="preserve">(located within Zone A) </w:t>
      </w:r>
      <w:r>
        <w:t xml:space="preserve">and travels to </w:t>
      </w:r>
      <w:r w:rsidR="00BA4135">
        <w:t>Kununurra</w:t>
      </w:r>
      <w:r>
        <w:t xml:space="preserve"> in Western Australia </w:t>
      </w:r>
      <w:r w:rsidR="00BA4135">
        <w:t xml:space="preserve">(located in a Zone A special area) </w:t>
      </w:r>
      <w:r>
        <w:t xml:space="preserve">where he is employed </w:t>
      </w:r>
      <w:r w:rsidR="00D458E0">
        <w:t>in the mining industry</w:t>
      </w:r>
      <w:r>
        <w:t xml:space="preserve">. The distance between Darwin and </w:t>
      </w:r>
      <w:r w:rsidR="00BA4135">
        <w:t>Kununurra</w:t>
      </w:r>
      <w:r>
        <w:t xml:space="preserve"> is approximately </w:t>
      </w:r>
      <w:r w:rsidR="00BA4135">
        <w:t>830</w:t>
      </w:r>
      <w:r w:rsidR="00D458E0">
        <w:t>km</w:t>
      </w:r>
      <w:r w:rsidR="00BA4135">
        <w:t xml:space="preserve">. It takes </w:t>
      </w:r>
      <w:proofErr w:type="spellStart"/>
      <w:r w:rsidR="00BA4135">
        <w:t>Jonte</w:t>
      </w:r>
      <w:proofErr w:type="spellEnd"/>
      <w:r w:rsidR="00BA4135">
        <w:t xml:space="preserve"> 10</w:t>
      </w:r>
      <w:r>
        <w:t xml:space="preserve"> hours to drive to work from </w:t>
      </w:r>
      <w:r w:rsidR="00D458E0">
        <w:t>his normal residence in Da</w:t>
      </w:r>
      <w:r w:rsidR="00BA4135">
        <w:t>rwin</w:t>
      </w:r>
      <w:r w:rsidR="00D458E0">
        <w:t xml:space="preserve">. As such, </w:t>
      </w:r>
      <w:proofErr w:type="spellStart"/>
      <w:r w:rsidR="00D458E0">
        <w:t>Jonte</w:t>
      </w:r>
      <w:proofErr w:type="spellEnd"/>
      <w:r w:rsidR="00D458E0">
        <w:t xml:space="preserve"> drives to </w:t>
      </w:r>
      <w:r w:rsidR="00BA4135">
        <w:t>Kununurra</w:t>
      </w:r>
      <w:r w:rsidR="00D458E0">
        <w:t>, c</w:t>
      </w:r>
      <w:r w:rsidR="00BA4135">
        <w:t xml:space="preserve">ompletes a </w:t>
      </w:r>
      <w:r w:rsidR="00ED1143">
        <w:t>fourteen</w:t>
      </w:r>
      <w:r w:rsidR="00BA4135">
        <w:t xml:space="preserve"> day shift at the mine </w:t>
      </w:r>
      <w:r w:rsidR="00D458E0">
        <w:t>and drives back to Darwin at the end of his work</w:t>
      </w:r>
      <w:r w:rsidR="00BA4135">
        <w:t xml:space="preserve">ing shift where he remains for </w:t>
      </w:r>
      <w:r w:rsidR="00ED1143">
        <w:t>sixteen</w:t>
      </w:r>
      <w:r w:rsidR="00D458E0">
        <w:t xml:space="preserve"> days.</w:t>
      </w:r>
    </w:p>
    <w:p w14:paraId="05D130BF" w14:textId="734F4217" w:rsidR="00D458E0" w:rsidRDefault="00D458E0" w:rsidP="00643708">
      <w:pPr>
        <w:pStyle w:val="exampletext"/>
      </w:pPr>
      <w:r>
        <w:lastRenderedPageBreak/>
        <w:t xml:space="preserve">Under the existing law, </w:t>
      </w:r>
      <w:proofErr w:type="spellStart"/>
      <w:r>
        <w:t>Jonte</w:t>
      </w:r>
      <w:proofErr w:type="spellEnd"/>
      <w:r>
        <w:t xml:space="preserve"> would be able to claim ZTO</w:t>
      </w:r>
      <w:r w:rsidR="00BA4135">
        <w:t xml:space="preserve"> for the </w:t>
      </w:r>
      <w:r w:rsidR="00C22990">
        <w:t>Zone </w:t>
      </w:r>
      <w:proofErr w:type="gramStart"/>
      <w:r w:rsidR="00BA4135">
        <w:t>A</w:t>
      </w:r>
      <w:proofErr w:type="gramEnd"/>
      <w:r w:rsidR="00BA4135">
        <w:t xml:space="preserve"> special </w:t>
      </w:r>
      <w:r w:rsidR="00BA4135" w:rsidRPr="008F27B6">
        <w:t>area of Kununurra</w:t>
      </w:r>
      <w:r w:rsidRPr="008F27B6">
        <w:t>, even though he lives in Darwin</w:t>
      </w:r>
      <w:r w:rsidR="008F27B6" w:rsidRPr="008F27B6">
        <w:t xml:space="preserve"> because he is in Kununurra for greater than 183 days in an income year</w:t>
      </w:r>
      <w:r w:rsidRPr="008F27B6">
        <w:t>. As</w:t>
      </w:r>
      <w:r>
        <w:t xml:space="preserve"> a result of these changes, </w:t>
      </w:r>
      <w:proofErr w:type="spellStart"/>
      <w:r>
        <w:t>Jonte</w:t>
      </w:r>
      <w:proofErr w:type="spellEnd"/>
      <w:r>
        <w:t xml:space="preserve"> is no longer able to access the ZTO </w:t>
      </w:r>
      <w:r w:rsidR="00BA4135">
        <w:t xml:space="preserve">special area loading payment </w:t>
      </w:r>
      <w:r>
        <w:t>because he is a FIFO worker with his normal residen</w:t>
      </w:r>
      <w:r w:rsidR="00BA4135">
        <w:t xml:space="preserve">ce outside of the </w:t>
      </w:r>
      <w:r>
        <w:t xml:space="preserve">prescribed area even though, as a result of his employment, he spends more than 183 days per year within a prescribed </w:t>
      </w:r>
      <w:r w:rsidR="00BA4135">
        <w:t xml:space="preserve">special </w:t>
      </w:r>
      <w:r>
        <w:t>area.</w:t>
      </w:r>
      <w:r w:rsidR="00BA4135">
        <w:t xml:space="preserve"> </w:t>
      </w:r>
      <w:proofErr w:type="spellStart"/>
      <w:r w:rsidR="00BA4135">
        <w:t>Jonte</w:t>
      </w:r>
      <w:proofErr w:type="spellEnd"/>
      <w:r w:rsidR="00BA4135">
        <w:t xml:space="preserve"> is still able to claim ZTO as his normal place of residence is in Darwin but he cannot access the special area Zone A</w:t>
      </w:r>
      <w:r w:rsidR="00C22990">
        <w:t>.</w:t>
      </w:r>
    </w:p>
    <w:p w14:paraId="4A10B1F0" w14:textId="777A67FD" w:rsidR="00C22990" w:rsidRDefault="00C22990" w:rsidP="00BF1EA0">
      <w:pPr>
        <w:pStyle w:val="ExampleHeading"/>
      </w:pPr>
    </w:p>
    <w:p w14:paraId="1A7157DC" w14:textId="5042A90F" w:rsidR="00134D89" w:rsidRPr="008F726E" w:rsidRDefault="00134D89" w:rsidP="00643708">
      <w:pPr>
        <w:pStyle w:val="exampletext"/>
      </w:pPr>
      <w:r>
        <w:t xml:space="preserve">Levi is an engineer </w:t>
      </w:r>
      <w:r w:rsidR="00BA4135">
        <w:t xml:space="preserve">who </w:t>
      </w:r>
      <w:r>
        <w:t xml:space="preserve">lives in </w:t>
      </w:r>
      <w:r w:rsidR="00BA4135">
        <w:t>Adelaide</w:t>
      </w:r>
      <w:r>
        <w:t xml:space="preserve">. He flies to </w:t>
      </w:r>
      <w:r w:rsidR="00BA4135">
        <w:t>Alice Springs for</w:t>
      </w:r>
      <w:r>
        <w:t xml:space="preserve"> twelve day shifts at an engineering firm and then travels back to </w:t>
      </w:r>
      <w:r w:rsidR="00BA4135">
        <w:t>Adelaide</w:t>
      </w:r>
      <w:r>
        <w:t xml:space="preserve"> for his days off (which vary between four and eight days</w:t>
      </w:r>
      <w:r w:rsidR="000777BC">
        <w:t xml:space="preserve"> in a row</w:t>
      </w:r>
      <w:r>
        <w:t xml:space="preserve">). As Levi </w:t>
      </w:r>
      <w:r w:rsidR="00BA4135">
        <w:t>does not have his normal residence</w:t>
      </w:r>
      <w:r>
        <w:t xml:space="preserve"> within a prescribed zone, </w:t>
      </w:r>
      <w:r w:rsidR="00BA4135">
        <w:t>even though he</w:t>
      </w:r>
      <w:r>
        <w:t xml:space="preserve"> is in Alice Springs for greater than 183 days, Levi is </w:t>
      </w:r>
      <w:r w:rsidR="00BA4135">
        <w:t>un</w:t>
      </w:r>
      <w:r>
        <w:t>able to claim the ZTO.</w:t>
      </w:r>
    </w:p>
    <w:p w14:paraId="0755F380" w14:textId="77777777" w:rsidR="001E0AFA" w:rsidRDefault="001E0AFA" w:rsidP="00C22990">
      <w:pPr>
        <w:pStyle w:val="Heading2"/>
      </w:pPr>
      <w:r>
        <w:t>Application and transitional provisions</w:t>
      </w:r>
    </w:p>
    <w:p w14:paraId="076B386A" w14:textId="53F57EA1" w:rsidR="001E0AFA" w:rsidRPr="008F726E" w:rsidRDefault="00387552" w:rsidP="001E0AFA">
      <w:pPr>
        <w:pStyle w:val="base-text-paragraph"/>
        <w:tabs>
          <w:tab w:val="clear" w:pos="360"/>
          <w:tab w:val="num" w:pos="1985"/>
        </w:tabs>
        <w:ind w:left="1134"/>
      </w:pPr>
      <w:r>
        <w:t xml:space="preserve">The measure in this Schedule will apply from the 2015-16 </w:t>
      </w:r>
      <w:r w:rsidR="00BF1EA0">
        <w:t>year of income and later years of income</w:t>
      </w:r>
      <w:r>
        <w:t>.</w:t>
      </w:r>
      <w:r w:rsidR="00C3364B">
        <w:t xml:space="preserve">  </w:t>
      </w:r>
      <w:r w:rsidR="00C3364B">
        <w:rPr>
          <w:rStyle w:val="Referencingstyle"/>
        </w:rPr>
        <w:t xml:space="preserve">[Schedule #, item </w:t>
      </w:r>
      <w:r w:rsidR="00DB7479">
        <w:rPr>
          <w:rStyle w:val="Referencingstyle"/>
        </w:rPr>
        <w:t>13</w:t>
      </w:r>
      <w:r w:rsidR="00C3364B">
        <w:rPr>
          <w:rStyle w:val="Referencingstyle"/>
        </w:rPr>
        <w:t>]</w:t>
      </w:r>
    </w:p>
    <w:p w14:paraId="7A6B95C2" w14:textId="64667A08" w:rsidR="001E0AFA" w:rsidRDefault="001E0AFA" w:rsidP="00ED1143">
      <w:pPr>
        <w:pStyle w:val="Hiddentext"/>
        <w:sectPr w:rsidR="001E0AFA" w:rsidSect="00C22990">
          <w:headerReference w:type="even" r:id="rId27"/>
          <w:headerReference w:type="default" r:id="rId28"/>
          <w:footerReference w:type="even" r:id="rId29"/>
          <w:footerReference w:type="default" r:id="rId30"/>
          <w:headerReference w:type="first" r:id="rId31"/>
          <w:footerReference w:type="first" r:id="rId32"/>
          <w:type w:val="oddPage"/>
          <w:pgSz w:w="11906" w:h="16838" w:code="9"/>
          <w:pgMar w:top="2466" w:right="2098" w:bottom="2466" w:left="2098" w:header="1559" w:footer="1899" w:gutter="0"/>
          <w:cols w:space="708"/>
          <w:titlePg/>
          <w:docGrid w:linePitch="360"/>
        </w:sectPr>
      </w:pPr>
      <w:r>
        <w:t>Do not remove section break.</w:t>
      </w:r>
    </w:p>
    <w:p w14:paraId="12E3B9A4" w14:textId="136DC960" w:rsidR="001D5436" w:rsidRPr="00200C32" w:rsidRDefault="001E0AFA" w:rsidP="00C3364B">
      <w:pPr>
        <w:pStyle w:val="Hiddentext"/>
      </w:pPr>
      <w:r>
        <w:lastRenderedPageBreak/>
        <w:t xml:space="preserve">Do not remove section </w:t>
      </w:r>
      <w:proofErr w:type="spellStart"/>
      <w:r>
        <w:t>bre</w:t>
      </w:r>
      <w:proofErr w:type="spellEnd"/>
    </w:p>
    <w:sectPr w:rsidR="001D5436" w:rsidRPr="00200C32" w:rsidSect="00821379">
      <w:headerReference w:type="even" r:id="rId33"/>
      <w:headerReference w:type="default" r:id="rId34"/>
      <w:footerReference w:type="even" r:id="rId35"/>
      <w:footerReference w:type="default" r:id="rId36"/>
      <w:headerReference w:type="first" r:id="rId37"/>
      <w:footerReference w:type="first" r:id="rId38"/>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58A21" w14:textId="77777777" w:rsidR="00FE671A" w:rsidRDefault="00FE671A">
      <w:r>
        <w:separator/>
      </w:r>
    </w:p>
  </w:endnote>
  <w:endnote w:type="continuationSeparator" w:id="0">
    <w:p w14:paraId="6965E27E" w14:textId="77777777" w:rsidR="00FE671A" w:rsidRDefault="00FE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701F3" w14:textId="77777777" w:rsidR="00FE671A" w:rsidRDefault="00FE671A" w:rsidP="00C22990">
    <w:pPr>
      <w:pStyle w:val="leftfooter"/>
    </w:pPr>
    <w:r>
      <w:fldChar w:fldCharType="begin"/>
    </w:r>
    <w:r>
      <w:instrText xml:space="preserve"> PAGE   \* MERGEFORMAT </w:instrText>
    </w:r>
    <w:r>
      <w:fldChar w:fldCharType="separate"/>
    </w:r>
    <w:r w:rsidR="0047586F">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C9D2F" w14:textId="77777777" w:rsidR="00FE671A" w:rsidRDefault="00FE671A" w:rsidP="00C22990">
    <w:pPr>
      <w:pStyle w:val="leftfooter"/>
    </w:pPr>
    <w:r>
      <w:fldChar w:fldCharType="begin"/>
    </w:r>
    <w:r>
      <w:instrText xml:space="preserve"> PAGE   \* MERGEFORMAT </w:instrText>
    </w:r>
    <w:r>
      <w:fldChar w:fldCharType="separate"/>
    </w:r>
    <w:r w:rsidR="00FC2E0B">
      <w:rPr>
        <w:noProof/>
      </w:rPr>
      <w:t>6</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5EF44" w14:textId="77777777" w:rsidR="00FE671A" w:rsidRDefault="00FE671A" w:rsidP="00C22990">
    <w:pPr>
      <w:pStyle w:val="rightfooter"/>
    </w:pPr>
    <w:r>
      <w:fldChar w:fldCharType="begin"/>
    </w:r>
    <w:r>
      <w:instrText xml:space="preserve"> PAGE   \* MERGEFORMAT </w:instrText>
    </w:r>
    <w:r>
      <w:fldChar w:fldCharType="separate"/>
    </w:r>
    <w:r w:rsidR="00FC2E0B">
      <w:rPr>
        <w:noProof/>
      </w:rPr>
      <w:t>5</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AC4A2" w14:textId="77777777" w:rsidR="00FE671A" w:rsidRDefault="00FE671A" w:rsidP="00C22990">
    <w:pPr>
      <w:pStyle w:val="rightfooter"/>
    </w:pPr>
    <w:r>
      <w:fldChar w:fldCharType="begin"/>
    </w:r>
    <w:r>
      <w:instrText xml:space="preserve"> PAGE  \* Arabic  \* MERGEFORMAT </w:instrText>
    </w:r>
    <w:r>
      <w:fldChar w:fldCharType="separate"/>
    </w:r>
    <w:r w:rsidR="00FC2E0B">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D1B23" w14:textId="77777777" w:rsidR="00FE671A" w:rsidRDefault="00FE671A" w:rsidP="005A76CC">
    <w:pPr>
      <w:pStyle w:val="leftfooter"/>
    </w:pPr>
    <w:r>
      <w:fldChar w:fldCharType="begin"/>
    </w:r>
    <w:r>
      <w:instrText xml:space="preserve"> PAGE   \* MERGEFORMAT </w:instrText>
    </w:r>
    <w:r>
      <w:fldChar w:fldCharType="separate"/>
    </w:r>
    <w:r w:rsidR="00ED1143">
      <w:rPr>
        <w:noProof/>
      </w:rPr>
      <w:t>8</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9DF03" w14:textId="77777777" w:rsidR="00FE671A" w:rsidRDefault="00FE671A" w:rsidP="005A76CC">
    <w:pPr>
      <w:pStyle w:val="rightfooter"/>
    </w:pPr>
    <w:r>
      <w:fldChar w:fldCharType="begin"/>
    </w:r>
    <w:r>
      <w:instrText xml:space="preserve"> PAGE   \* MERGEFORMAT </w:instrText>
    </w:r>
    <w:r>
      <w:fldChar w:fldCharType="separate"/>
    </w:r>
    <w:r w:rsidR="00C20F91">
      <w:rPr>
        <w:noProof/>
      </w:rPr>
      <w:t>7</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AEBC6" w14:textId="77777777" w:rsidR="00FE671A" w:rsidRDefault="00FE671A" w:rsidP="005A76CC">
    <w:pPr>
      <w:pStyle w:val="rightfooter"/>
    </w:pPr>
    <w:r>
      <w:fldChar w:fldCharType="begin"/>
    </w:r>
    <w:r>
      <w:instrText xml:space="preserve"> PAGE  \* Arabic  \* MERGEFORMAT </w:instrText>
    </w:r>
    <w:r>
      <w:fldChar w:fldCharType="separate"/>
    </w:r>
    <w:r w:rsidR="00FC2E0B">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7CDC1" w14:textId="77777777" w:rsidR="00FE671A" w:rsidRDefault="00FE671A" w:rsidP="00C22990">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21FC3" w14:textId="77777777" w:rsidR="00C20F91" w:rsidRDefault="00C20F9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07739" w14:textId="77777777" w:rsidR="00FE671A" w:rsidRDefault="00FE671A" w:rsidP="00C22990">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F76C7" w14:textId="77777777" w:rsidR="00FE671A" w:rsidRDefault="00FE671A" w:rsidP="00C22990">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77F05" w14:textId="77777777" w:rsidR="00FE671A" w:rsidRPr="00B2068E" w:rsidRDefault="00FE671A" w:rsidP="00C2299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DBC60" w14:textId="77777777" w:rsidR="00FE671A" w:rsidRDefault="00FE671A" w:rsidP="00C22990">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03D8B" w14:textId="77777777" w:rsidR="00FE671A" w:rsidRDefault="00FE671A" w:rsidP="00C22990">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E3ED8" w14:textId="77777777" w:rsidR="00FE671A" w:rsidRDefault="00FE671A" w:rsidP="00C22990">
    <w:pPr>
      <w:pStyle w:val="rightfooter"/>
    </w:pPr>
    <w:r>
      <w:fldChar w:fldCharType="begin"/>
    </w:r>
    <w:r>
      <w:instrText xml:space="preserve"> PAGE  \* Arabic  \* MERGEFORMAT </w:instrText>
    </w:r>
    <w:r>
      <w:fldChar w:fldCharType="separate"/>
    </w:r>
    <w:r w:rsidR="00FC2E0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58A11" w14:textId="77777777" w:rsidR="00FE671A" w:rsidRDefault="00FE671A">
      <w:r>
        <w:separator/>
      </w:r>
    </w:p>
  </w:footnote>
  <w:footnote w:type="continuationSeparator" w:id="0">
    <w:p w14:paraId="446AA36C" w14:textId="77777777" w:rsidR="00FE671A" w:rsidRDefault="00FE6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3756C" w14:textId="09FFEC9A" w:rsidR="00FE671A" w:rsidRDefault="00FC2E0B" w:rsidP="00C22990">
    <w:pPr>
      <w:pStyle w:val="leftheader"/>
    </w:pPr>
    <w:r>
      <w:rPr>
        <w:noProof/>
      </w:rPr>
      <w:pict w14:anchorId="13FDC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02" o:spid="_x0000_s2051" type="#_x0000_t136" style="position:absolute;margin-left:0;margin-top:0;width:475.5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FE671A">
      <w:fldChar w:fldCharType="begin"/>
    </w:r>
    <w:r w:rsidR="00FE671A">
      <w:instrText xml:space="preserve"> macrobutton nomacro [Click here and insert the name of the Bill] </w:instrText>
    </w:r>
    <w:r w:rsidR="00FE671A">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E93CB" w14:textId="33704D32" w:rsidR="00FE671A" w:rsidRDefault="00FC2E0B" w:rsidP="00C22990">
    <w:pPr>
      <w:pStyle w:val="leftheader"/>
    </w:pPr>
    <w:r>
      <w:rPr>
        <w:noProof/>
      </w:rPr>
      <w:pict w14:anchorId="672FE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11" o:spid="_x0000_s2060" type="#_x0000_t136" style="position:absolute;margin-left:0;margin-top:0;width:475.5pt;height:67.9pt;rotation:315;z-index:-25163673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C20F91">
      <w:t>Chapter 1 – Better targeting of the Zone Tax Offset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A3C45" w14:textId="1A4C477C" w:rsidR="00FE671A" w:rsidRDefault="00FC2E0B" w:rsidP="00C22990">
    <w:pPr>
      <w:pStyle w:val="rightheader"/>
    </w:pPr>
    <w:r>
      <w:rPr>
        <w:noProof/>
      </w:rPr>
      <w:pict w14:anchorId="3313D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12" o:spid="_x0000_s2061" type="#_x0000_t136" style="position:absolute;left:0;text-align:left;margin-left:0;margin-top:0;width:475.5pt;height:67.9pt;rotation:315;z-index:-25163468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C20F91">
      <w:t>Chapter 1 – Better targeting of the Zone Tax Offset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B4599" w14:textId="0E4D61A6" w:rsidR="00C20F91" w:rsidRDefault="00FC2E0B">
    <w:pPr>
      <w:pStyle w:val="Header"/>
    </w:pPr>
    <w:r>
      <w:rPr>
        <w:noProof/>
      </w:rPr>
      <w:pict w14:anchorId="72890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10" o:spid="_x0000_s2059" type="#_x0000_t136" style="position:absolute;margin-left:0;margin-top:0;width:475.5pt;height:67.9pt;rotation:315;z-index:-25163878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DA049" w14:textId="6DF70DC4" w:rsidR="00FE671A" w:rsidRDefault="00FC2E0B" w:rsidP="005A76CC">
    <w:pPr>
      <w:pStyle w:val="leftheader"/>
    </w:pPr>
    <w:r>
      <w:rPr>
        <w:noProof/>
      </w:rPr>
      <w:pict w14:anchorId="3174E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14" o:spid="_x0000_s2063" type="#_x0000_t136" style="position:absolute;margin-left:0;margin-top:0;width:475.5pt;height:67.9pt;rotation:315;z-index:-25163059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FE671A">
      <w:fldChar w:fldCharType="begin"/>
    </w:r>
    <w:r w:rsidR="00FE671A">
      <w:instrText xml:space="preserve"> macrobutton nomacro [Click here and insert the name of the Bill] </w:instrText>
    </w:r>
    <w:r w:rsidR="00FE671A">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13FCE" w14:textId="1926E264" w:rsidR="00FE671A" w:rsidRDefault="00FC2E0B" w:rsidP="005A76CC">
    <w:pPr>
      <w:pStyle w:val="rightheader"/>
    </w:pPr>
    <w:r>
      <w:rPr>
        <w:noProof/>
      </w:rPr>
      <w:pict w14:anchorId="4E407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15" o:spid="_x0000_s2064" type="#_x0000_t136" style="position:absolute;left:0;text-align:left;margin-left:0;margin-top:0;width:475.5pt;height:67.9pt;rotation:315;z-index:-25162854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FE671A">
      <w:fldChar w:fldCharType="begin"/>
    </w:r>
    <w:r w:rsidR="00FE671A">
      <w:instrText xml:space="preserve"> macrobutton nomacro [Click here and enter the name of the Chapter </w:instrText>
    </w:r>
    <w:r w:rsidR="00FE671A">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BEE9B" w14:textId="78CD8180" w:rsidR="00C20F91" w:rsidRDefault="00FC2E0B">
    <w:pPr>
      <w:pStyle w:val="Header"/>
    </w:pPr>
    <w:r>
      <w:rPr>
        <w:noProof/>
      </w:rPr>
      <w:pict w14:anchorId="659DF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13" o:spid="_x0000_s2062" type="#_x0000_t136" style="position:absolute;margin-left:0;margin-top:0;width:475.5pt;height:67.9pt;rotation:315;z-index:-25163264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67ABA" w14:textId="39532808" w:rsidR="00FE671A" w:rsidRDefault="00FC2E0B" w:rsidP="00C22990">
    <w:pPr>
      <w:pStyle w:val="rightheader"/>
    </w:pPr>
    <w:r>
      <w:rPr>
        <w:noProof/>
      </w:rPr>
      <w:pict w14:anchorId="0BD30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03" o:spid="_x0000_s2052" type="#_x0000_t136" style="position:absolute;left:0;text-align:left;margin-left:0;margin-top:0;width:475.5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FE671A">
      <w:fldChar w:fldCharType="begin"/>
    </w:r>
    <w:r w:rsidR="00FE671A">
      <w:instrText xml:space="preserve"> macrobutton nomacro [Click here and enter the name of the Chapter </w:instrText>
    </w:r>
    <w:r w:rsidR="00FE671A">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4F96" w14:textId="26A30A5D" w:rsidR="00C20F91" w:rsidRDefault="00FC2E0B">
    <w:pPr>
      <w:pStyle w:val="Header"/>
    </w:pPr>
    <w:r>
      <w:rPr>
        <w:noProof/>
      </w:rPr>
      <w:pict w14:anchorId="3ECF0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01" o:spid="_x0000_s2050" type="#_x0000_t136" style="position:absolute;margin-left:0;margin-top:0;width:475.5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718EE" w14:textId="637BAA1B" w:rsidR="00FE671A" w:rsidRDefault="00FC2E0B" w:rsidP="00C22990">
    <w:pPr>
      <w:pStyle w:val="leftheader"/>
    </w:pPr>
    <w:r>
      <w:rPr>
        <w:noProof/>
      </w:rPr>
      <w:pict w14:anchorId="42F8F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05" o:spid="_x0000_s2054" type="#_x0000_t136" style="position:absolute;margin-left:0;margin-top:0;width:475.5pt;height:67.9pt;rotation:315;z-index:-25164902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FE671A">
      <w:fldChar w:fldCharType="begin"/>
    </w:r>
    <w:r w:rsidR="00FE671A">
      <w:instrText xml:space="preserve"> macrobutton nomacro [Click here and insert the name of the Bill] </w:instrText>
    </w:r>
    <w:r w:rsidR="00FE671A">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68F55" w14:textId="5D563C77" w:rsidR="00FE671A" w:rsidRDefault="00FC2E0B" w:rsidP="00C22990">
    <w:pPr>
      <w:pStyle w:val="rightheader"/>
    </w:pPr>
    <w:r>
      <w:rPr>
        <w:noProof/>
      </w:rPr>
      <w:pict w14:anchorId="39CF3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06" o:spid="_x0000_s2055" type="#_x0000_t136" style="position:absolute;left:0;text-align:left;margin-left:0;margin-top:0;width:475.5pt;height:67.9pt;rotation:315;z-index:-25164697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FE671A">
      <w:fldChar w:fldCharType="begin"/>
    </w:r>
    <w:r w:rsidR="00FE671A">
      <w:instrText xml:space="preserve"> macrobutton nomacro [Click here and enter the name of the Chapter </w:instrText>
    </w:r>
    <w:r w:rsidR="00FE671A">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E4A29" w14:textId="29E5983A" w:rsidR="00FE671A" w:rsidRDefault="00FC2E0B">
    <w:pPr>
      <w:pStyle w:val="Header"/>
    </w:pPr>
    <w:r>
      <w:rPr>
        <w:noProof/>
      </w:rPr>
      <w:pict w14:anchorId="74242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04" o:spid="_x0000_s2053" type="#_x0000_t136" style="position:absolute;margin-left:0;margin-top:0;width:475.5pt;height:67.9pt;rotation:315;z-index:-25165107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1E949" w14:textId="15092D4C" w:rsidR="00FE671A" w:rsidRDefault="00FC2E0B" w:rsidP="00C22990">
    <w:pPr>
      <w:pStyle w:val="leftheader"/>
    </w:pPr>
    <w:r>
      <w:rPr>
        <w:noProof/>
      </w:rPr>
      <w:pict w14:anchorId="0608A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08" o:spid="_x0000_s2057" type="#_x0000_t136" style="position:absolute;margin-left:0;margin-top:0;width:475.5pt;height:67.9pt;rotation:315;z-index:-25164288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FE671A">
      <w:fldChar w:fldCharType="begin"/>
    </w:r>
    <w:r w:rsidR="00FE671A">
      <w:instrText xml:space="preserve"> macrobutton nomacro [Click here and insert the name of the Bill] </w:instrText>
    </w:r>
    <w:r w:rsidR="00FE671A">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39D1C" w14:textId="78D9DDB7" w:rsidR="00FE671A" w:rsidRDefault="00FC2E0B" w:rsidP="00C22990">
    <w:pPr>
      <w:pStyle w:val="rightheader"/>
    </w:pPr>
    <w:r>
      <w:rPr>
        <w:noProof/>
      </w:rPr>
      <w:pict w14:anchorId="3AAF7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09" o:spid="_x0000_s2058" type="#_x0000_t136" style="position:absolute;left:0;text-align:left;margin-left:0;margin-top:0;width:475.5pt;height:67.9pt;rotation:315;z-index:-25164083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FE671A">
      <w:fldChar w:fldCharType="begin"/>
    </w:r>
    <w:r w:rsidR="00FE671A">
      <w:instrText xml:space="preserve"> macrobutton nomacro [Click here and enter the name of the Chapter </w:instrText>
    </w:r>
    <w:r w:rsidR="00FE671A">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61E2" w14:textId="01B2242D" w:rsidR="00C20F91" w:rsidRDefault="00FC2E0B">
    <w:pPr>
      <w:pStyle w:val="Header"/>
    </w:pPr>
    <w:r>
      <w:rPr>
        <w:noProof/>
      </w:rPr>
      <w:pict w14:anchorId="06ABA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207" o:spid="_x0000_s2056" type="#_x0000_t136" style="position:absolute;margin-left:0;margin-top:0;width:475.5pt;height:67.9pt;rotation:315;z-index:-25164492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4BF68F5"/>
    <w:multiLevelType w:val="hybridMultilevel"/>
    <w:tmpl w:val="7602C84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950960"/>
    <w:multiLevelType w:val="multilevel"/>
    <w:tmpl w:val="D706BA9E"/>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3FB3E18"/>
    <w:multiLevelType w:val="multilevel"/>
    <w:tmpl w:val="A316FE50"/>
    <w:numStyleLink w:val="ChapterList"/>
  </w:abstractNum>
  <w:abstractNum w:abstractNumId="23">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4281CEB"/>
    <w:multiLevelType w:val="multilevel"/>
    <w:tmpl w:val="A316FE50"/>
    <w:numStyleLink w:val="ChapterList"/>
  </w:abstractNum>
  <w:abstractNum w:abstractNumId="26">
    <w:nsid w:val="65DF6494"/>
    <w:multiLevelType w:val="multilevel"/>
    <w:tmpl w:val="A316FE50"/>
    <w:numStyleLink w:val="ChapterList"/>
  </w:abstractNum>
  <w:abstractNum w:abstractNumId="27">
    <w:nsid w:val="6D302C09"/>
    <w:multiLevelType w:val="multilevel"/>
    <w:tmpl w:val="A316FE50"/>
    <w:numStyleLink w:val="ChapterList"/>
  </w:abstractNum>
  <w:abstractNum w:abstractNumId="2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CAC208D"/>
    <w:multiLevelType w:val="multilevel"/>
    <w:tmpl w:val="A316FE50"/>
    <w:numStyleLink w:val="ChapterList"/>
  </w:abstractNum>
  <w:num w:numId="1">
    <w:abstractNumId w:val="21"/>
  </w:num>
  <w:num w:numId="2">
    <w:abstractNumId w:val="20"/>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8"/>
  </w:num>
  <w:num w:numId="17">
    <w:abstractNumId w:val="29"/>
  </w:num>
  <w:num w:numId="18">
    <w:abstractNumId w:val="10"/>
  </w:num>
  <w:num w:numId="19">
    <w:abstractNumId w:val="19"/>
  </w:num>
  <w:num w:numId="20">
    <w:abstractNumId w:val="23"/>
  </w:num>
  <w:num w:numId="21">
    <w:abstractNumId w:val="24"/>
  </w:num>
  <w:num w:numId="22">
    <w:abstractNumId w:val="13"/>
  </w:num>
  <w:num w:numId="23">
    <w:abstractNumId w:val="15"/>
  </w:num>
  <w:num w:numId="24">
    <w:abstractNumId w:val="27"/>
  </w:num>
  <w:num w:numId="25">
    <w:abstractNumId w:val="30"/>
  </w:num>
  <w:num w:numId="26">
    <w:abstractNumId w:val="25"/>
  </w:num>
  <w:num w:numId="27">
    <w:abstractNumId w:val="11"/>
  </w:num>
  <w:num w:numId="28">
    <w:abstractNumId w:val="22"/>
  </w:num>
  <w:num w:numId="29">
    <w:abstractNumId w:val="12"/>
  </w:num>
  <w:num w:numId="30">
    <w:abstractNumId w:val="26"/>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2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27"/>
  <w:removePersonalInformation/>
  <w:removeDateAndTime/>
  <w:doNotDisplayPageBoundarie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FA"/>
    <w:rsid w:val="0000314A"/>
    <w:rsid w:val="00012F66"/>
    <w:rsid w:val="000327A2"/>
    <w:rsid w:val="0003305A"/>
    <w:rsid w:val="00034BE8"/>
    <w:rsid w:val="00050170"/>
    <w:rsid w:val="0005600E"/>
    <w:rsid w:val="00060758"/>
    <w:rsid w:val="00067E1D"/>
    <w:rsid w:val="000705A5"/>
    <w:rsid w:val="000725C0"/>
    <w:rsid w:val="00075250"/>
    <w:rsid w:val="00076543"/>
    <w:rsid w:val="000777BC"/>
    <w:rsid w:val="000835C7"/>
    <w:rsid w:val="00085C5D"/>
    <w:rsid w:val="0009055D"/>
    <w:rsid w:val="000960B7"/>
    <w:rsid w:val="000A0AFD"/>
    <w:rsid w:val="000A2094"/>
    <w:rsid w:val="000A341E"/>
    <w:rsid w:val="000A5B26"/>
    <w:rsid w:val="000A6DBE"/>
    <w:rsid w:val="000B7FBA"/>
    <w:rsid w:val="000C06D9"/>
    <w:rsid w:val="000D54A6"/>
    <w:rsid w:val="000E089D"/>
    <w:rsid w:val="000E5B9A"/>
    <w:rsid w:val="001114E6"/>
    <w:rsid w:val="00113E19"/>
    <w:rsid w:val="00121EB0"/>
    <w:rsid w:val="00123D96"/>
    <w:rsid w:val="0012405D"/>
    <w:rsid w:val="00124E15"/>
    <w:rsid w:val="00127FDC"/>
    <w:rsid w:val="00131E0C"/>
    <w:rsid w:val="00134D89"/>
    <w:rsid w:val="0014197C"/>
    <w:rsid w:val="00147843"/>
    <w:rsid w:val="00174A29"/>
    <w:rsid w:val="001757E2"/>
    <w:rsid w:val="001A7A18"/>
    <w:rsid w:val="001D5436"/>
    <w:rsid w:val="001E0AFA"/>
    <w:rsid w:val="001E6545"/>
    <w:rsid w:val="00200C32"/>
    <w:rsid w:val="00200E96"/>
    <w:rsid w:val="00201B36"/>
    <w:rsid w:val="00220D6C"/>
    <w:rsid w:val="00222D57"/>
    <w:rsid w:val="00231CBA"/>
    <w:rsid w:val="00236A1C"/>
    <w:rsid w:val="00250154"/>
    <w:rsid w:val="00253E01"/>
    <w:rsid w:val="00263B8C"/>
    <w:rsid w:val="00266048"/>
    <w:rsid w:val="00272FD3"/>
    <w:rsid w:val="00282FB7"/>
    <w:rsid w:val="002857E2"/>
    <w:rsid w:val="002A4F1C"/>
    <w:rsid w:val="002A64A2"/>
    <w:rsid w:val="002C43E8"/>
    <w:rsid w:val="002D2436"/>
    <w:rsid w:val="002D6555"/>
    <w:rsid w:val="002E3A4D"/>
    <w:rsid w:val="002E5FD3"/>
    <w:rsid w:val="002F2244"/>
    <w:rsid w:val="002F3991"/>
    <w:rsid w:val="002F3BD3"/>
    <w:rsid w:val="002F75B0"/>
    <w:rsid w:val="0030256C"/>
    <w:rsid w:val="00317C16"/>
    <w:rsid w:val="00320374"/>
    <w:rsid w:val="00325BF0"/>
    <w:rsid w:val="00345CCB"/>
    <w:rsid w:val="00346BEB"/>
    <w:rsid w:val="003501C2"/>
    <w:rsid w:val="003505E3"/>
    <w:rsid w:val="00350D61"/>
    <w:rsid w:val="0036787F"/>
    <w:rsid w:val="00370AE1"/>
    <w:rsid w:val="00370CF4"/>
    <w:rsid w:val="003719A4"/>
    <w:rsid w:val="00376FAF"/>
    <w:rsid w:val="00377CD4"/>
    <w:rsid w:val="00386A6F"/>
    <w:rsid w:val="00387552"/>
    <w:rsid w:val="00387BAB"/>
    <w:rsid w:val="00390E94"/>
    <w:rsid w:val="00392BFB"/>
    <w:rsid w:val="0039400F"/>
    <w:rsid w:val="003A311E"/>
    <w:rsid w:val="003A5A84"/>
    <w:rsid w:val="003A5D7E"/>
    <w:rsid w:val="003B2C77"/>
    <w:rsid w:val="003B550D"/>
    <w:rsid w:val="003C1301"/>
    <w:rsid w:val="003C5BA3"/>
    <w:rsid w:val="003D6FD9"/>
    <w:rsid w:val="003D7F02"/>
    <w:rsid w:val="003E0794"/>
    <w:rsid w:val="003E68F7"/>
    <w:rsid w:val="003F096C"/>
    <w:rsid w:val="003F4BD0"/>
    <w:rsid w:val="0043366C"/>
    <w:rsid w:val="00433B1D"/>
    <w:rsid w:val="00433FD9"/>
    <w:rsid w:val="00436054"/>
    <w:rsid w:val="00441D38"/>
    <w:rsid w:val="00442FB9"/>
    <w:rsid w:val="0044391B"/>
    <w:rsid w:val="00450635"/>
    <w:rsid w:val="00451BB3"/>
    <w:rsid w:val="00457BC3"/>
    <w:rsid w:val="00460019"/>
    <w:rsid w:val="0046472A"/>
    <w:rsid w:val="00465A34"/>
    <w:rsid w:val="00470181"/>
    <w:rsid w:val="004710EB"/>
    <w:rsid w:val="0047586F"/>
    <w:rsid w:val="00475D9F"/>
    <w:rsid w:val="00480C91"/>
    <w:rsid w:val="004836D2"/>
    <w:rsid w:val="00483A94"/>
    <w:rsid w:val="004B03AA"/>
    <w:rsid w:val="004B755A"/>
    <w:rsid w:val="004C1468"/>
    <w:rsid w:val="004D6B85"/>
    <w:rsid w:val="004E161F"/>
    <w:rsid w:val="004E6082"/>
    <w:rsid w:val="004F2FE1"/>
    <w:rsid w:val="00502551"/>
    <w:rsid w:val="00504D4A"/>
    <w:rsid w:val="005052B0"/>
    <w:rsid w:val="0050652E"/>
    <w:rsid w:val="00515E69"/>
    <w:rsid w:val="005177DF"/>
    <w:rsid w:val="00517B68"/>
    <w:rsid w:val="00523617"/>
    <w:rsid w:val="005255EA"/>
    <w:rsid w:val="005408E6"/>
    <w:rsid w:val="0054284D"/>
    <w:rsid w:val="00555D38"/>
    <w:rsid w:val="005572CD"/>
    <w:rsid w:val="00560C14"/>
    <w:rsid w:val="005773EE"/>
    <w:rsid w:val="00580C19"/>
    <w:rsid w:val="00585AFF"/>
    <w:rsid w:val="005A5348"/>
    <w:rsid w:val="005A5BB3"/>
    <w:rsid w:val="005A76CC"/>
    <w:rsid w:val="005B22C7"/>
    <w:rsid w:val="005B546F"/>
    <w:rsid w:val="005C0475"/>
    <w:rsid w:val="005C2B1A"/>
    <w:rsid w:val="005C6FB4"/>
    <w:rsid w:val="005C7A56"/>
    <w:rsid w:val="005D0F90"/>
    <w:rsid w:val="005D26E2"/>
    <w:rsid w:val="005E741D"/>
    <w:rsid w:val="005E77E1"/>
    <w:rsid w:val="0060211C"/>
    <w:rsid w:val="006071CA"/>
    <w:rsid w:val="006071E9"/>
    <w:rsid w:val="00621923"/>
    <w:rsid w:val="0062475E"/>
    <w:rsid w:val="006412C3"/>
    <w:rsid w:val="00643708"/>
    <w:rsid w:val="00645812"/>
    <w:rsid w:val="00653DA2"/>
    <w:rsid w:val="00663F77"/>
    <w:rsid w:val="006655F9"/>
    <w:rsid w:val="006712FD"/>
    <w:rsid w:val="00676AC8"/>
    <w:rsid w:val="006857AE"/>
    <w:rsid w:val="006916A8"/>
    <w:rsid w:val="006A4718"/>
    <w:rsid w:val="006C3CEB"/>
    <w:rsid w:val="006D4184"/>
    <w:rsid w:val="006D4CA4"/>
    <w:rsid w:val="006D737B"/>
    <w:rsid w:val="006E01A2"/>
    <w:rsid w:val="006E08FB"/>
    <w:rsid w:val="006F7AFB"/>
    <w:rsid w:val="007001D0"/>
    <w:rsid w:val="00703C25"/>
    <w:rsid w:val="00703E62"/>
    <w:rsid w:val="00705EA9"/>
    <w:rsid w:val="00707D39"/>
    <w:rsid w:val="00710171"/>
    <w:rsid w:val="007155B4"/>
    <w:rsid w:val="00725B4F"/>
    <w:rsid w:val="007329C5"/>
    <w:rsid w:val="00736240"/>
    <w:rsid w:val="007439D0"/>
    <w:rsid w:val="007454F8"/>
    <w:rsid w:val="00753239"/>
    <w:rsid w:val="00762AAE"/>
    <w:rsid w:val="007652BC"/>
    <w:rsid w:val="00766B32"/>
    <w:rsid w:val="00774214"/>
    <w:rsid w:val="007871CD"/>
    <w:rsid w:val="00790795"/>
    <w:rsid w:val="00792ECD"/>
    <w:rsid w:val="00793F75"/>
    <w:rsid w:val="007966EF"/>
    <w:rsid w:val="007A1BCB"/>
    <w:rsid w:val="007A4C99"/>
    <w:rsid w:val="007B188B"/>
    <w:rsid w:val="007B23EE"/>
    <w:rsid w:val="007B2534"/>
    <w:rsid w:val="007B398D"/>
    <w:rsid w:val="007C1694"/>
    <w:rsid w:val="007D1821"/>
    <w:rsid w:val="007E25E0"/>
    <w:rsid w:val="007E3C31"/>
    <w:rsid w:val="007F5B1F"/>
    <w:rsid w:val="007F755F"/>
    <w:rsid w:val="007F7B8E"/>
    <w:rsid w:val="00813210"/>
    <w:rsid w:val="008147F1"/>
    <w:rsid w:val="008212B5"/>
    <w:rsid w:val="00821379"/>
    <w:rsid w:val="00826DEA"/>
    <w:rsid w:val="00827930"/>
    <w:rsid w:val="00830A28"/>
    <w:rsid w:val="00832743"/>
    <w:rsid w:val="00835001"/>
    <w:rsid w:val="00836421"/>
    <w:rsid w:val="00844687"/>
    <w:rsid w:val="00855D57"/>
    <w:rsid w:val="00867F0F"/>
    <w:rsid w:val="008752F1"/>
    <w:rsid w:val="00885BE8"/>
    <w:rsid w:val="00890245"/>
    <w:rsid w:val="008923A4"/>
    <w:rsid w:val="008B0747"/>
    <w:rsid w:val="008B095D"/>
    <w:rsid w:val="008B31CE"/>
    <w:rsid w:val="008B56B5"/>
    <w:rsid w:val="008C359D"/>
    <w:rsid w:val="008C51F4"/>
    <w:rsid w:val="008C68A9"/>
    <w:rsid w:val="008D0AE4"/>
    <w:rsid w:val="008D4C40"/>
    <w:rsid w:val="008D75E9"/>
    <w:rsid w:val="008F1A67"/>
    <w:rsid w:val="008F27B6"/>
    <w:rsid w:val="008F726E"/>
    <w:rsid w:val="00901ED2"/>
    <w:rsid w:val="009125BB"/>
    <w:rsid w:val="00915FA5"/>
    <w:rsid w:val="00917DED"/>
    <w:rsid w:val="00922787"/>
    <w:rsid w:val="00926E36"/>
    <w:rsid w:val="00935C6B"/>
    <w:rsid w:val="00937B71"/>
    <w:rsid w:val="00940BFD"/>
    <w:rsid w:val="0095290C"/>
    <w:rsid w:val="009530DE"/>
    <w:rsid w:val="00953F17"/>
    <w:rsid w:val="009615B2"/>
    <w:rsid w:val="0096411E"/>
    <w:rsid w:val="00973550"/>
    <w:rsid w:val="009759C8"/>
    <w:rsid w:val="009973BE"/>
    <w:rsid w:val="009977B4"/>
    <w:rsid w:val="00997812"/>
    <w:rsid w:val="009A2B11"/>
    <w:rsid w:val="009A4908"/>
    <w:rsid w:val="009B0AB7"/>
    <w:rsid w:val="009B2AD6"/>
    <w:rsid w:val="009B3657"/>
    <w:rsid w:val="009C1F0D"/>
    <w:rsid w:val="009C380E"/>
    <w:rsid w:val="009E5ACA"/>
    <w:rsid w:val="009E6C76"/>
    <w:rsid w:val="009F07BF"/>
    <w:rsid w:val="00A01492"/>
    <w:rsid w:val="00A03E30"/>
    <w:rsid w:val="00A04A9F"/>
    <w:rsid w:val="00A07DDF"/>
    <w:rsid w:val="00A1128B"/>
    <w:rsid w:val="00A22C72"/>
    <w:rsid w:val="00A27B13"/>
    <w:rsid w:val="00A27B94"/>
    <w:rsid w:val="00A32143"/>
    <w:rsid w:val="00A332EA"/>
    <w:rsid w:val="00A3463D"/>
    <w:rsid w:val="00A37F77"/>
    <w:rsid w:val="00A44E9C"/>
    <w:rsid w:val="00A516CB"/>
    <w:rsid w:val="00A53EB2"/>
    <w:rsid w:val="00A54CD3"/>
    <w:rsid w:val="00A575AE"/>
    <w:rsid w:val="00A61078"/>
    <w:rsid w:val="00A65D09"/>
    <w:rsid w:val="00A722B0"/>
    <w:rsid w:val="00A834B8"/>
    <w:rsid w:val="00A86F1A"/>
    <w:rsid w:val="00A9159F"/>
    <w:rsid w:val="00A9275F"/>
    <w:rsid w:val="00A93921"/>
    <w:rsid w:val="00A96322"/>
    <w:rsid w:val="00AA20C9"/>
    <w:rsid w:val="00AA2141"/>
    <w:rsid w:val="00AA50D8"/>
    <w:rsid w:val="00AA5524"/>
    <w:rsid w:val="00AD1AAD"/>
    <w:rsid w:val="00AD4ABE"/>
    <w:rsid w:val="00AD687A"/>
    <w:rsid w:val="00AD6DC4"/>
    <w:rsid w:val="00AD6E17"/>
    <w:rsid w:val="00AE23F9"/>
    <w:rsid w:val="00AF0A9F"/>
    <w:rsid w:val="00AF0EB2"/>
    <w:rsid w:val="00AF3340"/>
    <w:rsid w:val="00B00C37"/>
    <w:rsid w:val="00B07898"/>
    <w:rsid w:val="00B206C1"/>
    <w:rsid w:val="00B27C09"/>
    <w:rsid w:val="00B31641"/>
    <w:rsid w:val="00B321BE"/>
    <w:rsid w:val="00B335B6"/>
    <w:rsid w:val="00B3403E"/>
    <w:rsid w:val="00B6273D"/>
    <w:rsid w:val="00B64794"/>
    <w:rsid w:val="00B654ED"/>
    <w:rsid w:val="00B67600"/>
    <w:rsid w:val="00B725B1"/>
    <w:rsid w:val="00B7388C"/>
    <w:rsid w:val="00B7408F"/>
    <w:rsid w:val="00B75DB6"/>
    <w:rsid w:val="00B91095"/>
    <w:rsid w:val="00B93631"/>
    <w:rsid w:val="00B94871"/>
    <w:rsid w:val="00B94FB4"/>
    <w:rsid w:val="00BA2235"/>
    <w:rsid w:val="00BA2903"/>
    <w:rsid w:val="00BA4135"/>
    <w:rsid w:val="00BA728F"/>
    <w:rsid w:val="00BC33C9"/>
    <w:rsid w:val="00BC3DB1"/>
    <w:rsid w:val="00BD4513"/>
    <w:rsid w:val="00BE681A"/>
    <w:rsid w:val="00BF1C59"/>
    <w:rsid w:val="00BF1EA0"/>
    <w:rsid w:val="00C03AF3"/>
    <w:rsid w:val="00C05595"/>
    <w:rsid w:val="00C14529"/>
    <w:rsid w:val="00C1738A"/>
    <w:rsid w:val="00C20F91"/>
    <w:rsid w:val="00C22990"/>
    <w:rsid w:val="00C26CB0"/>
    <w:rsid w:val="00C27414"/>
    <w:rsid w:val="00C30C3E"/>
    <w:rsid w:val="00C32240"/>
    <w:rsid w:val="00C3364B"/>
    <w:rsid w:val="00C44D85"/>
    <w:rsid w:val="00C55D39"/>
    <w:rsid w:val="00C643DF"/>
    <w:rsid w:val="00C744BC"/>
    <w:rsid w:val="00C83993"/>
    <w:rsid w:val="00C8648B"/>
    <w:rsid w:val="00C947E7"/>
    <w:rsid w:val="00C978EF"/>
    <w:rsid w:val="00CA5F63"/>
    <w:rsid w:val="00CA6398"/>
    <w:rsid w:val="00CA7CDA"/>
    <w:rsid w:val="00CB007F"/>
    <w:rsid w:val="00CB6473"/>
    <w:rsid w:val="00CC09C5"/>
    <w:rsid w:val="00CC5A10"/>
    <w:rsid w:val="00CD1FA8"/>
    <w:rsid w:val="00CE1CB4"/>
    <w:rsid w:val="00CE2E6F"/>
    <w:rsid w:val="00CE4136"/>
    <w:rsid w:val="00CE5590"/>
    <w:rsid w:val="00CF3913"/>
    <w:rsid w:val="00CF5226"/>
    <w:rsid w:val="00CF5EE9"/>
    <w:rsid w:val="00CF670E"/>
    <w:rsid w:val="00CF6F6C"/>
    <w:rsid w:val="00D01826"/>
    <w:rsid w:val="00D01E95"/>
    <w:rsid w:val="00D11D73"/>
    <w:rsid w:val="00D15430"/>
    <w:rsid w:val="00D22699"/>
    <w:rsid w:val="00D363E1"/>
    <w:rsid w:val="00D372B4"/>
    <w:rsid w:val="00D4029F"/>
    <w:rsid w:val="00D458E0"/>
    <w:rsid w:val="00D522E9"/>
    <w:rsid w:val="00D66F0C"/>
    <w:rsid w:val="00D67ADC"/>
    <w:rsid w:val="00D75FB3"/>
    <w:rsid w:val="00D85B38"/>
    <w:rsid w:val="00D90D9C"/>
    <w:rsid w:val="00D93657"/>
    <w:rsid w:val="00D944AC"/>
    <w:rsid w:val="00D96329"/>
    <w:rsid w:val="00D963F2"/>
    <w:rsid w:val="00DA34ED"/>
    <w:rsid w:val="00DA3528"/>
    <w:rsid w:val="00DA72C6"/>
    <w:rsid w:val="00DB1F26"/>
    <w:rsid w:val="00DB36FF"/>
    <w:rsid w:val="00DB4106"/>
    <w:rsid w:val="00DB7479"/>
    <w:rsid w:val="00DD2EC4"/>
    <w:rsid w:val="00DD6306"/>
    <w:rsid w:val="00DE2E40"/>
    <w:rsid w:val="00DF3EA1"/>
    <w:rsid w:val="00E01A29"/>
    <w:rsid w:val="00E110EE"/>
    <w:rsid w:val="00E2061C"/>
    <w:rsid w:val="00E31B34"/>
    <w:rsid w:val="00E33716"/>
    <w:rsid w:val="00E41EDF"/>
    <w:rsid w:val="00E451FB"/>
    <w:rsid w:val="00E47DF5"/>
    <w:rsid w:val="00E509B6"/>
    <w:rsid w:val="00E54185"/>
    <w:rsid w:val="00E7365D"/>
    <w:rsid w:val="00E74BDE"/>
    <w:rsid w:val="00E80C57"/>
    <w:rsid w:val="00E82AE0"/>
    <w:rsid w:val="00E85785"/>
    <w:rsid w:val="00E87729"/>
    <w:rsid w:val="00E87A6B"/>
    <w:rsid w:val="00E91A7C"/>
    <w:rsid w:val="00E91AD2"/>
    <w:rsid w:val="00ED1143"/>
    <w:rsid w:val="00ED50A3"/>
    <w:rsid w:val="00EE4A0E"/>
    <w:rsid w:val="00EE7884"/>
    <w:rsid w:val="00EF521D"/>
    <w:rsid w:val="00EF789C"/>
    <w:rsid w:val="00F053A1"/>
    <w:rsid w:val="00F05754"/>
    <w:rsid w:val="00F14312"/>
    <w:rsid w:val="00F1601D"/>
    <w:rsid w:val="00F51A71"/>
    <w:rsid w:val="00F605D2"/>
    <w:rsid w:val="00F853D1"/>
    <w:rsid w:val="00F86732"/>
    <w:rsid w:val="00F87253"/>
    <w:rsid w:val="00F87F97"/>
    <w:rsid w:val="00F918CE"/>
    <w:rsid w:val="00F92FE2"/>
    <w:rsid w:val="00F95B90"/>
    <w:rsid w:val="00FA129E"/>
    <w:rsid w:val="00FA3792"/>
    <w:rsid w:val="00FB53AE"/>
    <w:rsid w:val="00FC1516"/>
    <w:rsid w:val="00FC2E0B"/>
    <w:rsid w:val="00FC604E"/>
    <w:rsid w:val="00FD4B5C"/>
    <w:rsid w:val="00FE2ED4"/>
    <w:rsid w:val="00FE4340"/>
    <w:rsid w:val="00FE671A"/>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14:docId w14:val="0B32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36787F"/>
    <w:pPr>
      <w:numPr>
        <w:ilvl w:val="1"/>
        <w:numId w:val="30"/>
      </w:numPr>
      <w:tabs>
        <w:tab w:val="clear" w:pos="1985"/>
        <w:tab w:val="num" w:pos="360"/>
      </w:tabs>
      <w:ind w:left="0"/>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36787F"/>
    <w:pPr>
      <w:numPr>
        <w:numId w:val="20"/>
      </w:numPr>
      <w:tabs>
        <w:tab w:val="clear" w:pos="2268"/>
        <w:tab w:val="num" w:pos="360"/>
      </w:tabs>
      <w:ind w:left="0" w:firstLine="0"/>
    </w:pPr>
  </w:style>
  <w:style w:type="paragraph" w:customStyle="1" w:styleId="dotpoint2">
    <w:name w:val="dot point 2"/>
    <w:basedOn w:val="Normal"/>
    <w:rsid w:val="0036787F"/>
    <w:pPr>
      <w:numPr>
        <w:ilvl w:val="1"/>
        <w:numId w:val="20"/>
      </w:numPr>
      <w:tabs>
        <w:tab w:val="clear" w:pos="2552"/>
        <w:tab w:val="num" w:pos="360"/>
      </w:tabs>
      <w:ind w:left="0"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C22990"/>
    <w:pPr>
      <w:spacing w:before="0" w:after="0"/>
    </w:pPr>
    <w:rPr>
      <w:rFonts w:ascii="Tahoma" w:hAnsi="Tahoma" w:cs="Tahoma"/>
      <w:sz w:val="16"/>
      <w:szCs w:val="16"/>
    </w:rPr>
  </w:style>
  <w:style w:type="character" w:customStyle="1" w:styleId="BalloonTextChar">
    <w:name w:val="Balloon Text Char"/>
    <w:basedOn w:val="DefaultParagraphFont"/>
    <w:link w:val="BalloonText"/>
    <w:rsid w:val="00C22990"/>
    <w:rPr>
      <w:rFonts w:ascii="Tahoma" w:hAnsi="Tahoma" w:cs="Tahoma"/>
      <w:sz w:val="16"/>
      <w:szCs w:val="16"/>
    </w:rPr>
  </w:style>
  <w:style w:type="character" w:styleId="CommentReference">
    <w:name w:val="annotation reference"/>
    <w:basedOn w:val="DefaultParagraphFont"/>
    <w:rsid w:val="00C22990"/>
    <w:rPr>
      <w:sz w:val="16"/>
      <w:szCs w:val="16"/>
    </w:rPr>
  </w:style>
  <w:style w:type="paragraph" w:styleId="CommentText">
    <w:name w:val="annotation text"/>
    <w:basedOn w:val="Normal"/>
    <w:link w:val="CommentTextChar"/>
    <w:rsid w:val="00C22990"/>
    <w:rPr>
      <w:sz w:val="20"/>
    </w:rPr>
  </w:style>
  <w:style w:type="character" w:customStyle="1" w:styleId="CommentTextChar">
    <w:name w:val="Comment Text Char"/>
    <w:basedOn w:val="DefaultParagraphFont"/>
    <w:link w:val="CommentText"/>
    <w:rsid w:val="00C22990"/>
  </w:style>
  <w:style w:type="paragraph" w:styleId="CommentSubject">
    <w:name w:val="annotation subject"/>
    <w:basedOn w:val="CommentText"/>
    <w:next w:val="CommentText"/>
    <w:link w:val="CommentSubjectChar"/>
    <w:rsid w:val="00C22990"/>
    <w:rPr>
      <w:b/>
      <w:bCs/>
    </w:rPr>
  </w:style>
  <w:style w:type="character" w:customStyle="1" w:styleId="CommentSubjectChar">
    <w:name w:val="Comment Subject Char"/>
    <w:basedOn w:val="CommentTextChar"/>
    <w:link w:val="CommentSubject"/>
    <w:rsid w:val="00C229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36787F"/>
    <w:pPr>
      <w:numPr>
        <w:ilvl w:val="1"/>
        <w:numId w:val="30"/>
      </w:numPr>
      <w:tabs>
        <w:tab w:val="clear" w:pos="1985"/>
        <w:tab w:val="num" w:pos="360"/>
      </w:tabs>
      <w:ind w:left="0"/>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36787F"/>
    <w:pPr>
      <w:numPr>
        <w:numId w:val="20"/>
      </w:numPr>
      <w:tabs>
        <w:tab w:val="clear" w:pos="2268"/>
        <w:tab w:val="num" w:pos="360"/>
      </w:tabs>
      <w:ind w:left="0" w:firstLine="0"/>
    </w:pPr>
  </w:style>
  <w:style w:type="paragraph" w:customStyle="1" w:styleId="dotpoint2">
    <w:name w:val="dot point 2"/>
    <w:basedOn w:val="Normal"/>
    <w:rsid w:val="0036787F"/>
    <w:pPr>
      <w:numPr>
        <w:ilvl w:val="1"/>
        <w:numId w:val="20"/>
      </w:numPr>
      <w:tabs>
        <w:tab w:val="clear" w:pos="2552"/>
        <w:tab w:val="num" w:pos="360"/>
      </w:tabs>
      <w:ind w:left="0"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C22990"/>
    <w:pPr>
      <w:spacing w:before="0" w:after="0"/>
    </w:pPr>
    <w:rPr>
      <w:rFonts w:ascii="Tahoma" w:hAnsi="Tahoma" w:cs="Tahoma"/>
      <w:sz w:val="16"/>
      <w:szCs w:val="16"/>
    </w:rPr>
  </w:style>
  <w:style w:type="character" w:customStyle="1" w:styleId="BalloonTextChar">
    <w:name w:val="Balloon Text Char"/>
    <w:basedOn w:val="DefaultParagraphFont"/>
    <w:link w:val="BalloonText"/>
    <w:rsid w:val="00C22990"/>
    <w:rPr>
      <w:rFonts w:ascii="Tahoma" w:hAnsi="Tahoma" w:cs="Tahoma"/>
      <w:sz w:val="16"/>
      <w:szCs w:val="16"/>
    </w:rPr>
  </w:style>
  <w:style w:type="character" w:styleId="CommentReference">
    <w:name w:val="annotation reference"/>
    <w:basedOn w:val="DefaultParagraphFont"/>
    <w:rsid w:val="00C22990"/>
    <w:rPr>
      <w:sz w:val="16"/>
      <w:szCs w:val="16"/>
    </w:rPr>
  </w:style>
  <w:style w:type="paragraph" w:styleId="CommentText">
    <w:name w:val="annotation text"/>
    <w:basedOn w:val="Normal"/>
    <w:link w:val="CommentTextChar"/>
    <w:rsid w:val="00C22990"/>
    <w:rPr>
      <w:sz w:val="20"/>
    </w:rPr>
  </w:style>
  <w:style w:type="character" w:customStyle="1" w:styleId="CommentTextChar">
    <w:name w:val="Comment Text Char"/>
    <w:basedOn w:val="DefaultParagraphFont"/>
    <w:link w:val="CommentText"/>
    <w:rsid w:val="00C22990"/>
  </w:style>
  <w:style w:type="paragraph" w:styleId="CommentSubject">
    <w:name w:val="annotation subject"/>
    <w:basedOn w:val="CommentText"/>
    <w:next w:val="CommentText"/>
    <w:link w:val="CommentSubjectChar"/>
    <w:rsid w:val="00C22990"/>
    <w:rPr>
      <w:b/>
      <w:bCs/>
    </w:rPr>
  </w:style>
  <w:style w:type="character" w:customStyle="1" w:styleId="CommentSubjectChar">
    <w:name w:val="Comment Subject Char"/>
    <w:basedOn w:val="CommentTextChar"/>
    <w:link w:val="CommentSubject"/>
    <w:rsid w:val="00C22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6598C-DCE8-489C-B6C3-F1F1D9DC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1476</Words>
  <Characters>7151</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Explanatory Material to Exposure Draft: Better targeting the zone tax offset</vt:lpstr>
    </vt:vector>
  </TitlesOfParts>
  <Company/>
  <LinksUpToDate>false</LinksUpToDate>
  <CharactersWithSpaces>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 to Exposure Draft: Better targeting the zone tax offset</dc:title>
  <dc:subject/>
  <dc:creator/>
  <cp:keywords/>
  <cp:lastModifiedBy/>
  <cp:revision>1</cp:revision>
  <dcterms:created xsi:type="dcterms:W3CDTF">2015-07-15T04:39:00Z</dcterms:created>
  <dcterms:modified xsi:type="dcterms:W3CDTF">2015-07-15T04:39:00Z</dcterms:modified>
</cp:coreProperties>
</file>