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E18E8" w14:textId="77777777" w:rsidR="00F65354" w:rsidRPr="00B5587C" w:rsidRDefault="0044183B" w:rsidP="00045883">
      <w:pPr>
        <w:rPr>
          <w:rFonts w:ascii="Arial" w:hAnsi="Arial" w:cs="Arial"/>
          <w:szCs w:val="20"/>
        </w:rPr>
      </w:pPr>
      <w:bookmarkStart w:id="0" w:name="_GoBack"/>
      <w:bookmarkEnd w:id="0"/>
      <w:r w:rsidRPr="00B5587C">
        <w:rPr>
          <w:rFonts w:ascii="Arial" w:hAnsi="Arial" w:cs="Arial"/>
          <w:szCs w:val="20"/>
        </w:rPr>
        <w:t>26 June 2015</w:t>
      </w:r>
    </w:p>
    <w:p w14:paraId="083E58AC" w14:textId="77777777" w:rsidR="00F65354" w:rsidRPr="00B5587C" w:rsidRDefault="00F65354" w:rsidP="00045883">
      <w:pPr>
        <w:rPr>
          <w:rFonts w:ascii="Arial" w:hAnsi="Arial" w:cs="Arial"/>
          <w:szCs w:val="20"/>
        </w:rPr>
      </w:pPr>
    </w:p>
    <w:p w14:paraId="5ADC7089" w14:textId="77777777" w:rsidR="00F65354" w:rsidRPr="00B5587C" w:rsidRDefault="00F65354" w:rsidP="00045883">
      <w:pPr>
        <w:rPr>
          <w:rFonts w:ascii="Arial" w:hAnsi="Arial" w:cs="Arial"/>
          <w:szCs w:val="20"/>
        </w:rPr>
      </w:pPr>
    </w:p>
    <w:p w14:paraId="55D61E7F" w14:textId="77777777" w:rsidR="00FC6E19" w:rsidRPr="00B5587C" w:rsidRDefault="0044183B" w:rsidP="00045883">
      <w:pPr>
        <w:rPr>
          <w:rFonts w:ascii="Arial" w:hAnsi="Arial" w:cs="Arial"/>
          <w:szCs w:val="20"/>
        </w:rPr>
      </w:pPr>
      <w:r w:rsidRPr="00B5587C">
        <w:rPr>
          <w:rFonts w:ascii="Arial" w:hAnsi="Arial" w:cs="Arial"/>
          <w:szCs w:val="20"/>
        </w:rPr>
        <w:t xml:space="preserve">Manager </w:t>
      </w:r>
    </w:p>
    <w:p w14:paraId="125CC91A" w14:textId="77777777" w:rsidR="00F65354" w:rsidRPr="00B5587C" w:rsidRDefault="0044183B" w:rsidP="00045883">
      <w:pPr>
        <w:rPr>
          <w:rFonts w:ascii="Arial" w:hAnsi="Arial" w:cs="Arial"/>
          <w:szCs w:val="20"/>
        </w:rPr>
      </w:pPr>
      <w:r w:rsidRPr="00B5587C">
        <w:rPr>
          <w:rFonts w:ascii="Arial" w:hAnsi="Arial" w:cs="Arial"/>
          <w:szCs w:val="20"/>
        </w:rPr>
        <w:t>Banking and Capital Markets Regulation Unit</w:t>
      </w:r>
    </w:p>
    <w:p w14:paraId="0C9BB18E" w14:textId="77777777" w:rsidR="00F65354" w:rsidRPr="00B5587C" w:rsidRDefault="0044183B" w:rsidP="00045883">
      <w:pPr>
        <w:rPr>
          <w:rFonts w:ascii="Arial" w:hAnsi="Arial" w:cs="Arial"/>
          <w:szCs w:val="20"/>
        </w:rPr>
      </w:pPr>
      <w:r w:rsidRPr="00B5587C">
        <w:rPr>
          <w:rFonts w:ascii="Arial" w:hAnsi="Arial" w:cs="Arial"/>
          <w:szCs w:val="20"/>
        </w:rPr>
        <w:t>Financial Systems and Services Division</w:t>
      </w:r>
    </w:p>
    <w:p w14:paraId="4BF75686" w14:textId="77777777" w:rsidR="003C61D7" w:rsidRPr="00B5587C" w:rsidRDefault="0044183B" w:rsidP="00045883">
      <w:pPr>
        <w:rPr>
          <w:rFonts w:ascii="Arial" w:hAnsi="Arial" w:cs="Arial"/>
          <w:szCs w:val="20"/>
        </w:rPr>
      </w:pPr>
      <w:r w:rsidRPr="00B5587C">
        <w:rPr>
          <w:rFonts w:ascii="Arial" w:hAnsi="Arial" w:cs="Arial"/>
          <w:szCs w:val="20"/>
        </w:rPr>
        <w:t>The Treasury</w:t>
      </w:r>
    </w:p>
    <w:p w14:paraId="6ABF2686" w14:textId="77777777" w:rsidR="0044183B" w:rsidRPr="00B5587C" w:rsidRDefault="0044183B" w:rsidP="00045883">
      <w:pPr>
        <w:rPr>
          <w:rFonts w:ascii="Arial" w:hAnsi="Arial" w:cs="Arial"/>
          <w:szCs w:val="20"/>
        </w:rPr>
      </w:pPr>
      <w:r w:rsidRPr="00B5587C">
        <w:rPr>
          <w:rFonts w:ascii="Arial" w:hAnsi="Arial" w:cs="Arial"/>
          <w:szCs w:val="20"/>
        </w:rPr>
        <w:t>Langton Crescent</w:t>
      </w:r>
    </w:p>
    <w:p w14:paraId="4235C656" w14:textId="77777777" w:rsidR="0044183B" w:rsidRPr="00B5587C" w:rsidRDefault="0044183B" w:rsidP="00045883">
      <w:pPr>
        <w:rPr>
          <w:rFonts w:ascii="Arial" w:hAnsi="Arial" w:cs="Arial"/>
          <w:szCs w:val="20"/>
        </w:rPr>
      </w:pPr>
      <w:r w:rsidRPr="00B5587C">
        <w:rPr>
          <w:rFonts w:ascii="Arial" w:hAnsi="Arial" w:cs="Arial"/>
          <w:szCs w:val="20"/>
        </w:rPr>
        <w:t>PARKES ACT 2600</w:t>
      </w:r>
    </w:p>
    <w:p w14:paraId="24069B0C" w14:textId="77777777" w:rsidR="00F65354" w:rsidRPr="00B5587C" w:rsidRDefault="00F65354" w:rsidP="00045883">
      <w:pPr>
        <w:rPr>
          <w:rFonts w:ascii="Arial" w:hAnsi="Arial" w:cs="Arial"/>
          <w:szCs w:val="20"/>
        </w:rPr>
      </w:pPr>
    </w:p>
    <w:p w14:paraId="2C76F1FA" w14:textId="77777777" w:rsidR="00F65354" w:rsidRPr="00B5587C" w:rsidRDefault="0044183B" w:rsidP="00045883">
      <w:pPr>
        <w:rPr>
          <w:rFonts w:ascii="Arial" w:hAnsi="Arial" w:cs="Arial"/>
          <w:szCs w:val="20"/>
        </w:rPr>
      </w:pPr>
      <w:bookmarkStart w:id="1" w:name="ToAddress"/>
      <w:bookmarkEnd w:id="1"/>
      <w:r w:rsidRPr="00B5587C">
        <w:rPr>
          <w:rFonts w:ascii="Arial" w:hAnsi="Arial" w:cs="Arial"/>
          <w:szCs w:val="20"/>
        </w:rPr>
        <w:t>Submitted online</w:t>
      </w:r>
      <w:r w:rsidR="00F65354" w:rsidRPr="00B5587C">
        <w:rPr>
          <w:rFonts w:ascii="Arial" w:hAnsi="Arial" w:cs="Arial"/>
          <w:szCs w:val="20"/>
        </w:rPr>
        <w:t xml:space="preserve">: </w:t>
      </w:r>
      <w:hyperlink r:id="rId13" w:history="1">
        <w:r w:rsidRPr="00B5587C">
          <w:rPr>
            <w:rStyle w:val="Hyperlink"/>
            <w:rFonts w:ascii="Arial" w:hAnsi="Arial" w:cs="Arial"/>
            <w:szCs w:val="20"/>
          </w:rPr>
          <w:t>financialmarkets@treasury.gov.au</w:t>
        </w:r>
      </w:hyperlink>
      <w:r w:rsidRPr="00B5587C">
        <w:rPr>
          <w:rFonts w:ascii="Arial" w:hAnsi="Arial" w:cs="Arial"/>
          <w:szCs w:val="20"/>
        </w:rPr>
        <w:t xml:space="preserve"> </w:t>
      </w:r>
    </w:p>
    <w:p w14:paraId="6A2DDCC2" w14:textId="77777777" w:rsidR="00F65354" w:rsidRPr="00B5587C" w:rsidRDefault="00F65354" w:rsidP="00045883">
      <w:pPr>
        <w:rPr>
          <w:rFonts w:ascii="Arial" w:hAnsi="Arial" w:cs="Arial"/>
          <w:szCs w:val="20"/>
        </w:rPr>
      </w:pPr>
      <w:bookmarkStart w:id="2" w:name="Attention"/>
    </w:p>
    <w:p w14:paraId="7C7AEF9D" w14:textId="77777777" w:rsidR="00F65354" w:rsidRPr="00B5587C" w:rsidRDefault="00F65354" w:rsidP="00045883">
      <w:pPr>
        <w:rPr>
          <w:rFonts w:ascii="Arial" w:hAnsi="Arial" w:cs="Arial"/>
          <w:b/>
          <w:i/>
          <w:szCs w:val="20"/>
          <w:u w:val="single"/>
        </w:rPr>
      </w:pPr>
    </w:p>
    <w:bookmarkEnd w:id="2"/>
    <w:p w14:paraId="134764E1" w14:textId="77777777" w:rsidR="00F65354" w:rsidRPr="00B5587C" w:rsidRDefault="00DA222C" w:rsidP="00045883">
      <w:pPr>
        <w:rPr>
          <w:rFonts w:ascii="Arial" w:hAnsi="Arial" w:cs="Arial"/>
          <w:szCs w:val="20"/>
        </w:rPr>
      </w:pPr>
      <w:r w:rsidRPr="00B5587C">
        <w:rPr>
          <w:rFonts w:ascii="Arial" w:hAnsi="Arial" w:cs="Arial"/>
          <w:szCs w:val="20"/>
        </w:rPr>
        <w:t>To Whom It May Concern</w:t>
      </w:r>
    </w:p>
    <w:p w14:paraId="34F5D58B" w14:textId="77777777" w:rsidR="00F65354" w:rsidRPr="00B5587C" w:rsidRDefault="00F65354" w:rsidP="00045883">
      <w:pPr>
        <w:spacing w:line="360" w:lineRule="auto"/>
        <w:rPr>
          <w:rFonts w:ascii="Arial" w:hAnsi="Arial" w:cs="Arial"/>
          <w:szCs w:val="20"/>
        </w:rPr>
      </w:pPr>
    </w:p>
    <w:p w14:paraId="560E0C1D" w14:textId="77777777" w:rsidR="00F65354" w:rsidRPr="00B5587C" w:rsidRDefault="0044183B" w:rsidP="00045883">
      <w:pPr>
        <w:rPr>
          <w:rFonts w:ascii="Arial" w:hAnsi="Arial" w:cs="Arial"/>
          <w:b/>
          <w:bCs/>
          <w:szCs w:val="20"/>
        </w:rPr>
      </w:pPr>
      <w:bookmarkStart w:id="3" w:name="Subject"/>
      <w:bookmarkEnd w:id="3"/>
      <w:r w:rsidRPr="00B5587C">
        <w:rPr>
          <w:rFonts w:ascii="Arial" w:hAnsi="Arial" w:cs="Arial"/>
          <w:b/>
          <w:bCs/>
          <w:szCs w:val="20"/>
        </w:rPr>
        <w:t>Central Clearing and Single-Sided Reporting Regulation 2015</w:t>
      </w:r>
    </w:p>
    <w:p w14:paraId="73F38D79" w14:textId="77777777" w:rsidR="00F65354" w:rsidRPr="00B5587C" w:rsidRDefault="00F65354" w:rsidP="00045883">
      <w:pPr>
        <w:rPr>
          <w:rFonts w:ascii="Arial" w:hAnsi="Arial" w:cs="Arial"/>
          <w:szCs w:val="20"/>
        </w:rPr>
      </w:pPr>
    </w:p>
    <w:p w14:paraId="61874C19" w14:textId="77777777" w:rsidR="000113F3" w:rsidRPr="00B5587C" w:rsidRDefault="00F65354" w:rsidP="00045883">
      <w:pPr>
        <w:rPr>
          <w:rFonts w:ascii="Arial" w:hAnsi="Arial" w:cs="Arial"/>
          <w:szCs w:val="20"/>
        </w:rPr>
      </w:pPr>
      <w:r w:rsidRPr="00B5587C">
        <w:rPr>
          <w:rFonts w:ascii="Arial" w:hAnsi="Arial" w:cs="Arial"/>
          <w:szCs w:val="20"/>
        </w:rPr>
        <w:t>Origin Energy (Origin) appreci</w:t>
      </w:r>
      <w:r w:rsidR="0044183B" w:rsidRPr="00B5587C">
        <w:rPr>
          <w:rFonts w:ascii="Arial" w:hAnsi="Arial" w:cs="Arial"/>
          <w:szCs w:val="20"/>
        </w:rPr>
        <w:t>ates the opportunity to provide comments to the Treasury consultation on the central clearing and single-sided reporting regulation.</w:t>
      </w:r>
    </w:p>
    <w:p w14:paraId="1E7F3F90" w14:textId="77777777" w:rsidR="000113F3" w:rsidRPr="00B5587C" w:rsidRDefault="000113F3" w:rsidP="00045883">
      <w:pPr>
        <w:rPr>
          <w:rFonts w:ascii="Arial" w:hAnsi="Arial" w:cs="Arial"/>
          <w:szCs w:val="20"/>
        </w:rPr>
      </w:pPr>
    </w:p>
    <w:p w14:paraId="12B6410C" w14:textId="77777777" w:rsidR="005248EE" w:rsidRPr="00B5587C" w:rsidRDefault="009D02C7" w:rsidP="005248EE">
      <w:pPr>
        <w:rPr>
          <w:rFonts w:ascii="Arial" w:hAnsi="Arial" w:cs="Arial"/>
          <w:szCs w:val="20"/>
        </w:rPr>
      </w:pPr>
      <w:r w:rsidRPr="00B5587C">
        <w:rPr>
          <w:rFonts w:ascii="Arial" w:hAnsi="Arial" w:cs="Arial"/>
          <w:szCs w:val="20"/>
        </w:rPr>
        <w:t>Origin supports the intention of the draft regulation for single-sided reporting to not impose an unnecessary compliance burden on industry.</w:t>
      </w:r>
      <w:r w:rsidRPr="00B5587C">
        <w:rPr>
          <w:rStyle w:val="FootnoteReference"/>
          <w:rFonts w:ascii="Arial" w:hAnsi="Arial" w:cs="Arial"/>
          <w:szCs w:val="20"/>
        </w:rPr>
        <w:footnoteReference w:id="1"/>
      </w:r>
      <w:r w:rsidRPr="00B5587C">
        <w:rPr>
          <w:rFonts w:ascii="Arial" w:hAnsi="Arial" w:cs="Arial"/>
          <w:szCs w:val="20"/>
        </w:rPr>
        <w:t xml:space="preserve"> </w:t>
      </w:r>
      <w:r w:rsidR="005248EE" w:rsidRPr="00B5587C">
        <w:rPr>
          <w:rFonts w:ascii="Arial" w:hAnsi="Arial" w:cs="Arial"/>
          <w:szCs w:val="20"/>
        </w:rPr>
        <w:t xml:space="preserve">We agree that imposing a reporting obligation on non-financial entities that do not undertake systemically significant trading in over-the-counter derivatives, including for hedging purposes or where a low volume of trades are executed, is not justifiable. </w:t>
      </w:r>
    </w:p>
    <w:p w14:paraId="74EA12A4" w14:textId="77777777" w:rsidR="005248EE" w:rsidRPr="00B5587C" w:rsidRDefault="005248EE" w:rsidP="00004599">
      <w:pPr>
        <w:rPr>
          <w:rFonts w:ascii="Arial" w:hAnsi="Arial" w:cs="Arial"/>
          <w:szCs w:val="20"/>
        </w:rPr>
      </w:pPr>
    </w:p>
    <w:p w14:paraId="52DA2100" w14:textId="77777777" w:rsidR="003D5C10" w:rsidRPr="00B5587C" w:rsidRDefault="009D02C7" w:rsidP="00004599">
      <w:pPr>
        <w:rPr>
          <w:rFonts w:ascii="Arial" w:hAnsi="Arial" w:cs="Arial"/>
          <w:szCs w:val="20"/>
        </w:rPr>
      </w:pPr>
      <w:r w:rsidRPr="00B5587C">
        <w:rPr>
          <w:rFonts w:ascii="Arial" w:hAnsi="Arial" w:cs="Arial"/>
          <w:szCs w:val="20"/>
        </w:rPr>
        <w:t xml:space="preserve">We appreciate the relief that single-sided reporting will provide where the counterparty </w:t>
      </w:r>
      <w:r w:rsidR="005248EE" w:rsidRPr="00B5587C">
        <w:rPr>
          <w:rFonts w:ascii="Arial" w:hAnsi="Arial" w:cs="Arial"/>
          <w:szCs w:val="20"/>
        </w:rPr>
        <w:t xml:space="preserve">to a derivative transaction is already required to report. </w:t>
      </w:r>
      <w:r w:rsidR="003D5C10" w:rsidRPr="00B5587C">
        <w:rPr>
          <w:rFonts w:ascii="Arial" w:hAnsi="Arial" w:cs="Arial"/>
          <w:szCs w:val="20"/>
        </w:rPr>
        <w:t>Trading activity in commodity derivatives is predominately conducted with larger financial intermediaries that are currently already required to report. The proposed single-sided reporting regulations could</w:t>
      </w:r>
      <w:r w:rsidR="00484E52" w:rsidRPr="00B5587C">
        <w:rPr>
          <w:rFonts w:ascii="Arial" w:hAnsi="Arial" w:cs="Arial"/>
          <w:szCs w:val="20"/>
        </w:rPr>
        <w:t>, therefore,</w:t>
      </w:r>
      <w:r w:rsidR="003D5C10" w:rsidRPr="00B5587C">
        <w:rPr>
          <w:rFonts w:ascii="Arial" w:hAnsi="Arial" w:cs="Arial"/>
          <w:szCs w:val="20"/>
        </w:rPr>
        <w:t xml:space="preserve"> remove the compliance burden for a significant proportion of trading activity.  </w:t>
      </w:r>
    </w:p>
    <w:p w14:paraId="1530EDC5" w14:textId="77777777" w:rsidR="003D5C10" w:rsidRPr="00B5587C" w:rsidRDefault="003D5C10" w:rsidP="00004599">
      <w:pPr>
        <w:rPr>
          <w:rFonts w:ascii="Arial" w:hAnsi="Arial" w:cs="Arial"/>
          <w:szCs w:val="20"/>
        </w:rPr>
      </w:pPr>
    </w:p>
    <w:p w14:paraId="111E6035" w14:textId="77777777" w:rsidR="009D02C7" w:rsidRPr="00B5587C" w:rsidRDefault="005248EE" w:rsidP="00004599">
      <w:pPr>
        <w:rPr>
          <w:rFonts w:ascii="Arial" w:hAnsi="Arial" w:cs="Arial"/>
          <w:szCs w:val="20"/>
        </w:rPr>
      </w:pPr>
      <w:r w:rsidRPr="00B5587C">
        <w:rPr>
          <w:rFonts w:ascii="Arial" w:hAnsi="Arial" w:cs="Arial"/>
          <w:szCs w:val="20"/>
        </w:rPr>
        <w:t>T</w:t>
      </w:r>
      <w:r w:rsidR="00004599" w:rsidRPr="00B5587C">
        <w:rPr>
          <w:rFonts w:ascii="Arial" w:hAnsi="Arial" w:cs="Arial"/>
          <w:szCs w:val="20"/>
        </w:rPr>
        <w:t>he draft regulations could</w:t>
      </w:r>
      <w:r w:rsidRPr="00B5587C">
        <w:rPr>
          <w:rFonts w:ascii="Arial" w:hAnsi="Arial" w:cs="Arial"/>
          <w:szCs w:val="20"/>
        </w:rPr>
        <w:t>, however,</w:t>
      </w:r>
      <w:r w:rsidR="00004599" w:rsidRPr="00B5587C">
        <w:rPr>
          <w:rFonts w:ascii="Arial" w:hAnsi="Arial" w:cs="Arial"/>
          <w:szCs w:val="20"/>
        </w:rPr>
        <w:t xml:space="preserve"> unintentionally impose a reporting obligation on Phase 3B entities for peer to peer derivative transactions</w:t>
      </w:r>
      <w:r w:rsidR="009D02C7" w:rsidRPr="00B5587C">
        <w:rPr>
          <w:rFonts w:ascii="Arial" w:hAnsi="Arial" w:cs="Arial"/>
          <w:szCs w:val="20"/>
        </w:rPr>
        <w:t xml:space="preserve"> or where the counterparty does not hold an Australian Financial Services Licence (AFSL)</w:t>
      </w:r>
      <w:r w:rsidR="00004599" w:rsidRPr="00B5587C">
        <w:rPr>
          <w:rFonts w:ascii="Arial" w:hAnsi="Arial" w:cs="Arial"/>
          <w:szCs w:val="20"/>
        </w:rPr>
        <w:t>.</w:t>
      </w:r>
      <w:r w:rsidR="002B3624" w:rsidRPr="00B5587C">
        <w:rPr>
          <w:rFonts w:ascii="Arial" w:hAnsi="Arial" w:cs="Arial"/>
          <w:szCs w:val="20"/>
        </w:rPr>
        <w:t xml:space="preserve"> </w:t>
      </w:r>
      <w:r w:rsidR="009F1B4E" w:rsidRPr="00B5587C">
        <w:rPr>
          <w:rFonts w:ascii="Arial" w:hAnsi="Arial" w:cs="Arial"/>
          <w:szCs w:val="20"/>
        </w:rPr>
        <w:t>We do not consider it is</w:t>
      </w:r>
      <w:r w:rsidRPr="00B5587C">
        <w:rPr>
          <w:rFonts w:ascii="Arial" w:hAnsi="Arial" w:cs="Arial"/>
          <w:szCs w:val="20"/>
        </w:rPr>
        <w:t xml:space="preserve"> </w:t>
      </w:r>
      <w:r w:rsidR="00F040B8" w:rsidRPr="00B5587C">
        <w:rPr>
          <w:rFonts w:ascii="Arial" w:hAnsi="Arial" w:cs="Arial"/>
          <w:szCs w:val="20"/>
        </w:rPr>
        <w:t xml:space="preserve">the </w:t>
      </w:r>
      <w:r w:rsidRPr="00B5587C">
        <w:rPr>
          <w:rFonts w:ascii="Arial" w:hAnsi="Arial" w:cs="Arial"/>
          <w:szCs w:val="20"/>
        </w:rPr>
        <w:t>intention of the draft regulation to impose a reporting requirement on other commodity transactions, for example oil, gas and environmental derivatives when the exposure and volume of transaction</w:t>
      </w:r>
      <w:r w:rsidR="00D773ED" w:rsidRPr="00B5587C">
        <w:rPr>
          <w:rFonts w:ascii="Arial" w:hAnsi="Arial" w:cs="Arial"/>
          <w:szCs w:val="20"/>
        </w:rPr>
        <w:t>s</w:t>
      </w:r>
      <w:r w:rsidRPr="00B5587C">
        <w:rPr>
          <w:rFonts w:ascii="Arial" w:hAnsi="Arial" w:cs="Arial"/>
          <w:szCs w:val="20"/>
        </w:rPr>
        <w:t xml:space="preserve"> would be low.    </w:t>
      </w:r>
    </w:p>
    <w:p w14:paraId="555D8939" w14:textId="77777777" w:rsidR="009D02C7" w:rsidRPr="00B5587C" w:rsidRDefault="009D02C7" w:rsidP="00004599">
      <w:pPr>
        <w:rPr>
          <w:rFonts w:ascii="Arial" w:hAnsi="Arial" w:cs="Arial"/>
          <w:szCs w:val="20"/>
        </w:rPr>
      </w:pPr>
    </w:p>
    <w:p w14:paraId="006643DA" w14:textId="77777777" w:rsidR="0066119F" w:rsidRPr="00B5587C" w:rsidRDefault="00D773ED" w:rsidP="00004599">
      <w:pPr>
        <w:rPr>
          <w:rFonts w:ascii="Arial" w:hAnsi="Arial" w:cs="Arial"/>
          <w:szCs w:val="20"/>
        </w:rPr>
      </w:pPr>
      <w:r w:rsidRPr="00B5587C">
        <w:rPr>
          <w:rFonts w:ascii="Arial" w:hAnsi="Arial" w:cs="Arial"/>
          <w:szCs w:val="20"/>
        </w:rPr>
        <w:t xml:space="preserve">To minimise the potential for unintended consequences a further ministerial determination or amendments to the </w:t>
      </w:r>
      <w:r w:rsidR="00F040B8" w:rsidRPr="00B5587C">
        <w:rPr>
          <w:rFonts w:ascii="Arial" w:hAnsi="Arial" w:cs="Arial"/>
          <w:szCs w:val="20"/>
        </w:rPr>
        <w:t xml:space="preserve">draft </w:t>
      </w:r>
      <w:r w:rsidRPr="00B5587C">
        <w:rPr>
          <w:rFonts w:ascii="Arial" w:hAnsi="Arial" w:cs="Arial"/>
          <w:szCs w:val="20"/>
        </w:rPr>
        <w:t>regulations could be warranted to ensure a reporting obligation is not imposed on commodity derivatives</w:t>
      </w:r>
      <w:r w:rsidR="0066119F" w:rsidRPr="00B5587C">
        <w:rPr>
          <w:rFonts w:ascii="Arial" w:hAnsi="Arial" w:cs="Arial"/>
          <w:szCs w:val="20"/>
        </w:rPr>
        <w:t xml:space="preserve"> that are not systemically important</w:t>
      </w:r>
      <w:r w:rsidRPr="00B5587C">
        <w:rPr>
          <w:rFonts w:ascii="Arial" w:hAnsi="Arial" w:cs="Arial"/>
          <w:szCs w:val="20"/>
        </w:rPr>
        <w:t xml:space="preserve">. </w:t>
      </w:r>
      <w:r w:rsidR="00F040B8" w:rsidRPr="00B5587C">
        <w:rPr>
          <w:rFonts w:ascii="Arial" w:hAnsi="Arial" w:cs="Arial"/>
          <w:szCs w:val="20"/>
        </w:rPr>
        <w:t>That is, the same rationale applied in the exemption of electricity derivatives should</w:t>
      </w:r>
      <w:r w:rsidRPr="00B5587C">
        <w:rPr>
          <w:rFonts w:ascii="Arial" w:hAnsi="Arial" w:cs="Arial"/>
          <w:szCs w:val="20"/>
        </w:rPr>
        <w:t xml:space="preserve"> be extended to other commodities</w:t>
      </w:r>
      <w:r w:rsidR="0066119F" w:rsidRPr="00B5587C">
        <w:rPr>
          <w:rFonts w:ascii="Arial" w:hAnsi="Arial" w:cs="Arial"/>
          <w:szCs w:val="20"/>
        </w:rPr>
        <w:t xml:space="preserve"> including oil, gas and environmental derivatives</w:t>
      </w:r>
      <w:r w:rsidRPr="00B5587C">
        <w:rPr>
          <w:rFonts w:ascii="Arial" w:hAnsi="Arial" w:cs="Arial"/>
          <w:szCs w:val="20"/>
        </w:rPr>
        <w:t xml:space="preserve">. </w:t>
      </w:r>
    </w:p>
    <w:p w14:paraId="6E45A423" w14:textId="77777777" w:rsidR="00B5129F" w:rsidRPr="00B5587C" w:rsidRDefault="00B5129F" w:rsidP="00045883">
      <w:pPr>
        <w:rPr>
          <w:rFonts w:ascii="Arial" w:hAnsi="Arial" w:cs="Arial"/>
          <w:szCs w:val="20"/>
        </w:rPr>
      </w:pPr>
    </w:p>
    <w:p w14:paraId="00B6B76D" w14:textId="77777777" w:rsidR="00B5129F" w:rsidRPr="00B5587C" w:rsidRDefault="00B5129F" w:rsidP="00045883">
      <w:pPr>
        <w:rPr>
          <w:rFonts w:ascii="Arial" w:hAnsi="Arial" w:cs="Arial"/>
          <w:i/>
          <w:szCs w:val="20"/>
        </w:rPr>
      </w:pPr>
      <w:r w:rsidRPr="00B5587C">
        <w:rPr>
          <w:rFonts w:ascii="Arial" w:hAnsi="Arial" w:cs="Arial"/>
          <w:i/>
          <w:szCs w:val="20"/>
        </w:rPr>
        <w:t>Defining the problem</w:t>
      </w:r>
    </w:p>
    <w:p w14:paraId="7CA770E3" w14:textId="77777777" w:rsidR="00B5129F" w:rsidRPr="00B5587C" w:rsidRDefault="00B5129F" w:rsidP="00045883">
      <w:pPr>
        <w:rPr>
          <w:rFonts w:ascii="Arial" w:hAnsi="Arial" w:cs="Arial"/>
          <w:i/>
          <w:szCs w:val="20"/>
        </w:rPr>
      </w:pPr>
    </w:p>
    <w:p w14:paraId="3EA2BFAF" w14:textId="77777777" w:rsidR="00DA222C" w:rsidRPr="00B5587C" w:rsidRDefault="00DA222C" w:rsidP="00DA222C">
      <w:pPr>
        <w:rPr>
          <w:rFonts w:ascii="Arial" w:hAnsi="Arial" w:cs="Arial"/>
          <w:szCs w:val="20"/>
        </w:rPr>
      </w:pPr>
      <w:r w:rsidRPr="00B5587C">
        <w:rPr>
          <w:rFonts w:ascii="Arial" w:hAnsi="Arial" w:cs="Arial"/>
          <w:szCs w:val="20"/>
        </w:rPr>
        <w:t>The regulations are drafted such that the derivative transaction</w:t>
      </w:r>
      <w:r w:rsidR="0066119F" w:rsidRPr="00B5587C">
        <w:rPr>
          <w:rFonts w:ascii="Arial" w:hAnsi="Arial" w:cs="Arial"/>
          <w:szCs w:val="20"/>
        </w:rPr>
        <w:t xml:space="preserve"> rules cannot be imposed where </w:t>
      </w:r>
      <w:r w:rsidR="00466473" w:rsidRPr="00B5587C">
        <w:rPr>
          <w:rFonts w:ascii="Arial" w:hAnsi="Arial" w:cs="Arial"/>
          <w:szCs w:val="20"/>
        </w:rPr>
        <w:t>an entity’s AFSL</w:t>
      </w:r>
      <w:r w:rsidRPr="00B5587C">
        <w:rPr>
          <w:rFonts w:ascii="Arial" w:hAnsi="Arial" w:cs="Arial"/>
          <w:szCs w:val="20"/>
        </w:rPr>
        <w:t xml:space="preserve"> do</w:t>
      </w:r>
      <w:r w:rsidR="00466473" w:rsidRPr="00B5587C">
        <w:rPr>
          <w:rFonts w:ascii="Arial" w:hAnsi="Arial" w:cs="Arial"/>
          <w:szCs w:val="20"/>
        </w:rPr>
        <w:t>es</w:t>
      </w:r>
      <w:r w:rsidRPr="00B5587C">
        <w:rPr>
          <w:rFonts w:ascii="Arial" w:hAnsi="Arial" w:cs="Arial"/>
          <w:szCs w:val="20"/>
        </w:rPr>
        <w:t xml:space="preserve"> not authorise them to provide financial services for that class </w:t>
      </w:r>
      <w:r w:rsidR="0066119F" w:rsidRPr="00B5587C">
        <w:rPr>
          <w:rFonts w:ascii="Arial" w:hAnsi="Arial" w:cs="Arial"/>
          <w:szCs w:val="20"/>
        </w:rPr>
        <w:t xml:space="preserve">of </w:t>
      </w:r>
      <w:r w:rsidRPr="00B5587C">
        <w:rPr>
          <w:rFonts w:ascii="Arial" w:hAnsi="Arial" w:cs="Arial"/>
          <w:szCs w:val="20"/>
        </w:rPr>
        <w:t xml:space="preserve">derivatives. The problem with the practical application of the regulation is an entity’s AFSL could provide a general authorisation relating to derivatives rather than an explicit reference to any particular class of derivatives. </w:t>
      </w:r>
    </w:p>
    <w:p w14:paraId="04A06E53" w14:textId="77777777" w:rsidR="0011146A" w:rsidRPr="00B5587C" w:rsidRDefault="0011146A" w:rsidP="00045883">
      <w:pPr>
        <w:rPr>
          <w:rFonts w:ascii="Arial" w:hAnsi="Arial" w:cs="Arial"/>
          <w:szCs w:val="20"/>
        </w:rPr>
      </w:pPr>
    </w:p>
    <w:p w14:paraId="19B52026" w14:textId="77777777" w:rsidR="002B35AA" w:rsidRPr="00B5587C" w:rsidRDefault="00B5129F" w:rsidP="00045883">
      <w:pPr>
        <w:rPr>
          <w:rFonts w:ascii="Arial" w:hAnsi="Arial" w:cs="Arial"/>
          <w:szCs w:val="20"/>
        </w:rPr>
      </w:pPr>
      <w:r w:rsidRPr="00B5587C">
        <w:rPr>
          <w:rFonts w:ascii="Arial" w:hAnsi="Arial" w:cs="Arial"/>
          <w:szCs w:val="20"/>
        </w:rPr>
        <w:t>The implication of this in practice is</w:t>
      </w:r>
      <w:r w:rsidR="0011146A" w:rsidRPr="00B5587C">
        <w:rPr>
          <w:rFonts w:ascii="Arial" w:hAnsi="Arial" w:cs="Arial"/>
          <w:szCs w:val="20"/>
        </w:rPr>
        <w:t xml:space="preserve"> where an entity may be exempt from reporting through being a</w:t>
      </w:r>
      <w:r w:rsidR="00386083" w:rsidRPr="00B5587C">
        <w:rPr>
          <w:rFonts w:ascii="Arial" w:hAnsi="Arial" w:cs="Arial"/>
          <w:szCs w:val="20"/>
        </w:rPr>
        <w:t>n</w:t>
      </w:r>
      <w:r w:rsidR="0011146A" w:rsidRPr="00B5587C">
        <w:rPr>
          <w:rFonts w:ascii="Arial" w:hAnsi="Arial" w:cs="Arial"/>
          <w:szCs w:val="20"/>
        </w:rPr>
        <w:t xml:space="preserve"> end user</w:t>
      </w:r>
      <w:r w:rsidR="00386083" w:rsidRPr="00B5587C">
        <w:rPr>
          <w:rFonts w:ascii="Arial" w:hAnsi="Arial" w:cs="Arial"/>
          <w:szCs w:val="20"/>
        </w:rPr>
        <w:t xml:space="preserve"> they would be required to report through holding an AFSL with a general authorisation to trade derivatives.</w:t>
      </w:r>
      <w:r w:rsidR="0066119F" w:rsidRPr="00B5587C">
        <w:rPr>
          <w:rFonts w:ascii="Arial" w:hAnsi="Arial" w:cs="Arial"/>
          <w:szCs w:val="20"/>
        </w:rPr>
        <w:t xml:space="preserve"> The</w:t>
      </w:r>
      <w:r w:rsidRPr="00B5587C">
        <w:rPr>
          <w:rFonts w:ascii="Arial" w:hAnsi="Arial" w:cs="Arial"/>
          <w:szCs w:val="20"/>
        </w:rPr>
        <w:t xml:space="preserve"> general authorisation becomes a catch-all provision covering all derivative asset classes</w:t>
      </w:r>
      <w:r w:rsidR="00386083" w:rsidRPr="00B5587C">
        <w:rPr>
          <w:rFonts w:ascii="Arial" w:hAnsi="Arial" w:cs="Arial"/>
          <w:szCs w:val="20"/>
        </w:rPr>
        <w:t xml:space="preserve"> irrespective of the purpose </w:t>
      </w:r>
      <w:r w:rsidR="00466473" w:rsidRPr="00B5587C">
        <w:rPr>
          <w:rFonts w:ascii="Arial" w:hAnsi="Arial" w:cs="Arial"/>
          <w:szCs w:val="20"/>
        </w:rPr>
        <w:t xml:space="preserve">and volume of </w:t>
      </w:r>
      <w:r w:rsidR="00386083" w:rsidRPr="00B5587C">
        <w:rPr>
          <w:rFonts w:ascii="Arial" w:hAnsi="Arial" w:cs="Arial"/>
          <w:szCs w:val="20"/>
        </w:rPr>
        <w:t>transaction</w:t>
      </w:r>
      <w:r w:rsidR="00466473" w:rsidRPr="00B5587C">
        <w:rPr>
          <w:rFonts w:ascii="Arial" w:hAnsi="Arial" w:cs="Arial"/>
          <w:szCs w:val="20"/>
        </w:rPr>
        <w:t>s or the size of the exposure</w:t>
      </w:r>
      <w:r w:rsidRPr="00B5587C">
        <w:rPr>
          <w:rFonts w:ascii="Arial" w:hAnsi="Arial" w:cs="Arial"/>
          <w:szCs w:val="20"/>
        </w:rPr>
        <w:t xml:space="preserve">. </w:t>
      </w:r>
    </w:p>
    <w:p w14:paraId="549F1BE8" w14:textId="77777777" w:rsidR="00466473" w:rsidRPr="00B5587C" w:rsidRDefault="00466473" w:rsidP="00045883">
      <w:pPr>
        <w:rPr>
          <w:rFonts w:ascii="Arial" w:hAnsi="Arial" w:cs="Arial"/>
          <w:szCs w:val="20"/>
        </w:rPr>
      </w:pPr>
    </w:p>
    <w:p w14:paraId="76FE85C5" w14:textId="77777777" w:rsidR="00B5129F" w:rsidRPr="00B5587C" w:rsidRDefault="002B35AA" w:rsidP="00045883">
      <w:pPr>
        <w:rPr>
          <w:rFonts w:ascii="Arial" w:hAnsi="Arial" w:cs="Arial"/>
          <w:szCs w:val="20"/>
        </w:rPr>
      </w:pPr>
      <w:r w:rsidRPr="00B5587C">
        <w:rPr>
          <w:rFonts w:ascii="Arial" w:hAnsi="Arial" w:cs="Arial"/>
          <w:i/>
          <w:szCs w:val="20"/>
        </w:rPr>
        <w:t>A preferred solution</w:t>
      </w:r>
      <w:r w:rsidR="00B5129F" w:rsidRPr="00B5587C">
        <w:rPr>
          <w:rFonts w:ascii="Arial" w:hAnsi="Arial" w:cs="Arial"/>
          <w:szCs w:val="20"/>
        </w:rPr>
        <w:t xml:space="preserve">   </w:t>
      </w:r>
    </w:p>
    <w:p w14:paraId="1D5EC563" w14:textId="77777777" w:rsidR="003A2D11" w:rsidRPr="00B5587C" w:rsidRDefault="003A2D11" w:rsidP="00045883">
      <w:pPr>
        <w:rPr>
          <w:rFonts w:ascii="Arial" w:hAnsi="Arial" w:cs="Arial"/>
          <w:szCs w:val="20"/>
        </w:rPr>
      </w:pPr>
    </w:p>
    <w:p w14:paraId="57C73351" w14:textId="77777777" w:rsidR="002B35AA" w:rsidRPr="00B5587C" w:rsidRDefault="002B35AA" w:rsidP="002B35AA">
      <w:pPr>
        <w:rPr>
          <w:rFonts w:ascii="Arial" w:hAnsi="Arial" w:cs="Arial"/>
          <w:szCs w:val="20"/>
        </w:rPr>
      </w:pPr>
      <w:r w:rsidRPr="00B5587C">
        <w:rPr>
          <w:rFonts w:ascii="Arial" w:hAnsi="Arial" w:cs="Arial"/>
          <w:szCs w:val="20"/>
        </w:rPr>
        <w:t>We consider a ministerial determination or regulations should be extend</w:t>
      </w:r>
      <w:r w:rsidR="002F012B" w:rsidRPr="00B5587C">
        <w:rPr>
          <w:rFonts w:ascii="Arial" w:hAnsi="Arial" w:cs="Arial"/>
          <w:szCs w:val="20"/>
        </w:rPr>
        <w:t>ed</w:t>
      </w:r>
      <w:r w:rsidRPr="00B5587C">
        <w:rPr>
          <w:rFonts w:ascii="Arial" w:hAnsi="Arial" w:cs="Arial"/>
          <w:szCs w:val="20"/>
        </w:rPr>
        <w:t xml:space="preserve"> to provide further relief from re</w:t>
      </w:r>
      <w:r w:rsidR="00466473" w:rsidRPr="00B5587C">
        <w:rPr>
          <w:rFonts w:ascii="Arial" w:hAnsi="Arial" w:cs="Arial"/>
          <w:szCs w:val="20"/>
        </w:rPr>
        <w:t xml:space="preserve">porting for other commodity </w:t>
      </w:r>
      <w:r w:rsidRPr="00B5587C">
        <w:rPr>
          <w:rFonts w:ascii="Arial" w:hAnsi="Arial" w:cs="Arial"/>
          <w:szCs w:val="20"/>
        </w:rPr>
        <w:t>derivative tran</w:t>
      </w:r>
      <w:r w:rsidR="00466473" w:rsidRPr="00B5587C">
        <w:rPr>
          <w:rFonts w:ascii="Arial" w:hAnsi="Arial" w:cs="Arial"/>
          <w:szCs w:val="20"/>
        </w:rPr>
        <w:t xml:space="preserve">sactions where the trades are for hedging purposes </w:t>
      </w:r>
      <w:r w:rsidRPr="00B5587C">
        <w:rPr>
          <w:rFonts w:ascii="Arial" w:hAnsi="Arial" w:cs="Arial"/>
          <w:szCs w:val="20"/>
        </w:rPr>
        <w:t xml:space="preserve">or there is a low volume of transactions. </w:t>
      </w:r>
      <w:r w:rsidR="00466473" w:rsidRPr="00B5587C">
        <w:rPr>
          <w:rFonts w:ascii="Arial" w:hAnsi="Arial" w:cs="Arial"/>
          <w:szCs w:val="20"/>
        </w:rPr>
        <w:t>The compliance</w:t>
      </w:r>
      <w:r w:rsidRPr="00B5587C">
        <w:rPr>
          <w:rFonts w:ascii="Arial" w:hAnsi="Arial" w:cs="Arial"/>
          <w:szCs w:val="20"/>
        </w:rPr>
        <w:t xml:space="preserve"> costs for reporting a low vo</w:t>
      </w:r>
      <w:r w:rsidR="00466473" w:rsidRPr="00B5587C">
        <w:rPr>
          <w:rFonts w:ascii="Arial" w:hAnsi="Arial" w:cs="Arial"/>
          <w:szCs w:val="20"/>
        </w:rPr>
        <w:t>lume of transactions could increase derivative transaction costs and hinder the development of a competitive and</w:t>
      </w:r>
      <w:r w:rsidRPr="00B5587C">
        <w:rPr>
          <w:rFonts w:ascii="Arial" w:hAnsi="Arial" w:cs="Arial"/>
          <w:szCs w:val="20"/>
        </w:rPr>
        <w:t xml:space="preserve"> efficient commodity market.  </w:t>
      </w:r>
    </w:p>
    <w:p w14:paraId="100887CA" w14:textId="77777777" w:rsidR="002B35AA" w:rsidRPr="00B5587C" w:rsidRDefault="002B35AA" w:rsidP="00045883">
      <w:pPr>
        <w:rPr>
          <w:rFonts w:ascii="Arial" w:hAnsi="Arial" w:cs="Arial"/>
          <w:szCs w:val="20"/>
        </w:rPr>
      </w:pPr>
    </w:p>
    <w:p w14:paraId="324E104C" w14:textId="77777777" w:rsidR="00341735" w:rsidRPr="00B5587C" w:rsidRDefault="00341735" w:rsidP="00045883">
      <w:pPr>
        <w:rPr>
          <w:rFonts w:ascii="Arial" w:hAnsi="Arial" w:cs="Arial"/>
          <w:i/>
          <w:szCs w:val="20"/>
        </w:rPr>
      </w:pPr>
      <w:r w:rsidRPr="00B5587C">
        <w:rPr>
          <w:rFonts w:ascii="Arial" w:hAnsi="Arial" w:cs="Arial"/>
          <w:i/>
          <w:szCs w:val="20"/>
        </w:rPr>
        <w:t xml:space="preserve">Ministerial determination </w:t>
      </w:r>
      <w:r w:rsidR="000C420D" w:rsidRPr="00B5587C">
        <w:rPr>
          <w:rFonts w:ascii="Arial" w:hAnsi="Arial" w:cs="Arial"/>
          <w:i/>
          <w:szCs w:val="20"/>
        </w:rPr>
        <w:t>or refined regulations</w:t>
      </w:r>
    </w:p>
    <w:p w14:paraId="77D40B1F" w14:textId="77777777" w:rsidR="00341735" w:rsidRPr="00B5587C" w:rsidRDefault="00341735" w:rsidP="00045883">
      <w:pPr>
        <w:rPr>
          <w:rFonts w:ascii="Arial" w:hAnsi="Arial" w:cs="Arial"/>
          <w:szCs w:val="20"/>
        </w:rPr>
      </w:pPr>
    </w:p>
    <w:p w14:paraId="1CBBAA76" w14:textId="77777777" w:rsidR="00484E52" w:rsidRPr="00B5587C" w:rsidRDefault="003821B1" w:rsidP="000C420D">
      <w:pPr>
        <w:rPr>
          <w:rFonts w:ascii="Arial" w:hAnsi="Arial" w:cs="Arial"/>
          <w:szCs w:val="20"/>
        </w:rPr>
      </w:pPr>
      <w:r w:rsidRPr="00B5587C">
        <w:rPr>
          <w:rFonts w:ascii="Arial" w:hAnsi="Arial" w:cs="Arial"/>
          <w:szCs w:val="20"/>
        </w:rPr>
        <w:t>A ministerial determination</w:t>
      </w:r>
      <w:r w:rsidR="005E3E35" w:rsidRPr="00B5587C">
        <w:rPr>
          <w:rFonts w:ascii="Arial" w:hAnsi="Arial" w:cs="Arial"/>
          <w:szCs w:val="20"/>
        </w:rPr>
        <w:t xml:space="preserve"> </w:t>
      </w:r>
      <w:r w:rsidR="003A2D11" w:rsidRPr="00B5587C">
        <w:rPr>
          <w:rFonts w:ascii="Arial" w:hAnsi="Arial" w:cs="Arial"/>
          <w:szCs w:val="20"/>
        </w:rPr>
        <w:t xml:space="preserve">under section 901B (3)(iii) of the Corporations Act </w:t>
      </w:r>
      <w:r w:rsidRPr="00B5587C">
        <w:rPr>
          <w:rFonts w:ascii="Arial" w:hAnsi="Arial" w:cs="Arial"/>
          <w:szCs w:val="20"/>
        </w:rPr>
        <w:t xml:space="preserve">may consider </w:t>
      </w:r>
      <w:r w:rsidR="005E3E35" w:rsidRPr="00B5587C">
        <w:rPr>
          <w:rFonts w:ascii="Arial" w:hAnsi="Arial" w:cs="Arial"/>
          <w:szCs w:val="20"/>
        </w:rPr>
        <w:t>the impact of reporting on commodity</w:t>
      </w:r>
      <w:r w:rsidRPr="00B5587C">
        <w:rPr>
          <w:rFonts w:ascii="Arial" w:hAnsi="Arial" w:cs="Arial"/>
          <w:szCs w:val="20"/>
        </w:rPr>
        <w:t xml:space="preserve"> markets as a matter in making a determination</w:t>
      </w:r>
      <w:r w:rsidR="003A2D11" w:rsidRPr="00B5587C">
        <w:rPr>
          <w:rFonts w:ascii="Arial" w:hAnsi="Arial" w:cs="Arial"/>
          <w:szCs w:val="20"/>
        </w:rPr>
        <w:t>.</w:t>
      </w:r>
      <w:r w:rsidR="006B65B4" w:rsidRPr="00B5587C">
        <w:rPr>
          <w:rFonts w:ascii="Arial" w:hAnsi="Arial" w:cs="Arial"/>
          <w:szCs w:val="20"/>
        </w:rPr>
        <w:t xml:space="preserve"> We consider </w:t>
      </w:r>
      <w:r w:rsidR="00484E52" w:rsidRPr="00B5587C">
        <w:rPr>
          <w:rFonts w:ascii="Arial" w:hAnsi="Arial" w:cs="Arial"/>
          <w:szCs w:val="20"/>
        </w:rPr>
        <w:t>a reporting requirement c</w:t>
      </w:r>
      <w:r w:rsidR="006B65B4" w:rsidRPr="00B5587C">
        <w:rPr>
          <w:rFonts w:ascii="Arial" w:hAnsi="Arial" w:cs="Arial"/>
          <w:szCs w:val="20"/>
        </w:rPr>
        <w:t xml:space="preserve">ould hinder </w:t>
      </w:r>
      <w:r w:rsidR="00484E52" w:rsidRPr="00B5587C">
        <w:rPr>
          <w:rFonts w:ascii="Arial" w:hAnsi="Arial" w:cs="Arial"/>
          <w:szCs w:val="20"/>
        </w:rPr>
        <w:t xml:space="preserve">a competitive and </w:t>
      </w:r>
      <w:r w:rsidR="006B65B4" w:rsidRPr="00B5587C">
        <w:rPr>
          <w:rFonts w:ascii="Arial" w:hAnsi="Arial" w:cs="Arial"/>
          <w:szCs w:val="20"/>
        </w:rPr>
        <w:t>efficient market for commodity derivatives when</w:t>
      </w:r>
      <w:r w:rsidR="00484E52" w:rsidRPr="00B5587C">
        <w:rPr>
          <w:rFonts w:ascii="Arial" w:hAnsi="Arial" w:cs="Arial"/>
          <w:szCs w:val="20"/>
        </w:rPr>
        <w:t xml:space="preserve"> </w:t>
      </w:r>
      <w:r w:rsidR="006B65B4" w:rsidRPr="00B5587C">
        <w:rPr>
          <w:rFonts w:ascii="Arial" w:hAnsi="Arial" w:cs="Arial"/>
          <w:szCs w:val="20"/>
        </w:rPr>
        <w:t>the compliance burden</w:t>
      </w:r>
      <w:r w:rsidR="00F66902" w:rsidRPr="00B5587C">
        <w:rPr>
          <w:rFonts w:ascii="Arial" w:hAnsi="Arial" w:cs="Arial"/>
          <w:szCs w:val="20"/>
        </w:rPr>
        <w:t xml:space="preserve"> </w:t>
      </w:r>
      <w:r w:rsidR="00484E52" w:rsidRPr="00B5587C">
        <w:rPr>
          <w:rFonts w:ascii="Arial" w:hAnsi="Arial" w:cs="Arial"/>
          <w:szCs w:val="20"/>
        </w:rPr>
        <w:t>influ</w:t>
      </w:r>
      <w:r w:rsidR="006B65B4" w:rsidRPr="00B5587C">
        <w:rPr>
          <w:rFonts w:ascii="Arial" w:hAnsi="Arial" w:cs="Arial"/>
          <w:szCs w:val="20"/>
        </w:rPr>
        <w:t>ence</w:t>
      </w:r>
      <w:r w:rsidR="00F66902" w:rsidRPr="00B5587C">
        <w:rPr>
          <w:rFonts w:ascii="Arial" w:hAnsi="Arial" w:cs="Arial"/>
          <w:szCs w:val="20"/>
        </w:rPr>
        <w:t>s</w:t>
      </w:r>
      <w:r w:rsidR="006B65B4" w:rsidRPr="00B5587C">
        <w:rPr>
          <w:rFonts w:ascii="Arial" w:hAnsi="Arial" w:cs="Arial"/>
          <w:szCs w:val="20"/>
        </w:rPr>
        <w:t xml:space="preserve"> trading decisions </w:t>
      </w:r>
      <w:r w:rsidR="00F66902" w:rsidRPr="00B5587C">
        <w:rPr>
          <w:rFonts w:ascii="Arial" w:hAnsi="Arial" w:cs="Arial"/>
          <w:szCs w:val="20"/>
        </w:rPr>
        <w:t>between</w:t>
      </w:r>
      <w:r w:rsidR="00484E52" w:rsidRPr="00B5587C">
        <w:rPr>
          <w:rFonts w:ascii="Arial" w:hAnsi="Arial" w:cs="Arial"/>
          <w:szCs w:val="20"/>
        </w:rPr>
        <w:t xml:space="preserve"> </w:t>
      </w:r>
      <w:r w:rsidR="006B65B4" w:rsidRPr="00B5587C">
        <w:rPr>
          <w:rFonts w:ascii="Arial" w:hAnsi="Arial" w:cs="Arial"/>
          <w:szCs w:val="20"/>
        </w:rPr>
        <w:t xml:space="preserve">a counterparty </w:t>
      </w:r>
      <w:r w:rsidR="00F66902" w:rsidRPr="00B5587C">
        <w:rPr>
          <w:rFonts w:ascii="Arial" w:hAnsi="Arial" w:cs="Arial"/>
          <w:szCs w:val="20"/>
        </w:rPr>
        <w:t>that does or does not require the reporting of the transaction</w:t>
      </w:r>
      <w:r w:rsidR="00484E52" w:rsidRPr="00B5587C">
        <w:rPr>
          <w:rFonts w:ascii="Arial" w:hAnsi="Arial" w:cs="Arial"/>
          <w:szCs w:val="20"/>
        </w:rPr>
        <w:t>.</w:t>
      </w:r>
      <w:r w:rsidR="003A2D11" w:rsidRPr="00B5587C">
        <w:rPr>
          <w:rFonts w:ascii="Arial" w:hAnsi="Arial" w:cs="Arial"/>
          <w:szCs w:val="20"/>
        </w:rPr>
        <w:t xml:space="preserve"> </w:t>
      </w:r>
    </w:p>
    <w:p w14:paraId="668730A1" w14:textId="77777777" w:rsidR="00484E52" w:rsidRPr="00B5587C" w:rsidRDefault="00484E52" w:rsidP="000C420D">
      <w:pPr>
        <w:rPr>
          <w:rFonts w:ascii="Arial" w:hAnsi="Arial" w:cs="Arial"/>
          <w:szCs w:val="20"/>
        </w:rPr>
      </w:pPr>
    </w:p>
    <w:p w14:paraId="6B61806E" w14:textId="77777777" w:rsidR="000C420D" w:rsidRPr="00B5587C" w:rsidRDefault="006B65B4" w:rsidP="000C420D">
      <w:pPr>
        <w:rPr>
          <w:rFonts w:ascii="Arial" w:hAnsi="Arial" w:cs="Arial"/>
          <w:szCs w:val="20"/>
        </w:rPr>
      </w:pPr>
      <w:r w:rsidRPr="00B5587C">
        <w:rPr>
          <w:rFonts w:ascii="Arial" w:hAnsi="Arial" w:cs="Arial"/>
          <w:szCs w:val="20"/>
        </w:rPr>
        <w:t>Alternatively</w:t>
      </w:r>
      <w:r w:rsidR="000C420D" w:rsidRPr="00B5587C">
        <w:rPr>
          <w:rFonts w:ascii="Arial" w:hAnsi="Arial" w:cs="Arial"/>
          <w:szCs w:val="20"/>
        </w:rPr>
        <w:t xml:space="preserve">, the regulations under section 901C considers limiting a reporting requirement for certain classes of derivative transactions including the derivatives to which a transaction relates, for example hedging, while 901D considers the classes of person </w:t>
      </w:r>
      <w:r w:rsidR="003D5C10" w:rsidRPr="00B5587C">
        <w:rPr>
          <w:rFonts w:ascii="Arial" w:hAnsi="Arial" w:cs="Arial"/>
          <w:szCs w:val="20"/>
        </w:rPr>
        <w:t>impacted by reporting</w:t>
      </w:r>
      <w:r w:rsidR="000C420D" w:rsidRPr="00B5587C">
        <w:rPr>
          <w:rFonts w:ascii="Arial" w:hAnsi="Arial" w:cs="Arial"/>
          <w:szCs w:val="20"/>
        </w:rPr>
        <w:t xml:space="preserve"> including the volume of derivative transactions entered into by a person over a period. </w:t>
      </w:r>
    </w:p>
    <w:p w14:paraId="1688E40A" w14:textId="77777777" w:rsidR="003C61D7" w:rsidRPr="00B5587C" w:rsidRDefault="00484E52" w:rsidP="00045883">
      <w:pPr>
        <w:rPr>
          <w:rFonts w:ascii="Arial" w:hAnsi="Arial" w:cs="Arial"/>
          <w:szCs w:val="20"/>
        </w:rPr>
      </w:pPr>
      <w:r w:rsidRPr="00B5587C">
        <w:rPr>
          <w:rFonts w:ascii="Arial" w:hAnsi="Arial" w:cs="Arial"/>
          <w:szCs w:val="20"/>
        </w:rPr>
        <w:t xml:space="preserve"> </w:t>
      </w:r>
      <w:r w:rsidR="003D5C10" w:rsidRPr="00B5587C">
        <w:rPr>
          <w:rFonts w:ascii="Arial" w:hAnsi="Arial" w:cs="Arial"/>
          <w:szCs w:val="20"/>
        </w:rPr>
        <w:t xml:space="preserve"> </w:t>
      </w:r>
    </w:p>
    <w:p w14:paraId="1CA112A6" w14:textId="77777777" w:rsidR="003821B1" w:rsidRPr="00B5587C" w:rsidRDefault="00341735" w:rsidP="00045883">
      <w:pPr>
        <w:rPr>
          <w:rFonts w:ascii="Arial" w:hAnsi="Arial" w:cs="Arial"/>
          <w:i/>
          <w:szCs w:val="20"/>
        </w:rPr>
      </w:pPr>
      <w:r w:rsidRPr="00B5587C">
        <w:rPr>
          <w:rFonts w:ascii="Arial" w:hAnsi="Arial" w:cs="Arial"/>
          <w:i/>
          <w:szCs w:val="20"/>
        </w:rPr>
        <w:t>Removing gaps in the reporting regime</w:t>
      </w:r>
    </w:p>
    <w:p w14:paraId="6A553AED" w14:textId="77777777" w:rsidR="0070277F" w:rsidRPr="00B5587C" w:rsidRDefault="0070277F" w:rsidP="00045883">
      <w:pPr>
        <w:rPr>
          <w:rFonts w:ascii="Arial" w:hAnsi="Arial" w:cs="Arial"/>
          <w:i/>
          <w:szCs w:val="20"/>
        </w:rPr>
      </w:pPr>
    </w:p>
    <w:p w14:paraId="62C28105" w14:textId="77777777" w:rsidR="003821B1" w:rsidRPr="00B5587C" w:rsidRDefault="0070277F" w:rsidP="003821B1">
      <w:pPr>
        <w:rPr>
          <w:rFonts w:ascii="Arial" w:hAnsi="Arial" w:cs="Arial"/>
          <w:szCs w:val="20"/>
        </w:rPr>
      </w:pPr>
      <w:r w:rsidRPr="00B5587C">
        <w:rPr>
          <w:rFonts w:ascii="Arial" w:hAnsi="Arial" w:cs="Arial"/>
          <w:szCs w:val="20"/>
        </w:rPr>
        <w:t>We consider an expanded ministerial determination or refinement in the regulations</w:t>
      </w:r>
      <w:r w:rsidR="003821B1" w:rsidRPr="00B5587C">
        <w:rPr>
          <w:rFonts w:ascii="Arial" w:hAnsi="Arial" w:cs="Arial"/>
          <w:szCs w:val="20"/>
        </w:rPr>
        <w:t xml:space="preserve"> could reduce any gaps in the reporting regime where the intention of single-sided reporting is to provide a relief from reporting for entities that are unlikely to pose a risk to the stability of the Australian financial system. </w:t>
      </w:r>
    </w:p>
    <w:p w14:paraId="5ADC7E5F" w14:textId="77777777" w:rsidR="00413004" w:rsidRPr="00B5587C" w:rsidRDefault="00413004" w:rsidP="003821B1">
      <w:pPr>
        <w:rPr>
          <w:rFonts w:ascii="Arial" w:hAnsi="Arial" w:cs="Arial"/>
          <w:szCs w:val="20"/>
        </w:rPr>
      </w:pPr>
    </w:p>
    <w:p w14:paraId="57E8EF62" w14:textId="77777777" w:rsidR="008F0711" w:rsidRPr="00B5587C" w:rsidRDefault="008F0711" w:rsidP="00045883">
      <w:pPr>
        <w:rPr>
          <w:rFonts w:ascii="Arial" w:hAnsi="Arial" w:cs="Arial"/>
          <w:szCs w:val="20"/>
        </w:rPr>
      </w:pPr>
    </w:p>
    <w:p w14:paraId="1E345985" w14:textId="77777777" w:rsidR="00F65354" w:rsidRPr="00B5587C" w:rsidRDefault="00F65354" w:rsidP="00045883">
      <w:pPr>
        <w:rPr>
          <w:rFonts w:ascii="Arial" w:hAnsi="Arial" w:cs="Arial"/>
          <w:szCs w:val="20"/>
        </w:rPr>
      </w:pPr>
      <w:r w:rsidRPr="00B5587C">
        <w:rPr>
          <w:rFonts w:ascii="Arial" w:hAnsi="Arial" w:cs="Arial"/>
          <w:bCs/>
          <w:szCs w:val="20"/>
        </w:rPr>
        <w:t>Should you have any questions or wish to discuss this information further, please</w:t>
      </w:r>
      <w:r w:rsidR="0044183B" w:rsidRPr="00B5587C">
        <w:rPr>
          <w:rFonts w:ascii="Arial" w:hAnsi="Arial" w:cs="Arial"/>
          <w:bCs/>
          <w:szCs w:val="20"/>
        </w:rPr>
        <w:t xml:space="preserve"> contact Ashley Kemp on (02) 9503 5061</w:t>
      </w:r>
      <w:r w:rsidRPr="00B5587C">
        <w:rPr>
          <w:rFonts w:ascii="Arial" w:hAnsi="Arial" w:cs="Arial"/>
          <w:bCs/>
          <w:szCs w:val="20"/>
        </w:rPr>
        <w:t xml:space="preserve"> or </w:t>
      </w:r>
      <w:hyperlink r:id="rId14" w:history="1">
        <w:r w:rsidR="0044183B" w:rsidRPr="00B5587C">
          <w:rPr>
            <w:rStyle w:val="Hyperlink"/>
            <w:rFonts w:ascii="Arial" w:hAnsi="Arial" w:cs="Arial"/>
            <w:bCs/>
            <w:szCs w:val="20"/>
          </w:rPr>
          <w:t>ashley.kemp@originenergy.com.au</w:t>
        </w:r>
      </w:hyperlink>
      <w:r w:rsidRPr="00B5587C">
        <w:rPr>
          <w:rFonts w:ascii="Arial" w:hAnsi="Arial" w:cs="Arial"/>
          <w:bCs/>
          <w:szCs w:val="20"/>
        </w:rPr>
        <w:t xml:space="preserve">. </w:t>
      </w:r>
    </w:p>
    <w:p w14:paraId="595B11C4" w14:textId="77777777" w:rsidR="00F65354" w:rsidRPr="00B5587C" w:rsidRDefault="00F65354" w:rsidP="00045883">
      <w:pPr>
        <w:keepNext/>
        <w:rPr>
          <w:rFonts w:ascii="Arial" w:hAnsi="Arial" w:cs="Arial"/>
          <w:bCs/>
          <w:szCs w:val="20"/>
        </w:rPr>
      </w:pPr>
    </w:p>
    <w:p w14:paraId="15C56CDD" w14:textId="77777777" w:rsidR="00F65354" w:rsidRPr="00B5587C" w:rsidRDefault="00F65354" w:rsidP="00045883">
      <w:pPr>
        <w:keepNext/>
        <w:rPr>
          <w:rFonts w:ascii="Arial" w:hAnsi="Arial" w:cs="Arial"/>
          <w:szCs w:val="20"/>
        </w:rPr>
      </w:pPr>
    </w:p>
    <w:p w14:paraId="51EE19E6" w14:textId="77777777" w:rsidR="00F65354" w:rsidRPr="00B5587C" w:rsidRDefault="00F65354" w:rsidP="00045883">
      <w:pPr>
        <w:keepNext/>
        <w:rPr>
          <w:rFonts w:ascii="Arial" w:hAnsi="Arial" w:cs="Arial"/>
          <w:szCs w:val="20"/>
        </w:rPr>
      </w:pPr>
      <w:r w:rsidRPr="00B5587C">
        <w:rPr>
          <w:rFonts w:ascii="Arial" w:hAnsi="Arial" w:cs="Arial"/>
          <w:szCs w:val="20"/>
        </w:rPr>
        <w:t>Yours sincerely,</w:t>
      </w:r>
    </w:p>
    <w:p w14:paraId="36646E90" w14:textId="77777777" w:rsidR="00F65354" w:rsidRPr="00B5587C" w:rsidRDefault="00B5587C" w:rsidP="00045883">
      <w:pPr>
        <w:keepNext/>
        <w:rPr>
          <w:rFonts w:ascii="Arial" w:hAnsi="Arial" w:cs="Arial"/>
          <w:szCs w:val="20"/>
        </w:rPr>
      </w:pPr>
      <w:r w:rsidRPr="00B5587C">
        <w:rPr>
          <w:rFonts w:ascii="Arial" w:hAnsi="Arial" w:cs="Arial"/>
          <w:noProof/>
          <w:szCs w:val="20"/>
          <w:lang w:eastAsia="en-AU"/>
        </w:rPr>
        <w:drawing>
          <wp:inline distT="0" distB="0" distL="0" distR="0" wp14:anchorId="5EDF49AC" wp14:editId="371A3D74">
            <wp:extent cx="705155" cy="471884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62" cy="471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F25444" w14:textId="77777777" w:rsidR="00F65354" w:rsidRPr="00B5587C" w:rsidRDefault="0044183B" w:rsidP="000006FC">
      <w:pPr>
        <w:rPr>
          <w:rFonts w:ascii="Arial" w:hAnsi="Arial" w:cs="Arial"/>
          <w:szCs w:val="20"/>
        </w:rPr>
      </w:pPr>
      <w:r w:rsidRPr="00B5587C">
        <w:rPr>
          <w:rFonts w:ascii="Arial" w:hAnsi="Arial" w:cs="Arial"/>
          <w:szCs w:val="20"/>
        </w:rPr>
        <w:t>Steve Reid</w:t>
      </w:r>
      <w:r w:rsidRPr="00B5587C">
        <w:rPr>
          <w:rFonts w:ascii="Arial" w:hAnsi="Arial" w:cs="Arial"/>
          <w:szCs w:val="20"/>
        </w:rPr>
        <w:br/>
        <w:t>Manager, Wholesale Regulatory Policy</w:t>
      </w:r>
      <w:r w:rsidR="000006FC" w:rsidRPr="00B5587C">
        <w:rPr>
          <w:rFonts w:ascii="Arial" w:hAnsi="Arial" w:cs="Arial"/>
          <w:szCs w:val="20"/>
        </w:rPr>
        <w:br/>
        <w:t>Energy Risk Management</w:t>
      </w:r>
    </w:p>
    <w:p w14:paraId="7C979941" w14:textId="77777777" w:rsidR="00F65354" w:rsidRPr="00B5587C" w:rsidRDefault="00F65354">
      <w:pPr>
        <w:rPr>
          <w:rFonts w:ascii="Arial" w:hAnsi="Arial" w:cs="Arial"/>
          <w:szCs w:val="20"/>
        </w:rPr>
      </w:pPr>
    </w:p>
    <w:sectPr w:rsidR="00F65354" w:rsidRPr="00B5587C" w:rsidSect="00EC5963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234" w:right="1474" w:bottom="1701" w:left="2325" w:header="709" w:footer="709" w:gutter="0"/>
      <w:paperSrc w:first="2" w:other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39EB9" w14:textId="77777777" w:rsidR="009A109D" w:rsidRDefault="009A109D">
      <w:r>
        <w:separator/>
      </w:r>
    </w:p>
  </w:endnote>
  <w:endnote w:type="continuationSeparator" w:id="0">
    <w:p w14:paraId="4ED15B74" w14:textId="77777777" w:rsidR="009A109D" w:rsidRDefault="009A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7C54F" w14:textId="77777777" w:rsidR="00413004" w:rsidRDefault="00413004" w:rsidP="008E02FD">
    <w:pPr>
      <w:jc w:val="right"/>
      <w:rPr>
        <w:sz w:val="18"/>
      </w:rPr>
    </w:pPr>
    <w:r>
      <w:rPr>
        <w:rStyle w:val="OriginFooter"/>
        <w:sz w:val="18"/>
      </w:rPr>
      <w:t xml:space="preserve">Page </w:t>
    </w:r>
    <w:r w:rsidR="00BB0541">
      <w:rPr>
        <w:sz w:val="18"/>
      </w:rPr>
      <w:fldChar w:fldCharType="begin"/>
    </w:r>
    <w:r>
      <w:rPr>
        <w:sz w:val="18"/>
      </w:rPr>
      <w:instrText xml:space="preserve"> PAGE </w:instrText>
    </w:r>
    <w:r w:rsidR="00BB0541">
      <w:rPr>
        <w:sz w:val="18"/>
      </w:rPr>
      <w:fldChar w:fldCharType="separate"/>
    </w:r>
    <w:r w:rsidR="00E24B63">
      <w:rPr>
        <w:noProof/>
        <w:sz w:val="18"/>
      </w:rPr>
      <w:t>2</w:t>
    </w:r>
    <w:r w:rsidR="00BB0541">
      <w:rPr>
        <w:sz w:val="18"/>
      </w:rPr>
      <w:fldChar w:fldCharType="end"/>
    </w:r>
    <w:r>
      <w:rPr>
        <w:sz w:val="18"/>
      </w:rPr>
      <w:t xml:space="preserve"> of </w:t>
    </w:r>
    <w:r w:rsidR="00BB0541">
      <w:rPr>
        <w:sz w:val="18"/>
      </w:rPr>
      <w:fldChar w:fldCharType="begin"/>
    </w:r>
    <w:r>
      <w:rPr>
        <w:sz w:val="18"/>
      </w:rPr>
      <w:instrText xml:space="preserve"> NUMPAGES </w:instrText>
    </w:r>
    <w:r w:rsidR="00BB0541">
      <w:rPr>
        <w:sz w:val="18"/>
      </w:rPr>
      <w:fldChar w:fldCharType="separate"/>
    </w:r>
    <w:r w:rsidR="00E24B63">
      <w:rPr>
        <w:noProof/>
        <w:sz w:val="18"/>
      </w:rPr>
      <w:t>2</w:t>
    </w:r>
    <w:r w:rsidR="00BB0541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E9C1B" w14:textId="77777777" w:rsidR="00413004" w:rsidRDefault="00413004">
    <w:pPr>
      <w:jc w:val="right"/>
      <w:rPr>
        <w:sz w:val="18"/>
      </w:rPr>
    </w:pPr>
    <w:r>
      <w:rPr>
        <w:rStyle w:val="OriginFooter"/>
        <w:sz w:val="18"/>
      </w:rPr>
      <w:t xml:space="preserve">Page </w:t>
    </w:r>
    <w:r w:rsidR="00BB0541">
      <w:rPr>
        <w:sz w:val="18"/>
      </w:rPr>
      <w:fldChar w:fldCharType="begin"/>
    </w:r>
    <w:r>
      <w:rPr>
        <w:sz w:val="18"/>
      </w:rPr>
      <w:instrText xml:space="preserve"> PAGE </w:instrText>
    </w:r>
    <w:r w:rsidR="00BB0541">
      <w:rPr>
        <w:sz w:val="18"/>
      </w:rPr>
      <w:fldChar w:fldCharType="separate"/>
    </w:r>
    <w:r w:rsidR="00D161CF">
      <w:rPr>
        <w:noProof/>
        <w:sz w:val="18"/>
      </w:rPr>
      <w:t>1</w:t>
    </w:r>
    <w:r w:rsidR="00BB0541">
      <w:rPr>
        <w:sz w:val="18"/>
      </w:rPr>
      <w:fldChar w:fldCharType="end"/>
    </w:r>
    <w:r>
      <w:rPr>
        <w:sz w:val="18"/>
      </w:rPr>
      <w:t xml:space="preserve"> of </w:t>
    </w:r>
    <w:r w:rsidR="00BB0541">
      <w:rPr>
        <w:sz w:val="18"/>
      </w:rPr>
      <w:fldChar w:fldCharType="begin"/>
    </w:r>
    <w:r>
      <w:rPr>
        <w:sz w:val="18"/>
      </w:rPr>
      <w:instrText xml:space="preserve"> NUMPAGES </w:instrText>
    </w:r>
    <w:r w:rsidR="00BB0541">
      <w:rPr>
        <w:sz w:val="18"/>
      </w:rPr>
      <w:fldChar w:fldCharType="separate"/>
    </w:r>
    <w:r w:rsidR="00D161CF">
      <w:rPr>
        <w:noProof/>
        <w:sz w:val="18"/>
      </w:rPr>
      <w:t>2</w:t>
    </w:r>
    <w:r w:rsidR="00BB0541">
      <w:rPr>
        <w:sz w:val="18"/>
      </w:rPr>
      <w:fldChar w:fldCharType="end"/>
    </w:r>
  </w:p>
  <w:p w14:paraId="215795B2" w14:textId="77777777" w:rsidR="00413004" w:rsidRPr="009955B2" w:rsidRDefault="00413004">
    <w:pPr>
      <w:rPr>
        <w:rStyle w:val="OriginFooter"/>
      </w:rPr>
    </w:pPr>
    <w:r>
      <w:rPr>
        <w:rStyle w:val="OriginFooter"/>
      </w:rPr>
      <w:t>Origin Energy Limited</w:t>
    </w:r>
    <w:r w:rsidRPr="009955B2">
      <w:rPr>
        <w:rStyle w:val="OriginFooter"/>
      </w:rPr>
      <w:t xml:space="preserve"> ABN </w:t>
    </w:r>
    <w:r>
      <w:rPr>
        <w:rStyle w:val="OriginFooter"/>
      </w:rPr>
      <w:t>30 000 051 696</w:t>
    </w:r>
    <w:r w:rsidRPr="009955B2">
      <w:rPr>
        <w:rStyle w:val="OriginFooter"/>
      </w:rPr>
      <w:t xml:space="preserve"> </w:t>
    </w:r>
    <w:r w:rsidRPr="009955B2">
      <w:rPr>
        <w:rStyle w:val="OriginFooter"/>
        <w:szCs w:val="14"/>
      </w:rPr>
      <w:sym w:font="Symbol" w:char="F0B7"/>
    </w:r>
    <w:r w:rsidRPr="009955B2">
      <w:rPr>
        <w:rStyle w:val="OriginFooter"/>
      </w:rPr>
      <w:t xml:space="preserve"> </w:t>
    </w:r>
    <w:r>
      <w:rPr>
        <w:rStyle w:val="OriginFooter"/>
      </w:rPr>
      <w:t xml:space="preserve">Level 45, </w:t>
    </w:r>
    <w:smartTag w:uri="urn:schemas-microsoft-com:office:smarttags" w:element="address">
      <w:smartTag w:uri="urn:schemas-microsoft-com:office:smarttags" w:element="Street">
        <w:r>
          <w:rPr>
            <w:rStyle w:val="OriginFooter"/>
          </w:rPr>
          <w:t>Australia Square</w:t>
        </w:r>
      </w:smartTag>
    </w:smartTag>
    <w:r>
      <w:rPr>
        <w:rStyle w:val="OriginFooter"/>
      </w:rPr>
      <w:t xml:space="preserve">, </w:t>
    </w:r>
    <w:smartTag w:uri="urn:schemas-microsoft-com:office:smarttags" w:element="City">
      <w:smartTag w:uri="urn:schemas-microsoft-com:office:smarttags" w:element="Street">
        <w:r>
          <w:rPr>
            <w:rStyle w:val="OriginFooter"/>
          </w:rPr>
          <w:t>264-278 George Street</w:t>
        </w:r>
      </w:smartTag>
      <w:r>
        <w:rPr>
          <w:rStyle w:val="OriginFooter"/>
        </w:rPr>
        <w:t xml:space="preserve">, </w:t>
      </w:r>
      <w:smartTag w:uri="urn:schemas-microsoft-com:office:smarttags" w:element="City">
        <w:r>
          <w:rPr>
            <w:rStyle w:val="OriginFooter"/>
          </w:rPr>
          <w:t>Sydney</w:t>
        </w:r>
      </w:smartTag>
    </w:smartTag>
    <w:r>
      <w:rPr>
        <w:rStyle w:val="OriginFooter"/>
      </w:rPr>
      <w:t xml:space="preserve"> NSW 2000</w:t>
    </w:r>
  </w:p>
  <w:p w14:paraId="381697FE" w14:textId="77777777" w:rsidR="00413004" w:rsidRPr="009955B2" w:rsidRDefault="00413004">
    <w:pPr>
      <w:spacing w:before="40"/>
      <w:rPr>
        <w:rStyle w:val="OriginFooter"/>
      </w:rPr>
    </w:pPr>
    <w:bookmarkStart w:id="4" w:name="Dot"/>
    <w:r>
      <w:rPr>
        <w:rStyle w:val="OriginFooter"/>
      </w:rPr>
      <w:t>GPO Box 5376, Sydney NSW 2001</w:t>
    </w:r>
    <w:r w:rsidRPr="009955B2">
      <w:rPr>
        <w:rStyle w:val="OriginFooter"/>
      </w:rPr>
      <w:t xml:space="preserve"> </w:t>
    </w:r>
    <w:r w:rsidRPr="009955B2">
      <w:rPr>
        <w:rStyle w:val="OriginFooter"/>
        <w:szCs w:val="14"/>
      </w:rPr>
      <w:sym w:font="Symbol" w:char="F0B7"/>
    </w:r>
    <w:r w:rsidRPr="009955B2">
      <w:rPr>
        <w:rStyle w:val="OriginFooter"/>
      </w:rPr>
      <w:t xml:space="preserve"> </w:t>
    </w:r>
    <w:bookmarkEnd w:id="4"/>
    <w:r w:rsidRPr="009955B2">
      <w:rPr>
        <w:rStyle w:val="OriginFooter"/>
      </w:rPr>
      <w:t xml:space="preserve">Telephone </w:t>
    </w:r>
    <w:r>
      <w:rPr>
        <w:rStyle w:val="OriginFooter"/>
      </w:rPr>
      <w:t>(02) 8345 5000</w:t>
    </w:r>
    <w:r w:rsidRPr="009955B2">
      <w:rPr>
        <w:rStyle w:val="OriginFooter"/>
      </w:rPr>
      <w:t xml:space="preserve"> </w:t>
    </w:r>
    <w:r w:rsidRPr="009955B2">
      <w:rPr>
        <w:rStyle w:val="OriginFooter"/>
        <w:szCs w:val="14"/>
      </w:rPr>
      <w:sym w:font="Symbol" w:char="F0B7"/>
    </w:r>
    <w:r w:rsidRPr="009955B2">
      <w:rPr>
        <w:rStyle w:val="OriginFooter"/>
      </w:rPr>
      <w:t xml:space="preserve"> Facsimile </w:t>
    </w:r>
    <w:r>
      <w:rPr>
        <w:rStyle w:val="OriginFooter"/>
      </w:rPr>
      <w:t>(02) 9252 9244</w:t>
    </w:r>
    <w:r w:rsidRPr="009955B2">
      <w:rPr>
        <w:rStyle w:val="OriginFooter"/>
      </w:rPr>
      <w:t xml:space="preserve"> </w:t>
    </w:r>
    <w:r w:rsidRPr="009955B2">
      <w:rPr>
        <w:rStyle w:val="OriginFooter"/>
        <w:szCs w:val="14"/>
      </w:rPr>
      <w:sym w:font="Symbol" w:char="F0B7"/>
    </w:r>
    <w:r w:rsidRPr="009955B2">
      <w:rPr>
        <w:rStyle w:val="OriginFooter"/>
      </w:rPr>
      <w:t xml:space="preserve"> www.originenergy.com.au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4492F" w14:textId="77777777" w:rsidR="009A109D" w:rsidRDefault="009A109D">
      <w:r>
        <w:separator/>
      </w:r>
    </w:p>
  </w:footnote>
  <w:footnote w:type="continuationSeparator" w:id="0">
    <w:p w14:paraId="243EAF84" w14:textId="77777777" w:rsidR="009A109D" w:rsidRDefault="009A109D">
      <w:r>
        <w:continuationSeparator/>
      </w:r>
    </w:p>
  </w:footnote>
  <w:footnote w:id="1">
    <w:p w14:paraId="7D5889AA" w14:textId="77777777" w:rsidR="00413004" w:rsidRPr="00B5587C" w:rsidRDefault="00413004" w:rsidP="009D02C7">
      <w:pPr>
        <w:pStyle w:val="FootnoteText"/>
        <w:rPr>
          <w:rFonts w:ascii="Arial" w:hAnsi="Arial" w:cs="Arial"/>
        </w:rPr>
      </w:pPr>
      <w:r w:rsidRPr="00B5587C">
        <w:rPr>
          <w:rStyle w:val="FootnoteReference"/>
          <w:rFonts w:ascii="Arial" w:hAnsi="Arial" w:cs="Arial"/>
        </w:rPr>
        <w:footnoteRef/>
      </w:r>
      <w:r w:rsidRPr="00B5587C">
        <w:rPr>
          <w:rFonts w:ascii="Arial" w:hAnsi="Arial" w:cs="Arial"/>
        </w:rPr>
        <w:t xml:space="preserve"> Media Release: Senator the Hon Mathias Cormann, ‘Making Over-the-Counter Derivatives Markets Safer,’ 12 December 2014.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40749" w14:textId="77777777" w:rsidR="00413004" w:rsidRDefault="00413004"/>
  <w:p w14:paraId="14A856DC" w14:textId="77777777" w:rsidR="00413004" w:rsidRDefault="00413004"/>
  <w:p w14:paraId="1918F983" w14:textId="77777777" w:rsidR="00413004" w:rsidRDefault="00413004"/>
  <w:p w14:paraId="6E28C3EB" w14:textId="77777777" w:rsidR="00413004" w:rsidRDefault="00413004"/>
  <w:p w14:paraId="2CF10A74" w14:textId="77777777" w:rsidR="00413004" w:rsidRDefault="0041300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0146A" w14:textId="77777777" w:rsidR="00413004" w:rsidRDefault="00413004" w:rsidP="00D63241">
    <w:pPr>
      <w:pStyle w:val="Header"/>
      <w:jc w:val="right"/>
    </w:pPr>
    <w:r>
      <w:rPr>
        <w:noProof/>
        <w:lang w:eastAsia="en-AU"/>
      </w:rPr>
      <w:drawing>
        <wp:inline distT="0" distB="0" distL="0" distR="0" wp14:anchorId="12196F26" wp14:editId="74C9D0B4">
          <wp:extent cx="629285" cy="951230"/>
          <wp:effectExtent l="1905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-6194"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951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5A55"/>
    <w:multiLevelType w:val="hybridMultilevel"/>
    <w:tmpl w:val="66589834"/>
    <w:lvl w:ilvl="0" w:tplc="0C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5E259B8"/>
    <w:multiLevelType w:val="hybridMultilevel"/>
    <w:tmpl w:val="7D5E24FC"/>
    <w:lvl w:ilvl="0" w:tplc="0C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C775955"/>
    <w:multiLevelType w:val="hybridMultilevel"/>
    <w:tmpl w:val="C8D8B1E6"/>
    <w:lvl w:ilvl="0" w:tplc="0C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13760BFA">
      <w:start w:val="1"/>
      <w:numFmt w:val="lowerLetter"/>
      <w:lvlText w:val="(%3)"/>
      <w:lvlJc w:val="left"/>
      <w:pPr>
        <w:ind w:left="2952" w:hanging="360"/>
      </w:pPr>
      <w:rPr>
        <w:rFonts w:cs="Times New Roman" w:hint="default"/>
      </w:rPr>
    </w:lvl>
    <w:lvl w:ilvl="3" w:tplc="0C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>
    <w:nsid w:val="101777F8"/>
    <w:multiLevelType w:val="multilevel"/>
    <w:tmpl w:val="893A20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5D52ED5"/>
    <w:multiLevelType w:val="hybridMultilevel"/>
    <w:tmpl w:val="B388EDA8"/>
    <w:lvl w:ilvl="0" w:tplc="0C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>
    <w:nsid w:val="18996C0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200B7205"/>
    <w:multiLevelType w:val="hybridMultilevel"/>
    <w:tmpl w:val="FDA09A30"/>
    <w:lvl w:ilvl="0" w:tplc="0C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>
    <w:nsid w:val="21D937E3"/>
    <w:multiLevelType w:val="hybridMultilevel"/>
    <w:tmpl w:val="98A6C68E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>
    <w:nsid w:val="253C38BD"/>
    <w:multiLevelType w:val="hybridMultilevel"/>
    <w:tmpl w:val="96ACD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F87EDF"/>
    <w:multiLevelType w:val="multilevel"/>
    <w:tmpl w:val="F9B8B4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39E53D84"/>
    <w:multiLevelType w:val="hybridMultilevel"/>
    <w:tmpl w:val="56BA733A"/>
    <w:lvl w:ilvl="0" w:tplc="0C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>
    <w:nsid w:val="3FB24F4E"/>
    <w:multiLevelType w:val="hybridMultilevel"/>
    <w:tmpl w:val="65E46650"/>
    <w:lvl w:ilvl="0" w:tplc="0C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86657A0"/>
    <w:multiLevelType w:val="hybridMultilevel"/>
    <w:tmpl w:val="DBD641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F72910"/>
    <w:multiLevelType w:val="hybridMultilevel"/>
    <w:tmpl w:val="F96ADEB6"/>
    <w:lvl w:ilvl="0" w:tplc="0C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>
    <w:nsid w:val="71DF5786"/>
    <w:multiLevelType w:val="hybridMultilevel"/>
    <w:tmpl w:val="632AE272"/>
    <w:lvl w:ilvl="0" w:tplc="0C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14"/>
  </w:num>
  <w:num w:numId="5">
    <w:abstractNumId w:val="6"/>
  </w:num>
  <w:num w:numId="6">
    <w:abstractNumId w:val="4"/>
  </w:num>
  <w:num w:numId="7">
    <w:abstractNumId w:val="2"/>
  </w:num>
  <w:num w:numId="8">
    <w:abstractNumId w:val="10"/>
  </w:num>
  <w:num w:numId="9">
    <w:abstractNumId w:val="13"/>
  </w:num>
  <w:num w:numId="10">
    <w:abstractNumId w:val="9"/>
  </w:num>
  <w:num w:numId="11">
    <w:abstractNumId w:val="3"/>
  </w:num>
  <w:num w:numId="12">
    <w:abstractNumId w:val="0"/>
  </w:num>
  <w:num w:numId="13">
    <w:abstractNumId w:val="11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E5C"/>
    <w:rsid w:val="000006FC"/>
    <w:rsid w:val="00000C6F"/>
    <w:rsid w:val="00004599"/>
    <w:rsid w:val="000113F3"/>
    <w:rsid w:val="00014707"/>
    <w:rsid w:val="00024708"/>
    <w:rsid w:val="00045883"/>
    <w:rsid w:val="00051426"/>
    <w:rsid w:val="00060D63"/>
    <w:rsid w:val="000C420D"/>
    <w:rsid w:val="000D36E5"/>
    <w:rsid w:val="000E0BF8"/>
    <w:rsid w:val="000F1D54"/>
    <w:rsid w:val="000F4DE4"/>
    <w:rsid w:val="0011146A"/>
    <w:rsid w:val="001160D2"/>
    <w:rsid w:val="0013263E"/>
    <w:rsid w:val="00180996"/>
    <w:rsid w:val="00187199"/>
    <w:rsid w:val="00187BE7"/>
    <w:rsid w:val="001959A5"/>
    <w:rsid w:val="001D0AE6"/>
    <w:rsid w:val="00222599"/>
    <w:rsid w:val="0025646C"/>
    <w:rsid w:val="002A13AF"/>
    <w:rsid w:val="002B332F"/>
    <w:rsid w:val="002B35AA"/>
    <w:rsid w:val="002B3624"/>
    <w:rsid w:val="002D30AC"/>
    <w:rsid w:val="002F012B"/>
    <w:rsid w:val="00312C35"/>
    <w:rsid w:val="00341735"/>
    <w:rsid w:val="0035147E"/>
    <w:rsid w:val="003821B1"/>
    <w:rsid w:val="00386083"/>
    <w:rsid w:val="003A2D11"/>
    <w:rsid w:val="003A4E56"/>
    <w:rsid w:val="003B4864"/>
    <w:rsid w:val="003C61D7"/>
    <w:rsid w:val="003D5C10"/>
    <w:rsid w:val="003E46F6"/>
    <w:rsid w:val="00413004"/>
    <w:rsid w:val="0044183B"/>
    <w:rsid w:val="004565E6"/>
    <w:rsid w:val="00460ED3"/>
    <w:rsid w:val="00466052"/>
    <w:rsid w:val="00466473"/>
    <w:rsid w:val="0047024C"/>
    <w:rsid w:val="00484E52"/>
    <w:rsid w:val="00491CFB"/>
    <w:rsid w:val="00494713"/>
    <w:rsid w:val="004C4D68"/>
    <w:rsid w:val="00523956"/>
    <w:rsid w:val="005248EE"/>
    <w:rsid w:val="00525A8E"/>
    <w:rsid w:val="0052676E"/>
    <w:rsid w:val="00562819"/>
    <w:rsid w:val="00571C9E"/>
    <w:rsid w:val="00587043"/>
    <w:rsid w:val="005C3216"/>
    <w:rsid w:val="005C6249"/>
    <w:rsid w:val="005E3E35"/>
    <w:rsid w:val="005E5E5C"/>
    <w:rsid w:val="006204CA"/>
    <w:rsid w:val="00624929"/>
    <w:rsid w:val="006425F9"/>
    <w:rsid w:val="00653980"/>
    <w:rsid w:val="0066119F"/>
    <w:rsid w:val="00680345"/>
    <w:rsid w:val="006873C5"/>
    <w:rsid w:val="006B65B4"/>
    <w:rsid w:val="006B7626"/>
    <w:rsid w:val="0070277F"/>
    <w:rsid w:val="00722718"/>
    <w:rsid w:val="00736617"/>
    <w:rsid w:val="007763BF"/>
    <w:rsid w:val="0079058F"/>
    <w:rsid w:val="00793215"/>
    <w:rsid w:val="007E67E7"/>
    <w:rsid w:val="00805CDE"/>
    <w:rsid w:val="00836489"/>
    <w:rsid w:val="00860BB1"/>
    <w:rsid w:val="008916D5"/>
    <w:rsid w:val="008D14DA"/>
    <w:rsid w:val="008D3C9F"/>
    <w:rsid w:val="008E02FD"/>
    <w:rsid w:val="008E7C89"/>
    <w:rsid w:val="008F0711"/>
    <w:rsid w:val="008F0A84"/>
    <w:rsid w:val="008F0B15"/>
    <w:rsid w:val="0092252C"/>
    <w:rsid w:val="00980030"/>
    <w:rsid w:val="00983872"/>
    <w:rsid w:val="00987DE7"/>
    <w:rsid w:val="009955B2"/>
    <w:rsid w:val="009A109D"/>
    <w:rsid w:val="009D02C7"/>
    <w:rsid w:val="009E7910"/>
    <w:rsid w:val="009F1B4E"/>
    <w:rsid w:val="009F6441"/>
    <w:rsid w:val="00AB1182"/>
    <w:rsid w:val="00AC483F"/>
    <w:rsid w:val="00AE6AEE"/>
    <w:rsid w:val="00AF6D13"/>
    <w:rsid w:val="00B23BB6"/>
    <w:rsid w:val="00B35B67"/>
    <w:rsid w:val="00B35C84"/>
    <w:rsid w:val="00B43952"/>
    <w:rsid w:val="00B5129F"/>
    <w:rsid w:val="00B5587C"/>
    <w:rsid w:val="00B661D3"/>
    <w:rsid w:val="00BB0541"/>
    <w:rsid w:val="00C20406"/>
    <w:rsid w:val="00C24B48"/>
    <w:rsid w:val="00C43345"/>
    <w:rsid w:val="00C44BC8"/>
    <w:rsid w:val="00C756CA"/>
    <w:rsid w:val="00C84C00"/>
    <w:rsid w:val="00CA6A15"/>
    <w:rsid w:val="00CA7904"/>
    <w:rsid w:val="00CB2315"/>
    <w:rsid w:val="00CE2C11"/>
    <w:rsid w:val="00CF3E20"/>
    <w:rsid w:val="00D06690"/>
    <w:rsid w:val="00D161CF"/>
    <w:rsid w:val="00D45F0A"/>
    <w:rsid w:val="00D63241"/>
    <w:rsid w:val="00D773ED"/>
    <w:rsid w:val="00D7747F"/>
    <w:rsid w:val="00DA222C"/>
    <w:rsid w:val="00DB2CDD"/>
    <w:rsid w:val="00E24B63"/>
    <w:rsid w:val="00E50B4D"/>
    <w:rsid w:val="00E57214"/>
    <w:rsid w:val="00E708D2"/>
    <w:rsid w:val="00E90330"/>
    <w:rsid w:val="00E90BE9"/>
    <w:rsid w:val="00EC5963"/>
    <w:rsid w:val="00EC7535"/>
    <w:rsid w:val="00F040B8"/>
    <w:rsid w:val="00F10082"/>
    <w:rsid w:val="00F16A5B"/>
    <w:rsid w:val="00F32CFF"/>
    <w:rsid w:val="00F65354"/>
    <w:rsid w:val="00F66902"/>
    <w:rsid w:val="00F74A4F"/>
    <w:rsid w:val="00F7622E"/>
    <w:rsid w:val="00FA5DE1"/>
    <w:rsid w:val="00FC344D"/>
    <w:rsid w:val="00FC6E19"/>
    <w:rsid w:val="00F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8193"/>
    <o:shapelayout v:ext="edit">
      <o:idmap v:ext="edit" data="1"/>
    </o:shapelayout>
  </w:shapeDefaults>
  <w:decimalSymbol w:val="."/>
  <w:listSeparator w:val=","/>
  <w14:docId w14:val="7FFDD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83"/>
    <w:rPr>
      <w:rFonts w:ascii="Trebuchet MS" w:hAnsi="Trebuchet MS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iginRef">
    <w:name w:val="OriginRef"/>
    <w:basedOn w:val="Normal"/>
    <w:next w:val="Normal"/>
    <w:uiPriority w:val="99"/>
    <w:rsid w:val="00624929"/>
    <w:pPr>
      <w:spacing w:after="480"/>
      <w:jc w:val="right"/>
    </w:pPr>
  </w:style>
  <w:style w:type="character" w:customStyle="1" w:styleId="OriginFooter">
    <w:name w:val="OriginFooter"/>
    <w:basedOn w:val="DefaultParagraphFont"/>
    <w:uiPriority w:val="99"/>
    <w:rsid w:val="00E708D2"/>
    <w:rPr>
      <w:rFonts w:ascii="Trebuchet MS" w:hAnsi="Trebuchet MS" w:cs="Times New Roman"/>
      <w:sz w:val="14"/>
    </w:rPr>
  </w:style>
  <w:style w:type="paragraph" w:styleId="Header">
    <w:name w:val="header"/>
    <w:basedOn w:val="Normal"/>
    <w:link w:val="HeaderChar"/>
    <w:uiPriority w:val="99"/>
    <w:semiHidden/>
    <w:rsid w:val="00E708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3410"/>
    <w:rPr>
      <w:rFonts w:ascii="Trebuchet MS" w:hAnsi="Trebuchet MS"/>
      <w:sz w:val="20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E708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3410"/>
    <w:rPr>
      <w:rFonts w:ascii="Trebuchet MS" w:hAnsi="Trebuchet MS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2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259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04588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45883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3B486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486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410"/>
    <w:rPr>
      <w:rFonts w:ascii="Trebuchet MS" w:hAnsi="Trebuchet MS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B4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410"/>
    <w:rPr>
      <w:rFonts w:ascii="Trebuchet MS" w:hAnsi="Trebuchet MS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704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7043"/>
    <w:rPr>
      <w:rFonts w:ascii="Trebuchet MS" w:hAnsi="Trebuchet MS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870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83"/>
    <w:rPr>
      <w:rFonts w:ascii="Trebuchet MS" w:hAnsi="Trebuchet MS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iginRef">
    <w:name w:val="OriginRef"/>
    <w:basedOn w:val="Normal"/>
    <w:next w:val="Normal"/>
    <w:uiPriority w:val="99"/>
    <w:rsid w:val="00624929"/>
    <w:pPr>
      <w:spacing w:after="480"/>
      <w:jc w:val="right"/>
    </w:pPr>
  </w:style>
  <w:style w:type="character" w:customStyle="1" w:styleId="OriginFooter">
    <w:name w:val="OriginFooter"/>
    <w:basedOn w:val="DefaultParagraphFont"/>
    <w:uiPriority w:val="99"/>
    <w:rsid w:val="00E708D2"/>
    <w:rPr>
      <w:rFonts w:ascii="Trebuchet MS" w:hAnsi="Trebuchet MS" w:cs="Times New Roman"/>
      <w:sz w:val="14"/>
    </w:rPr>
  </w:style>
  <w:style w:type="paragraph" w:styleId="Header">
    <w:name w:val="header"/>
    <w:basedOn w:val="Normal"/>
    <w:link w:val="HeaderChar"/>
    <w:uiPriority w:val="99"/>
    <w:semiHidden/>
    <w:rsid w:val="00E708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3410"/>
    <w:rPr>
      <w:rFonts w:ascii="Trebuchet MS" w:hAnsi="Trebuchet MS"/>
      <w:sz w:val="20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E708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3410"/>
    <w:rPr>
      <w:rFonts w:ascii="Trebuchet MS" w:hAnsi="Trebuchet MS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2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259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04588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45883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3B486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486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410"/>
    <w:rPr>
      <w:rFonts w:ascii="Trebuchet MS" w:hAnsi="Trebuchet MS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B4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410"/>
    <w:rPr>
      <w:rFonts w:ascii="Trebuchet MS" w:hAnsi="Trebuchet MS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704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7043"/>
    <w:rPr>
      <w:rFonts w:ascii="Trebuchet MS" w:hAnsi="Trebuchet MS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870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financialmarkets@treasury.gov.a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emf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shley.kemp@originenergy.com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99D48B736A86D74A9C587EE59E4B132B" ma:contentTypeVersion="19" ma:contentTypeDescription=" " ma:contentTypeScope="" ma:versionID="414c0f03d4fb3c042765bd9ff023c538">
  <xsd:schema xmlns:xsd="http://www.w3.org/2001/XMLSchema" xmlns:xs="http://www.w3.org/2001/XMLSchema" xmlns:p="http://schemas.microsoft.com/office/2006/metadata/properties" xmlns:ns1="http://schemas.microsoft.com/sharepoint/v3" xmlns:ns2="d4dd4adf-ddb3-46a3-8d7c-fab3fb2a6bc7" xmlns:ns4="http://schemas.microsoft.com/sharepoint/v4" targetNamespace="http://schemas.microsoft.com/office/2006/metadata/properties" ma:root="true" ma:fieldsID="f07d07b15be81c57bcffa7af6caa82bd" ns1:_="" ns2:_="" ns4:_="">
    <xsd:import namespace="http://schemas.microsoft.com/sharepoint/v3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2" nillable="true" ma:taxonomy="true" ma:internalName="lb508a4dc5e84436a0fe496b536466aa" ma:taxonomyFieldName="TSYRecordClass" ma:displayName="Record Class" ma:readOnly="false" ma:default="20;#TSY RA-9049 - Retain as national archives|c7a196f8-aab8-4135-b264-b5edf8684786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d4dd4adf-ddb3-46a3-8d7c-fab3fb2a6bc7">
      <Value>20</Value>
    </TaxCatchAll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RA-9049 - Retain as national archives</TermName>
          <TermId xmlns="http://schemas.microsoft.com/office/infopath/2007/PartnerControls">c7a196f8-aab8-4135-b264-b5edf8684786</TermId>
        </TermInfo>
      </Terms>
    </lb508a4dc5e84436a0fe496b536466aa>
    <_dlc_DocId xmlns="d4dd4adf-ddb3-46a3-8d7c-fab3fb2a6bc7">2014MG-96-11141</_dlc_DocId>
    <_dlc_DocIdUrl xmlns="d4dd4adf-ddb3-46a3-8d7c-fab3fb2a6bc7">
      <Url>http://tweb13/sites/mg/fsd/_layouts/15/DocIdRedir.aspx?ID=2014MG-96-11141</Url>
      <Description>2014MG-96-11141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FBF2F-43C6-4E52-A119-48D672BD2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CD186C-7FFD-4B20-BEAF-5487DCAF3AC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7EF98F-7CF2-44C8-8102-2E7150955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dd4adf-ddb3-46a3-8d7c-fab3fb2a6bc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4FB472-0197-4E2A-BADD-23987FD9AD2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d4dd4adf-ddb3-46a3-8d7c-fab3fb2a6bc7"/>
  </ds:schemaRefs>
</ds:datastoreItem>
</file>

<file path=customXml/itemProps5.xml><?xml version="1.0" encoding="utf-8"?>
<ds:datastoreItem xmlns:ds="http://schemas.openxmlformats.org/officeDocument/2006/customXml" ds:itemID="{2302B173-6F17-4E6D-8CD6-4C9D22B70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4216</Characters>
  <Application>Microsoft Office Word</Application>
  <DocSecurity>0</DocSecurity>
  <Lines>98</Lines>
  <Paragraphs>28</Paragraphs>
  <ScaleCrop>false</ScaleCrop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 Energy Limited - OTC derivatives central clearing and single-sided trade reporting</dc:title>
  <dc:creator/>
  <cp:lastModifiedBy/>
  <cp:revision>1</cp:revision>
  <dcterms:created xsi:type="dcterms:W3CDTF">2015-09-14T02:47:00Z</dcterms:created>
  <dcterms:modified xsi:type="dcterms:W3CDTF">2015-09-14T02:47:00Z</dcterms:modified>
  <dc:language>English</dc:language>
</cp:coreProperties>
</file>