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4EB" w:rsidRPr="004474EB" w:rsidRDefault="003C7AC7" w:rsidP="004474EB">
      <w:pPr>
        <w:rPr>
          <w:rFonts w:eastAsiaTheme="majorEastAsia" w:cstheme="majorBidi"/>
          <w:bCs/>
          <w:sz w:val="24"/>
          <w:szCs w:val="24"/>
        </w:rPr>
      </w:pPr>
      <w:bookmarkStart w:id="0" w:name="_GoBack"/>
      <w:bookmarkEnd w:id="0"/>
      <w:r>
        <w:rPr>
          <w:sz w:val="24"/>
          <w:szCs w:val="24"/>
        </w:rPr>
        <w:t>25</w:t>
      </w:r>
      <w:r w:rsidR="004474EB" w:rsidRPr="004474EB">
        <w:rPr>
          <w:sz w:val="24"/>
          <w:szCs w:val="24"/>
        </w:rPr>
        <w:t xml:space="preserve"> July</w:t>
      </w:r>
      <w:r w:rsidR="004474EB">
        <w:rPr>
          <w:sz w:val="24"/>
          <w:szCs w:val="24"/>
        </w:rPr>
        <w:t xml:space="preserve"> 2017</w:t>
      </w:r>
    </w:p>
    <w:p w:rsidR="004474EB" w:rsidRPr="004474EB" w:rsidRDefault="004474EB" w:rsidP="004474EB">
      <w:pPr>
        <w:spacing w:after="0"/>
        <w:rPr>
          <w:rFonts w:eastAsiaTheme="majorEastAsia" w:cstheme="majorBidi"/>
          <w:bCs/>
          <w:sz w:val="24"/>
          <w:szCs w:val="24"/>
        </w:rPr>
      </w:pPr>
      <w:r w:rsidRPr="004474EB">
        <w:rPr>
          <w:rFonts w:eastAsiaTheme="majorEastAsia" w:cstheme="majorBidi"/>
          <w:bCs/>
          <w:sz w:val="24"/>
          <w:szCs w:val="24"/>
        </w:rPr>
        <w:t>ASIC Enforcement Review</w:t>
      </w:r>
    </w:p>
    <w:p w:rsidR="004474EB" w:rsidRPr="004474EB" w:rsidRDefault="004474EB" w:rsidP="004474EB">
      <w:pPr>
        <w:spacing w:after="0"/>
        <w:rPr>
          <w:rFonts w:eastAsiaTheme="majorEastAsia" w:cstheme="majorBidi"/>
          <w:bCs/>
          <w:sz w:val="24"/>
          <w:szCs w:val="24"/>
        </w:rPr>
      </w:pPr>
      <w:r w:rsidRPr="004474EB">
        <w:rPr>
          <w:rFonts w:eastAsiaTheme="majorEastAsia" w:cstheme="majorBidi"/>
          <w:bCs/>
          <w:sz w:val="24"/>
          <w:szCs w:val="24"/>
        </w:rPr>
        <w:t>Financial System Division</w:t>
      </w:r>
    </w:p>
    <w:p w:rsidR="004474EB" w:rsidRPr="004474EB" w:rsidRDefault="004474EB" w:rsidP="004474EB">
      <w:pPr>
        <w:spacing w:after="0"/>
        <w:rPr>
          <w:rFonts w:eastAsiaTheme="majorEastAsia" w:cstheme="majorBidi"/>
          <w:bCs/>
          <w:sz w:val="24"/>
          <w:szCs w:val="24"/>
        </w:rPr>
      </w:pPr>
      <w:r w:rsidRPr="004474EB">
        <w:rPr>
          <w:rFonts w:eastAsiaTheme="majorEastAsia" w:cstheme="majorBidi"/>
          <w:bCs/>
          <w:sz w:val="24"/>
          <w:szCs w:val="24"/>
        </w:rPr>
        <w:t>The Treasury</w:t>
      </w:r>
    </w:p>
    <w:p w:rsidR="002227D0" w:rsidRDefault="008B1A3B" w:rsidP="004474EB">
      <w:pPr>
        <w:spacing w:after="0"/>
        <w:rPr>
          <w:rFonts w:eastAsiaTheme="majorEastAsia" w:cstheme="majorBidi"/>
          <w:bCs/>
          <w:sz w:val="24"/>
          <w:szCs w:val="24"/>
        </w:rPr>
      </w:pPr>
      <w:hyperlink r:id="rId14" w:history="1">
        <w:r w:rsidR="004474EB" w:rsidRPr="00894AD0">
          <w:rPr>
            <w:rStyle w:val="Hyperlink"/>
            <w:rFonts w:eastAsiaTheme="majorEastAsia" w:cstheme="majorBidi"/>
            <w:bCs/>
            <w:sz w:val="24"/>
            <w:szCs w:val="24"/>
          </w:rPr>
          <w:t>ASICenforcementreview@treasury.gov.au</w:t>
        </w:r>
      </w:hyperlink>
    </w:p>
    <w:p w:rsidR="004474EB" w:rsidRDefault="004474EB" w:rsidP="004474EB">
      <w:pPr>
        <w:spacing w:after="0"/>
        <w:rPr>
          <w:rFonts w:eastAsiaTheme="majorEastAsia" w:cstheme="majorBidi"/>
          <w:bCs/>
          <w:sz w:val="24"/>
          <w:szCs w:val="24"/>
        </w:rPr>
      </w:pPr>
    </w:p>
    <w:p w:rsidR="004474EB" w:rsidRPr="003021D2" w:rsidRDefault="004474EB" w:rsidP="004474EB">
      <w:pPr>
        <w:spacing w:after="0"/>
        <w:rPr>
          <w:rFonts w:eastAsiaTheme="majorEastAsia" w:cstheme="majorBidi"/>
          <w:b/>
          <w:bCs/>
          <w:sz w:val="24"/>
          <w:szCs w:val="24"/>
        </w:rPr>
      </w:pPr>
      <w:r w:rsidRPr="003021D2">
        <w:rPr>
          <w:rFonts w:eastAsiaTheme="majorEastAsia" w:cstheme="majorBidi"/>
          <w:b/>
          <w:bCs/>
          <w:sz w:val="24"/>
          <w:szCs w:val="24"/>
        </w:rPr>
        <w:t>RE: ASIC Enforcement Review Position and Consultation Paper 3: Strengthening ASIC’s Licensing Powers</w:t>
      </w:r>
    </w:p>
    <w:p w:rsidR="004474EB" w:rsidRDefault="004474EB" w:rsidP="004474EB">
      <w:pPr>
        <w:spacing w:after="0"/>
        <w:rPr>
          <w:rFonts w:eastAsiaTheme="majorEastAsia" w:cstheme="majorBidi"/>
          <w:bCs/>
          <w:sz w:val="24"/>
          <w:szCs w:val="24"/>
        </w:rPr>
      </w:pPr>
    </w:p>
    <w:p w:rsidR="004474EB" w:rsidRDefault="004474EB" w:rsidP="004474EB">
      <w:pPr>
        <w:pStyle w:val="Body"/>
        <w:jc w:val="both"/>
        <w:rPr>
          <w:rFonts w:ascii="Lato" w:eastAsia="Lato" w:hAnsi="Lato" w:cs="Lato"/>
        </w:rPr>
      </w:pPr>
      <w:r w:rsidRPr="00795D54">
        <w:rPr>
          <w:rFonts w:ascii="Lato" w:eastAsia="Lato" w:hAnsi="Lato" w:cs="Lato"/>
          <w:lang w:val="en-US"/>
        </w:rPr>
        <w:t xml:space="preserve">Thank you for the opportunity to comment on </w:t>
      </w:r>
      <w:r w:rsidRPr="00B50687">
        <w:rPr>
          <w:rFonts w:ascii="Lato" w:eastAsia="Lato" w:hAnsi="Lato" w:cs="Lato"/>
          <w:i/>
          <w:lang w:val="en-US"/>
        </w:rPr>
        <w:t>P</w:t>
      </w:r>
      <w:r>
        <w:rPr>
          <w:rFonts w:ascii="Lato" w:eastAsia="Lato" w:hAnsi="Lato" w:cs="Lato"/>
          <w:i/>
          <w:lang w:val="en-US"/>
        </w:rPr>
        <w:t>osition and Consultation Paper 3</w:t>
      </w:r>
      <w:r w:rsidRPr="00B50687">
        <w:rPr>
          <w:rFonts w:ascii="Lato" w:eastAsia="Lato" w:hAnsi="Lato" w:cs="Lato"/>
          <w:i/>
          <w:lang w:val="en-US"/>
        </w:rPr>
        <w:t xml:space="preserve"> – </w:t>
      </w:r>
      <w:r>
        <w:rPr>
          <w:rFonts w:ascii="Lato" w:eastAsia="Lato" w:hAnsi="Lato" w:cs="Lato"/>
          <w:i/>
          <w:lang w:val="en-US"/>
        </w:rPr>
        <w:t>Strengthening ASIC’s Licensing Powers</w:t>
      </w:r>
      <w:r w:rsidRPr="00B50687">
        <w:rPr>
          <w:rFonts w:ascii="Lato" w:eastAsia="Lato" w:hAnsi="Lato" w:cs="Lato"/>
          <w:i/>
          <w:lang w:val="en-US"/>
        </w:rPr>
        <w:t>.</w:t>
      </w:r>
      <w:r>
        <w:rPr>
          <w:rFonts w:ascii="Lato" w:eastAsia="Lato" w:hAnsi="Lato" w:cs="Lato"/>
        </w:rPr>
        <w:t xml:space="preserve"> </w:t>
      </w:r>
    </w:p>
    <w:p w:rsidR="004474EB" w:rsidRDefault="004474EB" w:rsidP="004474EB">
      <w:pPr>
        <w:pStyle w:val="Body"/>
        <w:jc w:val="both"/>
        <w:rPr>
          <w:rFonts w:ascii="Lato" w:eastAsia="Lato" w:hAnsi="Lato" w:cs="Lato"/>
        </w:rPr>
      </w:pPr>
      <w:r>
        <w:rPr>
          <w:rFonts w:ascii="Lato" w:eastAsia="Lato" w:hAnsi="Lato" w:cs="Lato"/>
        </w:rPr>
        <w:t>T</w:t>
      </w:r>
      <w:r w:rsidRPr="00EB528D">
        <w:rPr>
          <w:rFonts w:ascii="Lato" w:eastAsia="Lato" w:hAnsi="Lato" w:cs="Lato"/>
        </w:rPr>
        <w:t>he Financial Rights Legal Centre</w:t>
      </w:r>
      <w:r>
        <w:rPr>
          <w:rFonts w:ascii="Lato" w:eastAsia="Lato" w:hAnsi="Lato" w:cs="Lato"/>
        </w:rPr>
        <w:t xml:space="preserve"> (</w:t>
      </w:r>
      <w:r w:rsidRPr="00AE0160">
        <w:rPr>
          <w:rFonts w:ascii="Lato" w:eastAsia="Lato" w:hAnsi="Lato" w:cs="Lato"/>
          <w:b/>
        </w:rPr>
        <w:t>Financial Rights</w:t>
      </w:r>
      <w:r>
        <w:rPr>
          <w:rFonts w:ascii="Lato" w:eastAsia="Lato" w:hAnsi="Lato" w:cs="Lato"/>
          <w:b/>
        </w:rPr>
        <w:t xml:space="preserve">) </w:t>
      </w:r>
      <w:r w:rsidRPr="00B50687">
        <w:rPr>
          <w:rFonts w:ascii="Lato" w:eastAsia="Lato" w:hAnsi="Lato" w:cs="Lato"/>
        </w:rPr>
        <w:t xml:space="preserve">has long argued </w:t>
      </w:r>
      <w:r>
        <w:rPr>
          <w:rFonts w:ascii="Lato" w:eastAsia="Lato" w:hAnsi="Lato" w:cs="Lato"/>
        </w:rPr>
        <w:t>that regulators in Australia need a full toolkit of</w:t>
      </w:r>
      <w:r w:rsidR="00974D3E">
        <w:rPr>
          <w:rFonts w:ascii="Lato" w:eastAsia="Lato" w:hAnsi="Lato" w:cs="Lato"/>
        </w:rPr>
        <w:t xml:space="preserve"> regulatory</w:t>
      </w:r>
      <w:r>
        <w:rPr>
          <w:rFonts w:ascii="Lato" w:eastAsia="Lato" w:hAnsi="Lato" w:cs="Lato"/>
        </w:rPr>
        <w:t xml:space="preserve"> powers in order to do their job properly.  ASIC should be sufficiently empowered to protect people who use financial services without having to keep going back to the Government for additional controls to fill loopholes and address new forms of misleading or dangerous conduct.</w:t>
      </w:r>
    </w:p>
    <w:p w:rsidR="004474EB" w:rsidRPr="003021D2" w:rsidRDefault="004474EB" w:rsidP="003021D2">
      <w:pPr>
        <w:keepNext/>
        <w:keepLines/>
        <w:spacing w:before="120" w:after="200"/>
        <w:outlineLvl w:val="0"/>
        <w:rPr>
          <w:rFonts w:eastAsiaTheme="majorEastAsia" w:cstheme="majorBidi"/>
          <w:b/>
          <w:bCs/>
          <w:sz w:val="24"/>
          <w:szCs w:val="24"/>
        </w:rPr>
      </w:pPr>
      <w:bookmarkStart w:id="1" w:name="_Toc481161371"/>
      <w:r w:rsidRPr="003021D2">
        <w:rPr>
          <w:rFonts w:eastAsiaTheme="majorEastAsia" w:cstheme="majorBidi"/>
          <w:b/>
          <w:bCs/>
          <w:sz w:val="24"/>
          <w:szCs w:val="24"/>
        </w:rPr>
        <w:t>Endorsement of Taskforce Positions</w:t>
      </w:r>
      <w:bookmarkEnd w:id="1"/>
    </w:p>
    <w:p w:rsidR="004474EB" w:rsidRDefault="004474EB" w:rsidP="004474EB">
      <w:pPr>
        <w:rPr>
          <w:bCs/>
        </w:rPr>
      </w:pPr>
      <w:r>
        <w:rPr>
          <w:bCs/>
        </w:rPr>
        <w:t>Financial Rights strongly endorses all seven of the Taskforce’s preliminary positions on reforms aimed at enhancing the current regimes and achieving greater uniformity between the AFS license and credit license regimes. We agree there should be uniformity between the two licensing regimes and license applicants in similar circumstances should be subject to the same assessment criteria and requirements.</w:t>
      </w:r>
    </w:p>
    <w:p w:rsidR="004474EB" w:rsidRPr="00477B67" w:rsidRDefault="004474EB" w:rsidP="004474EB">
      <w:pPr>
        <w:rPr>
          <w:bCs/>
        </w:rPr>
      </w:pPr>
      <w:r>
        <w:rPr>
          <w:bCs/>
        </w:rPr>
        <w:t>Financial Rights is particularly concerned about ASIC’s current inability to take decisive action when a licensee gets a new controller that ASIC does not believe to be fit and proper. Entities should not be able to take advantage of a regulatory loophole where they apply for a license with a competent controller and then the entity gets sold to a new controller who ASIC would never have granted the license to had they been on the initial application.</w:t>
      </w:r>
    </w:p>
    <w:p w:rsidR="004474EB" w:rsidRPr="00795D54" w:rsidRDefault="004474EB" w:rsidP="003021D2">
      <w:pPr>
        <w:pStyle w:val="Body"/>
        <w:rPr>
          <w:rFonts w:ascii="Lato" w:eastAsia="Lato" w:hAnsi="Lato" w:cs="Lato"/>
          <w:b/>
          <w:sz w:val="24"/>
          <w:szCs w:val="24"/>
        </w:rPr>
      </w:pPr>
      <w:r w:rsidRPr="00795D54">
        <w:rPr>
          <w:rFonts w:ascii="Lato" w:eastAsia="Lato" w:hAnsi="Lato" w:cs="Lato"/>
          <w:b/>
          <w:sz w:val="24"/>
          <w:szCs w:val="24"/>
          <w:lang w:val="en-US"/>
        </w:rPr>
        <w:t>Concluding Remarks</w:t>
      </w:r>
    </w:p>
    <w:p w:rsidR="004474EB" w:rsidRPr="00795D54" w:rsidRDefault="004474EB" w:rsidP="004474EB">
      <w:pPr>
        <w:pStyle w:val="Body"/>
        <w:jc w:val="both"/>
        <w:rPr>
          <w:rFonts w:ascii="Lato" w:eastAsia="Lato" w:hAnsi="Lato" w:cs="Lato"/>
          <w:lang w:val="en-US"/>
        </w:rPr>
      </w:pPr>
      <w:r w:rsidRPr="00795D54">
        <w:rPr>
          <w:rFonts w:ascii="Lato" w:eastAsia="Lato" w:hAnsi="Lato" w:cs="Lato"/>
          <w:lang w:val="en-US"/>
        </w:rPr>
        <w:t>Thank you again f</w:t>
      </w:r>
      <w:r>
        <w:rPr>
          <w:rFonts w:ascii="Lato" w:eastAsia="Lato" w:hAnsi="Lato" w:cs="Lato"/>
          <w:lang w:val="en-US"/>
        </w:rPr>
        <w:t xml:space="preserve">or the opportunity to comment. </w:t>
      </w:r>
      <w:r w:rsidRPr="00795D54">
        <w:rPr>
          <w:rFonts w:ascii="Lato" w:eastAsia="Lato" w:hAnsi="Lato" w:cs="Lato"/>
          <w:lang w:val="en-US"/>
        </w:rPr>
        <w:t xml:space="preserve">If you have any questions or concerns regarding this submission please do not hesitate to contact </w:t>
      </w:r>
      <w:r>
        <w:rPr>
          <w:rFonts w:ascii="Lato" w:eastAsia="Lato" w:hAnsi="Lato" w:cs="Lato"/>
          <w:lang w:val="en-US"/>
        </w:rPr>
        <w:t>Financial Rights</w:t>
      </w:r>
      <w:r w:rsidRPr="00795D54">
        <w:rPr>
          <w:rFonts w:ascii="Lato" w:eastAsia="Lato" w:hAnsi="Lato" w:cs="Lato"/>
          <w:lang w:val="en-US"/>
        </w:rPr>
        <w:t xml:space="preserve"> on (02) 9212 4216.</w:t>
      </w:r>
    </w:p>
    <w:p w:rsidR="004474EB" w:rsidRPr="00795D54" w:rsidRDefault="004B1505" w:rsidP="004474EB">
      <w:pPr>
        <w:pStyle w:val="Body"/>
        <w:rPr>
          <w:rFonts w:ascii="Lato" w:hAnsi="Lato"/>
        </w:rPr>
      </w:pPr>
      <w:r w:rsidRPr="00795D54">
        <w:rPr>
          <w:rFonts w:ascii="Lato" w:eastAsia="Lato" w:hAnsi="Lato" w:cs="Lato"/>
          <w:b/>
          <w:bCs/>
          <w:noProof/>
          <w:sz w:val="28"/>
          <w:szCs w:val="28"/>
        </w:rPr>
        <w:drawing>
          <wp:anchor distT="0" distB="0" distL="114300" distR="114300" simplePos="0" relativeHeight="251658240" behindDoc="1" locked="0" layoutInCell="1" allowOverlap="1" wp14:anchorId="3025AA88" wp14:editId="300BE498">
            <wp:simplePos x="0" y="0"/>
            <wp:positionH relativeFrom="column">
              <wp:posOffset>30907</wp:posOffset>
            </wp:positionH>
            <wp:positionV relativeFrom="paragraph">
              <wp:posOffset>97790</wp:posOffset>
            </wp:positionV>
            <wp:extent cx="2219325" cy="676910"/>
            <wp:effectExtent l="0" t="0" r="9525"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19325" cy="676910"/>
                    </a:xfrm>
                    <a:prstGeom prst="rect">
                      <a:avLst/>
                    </a:prstGeom>
                    <a:noFill/>
                  </pic:spPr>
                </pic:pic>
              </a:graphicData>
            </a:graphic>
            <wp14:sizeRelH relativeFrom="page">
              <wp14:pctWidth>0</wp14:pctWidth>
            </wp14:sizeRelH>
            <wp14:sizeRelV relativeFrom="page">
              <wp14:pctHeight>0</wp14:pctHeight>
            </wp14:sizeRelV>
          </wp:anchor>
        </w:drawing>
      </w:r>
      <w:r w:rsidR="004474EB" w:rsidRPr="00795D54">
        <w:rPr>
          <w:rFonts w:ascii="Lato" w:eastAsia="Lato" w:hAnsi="Lato" w:cs="Lato"/>
        </w:rPr>
        <w:t xml:space="preserve">Kind Regards,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tblGrid>
      <w:tr w:rsidR="004474EB" w:rsidRPr="00795D54" w:rsidTr="004474EB">
        <w:tc>
          <w:tcPr>
            <w:tcW w:w="4764" w:type="dxa"/>
          </w:tcPr>
          <w:p w:rsidR="004474EB" w:rsidRPr="00795D54" w:rsidRDefault="004474EB" w:rsidP="004474EB">
            <w:pPr>
              <w:pStyle w:val="Body"/>
              <w:rPr>
                <w:rFonts w:ascii="Lato" w:eastAsia="Lato" w:hAnsi="Lato" w:cs="Lato"/>
                <w:b/>
                <w:bCs/>
                <w:sz w:val="28"/>
                <w:szCs w:val="28"/>
                <w:lang w:val="nl-NL"/>
              </w:rPr>
            </w:pPr>
          </w:p>
          <w:p w:rsidR="004474EB" w:rsidRPr="00795D54" w:rsidRDefault="004474EB" w:rsidP="003021D2">
            <w:pPr>
              <w:pStyle w:val="Body"/>
              <w:spacing w:after="0"/>
              <w:rPr>
                <w:rFonts w:ascii="Lato" w:eastAsia="Lato" w:hAnsi="Lato" w:cs="Lato"/>
                <w:b/>
                <w:bCs/>
                <w:sz w:val="24"/>
                <w:szCs w:val="24"/>
              </w:rPr>
            </w:pPr>
            <w:r w:rsidRPr="00795D54">
              <w:rPr>
                <w:rFonts w:ascii="Lato" w:eastAsia="Lato" w:hAnsi="Lato" w:cs="Lato"/>
                <w:b/>
                <w:bCs/>
                <w:sz w:val="24"/>
                <w:szCs w:val="24"/>
                <w:lang w:val="nl-NL"/>
              </w:rPr>
              <w:t>Karen Cox</w:t>
            </w:r>
          </w:p>
          <w:p w:rsidR="004474EB" w:rsidRPr="00795D54" w:rsidRDefault="004474EB" w:rsidP="003021D2">
            <w:pPr>
              <w:pStyle w:val="Body"/>
              <w:spacing w:after="0"/>
              <w:rPr>
                <w:rFonts w:ascii="Lato" w:eastAsia="Lato" w:hAnsi="Lato" w:cs="Lato"/>
              </w:rPr>
            </w:pPr>
            <w:r w:rsidRPr="00795D54">
              <w:rPr>
                <w:rFonts w:ascii="Lato" w:eastAsia="Lato" w:hAnsi="Lato" w:cs="Lato"/>
                <w:lang w:val="nl-NL"/>
              </w:rPr>
              <w:t>Coordinator</w:t>
            </w:r>
          </w:p>
          <w:p w:rsidR="004474EB" w:rsidRPr="00795D54" w:rsidRDefault="004474EB" w:rsidP="003021D2">
            <w:pPr>
              <w:pStyle w:val="Body"/>
              <w:spacing w:after="0"/>
              <w:rPr>
                <w:rFonts w:ascii="Lato" w:eastAsia="Lato" w:hAnsi="Lato" w:cs="Lato"/>
              </w:rPr>
            </w:pPr>
            <w:r w:rsidRPr="00795D54">
              <w:rPr>
                <w:rFonts w:ascii="Lato" w:eastAsia="Lato" w:hAnsi="Lato" w:cs="Lato"/>
                <w:lang w:val="nl-NL"/>
              </w:rPr>
              <w:t>Financial Rights Legal Centre</w:t>
            </w:r>
          </w:p>
          <w:p w:rsidR="004474EB" w:rsidRPr="00795D54" w:rsidRDefault="004474EB" w:rsidP="003021D2">
            <w:pPr>
              <w:pStyle w:val="Body"/>
              <w:spacing w:after="0"/>
              <w:rPr>
                <w:rFonts w:ascii="Lato" w:eastAsia="Lato" w:hAnsi="Lato" w:cs="Lato"/>
              </w:rPr>
            </w:pPr>
            <w:r w:rsidRPr="00795D54">
              <w:rPr>
                <w:rFonts w:ascii="Lato" w:eastAsia="Lato" w:hAnsi="Lato" w:cs="Lato"/>
              </w:rPr>
              <w:t>Direct: (02) 8204 1340</w:t>
            </w:r>
          </w:p>
          <w:p w:rsidR="004474EB" w:rsidRPr="00795D54" w:rsidRDefault="004474EB" w:rsidP="003021D2">
            <w:pPr>
              <w:pStyle w:val="Body"/>
              <w:spacing w:after="0"/>
              <w:rPr>
                <w:rFonts w:ascii="Lato" w:eastAsia="Lato" w:hAnsi="Lato" w:cs="Lato"/>
              </w:rPr>
            </w:pPr>
            <w:r w:rsidRPr="00795D54">
              <w:rPr>
                <w:rFonts w:ascii="Lato" w:eastAsia="Lato" w:hAnsi="Lato" w:cs="Lato"/>
              </w:rPr>
              <w:t xml:space="preserve">E-mail: </w:t>
            </w:r>
            <w:hyperlink r:id="rId16" w:history="1">
              <w:r w:rsidRPr="00795D54">
                <w:rPr>
                  <w:rStyle w:val="Hyperlink1"/>
                  <w:lang w:val="en-US"/>
                </w:rPr>
                <w:t>Karen.Cox@financialrights.org.au</w:t>
              </w:r>
            </w:hyperlink>
            <w:r w:rsidRPr="00795D54">
              <w:rPr>
                <w:rFonts w:ascii="Lato" w:eastAsia="Lato" w:hAnsi="Lato" w:cs="Lato"/>
              </w:rPr>
              <w:t xml:space="preserve"> </w:t>
            </w:r>
          </w:p>
        </w:tc>
      </w:tr>
    </w:tbl>
    <w:p w:rsidR="004474EB" w:rsidRDefault="004474EB" w:rsidP="004474EB">
      <w:pPr>
        <w:spacing w:after="0"/>
        <w:rPr>
          <w:rFonts w:eastAsiaTheme="majorEastAsia" w:cstheme="majorBidi"/>
          <w:bCs/>
          <w:sz w:val="24"/>
          <w:szCs w:val="24"/>
        </w:rPr>
      </w:pPr>
    </w:p>
    <w:p w:rsidR="003021D2" w:rsidRPr="004B1505"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Lato" w:eastAsia="Lato" w:hAnsi="Lato" w:cs="Lato"/>
          <w:b/>
          <w:color w:val="auto"/>
          <w:sz w:val="28"/>
          <w:szCs w:val="28"/>
          <w:u w:color="0099CC"/>
          <w:lang w:val="en-US"/>
        </w:rPr>
      </w:pPr>
      <w:r w:rsidRPr="004B1505">
        <w:rPr>
          <w:rFonts w:ascii="Lato" w:eastAsia="Lato" w:hAnsi="Lato" w:cs="Lato"/>
          <w:b/>
          <w:color w:val="auto"/>
          <w:sz w:val="28"/>
          <w:szCs w:val="28"/>
          <w:u w:color="0099CC"/>
          <w:lang w:val="en-US"/>
        </w:rPr>
        <w:lastRenderedPageBreak/>
        <w:t>About the Financial Rights Legal Centre</w:t>
      </w:r>
    </w:p>
    <w:p w:rsidR="003021D2" w:rsidRPr="003021D2"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240"/>
        <w:jc w:val="both"/>
        <w:rPr>
          <w:rFonts w:ascii="Lato" w:eastAsia="Lato" w:hAnsi="Lato" w:cs="Lato"/>
          <w:color w:val="auto"/>
          <w:sz w:val="24"/>
          <w:szCs w:val="24"/>
          <w:u w:color="0099CC"/>
        </w:rPr>
      </w:pPr>
      <w:r w:rsidRPr="003021D2">
        <w:rPr>
          <w:rFonts w:ascii="Lato" w:eastAsia="Lato" w:hAnsi="Lato" w:cs="Lato"/>
          <w:color w:val="auto"/>
          <w:sz w:val="24"/>
          <w:szCs w:val="24"/>
          <w:u w:color="0099CC"/>
          <w:lang w:val="en-US"/>
        </w:rPr>
        <w:t xml:space="preserve">The Financial Rights Legal Centre is a community legal </w:t>
      </w:r>
      <w:proofErr w:type="spellStart"/>
      <w:r w:rsidRPr="003021D2">
        <w:rPr>
          <w:rFonts w:ascii="Lato" w:eastAsia="Lato" w:hAnsi="Lato" w:cs="Lato"/>
          <w:color w:val="auto"/>
          <w:sz w:val="24"/>
          <w:szCs w:val="24"/>
          <w:u w:color="0099CC"/>
          <w:lang w:val="en-US"/>
        </w:rPr>
        <w:t>centre</w:t>
      </w:r>
      <w:proofErr w:type="spellEnd"/>
      <w:r w:rsidRPr="003021D2">
        <w:rPr>
          <w:rFonts w:ascii="Lato" w:eastAsia="Lato" w:hAnsi="Lato" w:cs="Lato"/>
          <w:color w:val="auto"/>
          <w:sz w:val="24"/>
          <w:szCs w:val="24"/>
          <w:u w:color="0099CC"/>
          <w:lang w:val="en-US"/>
        </w:rPr>
        <w:t xml:space="preserve"> that </w:t>
      </w:r>
      <w:proofErr w:type="spellStart"/>
      <w:r w:rsidRPr="003021D2">
        <w:rPr>
          <w:rFonts w:ascii="Lato" w:eastAsia="Lato" w:hAnsi="Lato" w:cs="Lato"/>
          <w:color w:val="auto"/>
          <w:sz w:val="24"/>
          <w:szCs w:val="24"/>
          <w:u w:color="0099CC"/>
          <w:lang w:val="en-US"/>
        </w:rPr>
        <w:t>specialises</w:t>
      </w:r>
      <w:proofErr w:type="spellEnd"/>
      <w:r w:rsidRPr="003021D2">
        <w:rPr>
          <w:rFonts w:ascii="Lato" w:eastAsia="Lato" w:hAnsi="Lato" w:cs="Lato"/>
          <w:color w:val="auto"/>
          <w:sz w:val="24"/>
          <w:szCs w:val="24"/>
          <w:u w:color="0099CC"/>
          <w:lang w:val="en-US"/>
        </w:rPr>
        <w:t xml:space="preserve"> in helping consumer's understand and enforce their financial rights, especially low income and otherwise </w:t>
      </w:r>
      <w:proofErr w:type="spellStart"/>
      <w:r w:rsidRPr="003021D2">
        <w:rPr>
          <w:rFonts w:ascii="Lato" w:eastAsia="Lato" w:hAnsi="Lato" w:cs="Lato"/>
          <w:color w:val="auto"/>
          <w:sz w:val="24"/>
          <w:szCs w:val="24"/>
          <w:u w:color="0099CC"/>
          <w:lang w:val="en-US"/>
        </w:rPr>
        <w:t>marginalised</w:t>
      </w:r>
      <w:proofErr w:type="spellEnd"/>
      <w:r w:rsidRPr="003021D2">
        <w:rPr>
          <w:rFonts w:ascii="Lato" w:eastAsia="Lato" w:hAnsi="Lato" w:cs="Lato"/>
          <w:color w:val="auto"/>
          <w:sz w:val="24"/>
          <w:szCs w:val="24"/>
          <w:u w:color="0099CC"/>
          <w:lang w:val="en-US"/>
        </w:rPr>
        <w:t xml:space="preserve"> or vulnerable consumers. We provide free and independent financial counselling, legal advice and representation to individuals about a broad range of financial issues. Financial Rights operates the National Debt Helpline, which helps NSW consumers experiencing financial difficulties. We also operate the Insurance Law Service which provides advice nationally to consumers about insurance claims and debts to insurance companies. Financial Rights took over 25,000 calls for advice or assistance during the 2015/2016 financial year. </w:t>
      </w:r>
    </w:p>
    <w:p w:rsidR="003021D2" w:rsidRPr="003021D2"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Lato" w:eastAsia="Lato" w:hAnsi="Lato" w:cs="Lato"/>
          <w:color w:val="auto"/>
          <w:sz w:val="24"/>
          <w:szCs w:val="24"/>
          <w:u w:color="0099CC"/>
          <w:lang w:val="en-US"/>
        </w:rPr>
      </w:pPr>
      <w:r w:rsidRPr="003021D2">
        <w:rPr>
          <w:rFonts w:ascii="Lato" w:eastAsia="Lato" w:hAnsi="Lato" w:cs="Lato"/>
          <w:color w:val="auto"/>
          <w:sz w:val="24"/>
          <w:szCs w:val="24"/>
          <w:u w:color="0099CC"/>
          <w:lang w:val="en-US"/>
        </w:rPr>
        <w:t>Financial Rights also conducts research and collects data from our extensive contact with consumers and the legal consumer protection framework to lobby for changes to law and industry practice for the benefit of consumers. We also provide extensive web-based resources, other education resources, workshops, presentations and media comment.</w:t>
      </w:r>
    </w:p>
    <w:p w:rsidR="003021D2" w:rsidRPr="003021D2"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Lato" w:eastAsia="Lato" w:hAnsi="Lato" w:cs="Lato"/>
          <w:color w:val="auto"/>
          <w:sz w:val="24"/>
          <w:szCs w:val="24"/>
          <w:u w:color="0099CC"/>
          <w:lang w:val="en-US"/>
        </w:rPr>
      </w:pPr>
    </w:p>
    <w:p w:rsidR="003021D2" w:rsidRPr="003021D2"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Lato" w:eastAsia="Lato" w:hAnsi="Lato" w:cs="Lato"/>
          <w:color w:val="auto"/>
          <w:sz w:val="24"/>
          <w:szCs w:val="24"/>
          <w:u w:color="0099CC"/>
        </w:rPr>
      </w:pPr>
      <w:r w:rsidRPr="003021D2">
        <w:rPr>
          <w:rFonts w:ascii="Lato" w:eastAsia="Lato" w:hAnsi="Lato" w:cs="Lato"/>
          <w:color w:val="auto"/>
          <w:sz w:val="24"/>
          <w:szCs w:val="24"/>
          <w:u w:color="0099CC"/>
        </w:rPr>
        <w:t xml:space="preserve">This submission is an example of how CLCs utilise the expertise gained from their client work and help give voice to their clients’ experiences to contribute to improving laws and legal processes and prevent some problems from arising altogether. </w:t>
      </w:r>
    </w:p>
    <w:p w:rsidR="003021D2" w:rsidRPr="003021D2"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Lato" w:eastAsia="Lato" w:hAnsi="Lato" w:cs="Lato"/>
          <w:color w:val="auto"/>
          <w:sz w:val="24"/>
          <w:szCs w:val="24"/>
          <w:u w:color="0099CC"/>
        </w:rPr>
      </w:pPr>
    </w:p>
    <w:p w:rsidR="003021D2" w:rsidRPr="003021D2" w:rsidRDefault="003021D2"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Lato" w:eastAsia="Lato" w:hAnsi="Lato" w:cs="Lato"/>
          <w:color w:val="auto"/>
          <w:sz w:val="24"/>
          <w:szCs w:val="24"/>
          <w:u w:color="0099CC"/>
        </w:rPr>
      </w:pPr>
      <w:r w:rsidRPr="003021D2">
        <w:rPr>
          <w:rFonts w:ascii="Lato" w:eastAsia="Lato" w:hAnsi="Lato" w:cs="Lato"/>
          <w:color w:val="auto"/>
          <w:sz w:val="24"/>
          <w:szCs w:val="24"/>
          <w:u w:color="0099CC"/>
        </w:rPr>
        <w:t xml:space="preserve">For Financial Rights Legal Centre submissions and publications go to </w:t>
      </w:r>
    </w:p>
    <w:p w:rsidR="003021D2" w:rsidRPr="003021D2" w:rsidRDefault="008B1A3B" w:rsidP="00C86BF4">
      <w:pPr>
        <w:pStyle w:val="Body"/>
        <w:pBdr>
          <w:top w:val="none" w:sz="0" w:space="0" w:color="auto"/>
          <w:left w:val="none" w:sz="0" w:space="0" w:color="auto"/>
          <w:bottom w:val="none" w:sz="0" w:space="0" w:color="auto"/>
          <w:right w:val="none" w:sz="0" w:space="0" w:color="auto"/>
          <w:between w:val="none" w:sz="0" w:space="0" w:color="auto"/>
          <w:bar w:val="none" w:sz="0" w:color="auto"/>
        </w:pBdr>
        <w:spacing w:after="0"/>
        <w:jc w:val="both"/>
        <w:rPr>
          <w:rFonts w:ascii="Lato" w:eastAsia="Lato" w:hAnsi="Lato" w:cs="Lato"/>
          <w:color w:val="auto"/>
          <w:sz w:val="24"/>
          <w:szCs w:val="24"/>
          <w:u w:color="0099CC"/>
        </w:rPr>
      </w:pPr>
      <w:hyperlink r:id="rId17" w:history="1">
        <w:r w:rsidR="003021D2" w:rsidRPr="003021D2">
          <w:rPr>
            <w:rStyle w:val="Hyperlink"/>
            <w:rFonts w:ascii="Lato" w:eastAsia="Lato" w:hAnsi="Lato" w:cs="Lato"/>
            <w:color w:val="auto"/>
            <w:sz w:val="24"/>
            <w:szCs w:val="24"/>
            <w:u w:color="0099CC"/>
          </w:rPr>
          <w:t>www.financialrights.org.au/submission/</w:t>
        </w:r>
      </w:hyperlink>
      <w:r w:rsidR="003021D2" w:rsidRPr="003021D2">
        <w:rPr>
          <w:rFonts w:ascii="Lato" w:eastAsia="Lato" w:hAnsi="Lato" w:cs="Lato"/>
          <w:color w:val="auto"/>
          <w:sz w:val="24"/>
          <w:szCs w:val="24"/>
          <w:u w:color="0099CC"/>
        </w:rPr>
        <w:t xml:space="preserve"> or </w:t>
      </w:r>
      <w:hyperlink r:id="rId18" w:history="1">
        <w:r w:rsidR="003021D2" w:rsidRPr="003021D2">
          <w:rPr>
            <w:rStyle w:val="Hyperlink"/>
            <w:rFonts w:ascii="Lato" w:eastAsia="Lato" w:hAnsi="Lato" w:cs="Lato"/>
            <w:color w:val="auto"/>
            <w:sz w:val="24"/>
            <w:szCs w:val="24"/>
            <w:u w:color="0099CC"/>
          </w:rPr>
          <w:t>www.financialrights.org.au/publication/</w:t>
        </w:r>
      </w:hyperlink>
      <w:r w:rsidR="003021D2" w:rsidRPr="003021D2">
        <w:rPr>
          <w:rFonts w:ascii="Lato" w:eastAsia="Lato" w:hAnsi="Lato" w:cs="Lato"/>
          <w:color w:val="auto"/>
          <w:sz w:val="24"/>
          <w:szCs w:val="24"/>
          <w:u w:color="0099CC"/>
        </w:rPr>
        <w:t xml:space="preserve"> </w:t>
      </w:r>
    </w:p>
    <w:p w:rsidR="003021D2" w:rsidRPr="003021D2" w:rsidRDefault="003021D2" w:rsidP="003021D2"/>
    <w:sectPr w:rsidR="003021D2" w:rsidRPr="003021D2" w:rsidSect="00051B7E">
      <w:footerReference w:type="default" r:id="rId19"/>
      <w:headerReference w:type="first" r:id="rId20"/>
      <w:footerReference w:type="first" r:id="rId21"/>
      <w:pgSz w:w="11906" w:h="16838"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AC7" w:rsidRDefault="003C7AC7" w:rsidP="00536ACC">
      <w:pPr>
        <w:spacing w:after="0" w:line="240" w:lineRule="auto"/>
      </w:pPr>
      <w:r>
        <w:separator/>
      </w:r>
    </w:p>
  </w:endnote>
  <w:endnote w:type="continuationSeparator" w:id="0">
    <w:p w:rsidR="003C7AC7" w:rsidRDefault="003C7AC7" w:rsidP="005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Calibri"/>
    <w:charset w:val="00"/>
    <w:family w:val="swiss"/>
    <w:pitch w:val="variable"/>
    <w:sig w:usb0="00000001"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illSans">
    <w:altName w:val="GillSan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C7AC7" w:rsidRPr="00304C2C" w:rsidTr="00FD421A">
      <w:tc>
        <w:tcPr>
          <w:tcW w:w="5228" w:type="dxa"/>
        </w:tcPr>
        <w:p w:rsidR="003C7AC7" w:rsidRPr="00304C2C" w:rsidRDefault="003C7AC7" w:rsidP="00FD421A">
          <w:pPr>
            <w:pStyle w:val="Footer"/>
            <w:rPr>
              <w:color w:val="808080" w:themeColor="background1" w:themeShade="80"/>
              <w:sz w:val="18"/>
              <w:szCs w:val="18"/>
            </w:rPr>
          </w:pPr>
          <w:r>
            <w:rPr>
              <w:color w:val="808080" w:themeColor="background1" w:themeShade="80"/>
              <w:sz w:val="18"/>
              <w:szCs w:val="18"/>
            </w:rPr>
            <w:br/>
          </w:r>
          <w:r w:rsidRPr="00304C2C">
            <w:rPr>
              <w:color w:val="808080" w:themeColor="background1" w:themeShade="80"/>
              <w:sz w:val="18"/>
              <w:szCs w:val="18"/>
            </w:rPr>
            <w:t>Financial Rights Legal Centre</w:t>
          </w:r>
          <w:r>
            <w:rPr>
              <w:color w:val="808080" w:themeColor="background1" w:themeShade="80"/>
              <w:sz w:val="18"/>
              <w:szCs w:val="18"/>
            </w:rPr>
            <w:t xml:space="preserve"> </w:t>
          </w:r>
          <w:proofErr w:type="spellStart"/>
          <w:r>
            <w:rPr>
              <w:color w:val="808080" w:themeColor="background1" w:themeShade="80"/>
              <w:sz w:val="18"/>
              <w:szCs w:val="18"/>
            </w:rPr>
            <w:t>Inc</w:t>
          </w:r>
          <w:proofErr w:type="spellEnd"/>
          <w:r>
            <w:rPr>
              <w:color w:val="808080" w:themeColor="background1" w:themeShade="80"/>
              <w:sz w:val="18"/>
              <w:szCs w:val="18"/>
            </w:rPr>
            <w:t xml:space="preserve"> ABN 40 506 635 273</w:t>
          </w:r>
        </w:p>
      </w:tc>
      <w:tc>
        <w:tcPr>
          <w:tcW w:w="5228" w:type="dxa"/>
        </w:tcPr>
        <w:p w:rsidR="003C7AC7" w:rsidRDefault="003C7AC7" w:rsidP="00FD421A">
          <w:pPr>
            <w:pStyle w:val="Footer"/>
            <w:jc w:val="right"/>
            <w:rPr>
              <w:color w:val="808080" w:themeColor="background1" w:themeShade="80"/>
              <w:sz w:val="18"/>
              <w:szCs w:val="18"/>
            </w:rPr>
          </w:pPr>
        </w:p>
        <w:p w:rsidR="003C7AC7" w:rsidRPr="00304C2C" w:rsidRDefault="003C7AC7" w:rsidP="00FD421A">
          <w:pPr>
            <w:pStyle w:val="Footer"/>
            <w:jc w:val="right"/>
            <w:rPr>
              <w:color w:val="808080" w:themeColor="background1" w:themeShade="80"/>
              <w:sz w:val="18"/>
              <w:szCs w:val="18"/>
            </w:rPr>
          </w:pPr>
          <w:r w:rsidRPr="00F56098">
            <w:rPr>
              <w:color w:val="808080" w:themeColor="background1" w:themeShade="80"/>
              <w:sz w:val="18"/>
              <w:szCs w:val="18"/>
            </w:rPr>
            <w:t xml:space="preserve">Page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PAGE  \* Arabic  \* MERGEFORMAT </w:instrText>
          </w:r>
          <w:r w:rsidRPr="00F56098">
            <w:rPr>
              <w:b/>
              <w:bCs/>
              <w:color w:val="808080" w:themeColor="background1" w:themeShade="80"/>
              <w:sz w:val="18"/>
              <w:szCs w:val="18"/>
            </w:rPr>
            <w:fldChar w:fldCharType="separate"/>
          </w:r>
          <w:r w:rsidR="008B1A3B">
            <w:rPr>
              <w:b/>
              <w:bCs/>
              <w:noProof/>
              <w:color w:val="808080" w:themeColor="background1" w:themeShade="80"/>
              <w:sz w:val="18"/>
              <w:szCs w:val="18"/>
            </w:rPr>
            <w:t>2</w:t>
          </w:r>
          <w:r w:rsidRPr="00F56098">
            <w:rPr>
              <w:b/>
              <w:bCs/>
              <w:color w:val="808080" w:themeColor="background1" w:themeShade="80"/>
              <w:sz w:val="18"/>
              <w:szCs w:val="18"/>
            </w:rPr>
            <w:fldChar w:fldCharType="end"/>
          </w:r>
          <w:r w:rsidRPr="00F56098">
            <w:rPr>
              <w:color w:val="808080" w:themeColor="background1" w:themeShade="80"/>
              <w:sz w:val="18"/>
              <w:szCs w:val="18"/>
            </w:rPr>
            <w:t xml:space="preserve"> of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NUMPAGES  \* Arabic  \* MERGEFORMAT </w:instrText>
          </w:r>
          <w:r w:rsidRPr="00F56098">
            <w:rPr>
              <w:b/>
              <w:bCs/>
              <w:color w:val="808080" w:themeColor="background1" w:themeShade="80"/>
              <w:sz w:val="18"/>
              <w:szCs w:val="18"/>
            </w:rPr>
            <w:fldChar w:fldCharType="separate"/>
          </w:r>
          <w:r w:rsidR="008B1A3B">
            <w:rPr>
              <w:b/>
              <w:bCs/>
              <w:noProof/>
              <w:color w:val="808080" w:themeColor="background1" w:themeShade="80"/>
              <w:sz w:val="18"/>
              <w:szCs w:val="18"/>
            </w:rPr>
            <w:t>2</w:t>
          </w:r>
          <w:r w:rsidRPr="00F56098">
            <w:rPr>
              <w:b/>
              <w:bCs/>
              <w:color w:val="808080" w:themeColor="background1" w:themeShade="80"/>
              <w:sz w:val="18"/>
              <w:szCs w:val="18"/>
            </w:rPr>
            <w:fldChar w:fldCharType="end"/>
          </w:r>
        </w:p>
      </w:tc>
    </w:tr>
  </w:tbl>
  <w:p w:rsidR="003C7AC7" w:rsidRPr="00304C2C" w:rsidRDefault="003C7AC7" w:rsidP="00FD421A">
    <w:pPr>
      <w:pStyle w:val="Footer"/>
      <w:jc w:val="right"/>
      <w:rPr>
        <w:color w:val="808080" w:themeColor="background1" w:themeShade="8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C7" w:rsidRDefault="003C7AC7" w:rsidP="00051B7E">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C7AC7" w:rsidRPr="00304C2C" w:rsidTr="002227D0">
      <w:tc>
        <w:tcPr>
          <w:tcW w:w="5228" w:type="dxa"/>
        </w:tcPr>
        <w:p w:rsidR="003C7AC7" w:rsidRPr="00304C2C" w:rsidRDefault="003C7AC7" w:rsidP="00051B7E">
          <w:pPr>
            <w:pStyle w:val="Footer"/>
            <w:rPr>
              <w:color w:val="808080" w:themeColor="background1" w:themeShade="80"/>
              <w:sz w:val="18"/>
              <w:szCs w:val="18"/>
            </w:rPr>
          </w:pPr>
          <w:r>
            <w:rPr>
              <w:color w:val="808080" w:themeColor="background1" w:themeShade="80"/>
              <w:sz w:val="18"/>
              <w:szCs w:val="18"/>
            </w:rPr>
            <w:t>National Debt Helpline: 1800 007 007</w:t>
          </w:r>
        </w:p>
        <w:p w:rsidR="003C7AC7" w:rsidRPr="00304C2C" w:rsidRDefault="003C7AC7" w:rsidP="00051B7E">
          <w:pPr>
            <w:pStyle w:val="Footer"/>
            <w:rPr>
              <w:color w:val="808080" w:themeColor="background1" w:themeShade="80"/>
              <w:sz w:val="18"/>
              <w:szCs w:val="18"/>
            </w:rPr>
          </w:pPr>
          <w:r w:rsidRPr="00304C2C">
            <w:rPr>
              <w:color w:val="808080" w:themeColor="background1" w:themeShade="80"/>
              <w:sz w:val="18"/>
              <w:szCs w:val="18"/>
            </w:rPr>
            <w:t>Insurance Law Service: 1300 663 464</w:t>
          </w:r>
        </w:p>
      </w:tc>
      <w:tc>
        <w:tcPr>
          <w:tcW w:w="5228" w:type="dxa"/>
        </w:tcPr>
        <w:p w:rsidR="003C7AC7" w:rsidRDefault="003C7AC7" w:rsidP="00B4311C">
          <w:pPr>
            <w:pStyle w:val="Footer"/>
            <w:jc w:val="right"/>
            <w:rPr>
              <w:b/>
              <w:bCs/>
              <w:color w:val="808080" w:themeColor="background1" w:themeShade="80"/>
              <w:sz w:val="18"/>
              <w:szCs w:val="18"/>
            </w:rPr>
          </w:pPr>
          <w:r w:rsidRPr="00F56098">
            <w:rPr>
              <w:color w:val="808080" w:themeColor="background1" w:themeShade="80"/>
              <w:sz w:val="18"/>
              <w:szCs w:val="18"/>
            </w:rPr>
            <w:t xml:space="preserve">Page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PAGE  \* Arabic  \* MERGEFORMAT </w:instrText>
          </w:r>
          <w:r w:rsidRPr="00F56098">
            <w:rPr>
              <w:b/>
              <w:bCs/>
              <w:color w:val="808080" w:themeColor="background1" w:themeShade="80"/>
              <w:sz w:val="18"/>
              <w:szCs w:val="18"/>
            </w:rPr>
            <w:fldChar w:fldCharType="separate"/>
          </w:r>
          <w:r w:rsidR="008B1A3B">
            <w:rPr>
              <w:b/>
              <w:bCs/>
              <w:noProof/>
              <w:color w:val="808080" w:themeColor="background1" w:themeShade="80"/>
              <w:sz w:val="18"/>
              <w:szCs w:val="18"/>
            </w:rPr>
            <w:t>1</w:t>
          </w:r>
          <w:r w:rsidRPr="00F56098">
            <w:rPr>
              <w:b/>
              <w:bCs/>
              <w:color w:val="808080" w:themeColor="background1" w:themeShade="80"/>
              <w:sz w:val="18"/>
              <w:szCs w:val="18"/>
            </w:rPr>
            <w:fldChar w:fldCharType="end"/>
          </w:r>
          <w:r w:rsidRPr="00F56098">
            <w:rPr>
              <w:color w:val="808080" w:themeColor="background1" w:themeShade="80"/>
              <w:sz w:val="18"/>
              <w:szCs w:val="18"/>
            </w:rPr>
            <w:t xml:space="preserve"> of </w:t>
          </w:r>
          <w:r w:rsidRPr="00F56098">
            <w:rPr>
              <w:b/>
              <w:bCs/>
              <w:color w:val="808080" w:themeColor="background1" w:themeShade="80"/>
              <w:sz w:val="18"/>
              <w:szCs w:val="18"/>
            </w:rPr>
            <w:fldChar w:fldCharType="begin"/>
          </w:r>
          <w:r w:rsidRPr="00F56098">
            <w:rPr>
              <w:b/>
              <w:bCs/>
              <w:color w:val="808080" w:themeColor="background1" w:themeShade="80"/>
              <w:sz w:val="18"/>
              <w:szCs w:val="18"/>
            </w:rPr>
            <w:instrText xml:space="preserve"> NUMPAGES  \* Arabic  \* MERGEFORMAT </w:instrText>
          </w:r>
          <w:r w:rsidRPr="00F56098">
            <w:rPr>
              <w:b/>
              <w:bCs/>
              <w:color w:val="808080" w:themeColor="background1" w:themeShade="80"/>
              <w:sz w:val="18"/>
              <w:szCs w:val="18"/>
            </w:rPr>
            <w:fldChar w:fldCharType="separate"/>
          </w:r>
          <w:r w:rsidR="008B1A3B">
            <w:rPr>
              <w:b/>
              <w:bCs/>
              <w:noProof/>
              <w:color w:val="808080" w:themeColor="background1" w:themeShade="80"/>
              <w:sz w:val="18"/>
              <w:szCs w:val="18"/>
            </w:rPr>
            <w:t>2</w:t>
          </w:r>
          <w:r w:rsidRPr="00F56098">
            <w:rPr>
              <w:b/>
              <w:bCs/>
              <w:color w:val="808080" w:themeColor="background1" w:themeShade="80"/>
              <w:sz w:val="18"/>
              <w:szCs w:val="18"/>
            </w:rPr>
            <w:fldChar w:fldCharType="end"/>
          </w:r>
        </w:p>
        <w:p w:rsidR="003C7AC7" w:rsidRPr="00527D5B" w:rsidRDefault="003C7AC7" w:rsidP="00B4311C">
          <w:pPr>
            <w:pStyle w:val="Footer"/>
            <w:jc w:val="right"/>
            <w:rPr>
              <w:color w:val="808080" w:themeColor="background1" w:themeShade="80"/>
              <w:sz w:val="20"/>
              <w:szCs w:val="20"/>
            </w:rPr>
          </w:pPr>
          <w:r>
            <w:rPr>
              <w:color w:val="808080" w:themeColor="background1" w:themeShade="80"/>
              <w:sz w:val="18"/>
              <w:szCs w:val="18"/>
            </w:rPr>
            <w:t>Financial Rights Legal Centre Inc. ABN: 40 506 635 273</w:t>
          </w:r>
        </w:p>
      </w:tc>
    </w:tr>
  </w:tbl>
  <w:p w:rsidR="003C7AC7" w:rsidRDefault="003C7AC7" w:rsidP="0005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AC7" w:rsidRDefault="003C7AC7" w:rsidP="00536ACC">
      <w:pPr>
        <w:spacing w:after="0" w:line="240" w:lineRule="auto"/>
      </w:pPr>
      <w:r>
        <w:separator/>
      </w:r>
    </w:p>
  </w:footnote>
  <w:footnote w:type="continuationSeparator" w:id="0">
    <w:p w:rsidR="003C7AC7" w:rsidRDefault="003C7AC7" w:rsidP="00536A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AC7" w:rsidRPr="00B4311C" w:rsidRDefault="003C7AC7" w:rsidP="00051B7E">
    <w:pPr>
      <w:pStyle w:val="ContactInfo"/>
      <w:ind w:right="26"/>
      <w:rPr>
        <w:rFonts w:ascii="Lato" w:eastAsia="Calibri" w:hAnsi="Lato" w:cs="GillSans"/>
        <w:color w:val="808080" w:themeColor="background1" w:themeShade="80"/>
        <w:kern w:val="0"/>
        <w:lang w:val="en-AU"/>
        <w14:ligatures w14:val="none"/>
        <w14:numForm w14:val="default"/>
        <w14:numSpacing w14:val="default"/>
        <w14:cntxtAlts w14:val="0"/>
      </w:rPr>
    </w:pPr>
    <w:r w:rsidRPr="00304C2C">
      <w:rPr>
        <w:noProof/>
        <w:color w:val="808080" w:themeColor="background1" w:themeShade="80"/>
        <w:lang w:val="en-AU" w:eastAsia="en-AU"/>
      </w:rPr>
      <w:drawing>
        <wp:anchor distT="0" distB="0" distL="114300" distR="114300" simplePos="0" relativeHeight="251660288" behindDoc="1" locked="0" layoutInCell="1" allowOverlap="1" wp14:anchorId="2FA4CFDC" wp14:editId="60C6F480">
          <wp:simplePos x="0" y="0"/>
          <wp:positionH relativeFrom="margin">
            <wp:posOffset>0</wp:posOffset>
          </wp:positionH>
          <wp:positionV relativeFrom="margin">
            <wp:posOffset>-1190625</wp:posOffset>
          </wp:positionV>
          <wp:extent cx="2578100" cy="10058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8100" cy="1005840"/>
                  </a:xfrm>
                  <a:prstGeom prst="rect">
                    <a:avLst/>
                  </a:prstGeom>
                </pic:spPr>
              </pic:pic>
            </a:graphicData>
          </a:graphic>
        </wp:anchor>
      </w:drawing>
    </w:r>
    <w:r w:rsidRPr="00304C2C">
      <w:rPr>
        <w:rFonts w:ascii="Lato" w:eastAsia="Calibri" w:hAnsi="Lato" w:cs="GillSans"/>
        <w:color w:val="808080" w:themeColor="background1" w:themeShade="80"/>
      </w:rPr>
      <w:t xml:space="preserve"> </w:t>
    </w:r>
    <w:r w:rsidRPr="00B4311C">
      <w:rPr>
        <w:rFonts w:ascii="Lato" w:eastAsia="Calibri" w:hAnsi="Lato" w:cs="GillSans"/>
        <w:color w:val="808080" w:themeColor="background1" w:themeShade="80"/>
        <w:kern w:val="0"/>
        <w:lang w:val="en-AU"/>
        <w14:ligatures w14:val="none"/>
        <w14:numForm w14:val="default"/>
        <w14:numSpacing w14:val="default"/>
        <w14:cntxtAlts w14:val="0"/>
      </w:rPr>
      <w:t>PO BOX 538</w:t>
    </w:r>
    <w:r w:rsidRPr="00B4311C">
      <w:rPr>
        <w:rFonts w:ascii="Lato" w:eastAsia="Calibri" w:hAnsi="Lato" w:cs="GillSans"/>
        <w:color w:val="808080" w:themeColor="background1" w:themeShade="80"/>
        <w:kern w:val="0"/>
        <w:lang w:val="en-AU"/>
        <w14:ligatures w14:val="none"/>
        <w14:numForm w14:val="default"/>
        <w14:numSpacing w14:val="default"/>
        <w14:cntxtAlts w14:val="0"/>
      </w:rPr>
      <w:br/>
    </w:r>
    <w:r w:rsidRPr="0098165D">
      <w:rPr>
        <w:rFonts w:ascii="Lato" w:eastAsia="Calibri" w:hAnsi="Lato" w:cs="GillSans"/>
        <w:color w:val="808080" w:themeColor="background1" w:themeShade="80"/>
        <w:kern w:val="0"/>
        <w:lang w:val="en-AU"/>
        <w14:ligatures w14:val="none"/>
        <w14:numForm w14:val="default"/>
        <w14:numSpacing w14:val="default"/>
        <w14:cntxtAlts w14:val="0"/>
      </w:rPr>
      <w:t>Surry</w:t>
    </w:r>
    <w:r w:rsidRPr="00B4311C">
      <w:rPr>
        <w:rFonts w:ascii="Lato" w:eastAsia="Calibri" w:hAnsi="Lato" w:cs="GillSans"/>
        <w:color w:val="808080" w:themeColor="background1" w:themeShade="80"/>
        <w:kern w:val="0"/>
        <w:lang w:val="en-AU"/>
        <w14:ligatures w14:val="none"/>
        <w14:numForm w14:val="default"/>
        <w14:numSpacing w14:val="default"/>
        <w14:cntxtAlts w14:val="0"/>
      </w:rPr>
      <w:t xml:space="preserve"> Hills 2010</w:t>
    </w:r>
  </w:p>
  <w:p w:rsidR="003C7AC7" w:rsidRPr="00B4311C" w:rsidRDefault="003C7AC7" w:rsidP="00051B7E">
    <w:pPr>
      <w:pStyle w:val="ContactInfo"/>
      <w:ind w:right="26"/>
      <w:rPr>
        <w:rFonts w:ascii="Lato" w:eastAsia="Calibri" w:hAnsi="Lato" w:cs="GillSans"/>
        <w:color w:val="808080" w:themeColor="background1" w:themeShade="80"/>
        <w:kern w:val="0"/>
        <w:lang w:val="en-AU"/>
        <w14:ligatures w14:val="none"/>
        <w14:numForm w14:val="default"/>
        <w14:numSpacing w14:val="default"/>
        <w14:cntxtAlts w14:val="0"/>
      </w:rPr>
    </w:pPr>
    <w:r w:rsidRPr="00B4311C">
      <w:rPr>
        <w:rFonts w:ascii="Lato" w:eastAsia="Calibri" w:hAnsi="Lato" w:cs="GillSans"/>
        <w:color w:val="808080" w:themeColor="background1" w:themeShade="80"/>
        <w:kern w:val="0"/>
        <w:lang w:val="en-AU"/>
        <w14:ligatures w14:val="none"/>
        <w14:numForm w14:val="default"/>
        <w14:numSpacing w14:val="default"/>
        <w14:cntxtAlts w14:val="0"/>
      </w:rPr>
      <w:t>Tel  (02) 9212 4216</w:t>
    </w:r>
  </w:p>
  <w:p w:rsidR="003C7AC7" w:rsidRPr="00B4311C" w:rsidRDefault="003C7AC7" w:rsidP="00051B7E">
    <w:pPr>
      <w:pStyle w:val="ContactInfo"/>
      <w:ind w:right="26"/>
      <w:rPr>
        <w:rFonts w:ascii="Lato" w:eastAsia="Calibri" w:hAnsi="Lato" w:cs="GillSans"/>
        <w:color w:val="808080" w:themeColor="background1" w:themeShade="80"/>
        <w:kern w:val="0"/>
        <w:lang w:val="en-AU"/>
        <w14:ligatures w14:val="none"/>
        <w14:numForm w14:val="default"/>
        <w14:numSpacing w14:val="default"/>
        <w14:cntxtAlts w14:val="0"/>
      </w:rPr>
    </w:pPr>
    <w:r w:rsidRPr="00B4311C">
      <w:rPr>
        <w:rFonts w:ascii="Lato" w:eastAsia="Calibri" w:hAnsi="Lato" w:cs="GillSans"/>
        <w:color w:val="808080" w:themeColor="background1" w:themeShade="80"/>
        <w:kern w:val="0"/>
        <w:lang w:val="en-AU"/>
        <w14:ligatures w14:val="none"/>
        <w14:numForm w14:val="default"/>
        <w14:numSpacing w14:val="default"/>
        <w14:cntxtAlts w14:val="0"/>
      </w:rPr>
      <w:t>Fax (02) 9212 4711</w:t>
    </w:r>
  </w:p>
  <w:p w:rsidR="003C7AC7" w:rsidRPr="00B4311C" w:rsidRDefault="003C7AC7" w:rsidP="00051B7E">
    <w:pPr>
      <w:pStyle w:val="ContactInfo"/>
      <w:ind w:right="26"/>
      <w:rPr>
        <w:rFonts w:ascii="Lato" w:eastAsia="Calibri" w:hAnsi="Lato" w:cs="Times New Roman"/>
        <w:color w:val="808080" w:themeColor="background1" w:themeShade="80"/>
        <w:kern w:val="0"/>
        <w:lang w:val="en-AU"/>
        <w14:ligatures w14:val="none"/>
        <w14:numForm w14:val="default"/>
        <w14:numSpacing w14:val="default"/>
        <w14:cntxtAlts w14:val="0"/>
      </w:rPr>
    </w:pPr>
    <w:r w:rsidRPr="00B4311C">
      <w:rPr>
        <w:rFonts w:ascii="Lato" w:eastAsia="Calibri" w:hAnsi="Lato" w:cs="Times New Roman"/>
        <w:color w:val="808080" w:themeColor="background1" w:themeShade="80"/>
        <w:kern w:val="0"/>
        <w:lang w:val="en-AU"/>
        <w14:ligatures w14:val="none"/>
        <w14:numForm w14:val="default"/>
        <w14:numSpacing w14:val="default"/>
        <w14:cntxtAlts w14:val="0"/>
      </w:rPr>
      <w:t>info@financialrights.org.au</w:t>
    </w:r>
  </w:p>
  <w:p w:rsidR="003C7AC7" w:rsidRPr="0098165D" w:rsidRDefault="003C7AC7" w:rsidP="00051B7E">
    <w:pPr>
      <w:pStyle w:val="ContactInfo"/>
      <w:ind w:right="26"/>
      <w:rPr>
        <w:rFonts w:ascii="Lato" w:eastAsia="Calibri" w:hAnsi="Lato" w:cs="Times New Roman"/>
        <w:color w:val="808080" w:themeColor="background1" w:themeShade="80"/>
        <w:kern w:val="0"/>
        <w:lang w:val="en-AU"/>
        <w14:ligatures w14:val="none"/>
        <w14:numForm w14:val="default"/>
        <w14:numSpacing w14:val="default"/>
        <w14:cntxtAlts w14:val="0"/>
      </w:rPr>
    </w:pPr>
    <w:r w:rsidRPr="00B4311C">
      <w:rPr>
        <w:rFonts w:ascii="Lato" w:eastAsia="Calibri" w:hAnsi="Lato" w:cs="Times New Roman"/>
        <w:color w:val="808080" w:themeColor="background1" w:themeShade="80"/>
        <w:kern w:val="0"/>
        <w:lang w:val="en-AU"/>
        <w14:ligatures w14:val="none"/>
        <w14:numForm w14:val="default"/>
        <w14:numSpacing w14:val="default"/>
        <w14:cntxtAlts w14:val="0"/>
      </w:rPr>
      <w:t>www.financialrights.org.au</w:t>
    </w:r>
  </w:p>
  <w:p w:rsidR="003C7AC7" w:rsidRDefault="003C7A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E78"/>
    <w:multiLevelType w:val="hybridMultilevel"/>
    <w:tmpl w:val="8E62C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F2F7588"/>
    <w:multiLevelType w:val="hybridMultilevel"/>
    <w:tmpl w:val="6F70803C"/>
    <w:lvl w:ilvl="0" w:tplc="6ADE4AEC">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removePersonalInformation/>
  <w:removeDateAndTime/>
  <w:proofState w:spelling="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5E8"/>
    <w:rsid w:val="000012C0"/>
    <w:rsid w:val="00051B7E"/>
    <w:rsid w:val="00062478"/>
    <w:rsid w:val="00096D1C"/>
    <w:rsid w:val="000C561F"/>
    <w:rsid w:val="00116462"/>
    <w:rsid w:val="002227D0"/>
    <w:rsid w:val="0026103F"/>
    <w:rsid w:val="002A58C3"/>
    <w:rsid w:val="003021D2"/>
    <w:rsid w:val="00304C2C"/>
    <w:rsid w:val="00325094"/>
    <w:rsid w:val="003708B6"/>
    <w:rsid w:val="0038483F"/>
    <w:rsid w:val="003B0645"/>
    <w:rsid w:val="003B2770"/>
    <w:rsid w:val="003C7AC7"/>
    <w:rsid w:val="003E4E70"/>
    <w:rsid w:val="004474EB"/>
    <w:rsid w:val="004677BF"/>
    <w:rsid w:val="004B1505"/>
    <w:rsid w:val="00527D5B"/>
    <w:rsid w:val="00536ACC"/>
    <w:rsid w:val="00582B2C"/>
    <w:rsid w:val="00621366"/>
    <w:rsid w:val="0062735F"/>
    <w:rsid w:val="00653B10"/>
    <w:rsid w:val="00693116"/>
    <w:rsid w:val="0073523C"/>
    <w:rsid w:val="008B1A3B"/>
    <w:rsid w:val="00915176"/>
    <w:rsid w:val="00942274"/>
    <w:rsid w:val="00950CFB"/>
    <w:rsid w:val="009646B8"/>
    <w:rsid w:val="00972609"/>
    <w:rsid w:val="00974D3E"/>
    <w:rsid w:val="0098165D"/>
    <w:rsid w:val="009A3810"/>
    <w:rsid w:val="009A47E9"/>
    <w:rsid w:val="00AB0B9E"/>
    <w:rsid w:val="00AB238C"/>
    <w:rsid w:val="00B175E8"/>
    <w:rsid w:val="00B322B9"/>
    <w:rsid w:val="00B4311C"/>
    <w:rsid w:val="00C86BF4"/>
    <w:rsid w:val="00CD6BFB"/>
    <w:rsid w:val="00CE78BF"/>
    <w:rsid w:val="00D55774"/>
    <w:rsid w:val="00D82D8D"/>
    <w:rsid w:val="00D97549"/>
    <w:rsid w:val="00DA6003"/>
    <w:rsid w:val="00DB7B1C"/>
    <w:rsid w:val="00E45EC1"/>
    <w:rsid w:val="00E539D6"/>
    <w:rsid w:val="00E81680"/>
    <w:rsid w:val="00E97946"/>
    <w:rsid w:val="00EF481C"/>
    <w:rsid w:val="00F40B70"/>
    <w:rsid w:val="00F56098"/>
    <w:rsid w:val="00F570ED"/>
    <w:rsid w:val="00FD42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D6"/>
    <w:rPr>
      <w:rFonts w:ascii="Lato" w:hAnsi="Lato"/>
    </w:rPr>
  </w:style>
  <w:style w:type="paragraph" w:styleId="Heading1">
    <w:name w:val="heading 1"/>
    <w:basedOn w:val="Normal"/>
    <w:next w:val="Normal"/>
    <w:link w:val="Heading1Char"/>
    <w:uiPriority w:val="9"/>
    <w:qFormat/>
    <w:rsid w:val="00E539D6"/>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semiHidden/>
    <w:unhideWhenUsed/>
    <w:qFormat/>
    <w:rsid w:val="00E539D6"/>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CC"/>
  </w:style>
  <w:style w:type="paragraph" w:styleId="Footer">
    <w:name w:val="footer"/>
    <w:basedOn w:val="Normal"/>
    <w:link w:val="FooterChar"/>
    <w:uiPriority w:val="99"/>
    <w:unhideWhenUsed/>
    <w:rsid w:val="00536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CC"/>
  </w:style>
  <w:style w:type="character" w:styleId="PlaceholderText">
    <w:name w:val="Placeholder Text"/>
    <w:basedOn w:val="DefaultParagraphFont"/>
    <w:uiPriority w:val="99"/>
    <w:semiHidden/>
    <w:rsid w:val="00536ACC"/>
    <w:rPr>
      <w:color w:val="808080"/>
    </w:rPr>
  </w:style>
  <w:style w:type="paragraph" w:customStyle="1" w:styleId="ContactInfo">
    <w:name w:val="Contact Info"/>
    <w:basedOn w:val="Normal"/>
    <w:uiPriority w:val="1"/>
    <w:qFormat/>
    <w:rsid w:val="00536ACC"/>
    <w:pPr>
      <w:spacing w:after="0" w:line="276" w:lineRule="auto"/>
      <w:ind w:right="-720"/>
      <w:jc w:val="right"/>
    </w:pPr>
    <w:rPr>
      <w:rFonts w:asciiTheme="majorHAnsi" w:hAnsiTheme="majorHAnsi"/>
      <w:color w:val="C45911" w:themeColor="accent2" w:themeShade="BF"/>
      <w:kern w:val="16"/>
      <w:sz w:val="18"/>
      <w:szCs w:val="18"/>
      <w:lang w:val="en-US"/>
      <w14:ligatures w14:val="standardContextual"/>
      <w14:numForm w14:val="oldStyle"/>
      <w14:numSpacing w14:val="proportional"/>
      <w14:cntxtAlts/>
    </w:rPr>
  </w:style>
  <w:style w:type="table" w:styleId="TableGrid">
    <w:name w:val="Table Grid"/>
    <w:basedOn w:val="TableNormal"/>
    <w:uiPriority w:val="59"/>
    <w:rsid w:val="00FD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2C"/>
    <w:rPr>
      <w:rFonts w:ascii="Segoe UI" w:hAnsi="Segoe UI" w:cs="Segoe UI"/>
      <w:sz w:val="18"/>
      <w:szCs w:val="18"/>
    </w:rPr>
  </w:style>
  <w:style w:type="character" w:styleId="Hyperlink">
    <w:name w:val="Hyperlink"/>
    <w:basedOn w:val="DefaultParagraphFont"/>
    <w:uiPriority w:val="99"/>
    <w:unhideWhenUsed/>
    <w:rsid w:val="00B4311C"/>
    <w:rPr>
      <w:color w:val="0563C1" w:themeColor="hyperlink"/>
      <w:u w:val="single"/>
    </w:rPr>
  </w:style>
  <w:style w:type="paragraph" w:customStyle="1" w:styleId="Body">
    <w:name w:val="Body"/>
    <w:rsid w:val="00D9754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AU"/>
    </w:rPr>
  </w:style>
  <w:style w:type="character" w:customStyle="1" w:styleId="Hyperlink1">
    <w:name w:val="Hyperlink.1"/>
    <w:basedOn w:val="DefaultParagraphFont"/>
    <w:rsid w:val="00D97549"/>
    <w:rPr>
      <w:rFonts w:ascii="Lato" w:eastAsia="Lato" w:hAnsi="Lato" w:cs="Lato"/>
      <w:color w:val="0563C1"/>
      <w:u w:val="single" w:color="0563C1"/>
    </w:rPr>
  </w:style>
  <w:style w:type="paragraph" w:styleId="ListParagraph">
    <w:name w:val="List Paragraph"/>
    <w:basedOn w:val="Normal"/>
    <w:uiPriority w:val="34"/>
    <w:qFormat/>
    <w:rsid w:val="00D97549"/>
    <w:pPr>
      <w:ind w:left="720"/>
      <w:contextualSpacing/>
    </w:pPr>
  </w:style>
  <w:style w:type="character" w:customStyle="1" w:styleId="Heading1Char">
    <w:name w:val="Heading 1 Char"/>
    <w:basedOn w:val="DefaultParagraphFont"/>
    <w:link w:val="Heading1"/>
    <w:uiPriority w:val="9"/>
    <w:rsid w:val="00E539D6"/>
    <w:rPr>
      <w:rFonts w:ascii="Lato" w:eastAsiaTheme="majorEastAsia" w:hAnsi="Lato" w:cstheme="majorBidi"/>
      <w:b/>
      <w:bCs/>
      <w:sz w:val="32"/>
      <w:szCs w:val="28"/>
    </w:rPr>
  </w:style>
  <w:style w:type="character" w:customStyle="1" w:styleId="Heading2Char">
    <w:name w:val="Heading 2 Char"/>
    <w:basedOn w:val="DefaultParagraphFont"/>
    <w:link w:val="Heading2"/>
    <w:uiPriority w:val="9"/>
    <w:semiHidden/>
    <w:rsid w:val="00E539D6"/>
    <w:rPr>
      <w:rFonts w:ascii="Lato" w:eastAsiaTheme="majorEastAsia" w:hAnsi="Lato" w:cstheme="majorBidi"/>
      <w:b/>
      <w:bCs/>
      <w:color w:val="000000" w:themeColor="text1"/>
      <w:sz w:val="28"/>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9D6"/>
    <w:rPr>
      <w:rFonts w:ascii="Lato" w:hAnsi="Lato"/>
    </w:rPr>
  </w:style>
  <w:style w:type="paragraph" w:styleId="Heading1">
    <w:name w:val="heading 1"/>
    <w:basedOn w:val="Normal"/>
    <w:next w:val="Normal"/>
    <w:link w:val="Heading1Char"/>
    <w:uiPriority w:val="9"/>
    <w:qFormat/>
    <w:rsid w:val="00E539D6"/>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uiPriority w:val="9"/>
    <w:semiHidden/>
    <w:unhideWhenUsed/>
    <w:qFormat/>
    <w:rsid w:val="00E539D6"/>
    <w:pPr>
      <w:keepNext/>
      <w:keepLines/>
      <w:spacing w:before="200" w:after="0"/>
      <w:outlineLvl w:val="1"/>
    </w:pPr>
    <w:rPr>
      <w:rFonts w:eastAsiaTheme="majorEastAsia" w:cstheme="majorBidi"/>
      <w:b/>
      <w:bCs/>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CC"/>
  </w:style>
  <w:style w:type="paragraph" w:styleId="Footer">
    <w:name w:val="footer"/>
    <w:basedOn w:val="Normal"/>
    <w:link w:val="FooterChar"/>
    <w:uiPriority w:val="99"/>
    <w:unhideWhenUsed/>
    <w:rsid w:val="00536A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CC"/>
  </w:style>
  <w:style w:type="character" w:styleId="PlaceholderText">
    <w:name w:val="Placeholder Text"/>
    <w:basedOn w:val="DefaultParagraphFont"/>
    <w:uiPriority w:val="99"/>
    <w:semiHidden/>
    <w:rsid w:val="00536ACC"/>
    <w:rPr>
      <w:color w:val="808080"/>
    </w:rPr>
  </w:style>
  <w:style w:type="paragraph" w:customStyle="1" w:styleId="ContactInfo">
    <w:name w:val="Contact Info"/>
    <w:basedOn w:val="Normal"/>
    <w:uiPriority w:val="1"/>
    <w:qFormat/>
    <w:rsid w:val="00536ACC"/>
    <w:pPr>
      <w:spacing w:after="0" w:line="276" w:lineRule="auto"/>
      <w:ind w:right="-720"/>
      <w:jc w:val="right"/>
    </w:pPr>
    <w:rPr>
      <w:rFonts w:asciiTheme="majorHAnsi" w:hAnsiTheme="majorHAnsi"/>
      <w:color w:val="C45911" w:themeColor="accent2" w:themeShade="BF"/>
      <w:kern w:val="16"/>
      <w:sz w:val="18"/>
      <w:szCs w:val="18"/>
      <w:lang w:val="en-US"/>
      <w14:ligatures w14:val="standardContextual"/>
      <w14:numForm w14:val="oldStyle"/>
      <w14:numSpacing w14:val="proportional"/>
      <w14:cntxtAlts/>
    </w:rPr>
  </w:style>
  <w:style w:type="table" w:styleId="TableGrid">
    <w:name w:val="Table Grid"/>
    <w:basedOn w:val="TableNormal"/>
    <w:uiPriority w:val="59"/>
    <w:rsid w:val="00FD4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04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C2C"/>
    <w:rPr>
      <w:rFonts w:ascii="Segoe UI" w:hAnsi="Segoe UI" w:cs="Segoe UI"/>
      <w:sz w:val="18"/>
      <w:szCs w:val="18"/>
    </w:rPr>
  </w:style>
  <w:style w:type="character" w:styleId="Hyperlink">
    <w:name w:val="Hyperlink"/>
    <w:basedOn w:val="DefaultParagraphFont"/>
    <w:uiPriority w:val="99"/>
    <w:unhideWhenUsed/>
    <w:rsid w:val="00B4311C"/>
    <w:rPr>
      <w:color w:val="0563C1" w:themeColor="hyperlink"/>
      <w:u w:val="single"/>
    </w:rPr>
  </w:style>
  <w:style w:type="paragraph" w:customStyle="1" w:styleId="Body">
    <w:name w:val="Body"/>
    <w:rsid w:val="00D97549"/>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AU"/>
    </w:rPr>
  </w:style>
  <w:style w:type="character" w:customStyle="1" w:styleId="Hyperlink1">
    <w:name w:val="Hyperlink.1"/>
    <w:basedOn w:val="DefaultParagraphFont"/>
    <w:rsid w:val="00D97549"/>
    <w:rPr>
      <w:rFonts w:ascii="Lato" w:eastAsia="Lato" w:hAnsi="Lato" w:cs="Lato"/>
      <w:color w:val="0563C1"/>
      <w:u w:val="single" w:color="0563C1"/>
    </w:rPr>
  </w:style>
  <w:style w:type="paragraph" w:styleId="ListParagraph">
    <w:name w:val="List Paragraph"/>
    <w:basedOn w:val="Normal"/>
    <w:uiPriority w:val="34"/>
    <w:qFormat/>
    <w:rsid w:val="00D97549"/>
    <w:pPr>
      <w:ind w:left="720"/>
      <w:contextualSpacing/>
    </w:pPr>
  </w:style>
  <w:style w:type="character" w:customStyle="1" w:styleId="Heading1Char">
    <w:name w:val="Heading 1 Char"/>
    <w:basedOn w:val="DefaultParagraphFont"/>
    <w:link w:val="Heading1"/>
    <w:uiPriority w:val="9"/>
    <w:rsid w:val="00E539D6"/>
    <w:rPr>
      <w:rFonts w:ascii="Lato" w:eastAsiaTheme="majorEastAsia" w:hAnsi="Lato" w:cstheme="majorBidi"/>
      <w:b/>
      <w:bCs/>
      <w:sz w:val="32"/>
      <w:szCs w:val="28"/>
    </w:rPr>
  </w:style>
  <w:style w:type="character" w:customStyle="1" w:styleId="Heading2Char">
    <w:name w:val="Heading 2 Char"/>
    <w:basedOn w:val="DefaultParagraphFont"/>
    <w:link w:val="Heading2"/>
    <w:uiPriority w:val="9"/>
    <w:semiHidden/>
    <w:rsid w:val="00E539D6"/>
    <w:rPr>
      <w:rFonts w:ascii="Lato" w:eastAsiaTheme="majorEastAsia" w:hAnsi="Lato" w:cstheme="majorBidi"/>
      <w:b/>
      <w:bCs/>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231997">
      <w:bodyDiv w:val="1"/>
      <w:marLeft w:val="0"/>
      <w:marRight w:val="0"/>
      <w:marTop w:val="0"/>
      <w:marBottom w:val="0"/>
      <w:divBdr>
        <w:top w:val="none" w:sz="0" w:space="0" w:color="auto"/>
        <w:left w:val="none" w:sz="0" w:space="0" w:color="auto"/>
        <w:bottom w:val="none" w:sz="0" w:space="0" w:color="auto"/>
        <w:right w:val="none" w:sz="0" w:space="0" w:color="auto"/>
      </w:divBdr>
    </w:div>
    <w:div w:id="1544757538">
      <w:bodyDiv w:val="1"/>
      <w:marLeft w:val="0"/>
      <w:marRight w:val="0"/>
      <w:marTop w:val="0"/>
      <w:marBottom w:val="0"/>
      <w:divBdr>
        <w:top w:val="none" w:sz="0" w:space="0" w:color="auto"/>
        <w:left w:val="none" w:sz="0" w:space="0" w:color="auto"/>
        <w:bottom w:val="none" w:sz="0" w:space="0" w:color="auto"/>
        <w:right w:val="none" w:sz="0" w:space="0" w:color="auto"/>
      </w:divBdr>
    </w:div>
    <w:div w:id="155512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financialrights.org.au/publication/"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financialrights.org.au/submission/" TargetMode="External"/><Relationship Id="rId2" Type="http://schemas.openxmlformats.org/officeDocument/2006/relationships/customXml" Target="../customXml/item2.xml"/><Relationship Id="rId16" Type="http://schemas.openxmlformats.org/officeDocument/2006/relationships/hyperlink" Target="mailto:Karen.Cox@financialrights.org.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ASICenforcementreview@treasury.gov.a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8F705419D6AC784B849D443887C087B3" ma:contentTypeVersion="5726" ma:contentTypeDescription=" " ma:contentTypeScope="" ma:versionID="49eebcf7b67a6cf8508fb34bb22a5f75">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d4da216532287074f62fdd4831c1af1"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_dlc_DocId xmlns="d4dd4adf-ddb3-46a3-8d7c-fab3fb2a6bc7">2017MG-88-98470</_dlc_DocId>
    <TaxCatchAll xmlns="d4dd4adf-ddb3-46a3-8d7c-fab3fb2a6bc7">
      <Value>7</Value>
    </TaxCatchAll>
    <_dlc_DocIdUrl xmlns="d4dd4adf-ddb3-46a3-8d7c-fab3fb2a6bc7">
      <Url>http://tweb/sites/mg/fsd/_layouts/15/DocIdRedir.aspx?ID=2017MG-88-98470</Url>
      <Description>2017MG-88-98470</Description>
    </_dlc_DocIdUrl>
    <IconOverlay xmlns="http://schemas.microsoft.com/sharepoint/v4" xsi:nil="true"/>
  </documentManagement>
</p:properties>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DC407D-2FBA-4D71-B7D7-072FA0C44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F91AA-E7ED-401F-BEF4-135EA435E51B}">
  <ds:schemaRefs>
    <ds:schemaRef ds:uri="office.server.policy"/>
  </ds:schemaRefs>
</ds:datastoreItem>
</file>

<file path=customXml/itemProps3.xml><?xml version="1.0" encoding="utf-8"?>
<ds:datastoreItem xmlns:ds="http://schemas.openxmlformats.org/officeDocument/2006/customXml" ds:itemID="{1FB96A4B-9328-4BF1-98C3-1EC1C0CBFA3F}">
  <ds:schemaRefs>
    <ds:schemaRef ds:uri="http://schemas.microsoft.com/sharepoint/events"/>
  </ds:schemaRefs>
</ds:datastoreItem>
</file>

<file path=customXml/itemProps4.xml><?xml version="1.0" encoding="utf-8"?>
<ds:datastoreItem xmlns:ds="http://schemas.openxmlformats.org/officeDocument/2006/customXml" ds:itemID="{DCDCDFAC-1FE4-4238-AE80-DBCC4B11BEF8}">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5.xml><?xml version="1.0" encoding="utf-8"?>
<ds:datastoreItem xmlns:ds="http://schemas.openxmlformats.org/officeDocument/2006/customXml" ds:itemID="{982E9793-78DB-408D-BCBA-2936F46EC9B1}">
  <ds:schemaRefs>
    <ds:schemaRef ds:uri="http://schemas.microsoft.com/sharepoint/events"/>
  </ds:schemaRefs>
</ds:datastoreItem>
</file>

<file path=customXml/itemProps6.xml><?xml version="1.0" encoding="utf-8"?>
<ds:datastoreItem xmlns:ds="http://schemas.openxmlformats.org/officeDocument/2006/customXml" ds:itemID="{43CBE23F-720D-47CB-AB13-547B2BBA5E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2981</Characters>
  <Application>Microsoft Office Word</Application>
  <DocSecurity>0</DocSecurity>
  <Lines>54</Lines>
  <Paragraphs>25</Paragraphs>
  <ScaleCrop>false</ScaleCrop>
  <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FRLC - Submission to the 'Strengthening ASIC licensing powers' consultation</dc:title>
  <dc:creator/>
  <cp:lastModifiedBy/>
  <cp:revision>1</cp:revision>
  <dcterms:created xsi:type="dcterms:W3CDTF">2017-09-27T02:05:00Z</dcterms:created>
  <dcterms:modified xsi:type="dcterms:W3CDTF">2017-09-27T02:05:00Z</dcterms:modified>
  <dc:language>English</dc:language>
</cp:coreProperties>
</file>