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89413" w14:textId="099BA330" w:rsidR="00B17774" w:rsidRPr="005E503C" w:rsidRDefault="00B17774" w:rsidP="00B17774">
      <w:pPr>
        <w:pStyle w:val="Baseparagraphcentred"/>
      </w:pPr>
    </w:p>
    <w:p w14:paraId="6466927D" w14:textId="77777777" w:rsidR="000B4ED5" w:rsidRPr="005E503C" w:rsidRDefault="000B4ED5" w:rsidP="00B17774">
      <w:pPr>
        <w:pStyle w:val="Baseparagraphcentred"/>
      </w:pPr>
    </w:p>
    <w:p w14:paraId="62787457" w14:textId="77777777" w:rsidR="000B4ED5" w:rsidRPr="005E503C" w:rsidRDefault="000B4ED5" w:rsidP="00B17774">
      <w:pPr>
        <w:pStyle w:val="Baseparagraphcentred"/>
      </w:pPr>
    </w:p>
    <w:p w14:paraId="00CA1C8D" w14:textId="77777777" w:rsidR="000B4ED5" w:rsidRPr="005E503C" w:rsidRDefault="000B4ED5" w:rsidP="00B17774">
      <w:pPr>
        <w:pStyle w:val="Baseparagraphcentred"/>
      </w:pPr>
    </w:p>
    <w:p w14:paraId="64B607BD" w14:textId="77777777" w:rsidR="000B4ED5" w:rsidRPr="005E503C" w:rsidRDefault="000B4ED5" w:rsidP="00B17774">
      <w:pPr>
        <w:pStyle w:val="Baseparagraphcentred"/>
      </w:pPr>
    </w:p>
    <w:p w14:paraId="317A56EF" w14:textId="77777777" w:rsidR="000B4ED5" w:rsidRPr="005E503C" w:rsidRDefault="000B4ED5" w:rsidP="00B17774">
      <w:pPr>
        <w:pStyle w:val="Baseparagraphcentred"/>
      </w:pPr>
    </w:p>
    <w:p w14:paraId="56EB31A2" w14:textId="77777777" w:rsidR="000B4ED5" w:rsidRPr="005E503C" w:rsidRDefault="000B4ED5" w:rsidP="00B17774">
      <w:pPr>
        <w:pStyle w:val="Baseparagraphcentred"/>
      </w:pPr>
    </w:p>
    <w:p w14:paraId="6B889414" w14:textId="77777777" w:rsidR="00B17774" w:rsidRPr="005E503C" w:rsidRDefault="00B17774" w:rsidP="00B17774">
      <w:pPr>
        <w:pStyle w:val="Baseparagraphcentred"/>
      </w:pPr>
    </w:p>
    <w:p w14:paraId="6B889415" w14:textId="77777777" w:rsidR="00B17774" w:rsidRPr="005E503C" w:rsidRDefault="00B17774" w:rsidP="00B17774">
      <w:pPr>
        <w:pStyle w:val="Baseparagraphcentred"/>
      </w:pPr>
    </w:p>
    <w:p w14:paraId="6B889416" w14:textId="77777777" w:rsidR="00B17774" w:rsidRPr="005E503C" w:rsidRDefault="00B17774" w:rsidP="00B17774">
      <w:pPr>
        <w:pStyle w:val="Baseparagraphcentred"/>
      </w:pPr>
    </w:p>
    <w:p w14:paraId="6B889417" w14:textId="1B386297" w:rsidR="00B17774" w:rsidRPr="005E503C" w:rsidRDefault="002B75E6" w:rsidP="00B17774">
      <w:pPr>
        <w:pStyle w:val="BillName"/>
      </w:pPr>
      <w:bookmarkStart w:id="0" w:name="BillName"/>
      <w:bookmarkEnd w:id="0"/>
      <w:r w:rsidRPr="005E503C">
        <w:t xml:space="preserve">Treasury </w:t>
      </w:r>
      <w:r w:rsidR="00080891" w:rsidRPr="005E503C">
        <w:t>L</w:t>
      </w:r>
      <w:r w:rsidRPr="005E503C">
        <w:t xml:space="preserve">aws </w:t>
      </w:r>
      <w:r w:rsidR="003A141D" w:rsidRPr="005E503C">
        <w:t>A</w:t>
      </w:r>
      <w:r w:rsidRPr="005E503C">
        <w:t>mendment (</w:t>
      </w:r>
      <w:r w:rsidR="003D2339" w:rsidRPr="005E503C">
        <w:t>Reducing Pressure on</w:t>
      </w:r>
      <w:r w:rsidR="0009405A" w:rsidRPr="005E503C">
        <w:t xml:space="preserve"> </w:t>
      </w:r>
      <w:r w:rsidRPr="005E503C">
        <w:t xml:space="preserve">Housing </w:t>
      </w:r>
      <w:r w:rsidR="00A510EC" w:rsidRPr="005E503C">
        <w:t>A</w:t>
      </w:r>
      <w:r w:rsidRPr="005E503C">
        <w:t xml:space="preserve">ffordability </w:t>
      </w:r>
      <w:r w:rsidR="00546713" w:rsidRPr="005E503C">
        <w:t>N</w:t>
      </w:r>
      <w:r w:rsidRPr="005E503C">
        <w:t>o. 2) Bill 2017</w:t>
      </w:r>
      <w:r w:rsidR="003071A4" w:rsidRPr="005E503C">
        <w:br/>
      </w:r>
      <w:r w:rsidR="007A3992" w:rsidRPr="005E503C">
        <w:t>I</w:t>
      </w:r>
      <w:r w:rsidR="003071A4" w:rsidRPr="005E503C">
        <w:t xml:space="preserve">ncome </w:t>
      </w:r>
      <w:r w:rsidR="007A3992" w:rsidRPr="005E503C">
        <w:t>T</w:t>
      </w:r>
      <w:r w:rsidR="003071A4" w:rsidRPr="005E503C">
        <w:t>ax (</w:t>
      </w:r>
      <w:r w:rsidR="007A3992" w:rsidRPr="005E503C">
        <w:t>M</w:t>
      </w:r>
      <w:r w:rsidR="003071A4" w:rsidRPr="005E503C">
        <w:t xml:space="preserve">anaged </w:t>
      </w:r>
      <w:r w:rsidR="007A3992" w:rsidRPr="005E503C">
        <w:t>I</w:t>
      </w:r>
      <w:r w:rsidR="003071A4" w:rsidRPr="005E503C">
        <w:t xml:space="preserve">nvestment </w:t>
      </w:r>
      <w:r w:rsidR="007A3992" w:rsidRPr="005E503C">
        <w:t>T</w:t>
      </w:r>
      <w:r w:rsidR="003071A4" w:rsidRPr="005E503C">
        <w:t xml:space="preserve">rust </w:t>
      </w:r>
      <w:r w:rsidR="007A3992" w:rsidRPr="005E503C">
        <w:t>W</w:t>
      </w:r>
      <w:r w:rsidR="003071A4" w:rsidRPr="005E503C">
        <w:t xml:space="preserve">ithholding) </w:t>
      </w:r>
      <w:r w:rsidR="007A3992" w:rsidRPr="005E503C">
        <w:t>A</w:t>
      </w:r>
      <w:r w:rsidR="003071A4" w:rsidRPr="005E503C">
        <w:t xml:space="preserve">mendment </w:t>
      </w:r>
      <w:r w:rsidR="007A3992" w:rsidRPr="005E503C">
        <w:t>B</w:t>
      </w:r>
      <w:r w:rsidR="003071A4" w:rsidRPr="005E503C">
        <w:t>ill 2017</w:t>
      </w:r>
    </w:p>
    <w:p w14:paraId="6B889418" w14:textId="77777777" w:rsidR="00B17774" w:rsidRPr="005E503C" w:rsidRDefault="00B17774" w:rsidP="00B17774">
      <w:pPr>
        <w:pStyle w:val="Baseparagraphcentred"/>
      </w:pPr>
    </w:p>
    <w:p w14:paraId="6B889419" w14:textId="77777777" w:rsidR="00B17774" w:rsidRPr="005E503C" w:rsidRDefault="00B17774" w:rsidP="00B17774">
      <w:pPr>
        <w:pStyle w:val="Baseparagraphcentred"/>
      </w:pPr>
    </w:p>
    <w:p w14:paraId="6B88941A" w14:textId="77777777" w:rsidR="00B17774" w:rsidRPr="005E503C" w:rsidRDefault="00B17774" w:rsidP="00B17774">
      <w:pPr>
        <w:pStyle w:val="Baseparagraphcentred"/>
      </w:pPr>
    </w:p>
    <w:p w14:paraId="6B88941B" w14:textId="5F856C4B" w:rsidR="00B17774" w:rsidRPr="005E503C" w:rsidRDefault="00B17774" w:rsidP="000B4ED5">
      <w:pPr>
        <w:pStyle w:val="Baseparagraphcentred"/>
      </w:pPr>
    </w:p>
    <w:p w14:paraId="3E7832B0" w14:textId="77777777" w:rsidR="000B4ED5" w:rsidRPr="005E503C" w:rsidRDefault="000B4ED5" w:rsidP="000B4ED5">
      <w:pPr>
        <w:pStyle w:val="Baseparagraphcentred"/>
      </w:pPr>
    </w:p>
    <w:p w14:paraId="6B88941C" w14:textId="6A727AD8" w:rsidR="00B17774" w:rsidRPr="005E503C" w:rsidRDefault="000B4ED5" w:rsidP="000B4ED5">
      <w:pPr>
        <w:pStyle w:val="Baseparagraphcentred"/>
      </w:pPr>
      <w:r w:rsidRPr="005E503C">
        <w:t xml:space="preserve">EXPOSURE DRAFT </w:t>
      </w:r>
      <w:r w:rsidR="00B17774" w:rsidRPr="005E503C">
        <w:t xml:space="preserve">EXPLANATORY </w:t>
      </w:r>
      <w:r w:rsidRPr="005E503C">
        <w:t>MATERIAL</w:t>
      </w:r>
    </w:p>
    <w:p w14:paraId="6B88941D" w14:textId="77777777" w:rsidR="00B17774" w:rsidRPr="005E503C" w:rsidRDefault="00B17774" w:rsidP="00B17774">
      <w:pPr>
        <w:pStyle w:val="Baseparagraphcentred"/>
      </w:pPr>
    </w:p>
    <w:p w14:paraId="6B88941E" w14:textId="77777777" w:rsidR="00B17774" w:rsidRPr="005E503C" w:rsidRDefault="00B17774" w:rsidP="00B17774">
      <w:pPr>
        <w:pStyle w:val="Baseparagraphcentred"/>
      </w:pPr>
    </w:p>
    <w:p w14:paraId="6B88941F" w14:textId="77777777" w:rsidR="00B17774" w:rsidRPr="005E503C" w:rsidRDefault="00B17774" w:rsidP="00B17774">
      <w:pPr>
        <w:pStyle w:val="Baseparagraphcentred"/>
      </w:pPr>
    </w:p>
    <w:p w14:paraId="6B889422" w14:textId="3F465E47" w:rsidR="00773B68" w:rsidRPr="005E503C" w:rsidRDefault="00773B68" w:rsidP="00773B68">
      <w:pPr>
        <w:pStyle w:val="ParaCentredNoSpacing"/>
      </w:pPr>
    </w:p>
    <w:p w14:paraId="6B889423" w14:textId="77777777" w:rsidR="00B17774" w:rsidRPr="005E503C" w:rsidRDefault="00B17774" w:rsidP="00B17774"/>
    <w:p w14:paraId="6B889424" w14:textId="77777777" w:rsidR="00813A51" w:rsidRPr="005E503C" w:rsidRDefault="00813A51" w:rsidP="00B17774">
      <w:pPr>
        <w:sectPr w:rsidR="00813A51" w:rsidRPr="005E503C"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6B889425" w14:textId="77777777" w:rsidR="00B17774" w:rsidRPr="005E503C" w:rsidRDefault="00B17774" w:rsidP="00B17774">
      <w:pPr>
        <w:pStyle w:val="TOCHeading"/>
      </w:pPr>
      <w:r w:rsidRPr="005E503C">
        <w:lastRenderedPageBreak/>
        <w:t>Table of contents</w:t>
      </w:r>
    </w:p>
    <w:p w14:paraId="675C1059" w14:textId="77777777" w:rsidR="00775739" w:rsidRDefault="00734F84">
      <w:pPr>
        <w:pStyle w:val="TOC2"/>
        <w:rPr>
          <w:rFonts w:asciiTheme="minorHAnsi" w:eastAsiaTheme="minorEastAsia" w:hAnsiTheme="minorHAnsi" w:cstheme="minorBidi"/>
          <w:sz w:val="22"/>
          <w:szCs w:val="22"/>
        </w:rPr>
      </w:pPr>
      <w:r w:rsidRPr="005E503C">
        <w:fldChar w:fldCharType="begin"/>
      </w:r>
      <w:r w:rsidRPr="005E503C">
        <w:instrText xml:space="preserve"> TOC \t "Chapter Heading,1,Chapter heading subdocument,2" </w:instrText>
      </w:r>
      <w:r w:rsidRPr="005E503C">
        <w:fldChar w:fldCharType="separate"/>
      </w:r>
      <w:r w:rsidR="00775739">
        <w:t>Glossary</w:t>
      </w:r>
      <w:r w:rsidR="00775739">
        <w:tab/>
      </w:r>
      <w:r w:rsidR="00775739">
        <w:fldChar w:fldCharType="begin"/>
      </w:r>
      <w:r w:rsidR="00775739">
        <w:instrText xml:space="preserve"> PAGEREF _Toc492997679 \h </w:instrText>
      </w:r>
      <w:r w:rsidR="00775739">
        <w:fldChar w:fldCharType="separate"/>
      </w:r>
      <w:r w:rsidR="00EA3194">
        <w:t>1</w:t>
      </w:r>
      <w:r w:rsidR="00775739">
        <w:fldChar w:fldCharType="end"/>
      </w:r>
    </w:p>
    <w:p w14:paraId="51EC135A" w14:textId="77777777" w:rsidR="00775739" w:rsidRDefault="00775739">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Additional capital gains discount for affordable housing</w:t>
      </w:r>
      <w:r>
        <w:rPr>
          <w:noProof/>
        </w:rPr>
        <w:tab/>
      </w:r>
      <w:r>
        <w:rPr>
          <w:noProof/>
        </w:rPr>
        <w:fldChar w:fldCharType="begin"/>
      </w:r>
      <w:r>
        <w:rPr>
          <w:noProof/>
        </w:rPr>
        <w:instrText xml:space="preserve"> PAGEREF _Toc492997680 \h </w:instrText>
      </w:r>
      <w:r>
        <w:rPr>
          <w:noProof/>
        </w:rPr>
      </w:r>
      <w:r>
        <w:rPr>
          <w:noProof/>
        </w:rPr>
        <w:fldChar w:fldCharType="separate"/>
      </w:r>
      <w:r w:rsidR="00EA3194">
        <w:rPr>
          <w:noProof/>
        </w:rPr>
        <w:t>3</w:t>
      </w:r>
      <w:r>
        <w:rPr>
          <w:noProof/>
        </w:rPr>
        <w:fldChar w:fldCharType="end"/>
      </w:r>
    </w:p>
    <w:p w14:paraId="68AF488C" w14:textId="77777777" w:rsidR="00775739" w:rsidRDefault="00775739">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Affordable housing through managed investment trusts</w:t>
      </w:r>
      <w:r>
        <w:rPr>
          <w:noProof/>
        </w:rPr>
        <w:tab/>
      </w:r>
      <w:r>
        <w:rPr>
          <w:noProof/>
        </w:rPr>
        <w:fldChar w:fldCharType="begin"/>
      </w:r>
      <w:r>
        <w:rPr>
          <w:noProof/>
        </w:rPr>
        <w:instrText xml:space="preserve"> PAGEREF _Toc492997681 \h </w:instrText>
      </w:r>
      <w:r>
        <w:rPr>
          <w:noProof/>
        </w:rPr>
      </w:r>
      <w:r>
        <w:rPr>
          <w:noProof/>
        </w:rPr>
        <w:fldChar w:fldCharType="separate"/>
      </w:r>
      <w:r w:rsidR="00EA3194">
        <w:rPr>
          <w:noProof/>
        </w:rPr>
        <w:t>25</w:t>
      </w:r>
      <w:r>
        <w:rPr>
          <w:noProof/>
        </w:rPr>
        <w:fldChar w:fldCharType="end"/>
      </w:r>
    </w:p>
    <w:p w14:paraId="6B889429" w14:textId="77777777" w:rsidR="00B17774" w:rsidRPr="005E503C" w:rsidRDefault="00734F84" w:rsidP="00295ABD">
      <w:r w:rsidRPr="005E503C">
        <w:rPr>
          <w:rFonts w:ascii="Helvetica" w:hAnsi="Helvetica"/>
          <w:noProof/>
          <w:sz w:val="24"/>
        </w:rPr>
        <w:fldChar w:fldCharType="end"/>
      </w:r>
    </w:p>
    <w:p w14:paraId="6B88942A" w14:textId="77777777" w:rsidR="00B17774" w:rsidRPr="005E503C" w:rsidRDefault="00B17774" w:rsidP="00B17774">
      <w:pPr>
        <w:pStyle w:val="Hiddentext"/>
      </w:pPr>
    </w:p>
    <w:p w14:paraId="6B88942B" w14:textId="77777777" w:rsidR="00B17774" w:rsidRPr="005E503C" w:rsidRDefault="00B17774" w:rsidP="00B17774">
      <w:pPr>
        <w:pStyle w:val="base-text-paragraphnonumbers"/>
        <w:sectPr w:rsidR="00B17774" w:rsidRPr="005E503C"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6B88942C" w14:textId="77777777" w:rsidR="00B17774" w:rsidRPr="005E503C" w:rsidRDefault="00B17774" w:rsidP="00B17774">
      <w:pPr>
        <w:pStyle w:val="Chapterheadingsubdocument"/>
      </w:pPr>
      <w:bookmarkStart w:id="1" w:name="_Toc489525346"/>
      <w:bookmarkStart w:id="2" w:name="_Toc489888500"/>
      <w:bookmarkStart w:id="3" w:name="_Toc492982597"/>
      <w:bookmarkStart w:id="4" w:name="_Toc492997679"/>
      <w:r w:rsidRPr="005E503C">
        <w:lastRenderedPageBreak/>
        <w:t>Glossary</w:t>
      </w:r>
      <w:bookmarkEnd w:id="1"/>
      <w:bookmarkEnd w:id="2"/>
      <w:bookmarkEnd w:id="3"/>
      <w:bookmarkEnd w:id="4"/>
    </w:p>
    <w:p w14:paraId="6B88942D" w14:textId="77777777" w:rsidR="00B17774" w:rsidRPr="005E503C" w:rsidRDefault="00B17774" w:rsidP="00B17774">
      <w:pPr>
        <w:pStyle w:val="BTPwithextraspacing"/>
      </w:pPr>
      <w:r w:rsidRPr="005E503C">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5E503C" w14:paraId="6B889430" w14:textId="77777777" w:rsidTr="005E44CC">
        <w:tc>
          <w:tcPr>
            <w:tcW w:w="2721" w:type="dxa"/>
          </w:tcPr>
          <w:p w14:paraId="6B88942E" w14:textId="77777777" w:rsidR="00B17774" w:rsidRPr="005E503C" w:rsidRDefault="00B17774" w:rsidP="005E44CC">
            <w:pPr>
              <w:pStyle w:val="tableheaderwithintable"/>
            </w:pPr>
            <w:r w:rsidRPr="005E503C">
              <w:t>Abbreviation</w:t>
            </w:r>
          </w:p>
        </w:tc>
        <w:tc>
          <w:tcPr>
            <w:tcW w:w="3885" w:type="dxa"/>
          </w:tcPr>
          <w:p w14:paraId="6B88942F" w14:textId="77777777" w:rsidR="00B17774" w:rsidRPr="005E503C" w:rsidRDefault="00B17774" w:rsidP="005E44CC">
            <w:pPr>
              <w:pStyle w:val="tableheaderwithintable"/>
            </w:pPr>
            <w:r w:rsidRPr="005E503C">
              <w:t>Definition</w:t>
            </w:r>
          </w:p>
        </w:tc>
      </w:tr>
      <w:tr w:rsidR="00B17774" w:rsidRPr="005E503C" w14:paraId="6B889433" w14:textId="77777777" w:rsidTr="005E44CC">
        <w:tc>
          <w:tcPr>
            <w:tcW w:w="2721" w:type="dxa"/>
          </w:tcPr>
          <w:p w14:paraId="6B889431" w14:textId="02F5E2B7" w:rsidR="00B17774" w:rsidRPr="005E503C" w:rsidRDefault="00733F43" w:rsidP="00733F43">
            <w:pPr>
              <w:pStyle w:val="Glossarytabletext"/>
              <w:rPr>
                <w:lang w:val="en-US" w:eastAsia="en-US"/>
              </w:rPr>
            </w:pPr>
            <w:bookmarkStart w:id="5" w:name="GlossaryTableStart"/>
            <w:bookmarkEnd w:id="5"/>
            <w:r w:rsidRPr="005E503C">
              <w:rPr>
                <w:lang w:val="en-US" w:eastAsia="en-US"/>
              </w:rPr>
              <w:t>AMIT</w:t>
            </w:r>
          </w:p>
        </w:tc>
        <w:tc>
          <w:tcPr>
            <w:tcW w:w="3885" w:type="dxa"/>
          </w:tcPr>
          <w:p w14:paraId="6B889432" w14:textId="11149A20" w:rsidR="00B17774" w:rsidRPr="005E503C" w:rsidRDefault="00733F43" w:rsidP="00F578BF">
            <w:pPr>
              <w:pStyle w:val="Glossarytabletext"/>
              <w:rPr>
                <w:lang w:val="en-US" w:eastAsia="en-US"/>
              </w:rPr>
            </w:pPr>
            <w:r w:rsidRPr="005E503C">
              <w:rPr>
                <w:lang w:val="en-US" w:eastAsia="en-US"/>
              </w:rPr>
              <w:t>attribution managed investment trust</w:t>
            </w:r>
          </w:p>
        </w:tc>
      </w:tr>
      <w:tr w:rsidR="00733F43" w:rsidRPr="005E503C" w14:paraId="6B889436" w14:textId="77777777" w:rsidTr="005E44CC">
        <w:tc>
          <w:tcPr>
            <w:tcW w:w="2721" w:type="dxa"/>
          </w:tcPr>
          <w:p w14:paraId="6B889434" w14:textId="5690DF78" w:rsidR="00733F43" w:rsidRPr="005E503C" w:rsidRDefault="00733F43" w:rsidP="005E44CC">
            <w:pPr>
              <w:pStyle w:val="Glossarytabletext"/>
              <w:rPr>
                <w:lang w:val="en-US" w:eastAsia="en-US"/>
              </w:rPr>
            </w:pPr>
            <w:r w:rsidRPr="005E503C">
              <w:rPr>
                <w:lang w:val="en-US" w:eastAsia="en-US"/>
              </w:rPr>
              <w:t>CGT</w:t>
            </w:r>
          </w:p>
        </w:tc>
        <w:tc>
          <w:tcPr>
            <w:tcW w:w="3885" w:type="dxa"/>
          </w:tcPr>
          <w:p w14:paraId="6B889435" w14:textId="30FF8B54" w:rsidR="00733F43" w:rsidRPr="005E503C" w:rsidRDefault="00733F43" w:rsidP="005E44CC">
            <w:pPr>
              <w:pStyle w:val="Glossarytabletext"/>
              <w:rPr>
                <w:lang w:val="en-US" w:eastAsia="en-US"/>
              </w:rPr>
            </w:pPr>
            <w:r w:rsidRPr="005E503C">
              <w:rPr>
                <w:lang w:val="en-US" w:eastAsia="en-US"/>
              </w:rPr>
              <w:t>capital gains tax</w:t>
            </w:r>
          </w:p>
        </w:tc>
      </w:tr>
      <w:tr w:rsidR="00E25D46" w:rsidRPr="005E503C" w14:paraId="61EC634A" w14:textId="77777777" w:rsidTr="005E44CC">
        <w:tc>
          <w:tcPr>
            <w:tcW w:w="2721" w:type="dxa"/>
          </w:tcPr>
          <w:p w14:paraId="24A261E0" w14:textId="6BC10D63" w:rsidR="00E25D46" w:rsidRPr="005E503C" w:rsidRDefault="00E25D46" w:rsidP="005E44CC">
            <w:pPr>
              <w:pStyle w:val="Glossarytabletext"/>
              <w:rPr>
                <w:lang w:val="en-US" w:eastAsia="en-US"/>
              </w:rPr>
            </w:pPr>
            <w:r w:rsidRPr="005E503C">
              <w:rPr>
                <w:lang w:val="en-US" w:eastAsia="en-US"/>
              </w:rPr>
              <w:t>CIV</w:t>
            </w:r>
          </w:p>
        </w:tc>
        <w:tc>
          <w:tcPr>
            <w:tcW w:w="3885" w:type="dxa"/>
          </w:tcPr>
          <w:p w14:paraId="0491A179" w14:textId="419464A5" w:rsidR="00E25D46" w:rsidRPr="005E503C" w:rsidRDefault="00E25D46" w:rsidP="005E44CC">
            <w:pPr>
              <w:pStyle w:val="Glossarytabletext"/>
              <w:rPr>
                <w:lang w:val="en-US" w:eastAsia="en-US"/>
              </w:rPr>
            </w:pPr>
            <w:r w:rsidRPr="005E503C">
              <w:rPr>
                <w:lang w:val="en-US" w:eastAsia="en-US"/>
              </w:rPr>
              <w:t>collective investment vehicle</w:t>
            </w:r>
          </w:p>
        </w:tc>
      </w:tr>
      <w:tr w:rsidR="00733F43" w:rsidRPr="005E503C" w14:paraId="6B889439" w14:textId="77777777" w:rsidTr="005E44CC">
        <w:tc>
          <w:tcPr>
            <w:tcW w:w="2721" w:type="dxa"/>
          </w:tcPr>
          <w:p w14:paraId="6B889437" w14:textId="2752BD5A" w:rsidR="00733F43" w:rsidRPr="005E503C" w:rsidRDefault="00733F43" w:rsidP="005E44CC">
            <w:pPr>
              <w:pStyle w:val="Glossarytabletext"/>
              <w:rPr>
                <w:lang w:val="en-US" w:eastAsia="en-US"/>
              </w:rPr>
            </w:pPr>
            <w:r w:rsidRPr="005E503C">
              <w:rPr>
                <w:lang w:val="en-US" w:eastAsia="en-US"/>
              </w:rPr>
              <w:t>Commissioner</w:t>
            </w:r>
          </w:p>
        </w:tc>
        <w:tc>
          <w:tcPr>
            <w:tcW w:w="3885" w:type="dxa"/>
          </w:tcPr>
          <w:p w14:paraId="6B889438" w14:textId="2C36F0DA" w:rsidR="00733F43" w:rsidRPr="005E503C" w:rsidRDefault="00733F43" w:rsidP="005E44CC">
            <w:pPr>
              <w:pStyle w:val="Glossarytabletext"/>
              <w:rPr>
                <w:lang w:val="en-US" w:eastAsia="en-US"/>
              </w:rPr>
            </w:pPr>
            <w:r w:rsidRPr="005E503C">
              <w:rPr>
                <w:lang w:val="en-US" w:eastAsia="en-US"/>
              </w:rPr>
              <w:t>Commissioner of Taxation</w:t>
            </w:r>
          </w:p>
        </w:tc>
      </w:tr>
      <w:tr w:rsidR="00733F43" w:rsidRPr="005E503C" w14:paraId="6B88943C" w14:textId="77777777" w:rsidTr="005E44CC">
        <w:tc>
          <w:tcPr>
            <w:tcW w:w="2721" w:type="dxa"/>
          </w:tcPr>
          <w:p w14:paraId="6B88943A" w14:textId="7F38F015" w:rsidR="00733F43" w:rsidRPr="005E503C" w:rsidRDefault="00733717" w:rsidP="005E44CC">
            <w:pPr>
              <w:pStyle w:val="Glossarytabletext"/>
              <w:rPr>
                <w:lang w:val="en-US" w:eastAsia="en-US"/>
              </w:rPr>
            </w:pPr>
            <w:r w:rsidRPr="005E503C">
              <w:rPr>
                <w:lang w:val="en-US" w:eastAsia="en-US"/>
              </w:rPr>
              <w:t>GST Act</w:t>
            </w:r>
          </w:p>
        </w:tc>
        <w:tc>
          <w:tcPr>
            <w:tcW w:w="3885" w:type="dxa"/>
          </w:tcPr>
          <w:p w14:paraId="6B88943B" w14:textId="29CAB772" w:rsidR="00733F43" w:rsidRPr="005E503C" w:rsidRDefault="00733717" w:rsidP="005E44CC">
            <w:pPr>
              <w:pStyle w:val="Glossarytabletext"/>
              <w:rPr>
                <w:lang w:val="en-US" w:eastAsia="en-US"/>
              </w:rPr>
            </w:pPr>
            <w:r w:rsidRPr="005E503C">
              <w:rPr>
                <w:i/>
              </w:rPr>
              <w:t>A New Tax System (Goods and Services Tax) Act 1999</w:t>
            </w:r>
          </w:p>
        </w:tc>
      </w:tr>
      <w:tr w:rsidR="00221596" w:rsidRPr="005E503C" w14:paraId="7D50586A" w14:textId="77777777" w:rsidTr="005E44CC">
        <w:tc>
          <w:tcPr>
            <w:tcW w:w="2721" w:type="dxa"/>
          </w:tcPr>
          <w:p w14:paraId="66529F08" w14:textId="0B1D59B7" w:rsidR="00221596" w:rsidRPr="005E503C" w:rsidRDefault="00221596" w:rsidP="00F578BF">
            <w:pPr>
              <w:pStyle w:val="Glossarytabletext"/>
              <w:rPr>
                <w:lang w:val="en-US" w:eastAsia="en-US"/>
              </w:rPr>
            </w:pPr>
            <w:r w:rsidRPr="005E503C">
              <w:rPr>
                <w:lang w:val="en-US" w:eastAsia="en-US"/>
              </w:rPr>
              <w:t>ITAA 1936</w:t>
            </w:r>
          </w:p>
        </w:tc>
        <w:tc>
          <w:tcPr>
            <w:tcW w:w="3885" w:type="dxa"/>
          </w:tcPr>
          <w:p w14:paraId="0AABD67E" w14:textId="00077C4E" w:rsidR="00221596" w:rsidRPr="005E503C" w:rsidRDefault="00221596" w:rsidP="005E44CC">
            <w:pPr>
              <w:pStyle w:val="Glossarytabletext"/>
              <w:rPr>
                <w:i/>
                <w:lang w:val="en-US" w:eastAsia="en-US"/>
              </w:rPr>
            </w:pPr>
            <w:r w:rsidRPr="005E503C">
              <w:rPr>
                <w:i/>
                <w:lang w:val="en-US" w:eastAsia="en-US"/>
              </w:rPr>
              <w:t>Income Tax Assessment Act 1936</w:t>
            </w:r>
          </w:p>
        </w:tc>
      </w:tr>
      <w:tr w:rsidR="00733F43" w:rsidRPr="005E503C" w14:paraId="6B88943F" w14:textId="77777777" w:rsidTr="005E44CC">
        <w:tc>
          <w:tcPr>
            <w:tcW w:w="2721" w:type="dxa"/>
          </w:tcPr>
          <w:p w14:paraId="6B88943D" w14:textId="6479D57A" w:rsidR="00733F43" w:rsidRPr="005E503C" w:rsidRDefault="00733F43" w:rsidP="00F578BF">
            <w:pPr>
              <w:pStyle w:val="Glossarytabletext"/>
              <w:rPr>
                <w:lang w:val="en-US" w:eastAsia="en-US"/>
              </w:rPr>
            </w:pPr>
            <w:r w:rsidRPr="005E503C">
              <w:rPr>
                <w:lang w:val="en-US" w:eastAsia="en-US"/>
              </w:rPr>
              <w:t>ITAA 1997</w:t>
            </w:r>
          </w:p>
        </w:tc>
        <w:tc>
          <w:tcPr>
            <w:tcW w:w="3885" w:type="dxa"/>
          </w:tcPr>
          <w:p w14:paraId="6B88943E" w14:textId="4F82B580" w:rsidR="00733F43" w:rsidRPr="005E503C" w:rsidRDefault="00733F43" w:rsidP="005E44CC">
            <w:pPr>
              <w:pStyle w:val="Glossarytabletext"/>
              <w:rPr>
                <w:i/>
                <w:lang w:val="en-US" w:eastAsia="en-US"/>
              </w:rPr>
            </w:pPr>
            <w:r w:rsidRPr="005E503C">
              <w:rPr>
                <w:i/>
                <w:lang w:val="en-US" w:eastAsia="en-US"/>
              </w:rPr>
              <w:t>Income Tax Assessment Act 1997</w:t>
            </w:r>
          </w:p>
        </w:tc>
      </w:tr>
      <w:tr w:rsidR="003E65CE" w:rsidRPr="005E503C" w14:paraId="63B6273F" w14:textId="77777777" w:rsidTr="005E44CC">
        <w:tc>
          <w:tcPr>
            <w:tcW w:w="2721" w:type="dxa"/>
          </w:tcPr>
          <w:p w14:paraId="68DD8D40" w14:textId="15CC9096" w:rsidR="003E65CE" w:rsidRPr="005E503C" w:rsidRDefault="003E65CE" w:rsidP="008D0CAD">
            <w:pPr>
              <w:pStyle w:val="Glossarytabletext"/>
              <w:rPr>
                <w:lang w:val="en-US" w:eastAsia="en-US"/>
              </w:rPr>
            </w:pPr>
            <w:r w:rsidRPr="005E503C">
              <w:t>ITMIT</w:t>
            </w:r>
            <w:r w:rsidR="008D0CAD" w:rsidRPr="005E503C">
              <w:t>A</w:t>
            </w:r>
            <w:r w:rsidRPr="005E503C">
              <w:t xml:space="preserve"> 2008</w:t>
            </w:r>
          </w:p>
        </w:tc>
        <w:tc>
          <w:tcPr>
            <w:tcW w:w="3885" w:type="dxa"/>
          </w:tcPr>
          <w:p w14:paraId="1680BBED" w14:textId="160D0011" w:rsidR="003E65CE" w:rsidRPr="005E503C" w:rsidRDefault="003E65CE" w:rsidP="005E44CC">
            <w:pPr>
              <w:pStyle w:val="Glossarytabletext"/>
              <w:rPr>
                <w:lang w:val="en-US" w:eastAsia="en-US"/>
              </w:rPr>
            </w:pPr>
            <w:r w:rsidRPr="005E503C">
              <w:rPr>
                <w:i/>
              </w:rPr>
              <w:t>Income Tax (Managed Investment Trust Withholding</w:t>
            </w:r>
            <w:r w:rsidR="008D0CAD" w:rsidRPr="005E503C">
              <w:rPr>
                <w:i/>
              </w:rPr>
              <w:t xml:space="preserve"> Tax)</w:t>
            </w:r>
            <w:r w:rsidRPr="005E503C">
              <w:rPr>
                <w:i/>
              </w:rPr>
              <w:t xml:space="preserve"> Act 2008</w:t>
            </w:r>
          </w:p>
        </w:tc>
      </w:tr>
      <w:tr w:rsidR="00B6259F" w:rsidRPr="005E503C" w14:paraId="357CE865" w14:textId="77777777" w:rsidTr="005E44CC">
        <w:tc>
          <w:tcPr>
            <w:tcW w:w="2721" w:type="dxa"/>
          </w:tcPr>
          <w:p w14:paraId="1E57DFA9" w14:textId="75B094B3" w:rsidR="00B6259F" w:rsidRPr="005E503C" w:rsidRDefault="00B6259F" w:rsidP="00DB25D1">
            <w:pPr>
              <w:pStyle w:val="Glossarytabletext"/>
              <w:rPr>
                <w:lang w:val="en-US" w:eastAsia="en-US"/>
              </w:rPr>
            </w:pPr>
            <w:r w:rsidRPr="005E503C">
              <w:rPr>
                <w:lang w:val="en-US" w:eastAsia="en-US"/>
              </w:rPr>
              <w:t>ITMIT Bill</w:t>
            </w:r>
          </w:p>
        </w:tc>
        <w:tc>
          <w:tcPr>
            <w:tcW w:w="3885" w:type="dxa"/>
          </w:tcPr>
          <w:p w14:paraId="2C2C2B11" w14:textId="0D900BFA" w:rsidR="00B6259F" w:rsidRPr="005E503C" w:rsidRDefault="00B6259F" w:rsidP="00B6259F">
            <w:pPr>
              <w:pStyle w:val="Glossarytabletext"/>
              <w:rPr>
                <w:lang w:val="en-US" w:eastAsia="en-US"/>
              </w:rPr>
            </w:pPr>
            <w:r w:rsidRPr="005E503C">
              <w:rPr>
                <w:i/>
              </w:rPr>
              <w:t>Income Tax (Managed Investment Trust Withholding Tax) Bill</w:t>
            </w:r>
            <w:r w:rsidR="00BB004C" w:rsidRPr="005E503C">
              <w:rPr>
                <w:i/>
              </w:rPr>
              <w:t xml:space="preserve"> 2017</w:t>
            </w:r>
          </w:p>
        </w:tc>
      </w:tr>
      <w:tr w:rsidR="00733F43" w:rsidRPr="005E503C" w14:paraId="6B889445" w14:textId="77777777" w:rsidTr="005E44CC">
        <w:tc>
          <w:tcPr>
            <w:tcW w:w="2721" w:type="dxa"/>
          </w:tcPr>
          <w:p w14:paraId="6B889443" w14:textId="61BDAAB5" w:rsidR="00733F43" w:rsidRPr="005E503C" w:rsidRDefault="00733F43" w:rsidP="005E44CC">
            <w:pPr>
              <w:pStyle w:val="Glossarytabletext"/>
              <w:rPr>
                <w:lang w:val="en-US" w:eastAsia="en-US"/>
              </w:rPr>
            </w:pPr>
            <w:r w:rsidRPr="005E503C">
              <w:rPr>
                <w:lang w:val="en-US" w:eastAsia="en-US"/>
              </w:rPr>
              <w:t>MIT</w:t>
            </w:r>
          </w:p>
        </w:tc>
        <w:tc>
          <w:tcPr>
            <w:tcW w:w="3885" w:type="dxa"/>
          </w:tcPr>
          <w:p w14:paraId="6B889444" w14:textId="2DC98CC5" w:rsidR="00733F43" w:rsidRPr="005E503C" w:rsidRDefault="00994087" w:rsidP="005E44CC">
            <w:pPr>
              <w:pStyle w:val="Glossarytabletext"/>
              <w:rPr>
                <w:lang w:val="en-US" w:eastAsia="en-US"/>
              </w:rPr>
            </w:pPr>
            <w:r w:rsidRPr="005E503C">
              <w:rPr>
                <w:lang w:val="en-US" w:eastAsia="en-US"/>
              </w:rPr>
              <w:t>m</w:t>
            </w:r>
            <w:r w:rsidR="00733F43" w:rsidRPr="005E503C">
              <w:rPr>
                <w:lang w:val="en-US" w:eastAsia="en-US"/>
              </w:rPr>
              <w:t>anaged investment trust</w:t>
            </w:r>
          </w:p>
        </w:tc>
      </w:tr>
      <w:tr w:rsidR="00B923A8" w:rsidRPr="005E503C" w14:paraId="6BBE18F2" w14:textId="77777777" w:rsidTr="005E44CC">
        <w:tc>
          <w:tcPr>
            <w:tcW w:w="2721" w:type="dxa"/>
          </w:tcPr>
          <w:p w14:paraId="4CC7C551" w14:textId="4669652F" w:rsidR="00B923A8" w:rsidRPr="005E503C" w:rsidRDefault="00B923A8" w:rsidP="005E44CC">
            <w:pPr>
              <w:pStyle w:val="Glossarytabletext"/>
              <w:rPr>
                <w:lang w:val="en-US" w:eastAsia="en-US"/>
              </w:rPr>
            </w:pPr>
            <w:r w:rsidRPr="005E503C">
              <w:rPr>
                <w:lang w:val="en-US" w:eastAsia="en-US"/>
              </w:rPr>
              <w:t>NRAS</w:t>
            </w:r>
          </w:p>
        </w:tc>
        <w:tc>
          <w:tcPr>
            <w:tcW w:w="3885" w:type="dxa"/>
          </w:tcPr>
          <w:p w14:paraId="26E9A079" w14:textId="508FCC33" w:rsidR="00B923A8" w:rsidRPr="005E503C" w:rsidRDefault="00B923A8" w:rsidP="005E44CC">
            <w:pPr>
              <w:pStyle w:val="Glossarytabletext"/>
              <w:rPr>
                <w:lang w:val="en-US" w:eastAsia="en-US"/>
              </w:rPr>
            </w:pPr>
            <w:r w:rsidRPr="005E503C">
              <w:rPr>
                <w:lang w:val="en-US" w:eastAsia="en-US"/>
              </w:rPr>
              <w:t>National Rental Affordability Scheme</w:t>
            </w:r>
          </w:p>
        </w:tc>
      </w:tr>
      <w:tr w:rsidR="00733F43" w:rsidRPr="005E503C" w14:paraId="6B88944B" w14:textId="77777777" w:rsidTr="005E44CC">
        <w:tc>
          <w:tcPr>
            <w:tcW w:w="2721" w:type="dxa"/>
          </w:tcPr>
          <w:p w14:paraId="6B889449" w14:textId="539A81BA" w:rsidR="00733F43" w:rsidRPr="005E503C" w:rsidRDefault="00733F43" w:rsidP="005E44CC">
            <w:pPr>
              <w:pStyle w:val="Glossarytabletext"/>
              <w:rPr>
                <w:lang w:val="en-US" w:eastAsia="en-US"/>
              </w:rPr>
            </w:pPr>
            <w:r w:rsidRPr="005E503C">
              <w:rPr>
                <w:lang w:val="en-US" w:eastAsia="en-US"/>
              </w:rPr>
              <w:t>TAA 1953</w:t>
            </w:r>
          </w:p>
        </w:tc>
        <w:tc>
          <w:tcPr>
            <w:tcW w:w="3885" w:type="dxa"/>
          </w:tcPr>
          <w:p w14:paraId="6B88944A" w14:textId="24B8762E" w:rsidR="00733F43" w:rsidRPr="005E503C" w:rsidRDefault="00733F43" w:rsidP="005E44CC">
            <w:pPr>
              <w:pStyle w:val="Glossarytabletext"/>
              <w:rPr>
                <w:i/>
                <w:lang w:val="en-US" w:eastAsia="en-US"/>
              </w:rPr>
            </w:pPr>
            <w:r w:rsidRPr="005E503C">
              <w:rPr>
                <w:i/>
                <w:lang w:val="en-US" w:eastAsia="en-US"/>
              </w:rPr>
              <w:t>Taxation Administration Act 1953</w:t>
            </w:r>
          </w:p>
        </w:tc>
      </w:tr>
    </w:tbl>
    <w:p w14:paraId="6B889476" w14:textId="77777777" w:rsidR="00B17774" w:rsidRPr="005E503C" w:rsidRDefault="00B17774" w:rsidP="00B17774"/>
    <w:p w14:paraId="6B889477" w14:textId="77777777" w:rsidR="00E679CA" w:rsidRPr="005E503C" w:rsidRDefault="00E679CA" w:rsidP="00B17774">
      <w:pPr>
        <w:sectPr w:rsidR="00E679CA" w:rsidRPr="005E503C"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6B88948C" w14:textId="07A92D5E" w:rsidR="00B17774" w:rsidRPr="005E503C" w:rsidRDefault="00840701" w:rsidP="000C2A9D">
      <w:pPr>
        <w:pStyle w:val="ChapterHeading"/>
      </w:pPr>
      <w:r w:rsidRPr="005E503C">
        <w:lastRenderedPageBreak/>
        <w:br/>
      </w:r>
      <w:bookmarkStart w:id="6" w:name="_Toc489525348"/>
      <w:bookmarkStart w:id="7" w:name="_Toc489888502"/>
      <w:bookmarkStart w:id="8" w:name="_Toc492982599"/>
      <w:bookmarkStart w:id="9" w:name="_Toc492997680"/>
      <w:r w:rsidR="0035012A" w:rsidRPr="005E503C">
        <w:rPr>
          <w:rStyle w:val="ChapterNameOnly"/>
        </w:rPr>
        <w:t>Additional capital</w:t>
      </w:r>
      <w:r w:rsidR="00497A34" w:rsidRPr="005E503C">
        <w:rPr>
          <w:rStyle w:val="ChapterNameOnly"/>
        </w:rPr>
        <w:t xml:space="preserve"> gains </w:t>
      </w:r>
      <w:r w:rsidR="0035012A" w:rsidRPr="005E503C">
        <w:rPr>
          <w:rStyle w:val="ChapterNameOnly"/>
        </w:rPr>
        <w:t>discount</w:t>
      </w:r>
      <w:r w:rsidR="00497A34" w:rsidRPr="005E503C">
        <w:rPr>
          <w:rStyle w:val="ChapterNameOnly"/>
        </w:rPr>
        <w:t xml:space="preserve"> for affordable housing</w:t>
      </w:r>
      <w:bookmarkEnd w:id="6"/>
      <w:bookmarkEnd w:id="7"/>
      <w:bookmarkEnd w:id="8"/>
      <w:bookmarkEnd w:id="9"/>
    </w:p>
    <w:p w14:paraId="6B88948D" w14:textId="77777777" w:rsidR="00B17774" w:rsidRPr="005E503C" w:rsidRDefault="00B17774" w:rsidP="00B17774">
      <w:pPr>
        <w:pStyle w:val="Heading2"/>
      </w:pPr>
      <w:r w:rsidRPr="005E503C">
        <w:t>Outline of chapter</w:t>
      </w:r>
    </w:p>
    <w:p w14:paraId="6E2935B0" w14:textId="741793ED" w:rsidR="00F27140" w:rsidRPr="005E503C" w:rsidRDefault="00D95062" w:rsidP="00C731CB">
      <w:pPr>
        <w:pStyle w:val="base-text-paragraph"/>
        <w:numPr>
          <w:ilvl w:val="1"/>
          <w:numId w:val="4"/>
        </w:numPr>
      </w:pPr>
      <w:r w:rsidRPr="005E503C">
        <w:t xml:space="preserve">Schedule </w:t>
      </w:r>
      <w:r w:rsidR="00D860EC" w:rsidRPr="005E503C">
        <w:t>1</w:t>
      </w:r>
      <w:r w:rsidRPr="005E503C">
        <w:t xml:space="preserve"> to </w:t>
      </w:r>
      <w:r w:rsidR="003D008F" w:rsidRPr="005E503C">
        <w:t xml:space="preserve">Treasury Laws Amendment (Reducing Pressure </w:t>
      </w:r>
      <w:r w:rsidR="008152F3" w:rsidRPr="005E503C">
        <w:t>o</w:t>
      </w:r>
      <w:r w:rsidR="003D008F" w:rsidRPr="005E503C">
        <w:t xml:space="preserve">n Housing Affordability No. 2) Bill 2017 (the Bill) </w:t>
      </w:r>
      <w:r w:rsidRPr="005E503C">
        <w:t xml:space="preserve">amends </w:t>
      </w:r>
      <w:r w:rsidR="00D21D56" w:rsidRPr="005E503C">
        <w:t>the</w:t>
      </w:r>
      <w:r w:rsidRPr="005E503C">
        <w:t xml:space="preserve"> </w:t>
      </w:r>
      <w:r w:rsidR="00CB1B35" w:rsidRPr="005E503C">
        <w:rPr>
          <w:i/>
        </w:rPr>
        <w:t>Income </w:t>
      </w:r>
      <w:r w:rsidRPr="005E503C">
        <w:rPr>
          <w:i/>
        </w:rPr>
        <w:t xml:space="preserve">Tax Assessment Act 1997 </w:t>
      </w:r>
      <w:r w:rsidRPr="005E503C">
        <w:t>(ITAA 1997)</w:t>
      </w:r>
      <w:r w:rsidR="00F27140" w:rsidRPr="005E503C">
        <w:t xml:space="preserve"> </w:t>
      </w:r>
      <w:r w:rsidR="0066316C" w:rsidRPr="005E503C">
        <w:t xml:space="preserve">and </w:t>
      </w:r>
      <w:r w:rsidR="00C27F67" w:rsidRPr="005E503C">
        <w:t xml:space="preserve">the </w:t>
      </w:r>
      <w:r w:rsidR="0066316C" w:rsidRPr="005E503C">
        <w:rPr>
          <w:i/>
        </w:rPr>
        <w:t>Taxation Administration Act 1953</w:t>
      </w:r>
      <w:r w:rsidR="0066316C" w:rsidRPr="005E503C">
        <w:t xml:space="preserve"> (TAA</w:t>
      </w:r>
      <w:r w:rsidR="00C27F67" w:rsidRPr="005E503C">
        <w:t xml:space="preserve"> 1953</w:t>
      </w:r>
      <w:r w:rsidR="0066316C" w:rsidRPr="005E503C">
        <w:t xml:space="preserve">) </w:t>
      </w:r>
      <w:r w:rsidR="00F27140" w:rsidRPr="005E503C">
        <w:t>to provide a</w:t>
      </w:r>
      <w:r w:rsidR="00296D0A" w:rsidRPr="005E503C">
        <w:t>n additional</w:t>
      </w:r>
      <w:r w:rsidR="00F27140" w:rsidRPr="005E503C">
        <w:t xml:space="preserve"> </w:t>
      </w:r>
      <w:r w:rsidR="00163876" w:rsidRPr="005E503C">
        <w:t xml:space="preserve">affordable housing </w:t>
      </w:r>
      <w:r w:rsidR="00F27140" w:rsidRPr="005E503C">
        <w:t>capital gains discount</w:t>
      </w:r>
      <w:r w:rsidR="00AB5FF5" w:rsidRPr="005E503C">
        <w:t>. The discount</w:t>
      </w:r>
      <w:r w:rsidR="00F27140" w:rsidRPr="005E503C">
        <w:t xml:space="preserve"> of </w:t>
      </w:r>
      <w:r w:rsidR="00C60E5E" w:rsidRPr="005E503C">
        <w:t xml:space="preserve">up to </w:t>
      </w:r>
      <w:r w:rsidR="00F27140" w:rsidRPr="005E503C">
        <w:t xml:space="preserve">10 per cent </w:t>
      </w:r>
      <w:r w:rsidR="00AB5FF5" w:rsidRPr="005E503C">
        <w:t>applies if</w:t>
      </w:r>
      <w:r w:rsidR="00296D0A" w:rsidRPr="005E503C">
        <w:t xml:space="preserve"> a </w:t>
      </w:r>
      <w:r w:rsidR="00FA6F2D" w:rsidRPr="005E503C">
        <w:t>capital gains tax (</w:t>
      </w:r>
      <w:r w:rsidR="00296D0A" w:rsidRPr="005E503C">
        <w:t>CGT</w:t>
      </w:r>
      <w:r w:rsidR="00FA6F2D" w:rsidRPr="005E503C">
        <w:t>)</w:t>
      </w:r>
      <w:r w:rsidR="00296D0A" w:rsidRPr="005E503C">
        <w:t xml:space="preserve"> event occurs to an ownership interest in </w:t>
      </w:r>
      <w:r w:rsidR="002C625D" w:rsidRPr="005E503C">
        <w:t>residential premises</w:t>
      </w:r>
      <w:r w:rsidR="00296D0A" w:rsidRPr="005E503C">
        <w:t xml:space="preserve"> that has been used to provide affordable housing. </w:t>
      </w:r>
    </w:p>
    <w:p w14:paraId="77034FC9" w14:textId="16DCBB97" w:rsidR="00557590" w:rsidRPr="005E503C" w:rsidRDefault="00557590" w:rsidP="00C731CB">
      <w:pPr>
        <w:numPr>
          <w:ilvl w:val="1"/>
          <w:numId w:val="4"/>
        </w:numPr>
      </w:pPr>
      <w:r w:rsidRPr="005E503C">
        <w:t>All legislative references in this Chapter</w:t>
      </w:r>
      <w:r w:rsidR="00D95062" w:rsidRPr="005E503C">
        <w:t>, unless otherwise stated, are to the ITAA 1997.</w:t>
      </w:r>
    </w:p>
    <w:p w14:paraId="6B88948F" w14:textId="77777777" w:rsidR="00B17774" w:rsidRPr="005E503C" w:rsidRDefault="00B17774" w:rsidP="00B17774">
      <w:pPr>
        <w:pStyle w:val="Heading2"/>
      </w:pPr>
      <w:r w:rsidRPr="005E503C">
        <w:t>Context of amendments</w:t>
      </w:r>
    </w:p>
    <w:p w14:paraId="722BA9CF" w14:textId="2D7375BA" w:rsidR="003F06F5" w:rsidRPr="005E503C" w:rsidRDefault="00365002" w:rsidP="00C731CB">
      <w:pPr>
        <w:pStyle w:val="base-text-paragraph"/>
        <w:numPr>
          <w:ilvl w:val="1"/>
          <w:numId w:val="4"/>
        </w:numPr>
      </w:pPr>
      <w:r w:rsidRPr="005E503C">
        <w:t>I</w:t>
      </w:r>
      <w:r w:rsidR="008E79D2" w:rsidRPr="005E503C">
        <w:t xml:space="preserve">n the </w:t>
      </w:r>
      <w:r w:rsidR="00625205" w:rsidRPr="005E503C">
        <w:t>2017</w:t>
      </w:r>
      <w:r w:rsidR="006F407D" w:rsidRPr="005E503C">
        <w:noBreakHyphen/>
      </w:r>
      <w:r w:rsidR="00625205" w:rsidRPr="005E503C">
        <w:t xml:space="preserve">18 Budget, the Government </w:t>
      </w:r>
      <w:r w:rsidR="008E79D2" w:rsidRPr="005E503C">
        <w:t xml:space="preserve">announced a package of measures to </w:t>
      </w:r>
      <w:r w:rsidR="003F06F5" w:rsidRPr="005E503C">
        <w:t xml:space="preserve">improve outcomes across the housing </w:t>
      </w:r>
      <w:r w:rsidR="009B48A2" w:rsidRPr="005E503C">
        <w:t>sector</w:t>
      </w:r>
      <w:r w:rsidR="003F06F5" w:rsidRPr="005E503C">
        <w:t>, from Australians struggling to put a roof over their head to those in affordable housing, private renters and first home buyers.</w:t>
      </w:r>
    </w:p>
    <w:p w14:paraId="03FD02B7" w14:textId="08CA40A5" w:rsidR="00D21D56" w:rsidRPr="005E503C" w:rsidRDefault="00A16873" w:rsidP="00C731CB">
      <w:pPr>
        <w:pStyle w:val="base-text-paragraph"/>
        <w:numPr>
          <w:ilvl w:val="1"/>
          <w:numId w:val="4"/>
        </w:numPr>
      </w:pPr>
      <w:r w:rsidRPr="005E503C">
        <w:t xml:space="preserve">Several of these measures specifically address housing affordability for </w:t>
      </w:r>
      <w:r w:rsidR="0080196A" w:rsidRPr="005E503C">
        <w:t xml:space="preserve">members of </w:t>
      </w:r>
      <w:r w:rsidRPr="005E503C" w:rsidDel="0080196A">
        <w:t xml:space="preserve">the </w:t>
      </w:r>
      <w:r w:rsidRPr="005E503C">
        <w:t>community</w:t>
      </w:r>
      <w:r w:rsidR="0083545A" w:rsidRPr="005E503C">
        <w:t xml:space="preserve"> </w:t>
      </w:r>
      <w:r w:rsidR="0080196A" w:rsidRPr="005E503C">
        <w:t xml:space="preserve">earning low to moderate incomes </w:t>
      </w:r>
      <w:r w:rsidR="0083545A" w:rsidRPr="005E503C">
        <w:t>by provid</w:t>
      </w:r>
      <w:r w:rsidR="00F17EBB" w:rsidRPr="005E503C">
        <w:t>ing</w:t>
      </w:r>
      <w:r w:rsidR="0083545A" w:rsidRPr="005E503C">
        <w:t xml:space="preserve"> incentives </w:t>
      </w:r>
      <w:r w:rsidR="0080196A" w:rsidRPr="005E503C">
        <w:t xml:space="preserve">for investors </w:t>
      </w:r>
      <w:r w:rsidR="0083545A" w:rsidRPr="005E503C">
        <w:t xml:space="preserve">to increase the supply of </w:t>
      </w:r>
      <w:r w:rsidR="0011427F" w:rsidRPr="005E503C">
        <w:t xml:space="preserve">affordable </w:t>
      </w:r>
      <w:r w:rsidR="0083545A" w:rsidRPr="005E503C">
        <w:t>housing that is available. Having access to affordable housing on a long</w:t>
      </w:r>
      <w:r w:rsidR="000A1576" w:rsidRPr="005E503C">
        <w:noBreakHyphen/>
      </w:r>
      <w:r w:rsidR="0083545A" w:rsidRPr="005E503C">
        <w:t xml:space="preserve">term basis </w:t>
      </w:r>
      <w:r w:rsidR="002B5990" w:rsidRPr="005E503C">
        <w:t>will help to support Australian households manage life’s challenges and assist in relieving the pressure from rising cost</w:t>
      </w:r>
      <w:r w:rsidR="00442E4D" w:rsidRPr="005E503C">
        <w:t xml:space="preserve"> </w:t>
      </w:r>
      <w:r w:rsidR="002B5990" w:rsidRPr="005E503C">
        <w:t>of living</w:t>
      </w:r>
      <w:r w:rsidR="0004623A" w:rsidRPr="005E503C">
        <w:t>.</w:t>
      </w:r>
    </w:p>
    <w:p w14:paraId="697AA37E" w14:textId="1599AD4B" w:rsidR="00A16873" w:rsidRPr="005E503C" w:rsidRDefault="00D21D56" w:rsidP="00C731CB">
      <w:pPr>
        <w:pStyle w:val="base-text-paragraph"/>
        <w:numPr>
          <w:ilvl w:val="1"/>
          <w:numId w:val="4"/>
        </w:numPr>
      </w:pPr>
      <w:r w:rsidRPr="005E503C">
        <w:t>The Government recognise</w:t>
      </w:r>
      <w:r w:rsidR="0011427F" w:rsidRPr="005E503C">
        <w:t>s</w:t>
      </w:r>
      <w:r w:rsidRPr="005E503C">
        <w:t xml:space="preserve"> that increase</w:t>
      </w:r>
      <w:r w:rsidR="00D70951" w:rsidRPr="005E503C">
        <w:t>d</w:t>
      </w:r>
      <w:r w:rsidRPr="005E503C">
        <w:t xml:space="preserve"> private investment is required </w:t>
      </w:r>
      <w:r w:rsidRPr="005E503C" w:rsidDel="008B02E5">
        <w:t xml:space="preserve">to </w:t>
      </w:r>
      <w:r w:rsidRPr="005E503C">
        <w:t xml:space="preserve">provide more </w:t>
      </w:r>
      <w:r w:rsidR="00130A49" w:rsidRPr="005E503C">
        <w:t>Australians</w:t>
      </w:r>
      <w:r w:rsidRPr="005E503C">
        <w:t xml:space="preserve"> with access to affordable rental housing. Specific measures addressing this issue include</w:t>
      </w:r>
      <w:r w:rsidR="00A16873" w:rsidRPr="005E503C">
        <w:t>:</w:t>
      </w:r>
    </w:p>
    <w:p w14:paraId="0F59CE7A" w14:textId="2125761B" w:rsidR="00A16873" w:rsidRPr="005E503C" w:rsidRDefault="00654D97" w:rsidP="00A16873">
      <w:pPr>
        <w:pStyle w:val="dotpoint"/>
        <w:rPr>
          <w:rStyle w:val="ChapterNameOnly"/>
        </w:rPr>
      </w:pPr>
      <w:r w:rsidRPr="005E503C">
        <w:rPr>
          <w:rStyle w:val="ChapterNameOnly"/>
        </w:rPr>
        <w:t xml:space="preserve">a </w:t>
      </w:r>
      <w:r w:rsidR="00FF55F6" w:rsidRPr="005E503C">
        <w:rPr>
          <w:rStyle w:val="ChapterNameOnly"/>
        </w:rPr>
        <w:t>CGT</w:t>
      </w:r>
      <w:r w:rsidR="00A16873" w:rsidRPr="005E503C">
        <w:rPr>
          <w:rStyle w:val="ChapterNameOnly"/>
        </w:rPr>
        <w:t xml:space="preserve"> incentive for investment</w:t>
      </w:r>
      <w:r w:rsidR="0019530C" w:rsidRPr="005E503C">
        <w:rPr>
          <w:rStyle w:val="ChapterNameOnly"/>
        </w:rPr>
        <w:t xml:space="preserve"> </w:t>
      </w:r>
      <w:r w:rsidR="00A16873" w:rsidRPr="005E503C">
        <w:rPr>
          <w:rStyle w:val="ChapterNameOnly"/>
        </w:rPr>
        <w:t xml:space="preserve">in affordable housing (this measure); and </w:t>
      </w:r>
    </w:p>
    <w:p w14:paraId="0352EAAD" w14:textId="0E9EEBF0" w:rsidR="00A16873" w:rsidRPr="005E503C" w:rsidRDefault="00654D97" w:rsidP="00654D97">
      <w:pPr>
        <w:pStyle w:val="dotpoint"/>
      </w:pPr>
      <w:r w:rsidRPr="005E503C">
        <w:rPr>
          <w:rStyle w:val="ChapterNameOnly"/>
        </w:rPr>
        <w:t>concessional withholding tax treatment for fund payments to certain managed investment trust (MIT)</w:t>
      </w:r>
      <w:r w:rsidR="00F84756" w:rsidRPr="005E503C">
        <w:rPr>
          <w:rStyle w:val="ChapterNameOnly"/>
        </w:rPr>
        <w:t xml:space="preserve"> </w:t>
      </w:r>
      <w:r w:rsidRPr="005E503C">
        <w:rPr>
          <w:rStyle w:val="ChapterNameOnly"/>
        </w:rPr>
        <w:t xml:space="preserve">members </w:t>
      </w:r>
      <w:r w:rsidR="007C2FDE" w:rsidRPr="005E503C">
        <w:rPr>
          <w:rStyle w:val="ChapterNameOnly"/>
        </w:rPr>
        <w:t>relating to</w:t>
      </w:r>
      <w:r w:rsidRPr="005E503C">
        <w:rPr>
          <w:rStyle w:val="ChapterNameOnly"/>
        </w:rPr>
        <w:t xml:space="preserve"> </w:t>
      </w:r>
      <w:r w:rsidR="00A16873" w:rsidRPr="005E503C">
        <w:rPr>
          <w:rStyle w:val="ChapterNameOnly"/>
        </w:rPr>
        <w:t>affordable housing investment through</w:t>
      </w:r>
      <w:r w:rsidRPr="005E503C">
        <w:rPr>
          <w:rStyle w:val="ChapterNameOnly"/>
        </w:rPr>
        <w:t xml:space="preserve"> </w:t>
      </w:r>
      <w:r w:rsidR="00B72F0B" w:rsidRPr="005E503C">
        <w:rPr>
          <w:rStyle w:val="ChapterNameOnly"/>
        </w:rPr>
        <w:t>MITs</w:t>
      </w:r>
      <w:r w:rsidR="00143B76" w:rsidRPr="005E503C">
        <w:rPr>
          <w:rStyle w:val="ChapterNameOnly"/>
        </w:rPr>
        <w:t xml:space="preserve"> (referred to as the MITs measure in this Chapter)</w:t>
      </w:r>
      <w:r w:rsidR="00B72F0B" w:rsidRPr="005E503C">
        <w:rPr>
          <w:rStyle w:val="ChapterNameOnly"/>
        </w:rPr>
        <w:t xml:space="preserve"> </w:t>
      </w:r>
      <w:r w:rsidR="00A16873" w:rsidRPr="005E503C">
        <w:rPr>
          <w:rStyle w:val="ChapterNameOnly"/>
        </w:rPr>
        <w:t xml:space="preserve">(see Chapter </w:t>
      </w:r>
      <w:r w:rsidR="00261BF9" w:rsidRPr="005E503C">
        <w:rPr>
          <w:rStyle w:val="ChapterNameOnly"/>
        </w:rPr>
        <w:t>2</w:t>
      </w:r>
      <w:r w:rsidR="00A16873" w:rsidRPr="005E503C">
        <w:rPr>
          <w:rStyle w:val="ChapterNameOnly"/>
        </w:rPr>
        <w:t>)</w:t>
      </w:r>
      <w:r w:rsidR="00C27F67" w:rsidRPr="005E503C">
        <w:rPr>
          <w:rStyle w:val="ChapterNameOnly"/>
        </w:rPr>
        <w:t>.</w:t>
      </w:r>
    </w:p>
    <w:p w14:paraId="6846430B" w14:textId="54FE3351" w:rsidR="00B72F0B" w:rsidRPr="005E503C" w:rsidRDefault="00F37E5A" w:rsidP="00C731CB">
      <w:pPr>
        <w:pStyle w:val="base-text-paragraph"/>
        <w:numPr>
          <w:ilvl w:val="1"/>
          <w:numId w:val="4"/>
        </w:numPr>
      </w:pPr>
      <w:r w:rsidRPr="005E503C">
        <w:lastRenderedPageBreak/>
        <w:t>Th</w:t>
      </w:r>
      <w:r w:rsidR="00A16873" w:rsidRPr="005E503C">
        <w:t>ese affordable housing</w:t>
      </w:r>
      <w:r w:rsidRPr="005E503C">
        <w:t xml:space="preserve"> </w:t>
      </w:r>
      <w:r w:rsidR="00F03315" w:rsidRPr="005E503C">
        <w:t>measure</w:t>
      </w:r>
      <w:r w:rsidR="00A16873" w:rsidRPr="005E503C">
        <w:t>s</w:t>
      </w:r>
      <w:r w:rsidR="00F03315" w:rsidRPr="005E503C">
        <w:t xml:space="preserve"> </w:t>
      </w:r>
      <w:r w:rsidRPr="005E503C">
        <w:t xml:space="preserve">provide </w:t>
      </w:r>
      <w:r w:rsidR="00781C40" w:rsidRPr="005E503C">
        <w:t xml:space="preserve">an </w:t>
      </w:r>
      <w:r w:rsidR="007B6B7A" w:rsidRPr="005E503C">
        <w:t xml:space="preserve">additional </w:t>
      </w:r>
      <w:r w:rsidRPr="005E503C">
        <w:t xml:space="preserve">incentive to </w:t>
      </w:r>
      <w:r w:rsidR="00677B3D" w:rsidRPr="005E503C">
        <w:t xml:space="preserve">individual </w:t>
      </w:r>
      <w:r w:rsidR="00904FC3" w:rsidRPr="005E503C">
        <w:t xml:space="preserve">and institutional </w:t>
      </w:r>
      <w:r w:rsidR="00781C40" w:rsidRPr="005E503C">
        <w:t xml:space="preserve">investors to </w:t>
      </w:r>
      <w:r w:rsidRPr="005E503C">
        <w:t>increase the supply of affordable housing</w:t>
      </w:r>
      <w:r w:rsidR="00E874F6" w:rsidRPr="005E503C">
        <w:t xml:space="preserve"> by </w:t>
      </w:r>
      <w:r w:rsidR="00B72F0B" w:rsidRPr="005E503C">
        <w:t xml:space="preserve">allowing </w:t>
      </w:r>
      <w:r w:rsidR="00E874F6" w:rsidRPr="005E503C">
        <w:t>i</w:t>
      </w:r>
      <w:r w:rsidR="00781C40" w:rsidRPr="005E503C">
        <w:t xml:space="preserve">nvestors </w:t>
      </w:r>
      <w:r w:rsidR="000D104C" w:rsidRPr="005E503C">
        <w:t>(</w:t>
      </w:r>
      <w:r w:rsidR="00D70951" w:rsidRPr="005E503C">
        <w:t xml:space="preserve">including resident investors in </w:t>
      </w:r>
      <w:r w:rsidR="000D104C" w:rsidRPr="005E503C">
        <w:t xml:space="preserve">MITs) </w:t>
      </w:r>
      <w:r w:rsidR="00B72F0B" w:rsidRPr="005E503C">
        <w:t xml:space="preserve">to retain </w:t>
      </w:r>
      <w:r w:rsidR="00781C40" w:rsidRPr="005E503C">
        <w:t>an increased</w:t>
      </w:r>
      <w:r w:rsidR="00B72F0B" w:rsidRPr="005E503C">
        <w:t xml:space="preserve"> amount of the </w:t>
      </w:r>
      <w:r w:rsidR="00781C40" w:rsidRPr="005E503C">
        <w:t xml:space="preserve">capital gains </w:t>
      </w:r>
      <w:r w:rsidR="00B72F0B" w:rsidRPr="005E503C">
        <w:t xml:space="preserve">they realise from </w:t>
      </w:r>
      <w:r w:rsidR="00781C40" w:rsidRPr="005E503C">
        <w:t xml:space="preserve">their </w:t>
      </w:r>
      <w:r w:rsidR="00D90FA3" w:rsidRPr="005E503C">
        <w:t>investments</w:t>
      </w:r>
      <w:r w:rsidR="00781C40" w:rsidRPr="005E503C">
        <w:t xml:space="preserve"> in affordable housing.</w:t>
      </w:r>
      <w:r w:rsidR="00677B3D" w:rsidRPr="005E503C">
        <w:t xml:space="preserve"> Individual investors may invest by holding an ownership interest in affordable housing </w:t>
      </w:r>
      <w:r w:rsidR="00782D86" w:rsidRPr="005E503C">
        <w:t>directly</w:t>
      </w:r>
      <w:r w:rsidR="00677B3D" w:rsidRPr="005E503C">
        <w:t xml:space="preserve"> or through </w:t>
      </w:r>
      <w:r w:rsidR="00C143BE" w:rsidRPr="005E503C">
        <w:t xml:space="preserve">certain </w:t>
      </w:r>
      <w:r w:rsidR="00677B3D" w:rsidRPr="005E503C">
        <w:t>trusts.</w:t>
      </w:r>
    </w:p>
    <w:p w14:paraId="059EBCE6" w14:textId="13308CFF" w:rsidR="00082793" w:rsidRPr="005E503C" w:rsidRDefault="004D0F4D" w:rsidP="00C731CB">
      <w:pPr>
        <w:pStyle w:val="base-text-paragraph"/>
        <w:numPr>
          <w:ilvl w:val="1"/>
          <w:numId w:val="4"/>
        </w:numPr>
      </w:pPr>
      <w:r w:rsidRPr="005E503C">
        <w:t xml:space="preserve">Capital gains arising from CGT assets of individuals that they held for </w:t>
      </w:r>
      <w:r w:rsidR="007D4CC6" w:rsidRPr="005E503C">
        <w:t xml:space="preserve">at least </w:t>
      </w:r>
      <w:r w:rsidRPr="005E503C">
        <w:t xml:space="preserve">12 months </w:t>
      </w:r>
      <w:r w:rsidR="00203188" w:rsidRPr="005E503C">
        <w:t xml:space="preserve">generally </w:t>
      </w:r>
      <w:r w:rsidR="005B50BD" w:rsidRPr="005E503C">
        <w:t xml:space="preserve">receive a 50 per cent capital gains discount. </w:t>
      </w:r>
      <w:r w:rsidR="00082793" w:rsidRPr="005E503C">
        <w:t xml:space="preserve">The individual’s net capital gain (including a discounted capital gain) forms part of their assessable income. This </w:t>
      </w:r>
      <w:proofErr w:type="gramStart"/>
      <w:r w:rsidR="00082793" w:rsidRPr="005E503C">
        <w:t>amount,</w:t>
      </w:r>
      <w:proofErr w:type="gramEnd"/>
      <w:r w:rsidR="00082793" w:rsidRPr="005E503C">
        <w:t xml:space="preserve"> and the individual’s other assessable income less allowable deductions </w:t>
      </w:r>
      <w:r w:rsidR="00EF6F6C" w:rsidRPr="005E503C">
        <w:t>forms</w:t>
      </w:r>
      <w:r w:rsidR="00082793" w:rsidRPr="005E503C">
        <w:t xml:space="preserve"> their taxable income which is taxed at marginal tax rates.</w:t>
      </w:r>
    </w:p>
    <w:p w14:paraId="3EB5764B" w14:textId="0CB6571A" w:rsidR="00FB3214" w:rsidRPr="005E503C" w:rsidRDefault="00417035" w:rsidP="00C731CB">
      <w:pPr>
        <w:pStyle w:val="base-text-paragraph"/>
        <w:numPr>
          <w:ilvl w:val="1"/>
          <w:numId w:val="4"/>
        </w:numPr>
        <w:rPr>
          <w:rStyle w:val="ChapterNameOnly"/>
        </w:rPr>
      </w:pPr>
      <w:r w:rsidRPr="005E503C">
        <w:rPr>
          <w:rStyle w:val="ChapterNameOnly"/>
        </w:rPr>
        <w:t>In the 2016</w:t>
      </w:r>
      <w:r w:rsidR="000A1576" w:rsidRPr="005E503C">
        <w:rPr>
          <w:rStyle w:val="ChapterNameOnly"/>
        </w:rPr>
        <w:noBreakHyphen/>
      </w:r>
      <w:r w:rsidRPr="005E503C">
        <w:rPr>
          <w:rStyle w:val="ChapterNameOnly"/>
        </w:rPr>
        <w:t xml:space="preserve">17 Budget, the Government announced that it would establish a </w:t>
      </w:r>
      <w:r w:rsidR="00043A20" w:rsidRPr="005E503C">
        <w:rPr>
          <w:rStyle w:val="ChapterNameOnly"/>
        </w:rPr>
        <w:t xml:space="preserve">tax and </w:t>
      </w:r>
      <w:r w:rsidRPr="005E503C">
        <w:rPr>
          <w:rStyle w:val="ChapterNameOnly"/>
        </w:rPr>
        <w:t>regulatory framework for two new collective investment vehicles (CIVs)</w:t>
      </w:r>
      <w:r w:rsidR="00FB3214" w:rsidRPr="005E503C">
        <w:rPr>
          <w:rStyle w:val="ChapterNameOnly"/>
        </w:rPr>
        <w:t>:</w:t>
      </w:r>
    </w:p>
    <w:p w14:paraId="5C92068C" w14:textId="1233EDCA" w:rsidR="00FB3214" w:rsidRPr="005E503C" w:rsidRDefault="00417035" w:rsidP="000531C2">
      <w:pPr>
        <w:pStyle w:val="dotpoint"/>
        <w:rPr>
          <w:rStyle w:val="ChapterNameOnly"/>
        </w:rPr>
      </w:pPr>
      <w:r w:rsidRPr="005E503C">
        <w:rPr>
          <w:rStyle w:val="ChapterNameOnly"/>
        </w:rPr>
        <w:t>a corporate CIV</w:t>
      </w:r>
      <w:r w:rsidR="00FB3214" w:rsidRPr="005E503C">
        <w:rPr>
          <w:rStyle w:val="ChapterNameOnly"/>
        </w:rPr>
        <w:t>;</w:t>
      </w:r>
      <w:r w:rsidRPr="005E503C">
        <w:rPr>
          <w:rStyle w:val="ChapterNameOnly"/>
        </w:rPr>
        <w:t xml:space="preserve"> and </w:t>
      </w:r>
    </w:p>
    <w:p w14:paraId="73F2B3B4" w14:textId="01802757" w:rsidR="00FB3214" w:rsidRPr="005E503C" w:rsidRDefault="00417035" w:rsidP="003245FC">
      <w:pPr>
        <w:pStyle w:val="dotpoint"/>
        <w:rPr>
          <w:rStyle w:val="ChapterNameOnly"/>
        </w:rPr>
      </w:pPr>
      <w:proofErr w:type="gramStart"/>
      <w:r w:rsidRPr="005E503C">
        <w:rPr>
          <w:rStyle w:val="ChapterNameOnly"/>
        </w:rPr>
        <w:t>a</w:t>
      </w:r>
      <w:proofErr w:type="gramEnd"/>
      <w:r w:rsidRPr="005E503C">
        <w:rPr>
          <w:rStyle w:val="ChapterNameOnly"/>
        </w:rPr>
        <w:t xml:space="preserve"> limited partnership CIV</w:t>
      </w:r>
      <w:r w:rsidR="0005078E" w:rsidRPr="005E503C">
        <w:rPr>
          <w:rStyle w:val="ChapterNameOnly"/>
        </w:rPr>
        <w:t xml:space="preserve">. </w:t>
      </w:r>
    </w:p>
    <w:p w14:paraId="3B6E9B84" w14:textId="3CE58C68" w:rsidR="00417035" w:rsidRPr="005E503C" w:rsidRDefault="00BB76D6" w:rsidP="00FB3214">
      <w:pPr>
        <w:pStyle w:val="base-text-paragraph"/>
        <w:rPr>
          <w:rStyle w:val="ChapterNameOnly"/>
        </w:rPr>
      </w:pPr>
      <w:r w:rsidRPr="005E503C">
        <w:rPr>
          <w:rStyle w:val="ChapterNameOnly"/>
        </w:rPr>
        <w:t xml:space="preserve">The Government intends that </w:t>
      </w:r>
      <w:r w:rsidR="00C24A32" w:rsidRPr="005E503C">
        <w:rPr>
          <w:rStyle w:val="ChapterNameOnly"/>
        </w:rPr>
        <w:t xml:space="preserve">these </w:t>
      </w:r>
      <w:r w:rsidRPr="005E503C">
        <w:rPr>
          <w:rStyle w:val="ChapterNameOnly"/>
        </w:rPr>
        <w:t xml:space="preserve">CIVs </w:t>
      </w:r>
      <w:r w:rsidR="00417035" w:rsidRPr="005E503C">
        <w:rPr>
          <w:rStyle w:val="ChapterNameOnly"/>
        </w:rPr>
        <w:t xml:space="preserve">will be able to invest in affordable housing in the same manner as MITs. </w:t>
      </w:r>
      <w:r w:rsidRPr="005E503C">
        <w:rPr>
          <w:rStyle w:val="ChapterNameOnly"/>
        </w:rPr>
        <w:t>It is intended that legislation t</w:t>
      </w:r>
      <w:r w:rsidR="00BC5BD0" w:rsidRPr="005E503C">
        <w:rPr>
          <w:rStyle w:val="ChapterNameOnly"/>
        </w:rPr>
        <w:t>o</w:t>
      </w:r>
      <w:r w:rsidRPr="005E503C">
        <w:rPr>
          <w:rStyle w:val="ChapterNameOnly"/>
        </w:rPr>
        <w:t xml:space="preserve"> introduce the framework for the new </w:t>
      </w:r>
      <w:r w:rsidR="00C47E80" w:rsidRPr="005E503C">
        <w:rPr>
          <w:rStyle w:val="ChapterNameOnly"/>
        </w:rPr>
        <w:t>t</w:t>
      </w:r>
      <w:r w:rsidR="008D3B4B" w:rsidRPr="005E503C">
        <w:rPr>
          <w:rStyle w:val="ChapterNameOnly"/>
        </w:rPr>
        <w:t xml:space="preserve">ypes of </w:t>
      </w:r>
      <w:r w:rsidRPr="005E503C">
        <w:rPr>
          <w:rStyle w:val="ChapterNameOnly"/>
        </w:rPr>
        <w:t>CIV</w:t>
      </w:r>
      <w:r w:rsidR="00B046FE" w:rsidRPr="005E503C">
        <w:rPr>
          <w:rStyle w:val="ChapterNameOnly"/>
        </w:rPr>
        <w:t>s</w:t>
      </w:r>
      <w:r w:rsidRPr="005E503C">
        <w:rPr>
          <w:rStyle w:val="ChapterNameOnly"/>
        </w:rPr>
        <w:t xml:space="preserve"> will</w:t>
      </w:r>
      <w:r w:rsidR="00417035" w:rsidRPr="005E503C">
        <w:rPr>
          <w:rStyle w:val="ChapterNameOnly"/>
        </w:rPr>
        <w:t xml:space="preserve"> </w:t>
      </w:r>
      <w:r w:rsidR="0096364B" w:rsidRPr="005E503C">
        <w:rPr>
          <w:rStyle w:val="ChapterNameOnly"/>
        </w:rPr>
        <w:t>ensure</w:t>
      </w:r>
      <w:r w:rsidR="00417035" w:rsidRPr="005E503C">
        <w:rPr>
          <w:rStyle w:val="ChapterNameOnly"/>
        </w:rPr>
        <w:t xml:space="preserve"> members </w:t>
      </w:r>
      <w:r w:rsidR="00EF6F6C" w:rsidRPr="005E503C">
        <w:rPr>
          <w:rStyle w:val="ChapterNameOnly"/>
        </w:rPr>
        <w:t>of</w:t>
      </w:r>
      <w:r w:rsidR="00417035" w:rsidRPr="005E503C">
        <w:rPr>
          <w:rStyle w:val="ChapterNameOnly"/>
        </w:rPr>
        <w:t xml:space="preserve"> CIVs have access to the additional affordable housing capital gains discount in the same manner </w:t>
      </w:r>
      <w:r w:rsidR="00BC5BD0" w:rsidRPr="005E503C">
        <w:rPr>
          <w:rStyle w:val="ChapterNameOnly"/>
        </w:rPr>
        <w:t xml:space="preserve">as </w:t>
      </w:r>
      <w:r w:rsidR="00417035" w:rsidRPr="005E503C">
        <w:rPr>
          <w:rStyle w:val="ChapterNameOnly"/>
        </w:rPr>
        <w:t>members of MITs.</w:t>
      </w:r>
    </w:p>
    <w:p w14:paraId="6B889491" w14:textId="77777777" w:rsidR="00B17774" w:rsidRPr="005E503C" w:rsidRDefault="00B17774" w:rsidP="00B17774">
      <w:pPr>
        <w:pStyle w:val="Heading2"/>
      </w:pPr>
      <w:r w:rsidRPr="005E503C">
        <w:t>Summary of new law</w:t>
      </w:r>
    </w:p>
    <w:p w14:paraId="7C21477B" w14:textId="2208D32B" w:rsidR="003D008F" w:rsidRPr="005E503C" w:rsidRDefault="003D008F" w:rsidP="00440D7D">
      <w:pPr>
        <w:pStyle w:val="base-text-paragraph"/>
      </w:pPr>
      <w:r w:rsidRPr="005E503C">
        <w:t xml:space="preserve">Schedule </w:t>
      </w:r>
      <w:r w:rsidR="006B4ADE" w:rsidRPr="005E503C">
        <w:t>1</w:t>
      </w:r>
      <w:r w:rsidR="003B496A" w:rsidRPr="005E503C">
        <w:t xml:space="preserve"> </w:t>
      </w:r>
      <w:r w:rsidRPr="005E503C">
        <w:t>to th</w:t>
      </w:r>
      <w:r w:rsidR="0075188F" w:rsidRPr="005E503C">
        <w:t>e</w:t>
      </w:r>
      <w:r w:rsidRPr="005E503C">
        <w:t xml:space="preserve"> Bill encourages investment in affordable housing for </w:t>
      </w:r>
      <w:r w:rsidR="00440D7D" w:rsidRPr="005E503C">
        <w:t>members of the community earning low to moderate incomes</w:t>
      </w:r>
      <w:r w:rsidRPr="005E503C">
        <w:t xml:space="preserve">. </w:t>
      </w:r>
      <w:r w:rsidR="00F770A1" w:rsidRPr="005E503C">
        <w:t>This is achieved by allowing investors to have an additional affordable housing capital gains discount of up to 10 percent</w:t>
      </w:r>
      <w:r w:rsidRPr="005E503C">
        <w:t xml:space="preserve"> at the time a CGT event occurs to an ownership interest in </w:t>
      </w:r>
      <w:r w:rsidR="00285180" w:rsidRPr="005E503C">
        <w:t xml:space="preserve">a dwelling that is </w:t>
      </w:r>
      <w:r w:rsidR="002C625D" w:rsidRPr="005E503C">
        <w:t>residential premises</w:t>
      </w:r>
      <w:r w:rsidRPr="005E503C">
        <w:t xml:space="preserve"> that ha</w:t>
      </w:r>
      <w:r w:rsidR="00285180" w:rsidRPr="005E503C">
        <w:t>s</w:t>
      </w:r>
      <w:r w:rsidRPr="005E503C">
        <w:t xml:space="preserve"> been used to provide affordable housing. </w:t>
      </w:r>
      <w:r w:rsidR="00F770A1" w:rsidRPr="005E503C">
        <w:t>By reducing the CGT that is payable upon disposal of affordable housing, it ensures that a greater proportion of the gain realised at disposal is retained by the investor.</w:t>
      </w:r>
    </w:p>
    <w:p w14:paraId="46D6E835" w14:textId="723F0DFC" w:rsidR="003A3BF2" w:rsidRPr="005E503C" w:rsidRDefault="003D008F" w:rsidP="00C731CB">
      <w:pPr>
        <w:pStyle w:val="base-text-paragraph"/>
        <w:numPr>
          <w:ilvl w:val="1"/>
          <w:numId w:val="4"/>
        </w:numPr>
      </w:pPr>
      <w:r w:rsidRPr="005E503C">
        <w:t xml:space="preserve">The additional </w:t>
      </w:r>
      <w:r w:rsidR="00CF0083" w:rsidRPr="005E503C">
        <w:t xml:space="preserve">capital gains </w:t>
      </w:r>
      <w:r w:rsidRPr="005E503C">
        <w:t xml:space="preserve">discount applies to investments by individuals directly in affordable housing or investments </w:t>
      </w:r>
      <w:r w:rsidR="00FA74DC" w:rsidRPr="005E503C">
        <w:t xml:space="preserve">in affordable housing </w:t>
      </w:r>
      <w:r w:rsidRPr="005E503C">
        <w:t>by individuals</w:t>
      </w:r>
      <w:r w:rsidR="00993873" w:rsidRPr="005E503C">
        <w:t xml:space="preserve"> </w:t>
      </w:r>
      <w:r w:rsidR="004B0131" w:rsidRPr="005E503C">
        <w:t>through</w:t>
      </w:r>
      <w:r w:rsidR="00993873" w:rsidRPr="005E503C">
        <w:t xml:space="preserve"> trusts</w:t>
      </w:r>
      <w:r w:rsidR="009C3142" w:rsidRPr="005E503C">
        <w:t xml:space="preserve"> (other than public unit trusts and superannuation funds)</w:t>
      </w:r>
      <w:r w:rsidR="00993873" w:rsidRPr="005E503C">
        <w:t xml:space="preserve">, including MITs to the extent the distribution </w:t>
      </w:r>
      <w:r w:rsidR="00B338C2" w:rsidRPr="005E503C">
        <w:t xml:space="preserve">or attribution is </w:t>
      </w:r>
      <w:r w:rsidR="00993873" w:rsidRPr="005E503C">
        <w:t xml:space="preserve">to the individual </w:t>
      </w:r>
      <w:r w:rsidR="00AE59AB" w:rsidRPr="005E503C">
        <w:t xml:space="preserve">and </w:t>
      </w:r>
      <w:r w:rsidR="00993873" w:rsidRPr="005E503C">
        <w:t>includes such a capital gain.</w:t>
      </w:r>
      <w:r w:rsidR="00993873" w:rsidRPr="005E503C" w:rsidDel="003D008F">
        <w:t xml:space="preserve"> </w:t>
      </w:r>
    </w:p>
    <w:p w14:paraId="6B889493" w14:textId="77777777" w:rsidR="00B17774" w:rsidRPr="005E503C" w:rsidRDefault="00B17774" w:rsidP="00B17774">
      <w:pPr>
        <w:pStyle w:val="Heading2with18pointafter"/>
      </w:pPr>
      <w:r w:rsidRPr="005E503C">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5E503C" w14:paraId="6B889496" w14:textId="77777777" w:rsidTr="00A51DB5">
        <w:trPr>
          <w:tblHeader/>
        </w:trPr>
        <w:tc>
          <w:tcPr>
            <w:tcW w:w="3275" w:type="dxa"/>
          </w:tcPr>
          <w:p w14:paraId="6B889494" w14:textId="77777777" w:rsidR="00B17774" w:rsidRPr="005E503C" w:rsidRDefault="00B17774" w:rsidP="005E44CC">
            <w:pPr>
              <w:pStyle w:val="tableheaderwithintable"/>
              <w:rPr>
                <w:lang w:val="en-US" w:eastAsia="en-US"/>
              </w:rPr>
            </w:pPr>
            <w:r w:rsidRPr="005E503C">
              <w:rPr>
                <w:lang w:val="en-US" w:eastAsia="en-US"/>
              </w:rPr>
              <w:t>New law</w:t>
            </w:r>
          </w:p>
        </w:tc>
        <w:tc>
          <w:tcPr>
            <w:tcW w:w="3276" w:type="dxa"/>
          </w:tcPr>
          <w:p w14:paraId="6B889495" w14:textId="77777777" w:rsidR="00B17774" w:rsidRPr="005E503C" w:rsidRDefault="00B17774" w:rsidP="005E44CC">
            <w:pPr>
              <w:pStyle w:val="tableheaderwithintable"/>
              <w:rPr>
                <w:lang w:val="en-US" w:eastAsia="en-US"/>
              </w:rPr>
            </w:pPr>
            <w:r w:rsidRPr="005E503C">
              <w:rPr>
                <w:lang w:val="en-US" w:eastAsia="en-US"/>
              </w:rPr>
              <w:t>Current law</w:t>
            </w:r>
          </w:p>
        </w:tc>
      </w:tr>
      <w:tr w:rsidR="00386253" w:rsidRPr="005E503C" w14:paraId="68BC824B" w14:textId="77777777" w:rsidTr="00AA4BAC">
        <w:tc>
          <w:tcPr>
            <w:tcW w:w="6551" w:type="dxa"/>
            <w:gridSpan w:val="2"/>
          </w:tcPr>
          <w:p w14:paraId="0DCF6759" w14:textId="0B045BF5" w:rsidR="00386253" w:rsidRPr="005E503C" w:rsidRDefault="00386253" w:rsidP="00B338C2">
            <w:pPr>
              <w:pStyle w:val="tabletext"/>
              <w:jc w:val="center"/>
              <w:rPr>
                <w:b/>
                <w:lang w:val="en-US" w:eastAsia="en-US"/>
              </w:rPr>
            </w:pPr>
            <w:r w:rsidRPr="005E503C">
              <w:rPr>
                <w:b/>
                <w:lang w:val="en-US" w:eastAsia="en-US"/>
              </w:rPr>
              <w:t>Individuals</w:t>
            </w:r>
            <w:r w:rsidR="00232C0A" w:rsidRPr="005E503C">
              <w:rPr>
                <w:b/>
                <w:lang w:val="en-US" w:eastAsia="en-US"/>
              </w:rPr>
              <w:t xml:space="preserve"> </w:t>
            </w:r>
            <w:r w:rsidR="00A72B2D" w:rsidRPr="005E503C">
              <w:rPr>
                <w:lang w:val="en-US" w:eastAsia="en-US"/>
              </w:rPr>
              <w:t>—</w:t>
            </w:r>
            <w:r w:rsidR="00232C0A" w:rsidRPr="005E503C">
              <w:rPr>
                <w:b/>
                <w:lang w:val="en-US" w:eastAsia="en-US"/>
              </w:rPr>
              <w:t xml:space="preserve"> direct investment</w:t>
            </w:r>
            <w:r w:rsidRPr="005E503C">
              <w:rPr>
                <w:b/>
                <w:lang w:val="en-US" w:eastAsia="en-US"/>
              </w:rPr>
              <w:t>:</w:t>
            </w:r>
            <w:r w:rsidR="00232C0A" w:rsidRPr="005E503C">
              <w:rPr>
                <w:b/>
                <w:lang w:val="en-US" w:eastAsia="en-US"/>
              </w:rPr>
              <w:t xml:space="preserve"> additional 10 per cent capital gain</w:t>
            </w:r>
            <w:r w:rsidR="00202AE6" w:rsidRPr="005E503C">
              <w:rPr>
                <w:b/>
                <w:lang w:val="en-US" w:eastAsia="en-US"/>
              </w:rPr>
              <w:t>s</w:t>
            </w:r>
            <w:r w:rsidR="00232C0A" w:rsidRPr="005E503C">
              <w:rPr>
                <w:b/>
                <w:lang w:val="en-US" w:eastAsia="en-US"/>
              </w:rPr>
              <w:t xml:space="preserve"> discount</w:t>
            </w:r>
          </w:p>
        </w:tc>
      </w:tr>
      <w:tr w:rsidR="00B17774" w:rsidRPr="005E503C" w14:paraId="6B889499" w14:textId="77777777" w:rsidTr="005E44CC">
        <w:tc>
          <w:tcPr>
            <w:tcW w:w="3275" w:type="dxa"/>
          </w:tcPr>
          <w:p w14:paraId="763E80EF" w14:textId="71638FFC" w:rsidR="00232C0A" w:rsidRPr="005E503C" w:rsidRDefault="00061B9C" w:rsidP="00232C0A">
            <w:pPr>
              <w:pStyle w:val="tabletext"/>
              <w:rPr>
                <w:lang w:val="en-US" w:eastAsia="en-US"/>
              </w:rPr>
            </w:pPr>
            <w:r w:rsidRPr="005E503C">
              <w:rPr>
                <w:lang w:val="en-US" w:eastAsia="en-US"/>
              </w:rPr>
              <w:t xml:space="preserve">Individuals are </w:t>
            </w:r>
            <w:r w:rsidR="003F6352" w:rsidRPr="005E503C">
              <w:rPr>
                <w:lang w:val="en-US" w:eastAsia="en-US"/>
              </w:rPr>
              <w:t xml:space="preserve">generally </w:t>
            </w:r>
            <w:r w:rsidRPr="005E503C">
              <w:rPr>
                <w:lang w:val="en-US" w:eastAsia="en-US"/>
              </w:rPr>
              <w:t xml:space="preserve">entitled to a 50 per cent </w:t>
            </w:r>
            <w:r w:rsidR="00AA4BAC" w:rsidRPr="005E503C">
              <w:rPr>
                <w:lang w:val="en-US" w:eastAsia="en-US"/>
              </w:rPr>
              <w:t xml:space="preserve">discount </w:t>
            </w:r>
            <w:r w:rsidRPr="005E503C">
              <w:rPr>
                <w:lang w:val="en-US" w:eastAsia="en-US"/>
              </w:rPr>
              <w:t>on capital gains</w:t>
            </w:r>
            <w:r w:rsidR="00BD37C5" w:rsidRPr="005E503C">
              <w:rPr>
                <w:lang w:val="en-US" w:eastAsia="en-US"/>
              </w:rPr>
              <w:t xml:space="preserve"> for assets held for at least 12 months</w:t>
            </w:r>
            <w:r w:rsidRPr="005E503C">
              <w:rPr>
                <w:lang w:val="en-US" w:eastAsia="en-US"/>
              </w:rPr>
              <w:t xml:space="preserve">. </w:t>
            </w:r>
          </w:p>
          <w:p w14:paraId="6B889497" w14:textId="746CB089" w:rsidR="00B17774" w:rsidRPr="005E503C" w:rsidRDefault="00061B9C" w:rsidP="00683493">
            <w:pPr>
              <w:pStyle w:val="tabletext"/>
              <w:rPr>
                <w:lang w:val="en-US" w:eastAsia="en-US"/>
              </w:rPr>
            </w:pPr>
            <w:r w:rsidRPr="005E503C">
              <w:rPr>
                <w:lang w:val="en-US" w:eastAsia="en-US"/>
              </w:rPr>
              <w:t xml:space="preserve">Individuals also are entitled to an additional </w:t>
            </w:r>
            <w:r w:rsidR="00EA000D" w:rsidRPr="005E503C">
              <w:rPr>
                <w:lang w:val="en-US" w:eastAsia="en-US"/>
              </w:rPr>
              <w:t>capital gain</w:t>
            </w:r>
            <w:r w:rsidR="00BF081E" w:rsidRPr="005E503C">
              <w:rPr>
                <w:lang w:val="en-US" w:eastAsia="en-US"/>
              </w:rPr>
              <w:t>s</w:t>
            </w:r>
            <w:r w:rsidR="00EA000D" w:rsidRPr="005E503C">
              <w:rPr>
                <w:lang w:val="en-US" w:eastAsia="en-US"/>
              </w:rPr>
              <w:t xml:space="preserve"> discount of up to 10 per</w:t>
            </w:r>
            <w:r w:rsidR="00232C0A" w:rsidRPr="005E503C">
              <w:rPr>
                <w:lang w:val="en-US" w:eastAsia="en-US"/>
              </w:rPr>
              <w:t xml:space="preserve"> </w:t>
            </w:r>
            <w:r w:rsidR="00EA000D" w:rsidRPr="005E503C">
              <w:rPr>
                <w:lang w:val="en-US" w:eastAsia="en-US"/>
              </w:rPr>
              <w:t xml:space="preserve">cent </w:t>
            </w:r>
            <w:r w:rsidR="00E21892" w:rsidRPr="005E503C">
              <w:rPr>
                <w:lang w:val="en-US" w:eastAsia="en-US"/>
              </w:rPr>
              <w:t xml:space="preserve">for </w:t>
            </w:r>
            <w:r w:rsidR="00EA000D" w:rsidRPr="005E503C">
              <w:rPr>
                <w:lang w:val="en-US" w:eastAsia="en-US"/>
              </w:rPr>
              <w:t xml:space="preserve">capital gains </w:t>
            </w:r>
            <w:r w:rsidR="00683493" w:rsidRPr="005E503C">
              <w:rPr>
                <w:lang w:val="en-US" w:eastAsia="en-US"/>
              </w:rPr>
              <w:t xml:space="preserve">on such assets </w:t>
            </w:r>
            <w:r w:rsidR="00EA000D" w:rsidRPr="005E503C">
              <w:rPr>
                <w:lang w:val="en-US" w:eastAsia="en-US"/>
              </w:rPr>
              <w:t xml:space="preserve">to the extent they are attributable to capital gains on </w:t>
            </w:r>
            <w:r w:rsidR="00BA2AAF" w:rsidRPr="005E503C">
              <w:rPr>
                <w:lang w:val="en-US" w:eastAsia="en-US"/>
              </w:rPr>
              <w:t xml:space="preserve">dwellings used to provide </w:t>
            </w:r>
            <w:r w:rsidR="00EA000D" w:rsidRPr="005E503C">
              <w:rPr>
                <w:lang w:val="en-US" w:eastAsia="en-US"/>
              </w:rPr>
              <w:t xml:space="preserve">affordable housing </w:t>
            </w:r>
            <w:r w:rsidR="00BA2AAF" w:rsidRPr="005E503C">
              <w:rPr>
                <w:lang w:val="en-US" w:eastAsia="en-US"/>
              </w:rPr>
              <w:t xml:space="preserve">for a period or periods </w:t>
            </w:r>
            <w:proofErr w:type="spellStart"/>
            <w:r w:rsidR="00BA2AAF" w:rsidRPr="005E503C">
              <w:rPr>
                <w:lang w:val="en-US" w:eastAsia="en-US"/>
              </w:rPr>
              <w:t>total</w:t>
            </w:r>
            <w:r w:rsidR="00202AE6" w:rsidRPr="005E503C">
              <w:rPr>
                <w:lang w:val="en-US" w:eastAsia="en-US"/>
              </w:rPr>
              <w:t>l</w:t>
            </w:r>
            <w:r w:rsidR="00BA2AAF" w:rsidRPr="005E503C">
              <w:rPr>
                <w:lang w:val="en-US" w:eastAsia="en-US"/>
              </w:rPr>
              <w:t>ing</w:t>
            </w:r>
            <w:proofErr w:type="spellEnd"/>
            <w:r w:rsidR="00BA2AAF" w:rsidRPr="005E503C">
              <w:rPr>
                <w:lang w:val="en-US" w:eastAsia="en-US"/>
              </w:rPr>
              <w:t xml:space="preserve"> at least </w:t>
            </w:r>
            <w:r w:rsidR="00AE520B" w:rsidRPr="005E503C">
              <w:rPr>
                <w:lang w:val="en-US" w:eastAsia="en-US"/>
              </w:rPr>
              <w:t>three</w:t>
            </w:r>
            <w:r w:rsidR="00BA2AAF" w:rsidRPr="005E503C">
              <w:rPr>
                <w:lang w:val="en-US" w:eastAsia="en-US"/>
              </w:rPr>
              <w:t xml:space="preserve"> years.</w:t>
            </w:r>
          </w:p>
        </w:tc>
        <w:tc>
          <w:tcPr>
            <w:tcW w:w="3276" w:type="dxa"/>
          </w:tcPr>
          <w:p w14:paraId="6B889498" w14:textId="5109B71E" w:rsidR="00B17774" w:rsidRPr="005E503C" w:rsidRDefault="000C7942" w:rsidP="003F6352">
            <w:pPr>
              <w:pStyle w:val="tabletext"/>
              <w:rPr>
                <w:lang w:val="en-US" w:eastAsia="en-US"/>
              </w:rPr>
            </w:pPr>
            <w:r w:rsidRPr="005E503C">
              <w:rPr>
                <w:lang w:val="en-US" w:eastAsia="en-US"/>
              </w:rPr>
              <w:t xml:space="preserve">Individuals are </w:t>
            </w:r>
            <w:r w:rsidR="003F6352" w:rsidRPr="005E503C">
              <w:rPr>
                <w:lang w:val="en-US" w:eastAsia="en-US"/>
              </w:rPr>
              <w:t xml:space="preserve">generally </w:t>
            </w:r>
            <w:r w:rsidRPr="005E503C">
              <w:rPr>
                <w:lang w:val="en-US" w:eastAsia="en-US"/>
              </w:rPr>
              <w:t>entitled to a 50 per cent discount on capital gains</w:t>
            </w:r>
            <w:r w:rsidR="00BD37C5" w:rsidRPr="005E503C">
              <w:rPr>
                <w:lang w:val="en-US" w:eastAsia="en-US"/>
              </w:rPr>
              <w:t xml:space="preserve"> for assets held for at least 12 months</w:t>
            </w:r>
            <w:r w:rsidR="00061B9C" w:rsidRPr="005E503C">
              <w:rPr>
                <w:lang w:val="en-US" w:eastAsia="en-US"/>
              </w:rPr>
              <w:t>.</w:t>
            </w:r>
          </w:p>
        </w:tc>
      </w:tr>
      <w:tr w:rsidR="00232C0A" w:rsidRPr="005E503C" w14:paraId="2E1A6D09" w14:textId="77777777" w:rsidTr="00D90F9D">
        <w:tc>
          <w:tcPr>
            <w:tcW w:w="6551" w:type="dxa"/>
            <w:gridSpan w:val="2"/>
          </w:tcPr>
          <w:p w14:paraId="6FE1377B" w14:textId="32099035" w:rsidR="00232C0A" w:rsidRPr="005E503C" w:rsidRDefault="00232C0A" w:rsidP="00A17406">
            <w:pPr>
              <w:pStyle w:val="tabletext"/>
              <w:rPr>
                <w:b/>
                <w:lang w:val="en-US" w:eastAsia="en-US"/>
              </w:rPr>
            </w:pPr>
            <w:r w:rsidRPr="005E503C">
              <w:rPr>
                <w:b/>
                <w:lang w:val="en-US" w:eastAsia="en-US"/>
              </w:rPr>
              <w:t xml:space="preserve">Individual </w:t>
            </w:r>
            <w:r w:rsidR="00A72B2D" w:rsidRPr="005E503C">
              <w:rPr>
                <w:lang w:val="en-US" w:eastAsia="en-US"/>
              </w:rPr>
              <w:t>—</w:t>
            </w:r>
            <w:r w:rsidRPr="005E503C">
              <w:rPr>
                <w:b/>
                <w:lang w:val="en-US" w:eastAsia="en-US"/>
              </w:rPr>
              <w:t xml:space="preserve"> indirect investment </w:t>
            </w:r>
            <w:r w:rsidR="00A17406" w:rsidRPr="005E503C">
              <w:rPr>
                <w:b/>
                <w:lang w:val="en-US" w:eastAsia="en-US"/>
              </w:rPr>
              <w:t>through</w:t>
            </w:r>
            <w:r w:rsidRPr="005E503C">
              <w:rPr>
                <w:b/>
                <w:lang w:val="en-US" w:eastAsia="en-US"/>
              </w:rPr>
              <w:t xml:space="preserve"> </w:t>
            </w:r>
            <w:r w:rsidR="008B1285" w:rsidRPr="005E503C">
              <w:rPr>
                <w:b/>
                <w:lang w:val="en-US" w:eastAsia="en-US"/>
              </w:rPr>
              <w:t xml:space="preserve">trusts and </w:t>
            </w:r>
            <w:r w:rsidRPr="005E503C">
              <w:rPr>
                <w:b/>
                <w:lang w:val="en-US" w:eastAsia="en-US"/>
              </w:rPr>
              <w:t>MITs: additional 10</w:t>
            </w:r>
            <w:r w:rsidR="00100AF2" w:rsidRPr="005E503C">
              <w:rPr>
                <w:b/>
                <w:lang w:val="en-US" w:eastAsia="en-US"/>
              </w:rPr>
              <w:t> </w:t>
            </w:r>
            <w:r w:rsidRPr="005E503C">
              <w:rPr>
                <w:b/>
                <w:lang w:val="en-US" w:eastAsia="en-US"/>
              </w:rPr>
              <w:t>per</w:t>
            </w:r>
            <w:r w:rsidR="00100AF2" w:rsidRPr="005E503C">
              <w:rPr>
                <w:b/>
                <w:lang w:val="en-US" w:eastAsia="en-US"/>
              </w:rPr>
              <w:t> </w:t>
            </w:r>
            <w:r w:rsidRPr="005E503C">
              <w:rPr>
                <w:b/>
                <w:lang w:val="en-US" w:eastAsia="en-US"/>
              </w:rPr>
              <w:t>cent capital gain</w:t>
            </w:r>
            <w:r w:rsidR="00E21892" w:rsidRPr="005E503C">
              <w:rPr>
                <w:b/>
                <w:lang w:val="en-US" w:eastAsia="en-US"/>
              </w:rPr>
              <w:t>s</w:t>
            </w:r>
            <w:r w:rsidRPr="005E503C">
              <w:rPr>
                <w:b/>
                <w:lang w:val="en-US" w:eastAsia="en-US"/>
              </w:rPr>
              <w:t xml:space="preserve"> discount</w:t>
            </w:r>
          </w:p>
        </w:tc>
      </w:tr>
      <w:tr w:rsidR="000C7942" w:rsidRPr="005E503C" w14:paraId="60F1E8E5" w14:textId="77777777" w:rsidTr="005E44CC">
        <w:tc>
          <w:tcPr>
            <w:tcW w:w="3275" w:type="dxa"/>
          </w:tcPr>
          <w:p w14:paraId="35D5718D" w14:textId="4C99D4F0" w:rsidR="00232C0A" w:rsidRPr="005E503C" w:rsidRDefault="00232C0A" w:rsidP="005E44CC">
            <w:pPr>
              <w:pStyle w:val="tabletext"/>
              <w:rPr>
                <w:lang w:val="en-US" w:eastAsia="en-US"/>
              </w:rPr>
            </w:pPr>
            <w:r w:rsidRPr="005E503C">
              <w:rPr>
                <w:lang w:val="en-US" w:eastAsia="en-US"/>
              </w:rPr>
              <w:t xml:space="preserve">Individuals are </w:t>
            </w:r>
            <w:r w:rsidR="00CF1232" w:rsidRPr="005E503C">
              <w:rPr>
                <w:lang w:val="en-US" w:eastAsia="en-US"/>
              </w:rPr>
              <w:t xml:space="preserve">generally </w:t>
            </w:r>
            <w:r w:rsidRPr="005E503C">
              <w:rPr>
                <w:lang w:val="en-US" w:eastAsia="en-US"/>
              </w:rPr>
              <w:t>entitled to a 50 per cent capital gain</w:t>
            </w:r>
            <w:r w:rsidR="00E21892" w:rsidRPr="005E503C">
              <w:rPr>
                <w:lang w:val="en-US" w:eastAsia="en-US"/>
              </w:rPr>
              <w:t>s</w:t>
            </w:r>
            <w:r w:rsidRPr="005E503C">
              <w:rPr>
                <w:lang w:val="en-US" w:eastAsia="en-US"/>
              </w:rPr>
              <w:t xml:space="preserve"> discount on capital gains that are distributed or attributed to them directly or </w:t>
            </w:r>
            <w:r w:rsidR="00BD6160" w:rsidRPr="005E503C">
              <w:rPr>
                <w:lang w:val="en-US" w:eastAsia="en-US"/>
              </w:rPr>
              <w:t xml:space="preserve">through an interposed entity </w:t>
            </w:r>
            <w:r w:rsidRPr="005E503C">
              <w:rPr>
                <w:lang w:val="en-US" w:eastAsia="en-US"/>
              </w:rPr>
              <w:t xml:space="preserve">from a </w:t>
            </w:r>
            <w:r w:rsidR="00100AF2" w:rsidRPr="005E503C">
              <w:rPr>
                <w:lang w:val="en-US" w:eastAsia="en-US"/>
              </w:rPr>
              <w:t xml:space="preserve">trust or </w:t>
            </w:r>
            <w:r w:rsidRPr="005E503C">
              <w:rPr>
                <w:lang w:val="en-US" w:eastAsia="en-US"/>
              </w:rPr>
              <w:t>MIT</w:t>
            </w:r>
            <w:r w:rsidR="00E65730" w:rsidRPr="005E503C">
              <w:rPr>
                <w:lang w:val="en-US" w:eastAsia="en-US"/>
              </w:rPr>
              <w:t xml:space="preserve"> (if the </w:t>
            </w:r>
            <w:r w:rsidR="00100AF2" w:rsidRPr="005E503C">
              <w:rPr>
                <w:lang w:val="en-US" w:eastAsia="en-US"/>
              </w:rPr>
              <w:t>trust or</w:t>
            </w:r>
            <w:r w:rsidR="00E65730" w:rsidRPr="005E503C">
              <w:rPr>
                <w:lang w:val="en-US" w:eastAsia="en-US"/>
              </w:rPr>
              <w:t xml:space="preserve"> MIT is entitled to a discount capital gain)</w:t>
            </w:r>
            <w:r w:rsidRPr="005E503C">
              <w:rPr>
                <w:lang w:val="en-US" w:eastAsia="en-US"/>
              </w:rPr>
              <w:t>.</w:t>
            </w:r>
          </w:p>
          <w:p w14:paraId="4EEAA4CA" w14:textId="2ACEDF3F" w:rsidR="00E805BC" w:rsidRPr="005E503C" w:rsidRDefault="00232C0A" w:rsidP="00BD42DB">
            <w:pPr>
              <w:pStyle w:val="tabletext"/>
              <w:rPr>
                <w:lang w:val="en-US" w:eastAsia="en-US"/>
              </w:rPr>
            </w:pPr>
            <w:r w:rsidRPr="005E503C">
              <w:rPr>
                <w:lang w:val="en-US" w:eastAsia="en-US"/>
              </w:rPr>
              <w:t>Individuals are also entitled to an additional capital gain</w:t>
            </w:r>
            <w:r w:rsidR="00BF1406" w:rsidRPr="005E503C">
              <w:rPr>
                <w:lang w:val="en-US" w:eastAsia="en-US"/>
              </w:rPr>
              <w:t>s</w:t>
            </w:r>
            <w:r w:rsidRPr="005E503C">
              <w:rPr>
                <w:lang w:val="en-US" w:eastAsia="en-US"/>
              </w:rPr>
              <w:t xml:space="preserve"> discount of up to 10 per cent on capital gains</w:t>
            </w:r>
            <w:r w:rsidR="00E805BC" w:rsidRPr="005E503C">
              <w:rPr>
                <w:lang w:val="en-US" w:eastAsia="en-US"/>
              </w:rPr>
              <w:t>:</w:t>
            </w:r>
            <w:r w:rsidR="00BD42DB" w:rsidRPr="005E503C">
              <w:rPr>
                <w:lang w:val="en-US" w:eastAsia="en-US"/>
              </w:rPr>
              <w:t xml:space="preserve"> </w:t>
            </w:r>
          </w:p>
          <w:p w14:paraId="573CA52F" w14:textId="77D0453E" w:rsidR="00E805BC" w:rsidRPr="005E503C" w:rsidRDefault="00E805BC" w:rsidP="007B22D1">
            <w:pPr>
              <w:pStyle w:val="tabledotpoint"/>
              <w:rPr>
                <w:lang w:val="en-US" w:eastAsia="en-US"/>
              </w:rPr>
            </w:pPr>
            <w:r w:rsidRPr="005E503C">
              <w:rPr>
                <w:lang w:val="en-US" w:eastAsia="en-US"/>
              </w:rPr>
              <w:t>that are</w:t>
            </w:r>
            <w:r w:rsidR="00BD42DB" w:rsidRPr="005E503C">
              <w:rPr>
                <w:lang w:val="en-US" w:eastAsia="en-US"/>
              </w:rPr>
              <w:t xml:space="preserve"> distributed or attributed to them directly or through an interposed entity from a </w:t>
            </w:r>
            <w:r w:rsidR="00043191" w:rsidRPr="005E503C">
              <w:rPr>
                <w:lang w:val="en-US" w:eastAsia="en-US"/>
              </w:rPr>
              <w:t xml:space="preserve">trust or </w:t>
            </w:r>
            <w:r w:rsidR="00BD42DB" w:rsidRPr="005E503C">
              <w:rPr>
                <w:lang w:val="en-US" w:eastAsia="en-US"/>
              </w:rPr>
              <w:t>MIT</w:t>
            </w:r>
            <w:r w:rsidRPr="005E503C">
              <w:rPr>
                <w:lang w:val="en-US" w:eastAsia="en-US"/>
              </w:rPr>
              <w:t>; and</w:t>
            </w:r>
          </w:p>
          <w:p w14:paraId="57681A83" w14:textId="5D573F44" w:rsidR="00E805BC" w:rsidRPr="005E503C" w:rsidRDefault="00232C0A" w:rsidP="007B22D1">
            <w:pPr>
              <w:pStyle w:val="tabledotpoint"/>
              <w:rPr>
                <w:lang w:val="en-US" w:eastAsia="en-US"/>
              </w:rPr>
            </w:pPr>
            <w:proofErr w:type="gramStart"/>
            <w:r w:rsidRPr="005E503C">
              <w:rPr>
                <w:lang w:val="en-US" w:eastAsia="en-US"/>
              </w:rPr>
              <w:t>to</w:t>
            </w:r>
            <w:proofErr w:type="gramEnd"/>
            <w:r w:rsidRPr="005E503C">
              <w:rPr>
                <w:lang w:val="en-US" w:eastAsia="en-US"/>
              </w:rPr>
              <w:t xml:space="preserve"> the extent they are attribut</w:t>
            </w:r>
            <w:r w:rsidR="00D90F9D" w:rsidRPr="005E503C">
              <w:rPr>
                <w:lang w:val="en-US" w:eastAsia="en-US"/>
              </w:rPr>
              <w:t xml:space="preserve">able to capital gains on </w:t>
            </w:r>
            <w:r w:rsidR="00DB373B" w:rsidRPr="005E503C">
              <w:rPr>
                <w:lang w:val="en-US" w:eastAsia="en-US"/>
              </w:rPr>
              <w:t xml:space="preserve">dwellings used to provide </w:t>
            </w:r>
            <w:r w:rsidR="00D90F9D" w:rsidRPr="005E503C">
              <w:rPr>
                <w:lang w:val="en-US" w:eastAsia="en-US"/>
              </w:rPr>
              <w:t>affordable housing</w:t>
            </w:r>
            <w:r w:rsidRPr="005E503C">
              <w:rPr>
                <w:lang w:val="en-US" w:eastAsia="en-US"/>
              </w:rPr>
              <w:t>.</w:t>
            </w:r>
          </w:p>
          <w:p w14:paraId="3A4DF549" w14:textId="7722FA34" w:rsidR="00C67555" w:rsidRPr="005E503C" w:rsidRDefault="00081677" w:rsidP="007B22D1">
            <w:pPr>
              <w:pStyle w:val="tabledotpoint"/>
              <w:numPr>
                <w:ilvl w:val="0"/>
                <w:numId w:val="0"/>
              </w:numPr>
              <w:rPr>
                <w:lang w:val="en-US" w:eastAsia="en-US"/>
              </w:rPr>
            </w:pPr>
            <w:r w:rsidRPr="005E503C">
              <w:rPr>
                <w:lang w:val="en-US" w:eastAsia="en-US"/>
              </w:rPr>
              <w:t xml:space="preserve">However, the </w:t>
            </w:r>
            <w:r w:rsidR="00043191" w:rsidRPr="005E503C">
              <w:rPr>
                <w:lang w:val="en-US" w:eastAsia="en-US"/>
              </w:rPr>
              <w:t xml:space="preserve">trust or </w:t>
            </w:r>
            <w:r w:rsidRPr="005E503C">
              <w:rPr>
                <w:lang w:val="en-US" w:eastAsia="en-US"/>
              </w:rPr>
              <w:t xml:space="preserve">MIT must have </w:t>
            </w:r>
            <w:r w:rsidR="00DB373B" w:rsidRPr="005E503C">
              <w:rPr>
                <w:lang w:val="en-US" w:eastAsia="en-US"/>
              </w:rPr>
              <w:t xml:space="preserve">used the dwelling to provide affordable housing for a period or periods </w:t>
            </w:r>
            <w:proofErr w:type="spellStart"/>
            <w:r w:rsidR="00DB373B" w:rsidRPr="005E503C">
              <w:rPr>
                <w:lang w:val="en-US" w:eastAsia="en-US"/>
              </w:rPr>
              <w:t>total</w:t>
            </w:r>
            <w:r w:rsidR="00E805BC" w:rsidRPr="005E503C">
              <w:rPr>
                <w:lang w:val="en-US" w:eastAsia="en-US"/>
              </w:rPr>
              <w:t>l</w:t>
            </w:r>
            <w:r w:rsidR="00DB373B" w:rsidRPr="005E503C">
              <w:rPr>
                <w:lang w:val="en-US" w:eastAsia="en-US"/>
              </w:rPr>
              <w:t>ing</w:t>
            </w:r>
            <w:proofErr w:type="spellEnd"/>
            <w:r w:rsidR="00DB373B" w:rsidRPr="005E503C">
              <w:rPr>
                <w:lang w:val="en-US" w:eastAsia="en-US"/>
              </w:rPr>
              <w:t xml:space="preserve"> at least </w:t>
            </w:r>
            <w:r w:rsidR="00AE520B" w:rsidRPr="005E503C">
              <w:rPr>
                <w:lang w:val="en-US" w:eastAsia="en-US"/>
              </w:rPr>
              <w:t>three</w:t>
            </w:r>
            <w:r w:rsidR="00DB373B" w:rsidRPr="005E503C">
              <w:rPr>
                <w:lang w:val="en-US" w:eastAsia="en-US"/>
              </w:rPr>
              <w:t xml:space="preserve"> years.</w:t>
            </w:r>
          </w:p>
          <w:p w14:paraId="74448198" w14:textId="4170FE51" w:rsidR="000C7942" w:rsidRPr="005E503C" w:rsidRDefault="00C67555" w:rsidP="00A731F3">
            <w:pPr>
              <w:pStyle w:val="tabletext"/>
              <w:rPr>
                <w:lang w:val="en-US" w:eastAsia="en-US"/>
              </w:rPr>
            </w:pPr>
            <w:r w:rsidRPr="005E503C">
              <w:rPr>
                <w:lang w:val="en-US" w:eastAsia="en-US"/>
              </w:rPr>
              <w:t xml:space="preserve">The interposed entity or trust may be a trust or partnership (other than a public </w:t>
            </w:r>
            <w:r w:rsidR="00A731F3" w:rsidRPr="005E503C">
              <w:rPr>
                <w:lang w:val="en-US" w:eastAsia="en-US"/>
              </w:rPr>
              <w:t>unit</w:t>
            </w:r>
            <w:r w:rsidRPr="005E503C">
              <w:rPr>
                <w:lang w:val="en-US" w:eastAsia="en-US"/>
              </w:rPr>
              <w:t xml:space="preserve"> trust or superannuation fund). </w:t>
            </w:r>
          </w:p>
        </w:tc>
        <w:tc>
          <w:tcPr>
            <w:tcW w:w="3276" w:type="dxa"/>
          </w:tcPr>
          <w:p w14:paraId="032C98E3" w14:textId="79E4CBCF" w:rsidR="000C7942" w:rsidRPr="005E503C" w:rsidRDefault="00232C0A" w:rsidP="00EB685E">
            <w:pPr>
              <w:pStyle w:val="tabletext"/>
              <w:rPr>
                <w:lang w:val="en-US" w:eastAsia="en-US"/>
              </w:rPr>
            </w:pPr>
            <w:r w:rsidRPr="005E503C">
              <w:rPr>
                <w:lang w:val="en-US" w:eastAsia="en-US"/>
              </w:rPr>
              <w:t xml:space="preserve">Individuals are </w:t>
            </w:r>
            <w:r w:rsidR="00CF1232" w:rsidRPr="005E503C">
              <w:rPr>
                <w:lang w:val="en-US" w:eastAsia="en-US"/>
              </w:rPr>
              <w:t xml:space="preserve">generally </w:t>
            </w:r>
            <w:r w:rsidRPr="005E503C">
              <w:rPr>
                <w:lang w:val="en-US" w:eastAsia="en-US"/>
              </w:rPr>
              <w:t>entitled to a 50 per cent capital gain</w:t>
            </w:r>
            <w:r w:rsidR="00E21892" w:rsidRPr="005E503C">
              <w:rPr>
                <w:lang w:val="en-US" w:eastAsia="en-US"/>
              </w:rPr>
              <w:t>s</w:t>
            </w:r>
            <w:r w:rsidRPr="005E503C">
              <w:rPr>
                <w:lang w:val="en-US" w:eastAsia="en-US"/>
              </w:rPr>
              <w:t xml:space="preserve"> discount on capital gains that are distributed or attributed to them directly or </w:t>
            </w:r>
            <w:r w:rsidR="00BD6160" w:rsidRPr="005E503C">
              <w:rPr>
                <w:lang w:val="en-US" w:eastAsia="en-US"/>
              </w:rPr>
              <w:t xml:space="preserve">through an interposed entity </w:t>
            </w:r>
            <w:r w:rsidRPr="005E503C">
              <w:rPr>
                <w:lang w:val="en-US" w:eastAsia="en-US"/>
              </w:rPr>
              <w:t xml:space="preserve">from a </w:t>
            </w:r>
            <w:r w:rsidR="00CF0083" w:rsidRPr="005E503C">
              <w:rPr>
                <w:lang w:val="en-US" w:eastAsia="en-US"/>
              </w:rPr>
              <w:t xml:space="preserve">trust or </w:t>
            </w:r>
            <w:r w:rsidRPr="005E503C">
              <w:rPr>
                <w:lang w:val="en-US" w:eastAsia="en-US"/>
              </w:rPr>
              <w:t>MIT</w:t>
            </w:r>
            <w:r w:rsidR="00E65730" w:rsidRPr="005E503C">
              <w:rPr>
                <w:lang w:val="en-US" w:eastAsia="en-US"/>
              </w:rPr>
              <w:t xml:space="preserve"> (if the </w:t>
            </w:r>
            <w:r w:rsidR="00CF0083" w:rsidRPr="005E503C">
              <w:rPr>
                <w:lang w:val="en-US" w:eastAsia="en-US"/>
              </w:rPr>
              <w:t xml:space="preserve">trust or </w:t>
            </w:r>
            <w:r w:rsidR="00E65730" w:rsidRPr="005E503C">
              <w:rPr>
                <w:lang w:val="en-US" w:eastAsia="en-US"/>
              </w:rPr>
              <w:t>MIT is entitled to a discount capital gain)</w:t>
            </w:r>
            <w:r w:rsidRPr="005E503C">
              <w:rPr>
                <w:lang w:val="en-US" w:eastAsia="en-US"/>
              </w:rPr>
              <w:t>.</w:t>
            </w:r>
          </w:p>
        </w:tc>
      </w:tr>
      <w:tr w:rsidR="002E2093" w:rsidRPr="005E503C" w14:paraId="1B6B388C" w14:textId="77777777" w:rsidTr="00A16C4B">
        <w:tc>
          <w:tcPr>
            <w:tcW w:w="6551" w:type="dxa"/>
            <w:gridSpan w:val="2"/>
          </w:tcPr>
          <w:p w14:paraId="4DE31360" w14:textId="3EA5641C" w:rsidR="002E2093" w:rsidRPr="005E503C" w:rsidRDefault="001674F4" w:rsidP="001674F4">
            <w:pPr>
              <w:pStyle w:val="tabletext"/>
              <w:jc w:val="center"/>
              <w:rPr>
                <w:b/>
                <w:lang w:val="en-US" w:eastAsia="en-US"/>
              </w:rPr>
            </w:pPr>
            <w:r w:rsidRPr="005E503C">
              <w:rPr>
                <w:b/>
                <w:lang w:val="en-US" w:eastAsia="en-US"/>
              </w:rPr>
              <w:t>Providing a</w:t>
            </w:r>
            <w:r w:rsidR="002E2093" w:rsidRPr="005E503C">
              <w:rPr>
                <w:b/>
                <w:lang w:val="en-US" w:eastAsia="en-US"/>
              </w:rPr>
              <w:t>ffordable housing</w:t>
            </w:r>
          </w:p>
        </w:tc>
      </w:tr>
      <w:tr w:rsidR="000C7942" w:rsidRPr="005E503C" w14:paraId="73EB7C41" w14:textId="77777777" w:rsidTr="005E44CC">
        <w:tc>
          <w:tcPr>
            <w:tcW w:w="3275" w:type="dxa"/>
          </w:tcPr>
          <w:p w14:paraId="48B9CE8E" w14:textId="77777777" w:rsidR="00836CFE" w:rsidRPr="005E503C" w:rsidRDefault="006A2268" w:rsidP="00836CFE">
            <w:pPr>
              <w:pStyle w:val="tabletext"/>
              <w:rPr>
                <w:lang w:val="en-US" w:eastAsia="en-US"/>
              </w:rPr>
            </w:pPr>
            <w:r w:rsidRPr="005E503C">
              <w:rPr>
                <w:lang w:val="en-US" w:eastAsia="en-US"/>
              </w:rPr>
              <w:t xml:space="preserve">A dwelling is used to provide affordable housing if the following </w:t>
            </w:r>
            <w:r w:rsidRPr="005E503C">
              <w:rPr>
                <w:lang w:val="en-US" w:eastAsia="en-US"/>
              </w:rPr>
              <w:lastRenderedPageBreak/>
              <w:t>conditions are satisfied:</w:t>
            </w:r>
          </w:p>
          <w:p w14:paraId="1330FEFB" w14:textId="6EEEA633" w:rsidR="006A2268" w:rsidRPr="005E503C" w:rsidRDefault="006A2268">
            <w:pPr>
              <w:pStyle w:val="tabledotpoint"/>
              <w:rPr>
                <w:lang w:val="en-US" w:eastAsia="en-US"/>
              </w:rPr>
            </w:pPr>
            <w:r w:rsidRPr="005E503C">
              <w:rPr>
                <w:lang w:val="en-US" w:eastAsia="en-US"/>
              </w:rPr>
              <w:t xml:space="preserve">residential premises condition </w:t>
            </w:r>
            <w:r w:rsidR="00A72B2D" w:rsidRPr="005E503C">
              <w:rPr>
                <w:lang w:val="en-US" w:eastAsia="en-US"/>
              </w:rPr>
              <w:t>—</w:t>
            </w:r>
            <w:r w:rsidRPr="005E503C">
              <w:rPr>
                <w:lang w:val="en-US" w:eastAsia="en-US"/>
              </w:rPr>
              <w:t xml:space="preserve"> the dwelling is residential premises</w:t>
            </w:r>
            <w:r w:rsidR="004A7913" w:rsidRPr="005E503C">
              <w:rPr>
                <w:lang w:val="en-US" w:eastAsia="en-US"/>
              </w:rPr>
              <w:t xml:space="preserve"> that is not commercial residential premises</w:t>
            </w:r>
            <w:r w:rsidR="00836CFE" w:rsidRPr="005E503C">
              <w:rPr>
                <w:lang w:val="en-US" w:eastAsia="en-US"/>
              </w:rPr>
              <w:t>;</w:t>
            </w:r>
          </w:p>
          <w:p w14:paraId="59B28F04" w14:textId="27CC6F45" w:rsidR="006A2268" w:rsidRPr="005E503C" w:rsidRDefault="006A2268">
            <w:pPr>
              <w:pStyle w:val="tabledotpoint"/>
              <w:rPr>
                <w:lang w:val="en-US" w:eastAsia="en-US"/>
              </w:rPr>
            </w:pPr>
            <w:r w:rsidRPr="005E503C">
              <w:rPr>
                <w:lang w:val="en-US" w:eastAsia="en-US"/>
              </w:rPr>
              <w:t>property management condition</w:t>
            </w:r>
            <w:r w:rsidR="00922335" w:rsidRPr="005E503C">
              <w:rPr>
                <w:lang w:val="en-US" w:eastAsia="en-US"/>
              </w:rPr>
              <w:t> </w:t>
            </w:r>
            <w:r w:rsidRPr="005E503C">
              <w:rPr>
                <w:lang w:val="en-US" w:eastAsia="en-US"/>
              </w:rPr>
              <w:t xml:space="preserve">— the tenancy of the dwelling or its occupancy is exclusively managed by an eligible community housing provider; </w:t>
            </w:r>
          </w:p>
          <w:p w14:paraId="32257042" w14:textId="26B7CD08" w:rsidR="006A2268" w:rsidRPr="005E503C" w:rsidRDefault="006A2268">
            <w:pPr>
              <w:pStyle w:val="tabledotpoint"/>
              <w:rPr>
                <w:lang w:val="en-US" w:eastAsia="en-US"/>
              </w:rPr>
            </w:pPr>
            <w:r w:rsidRPr="005E503C">
              <w:rPr>
                <w:lang w:val="en-US" w:eastAsia="en-US"/>
              </w:rPr>
              <w:t xml:space="preserve">providing affordable housing certification condition — the eligible community housing provider has given each entity that holds an ownership interest in the dwelling certification that the dwelling was used to provide affordable housing; </w:t>
            </w:r>
          </w:p>
          <w:p w14:paraId="61506BB7" w14:textId="29B38783" w:rsidR="006A2268" w:rsidRPr="005E503C" w:rsidRDefault="00A341DB">
            <w:pPr>
              <w:pStyle w:val="tabledotpoint"/>
              <w:rPr>
                <w:lang w:val="en-US" w:eastAsia="en-US"/>
              </w:rPr>
            </w:pPr>
            <w:r w:rsidRPr="005E503C">
              <w:rPr>
                <w:lang w:val="en-US" w:eastAsia="en-US"/>
              </w:rPr>
              <w:t>National Rental Affordability Scheme (</w:t>
            </w:r>
            <w:r w:rsidR="006A2268" w:rsidRPr="005E503C">
              <w:rPr>
                <w:lang w:val="en-US" w:eastAsia="en-US"/>
              </w:rPr>
              <w:t>NRAS</w:t>
            </w:r>
            <w:r w:rsidRPr="005E503C">
              <w:rPr>
                <w:lang w:val="en-US" w:eastAsia="en-US"/>
              </w:rPr>
              <w:t>)</w:t>
            </w:r>
            <w:r w:rsidR="006A2268" w:rsidRPr="005E503C">
              <w:rPr>
                <w:lang w:val="en-US" w:eastAsia="en-US"/>
              </w:rPr>
              <w:t xml:space="preserve"> condition — no entity </w:t>
            </w:r>
            <w:r w:rsidR="00BF1406" w:rsidRPr="005E503C">
              <w:rPr>
                <w:lang w:val="en-US" w:eastAsia="en-US"/>
              </w:rPr>
              <w:t xml:space="preserve">that has an ownership interest in the dwelling </w:t>
            </w:r>
            <w:r w:rsidR="006A2268" w:rsidRPr="005E503C">
              <w:rPr>
                <w:lang w:val="en-US" w:eastAsia="en-US"/>
              </w:rPr>
              <w:t>is entitled to receive an NRAS incentive for the NRAS year; and</w:t>
            </w:r>
          </w:p>
          <w:p w14:paraId="6132849C" w14:textId="45DD49E7" w:rsidR="006A2268" w:rsidRPr="005E503C" w:rsidRDefault="006A2268" w:rsidP="00A341DB">
            <w:pPr>
              <w:pStyle w:val="tabledotpoint"/>
              <w:rPr>
                <w:lang w:val="en-US" w:eastAsia="en-US"/>
              </w:rPr>
            </w:pPr>
            <w:r w:rsidRPr="005E503C">
              <w:rPr>
                <w:lang w:val="en-US" w:eastAsia="en-US"/>
              </w:rPr>
              <w:t xml:space="preserve">MIT membership condition </w:t>
            </w:r>
            <w:r w:rsidR="008717B8" w:rsidRPr="005E503C">
              <w:t>—</w:t>
            </w:r>
            <w:r w:rsidRPr="005E503C">
              <w:rPr>
                <w:lang w:val="en-US" w:eastAsia="en-US"/>
              </w:rPr>
              <w:t xml:space="preserve"> if the ownership interest in the dwelling is owned by a MIT the tenant does not have an interest in the MIT that passes the non</w:t>
            </w:r>
            <w:r w:rsidR="00A341DB" w:rsidRPr="005E503C">
              <w:rPr>
                <w:lang w:val="en-US" w:eastAsia="en-US"/>
              </w:rPr>
              <w:noBreakHyphen/>
            </w:r>
            <w:r w:rsidRPr="005E503C">
              <w:rPr>
                <w:lang w:val="en-US" w:eastAsia="en-US"/>
              </w:rPr>
              <w:t>portfolio test.</w:t>
            </w:r>
          </w:p>
        </w:tc>
        <w:tc>
          <w:tcPr>
            <w:tcW w:w="3276" w:type="dxa"/>
          </w:tcPr>
          <w:p w14:paraId="6A164895" w14:textId="4500961E" w:rsidR="000C7942" w:rsidRPr="005E503C" w:rsidRDefault="00836CFE" w:rsidP="005E44CC">
            <w:pPr>
              <w:pStyle w:val="tabletext"/>
              <w:rPr>
                <w:lang w:val="en-US" w:eastAsia="en-US"/>
              </w:rPr>
            </w:pPr>
            <w:r w:rsidRPr="005E503C">
              <w:rPr>
                <w:lang w:val="en-US" w:eastAsia="en-US"/>
              </w:rPr>
              <w:lastRenderedPageBreak/>
              <w:t>Not applicable.</w:t>
            </w:r>
          </w:p>
        </w:tc>
      </w:tr>
    </w:tbl>
    <w:p w14:paraId="6B88949A" w14:textId="77777777" w:rsidR="00B17774" w:rsidRPr="005E503C" w:rsidRDefault="00B17774" w:rsidP="00B17774">
      <w:pPr>
        <w:pStyle w:val="Heading2"/>
      </w:pPr>
      <w:r w:rsidRPr="005E503C">
        <w:lastRenderedPageBreak/>
        <w:t>Detailed explanation of new law</w:t>
      </w:r>
    </w:p>
    <w:p w14:paraId="697C3B42" w14:textId="6A93839B" w:rsidR="00122529" w:rsidRPr="005E503C" w:rsidRDefault="00FE0BB1" w:rsidP="00C731CB">
      <w:pPr>
        <w:pStyle w:val="base-text-paragraph"/>
        <w:numPr>
          <w:ilvl w:val="1"/>
          <w:numId w:val="4"/>
        </w:numPr>
      </w:pPr>
      <w:r w:rsidRPr="005E503C">
        <w:t xml:space="preserve">The additional affordable housing </w:t>
      </w:r>
      <w:r w:rsidR="00DA65FE" w:rsidRPr="005E503C">
        <w:t>capital gains</w:t>
      </w:r>
      <w:r w:rsidRPr="005E503C">
        <w:t xml:space="preserve"> discount may apply </w:t>
      </w:r>
      <w:r w:rsidR="00122529" w:rsidRPr="005E503C">
        <w:t>to reduce a</w:t>
      </w:r>
      <w:r w:rsidR="00DE5F5D" w:rsidRPr="005E503C">
        <w:t>n individual’s</w:t>
      </w:r>
      <w:r w:rsidR="00122529" w:rsidRPr="005E503C">
        <w:t xml:space="preserve"> capital gain from </w:t>
      </w:r>
      <w:r w:rsidRPr="005E503C">
        <w:t>a CGT event occur</w:t>
      </w:r>
      <w:r w:rsidR="00DE5F5D" w:rsidRPr="005E503C">
        <w:t>ring</w:t>
      </w:r>
      <w:r w:rsidRPr="005E503C">
        <w:t xml:space="preserve"> to a dwelling</w:t>
      </w:r>
      <w:r w:rsidR="00BC33FF" w:rsidRPr="005E503C">
        <w:t xml:space="preserve"> that was either owned by the individual or a </w:t>
      </w:r>
      <w:r w:rsidR="002C6771" w:rsidRPr="005E503C">
        <w:t xml:space="preserve">trustee of </w:t>
      </w:r>
      <w:r w:rsidR="00300098" w:rsidRPr="005E503C">
        <w:t xml:space="preserve">certain types of </w:t>
      </w:r>
      <w:r w:rsidR="00BC33FF" w:rsidRPr="005E503C">
        <w:t>trust</w:t>
      </w:r>
      <w:r w:rsidR="00300098" w:rsidRPr="005E503C">
        <w:t>s</w:t>
      </w:r>
      <w:r w:rsidR="00DE5F5D" w:rsidRPr="005E503C">
        <w:t xml:space="preserve"> in which </w:t>
      </w:r>
      <w:r w:rsidR="00946731" w:rsidRPr="005E503C">
        <w:t xml:space="preserve">the individual is </w:t>
      </w:r>
      <w:r w:rsidR="00DE5F5D" w:rsidRPr="005E503C">
        <w:t>a beneficiary</w:t>
      </w:r>
      <w:r w:rsidR="008D778F" w:rsidRPr="005E503C">
        <w:t xml:space="preserve"> </w:t>
      </w:r>
      <w:r w:rsidR="00383D91" w:rsidRPr="005E503C">
        <w:t>(</w:t>
      </w:r>
      <w:r w:rsidR="008D778F" w:rsidRPr="005E503C">
        <w:t xml:space="preserve">directly or </w:t>
      </w:r>
      <w:r w:rsidR="00F06CDC" w:rsidRPr="005E503C">
        <w:t>through a partnership or a trust</w:t>
      </w:r>
      <w:r w:rsidR="00300098" w:rsidRPr="005E503C">
        <w:t xml:space="preserve"> of any of those types</w:t>
      </w:r>
      <w:r w:rsidR="00383D91" w:rsidRPr="005E503C">
        <w:t>)</w:t>
      </w:r>
      <w:r w:rsidRPr="005E503C">
        <w:t xml:space="preserve">. </w:t>
      </w:r>
      <w:r w:rsidR="00DE5F5D" w:rsidRPr="005E503C">
        <w:t>If the individual is</w:t>
      </w:r>
      <w:r w:rsidR="00122529" w:rsidRPr="005E503C">
        <w:t xml:space="preserve"> </w:t>
      </w:r>
      <w:r w:rsidR="00AC66C9" w:rsidRPr="005E503C">
        <w:t>eligib</w:t>
      </w:r>
      <w:r w:rsidR="00DE5F5D" w:rsidRPr="005E503C">
        <w:t>le</w:t>
      </w:r>
      <w:r w:rsidR="00AC66C9" w:rsidRPr="005E503C">
        <w:t xml:space="preserve"> for </w:t>
      </w:r>
      <w:r w:rsidR="00122529" w:rsidRPr="005E503C">
        <w:t>an additional affordable housing capital gain</w:t>
      </w:r>
      <w:r w:rsidR="002E7E1A" w:rsidRPr="005E503C">
        <w:t xml:space="preserve">s discount it is applied to reduce the capital gain </w:t>
      </w:r>
      <w:r w:rsidR="00122529" w:rsidRPr="005E503C">
        <w:t>in working out the</w:t>
      </w:r>
      <w:r w:rsidR="00DE5F5D" w:rsidRPr="005E503C">
        <w:t>ir</w:t>
      </w:r>
      <w:r w:rsidR="00122529" w:rsidRPr="005E503C">
        <w:t xml:space="preserve"> net capital gain</w:t>
      </w:r>
      <w:r w:rsidR="002E7E1A" w:rsidRPr="005E503C">
        <w:t xml:space="preserve"> for the income year</w:t>
      </w:r>
      <w:r w:rsidR="00122529" w:rsidRPr="005E503C">
        <w:t>.</w:t>
      </w:r>
    </w:p>
    <w:p w14:paraId="1E242D58" w14:textId="78538AD4" w:rsidR="00EA4272" w:rsidRPr="005E503C" w:rsidRDefault="004F1873" w:rsidP="0018230F">
      <w:pPr>
        <w:pStyle w:val="Heading3"/>
      </w:pPr>
      <w:r w:rsidRPr="005E503C">
        <w:lastRenderedPageBreak/>
        <w:t>Eligibility for</w:t>
      </w:r>
      <w:r w:rsidR="00A11DF6" w:rsidRPr="005E503C">
        <w:t xml:space="preserve"> </w:t>
      </w:r>
      <w:r w:rsidR="00E229B2" w:rsidRPr="005E503C">
        <w:t>an</w:t>
      </w:r>
      <w:r w:rsidR="00A11DF6" w:rsidRPr="005E503C">
        <w:t xml:space="preserve"> a</w:t>
      </w:r>
      <w:r w:rsidR="0018230F" w:rsidRPr="005E503C">
        <w:t xml:space="preserve">dditional </w:t>
      </w:r>
      <w:r w:rsidR="00122529" w:rsidRPr="005E503C">
        <w:t>affordable housing</w:t>
      </w:r>
      <w:r w:rsidR="0018230F" w:rsidRPr="005E503C">
        <w:t xml:space="preserve"> </w:t>
      </w:r>
      <w:r w:rsidR="00576871" w:rsidRPr="005E503C">
        <w:t xml:space="preserve">capital gains </w:t>
      </w:r>
      <w:r w:rsidR="0018230F" w:rsidRPr="005E503C">
        <w:t xml:space="preserve">discount </w:t>
      </w:r>
    </w:p>
    <w:p w14:paraId="468E0E36" w14:textId="28C68588" w:rsidR="006D5C97" w:rsidRPr="005E503C" w:rsidRDefault="006D5C97" w:rsidP="00C731CB">
      <w:pPr>
        <w:pStyle w:val="base-text-paragraph"/>
        <w:numPr>
          <w:ilvl w:val="1"/>
          <w:numId w:val="4"/>
        </w:numPr>
      </w:pPr>
      <w:r w:rsidRPr="005E503C">
        <w:t xml:space="preserve">The additional affordable housing </w:t>
      </w:r>
      <w:r w:rsidR="00DA65FE" w:rsidRPr="005E503C">
        <w:t>capital gains</w:t>
      </w:r>
      <w:r w:rsidRPr="005E503C">
        <w:t xml:space="preserve"> discount </w:t>
      </w:r>
      <w:r w:rsidR="003977BE" w:rsidRPr="005E503C">
        <w:t>applies</w:t>
      </w:r>
      <w:r w:rsidRPr="005E503C">
        <w:t xml:space="preserve"> separately to each capital gain </w:t>
      </w:r>
      <w:r w:rsidR="003977BE" w:rsidRPr="005E503C">
        <w:t xml:space="preserve">from affordable housing </w:t>
      </w:r>
      <w:r w:rsidRPr="005E503C">
        <w:t>made by an individual</w:t>
      </w:r>
      <w:r w:rsidR="00587785" w:rsidRPr="005E503C">
        <w:t>,</w:t>
      </w:r>
      <w:r w:rsidRPr="005E503C">
        <w:t xml:space="preserve"> or distributed </w:t>
      </w:r>
      <w:r w:rsidR="00C143BE" w:rsidRPr="005E503C">
        <w:t xml:space="preserve">or attributed </w:t>
      </w:r>
      <w:r w:rsidRPr="005E503C">
        <w:t xml:space="preserve">to an individual </w:t>
      </w:r>
      <w:r w:rsidR="00C143BE" w:rsidRPr="005E503C">
        <w:t>by certain trusts</w:t>
      </w:r>
      <w:r w:rsidR="00587785" w:rsidRPr="005E503C">
        <w:t>,</w:t>
      </w:r>
      <w:r w:rsidR="00C143BE" w:rsidRPr="005E503C">
        <w:t xml:space="preserve"> </w:t>
      </w:r>
      <w:r w:rsidRPr="005E503C">
        <w:t>if eligibility conditions are met.</w:t>
      </w:r>
    </w:p>
    <w:p w14:paraId="6CEC517F" w14:textId="7429581F" w:rsidR="00EA4272" w:rsidRPr="005E503C" w:rsidRDefault="0028681E" w:rsidP="00C731CB">
      <w:pPr>
        <w:pStyle w:val="base-text-paragraph"/>
        <w:numPr>
          <w:ilvl w:val="1"/>
          <w:numId w:val="4"/>
        </w:numPr>
      </w:pPr>
      <w:r w:rsidRPr="005E503C">
        <w:t xml:space="preserve">An individual </w:t>
      </w:r>
      <w:r w:rsidR="00E229B2" w:rsidRPr="005E503C">
        <w:t xml:space="preserve">is eligible for an additional affordable housing </w:t>
      </w:r>
      <w:r w:rsidR="006A4ED8" w:rsidRPr="005E503C">
        <w:t>capital gains</w:t>
      </w:r>
      <w:r w:rsidR="00E229B2" w:rsidRPr="005E503C">
        <w:t xml:space="preserve"> discount </w:t>
      </w:r>
      <w:r w:rsidR="008D2229" w:rsidRPr="005E503C">
        <w:t xml:space="preserve">(direct </w:t>
      </w:r>
      <w:r w:rsidR="00C143BE" w:rsidRPr="005E503C">
        <w:t>investment</w:t>
      </w:r>
      <w:r w:rsidR="008D2229" w:rsidRPr="005E503C">
        <w:t xml:space="preserve">) </w:t>
      </w:r>
      <w:r w:rsidR="00AC3EF4" w:rsidRPr="005E503C">
        <w:t xml:space="preserve">on a capital gain </w:t>
      </w:r>
      <w:r w:rsidR="006F2C60" w:rsidRPr="005E503C">
        <w:t>if</w:t>
      </w:r>
      <w:r w:rsidR="00F27AE9" w:rsidRPr="005E503C">
        <w:t xml:space="preserve"> they</w:t>
      </w:r>
      <w:r w:rsidR="006F2C60" w:rsidRPr="005E503C">
        <w:t>:</w:t>
      </w:r>
    </w:p>
    <w:p w14:paraId="03AAFB39" w14:textId="2CB679A5" w:rsidR="006F2C60" w:rsidRPr="005E503C" w:rsidRDefault="00F27AE9" w:rsidP="006F2C60">
      <w:pPr>
        <w:pStyle w:val="dotpoint"/>
      </w:pPr>
      <w:r w:rsidRPr="005E503C">
        <w:t xml:space="preserve">make a discount capital gain from a CGT event happening in relation to a CGT asset </w:t>
      </w:r>
      <w:r w:rsidR="006A4ED8" w:rsidRPr="005E503C">
        <w:t>that is th</w:t>
      </w:r>
      <w:r w:rsidR="00C475C9" w:rsidRPr="005E503C">
        <w:t xml:space="preserve">eir </w:t>
      </w:r>
      <w:r w:rsidRPr="005E503C">
        <w:t>ownership interest in a dwelling</w:t>
      </w:r>
      <w:r w:rsidR="0099131D" w:rsidRPr="005E503C">
        <w:t>; and</w:t>
      </w:r>
    </w:p>
    <w:p w14:paraId="46EFD67E" w14:textId="55921999" w:rsidR="00F27AE9" w:rsidRPr="005E503C" w:rsidRDefault="00F27AE9" w:rsidP="00984EFB">
      <w:pPr>
        <w:pStyle w:val="dotpoint"/>
        <w:keepNext/>
      </w:pPr>
      <w:proofErr w:type="gramStart"/>
      <w:r w:rsidRPr="005E503C">
        <w:t>used</w:t>
      </w:r>
      <w:proofErr w:type="gramEnd"/>
      <w:r w:rsidRPr="005E503C">
        <w:t xml:space="preserve"> the dwelling to provide affordable housing for at least three years</w:t>
      </w:r>
      <w:r w:rsidR="0099131D" w:rsidRPr="005E503C">
        <w:t xml:space="preserve"> (1095 days</w:t>
      </w:r>
      <w:r w:rsidRPr="005E503C" w:rsidDel="0099131D">
        <w:t>)</w:t>
      </w:r>
      <w:r w:rsidR="001C2B54" w:rsidRPr="005E503C">
        <w:t xml:space="preserve"> which may be aggregate usage</w:t>
      </w:r>
      <w:r w:rsidR="0099131D" w:rsidRPr="005E503C">
        <w:t xml:space="preserve"> over different periods.</w:t>
      </w:r>
    </w:p>
    <w:p w14:paraId="3BF2589C" w14:textId="1698CF48" w:rsidR="004E7E87" w:rsidRPr="005E503C" w:rsidRDefault="004E7E87" w:rsidP="00984EFB">
      <w:pPr>
        <w:pStyle w:val="base-text-paragraphnonumbers"/>
        <w:keepNext/>
      </w:pPr>
      <w:r w:rsidRPr="005E503C">
        <w:rPr>
          <w:rStyle w:val="Referencingstyle"/>
        </w:rPr>
        <w:t xml:space="preserve">[Schedule </w:t>
      </w:r>
      <w:r w:rsidR="000A09D4" w:rsidRPr="005E503C">
        <w:rPr>
          <w:rStyle w:val="Referencingstyle"/>
        </w:rPr>
        <w:t>1</w:t>
      </w:r>
      <w:r w:rsidRPr="005E503C">
        <w:rPr>
          <w:rStyle w:val="Referencingstyle"/>
        </w:rPr>
        <w:t xml:space="preserve">, item </w:t>
      </w:r>
      <w:r w:rsidR="000A09D4" w:rsidRPr="005E503C">
        <w:rPr>
          <w:rStyle w:val="Referencingstyle"/>
        </w:rPr>
        <w:t>2</w:t>
      </w:r>
      <w:r w:rsidRPr="005E503C">
        <w:rPr>
          <w:rStyle w:val="Referencingstyle"/>
        </w:rPr>
        <w:t>, subsection 115</w:t>
      </w:r>
      <w:r w:rsidR="00D61A16" w:rsidRPr="005E503C">
        <w:rPr>
          <w:rStyle w:val="Referencingstyle"/>
        </w:rPr>
        <w:noBreakHyphen/>
      </w:r>
      <w:proofErr w:type="gramStart"/>
      <w:r w:rsidRPr="005E503C">
        <w:rPr>
          <w:rStyle w:val="Referencingstyle"/>
        </w:rPr>
        <w:t>125(</w:t>
      </w:r>
      <w:proofErr w:type="gramEnd"/>
      <w:r w:rsidRPr="005E503C">
        <w:rPr>
          <w:rStyle w:val="Referencingstyle"/>
        </w:rPr>
        <w:t>2)]</w:t>
      </w:r>
    </w:p>
    <w:p w14:paraId="4D9E4EA3" w14:textId="6F658854" w:rsidR="0018230F" w:rsidRPr="005E503C" w:rsidRDefault="006F2C60" w:rsidP="00C731CB">
      <w:pPr>
        <w:pStyle w:val="base-text-paragraph"/>
        <w:numPr>
          <w:ilvl w:val="1"/>
          <w:numId w:val="4"/>
        </w:numPr>
      </w:pPr>
      <w:r w:rsidRPr="005E503C">
        <w:t xml:space="preserve">An individual will also be eligible for an additional affordable housing </w:t>
      </w:r>
      <w:r w:rsidR="009B7735" w:rsidRPr="005E503C">
        <w:t>c</w:t>
      </w:r>
      <w:r w:rsidR="0035076B" w:rsidRPr="005E503C">
        <w:t>apital gains discount</w:t>
      </w:r>
      <w:r w:rsidRPr="005E503C">
        <w:t xml:space="preserve"> </w:t>
      </w:r>
      <w:r w:rsidR="00AC3EF4" w:rsidRPr="005E503C">
        <w:t xml:space="preserve">on a capital gain </w:t>
      </w:r>
      <w:r w:rsidR="008D2229" w:rsidRPr="005E503C">
        <w:t xml:space="preserve">(trust </w:t>
      </w:r>
      <w:r w:rsidR="00C143BE" w:rsidRPr="005E503C">
        <w:t>investment</w:t>
      </w:r>
      <w:r w:rsidR="008D2229" w:rsidRPr="005E503C">
        <w:t xml:space="preserve">) </w:t>
      </w:r>
      <w:r w:rsidRPr="005E503C">
        <w:t>if:</w:t>
      </w:r>
    </w:p>
    <w:p w14:paraId="4C91BE58" w14:textId="07B36D07" w:rsidR="00AC3EF4" w:rsidRPr="005E503C" w:rsidRDefault="00AC3EF4" w:rsidP="001C2B54">
      <w:pPr>
        <w:pStyle w:val="dotpoint"/>
      </w:pPr>
      <w:r w:rsidRPr="005E503C">
        <w:t xml:space="preserve">that </w:t>
      </w:r>
      <w:r w:rsidR="001C2B54" w:rsidRPr="005E503C">
        <w:t>capital gain</w:t>
      </w:r>
      <w:r w:rsidR="001C2B54" w:rsidRPr="005E503C" w:rsidDel="00AC3EF4">
        <w:t xml:space="preserve"> </w:t>
      </w:r>
      <w:r w:rsidR="001C2B54" w:rsidRPr="005E503C">
        <w:t>was distributed or attributed to them</w:t>
      </w:r>
      <w:r w:rsidRPr="005E503C">
        <w:t>:</w:t>
      </w:r>
    </w:p>
    <w:p w14:paraId="316AAFF9" w14:textId="096A4E62" w:rsidR="00AC3EF4" w:rsidRPr="005E503C" w:rsidRDefault="001C2B54" w:rsidP="004E7E87">
      <w:pPr>
        <w:pStyle w:val="dotpoint2"/>
      </w:pPr>
      <w:r w:rsidRPr="005E503C">
        <w:t xml:space="preserve">directly </w:t>
      </w:r>
      <w:r w:rsidR="00AC3EF4" w:rsidRPr="005E503C">
        <w:t xml:space="preserve">from a trust; </w:t>
      </w:r>
      <w:r w:rsidRPr="005E503C">
        <w:t xml:space="preserve">or </w:t>
      </w:r>
    </w:p>
    <w:p w14:paraId="14E5CEB9" w14:textId="75807851" w:rsidR="001C2B54" w:rsidRPr="005E503C" w:rsidRDefault="00AC3EF4" w:rsidP="004E7E87">
      <w:pPr>
        <w:pStyle w:val="dotpoint2"/>
      </w:pPr>
      <w:r w:rsidRPr="005E503C">
        <w:t xml:space="preserve">from </w:t>
      </w:r>
      <w:r w:rsidR="001C2B54" w:rsidRPr="005E503C">
        <w:t>a trust</w:t>
      </w:r>
      <w:r w:rsidRPr="005E503C">
        <w:t xml:space="preserve"> </w:t>
      </w:r>
      <w:r w:rsidR="006D5C97" w:rsidRPr="005E503C">
        <w:t>through</w:t>
      </w:r>
      <w:r w:rsidRPr="005E503C">
        <w:t xml:space="preserve"> a partnership or </w:t>
      </w:r>
      <w:r w:rsidR="006D5C97" w:rsidRPr="005E503C">
        <w:t>another</w:t>
      </w:r>
      <w:r w:rsidRPr="005E503C">
        <w:t xml:space="preserve"> trust</w:t>
      </w:r>
      <w:r w:rsidR="001C2B54" w:rsidRPr="005E503C">
        <w:t xml:space="preserve">; </w:t>
      </w:r>
    </w:p>
    <w:p w14:paraId="702CE4C1" w14:textId="27DC87DB" w:rsidR="001C2B54" w:rsidRPr="005E503C" w:rsidRDefault="001C2B54" w:rsidP="001C2B54">
      <w:pPr>
        <w:pStyle w:val="dotpoint"/>
      </w:pPr>
      <w:r w:rsidRPr="005E503C">
        <w:t xml:space="preserve">the capital gain was a discount capital gain for the trust that realised that gain; </w:t>
      </w:r>
    </w:p>
    <w:p w14:paraId="3D00195B" w14:textId="19F26054" w:rsidR="00D50306" w:rsidRPr="005E503C" w:rsidRDefault="00D50306" w:rsidP="008B5EDB">
      <w:pPr>
        <w:pStyle w:val="dotpoint"/>
      </w:pPr>
      <w:r w:rsidRPr="005E503C">
        <w:t>the dwelling was used to provide affordable housing for at least three years</w:t>
      </w:r>
      <w:r w:rsidR="000D104C" w:rsidRPr="005E503C">
        <w:t xml:space="preserve"> </w:t>
      </w:r>
      <w:r w:rsidR="0099131D" w:rsidRPr="005E503C">
        <w:t>(1095 days</w:t>
      </w:r>
      <w:r w:rsidRPr="005E503C">
        <w:t xml:space="preserve">) which </w:t>
      </w:r>
      <w:r w:rsidR="001C2B54" w:rsidRPr="005E503C">
        <w:t>may</w:t>
      </w:r>
      <w:r w:rsidRPr="005E503C">
        <w:t xml:space="preserve"> be aggregated use</w:t>
      </w:r>
      <w:r w:rsidR="000D104C" w:rsidRPr="005E503C">
        <w:t xml:space="preserve"> in different periods</w:t>
      </w:r>
      <w:r w:rsidR="001C2B54" w:rsidRPr="005E503C">
        <w:t>;</w:t>
      </w:r>
      <w:r w:rsidRPr="005E503C" w:rsidDel="006E0FA4">
        <w:t xml:space="preserve"> </w:t>
      </w:r>
      <w:r w:rsidR="000D104C" w:rsidRPr="005E503C" w:rsidDel="006E0FA4">
        <w:t>and</w:t>
      </w:r>
    </w:p>
    <w:p w14:paraId="5254AD42" w14:textId="2B95007F" w:rsidR="001C2B54" w:rsidRPr="005E503C" w:rsidRDefault="001C2B54" w:rsidP="008B5EDB">
      <w:pPr>
        <w:pStyle w:val="dotpoint"/>
      </w:pPr>
      <w:r w:rsidRPr="005E503C">
        <w:t xml:space="preserve">the trust which used the dwelling to provide affordable housing and any interposed entities (if any) through which the capital gain was distributed </w:t>
      </w:r>
      <w:r w:rsidR="006B3894" w:rsidRPr="005E503C">
        <w:t xml:space="preserve">or attributed </w:t>
      </w:r>
      <w:r w:rsidRPr="005E503C">
        <w:t>to the individual was one of the following</w:t>
      </w:r>
      <w:r w:rsidR="00020657" w:rsidRPr="005E503C">
        <w:t xml:space="preserve"> </w:t>
      </w:r>
      <w:r w:rsidR="00205DCE" w:rsidRPr="005E503C">
        <w:t xml:space="preserve">specified </w:t>
      </w:r>
      <w:r w:rsidR="00020657" w:rsidRPr="005E503C">
        <w:t>entities</w:t>
      </w:r>
      <w:r w:rsidRPr="005E503C">
        <w:t>:</w:t>
      </w:r>
    </w:p>
    <w:p w14:paraId="6698BF15" w14:textId="53F79935" w:rsidR="001C2B54" w:rsidRPr="005E503C" w:rsidDel="00CA26A4" w:rsidRDefault="001C2B54" w:rsidP="001C2B54">
      <w:pPr>
        <w:pStyle w:val="dotpoint2"/>
      </w:pPr>
      <w:r w:rsidRPr="005E503C">
        <w:t xml:space="preserve">a trust (other than a </w:t>
      </w:r>
      <w:r w:rsidR="00DF48D3" w:rsidRPr="005E503C">
        <w:t xml:space="preserve">public </w:t>
      </w:r>
      <w:r w:rsidR="00FE6A59" w:rsidRPr="005E503C">
        <w:t>unit</w:t>
      </w:r>
      <w:r w:rsidRPr="005E503C">
        <w:t xml:space="preserve"> trust or a superannuation fund); </w:t>
      </w:r>
    </w:p>
    <w:p w14:paraId="11F706E1" w14:textId="5513D3E9" w:rsidR="000531C2" w:rsidRPr="005E503C" w:rsidRDefault="001C2B54" w:rsidP="00C731CB">
      <w:pPr>
        <w:pStyle w:val="dotpoint2"/>
        <w:numPr>
          <w:ilvl w:val="1"/>
          <w:numId w:val="9"/>
        </w:numPr>
      </w:pPr>
      <w:r w:rsidRPr="005E503C">
        <w:t xml:space="preserve">a managed investment trust; </w:t>
      </w:r>
      <w:r w:rsidR="000A1749" w:rsidRPr="005E503C">
        <w:t>or</w:t>
      </w:r>
    </w:p>
    <w:p w14:paraId="17BC105D" w14:textId="72A06CF2" w:rsidR="001C2B54" w:rsidRPr="005E503C" w:rsidRDefault="00C878E0" w:rsidP="001C2B54">
      <w:pPr>
        <w:pStyle w:val="dotpoint2"/>
      </w:pPr>
      <w:proofErr w:type="gramStart"/>
      <w:r w:rsidRPr="005E503C">
        <w:t>a</w:t>
      </w:r>
      <w:proofErr w:type="gramEnd"/>
      <w:r w:rsidRPr="005E503C">
        <w:t xml:space="preserve"> </w:t>
      </w:r>
      <w:r w:rsidR="001C2B54" w:rsidRPr="005E503C">
        <w:t>partnership.</w:t>
      </w:r>
    </w:p>
    <w:p w14:paraId="7F56D9B1" w14:textId="48707932" w:rsidR="004E7E87" w:rsidRPr="005E503C" w:rsidRDefault="004E7E87" w:rsidP="004E7E87">
      <w:pPr>
        <w:pStyle w:val="base-text-paragraphnonumbers"/>
      </w:pPr>
      <w:r w:rsidRPr="005E503C">
        <w:rPr>
          <w:rStyle w:val="Referencingstyle"/>
        </w:rPr>
        <w:t xml:space="preserve">[Schedule </w:t>
      </w:r>
      <w:r w:rsidR="000A09D4" w:rsidRPr="005E503C">
        <w:rPr>
          <w:rStyle w:val="Referencingstyle"/>
        </w:rPr>
        <w:t>1</w:t>
      </w:r>
      <w:r w:rsidRPr="005E503C">
        <w:rPr>
          <w:rStyle w:val="Referencingstyle"/>
        </w:rPr>
        <w:t xml:space="preserve">, item </w:t>
      </w:r>
      <w:r w:rsidR="000A09D4" w:rsidRPr="005E503C">
        <w:rPr>
          <w:rStyle w:val="Referencingstyle"/>
        </w:rPr>
        <w:t>2</w:t>
      </w:r>
      <w:r w:rsidRPr="005E503C">
        <w:rPr>
          <w:rStyle w:val="Referencingstyle"/>
        </w:rPr>
        <w:t>, subsection</w:t>
      </w:r>
      <w:r w:rsidR="00C86D10" w:rsidRPr="005E503C">
        <w:rPr>
          <w:rStyle w:val="Referencingstyle"/>
        </w:rPr>
        <w:t>s</w:t>
      </w:r>
      <w:r w:rsidRPr="005E503C">
        <w:rPr>
          <w:rStyle w:val="Referencingstyle"/>
        </w:rPr>
        <w:t xml:space="preserve"> 115</w:t>
      </w:r>
      <w:r w:rsidR="00D61A16" w:rsidRPr="005E503C">
        <w:rPr>
          <w:rStyle w:val="Referencingstyle"/>
        </w:rPr>
        <w:noBreakHyphen/>
      </w:r>
      <w:proofErr w:type="gramStart"/>
      <w:r w:rsidRPr="005E503C">
        <w:rPr>
          <w:rStyle w:val="Referencingstyle"/>
        </w:rPr>
        <w:t>125(</w:t>
      </w:r>
      <w:proofErr w:type="gramEnd"/>
      <w:r w:rsidRPr="005E503C">
        <w:rPr>
          <w:rStyle w:val="Referencingstyle"/>
        </w:rPr>
        <w:t>2) and (3)]</w:t>
      </w:r>
    </w:p>
    <w:p w14:paraId="66E9012A" w14:textId="3BA5A3C8" w:rsidR="00EF082D" w:rsidRPr="005E503C" w:rsidRDefault="000A1749" w:rsidP="00A024DD">
      <w:pPr>
        <w:pStyle w:val="base-text-paragraph"/>
      </w:pPr>
      <w:r w:rsidRPr="005E503C">
        <w:t>T</w:t>
      </w:r>
      <w:r w:rsidR="00C143BE" w:rsidRPr="005E503C">
        <w:t xml:space="preserve">his Chapter </w:t>
      </w:r>
      <w:r w:rsidR="00E12E8F" w:rsidRPr="005E503C">
        <w:t xml:space="preserve">first </w:t>
      </w:r>
      <w:r w:rsidRPr="005E503C">
        <w:t>explains</w:t>
      </w:r>
      <w:r w:rsidR="00C143BE" w:rsidRPr="005E503C">
        <w:t xml:space="preserve"> </w:t>
      </w:r>
      <w:r w:rsidR="00EF082D" w:rsidRPr="005E503C">
        <w:t xml:space="preserve">the requirements </w:t>
      </w:r>
      <w:r w:rsidR="00C143BE" w:rsidRPr="005E503C">
        <w:t xml:space="preserve">to qualify for the </w:t>
      </w:r>
      <w:r w:rsidR="009B7735" w:rsidRPr="005E503C">
        <w:t>c</w:t>
      </w:r>
      <w:r w:rsidR="0035076B" w:rsidRPr="005E503C">
        <w:t>apital gains discount</w:t>
      </w:r>
      <w:r w:rsidR="00C143BE" w:rsidRPr="005E503C">
        <w:t xml:space="preserve"> for direct investment in affordable housing</w:t>
      </w:r>
      <w:r w:rsidR="00812200" w:rsidRPr="005E503C">
        <w:t xml:space="preserve">. Where these </w:t>
      </w:r>
      <w:r w:rsidR="00EF082D" w:rsidRPr="005E503C">
        <w:t>differ</w:t>
      </w:r>
      <w:r w:rsidR="00812200" w:rsidRPr="005E503C">
        <w:t xml:space="preserve"> for trust investments in affordable housing, they are explained later in this Chapter.</w:t>
      </w:r>
    </w:p>
    <w:p w14:paraId="478B65F2" w14:textId="0B897F0F" w:rsidR="001C2B54" w:rsidRPr="005E503C" w:rsidRDefault="0037527A" w:rsidP="003321E8">
      <w:pPr>
        <w:pStyle w:val="Heading4"/>
      </w:pPr>
      <w:r w:rsidRPr="005E503C">
        <w:lastRenderedPageBreak/>
        <w:t xml:space="preserve">CGT event happening in relation to a </w:t>
      </w:r>
      <w:r w:rsidR="00AE3581" w:rsidRPr="005E503C">
        <w:t>C</w:t>
      </w:r>
      <w:r w:rsidR="002B7D4A" w:rsidRPr="005E503C">
        <w:t>GT asset that is an ownership interest in a dwelling</w:t>
      </w:r>
    </w:p>
    <w:p w14:paraId="79803CAF" w14:textId="54084CC3" w:rsidR="002B0D04" w:rsidRPr="005E503C" w:rsidRDefault="002B0D04" w:rsidP="00C731CB">
      <w:pPr>
        <w:pStyle w:val="base-text-paragraph"/>
        <w:numPr>
          <w:ilvl w:val="1"/>
          <w:numId w:val="4"/>
        </w:numPr>
      </w:pPr>
      <w:r w:rsidRPr="005E503C">
        <w:t xml:space="preserve">The CGT event that generally applies to </w:t>
      </w:r>
      <w:r w:rsidR="00C86D10" w:rsidRPr="005E503C">
        <w:t xml:space="preserve">ownership interests </w:t>
      </w:r>
      <w:r w:rsidR="00AC11CC" w:rsidRPr="005E503C">
        <w:t xml:space="preserve">in </w:t>
      </w:r>
      <w:r w:rsidRPr="005E503C">
        <w:t>dwellings is CGT event</w:t>
      </w:r>
      <w:r w:rsidR="00BA7EDB" w:rsidRPr="005E503C">
        <w:t> </w:t>
      </w:r>
      <w:r w:rsidRPr="005E503C">
        <w:t>A1</w:t>
      </w:r>
      <w:r w:rsidR="00BA7EDB" w:rsidRPr="005E503C">
        <w:t xml:space="preserve"> </w:t>
      </w:r>
      <w:r w:rsidRPr="005E503C">
        <w:t>disposals (see section 104-10)</w:t>
      </w:r>
      <w:r w:rsidR="00C86D10" w:rsidRPr="005E503C">
        <w:t>.</w:t>
      </w:r>
      <w:r w:rsidRPr="005E503C">
        <w:t xml:space="preserve"> </w:t>
      </w:r>
      <w:r w:rsidR="00C86D10" w:rsidRPr="005E503C">
        <w:t>H</w:t>
      </w:r>
      <w:r w:rsidRPr="005E503C">
        <w:t xml:space="preserve">owever other CGT events can also apply to </w:t>
      </w:r>
      <w:r w:rsidR="00C86D10" w:rsidRPr="005E503C">
        <w:t xml:space="preserve">an ownership interest in </w:t>
      </w:r>
      <w:r w:rsidRPr="005E503C">
        <w:t>a dwelling.</w:t>
      </w:r>
    </w:p>
    <w:p w14:paraId="39CBCC0D" w14:textId="030D00C4" w:rsidR="00D6464D" w:rsidRPr="005E503C" w:rsidRDefault="00C11881" w:rsidP="00C731CB">
      <w:pPr>
        <w:pStyle w:val="base-text-paragraph"/>
        <w:numPr>
          <w:ilvl w:val="1"/>
          <w:numId w:val="4"/>
        </w:numPr>
      </w:pPr>
      <w:r w:rsidRPr="005E503C">
        <w:t>For this measure dwelling takes its existing meaning as defined in section 118-115, that is a dwelling includes:</w:t>
      </w:r>
    </w:p>
    <w:p w14:paraId="2FFA0704" w14:textId="55C6CCC7" w:rsidR="001F4E58" w:rsidRPr="005E503C" w:rsidRDefault="001F4E58" w:rsidP="006B7900">
      <w:pPr>
        <w:pStyle w:val="dotpoint"/>
      </w:pPr>
      <w:r w:rsidRPr="005E503C">
        <w:t>a building (</w:t>
      </w:r>
      <w:r w:rsidR="001F686E" w:rsidRPr="005E503C">
        <w:t>for example</w:t>
      </w:r>
      <w:r w:rsidRPr="005E503C">
        <w:t xml:space="preserve"> a house) or part of a building (</w:t>
      </w:r>
      <w:r w:rsidR="001F686E" w:rsidRPr="005E503C">
        <w:t>for example</w:t>
      </w:r>
      <w:r w:rsidRPr="005E503C">
        <w:t xml:space="preserve"> an apartment or townhouse) that consists wholly or mainly of accommodation; and</w:t>
      </w:r>
    </w:p>
    <w:p w14:paraId="67624D9E" w14:textId="77777777" w:rsidR="001F4E58" w:rsidRPr="005E503C" w:rsidRDefault="001F4E58" w:rsidP="006B7900">
      <w:pPr>
        <w:pStyle w:val="dotpoint"/>
      </w:pPr>
      <w:proofErr w:type="gramStart"/>
      <w:r w:rsidRPr="005E503C">
        <w:t>any</w:t>
      </w:r>
      <w:proofErr w:type="gramEnd"/>
      <w:r w:rsidRPr="005E503C">
        <w:t xml:space="preserve"> land immediately under the unit of accommodation. </w:t>
      </w:r>
    </w:p>
    <w:p w14:paraId="30C40087" w14:textId="2CB24AD0" w:rsidR="002B0D04" w:rsidRPr="005E503C" w:rsidRDefault="002B0D04" w:rsidP="00C731CB">
      <w:pPr>
        <w:pStyle w:val="base-text-paragraph"/>
        <w:numPr>
          <w:ilvl w:val="1"/>
          <w:numId w:val="4"/>
        </w:numPr>
      </w:pPr>
      <w:r w:rsidRPr="005E503C">
        <w:t>It also includes adjacent land that, together with the land under the dwelling, does not exceed two hectares, and adjacent structures (for example</w:t>
      </w:r>
      <w:r w:rsidR="00800D9B" w:rsidRPr="005E503C">
        <w:t>,</w:t>
      </w:r>
      <w:r w:rsidRPr="005E503C">
        <w:t xml:space="preserve"> a storeroom, shed or garage).</w:t>
      </w:r>
    </w:p>
    <w:p w14:paraId="63FD54E3" w14:textId="52075E54" w:rsidR="00C31CA1" w:rsidRPr="005E503C" w:rsidRDefault="00C31CA1" w:rsidP="00C731CB">
      <w:pPr>
        <w:pStyle w:val="base-text-paragraph"/>
        <w:numPr>
          <w:ilvl w:val="1"/>
          <w:numId w:val="4"/>
        </w:numPr>
      </w:pPr>
      <w:r w:rsidRPr="005E503C">
        <w:t xml:space="preserve">While caravans, houseboats and other mobile homes are included in the definition of dwelling for CGT purposes, </w:t>
      </w:r>
      <w:r w:rsidR="00E90854" w:rsidRPr="005E503C">
        <w:t xml:space="preserve">only dwellings that are residential premises </w:t>
      </w:r>
      <w:r w:rsidR="001C05CF" w:rsidRPr="005E503C">
        <w:t xml:space="preserve">that are not commercial residential premises </w:t>
      </w:r>
      <w:r w:rsidR="00E90854" w:rsidRPr="005E503C">
        <w:t xml:space="preserve">can be used to provide affordable housing. Therefore </w:t>
      </w:r>
      <w:r w:rsidR="00EC0973" w:rsidRPr="005E503C">
        <w:t xml:space="preserve">this measure </w:t>
      </w:r>
      <w:r w:rsidR="00E90854" w:rsidRPr="005E503C">
        <w:t>does not apply to</w:t>
      </w:r>
      <w:r w:rsidR="004B7191" w:rsidRPr="005E503C">
        <w:t xml:space="preserve"> </w:t>
      </w:r>
      <w:r w:rsidR="00E90854" w:rsidRPr="005E503C">
        <w:t>c</w:t>
      </w:r>
      <w:r w:rsidR="004B7191" w:rsidRPr="005E503C">
        <w:t xml:space="preserve">aravans, mobile homes and houseboats </w:t>
      </w:r>
      <w:r w:rsidR="00E90854" w:rsidRPr="005E503C">
        <w:t xml:space="preserve">as they </w:t>
      </w:r>
      <w:r w:rsidR="004B7191" w:rsidRPr="005E503C">
        <w:t xml:space="preserve">are not residential premises </w:t>
      </w:r>
      <w:r w:rsidRPr="005E503C">
        <w:t>(see paragraph 1.</w:t>
      </w:r>
      <w:r w:rsidR="002E7E1A" w:rsidRPr="005E503C">
        <w:t>3</w:t>
      </w:r>
      <w:r w:rsidR="00A075C3" w:rsidRPr="005E503C">
        <w:t>2</w:t>
      </w:r>
      <w:r w:rsidRPr="005E503C">
        <w:t>).</w:t>
      </w:r>
    </w:p>
    <w:p w14:paraId="7B3FBEA1" w14:textId="64F4328C" w:rsidR="007D344F" w:rsidRPr="005E503C" w:rsidRDefault="002B0D04" w:rsidP="00C731CB">
      <w:pPr>
        <w:pStyle w:val="base-text-paragraph"/>
        <w:numPr>
          <w:ilvl w:val="1"/>
          <w:numId w:val="4"/>
        </w:numPr>
      </w:pPr>
      <w:r w:rsidRPr="005E503C">
        <w:t>Section 118-130 provides that an ownership interest in a dwelling is:</w:t>
      </w:r>
    </w:p>
    <w:p w14:paraId="286C7C95" w14:textId="6E13A86E" w:rsidR="002B0D04" w:rsidRPr="005E503C" w:rsidRDefault="002B0D04" w:rsidP="002B0D04">
      <w:pPr>
        <w:pStyle w:val="dotpoint"/>
      </w:pPr>
      <w:r w:rsidRPr="005E503C">
        <w:t xml:space="preserve">for land </w:t>
      </w:r>
      <w:r w:rsidR="00A50CAB" w:rsidRPr="005E503C">
        <w:t>—</w:t>
      </w:r>
      <w:r w:rsidR="00800D9B" w:rsidRPr="005E503C">
        <w:t xml:space="preserve"> </w:t>
      </w:r>
      <w:r w:rsidR="00A50CAB" w:rsidRPr="005E503C">
        <w:t xml:space="preserve">a legal or equitable interest in it or a right to occupy it; </w:t>
      </w:r>
    </w:p>
    <w:p w14:paraId="4C1CCDDB" w14:textId="15111A30" w:rsidR="00A50CAB" w:rsidRPr="005E503C" w:rsidRDefault="00A50CAB" w:rsidP="002B0D04">
      <w:pPr>
        <w:pStyle w:val="dotpoint"/>
      </w:pPr>
      <w:r w:rsidRPr="005E503C">
        <w:t>for a dwelling that is not a flat or home unit —</w:t>
      </w:r>
      <w:r w:rsidR="00800D9B" w:rsidRPr="005E503C">
        <w:t xml:space="preserve"> </w:t>
      </w:r>
      <w:r w:rsidRPr="005E503C">
        <w:t>a legal or equitable interest in the land on which it is erected, or a licence or right to occupy it; or</w:t>
      </w:r>
    </w:p>
    <w:p w14:paraId="74AEDB2B" w14:textId="0234BC56" w:rsidR="00A50CAB" w:rsidRPr="005E503C" w:rsidRDefault="00A50CAB" w:rsidP="002B0D04">
      <w:pPr>
        <w:pStyle w:val="dotpoint"/>
      </w:pPr>
      <w:r w:rsidRPr="005E503C">
        <w:t>for a flat or home unit —</w:t>
      </w:r>
      <w:r w:rsidR="00800D9B" w:rsidRPr="005E503C">
        <w:t xml:space="preserve"> </w:t>
      </w:r>
      <w:r w:rsidRPr="005E503C">
        <w:t xml:space="preserve">a legal or equitable interest in a stratum unit in it, a licence or right to occupy it, or a share in a company that owns a legal or equitable interest in the land on which the flat or home is erected and </w:t>
      </w:r>
      <w:r w:rsidR="00ED5A15" w:rsidRPr="005E503C">
        <w:t>provides</w:t>
      </w:r>
      <w:r w:rsidRPr="005E503C">
        <w:t xml:space="preserve"> a right to occupy it.</w:t>
      </w:r>
    </w:p>
    <w:p w14:paraId="133481FC" w14:textId="3C168FDA" w:rsidR="00EA75F3" w:rsidRPr="005E503C" w:rsidRDefault="00EA75F3" w:rsidP="003321E8">
      <w:pPr>
        <w:pStyle w:val="Heading4"/>
      </w:pPr>
      <w:r w:rsidRPr="005E503C">
        <w:t>Discount capital gain</w:t>
      </w:r>
    </w:p>
    <w:p w14:paraId="1EAB34EE" w14:textId="6597EA39" w:rsidR="004627CC" w:rsidRPr="005E503C" w:rsidRDefault="004627CC" w:rsidP="00C731CB">
      <w:pPr>
        <w:pStyle w:val="base-text-paragraph"/>
        <w:numPr>
          <w:ilvl w:val="1"/>
          <w:numId w:val="4"/>
        </w:numPr>
      </w:pPr>
      <w:r w:rsidRPr="005E503C">
        <w:t>For the purposes of this measure a discount capital gain is a capital gain of an individual that:</w:t>
      </w:r>
    </w:p>
    <w:p w14:paraId="7698F911" w14:textId="71A562D3" w:rsidR="004627CC" w:rsidRPr="005E503C" w:rsidRDefault="004627CC" w:rsidP="005A7027">
      <w:pPr>
        <w:pStyle w:val="dotpoint"/>
      </w:pPr>
      <w:r w:rsidRPr="005E503C">
        <w:t xml:space="preserve">resulted from a CGT event happening to an ownership interest in a dwelling which the </w:t>
      </w:r>
      <w:r w:rsidR="0022076B" w:rsidRPr="005E503C">
        <w:t>individual</w:t>
      </w:r>
      <w:r w:rsidRPr="005E503C">
        <w:t xml:space="preserve"> has owned for at least 12 months; and</w:t>
      </w:r>
    </w:p>
    <w:p w14:paraId="017E94F1" w14:textId="23EDC4D4" w:rsidR="004627CC" w:rsidRPr="005E503C" w:rsidRDefault="004627CC" w:rsidP="005A7027">
      <w:pPr>
        <w:pStyle w:val="dotpoint"/>
      </w:pPr>
      <w:proofErr w:type="gramStart"/>
      <w:r w:rsidRPr="005E503C">
        <w:lastRenderedPageBreak/>
        <w:t>the</w:t>
      </w:r>
      <w:proofErr w:type="gramEnd"/>
      <w:r w:rsidRPr="005E503C">
        <w:t xml:space="preserve"> cost base was worked out without the application of indexation</w:t>
      </w:r>
      <w:r w:rsidR="00130D10" w:rsidRPr="005E503C">
        <w:t>.</w:t>
      </w:r>
    </w:p>
    <w:p w14:paraId="6E6A3815" w14:textId="3AB2CC7F" w:rsidR="005249C6" w:rsidRPr="005E503C" w:rsidRDefault="004627CC" w:rsidP="00C731CB">
      <w:pPr>
        <w:pStyle w:val="base-text-paragraph"/>
        <w:numPr>
          <w:ilvl w:val="1"/>
          <w:numId w:val="4"/>
        </w:numPr>
      </w:pPr>
      <w:r w:rsidRPr="005E503C">
        <w:t xml:space="preserve">A discount capital </w:t>
      </w:r>
      <w:r w:rsidR="0022076B" w:rsidRPr="005E503C">
        <w:t>gain i</w:t>
      </w:r>
      <w:r w:rsidR="00DA1CDC" w:rsidRPr="005E503C">
        <w:t>ncludes</w:t>
      </w:r>
      <w:r w:rsidR="0022076B" w:rsidRPr="005E503C">
        <w:t xml:space="preserve"> a</w:t>
      </w:r>
      <w:r w:rsidR="00B4303E" w:rsidRPr="005E503C">
        <w:t>n amount</w:t>
      </w:r>
      <w:r w:rsidR="0022076B" w:rsidRPr="005E503C">
        <w:t xml:space="preserve"> that is </w:t>
      </w:r>
      <w:r w:rsidR="00B4303E" w:rsidRPr="005E503C">
        <w:t>treated as</w:t>
      </w:r>
      <w:r w:rsidR="0022076B" w:rsidRPr="005E503C" w:rsidDel="00B4303E">
        <w:t xml:space="preserve"> </w:t>
      </w:r>
      <w:r w:rsidR="002C3168" w:rsidRPr="005E503C">
        <w:t xml:space="preserve">a </w:t>
      </w:r>
      <w:r w:rsidR="0022076B" w:rsidRPr="005E503C">
        <w:t xml:space="preserve">capital gain of an individual </w:t>
      </w:r>
      <w:r w:rsidR="006D29CF" w:rsidRPr="005E503C">
        <w:t>under</w:t>
      </w:r>
      <w:r w:rsidR="0022076B" w:rsidRPr="005E503C">
        <w:t xml:space="preserve"> section 115-215</w:t>
      </w:r>
      <w:r w:rsidR="00F864FF" w:rsidRPr="005E503C">
        <w:t xml:space="preserve"> for the purposes of calculating their net capital gain</w:t>
      </w:r>
      <w:r w:rsidR="00085818" w:rsidRPr="005E503C">
        <w:t xml:space="preserve"> </w:t>
      </w:r>
      <w:r w:rsidR="00B4303E" w:rsidRPr="005E503C">
        <w:t>where</w:t>
      </w:r>
      <w:r w:rsidR="00085818" w:rsidRPr="005E503C">
        <w:t xml:space="preserve"> that individual is entitled to the</w:t>
      </w:r>
      <w:r w:rsidR="0035076B" w:rsidRPr="005E503C">
        <w:t xml:space="preserve"> capital gains discount</w:t>
      </w:r>
      <w:r w:rsidR="00085818" w:rsidRPr="005E503C">
        <w:t xml:space="preserve">. </w:t>
      </w:r>
      <w:r w:rsidR="009518E3" w:rsidRPr="005E503C">
        <w:t>An individual’s c</w:t>
      </w:r>
      <w:r w:rsidR="00E80F56" w:rsidRPr="005E503C">
        <w:t xml:space="preserve">apital gains from the application of section 115-215 </w:t>
      </w:r>
      <w:r w:rsidR="0081586E" w:rsidRPr="005E503C">
        <w:t xml:space="preserve">are </w:t>
      </w:r>
      <w:r w:rsidR="009518E3" w:rsidRPr="005E503C">
        <w:t xml:space="preserve">those </w:t>
      </w:r>
      <w:r w:rsidR="00F864FF" w:rsidRPr="005E503C">
        <w:t>capital gains</w:t>
      </w:r>
      <w:r w:rsidR="00085818" w:rsidRPr="005E503C">
        <w:t xml:space="preserve"> </w:t>
      </w:r>
      <w:r w:rsidR="00F864FF" w:rsidRPr="005E503C">
        <w:t>realised by trusts that have been distributed</w:t>
      </w:r>
      <w:r w:rsidR="00085818" w:rsidRPr="005E503C">
        <w:t xml:space="preserve">, either directly or </w:t>
      </w:r>
      <w:r w:rsidR="00251A1A" w:rsidRPr="005E503C">
        <w:rPr>
          <w:lang w:val="en-US" w:eastAsia="en-US"/>
        </w:rPr>
        <w:t xml:space="preserve">through an interposed entity </w:t>
      </w:r>
      <w:r w:rsidR="00085818" w:rsidRPr="005E503C">
        <w:t>to that individual</w:t>
      </w:r>
      <w:r w:rsidR="00BD2618" w:rsidRPr="005E503C">
        <w:t xml:space="preserve"> (see paragraphs 1.</w:t>
      </w:r>
      <w:r w:rsidR="003C6C63" w:rsidRPr="005E503C">
        <w:t>5</w:t>
      </w:r>
      <w:r w:rsidR="00A075C3" w:rsidRPr="005E503C">
        <w:t>2</w:t>
      </w:r>
      <w:r w:rsidR="00BD2618" w:rsidRPr="005E503C">
        <w:t xml:space="preserve"> to 1.</w:t>
      </w:r>
      <w:r w:rsidR="003C6C63" w:rsidRPr="005E503C">
        <w:t>5</w:t>
      </w:r>
      <w:r w:rsidR="00A075C3" w:rsidRPr="005E503C">
        <w:t>4</w:t>
      </w:r>
      <w:r w:rsidR="00BD2618" w:rsidRPr="005E503C">
        <w:t xml:space="preserve"> below)</w:t>
      </w:r>
      <w:r w:rsidR="00085818" w:rsidRPr="005E503C">
        <w:t xml:space="preserve">. </w:t>
      </w:r>
    </w:p>
    <w:p w14:paraId="22797B6F" w14:textId="0DA114EA" w:rsidR="00116F3F" w:rsidRPr="005E503C" w:rsidRDefault="005249C6" w:rsidP="00C731CB">
      <w:pPr>
        <w:pStyle w:val="base-text-paragraph"/>
        <w:numPr>
          <w:ilvl w:val="1"/>
          <w:numId w:val="4"/>
        </w:numPr>
      </w:pPr>
      <w:r w:rsidRPr="005E503C">
        <w:t xml:space="preserve">Capital gains realised by trusts </w:t>
      </w:r>
      <w:r w:rsidR="00116F3F" w:rsidRPr="005E503C">
        <w:t xml:space="preserve">include capital gains that have been attributed to a </w:t>
      </w:r>
      <w:r w:rsidR="002B70A5" w:rsidRPr="005E503C">
        <w:t xml:space="preserve">resident </w:t>
      </w:r>
      <w:r w:rsidR="00116F3F" w:rsidRPr="005E503C">
        <w:t xml:space="preserve">individual by an attributed managed investment trust </w:t>
      </w:r>
      <w:r w:rsidR="00B84F9C" w:rsidRPr="005E503C">
        <w:t xml:space="preserve">(AMIT) </w:t>
      </w:r>
      <w:r w:rsidR="00116F3F" w:rsidRPr="005E503C">
        <w:t>to which subsection 276</w:t>
      </w:r>
      <w:r w:rsidR="00116F3F" w:rsidRPr="005E503C">
        <w:noBreakHyphen/>
        <w:t xml:space="preserve">80(2) has applied. </w:t>
      </w:r>
      <w:r w:rsidRPr="005E503C">
        <w:t>This provision treats the member as having derived, received or made the amount reflected in the determined member component in the same circumstance as the AMIT derived, received or made it.</w:t>
      </w:r>
    </w:p>
    <w:p w14:paraId="2343FABF" w14:textId="167EDD1F" w:rsidR="00EA75F3" w:rsidRPr="005E503C" w:rsidRDefault="00EA75F3" w:rsidP="003321E8">
      <w:pPr>
        <w:pStyle w:val="Heading4"/>
      </w:pPr>
      <w:r w:rsidRPr="005E503C">
        <w:t>Used the dwelling to provide affordable housing</w:t>
      </w:r>
    </w:p>
    <w:p w14:paraId="3377A6C4" w14:textId="6AA659D3" w:rsidR="00787704" w:rsidRPr="005E503C" w:rsidRDefault="006A725B" w:rsidP="00C731CB">
      <w:pPr>
        <w:pStyle w:val="base-text-paragraph"/>
        <w:numPr>
          <w:ilvl w:val="1"/>
          <w:numId w:val="4"/>
        </w:numPr>
      </w:pPr>
      <w:r w:rsidRPr="005E503C">
        <w:t xml:space="preserve">The additional affordable housing </w:t>
      </w:r>
      <w:r w:rsidR="0035076B" w:rsidRPr="005E503C">
        <w:t>capital gains discount</w:t>
      </w:r>
      <w:r w:rsidRPr="005E503C">
        <w:t xml:space="preserve"> only applies to</w:t>
      </w:r>
      <w:r w:rsidR="00D035CF" w:rsidRPr="005E503C">
        <w:t xml:space="preserve"> </w:t>
      </w:r>
      <w:r w:rsidR="00D619A6" w:rsidRPr="005E503C">
        <w:t xml:space="preserve">certain </w:t>
      </w:r>
      <w:r w:rsidR="00D035CF" w:rsidRPr="005E503C">
        <w:t>capital gain</w:t>
      </w:r>
      <w:r w:rsidR="00D619A6" w:rsidRPr="005E503C">
        <w:t>s</w:t>
      </w:r>
      <w:r w:rsidR="00D035CF" w:rsidRPr="005E503C">
        <w:t xml:space="preserve"> if the </w:t>
      </w:r>
      <w:r w:rsidR="004D4C96" w:rsidRPr="005E503C">
        <w:t>dwelling</w:t>
      </w:r>
      <w:r w:rsidR="00D035CF" w:rsidRPr="005E503C">
        <w:t xml:space="preserve"> </w:t>
      </w:r>
      <w:r w:rsidR="004D4C96" w:rsidRPr="005E503C">
        <w:t>in which the ownership interest was held</w:t>
      </w:r>
      <w:r w:rsidR="00D035CF" w:rsidRPr="005E503C">
        <w:t xml:space="preserve"> </w:t>
      </w:r>
      <w:r w:rsidR="00FC34E4" w:rsidRPr="005E503C">
        <w:t>was used to provide affordable housing</w:t>
      </w:r>
      <w:r w:rsidR="007B2916" w:rsidRPr="005E503C">
        <w:t xml:space="preserve"> for a period</w:t>
      </w:r>
      <w:r w:rsidR="00035628" w:rsidRPr="005E503C">
        <w:t xml:space="preserve"> or periods totalling</w:t>
      </w:r>
      <w:r w:rsidR="00D619A6" w:rsidRPr="005E503C">
        <w:t xml:space="preserve"> three (1095 days)</w:t>
      </w:r>
      <w:r w:rsidR="002F2B81" w:rsidRPr="005E503C">
        <w:t xml:space="preserve"> </w:t>
      </w:r>
      <w:r w:rsidR="008A2A6E" w:rsidRPr="005E503C">
        <w:t xml:space="preserve">or more years </w:t>
      </w:r>
      <w:r w:rsidR="002F2B81" w:rsidRPr="005E503C">
        <w:t>after 1 January 2018</w:t>
      </w:r>
      <w:r w:rsidR="00D619A6" w:rsidRPr="005E503C">
        <w:t xml:space="preserve">. </w:t>
      </w:r>
      <w:r w:rsidR="006E2192" w:rsidRPr="005E503C">
        <w:t xml:space="preserve">The capital gain must have been realised by an individual or be a capital gain that was distributed or attributed (directly or via </w:t>
      </w:r>
      <w:r w:rsidR="00FD3A11" w:rsidRPr="005E503C">
        <w:t>a partnership or certain trusts</w:t>
      </w:r>
      <w:r w:rsidR="006E2192" w:rsidRPr="005E503C">
        <w:t xml:space="preserve">) to an individual by </w:t>
      </w:r>
      <w:r w:rsidR="00FD3A11" w:rsidRPr="005E503C">
        <w:t>certain</w:t>
      </w:r>
      <w:r w:rsidR="006E2192" w:rsidRPr="005E503C">
        <w:t xml:space="preserve"> trust</w:t>
      </w:r>
      <w:r w:rsidR="00FD3A11" w:rsidRPr="005E503C">
        <w:t>s</w:t>
      </w:r>
      <w:r w:rsidR="006E2192" w:rsidRPr="005E503C">
        <w:t xml:space="preserve">. The period that the dwelling was used to provide affordable housing </w:t>
      </w:r>
      <w:r w:rsidR="00D619A6" w:rsidRPr="005E503C">
        <w:t>may be a continuous period or an aggregation of periods totalling three or more years.</w:t>
      </w:r>
      <w:r w:rsidR="00643547" w:rsidRPr="005E503C">
        <w:rPr>
          <w:rStyle w:val="Referencingstyle"/>
        </w:rPr>
        <w:t xml:space="preserve"> [Schedule </w:t>
      </w:r>
      <w:r w:rsidR="0078050A" w:rsidRPr="005E503C">
        <w:rPr>
          <w:rStyle w:val="Referencingstyle"/>
        </w:rPr>
        <w:t>1</w:t>
      </w:r>
      <w:r w:rsidR="00643547" w:rsidRPr="005E503C">
        <w:rPr>
          <w:rStyle w:val="Referencingstyle"/>
        </w:rPr>
        <w:t xml:space="preserve">, item </w:t>
      </w:r>
      <w:r w:rsidR="0078050A" w:rsidRPr="005E503C">
        <w:rPr>
          <w:rStyle w:val="Referencingstyle"/>
        </w:rPr>
        <w:t>2</w:t>
      </w:r>
      <w:r w:rsidR="00643547" w:rsidRPr="005E503C">
        <w:rPr>
          <w:rStyle w:val="Referencingstyle"/>
        </w:rPr>
        <w:t>, subsection 115</w:t>
      </w:r>
      <w:r w:rsidR="00D61A16" w:rsidRPr="005E503C">
        <w:rPr>
          <w:rStyle w:val="Referencingstyle"/>
        </w:rPr>
        <w:noBreakHyphen/>
      </w:r>
      <w:r w:rsidR="00643547" w:rsidRPr="005E503C">
        <w:rPr>
          <w:rStyle w:val="Referencingstyle"/>
        </w:rPr>
        <w:t>125(2)]</w:t>
      </w:r>
    </w:p>
    <w:p w14:paraId="378ABCBC" w14:textId="291B7242" w:rsidR="00674B6F" w:rsidRPr="005E503C" w:rsidRDefault="00674B6F" w:rsidP="00D720CA">
      <w:pPr>
        <w:pStyle w:val="ExampleHeading"/>
      </w:pPr>
      <w:r w:rsidRPr="005E503C">
        <w:t xml:space="preserve"> — </w:t>
      </w:r>
      <w:r w:rsidR="0022373D" w:rsidRPr="005E503C">
        <w:t>A</w:t>
      </w:r>
      <w:r w:rsidRPr="005E503C">
        <w:t>ggregated period of affordable housing use</w:t>
      </w:r>
    </w:p>
    <w:p w14:paraId="5D3F0AE4" w14:textId="42291B17" w:rsidR="0085417F" w:rsidRPr="005E503C" w:rsidRDefault="003934C5" w:rsidP="003E369B">
      <w:pPr>
        <w:pStyle w:val="exampletext"/>
      </w:pPr>
      <w:r w:rsidRPr="005E503C">
        <w:t xml:space="preserve">Lisa </w:t>
      </w:r>
      <w:r w:rsidR="0085417F" w:rsidRPr="005E503C">
        <w:t xml:space="preserve">signs a contract to </w:t>
      </w:r>
      <w:r w:rsidRPr="005E503C">
        <w:t>acquire</w:t>
      </w:r>
      <w:r w:rsidR="0085417F" w:rsidRPr="005E503C">
        <w:t xml:space="preserve"> </w:t>
      </w:r>
      <w:r w:rsidR="00DE3237" w:rsidRPr="005E503C">
        <w:t xml:space="preserve">a </w:t>
      </w:r>
      <w:r w:rsidR="0085417F" w:rsidRPr="005E503C">
        <w:t xml:space="preserve">dwelling </w:t>
      </w:r>
      <w:r w:rsidR="002459CB" w:rsidRPr="005E503C">
        <w:t xml:space="preserve">that is residential premises (but not commercial residential premises) </w:t>
      </w:r>
      <w:r w:rsidR="0085417F" w:rsidRPr="005E503C">
        <w:t xml:space="preserve">on 15 August 2018. </w:t>
      </w:r>
    </w:p>
    <w:p w14:paraId="5CB46142" w14:textId="4655442C" w:rsidR="003934C5" w:rsidRPr="005E503C" w:rsidRDefault="003934C5" w:rsidP="00D94A3B">
      <w:pPr>
        <w:pStyle w:val="exampletext"/>
      </w:pPr>
      <w:r w:rsidRPr="005E503C">
        <w:t xml:space="preserve">Lisa used the dwelling as follows </w:t>
      </w:r>
      <w:r w:rsidR="004B1DF5" w:rsidRPr="005E503C">
        <w:t xml:space="preserve">when </w:t>
      </w:r>
      <w:r w:rsidRPr="005E503C">
        <w:t>she owned it:</w:t>
      </w:r>
    </w:p>
    <w:p w14:paraId="59CBA93C" w14:textId="240628BC" w:rsidR="001F17EC" w:rsidRPr="005E503C" w:rsidRDefault="00E908C8" w:rsidP="0008413F">
      <w:pPr>
        <w:pStyle w:val="exampledotpoint1"/>
      </w:pPr>
      <w:r w:rsidRPr="005E503C">
        <w:t xml:space="preserve">undertook repairs at the property from when she acquired </w:t>
      </w:r>
      <w:r w:rsidR="009E6B5B" w:rsidRPr="005E503C">
        <w:t xml:space="preserve">it </w:t>
      </w:r>
      <w:r w:rsidR="00030835" w:rsidRPr="005E503C">
        <w:t xml:space="preserve">on </w:t>
      </w:r>
      <w:r w:rsidR="00035628" w:rsidRPr="005E503C">
        <w:t>15</w:t>
      </w:r>
      <w:r w:rsidR="0008413F" w:rsidRPr="005E503C">
        <w:t> </w:t>
      </w:r>
      <w:r w:rsidR="00035628" w:rsidRPr="005E503C">
        <w:t>August 2018</w:t>
      </w:r>
      <w:r w:rsidR="00030835" w:rsidRPr="005E503C">
        <w:t xml:space="preserve"> (the acquisition date for CGT purposes) </w:t>
      </w:r>
      <w:r w:rsidRPr="005E503C">
        <w:t>until 1</w:t>
      </w:r>
      <w:r w:rsidR="004657C9" w:rsidRPr="005E503C">
        <w:t> </w:t>
      </w:r>
      <w:r w:rsidRPr="005E503C">
        <w:t>December 2018</w:t>
      </w:r>
      <w:r w:rsidR="004657C9" w:rsidRPr="005E503C">
        <w:t xml:space="preserve"> (10</w:t>
      </w:r>
      <w:r w:rsidR="00F343A4" w:rsidRPr="005E503C">
        <w:t>9</w:t>
      </w:r>
      <w:r w:rsidR="004657C9" w:rsidRPr="005E503C">
        <w:t xml:space="preserve"> days);</w:t>
      </w:r>
    </w:p>
    <w:p w14:paraId="3DB1671F" w14:textId="1B556FB8" w:rsidR="00E908C8" w:rsidRPr="005E503C" w:rsidRDefault="00E908C8" w:rsidP="0008413F">
      <w:pPr>
        <w:pStyle w:val="exampledotpoint1"/>
      </w:pPr>
      <w:r w:rsidRPr="005E503C">
        <w:t xml:space="preserve">rented it out </w:t>
      </w:r>
      <w:r w:rsidR="00030835" w:rsidRPr="005E503C">
        <w:t>by providing affordable housing from 2</w:t>
      </w:r>
      <w:r w:rsidR="004657C9" w:rsidRPr="005E503C">
        <w:t> </w:t>
      </w:r>
      <w:r w:rsidR="00030835" w:rsidRPr="005E503C">
        <w:t>December</w:t>
      </w:r>
      <w:r w:rsidR="004657C9" w:rsidRPr="005E503C">
        <w:t> </w:t>
      </w:r>
      <w:r w:rsidR="00030835" w:rsidRPr="005E503C">
        <w:t>2018 until 20 August 2020</w:t>
      </w:r>
      <w:r w:rsidR="004657C9" w:rsidRPr="005E503C">
        <w:t xml:space="preserve"> (62</w:t>
      </w:r>
      <w:r w:rsidR="00EE51B1" w:rsidRPr="005E503C">
        <w:t>8</w:t>
      </w:r>
      <w:r w:rsidR="004657C9" w:rsidRPr="005E503C">
        <w:t xml:space="preserve"> days)</w:t>
      </w:r>
      <w:r w:rsidR="00030835" w:rsidRPr="005E503C">
        <w:t xml:space="preserve">; </w:t>
      </w:r>
    </w:p>
    <w:p w14:paraId="065869C7" w14:textId="37AB9AE5" w:rsidR="00030835" w:rsidRPr="005E503C" w:rsidRDefault="00030835" w:rsidP="0008413F">
      <w:pPr>
        <w:pStyle w:val="exampledotpoint1"/>
      </w:pPr>
      <w:r w:rsidRPr="005E503C">
        <w:t xml:space="preserve">rented it </w:t>
      </w:r>
      <w:r w:rsidR="00DE3237" w:rsidRPr="005E503C">
        <w:t xml:space="preserve">out </w:t>
      </w:r>
      <w:r w:rsidR="002348E0" w:rsidRPr="005E503C">
        <w:t>through a real estate property manager</w:t>
      </w:r>
      <w:r w:rsidR="00DE3237" w:rsidRPr="005E503C">
        <w:t xml:space="preserve"> </w:t>
      </w:r>
      <w:r w:rsidR="002348E0" w:rsidRPr="005E503C">
        <w:t xml:space="preserve">at market rates </w:t>
      </w:r>
      <w:r w:rsidRPr="005E503C">
        <w:t xml:space="preserve">(that is not providing </w:t>
      </w:r>
      <w:r w:rsidR="00DE3237" w:rsidRPr="005E503C">
        <w:t xml:space="preserve">affordable </w:t>
      </w:r>
      <w:r w:rsidRPr="005E503C">
        <w:t xml:space="preserve"> housing) from 21 August 2020 </w:t>
      </w:r>
      <w:r w:rsidR="00C23E73" w:rsidRPr="005E503C">
        <w:t>until 31 August 2021</w:t>
      </w:r>
      <w:r w:rsidR="00CA7101" w:rsidRPr="005E503C">
        <w:t xml:space="preserve"> (37</w:t>
      </w:r>
      <w:r w:rsidR="00EE51B1" w:rsidRPr="005E503C">
        <w:t>6</w:t>
      </w:r>
      <w:r w:rsidR="00CA7101" w:rsidRPr="005E503C">
        <w:t xml:space="preserve"> days)</w:t>
      </w:r>
      <w:r w:rsidR="00C23E73" w:rsidRPr="005E503C">
        <w:t>;</w:t>
      </w:r>
    </w:p>
    <w:p w14:paraId="37A98F7C" w14:textId="0B6AF3CE" w:rsidR="00030835" w:rsidRPr="005E503C" w:rsidRDefault="00030835" w:rsidP="0008413F">
      <w:pPr>
        <w:pStyle w:val="exampledotpoint1"/>
      </w:pPr>
      <w:r w:rsidRPr="005E503C">
        <w:t>rented it out by providing affordable housing from 1</w:t>
      </w:r>
      <w:r w:rsidR="00DE3237" w:rsidRPr="005E503C">
        <w:t> </w:t>
      </w:r>
      <w:r w:rsidRPr="005E503C">
        <w:t>September</w:t>
      </w:r>
      <w:r w:rsidR="002459CB" w:rsidRPr="005E503C">
        <w:t> </w:t>
      </w:r>
      <w:r w:rsidRPr="005E503C">
        <w:t>2021</w:t>
      </w:r>
      <w:r w:rsidR="00C23E73" w:rsidRPr="005E503C">
        <w:t xml:space="preserve"> until 15</w:t>
      </w:r>
      <w:r w:rsidR="00DE3237" w:rsidRPr="005E503C">
        <w:t> </w:t>
      </w:r>
      <w:r w:rsidR="00C23E73" w:rsidRPr="005E503C">
        <w:t>January 2023</w:t>
      </w:r>
      <w:r w:rsidR="00CA7101" w:rsidRPr="005E503C">
        <w:t xml:space="preserve"> (50</w:t>
      </w:r>
      <w:r w:rsidR="002C2DE4" w:rsidRPr="005E503C">
        <w:t>2</w:t>
      </w:r>
      <w:r w:rsidR="00CA7101" w:rsidRPr="005E503C">
        <w:t xml:space="preserve"> days)</w:t>
      </w:r>
      <w:r w:rsidR="00C23E73" w:rsidRPr="005E503C">
        <w:t>;</w:t>
      </w:r>
      <w:r w:rsidR="002D1657" w:rsidRPr="005E503C">
        <w:t xml:space="preserve"> and</w:t>
      </w:r>
    </w:p>
    <w:p w14:paraId="0430C79E" w14:textId="45B627F6" w:rsidR="00030835" w:rsidRPr="005E503C" w:rsidRDefault="00262434" w:rsidP="0008413F">
      <w:pPr>
        <w:pStyle w:val="exampledotpoint1"/>
      </w:pPr>
      <w:proofErr w:type="gramStart"/>
      <w:r w:rsidRPr="005E503C">
        <w:lastRenderedPageBreak/>
        <w:t>vacated</w:t>
      </w:r>
      <w:proofErr w:type="gramEnd"/>
      <w:r w:rsidRPr="005E503C">
        <w:t xml:space="preserve"> the property and prepared it for sale on and after 16 January 2023</w:t>
      </w:r>
      <w:r w:rsidR="00CA7101" w:rsidRPr="005E503C">
        <w:t xml:space="preserve"> (5</w:t>
      </w:r>
      <w:r w:rsidR="002C2DE4" w:rsidRPr="005E503C">
        <w:t>7</w:t>
      </w:r>
      <w:r w:rsidR="00CA7101" w:rsidRPr="005E503C">
        <w:t xml:space="preserve"> days)</w:t>
      </w:r>
      <w:r w:rsidRPr="005E503C">
        <w:t>.</w:t>
      </w:r>
    </w:p>
    <w:p w14:paraId="26CBF5EA" w14:textId="0DE3F204" w:rsidR="0024675A" w:rsidRPr="005E503C" w:rsidRDefault="0024675A" w:rsidP="003E369B">
      <w:pPr>
        <w:pStyle w:val="exampletext"/>
      </w:pPr>
      <w:r w:rsidRPr="005E503C">
        <w:t xml:space="preserve">On 13 </w:t>
      </w:r>
      <w:r w:rsidR="00262434" w:rsidRPr="005E503C">
        <w:t>March</w:t>
      </w:r>
      <w:r w:rsidRPr="005E503C">
        <w:t xml:space="preserve"> 202</w:t>
      </w:r>
      <w:r w:rsidR="00262434" w:rsidRPr="005E503C">
        <w:t>3</w:t>
      </w:r>
      <w:r w:rsidRPr="005E503C">
        <w:t xml:space="preserve"> Lisa sign</w:t>
      </w:r>
      <w:r w:rsidR="007A6E78" w:rsidRPr="005E503C">
        <w:t>ed</w:t>
      </w:r>
      <w:r w:rsidRPr="005E503C">
        <w:t xml:space="preserve"> a contract to sell the dwelling </w:t>
      </w:r>
      <w:r w:rsidR="007A6E78" w:rsidRPr="005E503C">
        <w:t xml:space="preserve">with settlement occurring </w:t>
      </w:r>
      <w:r w:rsidRPr="005E503C">
        <w:t xml:space="preserve">on 11 </w:t>
      </w:r>
      <w:r w:rsidR="00262434" w:rsidRPr="005E503C">
        <w:t xml:space="preserve">April </w:t>
      </w:r>
      <w:r w:rsidRPr="005E503C">
        <w:t>202</w:t>
      </w:r>
      <w:r w:rsidR="00262434" w:rsidRPr="005E503C">
        <w:t>3</w:t>
      </w:r>
      <w:r w:rsidRPr="005E503C">
        <w:t>.</w:t>
      </w:r>
    </w:p>
    <w:p w14:paraId="2AE6080C" w14:textId="2D2BAF77" w:rsidR="001F17EC" w:rsidRPr="005E503C" w:rsidRDefault="00377F43" w:rsidP="003E369B">
      <w:pPr>
        <w:pStyle w:val="exampletext"/>
      </w:pPr>
      <w:r w:rsidRPr="005E503C">
        <w:t>Lisa has held the dwelling for a total of 1,6</w:t>
      </w:r>
      <w:r w:rsidR="002C2DE4" w:rsidRPr="005E503C">
        <w:t>72</w:t>
      </w:r>
      <w:r w:rsidRPr="005E503C">
        <w:t xml:space="preserve"> days of which it was used to provide affordable housing for 1,1</w:t>
      </w:r>
      <w:r w:rsidR="002C2DE4" w:rsidRPr="005E503C">
        <w:t>30</w:t>
      </w:r>
      <w:r w:rsidRPr="005E503C">
        <w:t xml:space="preserve"> days.</w:t>
      </w:r>
      <w:r w:rsidR="001E781A" w:rsidRPr="005E503C">
        <w:t xml:space="preserve"> As the dwelling was used to provide affordable housing for more than 1,095 days, Lisa is eligible for the additional </w:t>
      </w:r>
      <w:r w:rsidR="00260AFC" w:rsidRPr="005E503C">
        <w:t xml:space="preserve">affordable housing </w:t>
      </w:r>
      <w:r w:rsidR="001E781A" w:rsidRPr="005E503C">
        <w:t>capital gains discount</w:t>
      </w:r>
      <w:r w:rsidR="001E781A" w:rsidRPr="005E503C" w:rsidDel="00260AFC">
        <w:t xml:space="preserve"> </w:t>
      </w:r>
      <w:r w:rsidR="001E781A" w:rsidRPr="005E503C">
        <w:t>(assuming the dwelling meets the other requirements).</w:t>
      </w:r>
    </w:p>
    <w:p w14:paraId="0B54DC04" w14:textId="65FB4D70" w:rsidR="005C4D13" w:rsidRPr="005E503C" w:rsidRDefault="00F86A8D" w:rsidP="00C731CB">
      <w:pPr>
        <w:pStyle w:val="base-text-paragraph"/>
        <w:numPr>
          <w:ilvl w:val="1"/>
          <w:numId w:val="4"/>
        </w:numPr>
      </w:pPr>
      <w:r w:rsidRPr="005E503C">
        <w:t xml:space="preserve">A dwelling is used </w:t>
      </w:r>
      <w:r w:rsidR="000F70ED" w:rsidRPr="005E503C">
        <w:t>to provide affordable housing if</w:t>
      </w:r>
      <w:r w:rsidR="00AC1A1E" w:rsidRPr="005E503C">
        <w:t xml:space="preserve"> the following conditions are satisfied</w:t>
      </w:r>
      <w:r w:rsidR="000F70ED" w:rsidRPr="005E503C">
        <w:t>:</w:t>
      </w:r>
    </w:p>
    <w:p w14:paraId="6C1AF75A" w14:textId="11142832" w:rsidR="00F829C3" w:rsidRPr="005E503C" w:rsidRDefault="00F829C3" w:rsidP="00E66220">
      <w:pPr>
        <w:pStyle w:val="dotpoint"/>
      </w:pPr>
      <w:r w:rsidRPr="005E503C">
        <w:t xml:space="preserve">residential premises condition </w:t>
      </w:r>
      <w:r w:rsidR="002C3168" w:rsidRPr="005E503C">
        <w:t>—</w:t>
      </w:r>
      <w:r w:rsidRPr="005E503C">
        <w:t xml:space="preserve"> the dwelling is residential premises</w:t>
      </w:r>
      <w:r w:rsidR="004A7913" w:rsidRPr="005E503C">
        <w:t xml:space="preserve"> </w:t>
      </w:r>
      <w:r w:rsidR="004A7913" w:rsidRPr="005E503C">
        <w:rPr>
          <w:lang w:val="en-US" w:eastAsia="en-US"/>
        </w:rPr>
        <w:t>that is not commercial residential premises</w:t>
      </w:r>
      <w:r w:rsidR="00B0653D" w:rsidRPr="005E503C">
        <w:rPr>
          <w:lang w:val="en-US" w:eastAsia="en-US"/>
        </w:rPr>
        <w:t>;</w:t>
      </w:r>
    </w:p>
    <w:p w14:paraId="79BCAB12" w14:textId="78653CD6" w:rsidR="00AC1A1E" w:rsidRPr="005E503C" w:rsidRDefault="00F829C3" w:rsidP="00E66220">
      <w:pPr>
        <w:pStyle w:val="dotpoint"/>
      </w:pPr>
      <w:r w:rsidRPr="005E503C">
        <w:t>p</w:t>
      </w:r>
      <w:r w:rsidR="004837F2" w:rsidRPr="005E503C">
        <w:t xml:space="preserve">roperty management condition — </w:t>
      </w:r>
      <w:r w:rsidR="00AC1A1E" w:rsidRPr="005E503C">
        <w:t xml:space="preserve">the tenancy of the dwelling or its </w:t>
      </w:r>
      <w:r w:rsidR="00710779" w:rsidRPr="005E503C">
        <w:t xml:space="preserve">occupancy is </w:t>
      </w:r>
      <w:r w:rsidR="00AC1A1E" w:rsidRPr="005E503C">
        <w:t xml:space="preserve">exclusively managed by an eligible community housing provider; </w:t>
      </w:r>
    </w:p>
    <w:p w14:paraId="2753C905" w14:textId="5F43AEFA" w:rsidR="00C946A7" w:rsidRPr="005E503C" w:rsidRDefault="00C946A7" w:rsidP="00DD58C2">
      <w:pPr>
        <w:pStyle w:val="dotpoint"/>
      </w:pPr>
      <w:r w:rsidRPr="005E503C">
        <w:t xml:space="preserve">providing affordable housing certification condition — the eligible community housing provider has given each entity that holds an ownership interest in the dwelling certification that the dwelling was used to provide affordable housing; </w:t>
      </w:r>
    </w:p>
    <w:p w14:paraId="346858EE" w14:textId="009F805E" w:rsidR="00AC1A1E" w:rsidRPr="005E503C" w:rsidRDefault="00BE4AF6" w:rsidP="00DD58C2">
      <w:pPr>
        <w:pStyle w:val="dotpoint"/>
      </w:pPr>
      <w:r w:rsidRPr="005E503C">
        <w:t xml:space="preserve">NRAS condition — no entity </w:t>
      </w:r>
      <w:r w:rsidR="009A0580" w:rsidRPr="005E503C">
        <w:t xml:space="preserve">that has an ownership interest in the dwelling </w:t>
      </w:r>
      <w:r w:rsidRPr="005E503C">
        <w:t>is entitled to receive an NRAS incentive for the NRAS year</w:t>
      </w:r>
      <w:r w:rsidR="005C1FCF" w:rsidRPr="005E503C">
        <w:t>; and</w:t>
      </w:r>
    </w:p>
    <w:p w14:paraId="70BFD8A9" w14:textId="47697D68" w:rsidR="005C1FCF" w:rsidRPr="005E503C" w:rsidRDefault="005C1FCF" w:rsidP="00DD58C2">
      <w:pPr>
        <w:pStyle w:val="dotpoint"/>
      </w:pPr>
      <w:r w:rsidRPr="005E503C">
        <w:t xml:space="preserve">MIT membership condition </w:t>
      </w:r>
      <w:r w:rsidR="008A703E" w:rsidRPr="005E503C">
        <w:t>—</w:t>
      </w:r>
      <w:r w:rsidRPr="005E503C">
        <w:t xml:space="preserve"> if the ownership interest in the dwelling is owned by a MIT the tenant does not have a</w:t>
      </w:r>
      <w:r w:rsidR="00DE2E3D" w:rsidRPr="005E503C">
        <w:t>n interest in the MIT that passes the non-portfolio test</w:t>
      </w:r>
      <w:r w:rsidRPr="005E503C">
        <w:t>.</w:t>
      </w:r>
    </w:p>
    <w:p w14:paraId="12DFEBD1" w14:textId="79B19C0D" w:rsidR="003B011E" w:rsidRPr="005E503C" w:rsidRDefault="003B011E" w:rsidP="009E4DAA">
      <w:pPr>
        <w:pStyle w:val="base-text-paragraphnonumbers"/>
      </w:pPr>
      <w:r w:rsidRPr="005E503C">
        <w:rPr>
          <w:rStyle w:val="Referencingstyle"/>
        </w:rPr>
        <w:t xml:space="preserve">[Schedule </w:t>
      </w:r>
      <w:r w:rsidR="001C3804" w:rsidRPr="005E503C">
        <w:rPr>
          <w:rStyle w:val="Referencingstyle"/>
        </w:rPr>
        <w:t>1</w:t>
      </w:r>
      <w:r w:rsidRPr="005E503C">
        <w:rPr>
          <w:rStyle w:val="Referencingstyle"/>
        </w:rPr>
        <w:t>, item</w:t>
      </w:r>
      <w:r w:rsidR="001C3804" w:rsidRPr="005E503C">
        <w:rPr>
          <w:rStyle w:val="Referencingstyle"/>
        </w:rPr>
        <w:t>s</w:t>
      </w:r>
      <w:r w:rsidRPr="005E503C">
        <w:rPr>
          <w:rStyle w:val="Referencingstyle"/>
        </w:rPr>
        <w:t xml:space="preserve"> </w:t>
      </w:r>
      <w:r w:rsidR="001C3804" w:rsidRPr="005E503C">
        <w:rPr>
          <w:rStyle w:val="Referencingstyle"/>
        </w:rPr>
        <w:t>3 and 4</w:t>
      </w:r>
      <w:r w:rsidRPr="005E503C">
        <w:rPr>
          <w:rStyle w:val="Referencingstyle"/>
        </w:rPr>
        <w:t>, section 980</w:t>
      </w:r>
      <w:r w:rsidR="00D61A16" w:rsidRPr="005E503C">
        <w:rPr>
          <w:rStyle w:val="Referencingstyle"/>
        </w:rPr>
        <w:noBreakHyphen/>
      </w:r>
      <w:r w:rsidRPr="005E503C">
        <w:rPr>
          <w:rStyle w:val="Referencingstyle"/>
        </w:rPr>
        <w:t>5</w:t>
      </w:r>
      <w:r w:rsidR="0012179D" w:rsidRPr="005E503C">
        <w:rPr>
          <w:rStyle w:val="Referencingstyle"/>
        </w:rPr>
        <w:t xml:space="preserve"> and definition of provide affordable housing in subsection 995</w:t>
      </w:r>
      <w:r w:rsidR="00D61A16" w:rsidRPr="005E503C">
        <w:rPr>
          <w:rStyle w:val="Referencingstyle"/>
        </w:rPr>
        <w:noBreakHyphen/>
      </w:r>
      <w:proofErr w:type="gramStart"/>
      <w:r w:rsidR="0012179D" w:rsidRPr="005E503C">
        <w:rPr>
          <w:rStyle w:val="Referencingstyle"/>
        </w:rPr>
        <w:t>1(</w:t>
      </w:r>
      <w:proofErr w:type="gramEnd"/>
      <w:r w:rsidR="0012179D" w:rsidRPr="005E503C">
        <w:rPr>
          <w:rStyle w:val="Referencingstyle"/>
        </w:rPr>
        <w:t>1)</w:t>
      </w:r>
      <w:r w:rsidRPr="005E503C">
        <w:rPr>
          <w:rStyle w:val="Referencingstyle"/>
        </w:rPr>
        <w:t>]</w:t>
      </w:r>
    </w:p>
    <w:p w14:paraId="315E0667" w14:textId="77777777" w:rsidR="008B6F37" w:rsidRPr="005E503C" w:rsidRDefault="0000755E" w:rsidP="00C731CB">
      <w:pPr>
        <w:pStyle w:val="base-text-paragraph"/>
        <w:numPr>
          <w:ilvl w:val="1"/>
          <w:numId w:val="4"/>
        </w:numPr>
      </w:pPr>
      <w:r w:rsidRPr="005E503C">
        <w:t xml:space="preserve">In addition affordable housing use must have been </w:t>
      </w:r>
      <w:r w:rsidR="00571125" w:rsidRPr="005E503C">
        <w:t xml:space="preserve">from </w:t>
      </w:r>
      <w:r w:rsidRPr="005E503C">
        <w:t>on or after</w:t>
      </w:r>
      <w:r w:rsidR="008B6F37" w:rsidRPr="005E503C">
        <w:t>:</w:t>
      </w:r>
    </w:p>
    <w:p w14:paraId="43FD32F9" w14:textId="6923B286" w:rsidR="008B6F37" w:rsidRPr="005E503C" w:rsidRDefault="008B6F37" w:rsidP="00F24FDF">
      <w:pPr>
        <w:pStyle w:val="dotpoint"/>
      </w:pPr>
      <w:r w:rsidRPr="005E503C">
        <w:t xml:space="preserve">this measure — </w:t>
      </w:r>
      <w:r w:rsidR="0000755E" w:rsidRPr="005E503C">
        <w:t>1</w:t>
      </w:r>
      <w:r w:rsidR="009C2058" w:rsidRPr="005E503C">
        <w:t> </w:t>
      </w:r>
      <w:r w:rsidR="0000755E" w:rsidRPr="005E503C">
        <w:t>January 2018</w:t>
      </w:r>
      <w:r w:rsidR="00CD57BF" w:rsidRPr="005E503C">
        <w:t xml:space="preserve"> (</w:t>
      </w:r>
      <w:r w:rsidR="0000755E" w:rsidRPr="005E503C">
        <w:t xml:space="preserve">the day this measure </w:t>
      </w:r>
      <w:r w:rsidR="00CD57BF" w:rsidRPr="005E503C">
        <w:t>applies from)</w:t>
      </w:r>
      <w:r w:rsidR="005E5BCC" w:rsidRPr="005E503C">
        <w:t>;</w:t>
      </w:r>
      <w:r w:rsidR="00143B76" w:rsidRPr="005E503C">
        <w:t xml:space="preserve"> or </w:t>
      </w:r>
    </w:p>
    <w:p w14:paraId="756F1565" w14:textId="31C79AD8" w:rsidR="0000755E" w:rsidRPr="005E503C" w:rsidRDefault="00143B76">
      <w:pPr>
        <w:pStyle w:val="dotpoint"/>
      </w:pPr>
      <w:proofErr w:type="gramStart"/>
      <w:r w:rsidRPr="005E503C">
        <w:t>for</w:t>
      </w:r>
      <w:proofErr w:type="gramEnd"/>
      <w:r w:rsidRPr="005E503C">
        <w:t xml:space="preserve"> the MITs measure </w:t>
      </w:r>
      <w:r w:rsidR="00694A6D" w:rsidRPr="005E503C">
        <w:t xml:space="preserve">in Chapter 2 </w:t>
      </w:r>
      <w:r w:rsidR="008B6F37" w:rsidRPr="005E503C">
        <w:t xml:space="preserve">— </w:t>
      </w:r>
      <w:r w:rsidRPr="005E503C">
        <w:t>1 July 2017 (the day that measure applies from)</w:t>
      </w:r>
      <w:r w:rsidR="0000755E" w:rsidRPr="005E503C">
        <w:t>.</w:t>
      </w:r>
    </w:p>
    <w:p w14:paraId="32CF5936" w14:textId="4930B315" w:rsidR="00886148" w:rsidRPr="005E503C" w:rsidRDefault="0023270A" w:rsidP="008570B5">
      <w:pPr>
        <w:pStyle w:val="Heading5"/>
      </w:pPr>
      <w:r w:rsidRPr="005E503C">
        <w:t xml:space="preserve">Residential premises </w:t>
      </w:r>
      <w:r w:rsidR="00D37E41" w:rsidRPr="005E503C">
        <w:t>condition</w:t>
      </w:r>
    </w:p>
    <w:p w14:paraId="3F448B18" w14:textId="32DA2C77" w:rsidR="00666264" w:rsidRPr="005E503C" w:rsidRDefault="00293422" w:rsidP="00C731CB">
      <w:pPr>
        <w:pStyle w:val="base-text-paragraph"/>
        <w:numPr>
          <w:ilvl w:val="1"/>
          <w:numId w:val="4"/>
        </w:numPr>
      </w:pPr>
      <w:r w:rsidRPr="005E503C">
        <w:t xml:space="preserve">The </w:t>
      </w:r>
      <w:r w:rsidR="0023270A" w:rsidRPr="005E503C">
        <w:t>residential premises condition is satisfied if the dwelling is residential premises</w:t>
      </w:r>
      <w:r w:rsidR="000B0EDA" w:rsidRPr="005E503C">
        <w:t xml:space="preserve"> </w:t>
      </w:r>
      <w:r w:rsidR="000B0EDA" w:rsidRPr="005E503C">
        <w:rPr>
          <w:lang w:val="en-US" w:eastAsia="en-US"/>
        </w:rPr>
        <w:t xml:space="preserve">that </w:t>
      </w:r>
      <w:r w:rsidR="00B0653D" w:rsidRPr="005E503C">
        <w:rPr>
          <w:lang w:val="en-US" w:eastAsia="en-US"/>
        </w:rPr>
        <w:t>are</w:t>
      </w:r>
      <w:r w:rsidR="000B0EDA" w:rsidRPr="005E503C">
        <w:rPr>
          <w:lang w:val="en-US" w:eastAsia="en-US"/>
        </w:rPr>
        <w:t xml:space="preserve"> not commercial residential premises</w:t>
      </w:r>
      <w:r w:rsidR="0023270A" w:rsidRPr="005E503C">
        <w:t xml:space="preserve">. </w:t>
      </w:r>
      <w:r w:rsidR="00666264" w:rsidRPr="005E503C">
        <w:rPr>
          <w:rStyle w:val="Referencingstyle"/>
        </w:rPr>
        <w:t>Schedule</w:t>
      </w:r>
      <w:r w:rsidR="000B0EDA" w:rsidRPr="005E503C">
        <w:rPr>
          <w:rStyle w:val="Referencingstyle"/>
        </w:rPr>
        <w:t> </w:t>
      </w:r>
      <w:r w:rsidR="00725E78" w:rsidRPr="005E503C">
        <w:rPr>
          <w:rStyle w:val="Referencingstyle"/>
        </w:rPr>
        <w:t>1</w:t>
      </w:r>
      <w:r w:rsidR="00666264" w:rsidRPr="005E503C">
        <w:rPr>
          <w:rStyle w:val="Referencingstyle"/>
        </w:rPr>
        <w:t xml:space="preserve">, item </w:t>
      </w:r>
      <w:r w:rsidR="00725E78" w:rsidRPr="005E503C">
        <w:rPr>
          <w:rStyle w:val="Referencingstyle"/>
        </w:rPr>
        <w:t>3</w:t>
      </w:r>
      <w:r w:rsidR="00666264" w:rsidRPr="005E503C">
        <w:rPr>
          <w:rStyle w:val="Referencingstyle"/>
        </w:rPr>
        <w:t>, paragraph 980</w:t>
      </w:r>
      <w:r w:rsidR="00D61A16" w:rsidRPr="005E503C">
        <w:rPr>
          <w:rStyle w:val="Referencingstyle"/>
        </w:rPr>
        <w:noBreakHyphen/>
      </w:r>
      <w:r w:rsidR="00666264" w:rsidRPr="005E503C">
        <w:rPr>
          <w:rStyle w:val="Referencingstyle"/>
        </w:rPr>
        <w:t>5(a)]</w:t>
      </w:r>
    </w:p>
    <w:p w14:paraId="358F4898" w14:textId="7B3564E2" w:rsidR="00020AE1" w:rsidRPr="005E503C" w:rsidRDefault="00020AE1" w:rsidP="00C731CB">
      <w:pPr>
        <w:pStyle w:val="base-text-paragraph"/>
        <w:numPr>
          <w:ilvl w:val="1"/>
          <w:numId w:val="4"/>
        </w:numPr>
      </w:pPr>
      <w:r w:rsidRPr="005E503C">
        <w:lastRenderedPageBreak/>
        <w:t xml:space="preserve">The term ‘residential premises’ is defined in </w:t>
      </w:r>
      <w:r w:rsidR="00AA3524" w:rsidRPr="005E503C">
        <w:t>subsection 995</w:t>
      </w:r>
      <w:r w:rsidR="00AA3524" w:rsidRPr="005E503C">
        <w:noBreakHyphen/>
        <w:t xml:space="preserve">1(1) of </w:t>
      </w:r>
      <w:r w:rsidRPr="005E503C">
        <w:t xml:space="preserve">the ITAA 1997 as having the same meaning as in the </w:t>
      </w:r>
      <w:r w:rsidRPr="005E503C">
        <w:rPr>
          <w:i/>
        </w:rPr>
        <w:t xml:space="preserve">A New Tax System (Goods and Services Tax) Act 1999 </w:t>
      </w:r>
      <w:r w:rsidRPr="005E503C">
        <w:t xml:space="preserve">(GST Act). The GST Act provides that </w:t>
      </w:r>
      <w:r w:rsidR="001952BA" w:rsidRPr="005E503C">
        <w:t xml:space="preserve">the term </w:t>
      </w:r>
      <w:r w:rsidRPr="005E503C">
        <w:t>‘residential premises’ means land or a building that:</w:t>
      </w:r>
    </w:p>
    <w:p w14:paraId="54E0D139" w14:textId="77777777" w:rsidR="00020AE1" w:rsidRPr="005E503C" w:rsidRDefault="00020AE1" w:rsidP="00020AE1">
      <w:pPr>
        <w:pStyle w:val="dotpoint"/>
      </w:pPr>
      <w:r w:rsidRPr="005E503C">
        <w:t>is occupied as a residence or for residential accommodation; or</w:t>
      </w:r>
    </w:p>
    <w:p w14:paraId="4FC76806" w14:textId="77777777" w:rsidR="00020AE1" w:rsidRPr="005E503C" w:rsidRDefault="00020AE1" w:rsidP="00020AE1">
      <w:pPr>
        <w:pStyle w:val="dotpoint"/>
      </w:pPr>
      <w:proofErr w:type="gramStart"/>
      <w:r w:rsidRPr="005E503C">
        <w:t>is</w:t>
      </w:r>
      <w:proofErr w:type="gramEnd"/>
      <w:r w:rsidRPr="005E503C">
        <w:t xml:space="preserve"> intended to be occupied, and is capable of being occupied, as a residence or for residential accommodation.</w:t>
      </w:r>
    </w:p>
    <w:p w14:paraId="2FEE92BC" w14:textId="44CA7C1A" w:rsidR="00020AE1" w:rsidRPr="005E503C" w:rsidRDefault="00020AE1" w:rsidP="00C731CB">
      <w:pPr>
        <w:pStyle w:val="base-text-paragraph"/>
        <w:numPr>
          <w:ilvl w:val="1"/>
          <w:numId w:val="7"/>
        </w:numPr>
      </w:pPr>
      <w:r w:rsidRPr="005E503C">
        <w:t xml:space="preserve">The definition specifies that land or a building that meets these requirements is residential premises regardless of the term of the occupation or intended occupation. It also specifies that </w:t>
      </w:r>
      <w:r w:rsidR="00A7496C" w:rsidRPr="005E503C">
        <w:t xml:space="preserve">the term </w:t>
      </w:r>
      <w:r w:rsidRPr="005E503C">
        <w:t xml:space="preserve">residential </w:t>
      </w:r>
      <w:proofErr w:type="gramStart"/>
      <w:r w:rsidRPr="005E503C">
        <w:t>premises include</w:t>
      </w:r>
      <w:r w:rsidR="00D842D7" w:rsidRPr="005E503C">
        <w:t>s</w:t>
      </w:r>
      <w:proofErr w:type="gramEnd"/>
      <w:r w:rsidRPr="005E503C">
        <w:t xml:space="preserve"> a floating home.</w:t>
      </w:r>
    </w:p>
    <w:p w14:paraId="4099302A" w14:textId="7F5A8202" w:rsidR="00020AE1" w:rsidRPr="005E503C" w:rsidRDefault="00020AE1" w:rsidP="00C731CB">
      <w:pPr>
        <w:pStyle w:val="base-text-paragraph"/>
        <w:numPr>
          <w:ilvl w:val="1"/>
          <w:numId w:val="4"/>
        </w:numPr>
      </w:pPr>
      <w:r w:rsidRPr="005E503C">
        <w:t>Due to its use in the GST law, this defined term is already the subject of considerable judicial scrutiny and interpretative guidance. Broadly, land or a building will be residential premises if it provides, at minimum, shelter and basic living facilities and is either occupied by a person or designed for occupation.</w:t>
      </w:r>
      <w:r w:rsidR="00230C76" w:rsidRPr="005E503C">
        <w:t xml:space="preserve"> </w:t>
      </w:r>
      <w:r w:rsidRPr="005E503C">
        <w:t xml:space="preserve">This is to be ascertained by an objective consideration of the character of the property </w:t>
      </w:r>
      <w:r w:rsidR="00230C76" w:rsidRPr="005E503C">
        <w:t>—</w:t>
      </w:r>
      <w:r w:rsidRPr="005E503C">
        <w:t xml:space="preserve"> the purpose for which an entity may hold the property is not relevant. </w:t>
      </w:r>
    </w:p>
    <w:p w14:paraId="0F9DFA90" w14:textId="565F4A10" w:rsidR="0042134C" w:rsidRPr="005E503C" w:rsidRDefault="00020AE1" w:rsidP="00C731CB">
      <w:pPr>
        <w:pStyle w:val="base-text-paragraph"/>
        <w:numPr>
          <w:ilvl w:val="1"/>
          <w:numId w:val="4"/>
        </w:numPr>
      </w:pPr>
      <w:r w:rsidRPr="005E503C">
        <w:t xml:space="preserve">Residential premises need only be suitable for occupation, rather than long-term occupation </w:t>
      </w:r>
      <w:r w:rsidR="00230C76" w:rsidRPr="005E503C">
        <w:t>—</w:t>
      </w:r>
      <w:r w:rsidRPr="005E503C">
        <w:t xml:space="preserve"> they include, for example, a hotel room that may only be suitable for short term accommodation. However, it does not include things that people may occupy that are not land or a building, such as a caravan. </w:t>
      </w:r>
    </w:p>
    <w:p w14:paraId="33A71063" w14:textId="1FF2D8CA" w:rsidR="00A6222C" w:rsidRPr="005E503C" w:rsidRDefault="00C276D8" w:rsidP="00C731CB">
      <w:pPr>
        <w:pStyle w:val="base-text-paragraph"/>
        <w:numPr>
          <w:ilvl w:val="1"/>
          <w:numId w:val="4"/>
        </w:numPr>
      </w:pPr>
      <w:r w:rsidRPr="005E503C">
        <w:t xml:space="preserve">The term </w:t>
      </w:r>
      <w:r w:rsidR="0069646C" w:rsidRPr="005E503C">
        <w:t>‘</w:t>
      </w:r>
      <w:r w:rsidRPr="005E503C">
        <w:t>c</w:t>
      </w:r>
      <w:r w:rsidR="00A6222C" w:rsidRPr="005E503C">
        <w:t>ommercial residential premises</w:t>
      </w:r>
      <w:r w:rsidR="0069646C" w:rsidRPr="005E503C">
        <w:t>’</w:t>
      </w:r>
      <w:r w:rsidR="00A6222C" w:rsidRPr="005E503C">
        <w:t xml:space="preserve"> </w:t>
      </w:r>
      <w:r w:rsidR="00ED4464" w:rsidRPr="005E503C">
        <w:t>takes its meaning from the GST Act. Section 195</w:t>
      </w:r>
      <w:r w:rsidR="00B84576" w:rsidRPr="005E503C">
        <w:noBreakHyphen/>
      </w:r>
      <w:r w:rsidR="00ED4464" w:rsidRPr="005E503C">
        <w:t xml:space="preserve">1 of the GST Act defines commercial residential </w:t>
      </w:r>
      <w:r w:rsidR="00764B89" w:rsidRPr="005E503C">
        <w:t>premises as:</w:t>
      </w:r>
    </w:p>
    <w:p w14:paraId="17369F60" w14:textId="77777777" w:rsidR="006030EA" w:rsidRPr="005E503C" w:rsidRDefault="00A6222C" w:rsidP="005F5A84">
      <w:pPr>
        <w:pStyle w:val="dotpoint"/>
      </w:pPr>
      <w:r w:rsidRPr="005E503C">
        <w:t xml:space="preserve">a hotel, motel, inn, hostel or boarding house; </w:t>
      </w:r>
    </w:p>
    <w:p w14:paraId="129B8F2E" w14:textId="77777777" w:rsidR="006030EA" w:rsidRPr="005E503C" w:rsidRDefault="00A6222C">
      <w:pPr>
        <w:pStyle w:val="dotpoint"/>
      </w:pPr>
      <w:r w:rsidRPr="005E503C">
        <w:t xml:space="preserve">premises used to provide accommodation in connection with a school; </w:t>
      </w:r>
    </w:p>
    <w:p w14:paraId="021EE398" w14:textId="77777777" w:rsidR="006030EA" w:rsidRPr="005E503C" w:rsidRDefault="00A6222C">
      <w:pPr>
        <w:pStyle w:val="dotpoint"/>
      </w:pPr>
      <w:r w:rsidRPr="005E503C">
        <w:t xml:space="preserve">a ship that is mainly let out on hire in the ordinary course of a business of letting ships out on hire; </w:t>
      </w:r>
    </w:p>
    <w:p w14:paraId="6253FA4E" w14:textId="77777777" w:rsidR="006030EA" w:rsidRPr="005E503C" w:rsidRDefault="00A6222C">
      <w:pPr>
        <w:pStyle w:val="dotpoint"/>
      </w:pPr>
      <w:r w:rsidRPr="005E503C">
        <w:t xml:space="preserve">a ship that is mainly used for entertainment or transport in the ordinary course of a business of providing ships for entertainment or transport; </w:t>
      </w:r>
    </w:p>
    <w:p w14:paraId="33EC3A01" w14:textId="77777777" w:rsidR="006030EA" w:rsidRPr="005E503C" w:rsidRDefault="00A6222C">
      <w:pPr>
        <w:pStyle w:val="dotpoint"/>
      </w:pPr>
      <w:r w:rsidRPr="005E503C">
        <w:t xml:space="preserve">a marina at which one or more of the berths are occupied, or are to be occupied, by ships used as residences; </w:t>
      </w:r>
    </w:p>
    <w:p w14:paraId="6115408C" w14:textId="77777777" w:rsidR="006030EA" w:rsidRPr="005E503C" w:rsidRDefault="00A6222C">
      <w:pPr>
        <w:pStyle w:val="dotpoint"/>
      </w:pPr>
      <w:r w:rsidRPr="005E503C">
        <w:t xml:space="preserve">a caravan park or a camping ground; or </w:t>
      </w:r>
    </w:p>
    <w:p w14:paraId="1125158D" w14:textId="06EA6454" w:rsidR="00A6222C" w:rsidRPr="005E503C" w:rsidRDefault="006030EA" w:rsidP="00661E8D">
      <w:pPr>
        <w:pStyle w:val="dotpoint"/>
        <w:keepNext/>
        <w:ind w:left="2269"/>
      </w:pPr>
      <w:proofErr w:type="gramStart"/>
      <w:r w:rsidRPr="005E503C">
        <w:lastRenderedPageBreak/>
        <w:t>a</w:t>
      </w:r>
      <w:r w:rsidR="00A6222C" w:rsidRPr="005E503C">
        <w:t>nything</w:t>
      </w:r>
      <w:proofErr w:type="gramEnd"/>
      <w:r w:rsidR="00A6222C" w:rsidRPr="005E503C">
        <w:t xml:space="preserve"> similar to residential premises described in </w:t>
      </w:r>
      <w:r w:rsidR="00E53C09" w:rsidRPr="005E503C">
        <w:t xml:space="preserve">the </w:t>
      </w:r>
      <w:r w:rsidR="00780F77" w:rsidRPr="005E503C">
        <w:t xml:space="preserve">preceding </w:t>
      </w:r>
      <w:r w:rsidR="00E53C09" w:rsidRPr="005E503C">
        <w:t>dot points</w:t>
      </w:r>
      <w:r w:rsidR="00A6222C" w:rsidRPr="005E503C">
        <w:t xml:space="preserve">. </w:t>
      </w:r>
    </w:p>
    <w:p w14:paraId="3FC4BCA6" w14:textId="10F839DE" w:rsidR="0053763C" w:rsidRPr="005E503C" w:rsidRDefault="0053763C" w:rsidP="0053763C">
      <w:pPr>
        <w:pStyle w:val="base-text-paragraph"/>
        <w:numPr>
          <w:ilvl w:val="0"/>
          <w:numId w:val="0"/>
        </w:numPr>
        <w:ind w:left="1134"/>
        <w:rPr>
          <w:rStyle w:val="Referencingstyle"/>
        </w:rPr>
      </w:pPr>
      <w:r w:rsidRPr="005E503C">
        <w:rPr>
          <w:rStyle w:val="Referencingstyle"/>
        </w:rPr>
        <w:t xml:space="preserve">[Schedule </w:t>
      </w:r>
      <w:r w:rsidR="00337C80" w:rsidRPr="005E503C">
        <w:rPr>
          <w:rStyle w:val="Referencingstyle"/>
        </w:rPr>
        <w:t>1</w:t>
      </w:r>
      <w:r w:rsidRPr="005E503C">
        <w:rPr>
          <w:rStyle w:val="Referencingstyle"/>
        </w:rPr>
        <w:t xml:space="preserve">, item </w:t>
      </w:r>
      <w:r w:rsidR="00DF0744" w:rsidRPr="005E503C">
        <w:rPr>
          <w:rStyle w:val="Referencingstyle"/>
        </w:rPr>
        <w:t>4</w:t>
      </w:r>
      <w:r w:rsidRPr="005E503C">
        <w:rPr>
          <w:rStyle w:val="Referencingstyle"/>
        </w:rPr>
        <w:t>, definition of commercial residential premises in subsection</w:t>
      </w:r>
      <w:r w:rsidR="00D52F9C" w:rsidRPr="005E503C">
        <w:rPr>
          <w:rStyle w:val="Referencingstyle"/>
        </w:rPr>
        <w:t> </w:t>
      </w:r>
      <w:r w:rsidRPr="005E503C">
        <w:rPr>
          <w:rStyle w:val="Referencingstyle"/>
        </w:rPr>
        <w:t>995</w:t>
      </w:r>
      <w:r w:rsidRPr="005E503C">
        <w:rPr>
          <w:rStyle w:val="Referencingstyle"/>
        </w:rPr>
        <w:noBreakHyphen/>
      </w:r>
      <w:proofErr w:type="gramStart"/>
      <w:r w:rsidRPr="005E503C">
        <w:rPr>
          <w:rStyle w:val="Referencingstyle"/>
        </w:rPr>
        <w:t>1(</w:t>
      </w:r>
      <w:proofErr w:type="gramEnd"/>
      <w:r w:rsidRPr="005E503C">
        <w:rPr>
          <w:rStyle w:val="Referencingstyle"/>
        </w:rPr>
        <w:t>1)]</w:t>
      </w:r>
    </w:p>
    <w:p w14:paraId="4FD998B1" w14:textId="1DBE25AF" w:rsidR="00020AE1" w:rsidRPr="005E503C" w:rsidRDefault="00A6222C" w:rsidP="00C731CB">
      <w:pPr>
        <w:pStyle w:val="base-text-paragraph"/>
        <w:numPr>
          <w:ilvl w:val="1"/>
          <w:numId w:val="4"/>
        </w:numPr>
      </w:pPr>
      <w:r w:rsidRPr="005E503C">
        <w:t xml:space="preserve">The definition </w:t>
      </w:r>
      <w:r w:rsidR="006030EA" w:rsidRPr="005E503C">
        <w:t xml:space="preserve">of commercial residential premises also </w:t>
      </w:r>
      <w:r w:rsidRPr="005E503C">
        <w:t>expressly excludes premises to the extent that they are used to provide accommodation to students in connection with an education</w:t>
      </w:r>
      <w:r w:rsidR="00391246" w:rsidRPr="005E503C">
        <w:t>al</w:t>
      </w:r>
      <w:r w:rsidRPr="005E503C">
        <w:t xml:space="preserve"> institution that is not a school.</w:t>
      </w:r>
      <w:r w:rsidR="006030EA" w:rsidRPr="005E503C">
        <w:t xml:space="preserve"> For further information about commercial residential premises refer to Goods and Services Tax Taxation Ruling GSTR</w:t>
      </w:r>
      <w:r w:rsidR="00B84576" w:rsidRPr="005E503C">
        <w:t> </w:t>
      </w:r>
      <w:r w:rsidR="006030EA" w:rsidRPr="005E503C">
        <w:t>2012/6</w:t>
      </w:r>
      <w:r w:rsidR="00B84576" w:rsidRPr="005E503C">
        <w:t> —</w:t>
      </w:r>
      <w:r w:rsidR="006030EA" w:rsidRPr="005E503C">
        <w:t xml:space="preserve"> </w:t>
      </w:r>
      <w:r w:rsidR="007C71C7" w:rsidRPr="005E503C">
        <w:t>Goods and services tax: c</w:t>
      </w:r>
      <w:r w:rsidR="006030EA" w:rsidRPr="005E503C">
        <w:t>ommercial residential premises.</w:t>
      </w:r>
    </w:p>
    <w:p w14:paraId="4CA9A6EF" w14:textId="15D44337" w:rsidR="00D37E41" w:rsidRPr="005E503C" w:rsidRDefault="004837F2" w:rsidP="009C6A7F">
      <w:pPr>
        <w:pStyle w:val="Heading5"/>
      </w:pPr>
      <w:r w:rsidRPr="005E503C">
        <w:t>Property management condition</w:t>
      </w:r>
    </w:p>
    <w:p w14:paraId="4F9B8615" w14:textId="41522D5A" w:rsidR="001B2E7B" w:rsidRPr="005E503C" w:rsidRDefault="00580EAC" w:rsidP="00C731CB">
      <w:pPr>
        <w:pStyle w:val="base-text-paragraph"/>
        <w:numPr>
          <w:ilvl w:val="1"/>
          <w:numId w:val="4"/>
        </w:numPr>
      </w:pPr>
      <w:r w:rsidRPr="005E503C">
        <w:t>The property management condition requires the tenancy of the dwelling or its availability for rent to be exclusively managed by an eligible community housing provider.</w:t>
      </w:r>
      <w:r w:rsidR="008B3BC4" w:rsidRPr="005E503C">
        <w:t xml:space="preserve"> </w:t>
      </w:r>
      <w:r w:rsidR="008B3BC4" w:rsidRPr="005E503C">
        <w:rPr>
          <w:rStyle w:val="Referencingstyle"/>
        </w:rPr>
        <w:t xml:space="preserve">[Schedule </w:t>
      </w:r>
      <w:r w:rsidR="00DF0744" w:rsidRPr="005E503C">
        <w:rPr>
          <w:rStyle w:val="Referencingstyle"/>
        </w:rPr>
        <w:t>1</w:t>
      </w:r>
      <w:r w:rsidR="008B3BC4" w:rsidRPr="005E503C">
        <w:rPr>
          <w:rStyle w:val="Referencingstyle"/>
        </w:rPr>
        <w:t xml:space="preserve">, item </w:t>
      </w:r>
      <w:r w:rsidR="00DF0744" w:rsidRPr="005E503C">
        <w:rPr>
          <w:rStyle w:val="Referencingstyle"/>
        </w:rPr>
        <w:t>3</w:t>
      </w:r>
      <w:r w:rsidR="008B3BC4" w:rsidRPr="005E503C">
        <w:rPr>
          <w:rStyle w:val="Referencingstyle"/>
        </w:rPr>
        <w:t>, p</w:t>
      </w:r>
      <w:r w:rsidR="00221550" w:rsidRPr="005E503C">
        <w:rPr>
          <w:rStyle w:val="Referencingstyle"/>
        </w:rPr>
        <w:t>aragraph 980</w:t>
      </w:r>
      <w:r w:rsidR="00D61A16" w:rsidRPr="005E503C">
        <w:rPr>
          <w:rStyle w:val="Referencingstyle"/>
        </w:rPr>
        <w:noBreakHyphen/>
      </w:r>
      <w:r w:rsidR="00221550" w:rsidRPr="005E503C">
        <w:rPr>
          <w:rStyle w:val="Referencingstyle"/>
        </w:rPr>
        <w:t>5(</w:t>
      </w:r>
      <w:r w:rsidR="009B0F50" w:rsidRPr="005E503C">
        <w:rPr>
          <w:rStyle w:val="Referencingstyle"/>
        </w:rPr>
        <w:t>b</w:t>
      </w:r>
      <w:r w:rsidR="00221550" w:rsidRPr="005E503C">
        <w:rPr>
          <w:rStyle w:val="Referencingstyle"/>
        </w:rPr>
        <w:t>)]</w:t>
      </w:r>
    </w:p>
    <w:p w14:paraId="0DEE0490" w14:textId="75DB74B1" w:rsidR="00797B1B" w:rsidRPr="005E503C" w:rsidRDefault="00491464" w:rsidP="00C731CB">
      <w:pPr>
        <w:pStyle w:val="base-text-paragraph"/>
        <w:numPr>
          <w:ilvl w:val="1"/>
          <w:numId w:val="4"/>
        </w:numPr>
      </w:pPr>
      <w:r w:rsidRPr="005E503C">
        <w:t xml:space="preserve">Community housing providers </w:t>
      </w:r>
      <w:r w:rsidR="00797B1B" w:rsidRPr="005E503C">
        <w:t xml:space="preserve">provide rental housing to </w:t>
      </w:r>
      <w:r w:rsidR="00747266" w:rsidRPr="005E503C">
        <w:t xml:space="preserve">tenants who are </w:t>
      </w:r>
      <w:r w:rsidR="00797B1B" w:rsidRPr="005E503C">
        <w:t xml:space="preserve">members of the community earning low to moderate incomes. </w:t>
      </w:r>
      <w:r w:rsidR="00391246" w:rsidRPr="005E503C">
        <w:t>C</w:t>
      </w:r>
      <w:r w:rsidR="006502A2" w:rsidRPr="005E503C">
        <w:t xml:space="preserve">ommunity housing </w:t>
      </w:r>
      <w:r w:rsidR="00E87EA1" w:rsidRPr="005E503C">
        <w:t>providers</w:t>
      </w:r>
      <w:r w:rsidR="00797B1B" w:rsidRPr="005E503C">
        <w:t xml:space="preserve"> </w:t>
      </w:r>
      <w:r w:rsidR="00391246" w:rsidRPr="005E503C">
        <w:t>may</w:t>
      </w:r>
      <w:r w:rsidR="00797B1B" w:rsidRPr="005E503C">
        <w:t xml:space="preserve"> own some of the </w:t>
      </w:r>
      <w:proofErr w:type="gramStart"/>
      <w:r w:rsidR="00797B1B" w:rsidRPr="005E503C">
        <w:t>dwellings,</w:t>
      </w:r>
      <w:proofErr w:type="gramEnd"/>
      <w:r w:rsidR="00797B1B" w:rsidRPr="005E503C">
        <w:t xml:space="preserve"> however they also manage dwellings on behalf of investors, institutions and state and territory governments. Many community housing providers specialise in providing accommodation to particular client groups which may include disability housing, aged tenants and youth housing.</w:t>
      </w:r>
    </w:p>
    <w:p w14:paraId="29C52450" w14:textId="685A2120" w:rsidR="00B746D3" w:rsidRPr="005E503C" w:rsidRDefault="00452EB0" w:rsidP="00C731CB">
      <w:pPr>
        <w:pStyle w:val="base-text-paragraph"/>
        <w:numPr>
          <w:ilvl w:val="1"/>
          <w:numId w:val="4"/>
        </w:numPr>
        <w:rPr>
          <w:rStyle w:val="Referencingstyle"/>
          <w:b w:val="0"/>
          <w:i w:val="0"/>
          <w:sz w:val="22"/>
        </w:rPr>
      </w:pPr>
      <w:r w:rsidRPr="005E503C">
        <w:t xml:space="preserve">Community housing providers are regulated by </w:t>
      </w:r>
      <w:r w:rsidRPr="005E503C" w:rsidDel="00797B1B">
        <w:t xml:space="preserve">the </w:t>
      </w:r>
      <w:r w:rsidRPr="005E503C">
        <w:t xml:space="preserve">states and territories. </w:t>
      </w:r>
      <w:r w:rsidR="009F1B47" w:rsidRPr="005E503C">
        <w:t>For the purposes of this measure a</w:t>
      </w:r>
      <w:r w:rsidR="000265B9" w:rsidRPr="005E503C">
        <w:t xml:space="preserve">n eligible community housing provider </w:t>
      </w:r>
      <w:r w:rsidR="00491464" w:rsidRPr="005E503C">
        <w:t>i</w:t>
      </w:r>
      <w:r w:rsidR="000265B9" w:rsidRPr="005E503C">
        <w:t xml:space="preserve">s </w:t>
      </w:r>
      <w:r w:rsidR="00610368" w:rsidRPr="005E503C">
        <w:t>an entity that is registered as a community housing provider to provide community housing services under a</w:t>
      </w:r>
      <w:r w:rsidR="000D0A32" w:rsidRPr="005E503C">
        <w:t xml:space="preserve"> law of the Commonwealth, state or territory</w:t>
      </w:r>
      <w:r w:rsidR="00610368" w:rsidRPr="005E503C">
        <w:t xml:space="preserve"> or </w:t>
      </w:r>
      <w:r w:rsidR="006B514C" w:rsidRPr="005E503C">
        <w:t xml:space="preserve">is registered </w:t>
      </w:r>
      <w:r w:rsidR="00610368" w:rsidRPr="005E503C">
        <w:t xml:space="preserve">by an Australian government or government entity. </w:t>
      </w:r>
      <w:r w:rsidR="008F0CBA" w:rsidRPr="005E503C">
        <w:rPr>
          <w:rStyle w:val="Referencingstyle"/>
        </w:rPr>
        <w:t xml:space="preserve">[Schedule </w:t>
      </w:r>
      <w:r w:rsidR="00DF0744" w:rsidRPr="005E503C">
        <w:rPr>
          <w:rStyle w:val="Referencingstyle"/>
        </w:rPr>
        <w:t>1</w:t>
      </w:r>
      <w:r w:rsidR="008F0CBA" w:rsidRPr="005E503C">
        <w:rPr>
          <w:rStyle w:val="Referencingstyle"/>
        </w:rPr>
        <w:t>, item</w:t>
      </w:r>
      <w:r w:rsidR="00A47188" w:rsidRPr="005E503C">
        <w:rPr>
          <w:rStyle w:val="Referencingstyle"/>
        </w:rPr>
        <w:t>s</w:t>
      </w:r>
      <w:r w:rsidR="008F0CBA" w:rsidRPr="005E503C">
        <w:rPr>
          <w:rStyle w:val="Referencingstyle"/>
        </w:rPr>
        <w:t xml:space="preserve"> </w:t>
      </w:r>
      <w:r w:rsidR="00DF0744" w:rsidRPr="005E503C">
        <w:rPr>
          <w:rStyle w:val="Referencingstyle"/>
        </w:rPr>
        <w:t>3</w:t>
      </w:r>
      <w:r w:rsidR="00A47188" w:rsidRPr="005E503C">
        <w:rPr>
          <w:rStyle w:val="Referencingstyle"/>
        </w:rPr>
        <w:t xml:space="preserve"> and </w:t>
      </w:r>
      <w:r w:rsidR="00DF0744" w:rsidRPr="005E503C">
        <w:rPr>
          <w:rStyle w:val="Referencingstyle"/>
        </w:rPr>
        <w:t>4</w:t>
      </w:r>
      <w:r w:rsidR="008F0CBA" w:rsidRPr="005E503C">
        <w:rPr>
          <w:rStyle w:val="Referencingstyle"/>
        </w:rPr>
        <w:t>, subsection 9</w:t>
      </w:r>
      <w:r w:rsidR="00A14E43" w:rsidRPr="005E503C">
        <w:rPr>
          <w:rStyle w:val="Referencingstyle"/>
        </w:rPr>
        <w:t>80</w:t>
      </w:r>
      <w:r w:rsidR="008F0CBA" w:rsidRPr="005E503C">
        <w:rPr>
          <w:rStyle w:val="Referencingstyle"/>
        </w:rPr>
        <w:noBreakHyphen/>
      </w:r>
      <w:r w:rsidR="00DF0744" w:rsidRPr="005E503C">
        <w:rPr>
          <w:rStyle w:val="Referencingstyle"/>
        </w:rPr>
        <w:t>10</w:t>
      </w:r>
      <w:r w:rsidR="008F0CBA" w:rsidRPr="005E503C">
        <w:rPr>
          <w:rStyle w:val="Referencingstyle"/>
        </w:rPr>
        <w:t>(1)</w:t>
      </w:r>
      <w:r w:rsidR="0012179D" w:rsidRPr="005E503C">
        <w:rPr>
          <w:rStyle w:val="Referencingstyle"/>
        </w:rPr>
        <w:t xml:space="preserve"> and definition of eligible community housing provider in subsection 995</w:t>
      </w:r>
      <w:r w:rsidR="0012179D" w:rsidRPr="005E503C">
        <w:rPr>
          <w:rStyle w:val="Referencingstyle"/>
        </w:rPr>
        <w:noBreakHyphen/>
        <w:t>1(1)]</w:t>
      </w:r>
    </w:p>
    <w:p w14:paraId="3E67BCC1" w14:textId="4EB89BB6" w:rsidR="00367FF2" w:rsidRPr="005E503C" w:rsidRDefault="00546140" w:rsidP="00C731CB">
      <w:pPr>
        <w:pStyle w:val="base-text-paragraph"/>
        <w:numPr>
          <w:ilvl w:val="1"/>
          <w:numId w:val="4"/>
        </w:numPr>
      </w:pPr>
      <w:r w:rsidRPr="005E503C">
        <w:t xml:space="preserve">An organisation that was a community housing provider will </w:t>
      </w:r>
      <w:proofErr w:type="gramStart"/>
      <w:r w:rsidRPr="005E503C">
        <w:t>continue</w:t>
      </w:r>
      <w:proofErr w:type="gramEnd"/>
      <w:r w:rsidRPr="005E503C">
        <w:t xml:space="preserve"> to be recognised as an eligible community housing provider </w:t>
      </w:r>
      <w:r w:rsidR="00367FF2" w:rsidRPr="005E503C">
        <w:t xml:space="preserve">for a period of 90 days </w:t>
      </w:r>
      <w:r w:rsidRPr="005E503C">
        <w:t xml:space="preserve">from when its registration as a community housing provider is cancelled by a state or territory registrar. This ensures that investors do not immediately lose access to the additional capital gains discount for the dwelling by giving them a transition period to find a new community housing provider. </w:t>
      </w:r>
      <w:r w:rsidR="00A14E43" w:rsidRPr="005E503C">
        <w:rPr>
          <w:rStyle w:val="Referencingstyle"/>
        </w:rPr>
        <w:t xml:space="preserve">[Schedule </w:t>
      </w:r>
      <w:r w:rsidR="00DF0744" w:rsidRPr="005E503C">
        <w:rPr>
          <w:rStyle w:val="Referencingstyle"/>
        </w:rPr>
        <w:t>1</w:t>
      </w:r>
      <w:r w:rsidR="00A14E43" w:rsidRPr="005E503C">
        <w:rPr>
          <w:rStyle w:val="Referencingstyle"/>
        </w:rPr>
        <w:t xml:space="preserve">, item </w:t>
      </w:r>
      <w:r w:rsidR="00DF0744" w:rsidRPr="005E503C">
        <w:rPr>
          <w:rStyle w:val="Referencingstyle"/>
        </w:rPr>
        <w:t>3</w:t>
      </w:r>
      <w:r w:rsidR="00A14E43" w:rsidRPr="005E503C">
        <w:rPr>
          <w:rStyle w:val="Referencingstyle"/>
        </w:rPr>
        <w:t>, subsection 980</w:t>
      </w:r>
      <w:r w:rsidR="00A14E43" w:rsidRPr="005E503C">
        <w:rPr>
          <w:rStyle w:val="Referencingstyle"/>
        </w:rPr>
        <w:noBreakHyphen/>
        <w:t>25(</w:t>
      </w:r>
      <w:r w:rsidRPr="005E503C">
        <w:rPr>
          <w:rStyle w:val="Referencingstyle"/>
        </w:rPr>
        <w:t>2</w:t>
      </w:r>
      <w:r w:rsidR="00A14E43" w:rsidRPr="005E503C">
        <w:rPr>
          <w:rStyle w:val="Referencingstyle"/>
        </w:rPr>
        <w:t>)]</w:t>
      </w:r>
    </w:p>
    <w:p w14:paraId="513EF463" w14:textId="1BB45958" w:rsidR="007A022D" w:rsidRPr="005E503C" w:rsidRDefault="00DE6CD5" w:rsidP="00C731CB">
      <w:pPr>
        <w:pStyle w:val="base-text-paragraph"/>
        <w:numPr>
          <w:ilvl w:val="1"/>
          <w:numId w:val="4"/>
        </w:numPr>
      </w:pPr>
      <w:r w:rsidRPr="005E503C">
        <w:t>The management of a tenancy generally include</w:t>
      </w:r>
      <w:r w:rsidR="00443187" w:rsidRPr="005E503C">
        <w:t>s</w:t>
      </w:r>
      <w:r w:rsidRPr="005E503C">
        <w:t xml:space="preserve"> </w:t>
      </w:r>
      <w:r w:rsidR="008764EF" w:rsidRPr="005E503C">
        <w:t xml:space="preserve">being the point of contact </w:t>
      </w:r>
      <w:r w:rsidR="00F67946" w:rsidRPr="005E503C">
        <w:t>for the property for tenants, c</w:t>
      </w:r>
      <w:r w:rsidR="00443187" w:rsidRPr="005E503C">
        <w:t xml:space="preserve">ollecting rent from the </w:t>
      </w:r>
      <w:r w:rsidR="008764EF" w:rsidRPr="005E503C">
        <w:t>tenants,</w:t>
      </w:r>
      <w:r w:rsidR="00443187" w:rsidRPr="005E503C">
        <w:t xml:space="preserve"> </w:t>
      </w:r>
      <w:r w:rsidRPr="005E503C">
        <w:t xml:space="preserve">conducting property </w:t>
      </w:r>
      <w:r w:rsidR="00443187" w:rsidRPr="005E503C">
        <w:t>i</w:t>
      </w:r>
      <w:r w:rsidRPr="005E503C">
        <w:t>nspections</w:t>
      </w:r>
      <w:r w:rsidR="007A022D" w:rsidRPr="005E503C">
        <w:t>,</w:t>
      </w:r>
      <w:r w:rsidR="00F67946" w:rsidRPr="005E503C">
        <w:t xml:space="preserve"> </w:t>
      </w:r>
      <w:r w:rsidRPr="005E503C">
        <w:t xml:space="preserve">scheduling </w:t>
      </w:r>
      <w:r w:rsidR="006B514C" w:rsidRPr="005E503C">
        <w:t xml:space="preserve">and managing </w:t>
      </w:r>
      <w:r w:rsidR="002D1657" w:rsidRPr="005E503C">
        <w:t xml:space="preserve">the carrying out of </w:t>
      </w:r>
      <w:r w:rsidRPr="005E503C">
        <w:t xml:space="preserve">repairs and maintenance </w:t>
      </w:r>
      <w:r w:rsidR="008764EF" w:rsidRPr="005E503C">
        <w:t xml:space="preserve">for the </w:t>
      </w:r>
      <w:r w:rsidR="000165B0" w:rsidRPr="005E503C">
        <w:t>dwelling</w:t>
      </w:r>
      <w:r w:rsidR="007A022D" w:rsidRPr="005E503C">
        <w:t xml:space="preserve">, </w:t>
      </w:r>
      <w:r w:rsidR="00EC4723" w:rsidRPr="005E503C">
        <w:t xml:space="preserve">keeping of records, giving of notices to tenants on behalf of the owner (if required) </w:t>
      </w:r>
      <w:r w:rsidR="007A022D" w:rsidRPr="005E503C">
        <w:t xml:space="preserve">and, if the </w:t>
      </w:r>
      <w:r w:rsidR="000165B0" w:rsidRPr="005E503C">
        <w:lastRenderedPageBreak/>
        <w:t xml:space="preserve">dwelling </w:t>
      </w:r>
      <w:r w:rsidR="007A022D" w:rsidRPr="005E503C">
        <w:t>is vacant, advertising it as being available for rent</w:t>
      </w:r>
      <w:r w:rsidR="002D1657" w:rsidRPr="005E503C">
        <w:t xml:space="preserve"> and arranging tenancy agreements</w:t>
      </w:r>
      <w:r w:rsidR="007A022D" w:rsidRPr="005E503C">
        <w:t>.</w:t>
      </w:r>
      <w:r w:rsidR="00E26F06" w:rsidRPr="005E503C">
        <w:t xml:space="preserve"> </w:t>
      </w:r>
      <w:r w:rsidR="007A022D" w:rsidRPr="005E503C">
        <w:t xml:space="preserve">A dwelling is available for rent if </w:t>
      </w:r>
      <w:r w:rsidR="000165B0" w:rsidRPr="005E503C">
        <w:t>it</w:t>
      </w:r>
      <w:r w:rsidR="007A022D" w:rsidRPr="005E503C">
        <w:t xml:space="preserve"> is advertised </w:t>
      </w:r>
      <w:r w:rsidR="00C65B05" w:rsidRPr="005E503C">
        <w:t xml:space="preserve">so </w:t>
      </w:r>
      <w:r w:rsidR="007A022D" w:rsidRPr="005E503C">
        <w:t xml:space="preserve">it </w:t>
      </w:r>
      <w:r w:rsidR="00C65B05" w:rsidRPr="005E503C">
        <w:t>has</w:t>
      </w:r>
      <w:r w:rsidR="007A022D" w:rsidRPr="005E503C">
        <w:t xml:space="preserve"> broad exposure to potential eligible tenants and having regard to all of the circumstances, tenants are reasonably likely to rent it.</w:t>
      </w:r>
    </w:p>
    <w:p w14:paraId="700B038C" w14:textId="1D18DCC2" w:rsidR="004D3CF6" w:rsidRPr="005E503C" w:rsidRDefault="0069646C" w:rsidP="00C731CB">
      <w:pPr>
        <w:pStyle w:val="base-text-paragraph"/>
        <w:numPr>
          <w:ilvl w:val="1"/>
          <w:numId w:val="4"/>
        </w:numPr>
      </w:pPr>
      <w:r w:rsidRPr="005E503C">
        <w:t>The part of the condition that the dwelling is ‘e</w:t>
      </w:r>
      <w:r w:rsidR="00E97D96" w:rsidRPr="005E503C">
        <w:t xml:space="preserve">xclusively managed by a community housing </w:t>
      </w:r>
      <w:r w:rsidR="003869E9" w:rsidRPr="005E503C">
        <w:t>provider</w:t>
      </w:r>
      <w:r w:rsidRPr="005E503C">
        <w:t>’</w:t>
      </w:r>
      <w:r w:rsidR="003869E9" w:rsidRPr="005E503C">
        <w:t xml:space="preserve"> </w:t>
      </w:r>
      <w:r w:rsidR="00E26F06" w:rsidRPr="005E503C">
        <w:t xml:space="preserve">requires the </w:t>
      </w:r>
      <w:r w:rsidR="008230C4" w:rsidRPr="005E503C">
        <w:t xml:space="preserve">community housing provider </w:t>
      </w:r>
      <w:r w:rsidR="00E26F06" w:rsidRPr="005E503C">
        <w:t xml:space="preserve">to have </w:t>
      </w:r>
      <w:r w:rsidR="002434D0" w:rsidRPr="005E503C">
        <w:t xml:space="preserve">exclusive </w:t>
      </w:r>
      <w:r w:rsidR="00DD2CF9" w:rsidRPr="005E503C">
        <w:t>responsibility and oversight of the management of the</w:t>
      </w:r>
      <w:r w:rsidRPr="005E503C">
        <w:t xml:space="preserve"> dwelling</w:t>
      </w:r>
      <w:r w:rsidR="002434D0" w:rsidRPr="005E503C">
        <w:t>. However the</w:t>
      </w:r>
      <w:r w:rsidR="00873606" w:rsidRPr="005E503C">
        <w:t xml:space="preserve"> community housing provider does not </w:t>
      </w:r>
      <w:r w:rsidR="002434D0" w:rsidRPr="005E503C">
        <w:t xml:space="preserve">have to </w:t>
      </w:r>
      <w:r w:rsidR="00D626E9" w:rsidRPr="005E503C">
        <w:t xml:space="preserve">perform all aspects of the management of the </w:t>
      </w:r>
      <w:r w:rsidRPr="005E503C">
        <w:t xml:space="preserve">dwelling </w:t>
      </w:r>
      <w:r w:rsidR="00D626E9" w:rsidRPr="005E503C">
        <w:t>themselves</w:t>
      </w:r>
      <w:r w:rsidR="003869E9" w:rsidRPr="005E503C">
        <w:t xml:space="preserve"> and could subcontract out </w:t>
      </w:r>
      <w:r w:rsidR="002D1657" w:rsidRPr="005E503C">
        <w:t xml:space="preserve">any </w:t>
      </w:r>
      <w:r w:rsidR="009109CE" w:rsidRPr="005E503C">
        <w:t xml:space="preserve">or all </w:t>
      </w:r>
      <w:r w:rsidR="002D1657" w:rsidRPr="005E503C">
        <w:t>of the</w:t>
      </w:r>
      <w:r w:rsidR="003869E9" w:rsidRPr="005E503C">
        <w:t xml:space="preserve"> responsibilities </w:t>
      </w:r>
      <w:r w:rsidR="002F77C1" w:rsidRPr="005E503C">
        <w:t xml:space="preserve">provided they </w:t>
      </w:r>
      <w:r w:rsidR="003869E9" w:rsidRPr="005E503C">
        <w:t>retain oversight of decisions</w:t>
      </w:r>
      <w:r w:rsidR="00D626E9" w:rsidRPr="005E503C">
        <w:t xml:space="preserve">. </w:t>
      </w:r>
      <w:r w:rsidR="00E26F06" w:rsidRPr="005E503C">
        <w:t>For example they may contract out the scheduling and carrying out of repairs and maintenance or advertising of vacant properties for rent.</w:t>
      </w:r>
    </w:p>
    <w:p w14:paraId="657736E7" w14:textId="1B3A64FE" w:rsidR="00C7121F" w:rsidRPr="005E503C" w:rsidRDefault="00D50CCD" w:rsidP="001C0F61">
      <w:pPr>
        <w:pStyle w:val="ExampleHeading"/>
      </w:pPr>
      <w:r w:rsidRPr="005E503C">
        <w:t xml:space="preserve"> </w:t>
      </w:r>
      <w:r w:rsidR="005B014D" w:rsidRPr="005E503C">
        <w:t xml:space="preserve">— Property management </w:t>
      </w:r>
      <w:r w:rsidR="007354F9" w:rsidRPr="005E503C">
        <w:t>—</w:t>
      </w:r>
      <w:r w:rsidR="005B014D" w:rsidRPr="005E503C">
        <w:t xml:space="preserve"> direct management</w:t>
      </w:r>
    </w:p>
    <w:p w14:paraId="460FDC2B" w14:textId="0E882E9C" w:rsidR="006B514C" w:rsidRPr="005E503C" w:rsidRDefault="00D77F3F" w:rsidP="006B514C">
      <w:pPr>
        <w:pStyle w:val="exampletext"/>
      </w:pPr>
      <w:r w:rsidRPr="005E503C">
        <w:t>ACF Community Housing</w:t>
      </w:r>
      <w:r w:rsidR="0086100C" w:rsidRPr="005E503C">
        <w:t xml:space="preserve"> is a community housing provider</w:t>
      </w:r>
      <w:r w:rsidR="008B171D" w:rsidRPr="005E503C">
        <w:t xml:space="preserve"> registered under a state law</w:t>
      </w:r>
      <w:r w:rsidR="0086100C" w:rsidRPr="005E503C">
        <w:t xml:space="preserve"> that manages the tenancy </w:t>
      </w:r>
      <w:r w:rsidR="00F36071" w:rsidRPr="005E503C">
        <w:t>and</w:t>
      </w:r>
      <w:r w:rsidR="0086100C" w:rsidRPr="005E503C">
        <w:t xml:space="preserve"> occupancy of dwellings on behalf of owners to eligible tenants</w:t>
      </w:r>
      <w:r w:rsidR="000261FA" w:rsidRPr="005E503C">
        <w:t>.</w:t>
      </w:r>
    </w:p>
    <w:p w14:paraId="1AC1F928" w14:textId="41DD674D" w:rsidR="006B514C" w:rsidRPr="005E503C" w:rsidRDefault="0086100C" w:rsidP="006B514C">
      <w:pPr>
        <w:pStyle w:val="exampletext"/>
      </w:pPr>
      <w:r w:rsidRPr="005E503C">
        <w:t xml:space="preserve">Eligible tenants are tenants that </w:t>
      </w:r>
      <w:r w:rsidR="00AF23C6" w:rsidRPr="005E503C">
        <w:t xml:space="preserve">ACF Community Housing </w:t>
      </w:r>
      <w:r w:rsidRPr="005E503C">
        <w:t xml:space="preserve">assesses as being eligible to live in affordable housing properties. </w:t>
      </w:r>
      <w:r w:rsidR="00B3133D" w:rsidRPr="005E503C">
        <w:t>ACF</w:t>
      </w:r>
      <w:r w:rsidR="00CB632C" w:rsidRPr="005E503C">
        <w:t> </w:t>
      </w:r>
      <w:r w:rsidR="00B3133D" w:rsidRPr="005E503C">
        <w:t xml:space="preserve">Community Housing </w:t>
      </w:r>
      <w:r w:rsidRPr="005E503C">
        <w:t>undertakes the assessment</w:t>
      </w:r>
      <w:r w:rsidR="00C32AC3" w:rsidRPr="005E503C">
        <w:t>. It</w:t>
      </w:r>
      <w:r w:rsidRPr="005E503C">
        <w:t xml:space="preserve"> appl</w:t>
      </w:r>
      <w:r w:rsidR="00C32AC3" w:rsidRPr="005E503C">
        <w:t>ies</w:t>
      </w:r>
      <w:r w:rsidRPr="005E503C" w:rsidDel="009E4590">
        <w:t xml:space="preserve"> </w:t>
      </w:r>
      <w:r w:rsidRPr="005E503C">
        <w:t>guidelines and c</w:t>
      </w:r>
      <w:r w:rsidR="007E7A97" w:rsidRPr="005E503C">
        <w:t>riteria</w:t>
      </w:r>
      <w:r w:rsidRPr="005E503C">
        <w:t xml:space="preserve"> </w:t>
      </w:r>
      <w:r w:rsidR="00C32AC3" w:rsidRPr="005E503C">
        <w:t>in operation</w:t>
      </w:r>
      <w:r w:rsidR="009E4590" w:rsidRPr="005E503C">
        <w:t xml:space="preserve"> in the applicable state or territory </w:t>
      </w:r>
      <w:r w:rsidRPr="005E503C">
        <w:t>in making eligibility decisions</w:t>
      </w:r>
      <w:r w:rsidR="002D1657" w:rsidRPr="005E503C">
        <w:t>.</w:t>
      </w:r>
    </w:p>
    <w:p w14:paraId="7003FE13" w14:textId="29308D42" w:rsidR="0086100C" w:rsidRPr="005E503C" w:rsidRDefault="00F728BB" w:rsidP="0094526A">
      <w:pPr>
        <w:pStyle w:val="exampletext"/>
      </w:pPr>
      <w:r w:rsidRPr="005E503C">
        <w:t xml:space="preserve">In managing the tenancy or occupancy of dwellings </w:t>
      </w:r>
      <w:r w:rsidR="0094526A" w:rsidRPr="005E503C">
        <w:t xml:space="preserve">ACF Community Housing </w:t>
      </w:r>
      <w:r w:rsidR="002D1657" w:rsidRPr="005E503C">
        <w:t>m</w:t>
      </w:r>
      <w:r w:rsidR="000261FA" w:rsidRPr="005E503C">
        <w:t>anages the tenancy and occupation of dwellings, deals with tenants and property owners, collects rent, undertakes property inspections, organises repairs and maintenance of properties, keeps records, giv</w:t>
      </w:r>
      <w:r w:rsidR="00F36071" w:rsidRPr="005E503C">
        <w:t>es</w:t>
      </w:r>
      <w:r w:rsidR="000261FA" w:rsidRPr="005E503C">
        <w:t xml:space="preserve"> notices to tenants for owners and advertises vacant properties for rent</w:t>
      </w:r>
      <w:r w:rsidR="0094526A" w:rsidRPr="005E503C">
        <w:t>.</w:t>
      </w:r>
    </w:p>
    <w:p w14:paraId="0D429289" w14:textId="4491782F" w:rsidR="00F728BB" w:rsidRPr="005E503C" w:rsidRDefault="00F728BB" w:rsidP="0086100C">
      <w:pPr>
        <w:pStyle w:val="exampletext"/>
      </w:pPr>
      <w:r w:rsidRPr="005E503C">
        <w:t xml:space="preserve">As such ACF </w:t>
      </w:r>
      <w:r w:rsidR="00F36071" w:rsidRPr="005E503C">
        <w:t>Community Housing</w:t>
      </w:r>
      <w:r w:rsidRPr="005E503C">
        <w:t xml:space="preserve"> is exclusively managing the tenancy </w:t>
      </w:r>
      <w:r w:rsidR="009E3A52" w:rsidRPr="005E503C">
        <w:t>and</w:t>
      </w:r>
      <w:r w:rsidRPr="005E503C">
        <w:t xml:space="preserve"> occupancy of the dwellings</w:t>
      </w:r>
      <w:r w:rsidR="002D1657" w:rsidRPr="005E503C">
        <w:t>.</w:t>
      </w:r>
      <w:r w:rsidRPr="005E503C">
        <w:t xml:space="preserve"> </w:t>
      </w:r>
    </w:p>
    <w:p w14:paraId="18445F15" w14:textId="3E4A236B" w:rsidR="005B014D" w:rsidRPr="005E503C" w:rsidRDefault="008A078D" w:rsidP="007E7A97">
      <w:pPr>
        <w:pStyle w:val="ExampleHeading"/>
      </w:pPr>
      <w:r w:rsidRPr="005E503C">
        <w:t xml:space="preserve"> </w:t>
      </w:r>
      <w:r w:rsidR="005B014D" w:rsidRPr="005E503C">
        <w:t xml:space="preserve">— Property management </w:t>
      </w:r>
      <w:r w:rsidR="00D53066" w:rsidRPr="005E503C">
        <w:t>—</w:t>
      </w:r>
      <w:r w:rsidR="005B014D" w:rsidRPr="005E503C">
        <w:t xml:space="preserve"> outsou</w:t>
      </w:r>
      <w:r w:rsidR="00F47BF5" w:rsidRPr="005E503C">
        <w:t>r</w:t>
      </w:r>
      <w:r w:rsidR="005B014D" w:rsidRPr="005E503C">
        <w:t>cing</w:t>
      </w:r>
    </w:p>
    <w:p w14:paraId="65FBABC0" w14:textId="710A147F" w:rsidR="005B014D" w:rsidRPr="005E503C" w:rsidRDefault="00011DD3" w:rsidP="001C0F61">
      <w:pPr>
        <w:pStyle w:val="exampletext"/>
      </w:pPr>
      <w:r w:rsidRPr="005E503C">
        <w:t>BDG</w:t>
      </w:r>
      <w:r w:rsidR="00D77F3F" w:rsidRPr="005E503C">
        <w:t xml:space="preserve"> Community Housing </w:t>
      </w:r>
      <w:r w:rsidR="006F2CFB" w:rsidRPr="005E503C">
        <w:t>is</w:t>
      </w:r>
      <w:r w:rsidR="006D5C6A" w:rsidRPr="005E503C">
        <w:t xml:space="preserve"> a community housing provider </w:t>
      </w:r>
      <w:r w:rsidR="008B171D" w:rsidRPr="005E503C">
        <w:t xml:space="preserve">registered under a state law </w:t>
      </w:r>
      <w:r w:rsidR="006D5C6A" w:rsidRPr="005E503C">
        <w:t xml:space="preserve">that manages the tenancy </w:t>
      </w:r>
      <w:r w:rsidR="009E3A52" w:rsidRPr="005E503C">
        <w:t>and</w:t>
      </w:r>
      <w:r w:rsidR="006D5C6A" w:rsidRPr="005E503C">
        <w:t xml:space="preserve"> occupancy of dwellings on behalf of owners to eligible tenants. </w:t>
      </w:r>
    </w:p>
    <w:p w14:paraId="5AAF8B4E" w14:textId="14534D7E" w:rsidR="00011DD3" w:rsidRPr="005E503C" w:rsidRDefault="00011DD3" w:rsidP="001C0F61">
      <w:pPr>
        <w:pStyle w:val="exampletext"/>
      </w:pPr>
      <w:r w:rsidRPr="005E503C">
        <w:t xml:space="preserve">Eligible tenants are tenants that </w:t>
      </w:r>
      <w:r w:rsidR="00630710" w:rsidRPr="005E503C">
        <w:t xml:space="preserve">BDG </w:t>
      </w:r>
      <w:r w:rsidR="00EA3B8D" w:rsidRPr="005E503C">
        <w:t xml:space="preserve">Community Housing </w:t>
      </w:r>
      <w:r w:rsidR="00630710" w:rsidRPr="005E503C">
        <w:t>assesses as being eligible to live in affordable housing properties. BDG</w:t>
      </w:r>
      <w:r w:rsidR="00ED4082" w:rsidRPr="005E503C">
        <w:t> </w:t>
      </w:r>
      <w:r w:rsidR="00EA3B8D" w:rsidRPr="005E503C">
        <w:t xml:space="preserve">Community Housing </w:t>
      </w:r>
      <w:r w:rsidR="00630710" w:rsidRPr="005E503C">
        <w:t xml:space="preserve">undertakes the assessment applying </w:t>
      </w:r>
      <w:r w:rsidR="00E70BC0" w:rsidRPr="005E503C">
        <w:t xml:space="preserve">guidelines and </w:t>
      </w:r>
      <w:r w:rsidR="007E7A97" w:rsidRPr="005E503C">
        <w:t>criteria in operation</w:t>
      </w:r>
      <w:r w:rsidR="009E4590" w:rsidRPr="005E503C">
        <w:t xml:space="preserve"> in the applicable state or territory </w:t>
      </w:r>
      <w:r w:rsidR="00E70BC0" w:rsidRPr="005E503C">
        <w:t>in making eligibility decisions.</w:t>
      </w:r>
    </w:p>
    <w:p w14:paraId="309E634E" w14:textId="624F9F6B" w:rsidR="00011DD3" w:rsidRPr="005E503C" w:rsidRDefault="00011DD3" w:rsidP="001C0F61">
      <w:pPr>
        <w:pStyle w:val="exampletext"/>
      </w:pPr>
      <w:r w:rsidRPr="005E503C">
        <w:t xml:space="preserve">To assist it in managing the </w:t>
      </w:r>
      <w:r w:rsidR="008220D7" w:rsidRPr="005E503C">
        <w:t xml:space="preserve">tenancy or occupancy of the </w:t>
      </w:r>
      <w:r w:rsidRPr="005E503C">
        <w:t xml:space="preserve">dwellings BDG </w:t>
      </w:r>
      <w:r w:rsidR="00EA3B8D" w:rsidRPr="005E503C">
        <w:t xml:space="preserve">Community Housing </w:t>
      </w:r>
      <w:r w:rsidRPr="005E503C">
        <w:t xml:space="preserve">contracts JKL property management agency to undertake </w:t>
      </w:r>
      <w:r w:rsidR="00E75351" w:rsidRPr="005E503C">
        <w:t xml:space="preserve">some tenancy and occupancy related tasks, that is the managing of </w:t>
      </w:r>
      <w:r w:rsidR="00E478E6" w:rsidRPr="005E503C">
        <w:t xml:space="preserve">property repairs and maintenance and engagement </w:t>
      </w:r>
      <w:r w:rsidR="00E478E6" w:rsidRPr="005E503C">
        <w:lastRenderedPageBreak/>
        <w:t>with tenants and owners</w:t>
      </w:r>
      <w:r w:rsidR="00E21A37" w:rsidRPr="005E503C">
        <w:t xml:space="preserve"> and advertis</w:t>
      </w:r>
      <w:r w:rsidR="009C3646" w:rsidRPr="005E503C">
        <w:t>ing</w:t>
      </w:r>
      <w:r w:rsidR="00E21A37" w:rsidRPr="005E503C">
        <w:t xml:space="preserve"> properties that are vacant</w:t>
      </w:r>
      <w:r w:rsidR="00E478E6" w:rsidRPr="005E503C">
        <w:t xml:space="preserve"> </w:t>
      </w:r>
      <w:r w:rsidR="00EC4723" w:rsidRPr="005E503C">
        <w:t xml:space="preserve">on its behalf </w:t>
      </w:r>
      <w:r w:rsidRPr="005E503C">
        <w:t xml:space="preserve">(with BDG </w:t>
      </w:r>
      <w:r w:rsidR="00EA3B8D" w:rsidRPr="005E503C">
        <w:t xml:space="preserve">Community Housing </w:t>
      </w:r>
      <w:r w:rsidRPr="005E503C">
        <w:t>having oversight)</w:t>
      </w:r>
      <w:r w:rsidR="003A5E0C" w:rsidRPr="005E503C">
        <w:t>.</w:t>
      </w:r>
    </w:p>
    <w:p w14:paraId="324AB252" w14:textId="2C5D1A20" w:rsidR="00907D71" w:rsidRPr="005E503C" w:rsidRDefault="006F2CFB" w:rsidP="001C0F61">
      <w:pPr>
        <w:pStyle w:val="exampletext"/>
      </w:pPr>
      <w:r w:rsidRPr="005E503C">
        <w:t xml:space="preserve">As BDG </w:t>
      </w:r>
      <w:r w:rsidR="00EA3B8D" w:rsidRPr="005E503C">
        <w:t xml:space="preserve">Community Housing </w:t>
      </w:r>
      <w:r w:rsidR="0005085E" w:rsidRPr="005E503C">
        <w:t>has full oversight of the property management services that JKL</w:t>
      </w:r>
      <w:r w:rsidR="00EA3B8D" w:rsidRPr="005E503C">
        <w:t xml:space="preserve"> property management agency</w:t>
      </w:r>
      <w:r w:rsidR="0005085E" w:rsidRPr="005E503C">
        <w:t xml:space="preserve"> provides, BDG </w:t>
      </w:r>
      <w:r w:rsidR="00EA3B8D" w:rsidRPr="005E503C">
        <w:t xml:space="preserve">Community Housing </w:t>
      </w:r>
      <w:r w:rsidR="00C036BF" w:rsidRPr="005E503C">
        <w:t xml:space="preserve">is accepted as exclusively managing the dwellings itself. Therefore BDG </w:t>
      </w:r>
      <w:r w:rsidR="00EA3B8D" w:rsidRPr="005E503C">
        <w:t xml:space="preserve">Community Housing </w:t>
      </w:r>
      <w:r w:rsidR="00C036BF" w:rsidRPr="005E503C">
        <w:t xml:space="preserve">satisfies the property management condition. </w:t>
      </w:r>
    </w:p>
    <w:p w14:paraId="6B111046" w14:textId="26EA06F2" w:rsidR="008570B5" w:rsidRPr="005E503C" w:rsidRDefault="00C946A7" w:rsidP="001C0F61">
      <w:pPr>
        <w:pStyle w:val="Heading5"/>
      </w:pPr>
      <w:r w:rsidRPr="005E503C">
        <w:t>Providing affordable housing certification condition</w:t>
      </w:r>
    </w:p>
    <w:p w14:paraId="3E13E98F" w14:textId="25B81E96" w:rsidR="00FC62B5" w:rsidRPr="005E503C" w:rsidRDefault="00942781" w:rsidP="00C731CB">
      <w:pPr>
        <w:pStyle w:val="base-text-paragraph"/>
        <w:numPr>
          <w:ilvl w:val="1"/>
          <w:numId w:val="4"/>
        </w:numPr>
      </w:pPr>
      <w:r w:rsidRPr="005E503C">
        <w:t xml:space="preserve">A dwelling can only be taken to be </w:t>
      </w:r>
      <w:r w:rsidR="00445F1A" w:rsidRPr="005E503C">
        <w:t xml:space="preserve">used </w:t>
      </w:r>
      <w:r w:rsidRPr="005E503C">
        <w:t xml:space="preserve">for providing affordable housing use for a day if the community housing provider has provided </w:t>
      </w:r>
      <w:r w:rsidR="00DB3BE3" w:rsidRPr="005E503C">
        <w:t>an affordable housing certificate s</w:t>
      </w:r>
      <w:r w:rsidR="0091077C" w:rsidRPr="005E503C">
        <w:t>t</w:t>
      </w:r>
      <w:r w:rsidR="00DB3BE3" w:rsidRPr="005E503C">
        <w:t xml:space="preserve">ating that it declares </w:t>
      </w:r>
      <w:r w:rsidRPr="005E503C">
        <w:t xml:space="preserve">that the </w:t>
      </w:r>
      <w:r w:rsidR="00703278" w:rsidRPr="005E503C">
        <w:t xml:space="preserve">residential premises and </w:t>
      </w:r>
      <w:r w:rsidRPr="005E503C">
        <w:t>property management condition</w:t>
      </w:r>
      <w:r w:rsidR="00703278" w:rsidRPr="005E503C">
        <w:t xml:space="preserve">s have </w:t>
      </w:r>
      <w:r w:rsidRPr="005E503C">
        <w:t>been satisfied on that day.</w:t>
      </w:r>
      <w:r w:rsidR="00905466" w:rsidRPr="005E503C">
        <w:t xml:space="preserve"> </w:t>
      </w:r>
      <w:r w:rsidR="00905466" w:rsidRPr="005E503C">
        <w:rPr>
          <w:rStyle w:val="Referencingstyle"/>
        </w:rPr>
        <w:t xml:space="preserve">[Schedule </w:t>
      </w:r>
      <w:r w:rsidR="00A73469" w:rsidRPr="005E503C">
        <w:rPr>
          <w:rStyle w:val="Referencingstyle"/>
        </w:rPr>
        <w:t>1</w:t>
      </w:r>
      <w:r w:rsidR="00905466" w:rsidRPr="005E503C">
        <w:rPr>
          <w:rStyle w:val="Referencingstyle"/>
        </w:rPr>
        <w:t xml:space="preserve">, item </w:t>
      </w:r>
      <w:r w:rsidR="00A73469" w:rsidRPr="005E503C">
        <w:rPr>
          <w:rStyle w:val="Referencingstyle"/>
        </w:rPr>
        <w:t>3</w:t>
      </w:r>
      <w:r w:rsidR="00905466" w:rsidRPr="005E503C">
        <w:rPr>
          <w:rStyle w:val="Referencingstyle"/>
        </w:rPr>
        <w:t>, paragraph</w:t>
      </w:r>
      <w:r w:rsidR="00703278" w:rsidRPr="005E503C">
        <w:rPr>
          <w:rStyle w:val="Referencingstyle"/>
        </w:rPr>
        <w:t>s</w:t>
      </w:r>
      <w:r w:rsidR="00905466" w:rsidRPr="005E503C">
        <w:rPr>
          <w:rStyle w:val="Referencingstyle"/>
        </w:rPr>
        <w:t xml:space="preserve"> 980</w:t>
      </w:r>
      <w:r w:rsidR="00905466" w:rsidRPr="005E503C">
        <w:rPr>
          <w:rStyle w:val="Referencingstyle"/>
        </w:rPr>
        <w:noBreakHyphen/>
        <w:t>5(</w:t>
      </w:r>
      <w:r w:rsidR="00866224" w:rsidRPr="005E503C">
        <w:rPr>
          <w:rStyle w:val="Referencingstyle"/>
        </w:rPr>
        <w:t>c</w:t>
      </w:r>
      <w:r w:rsidR="00A73469" w:rsidRPr="005E503C">
        <w:rPr>
          <w:rStyle w:val="Referencingstyle"/>
        </w:rPr>
        <w:t>)</w:t>
      </w:r>
      <w:r w:rsidR="00703278" w:rsidRPr="005E503C">
        <w:rPr>
          <w:rStyle w:val="Referencingstyle"/>
        </w:rPr>
        <w:t xml:space="preserve"> and 980</w:t>
      </w:r>
      <w:r w:rsidR="00D61A16" w:rsidRPr="005E503C">
        <w:rPr>
          <w:rStyle w:val="Referencingstyle"/>
        </w:rPr>
        <w:noBreakHyphen/>
      </w:r>
      <w:r w:rsidR="00703278" w:rsidRPr="005E503C">
        <w:rPr>
          <w:rStyle w:val="Referencingstyle"/>
        </w:rPr>
        <w:t>15(a</w:t>
      </w:r>
      <w:r w:rsidR="00905466" w:rsidRPr="005E503C">
        <w:rPr>
          <w:rStyle w:val="Referencingstyle"/>
        </w:rPr>
        <w:t>)]</w:t>
      </w:r>
    </w:p>
    <w:p w14:paraId="428FB203" w14:textId="64B90C58" w:rsidR="00172882" w:rsidRPr="005E503C" w:rsidRDefault="00FC62B5" w:rsidP="00C731CB">
      <w:pPr>
        <w:pStyle w:val="base-text-paragraph"/>
        <w:numPr>
          <w:ilvl w:val="1"/>
          <w:numId w:val="4"/>
        </w:numPr>
      </w:pPr>
      <w:r w:rsidRPr="005E503C">
        <w:t xml:space="preserve">The </w:t>
      </w:r>
      <w:r w:rsidR="00876CF5" w:rsidRPr="005E503C">
        <w:t>affordable housing certificate must be provided in the approved form.</w:t>
      </w:r>
      <w:r w:rsidR="004C677A" w:rsidRPr="005E503C">
        <w:t xml:space="preserve"> </w:t>
      </w:r>
      <w:r w:rsidR="00432D1A" w:rsidRPr="005E503C">
        <w:t xml:space="preserve">This will allow the Commissioner to specify the information that is required to be included in </w:t>
      </w:r>
      <w:r w:rsidR="000E3A0E" w:rsidRPr="005E503C">
        <w:t>a</w:t>
      </w:r>
      <w:r w:rsidR="00432D1A" w:rsidRPr="005E503C">
        <w:t xml:space="preserve">ffordable housing certificates and to review and update </w:t>
      </w:r>
      <w:r w:rsidR="003869E9" w:rsidRPr="005E503C">
        <w:t xml:space="preserve">it </w:t>
      </w:r>
      <w:r w:rsidR="00432D1A" w:rsidRPr="005E503C">
        <w:t xml:space="preserve">as required. </w:t>
      </w:r>
      <w:r w:rsidR="007E7A97" w:rsidRPr="005E503C">
        <w:t>The certificate</w:t>
      </w:r>
      <w:r w:rsidR="00D8783E" w:rsidRPr="005E503C">
        <w:t xml:space="preserve"> will need to state the number of days the dwelling was used to provide affordable housing in the income year. </w:t>
      </w:r>
      <w:r w:rsidR="00703278" w:rsidRPr="005E503C">
        <w:rPr>
          <w:rStyle w:val="Referencingstyle"/>
        </w:rPr>
        <w:t>[Schedule</w:t>
      </w:r>
      <w:r w:rsidR="00A73469" w:rsidRPr="005E503C">
        <w:rPr>
          <w:rStyle w:val="Referencingstyle"/>
        </w:rPr>
        <w:t xml:space="preserve"> 1</w:t>
      </w:r>
      <w:r w:rsidR="00703278" w:rsidRPr="005E503C">
        <w:rPr>
          <w:rStyle w:val="Referencingstyle"/>
        </w:rPr>
        <w:t xml:space="preserve">, item </w:t>
      </w:r>
      <w:r w:rsidR="00A73469" w:rsidRPr="005E503C">
        <w:rPr>
          <w:rStyle w:val="Referencingstyle"/>
        </w:rPr>
        <w:t>3</w:t>
      </w:r>
      <w:r w:rsidR="00703278" w:rsidRPr="005E503C">
        <w:rPr>
          <w:rStyle w:val="Referencingstyle"/>
        </w:rPr>
        <w:t>, paragraph 980</w:t>
      </w:r>
      <w:r w:rsidR="00D61A16" w:rsidRPr="005E503C">
        <w:rPr>
          <w:rStyle w:val="Referencingstyle"/>
        </w:rPr>
        <w:noBreakHyphen/>
      </w:r>
      <w:r w:rsidR="00703278" w:rsidRPr="005E503C">
        <w:rPr>
          <w:rStyle w:val="Referencingstyle"/>
        </w:rPr>
        <w:t>15(b)]</w:t>
      </w:r>
    </w:p>
    <w:p w14:paraId="63B37737" w14:textId="3E9BA2EB" w:rsidR="00701089" w:rsidRPr="005E503C" w:rsidRDefault="00701089" w:rsidP="00C731CB">
      <w:pPr>
        <w:pStyle w:val="base-text-paragraph"/>
        <w:numPr>
          <w:ilvl w:val="1"/>
          <w:numId w:val="4"/>
        </w:numPr>
      </w:pPr>
      <w:r w:rsidRPr="005E503C">
        <w:t>The community housing provider must provide the affordable housing certificate to the individuals or trusts that hold an ownership interest in the property on or before the 31</w:t>
      </w:r>
      <w:r w:rsidRPr="005E503C">
        <w:rPr>
          <w:vertAlign w:val="superscript"/>
        </w:rPr>
        <w:t>st</w:t>
      </w:r>
      <w:r w:rsidRPr="005E503C">
        <w:t xml:space="preserve"> day after the end of the </w:t>
      </w:r>
      <w:r w:rsidR="00AB0B97" w:rsidRPr="005E503C">
        <w:t xml:space="preserve">individuals’ or trusts’ </w:t>
      </w:r>
      <w:r w:rsidRPr="005E503C">
        <w:t>income year (31 July for most community housing providers).</w:t>
      </w:r>
      <w:r w:rsidR="00703278" w:rsidRPr="005E503C">
        <w:t xml:space="preserve"> </w:t>
      </w:r>
      <w:r w:rsidR="00703278" w:rsidRPr="005E503C">
        <w:rPr>
          <w:rStyle w:val="Referencingstyle"/>
        </w:rPr>
        <w:t>[Schedule</w:t>
      </w:r>
      <w:r w:rsidR="00A73469" w:rsidRPr="005E503C">
        <w:rPr>
          <w:rStyle w:val="Referencingstyle"/>
        </w:rPr>
        <w:t>1</w:t>
      </w:r>
      <w:r w:rsidR="00703278" w:rsidRPr="005E503C">
        <w:rPr>
          <w:rStyle w:val="Referencingstyle"/>
        </w:rPr>
        <w:t xml:space="preserve">, item </w:t>
      </w:r>
      <w:r w:rsidR="00A73469" w:rsidRPr="005E503C">
        <w:rPr>
          <w:rStyle w:val="Referencingstyle"/>
        </w:rPr>
        <w:t>3</w:t>
      </w:r>
      <w:r w:rsidR="00703278" w:rsidRPr="005E503C">
        <w:rPr>
          <w:rStyle w:val="Referencingstyle"/>
        </w:rPr>
        <w:t>, paragraph 980</w:t>
      </w:r>
      <w:r w:rsidR="00D61A16" w:rsidRPr="005E503C">
        <w:rPr>
          <w:rStyle w:val="Referencingstyle"/>
        </w:rPr>
        <w:noBreakHyphen/>
      </w:r>
      <w:r w:rsidR="00703278" w:rsidRPr="005E503C">
        <w:rPr>
          <w:rStyle w:val="Referencingstyle"/>
        </w:rPr>
        <w:t>15(b)]</w:t>
      </w:r>
    </w:p>
    <w:p w14:paraId="21F6ADD8" w14:textId="4D33F52C" w:rsidR="00BE4AF6" w:rsidRPr="005E503C" w:rsidRDefault="00390516" w:rsidP="002F77C1">
      <w:pPr>
        <w:pStyle w:val="Heading5"/>
      </w:pPr>
      <w:r w:rsidRPr="005E503C">
        <w:t>NRAS</w:t>
      </w:r>
      <w:r w:rsidR="00BE4AF6" w:rsidRPr="005E503C">
        <w:t xml:space="preserve"> condition</w:t>
      </w:r>
    </w:p>
    <w:p w14:paraId="10DEDB5F" w14:textId="753D1062" w:rsidR="005F0546" w:rsidRPr="005E503C" w:rsidRDefault="005F0546" w:rsidP="00C731CB">
      <w:pPr>
        <w:pStyle w:val="base-text-paragraph"/>
        <w:numPr>
          <w:ilvl w:val="1"/>
          <w:numId w:val="4"/>
        </w:numPr>
      </w:pPr>
      <w:r w:rsidRPr="005E503C">
        <w:t xml:space="preserve">A dwelling </w:t>
      </w:r>
      <w:r w:rsidR="002D655F" w:rsidRPr="005E503C">
        <w:t xml:space="preserve">can only </w:t>
      </w:r>
      <w:r w:rsidRPr="005E503C">
        <w:t xml:space="preserve">be taken to provide affordable housing </w:t>
      </w:r>
      <w:r w:rsidR="00390516" w:rsidRPr="005E503C">
        <w:t xml:space="preserve">for a day if no entity </w:t>
      </w:r>
      <w:r w:rsidR="00470A1F" w:rsidRPr="005E503C">
        <w:t xml:space="preserve">that has an ownership interest in the dwelling </w:t>
      </w:r>
      <w:r w:rsidR="00390516" w:rsidRPr="005E503C">
        <w:t>is entitled to a</w:t>
      </w:r>
      <w:r w:rsidR="00C7696D" w:rsidRPr="005E503C">
        <w:t>n</w:t>
      </w:r>
      <w:r w:rsidR="00390516" w:rsidRPr="005E503C">
        <w:t xml:space="preserve"> N</w:t>
      </w:r>
      <w:r w:rsidR="00C83FD8" w:rsidRPr="005E503C">
        <w:t xml:space="preserve">RAS </w:t>
      </w:r>
      <w:r w:rsidR="00C7696D" w:rsidRPr="005E503C">
        <w:t>incentive for the NRAS year (that includes that day).</w:t>
      </w:r>
      <w:r w:rsidR="00905466" w:rsidRPr="005E503C">
        <w:t xml:space="preserve"> </w:t>
      </w:r>
      <w:r w:rsidR="00905466" w:rsidRPr="005E503C">
        <w:rPr>
          <w:rStyle w:val="Referencingstyle"/>
        </w:rPr>
        <w:t>[Schedule</w:t>
      </w:r>
      <w:r w:rsidR="00A73469" w:rsidRPr="005E503C">
        <w:rPr>
          <w:rStyle w:val="Referencingstyle"/>
        </w:rPr>
        <w:t xml:space="preserve"> 1</w:t>
      </w:r>
      <w:r w:rsidR="00905466" w:rsidRPr="005E503C">
        <w:rPr>
          <w:rStyle w:val="Referencingstyle"/>
        </w:rPr>
        <w:t xml:space="preserve">, item </w:t>
      </w:r>
      <w:r w:rsidR="00A73469" w:rsidRPr="005E503C">
        <w:rPr>
          <w:rStyle w:val="Referencingstyle"/>
        </w:rPr>
        <w:t>3</w:t>
      </w:r>
      <w:r w:rsidR="00905466" w:rsidRPr="005E503C">
        <w:rPr>
          <w:rStyle w:val="Referencingstyle"/>
        </w:rPr>
        <w:t>, paragraph 980</w:t>
      </w:r>
      <w:r w:rsidR="00905466" w:rsidRPr="005E503C">
        <w:rPr>
          <w:rStyle w:val="Referencingstyle"/>
        </w:rPr>
        <w:noBreakHyphen/>
        <w:t>5(</w:t>
      </w:r>
      <w:r w:rsidR="00C720D7" w:rsidRPr="005E503C">
        <w:rPr>
          <w:rStyle w:val="Referencingstyle"/>
        </w:rPr>
        <w:t>d</w:t>
      </w:r>
      <w:r w:rsidR="00905466" w:rsidRPr="005E503C">
        <w:rPr>
          <w:rStyle w:val="Referencingstyle"/>
        </w:rPr>
        <w:t>)]</w:t>
      </w:r>
    </w:p>
    <w:p w14:paraId="608B5879" w14:textId="1141F100" w:rsidR="005F0546" w:rsidRPr="005E503C" w:rsidRDefault="0087771C" w:rsidP="00C731CB">
      <w:pPr>
        <w:pStyle w:val="base-text-paragraph"/>
        <w:numPr>
          <w:ilvl w:val="1"/>
          <w:numId w:val="4"/>
        </w:numPr>
      </w:pPr>
      <w:r w:rsidRPr="005E503C">
        <w:t xml:space="preserve">The </w:t>
      </w:r>
      <w:r w:rsidRPr="005E503C">
        <w:rPr>
          <w:i/>
        </w:rPr>
        <w:t>National Rental Affordability Scheme Regulations 2008</w:t>
      </w:r>
      <w:r w:rsidRPr="005E503C">
        <w:t xml:space="preserve"> set out </w:t>
      </w:r>
      <w:r w:rsidR="004F3CDD" w:rsidRPr="005E503C">
        <w:t xml:space="preserve">the benefits that can be provided to an entity under </w:t>
      </w:r>
      <w:r w:rsidR="007E7A97" w:rsidRPr="005E503C">
        <w:t xml:space="preserve">the </w:t>
      </w:r>
      <w:r w:rsidR="004F3CDD" w:rsidRPr="005E503C">
        <w:t>NRAS for making a dwelling available to be used as part of the scheme. They are:</w:t>
      </w:r>
    </w:p>
    <w:p w14:paraId="7E7BE4D5" w14:textId="20EC22CA" w:rsidR="004F3CDD" w:rsidRPr="005E503C" w:rsidRDefault="009B385A" w:rsidP="00C30496">
      <w:pPr>
        <w:pStyle w:val="dotpoint"/>
      </w:pPr>
      <w:r w:rsidRPr="005E503C">
        <w:t>a</w:t>
      </w:r>
      <w:r w:rsidR="00445F1A" w:rsidRPr="005E503C">
        <w:t xml:space="preserve"> </w:t>
      </w:r>
      <w:r w:rsidR="00C30496" w:rsidRPr="005E503C">
        <w:t>tax offset</w:t>
      </w:r>
      <w:r w:rsidR="00EE501C" w:rsidRPr="005E503C">
        <w:t xml:space="preserve"> </w:t>
      </w:r>
      <w:r w:rsidR="001B1B50" w:rsidRPr="005E503C">
        <w:t>— as set out in the tax offset certificate provided to the approved participant in relation to the dwelling by the Secretary</w:t>
      </w:r>
      <w:r w:rsidR="00C515D6" w:rsidRPr="005E503C">
        <w:t xml:space="preserve"> of the Department of Social Services</w:t>
      </w:r>
      <w:r w:rsidR="00C30496" w:rsidRPr="005E503C">
        <w:t>; or</w:t>
      </w:r>
      <w:r w:rsidR="001B1B50" w:rsidRPr="005E503C">
        <w:t xml:space="preserve"> </w:t>
      </w:r>
    </w:p>
    <w:p w14:paraId="449597AA" w14:textId="586A555E" w:rsidR="00C30496" w:rsidRPr="005E503C" w:rsidRDefault="00C30496" w:rsidP="00C30496">
      <w:pPr>
        <w:pStyle w:val="dotpoint"/>
      </w:pPr>
      <w:proofErr w:type="gramStart"/>
      <w:r w:rsidRPr="005E503C">
        <w:t>a</w:t>
      </w:r>
      <w:proofErr w:type="gramEnd"/>
      <w:r w:rsidRPr="005E503C">
        <w:t xml:space="preserve"> payment </w:t>
      </w:r>
      <w:r w:rsidR="001B1B50" w:rsidRPr="005E503C">
        <w:t>or other non</w:t>
      </w:r>
      <w:r w:rsidR="001B1B50" w:rsidRPr="005E503C">
        <w:noBreakHyphen/>
        <w:t xml:space="preserve">cash benefit </w:t>
      </w:r>
      <w:r w:rsidRPr="005E503C">
        <w:t xml:space="preserve">— </w:t>
      </w:r>
      <w:r w:rsidR="00E41815" w:rsidRPr="005E503C">
        <w:t xml:space="preserve">a payment made by the Secretary of the Department of Social Services to an entity in relation to the use of that dwelling under </w:t>
      </w:r>
      <w:r w:rsidR="009C3646" w:rsidRPr="005E503C">
        <w:t xml:space="preserve">the </w:t>
      </w:r>
      <w:r w:rsidR="00E41815" w:rsidRPr="005E503C">
        <w:t>NRAS.</w:t>
      </w:r>
    </w:p>
    <w:p w14:paraId="176D8803" w14:textId="3ACBBB1F" w:rsidR="00886148" w:rsidRPr="005E503C" w:rsidRDefault="00A9536C" w:rsidP="00C731CB">
      <w:pPr>
        <w:pStyle w:val="base-text-paragraph"/>
        <w:numPr>
          <w:ilvl w:val="1"/>
          <w:numId w:val="4"/>
        </w:numPr>
      </w:pPr>
      <w:r w:rsidRPr="005E503C">
        <w:t xml:space="preserve">For this condition the NRAS year is the year that begins on 1 May in which the day under consideration </w:t>
      </w:r>
      <w:r w:rsidR="00445F1A" w:rsidRPr="005E503C">
        <w:t>occurs</w:t>
      </w:r>
      <w:r w:rsidRPr="005E503C">
        <w:t>.</w:t>
      </w:r>
    </w:p>
    <w:p w14:paraId="787C8866" w14:textId="13FA3093" w:rsidR="005C1FCF" w:rsidRPr="005E503C" w:rsidRDefault="005C1FCF" w:rsidP="00142CDD">
      <w:pPr>
        <w:pStyle w:val="Heading5"/>
      </w:pPr>
      <w:r w:rsidRPr="005E503C">
        <w:lastRenderedPageBreak/>
        <w:t xml:space="preserve">MIT membership condition </w:t>
      </w:r>
    </w:p>
    <w:p w14:paraId="37A567F9" w14:textId="5271EE39" w:rsidR="00103074" w:rsidRPr="005E503C" w:rsidRDefault="00103074" w:rsidP="00C731CB">
      <w:pPr>
        <w:pStyle w:val="base-text-paragraph"/>
        <w:numPr>
          <w:ilvl w:val="1"/>
          <w:numId w:val="4"/>
        </w:numPr>
      </w:pPr>
      <w:r w:rsidRPr="005E503C">
        <w:t>The MIT membership condition applies if the ownership interest in the dwelling is owned by a MIT. It is satisfied if the tenant does not have an interest in the MIT that passes the non</w:t>
      </w:r>
      <w:r w:rsidR="00EE501C" w:rsidRPr="005E503C">
        <w:noBreakHyphen/>
      </w:r>
      <w:r w:rsidRPr="005E503C">
        <w:t>portfolio test</w:t>
      </w:r>
      <w:r w:rsidR="004C6AC5" w:rsidRPr="005E503C">
        <w:t xml:space="preserve"> (that is </w:t>
      </w:r>
      <w:r w:rsidR="00E21A37" w:rsidRPr="005E503C">
        <w:t xml:space="preserve">broadly </w:t>
      </w:r>
      <w:r w:rsidR="00A52AAB" w:rsidRPr="005E503C">
        <w:t xml:space="preserve">with associates has </w:t>
      </w:r>
      <w:r w:rsidR="00E21A37" w:rsidRPr="005E503C">
        <w:t xml:space="preserve">a </w:t>
      </w:r>
      <w:r w:rsidR="00A52AAB" w:rsidRPr="005E503C">
        <w:t xml:space="preserve">less than 10 per cent </w:t>
      </w:r>
      <w:r w:rsidR="004C6AC5" w:rsidRPr="005E503C">
        <w:t>interest in the MIT)</w:t>
      </w:r>
      <w:r w:rsidRPr="005E503C">
        <w:t>.</w:t>
      </w:r>
      <w:r w:rsidR="00B47209" w:rsidRPr="005E503C">
        <w:t xml:space="preserve"> </w:t>
      </w:r>
      <w:r w:rsidR="00B47209" w:rsidRPr="005E503C">
        <w:rPr>
          <w:rStyle w:val="Referencingstyle"/>
        </w:rPr>
        <w:t xml:space="preserve">[Schedule </w:t>
      </w:r>
      <w:r w:rsidR="00A73469" w:rsidRPr="005E503C">
        <w:rPr>
          <w:rStyle w:val="Referencingstyle"/>
        </w:rPr>
        <w:t>1</w:t>
      </w:r>
      <w:r w:rsidR="00B47209" w:rsidRPr="005E503C">
        <w:rPr>
          <w:rStyle w:val="Referencingstyle"/>
        </w:rPr>
        <w:t xml:space="preserve">, item </w:t>
      </w:r>
      <w:r w:rsidR="00A73469" w:rsidRPr="005E503C">
        <w:rPr>
          <w:rStyle w:val="Referencingstyle"/>
        </w:rPr>
        <w:t>3</w:t>
      </w:r>
      <w:r w:rsidR="00B47209" w:rsidRPr="005E503C">
        <w:rPr>
          <w:rStyle w:val="Referencingstyle"/>
        </w:rPr>
        <w:t>, paragraph 980</w:t>
      </w:r>
      <w:r w:rsidR="00B47209" w:rsidRPr="005E503C">
        <w:rPr>
          <w:rStyle w:val="Referencingstyle"/>
        </w:rPr>
        <w:noBreakHyphen/>
        <w:t>5(e)]</w:t>
      </w:r>
    </w:p>
    <w:p w14:paraId="505F2445" w14:textId="77CCE615" w:rsidR="00103074" w:rsidRPr="005E503C" w:rsidRDefault="00B47209" w:rsidP="00C731CB">
      <w:pPr>
        <w:pStyle w:val="base-text-paragraph"/>
        <w:numPr>
          <w:ilvl w:val="1"/>
          <w:numId w:val="4"/>
        </w:numPr>
      </w:pPr>
      <w:r w:rsidRPr="005E503C">
        <w:t>Section 960</w:t>
      </w:r>
      <w:r w:rsidR="00EE501C" w:rsidRPr="005E503C">
        <w:noBreakHyphen/>
      </w:r>
      <w:r w:rsidRPr="005E503C">
        <w:t>1</w:t>
      </w:r>
      <w:r w:rsidR="001345D2" w:rsidRPr="005E503C">
        <w:t>9</w:t>
      </w:r>
      <w:r w:rsidRPr="005E503C">
        <w:t>5 provides that an interest passes the non</w:t>
      </w:r>
      <w:r w:rsidRPr="005E503C">
        <w:noBreakHyphen/>
        <w:t xml:space="preserve">portfolio test if the holding entity (in this case the tenant) holds in another entity (in this case the MIT) </w:t>
      </w:r>
      <w:r w:rsidR="004C6AC5" w:rsidRPr="005E503C">
        <w:t xml:space="preserve">and </w:t>
      </w:r>
      <w:r w:rsidRPr="005E503C">
        <w:t>the sum of the direct participation interests held by the holding entity and its associates in th</w:t>
      </w:r>
      <w:r w:rsidR="004C6AC5" w:rsidRPr="005E503C">
        <w:t>at other</w:t>
      </w:r>
      <w:r w:rsidRPr="005E503C">
        <w:t xml:space="preserve"> entity at that time is 10 per cent or more. </w:t>
      </w:r>
    </w:p>
    <w:p w14:paraId="1AC4F35D" w14:textId="2E51EC71" w:rsidR="00DD27E6" w:rsidRPr="005E503C" w:rsidRDefault="00DD27E6" w:rsidP="00DD27E6">
      <w:pPr>
        <w:pStyle w:val="Heading4"/>
      </w:pPr>
      <w:r w:rsidRPr="005E503C">
        <w:t xml:space="preserve">Capital gain that was distributed or attributed to them directly or </w:t>
      </w:r>
      <w:r w:rsidR="008450A2" w:rsidRPr="005E503C">
        <w:t xml:space="preserve">through an interposed entity </w:t>
      </w:r>
      <w:r w:rsidRPr="005E503C">
        <w:t>by a trust</w:t>
      </w:r>
    </w:p>
    <w:p w14:paraId="40831370" w14:textId="1B6905B6" w:rsidR="00214D43" w:rsidRPr="005E503C" w:rsidRDefault="003830AE" w:rsidP="00C731CB">
      <w:pPr>
        <w:pStyle w:val="base-text-paragraph"/>
        <w:numPr>
          <w:ilvl w:val="1"/>
          <w:numId w:val="4"/>
        </w:numPr>
      </w:pPr>
      <w:r w:rsidRPr="005E503C">
        <w:t>A</w:t>
      </w:r>
      <w:r w:rsidR="00214D43" w:rsidRPr="005E503C">
        <w:t xml:space="preserve"> capital gain is distributed or attributed by a trust directly to an individual if the trust:</w:t>
      </w:r>
    </w:p>
    <w:p w14:paraId="765B3E87" w14:textId="202210C1" w:rsidR="00214D43" w:rsidRPr="005E503C" w:rsidRDefault="00214D43" w:rsidP="0030097F">
      <w:pPr>
        <w:pStyle w:val="dotpoint"/>
      </w:pPr>
      <w:r w:rsidRPr="005E503C">
        <w:t>realises that capital gain itself, that is the CGT event occurs to a CGT asset of the trust (</w:t>
      </w:r>
      <w:r w:rsidR="003830AE" w:rsidRPr="005E503C">
        <w:t>the ownership interest in the dwelling)</w:t>
      </w:r>
      <w:r w:rsidR="005C1100" w:rsidRPr="005E503C">
        <w:t>;</w:t>
      </w:r>
      <w:r w:rsidRPr="005E503C">
        <w:t xml:space="preserve"> and</w:t>
      </w:r>
    </w:p>
    <w:p w14:paraId="5E6AAA1E" w14:textId="3D5EFB92" w:rsidR="00214D43" w:rsidRPr="005E503C" w:rsidRDefault="003830AE" w:rsidP="0030097F">
      <w:pPr>
        <w:pStyle w:val="dotpoint"/>
      </w:pPr>
      <w:proofErr w:type="gramStart"/>
      <w:r w:rsidRPr="005E503C">
        <w:t>the</w:t>
      </w:r>
      <w:proofErr w:type="gramEnd"/>
      <w:r w:rsidRPr="005E503C">
        <w:t xml:space="preserve"> gain is distributed or attributed by the trust directly to the individual (with there being no intervening entity).</w:t>
      </w:r>
    </w:p>
    <w:p w14:paraId="11D61A35" w14:textId="4424B789" w:rsidR="006D2B4F" w:rsidRPr="005E503C" w:rsidRDefault="006D2B4F" w:rsidP="00C731CB">
      <w:pPr>
        <w:pStyle w:val="base-text-paragraph"/>
        <w:numPr>
          <w:ilvl w:val="1"/>
          <w:numId w:val="4"/>
        </w:numPr>
      </w:pPr>
      <w:r w:rsidRPr="005E503C">
        <w:t xml:space="preserve">A capital gain is distributed or attributed by a trust </w:t>
      </w:r>
      <w:r w:rsidR="008A1C13" w:rsidRPr="005E503C">
        <w:rPr>
          <w:lang w:val="en-US" w:eastAsia="en-US"/>
        </w:rPr>
        <w:t xml:space="preserve">through an interposed entity </w:t>
      </w:r>
      <w:r w:rsidRPr="005E503C">
        <w:t>to an individual if a trust (the first trust):</w:t>
      </w:r>
    </w:p>
    <w:p w14:paraId="5DB80B57" w14:textId="4623F15E" w:rsidR="006D2B4F" w:rsidRPr="005E503C" w:rsidRDefault="006D2B4F" w:rsidP="006D2B4F">
      <w:pPr>
        <w:pStyle w:val="dotpoint"/>
      </w:pPr>
      <w:r w:rsidRPr="005E503C">
        <w:t>realises that capital gain, that is the CGT event occurs to a CGT asset of the first trust (the ownership interest in the dwelling)</w:t>
      </w:r>
      <w:r w:rsidR="00A52AAB" w:rsidRPr="005E503C">
        <w:t>;</w:t>
      </w:r>
    </w:p>
    <w:p w14:paraId="507841AE" w14:textId="531C96B1" w:rsidR="006D2B4F" w:rsidRPr="005E503C" w:rsidRDefault="006D2B4F" w:rsidP="006D2B4F">
      <w:pPr>
        <w:pStyle w:val="dotpoint"/>
      </w:pPr>
      <w:r w:rsidRPr="005E503C">
        <w:t>the gain is distributed or attributed by the first trust (or a subsequent trust) to another entity that is another trust or a partnership; and</w:t>
      </w:r>
    </w:p>
    <w:p w14:paraId="55B279D1" w14:textId="5D3E03FF" w:rsidR="005A0EA4" w:rsidRPr="005E503C" w:rsidRDefault="006D2B4F" w:rsidP="00DF01DB">
      <w:pPr>
        <w:pStyle w:val="dotpoint"/>
      </w:pPr>
      <w:proofErr w:type="gramStart"/>
      <w:r w:rsidRPr="005E503C">
        <w:t>the</w:t>
      </w:r>
      <w:proofErr w:type="gramEnd"/>
      <w:r w:rsidRPr="005E503C">
        <w:t xml:space="preserve"> other trust or partnership then distributes the capital gain to the individual.</w:t>
      </w:r>
    </w:p>
    <w:p w14:paraId="0F543445" w14:textId="2C19C0BC" w:rsidR="00A21468" w:rsidRPr="005E503C" w:rsidRDefault="00A21468" w:rsidP="009974E0">
      <w:pPr>
        <w:pStyle w:val="base-text-paragraph"/>
      </w:pPr>
      <w:r w:rsidRPr="005E503C">
        <w:t xml:space="preserve">A capital gain of an individual that resulted from a CGT event occurring to units in a </w:t>
      </w:r>
      <w:r w:rsidR="00EE4269" w:rsidRPr="005E503C">
        <w:t xml:space="preserve">unit trust (including a </w:t>
      </w:r>
      <w:r w:rsidRPr="005E503C">
        <w:t>MIT</w:t>
      </w:r>
      <w:r w:rsidR="00EE4269" w:rsidRPr="005E503C">
        <w:t>)</w:t>
      </w:r>
      <w:r w:rsidRPr="005E503C">
        <w:t xml:space="preserve"> </w:t>
      </w:r>
      <w:r w:rsidR="006D301F" w:rsidRPr="005E503C">
        <w:t xml:space="preserve">that holds affordable housing </w:t>
      </w:r>
      <w:r w:rsidRPr="005E503C">
        <w:t>will not qualify</w:t>
      </w:r>
      <w:r w:rsidR="0030512C" w:rsidRPr="005E503C">
        <w:t xml:space="preserve"> for an additional discount capital gain for affordable housing</w:t>
      </w:r>
      <w:r w:rsidRPr="005E503C">
        <w:t>. Th</w:t>
      </w:r>
      <w:r w:rsidR="006D301F" w:rsidRPr="005E503C">
        <w:t>e</w:t>
      </w:r>
      <w:r w:rsidRPr="005E503C">
        <w:t xml:space="preserve"> capital gain may have </w:t>
      </w:r>
      <w:r w:rsidR="00EE4269" w:rsidRPr="005E503C">
        <w:t xml:space="preserve">been realised by the individual or by another entity and </w:t>
      </w:r>
      <w:r w:rsidR="006D301F" w:rsidRPr="005E503C">
        <w:t>be</w:t>
      </w:r>
      <w:r w:rsidR="00EE4269" w:rsidRPr="005E503C">
        <w:t xml:space="preserve"> distributed or attributed to the individual. </w:t>
      </w:r>
      <w:r w:rsidR="003A1250" w:rsidRPr="005E503C">
        <w:t>However a</w:t>
      </w:r>
      <w:r w:rsidR="00EE4269" w:rsidRPr="005E503C">
        <w:t>s this capital gain arose from the sale of units in a unit trust, and not from a holding by an entity in an ownership interest in a dwelling, it will not qualify as it does not satisfy this requirement.</w:t>
      </w:r>
    </w:p>
    <w:p w14:paraId="6D8BF97F" w14:textId="0F18D00B" w:rsidR="00E11AD8" w:rsidRPr="005E503C" w:rsidRDefault="00EE501C" w:rsidP="00E11AD8">
      <w:pPr>
        <w:pStyle w:val="ExampleHeading"/>
      </w:pPr>
      <w:r w:rsidRPr="005E503C">
        <w:lastRenderedPageBreak/>
        <w:t xml:space="preserve"> </w:t>
      </w:r>
      <w:r w:rsidR="00E11AD8" w:rsidRPr="005E503C">
        <w:t>— Trust distributing capital gain to an individual</w:t>
      </w:r>
      <w:r w:rsidR="00494EEB" w:rsidRPr="005E503C">
        <w:t xml:space="preserve"> through an interposed entity</w:t>
      </w:r>
    </w:p>
    <w:p w14:paraId="3C00644B" w14:textId="592DA66D" w:rsidR="00001DDA" w:rsidRPr="005E503C" w:rsidRDefault="000D6C18" w:rsidP="00D94A3B">
      <w:pPr>
        <w:pStyle w:val="exampletext"/>
      </w:pPr>
      <w:r w:rsidRPr="005E503C">
        <w:t xml:space="preserve">BDF Unit Trust signs a contract on 5 September 2022 to sell a dwelling. The </w:t>
      </w:r>
      <w:r w:rsidR="006D301F" w:rsidRPr="005E503C">
        <w:t xml:space="preserve">settlement </w:t>
      </w:r>
      <w:r w:rsidR="00145231" w:rsidRPr="005E503C">
        <w:t xml:space="preserve">of the sale of the dwelling </w:t>
      </w:r>
      <w:r w:rsidR="006D301F" w:rsidRPr="005E503C">
        <w:t>is</w:t>
      </w:r>
      <w:r w:rsidRPr="005E503C">
        <w:t xml:space="preserve"> on </w:t>
      </w:r>
      <w:r w:rsidR="00475430" w:rsidRPr="005E503C">
        <w:t>3 </w:t>
      </w:r>
      <w:r w:rsidRPr="005E503C">
        <w:t>October</w:t>
      </w:r>
      <w:r w:rsidR="007857B7" w:rsidRPr="005E503C">
        <w:t> </w:t>
      </w:r>
      <w:r w:rsidRPr="005E503C">
        <w:t>2022. It had acquired the dwelling on 1 March 2018.</w:t>
      </w:r>
      <w:r w:rsidR="00AD580A" w:rsidRPr="005E503C">
        <w:t xml:space="preserve"> </w:t>
      </w:r>
    </w:p>
    <w:p w14:paraId="74FC0A7C" w14:textId="77CB4C7C" w:rsidR="0030097F" w:rsidRPr="005E503C" w:rsidRDefault="000D6C18" w:rsidP="00D94A3B">
      <w:pPr>
        <w:pStyle w:val="exampletext"/>
      </w:pPr>
      <w:r w:rsidRPr="005E503C">
        <w:t xml:space="preserve">The </w:t>
      </w:r>
      <w:r w:rsidR="00AD580A" w:rsidRPr="005E503C">
        <w:t xml:space="preserve">BDF </w:t>
      </w:r>
      <w:r w:rsidR="00317F44" w:rsidRPr="005E503C">
        <w:t xml:space="preserve">Unit </w:t>
      </w:r>
      <w:r w:rsidR="00AD580A" w:rsidRPr="005E503C">
        <w:t>T</w:t>
      </w:r>
      <w:r w:rsidRPr="005E503C">
        <w:t>rust used the dwelling to provide affordable housing for more than 1095 days (3</w:t>
      </w:r>
      <w:r w:rsidR="0053581E" w:rsidRPr="005E503C">
        <w:t> </w:t>
      </w:r>
      <w:r w:rsidRPr="005E503C">
        <w:t xml:space="preserve">years) during its ownership period. </w:t>
      </w:r>
    </w:p>
    <w:p w14:paraId="382DB42E" w14:textId="22CB804D" w:rsidR="00AD580A" w:rsidRPr="005E503C" w:rsidRDefault="00AD580A" w:rsidP="00D94A3B">
      <w:pPr>
        <w:pStyle w:val="exampletext"/>
      </w:pPr>
      <w:r w:rsidRPr="005E503C">
        <w:t xml:space="preserve">The BDF </w:t>
      </w:r>
      <w:r w:rsidR="00317F44" w:rsidRPr="005E503C">
        <w:t>Unit Trust</w:t>
      </w:r>
      <w:r w:rsidRPr="005E503C">
        <w:t xml:space="preserve"> realised a capital gain of $</w:t>
      </w:r>
      <w:r w:rsidR="00285B66" w:rsidRPr="005E503C">
        <w:t>200</w:t>
      </w:r>
      <w:r w:rsidRPr="005E503C">
        <w:t>,000 from the sale of the dwelling, which was reduced to $</w:t>
      </w:r>
      <w:r w:rsidR="00285B66" w:rsidRPr="005E503C">
        <w:t>100</w:t>
      </w:r>
      <w:r w:rsidRPr="005E503C">
        <w:t>,000 following application of the discount</w:t>
      </w:r>
      <w:r w:rsidR="0053581E" w:rsidRPr="005E503C">
        <w:t xml:space="preserve"> capital gain of 50 per ce</w:t>
      </w:r>
      <w:r w:rsidR="00A0076E" w:rsidRPr="005E503C">
        <w:t>n</w:t>
      </w:r>
      <w:r w:rsidR="0053581E" w:rsidRPr="005E503C">
        <w:t>t</w:t>
      </w:r>
      <w:r w:rsidRPr="005E503C">
        <w:t xml:space="preserve">. The trust did not realise any other capital gains or </w:t>
      </w:r>
      <w:r w:rsidR="0053581E" w:rsidRPr="005E503C">
        <w:t>losses during the income year.</w:t>
      </w:r>
    </w:p>
    <w:p w14:paraId="1FB3DC2D" w14:textId="36EE3141" w:rsidR="00285B66" w:rsidRPr="005E503C" w:rsidRDefault="00A25781" w:rsidP="00E10776">
      <w:pPr>
        <w:pStyle w:val="exampletext"/>
      </w:pPr>
      <w:r w:rsidRPr="005E503C">
        <w:t xml:space="preserve">The BDF </w:t>
      </w:r>
      <w:r w:rsidR="00317F44" w:rsidRPr="005E503C">
        <w:t>U</w:t>
      </w:r>
      <w:r w:rsidRPr="005E503C">
        <w:t xml:space="preserve">nit </w:t>
      </w:r>
      <w:r w:rsidR="00317F44" w:rsidRPr="005E503C">
        <w:t>T</w:t>
      </w:r>
      <w:r w:rsidRPr="005E503C">
        <w:t xml:space="preserve">rust </w:t>
      </w:r>
      <w:r w:rsidR="00AD580A" w:rsidRPr="005E503C">
        <w:t xml:space="preserve">distributed this capital gain in equal </w:t>
      </w:r>
      <w:r w:rsidR="00285B66" w:rsidRPr="005E503C">
        <w:t>proportion to its unit holders, including the HLJ Trust</w:t>
      </w:r>
      <w:r w:rsidRPr="005E503C">
        <w:t xml:space="preserve"> (a discretionary trust)</w:t>
      </w:r>
      <w:r w:rsidR="00285B66" w:rsidRPr="005E503C">
        <w:t xml:space="preserve"> which received a distribution of $</w:t>
      </w:r>
      <w:r w:rsidR="009373AD" w:rsidRPr="005E503C">
        <w:t xml:space="preserve">50,000. The HLJ Trust distributes the whole of this capital gain of $50,000 to Martin. </w:t>
      </w:r>
      <w:r w:rsidR="000F0126" w:rsidRPr="005E503C">
        <w:t>(</w:t>
      </w:r>
      <w:r w:rsidR="00E10776" w:rsidRPr="005E503C">
        <w:t xml:space="preserve">In doing so the HLJ Trust </w:t>
      </w:r>
      <w:r w:rsidR="009373AD" w:rsidRPr="005E503C">
        <w:t xml:space="preserve">grossed up </w:t>
      </w:r>
      <w:r w:rsidR="000A7663" w:rsidRPr="005E503C">
        <w:t>th</w:t>
      </w:r>
      <w:r w:rsidR="00E10776" w:rsidRPr="005E503C">
        <w:t>e</w:t>
      </w:r>
      <w:r w:rsidR="000A7663" w:rsidRPr="005E503C">
        <w:t xml:space="preserve"> distribution </w:t>
      </w:r>
      <w:r w:rsidR="009373AD" w:rsidRPr="005E503C">
        <w:t>and re</w:t>
      </w:r>
      <w:r w:rsidRPr="005E503C">
        <w:noBreakHyphen/>
      </w:r>
      <w:r w:rsidR="009373AD" w:rsidRPr="005E503C">
        <w:t>applied the capital gains discount</w:t>
      </w:r>
      <w:r w:rsidR="00C279F4" w:rsidRPr="005E503C">
        <w:t>.</w:t>
      </w:r>
      <w:r w:rsidR="00C97F62" w:rsidRPr="005E503C">
        <w:t>)</w:t>
      </w:r>
    </w:p>
    <w:p w14:paraId="2732E77B" w14:textId="20E88B3F" w:rsidR="00285B66" w:rsidRPr="005E503C" w:rsidRDefault="00317F44" w:rsidP="00145231">
      <w:pPr>
        <w:pStyle w:val="exampletext"/>
      </w:pPr>
      <w:r w:rsidRPr="005E503C">
        <w:t xml:space="preserve">Martin’s capital gain has been distributed to him by a trust (BDF </w:t>
      </w:r>
      <w:r w:rsidR="00145231" w:rsidRPr="005E503C">
        <w:t>U</w:t>
      </w:r>
      <w:r w:rsidRPr="005E503C">
        <w:t xml:space="preserve">nit </w:t>
      </w:r>
      <w:r w:rsidR="00145231" w:rsidRPr="005E503C">
        <w:t>T</w:t>
      </w:r>
      <w:r w:rsidRPr="005E503C">
        <w:t>rust) through an interposed entity (the HLJ Trust).</w:t>
      </w:r>
      <w:r w:rsidR="00D577C3" w:rsidRPr="005E503C">
        <w:t xml:space="preserve"> </w:t>
      </w:r>
      <w:r w:rsidR="00145231" w:rsidRPr="005E503C">
        <w:t xml:space="preserve">Martin therefore satisfies this requirement for claiming the </w:t>
      </w:r>
      <w:r w:rsidR="00C279F4" w:rsidRPr="005E503C">
        <w:t>additional 10 per cent capital gains discount for affordable housing</w:t>
      </w:r>
      <w:r w:rsidR="00C279F4" w:rsidRPr="005E503C" w:rsidDel="00145231">
        <w:t>.</w:t>
      </w:r>
      <w:r w:rsidR="000A7663" w:rsidRPr="005E503C" w:rsidDel="00145231">
        <w:t xml:space="preserve"> </w:t>
      </w:r>
    </w:p>
    <w:p w14:paraId="45697A90" w14:textId="428D39D3" w:rsidR="00EA75F3" w:rsidRPr="005E503C" w:rsidRDefault="000E4A2D" w:rsidP="003321E8">
      <w:pPr>
        <w:pStyle w:val="Heading4"/>
      </w:pPr>
      <w:r w:rsidRPr="005E503C">
        <w:t>C</w:t>
      </w:r>
      <w:r w:rsidR="0005071B" w:rsidRPr="005E503C">
        <w:t>apital gain</w:t>
      </w:r>
      <w:r w:rsidRPr="005E503C">
        <w:t>s</w:t>
      </w:r>
      <w:r w:rsidR="0005071B" w:rsidRPr="005E503C">
        <w:t xml:space="preserve"> distributed </w:t>
      </w:r>
      <w:r w:rsidRPr="005E503C">
        <w:t xml:space="preserve">by </w:t>
      </w:r>
      <w:r w:rsidR="006B3894" w:rsidRPr="005E503C">
        <w:t xml:space="preserve">or attributed </w:t>
      </w:r>
      <w:r w:rsidR="0005071B" w:rsidRPr="005E503C">
        <w:t xml:space="preserve">by a trust covered by </w:t>
      </w:r>
      <w:r w:rsidR="00205DCE" w:rsidRPr="005E503C">
        <w:t>the specified entities</w:t>
      </w:r>
    </w:p>
    <w:p w14:paraId="6C58C191" w14:textId="0180DDD5" w:rsidR="00DD34C6" w:rsidRPr="005E503C" w:rsidRDefault="00B34729" w:rsidP="00C731CB">
      <w:pPr>
        <w:pStyle w:val="base-text-paragraph"/>
        <w:numPr>
          <w:ilvl w:val="1"/>
          <w:numId w:val="4"/>
        </w:numPr>
      </w:pPr>
      <w:r w:rsidRPr="005E503C">
        <w:t xml:space="preserve">The </w:t>
      </w:r>
      <w:r w:rsidR="00B6148A" w:rsidRPr="005E503C">
        <w:t xml:space="preserve">incentive to invest in affordable housing provided by this measure is </w:t>
      </w:r>
      <w:r w:rsidR="00722EB0" w:rsidRPr="005E503C">
        <w:t>direc</w:t>
      </w:r>
      <w:r w:rsidR="00B6148A" w:rsidRPr="005E503C">
        <w:t xml:space="preserve">ted at individuals, </w:t>
      </w:r>
      <w:r w:rsidR="00D0474E" w:rsidRPr="005E503C">
        <w:t xml:space="preserve">who </w:t>
      </w:r>
      <w:r w:rsidR="00B6148A" w:rsidRPr="005E503C">
        <w:t>either</w:t>
      </w:r>
      <w:r w:rsidR="00B6148A" w:rsidRPr="005E503C" w:rsidDel="00D0474E">
        <w:t xml:space="preserve"> </w:t>
      </w:r>
      <w:r w:rsidR="00B6148A" w:rsidRPr="005E503C">
        <w:t>invest directly in affordable housing (that is they</w:t>
      </w:r>
      <w:r w:rsidR="00332374" w:rsidRPr="005E503C">
        <w:t xml:space="preserve"> directly</w:t>
      </w:r>
      <w:r w:rsidR="00B6148A" w:rsidRPr="005E503C">
        <w:t xml:space="preserve"> </w:t>
      </w:r>
      <w:r w:rsidR="001A243C" w:rsidRPr="005E503C">
        <w:t>have an ownership in</w:t>
      </w:r>
      <w:r w:rsidR="00361350" w:rsidRPr="005E503C">
        <w:t>terest</w:t>
      </w:r>
      <w:r w:rsidR="00B6148A" w:rsidRPr="005E503C" w:rsidDel="00332374">
        <w:t xml:space="preserve"> in </w:t>
      </w:r>
      <w:r w:rsidR="00B6148A" w:rsidRPr="005E503C">
        <w:t xml:space="preserve">the property used to provide affordable housing) or through trusts, but only closely held trusts or managed investment trusts. </w:t>
      </w:r>
    </w:p>
    <w:p w14:paraId="77C3BFD9" w14:textId="007E21AC" w:rsidR="00AC6A47" w:rsidRPr="005E503C" w:rsidRDefault="00DD34C6" w:rsidP="00C731CB">
      <w:pPr>
        <w:pStyle w:val="base-text-paragraph"/>
        <w:numPr>
          <w:ilvl w:val="1"/>
          <w:numId w:val="4"/>
        </w:numPr>
      </w:pPr>
      <w:r w:rsidRPr="005E503C">
        <w:t>For investments</w:t>
      </w:r>
      <w:r w:rsidR="00EF3C97" w:rsidRPr="005E503C">
        <w:t xml:space="preserve"> by individuals </w:t>
      </w:r>
      <w:r w:rsidR="00184243" w:rsidRPr="005E503C">
        <w:t xml:space="preserve">made </w:t>
      </w:r>
      <w:r w:rsidR="00EF3C97" w:rsidRPr="005E503C">
        <w:t>through other entities</w:t>
      </w:r>
      <w:r w:rsidR="00D0474E" w:rsidRPr="005E503C">
        <w:t>,</w:t>
      </w:r>
      <w:r w:rsidRPr="005E503C">
        <w:t xml:space="preserve"> the </w:t>
      </w:r>
      <w:r w:rsidR="00385A64" w:rsidRPr="005E503C">
        <w:t>entity</w:t>
      </w:r>
      <w:r w:rsidRPr="005E503C">
        <w:t xml:space="preserve"> that realise</w:t>
      </w:r>
      <w:r w:rsidR="00FA1718" w:rsidRPr="005E503C">
        <w:t>s</w:t>
      </w:r>
      <w:r w:rsidRPr="005E503C">
        <w:t xml:space="preserve"> the capital gain </w:t>
      </w:r>
      <w:r w:rsidR="00D0474E" w:rsidRPr="005E503C">
        <w:t>from</w:t>
      </w:r>
      <w:r w:rsidRPr="005E503C">
        <w:t xml:space="preserve"> a CGT event occurring to an ownership interest in the property used to provide the affordable housing and any </w:t>
      </w:r>
      <w:r w:rsidR="00AC6A47" w:rsidRPr="005E503C">
        <w:t xml:space="preserve">entity through which the capital gain </w:t>
      </w:r>
      <w:r w:rsidR="00901AB6" w:rsidRPr="005E503C">
        <w:t>is</w:t>
      </w:r>
      <w:r w:rsidR="00AC6A47" w:rsidRPr="005E503C">
        <w:t xml:space="preserve"> distributed or attributed to the individual must be either a certain type of trust or a partnership. </w:t>
      </w:r>
      <w:r w:rsidR="00901AB6" w:rsidRPr="005E503C">
        <w:t>For this purpose these trusts must</w:t>
      </w:r>
      <w:r w:rsidR="00731730" w:rsidRPr="005E503C">
        <w:t xml:space="preserve"> not be</w:t>
      </w:r>
      <w:r w:rsidR="00AC6A47" w:rsidRPr="005E503C">
        <w:t>:</w:t>
      </w:r>
    </w:p>
    <w:p w14:paraId="4B85270A" w14:textId="6915AFD3" w:rsidR="00D67600" w:rsidRPr="005E503C" w:rsidRDefault="00B6148A" w:rsidP="00AC6A47">
      <w:pPr>
        <w:pStyle w:val="dotpoint"/>
      </w:pPr>
      <w:r w:rsidRPr="005E503C">
        <w:t xml:space="preserve">a </w:t>
      </w:r>
      <w:r w:rsidR="00A87F06" w:rsidRPr="005E503C">
        <w:t xml:space="preserve">public </w:t>
      </w:r>
      <w:r w:rsidR="00F524E5" w:rsidRPr="005E503C">
        <w:t>unit</w:t>
      </w:r>
      <w:r w:rsidR="00A87F06" w:rsidRPr="005E503C">
        <w:t xml:space="preserve"> </w:t>
      </w:r>
      <w:r w:rsidRPr="005E503C">
        <w:t>trust</w:t>
      </w:r>
      <w:r w:rsidR="00D67600" w:rsidRPr="005E503C">
        <w:t xml:space="preserve"> (other than a MIT);</w:t>
      </w:r>
      <w:r w:rsidRPr="005E503C">
        <w:t xml:space="preserve"> or</w:t>
      </w:r>
    </w:p>
    <w:p w14:paraId="6324754B" w14:textId="1972897F" w:rsidR="00B6148A" w:rsidRPr="005E503C" w:rsidRDefault="00B6148A" w:rsidP="00D67600">
      <w:pPr>
        <w:pStyle w:val="dotpoint"/>
      </w:pPr>
      <w:proofErr w:type="gramStart"/>
      <w:r w:rsidRPr="005E503C">
        <w:t>a</w:t>
      </w:r>
      <w:proofErr w:type="gramEnd"/>
      <w:r w:rsidRPr="005E503C">
        <w:t xml:space="preserve"> superannuation fund</w:t>
      </w:r>
      <w:r w:rsidR="00385A64" w:rsidRPr="005E503C">
        <w:t>.</w:t>
      </w:r>
    </w:p>
    <w:p w14:paraId="0222E335" w14:textId="0377A02E" w:rsidR="00BE7B3E" w:rsidRPr="005E503C" w:rsidRDefault="00BE7B3E" w:rsidP="00323554">
      <w:pPr>
        <w:pStyle w:val="base-text-paragraphnonumbers"/>
      </w:pPr>
      <w:r w:rsidRPr="005E503C">
        <w:rPr>
          <w:rStyle w:val="Referencingstyle"/>
        </w:rPr>
        <w:t xml:space="preserve">[Schedule 1, item 2, </w:t>
      </w:r>
      <w:proofErr w:type="gramStart"/>
      <w:r w:rsidRPr="005E503C">
        <w:rPr>
          <w:rStyle w:val="Referencingstyle"/>
        </w:rPr>
        <w:t>subsection 115-225(3</w:t>
      </w:r>
      <w:proofErr w:type="gramEnd"/>
      <w:r w:rsidRPr="005E503C">
        <w:rPr>
          <w:rStyle w:val="Referencingstyle"/>
        </w:rPr>
        <w:t>)]</w:t>
      </w:r>
    </w:p>
    <w:p w14:paraId="5E1D07F9" w14:textId="6238765E" w:rsidR="009A0250" w:rsidRPr="005E503C" w:rsidRDefault="00F524E5" w:rsidP="00C731CB">
      <w:pPr>
        <w:pStyle w:val="base-text-paragraph"/>
        <w:numPr>
          <w:ilvl w:val="1"/>
          <w:numId w:val="4"/>
        </w:numPr>
      </w:pPr>
      <w:r w:rsidRPr="005E503C">
        <w:t xml:space="preserve">Public unit trust is defined in section 102P of the </w:t>
      </w:r>
      <w:r w:rsidRPr="005E503C">
        <w:rPr>
          <w:i/>
        </w:rPr>
        <w:t>Income Tax Assessment Act 1936</w:t>
      </w:r>
      <w:r w:rsidR="00A31EB6" w:rsidRPr="005E503C">
        <w:t xml:space="preserve"> (ITAA 1936)</w:t>
      </w:r>
      <w:r w:rsidRPr="005E503C">
        <w:t xml:space="preserve">. Broadly, a unit trust will be a public unit trust if the units in the trust are listed for quotation in the official list of a stock exchange, offered to the public in a public offer, held by more than 50 people or where a tax-exempt investment vehicle, such as a </w:t>
      </w:r>
      <w:r w:rsidRPr="005E503C">
        <w:lastRenderedPageBreak/>
        <w:t>foreign superannuation fund, is a substantial unitholder (see subsections</w:t>
      </w:r>
      <w:r w:rsidR="0076482D" w:rsidRPr="005E503C">
        <w:t> </w:t>
      </w:r>
      <w:proofErr w:type="gramStart"/>
      <w:r w:rsidRPr="005E503C">
        <w:t>102P(</w:t>
      </w:r>
      <w:proofErr w:type="gramEnd"/>
      <w:r w:rsidRPr="005E503C">
        <w:t>1) and (2) of the ITAA 1</w:t>
      </w:r>
      <w:r w:rsidR="000930B0" w:rsidRPr="005E503C">
        <w:t>936</w:t>
      </w:r>
      <w:r w:rsidRPr="005E503C">
        <w:t xml:space="preserve">). However, a trust will not be a public unit trust if 20 or fewer people hold </w:t>
      </w:r>
      <w:r w:rsidR="00184243" w:rsidRPr="005E503C">
        <w:t>a</w:t>
      </w:r>
      <w:r w:rsidRPr="005E503C">
        <w:t xml:space="preserve"> beneficial interest in 75</w:t>
      </w:r>
      <w:r w:rsidR="0076482D" w:rsidRPr="005E503C">
        <w:t> </w:t>
      </w:r>
      <w:r w:rsidRPr="005E503C">
        <w:t>per</w:t>
      </w:r>
      <w:r w:rsidR="0076482D" w:rsidRPr="005E503C">
        <w:t> </w:t>
      </w:r>
      <w:r w:rsidRPr="005E503C">
        <w:t>cent or more of the income or property of the trust, or if other integrity rules are not satisfied (see section 102P of the ITAA 19</w:t>
      </w:r>
      <w:r w:rsidR="000930B0" w:rsidRPr="005E503C">
        <w:t>36</w:t>
      </w:r>
      <w:r w:rsidRPr="005E503C">
        <w:t>).</w:t>
      </w:r>
    </w:p>
    <w:p w14:paraId="0CD90594" w14:textId="2665BABD" w:rsidR="0018230F" w:rsidRPr="005E503C" w:rsidRDefault="00A11DF6" w:rsidP="00A11DF6">
      <w:pPr>
        <w:pStyle w:val="Heading3"/>
      </w:pPr>
      <w:r w:rsidRPr="005E503C">
        <w:t>Working out the net capital gain</w:t>
      </w:r>
      <w:r w:rsidR="00063A40" w:rsidRPr="005E503C">
        <w:t xml:space="preserve"> where additional </w:t>
      </w:r>
      <w:r w:rsidR="00163876" w:rsidRPr="005E503C">
        <w:t xml:space="preserve">affordable housing </w:t>
      </w:r>
      <w:r w:rsidR="009B7735" w:rsidRPr="005E503C">
        <w:t>c</w:t>
      </w:r>
      <w:r w:rsidR="0035076B" w:rsidRPr="005E503C">
        <w:t>apital gains discount</w:t>
      </w:r>
      <w:r w:rsidR="00063A40" w:rsidRPr="005E503C">
        <w:t xml:space="preserve"> applies</w:t>
      </w:r>
    </w:p>
    <w:p w14:paraId="48CFD8EC" w14:textId="1B46E581" w:rsidR="00F01753" w:rsidRPr="005E503C" w:rsidRDefault="00B87371" w:rsidP="00C731CB">
      <w:pPr>
        <w:pStyle w:val="base-text-paragraph"/>
        <w:numPr>
          <w:ilvl w:val="1"/>
          <w:numId w:val="4"/>
        </w:numPr>
      </w:pPr>
      <w:r w:rsidRPr="005E503C">
        <w:t xml:space="preserve">The additional </w:t>
      </w:r>
      <w:r w:rsidR="00163876" w:rsidRPr="005E503C">
        <w:t xml:space="preserve">affordable housing </w:t>
      </w:r>
      <w:r w:rsidR="009B7735" w:rsidRPr="005E503C">
        <w:t>c</w:t>
      </w:r>
      <w:r w:rsidR="0035076B" w:rsidRPr="005E503C">
        <w:t>apital gains discount</w:t>
      </w:r>
      <w:r w:rsidRPr="005E503C">
        <w:t xml:space="preserve"> is taken into account </w:t>
      </w:r>
      <w:r w:rsidR="004D60EA" w:rsidRPr="005E503C">
        <w:t xml:space="preserve">in </w:t>
      </w:r>
      <w:r w:rsidRPr="005E503C">
        <w:t xml:space="preserve">working out </w:t>
      </w:r>
      <w:r w:rsidR="00F01753" w:rsidRPr="005E503C">
        <w:t>an individual’s</w:t>
      </w:r>
      <w:r w:rsidRPr="005E503C">
        <w:t xml:space="preserve"> capital gain</w:t>
      </w:r>
      <w:r w:rsidR="00F01753" w:rsidRPr="005E503C">
        <w:t>:</w:t>
      </w:r>
    </w:p>
    <w:p w14:paraId="13EEC2F5" w14:textId="6A86BA0D" w:rsidR="00F01753" w:rsidRPr="005E503C" w:rsidRDefault="00F01753" w:rsidP="00323554">
      <w:pPr>
        <w:pStyle w:val="dotpoint"/>
      </w:pPr>
      <w:r w:rsidRPr="005E503C">
        <w:t xml:space="preserve">from </w:t>
      </w:r>
      <w:r w:rsidR="00375CCD" w:rsidRPr="005E503C">
        <w:t xml:space="preserve">a CGT event </w:t>
      </w:r>
      <w:r w:rsidRPr="005E503C">
        <w:t>occurring</w:t>
      </w:r>
      <w:r w:rsidR="00375CCD" w:rsidRPr="005E503C">
        <w:t xml:space="preserve"> </w:t>
      </w:r>
      <w:r w:rsidRPr="005E503C">
        <w:t>to</w:t>
      </w:r>
      <w:r w:rsidR="00375CCD" w:rsidRPr="005E503C">
        <w:t xml:space="preserve"> an ownership interest in </w:t>
      </w:r>
      <w:r w:rsidR="002C625D" w:rsidRPr="005E503C">
        <w:t>residential premises</w:t>
      </w:r>
      <w:r w:rsidR="00375CCD" w:rsidRPr="005E503C">
        <w:t xml:space="preserve"> that has been used to provide affordable housing</w:t>
      </w:r>
      <w:r w:rsidRPr="005E503C">
        <w:t xml:space="preserve"> they held, or</w:t>
      </w:r>
    </w:p>
    <w:p w14:paraId="2E4960FE" w14:textId="3CE049CD" w:rsidR="00375CCD" w:rsidRPr="005E503C" w:rsidRDefault="00F01753" w:rsidP="00323554">
      <w:pPr>
        <w:pStyle w:val="dotpoint"/>
      </w:pPr>
      <w:proofErr w:type="gramStart"/>
      <w:r w:rsidRPr="005E503C">
        <w:t>that</w:t>
      </w:r>
      <w:proofErr w:type="gramEnd"/>
      <w:r w:rsidRPr="005E503C">
        <w:t xml:space="preserve"> was distributed or attributed to them directly or through an interposed entity by a trust</w:t>
      </w:r>
      <w:r w:rsidR="00375CCD" w:rsidRPr="005E503C">
        <w:t>.</w:t>
      </w:r>
    </w:p>
    <w:p w14:paraId="03507880" w14:textId="6D348E4D" w:rsidR="00C17AF8" w:rsidRPr="005E503C" w:rsidRDefault="00200C7E" w:rsidP="00C731CB">
      <w:pPr>
        <w:pStyle w:val="base-text-paragraph"/>
        <w:numPr>
          <w:ilvl w:val="1"/>
          <w:numId w:val="4"/>
        </w:numPr>
      </w:pPr>
      <w:r w:rsidRPr="005E503C">
        <w:t>S</w:t>
      </w:r>
      <w:r w:rsidR="006A7628" w:rsidRPr="005E503C">
        <w:t>ection 102</w:t>
      </w:r>
      <w:r w:rsidR="007857B7" w:rsidRPr="005E503C">
        <w:noBreakHyphen/>
      </w:r>
      <w:r w:rsidR="006A7628" w:rsidRPr="005E503C">
        <w:t xml:space="preserve">5 sets out five steps to work out the net capital gain </w:t>
      </w:r>
      <w:r w:rsidR="002661FE" w:rsidRPr="005E503C">
        <w:t>f</w:t>
      </w:r>
      <w:r w:rsidR="00BC0A5A" w:rsidRPr="005E503C">
        <w:t>or an income year. They are:</w:t>
      </w:r>
    </w:p>
    <w:p w14:paraId="51F56719" w14:textId="27AE9B9F" w:rsidR="00BC0A5A" w:rsidRPr="005E503C" w:rsidRDefault="00BC0A5A" w:rsidP="00BC0A5A">
      <w:pPr>
        <w:pStyle w:val="dotpoint"/>
      </w:pPr>
      <w:r w:rsidRPr="005E503C">
        <w:t xml:space="preserve">Step 1 </w:t>
      </w:r>
      <w:r w:rsidR="009C558F" w:rsidRPr="005E503C">
        <w:t>—</w:t>
      </w:r>
      <w:r w:rsidRPr="005E503C">
        <w:t xml:space="preserve"> </w:t>
      </w:r>
      <w:r w:rsidR="00FB4434" w:rsidRPr="005E503C">
        <w:t>r</w:t>
      </w:r>
      <w:r w:rsidRPr="005E503C">
        <w:t>educe the capital gain</w:t>
      </w:r>
      <w:r w:rsidR="001F6DFD" w:rsidRPr="005E503C">
        <w:t>s</w:t>
      </w:r>
      <w:r w:rsidRPr="005E503C">
        <w:t xml:space="preserve"> made during the income year by the capital losses (if any) made during the income year; </w:t>
      </w:r>
    </w:p>
    <w:p w14:paraId="03AFEBA1" w14:textId="75A87B7D" w:rsidR="00BC0A5A" w:rsidRPr="005E503C" w:rsidRDefault="00BC0A5A" w:rsidP="00BC0A5A">
      <w:pPr>
        <w:pStyle w:val="dotpoint"/>
      </w:pPr>
      <w:r w:rsidRPr="005E503C">
        <w:t xml:space="preserve">Step 2 </w:t>
      </w:r>
      <w:r w:rsidR="004B4C4C" w:rsidRPr="005E503C">
        <w:t xml:space="preserve">— </w:t>
      </w:r>
      <w:r w:rsidR="00FB4434" w:rsidRPr="005E503C">
        <w:t>r</w:t>
      </w:r>
      <w:r w:rsidR="004B4C4C" w:rsidRPr="005E503C">
        <w:t>educe the capital gain</w:t>
      </w:r>
      <w:r w:rsidR="001F6DFD" w:rsidRPr="005E503C">
        <w:t>s</w:t>
      </w:r>
      <w:r w:rsidR="004B4C4C" w:rsidRPr="005E503C">
        <w:t xml:space="preserve"> remaining at the end of Step 1 by any previously unapplied net capital losses from earlier income years</w:t>
      </w:r>
      <w:r w:rsidR="00B66B69" w:rsidRPr="005E503C">
        <w:t>;</w:t>
      </w:r>
    </w:p>
    <w:p w14:paraId="710117C9" w14:textId="0D491A00" w:rsidR="00B66B69" w:rsidRPr="005E503C" w:rsidRDefault="00B66B69" w:rsidP="00BC0A5A">
      <w:pPr>
        <w:pStyle w:val="dotpoint"/>
      </w:pPr>
      <w:r w:rsidRPr="005E503C">
        <w:t xml:space="preserve">Step 3 — </w:t>
      </w:r>
      <w:r w:rsidR="00FB4434" w:rsidRPr="005E503C">
        <w:t>r</w:t>
      </w:r>
      <w:r w:rsidRPr="005E503C">
        <w:t>educe by the discount percentage each amount of a discount capital gain remaining after Step 2;</w:t>
      </w:r>
    </w:p>
    <w:p w14:paraId="77F5ADAA" w14:textId="765057EA" w:rsidR="00B66B69" w:rsidRPr="005E503C" w:rsidRDefault="00B66B69" w:rsidP="00BC0A5A">
      <w:pPr>
        <w:pStyle w:val="dotpoint"/>
      </w:pPr>
      <w:r w:rsidRPr="005E503C">
        <w:t>Step 4 —</w:t>
      </w:r>
      <w:r w:rsidR="00FB4434" w:rsidRPr="005E503C">
        <w:t xml:space="preserve"> apply the small business concession to </w:t>
      </w:r>
      <w:r w:rsidR="00E53FA6" w:rsidRPr="005E503C">
        <w:t>any capital gain to which they apply</w:t>
      </w:r>
      <w:r w:rsidR="00F94579" w:rsidRPr="005E503C">
        <w:t>;</w:t>
      </w:r>
    </w:p>
    <w:p w14:paraId="6A2C0757" w14:textId="2023B5F6" w:rsidR="00E53FA6" w:rsidRPr="005E503C" w:rsidRDefault="00E53FA6" w:rsidP="00BC0A5A">
      <w:pPr>
        <w:pStyle w:val="dotpoint"/>
      </w:pPr>
      <w:r w:rsidRPr="005E503C">
        <w:t xml:space="preserve">Step 5 — Add up the amounts of any capital gains (if any) remaining after step 4. The sum is the net capital gain for the income year. </w:t>
      </w:r>
    </w:p>
    <w:p w14:paraId="31FC1CED" w14:textId="2DDA3747" w:rsidR="0018230F" w:rsidRPr="005E503C" w:rsidRDefault="004C61C1" w:rsidP="00C731CB">
      <w:pPr>
        <w:pStyle w:val="base-text-paragraph"/>
        <w:numPr>
          <w:ilvl w:val="1"/>
          <w:numId w:val="4"/>
        </w:numPr>
      </w:pPr>
      <w:r w:rsidRPr="005E503C">
        <w:t xml:space="preserve">Following the amendments made by this measure, at Step 3, the capital gain is reduced by the </w:t>
      </w:r>
      <w:r w:rsidR="002B48D4" w:rsidRPr="005E503C">
        <w:t xml:space="preserve">discount percentage. The discount percentage is taken to be the discount percentage that would ordinarily apply plus the </w:t>
      </w:r>
      <w:r w:rsidR="004D60EA" w:rsidRPr="005E503C">
        <w:t xml:space="preserve">additional </w:t>
      </w:r>
      <w:r w:rsidR="002B48D4" w:rsidRPr="005E503C">
        <w:t xml:space="preserve">affordable housing discount percentage. </w:t>
      </w:r>
      <w:r w:rsidRPr="005E503C">
        <w:rPr>
          <w:rStyle w:val="Referencingstyle"/>
        </w:rPr>
        <w:t>[Schedule</w:t>
      </w:r>
      <w:r w:rsidR="00811B46" w:rsidRPr="005E503C">
        <w:rPr>
          <w:rStyle w:val="Referencingstyle"/>
        </w:rPr>
        <w:t> 1</w:t>
      </w:r>
      <w:r w:rsidRPr="005E503C">
        <w:rPr>
          <w:rStyle w:val="Referencingstyle"/>
        </w:rPr>
        <w:t xml:space="preserve">, item </w:t>
      </w:r>
      <w:r w:rsidR="00811B46" w:rsidRPr="005E503C">
        <w:rPr>
          <w:rStyle w:val="Referencingstyle"/>
        </w:rPr>
        <w:t>2</w:t>
      </w:r>
      <w:r w:rsidRPr="005E503C">
        <w:rPr>
          <w:rStyle w:val="Referencingstyle"/>
        </w:rPr>
        <w:t xml:space="preserve">, </w:t>
      </w:r>
      <w:r w:rsidR="001D7A9B" w:rsidRPr="005E503C">
        <w:rPr>
          <w:rStyle w:val="Referencingstyle"/>
        </w:rPr>
        <w:t>sub</w:t>
      </w:r>
      <w:r w:rsidRPr="005E503C">
        <w:rPr>
          <w:rStyle w:val="Referencingstyle"/>
        </w:rPr>
        <w:t xml:space="preserve">section </w:t>
      </w:r>
      <w:r w:rsidR="001D7A9B" w:rsidRPr="005E503C">
        <w:rPr>
          <w:rStyle w:val="Referencingstyle"/>
        </w:rPr>
        <w:t>115</w:t>
      </w:r>
      <w:r w:rsidR="00D61A16" w:rsidRPr="005E503C">
        <w:rPr>
          <w:rStyle w:val="Referencingstyle"/>
        </w:rPr>
        <w:noBreakHyphen/>
      </w:r>
      <w:r w:rsidR="001D7A9B" w:rsidRPr="005E503C">
        <w:rPr>
          <w:rStyle w:val="Referencingstyle"/>
        </w:rPr>
        <w:t>125(4)</w:t>
      </w:r>
      <w:r w:rsidRPr="005E503C">
        <w:rPr>
          <w:rStyle w:val="Referencingstyle"/>
        </w:rPr>
        <w:t>]</w:t>
      </w:r>
    </w:p>
    <w:p w14:paraId="26F8EEA1" w14:textId="6479466A" w:rsidR="000904D9" w:rsidRPr="005E503C" w:rsidRDefault="000904D9" w:rsidP="00C731CB">
      <w:pPr>
        <w:pStyle w:val="base-text-paragraph"/>
        <w:numPr>
          <w:ilvl w:val="1"/>
          <w:numId w:val="4"/>
        </w:numPr>
      </w:pPr>
      <w:r w:rsidRPr="005E503C">
        <w:t>The affordable housing discount perc</w:t>
      </w:r>
      <w:r w:rsidR="00657A38" w:rsidRPr="005E503C">
        <w:t xml:space="preserve">entage is </w:t>
      </w:r>
      <w:r w:rsidRPr="005E503C">
        <w:t>equal to:</w:t>
      </w:r>
    </w:p>
    <w:p w14:paraId="4FCC75D9" w14:textId="3ECCA316" w:rsidR="000904D9" w:rsidRPr="005E503C" w:rsidRDefault="00027EA3" w:rsidP="006E064D">
      <w:pPr>
        <w:pStyle w:val="base-text-paragraphnonumbers"/>
        <w:ind w:left="1985"/>
      </w:pPr>
      <w:r w:rsidRPr="005E503C">
        <w:rPr>
          <w:noProof/>
        </w:rPr>
        <w:drawing>
          <wp:inline distT="0" distB="0" distL="0" distR="0" wp14:anchorId="11A32BFF" wp14:editId="74F3E541">
            <wp:extent cx="3802566" cy="4191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02566" cy="419100"/>
                    </a:xfrm>
                    <a:prstGeom prst="rect">
                      <a:avLst/>
                    </a:prstGeom>
                    <a:noFill/>
                    <a:ln>
                      <a:noFill/>
                    </a:ln>
                  </pic:spPr>
                </pic:pic>
              </a:graphicData>
            </a:graphic>
          </wp:inline>
        </w:drawing>
      </w:r>
      <w:proofErr w:type="gramStart"/>
      <w:r w:rsidR="00F91137" w:rsidRPr="005E503C">
        <w:t>where</w:t>
      </w:r>
      <w:proofErr w:type="gramEnd"/>
      <w:r w:rsidR="00F91137" w:rsidRPr="005E503C">
        <w:t>:</w:t>
      </w:r>
    </w:p>
    <w:p w14:paraId="21D447A4" w14:textId="617C62C2" w:rsidR="00F91137" w:rsidRPr="005E503C" w:rsidRDefault="00F91137" w:rsidP="00F91137">
      <w:pPr>
        <w:pStyle w:val="base-text-paragraph"/>
        <w:numPr>
          <w:ilvl w:val="0"/>
          <w:numId w:val="0"/>
        </w:numPr>
        <w:ind w:left="1985"/>
      </w:pPr>
      <w:r w:rsidRPr="005E503C">
        <w:lastRenderedPageBreak/>
        <w:t>Subdiv</w:t>
      </w:r>
      <w:r w:rsidR="00761A7B" w:rsidRPr="005E503C">
        <w:t>ision</w:t>
      </w:r>
      <w:r w:rsidRPr="005E503C">
        <w:t xml:space="preserve"> 115</w:t>
      </w:r>
      <w:r w:rsidRPr="005E503C">
        <w:noBreakHyphen/>
        <w:t>B discount percentage is the d</w:t>
      </w:r>
      <w:r w:rsidR="0052542B" w:rsidRPr="005E503C">
        <w:t>i</w:t>
      </w:r>
      <w:r w:rsidRPr="005E503C">
        <w:t>scount percentage that applies under Subdivision 115</w:t>
      </w:r>
      <w:r w:rsidR="007857B7" w:rsidRPr="005E503C">
        <w:noBreakHyphen/>
      </w:r>
      <w:r w:rsidRPr="005E503C">
        <w:t>B</w:t>
      </w:r>
    </w:p>
    <w:p w14:paraId="7AA5DAEF" w14:textId="517323D1" w:rsidR="00F91137" w:rsidRPr="005E503C" w:rsidRDefault="0052542B" w:rsidP="00F91137">
      <w:pPr>
        <w:pStyle w:val="base-text-paragraph"/>
        <w:numPr>
          <w:ilvl w:val="0"/>
          <w:numId w:val="0"/>
        </w:numPr>
        <w:ind w:left="1985"/>
      </w:pPr>
      <w:r w:rsidRPr="005E503C">
        <w:t xml:space="preserve">Affordable housing days </w:t>
      </w:r>
      <w:r w:rsidR="005E5BCC" w:rsidRPr="005E503C">
        <w:t>are</w:t>
      </w:r>
      <w:r w:rsidRPr="005E503C">
        <w:t xml:space="preserve"> the number of days the </w:t>
      </w:r>
      <w:r w:rsidR="00557EF4" w:rsidRPr="005E503C">
        <w:t xml:space="preserve">dwelling </w:t>
      </w:r>
      <w:r w:rsidRPr="005E503C">
        <w:t xml:space="preserve">was used to provide affordable housing during its ownership period less the number of days when the individual receiving the affordable housing capital gains discount was a foreign or temporary resident. </w:t>
      </w:r>
    </w:p>
    <w:p w14:paraId="09770B4E" w14:textId="4931F14D" w:rsidR="00DD42F2" w:rsidRPr="005E503C" w:rsidRDefault="00DD42F2" w:rsidP="00F91137">
      <w:pPr>
        <w:pStyle w:val="base-text-paragraph"/>
        <w:numPr>
          <w:ilvl w:val="0"/>
          <w:numId w:val="0"/>
        </w:numPr>
        <w:ind w:left="1985"/>
      </w:pPr>
      <w:r w:rsidRPr="005E503C">
        <w:t xml:space="preserve">Total ownership days </w:t>
      </w:r>
      <w:r w:rsidR="005E5BCC" w:rsidRPr="005E503C">
        <w:t>are</w:t>
      </w:r>
      <w:r w:rsidRPr="005E503C">
        <w:t xml:space="preserve"> the </w:t>
      </w:r>
      <w:r w:rsidR="00557EF4" w:rsidRPr="005E503C">
        <w:t>number of days the dwelling was held from the time it was acquired until a CGT event occurred to it.</w:t>
      </w:r>
    </w:p>
    <w:p w14:paraId="59FC6069" w14:textId="17872CD1" w:rsidR="000904D9" w:rsidRPr="005E503C" w:rsidRDefault="00657A38" w:rsidP="000904D9">
      <w:pPr>
        <w:pStyle w:val="base-text-paragraph"/>
        <w:numPr>
          <w:ilvl w:val="0"/>
          <w:numId w:val="0"/>
        </w:numPr>
        <w:ind w:left="1134"/>
      </w:pPr>
      <w:r w:rsidRPr="005E503C">
        <w:rPr>
          <w:rStyle w:val="Referencingstyle"/>
        </w:rPr>
        <w:t xml:space="preserve">[Schedule </w:t>
      </w:r>
      <w:r w:rsidR="00811B46" w:rsidRPr="005E503C">
        <w:rPr>
          <w:rStyle w:val="Referencingstyle"/>
        </w:rPr>
        <w:t>1</w:t>
      </w:r>
      <w:r w:rsidRPr="005E503C">
        <w:rPr>
          <w:rStyle w:val="Referencingstyle"/>
        </w:rPr>
        <w:t xml:space="preserve">, item </w:t>
      </w:r>
      <w:r w:rsidR="00811B46" w:rsidRPr="005E503C">
        <w:rPr>
          <w:rStyle w:val="Referencingstyle"/>
        </w:rPr>
        <w:t>2</w:t>
      </w:r>
      <w:r w:rsidRPr="005E503C">
        <w:rPr>
          <w:rStyle w:val="Referencingstyle"/>
        </w:rPr>
        <w:t xml:space="preserve">, </w:t>
      </w:r>
      <w:r w:rsidR="001D7A9B" w:rsidRPr="005E503C">
        <w:rPr>
          <w:rStyle w:val="Referencingstyle"/>
        </w:rPr>
        <w:t>sub</w:t>
      </w:r>
      <w:r w:rsidRPr="005E503C">
        <w:rPr>
          <w:rStyle w:val="Referencingstyle"/>
        </w:rPr>
        <w:t xml:space="preserve">section </w:t>
      </w:r>
      <w:r w:rsidR="001D7A9B" w:rsidRPr="005E503C">
        <w:rPr>
          <w:rStyle w:val="Referencingstyle"/>
        </w:rPr>
        <w:t>115</w:t>
      </w:r>
      <w:r w:rsidR="00D61A16" w:rsidRPr="005E503C">
        <w:rPr>
          <w:rStyle w:val="Referencingstyle"/>
        </w:rPr>
        <w:noBreakHyphen/>
      </w:r>
      <w:proofErr w:type="gramStart"/>
      <w:r w:rsidR="001D7A9B" w:rsidRPr="005E503C">
        <w:rPr>
          <w:rStyle w:val="Referencingstyle"/>
        </w:rPr>
        <w:t>125(</w:t>
      </w:r>
      <w:proofErr w:type="gramEnd"/>
      <w:r w:rsidR="001D7A9B" w:rsidRPr="005E503C">
        <w:rPr>
          <w:rStyle w:val="Referencingstyle"/>
        </w:rPr>
        <w:t>5)</w:t>
      </w:r>
      <w:r w:rsidRPr="005E503C">
        <w:rPr>
          <w:rStyle w:val="Referencingstyle"/>
        </w:rPr>
        <w:t>]</w:t>
      </w:r>
    </w:p>
    <w:p w14:paraId="7B90DAA0" w14:textId="485EAD96" w:rsidR="000E14A0" w:rsidRPr="005E503C" w:rsidRDefault="000E14A0" w:rsidP="00C731CB">
      <w:pPr>
        <w:pStyle w:val="base-text-paragraph"/>
        <w:numPr>
          <w:ilvl w:val="1"/>
          <w:numId w:val="4"/>
        </w:numPr>
      </w:pPr>
      <w:r w:rsidRPr="005E503C">
        <w:t>The Su</w:t>
      </w:r>
      <w:r w:rsidR="00761A7B" w:rsidRPr="005E503C">
        <w:t>b</w:t>
      </w:r>
      <w:r w:rsidRPr="005E503C">
        <w:t>d</w:t>
      </w:r>
      <w:r w:rsidR="00761A7B" w:rsidRPr="005E503C">
        <w:t>i</w:t>
      </w:r>
      <w:r w:rsidRPr="005E503C">
        <w:t>vi</w:t>
      </w:r>
      <w:r w:rsidR="00761A7B" w:rsidRPr="005E503C">
        <w:t>sion</w:t>
      </w:r>
      <w:r w:rsidRPr="005E503C">
        <w:t xml:space="preserve"> 115</w:t>
      </w:r>
      <w:r w:rsidR="007857B7" w:rsidRPr="005E503C">
        <w:noBreakHyphen/>
        <w:t>B</w:t>
      </w:r>
      <w:r w:rsidRPr="005E503C">
        <w:t xml:space="preserve"> discount percentage is used as the basis for determining the affordable housing discount percentage as:</w:t>
      </w:r>
    </w:p>
    <w:p w14:paraId="20011C90" w14:textId="0FF3D979" w:rsidR="006B1720" w:rsidRPr="005E503C" w:rsidRDefault="000E14A0" w:rsidP="000E14A0">
      <w:pPr>
        <w:pStyle w:val="dotpoint"/>
      </w:pPr>
      <w:r w:rsidRPr="005E503C">
        <w:t>t</w:t>
      </w:r>
      <w:r w:rsidR="006B1720" w:rsidRPr="005E503C">
        <w:t>he affordable housing discount percentage (before adjustment) of 10 per cent is one</w:t>
      </w:r>
      <w:r w:rsidR="008072F0" w:rsidRPr="005E503C">
        <w:noBreakHyphen/>
      </w:r>
      <w:r w:rsidR="006B1720" w:rsidRPr="005E503C">
        <w:t>fifth of the discount capital gain percentage of 50 per ce</w:t>
      </w:r>
      <w:r w:rsidRPr="005E503C">
        <w:t xml:space="preserve">nt that applies to individuals (noting that only individuals are entitled to an affordable housing </w:t>
      </w:r>
      <w:r w:rsidRPr="005E503C" w:rsidDel="00E96775">
        <w:t xml:space="preserve">capital </w:t>
      </w:r>
      <w:r w:rsidR="00157921" w:rsidRPr="005E503C">
        <w:t>gains</w:t>
      </w:r>
      <w:r w:rsidRPr="005E503C">
        <w:t xml:space="preserve"> discount); and</w:t>
      </w:r>
    </w:p>
    <w:p w14:paraId="71AA92BF" w14:textId="764D3910" w:rsidR="00A27CB1" w:rsidRPr="005E503C" w:rsidRDefault="00A27CB1" w:rsidP="000E14A0">
      <w:pPr>
        <w:pStyle w:val="dotpoint"/>
      </w:pPr>
      <w:r w:rsidRPr="005E503C">
        <w:t xml:space="preserve">it reduces the amount of the discount to take into account the time the individual was either a foreign resident or temporary resident for taxation purposes — </w:t>
      </w:r>
      <w:r w:rsidR="005B3B3D" w:rsidRPr="005E503C">
        <w:t xml:space="preserve">this ensures consistency with the discount capital gain, </w:t>
      </w:r>
      <w:r w:rsidR="00761A7B" w:rsidRPr="005E503C">
        <w:t xml:space="preserve">removes the need </w:t>
      </w:r>
      <w:r w:rsidR="004D60EA" w:rsidRPr="005E503C">
        <w:t xml:space="preserve">to </w:t>
      </w:r>
      <w:r w:rsidR="005B3B3D" w:rsidRPr="005E503C">
        <w:t>apportion</w:t>
      </w:r>
      <w:r w:rsidR="00761A7B" w:rsidRPr="005E503C">
        <w:t xml:space="preserve"> separately</w:t>
      </w:r>
      <w:r w:rsidR="005B3B3D" w:rsidRPr="005E503C" w:rsidDel="00761A7B">
        <w:t xml:space="preserve"> </w:t>
      </w:r>
      <w:r w:rsidR="005B3B3D" w:rsidRPr="005E503C">
        <w:t>and also tak</w:t>
      </w:r>
      <w:r w:rsidR="00761A7B" w:rsidRPr="005E503C">
        <w:t>es</w:t>
      </w:r>
      <w:r w:rsidR="005B3B3D" w:rsidRPr="005E503C">
        <w:t xml:space="preserve"> into account the transitional arrangements that applied to this apportionment (that is</w:t>
      </w:r>
      <w:r w:rsidR="00761A7B" w:rsidRPr="005E503C">
        <w:t xml:space="preserve"> </w:t>
      </w:r>
      <w:r w:rsidR="005B3B3D" w:rsidRPr="005E503C">
        <w:t>not reducing the discount for foreign or temporary residence days occurr</w:t>
      </w:r>
      <w:r w:rsidR="00761A7B" w:rsidRPr="005E503C">
        <w:t>ing</w:t>
      </w:r>
      <w:r w:rsidR="005B3B3D" w:rsidRPr="005E503C">
        <w:t xml:space="preserve"> before 9 May 2012)</w:t>
      </w:r>
      <w:r w:rsidR="00DE5F5D" w:rsidRPr="005E503C">
        <w:t>.</w:t>
      </w:r>
    </w:p>
    <w:p w14:paraId="0BD65C0F" w14:textId="24B69A3F" w:rsidR="00D95CBE" w:rsidRPr="005E503C" w:rsidRDefault="00D95CBE" w:rsidP="003D0E4B">
      <w:pPr>
        <w:pStyle w:val="dotpoint"/>
        <w:numPr>
          <w:ilvl w:val="0"/>
          <w:numId w:val="0"/>
        </w:numPr>
        <w:ind w:left="1134"/>
        <w:rPr>
          <w:rStyle w:val="Referencingstyle"/>
        </w:rPr>
      </w:pPr>
      <w:r w:rsidRPr="005E503C">
        <w:rPr>
          <w:rStyle w:val="Referencingstyle"/>
        </w:rPr>
        <w:t xml:space="preserve">[Schedule </w:t>
      </w:r>
      <w:r w:rsidR="00811B46" w:rsidRPr="005E503C">
        <w:rPr>
          <w:rStyle w:val="Referencingstyle"/>
        </w:rPr>
        <w:t>1</w:t>
      </w:r>
      <w:r w:rsidRPr="005E503C">
        <w:rPr>
          <w:rStyle w:val="Referencingstyle"/>
        </w:rPr>
        <w:t>, item 1, paragraph 115</w:t>
      </w:r>
      <w:r w:rsidR="00D61A16" w:rsidRPr="005E503C">
        <w:rPr>
          <w:rStyle w:val="Referencingstyle"/>
        </w:rPr>
        <w:noBreakHyphen/>
      </w:r>
      <w:proofErr w:type="gramStart"/>
      <w:r w:rsidRPr="005E503C">
        <w:rPr>
          <w:rStyle w:val="Referencingstyle"/>
        </w:rPr>
        <w:t>100(</w:t>
      </w:r>
      <w:proofErr w:type="gramEnd"/>
      <w:r w:rsidRPr="005E503C">
        <w:rPr>
          <w:rStyle w:val="Referencingstyle"/>
        </w:rPr>
        <w:t>e)</w:t>
      </w:r>
      <w:r w:rsidR="00917ADA" w:rsidRPr="005E503C">
        <w:rPr>
          <w:rStyle w:val="Referencingstyle"/>
        </w:rPr>
        <w:t>]</w:t>
      </w:r>
    </w:p>
    <w:p w14:paraId="289FAEF0" w14:textId="71B3007D" w:rsidR="00643CA6" w:rsidRPr="005E503C" w:rsidRDefault="00386E17" w:rsidP="00C731CB">
      <w:pPr>
        <w:pStyle w:val="base-text-paragraph"/>
        <w:numPr>
          <w:ilvl w:val="1"/>
          <w:numId w:val="4"/>
        </w:numPr>
      </w:pPr>
      <w:r w:rsidRPr="005E503C">
        <w:t xml:space="preserve">The affordable </w:t>
      </w:r>
      <w:r w:rsidR="00163876" w:rsidRPr="005E503C">
        <w:t xml:space="preserve">housing </w:t>
      </w:r>
      <w:r w:rsidRPr="005E503C">
        <w:t xml:space="preserve">discount percentage must also be adjusted to ensure that a capital gains discount is only </w:t>
      </w:r>
      <w:r w:rsidR="00FB49E3" w:rsidRPr="005E503C">
        <w:t>available</w:t>
      </w:r>
      <w:r w:rsidRPr="005E503C">
        <w:t xml:space="preserve"> to the extent that the property was used for affordable housing use on and after </w:t>
      </w:r>
      <w:r w:rsidRPr="005E503C" w:rsidDel="00761A7B">
        <w:t>1</w:t>
      </w:r>
      <w:r w:rsidR="00761A7B" w:rsidRPr="005E503C">
        <w:t> </w:t>
      </w:r>
      <w:r w:rsidRPr="005E503C">
        <w:t xml:space="preserve">January 2018. </w:t>
      </w:r>
      <w:r w:rsidR="00643CA6" w:rsidRPr="005E503C">
        <w:t xml:space="preserve">This is achieved by </w:t>
      </w:r>
      <w:r w:rsidR="00FB49E3" w:rsidRPr="005E503C">
        <w:t xml:space="preserve">applying an adjustment factor </w:t>
      </w:r>
      <w:r w:rsidR="007D4F8A" w:rsidRPr="005E503C">
        <w:t>calculated by dividing</w:t>
      </w:r>
      <w:r w:rsidR="00FB49E3" w:rsidRPr="005E503C">
        <w:t xml:space="preserve"> </w:t>
      </w:r>
      <w:r w:rsidR="00643CA6" w:rsidRPr="005E503C">
        <w:t>the affordable housing days</w:t>
      </w:r>
      <w:r w:rsidR="00643CA6" w:rsidRPr="005E503C" w:rsidDel="007D4F8A">
        <w:t xml:space="preserve"> </w:t>
      </w:r>
      <w:r w:rsidR="00643CA6" w:rsidRPr="005E503C">
        <w:t xml:space="preserve">by total days in </w:t>
      </w:r>
      <w:r w:rsidR="00FB49E3" w:rsidRPr="005E503C">
        <w:t xml:space="preserve">the </w:t>
      </w:r>
      <w:r w:rsidR="00643CA6" w:rsidRPr="005E503C">
        <w:t xml:space="preserve">ownership period. </w:t>
      </w:r>
      <w:r w:rsidR="00900971" w:rsidRPr="005E503C">
        <w:t>However</w:t>
      </w:r>
      <w:r w:rsidR="00FB49E3" w:rsidRPr="005E503C">
        <w:t>,</w:t>
      </w:r>
      <w:r w:rsidR="00900971" w:rsidRPr="005E503C">
        <w:t xml:space="preserve"> both the denominator and numerator </w:t>
      </w:r>
      <w:r w:rsidR="00FB49E3" w:rsidRPr="005E503C">
        <w:t>in this calculation</w:t>
      </w:r>
      <w:r w:rsidR="00900971" w:rsidRPr="005E503C">
        <w:t xml:space="preserve"> exclude t</w:t>
      </w:r>
      <w:r w:rsidR="00643CA6" w:rsidRPr="005E503C">
        <w:t xml:space="preserve">he number of days the individual was a foreign or temporary resident </w:t>
      </w:r>
      <w:r w:rsidR="00900971" w:rsidRPr="005E503C">
        <w:t>after 8 May 2012</w:t>
      </w:r>
      <w:r w:rsidR="00A54336" w:rsidRPr="005E503C">
        <w:t xml:space="preserve">. This exclusion </w:t>
      </w:r>
      <w:r w:rsidR="00EC2261" w:rsidRPr="005E503C">
        <w:t xml:space="preserve">to the number of days </w:t>
      </w:r>
      <w:r w:rsidR="00A54336" w:rsidRPr="005E503C">
        <w:t xml:space="preserve">applies </w:t>
      </w:r>
      <w:r w:rsidR="00900971" w:rsidRPr="005E503C">
        <w:t>as th</w:t>
      </w:r>
      <w:r w:rsidR="00875775" w:rsidRPr="005E503C">
        <w:t xml:space="preserve">e </w:t>
      </w:r>
      <w:r w:rsidR="00023949" w:rsidRPr="005E503C">
        <w:t>period that</w:t>
      </w:r>
      <w:r w:rsidR="00875775" w:rsidRPr="005E503C">
        <w:t xml:space="preserve"> </w:t>
      </w:r>
      <w:r w:rsidR="00A54336" w:rsidRPr="005E503C">
        <w:t>an</w:t>
      </w:r>
      <w:r w:rsidR="00023949" w:rsidRPr="005E503C">
        <w:t xml:space="preserve"> </w:t>
      </w:r>
      <w:r w:rsidR="007B1BE7" w:rsidRPr="005E503C">
        <w:t>individual</w:t>
      </w:r>
      <w:r w:rsidR="00875775" w:rsidRPr="005E503C">
        <w:t xml:space="preserve"> was a foreign or temporary resident </w:t>
      </w:r>
      <w:r w:rsidR="00900971" w:rsidRPr="005E503C" w:rsidDel="00875775">
        <w:t xml:space="preserve">is </w:t>
      </w:r>
      <w:r w:rsidR="00900971" w:rsidRPr="005E503C">
        <w:t>already accounted for through the use of the Subdiv</w:t>
      </w:r>
      <w:r w:rsidR="00FB49E3" w:rsidRPr="005E503C">
        <w:t>ision</w:t>
      </w:r>
      <w:r w:rsidR="00900971" w:rsidRPr="005E503C">
        <w:t> 115</w:t>
      </w:r>
      <w:r w:rsidR="00900971" w:rsidRPr="005E503C">
        <w:noBreakHyphen/>
        <w:t>B discount percentage.</w:t>
      </w:r>
    </w:p>
    <w:p w14:paraId="397599F2" w14:textId="3660EB5F" w:rsidR="00B04F55" w:rsidRPr="005E503C" w:rsidRDefault="00B04F55" w:rsidP="00C731CB">
      <w:pPr>
        <w:pStyle w:val="base-text-paragraph"/>
        <w:numPr>
          <w:ilvl w:val="1"/>
          <w:numId w:val="4"/>
        </w:numPr>
      </w:pPr>
      <w:r w:rsidRPr="005E503C">
        <w:t xml:space="preserve">As with the existing discount capital gain, the additional 10 per cent </w:t>
      </w:r>
      <w:r w:rsidR="009B7735" w:rsidRPr="005E503C">
        <w:t>c</w:t>
      </w:r>
      <w:r w:rsidR="0035076B" w:rsidRPr="005E503C">
        <w:t>apital gains discount</w:t>
      </w:r>
      <w:r w:rsidRPr="005E503C">
        <w:t xml:space="preserve"> </w:t>
      </w:r>
      <w:r w:rsidR="00A54336" w:rsidRPr="005E503C">
        <w:t xml:space="preserve">for affordable housing </w:t>
      </w:r>
      <w:r w:rsidRPr="005E503C">
        <w:t xml:space="preserve">will not apply if </w:t>
      </w:r>
      <w:r w:rsidRPr="005E503C">
        <w:lastRenderedPageBreak/>
        <w:t xml:space="preserve">there is a net capital loss for the income </w:t>
      </w:r>
      <w:proofErr w:type="gramStart"/>
      <w:r w:rsidRPr="005E503C">
        <w:t>year, that</w:t>
      </w:r>
      <w:proofErr w:type="gramEnd"/>
      <w:r w:rsidRPr="005E503C">
        <w:t xml:space="preserve"> is the sum of the capital losses for the income year exceeds the sum of the capital gains.</w:t>
      </w:r>
    </w:p>
    <w:p w14:paraId="34A97AED" w14:textId="1A8C458E" w:rsidR="00386E17" w:rsidRPr="005E503C" w:rsidRDefault="00830EBF" w:rsidP="00706604">
      <w:pPr>
        <w:pStyle w:val="ExampleHeading"/>
      </w:pPr>
      <w:r w:rsidRPr="005E503C">
        <w:t xml:space="preserve"> —</w:t>
      </w:r>
      <w:r w:rsidR="003055BE" w:rsidRPr="005E503C">
        <w:t>A</w:t>
      </w:r>
      <w:r w:rsidRPr="005E503C">
        <w:t>ffordable housing capital gain</w:t>
      </w:r>
    </w:p>
    <w:p w14:paraId="4A636D51" w14:textId="693289BB" w:rsidR="00DF58BE" w:rsidRPr="005E503C" w:rsidRDefault="00DF58BE" w:rsidP="008937CA">
      <w:pPr>
        <w:pStyle w:val="exampletext"/>
      </w:pPr>
      <w:r w:rsidRPr="005E503C">
        <w:t xml:space="preserve">Erica </w:t>
      </w:r>
      <w:r w:rsidR="00A754B4" w:rsidRPr="005E503C">
        <w:t xml:space="preserve">signed a contract to </w:t>
      </w:r>
      <w:r w:rsidR="008937CA" w:rsidRPr="005E503C">
        <w:t xml:space="preserve">purchase </w:t>
      </w:r>
      <w:r w:rsidR="00A754B4" w:rsidRPr="005E503C">
        <w:t xml:space="preserve">a dwelling </w:t>
      </w:r>
      <w:r w:rsidR="00AE59AB" w:rsidRPr="005E503C">
        <w:t xml:space="preserve">that was residential premises (but not commercial residential premises) </w:t>
      </w:r>
      <w:r w:rsidR="008937CA" w:rsidRPr="005E503C">
        <w:t xml:space="preserve">on </w:t>
      </w:r>
      <w:r w:rsidRPr="005E503C">
        <w:t xml:space="preserve">15 May 2018 </w:t>
      </w:r>
      <w:r w:rsidR="00A754B4" w:rsidRPr="005E503C">
        <w:t>for $600,000.</w:t>
      </w:r>
    </w:p>
    <w:p w14:paraId="018FD51F" w14:textId="199D29A7" w:rsidR="008937CA" w:rsidRPr="005E503C" w:rsidRDefault="008937CA" w:rsidP="008937CA">
      <w:pPr>
        <w:pStyle w:val="exampletext"/>
      </w:pPr>
      <w:r w:rsidRPr="005E503C">
        <w:t xml:space="preserve">On </w:t>
      </w:r>
      <w:r w:rsidR="00FA6C61" w:rsidRPr="005E503C">
        <w:t xml:space="preserve">15 September </w:t>
      </w:r>
      <w:r w:rsidRPr="005E503C">
        <w:t>202</w:t>
      </w:r>
      <w:r w:rsidR="00FA6C61" w:rsidRPr="005E503C">
        <w:t>4</w:t>
      </w:r>
      <w:r w:rsidRPr="005E503C">
        <w:t xml:space="preserve"> </w:t>
      </w:r>
      <w:r w:rsidR="00FA6C61" w:rsidRPr="005E503C">
        <w:t xml:space="preserve">Erica </w:t>
      </w:r>
      <w:r w:rsidRPr="005E503C">
        <w:t xml:space="preserve">signs a contract to sell the property. </w:t>
      </w:r>
      <w:r w:rsidR="00FA6C61" w:rsidRPr="005E503C">
        <w:t>Sh</w:t>
      </w:r>
      <w:r w:rsidRPr="005E503C">
        <w:t>e makes a gross capital gain (before any capital gains discount</w:t>
      </w:r>
      <w:r w:rsidR="009B3ABB" w:rsidRPr="005E503C">
        <w:t xml:space="preserve"> applies</w:t>
      </w:r>
      <w:r w:rsidRPr="005E503C">
        <w:t>) of $</w:t>
      </w:r>
      <w:r w:rsidR="00FA6C61" w:rsidRPr="005E503C">
        <w:t>1</w:t>
      </w:r>
      <w:r w:rsidR="000C746B" w:rsidRPr="005E503C">
        <w:t>4</w:t>
      </w:r>
      <w:r w:rsidR="00FA6C61" w:rsidRPr="005E503C">
        <w:t>0,000</w:t>
      </w:r>
      <w:r w:rsidRPr="005E503C">
        <w:t xml:space="preserve">. </w:t>
      </w:r>
    </w:p>
    <w:p w14:paraId="63F4E20B" w14:textId="23D91876" w:rsidR="000D2EAB" w:rsidRPr="005E503C" w:rsidRDefault="000D2EAB" w:rsidP="008937CA">
      <w:pPr>
        <w:pStyle w:val="exampletext"/>
      </w:pPr>
      <w:r w:rsidRPr="005E503C">
        <w:t>Erica was an Australian resident for taxation purposes for the whole of the ownership period for the dwelling.</w:t>
      </w:r>
    </w:p>
    <w:p w14:paraId="1FBC4BA8" w14:textId="124B782B" w:rsidR="00FA6C61" w:rsidRPr="005E503C" w:rsidRDefault="00FA6C61" w:rsidP="008937CA">
      <w:pPr>
        <w:pStyle w:val="exampletext"/>
      </w:pPr>
      <w:r w:rsidRPr="005E503C">
        <w:t>Erica also realises a capital loss of $30,000 in the 2024</w:t>
      </w:r>
      <w:r w:rsidRPr="005E503C">
        <w:noBreakHyphen/>
        <w:t>25 income year and has a $10,000 carry forward capital loss from a prior income year.</w:t>
      </w:r>
    </w:p>
    <w:p w14:paraId="5713DA33" w14:textId="2BEED419" w:rsidR="00C033DB" w:rsidRPr="005E503C" w:rsidRDefault="00812944" w:rsidP="00812944">
      <w:pPr>
        <w:pStyle w:val="exampletext"/>
      </w:pPr>
      <w:r w:rsidRPr="005E503C">
        <w:t xml:space="preserve">Erica </w:t>
      </w:r>
      <w:r w:rsidR="00C033DB" w:rsidRPr="005E503C">
        <w:t>used the dwelling as follows during the period of time for which she owned it:</w:t>
      </w:r>
    </w:p>
    <w:p w14:paraId="2FA6C007" w14:textId="188148AB" w:rsidR="00C033DB" w:rsidRPr="005E503C" w:rsidRDefault="00C033DB" w:rsidP="00C033DB">
      <w:pPr>
        <w:pStyle w:val="exampledotpoint1"/>
      </w:pPr>
      <w:r w:rsidRPr="005E503C">
        <w:t xml:space="preserve">undertook repairs at the property from when she acquired </w:t>
      </w:r>
      <w:r w:rsidR="009E6B5B" w:rsidRPr="005E503C">
        <w:t xml:space="preserve">it </w:t>
      </w:r>
      <w:r w:rsidRPr="005E503C">
        <w:t>on 1</w:t>
      </w:r>
      <w:r w:rsidR="00C40C65" w:rsidRPr="005E503C">
        <w:t>5</w:t>
      </w:r>
      <w:r w:rsidRPr="005E503C">
        <w:t> </w:t>
      </w:r>
      <w:r w:rsidR="00C40C65" w:rsidRPr="005E503C">
        <w:t>May</w:t>
      </w:r>
      <w:r w:rsidRPr="005E503C">
        <w:t xml:space="preserve"> 201</w:t>
      </w:r>
      <w:r w:rsidR="00C40C65" w:rsidRPr="005E503C">
        <w:t>8</w:t>
      </w:r>
      <w:r w:rsidRPr="005E503C">
        <w:t xml:space="preserve"> (the acquisition date for CGT purposes) until </w:t>
      </w:r>
      <w:r w:rsidR="005C18E0" w:rsidRPr="005E503C">
        <w:t>9 September</w:t>
      </w:r>
      <w:r w:rsidRPr="005E503C">
        <w:t xml:space="preserve"> 2018 (</w:t>
      </w:r>
      <w:r w:rsidR="00B211C9" w:rsidRPr="005E503C">
        <w:t>1</w:t>
      </w:r>
      <w:r w:rsidR="00617D82" w:rsidRPr="005E503C">
        <w:t>1</w:t>
      </w:r>
      <w:r w:rsidR="00E5001B" w:rsidRPr="005E503C">
        <w:t>8</w:t>
      </w:r>
      <w:r w:rsidRPr="005E503C">
        <w:t xml:space="preserve"> days);</w:t>
      </w:r>
    </w:p>
    <w:p w14:paraId="2B219CCB" w14:textId="32CD86B0" w:rsidR="00C033DB" w:rsidRPr="005E503C" w:rsidRDefault="00C033DB" w:rsidP="00C033DB">
      <w:pPr>
        <w:pStyle w:val="exampledotpoint1"/>
      </w:pPr>
      <w:r w:rsidRPr="005E503C">
        <w:t xml:space="preserve">rented it out by providing affordable housing to eligible tenants through an eligible community housing provider from </w:t>
      </w:r>
      <w:r w:rsidR="005C18E0" w:rsidRPr="005E503C">
        <w:t>10 September</w:t>
      </w:r>
      <w:r w:rsidRPr="005E503C">
        <w:t xml:space="preserve"> 2018 until </w:t>
      </w:r>
      <w:r w:rsidR="00D649B9" w:rsidRPr="005E503C">
        <w:t>17</w:t>
      </w:r>
      <w:r w:rsidRPr="005E503C">
        <w:t xml:space="preserve"> </w:t>
      </w:r>
      <w:r w:rsidR="00D649B9" w:rsidRPr="005E503C">
        <w:t>May</w:t>
      </w:r>
      <w:r w:rsidRPr="005E503C">
        <w:t xml:space="preserve"> 20</w:t>
      </w:r>
      <w:r w:rsidR="00D649B9" w:rsidRPr="005E503C">
        <w:t>22</w:t>
      </w:r>
      <w:r w:rsidRPr="005E503C">
        <w:t xml:space="preserve"> </w:t>
      </w:r>
      <w:r w:rsidR="00D649B9" w:rsidRPr="005E503C">
        <w:t>(</w:t>
      </w:r>
      <w:r w:rsidR="001344AC" w:rsidRPr="005E503C">
        <w:t>13</w:t>
      </w:r>
      <w:r w:rsidR="005C18E0" w:rsidRPr="005E503C">
        <w:t>4</w:t>
      </w:r>
      <w:r w:rsidR="00E5001B" w:rsidRPr="005E503C">
        <w:t>6</w:t>
      </w:r>
      <w:r w:rsidRPr="005E503C">
        <w:t xml:space="preserve"> days); </w:t>
      </w:r>
    </w:p>
    <w:p w14:paraId="4388DFD4" w14:textId="59304352" w:rsidR="00C033DB" w:rsidRPr="005E503C" w:rsidRDefault="00C033DB" w:rsidP="00C033DB">
      <w:pPr>
        <w:pStyle w:val="exampledotpoint1"/>
      </w:pPr>
      <w:r w:rsidRPr="005E503C">
        <w:t xml:space="preserve">rented it for rent at market value (that is not providing </w:t>
      </w:r>
      <w:r w:rsidR="009F400C" w:rsidRPr="005E503C">
        <w:t xml:space="preserve">affordable </w:t>
      </w:r>
      <w:r w:rsidRPr="005E503C">
        <w:t xml:space="preserve">housing) from </w:t>
      </w:r>
      <w:r w:rsidR="00B211C9" w:rsidRPr="005E503C">
        <w:t>18 May 2022</w:t>
      </w:r>
      <w:r w:rsidRPr="005E503C">
        <w:t xml:space="preserve"> until </w:t>
      </w:r>
      <w:r w:rsidR="00B211C9" w:rsidRPr="005E503C">
        <w:t>1 February 2023</w:t>
      </w:r>
      <w:r w:rsidRPr="005E503C">
        <w:t xml:space="preserve"> (</w:t>
      </w:r>
      <w:r w:rsidR="001344AC" w:rsidRPr="005E503C">
        <w:t>2</w:t>
      </w:r>
      <w:r w:rsidR="00E5001B" w:rsidRPr="005E503C">
        <w:t>60</w:t>
      </w:r>
      <w:r w:rsidRPr="005E503C">
        <w:t xml:space="preserve"> days);</w:t>
      </w:r>
    </w:p>
    <w:p w14:paraId="74FF97D0" w14:textId="6A56CA3C" w:rsidR="00C033DB" w:rsidRPr="005E503C" w:rsidRDefault="00C033DB" w:rsidP="00C033DB">
      <w:pPr>
        <w:pStyle w:val="exampledotpoint1"/>
      </w:pPr>
      <w:r w:rsidRPr="005E503C">
        <w:t xml:space="preserve">rented it out by providing affordable housing to eligible tenants through an eligible community housing provider from </w:t>
      </w:r>
      <w:r w:rsidR="00B211C9" w:rsidRPr="005E503C">
        <w:t>2</w:t>
      </w:r>
      <w:r w:rsidR="007857B7" w:rsidRPr="005E503C">
        <w:t> </w:t>
      </w:r>
      <w:r w:rsidR="00B211C9" w:rsidRPr="005E503C">
        <w:t>February</w:t>
      </w:r>
      <w:r w:rsidR="007857B7" w:rsidRPr="005E503C">
        <w:t> </w:t>
      </w:r>
      <w:r w:rsidR="00B211C9" w:rsidRPr="005E503C">
        <w:t>2023 until 1 August 2024</w:t>
      </w:r>
      <w:r w:rsidRPr="005E503C">
        <w:t xml:space="preserve"> (</w:t>
      </w:r>
      <w:r w:rsidR="001344AC" w:rsidRPr="005E503C">
        <w:t>54</w:t>
      </w:r>
      <w:r w:rsidR="00E5001B" w:rsidRPr="005E503C">
        <w:t>7</w:t>
      </w:r>
      <w:r w:rsidRPr="005E503C">
        <w:t xml:space="preserve"> days);</w:t>
      </w:r>
    </w:p>
    <w:p w14:paraId="0C6FF190" w14:textId="2CD4AD90" w:rsidR="00C033DB" w:rsidRPr="005E503C" w:rsidRDefault="00C033DB" w:rsidP="00C033DB">
      <w:pPr>
        <w:pStyle w:val="exampledotpoint1"/>
      </w:pPr>
      <w:proofErr w:type="gramStart"/>
      <w:r w:rsidRPr="005E503C">
        <w:t>vacated</w:t>
      </w:r>
      <w:proofErr w:type="gramEnd"/>
      <w:r w:rsidRPr="005E503C">
        <w:t xml:space="preserve"> the property and prepared it for sale on and after </w:t>
      </w:r>
      <w:r w:rsidR="00B211C9" w:rsidRPr="005E503C">
        <w:t>2 August 2024</w:t>
      </w:r>
      <w:r w:rsidRPr="005E503C">
        <w:t xml:space="preserve"> </w:t>
      </w:r>
      <w:r w:rsidR="00B211C9" w:rsidRPr="005E503C">
        <w:t xml:space="preserve">through until 15 September 2024 </w:t>
      </w:r>
      <w:r w:rsidRPr="005E503C">
        <w:t>(</w:t>
      </w:r>
      <w:r w:rsidR="001344AC" w:rsidRPr="005E503C">
        <w:t>4</w:t>
      </w:r>
      <w:r w:rsidR="009D48B7" w:rsidRPr="005E503C">
        <w:t>5</w:t>
      </w:r>
      <w:r w:rsidRPr="005E503C">
        <w:t xml:space="preserve"> days).</w:t>
      </w:r>
    </w:p>
    <w:p w14:paraId="48CBDB84" w14:textId="252912C3" w:rsidR="00C033DB" w:rsidRPr="005E503C" w:rsidRDefault="0076671A" w:rsidP="008937CA">
      <w:pPr>
        <w:pStyle w:val="exampletext"/>
      </w:pPr>
      <w:r w:rsidRPr="005E503C">
        <w:t>Therefore Erica owned the dwelling for a total of 2,31</w:t>
      </w:r>
      <w:r w:rsidR="00E5001B" w:rsidRPr="005E503C">
        <w:t>6</w:t>
      </w:r>
      <w:r w:rsidRPr="005E503C">
        <w:t xml:space="preserve"> days of which she used it to provide affordable housing for 1,8</w:t>
      </w:r>
      <w:r w:rsidR="005C18E0" w:rsidRPr="005E503C">
        <w:t>9</w:t>
      </w:r>
      <w:r w:rsidR="00E5001B" w:rsidRPr="005E503C">
        <w:t>3</w:t>
      </w:r>
      <w:r w:rsidRPr="005E503C">
        <w:t xml:space="preserve"> days.</w:t>
      </w:r>
    </w:p>
    <w:p w14:paraId="41D356F8" w14:textId="7F7030DE" w:rsidR="00830EBF" w:rsidRPr="005E503C" w:rsidRDefault="00C033DB" w:rsidP="008937CA">
      <w:pPr>
        <w:pStyle w:val="exampletext"/>
      </w:pPr>
      <w:r w:rsidRPr="005E503C">
        <w:t>Erica</w:t>
      </w:r>
      <w:r w:rsidR="008937CA" w:rsidRPr="005E503C">
        <w:t>’s net capital gain for the 202</w:t>
      </w:r>
      <w:r w:rsidR="00F6304D" w:rsidRPr="005E503C">
        <w:t>4</w:t>
      </w:r>
      <w:r w:rsidR="00D057EF" w:rsidRPr="005E503C">
        <w:noBreakHyphen/>
      </w:r>
      <w:r w:rsidR="008937CA" w:rsidRPr="005E503C">
        <w:t>2</w:t>
      </w:r>
      <w:r w:rsidR="00F6304D" w:rsidRPr="005E503C">
        <w:t>5</w:t>
      </w:r>
      <w:r w:rsidR="008937CA" w:rsidRPr="005E503C">
        <w:t xml:space="preserve"> income year is calculated as follows:</w:t>
      </w:r>
    </w:p>
    <w:p w14:paraId="199C6A61" w14:textId="77777777" w:rsidR="00151A59" w:rsidRPr="005E503C" w:rsidRDefault="00151A59" w:rsidP="00151A59">
      <w:pPr>
        <w:pStyle w:val="exampletext"/>
        <w:rPr>
          <w:u w:val="single"/>
        </w:rPr>
      </w:pPr>
      <w:r w:rsidRPr="005E503C">
        <w:rPr>
          <w:u w:val="single"/>
        </w:rPr>
        <w:t>Step 1 — reduce the capital gains made during the income year by the capital losses (if any) made during the income year</w:t>
      </w:r>
    </w:p>
    <w:p w14:paraId="7DBDF10A" w14:textId="11288EC7" w:rsidR="00567365" w:rsidRPr="005E503C" w:rsidRDefault="000C746B" w:rsidP="00151A59">
      <w:pPr>
        <w:pStyle w:val="exampletext"/>
      </w:pPr>
      <w:r w:rsidRPr="005E503C">
        <w:t xml:space="preserve">Erica’s </w:t>
      </w:r>
      <w:r w:rsidR="00151A59" w:rsidRPr="005E503C">
        <w:t>capital gain from Step 1 is $</w:t>
      </w:r>
      <w:r w:rsidR="00567365" w:rsidRPr="005E503C">
        <w:t>110,000, being the $140,000 capital gain less the capital loss of $30,000 she realised during the current income year.</w:t>
      </w:r>
    </w:p>
    <w:p w14:paraId="2E871BCE" w14:textId="77777777" w:rsidR="00151A59" w:rsidRPr="005E503C" w:rsidRDefault="00151A59" w:rsidP="006E55C0">
      <w:pPr>
        <w:pStyle w:val="exampletext"/>
        <w:keepNext/>
        <w:rPr>
          <w:u w:val="single"/>
        </w:rPr>
      </w:pPr>
      <w:r w:rsidRPr="005E503C">
        <w:rPr>
          <w:u w:val="single"/>
        </w:rPr>
        <w:lastRenderedPageBreak/>
        <w:t>Step 2 — reduce the capital gains remaining at the end of Step 1 by any previously unapplied net capital losses from earlier income years</w:t>
      </w:r>
    </w:p>
    <w:p w14:paraId="2DEE2CB9" w14:textId="1FE1F100" w:rsidR="00567365" w:rsidRPr="005E503C" w:rsidRDefault="00567365" w:rsidP="00567365">
      <w:pPr>
        <w:pStyle w:val="exampletext"/>
      </w:pPr>
      <w:r w:rsidRPr="005E503C">
        <w:t>Erica’s capital gain from Step 2 is $100,000, being the $110,000 capital gain at the end of Step 1 less the prior year capital loss of $10,000.</w:t>
      </w:r>
    </w:p>
    <w:p w14:paraId="6053AC70" w14:textId="77777777" w:rsidR="00151A59" w:rsidRPr="005E503C" w:rsidRDefault="00151A59" w:rsidP="00151A59">
      <w:pPr>
        <w:pStyle w:val="exampletext"/>
        <w:rPr>
          <w:u w:val="single"/>
        </w:rPr>
      </w:pPr>
      <w:r w:rsidRPr="005E503C">
        <w:rPr>
          <w:u w:val="single"/>
        </w:rPr>
        <w:t>Step 3 — reduce by the discount percentage each amount of a discount capital gain remaining after Step 2</w:t>
      </w:r>
    </w:p>
    <w:p w14:paraId="050B1E3B" w14:textId="77777777" w:rsidR="00151A59" w:rsidRPr="005E503C" w:rsidRDefault="00151A59" w:rsidP="00151A59">
      <w:pPr>
        <w:pStyle w:val="exampletext"/>
      </w:pPr>
      <w:r w:rsidRPr="005E503C">
        <w:t>For the purpose of Step 3 the discount percentage is equal to the sum of the Subdivision 115</w:t>
      </w:r>
      <w:r w:rsidRPr="005E503C">
        <w:noBreakHyphen/>
        <w:t xml:space="preserve">B discount capital gain percentage plus the affordable housing </w:t>
      </w:r>
      <w:r w:rsidRPr="005E503C" w:rsidDel="00E96775">
        <w:t xml:space="preserve">capital </w:t>
      </w:r>
      <w:r w:rsidRPr="005E503C">
        <w:t>gains discount percentage.</w:t>
      </w:r>
    </w:p>
    <w:p w14:paraId="59123248" w14:textId="0B2199D0" w:rsidR="000D2EAB" w:rsidRPr="005E503C" w:rsidRDefault="000D2EAB" w:rsidP="00151A59">
      <w:pPr>
        <w:pStyle w:val="exampletext"/>
      </w:pPr>
      <w:r w:rsidRPr="005E503C">
        <w:t xml:space="preserve">Erica’s </w:t>
      </w:r>
      <w:r w:rsidR="007A05B6" w:rsidRPr="005E503C">
        <w:t xml:space="preserve">Subdivision 115-B discount capital gains </w:t>
      </w:r>
      <w:r w:rsidR="00F35B07" w:rsidRPr="005E503C">
        <w:t xml:space="preserve">discount </w:t>
      </w:r>
      <w:r w:rsidR="007A05B6" w:rsidRPr="005E503C">
        <w:t>percentage is equal to 50 per cent</w:t>
      </w:r>
      <w:r w:rsidR="00F35B07" w:rsidRPr="005E503C">
        <w:t xml:space="preserve"> (Erica was an individual and she was a resident of Australia for the whole of the ownership period).</w:t>
      </w:r>
    </w:p>
    <w:p w14:paraId="0F520B6E" w14:textId="77777777" w:rsidR="00151A59" w:rsidRPr="005E503C" w:rsidRDefault="00151A59" w:rsidP="00151A59">
      <w:pPr>
        <w:pStyle w:val="exampletext"/>
      </w:pPr>
      <w:r w:rsidRPr="005E503C">
        <w:t>The affordable housing discount capital gain percentage is equal to:</w:t>
      </w:r>
    </w:p>
    <w:p w14:paraId="5574186D" w14:textId="26A4BEE6" w:rsidR="00F35B07" w:rsidRPr="005E503C" w:rsidRDefault="00B757D0" w:rsidP="00151A59">
      <w:pPr>
        <w:pStyle w:val="exampletext"/>
      </w:pPr>
      <w:r w:rsidRPr="005E503C">
        <w:rPr>
          <w:noProof/>
        </w:rPr>
        <w:drawing>
          <wp:inline distT="0" distB="0" distL="0" distR="0" wp14:anchorId="53B1D636" wp14:editId="4126E204">
            <wp:extent cx="3543300" cy="962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43300" cy="962025"/>
                    </a:xfrm>
                    <a:prstGeom prst="rect">
                      <a:avLst/>
                    </a:prstGeom>
                    <a:noFill/>
                    <a:ln>
                      <a:noFill/>
                    </a:ln>
                  </pic:spPr>
                </pic:pic>
              </a:graphicData>
            </a:graphic>
          </wp:inline>
        </w:drawing>
      </w:r>
    </w:p>
    <w:p w14:paraId="3686B2D0" w14:textId="68140597" w:rsidR="00151A59" w:rsidRPr="005E503C" w:rsidRDefault="00151A59" w:rsidP="00151A59">
      <w:pPr>
        <w:pStyle w:val="exampletext"/>
      </w:pPr>
      <w:r w:rsidRPr="005E503C">
        <w:t>The discount percentage is equal to the sum of the Subdivision 115</w:t>
      </w:r>
      <w:r w:rsidRPr="005E503C">
        <w:noBreakHyphen/>
        <w:t xml:space="preserve">B discount capital gain percentage and the affordable housing capital gains discount </w:t>
      </w:r>
      <w:proofErr w:type="gramStart"/>
      <w:r w:rsidRPr="005E503C">
        <w:t>percentage, that</w:t>
      </w:r>
      <w:proofErr w:type="gramEnd"/>
      <w:r w:rsidRPr="005E503C">
        <w:t xml:space="preserve"> is </w:t>
      </w:r>
      <w:r w:rsidR="00111CB0" w:rsidRPr="005E503C">
        <w:t>58.1</w:t>
      </w:r>
      <w:r w:rsidR="003D08BE" w:rsidRPr="005E503C">
        <w:t>7</w:t>
      </w:r>
      <w:r w:rsidRPr="005E503C">
        <w:t> per cent (</w:t>
      </w:r>
      <w:r w:rsidR="00111CB0" w:rsidRPr="005E503C">
        <w:t>50</w:t>
      </w:r>
      <w:r w:rsidRPr="005E503C">
        <w:t xml:space="preserve"> per cent plus </w:t>
      </w:r>
      <w:r w:rsidR="00111CB0" w:rsidRPr="005E503C">
        <w:t>8</w:t>
      </w:r>
      <w:r w:rsidRPr="005E503C">
        <w:t>.</w:t>
      </w:r>
      <w:r w:rsidR="00111CB0" w:rsidRPr="005E503C">
        <w:t>1</w:t>
      </w:r>
      <w:r w:rsidR="003D08BE" w:rsidRPr="005E503C">
        <w:t>7</w:t>
      </w:r>
      <w:r w:rsidRPr="005E503C">
        <w:t> per cent).</w:t>
      </w:r>
    </w:p>
    <w:p w14:paraId="6886A3C9" w14:textId="77777777" w:rsidR="00151A59" w:rsidRPr="005E503C" w:rsidRDefault="00151A59" w:rsidP="00151A59">
      <w:pPr>
        <w:pStyle w:val="exampletext"/>
      </w:pPr>
      <w:r w:rsidRPr="005E503C">
        <w:t>The capital gain from Step 3 is the capital gain following step 2 reduced by the discount percentage, that is:</w:t>
      </w:r>
    </w:p>
    <w:p w14:paraId="10464823" w14:textId="2F09BD95" w:rsidR="00151A59" w:rsidRPr="005E503C" w:rsidRDefault="00B757D0" w:rsidP="00151A59">
      <w:pPr>
        <w:pStyle w:val="exampletext"/>
      </w:pPr>
      <w:r w:rsidRPr="005E503C">
        <w:rPr>
          <w:noProof/>
        </w:rPr>
        <w:drawing>
          <wp:inline distT="0" distB="0" distL="0" distR="0" wp14:anchorId="668A5D5E" wp14:editId="7F84446C">
            <wp:extent cx="2790825" cy="581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90825" cy="581025"/>
                    </a:xfrm>
                    <a:prstGeom prst="rect">
                      <a:avLst/>
                    </a:prstGeom>
                    <a:noFill/>
                    <a:ln>
                      <a:noFill/>
                    </a:ln>
                  </pic:spPr>
                </pic:pic>
              </a:graphicData>
            </a:graphic>
          </wp:inline>
        </w:drawing>
      </w:r>
    </w:p>
    <w:p w14:paraId="734A32B0" w14:textId="77777777" w:rsidR="00151A59" w:rsidRPr="005E503C" w:rsidRDefault="00151A59" w:rsidP="00151A59">
      <w:pPr>
        <w:pStyle w:val="exampletext"/>
        <w:rPr>
          <w:u w:val="single"/>
        </w:rPr>
      </w:pPr>
      <w:r w:rsidRPr="005E503C">
        <w:rPr>
          <w:u w:val="single"/>
        </w:rPr>
        <w:t>Step 4 — apply the small business concession to any capital gain to which they apply</w:t>
      </w:r>
    </w:p>
    <w:p w14:paraId="00879130" w14:textId="63275608" w:rsidR="00151A59" w:rsidRPr="005E503C" w:rsidRDefault="00B1737D" w:rsidP="00151A59">
      <w:pPr>
        <w:pStyle w:val="exampletext"/>
      </w:pPr>
      <w:r w:rsidRPr="005E503C">
        <w:t>Erica’s</w:t>
      </w:r>
      <w:r w:rsidR="00151A59" w:rsidRPr="005E503C">
        <w:t xml:space="preserve"> capital gain from the sale of the investment property does not qualify for the small business concessions. Therefore </w:t>
      </w:r>
      <w:r w:rsidRPr="005E503C">
        <w:t>Erica’s</w:t>
      </w:r>
      <w:r w:rsidR="00151A59" w:rsidRPr="005E503C">
        <w:t xml:space="preserve"> capital gain continues to be $</w:t>
      </w:r>
      <w:r w:rsidR="00481163" w:rsidRPr="005E503C">
        <w:t>41,8</w:t>
      </w:r>
      <w:r w:rsidR="008F452D" w:rsidRPr="005E503C">
        <w:t>3</w:t>
      </w:r>
      <w:r w:rsidR="00481163" w:rsidRPr="005E503C">
        <w:t>0</w:t>
      </w:r>
      <w:r w:rsidR="00151A59" w:rsidRPr="005E503C">
        <w:t>.</w:t>
      </w:r>
    </w:p>
    <w:p w14:paraId="6BD98CAA" w14:textId="62A6F5F4" w:rsidR="00151A59" w:rsidRPr="005E503C" w:rsidRDefault="00151A59" w:rsidP="00151A59">
      <w:pPr>
        <w:pStyle w:val="exampletext"/>
        <w:rPr>
          <w:u w:val="single"/>
        </w:rPr>
      </w:pPr>
      <w:r w:rsidRPr="005E503C">
        <w:rPr>
          <w:u w:val="single"/>
        </w:rPr>
        <w:t xml:space="preserve">Step 5 — </w:t>
      </w:r>
      <w:r w:rsidR="00B95761" w:rsidRPr="005E503C">
        <w:rPr>
          <w:u w:val="single"/>
        </w:rPr>
        <w:t>a</w:t>
      </w:r>
      <w:r w:rsidRPr="005E503C">
        <w:rPr>
          <w:u w:val="single"/>
        </w:rPr>
        <w:t>dd up the amounts of any capital gains (if any) remaining after step 4 — the sum is the net capital gain for the income year</w:t>
      </w:r>
    </w:p>
    <w:p w14:paraId="1EF022E3" w14:textId="1403D48D" w:rsidR="00C033DB" w:rsidRPr="005E503C" w:rsidRDefault="00B1737D" w:rsidP="001C00B8">
      <w:pPr>
        <w:pStyle w:val="exampletext"/>
      </w:pPr>
      <w:r w:rsidRPr="005E503C">
        <w:t xml:space="preserve">Erica’s </w:t>
      </w:r>
      <w:r w:rsidR="00151A59" w:rsidRPr="005E503C">
        <w:t>capital gain from the sale of the investment property at the end of Step 4 is $</w:t>
      </w:r>
      <w:r w:rsidR="00481163" w:rsidRPr="005E503C">
        <w:t>41,8</w:t>
      </w:r>
      <w:r w:rsidR="008F452D" w:rsidRPr="005E503C">
        <w:t>3</w:t>
      </w:r>
      <w:r w:rsidR="00481163" w:rsidRPr="005E503C">
        <w:t>0</w:t>
      </w:r>
      <w:r w:rsidR="00151A59" w:rsidRPr="005E503C">
        <w:t>. This is also h</w:t>
      </w:r>
      <w:r w:rsidRPr="005E503C">
        <w:t>er</w:t>
      </w:r>
      <w:r w:rsidR="00151A59" w:rsidRPr="005E503C">
        <w:t xml:space="preserve"> total capital gain for the 202</w:t>
      </w:r>
      <w:r w:rsidR="00F6304D" w:rsidRPr="005E503C">
        <w:t>4</w:t>
      </w:r>
      <w:r w:rsidR="00151A59" w:rsidRPr="005E503C">
        <w:noBreakHyphen/>
        <w:t>2</w:t>
      </w:r>
      <w:r w:rsidR="00F6304D" w:rsidRPr="005E503C">
        <w:t>5</w:t>
      </w:r>
      <w:r w:rsidR="00481163" w:rsidRPr="005E503C">
        <w:t> </w:t>
      </w:r>
      <w:r w:rsidR="00151A59" w:rsidRPr="005E503C">
        <w:t xml:space="preserve">income year as </w:t>
      </w:r>
      <w:r w:rsidR="001A2596" w:rsidRPr="005E503C">
        <w:t>s</w:t>
      </w:r>
      <w:r w:rsidR="00151A59" w:rsidRPr="005E503C">
        <w:t>he has not realised any other capital gains during that year.</w:t>
      </w:r>
    </w:p>
    <w:p w14:paraId="5EA9BCB2" w14:textId="642D2261" w:rsidR="00830EBF" w:rsidRPr="005E503C" w:rsidRDefault="00830EBF" w:rsidP="00706604">
      <w:pPr>
        <w:pStyle w:val="ExampleHeading"/>
      </w:pPr>
      <w:r w:rsidRPr="005E503C">
        <w:lastRenderedPageBreak/>
        <w:t xml:space="preserve"> —</w:t>
      </w:r>
      <w:r w:rsidR="003055BE" w:rsidRPr="005E503C">
        <w:t>Affordable housing capital gain — individual is a resident for only some of the ownership period</w:t>
      </w:r>
    </w:p>
    <w:p w14:paraId="3636414F" w14:textId="1F8DF9C1" w:rsidR="00937347" w:rsidRPr="005E503C" w:rsidRDefault="005A0748" w:rsidP="00937347">
      <w:pPr>
        <w:pStyle w:val="exampletext"/>
      </w:pPr>
      <w:r w:rsidRPr="005E503C">
        <w:t>William</w:t>
      </w:r>
      <w:r w:rsidR="00937347" w:rsidRPr="005E503C">
        <w:t xml:space="preserve"> purchase</w:t>
      </w:r>
      <w:r w:rsidR="00657C9C" w:rsidRPr="005E503C">
        <w:t>d</w:t>
      </w:r>
      <w:r w:rsidR="00EF39EE" w:rsidRPr="005E503C" w:rsidDel="008A539C">
        <w:t xml:space="preserve"> </w:t>
      </w:r>
      <w:r w:rsidR="00DF58BE" w:rsidRPr="005E503C">
        <w:t xml:space="preserve">a dwelling that was </w:t>
      </w:r>
      <w:r w:rsidR="00EF39EE" w:rsidRPr="005E503C">
        <w:t xml:space="preserve">residential premises </w:t>
      </w:r>
      <w:r w:rsidR="00937347" w:rsidRPr="005E503C">
        <w:t xml:space="preserve">on </w:t>
      </w:r>
      <w:r w:rsidR="00972DCE" w:rsidRPr="005E503C">
        <w:t>1 </w:t>
      </w:r>
      <w:r w:rsidR="00937347" w:rsidRPr="005E503C">
        <w:t xml:space="preserve">January 2015 which he </w:t>
      </w:r>
      <w:r w:rsidR="00EB6232" w:rsidRPr="005E503C">
        <w:t>used to earn rent for the whole time he owned it</w:t>
      </w:r>
      <w:r w:rsidR="00937347" w:rsidRPr="005E503C">
        <w:t xml:space="preserve">. </w:t>
      </w:r>
      <w:r w:rsidR="005A1F07" w:rsidRPr="005E503C">
        <w:t>William</w:t>
      </w:r>
      <w:r w:rsidR="00937347" w:rsidRPr="005E503C">
        <w:t xml:space="preserve"> use</w:t>
      </w:r>
      <w:r w:rsidR="005A1F07" w:rsidRPr="005E503C">
        <w:t>d</w:t>
      </w:r>
      <w:r w:rsidR="00937347" w:rsidRPr="005E503C">
        <w:t xml:space="preserve"> the property to provide affordable housing </w:t>
      </w:r>
      <w:r w:rsidRPr="005E503C">
        <w:t xml:space="preserve">from 1 January 2018 </w:t>
      </w:r>
      <w:r w:rsidR="00937347" w:rsidRPr="005E503C">
        <w:t xml:space="preserve">until 30 June 2023. </w:t>
      </w:r>
    </w:p>
    <w:p w14:paraId="5A744D89" w14:textId="018A24A1" w:rsidR="00937347" w:rsidRPr="005E503C" w:rsidRDefault="005A0748" w:rsidP="00937347">
      <w:pPr>
        <w:pStyle w:val="exampletext"/>
      </w:pPr>
      <w:r w:rsidRPr="005E503C">
        <w:t xml:space="preserve">William </w:t>
      </w:r>
      <w:r w:rsidR="00937347" w:rsidRPr="005E503C">
        <w:t>moved to the United States of America on 1 July 2022, becoming a foreign resident for taxation purposes on and from that day.</w:t>
      </w:r>
    </w:p>
    <w:p w14:paraId="3ACF78CE" w14:textId="33EEBD66" w:rsidR="00937347" w:rsidRPr="005E503C" w:rsidRDefault="00937347" w:rsidP="00937347">
      <w:pPr>
        <w:pStyle w:val="exampletext"/>
      </w:pPr>
      <w:r w:rsidRPr="005E503C">
        <w:t xml:space="preserve">On 30 June 2023 </w:t>
      </w:r>
      <w:r w:rsidR="00E91926" w:rsidRPr="005E503C">
        <w:t>William</w:t>
      </w:r>
      <w:r w:rsidRPr="005E503C">
        <w:t xml:space="preserve"> signs a contract to sell the </w:t>
      </w:r>
      <w:r w:rsidR="00DF58BE" w:rsidRPr="005E503C">
        <w:t>dwelling</w:t>
      </w:r>
      <w:r w:rsidRPr="005E503C">
        <w:t xml:space="preserve">. He makes a gross capital gain (before any </w:t>
      </w:r>
      <w:r w:rsidR="009B7735" w:rsidRPr="005E503C">
        <w:t>c</w:t>
      </w:r>
      <w:r w:rsidR="0035076B" w:rsidRPr="005E503C">
        <w:t>apital gains discount</w:t>
      </w:r>
      <w:r w:rsidRPr="005E503C">
        <w:t xml:space="preserve">) of $200,000. </w:t>
      </w:r>
    </w:p>
    <w:p w14:paraId="27A8D21A" w14:textId="7B98BCEF" w:rsidR="005A0748" w:rsidRPr="005E503C" w:rsidRDefault="005A0748" w:rsidP="00937347">
      <w:pPr>
        <w:pStyle w:val="exampletext"/>
      </w:pPr>
      <w:r w:rsidRPr="005E503C">
        <w:t xml:space="preserve">William does not </w:t>
      </w:r>
      <w:r w:rsidR="00E91926" w:rsidRPr="005E503C">
        <w:t>realise</w:t>
      </w:r>
      <w:r w:rsidRPr="005E503C">
        <w:t xml:space="preserve"> any other capital gains or losses in the 2022</w:t>
      </w:r>
      <w:r w:rsidRPr="005E503C">
        <w:noBreakHyphen/>
        <w:t>23 income year</w:t>
      </w:r>
      <w:r w:rsidR="00E91926" w:rsidRPr="005E503C">
        <w:t xml:space="preserve"> and </w:t>
      </w:r>
      <w:r w:rsidRPr="005E503C">
        <w:t xml:space="preserve">does not have any prior year capital losses. </w:t>
      </w:r>
    </w:p>
    <w:p w14:paraId="5C026EE7" w14:textId="0F7A6F00" w:rsidR="005A0748" w:rsidRPr="005E503C" w:rsidRDefault="001C00B8" w:rsidP="00937347">
      <w:pPr>
        <w:pStyle w:val="exampletext"/>
      </w:pPr>
      <w:r w:rsidRPr="005E503C">
        <w:t>William’s net capital gain for the 2022</w:t>
      </w:r>
      <w:r w:rsidRPr="005E503C">
        <w:noBreakHyphen/>
        <w:t>23 income year is calculated as follows:</w:t>
      </w:r>
    </w:p>
    <w:p w14:paraId="49F0409E" w14:textId="434CF97E" w:rsidR="001C00B8" w:rsidRPr="005E503C" w:rsidRDefault="001C00B8" w:rsidP="001C00B8">
      <w:pPr>
        <w:pStyle w:val="exampletext"/>
        <w:rPr>
          <w:u w:val="single"/>
        </w:rPr>
      </w:pPr>
      <w:r w:rsidRPr="005E503C">
        <w:rPr>
          <w:u w:val="single"/>
        </w:rPr>
        <w:t>Step 1 — reduce the capital gain</w:t>
      </w:r>
      <w:r w:rsidR="001F6DFD" w:rsidRPr="005E503C">
        <w:rPr>
          <w:u w:val="single"/>
        </w:rPr>
        <w:t>s</w:t>
      </w:r>
      <w:r w:rsidRPr="005E503C">
        <w:rPr>
          <w:u w:val="single"/>
        </w:rPr>
        <w:t xml:space="preserve"> made during the income year by the capital losses (if any) made during the income year</w:t>
      </w:r>
    </w:p>
    <w:p w14:paraId="652EB962" w14:textId="2FD6100C" w:rsidR="001F6DFD" w:rsidRPr="005E503C" w:rsidRDefault="00E91926" w:rsidP="001C00B8">
      <w:pPr>
        <w:pStyle w:val="exampletext"/>
      </w:pPr>
      <w:r w:rsidRPr="005E503C">
        <w:t xml:space="preserve">William’s capital gain </w:t>
      </w:r>
      <w:r w:rsidR="00C2604D" w:rsidRPr="005E503C">
        <w:t>from</w:t>
      </w:r>
      <w:r w:rsidRPr="005E503C">
        <w:t xml:space="preserve"> Step 1 is $200,000 as he has not realised any capital losses during the 2022</w:t>
      </w:r>
      <w:r w:rsidRPr="005E503C">
        <w:noBreakHyphen/>
        <w:t>23 income year.</w:t>
      </w:r>
    </w:p>
    <w:p w14:paraId="20EBD002" w14:textId="48CAF88A" w:rsidR="001C00B8" w:rsidRPr="005E503C" w:rsidRDefault="001C00B8" w:rsidP="001C00B8">
      <w:pPr>
        <w:pStyle w:val="exampletext"/>
        <w:rPr>
          <w:u w:val="single"/>
        </w:rPr>
      </w:pPr>
      <w:r w:rsidRPr="005E503C">
        <w:rPr>
          <w:u w:val="single"/>
        </w:rPr>
        <w:t>Step 2 — reduce the capital gain</w:t>
      </w:r>
      <w:r w:rsidR="001F6DFD" w:rsidRPr="005E503C">
        <w:rPr>
          <w:u w:val="single"/>
        </w:rPr>
        <w:t>s</w:t>
      </w:r>
      <w:r w:rsidRPr="005E503C">
        <w:rPr>
          <w:u w:val="single"/>
        </w:rPr>
        <w:t xml:space="preserve"> remaining at the end of Step 1 by any previously unapplied net capital losses from earlier income years</w:t>
      </w:r>
    </w:p>
    <w:p w14:paraId="7B1CA097" w14:textId="0ADED439" w:rsidR="00E91926" w:rsidRPr="005E503C" w:rsidRDefault="00E91926" w:rsidP="00E91926">
      <w:pPr>
        <w:pStyle w:val="exampletext"/>
      </w:pPr>
      <w:r w:rsidRPr="005E503C">
        <w:t xml:space="preserve">William’s capital gain </w:t>
      </w:r>
      <w:r w:rsidR="00C2604D" w:rsidRPr="005E503C">
        <w:t>from</w:t>
      </w:r>
      <w:r w:rsidRPr="005E503C">
        <w:t xml:space="preserve"> Step 2 is $200,000 as he </w:t>
      </w:r>
      <w:r w:rsidR="00A25F0F" w:rsidRPr="005E503C">
        <w:t xml:space="preserve">does </w:t>
      </w:r>
      <w:r w:rsidRPr="005E503C">
        <w:t xml:space="preserve">not have </w:t>
      </w:r>
      <w:r w:rsidR="00117DA6" w:rsidRPr="005E503C">
        <w:t xml:space="preserve">any </w:t>
      </w:r>
      <w:r w:rsidRPr="005E503C">
        <w:t xml:space="preserve">capital losses </w:t>
      </w:r>
      <w:r w:rsidR="00117DA6" w:rsidRPr="005E503C">
        <w:t>from prior income years</w:t>
      </w:r>
      <w:r w:rsidR="00A25F0F" w:rsidRPr="005E503C">
        <w:t>.</w:t>
      </w:r>
    </w:p>
    <w:p w14:paraId="119791B4" w14:textId="02D806C6" w:rsidR="001C00B8" w:rsidRPr="005E503C" w:rsidRDefault="001C00B8" w:rsidP="001C00B8">
      <w:pPr>
        <w:pStyle w:val="exampletext"/>
        <w:rPr>
          <w:u w:val="single"/>
        </w:rPr>
      </w:pPr>
      <w:r w:rsidRPr="005E503C">
        <w:rPr>
          <w:u w:val="single"/>
        </w:rPr>
        <w:t>Step 3 — reduce by the discount percentage each amount of a discount capital gain remaining after Step 2</w:t>
      </w:r>
    </w:p>
    <w:p w14:paraId="06C75C17" w14:textId="41BDBCDD" w:rsidR="001C00B8" w:rsidRPr="005E503C" w:rsidRDefault="00D85B94" w:rsidP="001C00B8">
      <w:pPr>
        <w:pStyle w:val="exampletext"/>
      </w:pPr>
      <w:r w:rsidRPr="005E503C">
        <w:t>For the purpose of Step 3 the discount percentage is equal to the sum of the Subdivision 115</w:t>
      </w:r>
      <w:r w:rsidRPr="005E503C">
        <w:noBreakHyphen/>
        <w:t xml:space="preserve">B discount capital gain percentage plus the affordable housing </w:t>
      </w:r>
      <w:r w:rsidRPr="005E503C" w:rsidDel="00E96775">
        <w:t xml:space="preserve">capital </w:t>
      </w:r>
      <w:r w:rsidRPr="005E503C">
        <w:t>gain</w:t>
      </w:r>
      <w:r w:rsidR="00157921" w:rsidRPr="005E503C">
        <w:t>s</w:t>
      </w:r>
      <w:r w:rsidRPr="005E503C">
        <w:t xml:space="preserve"> discount percentage.</w:t>
      </w:r>
    </w:p>
    <w:p w14:paraId="4E2B9696" w14:textId="1F1D899F" w:rsidR="008A6C1B" w:rsidRPr="005E503C" w:rsidRDefault="008A6C1B" w:rsidP="009F5AE8">
      <w:pPr>
        <w:pStyle w:val="exampletext"/>
        <w:keepNext/>
        <w:keepLines/>
      </w:pPr>
      <w:r w:rsidRPr="005E503C">
        <w:t>The Subdivision 115</w:t>
      </w:r>
      <w:r w:rsidRPr="005E503C">
        <w:noBreakHyphen/>
        <w:t>B discount capital gain percentage is equal to:</w:t>
      </w:r>
    </w:p>
    <w:p w14:paraId="40E30964" w14:textId="207CB45B" w:rsidR="00FA42A4" w:rsidRPr="005E503C" w:rsidRDefault="00FA42A4" w:rsidP="001C00B8">
      <w:pPr>
        <w:pStyle w:val="exampletext"/>
      </w:pPr>
      <w:r w:rsidRPr="005E503C">
        <w:rPr>
          <w:noProof/>
        </w:rPr>
        <w:drawing>
          <wp:inline distT="0" distB="0" distL="0" distR="0" wp14:anchorId="406BF0BE" wp14:editId="314F7E54">
            <wp:extent cx="3848100" cy="981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48100" cy="981075"/>
                    </a:xfrm>
                    <a:prstGeom prst="rect">
                      <a:avLst/>
                    </a:prstGeom>
                    <a:noFill/>
                    <a:ln>
                      <a:noFill/>
                    </a:ln>
                  </pic:spPr>
                </pic:pic>
              </a:graphicData>
            </a:graphic>
          </wp:inline>
        </w:drawing>
      </w:r>
    </w:p>
    <w:p w14:paraId="3DFFD1D3" w14:textId="60EC0F40" w:rsidR="00B17B83" w:rsidRPr="005E503C" w:rsidRDefault="00240879" w:rsidP="00032832">
      <w:pPr>
        <w:pStyle w:val="exampletext"/>
        <w:keepNext/>
      </w:pPr>
      <w:r w:rsidRPr="005E503C">
        <w:lastRenderedPageBreak/>
        <w:t>The affordable housing discount capital gain percentage is equal to:</w:t>
      </w:r>
    </w:p>
    <w:p w14:paraId="30835AF4" w14:textId="4AB71344" w:rsidR="00240879" w:rsidRPr="005E503C" w:rsidRDefault="007B1FA3" w:rsidP="001C00B8">
      <w:pPr>
        <w:pStyle w:val="exampletext"/>
      </w:pPr>
      <w:r w:rsidRPr="005E503C">
        <w:t xml:space="preserve"> </w:t>
      </w:r>
      <w:r w:rsidRPr="005E503C">
        <w:rPr>
          <w:noProof/>
        </w:rPr>
        <w:drawing>
          <wp:inline distT="0" distB="0" distL="0" distR="0" wp14:anchorId="31BE6426" wp14:editId="4D8E5250">
            <wp:extent cx="3848100" cy="819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48100" cy="819150"/>
                    </a:xfrm>
                    <a:prstGeom prst="rect">
                      <a:avLst/>
                    </a:prstGeom>
                    <a:noFill/>
                    <a:ln>
                      <a:noFill/>
                    </a:ln>
                  </pic:spPr>
                </pic:pic>
              </a:graphicData>
            </a:graphic>
          </wp:inline>
        </w:drawing>
      </w:r>
      <w:r w:rsidR="00EA4A52" w:rsidRPr="005E503C">
        <w:t>A</w:t>
      </w:r>
      <w:r w:rsidR="00240879" w:rsidRPr="005E503C">
        <w:t xml:space="preserve">ffordable housing days and total ownership days both exclude the number of days </w:t>
      </w:r>
      <w:r w:rsidR="00EA4A52" w:rsidRPr="005E503C">
        <w:t>when</w:t>
      </w:r>
      <w:r w:rsidR="00240879" w:rsidRPr="005E503C">
        <w:t xml:space="preserve"> the individual was a foreign or temporary resident</w:t>
      </w:r>
      <w:r w:rsidR="00EA4A52" w:rsidRPr="005E503C">
        <w:t>.</w:t>
      </w:r>
    </w:p>
    <w:p w14:paraId="4E7D2754" w14:textId="7BEE0221" w:rsidR="00240879" w:rsidRPr="005E503C" w:rsidRDefault="00240879" w:rsidP="001C00B8">
      <w:pPr>
        <w:pStyle w:val="exampletext"/>
      </w:pPr>
      <w:r w:rsidRPr="005E503C">
        <w:t>The discount percentage is equal to the sum of the Subdivision 115</w:t>
      </w:r>
      <w:r w:rsidRPr="005E503C">
        <w:noBreakHyphen/>
        <w:t xml:space="preserve">B discount capital gain percentage </w:t>
      </w:r>
      <w:r w:rsidR="00657C9C" w:rsidRPr="005E503C">
        <w:t xml:space="preserve">and </w:t>
      </w:r>
      <w:r w:rsidRPr="005E503C">
        <w:t xml:space="preserve">the affordable housing </w:t>
      </w:r>
      <w:r w:rsidR="009B7735" w:rsidRPr="005E503C">
        <w:t>c</w:t>
      </w:r>
      <w:r w:rsidR="0035076B" w:rsidRPr="005E503C">
        <w:t>apital gains discount</w:t>
      </w:r>
      <w:r w:rsidRPr="005E503C">
        <w:t xml:space="preserve"> </w:t>
      </w:r>
      <w:proofErr w:type="gramStart"/>
      <w:r w:rsidRPr="005E503C">
        <w:t>percentage</w:t>
      </w:r>
      <w:r w:rsidR="002254D4" w:rsidRPr="005E503C">
        <w:t>,</w:t>
      </w:r>
      <w:r w:rsidR="000F1A78" w:rsidRPr="005E503C">
        <w:t xml:space="preserve"> </w:t>
      </w:r>
      <w:r w:rsidRPr="005E503C">
        <w:t>that</w:t>
      </w:r>
      <w:proofErr w:type="gramEnd"/>
      <w:r w:rsidR="00C6671C" w:rsidRPr="005E503C">
        <w:t xml:space="preserve"> is</w:t>
      </w:r>
      <w:r w:rsidRPr="005E503C">
        <w:t xml:space="preserve"> </w:t>
      </w:r>
      <w:r w:rsidR="000F1A78" w:rsidRPr="005E503C">
        <w:t>49.4 per cent (44.1</w:t>
      </w:r>
      <w:r w:rsidR="00FA15BE" w:rsidRPr="005E503C">
        <w:t>1</w:t>
      </w:r>
      <w:r w:rsidR="000F1A78" w:rsidRPr="005E503C">
        <w:t> per cent plus 5.29 per cent).</w:t>
      </w:r>
    </w:p>
    <w:p w14:paraId="7A0452B6" w14:textId="6194DF7A" w:rsidR="00240879" w:rsidRPr="005E503C" w:rsidRDefault="00CA5840" w:rsidP="001C00B8">
      <w:pPr>
        <w:pStyle w:val="exampletext"/>
      </w:pPr>
      <w:r w:rsidRPr="005E503C">
        <w:t xml:space="preserve">The capital gain </w:t>
      </w:r>
      <w:r w:rsidR="00657C9C" w:rsidRPr="005E503C">
        <w:t>from</w:t>
      </w:r>
      <w:r w:rsidRPr="005E503C">
        <w:t xml:space="preserve"> Step 3 is the capital gain following step 2 reduced by the discount percentage, that is:</w:t>
      </w:r>
    </w:p>
    <w:p w14:paraId="7EBD69F9" w14:textId="34425F20" w:rsidR="001C00B8" w:rsidRPr="005E503C" w:rsidRDefault="006E2E0C" w:rsidP="001C00B8">
      <w:pPr>
        <w:pStyle w:val="exampletext"/>
        <w:rPr>
          <w:u w:val="single"/>
        </w:rPr>
      </w:pPr>
      <w:r w:rsidRPr="005E503C">
        <w:rPr>
          <w:noProof/>
        </w:rPr>
        <w:drawing>
          <wp:inline distT="0" distB="0" distL="0" distR="0" wp14:anchorId="16DD9618" wp14:editId="70474AEB">
            <wp:extent cx="3848100" cy="495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48100" cy="495300"/>
                    </a:xfrm>
                    <a:prstGeom prst="rect">
                      <a:avLst/>
                    </a:prstGeom>
                    <a:noFill/>
                    <a:ln>
                      <a:noFill/>
                    </a:ln>
                  </pic:spPr>
                </pic:pic>
              </a:graphicData>
            </a:graphic>
          </wp:inline>
        </w:drawing>
      </w:r>
      <w:r w:rsidR="001C00B8" w:rsidRPr="005E503C">
        <w:rPr>
          <w:u w:val="single"/>
        </w:rPr>
        <w:t>Step 4 — apply the small business concession to any capital gain to which they apply</w:t>
      </w:r>
    </w:p>
    <w:p w14:paraId="47C7E216" w14:textId="1EB63BC7" w:rsidR="001C00B8" w:rsidRPr="005E503C" w:rsidRDefault="00EB6232" w:rsidP="001C00B8">
      <w:pPr>
        <w:pStyle w:val="exampletext"/>
      </w:pPr>
      <w:r w:rsidRPr="005E503C">
        <w:t xml:space="preserve">William’s capital gain from the sale of the </w:t>
      </w:r>
      <w:r w:rsidR="0051628B" w:rsidRPr="005E503C">
        <w:t xml:space="preserve">investment </w:t>
      </w:r>
      <w:r w:rsidRPr="005E503C">
        <w:t xml:space="preserve">property </w:t>
      </w:r>
      <w:r w:rsidR="00EF39EE" w:rsidRPr="005E503C">
        <w:t xml:space="preserve">does not </w:t>
      </w:r>
      <w:r w:rsidR="00A84830" w:rsidRPr="005E503C">
        <w:t>qualify for the small business concessions. Therefore William’s capital gain continues to be $</w:t>
      </w:r>
      <w:r w:rsidR="0051628B" w:rsidRPr="005E503C">
        <w:t>101,</w:t>
      </w:r>
      <w:r w:rsidR="00FA15BE" w:rsidRPr="005E503C">
        <w:t>20</w:t>
      </w:r>
      <w:r w:rsidR="0051628B" w:rsidRPr="005E503C">
        <w:t>0.</w:t>
      </w:r>
    </w:p>
    <w:p w14:paraId="4A1A6A5C" w14:textId="6691A52D" w:rsidR="001C00B8" w:rsidRPr="005E503C" w:rsidRDefault="001C00B8" w:rsidP="001C00B8">
      <w:pPr>
        <w:pStyle w:val="exampletext"/>
        <w:rPr>
          <w:u w:val="single"/>
        </w:rPr>
      </w:pPr>
      <w:r w:rsidRPr="005E503C">
        <w:rPr>
          <w:u w:val="single"/>
        </w:rPr>
        <w:t>Step 5 — Add up the amounts of any capital gains (if any) remaining after step 4 — the sum is the net capital gain for the income year.</w:t>
      </w:r>
    </w:p>
    <w:p w14:paraId="7248DA49" w14:textId="749C3FA2" w:rsidR="00F30A32" w:rsidRPr="005E503C" w:rsidRDefault="0051628B" w:rsidP="00B04F55">
      <w:pPr>
        <w:pStyle w:val="exampletext"/>
      </w:pPr>
      <w:r w:rsidRPr="005E503C">
        <w:t>William’s capital gain from the sale of the investment property at the end of Step 4 is $101,</w:t>
      </w:r>
      <w:r w:rsidR="00FA15BE" w:rsidRPr="005E503C">
        <w:t>20</w:t>
      </w:r>
      <w:r w:rsidRPr="005E503C">
        <w:t>0. This is also his total capital gain for the 2022</w:t>
      </w:r>
      <w:r w:rsidRPr="005E503C">
        <w:noBreakHyphen/>
        <w:t>23 income year as he has not realised any other capital gains during that year.</w:t>
      </w:r>
    </w:p>
    <w:p w14:paraId="40FF6EBF" w14:textId="58FAB2A3" w:rsidR="00EA4272" w:rsidRPr="005E503C" w:rsidRDefault="00C711BC" w:rsidP="00C711BC">
      <w:pPr>
        <w:pStyle w:val="Heading3"/>
      </w:pPr>
      <w:r w:rsidRPr="005E503C">
        <w:t xml:space="preserve">Reporting requirements for community housing providers </w:t>
      </w:r>
    </w:p>
    <w:p w14:paraId="50090F52" w14:textId="56617343" w:rsidR="00C711BC" w:rsidRPr="005E503C" w:rsidRDefault="00BF4E8E" w:rsidP="00605574">
      <w:pPr>
        <w:pStyle w:val="base-text-paragraph"/>
        <w:rPr>
          <w:rStyle w:val="Referencingstyle"/>
          <w:b w:val="0"/>
          <w:i w:val="0"/>
          <w:sz w:val="22"/>
        </w:rPr>
      </w:pPr>
      <w:r w:rsidRPr="005E503C">
        <w:t xml:space="preserve">Community housing providers that issue affordable housing certification </w:t>
      </w:r>
      <w:r w:rsidR="00C93E8A" w:rsidRPr="005E503C">
        <w:t>must</w:t>
      </w:r>
      <w:r w:rsidR="00E90A07" w:rsidRPr="005E503C">
        <w:t xml:space="preserve"> provide an annual report</w:t>
      </w:r>
      <w:r w:rsidR="00C93E8A" w:rsidRPr="005E503C">
        <w:t xml:space="preserve"> notify</w:t>
      </w:r>
      <w:r w:rsidR="00E90A07" w:rsidRPr="005E503C">
        <w:t>ing</w:t>
      </w:r>
      <w:r w:rsidR="00C93E8A" w:rsidRPr="005E503C">
        <w:t xml:space="preserve"> the Commissioner in the approved form of the details of </w:t>
      </w:r>
      <w:r w:rsidR="008A539C" w:rsidRPr="005E503C">
        <w:t>all</w:t>
      </w:r>
      <w:r w:rsidR="00C93E8A" w:rsidRPr="005E503C">
        <w:t xml:space="preserve"> certification</w:t>
      </w:r>
      <w:r w:rsidR="008A539C" w:rsidRPr="005E503C">
        <w:t>s</w:t>
      </w:r>
      <w:r w:rsidR="00C93E8A" w:rsidRPr="005E503C">
        <w:t xml:space="preserve"> that they provide during an income year</w:t>
      </w:r>
      <w:r w:rsidR="00824CA5" w:rsidRPr="005E503C">
        <w:t xml:space="preserve"> (unless the Commissioner notifies </w:t>
      </w:r>
      <w:r w:rsidR="007F78FC" w:rsidRPr="005E503C">
        <w:t>that it is not required</w:t>
      </w:r>
      <w:r w:rsidR="00824CA5" w:rsidRPr="005E503C">
        <w:t>)</w:t>
      </w:r>
      <w:r w:rsidR="00C93E8A" w:rsidRPr="005E503C">
        <w:t xml:space="preserve">. </w:t>
      </w:r>
      <w:r w:rsidR="008A539C" w:rsidRPr="005E503C">
        <w:t>N</w:t>
      </w:r>
      <w:r w:rsidR="00C93E8A" w:rsidRPr="005E503C">
        <w:t>otification for an income year must be provided to the Commissioner</w:t>
      </w:r>
      <w:r w:rsidR="00605574" w:rsidRPr="005E503C">
        <w:t xml:space="preserve"> </w:t>
      </w:r>
      <w:r w:rsidR="00C93E8A" w:rsidRPr="005E503C">
        <w:t xml:space="preserve">on or before </w:t>
      </w:r>
      <w:r w:rsidR="001D7A9B" w:rsidRPr="005E503C">
        <w:t>31</w:t>
      </w:r>
      <w:r w:rsidR="00C93E8A" w:rsidRPr="005E503C">
        <w:t xml:space="preserve"> days following the end of the </w:t>
      </w:r>
      <w:r w:rsidR="009F400C" w:rsidRPr="005E503C">
        <w:t xml:space="preserve">relevant </w:t>
      </w:r>
      <w:r w:rsidR="00C93E8A" w:rsidRPr="005E503C">
        <w:t>income year</w:t>
      </w:r>
      <w:r w:rsidR="00D52F84" w:rsidRPr="005E503C">
        <w:t xml:space="preserve"> or within such further time that the Commissioner allows</w:t>
      </w:r>
      <w:r w:rsidR="00C93E8A" w:rsidRPr="005E503C">
        <w:t>.</w:t>
      </w:r>
      <w:r w:rsidR="00605574" w:rsidRPr="005E503C">
        <w:t xml:space="preserve"> </w:t>
      </w:r>
      <w:r w:rsidR="00B50717" w:rsidRPr="005E503C">
        <w:rPr>
          <w:rStyle w:val="Referencingstyle"/>
        </w:rPr>
        <w:t>[Schedule</w:t>
      </w:r>
      <w:r w:rsidR="00811B46" w:rsidRPr="005E503C">
        <w:rPr>
          <w:rStyle w:val="Referencingstyle"/>
        </w:rPr>
        <w:t xml:space="preserve"> 1</w:t>
      </w:r>
      <w:r w:rsidR="00B50717" w:rsidRPr="005E503C">
        <w:rPr>
          <w:rStyle w:val="Referencingstyle"/>
        </w:rPr>
        <w:t xml:space="preserve">, item </w:t>
      </w:r>
      <w:r w:rsidR="00811B46" w:rsidRPr="005E503C">
        <w:rPr>
          <w:rStyle w:val="Referencingstyle"/>
        </w:rPr>
        <w:t>6</w:t>
      </w:r>
      <w:r w:rsidR="00B50717" w:rsidRPr="005E503C">
        <w:rPr>
          <w:rStyle w:val="Referencingstyle"/>
        </w:rPr>
        <w:t xml:space="preserve">, </w:t>
      </w:r>
      <w:r w:rsidR="000B2F1E" w:rsidRPr="005E503C">
        <w:rPr>
          <w:rStyle w:val="Referencingstyle"/>
        </w:rPr>
        <w:t xml:space="preserve">table item 11 of </w:t>
      </w:r>
      <w:r w:rsidR="00B50717" w:rsidRPr="005E503C">
        <w:rPr>
          <w:rStyle w:val="Referencingstyle"/>
        </w:rPr>
        <w:t xml:space="preserve">section </w:t>
      </w:r>
      <w:r w:rsidR="00E90242" w:rsidRPr="005E503C">
        <w:rPr>
          <w:rStyle w:val="Referencingstyle"/>
        </w:rPr>
        <w:t>396</w:t>
      </w:r>
      <w:r w:rsidR="00E90242" w:rsidRPr="005E503C">
        <w:rPr>
          <w:rStyle w:val="Referencingstyle"/>
        </w:rPr>
        <w:noBreakHyphen/>
      </w:r>
      <w:r w:rsidR="000B2F1E" w:rsidRPr="005E503C">
        <w:rPr>
          <w:rStyle w:val="Referencingstyle"/>
        </w:rPr>
        <w:t>55</w:t>
      </w:r>
      <w:r w:rsidR="00E90242" w:rsidRPr="005E503C">
        <w:rPr>
          <w:rStyle w:val="Referencingstyle"/>
        </w:rPr>
        <w:t xml:space="preserve"> of Schedule 1 to the </w:t>
      </w:r>
      <w:r w:rsidR="00D61A16" w:rsidRPr="005E503C">
        <w:rPr>
          <w:rStyle w:val="Referencingstyle"/>
        </w:rPr>
        <w:t>TAA</w:t>
      </w:r>
      <w:r w:rsidR="00E90242" w:rsidRPr="005E503C">
        <w:rPr>
          <w:rStyle w:val="Referencingstyle"/>
        </w:rPr>
        <w:t> 1953</w:t>
      </w:r>
      <w:r w:rsidR="00B50717" w:rsidRPr="005E503C">
        <w:rPr>
          <w:rStyle w:val="Referencingstyle"/>
        </w:rPr>
        <w:t>]</w:t>
      </w:r>
    </w:p>
    <w:p w14:paraId="29C279B3" w14:textId="0D42425C" w:rsidR="00916BB1" w:rsidRPr="005E503C" w:rsidRDefault="00011231" w:rsidP="00011231">
      <w:pPr>
        <w:pStyle w:val="Heading3"/>
        <w:rPr>
          <w:rStyle w:val="Referencingstyle"/>
          <w:b/>
          <w:i w:val="0"/>
          <w:sz w:val="22"/>
        </w:rPr>
      </w:pPr>
      <w:r w:rsidRPr="005E503C">
        <w:rPr>
          <w:rStyle w:val="Referencingstyle"/>
          <w:b/>
          <w:i w:val="0"/>
          <w:sz w:val="22"/>
        </w:rPr>
        <w:lastRenderedPageBreak/>
        <w:t>Dis</w:t>
      </w:r>
      <w:r w:rsidR="007D0A63" w:rsidRPr="005E503C">
        <w:rPr>
          <w:rStyle w:val="Referencingstyle"/>
          <w:b/>
          <w:i w:val="0"/>
          <w:sz w:val="22"/>
        </w:rPr>
        <w:t>c</w:t>
      </w:r>
      <w:r w:rsidRPr="005E503C">
        <w:rPr>
          <w:rStyle w:val="Referencingstyle"/>
          <w:b/>
          <w:i w:val="0"/>
          <w:sz w:val="22"/>
        </w:rPr>
        <w:t>losure of information to state registrars about community housing providers</w:t>
      </w:r>
    </w:p>
    <w:p w14:paraId="3F196D0C" w14:textId="5510D7CF" w:rsidR="00916BB1" w:rsidRPr="005E503C" w:rsidRDefault="00362E16" w:rsidP="00362E16">
      <w:pPr>
        <w:pStyle w:val="base-text-paragraph"/>
        <w:rPr>
          <w:rStyle w:val="Referencingstyle"/>
          <w:b w:val="0"/>
          <w:i w:val="0"/>
          <w:sz w:val="22"/>
        </w:rPr>
      </w:pPr>
      <w:r w:rsidRPr="005E503C">
        <w:rPr>
          <w:rStyle w:val="Referencingstyle"/>
          <w:b w:val="0"/>
          <w:i w:val="0"/>
          <w:sz w:val="22"/>
        </w:rPr>
        <w:t xml:space="preserve">Section 355-25 of Schedule 1 to the TAA 1953 of the confidentiality of taxpayer information provisions makes it an offence for a taxation officer to disclose tax information that identifies any entity, or is reasonably capable of being used to identify any entity, except in </w:t>
      </w:r>
      <w:r w:rsidR="00EC016E" w:rsidRPr="005E503C">
        <w:rPr>
          <w:rStyle w:val="Referencingstyle"/>
          <w:b w:val="0"/>
          <w:i w:val="0"/>
          <w:sz w:val="22"/>
        </w:rPr>
        <w:t xml:space="preserve">specified circumstances. </w:t>
      </w:r>
    </w:p>
    <w:p w14:paraId="48E4118B" w14:textId="015E02B1" w:rsidR="00763F87" w:rsidRPr="005E503C" w:rsidRDefault="00DE6C47" w:rsidP="0049561F">
      <w:pPr>
        <w:pStyle w:val="base-text-paragraph"/>
        <w:rPr>
          <w:rStyle w:val="Referencingstyle"/>
          <w:b w:val="0"/>
          <w:i w:val="0"/>
          <w:sz w:val="22"/>
        </w:rPr>
      </w:pPr>
      <w:r w:rsidRPr="005E503C">
        <w:rPr>
          <w:rStyle w:val="Referencingstyle"/>
          <w:b w:val="0"/>
          <w:i w:val="0"/>
          <w:sz w:val="22"/>
        </w:rPr>
        <w:t>Community housing providers are regulat</w:t>
      </w:r>
      <w:r w:rsidR="00362E16" w:rsidRPr="005E503C">
        <w:rPr>
          <w:rStyle w:val="Referencingstyle"/>
          <w:b w:val="0"/>
          <w:i w:val="0"/>
          <w:sz w:val="22"/>
        </w:rPr>
        <w:t xml:space="preserve">ed at the state and territory government level. </w:t>
      </w:r>
      <w:r w:rsidR="008D348C" w:rsidRPr="005E503C">
        <w:rPr>
          <w:rStyle w:val="Referencingstyle"/>
          <w:b w:val="0"/>
          <w:i w:val="0"/>
          <w:sz w:val="22"/>
        </w:rPr>
        <w:t xml:space="preserve">The Commissioner </w:t>
      </w:r>
      <w:r w:rsidR="008072F0" w:rsidRPr="005E503C">
        <w:rPr>
          <w:rStyle w:val="Referencingstyle"/>
          <w:b w:val="0"/>
          <w:i w:val="0"/>
          <w:sz w:val="22"/>
        </w:rPr>
        <w:t xml:space="preserve">of Taxation (Commissioner) </w:t>
      </w:r>
      <w:r w:rsidR="002A696A" w:rsidRPr="005E503C">
        <w:rPr>
          <w:rStyle w:val="Referencingstyle"/>
          <w:b w:val="0"/>
          <w:i w:val="0"/>
          <w:sz w:val="22"/>
        </w:rPr>
        <w:t>will</w:t>
      </w:r>
      <w:r w:rsidR="008D348C" w:rsidRPr="005E503C">
        <w:rPr>
          <w:rStyle w:val="Referencingstyle"/>
          <w:b w:val="0"/>
          <w:i w:val="0"/>
          <w:sz w:val="22"/>
        </w:rPr>
        <w:t xml:space="preserve"> be permitted to disclose </w:t>
      </w:r>
      <w:r w:rsidR="00011231" w:rsidRPr="005E503C">
        <w:rPr>
          <w:rStyle w:val="Referencingstyle"/>
          <w:b w:val="0"/>
          <w:i w:val="0"/>
          <w:sz w:val="22"/>
        </w:rPr>
        <w:t xml:space="preserve">to </w:t>
      </w:r>
      <w:r w:rsidR="008D348C" w:rsidRPr="005E503C">
        <w:rPr>
          <w:rStyle w:val="Referencingstyle"/>
          <w:b w:val="0"/>
          <w:i w:val="0"/>
          <w:sz w:val="22"/>
        </w:rPr>
        <w:t xml:space="preserve">the state and territory </w:t>
      </w:r>
      <w:r w:rsidR="00C05D1A" w:rsidRPr="005E503C">
        <w:rPr>
          <w:rStyle w:val="Referencingstyle"/>
          <w:b w:val="0"/>
          <w:i w:val="0"/>
          <w:sz w:val="22"/>
        </w:rPr>
        <w:t xml:space="preserve">community housing </w:t>
      </w:r>
      <w:proofErr w:type="gramStart"/>
      <w:r w:rsidR="008D348C" w:rsidRPr="005E503C">
        <w:rPr>
          <w:rStyle w:val="Referencingstyle"/>
          <w:b w:val="0"/>
          <w:i w:val="0"/>
          <w:sz w:val="22"/>
        </w:rPr>
        <w:t>registrars</w:t>
      </w:r>
      <w:proofErr w:type="gramEnd"/>
      <w:r w:rsidR="008D348C" w:rsidRPr="005E503C">
        <w:rPr>
          <w:rStyle w:val="Referencingstyle"/>
          <w:b w:val="0"/>
          <w:i w:val="0"/>
          <w:sz w:val="22"/>
        </w:rPr>
        <w:t xml:space="preserve"> information about community housing providers</w:t>
      </w:r>
      <w:r w:rsidR="003A304A" w:rsidRPr="005E503C">
        <w:rPr>
          <w:rStyle w:val="Referencingstyle"/>
          <w:b w:val="0"/>
          <w:i w:val="0"/>
          <w:sz w:val="22"/>
        </w:rPr>
        <w:t xml:space="preserve"> </w:t>
      </w:r>
      <w:r w:rsidR="003A304A" w:rsidRPr="005E503C">
        <w:t xml:space="preserve">for the purpose of the registrars determining whether they should be, or should continue to be, registered. </w:t>
      </w:r>
      <w:r w:rsidR="0087305F" w:rsidRPr="005E503C">
        <w:t xml:space="preserve">It is envisaged that the Commissioner would inform the relevant state or territory registrar about information concerning a community housing provider registered with it if the Commissioner has information suggesting that community housing provider should no longer be registered. </w:t>
      </w:r>
      <w:r w:rsidR="00763F87" w:rsidRPr="005E503C">
        <w:rPr>
          <w:rStyle w:val="Referencingstyle"/>
        </w:rPr>
        <w:t xml:space="preserve">[Schedule </w:t>
      </w:r>
      <w:r w:rsidR="00811B46" w:rsidRPr="005E503C">
        <w:rPr>
          <w:rStyle w:val="Referencingstyle"/>
        </w:rPr>
        <w:t>1</w:t>
      </w:r>
      <w:r w:rsidR="00763F87" w:rsidRPr="005E503C">
        <w:rPr>
          <w:rStyle w:val="Referencingstyle"/>
        </w:rPr>
        <w:t xml:space="preserve">, item </w:t>
      </w:r>
      <w:r w:rsidR="00811B46" w:rsidRPr="005E503C">
        <w:rPr>
          <w:rStyle w:val="Referencingstyle"/>
        </w:rPr>
        <w:t>5</w:t>
      </w:r>
      <w:r w:rsidR="00763F87" w:rsidRPr="005E503C">
        <w:rPr>
          <w:rStyle w:val="Referencingstyle"/>
        </w:rPr>
        <w:t>, table item</w:t>
      </w:r>
      <w:r w:rsidR="00A05889" w:rsidRPr="005E503C">
        <w:rPr>
          <w:rStyle w:val="Referencingstyle"/>
        </w:rPr>
        <w:t> </w:t>
      </w:r>
      <w:r w:rsidR="00763F87" w:rsidRPr="005E503C">
        <w:rPr>
          <w:rStyle w:val="Referencingstyle"/>
        </w:rPr>
        <w:t>9 of subsection 355</w:t>
      </w:r>
      <w:r w:rsidR="00763F87" w:rsidRPr="005E503C">
        <w:rPr>
          <w:rStyle w:val="Referencingstyle"/>
        </w:rPr>
        <w:noBreakHyphen/>
        <w:t xml:space="preserve">65(8) of Schedule 1 to the </w:t>
      </w:r>
      <w:r w:rsidR="00D61A16" w:rsidRPr="005E503C">
        <w:rPr>
          <w:rStyle w:val="Referencingstyle"/>
        </w:rPr>
        <w:t xml:space="preserve">TAA </w:t>
      </w:r>
      <w:r w:rsidR="00763F87" w:rsidRPr="005E503C">
        <w:rPr>
          <w:rStyle w:val="Referencingstyle"/>
        </w:rPr>
        <w:t>1953]</w:t>
      </w:r>
    </w:p>
    <w:p w14:paraId="6B88949E" w14:textId="77777777" w:rsidR="00B17774" w:rsidRPr="005E503C" w:rsidRDefault="00B17774" w:rsidP="00B17774">
      <w:pPr>
        <w:pStyle w:val="Heading2"/>
      </w:pPr>
      <w:r w:rsidRPr="005E503C">
        <w:t>Application and transitional provisions</w:t>
      </w:r>
    </w:p>
    <w:p w14:paraId="6368C276" w14:textId="13594BBB" w:rsidR="00B06761" w:rsidRPr="005E503C" w:rsidRDefault="00C711BC" w:rsidP="00C731CB">
      <w:pPr>
        <w:pStyle w:val="base-text-paragraph"/>
        <w:numPr>
          <w:ilvl w:val="1"/>
          <w:numId w:val="4"/>
        </w:numPr>
      </w:pPr>
      <w:r w:rsidRPr="005E503C">
        <w:t>T</w:t>
      </w:r>
      <w:r w:rsidR="0018230F" w:rsidRPr="005E503C">
        <w:t>he amendment</w:t>
      </w:r>
      <w:r w:rsidR="00B06761" w:rsidRPr="005E503C">
        <w:t xml:space="preserve"> to insert section 115</w:t>
      </w:r>
      <w:r w:rsidR="00B06761" w:rsidRPr="005E503C">
        <w:noBreakHyphen/>
        <w:t xml:space="preserve">125 into the ITAA 1997 </w:t>
      </w:r>
      <w:r w:rsidR="009D63AC" w:rsidRPr="005E503C">
        <w:t xml:space="preserve">to provide an additional GGT discount </w:t>
      </w:r>
      <w:r w:rsidR="00B06761" w:rsidRPr="005E503C">
        <w:t xml:space="preserve">applies </w:t>
      </w:r>
      <w:r w:rsidR="003634C4" w:rsidRPr="005E503C">
        <w:t xml:space="preserve">to CGT events occurring on and after 1 January 2018. </w:t>
      </w:r>
      <w:r w:rsidR="00B06761" w:rsidRPr="005E503C">
        <w:rPr>
          <w:rStyle w:val="Referencingstyle"/>
        </w:rPr>
        <w:t xml:space="preserve">[Schedule </w:t>
      </w:r>
      <w:r w:rsidR="00811B46" w:rsidRPr="005E503C">
        <w:rPr>
          <w:rStyle w:val="Referencingstyle"/>
        </w:rPr>
        <w:t>1</w:t>
      </w:r>
      <w:r w:rsidR="00B06761" w:rsidRPr="005E503C">
        <w:rPr>
          <w:rStyle w:val="Referencingstyle"/>
        </w:rPr>
        <w:t xml:space="preserve">, </w:t>
      </w:r>
      <w:proofErr w:type="spellStart"/>
      <w:r w:rsidR="00C60109" w:rsidRPr="005E503C">
        <w:rPr>
          <w:rStyle w:val="Referencingstyle"/>
        </w:rPr>
        <w:t>sub</w:t>
      </w:r>
      <w:r w:rsidR="00B06761" w:rsidRPr="005E503C">
        <w:rPr>
          <w:rStyle w:val="Referencingstyle"/>
        </w:rPr>
        <w:t>item</w:t>
      </w:r>
      <w:proofErr w:type="spellEnd"/>
      <w:r w:rsidR="00B06761" w:rsidRPr="005E503C">
        <w:rPr>
          <w:rStyle w:val="Referencingstyle"/>
        </w:rPr>
        <w:t xml:space="preserve"> </w:t>
      </w:r>
      <w:r w:rsidR="00103A4B" w:rsidRPr="005E503C">
        <w:rPr>
          <w:rStyle w:val="Referencingstyle"/>
        </w:rPr>
        <w:t>7(</w:t>
      </w:r>
      <w:r w:rsidR="00811B46" w:rsidRPr="005E503C">
        <w:rPr>
          <w:rStyle w:val="Referencingstyle"/>
        </w:rPr>
        <w:t>1</w:t>
      </w:r>
      <w:r w:rsidR="00103A4B" w:rsidRPr="005E503C">
        <w:rPr>
          <w:rStyle w:val="Referencingstyle"/>
        </w:rPr>
        <w:t>)</w:t>
      </w:r>
      <w:r w:rsidR="00B06761" w:rsidRPr="005E503C">
        <w:rPr>
          <w:rStyle w:val="Referencingstyle"/>
        </w:rPr>
        <w:t>]</w:t>
      </w:r>
    </w:p>
    <w:p w14:paraId="0AF35CF6" w14:textId="3CE0A56A" w:rsidR="00B06761" w:rsidRPr="005E503C" w:rsidRDefault="00B06761" w:rsidP="00C731CB">
      <w:pPr>
        <w:pStyle w:val="base-text-paragraph"/>
        <w:numPr>
          <w:ilvl w:val="1"/>
          <w:numId w:val="4"/>
        </w:numPr>
        <w:rPr>
          <w:rStyle w:val="Referencingstyle"/>
          <w:b w:val="0"/>
          <w:i w:val="0"/>
          <w:sz w:val="22"/>
        </w:rPr>
      </w:pPr>
      <w:r w:rsidRPr="005E503C">
        <w:t>The amendments to insert Subdivision 980</w:t>
      </w:r>
      <w:r w:rsidRPr="005E503C">
        <w:noBreakHyphen/>
        <w:t>A into the ITAA 1997 appl</w:t>
      </w:r>
      <w:r w:rsidR="00F6304D" w:rsidRPr="005E503C">
        <w:t>y</w:t>
      </w:r>
      <w:r w:rsidRPr="005E503C">
        <w:t xml:space="preserve"> in relation to tenancies</w:t>
      </w:r>
      <w:r w:rsidR="00A9432A" w:rsidRPr="005E503C">
        <w:t xml:space="preserve"> of affordable housing</w:t>
      </w:r>
      <w:r w:rsidRPr="005E503C">
        <w:t xml:space="preserve"> starting before, at or after </w:t>
      </w:r>
      <w:r w:rsidRPr="005E503C" w:rsidDel="00A8668F">
        <w:t>1</w:t>
      </w:r>
      <w:r w:rsidR="00A8668F" w:rsidRPr="005E503C">
        <w:t> </w:t>
      </w:r>
      <w:r w:rsidR="00D76D25" w:rsidRPr="005E503C">
        <w:t xml:space="preserve">July </w:t>
      </w:r>
      <w:r w:rsidRPr="005E503C">
        <w:t>201</w:t>
      </w:r>
      <w:r w:rsidR="00D76D25" w:rsidRPr="005E503C">
        <w:t>7</w:t>
      </w:r>
      <w:r w:rsidRPr="005E503C">
        <w:t>.</w:t>
      </w:r>
      <w:r w:rsidR="00BD4905" w:rsidRPr="005E503C">
        <w:t xml:space="preserve"> The earlier start date allows the </w:t>
      </w:r>
      <w:r w:rsidR="001030AF" w:rsidRPr="005E503C">
        <w:t>S</w:t>
      </w:r>
      <w:r w:rsidR="00BD4905" w:rsidRPr="005E503C">
        <w:t xml:space="preserve">ubdivision to also apply for the </w:t>
      </w:r>
      <w:r w:rsidR="00B251FB" w:rsidRPr="005E503C">
        <w:rPr>
          <w:rStyle w:val="ChapterNameOnly"/>
        </w:rPr>
        <w:t>a</w:t>
      </w:r>
      <w:r w:rsidR="00BD4905" w:rsidRPr="005E503C">
        <w:rPr>
          <w:rStyle w:val="ChapterNameOnly"/>
        </w:rPr>
        <w:t xml:space="preserve">ffordable housing through </w:t>
      </w:r>
      <w:r w:rsidR="001030AF" w:rsidRPr="005E503C">
        <w:rPr>
          <w:rStyle w:val="ChapterNameOnly"/>
        </w:rPr>
        <w:t>MITs</w:t>
      </w:r>
      <w:r w:rsidR="00BD4905" w:rsidRPr="005E503C">
        <w:rPr>
          <w:rStyle w:val="ChapterNameOnly"/>
        </w:rPr>
        <w:t xml:space="preserve"> measure</w:t>
      </w:r>
      <w:r w:rsidR="00D71033" w:rsidRPr="005E503C">
        <w:rPr>
          <w:rStyle w:val="ChapterNameOnly"/>
        </w:rPr>
        <w:t xml:space="preserve"> which applies concessional withholding tax treatment to certain </w:t>
      </w:r>
      <w:r w:rsidR="001030AF" w:rsidRPr="005E503C">
        <w:rPr>
          <w:rStyle w:val="ChapterNameOnly"/>
        </w:rPr>
        <w:t>member</w:t>
      </w:r>
      <w:r w:rsidR="00D71033" w:rsidRPr="005E503C">
        <w:rPr>
          <w:rStyle w:val="ChapterNameOnly"/>
        </w:rPr>
        <w:t xml:space="preserve"> distributions from 1 July 2017</w:t>
      </w:r>
      <w:r w:rsidR="00BD4905" w:rsidRPr="005E503C">
        <w:rPr>
          <w:rStyle w:val="ChapterNameOnly"/>
        </w:rPr>
        <w:t xml:space="preserve"> (see Chapter </w:t>
      </w:r>
      <w:r w:rsidR="007A6DEA" w:rsidRPr="005E503C">
        <w:rPr>
          <w:rStyle w:val="ChapterNameOnly"/>
        </w:rPr>
        <w:t>2</w:t>
      </w:r>
      <w:r w:rsidR="00BD4905" w:rsidRPr="005E503C">
        <w:rPr>
          <w:rStyle w:val="ChapterNameOnly"/>
        </w:rPr>
        <w:t xml:space="preserve"> for further details)</w:t>
      </w:r>
      <w:r w:rsidR="00CF2FAE" w:rsidRPr="005E503C">
        <w:rPr>
          <w:rStyle w:val="ChapterNameOnly"/>
        </w:rPr>
        <w:t>.</w:t>
      </w:r>
      <w:r w:rsidR="007A6DEA" w:rsidRPr="005E503C">
        <w:rPr>
          <w:rStyle w:val="ChapterNameOnly"/>
        </w:rPr>
        <w:t xml:space="preserve"> </w:t>
      </w:r>
      <w:r w:rsidRPr="005E503C">
        <w:rPr>
          <w:rStyle w:val="Referencingstyle"/>
        </w:rPr>
        <w:t xml:space="preserve">[Schedule </w:t>
      </w:r>
      <w:r w:rsidR="00103A4B" w:rsidRPr="005E503C">
        <w:rPr>
          <w:rStyle w:val="Referencingstyle"/>
        </w:rPr>
        <w:t>1</w:t>
      </w:r>
      <w:r w:rsidRPr="005E503C">
        <w:rPr>
          <w:rStyle w:val="Referencingstyle"/>
        </w:rPr>
        <w:t xml:space="preserve">, </w:t>
      </w:r>
      <w:proofErr w:type="spellStart"/>
      <w:r w:rsidR="00C60109" w:rsidRPr="005E503C">
        <w:rPr>
          <w:rStyle w:val="Referencingstyle"/>
        </w:rPr>
        <w:t>sub</w:t>
      </w:r>
      <w:r w:rsidRPr="005E503C">
        <w:rPr>
          <w:rStyle w:val="Referencingstyle"/>
        </w:rPr>
        <w:t>item</w:t>
      </w:r>
      <w:proofErr w:type="spellEnd"/>
      <w:r w:rsidR="00103A4B" w:rsidRPr="005E503C">
        <w:rPr>
          <w:rStyle w:val="Referencingstyle"/>
        </w:rPr>
        <w:t xml:space="preserve"> 7(2)</w:t>
      </w:r>
      <w:r w:rsidRPr="005E503C">
        <w:rPr>
          <w:rStyle w:val="Referencingstyle"/>
        </w:rPr>
        <w:t>]</w:t>
      </w:r>
    </w:p>
    <w:p w14:paraId="17E6E326" w14:textId="4849E9C0" w:rsidR="004118D3" w:rsidRPr="005E503C" w:rsidRDefault="004118D3" w:rsidP="00C731CB">
      <w:pPr>
        <w:pStyle w:val="base-text-paragraph"/>
        <w:numPr>
          <w:ilvl w:val="1"/>
          <w:numId w:val="4"/>
        </w:numPr>
        <w:rPr>
          <w:rStyle w:val="Referencingstyle"/>
          <w:b w:val="0"/>
          <w:i w:val="0"/>
          <w:sz w:val="22"/>
        </w:rPr>
      </w:pPr>
      <w:r w:rsidRPr="005E503C">
        <w:t xml:space="preserve">The amendment to the </w:t>
      </w:r>
      <w:r w:rsidR="0058679A" w:rsidRPr="005E503C">
        <w:t>confidentiality of taxpayer information provisions in the TAA 1953 applies in relation to records and disclosures of information made at or after the commencement of this Schedule, whether the information was obtained before, at or after the commencement of the Schedule to the Bill.</w:t>
      </w:r>
      <w:r w:rsidR="00C60109" w:rsidRPr="005E503C">
        <w:t xml:space="preserve"> </w:t>
      </w:r>
      <w:r w:rsidR="00C60109" w:rsidRPr="005E503C">
        <w:rPr>
          <w:rStyle w:val="Referencingstyle"/>
        </w:rPr>
        <w:t>[Schedule</w:t>
      </w:r>
      <w:r w:rsidR="00AD1FE2" w:rsidRPr="005E503C">
        <w:rPr>
          <w:rStyle w:val="Referencingstyle"/>
        </w:rPr>
        <w:t xml:space="preserve"> 1</w:t>
      </w:r>
      <w:r w:rsidR="00C60109" w:rsidRPr="005E503C">
        <w:rPr>
          <w:rStyle w:val="Referencingstyle"/>
        </w:rPr>
        <w:t xml:space="preserve">, </w:t>
      </w:r>
      <w:proofErr w:type="spellStart"/>
      <w:r w:rsidR="00C60109" w:rsidRPr="005E503C">
        <w:rPr>
          <w:rStyle w:val="Referencingstyle"/>
        </w:rPr>
        <w:t>subitem</w:t>
      </w:r>
      <w:proofErr w:type="spellEnd"/>
      <w:r w:rsidR="00C60109" w:rsidRPr="005E503C">
        <w:rPr>
          <w:rStyle w:val="Referencingstyle"/>
        </w:rPr>
        <w:t xml:space="preserve"> </w:t>
      </w:r>
      <w:r w:rsidR="00AD1FE2" w:rsidRPr="005E503C">
        <w:rPr>
          <w:rStyle w:val="Referencingstyle"/>
        </w:rPr>
        <w:t>7(3)</w:t>
      </w:r>
      <w:r w:rsidR="00C60109" w:rsidRPr="005E503C">
        <w:rPr>
          <w:rStyle w:val="Referencingstyle"/>
        </w:rPr>
        <w:t>]</w:t>
      </w:r>
    </w:p>
    <w:p w14:paraId="4E89FB79" w14:textId="2261998B" w:rsidR="008072F0" w:rsidRPr="005E503C" w:rsidRDefault="008072F0" w:rsidP="008072F0">
      <w:pPr>
        <w:pStyle w:val="base-text-paragraph"/>
        <w:numPr>
          <w:ilvl w:val="1"/>
          <w:numId w:val="4"/>
        </w:numPr>
        <w:rPr>
          <w:rStyle w:val="Referencingstyle"/>
          <w:b w:val="0"/>
          <w:i w:val="0"/>
          <w:sz w:val="22"/>
        </w:rPr>
      </w:pPr>
      <w:r w:rsidRPr="005E503C">
        <w:t xml:space="preserve">Schedule 1 to this Bill commences on the first day of the next quarter following the day of Royal Assent. </w:t>
      </w:r>
      <w:r w:rsidRPr="005E503C">
        <w:rPr>
          <w:rStyle w:val="Referencingstyle"/>
        </w:rPr>
        <w:t>[Clause 2]</w:t>
      </w:r>
    </w:p>
    <w:p w14:paraId="4B8E280C" w14:textId="77777777" w:rsidR="003935CE" w:rsidRPr="005E503C" w:rsidRDefault="003935CE" w:rsidP="003935CE">
      <w:pPr>
        <w:pStyle w:val="base-text-paragraphnonumbers"/>
      </w:pPr>
    </w:p>
    <w:p w14:paraId="56ADD71F" w14:textId="77777777" w:rsidR="00144851" w:rsidRPr="005E503C" w:rsidRDefault="00144851" w:rsidP="00B17774">
      <w:pPr>
        <w:sectPr w:rsidR="00144851" w:rsidRPr="005E503C" w:rsidSect="00C743D3">
          <w:headerReference w:type="default" r:id="rId36"/>
          <w:footerReference w:type="even" r:id="rId37"/>
          <w:footerReference w:type="default" r:id="rId38"/>
          <w:footerReference w:type="first" r:id="rId39"/>
          <w:type w:val="oddPage"/>
          <w:pgSz w:w="9979" w:h="14175" w:code="9"/>
          <w:pgMar w:top="567" w:right="1134" w:bottom="567" w:left="1134" w:header="709" w:footer="709" w:gutter="0"/>
          <w:cols w:space="708"/>
          <w:titlePg/>
          <w:docGrid w:linePitch="360"/>
        </w:sectPr>
      </w:pPr>
    </w:p>
    <w:p w14:paraId="6622A8B6" w14:textId="65981196" w:rsidR="00144851" w:rsidRPr="005E503C" w:rsidRDefault="00144851" w:rsidP="00C731CB">
      <w:pPr>
        <w:pStyle w:val="ChapterHeading"/>
        <w:numPr>
          <w:ilvl w:val="0"/>
          <w:numId w:val="4"/>
        </w:numPr>
      </w:pPr>
      <w:bookmarkStart w:id="10" w:name="_Toc484429543"/>
      <w:bookmarkEnd w:id="10"/>
      <w:r w:rsidRPr="005E503C">
        <w:lastRenderedPageBreak/>
        <w:br/>
      </w:r>
      <w:bookmarkStart w:id="11" w:name="_Toc489525349"/>
      <w:bookmarkStart w:id="12" w:name="_Toc489888503"/>
      <w:bookmarkStart w:id="13" w:name="_Toc492982600"/>
      <w:bookmarkStart w:id="14" w:name="_Toc492997681"/>
      <w:r w:rsidRPr="005E503C">
        <w:rPr>
          <w:rStyle w:val="ChapterNameOnly"/>
        </w:rPr>
        <w:t>Affordable housing through managed investment trusts</w:t>
      </w:r>
      <w:bookmarkEnd w:id="11"/>
      <w:bookmarkEnd w:id="12"/>
      <w:bookmarkEnd w:id="13"/>
      <w:bookmarkEnd w:id="14"/>
    </w:p>
    <w:p w14:paraId="5AAF2FE6" w14:textId="77777777" w:rsidR="00144851" w:rsidRPr="005E503C" w:rsidRDefault="00144851" w:rsidP="00B17774">
      <w:pPr>
        <w:pStyle w:val="Heading2"/>
      </w:pPr>
      <w:r w:rsidRPr="005E503C">
        <w:t>Outline of chapter</w:t>
      </w:r>
    </w:p>
    <w:p w14:paraId="742D758D" w14:textId="5A46F03E" w:rsidR="00282AC5" w:rsidRPr="005E503C" w:rsidRDefault="00282AC5" w:rsidP="00C731CB">
      <w:pPr>
        <w:pStyle w:val="base-text-paragraph"/>
        <w:numPr>
          <w:ilvl w:val="1"/>
          <w:numId w:val="25"/>
        </w:numPr>
      </w:pPr>
      <w:r w:rsidRPr="005E503C">
        <w:t xml:space="preserve">Schedule </w:t>
      </w:r>
      <w:r w:rsidR="00C9526F" w:rsidRPr="005E503C">
        <w:t>2</w:t>
      </w:r>
      <w:r w:rsidRPr="005E503C">
        <w:t xml:space="preserve"> to </w:t>
      </w:r>
      <w:r w:rsidR="00DE6099" w:rsidRPr="005E503C">
        <w:t xml:space="preserve">Treasury Laws Amendment (Reducing Pressure </w:t>
      </w:r>
      <w:r w:rsidR="004D1949" w:rsidRPr="005E503C">
        <w:t>o</w:t>
      </w:r>
      <w:r w:rsidR="00DE6099" w:rsidRPr="005E503C">
        <w:t>n Housing Affordability No. 2) Bill 2017 (</w:t>
      </w:r>
      <w:r w:rsidRPr="005E503C">
        <w:t>th</w:t>
      </w:r>
      <w:r w:rsidRPr="005E503C" w:rsidDel="00DE6099">
        <w:t>is</w:t>
      </w:r>
      <w:r w:rsidRPr="005E503C">
        <w:t xml:space="preserve"> Bill</w:t>
      </w:r>
      <w:r w:rsidR="00DE6099" w:rsidRPr="005E503C">
        <w:t>)</w:t>
      </w:r>
      <w:r w:rsidRPr="005E503C">
        <w:t xml:space="preserve"> </w:t>
      </w:r>
      <w:r w:rsidR="00AC62F6" w:rsidRPr="005E503C">
        <w:t>and the Income Tax (Managed Investment Trust Withholding</w:t>
      </w:r>
      <w:r w:rsidR="00E242AC" w:rsidRPr="005E503C">
        <w:t>)</w:t>
      </w:r>
      <w:r w:rsidR="00AC62F6" w:rsidRPr="005E503C">
        <w:t xml:space="preserve"> Amendment Bill 2017</w:t>
      </w:r>
      <w:r w:rsidR="00AC62F6" w:rsidRPr="005E503C">
        <w:rPr>
          <w:i/>
        </w:rPr>
        <w:t xml:space="preserve"> </w:t>
      </w:r>
      <w:r w:rsidR="00162FDF" w:rsidRPr="005E503C">
        <w:t xml:space="preserve">(ITMIT Bill) </w:t>
      </w:r>
      <w:r w:rsidR="00AC62F6" w:rsidRPr="005E503C">
        <w:t>amend</w:t>
      </w:r>
      <w:r w:rsidRPr="005E503C">
        <w:t xml:space="preserve"> </w:t>
      </w:r>
      <w:r w:rsidR="00855F83" w:rsidRPr="005E503C">
        <w:t xml:space="preserve">taxation laws </w:t>
      </w:r>
      <w:r w:rsidRPr="005E503C">
        <w:t xml:space="preserve">to </w:t>
      </w:r>
      <w:r w:rsidR="000850B6" w:rsidRPr="005E503C">
        <w:t>encourage managed investment trusts (MITs) to invest in affordable housing</w:t>
      </w:r>
      <w:r w:rsidR="00EA000D" w:rsidRPr="005E503C">
        <w:t xml:space="preserve">. </w:t>
      </w:r>
      <w:r w:rsidR="00DB75D9" w:rsidRPr="005E503C">
        <w:t>They</w:t>
      </w:r>
      <w:r w:rsidR="000850B6" w:rsidRPr="005E503C">
        <w:t>:</w:t>
      </w:r>
    </w:p>
    <w:p w14:paraId="63B36CE5" w14:textId="052D72FA" w:rsidR="00A2127B" w:rsidRPr="005E503C" w:rsidRDefault="00624044" w:rsidP="00946F0F">
      <w:pPr>
        <w:pStyle w:val="dotpoint"/>
      </w:pPr>
      <w:r w:rsidRPr="005E503C">
        <w:t>allow</w:t>
      </w:r>
      <w:r w:rsidR="00A2127B" w:rsidRPr="005E503C">
        <w:t xml:space="preserve"> MITs to invest in </w:t>
      </w:r>
      <w:r w:rsidR="00BD1251" w:rsidRPr="005E503C">
        <w:t xml:space="preserve">dwellings that are residential </w:t>
      </w:r>
      <w:r w:rsidR="008D488A" w:rsidRPr="005E503C">
        <w:t>premises</w:t>
      </w:r>
      <w:r w:rsidR="00BD1251" w:rsidRPr="005E503C">
        <w:t xml:space="preserve"> </w:t>
      </w:r>
      <w:r w:rsidR="00545A77" w:rsidRPr="005E503C">
        <w:t xml:space="preserve">(but not commercial residential premises) </w:t>
      </w:r>
      <w:r w:rsidR="00BD1251" w:rsidRPr="005E503C">
        <w:t xml:space="preserve">that are used to provide </w:t>
      </w:r>
      <w:r w:rsidR="00A2127B" w:rsidRPr="005E503C">
        <w:t xml:space="preserve">affordable housing </w:t>
      </w:r>
      <w:r w:rsidR="007E2F1C" w:rsidRPr="005E503C">
        <w:t>primarily for the purpose of deriving rent</w:t>
      </w:r>
      <w:r w:rsidR="00067380" w:rsidRPr="005E503C">
        <w:t>;</w:t>
      </w:r>
      <w:r w:rsidR="00252F30" w:rsidRPr="005E503C">
        <w:t xml:space="preserve"> and</w:t>
      </w:r>
    </w:p>
    <w:p w14:paraId="20882D27" w14:textId="40626075" w:rsidR="00545A77" w:rsidRPr="005E503C" w:rsidRDefault="009404FD" w:rsidP="00946F0F">
      <w:pPr>
        <w:pStyle w:val="dotpoint"/>
      </w:pPr>
      <w:r w:rsidRPr="005E503C">
        <w:t>appl</w:t>
      </w:r>
      <w:r w:rsidR="00033000" w:rsidRPr="005E503C">
        <w:t>y</w:t>
      </w:r>
      <w:r w:rsidR="00A26D53" w:rsidRPr="005E503C">
        <w:t xml:space="preserve"> </w:t>
      </w:r>
      <w:r w:rsidR="0092403A" w:rsidRPr="005E503C">
        <w:t>the concessional</w:t>
      </w:r>
      <w:r w:rsidR="00A26D53" w:rsidRPr="005E503C">
        <w:t xml:space="preserve"> 15 per cent </w:t>
      </w:r>
      <w:r w:rsidR="00067380" w:rsidRPr="005E503C">
        <w:t xml:space="preserve">withholding tax rate </w:t>
      </w:r>
      <w:r w:rsidR="00252F30" w:rsidRPr="005E503C">
        <w:t xml:space="preserve">to </w:t>
      </w:r>
      <w:r w:rsidR="00545A77" w:rsidRPr="005E503C">
        <w:t>fund payments:</w:t>
      </w:r>
    </w:p>
    <w:p w14:paraId="4EE0C208" w14:textId="19D379BA" w:rsidR="00545A77" w:rsidRPr="005E503C" w:rsidRDefault="00545A77" w:rsidP="007A27DF">
      <w:pPr>
        <w:pStyle w:val="dotpoint2"/>
      </w:pPr>
      <w:r w:rsidRPr="005E503C">
        <w:t>to the extent they consist of affordable housing rental income and certain capital gains from dwelling used to provide affordable housing; and</w:t>
      </w:r>
    </w:p>
    <w:p w14:paraId="56C55824" w14:textId="64BD25F9" w:rsidR="00617D21" w:rsidRPr="005E503C" w:rsidRDefault="00545A77" w:rsidP="00DC6D61">
      <w:pPr>
        <w:pStyle w:val="dotpoint2"/>
      </w:pPr>
      <w:proofErr w:type="gramStart"/>
      <w:r w:rsidRPr="005E503C">
        <w:t>that</w:t>
      </w:r>
      <w:proofErr w:type="gramEnd"/>
      <w:r w:rsidRPr="005E503C">
        <w:t xml:space="preserve"> are paid or attributed to MIT members who are foreign residents of </w:t>
      </w:r>
      <w:r w:rsidR="00BC5669" w:rsidRPr="005E503C">
        <w:t>jurisdictions which Australia has listed as an exchange of information count</w:t>
      </w:r>
      <w:r w:rsidR="00545AD8" w:rsidRPr="005E503C">
        <w:t>r</w:t>
      </w:r>
      <w:r w:rsidR="00BC5669" w:rsidRPr="005E503C">
        <w:t>y</w:t>
      </w:r>
      <w:r w:rsidR="00654BA7" w:rsidRPr="005E503C">
        <w:t xml:space="preserve"> (referred to as exchange of information countries in this Chapter)</w:t>
      </w:r>
      <w:r w:rsidR="00BC5669" w:rsidRPr="005E503C">
        <w:t xml:space="preserve">. </w:t>
      </w:r>
    </w:p>
    <w:p w14:paraId="7AE31DBB" w14:textId="51FBF275" w:rsidR="002811E7" w:rsidRPr="005E503C" w:rsidRDefault="002811E7" w:rsidP="00B2342F">
      <w:pPr>
        <w:pStyle w:val="base-text-paragraph"/>
        <w:rPr>
          <w:rStyle w:val="ChapterNameOnly"/>
        </w:rPr>
      </w:pPr>
      <w:r w:rsidRPr="005E503C">
        <w:t xml:space="preserve">For this </w:t>
      </w:r>
      <w:r w:rsidR="00237136" w:rsidRPr="005E503C">
        <w:t>Chapter</w:t>
      </w:r>
      <w:r w:rsidRPr="005E503C">
        <w:t xml:space="preserve"> the following terms have the same meaning as </w:t>
      </w:r>
      <w:r w:rsidR="00237136" w:rsidRPr="005E503C">
        <w:t xml:space="preserve">used in Chapter </w:t>
      </w:r>
      <w:r w:rsidR="00C720DA" w:rsidRPr="005E503C">
        <w:t>1</w:t>
      </w:r>
      <w:r w:rsidR="00237136" w:rsidRPr="005E503C">
        <w:t xml:space="preserve"> (</w:t>
      </w:r>
      <w:r w:rsidR="00B37287" w:rsidRPr="005E503C">
        <w:t>a</w:t>
      </w:r>
      <w:r w:rsidRPr="005E503C">
        <w:rPr>
          <w:rStyle w:val="ChapterNameOnly"/>
        </w:rPr>
        <w:t>dditional capital gains discount for affordable housing</w:t>
      </w:r>
      <w:r w:rsidR="00237136" w:rsidRPr="005E503C">
        <w:rPr>
          <w:rStyle w:val="ChapterNameOnly"/>
        </w:rPr>
        <w:t>)</w:t>
      </w:r>
      <w:r w:rsidRPr="005E503C">
        <w:rPr>
          <w:rStyle w:val="ChapterNameOnly"/>
        </w:rPr>
        <w:t>:</w:t>
      </w:r>
    </w:p>
    <w:p w14:paraId="5236DE50" w14:textId="3EED316E" w:rsidR="004D1949" w:rsidRPr="005E503C" w:rsidRDefault="00B2578E" w:rsidP="00B2342F">
      <w:pPr>
        <w:pStyle w:val="dotpoint"/>
      </w:pPr>
      <w:r w:rsidRPr="005E503C">
        <w:t>c</w:t>
      </w:r>
      <w:r w:rsidR="004D1949" w:rsidRPr="005E503C">
        <w:t>ommercial residential premises (refer to paragraphs 1.</w:t>
      </w:r>
      <w:r w:rsidR="00CC1CF6" w:rsidRPr="005E503C">
        <w:t>33</w:t>
      </w:r>
      <w:r w:rsidR="004D1949" w:rsidRPr="005E503C">
        <w:t xml:space="preserve"> to 1.</w:t>
      </w:r>
      <w:r w:rsidR="00CC1CF6" w:rsidRPr="005E503C">
        <w:t>34</w:t>
      </w:r>
      <w:r w:rsidR="004D1949" w:rsidRPr="005E503C">
        <w:t>);</w:t>
      </w:r>
    </w:p>
    <w:p w14:paraId="0BD91907" w14:textId="76A043D6" w:rsidR="002811E7" w:rsidRPr="005E503C" w:rsidRDefault="002811E7" w:rsidP="00B2342F">
      <w:pPr>
        <w:pStyle w:val="dotpoint"/>
      </w:pPr>
      <w:r w:rsidRPr="005E503C">
        <w:t xml:space="preserve">dwelling </w:t>
      </w:r>
      <w:r w:rsidR="00A21098" w:rsidRPr="005E503C">
        <w:t>(refer to paragraph</w:t>
      </w:r>
      <w:r w:rsidR="00E242AC" w:rsidRPr="005E503C">
        <w:t>s</w:t>
      </w:r>
      <w:r w:rsidR="00A21098" w:rsidRPr="005E503C">
        <w:t xml:space="preserve"> 1.</w:t>
      </w:r>
      <w:r w:rsidR="00CC1CF6" w:rsidRPr="005E503C">
        <w:t>18</w:t>
      </w:r>
      <w:r w:rsidR="00A21098" w:rsidRPr="005E503C">
        <w:t xml:space="preserve"> to 1.</w:t>
      </w:r>
      <w:r w:rsidR="00142CDD" w:rsidRPr="005E503C">
        <w:t>20</w:t>
      </w:r>
      <w:r w:rsidR="00A21098" w:rsidRPr="005E503C">
        <w:t>)</w:t>
      </w:r>
      <w:r w:rsidR="008F4DB8" w:rsidRPr="005E503C">
        <w:t xml:space="preserve">; </w:t>
      </w:r>
    </w:p>
    <w:p w14:paraId="6BEF16F4" w14:textId="099A22B3" w:rsidR="004D1949" w:rsidRPr="005E503C" w:rsidRDefault="004D1949" w:rsidP="004D1949">
      <w:pPr>
        <w:pStyle w:val="dotpoint"/>
      </w:pPr>
      <w:r w:rsidRPr="005E503C">
        <w:t>provide affordable housing (refer to paragraphs 1.</w:t>
      </w:r>
      <w:r w:rsidR="00CC1CF6" w:rsidRPr="005E503C">
        <w:t>26</w:t>
      </w:r>
      <w:r w:rsidRPr="005E503C">
        <w:t xml:space="preserve"> to 1.</w:t>
      </w:r>
      <w:r w:rsidR="00CC1CF6" w:rsidRPr="005E503C">
        <w:t>48</w:t>
      </w:r>
      <w:r w:rsidRPr="005E503C">
        <w:t>); and</w:t>
      </w:r>
    </w:p>
    <w:p w14:paraId="780B20D5" w14:textId="083C9506" w:rsidR="002811E7" w:rsidRPr="005E503C" w:rsidRDefault="002811E7" w:rsidP="00B2342F">
      <w:pPr>
        <w:pStyle w:val="dotpoint"/>
      </w:pPr>
      <w:proofErr w:type="gramStart"/>
      <w:r w:rsidRPr="005E503C">
        <w:t>residential</w:t>
      </w:r>
      <w:proofErr w:type="gramEnd"/>
      <w:r w:rsidRPr="005E503C">
        <w:t xml:space="preserve"> premises </w:t>
      </w:r>
      <w:r w:rsidR="00A21098" w:rsidRPr="005E503C">
        <w:t>(refer to paragraph</w:t>
      </w:r>
      <w:r w:rsidR="00E242AC" w:rsidRPr="005E503C">
        <w:t>s</w:t>
      </w:r>
      <w:r w:rsidR="00A21098" w:rsidRPr="005E503C">
        <w:t xml:space="preserve"> 1.</w:t>
      </w:r>
      <w:r w:rsidR="00CC1CF6" w:rsidRPr="005E503C">
        <w:t>29</w:t>
      </w:r>
      <w:r w:rsidR="00A21098" w:rsidRPr="005E503C">
        <w:t xml:space="preserve"> to 1.</w:t>
      </w:r>
      <w:r w:rsidR="00CC1CF6" w:rsidRPr="005E503C">
        <w:t>32</w:t>
      </w:r>
      <w:r w:rsidR="00A21098" w:rsidRPr="005E503C">
        <w:t>)</w:t>
      </w:r>
      <w:r w:rsidR="00376CE7" w:rsidRPr="005E503C">
        <w:t>.</w:t>
      </w:r>
    </w:p>
    <w:p w14:paraId="542606CA" w14:textId="1AD3A29F" w:rsidR="003B7555" w:rsidRPr="005E503C" w:rsidRDefault="003B7555" w:rsidP="003B7555">
      <w:pPr>
        <w:pStyle w:val="base-text-paragraph"/>
      </w:pPr>
      <w:r w:rsidRPr="005E503C">
        <w:t>All legislative references in this Chapter, unless otherwise stated, are to the ITAA 1997.</w:t>
      </w:r>
    </w:p>
    <w:p w14:paraId="1BCDA5A6" w14:textId="77777777" w:rsidR="00144851" w:rsidRPr="005E503C" w:rsidRDefault="00144851" w:rsidP="00B17774">
      <w:pPr>
        <w:pStyle w:val="Heading2"/>
      </w:pPr>
      <w:r w:rsidRPr="005E503C">
        <w:lastRenderedPageBreak/>
        <w:t>Context of amendments</w:t>
      </w:r>
    </w:p>
    <w:p w14:paraId="4D63029E" w14:textId="684DD3B2" w:rsidR="00365002" w:rsidRPr="005E503C" w:rsidRDefault="00365002" w:rsidP="009F3AF5">
      <w:pPr>
        <w:pStyle w:val="base-text-paragraph"/>
      </w:pPr>
      <w:r w:rsidRPr="005E503C">
        <w:t>In the 2017</w:t>
      </w:r>
      <w:r w:rsidRPr="005E503C">
        <w:noBreakHyphen/>
        <w:t xml:space="preserve">18 Budget, the Government announced a package of measures </w:t>
      </w:r>
      <w:r w:rsidR="003F06F5" w:rsidRPr="005E503C">
        <w:t xml:space="preserve">designed to improve outcomes across the housing </w:t>
      </w:r>
      <w:r w:rsidR="00120256" w:rsidRPr="005E503C">
        <w:t>sector</w:t>
      </w:r>
      <w:r w:rsidR="003F06F5" w:rsidRPr="005E503C">
        <w:t>, from Australians struggling to put a roof over their head to those in affordable housing, private renters and first home buyers.</w:t>
      </w:r>
    </w:p>
    <w:p w14:paraId="6A6850F8" w14:textId="77777777" w:rsidR="00365002" w:rsidRPr="005E503C" w:rsidRDefault="00365002" w:rsidP="009F3AF5">
      <w:pPr>
        <w:pStyle w:val="base-text-paragraph"/>
        <w:numPr>
          <w:ilvl w:val="1"/>
          <w:numId w:val="4"/>
        </w:numPr>
      </w:pPr>
      <w:r w:rsidRPr="005E503C">
        <w:t>Several of these measures specifically address housing affordability for members of the community earning low to moderate incomes by providing incentives for investors to increase the supply of affordable housing that is available. Having access to affordable housing on a long</w:t>
      </w:r>
      <w:r w:rsidRPr="005E503C">
        <w:noBreakHyphen/>
        <w:t>term basis will help to support Australian households manage life’s challenges and assist in relieving the pressure from rising costs of living.</w:t>
      </w:r>
    </w:p>
    <w:p w14:paraId="09EC399E" w14:textId="4FF0E011" w:rsidR="00771C25" w:rsidRPr="005E503C" w:rsidRDefault="00130A49" w:rsidP="009F3AF5">
      <w:pPr>
        <w:pStyle w:val="base-text-paragraph"/>
        <w:numPr>
          <w:ilvl w:val="1"/>
          <w:numId w:val="4"/>
        </w:numPr>
      </w:pPr>
      <w:r w:rsidRPr="005E503C">
        <w:t>The Government recognise</w:t>
      </w:r>
      <w:r w:rsidR="00C724AA" w:rsidRPr="005E503C">
        <w:t>s</w:t>
      </w:r>
      <w:r w:rsidRPr="005E503C">
        <w:t xml:space="preserve"> that increase</w:t>
      </w:r>
      <w:r w:rsidR="008B4A94" w:rsidRPr="005E503C">
        <w:t>d</w:t>
      </w:r>
      <w:r w:rsidRPr="005E503C">
        <w:t xml:space="preserve"> private investment is required </w:t>
      </w:r>
      <w:r w:rsidRPr="005E503C" w:rsidDel="002F2F10">
        <w:t xml:space="preserve">to </w:t>
      </w:r>
      <w:r w:rsidRPr="005E503C">
        <w:t>provide more access to affordable rental housing. Specific measures addressing this issue include</w:t>
      </w:r>
      <w:r w:rsidR="00771C25" w:rsidRPr="005E503C">
        <w:t>:</w:t>
      </w:r>
    </w:p>
    <w:p w14:paraId="2A84069C" w14:textId="1BCF4A96" w:rsidR="00006914" w:rsidRPr="005E503C" w:rsidRDefault="002D1308" w:rsidP="00006914">
      <w:pPr>
        <w:pStyle w:val="dotpoint"/>
      </w:pPr>
      <w:r w:rsidRPr="005E503C">
        <w:rPr>
          <w:rStyle w:val="ChapterNameOnly"/>
        </w:rPr>
        <w:t xml:space="preserve">an </w:t>
      </w:r>
      <w:r w:rsidR="00006914" w:rsidRPr="005E503C">
        <w:rPr>
          <w:rStyle w:val="ChapterNameOnly"/>
        </w:rPr>
        <w:t>incentive for affordable housing investment through MITs (this measure); and</w:t>
      </w:r>
    </w:p>
    <w:p w14:paraId="466B27B5" w14:textId="46F4501A" w:rsidR="00771C25" w:rsidRPr="005E503C" w:rsidRDefault="002D1308" w:rsidP="00771C25">
      <w:pPr>
        <w:pStyle w:val="dotpoint"/>
        <w:rPr>
          <w:rStyle w:val="ChapterNameOnly"/>
        </w:rPr>
      </w:pPr>
      <w:proofErr w:type="gramStart"/>
      <w:r w:rsidRPr="005E503C">
        <w:rPr>
          <w:rStyle w:val="ChapterNameOnly"/>
        </w:rPr>
        <w:t>a</w:t>
      </w:r>
      <w:proofErr w:type="gramEnd"/>
      <w:r w:rsidRPr="005E503C">
        <w:rPr>
          <w:rStyle w:val="ChapterNameOnly"/>
        </w:rPr>
        <w:t xml:space="preserve"> </w:t>
      </w:r>
      <w:r w:rsidR="00771C25" w:rsidRPr="005E503C">
        <w:rPr>
          <w:rStyle w:val="ChapterNameOnly"/>
        </w:rPr>
        <w:t xml:space="preserve">capital gains tax incentive for investments in affordable housing </w:t>
      </w:r>
      <w:r w:rsidR="00006914" w:rsidRPr="005E503C">
        <w:rPr>
          <w:rStyle w:val="ChapterNameOnly"/>
        </w:rPr>
        <w:t xml:space="preserve">(see Chapter </w:t>
      </w:r>
      <w:r w:rsidR="00A927CE" w:rsidRPr="005E503C">
        <w:rPr>
          <w:rStyle w:val="ChapterNameOnly"/>
        </w:rPr>
        <w:t>1</w:t>
      </w:r>
      <w:r w:rsidR="00006914" w:rsidRPr="005E503C">
        <w:rPr>
          <w:rStyle w:val="ChapterNameOnly"/>
        </w:rPr>
        <w:t>).</w:t>
      </w:r>
    </w:p>
    <w:p w14:paraId="6483A9E0" w14:textId="0380B651" w:rsidR="007110AD" w:rsidRPr="005E503C" w:rsidRDefault="007110AD" w:rsidP="007110AD">
      <w:pPr>
        <w:pStyle w:val="base-text-paragraph"/>
        <w:rPr>
          <w:rStyle w:val="ChapterNameOnly"/>
        </w:rPr>
      </w:pPr>
      <w:r w:rsidRPr="005E503C">
        <w:rPr>
          <w:rStyle w:val="ChapterNameOnly"/>
        </w:rPr>
        <w:t xml:space="preserve">A </w:t>
      </w:r>
      <w:r w:rsidR="00562428" w:rsidRPr="005E503C">
        <w:rPr>
          <w:rStyle w:val="ChapterNameOnly"/>
        </w:rPr>
        <w:t>MIT</w:t>
      </w:r>
      <w:r w:rsidRPr="005E503C">
        <w:rPr>
          <w:rStyle w:val="ChapterNameOnly"/>
        </w:rPr>
        <w:t xml:space="preserve"> is a type of unit trust which </w:t>
      </w:r>
      <w:r w:rsidR="003D57BF" w:rsidRPr="005E503C">
        <w:rPr>
          <w:rStyle w:val="ChapterNameOnly"/>
        </w:rPr>
        <w:t>investors</w:t>
      </w:r>
      <w:r w:rsidRPr="005E503C">
        <w:rPr>
          <w:rStyle w:val="ChapterNameOnly"/>
        </w:rPr>
        <w:t xml:space="preserve"> </w:t>
      </w:r>
      <w:r w:rsidR="00D41949" w:rsidRPr="005E503C">
        <w:rPr>
          <w:rStyle w:val="ChapterNameOnly"/>
        </w:rPr>
        <w:t xml:space="preserve">can use to </w:t>
      </w:r>
      <w:r w:rsidRPr="005E503C">
        <w:rPr>
          <w:rStyle w:val="ChapterNameOnly"/>
        </w:rPr>
        <w:t xml:space="preserve">collectively invest in </w:t>
      </w:r>
      <w:r w:rsidR="00ED2BC2" w:rsidRPr="005E503C">
        <w:rPr>
          <w:rStyle w:val="ChapterNameOnly"/>
        </w:rPr>
        <w:t>assets that produce passive income</w:t>
      </w:r>
      <w:r w:rsidRPr="005E503C">
        <w:rPr>
          <w:rStyle w:val="ChapterNameOnly"/>
        </w:rPr>
        <w:t>, such as shares, property or fixed interest assets. A trust qualifies as a MIT if it meets certain requirements set out in Division 275 of the ITAA 1997 for the income year it is in operation.</w:t>
      </w:r>
    </w:p>
    <w:p w14:paraId="674BDEA8" w14:textId="76448210" w:rsidR="0073515A" w:rsidRPr="005E503C" w:rsidRDefault="004655E4" w:rsidP="00C113FC">
      <w:pPr>
        <w:pStyle w:val="base-text-paragraph"/>
        <w:rPr>
          <w:rStyle w:val="ChapterNameOnly"/>
        </w:rPr>
      </w:pPr>
      <w:r w:rsidRPr="005E503C">
        <w:rPr>
          <w:rStyle w:val="ChapterNameOnly"/>
        </w:rPr>
        <w:t>In the 2016</w:t>
      </w:r>
      <w:r w:rsidR="00662160" w:rsidRPr="005E503C">
        <w:rPr>
          <w:rStyle w:val="ChapterNameOnly"/>
        </w:rPr>
        <w:noBreakHyphen/>
      </w:r>
      <w:r w:rsidRPr="005E503C">
        <w:rPr>
          <w:rStyle w:val="ChapterNameOnly"/>
        </w:rPr>
        <w:t xml:space="preserve">17 Budget, the Government announced that it would establish a </w:t>
      </w:r>
      <w:r w:rsidR="008F7806" w:rsidRPr="005E503C">
        <w:rPr>
          <w:rStyle w:val="ChapterNameOnly"/>
        </w:rPr>
        <w:t xml:space="preserve">tax and </w:t>
      </w:r>
      <w:r w:rsidRPr="005E503C">
        <w:rPr>
          <w:rStyle w:val="ChapterNameOnly"/>
        </w:rPr>
        <w:t>regulatory framework for two new CIVs</w:t>
      </w:r>
      <w:r w:rsidR="00997648" w:rsidRPr="005E503C">
        <w:rPr>
          <w:rStyle w:val="ChapterNameOnly"/>
        </w:rPr>
        <w:t>:</w:t>
      </w:r>
    </w:p>
    <w:p w14:paraId="7A7DA223" w14:textId="5881AAD1" w:rsidR="0073515A" w:rsidRPr="005E503C" w:rsidRDefault="004655E4" w:rsidP="009F6E8D">
      <w:pPr>
        <w:pStyle w:val="dotpoint"/>
        <w:rPr>
          <w:rStyle w:val="ChapterNameOnly"/>
        </w:rPr>
      </w:pPr>
      <w:r w:rsidRPr="005E503C">
        <w:rPr>
          <w:rStyle w:val="ChapterNameOnly"/>
        </w:rPr>
        <w:t>a corporate CIV</w:t>
      </w:r>
      <w:r w:rsidR="0073515A" w:rsidRPr="005E503C">
        <w:rPr>
          <w:rStyle w:val="ChapterNameOnly"/>
        </w:rPr>
        <w:t>;</w:t>
      </w:r>
      <w:r w:rsidRPr="005E503C">
        <w:rPr>
          <w:rStyle w:val="ChapterNameOnly"/>
        </w:rPr>
        <w:t xml:space="preserve"> and </w:t>
      </w:r>
    </w:p>
    <w:p w14:paraId="5D0AC4C7" w14:textId="7B8AF582" w:rsidR="0073515A" w:rsidRPr="005E503C" w:rsidRDefault="004655E4">
      <w:pPr>
        <w:pStyle w:val="dotpoint"/>
        <w:rPr>
          <w:rStyle w:val="ChapterNameOnly"/>
        </w:rPr>
      </w:pPr>
      <w:proofErr w:type="gramStart"/>
      <w:r w:rsidRPr="005E503C">
        <w:rPr>
          <w:rStyle w:val="ChapterNameOnly"/>
        </w:rPr>
        <w:t>a</w:t>
      </w:r>
      <w:proofErr w:type="gramEnd"/>
      <w:r w:rsidRPr="005E503C">
        <w:rPr>
          <w:rStyle w:val="ChapterNameOnly"/>
        </w:rPr>
        <w:t xml:space="preserve"> limited partnership CIV.</w:t>
      </w:r>
    </w:p>
    <w:p w14:paraId="61CDEE09" w14:textId="14497AD8" w:rsidR="004655E4" w:rsidRPr="005E503C" w:rsidRDefault="004655E4" w:rsidP="00C113FC">
      <w:pPr>
        <w:pStyle w:val="base-text-paragraph"/>
        <w:rPr>
          <w:rStyle w:val="ChapterNameOnly"/>
        </w:rPr>
      </w:pPr>
      <w:r w:rsidRPr="005E503C">
        <w:rPr>
          <w:rStyle w:val="ChapterNameOnly"/>
        </w:rPr>
        <w:t xml:space="preserve">The Government intends that </w:t>
      </w:r>
      <w:r w:rsidR="00C24A32" w:rsidRPr="005E503C">
        <w:rPr>
          <w:rStyle w:val="ChapterNameOnly"/>
        </w:rPr>
        <w:t xml:space="preserve">these </w:t>
      </w:r>
      <w:r w:rsidRPr="005E503C">
        <w:rPr>
          <w:rStyle w:val="ChapterNameOnly"/>
        </w:rPr>
        <w:t xml:space="preserve">CIVs will be able to invest in affordable housing in the same manner as MITs. It is intended that legislation </w:t>
      </w:r>
      <w:r w:rsidR="0073515A" w:rsidRPr="005E503C">
        <w:rPr>
          <w:rStyle w:val="ChapterNameOnly"/>
        </w:rPr>
        <w:t>to</w:t>
      </w:r>
      <w:r w:rsidRPr="005E503C">
        <w:rPr>
          <w:rStyle w:val="ChapterNameOnly"/>
        </w:rPr>
        <w:t xml:space="preserve"> introduce the framework for the new </w:t>
      </w:r>
      <w:r w:rsidR="002E4420" w:rsidRPr="005E503C">
        <w:rPr>
          <w:rStyle w:val="ChapterNameOnly"/>
        </w:rPr>
        <w:t xml:space="preserve">types of </w:t>
      </w:r>
      <w:r w:rsidRPr="005E503C">
        <w:rPr>
          <w:rStyle w:val="ChapterNameOnly"/>
        </w:rPr>
        <w:t xml:space="preserve">CIVs will </w:t>
      </w:r>
      <w:r w:rsidR="002C41A3" w:rsidRPr="005E503C">
        <w:rPr>
          <w:rStyle w:val="ChapterNameOnly"/>
        </w:rPr>
        <w:t>ensure</w:t>
      </w:r>
      <w:r w:rsidRPr="005E503C" w:rsidDel="002C41A3">
        <w:rPr>
          <w:rStyle w:val="ChapterNameOnly"/>
        </w:rPr>
        <w:t xml:space="preserve"> </w:t>
      </w:r>
      <w:r w:rsidRPr="005E503C">
        <w:rPr>
          <w:rStyle w:val="ChapterNameOnly"/>
        </w:rPr>
        <w:t xml:space="preserve">members in CIVs have access to the additional affordable housing capital gains discount in the same manner </w:t>
      </w:r>
      <w:r w:rsidR="00CD5983" w:rsidRPr="005E503C">
        <w:rPr>
          <w:rStyle w:val="ChapterNameOnly"/>
        </w:rPr>
        <w:t xml:space="preserve">as </w:t>
      </w:r>
      <w:r w:rsidRPr="005E503C">
        <w:rPr>
          <w:rStyle w:val="ChapterNameOnly"/>
        </w:rPr>
        <w:t>members of MITs.</w:t>
      </w:r>
    </w:p>
    <w:p w14:paraId="7CAE9F30" w14:textId="307FA76F" w:rsidR="003C5538" w:rsidRPr="005E503C" w:rsidRDefault="003C5538" w:rsidP="003C5538">
      <w:pPr>
        <w:pStyle w:val="base-text-paragraph"/>
        <w:rPr>
          <w:rStyle w:val="ChapterNameOnly"/>
        </w:rPr>
      </w:pPr>
      <w:r w:rsidRPr="005E503C">
        <w:rPr>
          <w:rStyle w:val="ChapterNameOnly"/>
        </w:rPr>
        <w:t xml:space="preserve">There also currently is significant uncertainty about the eligibility rules for trusts being MITs if investments are made in dwellings that are residential premises. This is because there is a view that investment in residential property is not made for a primary purpose of earning rental income. It is instead for delivering capital gains from </w:t>
      </w:r>
      <w:r w:rsidRPr="005E503C">
        <w:rPr>
          <w:rStyle w:val="ChapterNameOnly"/>
        </w:rPr>
        <w:lastRenderedPageBreak/>
        <w:t>increased property values, and therefore not eligible for the MIT tax concessions.</w:t>
      </w:r>
    </w:p>
    <w:p w14:paraId="5220ADD5" w14:textId="77777777" w:rsidR="00144851" w:rsidRPr="005E503C" w:rsidRDefault="00144851" w:rsidP="00B17774">
      <w:pPr>
        <w:pStyle w:val="Heading2"/>
      </w:pPr>
      <w:r w:rsidRPr="005E503C">
        <w:t>Summary of new law</w:t>
      </w:r>
    </w:p>
    <w:p w14:paraId="006BFEDC" w14:textId="58F9E1D1" w:rsidR="00915D67" w:rsidRPr="005E503C" w:rsidRDefault="00AA7561" w:rsidP="00C731CB">
      <w:pPr>
        <w:pStyle w:val="base-text-paragraph"/>
        <w:numPr>
          <w:ilvl w:val="1"/>
          <w:numId w:val="4"/>
        </w:numPr>
      </w:pPr>
      <w:r w:rsidRPr="005E503C">
        <w:t>This measure enables trusts that invest in dwellings that are residential premises</w:t>
      </w:r>
      <w:r w:rsidR="008C4BBF" w:rsidRPr="005E503C">
        <w:t>, but</w:t>
      </w:r>
      <w:r w:rsidRPr="005E503C" w:rsidDel="008C4BBF">
        <w:t xml:space="preserve"> </w:t>
      </w:r>
      <w:r w:rsidR="005629FC" w:rsidRPr="005E503C">
        <w:t>not commercial residential premises</w:t>
      </w:r>
      <w:r w:rsidR="008C4BBF" w:rsidRPr="005E503C">
        <w:t>,</w:t>
      </w:r>
      <w:r w:rsidR="005629FC" w:rsidRPr="005E503C">
        <w:t xml:space="preserve"> </w:t>
      </w:r>
      <w:r w:rsidRPr="005E503C">
        <w:t>to be MITs if</w:t>
      </w:r>
      <w:r w:rsidR="00915D67" w:rsidRPr="005E503C">
        <w:t>:</w:t>
      </w:r>
    </w:p>
    <w:p w14:paraId="543C2296" w14:textId="14C246C4" w:rsidR="00915D67" w:rsidRPr="005E503C" w:rsidRDefault="00AA7561" w:rsidP="008E0FDF">
      <w:pPr>
        <w:pStyle w:val="dotpoint"/>
      </w:pPr>
      <w:r w:rsidRPr="005E503C">
        <w:t>the</w:t>
      </w:r>
      <w:r w:rsidR="005359FF" w:rsidRPr="005E503C">
        <w:t xml:space="preserve"> </w:t>
      </w:r>
      <w:r w:rsidR="00D95088" w:rsidRPr="005E503C">
        <w:t xml:space="preserve">dwelling is used for the purpose, or primarily for the purpose, of deriving rent </w:t>
      </w:r>
      <w:r w:rsidR="00F232C9" w:rsidRPr="005E503C">
        <w:t xml:space="preserve">from </w:t>
      </w:r>
      <w:r w:rsidRPr="005E503C">
        <w:t>affordable housing</w:t>
      </w:r>
      <w:r w:rsidR="00915D67" w:rsidRPr="005E503C">
        <w:t>;</w:t>
      </w:r>
      <w:r w:rsidRPr="005E503C">
        <w:t xml:space="preserve"> or </w:t>
      </w:r>
    </w:p>
    <w:p w14:paraId="01D4E538" w14:textId="2207AE09" w:rsidR="00F45D29" w:rsidRPr="005E503C" w:rsidRDefault="00AA7561">
      <w:pPr>
        <w:pStyle w:val="dotpoint"/>
      </w:pPr>
      <w:proofErr w:type="gramStart"/>
      <w:r w:rsidRPr="005E503C">
        <w:t>the</w:t>
      </w:r>
      <w:proofErr w:type="gramEnd"/>
      <w:r w:rsidRPr="005E503C">
        <w:t xml:space="preserve"> use of the dwelling as residential premises is incidental to the earning of other income from the asset of which the dwelling is a part</w:t>
      </w:r>
      <w:r w:rsidR="00BB0D7D" w:rsidRPr="005E503C">
        <w:t>.</w:t>
      </w:r>
      <w:r w:rsidR="00F45D29" w:rsidRPr="005E503C">
        <w:t xml:space="preserve"> </w:t>
      </w:r>
    </w:p>
    <w:p w14:paraId="3308E4D0" w14:textId="5A47D177" w:rsidR="00F45D29" w:rsidRPr="005E503C" w:rsidRDefault="00CD74C9" w:rsidP="00C731CB">
      <w:pPr>
        <w:pStyle w:val="base-text-paragraph"/>
        <w:numPr>
          <w:ilvl w:val="1"/>
          <w:numId w:val="4"/>
        </w:numPr>
        <w:rPr>
          <w:rStyle w:val="ChapterNameOnly"/>
        </w:rPr>
      </w:pPr>
      <w:r w:rsidRPr="005E503C">
        <w:t>T</w:t>
      </w:r>
      <w:r w:rsidR="00F45D29" w:rsidRPr="005E503C">
        <w:t xml:space="preserve">his measure </w:t>
      </w:r>
      <w:r w:rsidRPr="005E503C">
        <w:t xml:space="preserve">also </w:t>
      </w:r>
      <w:r w:rsidR="00F45D29" w:rsidRPr="005E503C">
        <w:t xml:space="preserve">clarifies </w:t>
      </w:r>
      <w:r w:rsidR="00F45D29" w:rsidRPr="005E503C">
        <w:rPr>
          <w:rStyle w:val="ChapterNameOnly"/>
        </w:rPr>
        <w:t xml:space="preserve">the eligibility rules for trusts </w:t>
      </w:r>
      <w:r w:rsidR="00DE1DE8" w:rsidRPr="005E503C">
        <w:rPr>
          <w:rStyle w:val="ChapterNameOnly"/>
        </w:rPr>
        <w:t xml:space="preserve">to </w:t>
      </w:r>
      <w:r w:rsidR="00F45D29" w:rsidRPr="005E503C">
        <w:rPr>
          <w:rStyle w:val="ChapterNameOnly"/>
        </w:rPr>
        <w:t xml:space="preserve">be </w:t>
      </w:r>
      <w:r w:rsidR="00042A14" w:rsidRPr="005E503C">
        <w:rPr>
          <w:rStyle w:val="ChapterNameOnly"/>
        </w:rPr>
        <w:t>MITs</w:t>
      </w:r>
      <w:r w:rsidR="00F45D29" w:rsidRPr="005E503C">
        <w:rPr>
          <w:rStyle w:val="ChapterNameOnly"/>
        </w:rPr>
        <w:t xml:space="preserve"> i</w:t>
      </w:r>
      <w:r w:rsidR="00DE1DE8" w:rsidRPr="005E503C">
        <w:rPr>
          <w:rStyle w:val="ChapterNameOnly"/>
        </w:rPr>
        <w:t>f they</w:t>
      </w:r>
      <w:r w:rsidR="00F45D29" w:rsidRPr="005E503C">
        <w:rPr>
          <w:rStyle w:val="ChapterNameOnly"/>
        </w:rPr>
        <w:t xml:space="preserve"> invest in dwellings that are residential premises. This will </w:t>
      </w:r>
      <w:r w:rsidR="00915D67" w:rsidRPr="005E503C">
        <w:rPr>
          <w:rStyle w:val="ChapterNameOnly"/>
        </w:rPr>
        <w:t xml:space="preserve">help to provide </w:t>
      </w:r>
      <w:r w:rsidR="00F45D29" w:rsidRPr="005E503C">
        <w:rPr>
          <w:rStyle w:val="ChapterNameOnly"/>
        </w:rPr>
        <w:t xml:space="preserve">investors </w:t>
      </w:r>
      <w:r w:rsidR="00915D67" w:rsidRPr="005E503C">
        <w:rPr>
          <w:rStyle w:val="ChapterNameOnly"/>
        </w:rPr>
        <w:t xml:space="preserve">with investment </w:t>
      </w:r>
      <w:r w:rsidR="00F45D29" w:rsidRPr="005E503C">
        <w:rPr>
          <w:rStyle w:val="ChapterNameOnly"/>
        </w:rPr>
        <w:t>certainty</w:t>
      </w:r>
      <w:r w:rsidR="00915D67" w:rsidRPr="005E503C">
        <w:rPr>
          <w:rStyle w:val="ChapterNameOnly"/>
        </w:rPr>
        <w:t>. This change will not, however, affect MITs investing in commercial residential premises</w:t>
      </w:r>
      <w:r w:rsidR="000348D3" w:rsidRPr="005E503C">
        <w:rPr>
          <w:rStyle w:val="ChapterNameOnly"/>
        </w:rPr>
        <w:t>.</w:t>
      </w:r>
      <w:r w:rsidR="000348D3" w:rsidRPr="005E503C">
        <w:t xml:space="preserve"> This means that trusts can invest in commercial residential premises and </w:t>
      </w:r>
      <w:r w:rsidRPr="005E503C">
        <w:t>qualify as</w:t>
      </w:r>
      <w:r w:rsidR="000348D3" w:rsidRPr="005E503C">
        <w:t xml:space="preserve"> MITs provided </w:t>
      </w:r>
      <w:r w:rsidR="000348D3" w:rsidRPr="005E503C">
        <w:rPr>
          <w:rStyle w:val="ChapterNameOnly"/>
        </w:rPr>
        <w:t>this investment is primarily for the purpose of deriving rent consistent with the eligible investment business rules.</w:t>
      </w:r>
    </w:p>
    <w:p w14:paraId="25D266A4" w14:textId="0ACF71D7" w:rsidR="002D1308" w:rsidRPr="005E503C" w:rsidRDefault="002D1308" w:rsidP="00C731CB">
      <w:pPr>
        <w:pStyle w:val="base-text-paragraph"/>
        <w:numPr>
          <w:ilvl w:val="1"/>
          <w:numId w:val="4"/>
        </w:numPr>
      </w:pPr>
      <w:r w:rsidRPr="005E503C">
        <w:t xml:space="preserve">This measure </w:t>
      </w:r>
      <w:r w:rsidR="00F232C9" w:rsidRPr="005E503C">
        <w:t xml:space="preserve">also </w:t>
      </w:r>
      <w:r w:rsidRPr="005E503C">
        <w:t>provides incentive</w:t>
      </w:r>
      <w:r w:rsidR="00AA7561" w:rsidRPr="005E503C">
        <w:t>s</w:t>
      </w:r>
      <w:r w:rsidRPr="005E503C">
        <w:t xml:space="preserve"> for MITs to invest in </w:t>
      </w:r>
      <w:r w:rsidR="002E19F4" w:rsidRPr="005E503C">
        <w:t xml:space="preserve">dwellings that are residential premises to provide </w:t>
      </w:r>
      <w:r w:rsidRPr="005E503C">
        <w:t>affordable housin</w:t>
      </w:r>
      <w:r w:rsidR="00F232C9" w:rsidRPr="005E503C">
        <w:t xml:space="preserve">g. The first incentive is </w:t>
      </w:r>
      <w:r w:rsidRPr="005E503C">
        <w:t xml:space="preserve">a concessional 15 per cent withholding tax rate </w:t>
      </w:r>
      <w:r w:rsidR="00F232C9" w:rsidRPr="005E503C">
        <w:t xml:space="preserve">that </w:t>
      </w:r>
      <w:r w:rsidRPr="005E503C">
        <w:t xml:space="preserve">applies to fund payments </w:t>
      </w:r>
      <w:r w:rsidR="00F232C9" w:rsidRPr="005E503C">
        <w:t xml:space="preserve">that are paid or attributed </w:t>
      </w:r>
      <w:r w:rsidRPr="005E503C">
        <w:t>to foreign residents who are residents of exchange of information countries to the extent the</w:t>
      </w:r>
      <w:r w:rsidR="00997648" w:rsidRPr="005E503C">
        <w:t xml:space="preserve"> payments</w:t>
      </w:r>
      <w:r w:rsidRPr="005E503C">
        <w:t xml:space="preserve"> are: </w:t>
      </w:r>
    </w:p>
    <w:p w14:paraId="13B8597A" w14:textId="77777777" w:rsidR="002D1308" w:rsidRPr="005E503C" w:rsidRDefault="002D1308">
      <w:pPr>
        <w:pStyle w:val="dotpoint"/>
      </w:pPr>
      <w:r w:rsidRPr="005E503C">
        <w:t xml:space="preserve">affordable housing rental income; or </w:t>
      </w:r>
    </w:p>
    <w:p w14:paraId="11359665" w14:textId="534EFF79" w:rsidR="00F232C9" w:rsidRPr="005E503C" w:rsidRDefault="002D1308">
      <w:pPr>
        <w:pStyle w:val="dotpoint"/>
      </w:pPr>
      <w:proofErr w:type="gramStart"/>
      <w:r w:rsidRPr="005E503C">
        <w:t>gains</w:t>
      </w:r>
      <w:proofErr w:type="gramEnd"/>
      <w:r w:rsidRPr="005E503C">
        <w:t xml:space="preserve"> realised from dwellings that the MIT has used to provide affordable housing </w:t>
      </w:r>
      <w:r w:rsidR="009C3497" w:rsidRPr="005E503C">
        <w:t>for</w:t>
      </w:r>
      <w:r w:rsidR="009D760D" w:rsidRPr="005E503C">
        <w:t xml:space="preserve"> a </w:t>
      </w:r>
      <w:r w:rsidR="007037DA" w:rsidRPr="005E503C">
        <w:t xml:space="preserve">total </w:t>
      </w:r>
      <w:r w:rsidR="009D760D" w:rsidRPr="005E503C">
        <w:t xml:space="preserve">period </w:t>
      </w:r>
      <w:r w:rsidR="007037DA" w:rsidRPr="005E503C">
        <w:t xml:space="preserve">or periods </w:t>
      </w:r>
      <w:r w:rsidR="009D760D" w:rsidRPr="005E503C">
        <w:t xml:space="preserve">of at least </w:t>
      </w:r>
      <w:r w:rsidR="005629FC" w:rsidRPr="005E503C">
        <w:t xml:space="preserve">3,650 days (that is </w:t>
      </w:r>
      <w:r w:rsidR="009D760D" w:rsidRPr="005E503C">
        <w:t>10 years</w:t>
      </w:r>
      <w:r w:rsidR="005629FC" w:rsidRPr="005E503C">
        <w:t>)</w:t>
      </w:r>
      <w:r w:rsidR="009D760D" w:rsidRPr="005E503C">
        <w:t>.</w:t>
      </w:r>
    </w:p>
    <w:p w14:paraId="157BAC56" w14:textId="7F163D49" w:rsidR="00DA0C5E" w:rsidRPr="005E503C" w:rsidRDefault="00DA0C5E" w:rsidP="001D16F4">
      <w:pPr>
        <w:pStyle w:val="base-text-paragraph"/>
      </w:pPr>
      <w:r w:rsidRPr="005E503C">
        <w:t xml:space="preserve">The existing 30 per cent withholding rate will continue </w:t>
      </w:r>
      <w:r w:rsidR="00CC7BE6" w:rsidRPr="005E503C">
        <w:t xml:space="preserve">to apply </w:t>
      </w:r>
      <w:r w:rsidRPr="005E503C">
        <w:t xml:space="preserve">for all fund payments that are paid or attributed to members who are foreign residents of countries with which Australia does not have an exchange of information </w:t>
      </w:r>
      <w:r w:rsidR="004E6F96" w:rsidRPr="005E503C">
        <w:t>agreement</w:t>
      </w:r>
      <w:r w:rsidRPr="005E503C">
        <w:t>.</w:t>
      </w:r>
    </w:p>
    <w:p w14:paraId="4AB992E7" w14:textId="250F0F11" w:rsidR="00144851" w:rsidRPr="005E503C" w:rsidRDefault="0022081B" w:rsidP="001D16F4">
      <w:pPr>
        <w:pStyle w:val="base-text-paragraph"/>
      </w:pPr>
      <w:r w:rsidRPr="005E503C">
        <w:t xml:space="preserve">The </w:t>
      </w:r>
      <w:r w:rsidR="009D760D" w:rsidRPr="005E503C">
        <w:t xml:space="preserve">second incentive </w:t>
      </w:r>
      <w:r w:rsidR="00CB7099" w:rsidRPr="005E503C">
        <w:t xml:space="preserve">is targeted at </w:t>
      </w:r>
      <w:r w:rsidR="002D1308" w:rsidRPr="005E503C">
        <w:t>Australian residents</w:t>
      </w:r>
      <w:r w:rsidR="00F35B78" w:rsidRPr="005E503C">
        <w:t xml:space="preserve"> to allow them to</w:t>
      </w:r>
      <w:r w:rsidR="00C93DAE" w:rsidRPr="005E503C">
        <w:t xml:space="preserve"> apply</w:t>
      </w:r>
      <w:r w:rsidR="00F45D29" w:rsidRPr="005E503C">
        <w:t xml:space="preserve"> </w:t>
      </w:r>
      <w:r w:rsidR="002D1308" w:rsidRPr="005E503C">
        <w:t xml:space="preserve">the </w:t>
      </w:r>
      <w:r w:rsidR="00047708" w:rsidRPr="005E503C">
        <w:t xml:space="preserve">related </w:t>
      </w:r>
      <w:r w:rsidR="002D1308" w:rsidRPr="005E503C">
        <w:t>CGT measure (</w:t>
      </w:r>
      <w:r w:rsidR="00F11049" w:rsidRPr="005E503C">
        <w:t xml:space="preserve">see </w:t>
      </w:r>
      <w:r w:rsidR="002D1308" w:rsidRPr="005E503C">
        <w:t xml:space="preserve">Chapter </w:t>
      </w:r>
      <w:r w:rsidR="00F34B24" w:rsidRPr="005E503C">
        <w:t>1</w:t>
      </w:r>
      <w:r w:rsidR="002D1308" w:rsidRPr="005E503C">
        <w:t>)</w:t>
      </w:r>
      <w:r w:rsidR="00C93DAE" w:rsidRPr="005E503C">
        <w:t xml:space="preserve">. Under </w:t>
      </w:r>
      <w:r w:rsidR="001D16F4" w:rsidRPr="005E503C">
        <w:t>that</w:t>
      </w:r>
      <w:r w:rsidR="00F35B78" w:rsidRPr="005E503C">
        <w:t xml:space="preserve"> </w:t>
      </w:r>
      <w:r w:rsidR="00C93DAE" w:rsidRPr="005E503C">
        <w:t>measure a</w:t>
      </w:r>
      <w:r w:rsidR="002D1308" w:rsidRPr="005E503C">
        <w:t xml:space="preserve">n additional affordable housing capital gains discount of </w:t>
      </w:r>
      <w:r w:rsidR="00BB0D7D" w:rsidRPr="005E503C">
        <w:t xml:space="preserve">up to </w:t>
      </w:r>
      <w:r w:rsidR="002D1308" w:rsidRPr="005E503C">
        <w:t xml:space="preserve">10 per cent </w:t>
      </w:r>
      <w:r w:rsidR="00C93DAE" w:rsidRPr="005E503C">
        <w:t xml:space="preserve">applies </w:t>
      </w:r>
      <w:r w:rsidR="00BB0D7D" w:rsidRPr="005E503C">
        <w:t>to the extent</w:t>
      </w:r>
      <w:r w:rsidR="002D1308" w:rsidRPr="005E503C">
        <w:t xml:space="preserve"> a fund payment </w:t>
      </w:r>
      <w:r w:rsidR="00BB0D7D" w:rsidRPr="005E503C">
        <w:t>includes</w:t>
      </w:r>
      <w:r w:rsidR="002D1308" w:rsidRPr="005E503C">
        <w:t xml:space="preserve"> a capital gain realised </w:t>
      </w:r>
      <w:r w:rsidR="00C93DAE" w:rsidRPr="005E503C">
        <w:t>if</w:t>
      </w:r>
      <w:r w:rsidR="002D1308" w:rsidRPr="005E503C">
        <w:t xml:space="preserve"> a CGT event </w:t>
      </w:r>
      <w:r w:rsidR="00C93DAE" w:rsidRPr="005E503C">
        <w:t xml:space="preserve">occurs </w:t>
      </w:r>
      <w:r w:rsidR="002D1308" w:rsidRPr="005E503C">
        <w:t xml:space="preserve">to a dwelling that the MIT used to provide </w:t>
      </w:r>
      <w:r w:rsidR="002D1308" w:rsidRPr="005E503C">
        <w:lastRenderedPageBreak/>
        <w:t xml:space="preserve">affordable housing </w:t>
      </w:r>
      <w:r w:rsidR="00C93DAE" w:rsidRPr="005E503C">
        <w:t>for</w:t>
      </w:r>
      <w:r w:rsidR="002D1308" w:rsidRPr="005E503C">
        <w:t xml:space="preserve"> a </w:t>
      </w:r>
      <w:r w:rsidR="005744F5" w:rsidRPr="005E503C">
        <w:t xml:space="preserve">total </w:t>
      </w:r>
      <w:r w:rsidR="002D1308" w:rsidRPr="005E503C">
        <w:t xml:space="preserve">period </w:t>
      </w:r>
      <w:r w:rsidR="005744F5" w:rsidRPr="005E503C">
        <w:t xml:space="preserve">or periods </w:t>
      </w:r>
      <w:r w:rsidR="002D1308" w:rsidRPr="005E503C">
        <w:t>of at least 1</w:t>
      </w:r>
      <w:r w:rsidR="001A1A1B" w:rsidRPr="005E503C">
        <w:t>,</w:t>
      </w:r>
      <w:r w:rsidR="002D1308" w:rsidRPr="005E503C">
        <w:t>095 days (3</w:t>
      </w:r>
      <w:r w:rsidR="005744F5" w:rsidRPr="005E503C">
        <w:t> </w:t>
      </w:r>
      <w:r w:rsidR="002D1308" w:rsidRPr="005E503C">
        <w:t>years).</w:t>
      </w:r>
      <w:r w:rsidR="002D1308" w:rsidRPr="005E503C" w:rsidDel="002D1308">
        <w:t xml:space="preserve"> </w:t>
      </w:r>
    </w:p>
    <w:p w14:paraId="7E86C03F" w14:textId="1E1FA7B8" w:rsidR="00F11049" w:rsidRPr="005E503C" w:rsidRDefault="00CD74C9" w:rsidP="001D16F4">
      <w:pPr>
        <w:pStyle w:val="base-text-paragraph"/>
      </w:pPr>
      <w:r w:rsidRPr="005E503C">
        <w:t>Consistent</w:t>
      </w:r>
      <w:r w:rsidR="00F11049" w:rsidRPr="005E503C">
        <w:t xml:space="preserve"> with the CGT measure</w:t>
      </w:r>
      <w:r w:rsidRPr="005E503C">
        <w:t>,</w:t>
      </w:r>
      <w:r w:rsidR="00CE6BD8" w:rsidRPr="005E503C">
        <w:t xml:space="preserve"> dwelling</w:t>
      </w:r>
      <w:r w:rsidRPr="005E503C">
        <w:t>s</w:t>
      </w:r>
      <w:r w:rsidR="00CE6BD8" w:rsidRPr="005E503C">
        <w:t xml:space="preserve"> used to provide affordable housing (see paragraphs 1.26 to 1.48) must satisfy the property management condition. This means that</w:t>
      </w:r>
      <w:r w:rsidR="00F11049" w:rsidRPr="005E503C">
        <w:t xml:space="preserve"> the tenancy or occupancy of the dwelling invested in by a MIT to provide affordable housing must be exclusively managed by an eligible community housing provider (see paragraphs 1.</w:t>
      </w:r>
      <w:r w:rsidR="00CE6BD8" w:rsidRPr="005E503C">
        <w:t>35</w:t>
      </w:r>
      <w:r w:rsidR="00F11049" w:rsidRPr="005E503C">
        <w:t xml:space="preserve"> to 1.</w:t>
      </w:r>
      <w:r w:rsidR="00CE6BD8" w:rsidRPr="005E503C">
        <w:t>40</w:t>
      </w:r>
      <w:r w:rsidR="00F11049" w:rsidRPr="005E503C">
        <w:t xml:space="preserve"> of Chapter 1). </w:t>
      </w:r>
    </w:p>
    <w:p w14:paraId="4C458F8B" w14:textId="77777777" w:rsidR="00144851" w:rsidRPr="005E503C" w:rsidRDefault="00144851" w:rsidP="00B17774">
      <w:pPr>
        <w:pStyle w:val="Heading2with18pointafter"/>
      </w:pPr>
      <w:r w:rsidRPr="005E503C">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144851" w:rsidRPr="005E503C" w14:paraId="0AA7F9B4" w14:textId="77777777" w:rsidTr="00247944">
        <w:trPr>
          <w:tblHeader/>
        </w:trPr>
        <w:tc>
          <w:tcPr>
            <w:tcW w:w="3275" w:type="dxa"/>
          </w:tcPr>
          <w:p w14:paraId="23A0A95B" w14:textId="77777777" w:rsidR="00144851" w:rsidRPr="005E503C" w:rsidRDefault="00144851" w:rsidP="005E44CC">
            <w:pPr>
              <w:pStyle w:val="tableheaderwithintable"/>
              <w:rPr>
                <w:lang w:val="en-US" w:eastAsia="en-US"/>
              </w:rPr>
            </w:pPr>
            <w:r w:rsidRPr="005E503C">
              <w:rPr>
                <w:lang w:val="en-US" w:eastAsia="en-US"/>
              </w:rPr>
              <w:t>New law</w:t>
            </w:r>
          </w:p>
        </w:tc>
        <w:tc>
          <w:tcPr>
            <w:tcW w:w="3276" w:type="dxa"/>
          </w:tcPr>
          <w:p w14:paraId="658DC413" w14:textId="77777777" w:rsidR="00144851" w:rsidRPr="005E503C" w:rsidRDefault="00144851" w:rsidP="005E44CC">
            <w:pPr>
              <w:pStyle w:val="tableheaderwithintable"/>
              <w:rPr>
                <w:lang w:val="en-US" w:eastAsia="en-US"/>
              </w:rPr>
            </w:pPr>
            <w:r w:rsidRPr="005E503C">
              <w:rPr>
                <w:lang w:val="en-US" w:eastAsia="en-US"/>
              </w:rPr>
              <w:t>Current law</w:t>
            </w:r>
          </w:p>
        </w:tc>
      </w:tr>
      <w:tr w:rsidR="00042CDB" w:rsidRPr="005E503C" w14:paraId="10BE709D" w14:textId="77777777" w:rsidTr="00BB0D7D">
        <w:tc>
          <w:tcPr>
            <w:tcW w:w="6551" w:type="dxa"/>
            <w:gridSpan w:val="2"/>
          </w:tcPr>
          <w:p w14:paraId="025BA465" w14:textId="49C2208C" w:rsidR="00042CDB" w:rsidRPr="005E503C" w:rsidRDefault="002F2518" w:rsidP="00C31D29">
            <w:pPr>
              <w:pStyle w:val="tabletext"/>
              <w:jc w:val="center"/>
              <w:rPr>
                <w:b/>
                <w:lang w:val="en-US" w:eastAsia="en-US"/>
              </w:rPr>
            </w:pPr>
            <w:r w:rsidRPr="005E503C">
              <w:rPr>
                <w:b/>
                <w:lang w:val="en-US" w:eastAsia="en-US"/>
              </w:rPr>
              <w:t>MIT investment in dwellings that are residential premises</w:t>
            </w:r>
          </w:p>
        </w:tc>
      </w:tr>
      <w:tr w:rsidR="00F21A71" w:rsidRPr="005E503C" w14:paraId="0F1B761A" w14:textId="77777777" w:rsidTr="005E44CC">
        <w:tc>
          <w:tcPr>
            <w:tcW w:w="3275" w:type="dxa"/>
          </w:tcPr>
          <w:p w14:paraId="72883709" w14:textId="575B2199" w:rsidR="00F10CFB" w:rsidRPr="005E503C" w:rsidRDefault="004E1550" w:rsidP="004E1550">
            <w:pPr>
              <w:pStyle w:val="tabletext"/>
              <w:rPr>
                <w:lang w:val="en-US" w:eastAsia="en-US"/>
              </w:rPr>
            </w:pPr>
            <w:r w:rsidRPr="005E503C">
              <w:rPr>
                <w:lang w:val="en-US" w:eastAsia="en-US"/>
              </w:rPr>
              <w:t xml:space="preserve">Trusts that invest in dwellings that are residential premises </w:t>
            </w:r>
            <w:r w:rsidR="00630225" w:rsidRPr="005E503C">
              <w:rPr>
                <w:lang w:val="en-US" w:eastAsia="en-US"/>
              </w:rPr>
              <w:t xml:space="preserve">but not commercial residential premises </w:t>
            </w:r>
            <w:r w:rsidRPr="005E503C">
              <w:rPr>
                <w:lang w:val="en-US" w:eastAsia="en-US"/>
              </w:rPr>
              <w:t>can be MITs if</w:t>
            </w:r>
            <w:r w:rsidR="00F10CFB" w:rsidRPr="005E503C">
              <w:rPr>
                <w:lang w:val="en-US" w:eastAsia="en-US"/>
              </w:rPr>
              <w:t>:</w:t>
            </w:r>
          </w:p>
          <w:p w14:paraId="62B3E582" w14:textId="4AFEAD62" w:rsidR="00630225" w:rsidRPr="005E503C" w:rsidRDefault="004E1550" w:rsidP="00247944">
            <w:pPr>
              <w:pStyle w:val="tabledotpoint"/>
              <w:rPr>
                <w:lang w:val="en-US" w:eastAsia="en-US"/>
              </w:rPr>
            </w:pPr>
            <w:r w:rsidRPr="005E503C">
              <w:rPr>
                <w:lang w:val="en-US" w:eastAsia="en-US"/>
              </w:rPr>
              <w:t xml:space="preserve">the </w:t>
            </w:r>
            <w:r w:rsidR="00A1767A" w:rsidRPr="005E503C">
              <w:rPr>
                <w:lang w:val="en-US" w:eastAsia="en-US"/>
              </w:rPr>
              <w:t xml:space="preserve">dwelling is used </w:t>
            </w:r>
            <w:r w:rsidR="00A1767A" w:rsidRPr="005E503C">
              <w:t xml:space="preserve">for the purpose, or primarily for the purpose, of deriving rent from affordable housing; </w:t>
            </w:r>
          </w:p>
          <w:p w14:paraId="2A0853B6" w14:textId="0AEA2FA2" w:rsidR="00A1767A" w:rsidRPr="005E503C" w:rsidRDefault="00630225" w:rsidP="00247944">
            <w:pPr>
              <w:pStyle w:val="tabledotpoint"/>
              <w:rPr>
                <w:lang w:val="en-US" w:eastAsia="en-US"/>
              </w:rPr>
            </w:pPr>
            <w:r w:rsidRPr="005E503C">
              <w:t xml:space="preserve">they are constructing, altering, improving or repairing the dwelling to use </w:t>
            </w:r>
            <w:r w:rsidR="00CC7BE6" w:rsidRPr="005E503C">
              <w:t>i</w:t>
            </w:r>
            <w:r w:rsidRPr="005E503C">
              <w:t>t to later provide affordable housing;</w:t>
            </w:r>
            <w:r w:rsidR="005134D1" w:rsidRPr="005E503C">
              <w:t xml:space="preserve"> </w:t>
            </w:r>
          </w:p>
          <w:p w14:paraId="0B3A51A7" w14:textId="46166DB2" w:rsidR="00630225" w:rsidRPr="005E503C" w:rsidRDefault="00630225" w:rsidP="00247944">
            <w:pPr>
              <w:pStyle w:val="tabledotpoint"/>
              <w:rPr>
                <w:lang w:val="en-US" w:eastAsia="en-US"/>
              </w:rPr>
            </w:pPr>
            <w:r w:rsidRPr="005E503C">
              <w:rPr>
                <w:lang w:val="en-US" w:eastAsia="en-US"/>
              </w:rPr>
              <w:t>they are preparing the dwelling for disposal immediately after having used it to provide affordable housing</w:t>
            </w:r>
            <w:r w:rsidR="00CC7BE6" w:rsidRPr="005E503C">
              <w:rPr>
                <w:lang w:val="en-US" w:eastAsia="en-US"/>
              </w:rPr>
              <w:t xml:space="preserve">; </w:t>
            </w:r>
            <w:r w:rsidR="005134D1" w:rsidRPr="005E503C">
              <w:rPr>
                <w:lang w:val="en-US" w:eastAsia="en-US"/>
              </w:rPr>
              <w:t>or</w:t>
            </w:r>
          </w:p>
          <w:p w14:paraId="6D14D122" w14:textId="75E571ED" w:rsidR="00F21A71" w:rsidRPr="005E503C" w:rsidRDefault="004E1550" w:rsidP="004D31E9">
            <w:pPr>
              <w:pStyle w:val="tabledotpoint"/>
              <w:rPr>
                <w:lang w:val="en-US" w:eastAsia="en-US"/>
              </w:rPr>
            </w:pPr>
            <w:proofErr w:type="gramStart"/>
            <w:r w:rsidRPr="005E503C">
              <w:rPr>
                <w:lang w:val="en-US" w:eastAsia="en-US"/>
              </w:rPr>
              <w:t>the</w:t>
            </w:r>
            <w:proofErr w:type="gramEnd"/>
            <w:r w:rsidRPr="005E503C">
              <w:rPr>
                <w:lang w:val="en-US" w:eastAsia="en-US"/>
              </w:rPr>
              <w:t xml:space="preserve"> use of the dwelling as residential premises is incidental to the earning of other income</w:t>
            </w:r>
            <w:r w:rsidR="004D31E9" w:rsidRPr="005E503C">
              <w:rPr>
                <w:lang w:val="en-US" w:eastAsia="en-US"/>
              </w:rPr>
              <w:t xml:space="preserve"> (that is income from eligible investment business)</w:t>
            </w:r>
            <w:r w:rsidRPr="005E503C">
              <w:rPr>
                <w:lang w:val="en-US" w:eastAsia="en-US"/>
              </w:rPr>
              <w:t xml:space="preserve"> from the asset of which the dwelling is a part.</w:t>
            </w:r>
          </w:p>
        </w:tc>
        <w:tc>
          <w:tcPr>
            <w:tcW w:w="3276" w:type="dxa"/>
          </w:tcPr>
          <w:p w14:paraId="52A7EC27" w14:textId="60843553" w:rsidR="00F21A71" w:rsidRPr="005E503C" w:rsidRDefault="004E1550" w:rsidP="00700A5D">
            <w:pPr>
              <w:pStyle w:val="tabletext"/>
              <w:rPr>
                <w:lang w:val="en-US" w:eastAsia="en-US"/>
              </w:rPr>
            </w:pPr>
            <w:r w:rsidRPr="005E503C">
              <w:rPr>
                <w:lang w:val="en-US" w:eastAsia="en-US"/>
              </w:rPr>
              <w:t>Th</w:t>
            </w:r>
            <w:r w:rsidR="00A1767A" w:rsidRPr="005E503C">
              <w:rPr>
                <w:lang w:val="en-US" w:eastAsia="en-US"/>
              </w:rPr>
              <w:t>ere</w:t>
            </w:r>
            <w:r w:rsidRPr="005E503C">
              <w:rPr>
                <w:lang w:val="en-US" w:eastAsia="en-US"/>
              </w:rPr>
              <w:t xml:space="preserve"> is uncertainty </w:t>
            </w:r>
            <w:r w:rsidR="00700A5D" w:rsidRPr="005E503C">
              <w:rPr>
                <w:lang w:val="en-US" w:eastAsia="en-US"/>
              </w:rPr>
              <w:t>whether</w:t>
            </w:r>
            <w:r w:rsidRPr="005E503C">
              <w:rPr>
                <w:lang w:val="en-US" w:eastAsia="en-US"/>
              </w:rPr>
              <w:t xml:space="preserve"> MITs can invest in dwellings that are residential premises.</w:t>
            </w:r>
          </w:p>
        </w:tc>
      </w:tr>
      <w:tr w:rsidR="004E1550" w:rsidRPr="005E503C" w14:paraId="4EA181B3" w14:textId="77777777" w:rsidTr="00BF469F">
        <w:tc>
          <w:tcPr>
            <w:tcW w:w="6551" w:type="dxa"/>
            <w:gridSpan w:val="2"/>
          </w:tcPr>
          <w:p w14:paraId="49334316" w14:textId="57A5C248" w:rsidR="004E1550" w:rsidRPr="005E503C" w:rsidRDefault="00510290" w:rsidP="00510290">
            <w:pPr>
              <w:pStyle w:val="tabletext"/>
              <w:jc w:val="center"/>
              <w:rPr>
                <w:lang w:val="en-US" w:eastAsia="en-US"/>
              </w:rPr>
            </w:pPr>
            <w:r w:rsidRPr="005E503C">
              <w:rPr>
                <w:b/>
                <w:lang w:val="en-US" w:eastAsia="en-US"/>
              </w:rPr>
              <w:t>W</w:t>
            </w:r>
            <w:r w:rsidR="00E0202C" w:rsidRPr="005E503C">
              <w:rPr>
                <w:b/>
                <w:lang w:val="en-US" w:eastAsia="en-US"/>
              </w:rPr>
              <w:t xml:space="preserve">ithholding tax rate </w:t>
            </w:r>
            <w:r w:rsidR="00662160" w:rsidRPr="005E503C">
              <w:rPr>
                <w:b/>
                <w:lang w:val="en-US" w:eastAsia="en-US"/>
              </w:rPr>
              <w:t>—</w:t>
            </w:r>
            <w:r w:rsidR="00E0202C" w:rsidRPr="005E503C">
              <w:rPr>
                <w:b/>
                <w:lang w:val="en-US" w:eastAsia="en-US"/>
              </w:rPr>
              <w:t xml:space="preserve"> Foreign residents of exchange of information countries</w:t>
            </w:r>
          </w:p>
        </w:tc>
      </w:tr>
      <w:tr w:rsidR="00F21A71" w:rsidRPr="005E503C" w14:paraId="3ECA70F1" w14:textId="77777777" w:rsidTr="005E44CC">
        <w:tc>
          <w:tcPr>
            <w:tcW w:w="3275" w:type="dxa"/>
          </w:tcPr>
          <w:p w14:paraId="34CFB9C3" w14:textId="6D686E7C" w:rsidR="004A4A2D" w:rsidRPr="005E503C" w:rsidRDefault="004A4A2D" w:rsidP="004A4A2D">
            <w:pPr>
              <w:pStyle w:val="tabletext"/>
              <w:rPr>
                <w:lang w:val="en-US" w:eastAsia="en-US"/>
              </w:rPr>
            </w:pPr>
            <w:r w:rsidRPr="005E503C">
              <w:rPr>
                <w:lang w:val="en-US" w:eastAsia="en-US"/>
              </w:rPr>
              <w:t>A</w:t>
            </w:r>
            <w:r w:rsidRPr="005E503C" w:rsidDel="00510290">
              <w:rPr>
                <w:lang w:val="en-US" w:eastAsia="en-US"/>
              </w:rPr>
              <w:t xml:space="preserve"> </w:t>
            </w:r>
            <w:r w:rsidRPr="005E503C">
              <w:rPr>
                <w:lang w:val="en-US" w:eastAsia="en-US"/>
              </w:rPr>
              <w:t xml:space="preserve">withholding tax rate of 15 per cent applies to fund payments paid or attributed to foreign residents who are residents of exchange of information </w:t>
            </w:r>
            <w:r w:rsidRPr="005E503C">
              <w:rPr>
                <w:lang w:val="en-US" w:eastAsia="en-US"/>
              </w:rPr>
              <w:lastRenderedPageBreak/>
              <w:t xml:space="preserve">countries to the extent that they are: </w:t>
            </w:r>
          </w:p>
          <w:p w14:paraId="631B6989" w14:textId="77777777" w:rsidR="004A4A2D" w:rsidRPr="005E503C" w:rsidRDefault="004A4A2D" w:rsidP="004A4A2D">
            <w:pPr>
              <w:pStyle w:val="tabledotpoint2"/>
              <w:rPr>
                <w:lang w:val="en-US" w:eastAsia="en-US"/>
              </w:rPr>
            </w:pPr>
            <w:r w:rsidRPr="005E503C">
              <w:rPr>
                <w:lang w:val="en-US" w:eastAsia="en-US"/>
              </w:rPr>
              <w:t xml:space="preserve">affordable housing rental income; or </w:t>
            </w:r>
          </w:p>
          <w:p w14:paraId="2DAC9D77" w14:textId="20DDF207" w:rsidR="004A4A2D" w:rsidRPr="005E503C" w:rsidRDefault="004A4A2D" w:rsidP="004A4A2D">
            <w:pPr>
              <w:pStyle w:val="tabledotpoint2"/>
              <w:rPr>
                <w:lang w:val="en-US" w:eastAsia="en-US"/>
              </w:rPr>
            </w:pPr>
            <w:proofErr w:type="gramStart"/>
            <w:r w:rsidRPr="005E503C">
              <w:t>gains</w:t>
            </w:r>
            <w:proofErr w:type="gramEnd"/>
            <w:r w:rsidRPr="005E503C">
              <w:t xml:space="preserve"> realised from dwellings that the MIT has used to provide affordable housing for a period </w:t>
            </w:r>
            <w:r w:rsidR="00DD0B8E" w:rsidRPr="005E503C">
              <w:t xml:space="preserve">or periods </w:t>
            </w:r>
            <w:r w:rsidRPr="005E503C">
              <w:t xml:space="preserve">of at least </w:t>
            </w:r>
            <w:r w:rsidR="00DD0B8E" w:rsidRPr="005E503C">
              <w:t>3,650 days (</w:t>
            </w:r>
            <w:r w:rsidRPr="005E503C">
              <w:t>10 years</w:t>
            </w:r>
            <w:r w:rsidR="00DD0B8E" w:rsidRPr="005E503C">
              <w:t>)</w:t>
            </w:r>
            <w:r w:rsidRPr="005E503C">
              <w:t>.</w:t>
            </w:r>
          </w:p>
          <w:p w14:paraId="24F9A0A6" w14:textId="1DFEA03A" w:rsidR="00F21A71" w:rsidRPr="005E503C" w:rsidRDefault="004A4A2D" w:rsidP="00510290">
            <w:pPr>
              <w:pStyle w:val="tabletext"/>
              <w:rPr>
                <w:lang w:val="en-US" w:eastAsia="en-US"/>
              </w:rPr>
            </w:pPr>
            <w:r w:rsidRPr="005E503C">
              <w:rPr>
                <w:lang w:val="en-US" w:eastAsia="en-US"/>
              </w:rPr>
              <w:t>An effective</w:t>
            </w:r>
            <w:r w:rsidRPr="005E503C" w:rsidDel="00510290">
              <w:rPr>
                <w:lang w:val="en-US" w:eastAsia="en-US"/>
              </w:rPr>
              <w:t xml:space="preserve"> </w:t>
            </w:r>
            <w:r w:rsidRPr="005E503C">
              <w:rPr>
                <w:lang w:val="en-US" w:eastAsia="en-US"/>
              </w:rPr>
              <w:t>withholding tax rate of 30 per cent applies to fund payments paid or attributed to foreign residents who are residents of exchange of information countries</w:t>
            </w:r>
            <w:r w:rsidR="009C0DA3" w:rsidRPr="005E503C">
              <w:rPr>
                <w:lang w:val="en-US" w:eastAsia="en-US"/>
              </w:rPr>
              <w:t>. The 30 per</w:t>
            </w:r>
            <w:r w:rsidRPr="005E503C">
              <w:rPr>
                <w:lang w:val="en-US" w:eastAsia="en-US"/>
              </w:rPr>
              <w:t xml:space="preserve"> </w:t>
            </w:r>
            <w:r w:rsidR="009C0DA3" w:rsidRPr="005E503C">
              <w:rPr>
                <w:lang w:val="en-US" w:eastAsia="en-US"/>
              </w:rPr>
              <w:t>cent rates applies to those payments</w:t>
            </w:r>
            <w:r w:rsidRPr="005E503C">
              <w:rPr>
                <w:lang w:val="en-US" w:eastAsia="en-US"/>
              </w:rPr>
              <w:t xml:space="preserve"> to the extent that they are gains </w:t>
            </w:r>
            <w:proofErr w:type="spellStart"/>
            <w:r w:rsidRPr="005E503C">
              <w:rPr>
                <w:lang w:val="en-US" w:eastAsia="en-US"/>
              </w:rPr>
              <w:t>realised</w:t>
            </w:r>
            <w:proofErr w:type="spellEnd"/>
            <w:r w:rsidRPr="005E503C">
              <w:rPr>
                <w:lang w:val="en-US" w:eastAsia="en-US"/>
              </w:rPr>
              <w:t xml:space="preserve"> from dwellings that are residential premises that the MIT has used to provide affordable housing but that have not been used to provide affordable housing </w:t>
            </w:r>
            <w:r w:rsidR="002D6E28" w:rsidRPr="005E503C">
              <w:rPr>
                <w:lang w:val="en-US" w:eastAsia="en-US"/>
              </w:rPr>
              <w:t xml:space="preserve">for </w:t>
            </w:r>
            <w:r w:rsidR="002D6E28" w:rsidRPr="005E503C">
              <w:t xml:space="preserve">a total period or periods of at least </w:t>
            </w:r>
            <w:r w:rsidR="00320EDD" w:rsidRPr="005E503C">
              <w:t xml:space="preserve">3,650 days (that is </w:t>
            </w:r>
            <w:r w:rsidR="002D6E28" w:rsidRPr="005E503C">
              <w:t>10 years</w:t>
            </w:r>
            <w:r w:rsidR="00320EDD" w:rsidRPr="005E503C">
              <w:t>)</w:t>
            </w:r>
            <w:r w:rsidR="002D6E28" w:rsidRPr="005E503C">
              <w:t>.</w:t>
            </w:r>
            <w:r w:rsidR="002D6E28" w:rsidRPr="005E503C" w:rsidDel="002D6E28">
              <w:rPr>
                <w:lang w:val="en-US" w:eastAsia="en-US"/>
              </w:rPr>
              <w:t xml:space="preserve"> </w:t>
            </w:r>
          </w:p>
        </w:tc>
        <w:tc>
          <w:tcPr>
            <w:tcW w:w="3276" w:type="dxa"/>
          </w:tcPr>
          <w:p w14:paraId="1794B402" w14:textId="01D99FF8" w:rsidR="00F21A71" w:rsidRPr="005E503C" w:rsidRDefault="004A4A2D" w:rsidP="00510290">
            <w:pPr>
              <w:pStyle w:val="tabletext"/>
              <w:rPr>
                <w:lang w:val="en-US" w:eastAsia="en-US"/>
              </w:rPr>
            </w:pPr>
            <w:r w:rsidRPr="005E503C">
              <w:rPr>
                <w:lang w:val="en-US" w:eastAsia="en-US"/>
              </w:rPr>
              <w:lastRenderedPageBreak/>
              <w:t>A</w:t>
            </w:r>
            <w:r w:rsidRPr="005E503C" w:rsidDel="00510290">
              <w:rPr>
                <w:lang w:val="en-US" w:eastAsia="en-US"/>
              </w:rPr>
              <w:t xml:space="preserve"> </w:t>
            </w:r>
            <w:r w:rsidRPr="005E503C">
              <w:rPr>
                <w:lang w:val="en-US" w:eastAsia="en-US"/>
              </w:rPr>
              <w:t xml:space="preserve">withholding tax rate of 15 per cent applies to fund payments paid or attributed to foreign residents who are residents of exchange of information </w:t>
            </w:r>
            <w:r w:rsidRPr="005E503C">
              <w:rPr>
                <w:lang w:val="en-US" w:eastAsia="en-US"/>
              </w:rPr>
              <w:lastRenderedPageBreak/>
              <w:t>countries.</w:t>
            </w:r>
          </w:p>
        </w:tc>
      </w:tr>
    </w:tbl>
    <w:p w14:paraId="74F2FA2C" w14:textId="77777777" w:rsidR="00144851" w:rsidRPr="005E503C" w:rsidRDefault="00144851" w:rsidP="00B17774">
      <w:pPr>
        <w:pStyle w:val="Heading2"/>
      </w:pPr>
      <w:r w:rsidRPr="005E503C">
        <w:lastRenderedPageBreak/>
        <w:t>Detailed explanation of new law</w:t>
      </w:r>
    </w:p>
    <w:p w14:paraId="142BCACE" w14:textId="501DE7DB" w:rsidR="00E04E22" w:rsidRPr="005E503C" w:rsidRDefault="00D65C21" w:rsidP="00C731CB">
      <w:pPr>
        <w:pStyle w:val="base-text-paragraph"/>
        <w:numPr>
          <w:ilvl w:val="1"/>
          <w:numId w:val="4"/>
        </w:numPr>
      </w:pPr>
      <w:r w:rsidRPr="005E503C">
        <w:t xml:space="preserve">Schedule </w:t>
      </w:r>
      <w:r w:rsidR="009E0050" w:rsidRPr="005E503C">
        <w:t>2</w:t>
      </w:r>
      <w:r w:rsidRPr="005E503C">
        <w:t xml:space="preserve"> to this Bill and the </w:t>
      </w:r>
      <w:r w:rsidR="0037768B" w:rsidRPr="005E503C">
        <w:t>ITMIT</w:t>
      </w:r>
      <w:r w:rsidRPr="005E503C">
        <w:t xml:space="preserve"> Bill 2017</w:t>
      </w:r>
      <w:r w:rsidRPr="005E503C">
        <w:rPr>
          <w:i/>
        </w:rPr>
        <w:t xml:space="preserve"> </w:t>
      </w:r>
      <w:r w:rsidRPr="005E503C">
        <w:t xml:space="preserve">make amendments to enable MITs to invest in affordable housing </w:t>
      </w:r>
      <w:r w:rsidR="004F7B0C" w:rsidRPr="005E503C">
        <w:t xml:space="preserve">and provide a concessional 15 per cent withholding tax rate for fund payments to the extent that they </w:t>
      </w:r>
      <w:r w:rsidR="00611C46" w:rsidRPr="005E503C">
        <w:t>include</w:t>
      </w:r>
      <w:r w:rsidR="004F7B0C" w:rsidRPr="005E503C">
        <w:t xml:space="preserve"> affordable housing income.</w:t>
      </w:r>
    </w:p>
    <w:p w14:paraId="4A368E7A" w14:textId="3CD0C593" w:rsidR="003703F6" w:rsidRPr="005E503C" w:rsidRDefault="00250017" w:rsidP="00250017">
      <w:pPr>
        <w:pStyle w:val="Heading3"/>
      </w:pPr>
      <w:r w:rsidRPr="005E503C">
        <w:t>Enabling MITs to invest in affordable housing</w:t>
      </w:r>
    </w:p>
    <w:p w14:paraId="750D7BA8" w14:textId="0294F20A" w:rsidR="00596136" w:rsidRPr="005E503C" w:rsidRDefault="00D368AE" w:rsidP="00C731CB">
      <w:pPr>
        <w:pStyle w:val="base-text-paragraph"/>
        <w:numPr>
          <w:ilvl w:val="1"/>
          <w:numId w:val="4"/>
        </w:numPr>
      </w:pPr>
      <w:r w:rsidRPr="005E503C">
        <w:t xml:space="preserve">Schedule </w:t>
      </w:r>
      <w:r w:rsidR="007B48B4" w:rsidRPr="005E503C">
        <w:t>2</w:t>
      </w:r>
      <w:r w:rsidRPr="005E503C">
        <w:t xml:space="preserve"> </w:t>
      </w:r>
      <w:r w:rsidR="00340AF1" w:rsidRPr="005E503C">
        <w:t xml:space="preserve">of this Bill </w:t>
      </w:r>
      <w:r w:rsidR="00826F87" w:rsidRPr="005E503C">
        <w:t>makes amendments to enable MITs to invest in affordable housing</w:t>
      </w:r>
      <w:r w:rsidR="00826F87" w:rsidRPr="005E503C" w:rsidDel="00442447">
        <w:t xml:space="preserve"> </w:t>
      </w:r>
      <w:r w:rsidR="00826F87" w:rsidRPr="005E503C">
        <w:t>subject to eligibility conditions</w:t>
      </w:r>
      <w:r w:rsidR="00FC2BF9" w:rsidRPr="005E503C">
        <w:t xml:space="preserve">. </w:t>
      </w:r>
      <w:r w:rsidR="00ED2C19" w:rsidRPr="005E503C">
        <w:t xml:space="preserve">Some consequential amendments are also made to ensure </w:t>
      </w:r>
      <w:r w:rsidRPr="005E503C">
        <w:t xml:space="preserve">that </w:t>
      </w:r>
      <w:r w:rsidR="00ED2C19" w:rsidRPr="005E503C">
        <w:t xml:space="preserve">the </w:t>
      </w:r>
      <w:r w:rsidRPr="005E503C">
        <w:t>tax</w:t>
      </w:r>
      <w:r w:rsidR="00ED2C19" w:rsidRPr="005E503C">
        <w:t xml:space="preserve"> law operate</w:t>
      </w:r>
      <w:r w:rsidRPr="005E503C">
        <w:t>s</w:t>
      </w:r>
      <w:r w:rsidR="00ED2C19" w:rsidRPr="005E503C">
        <w:t xml:space="preserve"> as intended.</w:t>
      </w:r>
    </w:p>
    <w:p w14:paraId="4D179373" w14:textId="0AB1EE9F" w:rsidR="00CD247B" w:rsidRPr="005E503C" w:rsidRDefault="00ED2C19" w:rsidP="00805E25">
      <w:pPr>
        <w:pStyle w:val="Heading4"/>
      </w:pPr>
      <w:r w:rsidRPr="005E503C">
        <w:t xml:space="preserve">Residential premises a </w:t>
      </w:r>
      <w:r w:rsidR="00CD247B" w:rsidRPr="005E503C">
        <w:t xml:space="preserve">trust can invest in and be a MIT </w:t>
      </w:r>
    </w:p>
    <w:p w14:paraId="5099A0C2" w14:textId="7F00F158" w:rsidR="00AA303A" w:rsidRPr="005E503C" w:rsidRDefault="00E768E4" w:rsidP="00C731CB">
      <w:pPr>
        <w:pStyle w:val="base-text-paragraph"/>
        <w:numPr>
          <w:ilvl w:val="1"/>
          <w:numId w:val="4"/>
        </w:numPr>
      </w:pPr>
      <w:r w:rsidRPr="005E503C">
        <w:t xml:space="preserve">A </w:t>
      </w:r>
      <w:r w:rsidR="00DB1636" w:rsidRPr="005E503C">
        <w:t xml:space="preserve">trust </w:t>
      </w:r>
      <w:r w:rsidRPr="005E503C">
        <w:t xml:space="preserve">can </w:t>
      </w:r>
      <w:r w:rsidR="00B478CF" w:rsidRPr="005E503C">
        <w:t xml:space="preserve">own an interest </w:t>
      </w:r>
      <w:r w:rsidRPr="005E503C">
        <w:t xml:space="preserve">in </w:t>
      </w:r>
      <w:r w:rsidR="001F50DB" w:rsidRPr="005E503C">
        <w:t xml:space="preserve">a dwelling </w:t>
      </w:r>
      <w:r w:rsidR="00B478CF" w:rsidRPr="005E503C">
        <w:t xml:space="preserve">or otherwise control such an interest </w:t>
      </w:r>
      <w:r w:rsidR="007B48B4" w:rsidRPr="005E503C">
        <w:t xml:space="preserve">and be a MIT </w:t>
      </w:r>
      <w:r w:rsidR="00B478CF" w:rsidRPr="005E503C">
        <w:t>if</w:t>
      </w:r>
      <w:r w:rsidR="00AA303A" w:rsidRPr="005E503C">
        <w:t>:</w:t>
      </w:r>
      <w:r w:rsidR="001F50DB" w:rsidRPr="005E503C">
        <w:t xml:space="preserve"> </w:t>
      </w:r>
    </w:p>
    <w:p w14:paraId="289FEAB1" w14:textId="55638881" w:rsidR="001F50DB" w:rsidRPr="005E503C" w:rsidRDefault="00AA303A" w:rsidP="000B691E">
      <w:pPr>
        <w:pStyle w:val="dotpoint"/>
      </w:pPr>
      <w:r w:rsidRPr="005E503C">
        <w:t>the dwelling is</w:t>
      </w:r>
      <w:r w:rsidR="001F50DB" w:rsidRPr="005E503C">
        <w:t xml:space="preserve"> </w:t>
      </w:r>
      <w:r w:rsidR="00E768E4" w:rsidRPr="005E503C">
        <w:t xml:space="preserve">residential premises </w:t>
      </w:r>
      <w:r w:rsidRPr="005E503C">
        <w:t xml:space="preserve">that are not </w:t>
      </w:r>
      <w:r w:rsidR="00E768E4" w:rsidRPr="005E503C">
        <w:t>commercial residential premises</w:t>
      </w:r>
      <w:r w:rsidR="001F50DB" w:rsidRPr="005E503C">
        <w:t>; and</w:t>
      </w:r>
    </w:p>
    <w:p w14:paraId="578CE351" w14:textId="0589ECFE" w:rsidR="001F50DB" w:rsidRPr="005E503C" w:rsidRDefault="00AA303A" w:rsidP="001D0ABE">
      <w:pPr>
        <w:pStyle w:val="dotpoint"/>
      </w:pPr>
      <w:proofErr w:type="gramStart"/>
      <w:r w:rsidRPr="005E503C">
        <w:lastRenderedPageBreak/>
        <w:t>the</w:t>
      </w:r>
      <w:proofErr w:type="gramEnd"/>
      <w:r w:rsidRPr="005E503C">
        <w:t xml:space="preserve"> trust </w:t>
      </w:r>
      <w:r w:rsidR="008B40CB" w:rsidRPr="005E503C">
        <w:t xml:space="preserve">at all times meets an eligibility condition </w:t>
      </w:r>
      <w:r w:rsidR="001F50DB" w:rsidRPr="005E503C">
        <w:t>(see paragraph 2.</w:t>
      </w:r>
      <w:r w:rsidR="00B2386D" w:rsidRPr="005E503C">
        <w:t>22</w:t>
      </w:r>
      <w:r w:rsidR="001F50DB" w:rsidRPr="005E503C">
        <w:t>)</w:t>
      </w:r>
      <w:r w:rsidR="00FC25E7" w:rsidRPr="005E503C">
        <w:t>.</w:t>
      </w:r>
    </w:p>
    <w:p w14:paraId="0FFEBC56" w14:textId="35D01255" w:rsidR="00ED2C19" w:rsidRPr="005E503C" w:rsidRDefault="00E768E4">
      <w:pPr>
        <w:pStyle w:val="base-text-paragraphnonumbers"/>
        <w:rPr>
          <w:rStyle w:val="Referencingstyle"/>
        </w:rPr>
      </w:pPr>
      <w:r w:rsidRPr="005E503C">
        <w:rPr>
          <w:rStyle w:val="Referencingstyle"/>
        </w:rPr>
        <w:t xml:space="preserve">[Schedule </w:t>
      </w:r>
      <w:r w:rsidR="007B48B4" w:rsidRPr="005E503C">
        <w:rPr>
          <w:rStyle w:val="Referencingstyle"/>
        </w:rPr>
        <w:t>2</w:t>
      </w:r>
      <w:r w:rsidRPr="005E503C">
        <w:rPr>
          <w:rStyle w:val="Referencingstyle"/>
        </w:rPr>
        <w:t>, item</w:t>
      </w:r>
      <w:r w:rsidR="00797CB1" w:rsidRPr="005E503C">
        <w:rPr>
          <w:rStyle w:val="Referencingstyle"/>
        </w:rPr>
        <w:t>s</w:t>
      </w:r>
      <w:r w:rsidRPr="005E503C">
        <w:rPr>
          <w:rStyle w:val="Referencingstyle"/>
        </w:rPr>
        <w:t xml:space="preserve"> </w:t>
      </w:r>
      <w:r w:rsidR="00797CB1" w:rsidRPr="005E503C">
        <w:rPr>
          <w:rStyle w:val="Referencingstyle"/>
        </w:rPr>
        <w:t xml:space="preserve">3 and </w:t>
      </w:r>
      <w:r w:rsidR="007B48B4" w:rsidRPr="005E503C">
        <w:rPr>
          <w:rStyle w:val="Referencingstyle"/>
        </w:rPr>
        <w:t>4</w:t>
      </w:r>
      <w:r w:rsidRPr="005E503C">
        <w:rPr>
          <w:rStyle w:val="Referencingstyle"/>
        </w:rPr>
        <w:t xml:space="preserve">, </w:t>
      </w:r>
      <w:r w:rsidR="00797CB1" w:rsidRPr="005E503C">
        <w:rPr>
          <w:rStyle w:val="Referencingstyle"/>
        </w:rPr>
        <w:t>paragraph 275</w:t>
      </w:r>
      <w:r w:rsidR="00F84953" w:rsidRPr="005E503C">
        <w:rPr>
          <w:rStyle w:val="Referencingstyle"/>
        </w:rPr>
        <w:noBreakHyphen/>
      </w:r>
      <w:proofErr w:type="gramStart"/>
      <w:r w:rsidR="00797CB1" w:rsidRPr="005E503C">
        <w:rPr>
          <w:rStyle w:val="Referencingstyle"/>
        </w:rPr>
        <w:t>10(</w:t>
      </w:r>
      <w:proofErr w:type="gramEnd"/>
      <w:r w:rsidR="00797CB1" w:rsidRPr="005E503C">
        <w:rPr>
          <w:rStyle w:val="Referencingstyle"/>
        </w:rPr>
        <w:t xml:space="preserve">3)(b) and </w:t>
      </w:r>
      <w:r w:rsidR="00080BC1" w:rsidRPr="005E503C">
        <w:rPr>
          <w:rStyle w:val="Referencingstyle"/>
        </w:rPr>
        <w:t xml:space="preserve">subsection </w:t>
      </w:r>
      <w:r w:rsidRPr="005E503C">
        <w:rPr>
          <w:rStyle w:val="Referencingstyle"/>
        </w:rPr>
        <w:t>275</w:t>
      </w:r>
      <w:r w:rsidR="00F84953" w:rsidRPr="005E503C">
        <w:rPr>
          <w:rStyle w:val="Referencingstyle"/>
        </w:rPr>
        <w:noBreakHyphen/>
      </w:r>
      <w:r w:rsidRPr="005E503C">
        <w:rPr>
          <w:rStyle w:val="Referencingstyle"/>
        </w:rPr>
        <w:t>10(4C)]</w:t>
      </w:r>
    </w:p>
    <w:p w14:paraId="3DA13DA4" w14:textId="707AEF17" w:rsidR="00CD291E" w:rsidRPr="005E503C" w:rsidRDefault="00CD291E" w:rsidP="00FD7B60">
      <w:pPr>
        <w:pStyle w:val="base-text-paragraph"/>
      </w:pPr>
      <w:r w:rsidRPr="005E503C">
        <w:t xml:space="preserve">A trust controls an </w:t>
      </w:r>
      <w:r w:rsidR="00A7666B" w:rsidRPr="005E503C">
        <w:t>interest</w:t>
      </w:r>
      <w:r w:rsidRPr="005E503C">
        <w:t xml:space="preserve"> in a dwelling that is residential premises if it controlled or was able to control, directly or indirectly, the affairs or operations of another entity in respect of the own</w:t>
      </w:r>
      <w:r w:rsidR="00A7666B" w:rsidRPr="005E503C">
        <w:t>ership</w:t>
      </w:r>
      <w:r w:rsidRPr="005E503C">
        <w:t xml:space="preserve"> by that other entity of that dwelling. </w:t>
      </w:r>
    </w:p>
    <w:p w14:paraId="439BA95B" w14:textId="205C5641" w:rsidR="00C35E3D" w:rsidRPr="005E503C" w:rsidRDefault="00C35E3D" w:rsidP="00FD7B60">
      <w:pPr>
        <w:pStyle w:val="base-text-paragraph"/>
      </w:pPr>
      <w:r w:rsidRPr="005E503C">
        <w:t xml:space="preserve">The amendment to the </w:t>
      </w:r>
      <w:r w:rsidR="00053C8F" w:rsidRPr="005E503C">
        <w:t xml:space="preserve">rules determining whether a trust is a MIT </w:t>
      </w:r>
      <w:r w:rsidRPr="005E503C">
        <w:t xml:space="preserve">concerning the holding of residential premises does not apply to property that is commercial residential premises. This means that trusts can invest in commercial residential premises and be MITs provided </w:t>
      </w:r>
      <w:r w:rsidRPr="005E503C">
        <w:rPr>
          <w:rStyle w:val="ChapterNameOnly"/>
        </w:rPr>
        <w:t>this investment is primarily for the purpose of deriving rent consistent with the eligible investment business rules.</w:t>
      </w:r>
    </w:p>
    <w:p w14:paraId="7288192E" w14:textId="29B8C576" w:rsidR="008B40CB" w:rsidRPr="005E503C" w:rsidRDefault="008B40CB" w:rsidP="00805E25">
      <w:pPr>
        <w:pStyle w:val="Heading4"/>
      </w:pPr>
      <w:r w:rsidRPr="005E503C">
        <w:t>Eligibility conditions for dwellings that are residential premises (but not commercial residential premises)</w:t>
      </w:r>
    </w:p>
    <w:p w14:paraId="5CB8B297" w14:textId="08F0631A" w:rsidR="008B40CB" w:rsidRPr="005E503C" w:rsidRDefault="008B40CB" w:rsidP="00C731CB">
      <w:pPr>
        <w:pStyle w:val="base-text-paragraph"/>
        <w:numPr>
          <w:ilvl w:val="1"/>
          <w:numId w:val="4"/>
        </w:numPr>
      </w:pPr>
      <w:r w:rsidRPr="005E503C">
        <w:t>The eligibility conditions for dwellings that are residential premises (but not commercial residential premises) are:</w:t>
      </w:r>
    </w:p>
    <w:p w14:paraId="6EBA4A33" w14:textId="7DA5A314" w:rsidR="008B40CB" w:rsidRPr="005E503C" w:rsidRDefault="008B40CB" w:rsidP="008B40CB">
      <w:pPr>
        <w:pStyle w:val="dotpoint"/>
      </w:pPr>
      <w:r w:rsidRPr="005E503C">
        <w:t xml:space="preserve">investing in a dwelling used to provide affordable housing for the purpose or primarily for the purpose of deriving rent; </w:t>
      </w:r>
    </w:p>
    <w:p w14:paraId="727C0331" w14:textId="0DF6346D" w:rsidR="008B40CB" w:rsidRPr="005E503C" w:rsidRDefault="008B40CB" w:rsidP="008B40CB">
      <w:pPr>
        <w:pStyle w:val="dotpoint"/>
      </w:pPr>
      <w:r w:rsidRPr="005E503C">
        <w:t>constructing, altering</w:t>
      </w:r>
      <w:r w:rsidR="003E460B" w:rsidRPr="005E503C">
        <w:t>, improving</w:t>
      </w:r>
      <w:r w:rsidRPr="005E503C">
        <w:t xml:space="preserve"> or repairing a dwelling to use it </w:t>
      </w:r>
      <w:r w:rsidR="00BC4187" w:rsidRPr="005E503C">
        <w:t>for a later period</w:t>
      </w:r>
      <w:r w:rsidRPr="005E503C">
        <w:t xml:space="preserve"> in the way described in the first dot point</w:t>
      </w:r>
      <w:r w:rsidR="000A5FEA" w:rsidRPr="005E503C">
        <w:t xml:space="preserve"> </w:t>
      </w:r>
      <w:r w:rsidR="00BC4187" w:rsidRPr="005E503C">
        <w:t>in this paragraph</w:t>
      </w:r>
      <w:r w:rsidRPr="005E503C">
        <w:t xml:space="preserve">; </w:t>
      </w:r>
    </w:p>
    <w:p w14:paraId="2C8559DD" w14:textId="2A422DEF" w:rsidR="008B40CB" w:rsidRPr="005E503C" w:rsidRDefault="008B40CB" w:rsidP="008B40CB">
      <w:pPr>
        <w:pStyle w:val="dotpoint"/>
      </w:pPr>
      <w:r w:rsidRPr="005E503C">
        <w:t xml:space="preserve">preparing </w:t>
      </w:r>
      <w:r w:rsidR="001E73CC" w:rsidRPr="005E503C">
        <w:t>a</w:t>
      </w:r>
      <w:r w:rsidRPr="005E503C">
        <w:t xml:space="preserve"> dwelling for disposal immediately after having used the dwelling </w:t>
      </w:r>
      <w:r w:rsidR="00BC4187" w:rsidRPr="005E503C">
        <w:t>previously</w:t>
      </w:r>
      <w:r w:rsidRPr="005E503C">
        <w:t xml:space="preserve"> in the way described in the first dot point</w:t>
      </w:r>
      <w:r w:rsidR="00BC4187" w:rsidRPr="005E503C">
        <w:t xml:space="preserve"> in this paragraph</w:t>
      </w:r>
      <w:r w:rsidRPr="005E503C">
        <w:t>; and</w:t>
      </w:r>
    </w:p>
    <w:p w14:paraId="67D7A85C" w14:textId="47E8E431" w:rsidR="008B40CB" w:rsidRPr="005E503C" w:rsidRDefault="00374FF7" w:rsidP="008B40CB">
      <w:pPr>
        <w:pStyle w:val="dotpoint"/>
      </w:pPr>
      <w:proofErr w:type="gramStart"/>
      <w:r w:rsidRPr="005E503C">
        <w:t>the</w:t>
      </w:r>
      <w:proofErr w:type="gramEnd"/>
      <w:r w:rsidRPr="005E503C">
        <w:t xml:space="preserve"> use of </w:t>
      </w:r>
      <w:r w:rsidR="001E73CC" w:rsidRPr="005E503C">
        <w:t>a</w:t>
      </w:r>
      <w:r w:rsidRPr="005E503C">
        <w:t xml:space="preserve"> dwelling as residential premises is incidental to the earning of other income </w:t>
      </w:r>
      <w:r w:rsidR="00051C36" w:rsidRPr="005E503C">
        <w:t xml:space="preserve">that is eligible investment business </w:t>
      </w:r>
      <w:r w:rsidRPr="005E503C">
        <w:t xml:space="preserve">from the </w:t>
      </w:r>
      <w:r w:rsidR="00BC4187" w:rsidRPr="005E503C">
        <w:t xml:space="preserve">dwelling or an </w:t>
      </w:r>
      <w:r w:rsidRPr="005E503C">
        <w:t>asset of which the dwelling is a part.</w:t>
      </w:r>
    </w:p>
    <w:p w14:paraId="11EB97EB" w14:textId="036DDEA5" w:rsidR="008B40CB" w:rsidRPr="005E503C" w:rsidRDefault="008A4DA3" w:rsidP="008B40CB">
      <w:pPr>
        <w:pStyle w:val="base-text-paragraph"/>
        <w:numPr>
          <w:ilvl w:val="0"/>
          <w:numId w:val="0"/>
        </w:numPr>
        <w:ind w:left="1134"/>
      </w:pPr>
      <w:r w:rsidRPr="005E503C">
        <w:rPr>
          <w:rStyle w:val="Referencingstyle"/>
        </w:rPr>
        <w:t xml:space="preserve">[Schedule </w:t>
      </w:r>
      <w:r w:rsidR="00667915" w:rsidRPr="005E503C">
        <w:rPr>
          <w:rStyle w:val="Referencingstyle"/>
        </w:rPr>
        <w:t>1</w:t>
      </w:r>
      <w:r w:rsidRPr="005E503C">
        <w:rPr>
          <w:rStyle w:val="Referencingstyle"/>
        </w:rPr>
        <w:t xml:space="preserve">, item </w:t>
      </w:r>
      <w:r w:rsidR="00667915" w:rsidRPr="005E503C">
        <w:rPr>
          <w:rStyle w:val="Referencingstyle"/>
        </w:rPr>
        <w:t>4</w:t>
      </w:r>
      <w:r w:rsidRPr="005E503C">
        <w:rPr>
          <w:rStyle w:val="Referencingstyle"/>
        </w:rPr>
        <w:t>, subsection 275</w:t>
      </w:r>
      <w:r w:rsidR="00F84953" w:rsidRPr="005E503C">
        <w:rPr>
          <w:rStyle w:val="Referencingstyle"/>
        </w:rPr>
        <w:noBreakHyphen/>
      </w:r>
      <w:proofErr w:type="gramStart"/>
      <w:r w:rsidRPr="005E503C">
        <w:rPr>
          <w:rStyle w:val="Referencingstyle"/>
        </w:rPr>
        <w:t>10(</w:t>
      </w:r>
      <w:proofErr w:type="gramEnd"/>
      <w:r w:rsidRPr="005E503C">
        <w:rPr>
          <w:rStyle w:val="Referencingstyle"/>
        </w:rPr>
        <w:t>4D)]</w:t>
      </w:r>
    </w:p>
    <w:p w14:paraId="4D53953F" w14:textId="7FC899D2" w:rsidR="008B40CB" w:rsidRPr="005E503C" w:rsidRDefault="00A02688" w:rsidP="00A02688">
      <w:pPr>
        <w:pStyle w:val="base-text-paragraph"/>
      </w:pPr>
      <w:r w:rsidRPr="005E503C">
        <w:t xml:space="preserve">References to using a dwelling that is residential premises to provide affordable housing </w:t>
      </w:r>
      <w:r w:rsidR="00A82D31" w:rsidRPr="005E503C">
        <w:t xml:space="preserve">has the </w:t>
      </w:r>
      <w:r w:rsidRPr="005E503C">
        <w:t xml:space="preserve">same </w:t>
      </w:r>
      <w:r w:rsidR="00A82D31" w:rsidRPr="005E503C">
        <w:t xml:space="preserve">meaning </w:t>
      </w:r>
      <w:r w:rsidRPr="005E503C">
        <w:t xml:space="preserve">as used in Chapter </w:t>
      </w:r>
      <w:r w:rsidR="00B216FB" w:rsidRPr="005E503C">
        <w:t>1</w:t>
      </w:r>
      <w:r w:rsidRPr="005E503C">
        <w:t xml:space="preserve"> </w:t>
      </w:r>
      <w:r w:rsidR="003E460B" w:rsidRPr="005E503C">
        <w:t>(a</w:t>
      </w:r>
      <w:r w:rsidRPr="005E503C">
        <w:rPr>
          <w:rStyle w:val="ChapterNameOnly"/>
        </w:rPr>
        <w:t>dditional capital gains discount for affordable housing</w:t>
      </w:r>
      <w:r w:rsidR="003E460B" w:rsidRPr="005E503C">
        <w:rPr>
          <w:rStyle w:val="ChapterNameOnly"/>
        </w:rPr>
        <w:t>)</w:t>
      </w:r>
      <w:r w:rsidR="002D3230" w:rsidRPr="005E503C">
        <w:rPr>
          <w:rStyle w:val="ChapterNameOnly"/>
        </w:rPr>
        <w:t>.</w:t>
      </w:r>
    </w:p>
    <w:p w14:paraId="6DE8EFD6" w14:textId="4CE60287" w:rsidR="00286473" w:rsidRPr="005E503C" w:rsidRDefault="00893BB5" w:rsidP="00C731CB">
      <w:pPr>
        <w:pStyle w:val="base-text-paragraph"/>
        <w:numPr>
          <w:ilvl w:val="1"/>
          <w:numId w:val="4"/>
        </w:numPr>
      </w:pPr>
      <w:r w:rsidRPr="005E503C">
        <w:t>A</w:t>
      </w:r>
      <w:r w:rsidR="0054511B" w:rsidRPr="005E503C">
        <w:t>n interest in</w:t>
      </w:r>
      <w:r w:rsidR="002D3230" w:rsidRPr="005E503C">
        <w:t xml:space="preserve"> </w:t>
      </w:r>
      <w:r w:rsidR="00095F8F" w:rsidRPr="005E503C">
        <w:t xml:space="preserve">a </w:t>
      </w:r>
      <w:r w:rsidR="002D3230" w:rsidRPr="005E503C">
        <w:t xml:space="preserve">dwelling that </w:t>
      </w:r>
      <w:r w:rsidRPr="005E503C">
        <w:t xml:space="preserve">a trust holds </w:t>
      </w:r>
      <w:r w:rsidR="002D3230" w:rsidRPr="005E503C">
        <w:t xml:space="preserve">that is used to provide affordable housing will need to be </w:t>
      </w:r>
      <w:r w:rsidRPr="005E503C">
        <w:t xml:space="preserve">held </w:t>
      </w:r>
      <w:r w:rsidR="002D3230" w:rsidRPr="005E503C">
        <w:t>for the purpose, or primarily for the purpose, of deriving rent.</w:t>
      </w:r>
      <w:r w:rsidR="00120CC7" w:rsidRPr="005E503C">
        <w:t xml:space="preserve"> ‘For the purpose, or primarily for the purpose of deriving rent’ has the same meaning as it does for the definition of eligible investment business in section 102M of the</w:t>
      </w:r>
      <w:r w:rsidR="00120CC7" w:rsidRPr="005E503C">
        <w:rPr>
          <w:i/>
        </w:rPr>
        <w:t xml:space="preserve"> </w:t>
      </w:r>
      <w:r w:rsidR="00471C7B" w:rsidRPr="005E503C">
        <w:rPr>
          <w:i/>
        </w:rPr>
        <w:lastRenderedPageBreak/>
        <w:t>Income </w:t>
      </w:r>
      <w:r w:rsidR="00120CC7" w:rsidRPr="005E503C">
        <w:rPr>
          <w:i/>
        </w:rPr>
        <w:t>Tax Assessment Act</w:t>
      </w:r>
      <w:r w:rsidR="00F84953" w:rsidRPr="005E503C">
        <w:rPr>
          <w:i/>
        </w:rPr>
        <w:t> </w:t>
      </w:r>
      <w:r w:rsidR="00120CC7" w:rsidRPr="005E503C">
        <w:rPr>
          <w:i/>
        </w:rPr>
        <w:t>1936</w:t>
      </w:r>
      <w:r w:rsidR="00120CC7" w:rsidRPr="005E503C">
        <w:t xml:space="preserve"> (ITAA 1936). </w:t>
      </w:r>
      <w:r w:rsidR="002D3230" w:rsidRPr="005E503C">
        <w:t xml:space="preserve">Each such investment will need to be considered on its merits. </w:t>
      </w:r>
    </w:p>
    <w:p w14:paraId="1B50F70E" w14:textId="1C45CA6C" w:rsidR="002D3230" w:rsidRPr="005E503C" w:rsidRDefault="002D3230" w:rsidP="00C731CB">
      <w:pPr>
        <w:pStyle w:val="base-text-paragraph"/>
        <w:numPr>
          <w:ilvl w:val="1"/>
          <w:numId w:val="4"/>
        </w:numPr>
      </w:pPr>
      <w:r w:rsidRPr="005E503C">
        <w:t xml:space="preserve">Factors that need to be considered to determine whether an investment </w:t>
      </w:r>
      <w:r w:rsidR="00120CC7" w:rsidRPr="005E503C">
        <w:t xml:space="preserve">in a dwelling </w:t>
      </w:r>
      <w:r w:rsidRPr="005E503C">
        <w:t>is held for the purpose, or primarily for the purpose of deriving rent include:</w:t>
      </w:r>
    </w:p>
    <w:p w14:paraId="0C229354" w14:textId="77777777" w:rsidR="002D3230" w:rsidRPr="005E503C" w:rsidRDefault="002D3230" w:rsidP="002D3230">
      <w:pPr>
        <w:pStyle w:val="dotpoint"/>
      </w:pPr>
      <w:r w:rsidRPr="005E503C">
        <w:t xml:space="preserve">the trust’s investment strategy; </w:t>
      </w:r>
    </w:p>
    <w:p w14:paraId="257ABCAF" w14:textId="21232C4A" w:rsidR="002D3230" w:rsidRPr="005E503C" w:rsidRDefault="002D3230" w:rsidP="002D3230">
      <w:pPr>
        <w:pStyle w:val="dotpoint"/>
      </w:pPr>
      <w:r w:rsidRPr="005E503C">
        <w:t xml:space="preserve">the length of time the </w:t>
      </w:r>
      <w:r w:rsidR="003B7C56" w:rsidRPr="005E503C">
        <w:t>dwelling</w:t>
      </w:r>
      <w:r w:rsidRPr="005E503C">
        <w:t xml:space="preserve"> is intended to be held for, and any </w:t>
      </w:r>
      <w:r w:rsidR="003B7C56" w:rsidRPr="005E503C">
        <w:t>plan for disposal</w:t>
      </w:r>
      <w:r w:rsidRPr="005E503C">
        <w:t>;</w:t>
      </w:r>
    </w:p>
    <w:p w14:paraId="70A53DC5" w14:textId="77777777" w:rsidR="002D3230" w:rsidRPr="005E503C" w:rsidRDefault="002D3230" w:rsidP="002D3230">
      <w:pPr>
        <w:pStyle w:val="dotpoint"/>
      </w:pPr>
      <w:r w:rsidRPr="005E503C">
        <w:t>any arrangements entered into or activities undertaken by the trustee (including in relation to the development of the property, its management, and other incidental activities);</w:t>
      </w:r>
    </w:p>
    <w:p w14:paraId="0E3F9140" w14:textId="2EFBC152" w:rsidR="002D3230" w:rsidRPr="005E503C" w:rsidRDefault="002D3230" w:rsidP="002D3230">
      <w:pPr>
        <w:pStyle w:val="dotpoint"/>
      </w:pPr>
      <w:r w:rsidRPr="005E503C">
        <w:t xml:space="preserve">features of the </w:t>
      </w:r>
      <w:r w:rsidR="003D4D23" w:rsidRPr="005E503C">
        <w:t>dwelling</w:t>
      </w:r>
      <w:r w:rsidRPr="005E503C">
        <w:t xml:space="preserve"> affecting its suitability for rent by affordable housing tenants; and</w:t>
      </w:r>
    </w:p>
    <w:p w14:paraId="37B40045" w14:textId="438C0D0D" w:rsidR="002D3230" w:rsidRPr="005E503C" w:rsidRDefault="002D3230" w:rsidP="002D3230">
      <w:pPr>
        <w:pStyle w:val="dotpoint"/>
      </w:pPr>
      <w:proofErr w:type="gramStart"/>
      <w:r w:rsidRPr="005E503C">
        <w:t>projected</w:t>
      </w:r>
      <w:proofErr w:type="gramEnd"/>
      <w:r w:rsidRPr="005E503C">
        <w:t xml:space="preserve"> rental yields and capital growth</w:t>
      </w:r>
      <w:r w:rsidR="003D038C" w:rsidRPr="005E503C">
        <w:t xml:space="preserve"> </w:t>
      </w:r>
      <w:r w:rsidR="00A14FD0" w:rsidRPr="005E503C">
        <w:t>to determine the purpose for holding</w:t>
      </w:r>
      <w:r w:rsidR="003D4D23" w:rsidRPr="005E503C">
        <w:t xml:space="preserve"> the dwelling</w:t>
      </w:r>
      <w:r w:rsidR="00A14FD0" w:rsidRPr="005E503C">
        <w:t>.</w:t>
      </w:r>
    </w:p>
    <w:p w14:paraId="149017C3" w14:textId="13589747" w:rsidR="00A14FD0" w:rsidRPr="005E503C" w:rsidRDefault="00A14FD0" w:rsidP="002D3230">
      <w:pPr>
        <w:pStyle w:val="base-text-paragraph"/>
      </w:pPr>
      <w:r w:rsidRPr="005E503C">
        <w:t>To satisfy the eligible investment business rules the MIT will generally need to hold dwellings used to provide affordable housing for significantly longer than a period of three or more years</w:t>
      </w:r>
      <w:r w:rsidR="004E48D2" w:rsidRPr="005E503C">
        <w:t xml:space="preserve"> — the period before resident individuals will be eligible to receive the additional capital gains discount</w:t>
      </w:r>
      <w:r w:rsidR="003D4D23" w:rsidRPr="005E503C">
        <w:t xml:space="preserve"> for affordable housing</w:t>
      </w:r>
      <w:r w:rsidR="004E48D2" w:rsidRPr="005E503C">
        <w:t xml:space="preserve"> (see Chapter 1).</w:t>
      </w:r>
    </w:p>
    <w:p w14:paraId="3889E7DD" w14:textId="2580C12D" w:rsidR="004E48D2" w:rsidRPr="005E503C" w:rsidRDefault="004E48D2" w:rsidP="002D3230">
      <w:pPr>
        <w:pStyle w:val="base-text-paragraph"/>
      </w:pPr>
      <w:r w:rsidRPr="005E503C">
        <w:t xml:space="preserve">To satisfy the requirement of investing primarily for the purpose of deriving rent, the dwelling must typically be held for a minimum period. This varies, and needs to be considered taking into account the circumstances of the </w:t>
      </w:r>
      <w:r w:rsidR="00FF007C" w:rsidRPr="005E503C">
        <w:t>investment</w:t>
      </w:r>
      <w:r w:rsidRPr="005E503C">
        <w:t xml:space="preserve">. For example, the </w:t>
      </w:r>
      <w:r w:rsidR="00FF007C" w:rsidRPr="005E503C">
        <w:t>Commissioner</w:t>
      </w:r>
      <w:r w:rsidRPr="005E503C">
        <w:t xml:space="preserve">, in </w:t>
      </w:r>
      <w:r w:rsidR="00FF007C" w:rsidRPr="005E503C">
        <w:t xml:space="preserve">recent </w:t>
      </w:r>
      <w:r w:rsidRPr="005E503C">
        <w:t>advice had regard to the nature of the investment, such that it ensured that the property would be held for the long</w:t>
      </w:r>
      <w:r w:rsidRPr="005E503C">
        <w:noBreakHyphen/>
        <w:t>term and that the net rental yield would likely exceed the capital growth of the property over the 10 year rental period.</w:t>
      </w:r>
    </w:p>
    <w:p w14:paraId="01278774" w14:textId="2AFCF5DF" w:rsidR="002D3230" w:rsidRPr="005E503C" w:rsidRDefault="002D3230" w:rsidP="002D3230">
      <w:pPr>
        <w:pStyle w:val="base-text-paragraph"/>
      </w:pPr>
      <w:r w:rsidRPr="005E503C">
        <w:t>A trust will also be taken to be investing in the dwelling primarily for the purposes of deriving rent in any income year in which it satisfies the safe harbour test in section 102MB(2) of the ITAA 1936</w:t>
      </w:r>
      <w:r w:rsidR="00C26997" w:rsidRPr="005E503C">
        <w:t xml:space="preserve"> (75 percent or more of income from rent and other requirements)</w:t>
      </w:r>
      <w:r w:rsidRPr="005E503C">
        <w:t>.</w:t>
      </w:r>
    </w:p>
    <w:p w14:paraId="589F12AD" w14:textId="551C871F" w:rsidR="00ED2C19" w:rsidRPr="005E503C" w:rsidRDefault="00ED2C19" w:rsidP="00805E25">
      <w:pPr>
        <w:pStyle w:val="Heading4"/>
      </w:pPr>
      <w:r w:rsidRPr="005E503C">
        <w:t>Consequential amendments</w:t>
      </w:r>
    </w:p>
    <w:p w14:paraId="699C6C43" w14:textId="1E9A5815" w:rsidR="00ED2C19" w:rsidRPr="005E503C" w:rsidRDefault="008727D5" w:rsidP="00C731CB">
      <w:pPr>
        <w:pStyle w:val="base-text-paragraph"/>
        <w:numPr>
          <w:ilvl w:val="1"/>
          <w:numId w:val="4"/>
        </w:numPr>
      </w:pPr>
      <w:r w:rsidRPr="005E503C">
        <w:t>Two consequential amendments are made to ensure that the law operates as intended.</w:t>
      </w:r>
    </w:p>
    <w:p w14:paraId="1089EE1F" w14:textId="16B203F0" w:rsidR="008727D5" w:rsidRPr="005E503C" w:rsidRDefault="00C231FE" w:rsidP="000D13D3">
      <w:pPr>
        <w:pStyle w:val="Heading5"/>
      </w:pPr>
      <w:r w:rsidRPr="005E503C">
        <w:t>T</w:t>
      </w:r>
      <w:r w:rsidR="008727D5" w:rsidRPr="005E503C">
        <w:t xml:space="preserve">rading </w:t>
      </w:r>
      <w:r w:rsidR="00E9699A" w:rsidRPr="005E503C">
        <w:t>trust</w:t>
      </w:r>
      <w:r w:rsidR="008727D5" w:rsidRPr="005E503C">
        <w:t xml:space="preserve"> rule for trusts seeking to be MITs</w:t>
      </w:r>
    </w:p>
    <w:p w14:paraId="4F114EC0" w14:textId="0B46B3F6" w:rsidR="00E9699A" w:rsidRPr="005E503C" w:rsidRDefault="008B775C" w:rsidP="00C731CB">
      <w:pPr>
        <w:pStyle w:val="base-text-paragraph"/>
        <w:numPr>
          <w:ilvl w:val="1"/>
          <w:numId w:val="4"/>
        </w:numPr>
      </w:pPr>
      <w:r w:rsidRPr="005E503C">
        <w:t xml:space="preserve">A trust </w:t>
      </w:r>
      <w:r w:rsidR="0008196B" w:rsidRPr="005E503C">
        <w:t>is</w:t>
      </w:r>
      <w:r w:rsidRPr="005E503C">
        <w:t xml:space="preserve"> a MIT for an income year if it satisfies the MIT requirements </w:t>
      </w:r>
      <w:r w:rsidR="002A6A6D" w:rsidRPr="005E503C">
        <w:t>in Subdivision 275</w:t>
      </w:r>
      <w:r w:rsidR="002A6A6D" w:rsidRPr="005E503C">
        <w:noBreakHyphen/>
        <w:t xml:space="preserve">A </w:t>
      </w:r>
      <w:r w:rsidR="00A00DCD" w:rsidRPr="005E503C">
        <w:t>of the ITAA 1997</w:t>
      </w:r>
      <w:r w:rsidR="00FD64E1" w:rsidRPr="005E503C">
        <w:t xml:space="preserve">. </w:t>
      </w:r>
      <w:r w:rsidR="000D13D3" w:rsidRPr="005E503C">
        <w:t>One of the</w:t>
      </w:r>
      <w:r w:rsidR="00694C75" w:rsidRPr="005E503C">
        <w:t>se</w:t>
      </w:r>
      <w:r w:rsidR="000D13D3" w:rsidRPr="005E503C">
        <w:t xml:space="preserve"> requirements is that the trust is not a trading trust for the income year.</w:t>
      </w:r>
    </w:p>
    <w:p w14:paraId="45EF14DE" w14:textId="084BD76C" w:rsidR="00CD291E" w:rsidRPr="005E503C" w:rsidRDefault="00E3540D" w:rsidP="00C731CB">
      <w:pPr>
        <w:pStyle w:val="base-text-paragraph"/>
        <w:numPr>
          <w:ilvl w:val="1"/>
          <w:numId w:val="4"/>
        </w:numPr>
      </w:pPr>
      <w:r w:rsidRPr="005E503C">
        <w:lastRenderedPageBreak/>
        <w:t>Section 102</w:t>
      </w:r>
      <w:r w:rsidR="00B2342F" w:rsidRPr="005E503C">
        <w:t>N</w:t>
      </w:r>
      <w:r w:rsidRPr="005E503C">
        <w:t xml:space="preserve"> of the ITAA</w:t>
      </w:r>
      <w:r w:rsidR="00E04BCA" w:rsidRPr="005E503C">
        <w:t> </w:t>
      </w:r>
      <w:r w:rsidRPr="005E503C">
        <w:t>1936</w:t>
      </w:r>
      <w:r w:rsidR="00CD291E" w:rsidRPr="005E503C">
        <w:t xml:space="preserve"> </w:t>
      </w:r>
      <w:r w:rsidRPr="005E503C">
        <w:t>provides that a</w:t>
      </w:r>
      <w:r w:rsidR="0041284B" w:rsidRPr="005E503C">
        <w:t xml:space="preserve"> trust is a trading trust for an income year if the trust</w:t>
      </w:r>
      <w:r w:rsidR="00B2342F" w:rsidRPr="005E503C">
        <w:t xml:space="preserve">ee (in the capacity of trustee of the trust), at any time during the income year, carried on a trading business or controlled or was able to control, directly or indirectly, the affairs or operations of another entity in respect of the carrying on by that other entity of a trading business. </w:t>
      </w:r>
    </w:p>
    <w:p w14:paraId="5EB525E4" w14:textId="3ED4DBA1" w:rsidR="00401C30" w:rsidRPr="005E503C" w:rsidRDefault="00B2342F" w:rsidP="00C731CB">
      <w:pPr>
        <w:pStyle w:val="base-text-paragraph"/>
        <w:numPr>
          <w:ilvl w:val="1"/>
          <w:numId w:val="4"/>
        </w:numPr>
      </w:pPr>
      <w:r w:rsidRPr="005E503C">
        <w:t xml:space="preserve">Section 102M of the ITAA 1936 then provides that a trading business means a business that does not consist wholly of </w:t>
      </w:r>
      <w:r w:rsidR="0041284B" w:rsidRPr="005E503C">
        <w:t xml:space="preserve">eligible investment business. </w:t>
      </w:r>
      <w:r w:rsidR="005C69DC" w:rsidRPr="005E503C">
        <w:t>Section</w:t>
      </w:r>
      <w:r w:rsidR="00E04BCA" w:rsidRPr="005E503C">
        <w:t> </w:t>
      </w:r>
      <w:r w:rsidR="005C69DC" w:rsidRPr="005E503C">
        <w:t xml:space="preserve">102M </w:t>
      </w:r>
      <w:r w:rsidR="002C3F53" w:rsidRPr="005E503C">
        <w:t>provides that eligible investment business means:</w:t>
      </w:r>
    </w:p>
    <w:p w14:paraId="64AC01FE" w14:textId="7DEFF08B" w:rsidR="002C3F53" w:rsidRPr="005E503C" w:rsidRDefault="002C3F53" w:rsidP="0088718D">
      <w:pPr>
        <w:pStyle w:val="dotpoint"/>
      </w:pPr>
      <w:r w:rsidRPr="005E503C">
        <w:t>investing in land for the purpose, or primarily for the purpose, of deriving rent; or</w:t>
      </w:r>
    </w:p>
    <w:p w14:paraId="09B19A62" w14:textId="539076B5" w:rsidR="00F414CB" w:rsidRPr="005E503C" w:rsidRDefault="002C3F53" w:rsidP="00F414CB">
      <w:pPr>
        <w:pStyle w:val="dotpoint"/>
      </w:pPr>
      <w:proofErr w:type="gramStart"/>
      <w:r w:rsidRPr="005E503C">
        <w:t>investing</w:t>
      </w:r>
      <w:proofErr w:type="gramEnd"/>
      <w:r w:rsidRPr="005E503C">
        <w:t xml:space="preserve"> or trading in </w:t>
      </w:r>
      <w:r w:rsidR="00F414CB" w:rsidRPr="005E503C">
        <w:t>certain equities, financial instruments and financial arrangement</w:t>
      </w:r>
      <w:r w:rsidR="00574160" w:rsidRPr="005E503C">
        <w:t>s</w:t>
      </w:r>
      <w:r w:rsidR="00F414CB" w:rsidRPr="005E503C">
        <w:t>.</w:t>
      </w:r>
    </w:p>
    <w:p w14:paraId="1919D677" w14:textId="5809D9FF" w:rsidR="003568EA" w:rsidRPr="005E503C" w:rsidRDefault="003568EA" w:rsidP="00C731CB">
      <w:pPr>
        <w:pStyle w:val="base-text-paragraph"/>
        <w:numPr>
          <w:ilvl w:val="1"/>
          <w:numId w:val="4"/>
        </w:numPr>
      </w:pPr>
      <w:r w:rsidRPr="005E503C">
        <w:t xml:space="preserve">Some of the activities that trusts can undertake </w:t>
      </w:r>
      <w:r w:rsidR="00EC3D9E" w:rsidRPr="005E503C">
        <w:t>concerning dwellings that are residential premises (but not commercial residential premi</w:t>
      </w:r>
      <w:r w:rsidR="00E31B4F" w:rsidRPr="005E503C">
        <w:t>s</w:t>
      </w:r>
      <w:r w:rsidR="00EC3D9E" w:rsidRPr="005E503C">
        <w:t>es) and be a MIT would not otherwise be</w:t>
      </w:r>
      <w:r w:rsidRPr="005E503C">
        <w:t xml:space="preserve"> eligible investment business. An example is the construction of a dwelling, even if </w:t>
      </w:r>
      <w:r w:rsidR="00F63188" w:rsidRPr="005E503C">
        <w:t>it</w:t>
      </w:r>
      <w:r w:rsidRPr="005E503C">
        <w:t xml:space="preserve"> is to </w:t>
      </w:r>
      <w:r w:rsidR="00F63188" w:rsidRPr="005E503C">
        <w:t xml:space="preserve">be </w:t>
      </w:r>
      <w:r w:rsidRPr="005E503C">
        <w:t>use</w:t>
      </w:r>
      <w:r w:rsidR="00F63188" w:rsidRPr="005E503C">
        <w:t>d</w:t>
      </w:r>
      <w:r w:rsidRPr="005E503C">
        <w:t xml:space="preserve"> to provide affordable housing for the purpose, or primarily for the purpose, of deriving rent.</w:t>
      </w:r>
    </w:p>
    <w:p w14:paraId="593817BA" w14:textId="7408FA8A" w:rsidR="00FD7B60" w:rsidRPr="005E503C" w:rsidRDefault="00EC3D9E" w:rsidP="00C731CB">
      <w:pPr>
        <w:pStyle w:val="base-text-paragraph"/>
        <w:numPr>
          <w:ilvl w:val="1"/>
          <w:numId w:val="4"/>
        </w:numPr>
        <w:rPr>
          <w:rStyle w:val="Referencingstyle"/>
          <w:b w:val="0"/>
          <w:i w:val="0"/>
          <w:sz w:val="22"/>
        </w:rPr>
      </w:pPr>
      <w:r w:rsidRPr="005E503C">
        <w:t>Therefore an</w:t>
      </w:r>
      <w:r w:rsidR="007E78F1" w:rsidRPr="005E503C">
        <w:t xml:space="preserve"> amendment is made </w:t>
      </w:r>
      <w:r w:rsidR="00D85938" w:rsidRPr="005E503C">
        <w:t xml:space="preserve">so </w:t>
      </w:r>
      <w:r w:rsidR="007E78F1" w:rsidRPr="005E503C">
        <w:t>that, for the purpose of applying the trading trust test</w:t>
      </w:r>
      <w:r w:rsidR="007D0EA1" w:rsidRPr="005E503C">
        <w:t xml:space="preserve"> in subsection 275-10(4)</w:t>
      </w:r>
      <w:r w:rsidR="007E78F1" w:rsidRPr="005E503C">
        <w:t>, investments in dwellings that are residential premises (but not commercial residential premises) are disregarded if at all times they satisfy the eligibility conditions (see paragraphs 2.</w:t>
      </w:r>
      <w:r w:rsidR="00B2386D" w:rsidRPr="005E503C">
        <w:t>22</w:t>
      </w:r>
      <w:r w:rsidR="007E78F1" w:rsidRPr="005E503C">
        <w:t>)</w:t>
      </w:r>
      <w:r w:rsidR="007D744A" w:rsidRPr="005E503C">
        <w:t>.</w:t>
      </w:r>
      <w:r w:rsidR="00E97D2A" w:rsidRPr="005E503C">
        <w:t xml:space="preserve"> </w:t>
      </w:r>
      <w:r w:rsidR="00E97D2A" w:rsidRPr="005E503C">
        <w:rPr>
          <w:rStyle w:val="Referencingstyle"/>
        </w:rPr>
        <w:t xml:space="preserve">[Schedule </w:t>
      </w:r>
      <w:r w:rsidR="00826B65" w:rsidRPr="005E503C">
        <w:rPr>
          <w:rStyle w:val="Referencingstyle"/>
        </w:rPr>
        <w:t>1</w:t>
      </w:r>
      <w:r w:rsidR="00E97D2A" w:rsidRPr="005E503C">
        <w:rPr>
          <w:rStyle w:val="Referencingstyle"/>
        </w:rPr>
        <w:t xml:space="preserve">, item </w:t>
      </w:r>
      <w:r w:rsidR="00826B65" w:rsidRPr="005E503C">
        <w:rPr>
          <w:rStyle w:val="Referencingstyle"/>
        </w:rPr>
        <w:t>3</w:t>
      </w:r>
      <w:r w:rsidR="00E97D2A" w:rsidRPr="005E503C">
        <w:rPr>
          <w:rStyle w:val="Referencingstyle"/>
        </w:rPr>
        <w:t>, subsection 275-10(4)]</w:t>
      </w:r>
    </w:p>
    <w:p w14:paraId="5B3660A5" w14:textId="77777777" w:rsidR="00C231FE" w:rsidRPr="005E503C" w:rsidRDefault="00C231FE" w:rsidP="00C231FE">
      <w:pPr>
        <w:pStyle w:val="Heading5"/>
      </w:pPr>
      <w:r w:rsidRPr="005E503C">
        <w:t>Definition of public trading trust</w:t>
      </w:r>
    </w:p>
    <w:p w14:paraId="50267979" w14:textId="77777777" w:rsidR="00C231FE" w:rsidRPr="005E503C" w:rsidRDefault="00C231FE" w:rsidP="00C231FE">
      <w:pPr>
        <w:pStyle w:val="base-text-paragraph"/>
      </w:pPr>
      <w:r w:rsidRPr="005E503C">
        <w:t xml:space="preserve">Subsection </w:t>
      </w:r>
      <w:proofErr w:type="gramStart"/>
      <w:r w:rsidRPr="005E503C">
        <w:t>102T(</w:t>
      </w:r>
      <w:proofErr w:type="gramEnd"/>
      <w:r w:rsidRPr="005E503C">
        <w:t xml:space="preserve">16) of the ITAA 1936 has the effect that if a trust is a public trading trust then it cannot be a MIT. </w:t>
      </w:r>
    </w:p>
    <w:p w14:paraId="39116661" w14:textId="196A5B05" w:rsidR="006C1D90" w:rsidRPr="005E503C" w:rsidRDefault="006C1D90" w:rsidP="00C731CB">
      <w:pPr>
        <w:pStyle w:val="base-text-paragraph"/>
        <w:numPr>
          <w:ilvl w:val="1"/>
          <w:numId w:val="4"/>
        </w:numPr>
      </w:pPr>
      <w:r w:rsidRPr="005E503C">
        <w:t xml:space="preserve">A </w:t>
      </w:r>
      <w:r w:rsidR="001D779A" w:rsidRPr="005E503C">
        <w:t>unit</w:t>
      </w:r>
      <w:r w:rsidRPr="005E503C">
        <w:t xml:space="preserve"> trust is a public trading trust if it satisfies the requirements set out in section 102R of the ITAA 1936</w:t>
      </w:r>
      <w:r w:rsidR="00113377" w:rsidRPr="005E503C">
        <w:t>. They are:</w:t>
      </w:r>
    </w:p>
    <w:p w14:paraId="7634D908" w14:textId="3BE10427" w:rsidR="00113377" w:rsidRPr="005E503C" w:rsidRDefault="001D779A" w:rsidP="00113377">
      <w:pPr>
        <w:pStyle w:val="dotpoint"/>
      </w:pPr>
      <w:r w:rsidRPr="005E503C">
        <w:t>it</w:t>
      </w:r>
      <w:r w:rsidR="00113377" w:rsidRPr="005E503C">
        <w:t xml:space="preserve"> is a public unit trust in relation to the relevant year of income;</w:t>
      </w:r>
    </w:p>
    <w:p w14:paraId="0F385A3A" w14:textId="42690F9B" w:rsidR="00113377" w:rsidRPr="005E503C" w:rsidRDefault="001D779A" w:rsidP="00113377">
      <w:pPr>
        <w:pStyle w:val="dotpoint"/>
      </w:pPr>
      <w:r w:rsidRPr="005E503C">
        <w:t>it</w:t>
      </w:r>
      <w:r w:rsidR="00113377" w:rsidRPr="005E503C">
        <w:t xml:space="preserve"> is a trading trust in relation t</w:t>
      </w:r>
      <w:r w:rsidR="00076BF8" w:rsidRPr="005E503C">
        <w:t>o</w:t>
      </w:r>
      <w:r w:rsidR="00113377" w:rsidRPr="005E503C">
        <w:t xml:space="preserve"> </w:t>
      </w:r>
      <w:r w:rsidR="00076BF8" w:rsidRPr="005E503C">
        <w:t>t</w:t>
      </w:r>
      <w:r w:rsidR="00113377" w:rsidRPr="005E503C">
        <w:t>he relevant year of income; and</w:t>
      </w:r>
    </w:p>
    <w:p w14:paraId="0A6DA273" w14:textId="53887311" w:rsidR="00113377" w:rsidRPr="005E503C" w:rsidRDefault="001D779A" w:rsidP="00113377">
      <w:pPr>
        <w:pStyle w:val="dotpoint"/>
      </w:pPr>
      <w:proofErr w:type="gramStart"/>
      <w:r w:rsidRPr="005E503C">
        <w:t>it</w:t>
      </w:r>
      <w:proofErr w:type="gramEnd"/>
      <w:r w:rsidR="00113377" w:rsidRPr="005E503C">
        <w:t xml:space="preserve"> is a resident unit trust in relation to the relevant year of income or it was a public trading trust in relation to a year of income preceding the relevant year of income.</w:t>
      </w:r>
    </w:p>
    <w:p w14:paraId="0AE1C42A" w14:textId="34B33123" w:rsidR="00BB3413" w:rsidRPr="005E503C" w:rsidRDefault="001D779A" w:rsidP="00C731CB">
      <w:pPr>
        <w:pStyle w:val="base-text-paragraph"/>
        <w:numPr>
          <w:ilvl w:val="1"/>
          <w:numId w:val="4"/>
        </w:numPr>
      </w:pPr>
      <w:r w:rsidRPr="005E503C">
        <w:lastRenderedPageBreak/>
        <w:t>Under</w:t>
      </w:r>
      <w:r w:rsidR="00BB3413" w:rsidRPr="005E503C">
        <w:t xml:space="preserve"> section 102M of the ITAA 1936 a trading trust is a trust that carries on business that is not wholly eligible investment business.</w:t>
      </w:r>
    </w:p>
    <w:p w14:paraId="42B50014" w14:textId="3352ED9B" w:rsidR="006C1D90" w:rsidRPr="005E503C" w:rsidRDefault="00076BF8" w:rsidP="00C731CB">
      <w:pPr>
        <w:pStyle w:val="base-text-paragraph"/>
        <w:numPr>
          <w:ilvl w:val="1"/>
          <w:numId w:val="4"/>
        </w:numPr>
      </w:pPr>
      <w:r w:rsidRPr="005E503C">
        <w:t xml:space="preserve">Most trusts that are MITs would satisfy </w:t>
      </w:r>
      <w:r w:rsidR="009F24A0" w:rsidRPr="005E503C">
        <w:t>the first and third conditions</w:t>
      </w:r>
      <w:r w:rsidR="009251C8" w:rsidRPr="005E503C">
        <w:t xml:space="preserve"> for being a public unit trust</w:t>
      </w:r>
      <w:r w:rsidR="009F24A0" w:rsidRPr="005E503C">
        <w:t>, meaning that the only reason they are not public trading trusts is because they are not trading trusts.</w:t>
      </w:r>
      <w:r w:rsidR="0037303D" w:rsidRPr="005E503C">
        <w:t xml:space="preserve"> </w:t>
      </w:r>
      <w:r w:rsidRPr="005E503C">
        <w:t>As noted in paragraph 2.</w:t>
      </w:r>
      <w:r w:rsidR="00DC470F" w:rsidRPr="005E503C">
        <w:t>22</w:t>
      </w:r>
      <w:r w:rsidRPr="005E503C">
        <w:t xml:space="preserve"> </w:t>
      </w:r>
      <w:r w:rsidR="0037303D" w:rsidRPr="005E503C">
        <w:t>s</w:t>
      </w:r>
      <w:r w:rsidRPr="005E503C">
        <w:t xml:space="preserve">ome of the activities that </w:t>
      </w:r>
      <w:proofErr w:type="gramStart"/>
      <w:r w:rsidRPr="005E503C">
        <w:t>trusts</w:t>
      </w:r>
      <w:proofErr w:type="gramEnd"/>
      <w:r w:rsidRPr="005E503C">
        <w:t xml:space="preserve"> can undertake </w:t>
      </w:r>
      <w:r w:rsidR="00733D71" w:rsidRPr="005E503C">
        <w:t xml:space="preserve">for dwellings that are residential premises (but not commercial residential premises) </w:t>
      </w:r>
      <w:r w:rsidR="0037303D" w:rsidRPr="005E503C">
        <w:t xml:space="preserve">and be MITs </w:t>
      </w:r>
      <w:r w:rsidRPr="005E503C">
        <w:t>do not come within the meaning of eligible investment business.</w:t>
      </w:r>
      <w:r w:rsidR="0037303D" w:rsidRPr="005E503C">
        <w:t xml:space="preserve"> Therefore a significant number of trusts that invested in affordable housing activities would ordinarily be public trading trusts, meaning that they could not be MITs. </w:t>
      </w:r>
    </w:p>
    <w:p w14:paraId="4D255B76" w14:textId="5E6FAD6E" w:rsidR="006C1D90" w:rsidRPr="005E503C" w:rsidRDefault="00733D71" w:rsidP="00C731CB">
      <w:pPr>
        <w:pStyle w:val="base-text-paragraph"/>
        <w:numPr>
          <w:ilvl w:val="1"/>
          <w:numId w:val="4"/>
        </w:numPr>
      </w:pPr>
      <w:r w:rsidRPr="005E503C">
        <w:t>Therefore</w:t>
      </w:r>
      <w:r w:rsidR="0037303D" w:rsidRPr="005E503C">
        <w:t xml:space="preserve"> the definition of public trading trust </w:t>
      </w:r>
      <w:r w:rsidRPr="005E503C">
        <w:t xml:space="preserve">is amended </w:t>
      </w:r>
      <w:r w:rsidR="0037303D" w:rsidRPr="005E503C">
        <w:t xml:space="preserve">to ensure that </w:t>
      </w:r>
      <w:r w:rsidRPr="005E503C">
        <w:t>in</w:t>
      </w:r>
      <w:r w:rsidR="0037303D" w:rsidRPr="005E503C">
        <w:t xml:space="preserve"> considering </w:t>
      </w:r>
      <w:r w:rsidRPr="005E503C">
        <w:t>if</w:t>
      </w:r>
      <w:r w:rsidR="0037303D" w:rsidRPr="005E503C">
        <w:t xml:space="preserve"> a trust is a public trading trust, affordable housing activities as set out in the eligibility conditions for dwellings that are residential premises (but not commercial residential premises) that trusts can undertake and be MITs are disregarded. </w:t>
      </w:r>
      <w:r w:rsidRPr="005E503C">
        <w:t xml:space="preserve">This includes </w:t>
      </w:r>
      <w:r w:rsidR="00B53412" w:rsidRPr="005E503C">
        <w:t xml:space="preserve">constructing, </w:t>
      </w:r>
      <w:r w:rsidR="00A62409" w:rsidRPr="005E503C">
        <w:t xml:space="preserve">altering, </w:t>
      </w:r>
      <w:r w:rsidR="00B53412" w:rsidRPr="005E503C">
        <w:t>repairing and improving the dwelling and some other activities.</w:t>
      </w:r>
      <w:r w:rsidRPr="005E503C">
        <w:t xml:space="preserve"> </w:t>
      </w:r>
      <w:r w:rsidR="0037303D" w:rsidRPr="005E503C">
        <w:rPr>
          <w:rStyle w:val="Referencingstyle"/>
        </w:rPr>
        <w:t xml:space="preserve">[Schedule </w:t>
      </w:r>
      <w:r w:rsidR="000F1AC2" w:rsidRPr="005E503C">
        <w:rPr>
          <w:rStyle w:val="Referencingstyle"/>
        </w:rPr>
        <w:t>2</w:t>
      </w:r>
      <w:r w:rsidR="0037303D" w:rsidRPr="005E503C">
        <w:rPr>
          <w:rStyle w:val="Referencingstyle"/>
        </w:rPr>
        <w:t>, item </w:t>
      </w:r>
      <w:r w:rsidR="000F1AC2" w:rsidRPr="005E503C">
        <w:rPr>
          <w:rStyle w:val="Referencingstyle"/>
        </w:rPr>
        <w:t>1</w:t>
      </w:r>
      <w:r w:rsidR="0037303D" w:rsidRPr="005E503C">
        <w:rPr>
          <w:rStyle w:val="Referencingstyle"/>
        </w:rPr>
        <w:t xml:space="preserve">, subsection </w:t>
      </w:r>
      <w:r w:rsidR="00620192" w:rsidRPr="005E503C">
        <w:rPr>
          <w:rStyle w:val="Referencingstyle"/>
        </w:rPr>
        <w:t>102R(5) of the ITAA 1936</w:t>
      </w:r>
      <w:r w:rsidR="0037303D" w:rsidRPr="005E503C">
        <w:rPr>
          <w:rStyle w:val="Referencingstyle"/>
        </w:rPr>
        <w:t>]</w:t>
      </w:r>
    </w:p>
    <w:p w14:paraId="0400C6EA" w14:textId="3C1AB576" w:rsidR="00B263B5" w:rsidRPr="005E503C" w:rsidRDefault="00B263B5" w:rsidP="003615FB">
      <w:pPr>
        <w:pStyle w:val="Heading3"/>
      </w:pPr>
      <w:r w:rsidRPr="005E503C">
        <w:t xml:space="preserve">Apply 15 per cent withholding tax rate </w:t>
      </w:r>
      <w:r w:rsidR="004F7B0C" w:rsidRPr="005E503C">
        <w:t>f</w:t>
      </w:r>
      <w:r w:rsidRPr="005E503C">
        <w:t>o</w:t>
      </w:r>
      <w:r w:rsidR="004F7B0C" w:rsidRPr="005E503C">
        <w:t>r</w:t>
      </w:r>
      <w:r w:rsidRPr="005E503C">
        <w:t xml:space="preserve"> fund payments </w:t>
      </w:r>
      <w:r w:rsidR="004F7B0C" w:rsidRPr="005E503C">
        <w:t xml:space="preserve">to the extent that they are </w:t>
      </w:r>
      <w:r w:rsidRPr="005E503C">
        <w:t xml:space="preserve">composed of </w:t>
      </w:r>
      <w:r w:rsidR="008D7F93" w:rsidRPr="005E503C">
        <w:t xml:space="preserve">certain </w:t>
      </w:r>
      <w:r w:rsidRPr="005E503C">
        <w:t>affordable housing income</w:t>
      </w:r>
    </w:p>
    <w:p w14:paraId="6D4C572C" w14:textId="377F0794" w:rsidR="00526939" w:rsidRPr="005E503C" w:rsidRDefault="004F7DA1" w:rsidP="00C731CB">
      <w:pPr>
        <w:pStyle w:val="base-text-paragraph"/>
        <w:numPr>
          <w:ilvl w:val="1"/>
          <w:numId w:val="4"/>
        </w:numPr>
      </w:pPr>
      <w:r w:rsidRPr="005E503C">
        <w:t xml:space="preserve">The MIT final withholding tax rate applies to fund payments </w:t>
      </w:r>
      <w:r w:rsidR="00EE193E" w:rsidRPr="005E503C">
        <w:t xml:space="preserve">paid or attributed </w:t>
      </w:r>
      <w:r w:rsidRPr="005E503C">
        <w:t>by a MIT to a foreign resident</w:t>
      </w:r>
      <w:r w:rsidR="009218B4" w:rsidRPr="005E503C">
        <w:t>.</w:t>
      </w:r>
      <w:r w:rsidR="0022474E" w:rsidRPr="005E503C" w:rsidDel="009218B4">
        <w:t xml:space="preserve"> </w:t>
      </w:r>
      <w:r w:rsidRPr="005E503C">
        <w:t>A fund payment</w:t>
      </w:r>
      <w:r w:rsidR="004510F8" w:rsidRPr="005E503C">
        <w:t>, broadly,</w:t>
      </w:r>
      <w:r w:rsidRPr="005E503C">
        <w:t xml:space="preserve"> is a distribution </w:t>
      </w:r>
      <w:r w:rsidR="00470027" w:rsidRPr="005E503C">
        <w:t xml:space="preserve">or attribution </w:t>
      </w:r>
      <w:r w:rsidR="009218B4" w:rsidRPr="005E503C">
        <w:t xml:space="preserve">by a MIT of its net income from Australian sources (other than dividends, interest and royalties) </w:t>
      </w:r>
      <w:r w:rsidRPr="005E503C">
        <w:t>and capital gains</w:t>
      </w:r>
      <w:r w:rsidR="009218B4" w:rsidRPr="005E503C">
        <w:t xml:space="preserve"> </w:t>
      </w:r>
      <w:r w:rsidRPr="005E503C">
        <w:t xml:space="preserve">from taxable Australian property. </w:t>
      </w:r>
    </w:p>
    <w:p w14:paraId="130B4A13" w14:textId="34DA32AD" w:rsidR="00526939" w:rsidRPr="005E503C" w:rsidRDefault="00A24638" w:rsidP="00C731CB">
      <w:pPr>
        <w:pStyle w:val="base-text-paragraph"/>
        <w:numPr>
          <w:ilvl w:val="1"/>
          <w:numId w:val="4"/>
        </w:numPr>
      </w:pPr>
      <w:r w:rsidRPr="005E503C">
        <w:t>The concessional MIT final withholding tax rate is prescribed in paragraph 4(1</w:t>
      </w:r>
      <w:proofErr w:type="gramStart"/>
      <w:r w:rsidRPr="005E503C">
        <w:t>)(</w:t>
      </w:r>
      <w:proofErr w:type="gramEnd"/>
      <w:r w:rsidRPr="005E503C">
        <w:t xml:space="preserve">a) of the </w:t>
      </w:r>
      <w:r w:rsidR="00D74336" w:rsidRPr="005E503C">
        <w:rPr>
          <w:i/>
        </w:rPr>
        <w:t xml:space="preserve">Income Tax (Managed Investment Trust Withholding Tax) Act 2008 </w:t>
      </w:r>
      <w:r w:rsidR="00BB004C" w:rsidRPr="005E503C">
        <w:t>(</w:t>
      </w:r>
      <w:r w:rsidRPr="005E503C">
        <w:t>ITMITA 2008</w:t>
      </w:r>
      <w:r w:rsidR="00BB004C" w:rsidRPr="005E503C">
        <w:t>)</w:t>
      </w:r>
      <w:r w:rsidR="00B475CF" w:rsidRPr="005E503C">
        <w:t xml:space="preserve">. Where the fund payment is </w:t>
      </w:r>
      <w:r w:rsidR="001362CA" w:rsidRPr="005E503C">
        <w:t xml:space="preserve">from a MIT investing in affordable housing </w:t>
      </w:r>
      <w:r w:rsidR="00B475CF" w:rsidRPr="005E503C">
        <w:t xml:space="preserve">the rate of the final withholding tax is 30 per cent. The rate is reduced to 15 per cent where the recipient of the fund payment is </w:t>
      </w:r>
      <w:r w:rsidR="00DA6055" w:rsidRPr="005E503C">
        <w:t xml:space="preserve">resident </w:t>
      </w:r>
      <w:r w:rsidR="00B475CF" w:rsidRPr="005E503C">
        <w:t xml:space="preserve">in an information exchange country as listed in Regulation 44E of the </w:t>
      </w:r>
      <w:r w:rsidR="00B475CF" w:rsidRPr="005E503C">
        <w:rPr>
          <w:i/>
        </w:rPr>
        <w:t>Taxation Administration Regulations 1976</w:t>
      </w:r>
      <w:r w:rsidR="00B475CF" w:rsidRPr="005E503C">
        <w:t>.</w:t>
      </w:r>
    </w:p>
    <w:p w14:paraId="1BF29AB6" w14:textId="0C3D728D" w:rsidR="004F7DA1" w:rsidRPr="005E503C" w:rsidRDefault="004F7DA1" w:rsidP="00C731CB">
      <w:pPr>
        <w:pStyle w:val="base-text-paragraph"/>
        <w:numPr>
          <w:ilvl w:val="1"/>
          <w:numId w:val="4"/>
        </w:numPr>
      </w:pPr>
      <w:r w:rsidRPr="005E503C">
        <w:t xml:space="preserve">The trustee of a MIT </w:t>
      </w:r>
      <w:r w:rsidR="00A06E47" w:rsidRPr="005E503C">
        <w:t>(</w:t>
      </w:r>
      <w:r w:rsidR="004047F4" w:rsidRPr="005E503C">
        <w:t xml:space="preserve">or other entity where the fund payment is </w:t>
      </w:r>
      <w:r w:rsidR="009B087C" w:rsidRPr="005E503C">
        <w:t xml:space="preserve">paid or attributed </w:t>
      </w:r>
      <w:r w:rsidR="004047F4" w:rsidRPr="005E503C">
        <w:t>indirectly through one or more Australian intermediaries</w:t>
      </w:r>
      <w:r w:rsidR="00A06E47" w:rsidRPr="005E503C">
        <w:t>)</w:t>
      </w:r>
      <w:r w:rsidR="004047F4" w:rsidRPr="005E503C">
        <w:t xml:space="preserve"> </w:t>
      </w:r>
      <w:r w:rsidRPr="005E503C">
        <w:t>is required to withhold an amount from a fund payment it makes to an entity with an address outside of Australia (or where the payer is authorised to make payments outside Australia).</w:t>
      </w:r>
      <w:r w:rsidR="004047F4" w:rsidRPr="005E503C">
        <w:t xml:space="preserve"> </w:t>
      </w:r>
      <w:r w:rsidRPr="005E503C">
        <w:t>The MIT withholding rate is prescribed in subsections 12</w:t>
      </w:r>
      <w:r w:rsidR="00526939" w:rsidRPr="005E503C">
        <w:noBreakHyphen/>
      </w:r>
      <w:proofErr w:type="gramStart"/>
      <w:r w:rsidR="000C6F41" w:rsidRPr="005E503C">
        <w:t>385(</w:t>
      </w:r>
      <w:proofErr w:type="gramEnd"/>
      <w:r w:rsidR="000C6F41" w:rsidRPr="005E503C">
        <w:t xml:space="preserve">3), </w:t>
      </w:r>
      <w:r w:rsidRPr="005E503C">
        <w:t>12</w:t>
      </w:r>
      <w:r w:rsidR="00526939" w:rsidRPr="005E503C">
        <w:noBreakHyphen/>
      </w:r>
      <w:r w:rsidRPr="005E503C">
        <w:t>390(3) and</w:t>
      </w:r>
      <w:r w:rsidR="004D57A7" w:rsidRPr="005E503C">
        <w:t> </w:t>
      </w:r>
      <w:r w:rsidRPr="005E503C">
        <w:t>12</w:t>
      </w:r>
      <w:r w:rsidR="00526939" w:rsidRPr="005E503C">
        <w:noBreakHyphen/>
      </w:r>
      <w:r w:rsidRPr="005E503C">
        <w:t>390(6) of Schedule</w:t>
      </w:r>
      <w:r w:rsidR="00BC2953" w:rsidRPr="005E503C">
        <w:t> </w:t>
      </w:r>
      <w:r w:rsidRPr="005E503C">
        <w:t>1 to the TAA</w:t>
      </w:r>
      <w:r w:rsidR="000C6F41" w:rsidRPr="005E503C">
        <w:t> </w:t>
      </w:r>
      <w:r w:rsidRPr="005E503C">
        <w:t>1953.</w:t>
      </w:r>
      <w:r w:rsidR="00CE3921" w:rsidRPr="005E503C">
        <w:t xml:space="preserve"> </w:t>
      </w:r>
      <w:r w:rsidR="006909FD" w:rsidRPr="005E503C">
        <w:t xml:space="preserve">Generally the rate at which </w:t>
      </w:r>
      <w:r w:rsidR="006909FD" w:rsidRPr="005E503C">
        <w:lastRenderedPageBreak/>
        <w:t>the MIT or other entity withholds is the same as the MIT final withholding tax rate.</w:t>
      </w:r>
    </w:p>
    <w:p w14:paraId="1C9145CA" w14:textId="238F58B9" w:rsidR="009F4B56" w:rsidRPr="005E503C" w:rsidRDefault="00091D90" w:rsidP="00C731CB">
      <w:pPr>
        <w:pStyle w:val="base-text-paragraph"/>
        <w:numPr>
          <w:ilvl w:val="1"/>
          <w:numId w:val="4"/>
        </w:numPr>
      </w:pPr>
      <w:r w:rsidRPr="005E503C">
        <w:t>In relation to affordable housing, t</w:t>
      </w:r>
      <w:r w:rsidR="00FC5926" w:rsidRPr="005E503C">
        <w:t xml:space="preserve">he concessional rate of MIT withholding </w:t>
      </w:r>
      <w:r w:rsidR="00556667" w:rsidRPr="005E503C">
        <w:t>tax of 15 per cent will apply to fund payments to the extent that they are payments or attributions of:</w:t>
      </w:r>
    </w:p>
    <w:p w14:paraId="2DBEF9E1" w14:textId="58E030E4" w:rsidR="00556667" w:rsidRPr="005E503C" w:rsidRDefault="00556667" w:rsidP="00556667">
      <w:pPr>
        <w:pStyle w:val="dotpoint"/>
      </w:pPr>
      <w:r w:rsidRPr="005E503C">
        <w:t xml:space="preserve">affordable housing rental income; or </w:t>
      </w:r>
    </w:p>
    <w:p w14:paraId="1284EDC7" w14:textId="2063FE77" w:rsidR="00556667" w:rsidRPr="005E503C" w:rsidRDefault="00556667" w:rsidP="00556667">
      <w:pPr>
        <w:pStyle w:val="dotpoint"/>
      </w:pPr>
      <w:proofErr w:type="gramStart"/>
      <w:r w:rsidRPr="005E503C">
        <w:t>gains</w:t>
      </w:r>
      <w:proofErr w:type="gramEnd"/>
      <w:r w:rsidRPr="005E503C">
        <w:t xml:space="preserve"> </w:t>
      </w:r>
      <w:r w:rsidR="005F0D5D" w:rsidRPr="005E503C">
        <w:t>(capital or revenue gains)</w:t>
      </w:r>
      <w:r w:rsidRPr="005E503C">
        <w:t xml:space="preserve"> realised from dwellings that the MIT has </w:t>
      </w:r>
      <w:r w:rsidR="004E48D2" w:rsidRPr="005E503C">
        <w:t xml:space="preserve">held and </w:t>
      </w:r>
      <w:r w:rsidRPr="005E503C">
        <w:t>used to provide affordable housing for 10 or more years.</w:t>
      </w:r>
    </w:p>
    <w:p w14:paraId="3E9C4F5E" w14:textId="41F657E3" w:rsidR="0098783A" w:rsidRPr="005E503C" w:rsidRDefault="00556667" w:rsidP="00C731CB">
      <w:pPr>
        <w:pStyle w:val="base-text-paragraph"/>
        <w:numPr>
          <w:ilvl w:val="1"/>
          <w:numId w:val="4"/>
        </w:numPr>
      </w:pPr>
      <w:r w:rsidRPr="005E503C">
        <w:t>A withholding rate of 30 per cent (the 15 per cent concessional rate a</w:t>
      </w:r>
      <w:r w:rsidR="00DA6055" w:rsidRPr="005E503C">
        <w:t>nd</w:t>
      </w:r>
      <w:r w:rsidR="00880EF6" w:rsidRPr="005E503C">
        <w:t xml:space="preserve"> an additional</w:t>
      </w:r>
      <w:r w:rsidR="004F7DA1" w:rsidRPr="005E503C">
        <w:t xml:space="preserve"> </w:t>
      </w:r>
      <w:r w:rsidR="00880EF6" w:rsidRPr="005E503C">
        <w:t>15 per cent</w:t>
      </w:r>
      <w:r w:rsidRPr="005E503C">
        <w:t xml:space="preserve"> rate)</w:t>
      </w:r>
      <w:r w:rsidR="00880EF6" w:rsidRPr="005E503C">
        <w:t xml:space="preserve"> applies to</w:t>
      </w:r>
      <w:r w:rsidR="00386E82" w:rsidRPr="005E503C">
        <w:t xml:space="preserve"> </w:t>
      </w:r>
      <w:r w:rsidR="004F7DA1" w:rsidRPr="005E503C">
        <w:t xml:space="preserve">‘fund payments’ from a MIT </w:t>
      </w:r>
      <w:r w:rsidR="009B087C" w:rsidRPr="005E503C">
        <w:t xml:space="preserve">to the extent it is an </w:t>
      </w:r>
      <w:r w:rsidR="006909FD" w:rsidRPr="005E503C">
        <w:t xml:space="preserve">ineligible affordable housing payment. Ineligible affordable housing payments </w:t>
      </w:r>
      <w:r w:rsidR="00DA6055" w:rsidRPr="005E503C">
        <w:t>are amounts paid or attributed from</w:t>
      </w:r>
      <w:r w:rsidR="00880EF6" w:rsidRPr="005E503C">
        <w:t xml:space="preserve"> a gain from a CGT event </w:t>
      </w:r>
      <w:r w:rsidR="004A291F" w:rsidRPr="005E503C">
        <w:t xml:space="preserve">occurring </w:t>
      </w:r>
      <w:r w:rsidR="00880EF6" w:rsidRPr="005E503C">
        <w:t xml:space="preserve">in relation to a CGT asset that is an ownership interest in a dwelling </w:t>
      </w:r>
      <w:r w:rsidR="00112D8E" w:rsidRPr="005E503C">
        <w:t xml:space="preserve">if the dwelling was not used </w:t>
      </w:r>
      <w:r w:rsidR="004A291F" w:rsidRPr="005E503C">
        <w:t xml:space="preserve">by the MIT </w:t>
      </w:r>
      <w:r w:rsidR="00112D8E" w:rsidRPr="005E503C">
        <w:t xml:space="preserve">to provide affordable housing on or after 1 July 2017 for a period </w:t>
      </w:r>
      <w:r w:rsidR="00393483" w:rsidRPr="005E503C">
        <w:t xml:space="preserve">or periods totalling </w:t>
      </w:r>
      <w:r w:rsidR="00112D8E" w:rsidRPr="005E503C">
        <w:t>at least 10 years before the CGT event occurs.</w:t>
      </w:r>
      <w:r w:rsidR="00724C01" w:rsidRPr="005E503C">
        <w:t xml:space="preserve"> </w:t>
      </w:r>
      <w:r w:rsidR="00724C01" w:rsidRPr="005E503C">
        <w:rPr>
          <w:rStyle w:val="Referencingstyle"/>
        </w:rPr>
        <w:t>[Schedule</w:t>
      </w:r>
      <w:r w:rsidR="00CA1311" w:rsidRPr="005E503C">
        <w:rPr>
          <w:rStyle w:val="Referencingstyle"/>
        </w:rPr>
        <w:t xml:space="preserve"> 1</w:t>
      </w:r>
      <w:r w:rsidR="00724C01" w:rsidRPr="005E503C">
        <w:rPr>
          <w:rStyle w:val="Referencingstyle"/>
        </w:rPr>
        <w:t xml:space="preserve">, items </w:t>
      </w:r>
      <w:r w:rsidR="00080E05" w:rsidRPr="005E503C">
        <w:rPr>
          <w:rStyle w:val="Referencingstyle"/>
        </w:rPr>
        <w:t xml:space="preserve">6, 7, </w:t>
      </w:r>
      <w:r w:rsidR="00CA1311" w:rsidRPr="005E503C">
        <w:rPr>
          <w:rStyle w:val="Referencingstyle"/>
        </w:rPr>
        <w:t xml:space="preserve">10 </w:t>
      </w:r>
      <w:r w:rsidR="00724C01" w:rsidRPr="005E503C">
        <w:rPr>
          <w:rStyle w:val="Referencingstyle"/>
        </w:rPr>
        <w:t xml:space="preserve">and </w:t>
      </w:r>
      <w:r w:rsidR="00CA1311" w:rsidRPr="005E503C">
        <w:rPr>
          <w:rStyle w:val="Referencingstyle"/>
        </w:rPr>
        <w:t>11</w:t>
      </w:r>
      <w:r w:rsidR="00BE71FB" w:rsidRPr="005E503C">
        <w:rPr>
          <w:rStyle w:val="Referencingstyle"/>
        </w:rPr>
        <w:t xml:space="preserve"> of the Bill and items 1 and 2 of the ITMIT Bill</w:t>
      </w:r>
      <w:r w:rsidR="00724C01" w:rsidRPr="005E503C">
        <w:rPr>
          <w:rStyle w:val="Referencingstyle"/>
        </w:rPr>
        <w:t xml:space="preserve">, </w:t>
      </w:r>
      <w:r w:rsidR="00080E05" w:rsidRPr="005E503C">
        <w:rPr>
          <w:rStyle w:val="Referencingstyle"/>
        </w:rPr>
        <w:t>section 980</w:t>
      </w:r>
      <w:r w:rsidR="001628C4" w:rsidRPr="005E503C">
        <w:rPr>
          <w:rStyle w:val="Referencingstyle"/>
        </w:rPr>
        <w:noBreakHyphen/>
      </w:r>
      <w:r w:rsidR="00080E05" w:rsidRPr="005E503C">
        <w:rPr>
          <w:rStyle w:val="Referencingstyle"/>
        </w:rPr>
        <w:t>100 and subsection</w:t>
      </w:r>
      <w:r w:rsidR="003250B8" w:rsidRPr="005E503C">
        <w:rPr>
          <w:rStyle w:val="Referencingstyle"/>
        </w:rPr>
        <w:t xml:space="preserve"> </w:t>
      </w:r>
      <w:r w:rsidR="00080E05" w:rsidRPr="005E503C">
        <w:rPr>
          <w:rStyle w:val="Referencingstyle"/>
        </w:rPr>
        <w:t>995</w:t>
      </w:r>
      <w:r w:rsidR="001628C4" w:rsidRPr="005E503C">
        <w:rPr>
          <w:rStyle w:val="Referencingstyle"/>
        </w:rPr>
        <w:noBreakHyphen/>
      </w:r>
      <w:r w:rsidR="00080E05" w:rsidRPr="005E503C">
        <w:rPr>
          <w:rStyle w:val="Referencingstyle"/>
        </w:rPr>
        <w:t xml:space="preserve">1(1) of the ITAA 1997, </w:t>
      </w:r>
      <w:r w:rsidR="00724C01" w:rsidRPr="005E503C">
        <w:rPr>
          <w:rStyle w:val="Referencingstyle"/>
        </w:rPr>
        <w:t>subsections</w:t>
      </w:r>
      <w:r w:rsidR="001628C4" w:rsidRPr="005E503C">
        <w:rPr>
          <w:rStyle w:val="Referencingstyle"/>
        </w:rPr>
        <w:t> </w:t>
      </w:r>
      <w:r w:rsidR="00724C01" w:rsidRPr="005E503C">
        <w:rPr>
          <w:rStyle w:val="Referencingstyle"/>
        </w:rPr>
        <w:t>12</w:t>
      </w:r>
      <w:r w:rsidR="001628C4" w:rsidRPr="005E503C">
        <w:rPr>
          <w:rStyle w:val="Referencingstyle"/>
        </w:rPr>
        <w:noBreakHyphen/>
      </w:r>
      <w:r w:rsidR="00724C01" w:rsidRPr="005E503C">
        <w:rPr>
          <w:rStyle w:val="Referencingstyle"/>
        </w:rPr>
        <w:t>385(3A), 12</w:t>
      </w:r>
      <w:r w:rsidR="001628C4" w:rsidRPr="005E503C">
        <w:rPr>
          <w:rStyle w:val="Referencingstyle"/>
        </w:rPr>
        <w:noBreakHyphen/>
      </w:r>
      <w:r w:rsidR="00724C01" w:rsidRPr="005E503C">
        <w:rPr>
          <w:rStyle w:val="Referencingstyle"/>
        </w:rPr>
        <w:t>390(3A) and 12</w:t>
      </w:r>
      <w:r w:rsidR="001628C4" w:rsidRPr="005E503C">
        <w:rPr>
          <w:rStyle w:val="Referencingstyle"/>
        </w:rPr>
        <w:noBreakHyphen/>
      </w:r>
      <w:r w:rsidR="00724C01" w:rsidRPr="005E503C">
        <w:rPr>
          <w:rStyle w:val="Referencingstyle"/>
        </w:rPr>
        <w:t>390(6A) of Schedule 1 to the TAA 1953</w:t>
      </w:r>
      <w:r w:rsidR="004D57A7" w:rsidRPr="005E503C">
        <w:rPr>
          <w:rStyle w:val="Referencingstyle"/>
        </w:rPr>
        <w:t xml:space="preserve"> and section 2A and subsection 4(1) of the ITMITA 2008</w:t>
      </w:r>
      <w:r w:rsidR="00724C01" w:rsidRPr="005E503C">
        <w:rPr>
          <w:rStyle w:val="Referencingstyle"/>
        </w:rPr>
        <w:t>]</w:t>
      </w:r>
    </w:p>
    <w:p w14:paraId="77012F4E" w14:textId="7DD6BA2F" w:rsidR="00F048D0" w:rsidRPr="005E503C" w:rsidRDefault="00413AED" w:rsidP="00C15305">
      <w:pPr>
        <w:pStyle w:val="ExampleHeading"/>
      </w:pPr>
      <w:r w:rsidRPr="005E503C">
        <w:t xml:space="preserve"> </w:t>
      </w:r>
      <w:r w:rsidR="006E1FCC" w:rsidRPr="005E503C">
        <w:t>—</w:t>
      </w:r>
      <w:r w:rsidRPr="005E503C">
        <w:t xml:space="preserve"> </w:t>
      </w:r>
      <w:r w:rsidR="00D571A6" w:rsidRPr="005E503C">
        <w:t>Fund payments made by a MIT</w:t>
      </w:r>
    </w:p>
    <w:p w14:paraId="5CA2780F" w14:textId="63466352" w:rsidR="00213177" w:rsidRPr="005E503C" w:rsidRDefault="00213177" w:rsidP="00413AED">
      <w:pPr>
        <w:pStyle w:val="exampletext"/>
      </w:pPr>
      <w:r w:rsidRPr="005E503C">
        <w:t xml:space="preserve">The MNO MIT has invested in dwellings </w:t>
      </w:r>
      <w:r w:rsidR="00AD6E03" w:rsidRPr="005E503C">
        <w:t xml:space="preserve">using them </w:t>
      </w:r>
      <w:r w:rsidRPr="005E503C">
        <w:t>to provide affordable housing primarily for the purpose of earning rent for a number of years.</w:t>
      </w:r>
    </w:p>
    <w:p w14:paraId="399658B1" w14:textId="6C30B776" w:rsidR="00ED2BC2" w:rsidRPr="005E503C" w:rsidRDefault="00213177" w:rsidP="00413AED">
      <w:pPr>
        <w:pStyle w:val="exampletext"/>
      </w:pPr>
      <w:r w:rsidRPr="005E503C">
        <w:t>In the 2033</w:t>
      </w:r>
      <w:r w:rsidR="001628C4" w:rsidRPr="005E503C">
        <w:noBreakHyphen/>
      </w:r>
      <w:r w:rsidRPr="005E503C">
        <w:t xml:space="preserve">34 income year </w:t>
      </w:r>
      <w:r w:rsidR="00C23133" w:rsidRPr="005E503C">
        <w:t xml:space="preserve">the MNO MIT </w:t>
      </w:r>
      <w:r w:rsidR="00641D4C" w:rsidRPr="005E503C">
        <w:t>has</w:t>
      </w:r>
      <w:r w:rsidR="00C23133" w:rsidRPr="005E503C">
        <w:t xml:space="preserve"> the following </w:t>
      </w:r>
      <w:r w:rsidR="00B82E39" w:rsidRPr="005E503C">
        <w:t xml:space="preserve">assessable </w:t>
      </w:r>
      <w:r w:rsidR="00C23133" w:rsidRPr="005E503C">
        <w:t>income:</w:t>
      </w:r>
    </w:p>
    <w:p w14:paraId="5DB70F34" w14:textId="2B18BB25" w:rsidR="00C23133" w:rsidRPr="005E503C" w:rsidRDefault="00C23133" w:rsidP="007D2E86">
      <w:pPr>
        <w:pStyle w:val="exampledotpoint1"/>
      </w:pPr>
      <w:r w:rsidRPr="005E503C">
        <w:t>$100,000 of affordable housing rental income;</w:t>
      </w:r>
    </w:p>
    <w:p w14:paraId="0BB49DDC" w14:textId="4DFC727B" w:rsidR="00C23133" w:rsidRPr="005E503C" w:rsidRDefault="00363B43" w:rsidP="007D2E86">
      <w:pPr>
        <w:pStyle w:val="exampledotpoint1"/>
      </w:pPr>
      <w:r w:rsidRPr="005E503C">
        <w:t xml:space="preserve">a </w:t>
      </w:r>
      <w:r w:rsidR="00C23133" w:rsidRPr="005E503C">
        <w:t>$</w:t>
      </w:r>
      <w:r w:rsidR="000115F2" w:rsidRPr="005E503C">
        <w:t>5</w:t>
      </w:r>
      <w:r w:rsidR="00C23133" w:rsidRPr="005E503C">
        <w:t xml:space="preserve">0,000 capital gain resulting from the sale of the Blue Housing Flats </w:t>
      </w:r>
      <w:r w:rsidR="000115F2" w:rsidRPr="005E503C">
        <w:t xml:space="preserve">in </w:t>
      </w:r>
      <w:r w:rsidR="00C23133" w:rsidRPr="005E503C">
        <w:t xml:space="preserve">which </w:t>
      </w:r>
      <w:r w:rsidR="000115F2" w:rsidRPr="005E503C">
        <w:t xml:space="preserve">all of the </w:t>
      </w:r>
      <w:r w:rsidR="00C23133" w:rsidRPr="005E503C">
        <w:t xml:space="preserve">dwellings </w:t>
      </w:r>
      <w:r w:rsidR="000115F2" w:rsidRPr="005E503C">
        <w:t xml:space="preserve">have been used </w:t>
      </w:r>
      <w:r w:rsidR="00C23133" w:rsidRPr="005E503C">
        <w:t xml:space="preserve">to provide affordable housing for </w:t>
      </w:r>
      <w:r w:rsidR="004A291F" w:rsidRPr="005E503C">
        <w:t>9</w:t>
      </w:r>
      <w:r w:rsidR="00C23133" w:rsidRPr="005E503C">
        <w:t xml:space="preserve"> years</w:t>
      </w:r>
      <w:r w:rsidRPr="005E503C">
        <w:t>; and</w:t>
      </w:r>
    </w:p>
    <w:p w14:paraId="282AC2B5" w14:textId="5064736E" w:rsidR="000115F2" w:rsidRPr="005E503C" w:rsidRDefault="00641D4C" w:rsidP="007D2E86">
      <w:pPr>
        <w:pStyle w:val="exampledotpoint1"/>
      </w:pPr>
      <w:proofErr w:type="gramStart"/>
      <w:r w:rsidRPr="005E503C">
        <w:t>a</w:t>
      </w:r>
      <w:proofErr w:type="gramEnd"/>
      <w:r w:rsidR="00363B43" w:rsidRPr="005E503C">
        <w:t xml:space="preserve"> </w:t>
      </w:r>
      <w:r w:rsidR="000115F2" w:rsidRPr="005E503C">
        <w:t>$300,000 capital gain resulting from the sale of the Yellow Housing Flats in which all of the dwellings have been used to provide affordable housing for 1</w:t>
      </w:r>
      <w:r w:rsidR="004A291F" w:rsidRPr="005E503C">
        <w:t>5</w:t>
      </w:r>
      <w:r w:rsidR="000115F2" w:rsidRPr="005E503C">
        <w:t xml:space="preserve"> years.</w:t>
      </w:r>
    </w:p>
    <w:p w14:paraId="0E286C8F" w14:textId="111B0A10" w:rsidR="00550217" w:rsidRPr="005E503C" w:rsidRDefault="006E51F3" w:rsidP="00550217">
      <w:pPr>
        <w:pStyle w:val="exampledotpoint1"/>
        <w:numPr>
          <w:ilvl w:val="0"/>
          <w:numId w:val="0"/>
        </w:numPr>
        <w:ind w:left="1985"/>
      </w:pPr>
      <w:r w:rsidRPr="005E503C">
        <w:t>T</w:t>
      </w:r>
      <w:r w:rsidR="00550217" w:rsidRPr="005E503C">
        <w:t xml:space="preserve">he whole of the income </w:t>
      </w:r>
      <w:r w:rsidR="004A291F" w:rsidRPr="005E503C">
        <w:t xml:space="preserve">and capital gains of </w:t>
      </w:r>
      <w:r w:rsidR="00550217" w:rsidRPr="005E503C">
        <w:t xml:space="preserve">the MNO MIT </w:t>
      </w:r>
      <w:r w:rsidR="00E414A3" w:rsidRPr="005E503C">
        <w:t>for</w:t>
      </w:r>
      <w:r w:rsidR="00550217" w:rsidRPr="005E503C">
        <w:t xml:space="preserve"> the 2033</w:t>
      </w:r>
      <w:r w:rsidR="001628C4" w:rsidRPr="005E503C">
        <w:noBreakHyphen/>
      </w:r>
      <w:r w:rsidR="00550217" w:rsidRPr="005E503C">
        <w:t xml:space="preserve">34 income year </w:t>
      </w:r>
      <w:r w:rsidRPr="005E503C">
        <w:t>is</w:t>
      </w:r>
      <w:r w:rsidR="00550217" w:rsidRPr="005E503C">
        <w:t xml:space="preserve"> paid out to </w:t>
      </w:r>
      <w:r w:rsidRPr="005E503C">
        <w:t xml:space="preserve">its </w:t>
      </w:r>
      <w:r w:rsidR="00550217" w:rsidRPr="005E503C">
        <w:t>members.</w:t>
      </w:r>
    </w:p>
    <w:p w14:paraId="08EB3437" w14:textId="59FAF188" w:rsidR="00B22C2B" w:rsidRPr="005E503C" w:rsidRDefault="00550217" w:rsidP="00A75A75">
      <w:pPr>
        <w:pStyle w:val="exampledotpoint1"/>
        <w:numPr>
          <w:ilvl w:val="0"/>
          <w:numId w:val="0"/>
        </w:numPr>
        <w:ind w:left="1985"/>
      </w:pPr>
      <w:r w:rsidRPr="005E503C">
        <w:t>W</w:t>
      </w:r>
      <w:r w:rsidR="00B22C2B" w:rsidRPr="005E503C">
        <w:t xml:space="preserve">ithholding </w:t>
      </w:r>
      <w:r w:rsidRPr="005E503C">
        <w:t xml:space="preserve">at the </w:t>
      </w:r>
      <w:r w:rsidR="00B22C2B" w:rsidRPr="005E503C">
        <w:t>rate of 15 per cent applies to all components of fund payments the MNO MIT distributes to members who are residents of countries which are exchange of information countries.</w:t>
      </w:r>
    </w:p>
    <w:p w14:paraId="7333DE88" w14:textId="1BFF0CEA" w:rsidR="00ED2BC2" w:rsidRPr="005E503C" w:rsidRDefault="00550217" w:rsidP="00413AED">
      <w:pPr>
        <w:pStyle w:val="exampletext"/>
      </w:pPr>
      <w:r w:rsidRPr="005E503C">
        <w:lastRenderedPageBreak/>
        <w:t>A</w:t>
      </w:r>
      <w:r w:rsidR="00B22C2B" w:rsidRPr="005E503C">
        <w:t xml:space="preserve">dditional withholding </w:t>
      </w:r>
      <w:r w:rsidRPr="005E503C">
        <w:t xml:space="preserve">at the </w:t>
      </w:r>
      <w:r w:rsidR="00B22C2B" w:rsidRPr="005E503C">
        <w:t xml:space="preserve">rate of </w:t>
      </w:r>
      <w:r w:rsidRPr="005E503C">
        <w:t>15 per cent (in addition to the withholding of 15 per cent that applies to the whole of the fund payment) applies to any part of the fund payment that is an ineligible affordable housing gain</w:t>
      </w:r>
      <w:r w:rsidR="00770B5B" w:rsidRPr="005E503C">
        <w:t xml:space="preserve"> that the MNO MIT distributes to members who are residents of countries which are exchange of information countries</w:t>
      </w:r>
      <w:r w:rsidRPr="005E503C">
        <w:t xml:space="preserve">. For the MNO MIT, this applies to the component of the fund payment that is comprised of the </w:t>
      </w:r>
      <w:r w:rsidR="004E48D2" w:rsidRPr="005E503C">
        <w:t xml:space="preserve">part of the net </w:t>
      </w:r>
      <w:r w:rsidRPr="005E503C">
        <w:t xml:space="preserve">capital gain from the sale of the Blue Housing Flats. This is because </w:t>
      </w:r>
      <w:r w:rsidR="00061C87" w:rsidRPr="005E503C">
        <w:t>those dwellings</w:t>
      </w:r>
      <w:r w:rsidRPr="005E503C">
        <w:t xml:space="preserve"> had not been used to provide affordable housing for the purpose, or principally for the purpose, of deriving rent for a</w:t>
      </w:r>
      <w:r w:rsidR="009D4049" w:rsidRPr="005E503C">
        <w:t xml:space="preserve"> period or periods totalling a</w:t>
      </w:r>
      <w:r w:rsidRPr="005E503C">
        <w:t>t least 3,650 days (10 years).</w:t>
      </w:r>
    </w:p>
    <w:p w14:paraId="3730E62A" w14:textId="34323648" w:rsidR="00B22C2B" w:rsidRPr="005E503C" w:rsidRDefault="00550217" w:rsidP="00413AED">
      <w:pPr>
        <w:pStyle w:val="exampletext"/>
      </w:pPr>
      <w:r w:rsidRPr="005E503C">
        <w:t>W</w:t>
      </w:r>
      <w:r w:rsidR="00B22C2B" w:rsidRPr="005E503C">
        <w:t xml:space="preserve">ithholding </w:t>
      </w:r>
      <w:r w:rsidRPr="005E503C">
        <w:t xml:space="preserve">at the </w:t>
      </w:r>
      <w:r w:rsidR="00B22C2B" w:rsidRPr="005E503C">
        <w:t>rate of 30 per cent applies to any fund payments the MNO MIT distributes to members who are residents of countries which are not exchange of information countries.</w:t>
      </w:r>
    </w:p>
    <w:p w14:paraId="276D70B4" w14:textId="70AB3461" w:rsidR="0099527F" w:rsidRPr="005E503C" w:rsidRDefault="0099527F" w:rsidP="00413AED">
      <w:pPr>
        <w:pStyle w:val="exampletext"/>
      </w:pPr>
      <w:r w:rsidRPr="005E503C">
        <w:t xml:space="preserve">Withholding does not apply to fund payments made to members who are Australian residents (for taxation purposes). However they will need to include fund payments they receive in their assessable income (applying the same </w:t>
      </w:r>
      <w:r w:rsidR="00D15478" w:rsidRPr="005E503C">
        <w:t xml:space="preserve">tax </w:t>
      </w:r>
      <w:r w:rsidRPr="005E503C">
        <w:t>characteristics to those payments that they had for the MIT).</w:t>
      </w:r>
    </w:p>
    <w:p w14:paraId="3F0C9656" w14:textId="6D508222" w:rsidR="009B087C" w:rsidRPr="005E503C" w:rsidRDefault="0052454E" w:rsidP="00BA14C0">
      <w:pPr>
        <w:pStyle w:val="base-text-paragraph"/>
      </w:pPr>
      <w:r w:rsidRPr="005E503C">
        <w:t xml:space="preserve">No changes are made to </w:t>
      </w:r>
      <w:r w:rsidR="009B087C" w:rsidRPr="005E503C">
        <w:t xml:space="preserve">the following </w:t>
      </w:r>
      <w:r w:rsidR="002C5E9A" w:rsidRPr="005E503C">
        <w:t xml:space="preserve">withholding rates </w:t>
      </w:r>
      <w:r w:rsidR="009B087C" w:rsidRPr="005E503C">
        <w:t xml:space="preserve">that apply </w:t>
      </w:r>
      <w:r w:rsidR="002C5E9A" w:rsidRPr="005E503C">
        <w:t>to</w:t>
      </w:r>
      <w:r w:rsidR="009B087C" w:rsidRPr="005E503C">
        <w:t xml:space="preserve"> members who are foreign residents </w:t>
      </w:r>
      <w:r w:rsidR="002C5E9A" w:rsidRPr="005E503C">
        <w:t>but</w:t>
      </w:r>
      <w:r w:rsidR="009B087C" w:rsidRPr="005E503C">
        <w:t xml:space="preserve"> are not residents of exchange of information countries:</w:t>
      </w:r>
    </w:p>
    <w:p w14:paraId="5E01F560" w14:textId="674FCA74" w:rsidR="009B087C" w:rsidRPr="005E503C" w:rsidRDefault="009B087C" w:rsidP="0047329A">
      <w:pPr>
        <w:pStyle w:val="dotpoint"/>
      </w:pPr>
      <w:r w:rsidRPr="005E503C">
        <w:t xml:space="preserve">the 30 per cent </w:t>
      </w:r>
      <w:r w:rsidR="002C5E9A" w:rsidRPr="005E503C">
        <w:t xml:space="preserve">final </w:t>
      </w:r>
      <w:r w:rsidRPr="005E503C">
        <w:t>withholding tax rate</w:t>
      </w:r>
      <w:r w:rsidR="002C5E9A" w:rsidRPr="005E503C">
        <w:t xml:space="preserve"> that applies to those foreign residents</w:t>
      </w:r>
      <w:r w:rsidRPr="005E503C">
        <w:t xml:space="preserve">; or </w:t>
      </w:r>
    </w:p>
    <w:p w14:paraId="364C20D8" w14:textId="3EA098AB" w:rsidR="00037D23" w:rsidRPr="005E503C" w:rsidRDefault="009B087C">
      <w:pPr>
        <w:pStyle w:val="dotpoint"/>
      </w:pPr>
      <w:proofErr w:type="gramStart"/>
      <w:r w:rsidRPr="005E503C">
        <w:t>the</w:t>
      </w:r>
      <w:proofErr w:type="gramEnd"/>
      <w:r w:rsidRPr="005E503C">
        <w:t xml:space="preserve"> 30 per cent withholding rate that MITs must apply to fund payments that they make or attribute to </w:t>
      </w:r>
      <w:r w:rsidR="002B4DB2" w:rsidRPr="005E503C">
        <w:t>these members.</w:t>
      </w:r>
    </w:p>
    <w:p w14:paraId="0EB47B05" w14:textId="27B052C7" w:rsidR="00144851" w:rsidRPr="005E503C" w:rsidRDefault="00144851" w:rsidP="00B17774">
      <w:pPr>
        <w:pStyle w:val="Heading2"/>
      </w:pPr>
      <w:r w:rsidRPr="005E503C">
        <w:t>Application and transitional provisions</w:t>
      </w:r>
    </w:p>
    <w:p w14:paraId="36508E55" w14:textId="10F9001F" w:rsidR="00FB2445" w:rsidRPr="005E503C" w:rsidRDefault="00FB2445" w:rsidP="00C731CB">
      <w:pPr>
        <w:pStyle w:val="base-text-paragraph"/>
        <w:numPr>
          <w:ilvl w:val="1"/>
          <w:numId w:val="4"/>
        </w:numPr>
      </w:pPr>
      <w:r w:rsidRPr="005E503C">
        <w:t xml:space="preserve">The amendment to the definition of public trading trust applies in relation to years of income commencing on or after 1 July 2017. </w:t>
      </w:r>
      <w:r w:rsidRPr="005E503C">
        <w:rPr>
          <w:rStyle w:val="Referencingstyle"/>
        </w:rPr>
        <w:t>[Schedule</w:t>
      </w:r>
      <w:r w:rsidR="006B7747" w:rsidRPr="005E503C">
        <w:rPr>
          <w:rStyle w:val="Referencingstyle"/>
        </w:rPr>
        <w:t xml:space="preserve"> 2</w:t>
      </w:r>
      <w:r w:rsidRPr="005E503C">
        <w:rPr>
          <w:rStyle w:val="Referencingstyle"/>
        </w:rPr>
        <w:t xml:space="preserve">, </w:t>
      </w:r>
      <w:proofErr w:type="spellStart"/>
      <w:r w:rsidRPr="005E503C">
        <w:rPr>
          <w:rStyle w:val="Referencingstyle"/>
        </w:rPr>
        <w:t>subitem</w:t>
      </w:r>
      <w:proofErr w:type="spellEnd"/>
      <w:r w:rsidRPr="005E503C">
        <w:rPr>
          <w:rStyle w:val="Referencingstyle"/>
        </w:rPr>
        <w:t xml:space="preserve"> </w:t>
      </w:r>
      <w:r w:rsidR="007A53FF" w:rsidRPr="005E503C">
        <w:rPr>
          <w:rStyle w:val="Referencingstyle"/>
        </w:rPr>
        <w:t>12(</w:t>
      </w:r>
      <w:r w:rsidR="006B7747" w:rsidRPr="005E503C">
        <w:rPr>
          <w:rStyle w:val="Referencingstyle"/>
        </w:rPr>
        <w:t>1</w:t>
      </w:r>
      <w:r w:rsidR="007A53FF" w:rsidRPr="005E503C">
        <w:rPr>
          <w:rStyle w:val="Referencingstyle"/>
        </w:rPr>
        <w:t>)</w:t>
      </w:r>
      <w:r w:rsidRPr="005E503C">
        <w:rPr>
          <w:rStyle w:val="Referencingstyle"/>
        </w:rPr>
        <w:t>]</w:t>
      </w:r>
    </w:p>
    <w:p w14:paraId="5E042FCE" w14:textId="57C51A14" w:rsidR="00572020" w:rsidRPr="005E503C" w:rsidRDefault="00572020" w:rsidP="00C731CB">
      <w:pPr>
        <w:pStyle w:val="base-text-paragraph"/>
        <w:numPr>
          <w:ilvl w:val="1"/>
          <w:numId w:val="4"/>
        </w:numPr>
      </w:pPr>
      <w:r w:rsidRPr="005E503C">
        <w:t xml:space="preserve">The amendments to </w:t>
      </w:r>
      <w:r w:rsidR="009B5A2C" w:rsidRPr="005E503C">
        <w:t xml:space="preserve">clarify that </w:t>
      </w:r>
      <w:r w:rsidRPr="005E503C">
        <w:t xml:space="preserve">MITs </w:t>
      </w:r>
      <w:r w:rsidR="009B5A2C" w:rsidRPr="005E503C">
        <w:t>can only</w:t>
      </w:r>
      <w:r w:rsidRPr="005E503C">
        <w:t xml:space="preserve"> invest in dwellings that are residential premises </w:t>
      </w:r>
      <w:r w:rsidR="007E518D" w:rsidRPr="005E503C">
        <w:t xml:space="preserve">(but not commercial residential premises) </w:t>
      </w:r>
      <w:r w:rsidRPr="005E503C">
        <w:t xml:space="preserve">in certain circumstances </w:t>
      </w:r>
      <w:r w:rsidR="002537AA" w:rsidRPr="005E503C">
        <w:t xml:space="preserve">and the associated transitional rule (refer to paragraph </w:t>
      </w:r>
      <w:r w:rsidR="007A53FF" w:rsidRPr="005E503C">
        <w:t>2</w:t>
      </w:r>
      <w:r w:rsidR="002537AA" w:rsidRPr="005E503C">
        <w:t>.</w:t>
      </w:r>
      <w:r w:rsidR="00342AA9" w:rsidRPr="005E503C">
        <w:t>51</w:t>
      </w:r>
      <w:r w:rsidR="00FB2445" w:rsidRPr="005E503C">
        <w:t xml:space="preserve"> to </w:t>
      </w:r>
      <w:r w:rsidR="007A53FF" w:rsidRPr="005E503C">
        <w:t>2</w:t>
      </w:r>
      <w:r w:rsidR="00FB2445" w:rsidRPr="005E503C">
        <w:t>.</w:t>
      </w:r>
      <w:r w:rsidR="00342AA9" w:rsidRPr="005E503C">
        <w:t>56</w:t>
      </w:r>
      <w:r w:rsidR="002537AA" w:rsidRPr="005E503C">
        <w:t xml:space="preserve">) </w:t>
      </w:r>
      <w:r w:rsidRPr="005E503C">
        <w:t xml:space="preserve">apply </w:t>
      </w:r>
      <w:r w:rsidR="007E518D" w:rsidRPr="005E503C">
        <w:t xml:space="preserve">in relation to income years commencing </w:t>
      </w:r>
      <w:r w:rsidRPr="005E503C">
        <w:t>on and a</w:t>
      </w:r>
      <w:r w:rsidR="00285652" w:rsidRPr="005E503C">
        <w:t>fter</w:t>
      </w:r>
      <w:r w:rsidRPr="005E503C">
        <w:t xml:space="preserve"> 1 July 2017. </w:t>
      </w:r>
      <w:r w:rsidRPr="005E503C">
        <w:rPr>
          <w:rStyle w:val="Referencingstyle"/>
        </w:rPr>
        <w:t xml:space="preserve">[Schedule </w:t>
      </w:r>
      <w:r w:rsidR="007A53FF" w:rsidRPr="005E503C">
        <w:rPr>
          <w:rStyle w:val="Referencingstyle"/>
        </w:rPr>
        <w:t>2</w:t>
      </w:r>
      <w:r w:rsidRPr="005E503C">
        <w:rPr>
          <w:rStyle w:val="Referencingstyle"/>
        </w:rPr>
        <w:t xml:space="preserve">, </w:t>
      </w:r>
      <w:proofErr w:type="spellStart"/>
      <w:r w:rsidRPr="005E503C">
        <w:rPr>
          <w:rStyle w:val="Referencingstyle"/>
        </w:rPr>
        <w:t>subitem</w:t>
      </w:r>
      <w:proofErr w:type="spellEnd"/>
      <w:r w:rsidRPr="005E503C">
        <w:rPr>
          <w:rStyle w:val="Referencingstyle"/>
        </w:rPr>
        <w:t xml:space="preserve"> </w:t>
      </w:r>
      <w:r w:rsidR="007A53FF" w:rsidRPr="005E503C">
        <w:rPr>
          <w:rStyle w:val="Referencingstyle"/>
        </w:rPr>
        <w:t>12(2)</w:t>
      </w:r>
      <w:r w:rsidRPr="005E503C">
        <w:rPr>
          <w:rStyle w:val="Referencingstyle"/>
        </w:rPr>
        <w:t>]</w:t>
      </w:r>
    </w:p>
    <w:p w14:paraId="0E212708" w14:textId="1A22BFA9" w:rsidR="00572020" w:rsidRPr="005E503C" w:rsidRDefault="00572020" w:rsidP="00C731CB">
      <w:pPr>
        <w:pStyle w:val="base-text-paragraph"/>
        <w:numPr>
          <w:ilvl w:val="1"/>
          <w:numId w:val="4"/>
        </w:numPr>
        <w:rPr>
          <w:rStyle w:val="Referencingstyle"/>
          <w:b w:val="0"/>
          <w:i w:val="0"/>
          <w:sz w:val="22"/>
        </w:rPr>
      </w:pPr>
      <w:r w:rsidRPr="005E503C">
        <w:t xml:space="preserve">The amendments </w:t>
      </w:r>
      <w:r w:rsidR="003B720D" w:rsidRPr="005E503C">
        <w:t xml:space="preserve">to the ITMITA 2008 and the TAA 1953 </w:t>
      </w:r>
      <w:r w:rsidRPr="005E503C">
        <w:t>concerning the rate of withholding tax that appl</w:t>
      </w:r>
      <w:r w:rsidR="00F23077" w:rsidRPr="005E503C">
        <w:t>ies</w:t>
      </w:r>
      <w:r w:rsidRPr="005E503C">
        <w:t xml:space="preserve"> to members of MITs who reside in exchange of information countries</w:t>
      </w:r>
      <w:r w:rsidR="00285652" w:rsidRPr="005E503C">
        <w:t xml:space="preserve"> </w:t>
      </w:r>
      <w:r w:rsidR="00F23077" w:rsidRPr="005E503C">
        <w:t>have effect for</w:t>
      </w:r>
      <w:r w:rsidR="00285652" w:rsidRPr="005E503C">
        <w:t xml:space="preserve"> income years commencing on and after 1 July 2017.</w:t>
      </w:r>
      <w:r w:rsidR="00D70EA4" w:rsidRPr="005E503C">
        <w:rPr>
          <w:rStyle w:val="Referencingstyle"/>
        </w:rPr>
        <w:t xml:space="preserve"> [Schedule </w:t>
      </w:r>
      <w:r w:rsidR="0030739C" w:rsidRPr="005E503C">
        <w:rPr>
          <w:rStyle w:val="Referencingstyle"/>
        </w:rPr>
        <w:t>2</w:t>
      </w:r>
      <w:r w:rsidR="00D70EA4" w:rsidRPr="005E503C">
        <w:rPr>
          <w:rStyle w:val="Referencingstyle"/>
        </w:rPr>
        <w:t>,</w:t>
      </w:r>
      <w:r w:rsidR="00527D32" w:rsidRPr="005E503C">
        <w:rPr>
          <w:rStyle w:val="Referencingstyle"/>
        </w:rPr>
        <w:t xml:space="preserve"> </w:t>
      </w:r>
      <w:proofErr w:type="spellStart"/>
      <w:r w:rsidR="0030739C" w:rsidRPr="005E503C">
        <w:rPr>
          <w:rStyle w:val="Referencingstyle"/>
        </w:rPr>
        <w:t>sub</w:t>
      </w:r>
      <w:r w:rsidR="00D70EA4" w:rsidRPr="005E503C">
        <w:rPr>
          <w:rStyle w:val="Referencingstyle"/>
        </w:rPr>
        <w:t>item</w:t>
      </w:r>
      <w:r w:rsidR="0030739C" w:rsidRPr="005E503C">
        <w:rPr>
          <w:rStyle w:val="Referencingstyle"/>
        </w:rPr>
        <w:t>s</w:t>
      </w:r>
      <w:proofErr w:type="spellEnd"/>
      <w:r w:rsidR="00D70EA4" w:rsidRPr="005E503C">
        <w:rPr>
          <w:rStyle w:val="Referencingstyle"/>
        </w:rPr>
        <w:t xml:space="preserve"> </w:t>
      </w:r>
      <w:r w:rsidR="0030739C" w:rsidRPr="005E503C">
        <w:rPr>
          <w:rStyle w:val="Referencingstyle"/>
        </w:rPr>
        <w:t>12(4), (5) and (6)</w:t>
      </w:r>
      <w:r w:rsidR="00396E9C" w:rsidRPr="005E503C">
        <w:rPr>
          <w:rStyle w:val="Referencingstyle"/>
        </w:rPr>
        <w:t xml:space="preserve"> of the Bill</w:t>
      </w:r>
      <w:r w:rsidR="00B6259F" w:rsidRPr="005E503C">
        <w:rPr>
          <w:rStyle w:val="Referencingstyle"/>
        </w:rPr>
        <w:t xml:space="preserve"> and </w:t>
      </w:r>
      <w:r w:rsidR="00396E9C" w:rsidRPr="005E503C">
        <w:rPr>
          <w:rStyle w:val="Referencingstyle"/>
        </w:rPr>
        <w:t>item 3 of the ITMIT Bill</w:t>
      </w:r>
      <w:r w:rsidR="00D70EA4" w:rsidRPr="005E503C">
        <w:rPr>
          <w:rStyle w:val="Referencingstyle"/>
        </w:rPr>
        <w:t>]</w:t>
      </w:r>
    </w:p>
    <w:p w14:paraId="5339CA3F" w14:textId="21295383" w:rsidR="00D84F6A" w:rsidRPr="005E503C" w:rsidRDefault="00D84F6A" w:rsidP="00C731CB">
      <w:pPr>
        <w:pStyle w:val="base-text-paragraph"/>
        <w:numPr>
          <w:ilvl w:val="1"/>
          <w:numId w:val="4"/>
        </w:numPr>
        <w:rPr>
          <w:rStyle w:val="Referencingstyle"/>
          <w:b w:val="0"/>
          <w:i w:val="0"/>
          <w:sz w:val="22"/>
        </w:rPr>
      </w:pPr>
      <w:r w:rsidRPr="005E503C">
        <w:lastRenderedPageBreak/>
        <w:t xml:space="preserve">The amendment to insert the definition of ineligible affordable housing gain into the ITAA 1997 applies </w:t>
      </w:r>
      <w:r w:rsidR="00252CEB" w:rsidRPr="005E503C">
        <w:t>from</w:t>
      </w:r>
      <w:r w:rsidRPr="005E503C">
        <w:t xml:space="preserve"> </w:t>
      </w:r>
      <w:r w:rsidR="00EB3468" w:rsidRPr="005E503C">
        <w:t>the</w:t>
      </w:r>
      <w:r w:rsidRPr="005E503C">
        <w:t xml:space="preserve"> </w:t>
      </w:r>
      <w:r w:rsidR="00726F5C" w:rsidRPr="005E503C">
        <w:t>[</w:t>
      </w:r>
      <w:r w:rsidRPr="005E503C">
        <w:t xml:space="preserve">date of announcement]. This ensures that the additional 15 per cent withholding tax that may otherwise apply to a gain realised from the disposal of a dwelling that was residential premises does not apply if the CGT event from which the gain arose occurred before the time of the announcement. </w:t>
      </w:r>
      <w:r w:rsidRPr="005E503C">
        <w:rPr>
          <w:rStyle w:val="Referencingstyle"/>
        </w:rPr>
        <w:t xml:space="preserve">[Schedule </w:t>
      </w:r>
      <w:r w:rsidR="007F6A4E" w:rsidRPr="005E503C">
        <w:rPr>
          <w:rStyle w:val="Referencingstyle"/>
        </w:rPr>
        <w:t>2</w:t>
      </w:r>
      <w:r w:rsidRPr="005E503C">
        <w:rPr>
          <w:rStyle w:val="Referencingstyle"/>
        </w:rPr>
        <w:t xml:space="preserve">, </w:t>
      </w:r>
      <w:proofErr w:type="spellStart"/>
      <w:r w:rsidRPr="005E503C">
        <w:rPr>
          <w:rStyle w:val="Referencingstyle"/>
        </w:rPr>
        <w:t>subitem</w:t>
      </w:r>
      <w:proofErr w:type="spellEnd"/>
      <w:r w:rsidRPr="005E503C">
        <w:rPr>
          <w:rStyle w:val="Referencingstyle"/>
        </w:rPr>
        <w:t xml:space="preserve"> </w:t>
      </w:r>
      <w:r w:rsidR="0030739C" w:rsidRPr="005E503C">
        <w:rPr>
          <w:rStyle w:val="Referencingstyle"/>
        </w:rPr>
        <w:t>12(3)</w:t>
      </w:r>
      <w:r w:rsidRPr="005E503C">
        <w:rPr>
          <w:rStyle w:val="Referencingstyle"/>
        </w:rPr>
        <w:t>]</w:t>
      </w:r>
    </w:p>
    <w:p w14:paraId="1EBC1D6C" w14:textId="4F3C00ED" w:rsidR="009E7B78" w:rsidRPr="005E503C" w:rsidRDefault="009E7B78" w:rsidP="009E7B78">
      <w:pPr>
        <w:pStyle w:val="base-text-paragraph"/>
        <w:numPr>
          <w:ilvl w:val="1"/>
          <w:numId w:val="4"/>
        </w:numPr>
      </w:pPr>
      <w:r w:rsidRPr="005E503C">
        <w:t xml:space="preserve">Schedule 2 to the Bill and the ITMIT Bill 2017 commence on the first day of the next quarter following the day of Royal Assent. </w:t>
      </w:r>
      <w:r w:rsidRPr="005E503C">
        <w:rPr>
          <w:rStyle w:val="Referencingstyle"/>
        </w:rPr>
        <w:t>[</w:t>
      </w:r>
      <w:r w:rsidR="00726F5C" w:rsidRPr="005E503C">
        <w:rPr>
          <w:rStyle w:val="Referencingstyle"/>
        </w:rPr>
        <w:t>Clause </w:t>
      </w:r>
      <w:r w:rsidRPr="005E503C">
        <w:rPr>
          <w:rStyle w:val="Referencingstyle"/>
        </w:rPr>
        <w:t>2 of the Bill and clause 2 of the ITMIT Bill]</w:t>
      </w:r>
    </w:p>
    <w:p w14:paraId="5036104C" w14:textId="3F3A5161" w:rsidR="00D70EA4" w:rsidRPr="005E503C" w:rsidRDefault="00D70EA4" w:rsidP="00070946">
      <w:pPr>
        <w:pStyle w:val="Heading3"/>
      </w:pPr>
      <w:r w:rsidRPr="005E503C">
        <w:t>Transitional rule concerning investing in dwellings that are residential premises</w:t>
      </w:r>
    </w:p>
    <w:p w14:paraId="5F0E3901" w14:textId="4DAC7B2E" w:rsidR="00344AC1" w:rsidRPr="005E503C" w:rsidRDefault="00344AC1" w:rsidP="00344AC1">
      <w:pPr>
        <w:pStyle w:val="base-text-paragraph"/>
      </w:pPr>
      <w:r w:rsidRPr="005E503C">
        <w:t xml:space="preserve">The amendments to clarify that MITs can only invest in dwellings that are residential premises (but not commercial residential premises) in certain circumstances (see paragraphs 2.19 to 2.28) are intended to give effect to the longstanding interpretation of the law that investment in residential premises is primarily motivated by the pursuit of capital gains. </w:t>
      </w:r>
    </w:p>
    <w:p w14:paraId="3FADCDC7" w14:textId="77777777" w:rsidR="00344AC1" w:rsidRPr="005E503C" w:rsidRDefault="00344AC1" w:rsidP="00344AC1">
      <w:pPr>
        <w:pStyle w:val="base-text-paragraph"/>
      </w:pPr>
      <w:r w:rsidRPr="005E503C">
        <w:t>The amendments also help to better target tax concessions for foreign investors and are consistent with the Government’s intention of encouraging investment in affordable housing by MITs. If trusts could invest in any residential premises this would undermine the Government’s policy intent of encouraging MITs to invest in affordable housing as affordable housing would likely deliver a lower rental yield.</w:t>
      </w:r>
    </w:p>
    <w:p w14:paraId="09BC3326" w14:textId="77777777" w:rsidR="00344AC1" w:rsidRPr="005E503C" w:rsidRDefault="00344AC1" w:rsidP="00344AC1">
      <w:pPr>
        <w:pStyle w:val="base-text-paragraph"/>
      </w:pPr>
      <w:r w:rsidRPr="005E503C">
        <w:t>However the Government recognises that MITs may have existing investments in dwellings that are residential premises that they have acquired in the past. Accordingly, the amendments contain a transitional provision where trusts that are MITs that invested in residential premises (that are not commercial residential premises) prior to the announcement of the change in the tax law have 10 years before they need to comply with this restriction. This transitional arrangement only applied to existing investments in dwellings that are residential premises that had been acquired before the [announcement day].</w:t>
      </w:r>
    </w:p>
    <w:p w14:paraId="7EC17CEC" w14:textId="3052DA2C" w:rsidR="001F7F41" w:rsidRPr="005E503C" w:rsidRDefault="000B6478" w:rsidP="00D0573E">
      <w:pPr>
        <w:pStyle w:val="base-text-paragraph"/>
        <w:numPr>
          <w:ilvl w:val="1"/>
          <w:numId w:val="4"/>
        </w:numPr>
      </w:pPr>
      <w:r w:rsidRPr="005E503C">
        <w:t xml:space="preserve">However </w:t>
      </w:r>
      <w:r w:rsidR="00D0573E" w:rsidRPr="005E503C">
        <w:t xml:space="preserve">the amendments to clarify that MITs can only invest in dwellings that are residential premises (but not commercial residential premises) in certain circumstances </w:t>
      </w:r>
      <w:r w:rsidRPr="005E503C">
        <w:t>will not apply</w:t>
      </w:r>
      <w:r w:rsidR="001F7F41" w:rsidRPr="005E503C">
        <w:t xml:space="preserve"> to a dwelling until 1 October 2027 if</w:t>
      </w:r>
      <w:r w:rsidR="005E02B6" w:rsidRPr="005E503C">
        <w:t xml:space="preserve"> the trust</w:t>
      </w:r>
      <w:r w:rsidR="001F7F41" w:rsidRPr="005E503C">
        <w:t>:</w:t>
      </w:r>
    </w:p>
    <w:p w14:paraId="729287F6" w14:textId="72ADC06F" w:rsidR="001F7F41" w:rsidRPr="005E503C" w:rsidRDefault="001F7F41" w:rsidP="00782A2F">
      <w:pPr>
        <w:pStyle w:val="dotpoint"/>
      </w:pPr>
      <w:r w:rsidRPr="005E503C">
        <w:t xml:space="preserve">was a MIT for the income year which included the announcement day; </w:t>
      </w:r>
      <w:r w:rsidR="005E02B6" w:rsidRPr="005E503C">
        <w:t>and</w:t>
      </w:r>
    </w:p>
    <w:p w14:paraId="4F78A40A" w14:textId="31AE3282" w:rsidR="001F7F41" w:rsidRPr="005E503C" w:rsidRDefault="00CF5B4C" w:rsidP="00782A2F">
      <w:pPr>
        <w:pStyle w:val="dotpoint"/>
      </w:pPr>
      <w:proofErr w:type="gramStart"/>
      <w:r w:rsidRPr="005E503C">
        <w:lastRenderedPageBreak/>
        <w:t>invested</w:t>
      </w:r>
      <w:proofErr w:type="gramEnd"/>
      <w:r w:rsidRPr="005E503C">
        <w:t xml:space="preserve"> or controlled an investment in an ownership interest </w:t>
      </w:r>
      <w:r w:rsidR="005E02B6" w:rsidRPr="005E503C">
        <w:t xml:space="preserve">in </w:t>
      </w:r>
      <w:r w:rsidRPr="005E503C">
        <w:t>the dwelling continuously from the [announcement day].</w:t>
      </w:r>
    </w:p>
    <w:p w14:paraId="6B8294CB" w14:textId="092BF57B" w:rsidR="003A638A" w:rsidRPr="005E503C" w:rsidRDefault="0061444B" w:rsidP="00BF5ADD">
      <w:pPr>
        <w:pStyle w:val="base-text-paragraph"/>
        <w:rPr>
          <w:rStyle w:val="Referencingstyle"/>
          <w:b w:val="0"/>
          <w:i w:val="0"/>
          <w:sz w:val="22"/>
        </w:rPr>
      </w:pPr>
      <w:r w:rsidRPr="005E503C">
        <w:t>A trust that holds a dwelling to which the transitional rule applies will need to either only use that dwelling for affordable housing use to which the eligibility criteria in paragraph 2.</w:t>
      </w:r>
      <w:r w:rsidR="002C1383" w:rsidRPr="005E503C">
        <w:t>22</w:t>
      </w:r>
      <w:r w:rsidRPr="005E503C">
        <w:t xml:space="preserve"> apply or dispose of that dwelling by 1 October 2027 if it wants to continue to be a MIT.</w:t>
      </w:r>
      <w:r w:rsidR="007F6A4E" w:rsidRPr="005E503C">
        <w:t xml:space="preserve"> </w:t>
      </w:r>
      <w:r w:rsidR="000B6478" w:rsidRPr="005E503C">
        <w:rPr>
          <w:rStyle w:val="Referencingstyle"/>
        </w:rPr>
        <w:t xml:space="preserve">[Schedule </w:t>
      </w:r>
      <w:r w:rsidR="00C37AD7" w:rsidRPr="005E503C">
        <w:rPr>
          <w:rStyle w:val="Referencingstyle"/>
        </w:rPr>
        <w:t>2</w:t>
      </w:r>
      <w:r w:rsidR="000B6478" w:rsidRPr="005E503C">
        <w:rPr>
          <w:rStyle w:val="Referencingstyle"/>
        </w:rPr>
        <w:t xml:space="preserve">, item </w:t>
      </w:r>
      <w:r w:rsidR="00C37AD7" w:rsidRPr="005E503C">
        <w:rPr>
          <w:rStyle w:val="Referencingstyle"/>
        </w:rPr>
        <w:t>8</w:t>
      </w:r>
      <w:r w:rsidR="00573AE7" w:rsidRPr="005E503C">
        <w:rPr>
          <w:rStyle w:val="Referencingstyle"/>
        </w:rPr>
        <w:t>, section 275</w:t>
      </w:r>
      <w:r w:rsidR="00573AE7" w:rsidRPr="005E503C">
        <w:rPr>
          <w:rStyle w:val="Referencingstyle"/>
        </w:rPr>
        <w:noBreakHyphen/>
        <w:t>900 of the Income Tax</w:t>
      </w:r>
      <w:r w:rsidR="001F38BA" w:rsidRPr="005E503C">
        <w:rPr>
          <w:rStyle w:val="Referencingstyle"/>
        </w:rPr>
        <w:t xml:space="preserve"> </w:t>
      </w:r>
      <w:r w:rsidR="00573AE7" w:rsidRPr="005E503C">
        <w:rPr>
          <w:rStyle w:val="Referencingstyle"/>
        </w:rPr>
        <w:t>(Transitional Provisions) Act 1997</w:t>
      </w:r>
      <w:r w:rsidR="000B6478" w:rsidRPr="005E503C">
        <w:rPr>
          <w:rStyle w:val="Referencingstyle"/>
        </w:rPr>
        <w:t>]</w:t>
      </w:r>
    </w:p>
    <w:p w14:paraId="7EA75E79" w14:textId="12F9B296" w:rsidR="006E5316" w:rsidRPr="005E503C" w:rsidRDefault="00966B7C" w:rsidP="003935CE">
      <w:pPr>
        <w:pStyle w:val="base-text-paragraph"/>
      </w:pPr>
      <w:r w:rsidRPr="005E503C">
        <w:t>A consequential amendment i</w:t>
      </w:r>
      <w:bookmarkStart w:id="15" w:name="_GoBack"/>
      <w:bookmarkEnd w:id="15"/>
      <w:r w:rsidRPr="005E503C">
        <w:t xml:space="preserve">s also made to the definition of ineligible affordable housing gain to ensure that </w:t>
      </w:r>
      <w:r w:rsidR="00682979" w:rsidRPr="005E503C">
        <w:t xml:space="preserve">tax concessions continue to be available to </w:t>
      </w:r>
      <w:r w:rsidRPr="005E503C">
        <w:t xml:space="preserve">gains realised from CGT events happening to dwellings to which the transitional rule applies (while that rule applies). </w:t>
      </w:r>
      <w:r w:rsidRPr="005E503C">
        <w:rPr>
          <w:rStyle w:val="Referencingstyle"/>
        </w:rPr>
        <w:t>[Schedule 2, item 9, section 980</w:t>
      </w:r>
      <w:r w:rsidR="007F6A4E" w:rsidRPr="005E503C">
        <w:rPr>
          <w:rStyle w:val="Referencingstyle"/>
        </w:rPr>
        <w:noBreakHyphen/>
      </w:r>
      <w:r w:rsidRPr="005E503C">
        <w:rPr>
          <w:rStyle w:val="Referencingstyle"/>
        </w:rPr>
        <w:t>100 of the Income Tax (Transitional Provisions) Act 1997]</w:t>
      </w:r>
      <w:r w:rsidR="002602F4" w:rsidRPr="005E503C">
        <w:rPr>
          <w:rStyle w:val="Referencingstyle"/>
        </w:rPr>
        <w:t xml:space="preserve"> </w:t>
      </w:r>
    </w:p>
    <w:sectPr w:rsidR="006E5316" w:rsidRPr="005E503C" w:rsidSect="00C743D3">
      <w:headerReference w:type="even" r:id="rId40"/>
      <w:headerReference w:type="default" r:id="rId41"/>
      <w:footerReference w:type="even" r:id="rId42"/>
      <w:footerReference w:type="default" r:id="rId43"/>
      <w:headerReference w:type="first" r:id="rId44"/>
      <w:footerReference w:type="first" r:id="rId45"/>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D644C" w14:textId="77777777" w:rsidR="00A50D25" w:rsidRDefault="00A50D25" w:rsidP="00E679CA">
      <w:pPr>
        <w:spacing w:before="0" w:after="0"/>
      </w:pPr>
      <w:r>
        <w:separator/>
      </w:r>
    </w:p>
  </w:endnote>
  <w:endnote w:type="continuationSeparator" w:id="0">
    <w:p w14:paraId="1D918AB1" w14:textId="77777777" w:rsidR="00A50D25" w:rsidRDefault="00A50D25" w:rsidP="00E679CA">
      <w:pPr>
        <w:spacing w:before="0" w:after="0"/>
      </w:pPr>
      <w:r>
        <w:continuationSeparator/>
      </w:r>
    </w:p>
  </w:endnote>
  <w:endnote w:type="continuationNotice" w:id="1">
    <w:p w14:paraId="6B5B0F36" w14:textId="77777777" w:rsidR="00A50D25" w:rsidRDefault="00A50D2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A7" w14:textId="77777777" w:rsidR="00A50D25" w:rsidRDefault="00A50D25" w:rsidP="005E44CC">
    <w:pPr>
      <w:pStyle w:val="leftfooter"/>
    </w:pPr>
    <w:r>
      <w:fldChar w:fldCharType="begin"/>
    </w:r>
    <w:r>
      <w:instrText xml:space="preserve"> PAGE   \* MERGEFORMAT </w:instrText>
    </w:r>
    <w:r>
      <w:fldChar w:fldCharType="separate"/>
    </w:r>
    <w:r w:rsidR="00EA3194">
      <w:rPr>
        <w:noProof/>
      </w:rPr>
      <w:t>37</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9B3CD" w14:textId="77777777" w:rsidR="00A50D25" w:rsidRDefault="00A50D25" w:rsidP="005E44CC">
    <w:pPr>
      <w:pStyle w:val="rightfooter"/>
    </w:pPr>
    <w:r>
      <w:fldChar w:fldCharType="begin"/>
    </w:r>
    <w:r>
      <w:instrText xml:space="preserve"> PAGE   \* MERGEFORMAT </w:instrText>
    </w:r>
    <w:r>
      <w:fldChar w:fldCharType="separate"/>
    </w:r>
    <w:r w:rsidR="00EA3194">
      <w:rPr>
        <w:noProof/>
      </w:rPr>
      <w:t>23</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6B5A3" w14:textId="77777777" w:rsidR="00A50D25" w:rsidRDefault="00A50D25" w:rsidP="005E44CC">
    <w:pPr>
      <w:pStyle w:val="rightfooter"/>
    </w:pPr>
    <w:r>
      <w:fldChar w:fldCharType="begin"/>
    </w:r>
    <w:r>
      <w:instrText xml:space="preserve"> PAGE  \* Arabic  \* MERGEFORMAT </w:instrText>
    </w:r>
    <w:r>
      <w:fldChar w:fldCharType="separate"/>
    </w:r>
    <w:r w:rsidR="00EA3194">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BB" w14:textId="77777777" w:rsidR="00A50D25" w:rsidRDefault="00A50D25" w:rsidP="005E44CC">
    <w:pPr>
      <w:pStyle w:val="leftfooter"/>
    </w:pPr>
    <w:r>
      <w:fldChar w:fldCharType="begin"/>
    </w:r>
    <w:r>
      <w:instrText xml:space="preserve"> PAGE   \* MERGEFORMAT </w:instrText>
    </w:r>
    <w:r>
      <w:fldChar w:fldCharType="separate"/>
    </w:r>
    <w:r w:rsidR="00EA3194">
      <w:rPr>
        <w:noProof/>
      </w:rPr>
      <w:t>36</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BC" w14:textId="77777777" w:rsidR="00A50D25" w:rsidRDefault="00A50D25" w:rsidP="005E44CC">
    <w:pPr>
      <w:pStyle w:val="rightfooter"/>
    </w:pPr>
    <w:r>
      <w:fldChar w:fldCharType="begin"/>
    </w:r>
    <w:r>
      <w:instrText xml:space="preserve"> PAGE   \* MERGEFORMAT </w:instrText>
    </w:r>
    <w:r>
      <w:fldChar w:fldCharType="separate"/>
    </w:r>
    <w:r w:rsidR="00EA3194">
      <w:rPr>
        <w:noProof/>
      </w:rPr>
      <w:t>37</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BE" w14:textId="77777777" w:rsidR="00A50D25" w:rsidRDefault="00A50D25" w:rsidP="005E44CC">
    <w:pPr>
      <w:pStyle w:val="rightfooter"/>
    </w:pPr>
    <w:r>
      <w:fldChar w:fldCharType="begin"/>
    </w:r>
    <w:r>
      <w:instrText xml:space="preserve"> PAGE  \* Arabic  \* MERGEFORMAT </w:instrText>
    </w:r>
    <w:r>
      <w:fldChar w:fldCharType="separate"/>
    </w:r>
    <w:r w:rsidR="00EA3194">
      <w:rPr>
        <w:noProof/>
      </w:rPr>
      <w:t>25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A8" w14:textId="77777777" w:rsidR="00A50D25" w:rsidRDefault="00A50D25" w:rsidP="005E44CC">
    <w:pPr>
      <w:pStyle w:val="rightfooter"/>
    </w:pPr>
    <w:r>
      <w:fldChar w:fldCharType="begin"/>
    </w:r>
    <w:r>
      <w:instrText xml:space="preserve"> PAGE   \* MERGEFORMAT </w:instrText>
    </w:r>
    <w:r>
      <w:fldChar w:fldCharType="separate"/>
    </w:r>
    <w:r w:rsidR="00EA3194">
      <w:rPr>
        <w:noProof/>
      </w:rPr>
      <w:t>37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AC" w14:textId="77777777" w:rsidR="00A50D25" w:rsidRDefault="00A50D25" w:rsidP="005E44CC">
    <w:pPr>
      <w:pStyle w:val="leftfooter"/>
    </w:pPr>
    <w:r>
      <w:fldChar w:fldCharType="begin"/>
    </w:r>
    <w:r>
      <w:instrText xml:space="preserve"> PAGE   \* MERGEFORMAT </w:instrText>
    </w:r>
    <w:r>
      <w:fldChar w:fldCharType="separate"/>
    </w:r>
    <w:r w:rsidR="00EA3194">
      <w:rPr>
        <w:noProof/>
      </w:rPr>
      <w:t>37</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AD" w14:textId="77777777" w:rsidR="00A50D25" w:rsidRDefault="00A50D25" w:rsidP="005E44CC">
    <w:pPr>
      <w:pStyle w:val="rightfooter"/>
    </w:pPr>
    <w:r>
      <w:fldChar w:fldCharType="begin"/>
    </w:r>
    <w:r>
      <w:instrText xml:space="preserve"> PAGE   \* MERGEFORMAT </w:instrText>
    </w:r>
    <w:r>
      <w:fldChar w:fldCharType="separate"/>
    </w:r>
    <w:r w:rsidR="00EA3194">
      <w:rPr>
        <w:noProof/>
      </w:rPr>
      <w:t>37</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AF" w14:textId="77777777" w:rsidR="00A50D25" w:rsidRPr="00B2068E" w:rsidRDefault="00A50D25" w:rsidP="005E44C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B2" w14:textId="77777777" w:rsidR="00A50D25" w:rsidRDefault="00A50D25" w:rsidP="005E44CC">
    <w:pPr>
      <w:pStyle w:val="leftfooter"/>
    </w:pPr>
    <w:r>
      <w:fldChar w:fldCharType="begin"/>
    </w:r>
    <w:r>
      <w:instrText xml:space="preserve"> PAGE   \* MERGEFORMAT </w:instrText>
    </w:r>
    <w:r>
      <w:fldChar w:fldCharType="separate"/>
    </w:r>
    <w:r w:rsidR="00EA3194">
      <w:rPr>
        <w:noProof/>
      </w:rPr>
      <w:t>37</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B3" w14:textId="77777777" w:rsidR="00A50D25" w:rsidRDefault="00A50D25" w:rsidP="005E44CC">
    <w:pPr>
      <w:pStyle w:val="rightfooter"/>
    </w:pPr>
    <w:r>
      <w:fldChar w:fldCharType="begin"/>
    </w:r>
    <w:r>
      <w:instrText xml:space="preserve"> PAGE   \* MERGEFORMAT </w:instrText>
    </w:r>
    <w:r>
      <w:fldChar w:fldCharType="separate"/>
    </w:r>
    <w:r w:rsidR="00EA3194">
      <w:rPr>
        <w:noProof/>
      </w:rPr>
      <w:t>37</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B4" w14:textId="77777777" w:rsidR="00A50D25" w:rsidRDefault="00A50D25" w:rsidP="005E44CC">
    <w:pPr>
      <w:pStyle w:val="rightfooter"/>
    </w:pPr>
    <w:r>
      <w:fldChar w:fldCharType="begin"/>
    </w:r>
    <w:r>
      <w:instrText xml:space="preserve"> PAGE  \* Arabic  \* MERGEFORMAT </w:instrText>
    </w:r>
    <w:r>
      <w:fldChar w:fldCharType="separate"/>
    </w:r>
    <w:r w:rsidR="00EA3194">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DC3F3" w14:textId="77777777" w:rsidR="00A50D25" w:rsidRDefault="00A50D25" w:rsidP="005E44CC">
    <w:pPr>
      <w:pStyle w:val="leftfooter"/>
    </w:pPr>
    <w:r>
      <w:fldChar w:fldCharType="begin"/>
    </w:r>
    <w:r>
      <w:instrText xml:space="preserve"> PAGE   \* MERGEFORMAT </w:instrText>
    </w:r>
    <w:r>
      <w:fldChar w:fldCharType="separate"/>
    </w:r>
    <w:r w:rsidR="00EA3194">
      <w:rPr>
        <w:noProof/>
      </w:rPr>
      <w:t>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C24A4" w14:textId="77777777" w:rsidR="00A50D25" w:rsidRDefault="00A50D25" w:rsidP="00E679CA">
      <w:pPr>
        <w:spacing w:before="0" w:after="0"/>
      </w:pPr>
      <w:r>
        <w:separator/>
      </w:r>
    </w:p>
  </w:footnote>
  <w:footnote w:type="continuationSeparator" w:id="0">
    <w:p w14:paraId="084CAC2A" w14:textId="77777777" w:rsidR="00A50D25" w:rsidRDefault="00A50D25" w:rsidP="00E679CA">
      <w:pPr>
        <w:spacing w:before="0" w:after="0"/>
      </w:pPr>
      <w:r>
        <w:continuationSeparator/>
      </w:r>
    </w:p>
  </w:footnote>
  <w:footnote w:type="continuationNotice" w:id="1">
    <w:p w14:paraId="3905EC89" w14:textId="77777777" w:rsidR="00A50D25" w:rsidRDefault="00A50D2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A5" w14:textId="77777777" w:rsidR="00A50D25" w:rsidRDefault="00A50D25" w:rsidP="005E44CC">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B9" w14:textId="77777777" w:rsidR="00A50D25" w:rsidRDefault="00A50D25" w:rsidP="005E44CC">
    <w:pPr>
      <w:pStyle w:val="leftheader"/>
    </w:pPr>
    <w:r>
      <w:br/>
    </w:r>
    <w:fldSimple w:instr=" STYLEREF  &quot;Bill Name&quot;  \* MERGEFORMAT ">
      <w:r w:rsidR="00EA3194">
        <w:rPr>
          <w:noProof/>
        </w:rPr>
        <w:t>Treasury Laws Amendment (Reducing Pressure on Housing Affordability No. 2) Bill 2017</w:t>
      </w:r>
      <w:r w:rsidR="00EA3194">
        <w:rPr>
          <w:noProof/>
        </w:rPr>
        <w:br/>
        <w:t>Income Tax (Managed Investment Trust Withholding) Amendment Bill 2017</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BA" w14:textId="77777777" w:rsidR="00A50D25" w:rsidRDefault="00775739" w:rsidP="005E44CC">
    <w:pPr>
      <w:pStyle w:val="rightheader"/>
    </w:pPr>
    <w:fldSimple w:instr=" STYLEREF  &quot;Chapter Heading&quot;  \* MERGEFORMAT ">
      <w:r w:rsidR="00EA3194" w:rsidRPr="00EA3194">
        <w:rPr>
          <w:b/>
          <w:bCs/>
          <w:noProof/>
          <w:lang w:val="en-US"/>
        </w:rPr>
        <w:br/>
      </w:r>
      <w:r w:rsidR="00EA3194">
        <w:rPr>
          <w:noProof/>
        </w:rPr>
        <w:t>Affordable housing through managed investment trusts</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BD" w14:textId="77777777" w:rsidR="00A50D25" w:rsidRDefault="00A50D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A6" w14:textId="77777777" w:rsidR="00A50D25" w:rsidRDefault="00A50D25" w:rsidP="005E44CC">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6B8894A9" w14:textId="77777777" w:rsidR="00A50D25" w:rsidRDefault="00EA3194">
        <w:pPr>
          <w:pStyle w:val="Header"/>
        </w:pPr>
        <w:r>
          <w:rPr>
            <w:noProof/>
            <w:lang w:val="en-US" w:eastAsia="en-US"/>
          </w:rPr>
          <w:pict w14:anchorId="6B889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AA" w14:textId="77777777" w:rsidR="00A50D25" w:rsidRDefault="00A50D25" w:rsidP="005E44CC">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AB" w14:textId="77777777" w:rsidR="00A50D25" w:rsidRDefault="00A50D25" w:rsidP="005E44CC">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AE" w14:textId="77777777" w:rsidR="00A50D25" w:rsidRDefault="00A50D2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B0" w14:textId="17B29AB7" w:rsidR="00A50D25" w:rsidRPr="00422FA2" w:rsidRDefault="00775739" w:rsidP="00422FA2">
    <w:pPr>
      <w:pStyle w:val="leftheader"/>
    </w:pPr>
    <w:fldSimple w:instr=" STYLEREF  &quot;Bill Name&quot;  \* MERGEFORMAT ">
      <w:r w:rsidR="00EA3194">
        <w:rPr>
          <w:noProof/>
        </w:rPr>
        <w:t>Treasury Laws Amendment (Reducing Pressure on Housing Affordability No. 2) Bill 2017</w:t>
      </w:r>
      <w:r w:rsidR="00EA3194">
        <w:rPr>
          <w:noProof/>
        </w:rPr>
        <w:br/>
        <w:t>Income Tax (Managed Investment Trust Withholding) Amendment Bill 2017</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94B1" w14:textId="77777777" w:rsidR="00A50D25" w:rsidRDefault="00775739" w:rsidP="005E44CC">
    <w:pPr>
      <w:pStyle w:val="rightheader"/>
    </w:pPr>
    <w:fldSimple w:instr=" STYLEREF  &quot;Chapter heading subdocument&quot;  \* MERGEFORMAT ">
      <w:r w:rsidR="00EA3194">
        <w:rPr>
          <w:noProof/>
        </w:rPr>
        <w:t>Glossary</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87B98" w14:textId="22BB9457" w:rsidR="00A50D25" w:rsidRDefault="00D969A0" w:rsidP="005E44CC">
    <w:pPr>
      <w:pStyle w:val="rightheader"/>
    </w:pPr>
    <w:r w:rsidRPr="005E503C">
      <w:rPr>
        <w:rStyle w:val="ChapterNameOnly"/>
      </w:rPr>
      <w:t>Additional capital gains discount for affordable housing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483688A"/>
    <w:multiLevelType w:val="multilevel"/>
    <w:tmpl w:val="655277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5DF6494"/>
    <w:multiLevelType w:val="multilevel"/>
    <w:tmpl w:val="A316FE50"/>
    <w:numStyleLink w:val="ChapterList"/>
  </w:abstractNum>
  <w:abstractNum w:abstractNumId="23">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23"/>
  </w:num>
  <w:num w:numId="3">
    <w:abstractNumId w:val="24"/>
  </w:num>
  <w:num w:numId="4">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16"/>
  </w:num>
  <w:num w:numId="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17"/>
  </w:num>
  <w:num w:numId="9">
    <w:abstractNumId w:val="18"/>
  </w:num>
  <w:num w:numId="10">
    <w:abstractNumId w:val="18"/>
  </w:num>
  <w:num w:numId="11">
    <w:abstractNumId w:val="21"/>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2"/>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6">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3545"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abstractNumId w:val="11"/>
  </w:num>
  <w:num w:numId="28">
    <w:abstractNumId w:val="14"/>
  </w:num>
  <w:num w:numId="29">
    <w:abstractNumId w:val="19"/>
  </w:num>
  <w:num w:numId="30">
    <w:abstractNumId w:val="12"/>
  </w:num>
  <w:num w:numId="31">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993"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abstractNumId w:val="13"/>
  </w:num>
  <w:num w:numId="33">
    <w:abstractNumId w:val="22"/>
  </w:num>
  <w:num w:numId="34">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851"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5">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851"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6">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851"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851"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8">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851"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9">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851"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702"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1">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993"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20"/>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trackRevisions/>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DD3"/>
    <w:rsid w:val="0000062D"/>
    <w:rsid w:val="00001DDA"/>
    <w:rsid w:val="000029F9"/>
    <w:rsid w:val="00003645"/>
    <w:rsid w:val="00004D8D"/>
    <w:rsid w:val="00004E37"/>
    <w:rsid w:val="00005C1D"/>
    <w:rsid w:val="00006004"/>
    <w:rsid w:val="0000613F"/>
    <w:rsid w:val="00006914"/>
    <w:rsid w:val="0000714E"/>
    <w:rsid w:val="0000755E"/>
    <w:rsid w:val="0000756E"/>
    <w:rsid w:val="00010093"/>
    <w:rsid w:val="00010725"/>
    <w:rsid w:val="00011231"/>
    <w:rsid w:val="000115F2"/>
    <w:rsid w:val="00011DD3"/>
    <w:rsid w:val="000125AE"/>
    <w:rsid w:val="000128C3"/>
    <w:rsid w:val="00013129"/>
    <w:rsid w:val="000135CC"/>
    <w:rsid w:val="00013E4C"/>
    <w:rsid w:val="00014115"/>
    <w:rsid w:val="0001458C"/>
    <w:rsid w:val="00014D23"/>
    <w:rsid w:val="000150BC"/>
    <w:rsid w:val="000154C5"/>
    <w:rsid w:val="00015ECD"/>
    <w:rsid w:val="000165B0"/>
    <w:rsid w:val="00017A95"/>
    <w:rsid w:val="00017B26"/>
    <w:rsid w:val="0002054A"/>
    <w:rsid w:val="00020657"/>
    <w:rsid w:val="00020AE1"/>
    <w:rsid w:val="00022893"/>
    <w:rsid w:val="00022DFF"/>
    <w:rsid w:val="00023949"/>
    <w:rsid w:val="00023BD2"/>
    <w:rsid w:val="000240F1"/>
    <w:rsid w:val="00024350"/>
    <w:rsid w:val="00024591"/>
    <w:rsid w:val="00024A23"/>
    <w:rsid w:val="00024B95"/>
    <w:rsid w:val="00025536"/>
    <w:rsid w:val="0002567D"/>
    <w:rsid w:val="000261FA"/>
    <w:rsid w:val="000265B9"/>
    <w:rsid w:val="00027290"/>
    <w:rsid w:val="000272A9"/>
    <w:rsid w:val="000274F1"/>
    <w:rsid w:val="00027EA3"/>
    <w:rsid w:val="00027F40"/>
    <w:rsid w:val="0003005B"/>
    <w:rsid w:val="000304E4"/>
    <w:rsid w:val="00030596"/>
    <w:rsid w:val="00030835"/>
    <w:rsid w:val="00030A40"/>
    <w:rsid w:val="00031944"/>
    <w:rsid w:val="00032832"/>
    <w:rsid w:val="00033000"/>
    <w:rsid w:val="000335B5"/>
    <w:rsid w:val="000348D3"/>
    <w:rsid w:val="0003538A"/>
    <w:rsid w:val="00035628"/>
    <w:rsid w:val="000359FC"/>
    <w:rsid w:val="00036175"/>
    <w:rsid w:val="00037D23"/>
    <w:rsid w:val="00037DD5"/>
    <w:rsid w:val="00042216"/>
    <w:rsid w:val="00042589"/>
    <w:rsid w:val="00042A14"/>
    <w:rsid w:val="00042CDB"/>
    <w:rsid w:val="00043191"/>
    <w:rsid w:val="000434EC"/>
    <w:rsid w:val="00043A20"/>
    <w:rsid w:val="00043AB2"/>
    <w:rsid w:val="00043B71"/>
    <w:rsid w:val="000444D5"/>
    <w:rsid w:val="00044D76"/>
    <w:rsid w:val="0004623A"/>
    <w:rsid w:val="000466CA"/>
    <w:rsid w:val="00046B13"/>
    <w:rsid w:val="00046E4C"/>
    <w:rsid w:val="000475C7"/>
    <w:rsid w:val="00047708"/>
    <w:rsid w:val="00047F66"/>
    <w:rsid w:val="0005051B"/>
    <w:rsid w:val="0005071B"/>
    <w:rsid w:val="0005078E"/>
    <w:rsid w:val="0005085E"/>
    <w:rsid w:val="00051C36"/>
    <w:rsid w:val="00051C9B"/>
    <w:rsid w:val="00052267"/>
    <w:rsid w:val="000523CD"/>
    <w:rsid w:val="0005248E"/>
    <w:rsid w:val="00052993"/>
    <w:rsid w:val="00052FCA"/>
    <w:rsid w:val="000531C2"/>
    <w:rsid w:val="00053C8F"/>
    <w:rsid w:val="00054880"/>
    <w:rsid w:val="0005493B"/>
    <w:rsid w:val="0005619B"/>
    <w:rsid w:val="000566D3"/>
    <w:rsid w:val="00060E66"/>
    <w:rsid w:val="00061B9C"/>
    <w:rsid w:val="00061C87"/>
    <w:rsid w:val="0006322D"/>
    <w:rsid w:val="00063A40"/>
    <w:rsid w:val="00064E1F"/>
    <w:rsid w:val="00065AE2"/>
    <w:rsid w:val="00065E70"/>
    <w:rsid w:val="000666B6"/>
    <w:rsid w:val="00066867"/>
    <w:rsid w:val="00066B92"/>
    <w:rsid w:val="00067380"/>
    <w:rsid w:val="00067EB2"/>
    <w:rsid w:val="0007042A"/>
    <w:rsid w:val="00070946"/>
    <w:rsid w:val="00071415"/>
    <w:rsid w:val="00072096"/>
    <w:rsid w:val="000720D9"/>
    <w:rsid w:val="00072C68"/>
    <w:rsid w:val="00072CD9"/>
    <w:rsid w:val="00073190"/>
    <w:rsid w:val="000736EC"/>
    <w:rsid w:val="00074F91"/>
    <w:rsid w:val="0007584E"/>
    <w:rsid w:val="00076BF8"/>
    <w:rsid w:val="00076CA7"/>
    <w:rsid w:val="0007707C"/>
    <w:rsid w:val="0007765C"/>
    <w:rsid w:val="00080891"/>
    <w:rsid w:val="00080BC1"/>
    <w:rsid w:val="00080E05"/>
    <w:rsid w:val="00081677"/>
    <w:rsid w:val="00081857"/>
    <w:rsid w:val="0008196B"/>
    <w:rsid w:val="00081C80"/>
    <w:rsid w:val="000821F0"/>
    <w:rsid w:val="00082793"/>
    <w:rsid w:val="00082ED7"/>
    <w:rsid w:val="00083E3E"/>
    <w:rsid w:val="0008413F"/>
    <w:rsid w:val="00084316"/>
    <w:rsid w:val="000848CF"/>
    <w:rsid w:val="000850B6"/>
    <w:rsid w:val="00085818"/>
    <w:rsid w:val="00085AE2"/>
    <w:rsid w:val="00085EAC"/>
    <w:rsid w:val="0008777A"/>
    <w:rsid w:val="00087BA8"/>
    <w:rsid w:val="00087D86"/>
    <w:rsid w:val="000904D9"/>
    <w:rsid w:val="00090EAD"/>
    <w:rsid w:val="00090F06"/>
    <w:rsid w:val="00091964"/>
    <w:rsid w:val="00091BCF"/>
    <w:rsid w:val="00091C9E"/>
    <w:rsid w:val="00091D90"/>
    <w:rsid w:val="00092B8C"/>
    <w:rsid w:val="00092C67"/>
    <w:rsid w:val="00092DC0"/>
    <w:rsid w:val="000930B0"/>
    <w:rsid w:val="000932D0"/>
    <w:rsid w:val="0009352F"/>
    <w:rsid w:val="00093955"/>
    <w:rsid w:val="0009405A"/>
    <w:rsid w:val="00095F8F"/>
    <w:rsid w:val="0009648B"/>
    <w:rsid w:val="00097366"/>
    <w:rsid w:val="0009790C"/>
    <w:rsid w:val="000A0222"/>
    <w:rsid w:val="000A086D"/>
    <w:rsid w:val="000A09D4"/>
    <w:rsid w:val="000A0C0F"/>
    <w:rsid w:val="000A1576"/>
    <w:rsid w:val="000A1749"/>
    <w:rsid w:val="000A1803"/>
    <w:rsid w:val="000A204E"/>
    <w:rsid w:val="000A4F35"/>
    <w:rsid w:val="000A587E"/>
    <w:rsid w:val="000A58BA"/>
    <w:rsid w:val="000A5FEA"/>
    <w:rsid w:val="000A6CE6"/>
    <w:rsid w:val="000A6EBC"/>
    <w:rsid w:val="000A7371"/>
    <w:rsid w:val="000A7663"/>
    <w:rsid w:val="000B0151"/>
    <w:rsid w:val="000B0EDA"/>
    <w:rsid w:val="000B10DD"/>
    <w:rsid w:val="000B1944"/>
    <w:rsid w:val="000B2F1E"/>
    <w:rsid w:val="000B2F8F"/>
    <w:rsid w:val="000B3374"/>
    <w:rsid w:val="000B33E4"/>
    <w:rsid w:val="000B3681"/>
    <w:rsid w:val="000B46F1"/>
    <w:rsid w:val="000B4B60"/>
    <w:rsid w:val="000B4E41"/>
    <w:rsid w:val="000B4ED5"/>
    <w:rsid w:val="000B57DA"/>
    <w:rsid w:val="000B6478"/>
    <w:rsid w:val="000B691E"/>
    <w:rsid w:val="000B6DC4"/>
    <w:rsid w:val="000B7C7D"/>
    <w:rsid w:val="000C0929"/>
    <w:rsid w:val="000C1749"/>
    <w:rsid w:val="000C2A9D"/>
    <w:rsid w:val="000C2BCC"/>
    <w:rsid w:val="000C4226"/>
    <w:rsid w:val="000C44D7"/>
    <w:rsid w:val="000C5BB3"/>
    <w:rsid w:val="000C6F41"/>
    <w:rsid w:val="000C746B"/>
    <w:rsid w:val="000C7942"/>
    <w:rsid w:val="000D035F"/>
    <w:rsid w:val="000D04A2"/>
    <w:rsid w:val="000D0A32"/>
    <w:rsid w:val="000D0AD6"/>
    <w:rsid w:val="000D104C"/>
    <w:rsid w:val="000D13D3"/>
    <w:rsid w:val="000D174D"/>
    <w:rsid w:val="000D2EAB"/>
    <w:rsid w:val="000D3DFD"/>
    <w:rsid w:val="000D4208"/>
    <w:rsid w:val="000D4E0F"/>
    <w:rsid w:val="000D5574"/>
    <w:rsid w:val="000D56A5"/>
    <w:rsid w:val="000D5BF0"/>
    <w:rsid w:val="000D6284"/>
    <w:rsid w:val="000D66D9"/>
    <w:rsid w:val="000D69BB"/>
    <w:rsid w:val="000D6B4F"/>
    <w:rsid w:val="000D6C18"/>
    <w:rsid w:val="000D7505"/>
    <w:rsid w:val="000D7706"/>
    <w:rsid w:val="000E14A0"/>
    <w:rsid w:val="000E157D"/>
    <w:rsid w:val="000E1675"/>
    <w:rsid w:val="000E1DC2"/>
    <w:rsid w:val="000E1F9B"/>
    <w:rsid w:val="000E2879"/>
    <w:rsid w:val="000E2ED7"/>
    <w:rsid w:val="000E3A0E"/>
    <w:rsid w:val="000E3B41"/>
    <w:rsid w:val="000E3B85"/>
    <w:rsid w:val="000E4A2D"/>
    <w:rsid w:val="000E4B50"/>
    <w:rsid w:val="000E5305"/>
    <w:rsid w:val="000E6751"/>
    <w:rsid w:val="000E6E03"/>
    <w:rsid w:val="000E7130"/>
    <w:rsid w:val="000F0126"/>
    <w:rsid w:val="000F1A78"/>
    <w:rsid w:val="000F1AC2"/>
    <w:rsid w:val="000F2AF2"/>
    <w:rsid w:val="000F2C4E"/>
    <w:rsid w:val="000F40DF"/>
    <w:rsid w:val="000F4988"/>
    <w:rsid w:val="000F5895"/>
    <w:rsid w:val="000F5B02"/>
    <w:rsid w:val="000F5D65"/>
    <w:rsid w:val="000F70ED"/>
    <w:rsid w:val="000F761C"/>
    <w:rsid w:val="0010020E"/>
    <w:rsid w:val="001002C5"/>
    <w:rsid w:val="0010092C"/>
    <w:rsid w:val="00100AF2"/>
    <w:rsid w:val="0010168A"/>
    <w:rsid w:val="00101E25"/>
    <w:rsid w:val="00101E4E"/>
    <w:rsid w:val="0010241D"/>
    <w:rsid w:val="00103074"/>
    <w:rsid w:val="001030AF"/>
    <w:rsid w:val="00103451"/>
    <w:rsid w:val="00103A4B"/>
    <w:rsid w:val="0010418D"/>
    <w:rsid w:val="00104CA0"/>
    <w:rsid w:val="00105924"/>
    <w:rsid w:val="0010722D"/>
    <w:rsid w:val="00107298"/>
    <w:rsid w:val="00107310"/>
    <w:rsid w:val="001079DC"/>
    <w:rsid w:val="0011021F"/>
    <w:rsid w:val="001103D7"/>
    <w:rsid w:val="0011051E"/>
    <w:rsid w:val="00111CB0"/>
    <w:rsid w:val="00112251"/>
    <w:rsid w:val="001122B6"/>
    <w:rsid w:val="00112D8E"/>
    <w:rsid w:val="00113377"/>
    <w:rsid w:val="00113B3F"/>
    <w:rsid w:val="0011427F"/>
    <w:rsid w:val="001146EA"/>
    <w:rsid w:val="0011593D"/>
    <w:rsid w:val="00115C73"/>
    <w:rsid w:val="00116F3F"/>
    <w:rsid w:val="00117DA6"/>
    <w:rsid w:val="00120256"/>
    <w:rsid w:val="00120CC7"/>
    <w:rsid w:val="0012179D"/>
    <w:rsid w:val="001223D8"/>
    <w:rsid w:val="00122529"/>
    <w:rsid w:val="00122599"/>
    <w:rsid w:val="00122F04"/>
    <w:rsid w:val="00123240"/>
    <w:rsid w:val="00123A0B"/>
    <w:rsid w:val="00123B9E"/>
    <w:rsid w:val="00123E3F"/>
    <w:rsid w:val="001242E1"/>
    <w:rsid w:val="00124BAA"/>
    <w:rsid w:val="001251D8"/>
    <w:rsid w:val="00126BAF"/>
    <w:rsid w:val="00127700"/>
    <w:rsid w:val="00127B21"/>
    <w:rsid w:val="00127BE8"/>
    <w:rsid w:val="00130A49"/>
    <w:rsid w:val="00130D10"/>
    <w:rsid w:val="001315C3"/>
    <w:rsid w:val="001317DA"/>
    <w:rsid w:val="00133A69"/>
    <w:rsid w:val="00133C60"/>
    <w:rsid w:val="001342FF"/>
    <w:rsid w:val="001344AC"/>
    <w:rsid w:val="001345D2"/>
    <w:rsid w:val="0013626A"/>
    <w:rsid w:val="001362CA"/>
    <w:rsid w:val="001377C6"/>
    <w:rsid w:val="00137E0C"/>
    <w:rsid w:val="001406F3"/>
    <w:rsid w:val="001423F8"/>
    <w:rsid w:val="00142CDD"/>
    <w:rsid w:val="00143409"/>
    <w:rsid w:val="00143B76"/>
    <w:rsid w:val="00143C31"/>
    <w:rsid w:val="00143CAA"/>
    <w:rsid w:val="00144770"/>
    <w:rsid w:val="00144851"/>
    <w:rsid w:val="00145231"/>
    <w:rsid w:val="00150D63"/>
    <w:rsid w:val="00150ED9"/>
    <w:rsid w:val="00151A59"/>
    <w:rsid w:val="00151B27"/>
    <w:rsid w:val="001520E8"/>
    <w:rsid w:val="001529EE"/>
    <w:rsid w:val="00153248"/>
    <w:rsid w:val="0015376F"/>
    <w:rsid w:val="0015455F"/>
    <w:rsid w:val="00154676"/>
    <w:rsid w:val="001551D4"/>
    <w:rsid w:val="00155978"/>
    <w:rsid w:val="00155A33"/>
    <w:rsid w:val="00155A53"/>
    <w:rsid w:val="00155A9E"/>
    <w:rsid w:val="001563F8"/>
    <w:rsid w:val="001564AE"/>
    <w:rsid w:val="001571E1"/>
    <w:rsid w:val="00157921"/>
    <w:rsid w:val="00157F09"/>
    <w:rsid w:val="0016130E"/>
    <w:rsid w:val="00161514"/>
    <w:rsid w:val="001628C4"/>
    <w:rsid w:val="00162FDF"/>
    <w:rsid w:val="00163876"/>
    <w:rsid w:val="00163C4C"/>
    <w:rsid w:val="00165B64"/>
    <w:rsid w:val="001674F4"/>
    <w:rsid w:val="00167B02"/>
    <w:rsid w:val="00167DE1"/>
    <w:rsid w:val="00170128"/>
    <w:rsid w:val="00170240"/>
    <w:rsid w:val="0017060C"/>
    <w:rsid w:val="00170E00"/>
    <w:rsid w:val="00171A22"/>
    <w:rsid w:val="00171ABC"/>
    <w:rsid w:val="00172882"/>
    <w:rsid w:val="00175AFD"/>
    <w:rsid w:val="00177AF5"/>
    <w:rsid w:val="00181C73"/>
    <w:rsid w:val="00182013"/>
    <w:rsid w:val="0018230F"/>
    <w:rsid w:val="001839D8"/>
    <w:rsid w:val="00184243"/>
    <w:rsid w:val="0018463E"/>
    <w:rsid w:val="0018532E"/>
    <w:rsid w:val="00185881"/>
    <w:rsid w:val="00185BA9"/>
    <w:rsid w:val="00185FF2"/>
    <w:rsid w:val="00186D19"/>
    <w:rsid w:val="00187C33"/>
    <w:rsid w:val="00190B81"/>
    <w:rsid w:val="0019232F"/>
    <w:rsid w:val="001923CD"/>
    <w:rsid w:val="001929B4"/>
    <w:rsid w:val="0019421E"/>
    <w:rsid w:val="001952BA"/>
    <w:rsid w:val="0019530C"/>
    <w:rsid w:val="001966AF"/>
    <w:rsid w:val="00196E60"/>
    <w:rsid w:val="0019732B"/>
    <w:rsid w:val="00197F52"/>
    <w:rsid w:val="001A0168"/>
    <w:rsid w:val="001A025B"/>
    <w:rsid w:val="001A0C92"/>
    <w:rsid w:val="001A1115"/>
    <w:rsid w:val="001A1A1B"/>
    <w:rsid w:val="001A243C"/>
    <w:rsid w:val="001A2596"/>
    <w:rsid w:val="001A25F6"/>
    <w:rsid w:val="001A3C1F"/>
    <w:rsid w:val="001A43E0"/>
    <w:rsid w:val="001A4422"/>
    <w:rsid w:val="001A4BD2"/>
    <w:rsid w:val="001A58A1"/>
    <w:rsid w:val="001A58E1"/>
    <w:rsid w:val="001A708F"/>
    <w:rsid w:val="001A70B4"/>
    <w:rsid w:val="001A7E1D"/>
    <w:rsid w:val="001A7FA2"/>
    <w:rsid w:val="001B0EFF"/>
    <w:rsid w:val="001B1517"/>
    <w:rsid w:val="001B1B50"/>
    <w:rsid w:val="001B2297"/>
    <w:rsid w:val="001B25D8"/>
    <w:rsid w:val="001B2E7B"/>
    <w:rsid w:val="001B45C0"/>
    <w:rsid w:val="001B4B4C"/>
    <w:rsid w:val="001B5104"/>
    <w:rsid w:val="001B60DB"/>
    <w:rsid w:val="001B6867"/>
    <w:rsid w:val="001B691E"/>
    <w:rsid w:val="001B743F"/>
    <w:rsid w:val="001C00B8"/>
    <w:rsid w:val="001C05CF"/>
    <w:rsid w:val="001C077C"/>
    <w:rsid w:val="001C0F61"/>
    <w:rsid w:val="001C0FCA"/>
    <w:rsid w:val="001C10E7"/>
    <w:rsid w:val="001C182B"/>
    <w:rsid w:val="001C2B54"/>
    <w:rsid w:val="001C304E"/>
    <w:rsid w:val="001C34D9"/>
    <w:rsid w:val="001C3804"/>
    <w:rsid w:val="001C3D95"/>
    <w:rsid w:val="001C4CA7"/>
    <w:rsid w:val="001C5942"/>
    <w:rsid w:val="001C5CE4"/>
    <w:rsid w:val="001C5EA4"/>
    <w:rsid w:val="001C617C"/>
    <w:rsid w:val="001C6247"/>
    <w:rsid w:val="001C776C"/>
    <w:rsid w:val="001D0ABE"/>
    <w:rsid w:val="001D0D0D"/>
    <w:rsid w:val="001D0E09"/>
    <w:rsid w:val="001D16F4"/>
    <w:rsid w:val="001D1E42"/>
    <w:rsid w:val="001D219C"/>
    <w:rsid w:val="001D3D1A"/>
    <w:rsid w:val="001D4755"/>
    <w:rsid w:val="001D6AE6"/>
    <w:rsid w:val="001D779A"/>
    <w:rsid w:val="001D7A9B"/>
    <w:rsid w:val="001E03F6"/>
    <w:rsid w:val="001E0D9E"/>
    <w:rsid w:val="001E4B75"/>
    <w:rsid w:val="001E58EB"/>
    <w:rsid w:val="001E6C91"/>
    <w:rsid w:val="001E709A"/>
    <w:rsid w:val="001E73CC"/>
    <w:rsid w:val="001E76F1"/>
    <w:rsid w:val="001E781A"/>
    <w:rsid w:val="001F003A"/>
    <w:rsid w:val="001F0D4C"/>
    <w:rsid w:val="001F17EC"/>
    <w:rsid w:val="001F1FC5"/>
    <w:rsid w:val="001F238C"/>
    <w:rsid w:val="001F30BB"/>
    <w:rsid w:val="001F3456"/>
    <w:rsid w:val="001F38BA"/>
    <w:rsid w:val="001F4049"/>
    <w:rsid w:val="001F49B7"/>
    <w:rsid w:val="001F4E58"/>
    <w:rsid w:val="001F50DB"/>
    <w:rsid w:val="001F530E"/>
    <w:rsid w:val="001F686E"/>
    <w:rsid w:val="001F6DFD"/>
    <w:rsid w:val="001F77EF"/>
    <w:rsid w:val="001F7E8E"/>
    <w:rsid w:val="001F7F41"/>
    <w:rsid w:val="00200449"/>
    <w:rsid w:val="002009D8"/>
    <w:rsid w:val="00200C7E"/>
    <w:rsid w:val="00201DE3"/>
    <w:rsid w:val="00201E38"/>
    <w:rsid w:val="00202AE6"/>
    <w:rsid w:val="00203188"/>
    <w:rsid w:val="0020459A"/>
    <w:rsid w:val="00204C6D"/>
    <w:rsid w:val="00204D10"/>
    <w:rsid w:val="002054CB"/>
    <w:rsid w:val="0020592C"/>
    <w:rsid w:val="00205998"/>
    <w:rsid w:val="00205DCE"/>
    <w:rsid w:val="00205ECA"/>
    <w:rsid w:val="0020605F"/>
    <w:rsid w:val="00206C67"/>
    <w:rsid w:val="002076FC"/>
    <w:rsid w:val="00207915"/>
    <w:rsid w:val="00207C54"/>
    <w:rsid w:val="002113AB"/>
    <w:rsid w:val="002123B0"/>
    <w:rsid w:val="00212461"/>
    <w:rsid w:val="00212B36"/>
    <w:rsid w:val="00213177"/>
    <w:rsid w:val="00214D43"/>
    <w:rsid w:val="00214EDB"/>
    <w:rsid w:val="00215279"/>
    <w:rsid w:val="00215890"/>
    <w:rsid w:val="00215CCB"/>
    <w:rsid w:val="00216609"/>
    <w:rsid w:val="00216C30"/>
    <w:rsid w:val="00216F52"/>
    <w:rsid w:val="002179B7"/>
    <w:rsid w:val="0022069A"/>
    <w:rsid w:val="0022076B"/>
    <w:rsid w:val="002207EB"/>
    <w:rsid w:val="0022081B"/>
    <w:rsid w:val="00221550"/>
    <w:rsid w:val="00221596"/>
    <w:rsid w:val="0022226C"/>
    <w:rsid w:val="0022229F"/>
    <w:rsid w:val="0022373D"/>
    <w:rsid w:val="002239B8"/>
    <w:rsid w:val="00223F82"/>
    <w:rsid w:val="0022474E"/>
    <w:rsid w:val="00224886"/>
    <w:rsid w:val="00225008"/>
    <w:rsid w:val="002254D4"/>
    <w:rsid w:val="002255D1"/>
    <w:rsid w:val="00226AFE"/>
    <w:rsid w:val="00226CE6"/>
    <w:rsid w:val="00227832"/>
    <w:rsid w:val="00230C76"/>
    <w:rsid w:val="0023134B"/>
    <w:rsid w:val="0023270A"/>
    <w:rsid w:val="00232C0A"/>
    <w:rsid w:val="00232D37"/>
    <w:rsid w:val="0023300D"/>
    <w:rsid w:val="00233818"/>
    <w:rsid w:val="00234198"/>
    <w:rsid w:val="002341C1"/>
    <w:rsid w:val="00234386"/>
    <w:rsid w:val="00234531"/>
    <w:rsid w:val="002348E0"/>
    <w:rsid w:val="00234964"/>
    <w:rsid w:val="00234FFC"/>
    <w:rsid w:val="00235C85"/>
    <w:rsid w:val="002369BE"/>
    <w:rsid w:val="00237136"/>
    <w:rsid w:val="00237E17"/>
    <w:rsid w:val="00240879"/>
    <w:rsid w:val="00240B40"/>
    <w:rsid w:val="00241A0C"/>
    <w:rsid w:val="00242C5F"/>
    <w:rsid w:val="002434D0"/>
    <w:rsid w:val="0024432F"/>
    <w:rsid w:val="00244AF4"/>
    <w:rsid w:val="00245432"/>
    <w:rsid w:val="0024559E"/>
    <w:rsid w:val="0024583C"/>
    <w:rsid w:val="0024594D"/>
    <w:rsid w:val="002459CB"/>
    <w:rsid w:val="00245DD8"/>
    <w:rsid w:val="0024675A"/>
    <w:rsid w:val="00247944"/>
    <w:rsid w:val="00250017"/>
    <w:rsid w:val="00250222"/>
    <w:rsid w:val="0025112A"/>
    <w:rsid w:val="002515C2"/>
    <w:rsid w:val="00251A1A"/>
    <w:rsid w:val="00252979"/>
    <w:rsid w:val="00252CEB"/>
    <w:rsid w:val="00252CF4"/>
    <w:rsid w:val="00252F30"/>
    <w:rsid w:val="002536C3"/>
    <w:rsid w:val="002537AA"/>
    <w:rsid w:val="00253B91"/>
    <w:rsid w:val="00253FFF"/>
    <w:rsid w:val="002548D9"/>
    <w:rsid w:val="002556DC"/>
    <w:rsid w:val="00255851"/>
    <w:rsid w:val="00256302"/>
    <w:rsid w:val="00256504"/>
    <w:rsid w:val="002602F4"/>
    <w:rsid w:val="00260ADB"/>
    <w:rsid w:val="00260AFC"/>
    <w:rsid w:val="00261BF9"/>
    <w:rsid w:val="00262434"/>
    <w:rsid w:val="00262C3A"/>
    <w:rsid w:val="00263A1A"/>
    <w:rsid w:val="00263E64"/>
    <w:rsid w:val="00264583"/>
    <w:rsid w:val="00264983"/>
    <w:rsid w:val="00265DD0"/>
    <w:rsid w:val="002661FE"/>
    <w:rsid w:val="0026647C"/>
    <w:rsid w:val="00266971"/>
    <w:rsid w:val="00267001"/>
    <w:rsid w:val="00270496"/>
    <w:rsid w:val="00270695"/>
    <w:rsid w:val="00274C49"/>
    <w:rsid w:val="00275478"/>
    <w:rsid w:val="00275606"/>
    <w:rsid w:val="00275995"/>
    <w:rsid w:val="002766D4"/>
    <w:rsid w:val="00276E43"/>
    <w:rsid w:val="00280993"/>
    <w:rsid w:val="00280C03"/>
    <w:rsid w:val="002811E7"/>
    <w:rsid w:val="00281309"/>
    <w:rsid w:val="00281971"/>
    <w:rsid w:val="00281E8E"/>
    <w:rsid w:val="0028232D"/>
    <w:rsid w:val="00282AC5"/>
    <w:rsid w:val="00284D1B"/>
    <w:rsid w:val="00284E33"/>
    <w:rsid w:val="00285180"/>
    <w:rsid w:val="0028524E"/>
    <w:rsid w:val="00285302"/>
    <w:rsid w:val="00285652"/>
    <w:rsid w:val="00285B66"/>
    <w:rsid w:val="00285C64"/>
    <w:rsid w:val="00285D7B"/>
    <w:rsid w:val="00286473"/>
    <w:rsid w:val="0028681E"/>
    <w:rsid w:val="002869E5"/>
    <w:rsid w:val="00287F8C"/>
    <w:rsid w:val="00291553"/>
    <w:rsid w:val="00291980"/>
    <w:rsid w:val="00291BC1"/>
    <w:rsid w:val="00292465"/>
    <w:rsid w:val="00292477"/>
    <w:rsid w:val="00292B0C"/>
    <w:rsid w:val="00293379"/>
    <w:rsid w:val="00293422"/>
    <w:rsid w:val="00293AA8"/>
    <w:rsid w:val="00294B66"/>
    <w:rsid w:val="002950F1"/>
    <w:rsid w:val="00295ABD"/>
    <w:rsid w:val="00295C52"/>
    <w:rsid w:val="0029630C"/>
    <w:rsid w:val="00296D0A"/>
    <w:rsid w:val="002A1F25"/>
    <w:rsid w:val="002A1F8D"/>
    <w:rsid w:val="002A24B9"/>
    <w:rsid w:val="002A5D91"/>
    <w:rsid w:val="002A5F3B"/>
    <w:rsid w:val="002A696A"/>
    <w:rsid w:val="002A6A6D"/>
    <w:rsid w:val="002A79AF"/>
    <w:rsid w:val="002A7BBD"/>
    <w:rsid w:val="002B00B5"/>
    <w:rsid w:val="002B0B28"/>
    <w:rsid w:val="002B0D04"/>
    <w:rsid w:val="002B125B"/>
    <w:rsid w:val="002B14DD"/>
    <w:rsid w:val="002B17E7"/>
    <w:rsid w:val="002B30BE"/>
    <w:rsid w:val="002B3A53"/>
    <w:rsid w:val="002B3B79"/>
    <w:rsid w:val="002B4603"/>
    <w:rsid w:val="002B48D4"/>
    <w:rsid w:val="002B4DB2"/>
    <w:rsid w:val="002B5990"/>
    <w:rsid w:val="002B5CF6"/>
    <w:rsid w:val="002B6C56"/>
    <w:rsid w:val="002B70A5"/>
    <w:rsid w:val="002B75E6"/>
    <w:rsid w:val="002B7D4A"/>
    <w:rsid w:val="002C0593"/>
    <w:rsid w:val="002C08BC"/>
    <w:rsid w:val="002C099C"/>
    <w:rsid w:val="002C0DD3"/>
    <w:rsid w:val="002C1383"/>
    <w:rsid w:val="002C15E2"/>
    <w:rsid w:val="002C16DC"/>
    <w:rsid w:val="002C1F6E"/>
    <w:rsid w:val="002C2C02"/>
    <w:rsid w:val="002C2DE4"/>
    <w:rsid w:val="002C3168"/>
    <w:rsid w:val="002C3F53"/>
    <w:rsid w:val="002C41A3"/>
    <w:rsid w:val="002C4E65"/>
    <w:rsid w:val="002C5E9A"/>
    <w:rsid w:val="002C5F4A"/>
    <w:rsid w:val="002C625D"/>
    <w:rsid w:val="002C644E"/>
    <w:rsid w:val="002C6771"/>
    <w:rsid w:val="002C7039"/>
    <w:rsid w:val="002D079E"/>
    <w:rsid w:val="002D0B7C"/>
    <w:rsid w:val="002D1308"/>
    <w:rsid w:val="002D1657"/>
    <w:rsid w:val="002D2D83"/>
    <w:rsid w:val="002D3230"/>
    <w:rsid w:val="002D34CA"/>
    <w:rsid w:val="002D389E"/>
    <w:rsid w:val="002D4184"/>
    <w:rsid w:val="002D44AE"/>
    <w:rsid w:val="002D5063"/>
    <w:rsid w:val="002D5681"/>
    <w:rsid w:val="002D59E1"/>
    <w:rsid w:val="002D655F"/>
    <w:rsid w:val="002D6E28"/>
    <w:rsid w:val="002D7A4F"/>
    <w:rsid w:val="002E19F4"/>
    <w:rsid w:val="002E1CB7"/>
    <w:rsid w:val="002E2093"/>
    <w:rsid w:val="002E2146"/>
    <w:rsid w:val="002E22A2"/>
    <w:rsid w:val="002E29CD"/>
    <w:rsid w:val="002E2B43"/>
    <w:rsid w:val="002E3BA9"/>
    <w:rsid w:val="002E4420"/>
    <w:rsid w:val="002E597E"/>
    <w:rsid w:val="002E5BB6"/>
    <w:rsid w:val="002E5CAE"/>
    <w:rsid w:val="002E6044"/>
    <w:rsid w:val="002E6B71"/>
    <w:rsid w:val="002E6C4E"/>
    <w:rsid w:val="002E7E1A"/>
    <w:rsid w:val="002F0D2B"/>
    <w:rsid w:val="002F0F5C"/>
    <w:rsid w:val="002F1A92"/>
    <w:rsid w:val="002F2518"/>
    <w:rsid w:val="002F2600"/>
    <w:rsid w:val="002F2B81"/>
    <w:rsid w:val="002F2C36"/>
    <w:rsid w:val="002F2F10"/>
    <w:rsid w:val="002F409B"/>
    <w:rsid w:val="002F4863"/>
    <w:rsid w:val="002F5853"/>
    <w:rsid w:val="002F66AC"/>
    <w:rsid w:val="002F70DB"/>
    <w:rsid w:val="002F77C1"/>
    <w:rsid w:val="002F7E04"/>
    <w:rsid w:val="00300098"/>
    <w:rsid w:val="0030097F"/>
    <w:rsid w:val="00300C1C"/>
    <w:rsid w:val="00300DBD"/>
    <w:rsid w:val="0030150F"/>
    <w:rsid w:val="00301C4E"/>
    <w:rsid w:val="003029A2"/>
    <w:rsid w:val="0030319B"/>
    <w:rsid w:val="00303497"/>
    <w:rsid w:val="00303616"/>
    <w:rsid w:val="00303750"/>
    <w:rsid w:val="0030498D"/>
    <w:rsid w:val="0030512C"/>
    <w:rsid w:val="003055BE"/>
    <w:rsid w:val="0030626E"/>
    <w:rsid w:val="00307165"/>
    <w:rsid w:val="003071A4"/>
    <w:rsid w:val="0030739C"/>
    <w:rsid w:val="00307AD9"/>
    <w:rsid w:val="00310BCE"/>
    <w:rsid w:val="00311809"/>
    <w:rsid w:val="00311A79"/>
    <w:rsid w:val="00312FF2"/>
    <w:rsid w:val="00313204"/>
    <w:rsid w:val="00313260"/>
    <w:rsid w:val="00313F76"/>
    <w:rsid w:val="003149AD"/>
    <w:rsid w:val="00317A55"/>
    <w:rsid w:val="00317F44"/>
    <w:rsid w:val="0032023D"/>
    <w:rsid w:val="00320257"/>
    <w:rsid w:val="00320289"/>
    <w:rsid w:val="00320EDD"/>
    <w:rsid w:val="00322426"/>
    <w:rsid w:val="00323554"/>
    <w:rsid w:val="003237DF"/>
    <w:rsid w:val="00323A48"/>
    <w:rsid w:val="003245FC"/>
    <w:rsid w:val="003250B8"/>
    <w:rsid w:val="00325234"/>
    <w:rsid w:val="003272E3"/>
    <w:rsid w:val="003321E8"/>
    <w:rsid w:val="00332374"/>
    <w:rsid w:val="0033360B"/>
    <w:rsid w:val="0033678C"/>
    <w:rsid w:val="003369EC"/>
    <w:rsid w:val="00336AEA"/>
    <w:rsid w:val="0033736F"/>
    <w:rsid w:val="00337C80"/>
    <w:rsid w:val="0034088F"/>
    <w:rsid w:val="00340AF1"/>
    <w:rsid w:val="003421BF"/>
    <w:rsid w:val="00342205"/>
    <w:rsid w:val="00342AA9"/>
    <w:rsid w:val="00342E51"/>
    <w:rsid w:val="00343F9A"/>
    <w:rsid w:val="00344AC1"/>
    <w:rsid w:val="00344D03"/>
    <w:rsid w:val="003460DC"/>
    <w:rsid w:val="00346970"/>
    <w:rsid w:val="00346A52"/>
    <w:rsid w:val="003471ED"/>
    <w:rsid w:val="0035012A"/>
    <w:rsid w:val="0035076B"/>
    <w:rsid w:val="003510AB"/>
    <w:rsid w:val="003516AB"/>
    <w:rsid w:val="003516BB"/>
    <w:rsid w:val="0035191D"/>
    <w:rsid w:val="00352044"/>
    <w:rsid w:val="00352926"/>
    <w:rsid w:val="00352EB3"/>
    <w:rsid w:val="00353858"/>
    <w:rsid w:val="00353B4C"/>
    <w:rsid w:val="003548CE"/>
    <w:rsid w:val="00354B0D"/>
    <w:rsid w:val="00355B61"/>
    <w:rsid w:val="00355D7C"/>
    <w:rsid w:val="00355E1F"/>
    <w:rsid w:val="00355F14"/>
    <w:rsid w:val="003568EA"/>
    <w:rsid w:val="00356D04"/>
    <w:rsid w:val="00356E49"/>
    <w:rsid w:val="0036010F"/>
    <w:rsid w:val="00360167"/>
    <w:rsid w:val="00361350"/>
    <w:rsid w:val="003615FB"/>
    <w:rsid w:val="00361C07"/>
    <w:rsid w:val="003623E1"/>
    <w:rsid w:val="00362E16"/>
    <w:rsid w:val="003634C4"/>
    <w:rsid w:val="0036376F"/>
    <w:rsid w:val="00363B43"/>
    <w:rsid w:val="00363DED"/>
    <w:rsid w:val="00363F15"/>
    <w:rsid w:val="00364122"/>
    <w:rsid w:val="00365002"/>
    <w:rsid w:val="00365F63"/>
    <w:rsid w:val="00366D61"/>
    <w:rsid w:val="003673BF"/>
    <w:rsid w:val="0036773C"/>
    <w:rsid w:val="003677C6"/>
    <w:rsid w:val="00367E9E"/>
    <w:rsid w:val="00367FF2"/>
    <w:rsid w:val="003703F6"/>
    <w:rsid w:val="0037041A"/>
    <w:rsid w:val="00370818"/>
    <w:rsid w:val="00370BD0"/>
    <w:rsid w:val="0037303D"/>
    <w:rsid w:val="00373136"/>
    <w:rsid w:val="0037330C"/>
    <w:rsid w:val="00373D27"/>
    <w:rsid w:val="00374FF7"/>
    <w:rsid w:val="0037527A"/>
    <w:rsid w:val="003754D1"/>
    <w:rsid w:val="003754E3"/>
    <w:rsid w:val="00375925"/>
    <w:rsid w:val="00375A20"/>
    <w:rsid w:val="00375AFB"/>
    <w:rsid w:val="00375CCD"/>
    <w:rsid w:val="00375F1D"/>
    <w:rsid w:val="0037602C"/>
    <w:rsid w:val="00376050"/>
    <w:rsid w:val="003764C6"/>
    <w:rsid w:val="00376CE7"/>
    <w:rsid w:val="0037768B"/>
    <w:rsid w:val="003776AA"/>
    <w:rsid w:val="003777A5"/>
    <w:rsid w:val="00377970"/>
    <w:rsid w:val="00377B6B"/>
    <w:rsid w:val="00377E77"/>
    <w:rsid w:val="00377F43"/>
    <w:rsid w:val="003809DF"/>
    <w:rsid w:val="00380F92"/>
    <w:rsid w:val="003814E7"/>
    <w:rsid w:val="0038176D"/>
    <w:rsid w:val="00381DA1"/>
    <w:rsid w:val="003825B9"/>
    <w:rsid w:val="00382D92"/>
    <w:rsid w:val="003830AE"/>
    <w:rsid w:val="00383C05"/>
    <w:rsid w:val="00383D91"/>
    <w:rsid w:val="003842B7"/>
    <w:rsid w:val="00384C4A"/>
    <w:rsid w:val="00384DF9"/>
    <w:rsid w:val="003851F8"/>
    <w:rsid w:val="00385A64"/>
    <w:rsid w:val="00385BBB"/>
    <w:rsid w:val="003860E5"/>
    <w:rsid w:val="00386253"/>
    <w:rsid w:val="003869E9"/>
    <w:rsid w:val="00386DC4"/>
    <w:rsid w:val="00386E17"/>
    <w:rsid w:val="00386E82"/>
    <w:rsid w:val="003872A4"/>
    <w:rsid w:val="00387CF8"/>
    <w:rsid w:val="00387EB0"/>
    <w:rsid w:val="00390516"/>
    <w:rsid w:val="00390676"/>
    <w:rsid w:val="00390744"/>
    <w:rsid w:val="00390C6C"/>
    <w:rsid w:val="00391246"/>
    <w:rsid w:val="003917D4"/>
    <w:rsid w:val="0039187F"/>
    <w:rsid w:val="00391EB9"/>
    <w:rsid w:val="00392500"/>
    <w:rsid w:val="00393048"/>
    <w:rsid w:val="00393483"/>
    <w:rsid w:val="003934C5"/>
    <w:rsid w:val="003935CE"/>
    <w:rsid w:val="00394E54"/>
    <w:rsid w:val="00396285"/>
    <w:rsid w:val="00396DA3"/>
    <w:rsid w:val="00396E9C"/>
    <w:rsid w:val="003974BE"/>
    <w:rsid w:val="003977BE"/>
    <w:rsid w:val="003A0678"/>
    <w:rsid w:val="003A0CF3"/>
    <w:rsid w:val="003A1250"/>
    <w:rsid w:val="003A141D"/>
    <w:rsid w:val="003A1CB6"/>
    <w:rsid w:val="003A26E0"/>
    <w:rsid w:val="003A2A77"/>
    <w:rsid w:val="003A2C8B"/>
    <w:rsid w:val="003A2E2F"/>
    <w:rsid w:val="003A304A"/>
    <w:rsid w:val="003A3256"/>
    <w:rsid w:val="003A3446"/>
    <w:rsid w:val="003A3BF2"/>
    <w:rsid w:val="003A3FD7"/>
    <w:rsid w:val="003A433C"/>
    <w:rsid w:val="003A459A"/>
    <w:rsid w:val="003A4881"/>
    <w:rsid w:val="003A516C"/>
    <w:rsid w:val="003A5767"/>
    <w:rsid w:val="003A585A"/>
    <w:rsid w:val="003A5E0C"/>
    <w:rsid w:val="003A5EDE"/>
    <w:rsid w:val="003A5FC6"/>
    <w:rsid w:val="003A638A"/>
    <w:rsid w:val="003A64B0"/>
    <w:rsid w:val="003A657F"/>
    <w:rsid w:val="003A75C1"/>
    <w:rsid w:val="003A7D5B"/>
    <w:rsid w:val="003B011E"/>
    <w:rsid w:val="003B1A4D"/>
    <w:rsid w:val="003B1A56"/>
    <w:rsid w:val="003B278D"/>
    <w:rsid w:val="003B29FF"/>
    <w:rsid w:val="003B37C9"/>
    <w:rsid w:val="003B45E9"/>
    <w:rsid w:val="003B496A"/>
    <w:rsid w:val="003B4E35"/>
    <w:rsid w:val="003B6650"/>
    <w:rsid w:val="003B6B47"/>
    <w:rsid w:val="003B6DAA"/>
    <w:rsid w:val="003B720D"/>
    <w:rsid w:val="003B7555"/>
    <w:rsid w:val="003B77F0"/>
    <w:rsid w:val="003B7C56"/>
    <w:rsid w:val="003C07BC"/>
    <w:rsid w:val="003C0D2F"/>
    <w:rsid w:val="003C0FD0"/>
    <w:rsid w:val="003C127A"/>
    <w:rsid w:val="003C18B1"/>
    <w:rsid w:val="003C1D4E"/>
    <w:rsid w:val="003C3FDB"/>
    <w:rsid w:val="003C4592"/>
    <w:rsid w:val="003C53F4"/>
    <w:rsid w:val="003C5538"/>
    <w:rsid w:val="003C5B73"/>
    <w:rsid w:val="003C5BFC"/>
    <w:rsid w:val="003C5C18"/>
    <w:rsid w:val="003C6207"/>
    <w:rsid w:val="003C6B96"/>
    <w:rsid w:val="003C6C63"/>
    <w:rsid w:val="003C75A5"/>
    <w:rsid w:val="003C76E6"/>
    <w:rsid w:val="003C790E"/>
    <w:rsid w:val="003D008F"/>
    <w:rsid w:val="003D038C"/>
    <w:rsid w:val="003D08BE"/>
    <w:rsid w:val="003D0E4B"/>
    <w:rsid w:val="003D132D"/>
    <w:rsid w:val="003D2136"/>
    <w:rsid w:val="003D2339"/>
    <w:rsid w:val="003D4419"/>
    <w:rsid w:val="003D4553"/>
    <w:rsid w:val="003D45F6"/>
    <w:rsid w:val="003D4D23"/>
    <w:rsid w:val="003D4E45"/>
    <w:rsid w:val="003D57BF"/>
    <w:rsid w:val="003D59A5"/>
    <w:rsid w:val="003D67CF"/>
    <w:rsid w:val="003E0D4E"/>
    <w:rsid w:val="003E178B"/>
    <w:rsid w:val="003E35B5"/>
    <w:rsid w:val="003E369B"/>
    <w:rsid w:val="003E39D0"/>
    <w:rsid w:val="003E460B"/>
    <w:rsid w:val="003E5271"/>
    <w:rsid w:val="003E5AB0"/>
    <w:rsid w:val="003E65CE"/>
    <w:rsid w:val="003E69B3"/>
    <w:rsid w:val="003E6FA5"/>
    <w:rsid w:val="003E7012"/>
    <w:rsid w:val="003E7A11"/>
    <w:rsid w:val="003F0191"/>
    <w:rsid w:val="003F060A"/>
    <w:rsid w:val="003F06F5"/>
    <w:rsid w:val="003F10D2"/>
    <w:rsid w:val="003F1E66"/>
    <w:rsid w:val="003F1E87"/>
    <w:rsid w:val="003F2706"/>
    <w:rsid w:val="003F2C5C"/>
    <w:rsid w:val="003F4317"/>
    <w:rsid w:val="003F45A7"/>
    <w:rsid w:val="003F45DF"/>
    <w:rsid w:val="003F4E57"/>
    <w:rsid w:val="003F5B4B"/>
    <w:rsid w:val="003F6352"/>
    <w:rsid w:val="003F66B8"/>
    <w:rsid w:val="003F6FFD"/>
    <w:rsid w:val="004002E1"/>
    <w:rsid w:val="00400673"/>
    <w:rsid w:val="004015CC"/>
    <w:rsid w:val="00401980"/>
    <w:rsid w:val="00401C30"/>
    <w:rsid w:val="004020CC"/>
    <w:rsid w:val="00402495"/>
    <w:rsid w:val="0040313D"/>
    <w:rsid w:val="00404165"/>
    <w:rsid w:val="004045F6"/>
    <w:rsid w:val="004047F4"/>
    <w:rsid w:val="00404ADB"/>
    <w:rsid w:val="00404EE9"/>
    <w:rsid w:val="00405B6A"/>
    <w:rsid w:val="004067D6"/>
    <w:rsid w:val="00406E1D"/>
    <w:rsid w:val="0041094F"/>
    <w:rsid w:val="00410C3C"/>
    <w:rsid w:val="004118D3"/>
    <w:rsid w:val="00411DFA"/>
    <w:rsid w:val="0041284B"/>
    <w:rsid w:val="004135D0"/>
    <w:rsid w:val="00413673"/>
    <w:rsid w:val="00413AED"/>
    <w:rsid w:val="004146FA"/>
    <w:rsid w:val="00414BB7"/>
    <w:rsid w:val="00414E70"/>
    <w:rsid w:val="004155BD"/>
    <w:rsid w:val="00415BA9"/>
    <w:rsid w:val="00416AC1"/>
    <w:rsid w:val="00416D97"/>
    <w:rsid w:val="00417035"/>
    <w:rsid w:val="00417C54"/>
    <w:rsid w:val="00417C93"/>
    <w:rsid w:val="004208C9"/>
    <w:rsid w:val="0042134C"/>
    <w:rsid w:val="00421712"/>
    <w:rsid w:val="00421DCA"/>
    <w:rsid w:val="00422FA2"/>
    <w:rsid w:val="00424E59"/>
    <w:rsid w:val="0042512D"/>
    <w:rsid w:val="00425978"/>
    <w:rsid w:val="004268A7"/>
    <w:rsid w:val="00426B5A"/>
    <w:rsid w:val="00427867"/>
    <w:rsid w:val="00427F36"/>
    <w:rsid w:val="00430931"/>
    <w:rsid w:val="00432A02"/>
    <w:rsid w:val="00432AE6"/>
    <w:rsid w:val="00432D1A"/>
    <w:rsid w:val="00433012"/>
    <w:rsid w:val="00433432"/>
    <w:rsid w:val="00434F52"/>
    <w:rsid w:val="0043501F"/>
    <w:rsid w:val="004350E9"/>
    <w:rsid w:val="004364F2"/>
    <w:rsid w:val="004367E3"/>
    <w:rsid w:val="00440D7D"/>
    <w:rsid w:val="00440E13"/>
    <w:rsid w:val="00442138"/>
    <w:rsid w:val="00442420"/>
    <w:rsid w:val="00442964"/>
    <w:rsid w:val="00442E4D"/>
    <w:rsid w:val="00443187"/>
    <w:rsid w:val="00443450"/>
    <w:rsid w:val="00443509"/>
    <w:rsid w:val="00443782"/>
    <w:rsid w:val="00443F4F"/>
    <w:rsid w:val="0044435E"/>
    <w:rsid w:val="004459B7"/>
    <w:rsid w:val="00445F1A"/>
    <w:rsid w:val="00446542"/>
    <w:rsid w:val="004468CE"/>
    <w:rsid w:val="00446BF1"/>
    <w:rsid w:val="00446C81"/>
    <w:rsid w:val="00447F2E"/>
    <w:rsid w:val="004510F8"/>
    <w:rsid w:val="00452D84"/>
    <w:rsid w:val="00452EB0"/>
    <w:rsid w:val="00455178"/>
    <w:rsid w:val="00456CF6"/>
    <w:rsid w:val="00456FED"/>
    <w:rsid w:val="004572DF"/>
    <w:rsid w:val="00457D55"/>
    <w:rsid w:val="0046027F"/>
    <w:rsid w:val="00461A71"/>
    <w:rsid w:val="00461F8A"/>
    <w:rsid w:val="004624D9"/>
    <w:rsid w:val="004627CC"/>
    <w:rsid w:val="00462DBE"/>
    <w:rsid w:val="00462E4C"/>
    <w:rsid w:val="004636BE"/>
    <w:rsid w:val="00464DF1"/>
    <w:rsid w:val="00464F1F"/>
    <w:rsid w:val="00465520"/>
    <w:rsid w:val="004655E4"/>
    <w:rsid w:val="004657C9"/>
    <w:rsid w:val="004660E7"/>
    <w:rsid w:val="0046673B"/>
    <w:rsid w:val="00467C02"/>
    <w:rsid w:val="00470027"/>
    <w:rsid w:val="004701B9"/>
    <w:rsid w:val="00470560"/>
    <w:rsid w:val="00470756"/>
    <w:rsid w:val="00470A1F"/>
    <w:rsid w:val="00471C7B"/>
    <w:rsid w:val="0047329A"/>
    <w:rsid w:val="004733CA"/>
    <w:rsid w:val="0047417F"/>
    <w:rsid w:val="0047451F"/>
    <w:rsid w:val="00475193"/>
    <w:rsid w:val="00475430"/>
    <w:rsid w:val="00475A2D"/>
    <w:rsid w:val="004760F8"/>
    <w:rsid w:val="00476AAD"/>
    <w:rsid w:val="00477913"/>
    <w:rsid w:val="00477C9C"/>
    <w:rsid w:val="004803A7"/>
    <w:rsid w:val="004809B1"/>
    <w:rsid w:val="00480BD6"/>
    <w:rsid w:val="00481163"/>
    <w:rsid w:val="00481831"/>
    <w:rsid w:val="00482348"/>
    <w:rsid w:val="004825D7"/>
    <w:rsid w:val="004837F2"/>
    <w:rsid w:val="00483B20"/>
    <w:rsid w:val="00484966"/>
    <w:rsid w:val="00484CB4"/>
    <w:rsid w:val="004865ED"/>
    <w:rsid w:val="004871C1"/>
    <w:rsid w:val="00487912"/>
    <w:rsid w:val="004902AA"/>
    <w:rsid w:val="00490751"/>
    <w:rsid w:val="004908C3"/>
    <w:rsid w:val="00490D00"/>
    <w:rsid w:val="00491287"/>
    <w:rsid w:val="00491464"/>
    <w:rsid w:val="0049385E"/>
    <w:rsid w:val="00493E72"/>
    <w:rsid w:val="0049451F"/>
    <w:rsid w:val="00494A5F"/>
    <w:rsid w:val="00494AEA"/>
    <w:rsid w:val="00494BDE"/>
    <w:rsid w:val="00494EEB"/>
    <w:rsid w:val="00495545"/>
    <w:rsid w:val="0049561F"/>
    <w:rsid w:val="0049590F"/>
    <w:rsid w:val="00495D99"/>
    <w:rsid w:val="0049689D"/>
    <w:rsid w:val="00496AAE"/>
    <w:rsid w:val="0049735C"/>
    <w:rsid w:val="00497A34"/>
    <w:rsid w:val="004A10A3"/>
    <w:rsid w:val="004A1152"/>
    <w:rsid w:val="004A1439"/>
    <w:rsid w:val="004A1CBA"/>
    <w:rsid w:val="004A1CED"/>
    <w:rsid w:val="004A291F"/>
    <w:rsid w:val="004A2D54"/>
    <w:rsid w:val="004A35A1"/>
    <w:rsid w:val="004A4A2D"/>
    <w:rsid w:val="004A4BCC"/>
    <w:rsid w:val="004A4EC6"/>
    <w:rsid w:val="004A53AE"/>
    <w:rsid w:val="004A61CB"/>
    <w:rsid w:val="004A76BB"/>
    <w:rsid w:val="004A7913"/>
    <w:rsid w:val="004A7CC6"/>
    <w:rsid w:val="004A7E28"/>
    <w:rsid w:val="004B0131"/>
    <w:rsid w:val="004B1DF5"/>
    <w:rsid w:val="004B212B"/>
    <w:rsid w:val="004B296D"/>
    <w:rsid w:val="004B361B"/>
    <w:rsid w:val="004B3BDC"/>
    <w:rsid w:val="004B40B9"/>
    <w:rsid w:val="004B40C5"/>
    <w:rsid w:val="004B4B94"/>
    <w:rsid w:val="004B4C4C"/>
    <w:rsid w:val="004B56AF"/>
    <w:rsid w:val="004B6FC1"/>
    <w:rsid w:val="004B70B7"/>
    <w:rsid w:val="004B7191"/>
    <w:rsid w:val="004B742E"/>
    <w:rsid w:val="004C05D8"/>
    <w:rsid w:val="004C0A8B"/>
    <w:rsid w:val="004C0D90"/>
    <w:rsid w:val="004C1226"/>
    <w:rsid w:val="004C13D5"/>
    <w:rsid w:val="004C19BD"/>
    <w:rsid w:val="004C29E6"/>
    <w:rsid w:val="004C2D38"/>
    <w:rsid w:val="004C448B"/>
    <w:rsid w:val="004C4A86"/>
    <w:rsid w:val="004C5E39"/>
    <w:rsid w:val="004C61C1"/>
    <w:rsid w:val="004C677A"/>
    <w:rsid w:val="004C6AC5"/>
    <w:rsid w:val="004C7159"/>
    <w:rsid w:val="004C71E8"/>
    <w:rsid w:val="004C727A"/>
    <w:rsid w:val="004C7C22"/>
    <w:rsid w:val="004D091A"/>
    <w:rsid w:val="004D0F4D"/>
    <w:rsid w:val="004D1949"/>
    <w:rsid w:val="004D21DD"/>
    <w:rsid w:val="004D236F"/>
    <w:rsid w:val="004D23D0"/>
    <w:rsid w:val="004D2EFD"/>
    <w:rsid w:val="004D31E9"/>
    <w:rsid w:val="004D349E"/>
    <w:rsid w:val="004D3A78"/>
    <w:rsid w:val="004D3CF6"/>
    <w:rsid w:val="004D4B9E"/>
    <w:rsid w:val="004D4C96"/>
    <w:rsid w:val="004D5455"/>
    <w:rsid w:val="004D55A6"/>
    <w:rsid w:val="004D57A7"/>
    <w:rsid w:val="004D5BD0"/>
    <w:rsid w:val="004D60EA"/>
    <w:rsid w:val="004D6302"/>
    <w:rsid w:val="004D64C9"/>
    <w:rsid w:val="004D6F3B"/>
    <w:rsid w:val="004D72DD"/>
    <w:rsid w:val="004D7E00"/>
    <w:rsid w:val="004D7E78"/>
    <w:rsid w:val="004E0665"/>
    <w:rsid w:val="004E1550"/>
    <w:rsid w:val="004E22E2"/>
    <w:rsid w:val="004E24AD"/>
    <w:rsid w:val="004E2A34"/>
    <w:rsid w:val="004E37CF"/>
    <w:rsid w:val="004E3ABA"/>
    <w:rsid w:val="004E3C37"/>
    <w:rsid w:val="004E48D2"/>
    <w:rsid w:val="004E60EE"/>
    <w:rsid w:val="004E6828"/>
    <w:rsid w:val="004E6F96"/>
    <w:rsid w:val="004E72EB"/>
    <w:rsid w:val="004E766E"/>
    <w:rsid w:val="004E7AD3"/>
    <w:rsid w:val="004E7E87"/>
    <w:rsid w:val="004F17DC"/>
    <w:rsid w:val="004F1873"/>
    <w:rsid w:val="004F1DA7"/>
    <w:rsid w:val="004F2100"/>
    <w:rsid w:val="004F2138"/>
    <w:rsid w:val="004F2EB1"/>
    <w:rsid w:val="004F3C00"/>
    <w:rsid w:val="004F3CDD"/>
    <w:rsid w:val="004F4CBE"/>
    <w:rsid w:val="004F65B7"/>
    <w:rsid w:val="004F690C"/>
    <w:rsid w:val="004F7ADF"/>
    <w:rsid w:val="004F7B0C"/>
    <w:rsid w:val="004F7DA1"/>
    <w:rsid w:val="00500310"/>
    <w:rsid w:val="005003C1"/>
    <w:rsid w:val="00500A76"/>
    <w:rsid w:val="00500E56"/>
    <w:rsid w:val="0050109D"/>
    <w:rsid w:val="00502162"/>
    <w:rsid w:val="005025B6"/>
    <w:rsid w:val="00502CF0"/>
    <w:rsid w:val="005032C6"/>
    <w:rsid w:val="00505F1D"/>
    <w:rsid w:val="0050721B"/>
    <w:rsid w:val="00510290"/>
    <w:rsid w:val="00510865"/>
    <w:rsid w:val="00511860"/>
    <w:rsid w:val="00512FAD"/>
    <w:rsid w:val="00513415"/>
    <w:rsid w:val="005134D1"/>
    <w:rsid w:val="0051365B"/>
    <w:rsid w:val="00513970"/>
    <w:rsid w:val="0051411F"/>
    <w:rsid w:val="0051462A"/>
    <w:rsid w:val="00515911"/>
    <w:rsid w:val="0051628B"/>
    <w:rsid w:val="00516B08"/>
    <w:rsid w:val="005170F8"/>
    <w:rsid w:val="00520A91"/>
    <w:rsid w:val="00521470"/>
    <w:rsid w:val="005215DB"/>
    <w:rsid w:val="005225BE"/>
    <w:rsid w:val="005232BF"/>
    <w:rsid w:val="00523CAB"/>
    <w:rsid w:val="0052454E"/>
    <w:rsid w:val="005249C6"/>
    <w:rsid w:val="0052542B"/>
    <w:rsid w:val="005255DF"/>
    <w:rsid w:val="00525AC5"/>
    <w:rsid w:val="005265A9"/>
    <w:rsid w:val="0052665F"/>
    <w:rsid w:val="00526939"/>
    <w:rsid w:val="00526AC8"/>
    <w:rsid w:val="00527A11"/>
    <w:rsid w:val="00527D32"/>
    <w:rsid w:val="005304F9"/>
    <w:rsid w:val="00530617"/>
    <w:rsid w:val="005308AE"/>
    <w:rsid w:val="0053093C"/>
    <w:rsid w:val="005326F1"/>
    <w:rsid w:val="0053271C"/>
    <w:rsid w:val="00533A5E"/>
    <w:rsid w:val="00534474"/>
    <w:rsid w:val="00534524"/>
    <w:rsid w:val="00535662"/>
    <w:rsid w:val="0053581E"/>
    <w:rsid w:val="005359FF"/>
    <w:rsid w:val="0053604B"/>
    <w:rsid w:val="0053615B"/>
    <w:rsid w:val="0053644D"/>
    <w:rsid w:val="00536E53"/>
    <w:rsid w:val="0053763C"/>
    <w:rsid w:val="00537928"/>
    <w:rsid w:val="00540566"/>
    <w:rsid w:val="005409BA"/>
    <w:rsid w:val="00540F11"/>
    <w:rsid w:val="00541344"/>
    <w:rsid w:val="00541E53"/>
    <w:rsid w:val="00544AB6"/>
    <w:rsid w:val="0054511B"/>
    <w:rsid w:val="00545A77"/>
    <w:rsid w:val="00545AD8"/>
    <w:rsid w:val="00545BA6"/>
    <w:rsid w:val="00546140"/>
    <w:rsid w:val="00546578"/>
    <w:rsid w:val="00546713"/>
    <w:rsid w:val="005476AE"/>
    <w:rsid w:val="00547F22"/>
    <w:rsid w:val="00550217"/>
    <w:rsid w:val="0055086F"/>
    <w:rsid w:val="00550A4F"/>
    <w:rsid w:val="005515B7"/>
    <w:rsid w:val="005518D6"/>
    <w:rsid w:val="00551D77"/>
    <w:rsid w:val="00553D90"/>
    <w:rsid w:val="00555B4C"/>
    <w:rsid w:val="00556667"/>
    <w:rsid w:val="00556E89"/>
    <w:rsid w:val="00557359"/>
    <w:rsid w:val="005573B0"/>
    <w:rsid w:val="00557590"/>
    <w:rsid w:val="00557EF4"/>
    <w:rsid w:val="005601C9"/>
    <w:rsid w:val="005604B5"/>
    <w:rsid w:val="005612BF"/>
    <w:rsid w:val="00562428"/>
    <w:rsid w:val="005629FC"/>
    <w:rsid w:val="00562EF9"/>
    <w:rsid w:val="00562FA8"/>
    <w:rsid w:val="00563251"/>
    <w:rsid w:val="005643EA"/>
    <w:rsid w:val="00564448"/>
    <w:rsid w:val="005647A8"/>
    <w:rsid w:val="00564B1F"/>
    <w:rsid w:val="0056536E"/>
    <w:rsid w:val="00565750"/>
    <w:rsid w:val="00565CDB"/>
    <w:rsid w:val="00565EF8"/>
    <w:rsid w:val="00566257"/>
    <w:rsid w:val="00566B7F"/>
    <w:rsid w:val="00566CC3"/>
    <w:rsid w:val="00566E0E"/>
    <w:rsid w:val="00567365"/>
    <w:rsid w:val="005676EF"/>
    <w:rsid w:val="0057104A"/>
    <w:rsid w:val="0057105B"/>
    <w:rsid w:val="00571125"/>
    <w:rsid w:val="00572020"/>
    <w:rsid w:val="0057239A"/>
    <w:rsid w:val="005724EC"/>
    <w:rsid w:val="00572CDB"/>
    <w:rsid w:val="0057363C"/>
    <w:rsid w:val="00573AE7"/>
    <w:rsid w:val="00574160"/>
    <w:rsid w:val="005744F5"/>
    <w:rsid w:val="00575335"/>
    <w:rsid w:val="00576561"/>
    <w:rsid w:val="00576871"/>
    <w:rsid w:val="005778BC"/>
    <w:rsid w:val="00577D9A"/>
    <w:rsid w:val="005801E1"/>
    <w:rsid w:val="005802BA"/>
    <w:rsid w:val="005803BA"/>
    <w:rsid w:val="00580D51"/>
    <w:rsid w:val="00580DF1"/>
    <w:rsid w:val="00580EAC"/>
    <w:rsid w:val="00582A5F"/>
    <w:rsid w:val="0058374E"/>
    <w:rsid w:val="005838E4"/>
    <w:rsid w:val="0058679A"/>
    <w:rsid w:val="005869C9"/>
    <w:rsid w:val="0058769E"/>
    <w:rsid w:val="00587785"/>
    <w:rsid w:val="00587A4B"/>
    <w:rsid w:val="00587C43"/>
    <w:rsid w:val="00587D7C"/>
    <w:rsid w:val="005915EA"/>
    <w:rsid w:val="0059218D"/>
    <w:rsid w:val="00592B3A"/>
    <w:rsid w:val="005936E4"/>
    <w:rsid w:val="00593A69"/>
    <w:rsid w:val="00594F95"/>
    <w:rsid w:val="0059567B"/>
    <w:rsid w:val="00596136"/>
    <w:rsid w:val="005965A6"/>
    <w:rsid w:val="00596612"/>
    <w:rsid w:val="00596674"/>
    <w:rsid w:val="0059735D"/>
    <w:rsid w:val="00597BED"/>
    <w:rsid w:val="005A055B"/>
    <w:rsid w:val="005A0727"/>
    <w:rsid w:val="005A0748"/>
    <w:rsid w:val="005A07A5"/>
    <w:rsid w:val="005A0EA4"/>
    <w:rsid w:val="005A1B6F"/>
    <w:rsid w:val="005A1F07"/>
    <w:rsid w:val="005A2134"/>
    <w:rsid w:val="005A32F9"/>
    <w:rsid w:val="005A3453"/>
    <w:rsid w:val="005A37A9"/>
    <w:rsid w:val="005A37F3"/>
    <w:rsid w:val="005A45E2"/>
    <w:rsid w:val="005A496E"/>
    <w:rsid w:val="005A4EB4"/>
    <w:rsid w:val="005A5901"/>
    <w:rsid w:val="005A5C00"/>
    <w:rsid w:val="005A5ED8"/>
    <w:rsid w:val="005A5FEE"/>
    <w:rsid w:val="005A608B"/>
    <w:rsid w:val="005A6639"/>
    <w:rsid w:val="005A6946"/>
    <w:rsid w:val="005A6B93"/>
    <w:rsid w:val="005A6F8B"/>
    <w:rsid w:val="005A7027"/>
    <w:rsid w:val="005A7A54"/>
    <w:rsid w:val="005B014D"/>
    <w:rsid w:val="005B2D23"/>
    <w:rsid w:val="005B3B3D"/>
    <w:rsid w:val="005B3E17"/>
    <w:rsid w:val="005B4418"/>
    <w:rsid w:val="005B4736"/>
    <w:rsid w:val="005B481C"/>
    <w:rsid w:val="005B5032"/>
    <w:rsid w:val="005B50BD"/>
    <w:rsid w:val="005B5BB5"/>
    <w:rsid w:val="005B5BF0"/>
    <w:rsid w:val="005B621E"/>
    <w:rsid w:val="005B67B8"/>
    <w:rsid w:val="005B7ADC"/>
    <w:rsid w:val="005B7B7E"/>
    <w:rsid w:val="005C0819"/>
    <w:rsid w:val="005C1100"/>
    <w:rsid w:val="005C1106"/>
    <w:rsid w:val="005C14E2"/>
    <w:rsid w:val="005C18E0"/>
    <w:rsid w:val="005C1CF1"/>
    <w:rsid w:val="005C1EF3"/>
    <w:rsid w:val="005C1FCF"/>
    <w:rsid w:val="005C388F"/>
    <w:rsid w:val="005C3F6F"/>
    <w:rsid w:val="005C4036"/>
    <w:rsid w:val="005C4994"/>
    <w:rsid w:val="005C4A09"/>
    <w:rsid w:val="005C4D13"/>
    <w:rsid w:val="005C4DF4"/>
    <w:rsid w:val="005C4E30"/>
    <w:rsid w:val="005C6851"/>
    <w:rsid w:val="005C69DC"/>
    <w:rsid w:val="005C74A3"/>
    <w:rsid w:val="005D0E21"/>
    <w:rsid w:val="005D13E9"/>
    <w:rsid w:val="005D144D"/>
    <w:rsid w:val="005D1544"/>
    <w:rsid w:val="005D1DAC"/>
    <w:rsid w:val="005D445B"/>
    <w:rsid w:val="005D4CF4"/>
    <w:rsid w:val="005D4D8F"/>
    <w:rsid w:val="005D5B38"/>
    <w:rsid w:val="005D6FBC"/>
    <w:rsid w:val="005E01E5"/>
    <w:rsid w:val="005E02B6"/>
    <w:rsid w:val="005E18D2"/>
    <w:rsid w:val="005E1B5D"/>
    <w:rsid w:val="005E1D53"/>
    <w:rsid w:val="005E36C7"/>
    <w:rsid w:val="005E44CC"/>
    <w:rsid w:val="005E48C3"/>
    <w:rsid w:val="005E503C"/>
    <w:rsid w:val="005E506A"/>
    <w:rsid w:val="005E5808"/>
    <w:rsid w:val="005E5A2E"/>
    <w:rsid w:val="005E5BCC"/>
    <w:rsid w:val="005E5E41"/>
    <w:rsid w:val="005E75E8"/>
    <w:rsid w:val="005E77A0"/>
    <w:rsid w:val="005E7A16"/>
    <w:rsid w:val="005F0546"/>
    <w:rsid w:val="005F0D5D"/>
    <w:rsid w:val="005F1FA1"/>
    <w:rsid w:val="005F24A8"/>
    <w:rsid w:val="005F3170"/>
    <w:rsid w:val="005F31F1"/>
    <w:rsid w:val="005F4ACF"/>
    <w:rsid w:val="005F4AEF"/>
    <w:rsid w:val="005F56CA"/>
    <w:rsid w:val="005F5A84"/>
    <w:rsid w:val="005F5DDA"/>
    <w:rsid w:val="005F7619"/>
    <w:rsid w:val="005F7ECE"/>
    <w:rsid w:val="00600247"/>
    <w:rsid w:val="00600829"/>
    <w:rsid w:val="00601C88"/>
    <w:rsid w:val="006020FE"/>
    <w:rsid w:val="00602CC5"/>
    <w:rsid w:val="006030EA"/>
    <w:rsid w:val="00603659"/>
    <w:rsid w:val="0060404B"/>
    <w:rsid w:val="006042E1"/>
    <w:rsid w:val="00604A1B"/>
    <w:rsid w:val="00604A4E"/>
    <w:rsid w:val="00605574"/>
    <w:rsid w:val="006072C9"/>
    <w:rsid w:val="0060732C"/>
    <w:rsid w:val="00607E24"/>
    <w:rsid w:val="00610368"/>
    <w:rsid w:val="00610831"/>
    <w:rsid w:val="00611022"/>
    <w:rsid w:val="00611534"/>
    <w:rsid w:val="00611C46"/>
    <w:rsid w:val="00612611"/>
    <w:rsid w:val="0061290B"/>
    <w:rsid w:val="00612A08"/>
    <w:rsid w:val="006140D8"/>
    <w:rsid w:val="0061428A"/>
    <w:rsid w:val="0061444B"/>
    <w:rsid w:val="00614D89"/>
    <w:rsid w:val="006156AA"/>
    <w:rsid w:val="00615EC6"/>
    <w:rsid w:val="006160B9"/>
    <w:rsid w:val="006168B0"/>
    <w:rsid w:val="0061710B"/>
    <w:rsid w:val="00617292"/>
    <w:rsid w:val="006173FB"/>
    <w:rsid w:val="0061747C"/>
    <w:rsid w:val="0061768C"/>
    <w:rsid w:val="00617D21"/>
    <w:rsid w:val="00617D82"/>
    <w:rsid w:val="00617FA7"/>
    <w:rsid w:val="00620192"/>
    <w:rsid w:val="0062140D"/>
    <w:rsid w:val="0062202A"/>
    <w:rsid w:val="006228AF"/>
    <w:rsid w:val="006238A7"/>
    <w:rsid w:val="00623ED9"/>
    <w:rsid w:val="00624044"/>
    <w:rsid w:val="006243C2"/>
    <w:rsid w:val="006246CB"/>
    <w:rsid w:val="00624A38"/>
    <w:rsid w:val="006251C2"/>
    <w:rsid w:val="00625205"/>
    <w:rsid w:val="006255EC"/>
    <w:rsid w:val="00625E80"/>
    <w:rsid w:val="00626BDA"/>
    <w:rsid w:val="00627B2D"/>
    <w:rsid w:val="00630225"/>
    <w:rsid w:val="00630710"/>
    <w:rsid w:val="00630DE2"/>
    <w:rsid w:val="00630E73"/>
    <w:rsid w:val="006311E0"/>
    <w:rsid w:val="00631A31"/>
    <w:rsid w:val="00632394"/>
    <w:rsid w:val="00633262"/>
    <w:rsid w:val="00634129"/>
    <w:rsid w:val="006344DB"/>
    <w:rsid w:val="00634BBE"/>
    <w:rsid w:val="00634FDD"/>
    <w:rsid w:val="00635E71"/>
    <w:rsid w:val="00636E97"/>
    <w:rsid w:val="006371A2"/>
    <w:rsid w:val="00637BD3"/>
    <w:rsid w:val="00637E4A"/>
    <w:rsid w:val="00640A8D"/>
    <w:rsid w:val="00641747"/>
    <w:rsid w:val="00641D4C"/>
    <w:rsid w:val="00643547"/>
    <w:rsid w:val="00643B05"/>
    <w:rsid w:val="00643C4C"/>
    <w:rsid w:val="00643CA6"/>
    <w:rsid w:val="00645294"/>
    <w:rsid w:val="00645553"/>
    <w:rsid w:val="0064580D"/>
    <w:rsid w:val="006464A9"/>
    <w:rsid w:val="00646CCA"/>
    <w:rsid w:val="00650168"/>
    <w:rsid w:val="006502A2"/>
    <w:rsid w:val="0065233C"/>
    <w:rsid w:val="0065239E"/>
    <w:rsid w:val="00653C0C"/>
    <w:rsid w:val="00654973"/>
    <w:rsid w:val="00654BA7"/>
    <w:rsid w:val="00654D97"/>
    <w:rsid w:val="00655A6D"/>
    <w:rsid w:val="00657A38"/>
    <w:rsid w:val="00657C9C"/>
    <w:rsid w:val="00657CC7"/>
    <w:rsid w:val="00660491"/>
    <w:rsid w:val="00661E8D"/>
    <w:rsid w:val="00662160"/>
    <w:rsid w:val="0066316C"/>
    <w:rsid w:val="0066374C"/>
    <w:rsid w:val="00666264"/>
    <w:rsid w:val="00666B21"/>
    <w:rsid w:val="00666C45"/>
    <w:rsid w:val="00667915"/>
    <w:rsid w:val="00670A85"/>
    <w:rsid w:val="006712FB"/>
    <w:rsid w:val="0067175D"/>
    <w:rsid w:val="006719FF"/>
    <w:rsid w:val="00671A3B"/>
    <w:rsid w:val="006725B6"/>
    <w:rsid w:val="006737B4"/>
    <w:rsid w:val="00673AE0"/>
    <w:rsid w:val="00674859"/>
    <w:rsid w:val="00674B6F"/>
    <w:rsid w:val="006752EF"/>
    <w:rsid w:val="00676D57"/>
    <w:rsid w:val="00677B3D"/>
    <w:rsid w:val="00680090"/>
    <w:rsid w:val="006817C5"/>
    <w:rsid w:val="0068188F"/>
    <w:rsid w:val="00682979"/>
    <w:rsid w:val="00683493"/>
    <w:rsid w:val="006836DE"/>
    <w:rsid w:val="006858E5"/>
    <w:rsid w:val="0068630C"/>
    <w:rsid w:val="006877BD"/>
    <w:rsid w:val="00690220"/>
    <w:rsid w:val="006909FD"/>
    <w:rsid w:val="006926E7"/>
    <w:rsid w:val="00692D5A"/>
    <w:rsid w:val="00692EA3"/>
    <w:rsid w:val="006932CB"/>
    <w:rsid w:val="00693538"/>
    <w:rsid w:val="00694384"/>
    <w:rsid w:val="0069499A"/>
    <w:rsid w:val="006949DA"/>
    <w:rsid w:val="00694A6D"/>
    <w:rsid w:val="00694BB5"/>
    <w:rsid w:val="00694C75"/>
    <w:rsid w:val="00694FC4"/>
    <w:rsid w:val="0069646C"/>
    <w:rsid w:val="00697D5F"/>
    <w:rsid w:val="006A05D6"/>
    <w:rsid w:val="006A2268"/>
    <w:rsid w:val="006A22DA"/>
    <w:rsid w:val="006A2793"/>
    <w:rsid w:val="006A34F9"/>
    <w:rsid w:val="006A3D60"/>
    <w:rsid w:val="006A3F47"/>
    <w:rsid w:val="006A3FDC"/>
    <w:rsid w:val="006A484D"/>
    <w:rsid w:val="006A4A88"/>
    <w:rsid w:val="006A4ED8"/>
    <w:rsid w:val="006A6D4B"/>
    <w:rsid w:val="006A6DA6"/>
    <w:rsid w:val="006A725B"/>
    <w:rsid w:val="006A7628"/>
    <w:rsid w:val="006A7D3A"/>
    <w:rsid w:val="006A7F37"/>
    <w:rsid w:val="006B1100"/>
    <w:rsid w:val="006B1720"/>
    <w:rsid w:val="006B1749"/>
    <w:rsid w:val="006B2107"/>
    <w:rsid w:val="006B2584"/>
    <w:rsid w:val="006B3894"/>
    <w:rsid w:val="006B3F57"/>
    <w:rsid w:val="006B3FBC"/>
    <w:rsid w:val="006B42F1"/>
    <w:rsid w:val="006B451C"/>
    <w:rsid w:val="006B4522"/>
    <w:rsid w:val="006B4ADE"/>
    <w:rsid w:val="006B4EE6"/>
    <w:rsid w:val="006B4FBD"/>
    <w:rsid w:val="006B514C"/>
    <w:rsid w:val="006B6AB2"/>
    <w:rsid w:val="006B7747"/>
    <w:rsid w:val="006B7900"/>
    <w:rsid w:val="006C0E26"/>
    <w:rsid w:val="006C16BB"/>
    <w:rsid w:val="006C1C8D"/>
    <w:rsid w:val="006C1D90"/>
    <w:rsid w:val="006C2B42"/>
    <w:rsid w:val="006C4A6C"/>
    <w:rsid w:val="006C4C8D"/>
    <w:rsid w:val="006C5314"/>
    <w:rsid w:val="006C553C"/>
    <w:rsid w:val="006C5D9B"/>
    <w:rsid w:val="006C66E3"/>
    <w:rsid w:val="006C7EE5"/>
    <w:rsid w:val="006D0CD9"/>
    <w:rsid w:val="006D15BC"/>
    <w:rsid w:val="006D1D62"/>
    <w:rsid w:val="006D2683"/>
    <w:rsid w:val="006D29CF"/>
    <w:rsid w:val="006D2B4F"/>
    <w:rsid w:val="006D301F"/>
    <w:rsid w:val="006D386E"/>
    <w:rsid w:val="006D4030"/>
    <w:rsid w:val="006D4604"/>
    <w:rsid w:val="006D5A67"/>
    <w:rsid w:val="006D5C6A"/>
    <w:rsid w:val="006D5C97"/>
    <w:rsid w:val="006D6412"/>
    <w:rsid w:val="006D6675"/>
    <w:rsid w:val="006D67F7"/>
    <w:rsid w:val="006D6AD9"/>
    <w:rsid w:val="006D7AA2"/>
    <w:rsid w:val="006D7EAC"/>
    <w:rsid w:val="006E064D"/>
    <w:rsid w:val="006E0681"/>
    <w:rsid w:val="006E0A9E"/>
    <w:rsid w:val="006E0FA4"/>
    <w:rsid w:val="006E13D3"/>
    <w:rsid w:val="006E1FCC"/>
    <w:rsid w:val="006E2192"/>
    <w:rsid w:val="006E27EC"/>
    <w:rsid w:val="006E2E0C"/>
    <w:rsid w:val="006E3954"/>
    <w:rsid w:val="006E3D7E"/>
    <w:rsid w:val="006E3F37"/>
    <w:rsid w:val="006E428D"/>
    <w:rsid w:val="006E5115"/>
    <w:rsid w:val="006E51F3"/>
    <w:rsid w:val="006E520E"/>
    <w:rsid w:val="006E5316"/>
    <w:rsid w:val="006E55C0"/>
    <w:rsid w:val="006E5629"/>
    <w:rsid w:val="006E5AD7"/>
    <w:rsid w:val="006E5B4E"/>
    <w:rsid w:val="006E6986"/>
    <w:rsid w:val="006F04B1"/>
    <w:rsid w:val="006F0D4F"/>
    <w:rsid w:val="006F0FBA"/>
    <w:rsid w:val="006F1B69"/>
    <w:rsid w:val="006F1CE8"/>
    <w:rsid w:val="006F233D"/>
    <w:rsid w:val="006F28B1"/>
    <w:rsid w:val="006F2C60"/>
    <w:rsid w:val="006F2CFB"/>
    <w:rsid w:val="006F2F7F"/>
    <w:rsid w:val="006F34C7"/>
    <w:rsid w:val="006F407D"/>
    <w:rsid w:val="006F452E"/>
    <w:rsid w:val="006F5A8F"/>
    <w:rsid w:val="006F5BC9"/>
    <w:rsid w:val="006F5C40"/>
    <w:rsid w:val="006F5EF4"/>
    <w:rsid w:val="006F5EF6"/>
    <w:rsid w:val="006F6CE1"/>
    <w:rsid w:val="006F6D95"/>
    <w:rsid w:val="006F7861"/>
    <w:rsid w:val="006F7AB8"/>
    <w:rsid w:val="00700A5D"/>
    <w:rsid w:val="00701089"/>
    <w:rsid w:val="00701E40"/>
    <w:rsid w:val="0070307C"/>
    <w:rsid w:val="00703278"/>
    <w:rsid w:val="00703674"/>
    <w:rsid w:val="007037DA"/>
    <w:rsid w:val="00703CE6"/>
    <w:rsid w:val="00705D70"/>
    <w:rsid w:val="00706604"/>
    <w:rsid w:val="00706DF5"/>
    <w:rsid w:val="007070BD"/>
    <w:rsid w:val="007072BA"/>
    <w:rsid w:val="007078B0"/>
    <w:rsid w:val="00710779"/>
    <w:rsid w:val="007110AD"/>
    <w:rsid w:val="007118EA"/>
    <w:rsid w:val="007137B7"/>
    <w:rsid w:val="00713C05"/>
    <w:rsid w:val="007144EB"/>
    <w:rsid w:val="00714904"/>
    <w:rsid w:val="00714A61"/>
    <w:rsid w:val="0071594A"/>
    <w:rsid w:val="00715B86"/>
    <w:rsid w:val="00716E96"/>
    <w:rsid w:val="00717C85"/>
    <w:rsid w:val="00720EEC"/>
    <w:rsid w:val="00722C2C"/>
    <w:rsid w:val="00722EB0"/>
    <w:rsid w:val="00723CC8"/>
    <w:rsid w:val="00723F95"/>
    <w:rsid w:val="007241FC"/>
    <w:rsid w:val="007243B5"/>
    <w:rsid w:val="0072480E"/>
    <w:rsid w:val="00724B9D"/>
    <w:rsid w:val="00724C01"/>
    <w:rsid w:val="0072526A"/>
    <w:rsid w:val="00725494"/>
    <w:rsid w:val="00725E78"/>
    <w:rsid w:val="00726528"/>
    <w:rsid w:val="007268EF"/>
    <w:rsid w:val="0072692B"/>
    <w:rsid w:val="00726BAE"/>
    <w:rsid w:val="00726D2D"/>
    <w:rsid w:val="00726F0A"/>
    <w:rsid w:val="00726F5C"/>
    <w:rsid w:val="007277B4"/>
    <w:rsid w:val="00730251"/>
    <w:rsid w:val="0073029A"/>
    <w:rsid w:val="00730F35"/>
    <w:rsid w:val="00731730"/>
    <w:rsid w:val="0073332A"/>
    <w:rsid w:val="00733717"/>
    <w:rsid w:val="00733D71"/>
    <w:rsid w:val="00733F43"/>
    <w:rsid w:val="0073491C"/>
    <w:rsid w:val="00734DEF"/>
    <w:rsid w:val="00734F84"/>
    <w:rsid w:val="0073515A"/>
    <w:rsid w:val="00735243"/>
    <w:rsid w:val="007354D5"/>
    <w:rsid w:val="007354F9"/>
    <w:rsid w:val="00735B2F"/>
    <w:rsid w:val="00735DF7"/>
    <w:rsid w:val="007366D6"/>
    <w:rsid w:val="0073680F"/>
    <w:rsid w:val="00736FE7"/>
    <w:rsid w:val="00737A9A"/>
    <w:rsid w:val="00740163"/>
    <w:rsid w:val="00740C48"/>
    <w:rsid w:val="00742874"/>
    <w:rsid w:val="0074376F"/>
    <w:rsid w:val="00743790"/>
    <w:rsid w:val="00743D70"/>
    <w:rsid w:val="0074426C"/>
    <w:rsid w:val="0074617D"/>
    <w:rsid w:val="00746831"/>
    <w:rsid w:val="00746960"/>
    <w:rsid w:val="00746A6C"/>
    <w:rsid w:val="00746E34"/>
    <w:rsid w:val="00747065"/>
    <w:rsid w:val="00747266"/>
    <w:rsid w:val="0074743C"/>
    <w:rsid w:val="007478D6"/>
    <w:rsid w:val="00747A03"/>
    <w:rsid w:val="00747CCC"/>
    <w:rsid w:val="0075064C"/>
    <w:rsid w:val="00750A2B"/>
    <w:rsid w:val="007514B1"/>
    <w:rsid w:val="0075188F"/>
    <w:rsid w:val="00751BE4"/>
    <w:rsid w:val="00752E33"/>
    <w:rsid w:val="0075393A"/>
    <w:rsid w:val="00754669"/>
    <w:rsid w:val="00754CE9"/>
    <w:rsid w:val="00755F79"/>
    <w:rsid w:val="00755F89"/>
    <w:rsid w:val="007565F0"/>
    <w:rsid w:val="0076067B"/>
    <w:rsid w:val="007614F3"/>
    <w:rsid w:val="00761A7B"/>
    <w:rsid w:val="00761BD8"/>
    <w:rsid w:val="0076245C"/>
    <w:rsid w:val="007633EA"/>
    <w:rsid w:val="00763A42"/>
    <w:rsid w:val="00763F87"/>
    <w:rsid w:val="0076482D"/>
    <w:rsid w:val="00764B89"/>
    <w:rsid w:val="00765112"/>
    <w:rsid w:val="00765943"/>
    <w:rsid w:val="00765BCA"/>
    <w:rsid w:val="007662F6"/>
    <w:rsid w:val="0076671A"/>
    <w:rsid w:val="00767BA3"/>
    <w:rsid w:val="00767BFE"/>
    <w:rsid w:val="007706DD"/>
    <w:rsid w:val="00770B5B"/>
    <w:rsid w:val="00771A45"/>
    <w:rsid w:val="00771C25"/>
    <w:rsid w:val="00772202"/>
    <w:rsid w:val="00772941"/>
    <w:rsid w:val="00772B1A"/>
    <w:rsid w:val="00773769"/>
    <w:rsid w:val="00773B68"/>
    <w:rsid w:val="00773D55"/>
    <w:rsid w:val="007748F7"/>
    <w:rsid w:val="00774E00"/>
    <w:rsid w:val="00774E7C"/>
    <w:rsid w:val="00775468"/>
    <w:rsid w:val="00775669"/>
    <w:rsid w:val="00775739"/>
    <w:rsid w:val="007758FA"/>
    <w:rsid w:val="00777375"/>
    <w:rsid w:val="007776EB"/>
    <w:rsid w:val="0078050A"/>
    <w:rsid w:val="0078077C"/>
    <w:rsid w:val="00780F46"/>
    <w:rsid w:val="00780F77"/>
    <w:rsid w:val="00781C40"/>
    <w:rsid w:val="00782A2F"/>
    <w:rsid w:val="00782D2B"/>
    <w:rsid w:val="00782D86"/>
    <w:rsid w:val="0078440E"/>
    <w:rsid w:val="0078504D"/>
    <w:rsid w:val="007857B7"/>
    <w:rsid w:val="007861FA"/>
    <w:rsid w:val="00786412"/>
    <w:rsid w:val="0078751D"/>
    <w:rsid w:val="00787704"/>
    <w:rsid w:val="00787969"/>
    <w:rsid w:val="00787D82"/>
    <w:rsid w:val="00787F27"/>
    <w:rsid w:val="0079189B"/>
    <w:rsid w:val="007918DC"/>
    <w:rsid w:val="00791E5E"/>
    <w:rsid w:val="00792845"/>
    <w:rsid w:val="00793763"/>
    <w:rsid w:val="00793C7A"/>
    <w:rsid w:val="00793D3E"/>
    <w:rsid w:val="00793F0F"/>
    <w:rsid w:val="00794404"/>
    <w:rsid w:val="007955B0"/>
    <w:rsid w:val="00795777"/>
    <w:rsid w:val="00795A45"/>
    <w:rsid w:val="00795AFB"/>
    <w:rsid w:val="007964B6"/>
    <w:rsid w:val="00796533"/>
    <w:rsid w:val="00796923"/>
    <w:rsid w:val="00796C3B"/>
    <w:rsid w:val="00796D5A"/>
    <w:rsid w:val="007979BB"/>
    <w:rsid w:val="00797AA2"/>
    <w:rsid w:val="00797B1B"/>
    <w:rsid w:val="00797CB1"/>
    <w:rsid w:val="00797DAF"/>
    <w:rsid w:val="007A022D"/>
    <w:rsid w:val="007A05B6"/>
    <w:rsid w:val="007A09EE"/>
    <w:rsid w:val="007A1282"/>
    <w:rsid w:val="007A15FB"/>
    <w:rsid w:val="007A26C8"/>
    <w:rsid w:val="007A27DF"/>
    <w:rsid w:val="007A2E03"/>
    <w:rsid w:val="007A34E0"/>
    <w:rsid w:val="007A3992"/>
    <w:rsid w:val="007A4C65"/>
    <w:rsid w:val="007A53FF"/>
    <w:rsid w:val="007A5D58"/>
    <w:rsid w:val="007A6DEA"/>
    <w:rsid w:val="007A6E78"/>
    <w:rsid w:val="007B0B0D"/>
    <w:rsid w:val="007B1261"/>
    <w:rsid w:val="007B1401"/>
    <w:rsid w:val="007B1BE7"/>
    <w:rsid w:val="007B1C8F"/>
    <w:rsid w:val="007B1FA3"/>
    <w:rsid w:val="007B22D1"/>
    <w:rsid w:val="007B2916"/>
    <w:rsid w:val="007B31DF"/>
    <w:rsid w:val="007B33F1"/>
    <w:rsid w:val="007B47FD"/>
    <w:rsid w:val="007B48B4"/>
    <w:rsid w:val="007B4BD4"/>
    <w:rsid w:val="007B5C22"/>
    <w:rsid w:val="007B5EAA"/>
    <w:rsid w:val="007B6091"/>
    <w:rsid w:val="007B64EC"/>
    <w:rsid w:val="007B6B7A"/>
    <w:rsid w:val="007B6CC2"/>
    <w:rsid w:val="007B6EC6"/>
    <w:rsid w:val="007B6FB7"/>
    <w:rsid w:val="007C0E8F"/>
    <w:rsid w:val="007C1362"/>
    <w:rsid w:val="007C1FA2"/>
    <w:rsid w:val="007C2A64"/>
    <w:rsid w:val="007C2B20"/>
    <w:rsid w:val="007C2C96"/>
    <w:rsid w:val="007C2FDE"/>
    <w:rsid w:val="007C3988"/>
    <w:rsid w:val="007C3ACE"/>
    <w:rsid w:val="007C4656"/>
    <w:rsid w:val="007C586C"/>
    <w:rsid w:val="007C6203"/>
    <w:rsid w:val="007C71C7"/>
    <w:rsid w:val="007C7215"/>
    <w:rsid w:val="007C75E1"/>
    <w:rsid w:val="007C7AAA"/>
    <w:rsid w:val="007D0A63"/>
    <w:rsid w:val="007D0EA1"/>
    <w:rsid w:val="007D1213"/>
    <w:rsid w:val="007D211E"/>
    <w:rsid w:val="007D2C2D"/>
    <w:rsid w:val="007D2E86"/>
    <w:rsid w:val="007D2F24"/>
    <w:rsid w:val="007D344F"/>
    <w:rsid w:val="007D3531"/>
    <w:rsid w:val="007D3752"/>
    <w:rsid w:val="007D3EC4"/>
    <w:rsid w:val="007D4CC6"/>
    <w:rsid w:val="007D4F8A"/>
    <w:rsid w:val="007D4FCC"/>
    <w:rsid w:val="007D5A22"/>
    <w:rsid w:val="007D5D6D"/>
    <w:rsid w:val="007D684A"/>
    <w:rsid w:val="007D7202"/>
    <w:rsid w:val="007D744A"/>
    <w:rsid w:val="007E00F0"/>
    <w:rsid w:val="007E0742"/>
    <w:rsid w:val="007E0B47"/>
    <w:rsid w:val="007E1195"/>
    <w:rsid w:val="007E185C"/>
    <w:rsid w:val="007E2ADE"/>
    <w:rsid w:val="007E2F1C"/>
    <w:rsid w:val="007E518D"/>
    <w:rsid w:val="007E6FA6"/>
    <w:rsid w:val="007E78F1"/>
    <w:rsid w:val="007E7A97"/>
    <w:rsid w:val="007F0126"/>
    <w:rsid w:val="007F046B"/>
    <w:rsid w:val="007F2060"/>
    <w:rsid w:val="007F252E"/>
    <w:rsid w:val="007F2530"/>
    <w:rsid w:val="007F2B40"/>
    <w:rsid w:val="007F31E4"/>
    <w:rsid w:val="007F3E51"/>
    <w:rsid w:val="007F4A0E"/>
    <w:rsid w:val="007F4E7A"/>
    <w:rsid w:val="007F56F2"/>
    <w:rsid w:val="007F5A9F"/>
    <w:rsid w:val="007F5AF7"/>
    <w:rsid w:val="007F603F"/>
    <w:rsid w:val="007F6A4E"/>
    <w:rsid w:val="007F76E7"/>
    <w:rsid w:val="007F78FC"/>
    <w:rsid w:val="007F7971"/>
    <w:rsid w:val="00800596"/>
    <w:rsid w:val="008007C2"/>
    <w:rsid w:val="00800D9B"/>
    <w:rsid w:val="0080196A"/>
    <w:rsid w:val="00801972"/>
    <w:rsid w:val="00802003"/>
    <w:rsid w:val="00803DE4"/>
    <w:rsid w:val="00805173"/>
    <w:rsid w:val="00805E25"/>
    <w:rsid w:val="008071D9"/>
    <w:rsid w:val="008072F0"/>
    <w:rsid w:val="00810950"/>
    <w:rsid w:val="008114DE"/>
    <w:rsid w:val="00811B46"/>
    <w:rsid w:val="00812200"/>
    <w:rsid w:val="00812944"/>
    <w:rsid w:val="00813A51"/>
    <w:rsid w:val="0081424B"/>
    <w:rsid w:val="008142D1"/>
    <w:rsid w:val="008152F3"/>
    <w:rsid w:val="0081586E"/>
    <w:rsid w:val="00815FCE"/>
    <w:rsid w:val="00816518"/>
    <w:rsid w:val="00817207"/>
    <w:rsid w:val="00817D73"/>
    <w:rsid w:val="00820AEC"/>
    <w:rsid w:val="00820F35"/>
    <w:rsid w:val="00821AE3"/>
    <w:rsid w:val="008220D7"/>
    <w:rsid w:val="008230C4"/>
    <w:rsid w:val="00824CA5"/>
    <w:rsid w:val="00824D7F"/>
    <w:rsid w:val="00826689"/>
    <w:rsid w:val="00826B65"/>
    <w:rsid w:val="00826F87"/>
    <w:rsid w:val="0083033C"/>
    <w:rsid w:val="00830AC0"/>
    <w:rsid w:val="00830C9B"/>
    <w:rsid w:val="00830E42"/>
    <w:rsid w:val="00830EBF"/>
    <w:rsid w:val="0083137C"/>
    <w:rsid w:val="00832F94"/>
    <w:rsid w:val="00833CE8"/>
    <w:rsid w:val="00835317"/>
    <w:rsid w:val="0083545A"/>
    <w:rsid w:val="008363D9"/>
    <w:rsid w:val="00836CFE"/>
    <w:rsid w:val="00837DAF"/>
    <w:rsid w:val="008402AC"/>
    <w:rsid w:val="00840701"/>
    <w:rsid w:val="0084263B"/>
    <w:rsid w:val="00842CB1"/>
    <w:rsid w:val="0084378E"/>
    <w:rsid w:val="00843F4E"/>
    <w:rsid w:val="008440F2"/>
    <w:rsid w:val="008444F4"/>
    <w:rsid w:val="008450A2"/>
    <w:rsid w:val="008452C8"/>
    <w:rsid w:val="00845725"/>
    <w:rsid w:val="00846240"/>
    <w:rsid w:val="00850972"/>
    <w:rsid w:val="008512FB"/>
    <w:rsid w:val="00851B7C"/>
    <w:rsid w:val="00852BBE"/>
    <w:rsid w:val="00852EB1"/>
    <w:rsid w:val="00853431"/>
    <w:rsid w:val="0085363D"/>
    <w:rsid w:val="00853758"/>
    <w:rsid w:val="0085417F"/>
    <w:rsid w:val="0085467F"/>
    <w:rsid w:val="00854942"/>
    <w:rsid w:val="00854E83"/>
    <w:rsid w:val="00855F83"/>
    <w:rsid w:val="00856A04"/>
    <w:rsid w:val="00856B90"/>
    <w:rsid w:val="00857041"/>
    <w:rsid w:val="008570B5"/>
    <w:rsid w:val="00857FC3"/>
    <w:rsid w:val="008602D7"/>
    <w:rsid w:val="008603B4"/>
    <w:rsid w:val="0086100C"/>
    <w:rsid w:val="0086106A"/>
    <w:rsid w:val="008614A4"/>
    <w:rsid w:val="008621BC"/>
    <w:rsid w:val="008622B9"/>
    <w:rsid w:val="0086363D"/>
    <w:rsid w:val="00863761"/>
    <w:rsid w:val="008637B5"/>
    <w:rsid w:val="00864F51"/>
    <w:rsid w:val="00864F93"/>
    <w:rsid w:val="0086605D"/>
    <w:rsid w:val="00866224"/>
    <w:rsid w:val="008663F8"/>
    <w:rsid w:val="0086662A"/>
    <w:rsid w:val="008669A4"/>
    <w:rsid w:val="00866BC1"/>
    <w:rsid w:val="00867279"/>
    <w:rsid w:val="0086780C"/>
    <w:rsid w:val="0086793C"/>
    <w:rsid w:val="0087148B"/>
    <w:rsid w:val="008717B8"/>
    <w:rsid w:val="00871B29"/>
    <w:rsid w:val="008721D1"/>
    <w:rsid w:val="008727D5"/>
    <w:rsid w:val="0087305F"/>
    <w:rsid w:val="00873606"/>
    <w:rsid w:val="00875775"/>
    <w:rsid w:val="00875C25"/>
    <w:rsid w:val="00875D11"/>
    <w:rsid w:val="00875FDA"/>
    <w:rsid w:val="008764EF"/>
    <w:rsid w:val="00876792"/>
    <w:rsid w:val="00876CF5"/>
    <w:rsid w:val="00876EAB"/>
    <w:rsid w:val="0087771C"/>
    <w:rsid w:val="00880EF6"/>
    <w:rsid w:val="0088131B"/>
    <w:rsid w:val="00882A48"/>
    <w:rsid w:val="00883778"/>
    <w:rsid w:val="00883E32"/>
    <w:rsid w:val="00883F24"/>
    <w:rsid w:val="00884F55"/>
    <w:rsid w:val="00886148"/>
    <w:rsid w:val="00886442"/>
    <w:rsid w:val="00886B26"/>
    <w:rsid w:val="0088718D"/>
    <w:rsid w:val="008876F1"/>
    <w:rsid w:val="00887C2E"/>
    <w:rsid w:val="00890095"/>
    <w:rsid w:val="00890911"/>
    <w:rsid w:val="00890BA0"/>
    <w:rsid w:val="0089150C"/>
    <w:rsid w:val="00891D11"/>
    <w:rsid w:val="008920E6"/>
    <w:rsid w:val="00892400"/>
    <w:rsid w:val="008937CA"/>
    <w:rsid w:val="00893BB5"/>
    <w:rsid w:val="00893D63"/>
    <w:rsid w:val="00894531"/>
    <w:rsid w:val="008962F0"/>
    <w:rsid w:val="00896EE5"/>
    <w:rsid w:val="00896F27"/>
    <w:rsid w:val="00897840"/>
    <w:rsid w:val="00897D8C"/>
    <w:rsid w:val="008A078D"/>
    <w:rsid w:val="008A091D"/>
    <w:rsid w:val="008A1C13"/>
    <w:rsid w:val="008A227E"/>
    <w:rsid w:val="008A257B"/>
    <w:rsid w:val="008A2A6E"/>
    <w:rsid w:val="008A2F40"/>
    <w:rsid w:val="008A423D"/>
    <w:rsid w:val="008A464D"/>
    <w:rsid w:val="008A4731"/>
    <w:rsid w:val="008A4DA3"/>
    <w:rsid w:val="008A539C"/>
    <w:rsid w:val="008A58AE"/>
    <w:rsid w:val="008A5EEE"/>
    <w:rsid w:val="008A6C1B"/>
    <w:rsid w:val="008A6F82"/>
    <w:rsid w:val="008A703E"/>
    <w:rsid w:val="008A75D4"/>
    <w:rsid w:val="008B02E5"/>
    <w:rsid w:val="008B1285"/>
    <w:rsid w:val="008B12D9"/>
    <w:rsid w:val="008B171D"/>
    <w:rsid w:val="008B18EF"/>
    <w:rsid w:val="008B21AB"/>
    <w:rsid w:val="008B29A4"/>
    <w:rsid w:val="008B3225"/>
    <w:rsid w:val="008B35D1"/>
    <w:rsid w:val="008B3BC4"/>
    <w:rsid w:val="008B40CB"/>
    <w:rsid w:val="008B422E"/>
    <w:rsid w:val="008B44A6"/>
    <w:rsid w:val="008B4A94"/>
    <w:rsid w:val="008B5069"/>
    <w:rsid w:val="008B50DA"/>
    <w:rsid w:val="008B5EDB"/>
    <w:rsid w:val="008B679E"/>
    <w:rsid w:val="008B6F37"/>
    <w:rsid w:val="008B7381"/>
    <w:rsid w:val="008B7621"/>
    <w:rsid w:val="008B775C"/>
    <w:rsid w:val="008C0CC2"/>
    <w:rsid w:val="008C2A0D"/>
    <w:rsid w:val="008C2D48"/>
    <w:rsid w:val="008C367A"/>
    <w:rsid w:val="008C3ECD"/>
    <w:rsid w:val="008C4BBF"/>
    <w:rsid w:val="008C4E53"/>
    <w:rsid w:val="008C7A5C"/>
    <w:rsid w:val="008D0CAD"/>
    <w:rsid w:val="008D1BB6"/>
    <w:rsid w:val="008D2229"/>
    <w:rsid w:val="008D348C"/>
    <w:rsid w:val="008D3B4B"/>
    <w:rsid w:val="008D3BAE"/>
    <w:rsid w:val="008D3F07"/>
    <w:rsid w:val="008D4024"/>
    <w:rsid w:val="008D4512"/>
    <w:rsid w:val="008D4652"/>
    <w:rsid w:val="008D488A"/>
    <w:rsid w:val="008D4F94"/>
    <w:rsid w:val="008D64BD"/>
    <w:rsid w:val="008D6A8D"/>
    <w:rsid w:val="008D778F"/>
    <w:rsid w:val="008D77C7"/>
    <w:rsid w:val="008D7F93"/>
    <w:rsid w:val="008E0FDF"/>
    <w:rsid w:val="008E164D"/>
    <w:rsid w:val="008E1ABD"/>
    <w:rsid w:val="008E2151"/>
    <w:rsid w:val="008E4629"/>
    <w:rsid w:val="008E467B"/>
    <w:rsid w:val="008E5357"/>
    <w:rsid w:val="008E6846"/>
    <w:rsid w:val="008E6897"/>
    <w:rsid w:val="008E6F2C"/>
    <w:rsid w:val="008E79D2"/>
    <w:rsid w:val="008E7FBC"/>
    <w:rsid w:val="008F00A4"/>
    <w:rsid w:val="008F0CBA"/>
    <w:rsid w:val="008F25D3"/>
    <w:rsid w:val="008F35D7"/>
    <w:rsid w:val="008F387C"/>
    <w:rsid w:val="008F3907"/>
    <w:rsid w:val="008F452D"/>
    <w:rsid w:val="008F4DA5"/>
    <w:rsid w:val="008F4DB8"/>
    <w:rsid w:val="008F64BD"/>
    <w:rsid w:val="008F6725"/>
    <w:rsid w:val="008F6EB0"/>
    <w:rsid w:val="008F7806"/>
    <w:rsid w:val="008F7912"/>
    <w:rsid w:val="008F7EF5"/>
    <w:rsid w:val="008F7EFC"/>
    <w:rsid w:val="00900971"/>
    <w:rsid w:val="00901AB6"/>
    <w:rsid w:val="00902412"/>
    <w:rsid w:val="00902651"/>
    <w:rsid w:val="009047D3"/>
    <w:rsid w:val="00904FC3"/>
    <w:rsid w:val="009050F1"/>
    <w:rsid w:val="00905466"/>
    <w:rsid w:val="00907243"/>
    <w:rsid w:val="00907447"/>
    <w:rsid w:val="00907B47"/>
    <w:rsid w:val="00907D71"/>
    <w:rsid w:val="0091077C"/>
    <w:rsid w:val="009109CE"/>
    <w:rsid w:val="00910EDB"/>
    <w:rsid w:val="00910F90"/>
    <w:rsid w:val="00911847"/>
    <w:rsid w:val="009121C3"/>
    <w:rsid w:val="0091240E"/>
    <w:rsid w:val="00912DBD"/>
    <w:rsid w:val="00912E62"/>
    <w:rsid w:val="00915172"/>
    <w:rsid w:val="00915D67"/>
    <w:rsid w:val="00916629"/>
    <w:rsid w:val="00916BB1"/>
    <w:rsid w:val="00917ADA"/>
    <w:rsid w:val="0092024C"/>
    <w:rsid w:val="00920C95"/>
    <w:rsid w:val="00920D55"/>
    <w:rsid w:val="00921142"/>
    <w:rsid w:val="00921303"/>
    <w:rsid w:val="0092131F"/>
    <w:rsid w:val="0092158E"/>
    <w:rsid w:val="009218B4"/>
    <w:rsid w:val="00921EF1"/>
    <w:rsid w:val="00922335"/>
    <w:rsid w:val="00922A5C"/>
    <w:rsid w:val="00922F6C"/>
    <w:rsid w:val="009233F1"/>
    <w:rsid w:val="00923736"/>
    <w:rsid w:val="0092403A"/>
    <w:rsid w:val="009241A0"/>
    <w:rsid w:val="00924BB0"/>
    <w:rsid w:val="00924D69"/>
    <w:rsid w:val="00925034"/>
    <w:rsid w:val="009250C8"/>
    <w:rsid w:val="009251C8"/>
    <w:rsid w:val="00926644"/>
    <w:rsid w:val="009268B4"/>
    <w:rsid w:val="00926C19"/>
    <w:rsid w:val="00930A59"/>
    <w:rsid w:val="00930FDC"/>
    <w:rsid w:val="00932C59"/>
    <w:rsid w:val="00933102"/>
    <w:rsid w:val="0093325E"/>
    <w:rsid w:val="0093363A"/>
    <w:rsid w:val="00934363"/>
    <w:rsid w:val="009356AF"/>
    <w:rsid w:val="00936C32"/>
    <w:rsid w:val="00937347"/>
    <w:rsid w:val="009373AD"/>
    <w:rsid w:val="00937B34"/>
    <w:rsid w:val="00937C3B"/>
    <w:rsid w:val="009404FD"/>
    <w:rsid w:val="0094234F"/>
    <w:rsid w:val="00942781"/>
    <w:rsid w:val="0094307F"/>
    <w:rsid w:val="009442FD"/>
    <w:rsid w:val="0094526A"/>
    <w:rsid w:val="0094547F"/>
    <w:rsid w:val="00945664"/>
    <w:rsid w:val="0094575F"/>
    <w:rsid w:val="00946480"/>
    <w:rsid w:val="00946731"/>
    <w:rsid w:val="00946B26"/>
    <w:rsid w:val="00946F0F"/>
    <w:rsid w:val="0094769D"/>
    <w:rsid w:val="009500C4"/>
    <w:rsid w:val="00950C27"/>
    <w:rsid w:val="00950D37"/>
    <w:rsid w:val="009518E3"/>
    <w:rsid w:val="00952584"/>
    <w:rsid w:val="00952E56"/>
    <w:rsid w:val="0095334D"/>
    <w:rsid w:val="00954380"/>
    <w:rsid w:val="00956742"/>
    <w:rsid w:val="0095702A"/>
    <w:rsid w:val="0095743A"/>
    <w:rsid w:val="00957DCE"/>
    <w:rsid w:val="00960666"/>
    <w:rsid w:val="00961953"/>
    <w:rsid w:val="00961D60"/>
    <w:rsid w:val="009621D5"/>
    <w:rsid w:val="009628ED"/>
    <w:rsid w:val="0096364B"/>
    <w:rsid w:val="009638F4"/>
    <w:rsid w:val="00963E0A"/>
    <w:rsid w:val="0096411D"/>
    <w:rsid w:val="00964A33"/>
    <w:rsid w:val="00964FAC"/>
    <w:rsid w:val="00965764"/>
    <w:rsid w:val="00965886"/>
    <w:rsid w:val="009660A1"/>
    <w:rsid w:val="009662F1"/>
    <w:rsid w:val="00966B7C"/>
    <w:rsid w:val="0096791E"/>
    <w:rsid w:val="009708D2"/>
    <w:rsid w:val="009709B8"/>
    <w:rsid w:val="00970E42"/>
    <w:rsid w:val="00972171"/>
    <w:rsid w:val="00972DCE"/>
    <w:rsid w:val="009732B8"/>
    <w:rsid w:val="00975FC4"/>
    <w:rsid w:val="00976AA9"/>
    <w:rsid w:val="009770C9"/>
    <w:rsid w:val="00977814"/>
    <w:rsid w:val="00977AF2"/>
    <w:rsid w:val="00977DE7"/>
    <w:rsid w:val="009801DE"/>
    <w:rsid w:val="00984574"/>
    <w:rsid w:val="00984EFB"/>
    <w:rsid w:val="009862A3"/>
    <w:rsid w:val="00986448"/>
    <w:rsid w:val="0098668F"/>
    <w:rsid w:val="0098783A"/>
    <w:rsid w:val="009905D4"/>
    <w:rsid w:val="00990A53"/>
    <w:rsid w:val="00990C82"/>
    <w:rsid w:val="00990E0B"/>
    <w:rsid w:val="0099131D"/>
    <w:rsid w:val="00992C6B"/>
    <w:rsid w:val="00992E23"/>
    <w:rsid w:val="009930F6"/>
    <w:rsid w:val="00993873"/>
    <w:rsid w:val="00993B23"/>
    <w:rsid w:val="00994087"/>
    <w:rsid w:val="00994663"/>
    <w:rsid w:val="009946BF"/>
    <w:rsid w:val="00994BB6"/>
    <w:rsid w:val="0099527F"/>
    <w:rsid w:val="00995390"/>
    <w:rsid w:val="009955FB"/>
    <w:rsid w:val="009974E0"/>
    <w:rsid w:val="00997648"/>
    <w:rsid w:val="009979E4"/>
    <w:rsid w:val="00997E22"/>
    <w:rsid w:val="009A0250"/>
    <w:rsid w:val="009A0580"/>
    <w:rsid w:val="009A0B50"/>
    <w:rsid w:val="009A1CFE"/>
    <w:rsid w:val="009A2C4B"/>
    <w:rsid w:val="009A2C50"/>
    <w:rsid w:val="009A2E56"/>
    <w:rsid w:val="009A3277"/>
    <w:rsid w:val="009A351E"/>
    <w:rsid w:val="009A439B"/>
    <w:rsid w:val="009A5BDB"/>
    <w:rsid w:val="009A6FCE"/>
    <w:rsid w:val="009A718A"/>
    <w:rsid w:val="009A7ABA"/>
    <w:rsid w:val="009A7C44"/>
    <w:rsid w:val="009A7CE3"/>
    <w:rsid w:val="009A7EA5"/>
    <w:rsid w:val="009B087C"/>
    <w:rsid w:val="009B0ED4"/>
    <w:rsid w:val="009B0F50"/>
    <w:rsid w:val="009B1420"/>
    <w:rsid w:val="009B1BEC"/>
    <w:rsid w:val="009B1EF3"/>
    <w:rsid w:val="009B20D1"/>
    <w:rsid w:val="009B2DF0"/>
    <w:rsid w:val="009B385A"/>
    <w:rsid w:val="009B3ABB"/>
    <w:rsid w:val="009B3D7E"/>
    <w:rsid w:val="009B45A2"/>
    <w:rsid w:val="009B48A2"/>
    <w:rsid w:val="009B5A2C"/>
    <w:rsid w:val="009B66F7"/>
    <w:rsid w:val="009B6CBA"/>
    <w:rsid w:val="009B7735"/>
    <w:rsid w:val="009B7F3F"/>
    <w:rsid w:val="009C0DA3"/>
    <w:rsid w:val="009C1E92"/>
    <w:rsid w:val="009C2058"/>
    <w:rsid w:val="009C27D7"/>
    <w:rsid w:val="009C2FC2"/>
    <w:rsid w:val="009C3142"/>
    <w:rsid w:val="009C3497"/>
    <w:rsid w:val="009C3646"/>
    <w:rsid w:val="009C449A"/>
    <w:rsid w:val="009C558F"/>
    <w:rsid w:val="009C5B7A"/>
    <w:rsid w:val="009C674A"/>
    <w:rsid w:val="009C6A7F"/>
    <w:rsid w:val="009C722C"/>
    <w:rsid w:val="009C7450"/>
    <w:rsid w:val="009C7822"/>
    <w:rsid w:val="009D034A"/>
    <w:rsid w:val="009D0540"/>
    <w:rsid w:val="009D0780"/>
    <w:rsid w:val="009D11A7"/>
    <w:rsid w:val="009D131F"/>
    <w:rsid w:val="009D2C4D"/>
    <w:rsid w:val="009D3CEB"/>
    <w:rsid w:val="009D3CEE"/>
    <w:rsid w:val="009D4049"/>
    <w:rsid w:val="009D48B7"/>
    <w:rsid w:val="009D56AD"/>
    <w:rsid w:val="009D5A05"/>
    <w:rsid w:val="009D5D85"/>
    <w:rsid w:val="009D5E83"/>
    <w:rsid w:val="009D6148"/>
    <w:rsid w:val="009D6348"/>
    <w:rsid w:val="009D63AC"/>
    <w:rsid w:val="009D72F1"/>
    <w:rsid w:val="009D741E"/>
    <w:rsid w:val="009D760D"/>
    <w:rsid w:val="009D789A"/>
    <w:rsid w:val="009D7ECD"/>
    <w:rsid w:val="009E0050"/>
    <w:rsid w:val="009E09AE"/>
    <w:rsid w:val="009E0A2C"/>
    <w:rsid w:val="009E0B44"/>
    <w:rsid w:val="009E142D"/>
    <w:rsid w:val="009E1FB4"/>
    <w:rsid w:val="009E28E2"/>
    <w:rsid w:val="009E3A52"/>
    <w:rsid w:val="009E3D90"/>
    <w:rsid w:val="009E4590"/>
    <w:rsid w:val="009E4DAA"/>
    <w:rsid w:val="009E5277"/>
    <w:rsid w:val="009E5475"/>
    <w:rsid w:val="009E5F41"/>
    <w:rsid w:val="009E6B5B"/>
    <w:rsid w:val="009E7246"/>
    <w:rsid w:val="009E7904"/>
    <w:rsid w:val="009E7B78"/>
    <w:rsid w:val="009F05FF"/>
    <w:rsid w:val="009F085D"/>
    <w:rsid w:val="009F1B47"/>
    <w:rsid w:val="009F24A0"/>
    <w:rsid w:val="009F35E2"/>
    <w:rsid w:val="009F3AF5"/>
    <w:rsid w:val="009F3EAF"/>
    <w:rsid w:val="009F3F85"/>
    <w:rsid w:val="009F400C"/>
    <w:rsid w:val="009F41F5"/>
    <w:rsid w:val="009F4B56"/>
    <w:rsid w:val="009F4EA4"/>
    <w:rsid w:val="009F55D6"/>
    <w:rsid w:val="009F5AE8"/>
    <w:rsid w:val="009F6CAC"/>
    <w:rsid w:val="009F6E8D"/>
    <w:rsid w:val="009F75FE"/>
    <w:rsid w:val="009F77B9"/>
    <w:rsid w:val="00A005B0"/>
    <w:rsid w:val="00A0076E"/>
    <w:rsid w:val="00A00DCD"/>
    <w:rsid w:val="00A019AD"/>
    <w:rsid w:val="00A01D51"/>
    <w:rsid w:val="00A024DD"/>
    <w:rsid w:val="00A02688"/>
    <w:rsid w:val="00A05889"/>
    <w:rsid w:val="00A061B9"/>
    <w:rsid w:val="00A0653F"/>
    <w:rsid w:val="00A06BDF"/>
    <w:rsid w:val="00A06E47"/>
    <w:rsid w:val="00A075C3"/>
    <w:rsid w:val="00A103C3"/>
    <w:rsid w:val="00A11DF6"/>
    <w:rsid w:val="00A1250A"/>
    <w:rsid w:val="00A1333C"/>
    <w:rsid w:val="00A1402E"/>
    <w:rsid w:val="00A1486E"/>
    <w:rsid w:val="00A14E43"/>
    <w:rsid w:val="00A14FD0"/>
    <w:rsid w:val="00A15480"/>
    <w:rsid w:val="00A16873"/>
    <w:rsid w:val="00A16C4B"/>
    <w:rsid w:val="00A17406"/>
    <w:rsid w:val="00A1767A"/>
    <w:rsid w:val="00A17A1D"/>
    <w:rsid w:val="00A17C44"/>
    <w:rsid w:val="00A201E1"/>
    <w:rsid w:val="00A208F4"/>
    <w:rsid w:val="00A20C25"/>
    <w:rsid w:val="00A21098"/>
    <w:rsid w:val="00A2127B"/>
    <w:rsid w:val="00A21468"/>
    <w:rsid w:val="00A2308B"/>
    <w:rsid w:val="00A23AED"/>
    <w:rsid w:val="00A24425"/>
    <w:rsid w:val="00A24638"/>
    <w:rsid w:val="00A251C3"/>
    <w:rsid w:val="00A25248"/>
    <w:rsid w:val="00A25781"/>
    <w:rsid w:val="00A258BC"/>
    <w:rsid w:val="00A25CB6"/>
    <w:rsid w:val="00A25F0F"/>
    <w:rsid w:val="00A267F6"/>
    <w:rsid w:val="00A26987"/>
    <w:rsid w:val="00A26D53"/>
    <w:rsid w:val="00A27CB1"/>
    <w:rsid w:val="00A27E13"/>
    <w:rsid w:val="00A30F03"/>
    <w:rsid w:val="00A30FC7"/>
    <w:rsid w:val="00A31207"/>
    <w:rsid w:val="00A31EB6"/>
    <w:rsid w:val="00A3213D"/>
    <w:rsid w:val="00A32A67"/>
    <w:rsid w:val="00A33379"/>
    <w:rsid w:val="00A33B82"/>
    <w:rsid w:val="00A341DB"/>
    <w:rsid w:val="00A34552"/>
    <w:rsid w:val="00A34A10"/>
    <w:rsid w:val="00A35CCD"/>
    <w:rsid w:val="00A36110"/>
    <w:rsid w:val="00A36BFE"/>
    <w:rsid w:val="00A36D04"/>
    <w:rsid w:val="00A370D2"/>
    <w:rsid w:val="00A41EDC"/>
    <w:rsid w:val="00A4287D"/>
    <w:rsid w:val="00A43259"/>
    <w:rsid w:val="00A433DC"/>
    <w:rsid w:val="00A446D1"/>
    <w:rsid w:val="00A447AA"/>
    <w:rsid w:val="00A449D6"/>
    <w:rsid w:val="00A44C42"/>
    <w:rsid w:val="00A461D9"/>
    <w:rsid w:val="00A466C5"/>
    <w:rsid w:val="00A46955"/>
    <w:rsid w:val="00A47188"/>
    <w:rsid w:val="00A47256"/>
    <w:rsid w:val="00A47AC8"/>
    <w:rsid w:val="00A500A2"/>
    <w:rsid w:val="00A503DF"/>
    <w:rsid w:val="00A509D4"/>
    <w:rsid w:val="00A50CAB"/>
    <w:rsid w:val="00A50D25"/>
    <w:rsid w:val="00A510EC"/>
    <w:rsid w:val="00A51DB5"/>
    <w:rsid w:val="00A52AAB"/>
    <w:rsid w:val="00A52AB9"/>
    <w:rsid w:val="00A5310C"/>
    <w:rsid w:val="00A53213"/>
    <w:rsid w:val="00A532ED"/>
    <w:rsid w:val="00A533EF"/>
    <w:rsid w:val="00A54336"/>
    <w:rsid w:val="00A55112"/>
    <w:rsid w:val="00A55616"/>
    <w:rsid w:val="00A56364"/>
    <w:rsid w:val="00A600B9"/>
    <w:rsid w:val="00A60433"/>
    <w:rsid w:val="00A60E8E"/>
    <w:rsid w:val="00A6222C"/>
    <w:rsid w:val="00A62331"/>
    <w:rsid w:val="00A62409"/>
    <w:rsid w:val="00A632A1"/>
    <w:rsid w:val="00A6343C"/>
    <w:rsid w:val="00A63892"/>
    <w:rsid w:val="00A64199"/>
    <w:rsid w:val="00A64604"/>
    <w:rsid w:val="00A64B90"/>
    <w:rsid w:val="00A65105"/>
    <w:rsid w:val="00A669FD"/>
    <w:rsid w:val="00A70007"/>
    <w:rsid w:val="00A700F1"/>
    <w:rsid w:val="00A70F2E"/>
    <w:rsid w:val="00A71332"/>
    <w:rsid w:val="00A72B2D"/>
    <w:rsid w:val="00A731F3"/>
    <w:rsid w:val="00A73469"/>
    <w:rsid w:val="00A73D17"/>
    <w:rsid w:val="00A73EE5"/>
    <w:rsid w:val="00A74021"/>
    <w:rsid w:val="00A74878"/>
    <w:rsid w:val="00A7496C"/>
    <w:rsid w:val="00A74C66"/>
    <w:rsid w:val="00A750DE"/>
    <w:rsid w:val="00A754B4"/>
    <w:rsid w:val="00A75A75"/>
    <w:rsid w:val="00A75B9C"/>
    <w:rsid w:val="00A75FAC"/>
    <w:rsid w:val="00A7666B"/>
    <w:rsid w:val="00A76A00"/>
    <w:rsid w:val="00A804C2"/>
    <w:rsid w:val="00A80530"/>
    <w:rsid w:val="00A8055C"/>
    <w:rsid w:val="00A80A4E"/>
    <w:rsid w:val="00A81623"/>
    <w:rsid w:val="00A82D31"/>
    <w:rsid w:val="00A8458D"/>
    <w:rsid w:val="00A846E1"/>
    <w:rsid w:val="00A84830"/>
    <w:rsid w:val="00A85AF3"/>
    <w:rsid w:val="00A8668F"/>
    <w:rsid w:val="00A867DA"/>
    <w:rsid w:val="00A87177"/>
    <w:rsid w:val="00A87253"/>
    <w:rsid w:val="00A875A2"/>
    <w:rsid w:val="00A87891"/>
    <w:rsid w:val="00A87DFB"/>
    <w:rsid w:val="00A87F06"/>
    <w:rsid w:val="00A91BA2"/>
    <w:rsid w:val="00A927CE"/>
    <w:rsid w:val="00A92C74"/>
    <w:rsid w:val="00A9432A"/>
    <w:rsid w:val="00A94438"/>
    <w:rsid w:val="00A9536C"/>
    <w:rsid w:val="00A95373"/>
    <w:rsid w:val="00A953B6"/>
    <w:rsid w:val="00A9643C"/>
    <w:rsid w:val="00A96C8F"/>
    <w:rsid w:val="00A97843"/>
    <w:rsid w:val="00AA11AB"/>
    <w:rsid w:val="00AA2672"/>
    <w:rsid w:val="00AA2AA3"/>
    <w:rsid w:val="00AA2B15"/>
    <w:rsid w:val="00AA303A"/>
    <w:rsid w:val="00AA3524"/>
    <w:rsid w:val="00AA3FBB"/>
    <w:rsid w:val="00AA4A90"/>
    <w:rsid w:val="00AA4BAC"/>
    <w:rsid w:val="00AA5067"/>
    <w:rsid w:val="00AA6F43"/>
    <w:rsid w:val="00AA6F9C"/>
    <w:rsid w:val="00AA7561"/>
    <w:rsid w:val="00AB0A11"/>
    <w:rsid w:val="00AB0B97"/>
    <w:rsid w:val="00AB13AD"/>
    <w:rsid w:val="00AB4BD4"/>
    <w:rsid w:val="00AB5F8C"/>
    <w:rsid w:val="00AB5FF5"/>
    <w:rsid w:val="00AB6F38"/>
    <w:rsid w:val="00AB7520"/>
    <w:rsid w:val="00AB7879"/>
    <w:rsid w:val="00AB7A19"/>
    <w:rsid w:val="00AC0B58"/>
    <w:rsid w:val="00AC11CC"/>
    <w:rsid w:val="00AC11EC"/>
    <w:rsid w:val="00AC183D"/>
    <w:rsid w:val="00AC1A1E"/>
    <w:rsid w:val="00AC2810"/>
    <w:rsid w:val="00AC3DEC"/>
    <w:rsid w:val="00AC3EF4"/>
    <w:rsid w:val="00AC3F7E"/>
    <w:rsid w:val="00AC55BE"/>
    <w:rsid w:val="00AC5AED"/>
    <w:rsid w:val="00AC5C2D"/>
    <w:rsid w:val="00AC62F6"/>
    <w:rsid w:val="00AC6682"/>
    <w:rsid w:val="00AC66C9"/>
    <w:rsid w:val="00AC6A47"/>
    <w:rsid w:val="00AC72EF"/>
    <w:rsid w:val="00AC74C6"/>
    <w:rsid w:val="00AC7B1A"/>
    <w:rsid w:val="00AC7C33"/>
    <w:rsid w:val="00AD1FE2"/>
    <w:rsid w:val="00AD276B"/>
    <w:rsid w:val="00AD349B"/>
    <w:rsid w:val="00AD4321"/>
    <w:rsid w:val="00AD580A"/>
    <w:rsid w:val="00AD5B62"/>
    <w:rsid w:val="00AD5F50"/>
    <w:rsid w:val="00AD6425"/>
    <w:rsid w:val="00AD6E03"/>
    <w:rsid w:val="00AE18DE"/>
    <w:rsid w:val="00AE22C6"/>
    <w:rsid w:val="00AE290F"/>
    <w:rsid w:val="00AE2A9E"/>
    <w:rsid w:val="00AE3581"/>
    <w:rsid w:val="00AE4078"/>
    <w:rsid w:val="00AE43C0"/>
    <w:rsid w:val="00AE46B9"/>
    <w:rsid w:val="00AE48A5"/>
    <w:rsid w:val="00AE5093"/>
    <w:rsid w:val="00AE520B"/>
    <w:rsid w:val="00AE55D2"/>
    <w:rsid w:val="00AE59AB"/>
    <w:rsid w:val="00AE61AA"/>
    <w:rsid w:val="00AE653B"/>
    <w:rsid w:val="00AE7EDA"/>
    <w:rsid w:val="00AF06AF"/>
    <w:rsid w:val="00AF0B83"/>
    <w:rsid w:val="00AF1B0C"/>
    <w:rsid w:val="00AF23C6"/>
    <w:rsid w:val="00AF32E4"/>
    <w:rsid w:val="00AF366E"/>
    <w:rsid w:val="00AF3F23"/>
    <w:rsid w:val="00AF42C5"/>
    <w:rsid w:val="00AF4AD7"/>
    <w:rsid w:val="00AF4B36"/>
    <w:rsid w:val="00AF61D7"/>
    <w:rsid w:val="00AF64CC"/>
    <w:rsid w:val="00AF6C55"/>
    <w:rsid w:val="00AF733F"/>
    <w:rsid w:val="00B0014F"/>
    <w:rsid w:val="00B01785"/>
    <w:rsid w:val="00B02042"/>
    <w:rsid w:val="00B0220B"/>
    <w:rsid w:val="00B03482"/>
    <w:rsid w:val="00B040B3"/>
    <w:rsid w:val="00B046FE"/>
    <w:rsid w:val="00B04F55"/>
    <w:rsid w:val="00B056E2"/>
    <w:rsid w:val="00B05A42"/>
    <w:rsid w:val="00B060B4"/>
    <w:rsid w:val="00B0639B"/>
    <w:rsid w:val="00B0653D"/>
    <w:rsid w:val="00B06761"/>
    <w:rsid w:val="00B06784"/>
    <w:rsid w:val="00B06B53"/>
    <w:rsid w:val="00B0707E"/>
    <w:rsid w:val="00B12B34"/>
    <w:rsid w:val="00B1328E"/>
    <w:rsid w:val="00B140D6"/>
    <w:rsid w:val="00B14A0F"/>
    <w:rsid w:val="00B1525F"/>
    <w:rsid w:val="00B152A5"/>
    <w:rsid w:val="00B15EB0"/>
    <w:rsid w:val="00B16A53"/>
    <w:rsid w:val="00B1730E"/>
    <w:rsid w:val="00B1737D"/>
    <w:rsid w:val="00B17774"/>
    <w:rsid w:val="00B17B83"/>
    <w:rsid w:val="00B17F0E"/>
    <w:rsid w:val="00B211C9"/>
    <w:rsid w:val="00B216FB"/>
    <w:rsid w:val="00B222F5"/>
    <w:rsid w:val="00B22C2B"/>
    <w:rsid w:val="00B2342F"/>
    <w:rsid w:val="00B2386D"/>
    <w:rsid w:val="00B24C8D"/>
    <w:rsid w:val="00B251FB"/>
    <w:rsid w:val="00B25233"/>
    <w:rsid w:val="00B2578E"/>
    <w:rsid w:val="00B263B5"/>
    <w:rsid w:val="00B306E7"/>
    <w:rsid w:val="00B3089A"/>
    <w:rsid w:val="00B3091E"/>
    <w:rsid w:val="00B30F7E"/>
    <w:rsid w:val="00B3133D"/>
    <w:rsid w:val="00B3359A"/>
    <w:rsid w:val="00B338C2"/>
    <w:rsid w:val="00B3398C"/>
    <w:rsid w:val="00B33D77"/>
    <w:rsid w:val="00B342AF"/>
    <w:rsid w:val="00B34729"/>
    <w:rsid w:val="00B3484C"/>
    <w:rsid w:val="00B349AB"/>
    <w:rsid w:val="00B35193"/>
    <w:rsid w:val="00B35507"/>
    <w:rsid w:val="00B371EE"/>
    <w:rsid w:val="00B37287"/>
    <w:rsid w:val="00B37920"/>
    <w:rsid w:val="00B4069C"/>
    <w:rsid w:val="00B414FC"/>
    <w:rsid w:val="00B4303E"/>
    <w:rsid w:val="00B44016"/>
    <w:rsid w:val="00B4440F"/>
    <w:rsid w:val="00B44EA0"/>
    <w:rsid w:val="00B46261"/>
    <w:rsid w:val="00B46884"/>
    <w:rsid w:val="00B47209"/>
    <w:rsid w:val="00B475CF"/>
    <w:rsid w:val="00B478CF"/>
    <w:rsid w:val="00B47B39"/>
    <w:rsid w:val="00B50003"/>
    <w:rsid w:val="00B501B1"/>
    <w:rsid w:val="00B50717"/>
    <w:rsid w:val="00B508C9"/>
    <w:rsid w:val="00B5111B"/>
    <w:rsid w:val="00B51180"/>
    <w:rsid w:val="00B513E3"/>
    <w:rsid w:val="00B52D2C"/>
    <w:rsid w:val="00B52FDE"/>
    <w:rsid w:val="00B53412"/>
    <w:rsid w:val="00B53E38"/>
    <w:rsid w:val="00B53EDE"/>
    <w:rsid w:val="00B541CB"/>
    <w:rsid w:val="00B549B8"/>
    <w:rsid w:val="00B54F6F"/>
    <w:rsid w:val="00B56269"/>
    <w:rsid w:val="00B5659D"/>
    <w:rsid w:val="00B567F6"/>
    <w:rsid w:val="00B56C37"/>
    <w:rsid w:val="00B5762B"/>
    <w:rsid w:val="00B57C7D"/>
    <w:rsid w:val="00B6068B"/>
    <w:rsid w:val="00B6148A"/>
    <w:rsid w:val="00B621D4"/>
    <w:rsid w:val="00B6259F"/>
    <w:rsid w:val="00B62AC1"/>
    <w:rsid w:val="00B63148"/>
    <w:rsid w:val="00B63350"/>
    <w:rsid w:val="00B63809"/>
    <w:rsid w:val="00B638A9"/>
    <w:rsid w:val="00B63CCF"/>
    <w:rsid w:val="00B63EA4"/>
    <w:rsid w:val="00B64018"/>
    <w:rsid w:val="00B64A0B"/>
    <w:rsid w:val="00B66115"/>
    <w:rsid w:val="00B663AC"/>
    <w:rsid w:val="00B66A11"/>
    <w:rsid w:val="00B66B69"/>
    <w:rsid w:val="00B7047B"/>
    <w:rsid w:val="00B720E2"/>
    <w:rsid w:val="00B72B74"/>
    <w:rsid w:val="00B72BBF"/>
    <w:rsid w:val="00B72F0B"/>
    <w:rsid w:val="00B73666"/>
    <w:rsid w:val="00B744F9"/>
    <w:rsid w:val="00B746D3"/>
    <w:rsid w:val="00B74F53"/>
    <w:rsid w:val="00B757D0"/>
    <w:rsid w:val="00B76556"/>
    <w:rsid w:val="00B768FB"/>
    <w:rsid w:val="00B7692C"/>
    <w:rsid w:val="00B77D48"/>
    <w:rsid w:val="00B815A5"/>
    <w:rsid w:val="00B81FE3"/>
    <w:rsid w:val="00B824E5"/>
    <w:rsid w:val="00B82E39"/>
    <w:rsid w:val="00B837E0"/>
    <w:rsid w:val="00B84576"/>
    <w:rsid w:val="00B84F9C"/>
    <w:rsid w:val="00B85309"/>
    <w:rsid w:val="00B85D9F"/>
    <w:rsid w:val="00B85FDC"/>
    <w:rsid w:val="00B86935"/>
    <w:rsid w:val="00B86E9B"/>
    <w:rsid w:val="00B86ECA"/>
    <w:rsid w:val="00B87371"/>
    <w:rsid w:val="00B879A3"/>
    <w:rsid w:val="00B87A82"/>
    <w:rsid w:val="00B9137A"/>
    <w:rsid w:val="00B923A8"/>
    <w:rsid w:val="00B93C8D"/>
    <w:rsid w:val="00B94E71"/>
    <w:rsid w:val="00B95726"/>
    <w:rsid w:val="00B95761"/>
    <w:rsid w:val="00B95B9A"/>
    <w:rsid w:val="00B96A67"/>
    <w:rsid w:val="00B97193"/>
    <w:rsid w:val="00BA14C0"/>
    <w:rsid w:val="00BA1584"/>
    <w:rsid w:val="00BA1661"/>
    <w:rsid w:val="00BA175F"/>
    <w:rsid w:val="00BA1CB8"/>
    <w:rsid w:val="00BA1F04"/>
    <w:rsid w:val="00BA1FB6"/>
    <w:rsid w:val="00BA2AAF"/>
    <w:rsid w:val="00BA2BA3"/>
    <w:rsid w:val="00BA2D0B"/>
    <w:rsid w:val="00BA444C"/>
    <w:rsid w:val="00BA4FCD"/>
    <w:rsid w:val="00BA5112"/>
    <w:rsid w:val="00BA55DE"/>
    <w:rsid w:val="00BA5FD5"/>
    <w:rsid w:val="00BA67F2"/>
    <w:rsid w:val="00BA71EC"/>
    <w:rsid w:val="00BA7CFA"/>
    <w:rsid w:val="00BA7EDB"/>
    <w:rsid w:val="00BA7FF7"/>
    <w:rsid w:val="00BB004C"/>
    <w:rsid w:val="00BB039C"/>
    <w:rsid w:val="00BB0D7D"/>
    <w:rsid w:val="00BB0F2F"/>
    <w:rsid w:val="00BB122C"/>
    <w:rsid w:val="00BB16EF"/>
    <w:rsid w:val="00BB3413"/>
    <w:rsid w:val="00BB3FB5"/>
    <w:rsid w:val="00BB52DA"/>
    <w:rsid w:val="00BB62A9"/>
    <w:rsid w:val="00BB6755"/>
    <w:rsid w:val="00BB728B"/>
    <w:rsid w:val="00BB72FC"/>
    <w:rsid w:val="00BB76D6"/>
    <w:rsid w:val="00BC068D"/>
    <w:rsid w:val="00BC0A5A"/>
    <w:rsid w:val="00BC14F9"/>
    <w:rsid w:val="00BC1D4E"/>
    <w:rsid w:val="00BC2953"/>
    <w:rsid w:val="00BC2A05"/>
    <w:rsid w:val="00BC33FF"/>
    <w:rsid w:val="00BC3CA2"/>
    <w:rsid w:val="00BC3EEB"/>
    <w:rsid w:val="00BC4187"/>
    <w:rsid w:val="00BC41FC"/>
    <w:rsid w:val="00BC44E4"/>
    <w:rsid w:val="00BC4F55"/>
    <w:rsid w:val="00BC5669"/>
    <w:rsid w:val="00BC5BD0"/>
    <w:rsid w:val="00BC5CA5"/>
    <w:rsid w:val="00BC618F"/>
    <w:rsid w:val="00BC6836"/>
    <w:rsid w:val="00BD0641"/>
    <w:rsid w:val="00BD097B"/>
    <w:rsid w:val="00BD1251"/>
    <w:rsid w:val="00BD1506"/>
    <w:rsid w:val="00BD15F6"/>
    <w:rsid w:val="00BD16FD"/>
    <w:rsid w:val="00BD2365"/>
    <w:rsid w:val="00BD2618"/>
    <w:rsid w:val="00BD29F5"/>
    <w:rsid w:val="00BD2DBE"/>
    <w:rsid w:val="00BD37C5"/>
    <w:rsid w:val="00BD3BD7"/>
    <w:rsid w:val="00BD42DB"/>
    <w:rsid w:val="00BD4905"/>
    <w:rsid w:val="00BD4B3B"/>
    <w:rsid w:val="00BD6160"/>
    <w:rsid w:val="00BD7E64"/>
    <w:rsid w:val="00BE09A0"/>
    <w:rsid w:val="00BE0FBC"/>
    <w:rsid w:val="00BE11CE"/>
    <w:rsid w:val="00BE13C2"/>
    <w:rsid w:val="00BE1FAF"/>
    <w:rsid w:val="00BE24A3"/>
    <w:rsid w:val="00BE27C2"/>
    <w:rsid w:val="00BE2E2D"/>
    <w:rsid w:val="00BE323D"/>
    <w:rsid w:val="00BE442E"/>
    <w:rsid w:val="00BE45E5"/>
    <w:rsid w:val="00BE4AF6"/>
    <w:rsid w:val="00BE4F79"/>
    <w:rsid w:val="00BE516C"/>
    <w:rsid w:val="00BE709A"/>
    <w:rsid w:val="00BE71FB"/>
    <w:rsid w:val="00BE7B3E"/>
    <w:rsid w:val="00BF081E"/>
    <w:rsid w:val="00BF0ADF"/>
    <w:rsid w:val="00BF0BBD"/>
    <w:rsid w:val="00BF0C2A"/>
    <w:rsid w:val="00BF0ECB"/>
    <w:rsid w:val="00BF0F80"/>
    <w:rsid w:val="00BF1406"/>
    <w:rsid w:val="00BF1548"/>
    <w:rsid w:val="00BF1774"/>
    <w:rsid w:val="00BF1FEE"/>
    <w:rsid w:val="00BF2F8A"/>
    <w:rsid w:val="00BF4217"/>
    <w:rsid w:val="00BF469F"/>
    <w:rsid w:val="00BF4E8E"/>
    <w:rsid w:val="00BF4FAE"/>
    <w:rsid w:val="00BF5454"/>
    <w:rsid w:val="00BF55B5"/>
    <w:rsid w:val="00BF5ADD"/>
    <w:rsid w:val="00BF63D0"/>
    <w:rsid w:val="00BF6BFE"/>
    <w:rsid w:val="00BF6F98"/>
    <w:rsid w:val="00BF7933"/>
    <w:rsid w:val="00BF7BAC"/>
    <w:rsid w:val="00C01A77"/>
    <w:rsid w:val="00C01DAC"/>
    <w:rsid w:val="00C03299"/>
    <w:rsid w:val="00C033DB"/>
    <w:rsid w:val="00C036BF"/>
    <w:rsid w:val="00C043AC"/>
    <w:rsid w:val="00C044F4"/>
    <w:rsid w:val="00C04743"/>
    <w:rsid w:val="00C05B94"/>
    <w:rsid w:val="00C05D1A"/>
    <w:rsid w:val="00C0758E"/>
    <w:rsid w:val="00C10736"/>
    <w:rsid w:val="00C10F29"/>
    <w:rsid w:val="00C113FC"/>
    <w:rsid w:val="00C11881"/>
    <w:rsid w:val="00C11BB6"/>
    <w:rsid w:val="00C13451"/>
    <w:rsid w:val="00C13833"/>
    <w:rsid w:val="00C140FE"/>
    <w:rsid w:val="00C143BE"/>
    <w:rsid w:val="00C15305"/>
    <w:rsid w:val="00C15ABC"/>
    <w:rsid w:val="00C15C8B"/>
    <w:rsid w:val="00C1609F"/>
    <w:rsid w:val="00C16755"/>
    <w:rsid w:val="00C1693B"/>
    <w:rsid w:val="00C17047"/>
    <w:rsid w:val="00C17AF8"/>
    <w:rsid w:val="00C209A5"/>
    <w:rsid w:val="00C21611"/>
    <w:rsid w:val="00C21D05"/>
    <w:rsid w:val="00C220F3"/>
    <w:rsid w:val="00C22206"/>
    <w:rsid w:val="00C23133"/>
    <w:rsid w:val="00C231FE"/>
    <w:rsid w:val="00C23493"/>
    <w:rsid w:val="00C23881"/>
    <w:rsid w:val="00C23B82"/>
    <w:rsid w:val="00C23E73"/>
    <w:rsid w:val="00C2400F"/>
    <w:rsid w:val="00C24A32"/>
    <w:rsid w:val="00C257C6"/>
    <w:rsid w:val="00C2604D"/>
    <w:rsid w:val="00C26997"/>
    <w:rsid w:val="00C276D8"/>
    <w:rsid w:val="00C279F4"/>
    <w:rsid w:val="00C27F67"/>
    <w:rsid w:val="00C30496"/>
    <w:rsid w:val="00C3077D"/>
    <w:rsid w:val="00C31CA1"/>
    <w:rsid w:val="00C31D29"/>
    <w:rsid w:val="00C32AC3"/>
    <w:rsid w:val="00C33040"/>
    <w:rsid w:val="00C33813"/>
    <w:rsid w:val="00C33EB4"/>
    <w:rsid w:val="00C35291"/>
    <w:rsid w:val="00C35443"/>
    <w:rsid w:val="00C35E3D"/>
    <w:rsid w:val="00C36A8F"/>
    <w:rsid w:val="00C36FA2"/>
    <w:rsid w:val="00C37529"/>
    <w:rsid w:val="00C37AD7"/>
    <w:rsid w:val="00C40005"/>
    <w:rsid w:val="00C40068"/>
    <w:rsid w:val="00C4020F"/>
    <w:rsid w:val="00C4086A"/>
    <w:rsid w:val="00C40C65"/>
    <w:rsid w:val="00C40E46"/>
    <w:rsid w:val="00C41ECA"/>
    <w:rsid w:val="00C42070"/>
    <w:rsid w:val="00C43A95"/>
    <w:rsid w:val="00C43EDB"/>
    <w:rsid w:val="00C4442C"/>
    <w:rsid w:val="00C44FD0"/>
    <w:rsid w:val="00C475C9"/>
    <w:rsid w:val="00C47E80"/>
    <w:rsid w:val="00C515D6"/>
    <w:rsid w:val="00C51C74"/>
    <w:rsid w:val="00C51EEE"/>
    <w:rsid w:val="00C52B84"/>
    <w:rsid w:val="00C53544"/>
    <w:rsid w:val="00C53840"/>
    <w:rsid w:val="00C53EF4"/>
    <w:rsid w:val="00C5436A"/>
    <w:rsid w:val="00C5469C"/>
    <w:rsid w:val="00C560DD"/>
    <w:rsid w:val="00C57227"/>
    <w:rsid w:val="00C574F6"/>
    <w:rsid w:val="00C60109"/>
    <w:rsid w:val="00C6056D"/>
    <w:rsid w:val="00C60E5E"/>
    <w:rsid w:val="00C6161E"/>
    <w:rsid w:val="00C62917"/>
    <w:rsid w:val="00C62E8D"/>
    <w:rsid w:val="00C65B05"/>
    <w:rsid w:val="00C65E0F"/>
    <w:rsid w:val="00C660C9"/>
    <w:rsid w:val="00C665B0"/>
    <w:rsid w:val="00C6671C"/>
    <w:rsid w:val="00C66D34"/>
    <w:rsid w:val="00C66EBA"/>
    <w:rsid w:val="00C67555"/>
    <w:rsid w:val="00C70769"/>
    <w:rsid w:val="00C70F3C"/>
    <w:rsid w:val="00C711BC"/>
    <w:rsid w:val="00C7121F"/>
    <w:rsid w:val="00C719AC"/>
    <w:rsid w:val="00C720D7"/>
    <w:rsid w:val="00C720DA"/>
    <w:rsid w:val="00C724AA"/>
    <w:rsid w:val="00C73128"/>
    <w:rsid w:val="00C731CB"/>
    <w:rsid w:val="00C732A6"/>
    <w:rsid w:val="00C743D3"/>
    <w:rsid w:val="00C74ADF"/>
    <w:rsid w:val="00C74B28"/>
    <w:rsid w:val="00C75F88"/>
    <w:rsid w:val="00C768A5"/>
    <w:rsid w:val="00C7696D"/>
    <w:rsid w:val="00C76AA2"/>
    <w:rsid w:val="00C76E87"/>
    <w:rsid w:val="00C776DC"/>
    <w:rsid w:val="00C77FD1"/>
    <w:rsid w:val="00C80402"/>
    <w:rsid w:val="00C818A2"/>
    <w:rsid w:val="00C8259D"/>
    <w:rsid w:val="00C83EC4"/>
    <w:rsid w:val="00C83EDD"/>
    <w:rsid w:val="00C83FD8"/>
    <w:rsid w:val="00C8402E"/>
    <w:rsid w:val="00C84878"/>
    <w:rsid w:val="00C84A47"/>
    <w:rsid w:val="00C84D68"/>
    <w:rsid w:val="00C85401"/>
    <w:rsid w:val="00C854FB"/>
    <w:rsid w:val="00C865CE"/>
    <w:rsid w:val="00C869D4"/>
    <w:rsid w:val="00C86A0B"/>
    <w:rsid w:val="00C86D10"/>
    <w:rsid w:val="00C86F4F"/>
    <w:rsid w:val="00C871C2"/>
    <w:rsid w:val="00C878E0"/>
    <w:rsid w:val="00C87CC2"/>
    <w:rsid w:val="00C9061C"/>
    <w:rsid w:val="00C90B85"/>
    <w:rsid w:val="00C91E85"/>
    <w:rsid w:val="00C91FD1"/>
    <w:rsid w:val="00C92041"/>
    <w:rsid w:val="00C921F0"/>
    <w:rsid w:val="00C93DAE"/>
    <w:rsid w:val="00C93E8A"/>
    <w:rsid w:val="00C9431D"/>
    <w:rsid w:val="00C946A7"/>
    <w:rsid w:val="00C948DF"/>
    <w:rsid w:val="00C9526F"/>
    <w:rsid w:val="00C97152"/>
    <w:rsid w:val="00C97971"/>
    <w:rsid w:val="00C97E81"/>
    <w:rsid w:val="00C97F62"/>
    <w:rsid w:val="00CA1311"/>
    <w:rsid w:val="00CA1A3F"/>
    <w:rsid w:val="00CA1A7A"/>
    <w:rsid w:val="00CA1E78"/>
    <w:rsid w:val="00CA26A4"/>
    <w:rsid w:val="00CA28ED"/>
    <w:rsid w:val="00CA3E2B"/>
    <w:rsid w:val="00CA42E6"/>
    <w:rsid w:val="00CA4321"/>
    <w:rsid w:val="00CA5840"/>
    <w:rsid w:val="00CA5889"/>
    <w:rsid w:val="00CA59FC"/>
    <w:rsid w:val="00CA659A"/>
    <w:rsid w:val="00CA6706"/>
    <w:rsid w:val="00CA6F81"/>
    <w:rsid w:val="00CA7101"/>
    <w:rsid w:val="00CB0144"/>
    <w:rsid w:val="00CB09CD"/>
    <w:rsid w:val="00CB16F6"/>
    <w:rsid w:val="00CB1B35"/>
    <w:rsid w:val="00CB1E86"/>
    <w:rsid w:val="00CB2631"/>
    <w:rsid w:val="00CB2759"/>
    <w:rsid w:val="00CB4EB6"/>
    <w:rsid w:val="00CB5039"/>
    <w:rsid w:val="00CB52C6"/>
    <w:rsid w:val="00CB632C"/>
    <w:rsid w:val="00CB7099"/>
    <w:rsid w:val="00CB7B5F"/>
    <w:rsid w:val="00CC0135"/>
    <w:rsid w:val="00CC1CF6"/>
    <w:rsid w:val="00CC22DD"/>
    <w:rsid w:val="00CC26AE"/>
    <w:rsid w:val="00CC2772"/>
    <w:rsid w:val="00CC3132"/>
    <w:rsid w:val="00CC36E7"/>
    <w:rsid w:val="00CC3A36"/>
    <w:rsid w:val="00CC3BDA"/>
    <w:rsid w:val="00CC443C"/>
    <w:rsid w:val="00CC5D03"/>
    <w:rsid w:val="00CC5E53"/>
    <w:rsid w:val="00CC6E96"/>
    <w:rsid w:val="00CC6F6D"/>
    <w:rsid w:val="00CC7BE6"/>
    <w:rsid w:val="00CD062B"/>
    <w:rsid w:val="00CD0668"/>
    <w:rsid w:val="00CD0C18"/>
    <w:rsid w:val="00CD1112"/>
    <w:rsid w:val="00CD14A4"/>
    <w:rsid w:val="00CD1ED3"/>
    <w:rsid w:val="00CD247B"/>
    <w:rsid w:val="00CD291E"/>
    <w:rsid w:val="00CD4980"/>
    <w:rsid w:val="00CD57BF"/>
    <w:rsid w:val="00CD5983"/>
    <w:rsid w:val="00CD60E3"/>
    <w:rsid w:val="00CD6833"/>
    <w:rsid w:val="00CD68BD"/>
    <w:rsid w:val="00CD6B84"/>
    <w:rsid w:val="00CD7194"/>
    <w:rsid w:val="00CD74C9"/>
    <w:rsid w:val="00CD7ADF"/>
    <w:rsid w:val="00CE02A8"/>
    <w:rsid w:val="00CE06AD"/>
    <w:rsid w:val="00CE1BD3"/>
    <w:rsid w:val="00CE1C09"/>
    <w:rsid w:val="00CE2C17"/>
    <w:rsid w:val="00CE3921"/>
    <w:rsid w:val="00CE5995"/>
    <w:rsid w:val="00CE6006"/>
    <w:rsid w:val="00CE6BD8"/>
    <w:rsid w:val="00CF0083"/>
    <w:rsid w:val="00CF0485"/>
    <w:rsid w:val="00CF0609"/>
    <w:rsid w:val="00CF08F6"/>
    <w:rsid w:val="00CF09C1"/>
    <w:rsid w:val="00CF0E98"/>
    <w:rsid w:val="00CF1174"/>
    <w:rsid w:val="00CF1232"/>
    <w:rsid w:val="00CF1A42"/>
    <w:rsid w:val="00CF1D22"/>
    <w:rsid w:val="00CF28F2"/>
    <w:rsid w:val="00CF2FAE"/>
    <w:rsid w:val="00CF2FE7"/>
    <w:rsid w:val="00CF41C2"/>
    <w:rsid w:val="00CF4DE2"/>
    <w:rsid w:val="00CF5B4C"/>
    <w:rsid w:val="00CF6A9C"/>
    <w:rsid w:val="00CF6B75"/>
    <w:rsid w:val="00CF6F70"/>
    <w:rsid w:val="00CF72B9"/>
    <w:rsid w:val="00CF73F1"/>
    <w:rsid w:val="00CF7690"/>
    <w:rsid w:val="00D015D3"/>
    <w:rsid w:val="00D01B24"/>
    <w:rsid w:val="00D02C9F"/>
    <w:rsid w:val="00D035CF"/>
    <w:rsid w:val="00D039A1"/>
    <w:rsid w:val="00D0474E"/>
    <w:rsid w:val="00D0573E"/>
    <w:rsid w:val="00D057EF"/>
    <w:rsid w:val="00D06433"/>
    <w:rsid w:val="00D10472"/>
    <w:rsid w:val="00D10A81"/>
    <w:rsid w:val="00D1105A"/>
    <w:rsid w:val="00D1227A"/>
    <w:rsid w:val="00D124C0"/>
    <w:rsid w:val="00D133C0"/>
    <w:rsid w:val="00D13885"/>
    <w:rsid w:val="00D139B2"/>
    <w:rsid w:val="00D13EB6"/>
    <w:rsid w:val="00D1428B"/>
    <w:rsid w:val="00D14FC3"/>
    <w:rsid w:val="00D15478"/>
    <w:rsid w:val="00D1547A"/>
    <w:rsid w:val="00D154BE"/>
    <w:rsid w:val="00D1608F"/>
    <w:rsid w:val="00D1679C"/>
    <w:rsid w:val="00D17CA0"/>
    <w:rsid w:val="00D204A5"/>
    <w:rsid w:val="00D21430"/>
    <w:rsid w:val="00D21D28"/>
    <w:rsid w:val="00D21D56"/>
    <w:rsid w:val="00D2221C"/>
    <w:rsid w:val="00D225B4"/>
    <w:rsid w:val="00D2354C"/>
    <w:rsid w:val="00D2464F"/>
    <w:rsid w:val="00D24A8D"/>
    <w:rsid w:val="00D24B64"/>
    <w:rsid w:val="00D2566D"/>
    <w:rsid w:val="00D26488"/>
    <w:rsid w:val="00D272D5"/>
    <w:rsid w:val="00D2750A"/>
    <w:rsid w:val="00D276AA"/>
    <w:rsid w:val="00D27F15"/>
    <w:rsid w:val="00D30219"/>
    <w:rsid w:val="00D30F98"/>
    <w:rsid w:val="00D31B03"/>
    <w:rsid w:val="00D31E2A"/>
    <w:rsid w:val="00D322EC"/>
    <w:rsid w:val="00D33E8D"/>
    <w:rsid w:val="00D33FB4"/>
    <w:rsid w:val="00D34A12"/>
    <w:rsid w:val="00D35713"/>
    <w:rsid w:val="00D368AE"/>
    <w:rsid w:val="00D37CE4"/>
    <w:rsid w:val="00D37E41"/>
    <w:rsid w:val="00D40506"/>
    <w:rsid w:val="00D40534"/>
    <w:rsid w:val="00D41949"/>
    <w:rsid w:val="00D41A83"/>
    <w:rsid w:val="00D426FD"/>
    <w:rsid w:val="00D429AD"/>
    <w:rsid w:val="00D4351A"/>
    <w:rsid w:val="00D43575"/>
    <w:rsid w:val="00D43DCD"/>
    <w:rsid w:val="00D43E1C"/>
    <w:rsid w:val="00D43F01"/>
    <w:rsid w:val="00D4465A"/>
    <w:rsid w:val="00D44BE6"/>
    <w:rsid w:val="00D46664"/>
    <w:rsid w:val="00D46961"/>
    <w:rsid w:val="00D469D1"/>
    <w:rsid w:val="00D46F83"/>
    <w:rsid w:val="00D50306"/>
    <w:rsid w:val="00D50669"/>
    <w:rsid w:val="00D50CCD"/>
    <w:rsid w:val="00D51641"/>
    <w:rsid w:val="00D518BE"/>
    <w:rsid w:val="00D5200A"/>
    <w:rsid w:val="00D52B15"/>
    <w:rsid w:val="00D52F84"/>
    <w:rsid w:val="00D52F9C"/>
    <w:rsid w:val="00D53066"/>
    <w:rsid w:val="00D5349E"/>
    <w:rsid w:val="00D5354F"/>
    <w:rsid w:val="00D53743"/>
    <w:rsid w:val="00D54481"/>
    <w:rsid w:val="00D54573"/>
    <w:rsid w:val="00D548DD"/>
    <w:rsid w:val="00D54BCF"/>
    <w:rsid w:val="00D55ADA"/>
    <w:rsid w:val="00D571A6"/>
    <w:rsid w:val="00D577C3"/>
    <w:rsid w:val="00D60FC1"/>
    <w:rsid w:val="00D619A6"/>
    <w:rsid w:val="00D61A16"/>
    <w:rsid w:val="00D626C2"/>
    <w:rsid w:val="00D626E9"/>
    <w:rsid w:val="00D6341C"/>
    <w:rsid w:val="00D63547"/>
    <w:rsid w:val="00D6464D"/>
    <w:rsid w:val="00D649B9"/>
    <w:rsid w:val="00D64D2F"/>
    <w:rsid w:val="00D65670"/>
    <w:rsid w:val="00D65C21"/>
    <w:rsid w:val="00D66BF5"/>
    <w:rsid w:val="00D67600"/>
    <w:rsid w:val="00D70951"/>
    <w:rsid w:val="00D7099F"/>
    <w:rsid w:val="00D70B16"/>
    <w:rsid w:val="00D70EA4"/>
    <w:rsid w:val="00D71033"/>
    <w:rsid w:val="00D71A4E"/>
    <w:rsid w:val="00D720CA"/>
    <w:rsid w:val="00D725E2"/>
    <w:rsid w:val="00D74336"/>
    <w:rsid w:val="00D74C30"/>
    <w:rsid w:val="00D75280"/>
    <w:rsid w:val="00D752E9"/>
    <w:rsid w:val="00D76226"/>
    <w:rsid w:val="00D763D4"/>
    <w:rsid w:val="00D76D25"/>
    <w:rsid w:val="00D77377"/>
    <w:rsid w:val="00D775A9"/>
    <w:rsid w:val="00D777E1"/>
    <w:rsid w:val="00D77A8A"/>
    <w:rsid w:val="00D77E0D"/>
    <w:rsid w:val="00D77F3F"/>
    <w:rsid w:val="00D803B1"/>
    <w:rsid w:val="00D8118A"/>
    <w:rsid w:val="00D821B2"/>
    <w:rsid w:val="00D83515"/>
    <w:rsid w:val="00D83F98"/>
    <w:rsid w:val="00D842D7"/>
    <w:rsid w:val="00D84F6A"/>
    <w:rsid w:val="00D857CE"/>
    <w:rsid w:val="00D85938"/>
    <w:rsid w:val="00D85B94"/>
    <w:rsid w:val="00D860EC"/>
    <w:rsid w:val="00D867F2"/>
    <w:rsid w:val="00D8783E"/>
    <w:rsid w:val="00D90F9D"/>
    <w:rsid w:val="00D90FA3"/>
    <w:rsid w:val="00D917DD"/>
    <w:rsid w:val="00D91885"/>
    <w:rsid w:val="00D91FF2"/>
    <w:rsid w:val="00D93A97"/>
    <w:rsid w:val="00D93E94"/>
    <w:rsid w:val="00D940DC"/>
    <w:rsid w:val="00D94A3B"/>
    <w:rsid w:val="00D95062"/>
    <w:rsid w:val="00D95088"/>
    <w:rsid w:val="00D95CBE"/>
    <w:rsid w:val="00D969A0"/>
    <w:rsid w:val="00D97CB9"/>
    <w:rsid w:val="00DA06A6"/>
    <w:rsid w:val="00DA0C5E"/>
    <w:rsid w:val="00DA12A5"/>
    <w:rsid w:val="00DA1625"/>
    <w:rsid w:val="00DA1CDC"/>
    <w:rsid w:val="00DA268F"/>
    <w:rsid w:val="00DA6055"/>
    <w:rsid w:val="00DA65FE"/>
    <w:rsid w:val="00DA6F01"/>
    <w:rsid w:val="00DB1636"/>
    <w:rsid w:val="00DB234A"/>
    <w:rsid w:val="00DB25D1"/>
    <w:rsid w:val="00DB2CE3"/>
    <w:rsid w:val="00DB34F6"/>
    <w:rsid w:val="00DB373B"/>
    <w:rsid w:val="00DB374B"/>
    <w:rsid w:val="00DB3A8F"/>
    <w:rsid w:val="00DB3BE3"/>
    <w:rsid w:val="00DB4DED"/>
    <w:rsid w:val="00DB4E44"/>
    <w:rsid w:val="00DB5D90"/>
    <w:rsid w:val="00DB617A"/>
    <w:rsid w:val="00DB6238"/>
    <w:rsid w:val="00DB75D9"/>
    <w:rsid w:val="00DB7B6F"/>
    <w:rsid w:val="00DC1608"/>
    <w:rsid w:val="00DC186B"/>
    <w:rsid w:val="00DC1D41"/>
    <w:rsid w:val="00DC22B1"/>
    <w:rsid w:val="00DC3202"/>
    <w:rsid w:val="00DC3A51"/>
    <w:rsid w:val="00DC3D9C"/>
    <w:rsid w:val="00DC470F"/>
    <w:rsid w:val="00DC5251"/>
    <w:rsid w:val="00DC68E8"/>
    <w:rsid w:val="00DC6D61"/>
    <w:rsid w:val="00DD0194"/>
    <w:rsid w:val="00DD0B8E"/>
    <w:rsid w:val="00DD0D11"/>
    <w:rsid w:val="00DD18B3"/>
    <w:rsid w:val="00DD2063"/>
    <w:rsid w:val="00DD23CF"/>
    <w:rsid w:val="00DD24B7"/>
    <w:rsid w:val="00DD27E6"/>
    <w:rsid w:val="00DD2CF9"/>
    <w:rsid w:val="00DD34C6"/>
    <w:rsid w:val="00DD42F2"/>
    <w:rsid w:val="00DD48C2"/>
    <w:rsid w:val="00DD58C2"/>
    <w:rsid w:val="00DD5E8D"/>
    <w:rsid w:val="00DD67D6"/>
    <w:rsid w:val="00DD688E"/>
    <w:rsid w:val="00DD7E33"/>
    <w:rsid w:val="00DE1736"/>
    <w:rsid w:val="00DE1CDB"/>
    <w:rsid w:val="00DE1DE8"/>
    <w:rsid w:val="00DE2607"/>
    <w:rsid w:val="00DE26A1"/>
    <w:rsid w:val="00DE2E3D"/>
    <w:rsid w:val="00DE31CC"/>
    <w:rsid w:val="00DE3237"/>
    <w:rsid w:val="00DE36C5"/>
    <w:rsid w:val="00DE5391"/>
    <w:rsid w:val="00DE5E2C"/>
    <w:rsid w:val="00DE5F5D"/>
    <w:rsid w:val="00DE6099"/>
    <w:rsid w:val="00DE6C47"/>
    <w:rsid w:val="00DE6CD5"/>
    <w:rsid w:val="00DE6F42"/>
    <w:rsid w:val="00DE7678"/>
    <w:rsid w:val="00DF01B2"/>
    <w:rsid w:val="00DF01DB"/>
    <w:rsid w:val="00DF06F0"/>
    <w:rsid w:val="00DF0744"/>
    <w:rsid w:val="00DF0754"/>
    <w:rsid w:val="00DF0AAB"/>
    <w:rsid w:val="00DF0CB6"/>
    <w:rsid w:val="00DF0EC3"/>
    <w:rsid w:val="00DF166B"/>
    <w:rsid w:val="00DF2F64"/>
    <w:rsid w:val="00DF48D3"/>
    <w:rsid w:val="00DF50E6"/>
    <w:rsid w:val="00DF58BE"/>
    <w:rsid w:val="00DF6596"/>
    <w:rsid w:val="00DF6FAA"/>
    <w:rsid w:val="00DF73DA"/>
    <w:rsid w:val="00E006C5"/>
    <w:rsid w:val="00E016EB"/>
    <w:rsid w:val="00E01EDE"/>
    <w:rsid w:val="00E0202C"/>
    <w:rsid w:val="00E02EDE"/>
    <w:rsid w:val="00E0321E"/>
    <w:rsid w:val="00E03793"/>
    <w:rsid w:val="00E03CBF"/>
    <w:rsid w:val="00E04B0B"/>
    <w:rsid w:val="00E04BCA"/>
    <w:rsid w:val="00E04E22"/>
    <w:rsid w:val="00E0501D"/>
    <w:rsid w:val="00E054E0"/>
    <w:rsid w:val="00E05766"/>
    <w:rsid w:val="00E05B38"/>
    <w:rsid w:val="00E05E92"/>
    <w:rsid w:val="00E0605E"/>
    <w:rsid w:val="00E060A5"/>
    <w:rsid w:val="00E0621D"/>
    <w:rsid w:val="00E07C84"/>
    <w:rsid w:val="00E07FAB"/>
    <w:rsid w:val="00E101D9"/>
    <w:rsid w:val="00E1050B"/>
    <w:rsid w:val="00E10776"/>
    <w:rsid w:val="00E11186"/>
    <w:rsid w:val="00E11AD8"/>
    <w:rsid w:val="00E11C06"/>
    <w:rsid w:val="00E125C1"/>
    <w:rsid w:val="00E12E8F"/>
    <w:rsid w:val="00E12ED8"/>
    <w:rsid w:val="00E13654"/>
    <w:rsid w:val="00E13D8D"/>
    <w:rsid w:val="00E14FC2"/>
    <w:rsid w:val="00E15362"/>
    <w:rsid w:val="00E15F28"/>
    <w:rsid w:val="00E1665B"/>
    <w:rsid w:val="00E168DB"/>
    <w:rsid w:val="00E16E74"/>
    <w:rsid w:val="00E17099"/>
    <w:rsid w:val="00E21838"/>
    <w:rsid w:val="00E21892"/>
    <w:rsid w:val="00E21A37"/>
    <w:rsid w:val="00E22463"/>
    <w:rsid w:val="00E22483"/>
    <w:rsid w:val="00E227A2"/>
    <w:rsid w:val="00E229B2"/>
    <w:rsid w:val="00E23690"/>
    <w:rsid w:val="00E242AC"/>
    <w:rsid w:val="00E24BD7"/>
    <w:rsid w:val="00E25B07"/>
    <w:rsid w:val="00E25D46"/>
    <w:rsid w:val="00E26786"/>
    <w:rsid w:val="00E26F06"/>
    <w:rsid w:val="00E300C6"/>
    <w:rsid w:val="00E31205"/>
    <w:rsid w:val="00E31B4F"/>
    <w:rsid w:val="00E31B91"/>
    <w:rsid w:val="00E32442"/>
    <w:rsid w:val="00E32479"/>
    <w:rsid w:val="00E32939"/>
    <w:rsid w:val="00E33F67"/>
    <w:rsid w:val="00E34CF8"/>
    <w:rsid w:val="00E35000"/>
    <w:rsid w:val="00E3540D"/>
    <w:rsid w:val="00E35C4C"/>
    <w:rsid w:val="00E35CC0"/>
    <w:rsid w:val="00E36A2A"/>
    <w:rsid w:val="00E36C25"/>
    <w:rsid w:val="00E37CDA"/>
    <w:rsid w:val="00E4084D"/>
    <w:rsid w:val="00E411CE"/>
    <w:rsid w:val="00E414A3"/>
    <w:rsid w:val="00E4180F"/>
    <w:rsid w:val="00E41815"/>
    <w:rsid w:val="00E427E8"/>
    <w:rsid w:val="00E429A4"/>
    <w:rsid w:val="00E435CB"/>
    <w:rsid w:val="00E43AEF"/>
    <w:rsid w:val="00E45449"/>
    <w:rsid w:val="00E478E6"/>
    <w:rsid w:val="00E5001B"/>
    <w:rsid w:val="00E50106"/>
    <w:rsid w:val="00E50FCA"/>
    <w:rsid w:val="00E510FA"/>
    <w:rsid w:val="00E51FA8"/>
    <w:rsid w:val="00E52F1A"/>
    <w:rsid w:val="00E53366"/>
    <w:rsid w:val="00E5350E"/>
    <w:rsid w:val="00E53C09"/>
    <w:rsid w:val="00E53FA6"/>
    <w:rsid w:val="00E54BA4"/>
    <w:rsid w:val="00E56A6F"/>
    <w:rsid w:val="00E57852"/>
    <w:rsid w:val="00E61819"/>
    <w:rsid w:val="00E62C0C"/>
    <w:rsid w:val="00E63A63"/>
    <w:rsid w:val="00E64B43"/>
    <w:rsid w:val="00E65730"/>
    <w:rsid w:val="00E65B72"/>
    <w:rsid w:val="00E65D02"/>
    <w:rsid w:val="00E66220"/>
    <w:rsid w:val="00E66305"/>
    <w:rsid w:val="00E67158"/>
    <w:rsid w:val="00E67590"/>
    <w:rsid w:val="00E675EA"/>
    <w:rsid w:val="00E67602"/>
    <w:rsid w:val="00E679CA"/>
    <w:rsid w:val="00E67B8D"/>
    <w:rsid w:val="00E67CB9"/>
    <w:rsid w:val="00E708CF"/>
    <w:rsid w:val="00E70BC0"/>
    <w:rsid w:val="00E7104E"/>
    <w:rsid w:val="00E72879"/>
    <w:rsid w:val="00E7316A"/>
    <w:rsid w:val="00E736A2"/>
    <w:rsid w:val="00E738D2"/>
    <w:rsid w:val="00E74321"/>
    <w:rsid w:val="00E74D87"/>
    <w:rsid w:val="00E74E50"/>
    <w:rsid w:val="00E75351"/>
    <w:rsid w:val="00E755C6"/>
    <w:rsid w:val="00E75689"/>
    <w:rsid w:val="00E7581B"/>
    <w:rsid w:val="00E75840"/>
    <w:rsid w:val="00E75991"/>
    <w:rsid w:val="00E759DD"/>
    <w:rsid w:val="00E75B52"/>
    <w:rsid w:val="00E75F59"/>
    <w:rsid w:val="00E768E4"/>
    <w:rsid w:val="00E76BD4"/>
    <w:rsid w:val="00E7735C"/>
    <w:rsid w:val="00E805BC"/>
    <w:rsid w:val="00E80F56"/>
    <w:rsid w:val="00E81ECC"/>
    <w:rsid w:val="00E829D3"/>
    <w:rsid w:val="00E840ED"/>
    <w:rsid w:val="00E84840"/>
    <w:rsid w:val="00E85FC4"/>
    <w:rsid w:val="00E864EE"/>
    <w:rsid w:val="00E874F6"/>
    <w:rsid w:val="00E87EA1"/>
    <w:rsid w:val="00E90242"/>
    <w:rsid w:val="00E90854"/>
    <w:rsid w:val="00E908C8"/>
    <w:rsid w:val="00E90A07"/>
    <w:rsid w:val="00E90A9B"/>
    <w:rsid w:val="00E90BD5"/>
    <w:rsid w:val="00E914ED"/>
    <w:rsid w:val="00E91926"/>
    <w:rsid w:val="00E91A7D"/>
    <w:rsid w:val="00E91C9C"/>
    <w:rsid w:val="00E924AD"/>
    <w:rsid w:val="00E9262B"/>
    <w:rsid w:val="00E9331E"/>
    <w:rsid w:val="00E934CF"/>
    <w:rsid w:val="00E93697"/>
    <w:rsid w:val="00E9644D"/>
    <w:rsid w:val="00E96775"/>
    <w:rsid w:val="00E9699A"/>
    <w:rsid w:val="00E972EE"/>
    <w:rsid w:val="00E97D2A"/>
    <w:rsid w:val="00E97D96"/>
    <w:rsid w:val="00EA000D"/>
    <w:rsid w:val="00EA01F1"/>
    <w:rsid w:val="00EA22A7"/>
    <w:rsid w:val="00EA252D"/>
    <w:rsid w:val="00EA3194"/>
    <w:rsid w:val="00EA3891"/>
    <w:rsid w:val="00EA3B8D"/>
    <w:rsid w:val="00EA4272"/>
    <w:rsid w:val="00EA4852"/>
    <w:rsid w:val="00EA4A52"/>
    <w:rsid w:val="00EA4B08"/>
    <w:rsid w:val="00EA4CC3"/>
    <w:rsid w:val="00EA656D"/>
    <w:rsid w:val="00EA65C9"/>
    <w:rsid w:val="00EA75F3"/>
    <w:rsid w:val="00EA77D1"/>
    <w:rsid w:val="00EB0E9C"/>
    <w:rsid w:val="00EB1044"/>
    <w:rsid w:val="00EB21D1"/>
    <w:rsid w:val="00EB2515"/>
    <w:rsid w:val="00EB27C7"/>
    <w:rsid w:val="00EB30B1"/>
    <w:rsid w:val="00EB3313"/>
    <w:rsid w:val="00EB3468"/>
    <w:rsid w:val="00EB3539"/>
    <w:rsid w:val="00EB4194"/>
    <w:rsid w:val="00EB4590"/>
    <w:rsid w:val="00EB48A1"/>
    <w:rsid w:val="00EB55B8"/>
    <w:rsid w:val="00EB6232"/>
    <w:rsid w:val="00EB685E"/>
    <w:rsid w:val="00EB6CE4"/>
    <w:rsid w:val="00EB72D1"/>
    <w:rsid w:val="00EB73CA"/>
    <w:rsid w:val="00EB7A08"/>
    <w:rsid w:val="00EC0005"/>
    <w:rsid w:val="00EC016E"/>
    <w:rsid w:val="00EC0349"/>
    <w:rsid w:val="00EC0973"/>
    <w:rsid w:val="00EC0AE8"/>
    <w:rsid w:val="00EC0F5E"/>
    <w:rsid w:val="00EC179F"/>
    <w:rsid w:val="00EC1D42"/>
    <w:rsid w:val="00EC20D1"/>
    <w:rsid w:val="00EC2261"/>
    <w:rsid w:val="00EC23DA"/>
    <w:rsid w:val="00EC36E3"/>
    <w:rsid w:val="00EC3D9E"/>
    <w:rsid w:val="00EC3E67"/>
    <w:rsid w:val="00EC4245"/>
    <w:rsid w:val="00EC4723"/>
    <w:rsid w:val="00EC5A99"/>
    <w:rsid w:val="00EC5B22"/>
    <w:rsid w:val="00EC608B"/>
    <w:rsid w:val="00EC6D71"/>
    <w:rsid w:val="00EC74C8"/>
    <w:rsid w:val="00EC7FDB"/>
    <w:rsid w:val="00ED015E"/>
    <w:rsid w:val="00ED01DD"/>
    <w:rsid w:val="00ED0608"/>
    <w:rsid w:val="00ED0659"/>
    <w:rsid w:val="00ED0C1C"/>
    <w:rsid w:val="00ED1E58"/>
    <w:rsid w:val="00ED2BC2"/>
    <w:rsid w:val="00ED2C19"/>
    <w:rsid w:val="00ED4082"/>
    <w:rsid w:val="00ED40A1"/>
    <w:rsid w:val="00ED4464"/>
    <w:rsid w:val="00ED4883"/>
    <w:rsid w:val="00ED4EE0"/>
    <w:rsid w:val="00ED5A15"/>
    <w:rsid w:val="00ED5F4D"/>
    <w:rsid w:val="00ED609D"/>
    <w:rsid w:val="00ED67D6"/>
    <w:rsid w:val="00ED6D58"/>
    <w:rsid w:val="00ED7541"/>
    <w:rsid w:val="00ED7C76"/>
    <w:rsid w:val="00EE0951"/>
    <w:rsid w:val="00EE167D"/>
    <w:rsid w:val="00EE193E"/>
    <w:rsid w:val="00EE1DB4"/>
    <w:rsid w:val="00EE25A2"/>
    <w:rsid w:val="00EE29AA"/>
    <w:rsid w:val="00EE3319"/>
    <w:rsid w:val="00EE378A"/>
    <w:rsid w:val="00EE4269"/>
    <w:rsid w:val="00EE501C"/>
    <w:rsid w:val="00EE51B1"/>
    <w:rsid w:val="00EE538F"/>
    <w:rsid w:val="00EE645E"/>
    <w:rsid w:val="00EE6485"/>
    <w:rsid w:val="00EE714E"/>
    <w:rsid w:val="00EF068D"/>
    <w:rsid w:val="00EF07CD"/>
    <w:rsid w:val="00EF082D"/>
    <w:rsid w:val="00EF1E1A"/>
    <w:rsid w:val="00EF39EE"/>
    <w:rsid w:val="00EF3C97"/>
    <w:rsid w:val="00EF48E3"/>
    <w:rsid w:val="00EF6CBF"/>
    <w:rsid w:val="00EF6F6C"/>
    <w:rsid w:val="00EF7B15"/>
    <w:rsid w:val="00F00387"/>
    <w:rsid w:val="00F00534"/>
    <w:rsid w:val="00F01638"/>
    <w:rsid w:val="00F01753"/>
    <w:rsid w:val="00F01CFF"/>
    <w:rsid w:val="00F01FEF"/>
    <w:rsid w:val="00F02A62"/>
    <w:rsid w:val="00F02C0F"/>
    <w:rsid w:val="00F02F33"/>
    <w:rsid w:val="00F030DF"/>
    <w:rsid w:val="00F03315"/>
    <w:rsid w:val="00F048D0"/>
    <w:rsid w:val="00F0515D"/>
    <w:rsid w:val="00F05851"/>
    <w:rsid w:val="00F058DA"/>
    <w:rsid w:val="00F059DD"/>
    <w:rsid w:val="00F05B48"/>
    <w:rsid w:val="00F06CDC"/>
    <w:rsid w:val="00F06E18"/>
    <w:rsid w:val="00F06E95"/>
    <w:rsid w:val="00F0770C"/>
    <w:rsid w:val="00F07A27"/>
    <w:rsid w:val="00F10055"/>
    <w:rsid w:val="00F10325"/>
    <w:rsid w:val="00F10930"/>
    <w:rsid w:val="00F10CFB"/>
    <w:rsid w:val="00F11049"/>
    <w:rsid w:val="00F11240"/>
    <w:rsid w:val="00F114D4"/>
    <w:rsid w:val="00F11EA4"/>
    <w:rsid w:val="00F16918"/>
    <w:rsid w:val="00F174F4"/>
    <w:rsid w:val="00F17905"/>
    <w:rsid w:val="00F17A1E"/>
    <w:rsid w:val="00F17EBB"/>
    <w:rsid w:val="00F2039E"/>
    <w:rsid w:val="00F20641"/>
    <w:rsid w:val="00F212AB"/>
    <w:rsid w:val="00F21482"/>
    <w:rsid w:val="00F21756"/>
    <w:rsid w:val="00F21A71"/>
    <w:rsid w:val="00F21E75"/>
    <w:rsid w:val="00F221E1"/>
    <w:rsid w:val="00F22508"/>
    <w:rsid w:val="00F23077"/>
    <w:rsid w:val="00F232C9"/>
    <w:rsid w:val="00F24FDF"/>
    <w:rsid w:val="00F25572"/>
    <w:rsid w:val="00F26053"/>
    <w:rsid w:val="00F267CD"/>
    <w:rsid w:val="00F26B4C"/>
    <w:rsid w:val="00F27140"/>
    <w:rsid w:val="00F278D3"/>
    <w:rsid w:val="00F27AE9"/>
    <w:rsid w:val="00F27BDB"/>
    <w:rsid w:val="00F30495"/>
    <w:rsid w:val="00F3068A"/>
    <w:rsid w:val="00F30749"/>
    <w:rsid w:val="00F30896"/>
    <w:rsid w:val="00F30A32"/>
    <w:rsid w:val="00F30D54"/>
    <w:rsid w:val="00F310BA"/>
    <w:rsid w:val="00F31786"/>
    <w:rsid w:val="00F32BB6"/>
    <w:rsid w:val="00F337F0"/>
    <w:rsid w:val="00F33AFB"/>
    <w:rsid w:val="00F343A4"/>
    <w:rsid w:val="00F34A6E"/>
    <w:rsid w:val="00F34A80"/>
    <w:rsid w:val="00F34B24"/>
    <w:rsid w:val="00F35521"/>
    <w:rsid w:val="00F3591F"/>
    <w:rsid w:val="00F35B07"/>
    <w:rsid w:val="00F35B78"/>
    <w:rsid w:val="00F36071"/>
    <w:rsid w:val="00F367C4"/>
    <w:rsid w:val="00F36A29"/>
    <w:rsid w:val="00F37746"/>
    <w:rsid w:val="00F37A5D"/>
    <w:rsid w:val="00F37E5A"/>
    <w:rsid w:val="00F414CB"/>
    <w:rsid w:val="00F428E5"/>
    <w:rsid w:val="00F437FF"/>
    <w:rsid w:val="00F43F31"/>
    <w:rsid w:val="00F44AE3"/>
    <w:rsid w:val="00F44F40"/>
    <w:rsid w:val="00F45433"/>
    <w:rsid w:val="00F45D29"/>
    <w:rsid w:val="00F46D06"/>
    <w:rsid w:val="00F47BF5"/>
    <w:rsid w:val="00F5103D"/>
    <w:rsid w:val="00F5130E"/>
    <w:rsid w:val="00F51671"/>
    <w:rsid w:val="00F524E5"/>
    <w:rsid w:val="00F52A41"/>
    <w:rsid w:val="00F535C6"/>
    <w:rsid w:val="00F539A4"/>
    <w:rsid w:val="00F53D89"/>
    <w:rsid w:val="00F54237"/>
    <w:rsid w:val="00F5434D"/>
    <w:rsid w:val="00F559F8"/>
    <w:rsid w:val="00F55C56"/>
    <w:rsid w:val="00F565E6"/>
    <w:rsid w:val="00F578BF"/>
    <w:rsid w:val="00F60004"/>
    <w:rsid w:val="00F60F68"/>
    <w:rsid w:val="00F6186C"/>
    <w:rsid w:val="00F6304D"/>
    <w:rsid w:val="00F63188"/>
    <w:rsid w:val="00F634D9"/>
    <w:rsid w:val="00F63A40"/>
    <w:rsid w:val="00F64096"/>
    <w:rsid w:val="00F64316"/>
    <w:rsid w:val="00F6476A"/>
    <w:rsid w:val="00F64D50"/>
    <w:rsid w:val="00F65ADD"/>
    <w:rsid w:val="00F65E8B"/>
    <w:rsid w:val="00F6668D"/>
    <w:rsid w:val="00F66874"/>
    <w:rsid w:val="00F66CE9"/>
    <w:rsid w:val="00F67946"/>
    <w:rsid w:val="00F718E6"/>
    <w:rsid w:val="00F728BB"/>
    <w:rsid w:val="00F728C2"/>
    <w:rsid w:val="00F72D3D"/>
    <w:rsid w:val="00F741DC"/>
    <w:rsid w:val="00F742E5"/>
    <w:rsid w:val="00F7568A"/>
    <w:rsid w:val="00F770A1"/>
    <w:rsid w:val="00F7743C"/>
    <w:rsid w:val="00F7789F"/>
    <w:rsid w:val="00F77B5E"/>
    <w:rsid w:val="00F80484"/>
    <w:rsid w:val="00F82944"/>
    <w:rsid w:val="00F829C3"/>
    <w:rsid w:val="00F83B70"/>
    <w:rsid w:val="00F84756"/>
    <w:rsid w:val="00F84953"/>
    <w:rsid w:val="00F84BA9"/>
    <w:rsid w:val="00F864FF"/>
    <w:rsid w:val="00F865FE"/>
    <w:rsid w:val="00F86A8D"/>
    <w:rsid w:val="00F86BB1"/>
    <w:rsid w:val="00F8708B"/>
    <w:rsid w:val="00F87257"/>
    <w:rsid w:val="00F8788B"/>
    <w:rsid w:val="00F90ADA"/>
    <w:rsid w:val="00F91121"/>
    <w:rsid w:val="00F91137"/>
    <w:rsid w:val="00F9174F"/>
    <w:rsid w:val="00F91D6D"/>
    <w:rsid w:val="00F92672"/>
    <w:rsid w:val="00F92981"/>
    <w:rsid w:val="00F93867"/>
    <w:rsid w:val="00F939AF"/>
    <w:rsid w:val="00F93EBE"/>
    <w:rsid w:val="00F94555"/>
    <w:rsid w:val="00F94579"/>
    <w:rsid w:val="00F9544C"/>
    <w:rsid w:val="00F9546A"/>
    <w:rsid w:val="00F95FD3"/>
    <w:rsid w:val="00F96CD7"/>
    <w:rsid w:val="00F9770A"/>
    <w:rsid w:val="00F9776E"/>
    <w:rsid w:val="00F9781D"/>
    <w:rsid w:val="00FA15BE"/>
    <w:rsid w:val="00FA1718"/>
    <w:rsid w:val="00FA17E4"/>
    <w:rsid w:val="00FA199F"/>
    <w:rsid w:val="00FA1D5E"/>
    <w:rsid w:val="00FA1FC7"/>
    <w:rsid w:val="00FA2682"/>
    <w:rsid w:val="00FA3D95"/>
    <w:rsid w:val="00FA42A4"/>
    <w:rsid w:val="00FA4C4A"/>
    <w:rsid w:val="00FA5E0C"/>
    <w:rsid w:val="00FA6309"/>
    <w:rsid w:val="00FA6C61"/>
    <w:rsid w:val="00FA6F2D"/>
    <w:rsid w:val="00FA74DC"/>
    <w:rsid w:val="00FA7609"/>
    <w:rsid w:val="00FB035E"/>
    <w:rsid w:val="00FB0BE0"/>
    <w:rsid w:val="00FB1EAA"/>
    <w:rsid w:val="00FB2445"/>
    <w:rsid w:val="00FB2B56"/>
    <w:rsid w:val="00FB2D59"/>
    <w:rsid w:val="00FB3214"/>
    <w:rsid w:val="00FB331F"/>
    <w:rsid w:val="00FB4434"/>
    <w:rsid w:val="00FB49E3"/>
    <w:rsid w:val="00FB5286"/>
    <w:rsid w:val="00FB565B"/>
    <w:rsid w:val="00FC04BB"/>
    <w:rsid w:val="00FC06A0"/>
    <w:rsid w:val="00FC06EC"/>
    <w:rsid w:val="00FC1F85"/>
    <w:rsid w:val="00FC1F9A"/>
    <w:rsid w:val="00FC2541"/>
    <w:rsid w:val="00FC25E7"/>
    <w:rsid w:val="00FC2BF9"/>
    <w:rsid w:val="00FC2E57"/>
    <w:rsid w:val="00FC34E4"/>
    <w:rsid w:val="00FC4743"/>
    <w:rsid w:val="00FC523B"/>
    <w:rsid w:val="00FC5926"/>
    <w:rsid w:val="00FC62B5"/>
    <w:rsid w:val="00FC75CD"/>
    <w:rsid w:val="00FC7EEB"/>
    <w:rsid w:val="00FD0A48"/>
    <w:rsid w:val="00FD1F98"/>
    <w:rsid w:val="00FD2004"/>
    <w:rsid w:val="00FD23D8"/>
    <w:rsid w:val="00FD2B75"/>
    <w:rsid w:val="00FD2C34"/>
    <w:rsid w:val="00FD350F"/>
    <w:rsid w:val="00FD3A11"/>
    <w:rsid w:val="00FD4325"/>
    <w:rsid w:val="00FD437A"/>
    <w:rsid w:val="00FD4D03"/>
    <w:rsid w:val="00FD64E1"/>
    <w:rsid w:val="00FD7B60"/>
    <w:rsid w:val="00FE0A3B"/>
    <w:rsid w:val="00FE0BB1"/>
    <w:rsid w:val="00FE0DDA"/>
    <w:rsid w:val="00FE19F9"/>
    <w:rsid w:val="00FE21BE"/>
    <w:rsid w:val="00FE234F"/>
    <w:rsid w:val="00FE3CB9"/>
    <w:rsid w:val="00FE6108"/>
    <w:rsid w:val="00FE6A59"/>
    <w:rsid w:val="00FE6B89"/>
    <w:rsid w:val="00FE7768"/>
    <w:rsid w:val="00FF007C"/>
    <w:rsid w:val="00FF05C4"/>
    <w:rsid w:val="00FF0B0A"/>
    <w:rsid w:val="00FF20D4"/>
    <w:rsid w:val="00FF2BA3"/>
    <w:rsid w:val="00FF2E3E"/>
    <w:rsid w:val="00FF383A"/>
    <w:rsid w:val="00FF3FC6"/>
    <w:rsid w:val="00FF4048"/>
    <w:rsid w:val="00FF55F6"/>
    <w:rsid w:val="00FF5B22"/>
    <w:rsid w:val="00FF6838"/>
    <w:rsid w:val="00FF70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B88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rsid w:val="00E56A6F"/>
    <w:pPr>
      <w:numPr>
        <w:ilvl w:val="1"/>
        <w:numId w:val="26"/>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link w:val="base-text-paragraphnonumbersChar"/>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6"/>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6"/>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6"/>
      </w:numPr>
      <w:spacing w:before="0" w:after="0"/>
    </w:pPr>
    <w:rPr>
      <w:b/>
    </w:rPr>
  </w:style>
  <w:style w:type="paragraph" w:customStyle="1" w:styleId="dotpoint">
    <w:name w:val="dot point"/>
    <w:basedOn w:val="Normal"/>
    <w:rsid w:val="00E56A6F"/>
    <w:pPr>
      <w:numPr>
        <w:numId w:val="8"/>
      </w:numPr>
    </w:pPr>
  </w:style>
  <w:style w:type="paragraph" w:customStyle="1" w:styleId="dotpoint2">
    <w:name w:val="dot point 2"/>
    <w:basedOn w:val="Normal"/>
    <w:rsid w:val="00E56A6F"/>
    <w:pPr>
      <w:numPr>
        <w:ilvl w:val="1"/>
        <w:numId w:val="10"/>
      </w:numPr>
    </w:pPr>
  </w:style>
  <w:style w:type="numbering" w:customStyle="1" w:styleId="DotPointList">
    <w:name w:val="Dot Point List"/>
    <w:uiPriority w:val="99"/>
    <w:rsid w:val="00E56A6F"/>
    <w:pPr>
      <w:numPr>
        <w:numId w:val="9"/>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1"/>
      </w:numPr>
      <w:spacing w:before="200" w:after="200"/>
      <w:ind w:left="2269"/>
    </w:pPr>
  </w:style>
  <w:style w:type="paragraph" w:customStyle="1" w:styleId="exampledotpoint2">
    <w:name w:val="example dot point 2"/>
    <w:basedOn w:val="exampletext"/>
    <w:rsid w:val="006A05D6"/>
    <w:pPr>
      <w:numPr>
        <w:ilvl w:val="1"/>
        <w:numId w:val="12"/>
      </w:numPr>
      <w:spacing w:before="200" w:after="200"/>
    </w:pPr>
  </w:style>
  <w:style w:type="numbering" w:customStyle="1" w:styleId="ExampleDotPointList">
    <w:name w:val="Example Dot Point List"/>
    <w:uiPriority w:val="99"/>
    <w:rsid w:val="00E56A6F"/>
    <w:pPr>
      <w:numPr>
        <w:numId w:val="11"/>
      </w:numPr>
    </w:pPr>
  </w:style>
  <w:style w:type="paragraph" w:customStyle="1" w:styleId="ExampleHeading">
    <w:name w:val="Example Heading"/>
    <w:basedOn w:val="Normal"/>
    <w:next w:val="exampletext"/>
    <w:rsid w:val="006A34F9"/>
    <w:pPr>
      <w:keepNext/>
      <w:numPr>
        <w:ilvl w:val="3"/>
        <w:numId w:val="26"/>
      </w:numPr>
      <w:ind w:left="0"/>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3"/>
      </w:numPr>
    </w:pPr>
  </w:style>
  <w:style w:type="paragraph" w:styleId="ListBullet2">
    <w:name w:val="List Bullet 2"/>
    <w:basedOn w:val="Normal"/>
    <w:semiHidden/>
    <w:rsid w:val="00E56A6F"/>
    <w:pPr>
      <w:numPr>
        <w:numId w:val="14"/>
      </w:numPr>
    </w:pPr>
  </w:style>
  <w:style w:type="paragraph" w:styleId="ListBullet3">
    <w:name w:val="List Bullet 3"/>
    <w:basedOn w:val="Normal"/>
    <w:semiHidden/>
    <w:rsid w:val="00E56A6F"/>
    <w:pPr>
      <w:numPr>
        <w:numId w:val="15"/>
      </w:numPr>
    </w:pPr>
  </w:style>
  <w:style w:type="paragraph" w:styleId="ListBullet4">
    <w:name w:val="List Bullet 4"/>
    <w:basedOn w:val="Normal"/>
    <w:semiHidden/>
    <w:rsid w:val="00E56A6F"/>
    <w:pPr>
      <w:numPr>
        <w:numId w:val="16"/>
      </w:numPr>
    </w:pPr>
  </w:style>
  <w:style w:type="paragraph" w:styleId="ListBullet5">
    <w:name w:val="List Bullet 5"/>
    <w:basedOn w:val="Normal"/>
    <w:semiHidden/>
    <w:rsid w:val="00E56A6F"/>
    <w:pPr>
      <w:numPr>
        <w:numId w:val="1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8"/>
      </w:numPr>
    </w:pPr>
  </w:style>
  <w:style w:type="paragraph" w:styleId="ListNumber2">
    <w:name w:val="List Number 2"/>
    <w:basedOn w:val="Normal"/>
    <w:semiHidden/>
    <w:rsid w:val="00E56A6F"/>
    <w:pPr>
      <w:numPr>
        <w:numId w:val="19"/>
      </w:numPr>
    </w:pPr>
  </w:style>
  <w:style w:type="paragraph" w:styleId="ListNumber3">
    <w:name w:val="List Number 3"/>
    <w:basedOn w:val="Normal"/>
    <w:semiHidden/>
    <w:rsid w:val="00E56A6F"/>
    <w:pPr>
      <w:numPr>
        <w:numId w:val="20"/>
      </w:numPr>
    </w:pPr>
  </w:style>
  <w:style w:type="paragraph" w:styleId="ListNumber4">
    <w:name w:val="List Number 4"/>
    <w:basedOn w:val="Normal"/>
    <w:semiHidden/>
    <w:rsid w:val="00E56A6F"/>
    <w:pPr>
      <w:numPr>
        <w:numId w:val="21"/>
      </w:numPr>
    </w:pPr>
  </w:style>
  <w:style w:type="paragraph" w:styleId="ListNumber5">
    <w:name w:val="List Number 5"/>
    <w:basedOn w:val="Normal"/>
    <w:semiHidden/>
    <w:rsid w:val="00E56A6F"/>
    <w:pPr>
      <w:numPr>
        <w:numId w:val="22"/>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3"/>
      </w:numPr>
    </w:pPr>
  </w:style>
  <w:style w:type="paragraph" w:customStyle="1" w:styleId="tabledotpoint2">
    <w:name w:val="table dot point 2"/>
    <w:basedOn w:val="tabletext"/>
    <w:rsid w:val="00E56A6F"/>
    <w:pPr>
      <w:numPr>
        <w:ilvl w:val="1"/>
        <w:numId w:val="23"/>
      </w:numPr>
    </w:pPr>
  </w:style>
  <w:style w:type="numbering" w:customStyle="1" w:styleId="TableDotPointList">
    <w:name w:val="Table Dot Point List"/>
    <w:uiPriority w:val="99"/>
    <w:rsid w:val="00E56A6F"/>
    <w:pPr>
      <w:numPr>
        <w:numId w:val="23"/>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6"/>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734F84"/>
    <w:pPr>
      <w:tabs>
        <w:tab w:val="right" w:leader="dot" w:pos="7655"/>
      </w:tabs>
      <w:spacing w:before="240"/>
      <w:ind w:left="1758" w:right="851" w:hanging="1758"/>
    </w:pPr>
    <w:rPr>
      <w:b w:val="0"/>
      <w:sz w:val="24"/>
    </w:rPr>
  </w:style>
  <w:style w:type="paragraph" w:styleId="TOC2">
    <w:name w:val="toc 2"/>
    <w:basedOn w:val="TOC1"/>
    <w:next w:val="Normal"/>
    <w:uiPriority w:val="39"/>
    <w:rsid w:val="00295ABD"/>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734F84"/>
    <w:pPr>
      <w:tabs>
        <w:tab w:val="right" w:leader="dot" w:pos="7655"/>
      </w:tabs>
      <w:spacing w:after="100"/>
      <w:ind w:left="440"/>
    </w:pPr>
  </w:style>
  <w:style w:type="character" w:styleId="CommentReference">
    <w:name w:val="annotation reference"/>
    <w:basedOn w:val="DefaultParagraphFont"/>
    <w:uiPriority w:val="99"/>
    <w:semiHidden/>
    <w:unhideWhenUsed/>
    <w:rsid w:val="0049590F"/>
    <w:rPr>
      <w:sz w:val="16"/>
      <w:szCs w:val="16"/>
    </w:rPr>
  </w:style>
  <w:style w:type="paragraph" w:styleId="CommentText">
    <w:name w:val="annotation text"/>
    <w:basedOn w:val="Normal"/>
    <w:link w:val="CommentTextChar"/>
    <w:uiPriority w:val="99"/>
    <w:semiHidden/>
    <w:unhideWhenUsed/>
    <w:rsid w:val="0049590F"/>
    <w:rPr>
      <w:sz w:val="20"/>
    </w:rPr>
  </w:style>
  <w:style w:type="character" w:customStyle="1" w:styleId="CommentTextChar">
    <w:name w:val="Comment Text Char"/>
    <w:basedOn w:val="DefaultParagraphFont"/>
    <w:link w:val="CommentText"/>
    <w:uiPriority w:val="99"/>
    <w:semiHidden/>
    <w:rsid w:val="0049590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9590F"/>
    <w:rPr>
      <w:b/>
      <w:bCs/>
    </w:rPr>
  </w:style>
  <w:style w:type="character" w:customStyle="1" w:styleId="CommentSubjectChar">
    <w:name w:val="Comment Subject Char"/>
    <w:basedOn w:val="CommentTextChar"/>
    <w:link w:val="CommentSubject"/>
    <w:uiPriority w:val="99"/>
    <w:semiHidden/>
    <w:rsid w:val="0049590F"/>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959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90F"/>
    <w:rPr>
      <w:rFonts w:ascii="Tahoma" w:eastAsia="Times New Roman" w:hAnsi="Tahoma" w:cs="Tahoma"/>
      <w:sz w:val="16"/>
      <w:szCs w:val="16"/>
      <w:lang w:eastAsia="en-AU"/>
    </w:rPr>
  </w:style>
  <w:style w:type="character" w:customStyle="1" w:styleId="base-text-paragraphnonumbersChar">
    <w:name w:val="base-text-paragraph no numbers Char"/>
    <w:link w:val="base-text-paragraphnonumbers"/>
    <w:rsid w:val="00920D55"/>
    <w:rPr>
      <w:rFonts w:ascii="Times New Roman" w:eastAsia="Times New Roman" w:hAnsi="Times New Roman" w:cs="Times New Roman"/>
      <w:szCs w:val="20"/>
      <w:lang w:eastAsia="en-AU"/>
    </w:rPr>
  </w:style>
  <w:style w:type="paragraph" w:styleId="Revision">
    <w:name w:val="Revision"/>
    <w:hidden/>
    <w:uiPriority w:val="99"/>
    <w:semiHidden/>
    <w:rsid w:val="00B1525F"/>
    <w:pPr>
      <w:spacing w:after="0" w:line="240" w:lineRule="auto"/>
    </w:pPr>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rsid w:val="00E56A6F"/>
    <w:pPr>
      <w:numPr>
        <w:ilvl w:val="1"/>
        <w:numId w:val="26"/>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link w:val="base-text-paragraphnonumbersChar"/>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6"/>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6"/>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6"/>
      </w:numPr>
      <w:spacing w:before="0" w:after="0"/>
    </w:pPr>
    <w:rPr>
      <w:b/>
    </w:rPr>
  </w:style>
  <w:style w:type="paragraph" w:customStyle="1" w:styleId="dotpoint">
    <w:name w:val="dot point"/>
    <w:basedOn w:val="Normal"/>
    <w:rsid w:val="00E56A6F"/>
    <w:pPr>
      <w:numPr>
        <w:numId w:val="8"/>
      </w:numPr>
    </w:pPr>
  </w:style>
  <w:style w:type="paragraph" w:customStyle="1" w:styleId="dotpoint2">
    <w:name w:val="dot point 2"/>
    <w:basedOn w:val="Normal"/>
    <w:rsid w:val="00E56A6F"/>
    <w:pPr>
      <w:numPr>
        <w:ilvl w:val="1"/>
        <w:numId w:val="10"/>
      </w:numPr>
    </w:pPr>
  </w:style>
  <w:style w:type="numbering" w:customStyle="1" w:styleId="DotPointList">
    <w:name w:val="Dot Point List"/>
    <w:uiPriority w:val="99"/>
    <w:rsid w:val="00E56A6F"/>
    <w:pPr>
      <w:numPr>
        <w:numId w:val="9"/>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1"/>
      </w:numPr>
      <w:spacing w:before="200" w:after="200"/>
      <w:ind w:left="2269"/>
    </w:pPr>
  </w:style>
  <w:style w:type="paragraph" w:customStyle="1" w:styleId="exampledotpoint2">
    <w:name w:val="example dot point 2"/>
    <w:basedOn w:val="exampletext"/>
    <w:rsid w:val="006A05D6"/>
    <w:pPr>
      <w:numPr>
        <w:ilvl w:val="1"/>
        <w:numId w:val="12"/>
      </w:numPr>
      <w:spacing w:before="200" w:after="200"/>
    </w:pPr>
  </w:style>
  <w:style w:type="numbering" w:customStyle="1" w:styleId="ExampleDotPointList">
    <w:name w:val="Example Dot Point List"/>
    <w:uiPriority w:val="99"/>
    <w:rsid w:val="00E56A6F"/>
    <w:pPr>
      <w:numPr>
        <w:numId w:val="11"/>
      </w:numPr>
    </w:pPr>
  </w:style>
  <w:style w:type="paragraph" w:customStyle="1" w:styleId="ExampleHeading">
    <w:name w:val="Example Heading"/>
    <w:basedOn w:val="Normal"/>
    <w:next w:val="exampletext"/>
    <w:rsid w:val="006A34F9"/>
    <w:pPr>
      <w:keepNext/>
      <w:numPr>
        <w:ilvl w:val="3"/>
        <w:numId w:val="26"/>
      </w:numPr>
      <w:ind w:left="0"/>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3"/>
      </w:numPr>
    </w:pPr>
  </w:style>
  <w:style w:type="paragraph" w:styleId="ListBullet2">
    <w:name w:val="List Bullet 2"/>
    <w:basedOn w:val="Normal"/>
    <w:semiHidden/>
    <w:rsid w:val="00E56A6F"/>
    <w:pPr>
      <w:numPr>
        <w:numId w:val="14"/>
      </w:numPr>
    </w:pPr>
  </w:style>
  <w:style w:type="paragraph" w:styleId="ListBullet3">
    <w:name w:val="List Bullet 3"/>
    <w:basedOn w:val="Normal"/>
    <w:semiHidden/>
    <w:rsid w:val="00E56A6F"/>
    <w:pPr>
      <w:numPr>
        <w:numId w:val="15"/>
      </w:numPr>
    </w:pPr>
  </w:style>
  <w:style w:type="paragraph" w:styleId="ListBullet4">
    <w:name w:val="List Bullet 4"/>
    <w:basedOn w:val="Normal"/>
    <w:semiHidden/>
    <w:rsid w:val="00E56A6F"/>
    <w:pPr>
      <w:numPr>
        <w:numId w:val="16"/>
      </w:numPr>
    </w:pPr>
  </w:style>
  <w:style w:type="paragraph" w:styleId="ListBullet5">
    <w:name w:val="List Bullet 5"/>
    <w:basedOn w:val="Normal"/>
    <w:semiHidden/>
    <w:rsid w:val="00E56A6F"/>
    <w:pPr>
      <w:numPr>
        <w:numId w:val="1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8"/>
      </w:numPr>
    </w:pPr>
  </w:style>
  <w:style w:type="paragraph" w:styleId="ListNumber2">
    <w:name w:val="List Number 2"/>
    <w:basedOn w:val="Normal"/>
    <w:semiHidden/>
    <w:rsid w:val="00E56A6F"/>
    <w:pPr>
      <w:numPr>
        <w:numId w:val="19"/>
      </w:numPr>
    </w:pPr>
  </w:style>
  <w:style w:type="paragraph" w:styleId="ListNumber3">
    <w:name w:val="List Number 3"/>
    <w:basedOn w:val="Normal"/>
    <w:semiHidden/>
    <w:rsid w:val="00E56A6F"/>
    <w:pPr>
      <w:numPr>
        <w:numId w:val="20"/>
      </w:numPr>
    </w:pPr>
  </w:style>
  <w:style w:type="paragraph" w:styleId="ListNumber4">
    <w:name w:val="List Number 4"/>
    <w:basedOn w:val="Normal"/>
    <w:semiHidden/>
    <w:rsid w:val="00E56A6F"/>
    <w:pPr>
      <w:numPr>
        <w:numId w:val="21"/>
      </w:numPr>
    </w:pPr>
  </w:style>
  <w:style w:type="paragraph" w:styleId="ListNumber5">
    <w:name w:val="List Number 5"/>
    <w:basedOn w:val="Normal"/>
    <w:semiHidden/>
    <w:rsid w:val="00E56A6F"/>
    <w:pPr>
      <w:numPr>
        <w:numId w:val="22"/>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3"/>
      </w:numPr>
    </w:pPr>
  </w:style>
  <w:style w:type="paragraph" w:customStyle="1" w:styleId="tabledotpoint2">
    <w:name w:val="table dot point 2"/>
    <w:basedOn w:val="tabletext"/>
    <w:rsid w:val="00E56A6F"/>
    <w:pPr>
      <w:numPr>
        <w:ilvl w:val="1"/>
        <w:numId w:val="23"/>
      </w:numPr>
    </w:pPr>
  </w:style>
  <w:style w:type="numbering" w:customStyle="1" w:styleId="TableDotPointList">
    <w:name w:val="Table Dot Point List"/>
    <w:uiPriority w:val="99"/>
    <w:rsid w:val="00E56A6F"/>
    <w:pPr>
      <w:numPr>
        <w:numId w:val="23"/>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6"/>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734F84"/>
    <w:pPr>
      <w:tabs>
        <w:tab w:val="right" w:leader="dot" w:pos="7655"/>
      </w:tabs>
      <w:spacing w:before="240"/>
      <w:ind w:left="1758" w:right="851" w:hanging="1758"/>
    </w:pPr>
    <w:rPr>
      <w:b w:val="0"/>
      <w:sz w:val="24"/>
    </w:rPr>
  </w:style>
  <w:style w:type="paragraph" w:styleId="TOC2">
    <w:name w:val="toc 2"/>
    <w:basedOn w:val="TOC1"/>
    <w:next w:val="Normal"/>
    <w:uiPriority w:val="39"/>
    <w:rsid w:val="00295ABD"/>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734F84"/>
    <w:pPr>
      <w:tabs>
        <w:tab w:val="right" w:leader="dot" w:pos="7655"/>
      </w:tabs>
      <w:spacing w:after="100"/>
      <w:ind w:left="440"/>
    </w:pPr>
  </w:style>
  <w:style w:type="character" w:styleId="CommentReference">
    <w:name w:val="annotation reference"/>
    <w:basedOn w:val="DefaultParagraphFont"/>
    <w:uiPriority w:val="99"/>
    <w:semiHidden/>
    <w:unhideWhenUsed/>
    <w:rsid w:val="0049590F"/>
    <w:rPr>
      <w:sz w:val="16"/>
      <w:szCs w:val="16"/>
    </w:rPr>
  </w:style>
  <w:style w:type="paragraph" w:styleId="CommentText">
    <w:name w:val="annotation text"/>
    <w:basedOn w:val="Normal"/>
    <w:link w:val="CommentTextChar"/>
    <w:uiPriority w:val="99"/>
    <w:semiHidden/>
    <w:unhideWhenUsed/>
    <w:rsid w:val="0049590F"/>
    <w:rPr>
      <w:sz w:val="20"/>
    </w:rPr>
  </w:style>
  <w:style w:type="character" w:customStyle="1" w:styleId="CommentTextChar">
    <w:name w:val="Comment Text Char"/>
    <w:basedOn w:val="DefaultParagraphFont"/>
    <w:link w:val="CommentText"/>
    <w:uiPriority w:val="99"/>
    <w:semiHidden/>
    <w:rsid w:val="0049590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9590F"/>
    <w:rPr>
      <w:b/>
      <w:bCs/>
    </w:rPr>
  </w:style>
  <w:style w:type="character" w:customStyle="1" w:styleId="CommentSubjectChar">
    <w:name w:val="Comment Subject Char"/>
    <w:basedOn w:val="CommentTextChar"/>
    <w:link w:val="CommentSubject"/>
    <w:uiPriority w:val="99"/>
    <w:semiHidden/>
    <w:rsid w:val="0049590F"/>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959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90F"/>
    <w:rPr>
      <w:rFonts w:ascii="Tahoma" w:eastAsia="Times New Roman" w:hAnsi="Tahoma" w:cs="Tahoma"/>
      <w:sz w:val="16"/>
      <w:szCs w:val="16"/>
      <w:lang w:eastAsia="en-AU"/>
    </w:rPr>
  </w:style>
  <w:style w:type="character" w:customStyle="1" w:styleId="base-text-paragraphnonumbersChar">
    <w:name w:val="base-text-paragraph no numbers Char"/>
    <w:link w:val="base-text-paragraphnonumbers"/>
    <w:rsid w:val="00920D55"/>
    <w:rPr>
      <w:rFonts w:ascii="Times New Roman" w:eastAsia="Times New Roman" w:hAnsi="Times New Roman" w:cs="Times New Roman"/>
      <w:szCs w:val="20"/>
      <w:lang w:eastAsia="en-AU"/>
    </w:rPr>
  </w:style>
  <w:style w:type="paragraph" w:styleId="Revision">
    <w:name w:val="Revision"/>
    <w:hidden/>
    <w:uiPriority w:val="99"/>
    <w:semiHidden/>
    <w:rsid w:val="00B1525F"/>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5939">
      <w:bodyDiv w:val="1"/>
      <w:marLeft w:val="0"/>
      <w:marRight w:val="0"/>
      <w:marTop w:val="0"/>
      <w:marBottom w:val="0"/>
      <w:divBdr>
        <w:top w:val="none" w:sz="0" w:space="0" w:color="auto"/>
        <w:left w:val="none" w:sz="0" w:space="0" w:color="auto"/>
        <w:bottom w:val="none" w:sz="0" w:space="0" w:color="auto"/>
        <w:right w:val="none" w:sz="0" w:space="0" w:color="auto"/>
      </w:divBdr>
    </w:div>
    <w:div w:id="159279210">
      <w:bodyDiv w:val="1"/>
      <w:marLeft w:val="0"/>
      <w:marRight w:val="0"/>
      <w:marTop w:val="0"/>
      <w:marBottom w:val="0"/>
      <w:divBdr>
        <w:top w:val="none" w:sz="0" w:space="0" w:color="auto"/>
        <w:left w:val="none" w:sz="0" w:space="0" w:color="auto"/>
        <w:bottom w:val="none" w:sz="0" w:space="0" w:color="auto"/>
        <w:right w:val="none" w:sz="0" w:space="0" w:color="auto"/>
      </w:divBdr>
    </w:div>
    <w:div w:id="192154239">
      <w:bodyDiv w:val="1"/>
      <w:marLeft w:val="0"/>
      <w:marRight w:val="0"/>
      <w:marTop w:val="0"/>
      <w:marBottom w:val="0"/>
      <w:divBdr>
        <w:top w:val="none" w:sz="0" w:space="0" w:color="auto"/>
        <w:left w:val="none" w:sz="0" w:space="0" w:color="auto"/>
        <w:bottom w:val="none" w:sz="0" w:space="0" w:color="auto"/>
        <w:right w:val="none" w:sz="0" w:space="0" w:color="auto"/>
      </w:divBdr>
    </w:div>
    <w:div w:id="215514947">
      <w:bodyDiv w:val="1"/>
      <w:marLeft w:val="0"/>
      <w:marRight w:val="0"/>
      <w:marTop w:val="0"/>
      <w:marBottom w:val="0"/>
      <w:divBdr>
        <w:top w:val="none" w:sz="0" w:space="0" w:color="auto"/>
        <w:left w:val="none" w:sz="0" w:space="0" w:color="auto"/>
        <w:bottom w:val="none" w:sz="0" w:space="0" w:color="auto"/>
        <w:right w:val="none" w:sz="0" w:space="0" w:color="auto"/>
      </w:divBdr>
    </w:div>
    <w:div w:id="246503432">
      <w:bodyDiv w:val="1"/>
      <w:marLeft w:val="0"/>
      <w:marRight w:val="0"/>
      <w:marTop w:val="0"/>
      <w:marBottom w:val="0"/>
      <w:divBdr>
        <w:top w:val="none" w:sz="0" w:space="0" w:color="auto"/>
        <w:left w:val="none" w:sz="0" w:space="0" w:color="auto"/>
        <w:bottom w:val="none" w:sz="0" w:space="0" w:color="auto"/>
        <w:right w:val="none" w:sz="0" w:space="0" w:color="auto"/>
      </w:divBdr>
    </w:div>
    <w:div w:id="354311723">
      <w:bodyDiv w:val="1"/>
      <w:marLeft w:val="0"/>
      <w:marRight w:val="0"/>
      <w:marTop w:val="0"/>
      <w:marBottom w:val="0"/>
      <w:divBdr>
        <w:top w:val="none" w:sz="0" w:space="0" w:color="auto"/>
        <w:left w:val="none" w:sz="0" w:space="0" w:color="auto"/>
        <w:bottom w:val="none" w:sz="0" w:space="0" w:color="auto"/>
        <w:right w:val="none" w:sz="0" w:space="0" w:color="auto"/>
      </w:divBdr>
    </w:div>
    <w:div w:id="404910824">
      <w:bodyDiv w:val="1"/>
      <w:marLeft w:val="0"/>
      <w:marRight w:val="0"/>
      <w:marTop w:val="0"/>
      <w:marBottom w:val="0"/>
      <w:divBdr>
        <w:top w:val="none" w:sz="0" w:space="0" w:color="auto"/>
        <w:left w:val="none" w:sz="0" w:space="0" w:color="auto"/>
        <w:bottom w:val="none" w:sz="0" w:space="0" w:color="auto"/>
        <w:right w:val="none" w:sz="0" w:space="0" w:color="auto"/>
      </w:divBdr>
    </w:div>
    <w:div w:id="470292313">
      <w:bodyDiv w:val="1"/>
      <w:marLeft w:val="0"/>
      <w:marRight w:val="0"/>
      <w:marTop w:val="0"/>
      <w:marBottom w:val="0"/>
      <w:divBdr>
        <w:top w:val="none" w:sz="0" w:space="0" w:color="auto"/>
        <w:left w:val="none" w:sz="0" w:space="0" w:color="auto"/>
        <w:bottom w:val="none" w:sz="0" w:space="0" w:color="auto"/>
        <w:right w:val="none" w:sz="0" w:space="0" w:color="auto"/>
      </w:divBdr>
    </w:div>
    <w:div w:id="490679501">
      <w:bodyDiv w:val="1"/>
      <w:marLeft w:val="0"/>
      <w:marRight w:val="0"/>
      <w:marTop w:val="0"/>
      <w:marBottom w:val="0"/>
      <w:divBdr>
        <w:top w:val="none" w:sz="0" w:space="0" w:color="auto"/>
        <w:left w:val="none" w:sz="0" w:space="0" w:color="auto"/>
        <w:bottom w:val="none" w:sz="0" w:space="0" w:color="auto"/>
        <w:right w:val="none" w:sz="0" w:space="0" w:color="auto"/>
      </w:divBdr>
    </w:div>
    <w:div w:id="497379962">
      <w:bodyDiv w:val="1"/>
      <w:marLeft w:val="0"/>
      <w:marRight w:val="0"/>
      <w:marTop w:val="0"/>
      <w:marBottom w:val="0"/>
      <w:divBdr>
        <w:top w:val="none" w:sz="0" w:space="0" w:color="auto"/>
        <w:left w:val="none" w:sz="0" w:space="0" w:color="auto"/>
        <w:bottom w:val="none" w:sz="0" w:space="0" w:color="auto"/>
        <w:right w:val="none" w:sz="0" w:space="0" w:color="auto"/>
      </w:divBdr>
    </w:div>
    <w:div w:id="511069851">
      <w:bodyDiv w:val="1"/>
      <w:marLeft w:val="0"/>
      <w:marRight w:val="0"/>
      <w:marTop w:val="0"/>
      <w:marBottom w:val="0"/>
      <w:divBdr>
        <w:top w:val="none" w:sz="0" w:space="0" w:color="auto"/>
        <w:left w:val="none" w:sz="0" w:space="0" w:color="auto"/>
        <w:bottom w:val="none" w:sz="0" w:space="0" w:color="auto"/>
        <w:right w:val="none" w:sz="0" w:space="0" w:color="auto"/>
      </w:divBdr>
    </w:div>
    <w:div w:id="615604046">
      <w:bodyDiv w:val="1"/>
      <w:marLeft w:val="0"/>
      <w:marRight w:val="0"/>
      <w:marTop w:val="0"/>
      <w:marBottom w:val="0"/>
      <w:divBdr>
        <w:top w:val="none" w:sz="0" w:space="0" w:color="auto"/>
        <w:left w:val="none" w:sz="0" w:space="0" w:color="auto"/>
        <w:bottom w:val="none" w:sz="0" w:space="0" w:color="auto"/>
        <w:right w:val="none" w:sz="0" w:space="0" w:color="auto"/>
      </w:divBdr>
    </w:div>
    <w:div w:id="734468560">
      <w:bodyDiv w:val="1"/>
      <w:marLeft w:val="0"/>
      <w:marRight w:val="0"/>
      <w:marTop w:val="0"/>
      <w:marBottom w:val="0"/>
      <w:divBdr>
        <w:top w:val="none" w:sz="0" w:space="0" w:color="auto"/>
        <w:left w:val="none" w:sz="0" w:space="0" w:color="auto"/>
        <w:bottom w:val="none" w:sz="0" w:space="0" w:color="auto"/>
        <w:right w:val="none" w:sz="0" w:space="0" w:color="auto"/>
      </w:divBdr>
    </w:div>
    <w:div w:id="760952191">
      <w:bodyDiv w:val="1"/>
      <w:marLeft w:val="0"/>
      <w:marRight w:val="0"/>
      <w:marTop w:val="0"/>
      <w:marBottom w:val="0"/>
      <w:divBdr>
        <w:top w:val="none" w:sz="0" w:space="0" w:color="auto"/>
        <w:left w:val="none" w:sz="0" w:space="0" w:color="auto"/>
        <w:bottom w:val="none" w:sz="0" w:space="0" w:color="auto"/>
        <w:right w:val="none" w:sz="0" w:space="0" w:color="auto"/>
      </w:divBdr>
    </w:div>
    <w:div w:id="785853344">
      <w:bodyDiv w:val="1"/>
      <w:marLeft w:val="0"/>
      <w:marRight w:val="0"/>
      <w:marTop w:val="0"/>
      <w:marBottom w:val="0"/>
      <w:divBdr>
        <w:top w:val="none" w:sz="0" w:space="0" w:color="auto"/>
        <w:left w:val="none" w:sz="0" w:space="0" w:color="auto"/>
        <w:bottom w:val="none" w:sz="0" w:space="0" w:color="auto"/>
        <w:right w:val="none" w:sz="0" w:space="0" w:color="auto"/>
      </w:divBdr>
    </w:div>
    <w:div w:id="801921026">
      <w:bodyDiv w:val="1"/>
      <w:marLeft w:val="0"/>
      <w:marRight w:val="0"/>
      <w:marTop w:val="0"/>
      <w:marBottom w:val="0"/>
      <w:divBdr>
        <w:top w:val="none" w:sz="0" w:space="0" w:color="auto"/>
        <w:left w:val="none" w:sz="0" w:space="0" w:color="auto"/>
        <w:bottom w:val="none" w:sz="0" w:space="0" w:color="auto"/>
        <w:right w:val="none" w:sz="0" w:space="0" w:color="auto"/>
      </w:divBdr>
    </w:div>
    <w:div w:id="814220908">
      <w:bodyDiv w:val="1"/>
      <w:marLeft w:val="0"/>
      <w:marRight w:val="0"/>
      <w:marTop w:val="0"/>
      <w:marBottom w:val="0"/>
      <w:divBdr>
        <w:top w:val="none" w:sz="0" w:space="0" w:color="auto"/>
        <w:left w:val="none" w:sz="0" w:space="0" w:color="auto"/>
        <w:bottom w:val="none" w:sz="0" w:space="0" w:color="auto"/>
        <w:right w:val="none" w:sz="0" w:space="0" w:color="auto"/>
      </w:divBdr>
    </w:div>
    <w:div w:id="839275604">
      <w:bodyDiv w:val="1"/>
      <w:marLeft w:val="0"/>
      <w:marRight w:val="0"/>
      <w:marTop w:val="0"/>
      <w:marBottom w:val="0"/>
      <w:divBdr>
        <w:top w:val="none" w:sz="0" w:space="0" w:color="auto"/>
        <w:left w:val="none" w:sz="0" w:space="0" w:color="auto"/>
        <w:bottom w:val="none" w:sz="0" w:space="0" w:color="auto"/>
        <w:right w:val="none" w:sz="0" w:space="0" w:color="auto"/>
      </w:divBdr>
    </w:div>
    <w:div w:id="861286846">
      <w:bodyDiv w:val="1"/>
      <w:marLeft w:val="0"/>
      <w:marRight w:val="0"/>
      <w:marTop w:val="0"/>
      <w:marBottom w:val="0"/>
      <w:divBdr>
        <w:top w:val="none" w:sz="0" w:space="0" w:color="auto"/>
        <w:left w:val="none" w:sz="0" w:space="0" w:color="auto"/>
        <w:bottom w:val="none" w:sz="0" w:space="0" w:color="auto"/>
        <w:right w:val="none" w:sz="0" w:space="0" w:color="auto"/>
      </w:divBdr>
    </w:div>
    <w:div w:id="1077628284">
      <w:bodyDiv w:val="1"/>
      <w:marLeft w:val="0"/>
      <w:marRight w:val="0"/>
      <w:marTop w:val="0"/>
      <w:marBottom w:val="0"/>
      <w:divBdr>
        <w:top w:val="none" w:sz="0" w:space="0" w:color="auto"/>
        <w:left w:val="none" w:sz="0" w:space="0" w:color="auto"/>
        <w:bottom w:val="none" w:sz="0" w:space="0" w:color="auto"/>
        <w:right w:val="none" w:sz="0" w:space="0" w:color="auto"/>
      </w:divBdr>
    </w:div>
    <w:div w:id="1091704828">
      <w:bodyDiv w:val="1"/>
      <w:marLeft w:val="0"/>
      <w:marRight w:val="0"/>
      <w:marTop w:val="0"/>
      <w:marBottom w:val="0"/>
      <w:divBdr>
        <w:top w:val="none" w:sz="0" w:space="0" w:color="auto"/>
        <w:left w:val="none" w:sz="0" w:space="0" w:color="auto"/>
        <w:bottom w:val="none" w:sz="0" w:space="0" w:color="auto"/>
        <w:right w:val="none" w:sz="0" w:space="0" w:color="auto"/>
      </w:divBdr>
    </w:div>
    <w:div w:id="1170174765">
      <w:bodyDiv w:val="1"/>
      <w:marLeft w:val="0"/>
      <w:marRight w:val="0"/>
      <w:marTop w:val="0"/>
      <w:marBottom w:val="0"/>
      <w:divBdr>
        <w:top w:val="none" w:sz="0" w:space="0" w:color="auto"/>
        <w:left w:val="none" w:sz="0" w:space="0" w:color="auto"/>
        <w:bottom w:val="none" w:sz="0" w:space="0" w:color="auto"/>
        <w:right w:val="none" w:sz="0" w:space="0" w:color="auto"/>
      </w:divBdr>
    </w:div>
    <w:div w:id="1187139255">
      <w:bodyDiv w:val="1"/>
      <w:marLeft w:val="0"/>
      <w:marRight w:val="0"/>
      <w:marTop w:val="0"/>
      <w:marBottom w:val="0"/>
      <w:divBdr>
        <w:top w:val="none" w:sz="0" w:space="0" w:color="auto"/>
        <w:left w:val="none" w:sz="0" w:space="0" w:color="auto"/>
        <w:bottom w:val="none" w:sz="0" w:space="0" w:color="auto"/>
        <w:right w:val="none" w:sz="0" w:space="0" w:color="auto"/>
      </w:divBdr>
    </w:div>
    <w:div w:id="1265655502">
      <w:bodyDiv w:val="1"/>
      <w:marLeft w:val="0"/>
      <w:marRight w:val="0"/>
      <w:marTop w:val="0"/>
      <w:marBottom w:val="0"/>
      <w:divBdr>
        <w:top w:val="none" w:sz="0" w:space="0" w:color="auto"/>
        <w:left w:val="none" w:sz="0" w:space="0" w:color="auto"/>
        <w:bottom w:val="none" w:sz="0" w:space="0" w:color="auto"/>
        <w:right w:val="none" w:sz="0" w:space="0" w:color="auto"/>
      </w:divBdr>
    </w:div>
    <w:div w:id="1370956567">
      <w:bodyDiv w:val="1"/>
      <w:marLeft w:val="0"/>
      <w:marRight w:val="0"/>
      <w:marTop w:val="0"/>
      <w:marBottom w:val="0"/>
      <w:divBdr>
        <w:top w:val="none" w:sz="0" w:space="0" w:color="auto"/>
        <w:left w:val="none" w:sz="0" w:space="0" w:color="auto"/>
        <w:bottom w:val="none" w:sz="0" w:space="0" w:color="auto"/>
        <w:right w:val="none" w:sz="0" w:space="0" w:color="auto"/>
      </w:divBdr>
    </w:div>
    <w:div w:id="1413577954">
      <w:bodyDiv w:val="1"/>
      <w:marLeft w:val="0"/>
      <w:marRight w:val="0"/>
      <w:marTop w:val="0"/>
      <w:marBottom w:val="0"/>
      <w:divBdr>
        <w:top w:val="none" w:sz="0" w:space="0" w:color="auto"/>
        <w:left w:val="none" w:sz="0" w:space="0" w:color="auto"/>
        <w:bottom w:val="none" w:sz="0" w:space="0" w:color="auto"/>
        <w:right w:val="none" w:sz="0" w:space="0" w:color="auto"/>
      </w:divBdr>
    </w:div>
    <w:div w:id="1426925789">
      <w:bodyDiv w:val="1"/>
      <w:marLeft w:val="0"/>
      <w:marRight w:val="0"/>
      <w:marTop w:val="0"/>
      <w:marBottom w:val="0"/>
      <w:divBdr>
        <w:top w:val="none" w:sz="0" w:space="0" w:color="auto"/>
        <w:left w:val="none" w:sz="0" w:space="0" w:color="auto"/>
        <w:bottom w:val="none" w:sz="0" w:space="0" w:color="auto"/>
        <w:right w:val="none" w:sz="0" w:space="0" w:color="auto"/>
      </w:divBdr>
    </w:div>
    <w:div w:id="1599606938">
      <w:bodyDiv w:val="1"/>
      <w:marLeft w:val="0"/>
      <w:marRight w:val="0"/>
      <w:marTop w:val="0"/>
      <w:marBottom w:val="0"/>
      <w:divBdr>
        <w:top w:val="none" w:sz="0" w:space="0" w:color="auto"/>
        <w:left w:val="none" w:sz="0" w:space="0" w:color="auto"/>
        <w:bottom w:val="none" w:sz="0" w:space="0" w:color="auto"/>
        <w:right w:val="none" w:sz="0" w:space="0" w:color="auto"/>
      </w:divBdr>
    </w:div>
    <w:div w:id="1611472897">
      <w:bodyDiv w:val="1"/>
      <w:marLeft w:val="0"/>
      <w:marRight w:val="0"/>
      <w:marTop w:val="0"/>
      <w:marBottom w:val="0"/>
      <w:divBdr>
        <w:top w:val="none" w:sz="0" w:space="0" w:color="auto"/>
        <w:left w:val="none" w:sz="0" w:space="0" w:color="auto"/>
        <w:bottom w:val="none" w:sz="0" w:space="0" w:color="auto"/>
        <w:right w:val="none" w:sz="0" w:space="0" w:color="auto"/>
      </w:divBdr>
    </w:div>
    <w:div w:id="1762337185">
      <w:bodyDiv w:val="1"/>
      <w:marLeft w:val="0"/>
      <w:marRight w:val="0"/>
      <w:marTop w:val="0"/>
      <w:marBottom w:val="0"/>
      <w:divBdr>
        <w:top w:val="none" w:sz="0" w:space="0" w:color="auto"/>
        <w:left w:val="none" w:sz="0" w:space="0" w:color="auto"/>
        <w:bottom w:val="none" w:sz="0" w:space="0" w:color="auto"/>
        <w:right w:val="none" w:sz="0" w:space="0" w:color="auto"/>
      </w:divBdr>
    </w:div>
    <w:div w:id="1779986149">
      <w:bodyDiv w:val="1"/>
      <w:marLeft w:val="0"/>
      <w:marRight w:val="0"/>
      <w:marTop w:val="0"/>
      <w:marBottom w:val="0"/>
      <w:divBdr>
        <w:top w:val="none" w:sz="0" w:space="0" w:color="auto"/>
        <w:left w:val="none" w:sz="0" w:space="0" w:color="auto"/>
        <w:bottom w:val="none" w:sz="0" w:space="0" w:color="auto"/>
        <w:right w:val="none" w:sz="0" w:space="0" w:color="auto"/>
      </w:divBdr>
    </w:div>
    <w:div w:id="1902980709">
      <w:bodyDiv w:val="1"/>
      <w:marLeft w:val="0"/>
      <w:marRight w:val="0"/>
      <w:marTop w:val="0"/>
      <w:marBottom w:val="0"/>
      <w:divBdr>
        <w:top w:val="none" w:sz="0" w:space="0" w:color="auto"/>
        <w:left w:val="none" w:sz="0" w:space="0" w:color="auto"/>
        <w:bottom w:val="none" w:sz="0" w:space="0" w:color="auto"/>
        <w:right w:val="none" w:sz="0" w:space="0" w:color="auto"/>
      </w:divBdr>
    </w:div>
    <w:div w:id="1919707384">
      <w:bodyDiv w:val="1"/>
      <w:marLeft w:val="0"/>
      <w:marRight w:val="0"/>
      <w:marTop w:val="0"/>
      <w:marBottom w:val="0"/>
      <w:divBdr>
        <w:top w:val="none" w:sz="0" w:space="0" w:color="auto"/>
        <w:left w:val="none" w:sz="0" w:space="0" w:color="auto"/>
        <w:bottom w:val="none" w:sz="0" w:space="0" w:color="auto"/>
        <w:right w:val="none" w:sz="0" w:space="0" w:color="auto"/>
      </w:divBdr>
    </w:div>
    <w:div w:id="1919754676">
      <w:bodyDiv w:val="1"/>
      <w:marLeft w:val="0"/>
      <w:marRight w:val="0"/>
      <w:marTop w:val="0"/>
      <w:marBottom w:val="0"/>
      <w:divBdr>
        <w:top w:val="none" w:sz="0" w:space="0" w:color="auto"/>
        <w:left w:val="none" w:sz="0" w:space="0" w:color="auto"/>
        <w:bottom w:val="none" w:sz="0" w:space="0" w:color="auto"/>
        <w:right w:val="none" w:sz="0" w:space="0" w:color="auto"/>
      </w:divBdr>
    </w:div>
    <w:div w:id="1957785266">
      <w:bodyDiv w:val="1"/>
      <w:marLeft w:val="0"/>
      <w:marRight w:val="0"/>
      <w:marTop w:val="0"/>
      <w:marBottom w:val="0"/>
      <w:divBdr>
        <w:top w:val="none" w:sz="0" w:space="0" w:color="auto"/>
        <w:left w:val="none" w:sz="0" w:space="0" w:color="auto"/>
        <w:bottom w:val="none" w:sz="0" w:space="0" w:color="auto"/>
        <w:right w:val="none" w:sz="0" w:space="0" w:color="auto"/>
      </w:divBdr>
    </w:div>
    <w:div w:id="1965967159">
      <w:bodyDiv w:val="1"/>
      <w:marLeft w:val="0"/>
      <w:marRight w:val="0"/>
      <w:marTop w:val="0"/>
      <w:marBottom w:val="0"/>
      <w:divBdr>
        <w:top w:val="none" w:sz="0" w:space="0" w:color="auto"/>
        <w:left w:val="none" w:sz="0" w:space="0" w:color="auto"/>
        <w:bottom w:val="none" w:sz="0" w:space="0" w:color="auto"/>
        <w:right w:val="none" w:sz="0" w:space="0" w:color="auto"/>
      </w:divBdr>
    </w:div>
    <w:div w:id="2034112520">
      <w:bodyDiv w:val="1"/>
      <w:marLeft w:val="0"/>
      <w:marRight w:val="0"/>
      <w:marTop w:val="0"/>
      <w:marBottom w:val="0"/>
      <w:divBdr>
        <w:top w:val="none" w:sz="0" w:space="0" w:color="auto"/>
        <w:left w:val="none" w:sz="0" w:space="0" w:color="auto"/>
        <w:bottom w:val="none" w:sz="0" w:space="0" w:color="auto"/>
        <w:right w:val="none" w:sz="0" w:space="0" w:color="auto"/>
      </w:divBdr>
    </w:div>
    <w:div w:id="2050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image" Target="media/image5.emf"/><Relationship Id="rId42" Type="http://schemas.openxmlformats.org/officeDocument/2006/relationships/footer" Target="footer12.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image" Target="media/image4.emf"/><Relationship Id="rId38" Type="http://schemas.openxmlformats.org/officeDocument/2006/relationships/footer" Target="footer10.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image" Target="media/image3.emf"/><Relationship Id="rId37" Type="http://schemas.openxmlformats.org/officeDocument/2006/relationships/footer" Target="footer9.xml"/><Relationship Id="rId40" Type="http://schemas.openxmlformats.org/officeDocument/2006/relationships/header" Target="header10.xml"/><Relationship Id="rId45" Type="http://schemas.openxmlformats.org/officeDocument/2006/relationships/footer" Target="footer1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9.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image" Target="media/image2.emf"/><Relationship Id="rId44" Type="http://schemas.openxmlformats.org/officeDocument/2006/relationships/header" Target="header1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image" Target="media/image1.emf"/><Relationship Id="rId35" Type="http://schemas.openxmlformats.org/officeDocument/2006/relationships/image" Target="media/image6.emf"/><Relationship Id="rId43"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i\AppData\Roaming\Microsoft\Templates\EM%20B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16CCE820E382C4BB8D122407FFF6EDB" ma:contentTypeVersion="5363" ma:contentTypeDescription="" ma:contentTypeScope="" ma:versionID="46926acfe08f00cae993e80db4fa2f09">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01cd2eb59ed3bd3e93aac0c6fc628882"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_dlc_DocId xmlns="9f7bc583-7cbe-45b9-a2bd-8bbb6543b37e">2017RG-282-336</_dlc_DocId>
    <TaxCatchAll xmlns="9f7bc583-7cbe-45b9-a2bd-8bbb6543b37e">
      <Value>7</Value>
    </TaxCatchAll>
    <_dlc_DocIdUrl xmlns="9f7bc583-7cbe-45b9-a2bd-8bbb6543b37e">
      <Url>http://tweb/sites/rg/iitd/cgt/_layouts/15/DocIdRedir.aspx?ID=2017RG-282-336</Url>
      <Description>2017RG-282-336</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3BBF1-5438-486C-BEE3-4CF06F7BC4EE}"/>
</file>

<file path=customXml/itemProps2.xml><?xml version="1.0" encoding="utf-8"?>
<ds:datastoreItem xmlns:ds="http://schemas.openxmlformats.org/officeDocument/2006/customXml" ds:itemID="{31604EC7-3F74-4CC7-B919-1603DA5AE504}">
  <ds:schemaRefs>
    <ds:schemaRef ds:uri="http://schemas.microsoft.com/sharepoint/v3"/>
    <ds:schemaRef ds:uri="9f7bc583-7cbe-45b9-a2bd-8bbb6543b37e"/>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http://schemas.microsoft.com/sharepoint/v4"/>
    <ds:schemaRef ds:uri="687b78b0-2ddd-4441-8a8b-c9638c2a1939"/>
  </ds:schemaRefs>
</ds:datastoreItem>
</file>

<file path=customXml/itemProps3.xml><?xml version="1.0" encoding="utf-8"?>
<ds:datastoreItem xmlns:ds="http://schemas.openxmlformats.org/officeDocument/2006/customXml" ds:itemID="{DD1A890A-A6B8-45B8-A1BF-2F84D7AC1FB2}"/>
</file>

<file path=customXml/itemProps4.xml><?xml version="1.0" encoding="utf-8"?>
<ds:datastoreItem xmlns:ds="http://schemas.openxmlformats.org/officeDocument/2006/customXml" ds:itemID="{4B2A725B-0442-484D-986E-D0637B4A9726}">
  <ds:schemaRefs>
    <ds:schemaRef ds:uri="office.server.policy"/>
  </ds:schemaRefs>
</ds:datastoreItem>
</file>

<file path=customXml/itemProps5.xml><?xml version="1.0" encoding="utf-8"?>
<ds:datastoreItem xmlns:ds="http://schemas.openxmlformats.org/officeDocument/2006/customXml" ds:itemID="{E642E455-5465-46CF-AB0C-92A8DF2A642A}">
  <ds:schemaRefs>
    <ds:schemaRef ds:uri="http://schemas.microsoft.com/sharepoint/v3/contenttype/forms"/>
  </ds:schemaRefs>
</ds:datastoreItem>
</file>

<file path=customXml/itemProps6.xml><?xml version="1.0" encoding="utf-8"?>
<ds:datastoreItem xmlns:ds="http://schemas.openxmlformats.org/officeDocument/2006/customXml" ds:itemID="{6861B3D1-652A-4933-A2A9-71631EC6F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 B5.dotx</Template>
  <TotalTime>18</TotalTime>
  <Pages>41</Pages>
  <Words>10672</Words>
  <Characters>60837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Weiss</dc:creator>
  <cp:lastModifiedBy>Simon Weiss</cp:lastModifiedBy>
  <cp:revision>13</cp:revision>
  <cp:lastPrinted>2017-09-12T06:56:00Z</cp:lastPrinted>
  <dcterms:created xsi:type="dcterms:W3CDTF">2017-09-12T06:29:00Z</dcterms:created>
  <dcterms:modified xsi:type="dcterms:W3CDTF">2017-09-12T06:57:00Z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0b67561e-65ad-4a33-9590-289659e6bf76</vt:lpwstr>
  </property>
  <property fmtid="{D5CDD505-2E9C-101B-9397-08002B2CF9AE}" pid="3" name="ContentTypeId">
    <vt:lpwstr>0x01010036BB8DE7EC542E42A8B2E98CC20CB69700616CCE820E382C4BB8D122407FFF6EDB</vt:lpwstr>
  </property>
  <property fmtid="{D5CDD505-2E9C-101B-9397-08002B2CF9AE}" pid="4" name="TSYRecordClass">
    <vt:lpwstr>59</vt:lpwstr>
  </property>
  <property fmtid="{D5CDD505-2E9C-101B-9397-08002B2CF9AE}" pid="5" name="RecordPoint_WorkflowType">
    <vt:lpwstr>ActiveSubmitStub</vt:lpwstr>
  </property>
  <property fmtid="{D5CDD505-2E9C-101B-9397-08002B2CF9AE}" pid="6" name="RecordPoint_ActiveItemUniqueId">
    <vt:lpwstr>{0b67561e-65ad-4a33-9590-289659e6bf76}</vt:lpwstr>
  </property>
  <property fmtid="{D5CDD505-2E9C-101B-9397-08002B2CF9AE}" pid="7" name="RecordPoint_ActiveItemWebId">
    <vt:lpwstr>{45588495-a1ea-4053-b291-2f9402cd6aec}</vt:lpwstr>
  </property>
  <property fmtid="{D5CDD505-2E9C-101B-9397-08002B2CF9AE}" pid="8" name="RecordPoint_ActiveItemSiteId">
    <vt:lpwstr>{5b52b9a5-e5b2-4521-8814-a1e24ca2869d}</vt:lpwstr>
  </property>
  <property fmtid="{D5CDD505-2E9C-101B-9397-08002B2CF9AE}" pid="9" name="RecordPoint_ActiveItemListId">
    <vt:lpwstr>{beb25bc5-a80f-411e-a608-f334e0e431c3}</vt:lpwstr>
  </property>
  <property fmtid="{D5CDD505-2E9C-101B-9397-08002B2CF9AE}" pid="10" name="RecordPoint_RecordNumberSubmitted">
    <vt:lpwstr/>
  </property>
  <property fmtid="{D5CDD505-2E9C-101B-9397-08002B2CF9AE}" pid="11" name="RecordPoint_SubmissionCompleted">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-1937490265</vt:i4>
  </property>
  <property fmtid="{D5CDD505-2E9C-101B-9397-08002B2CF9AE}" pid="16" name="_NewReviewCycle">
    <vt:lpwstr/>
  </property>
  <property fmtid="{D5CDD505-2E9C-101B-9397-08002B2CF9AE}" pid="17" name="_EmailSubject">
    <vt:lpwstr>New consultation webpage </vt:lpwstr>
  </property>
  <property fmtid="{D5CDD505-2E9C-101B-9397-08002B2CF9AE}" pid="18" name="_AuthorEmail">
    <vt:lpwstr>Michael.O'Brien@treasury.gov.au</vt:lpwstr>
  </property>
  <property fmtid="{D5CDD505-2E9C-101B-9397-08002B2CF9AE}" pid="19" name="_AuthorEmailDisplayName">
    <vt:lpwstr>O'Brien, Michael</vt:lpwstr>
  </property>
  <property fmtid="{D5CDD505-2E9C-101B-9397-08002B2CF9AE}" pid="20" name="_PreviousAdHocReviewCycleID">
    <vt:i4>-1659917064</vt:i4>
  </property>
</Properties>
</file>