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F4" w:rsidRPr="008D1A57" w:rsidRDefault="007563C2" w:rsidP="000C33F4">
      <w:pPr>
        <w:rPr>
          <w:sz w:val="24"/>
          <w:szCs w:val="24"/>
        </w:rPr>
      </w:pPr>
      <w:bookmarkStart w:id="0" w:name="_GoBack"/>
      <w:bookmarkEnd w:id="0"/>
      <w:r>
        <w:rPr>
          <w:sz w:val="24"/>
          <w:szCs w:val="24"/>
        </w:rPr>
        <w:t>24</w:t>
      </w:r>
      <w:r w:rsidR="00633DEC">
        <w:rPr>
          <w:sz w:val="24"/>
          <w:szCs w:val="24"/>
        </w:rPr>
        <w:t xml:space="preserve"> November 2017</w:t>
      </w:r>
    </w:p>
    <w:p w:rsidR="008D1A57" w:rsidRDefault="008D1A57" w:rsidP="008D1A57">
      <w:pPr>
        <w:spacing w:after="0"/>
        <w:rPr>
          <w:sz w:val="24"/>
          <w:szCs w:val="24"/>
        </w:rPr>
      </w:pPr>
    </w:p>
    <w:p w:rsidR="00633DEC" w:rsidRPr="00633DEC" w:rsidRDefault="00633DEC" w:rsidP="00633DEC">
      <w:pPr>
        <w:spacing w:after="0"/>
        <w:rPr>
          <w:sz w:val="24"/>
          <w:szCs w:val="24"/>
        </w:rPr>
      </w:pPr>
      <w:r w:rsidRPr="00633DEC">
        <w:rPr>
          <w:sz w:val="24"/>
          <w:szCs w:val="24"/>
        </w:rPr>
        <w:t>ASIC Enforcement Review</w:t>
      </w:r>
    </w:p>
    <w:p w:rsidR="00633DEC" w:rsidRPr="00633DEC" w:rsidRDefault="00633DEC" w:rsidP="00633DEC">
      <w:pPr>
        <w:spacing w:after="0"/>
        <w:rPr>
          <w:sz w:val="24"/>
          <w:szCs w:val="24"/>
        </w:rPr>
      </w:pPr>
      <w:r w:rsidRPr="00633DEC">
        <w:rPr>
          <w:sz w:val="24"/>
          <w:szCs w:val="24"/>
        </w:rPr>
        <w:t>Financial System Division</w:t>
      </w:r>
    </w:p>
    <w:p w:rsidR="00633DEC" w:rsidRPr="00633DEC" w:rsidRDefault="00633DEC" w:rsidP="00633DEC">
      <w:pPr>
        <w:spacing w:after="0"/>
        <w:rPr>
          <w:sz w:val="24"/>
          <w:szCs w:val="24"/>
        </w:rPr>
      </w:pPr>
      <w:r w:rsidRPr="00633DEC">
        <w:rPr>
          <w:sz w:val="24"/>
          <w:szCs w:val="24"/>
        </w:rPr>
        <w:t>The Treasury</w:t>
      </w:r>
    </w:p>
    <w:p w:rsidR="000C33F4" w:rsidRPr="008D1A57" w:rsidRDefault="00550656" w:rsidP="00633DEC">
      <w:pPr>
        <w:spacing w:after="0"/>
        <w:rPr>
          <w:sz w:val="24"/>
          <w:szCs w:val="24"/>
        </w:rPr>
      </w:pPr>
      <w:hyperlink r:id="rId14" w:history="1">
        <w:r w:rsidR="00F92DA7" w:rsidRPr="004A477D">
          <w:rPr>
            <w:rStyle w:val="Hyperlink"/>
            <w:sz w:val="24"/>
            <w:szCs w:val="24"/>
          </w:rPr>
          <w:t>ASICenforcementreview@Treasury.gov.au</w:t>
        </w:r>
      </w:hyperlink>
      <w:r w:rsidR="00F92DA7">
        <w:rPr>
          <w:sz w:val="24"/>
          <w:szCs w:val="24"/>
        </w:rPr>
        <w:t xml:space="preserve"> </w:t>
      </w:r>
      <w:r w:rsidR="000C33F4" w:rsidRPr="008D1A57">
        <w:rPr>
          <w:sz w:val="24"/>
          <w:szCs w:val="24"/>
        </w:rPr>
        <w:t xml:space="preserve">  </w:t>
      </w:r>
    </w:p>
    <w:p w:rsidR="000C33F4" w:rsidRPr="008D1A57" w:rsidRDefault="00633DEC" w:rsidP="008D1A57">
      <w:pPr>
        <w:pStyle w:val="Heading1"/>
      </w:pPr>
      <w:r w:rsidRPr="00633DEC">
        <w:t>ASIC Enforcement Review, Position Paper 7: Strengthening Penalties for Corporate and Financial Sector Misconduct</w:t>
      </w:r>
    </w:p>
    <w:p w:rsidR="008D1A57" w:rsidRDefault="008D1A57" w:rsidP="000C33F4">
      <w:pPr>
        <w:jc w:val="both"/>
        <w:rPr>
          <w:lang w:val="en-US"/>
        </w:rPr>
      </w:pPr>
    </w:p>
    <w:p w:rsidR="00633DEC" w:rsidRPr="00B145AC" w:rsidRDefault="00633DEC" w:rsidP="00633DEC">
      <w:pPr>
        <w:pBdr>
          <w:top w:val="nil"/>
          <w:left w:val="nil"/>
          <w:bottom w:val="nil"/>
          <w:right w:val="nil"/>
          <w:between w:val="nil"/>
          <w:bar w:val="nil"/>
        </w:pBdr>
        <w:spacing w:after="200"/>
        <w:rPr>
          <w:rFonts w:eastAsia="Lato" w:cs="Lato"/>
          <w:color w:val="000000"/>
          <w:u w:color="000000"/>
          <w:bdr w:val="nil"/>
          <w:lang w:eastAsia="en-AU"/>
        </w:rPr>
      </w:pPr>
      <w:r w:rsidRPr="00B145AC">
        <w:rPr>
          <w:rFonts w:eastAsia="Lato" w:cs="Lato"/>
          <w:color w:val="000000"/>
          <w:u w:color="000000"/>
          <w:bdr w:val="nil"/>
          <w:lang w:val="en-US" w:eastAsia="en-AU"/>
        </w:rPr>
        <w:t xml:space="preserve">Thank you for the opportunity to comment on </w:t>
      </w:r>
      <w:r>
        <w:rPr>
          <w:rFonts w:eastAsia="Lato" w:cs="Lato"/>
          <w:color w:val="000000"/>
          <w:u w:color="000000"/>
          <w:bdr w:val="nil"/>
          <w:lang w:val="en-US" w:eastAsia="en-AU"/>
        </w:rPr>
        <w:t>Strengthening Penalties for Corporate and Financial Sector Misconduct</w:t>
      </w:r>
      <w:r w:rsidRPr="00B145AC">
        <w:rPr>
          <w:rFonts w:eastAsia="Lato" w:cs="Lato"/>
          <w:color w:val="000000"/>
          <w:u w:color="000000"/>
          <w:bdr w:val="nil"/>
          <w:lang w:val="en-US" w:eastAsia="en-AU"/>
        </w:rPr>
        <w:t>.</w:t>
      </w:r>
      <w:r w:rsidRPr="00B145AC">
        <w:rPr>
          <w:rFonts w:eastAsia="Lato" w:cs="Lato"/>
          <w:color w:val="000000"/>
          <w:u w:color="000000"/>
          <w:bdr w:val="nil"/>
          <w:lang w:eastAsia="en-AU"/>
        </w:rPr>
        <w:t xml:space="preserve">  </w:t>
      </w:r>
      <w:r>
        <w:rPr>
          <w:rFonts w:eastAsia="Lato" w:cs="Lato"/>
          <w:color w:val="000000"/>
          <w:u w:color="000000"/>
          <w:bdr w:val="nil"/>
          <w:lang w:eastAsia="en-AU"/>
        </w:rPr>
        <w:t xml:space="preserve">We share the Taskforce’s concerns that the penalties in the legislation administered by </w:t>
      </w:r>
      <w:r w:rsidR="00F92DA7">
        <w:rPr>
          <w:rFonts w:eastAsia="Lato" w:cs="Lato"/>
          <w:color w:val="000000"/>
          <w:u w:color="000000"/>
          <w:bdr w:val="nil"/>
          <w:lang w:eastAsia="en-AU"/>
        </w:rPr>
        <w:t>the Australian Securities and Investment Commission (</w:t>
      </w:r>
      <w:r w:rsidRPr="00F92DA7">
        <w:rPr>
          <w:rFonts w:eastAsia="Lato" w:cs="Lato"/>
          <w:b/>
          <w:color w:val="000000"/>
          <w:u w:color="000000"/>
          <w:bdr w:val="nil"/>
          <w:lang w:eastAsia="en-AU"/>
        </w:rPr>
        <w:t>ASIC</w:t>
      </w:r>
      <w:r w:rsidR="00F92DA7">
        <w:rPr>
          <w:rFonts w:eastAsia="Lato" w:cs="Lato"/>
          <w:color w:val="000000"/>
          <w:u w:color="000000"/>
          <w:bdr w:val="nil"/>
          <w:lang w:eastAsia="en-AU"/>
        </w:rPr>
        <w:t>)</w:t>
      </w:r>
      <w:r>
        <w:rPr>
          <w:rFonts w:eastAsia="Lato" w:cs="Lato"/>
          <w:color w:val="000000"/>
          <w:u w:color="000000"/>
          <w:bdr w:val="nil"/>
          <w:lang w:eastAsia="en-AU"/>
        </w:rPr>
        <w:t xml:space="preserve"> are not currently effective and they do not reflect community perceptions as to the seriousness of engaging in certain forms of misconduct. </w:t>
      </w:r>
      <w:r w:rsidR="00B11FC4">
        <w:rPr>
          <w:rFonts w:eastAsia="Lato" w:cs="Lato"/>
          <w:color w:val="000000"/>
          <w:u w:color="000000"/>
          <w:bdr w:val="nil"/>
          <w:lang w:eastAsia="en-AU"/>
        </w:rPr>
        <w:t>In order for ASIC to effectively carry out its regulatory role it needs to have broad and effective enforcement tools.</w:t>
      </w:r>
    </w:p>
    <w:p w:rsidR="00633DEC" w:rsidRDefault="00633DEC" w:rsidP="00633DEC">
      <w:pPr>
        <w:rPr>
          <w:lang w:val="en-US"/>
        </w:rPr>
      </w:pPr>
      <w:r>
        <w:rPr>
          <w:lang w:val="en-US"/>
        </w:rPr>
        <w:t>The Financial Rights Legal Centre (</w:t>
      </w:r>
      <w:r w:rsidRPr="00F92DA7">
        <w:rPr>
          <w:b/>
          <w:lang w:val="en-US"/>
        </w:rPr>
        <w:t>Financial Rights</w:t>
      </w:r>
      <w:r>
        <w:rPr>
          <w:lang w:val="en-US"/>
        </w:rPr>
        <w:t xml:space="preserve">) strongly supports </w:t>
      </w:r>
      <w:r w:rsidR="00B11FC4">
        <w:rPr>
          <w:lang w:val="en-US"/>
        </w:rPr>
        <w:t xml:space="preserve">most of </w:t>
      </w:r>
      <w:r>
        <w:rPr>
          <w:lang w:val="en-US"/>
        </w:rPr>
        <w:t xml:space="preserve">the proposed penalty increases. The current penalty regime is clearly not acting as a sufficient deterrent for financial service providers that are engaging in misconduct. It appears that many major players have simply made a business calculation that continued misconduct and contravention of the consumer protections outlined in the </w:t>
      </w:r>
      <w:r w:rsidRPr="009B23CC">
        <w:rPr>
          <w:i/>
          <w:lang w:val="en-US"/>
        </w:rPr>
        <w:t>Corporations</w:t>
      </w:r>
      <w:r>
        <w:rPr>
          <w:lang w:val="en-US"/>
        </w:rPr>
        <w:t xml:space="preserve">, </w:t>
      </w:r>
      <w:r w:rsidRPr="009B23CC">
        <w:rPr>
          <w:i/>
          <w:lang w:val="en-US"/>
        </w:rPr>
        <w:t>NCCP</w:t>
      </w:r>
      <w:r>
        <w:rPr>
          <w:lang w:val="en-US"/>
        </w:rPr>
        <w:t xml:space="preserve"> and </w:t>
      </w:r>
      <w:r w:rsidRPr="009B23CC">
        <w:rPr>
          <w:i/>
          <w:lang w:val="en-US"/>
        </w:rPr>
        <w:t>ASIC Acts</w:t>
      </w:r>
      <w:r>
        <w:rPr>
          <w:lang w:val="en-US"/>
        </w:rPr>
        <w:t xml:space="preserve"> is more profitable even with the risk of ASIC enforcement.</w:t>
      </w:r>
      <w:r w:rsidR="009B23CC">
        <w:rPr>
          <w:lang w:val="en-US"/>
        </w:rPr>
        <w:t xml:space="preserve"> This is why in addition to supporting increased civil penalties we strongly support ASIC being able to seek disgorgement remedies in civil penalty proceedings. </w:t>
      </w:r>
      <w:r w:rsidR="00CA45BD">
        <w:rPr>
          <w:lang w:val="en-US"/>
        </w:rPr>
        <w:t>In fact, we agree with ASIC that disgorgement should be available not only in civil penalty proceedings but in other civil proceedings brought by ASIC for contraventions of the legislation it administers (</w:t>
      </w:r>
      <w:r w:rsidR="00CA45BD">
        <w:rPr>
          <w:b/>
          <w:lang w:val="en-US"/>
        </w:rPr>
        <w:t>Position 10</w:t>
      </w:r>
      <w:r w:rsidR="00CA45BD">
        <w:rPr>
          <w:lang w:val="en-US"/>
        </w:rPr>
        <w:t xml:space="preserve">). </w:t>
      </w:r>
      <w:r w:rsidR="009B23CC">
        <w:rPr>
          <w:lang w:val="en-US"/>
        </w:rPr>
        <w:t xml:space="preserve">The proposed penalty increases are quite significant, and we believe </w:t>
      </w:r>
      <w:r w:rsidR="00F92DA7">
        <w:rPr>
          <w:lang w:val="en-US"/>
        </w:rPr>
        <w:t xml:space="preserve">are </w:t>
      </w:r>
      <w:r w:rsidR="009B23CC">
        <w:rPr>
          <w:lang w:val="en-US"/>
        </w:rPr>
        <w:t>completely justified in light of the types of financial services misconduct Australia has witnessed in recent years.</w:t>
      </w:r>
    </w:p>
    <w:p w:rsidR="00220B58" w:rsidRPr="00220B58" w:rsidRDefault="00220B58" w:rsidP="00633DEC">
      <w:pPr>
        <w:rPr>
          <w:lang w:val="en-US"/>
        </w:rPr>
      </w:pPr>
      <w:r>
        <w:rPr>
          <w:lang w:val="en-US"/>
        </w:rPr>
        <w:t xml:space="preserve">Financial Rights is particularly supportive of extending civil penalty consequences to insurers that contravene certain obligations under the </w:t>
      </w:r>
      <w:r>
        <w:rPr>
          <w:i/>
          <w:lang w:val="en-US"/>
        </w:rPr>
        <w:t>Insurance Contracts Act</w:t>
      </w:r>
      <w:r>
        <w:rPr>
          <w:lang w:val="en-US"/>
        </w:rPr>
        <w:t xml:space="preserve"> (</w:t>
      </w:r>
      <w:r>
        <w:rPr>
          <w:b/>
          <w:lang w:val="en-US"/>
        </w:rPr>
        <w:t>Position 14</w:t>
      </w:r>
      <w:r>
        <w:rPr>
          <w:lang w:val="en-US"/>
        </w:rPr>
        <w:t>). Through the operation of our national Insurance Law Service we have seen insurers regularly behave in ways that we consider in breach of their duties of utmost good faith. If section 13 were a civil penalties provision we believe ASIC could more regularly take action against insurers for these breaches and hopefully deter</w:t>
      </w:r>
      <w:r w:rsidR="00847A3C">
        <w:rPr>
          <w:lang w:val="en-US"/>
        </w:rPr>
        <w:t xml:space="preserve"> additional misconduct in the future. We are particularly encouraged that such penalties would not only apply in relation to insurance claims handling, but also in relation to pre-contractual and post-contractual conduct by insurers.</w:t>
      </w:r>
    </w:p>
    <w:p w:rsidR="00B11FC4" w:rsidRDefault="00B11FC4" w:rsidP="00847A3C">
      <w:pPr>
        <w:rPr>
          <w:lang w:val="en-US"/>
        </w:rPr>
      </w:pPr>
      <w:r>
        <w:rPr>
          <w:lang w:val="en-US"/>
        </w:rPr>
        <w:t>However, we support the recommendations made by ASIC in its own submission to this Position Paper which  consider that some of the proposals do not go far enough in addressing the gaps in penalties in the current legislation and in ASIC’s regulatory toolkit more broadly. We support ASIC’s recommendation that the maximum term of imprisonment for all criminal offences should be multiplied by 15 instead of 10 (</w:t>
      </w:r>
      <w:r>
        <w:rPr>
          <w:b/>
          <w:lang w:val="en-US"/>
        </w:rPr>
        <w:t xml:space="preserve">Position </w:t>
      </w:r>
      <w:r>
        <w:rPr>
          <w:b/>
          <w:lang w:val="en-US"/>
        </w:rPr>
        <w:lastRenderedPageBreak/>
        <w:t>2</w:t>
      </w:r>
      <w:r>
        <w:rPr>
          <w:lang w:val="en-US"/>
        </w:rPr>
        <w:t xml:space="preserve">). </w:t>
      </w:r>
      <w:r w:rsidR="00CA45BD">
        <w:rPr>
          <w:lang w:val="en-US"/>
        </w:rPr>
        <w:t>We also support the recommendation that the pecuniary penalties for strict and absolute liability offences should be doubled for individuals as well as for corporations (</w:t>
      </w:r>
      <w:r w:rsidR="00CA45BD">
        <w:rPr>
          <w:b/>
          <w:lang w:val="en-US"/>
        </w:rPr>
        <w:t>Position 7</w:t>
      </w:r>
      <w:r w:rsidR="00CA45BD">
        <w:rPr>
          <w:lang w:val="en-US"/>
        </w:rPr>
        <w:t>).</w:t>
      </w:r>
    </w:p>
    <w:p w:rsidR="00CA45BD" w:rsidRPr="008916BF" w:rsidRDefault="00CA45BD" w:rsidP="00847A3C">
      <w:pPr>
        <w:rPr>
          <w:lang w:val="en-US"/>
        </w:rPr>
      </w:pPr>
      <w:r>
        <w:rPr>
          <w:lang w:val="en-US"/>
        </w:rPr>
        <w:t>There are also two Taskforce Positions that ASIC disagrees with in its written submission (</w:t>
      </w:r>
      <w:r>
        <w:rPr>
          <w:b/>
          <w:lang w:val="en-US"/>
        </w:rPr>
        <w:t xml:space="preserve">Positions 5 </w:t>
      </w:r>
      <w:r>
        <w:rPr>
          <w:lang w:val="en-US"/>
        </w:rPr>
        <w:t xml:space="preserve">and </w:t>
      </w:r>
      <w:r>
        <w:rPr>
          <w:b/>
          <w:lang w:val="en-US"/>
        </w:rPr>
        <w:t>16</w:t>
      </w:r>
      <w:r>
        <w:rPr>
          <w:lang w:val="en-US"/>
        </w:rPr>
        <w:t>).</w:t>
      </w:r>
      <w:r w:rsidR="008114F5">
        <w:rPr>
          <w:lang w:val="en-US"/>
        </w:rPr>
        <w:t xml:space="preserve"> We support ASIC’s alternative recommendations on these two points. First in relation to removing imprisonment as a possible sanction for strict and absolute liability offences we agree with ASIC that this would send the wrong message. Section 190 of the </w:t>
      </w:r>
      <w:r w:rsidR="008114F5">
        <w:rPr>
          <w:i/>
          <w:lang w:val="en-US"/>
        </w:rPr>
        <w:t>Corporations Act</w:t>
      </w:r>
      <w:r w:rsidR="008114F5">
        <w:rPr>
          <w:lang w:val="en-US"/>
        </w:rPr>
        <w:t xml:space="preserve"> currently bears imprisonment as a possible sanction for strict and absolute liability offences </w:t>
      </w:r>
      <w:r w:rsidR="008916BF">
        <w:rPr>
          <w:lang w:val="en-US"/>
        </w:rPr>
        <w:t>and even though the A</w:t>
      </w:r>
      <w:r w:rsidR="00F92DA7">
        <w:rPr>
          <w:lang w:val="en-US"/>
        </w:rPr>
        <w:t xml:space="preserve">ttorney </w:t>
      </w:r>
      <w:r w:rsidR="008916BF">
        <w:rPr>
          <w:lang w:val="en-US"/>
        </w:rPr>
        <w:t>G</w:t>
      </w:r>
      <w:r w:rsidR="00F92DA7">
        <w:rPr>
          <w:lang w:val="en-US"/>
        </w:rPr>
        <w:t xml:space="preserve">eneral’s </w:t>
      </w:r>
      <w:r w:rsidR="008916BF">
        <w:rPr>
          <w:lang w:val="en-US"/>
        </w:rPr>
        <w:t>D</w:t>
      </w:r>
      <w:r w:rsidR="00F92DA7">
        <w:rPr>
          <w:lang w:val="en-US"/>
        </w:rPr>
        <w:t>epartment</w:t>
      </w:r>
      <w:r w:rsidR="008916BF">
        <w:rPr>
          <w:lang w:val="en-US"/>
        </w:rPr>
        <w:t xml:space="preserve"> guide stipulates these offenses should not be punishable by imprisonment, removing this penalty altogether might undermine ASIC’s prosecution of these offenses. Second, in relation to new infringement notices, we support ASIC’s proposal that all new infringement notice provisions in the </w:t>
      </w:r>
      <w:r w:rsidR="008916BF">
        <w:rPr>
          <w:i/>
          <w:lang w:val="en-US"/>
        </w:rPr>
        <w:t>Corporations Act</w:t>
      </w:r>
      <w:r w:rsidR="008916BF">
        <w:rPr>
          <w:lang w:val="en-US"/>
        </w:rPr>
        <w:t xml:space="preserve"> should utili</w:t>
      </w:r>
      <w:r w:rsidR="00F92DA7">
        <w:rPr>
          <w:lang w:val="en-US"/>
        </w:rPr>
        <w:t>s</w:t>
      </w:r>
      <w:r w:rsidR="008916BF">
        <w:rPr>
          <w:lang w:val="en-US"/>
        </w:rPr>
        <w:t xml:space="preserve">e the ration currently in use under the </w:t>
      </w:r>
      <w:r w:rsidR="008916BF">
        <w:rPr>
          <w:i/>
          <w:lang w:val="en-US"/>
        </w:rPr>
        <w:t>Credit Act</w:t>
      </w:r>
      <w:r w:rsidR="008916BF">
        <w:rPr>
          <w:lang w:val="en-US"/>
        </w:rPr>
        <w:t>, being one-fortieth of the maximum penalty that a court could impose for civil penalty provisions.</w:t>
      </w:r>
    </w:p>
    <w:p w:rsidR="00847A3C" w:rsidRPr="00847A3C" w:rsidRDefault="00847A3C" w:rsidP="00847A3C">
      <w:pPr>
        <w:rPr>
          <w:rFonts w:eastAsia="Lato" w:cs="Lato"/>
          <w:b/>
          <w:sz w:val="24"/>
          <w:szCs w:val="24"/>
          <w:lang w:val="en-US"/>
        </w:rPr>
      </w:pPr>
      <w:r>
        <w:rPr>
          <w:lang w:val="en-US"/>
        </w:rPr>
        <w:t xml:space="preserve">Finally, </w:t>
      </w:r>
      <w:r w:rsidR="009B23CC">
        <w:rPr>
          <w:lang w:val="en-US"/>
        </w:rPr>
        <w:t xml:space="preserve">Financial Rights encourages the Taskforce to go even further in relation to civil penalties for </w:t>
      </w:r>
      <w:r w:rsidR="009B23CC" w:rsidRPr="009B23CC">
        <w:rPr>
          <w:i/>
          <w:lang w:val="en-US"/>
        </w:rPr>
        <w:t>NCCP Act</w:t>
      </w:r>
      <w:r w:rsidR="009B23CC">
        <w:rPr>
          <w:lang w:val="en-US"/>
        </w:rPr>
        <w:t xml:space="preserve"> contraventions and </w:t>
      </w:r>
      <w:r w:rsidR="009B23CC" w:rsidRPr="009B23CC">
        <w:rPr>
          <w:i/>
          <w:lang w:val="en-US"/>
        </w:rPr>
        <w:t>Corporations Act</w:t>
      </w:r>
      <w:r w:rsidR="009B23CC">
        <w:rPr>
          <w:lang w:val="en-US"/>
        </w:rPr>
        <w:t xml:space="preserve"> Financial Services (Chapter 7) contraventions. These penalties should be aligned with the </w:t>
      </w:r>
      <w:r w:rsidR="009B23CC" w:rsidRPr="009B23CC">
        <w:rPr>
          <w:i/>
          <w:lang w:val="en-US"/>
        </w:rPr>
        <w:t>ASIC Act</w:t>
      </w:r>
      <w:r w:rsidR="009B23CC">
        <w:rPr>
          <w:lang w:val="en-US"/>
        </w:rPr>
        <w:t xml:space="preserve"> and the </w:t>
      </w:r>
      <w:r w:rsidR="009B23CC" w:rsidRPr="009B23CC">
        <w:rPr>
          <w:i/>
          <w:lang w:val="en-US"/>
        </w:rPr>
        <w:t>Australian Consumer Law</w:t>
      </w:r>
      <w:r w:rsidR="009B23CC">
        <w:rPr>
          <w:lang w:val="en-US"/>
        </w:rPr>
        <w:t xml:space="preserve"> contraventions, given that these are</w:t>
      </w:r>
      <w:r>
        <w:rPr>
          <w:lang w:val="en-US"/>
        </w:rPr>
        <w:t xml:space="preserve"> all about consumer protection.</w:t>
      </w:r>
    </w:p>
    <w:p w:rsidR="000C33F4" w:rsidRPr="0074638C" w:rsidRDefault="000C33F4" w:rsidP="000C33F4">
      <w:pPr>
        <w:pStyle w:val="Body"/>
        <w:jc w:val="both"/>
        <w:rPr>
          <w:rFonts w:ascii="Lato" w:eastAsia="Lato" w:hAnsi="Lato" w:cs="Lato"/>
          <w:lang w:val="en-US"/>
        </w:rPr>
      </w:pPr>
      <w:r w:rsidRPr="0074638C">
        <w:rPr>
          <w:rFonts w:ascii="Lato" w:eastAsia="Lato" w:hAnsi="Lato" w:cs="Lato"/>
          <w:lang w:val="en-US"/>
        </w:rPr>
        <w:t>Thank you again for the opportunity to comment in this Initial Consultation.</w:t>
      </w:r>
      <w:r>
        <w:rPr>
          <w:rFonts w:ascii="Lato" w:eastAsia="Lato" w:hAnsi="Lato" w:cs="Lato"/>
          <w:lang w:val="en-US"/>
        </w:rPr>
        <w:t xml:space="preserve"> </w:t>
      </w:r>
      <w:r w:rsidRPr="0074638C">
        <w:rPr>
          <w:rFonts w:ascii="Lato" w:eastAsia="Lato" w:hAnsi="Lato" w:cs="Lato"/>
          <w:lang w:val="en-US"/>
        </w:rPr>
        <w:t>If you have any questions or concerns regarding this submission please do not hesitate to contact the Financial Rights Legal Centre on (02) 9212 4216.</w:t>
      </w:r>
    </w:p>
    <w:p w:rsidR="000C33F4" w:rsidRPr="00A2553B" w:rsidRDefault="00856BA1" w:rsidP="000C33F4">
      <w:pPr>
        <w:pStyle w:val="Body"/>
        <w:rPr>
          <w:rFonts w:ascii="Lato" w:hAnsi="Lato"/>
        </w:rPr>
      </w:pPr>
      <w:r w:rsidRPr="00A2553B">
        <w:rPr>
          <w:rFonts w:ascii="Lato" w:eastAsia="Lato" w:hAnsi="Lato" w:cs="Lato"/>
          <w:b/>
          <w:bCs/>
          <w:noProof/>
          <w:sz w:val="28"/>
          <w:szCs w:val="28"/>
        </w:rPr>
        <w:drawing>
          <wp:anchor distT="0" distB="0" distL="114300" distR="114300" simplePos="0" relativeHeight="251658240" behindDoc="1" locked="0" layoutInCell="1" allowOverlap="1" wp14:anchorId="7153BF13" wp14:editId="34D6252D">
            <wp:simplePos x="0" y="0"/>
            <wp:positionH relativeFrom="column">
              <wp:posOffset>34290</wp:posOffset>
            </wp:positionH>
            <wp:positionV relativeFrom="paragraph">
              <wp:posOffset>111760</wp:posOffset>
            </wp:positionV>
            <wp:extent cx="2219325" cy="67691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9325" cy="676910"/>
                    </a:xfrm>
                    <a:prstGeom prst="rect">
                      <a:avLst/>
                    </a:prstGeom>
                    <a:noFill/>
                  </pic:spPr>
                </pic:pic>
              </a:graphicData>
            </a:graphic>
            <wp14:sizeRelH relativeFrom="page">
              <wp14:pctWidth>0</wp14:pctWidth>
            </wp14:sizeRelH>
            <wp14:sizeRelV relativeFrom="page">
              <wp14:pctHeight>0</wp14:pctHeight>
            </wp14:sizeRelV>
          </wp:anchor>
        </w:drawing>
      </w:r>
      <w:r w:rsidR="000C33F4" w:rsidRPr="00A2553B">
        <w:rPr>
          <w:rFonts w:ascii="Lato" w:eastAsia="Lato" w:hAnsi="Lato" w:cs="Lato"/>
        </w:rPr>
        <w:t xml:space="preserve">Kind Regards,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588"/>
      </w:tblGrid>
      <w:tr w:rsidR="000C33F4" w:rsidRPr="00A2553B" w:rsidTr="000C33F4">
        <w:tc>
          <w:tcPr>
            <w:tcW w:w="4654" w:type="dxa"/>
          </w:tcPr>
          <w:p w:rsidR="000C33F4" w:rsidRPr="00A2553B" w:rsidRDefault="000C33F4" w:rsidP="000C33F4">
            <w:pPr>
              <w:pStyle w:val="Body"/>
              <w:rPr>
                <w:rFonts w:ascii="Lato" w:eastAsia="Lato" w:hAnsi="Lato" w:cs="Lato"/>
                <w:b/>
                <w:bCs/>
                <w:sz w:val="28"/>
                <w:szCs w:val="28"/>
                <w:lang w:val="nl-NL"/>
              </w:rPr>
            </w:pPr>
          </w:p>
          <w:p w:rsidR="000C33F4" w:rsidRPr="00A2553B" w:rsidRDefault="000C33F4" w:rsidP="008D1A57">
            <w:pPr>
              <w:pStyle w:val="Body"/>
              <w:spacing w:after="0"/>
              <w:rPr>
                <w:rFonts w:ascii="Lato" w:eastAsia="Lato" w:hAnsi="Lato" w:cs="Lato"/>
                <w:b/>
                <w:bCs/>
                <w:sz w:val="24"/>
                <w:szCs w:val="24"/>
              </w:rPr>
            </w:pPr>
            <w:r w:rsidRPr="00A2553B">
              <w:rPr>
                <w:rFonts w:ascii="Lato" w:eastAsia="Lato" w:hAnsi="Lato" w:cs="Lato"/>
                <w:b/>
                <w:bCs/>
                <w:sz w:val="24"/>
                <w:szCs w:val="24"/>
                <w:lang w:val="nl-NL"/>
              </w:rPr>
              <w:t>Karen Cox</w:t>
            </w:r>
          </w:p>
          <w:p w:rsidR="000C33F4" w:rsidRPr="00A2553B" w:rsidRDefault="000C33F4" w:rsidP="008D1A57">
            <w:pPr>
              <w:pStyle w:val="Body"/>
              <w:spacing w:after="0"/>
              <w:rPr>
                <w:rFonts w:ascii="Lato" w:eastAsia="Lato" w:hAnsi="Lato" w:cs="Lato"/>
              </w:rPr>
            </w:pPr>
            <w:r w:rsidRPr="00A2553B">
              <w:rPr>
                <w:rFonts w:ascii="Lato" w:eastAsia="Lato" w:hAnsi="Lato" w:cs="Lato"/>
                <w:lang w:val="nl-NL"/>
              </w:rPr>
              <w:t>Coordinator</w:t>
            </w:r>
          </w:p>
          <w:p w:rsidR="000C33F4" w:rsidRPr="00A2553B" w:rsidRDefault="000C33F4" w:rsidP="008D1A57">
            <w:pPr>
              <w:pStyle w:val="Body"/>
              <w:spacing w:after="0"/>
              <w:rPr>
                <w:rFonts w:ascii="Lato" w:eastAsia="Lato" w:hAnsi="Lato" w:cs="Lato"/>
              </w:rPr>
            </w:pPr>
            <w:r w:rsidRPr="00A2553B">
              <w:rPr>
                <w:rFonts w:ascii="Lato" w:eastAsia="Lato" w:hAnsi="Lato" w:cs="Lato"/>
                <w:lang w:val="nl-NL"/>
              </w:rPr>
              <w:t>Financial Rights Legal Centre</w:t>
            </w:r>
          </w:p>
          <w:p w:rsidR="000C33F4" w:rsidRPr="00A2553B" w:rsidRDefault="000C33F4" w:rsidP="008D1A57">
            <w:pPr>
              <w:pStyle w:val="Body"/>
              <w:spacing w:after="0"/>
              <w:rPr>
                <w:rFonts w:ascii="Lato" w:eastAsia="Lato" w:hAnsi="Lato" w:cs="Lato"/>
              </w:rPr>
            </w:pPr>
            <w:r w:rsidRPr="00A2553B">
              <w:rPr>
                <w:rFonts w:ascii="Lato" w:eastAsia="Lato" w:hAnsi="Lato" w:cs="Lato"/>
              </w:rPr>
              <w:t>Direct: (02) 8204 1340</w:t>
            </w:r>
          </w:p>
          <w:p w:rsidR="000C33F4" w:rsidRPr="00A2553B" w:rsidRDefault="000C33F4" w:rsidP="008D1A57">
            <w:pPr>
              <w:pStyle w:val="Body"/>
              <w:spacing w:after="0"/>
              <w:rPr>
                <w:rFonts w:ascii="Lato" w:eastAsia="Lato" w:hAnsi="Lato" w:cs="Lato"/>
              </w:rPr>
            </w:pPr>
            <w:r w:rsidRPr="00A2553B">
              <w:rPr>
                <w:rFonts w:ascii="Lato" w:eastAsia="Lato" w:hAnsi="Lato" w:cs="Lato"/>
              </w:rPr>
              <w:t xml:space="preserve">E-mail: </w:t>
            </w:r>
            <w:hyperlink r:id="rId16" w:history="1">
              <w:r w:rsidRPr="00A2553B">
                <w:rPr>
                  <w:rStyle w:val="Hyperlink1"/>
                  <w:lang w:val="en-US"/>
                </w:rPr>
                <w:t>Karen.Cox@financialrights.org.au</w:t>
              </w:r>
            </w:hyperlink>
            <w:r w:rsidRPr="00A2553B">
              <w:rPr>
                <w:rFonts w:ascii="Lato" w:eastAsia="Lato" w:hAnsi="Lato" w:cs="Lato"/>
              </w:rPr>
              <w:t xml:space="preserve"> </w:t>
            </w:r>
          </w:p>
        </w:tc>
        <w:tc>
          <w:tcPr>
            <w:tcW w:w="4588" w:type="dxa"/>
          </w:tcPr>
          <w:p w:rsidR="000C33F4" w:rsidRPr="00A2553B" w:rsidRDefault="000C33F4" w:rsidP="000C33F4">
            <w:r w:rsidRPr="00A2553B">
              <w:rPr>
                <w:rFonts w:eastAsia="Lato" w:cs="Lato"/>
              </w:rPr>
              <w:t xml:space="preserve"> </w:t>
            </w:r>
          </w:p>
        </w:tc>
      </w:tr>
    </w:tbl>
    <w:p w:rsidR="002227D0" w:rsidRPr="009646B8" w:rsidRDefault="002227D0" w:rsidP="000C33F4">
      <w:pPr>
        <w:pStyle w:val="ListParagraph"/>
        <w:spacing w:line="480" w:lineRule="auto"/>
        <w:ind w:hanging="360"/>
        <w:jc w:val="center"/>
      </w:pPr>
    </w:p>
    <w:sectPr w:rsidR="002227D0" w:rsidRPr="009646B8" w:rsidSect="007563C2">
      <w:footerReference w:type="default" r:id="rId17"/>
      <w:headerReference w:type="first" r:id="rId18"/>
      <w:footerReference w:type="first" r:id="rId19"/>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F5" w:rsidRDefault="008114F5" w:rsidP="00536ACC">
      <w:pPr>
        <w:spacing w:after="0" w:line="240" w:lineRule="auto"/>
      </w:pPr>
      <w:r>
        <w:separator/>
      </w:r>
    </w:p>
  </w:endnote>
  <w:endnote w:type="continuationSeparator" w:id="0">
    <w:p w:rsidR="008114F5" w:rsidRDefault="008114F5" w:rsidP="005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00000001"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ill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73"/>
    </w:tblGrid>
    <w:tr w:rsidR="008114F5" w:rsidRPr="00304C2C" w:rsidTr="00FD421A">
      <w:tc>
        <w:tcPr>
          <w:tcW w:w="5228" w:type="dxa"/>
        </w:tcPr>
        <w:p w:rsidR="008114F5" w:rsidRPr="00304C2C" w:rsidRDefault="008114F5" w:rsidP="00FD421A">
          <w:pPr>
            <w:pStyle w:val="Footer"/>
            <w:rPr>
              <w:color w:val="808080" w:themeColor="background1" w:themeShade="80"/>
              <w:sz w:val="18"/>
              <w:szCs w:val="18"/>
            </w:rPr>
          </w:pPr>
          <w:r>
            <w:rPr>
              <w:color w:val="808080" w:themeColor="background1" w:themeShade="80"/>
              <w:sz w:val="18"/>
              <w:szCs w:val="18"/>
            </w:rPr>
            <w:br/>
          </w:r>
          <w:r w:rsidRPr="00304C2C">
            <w:rPr>
              <w:color w:val="808080" w:themeColor="background1" w:themeShade="80"/>
              <w:sz w:val="18"/>
              <w:szCs w:val="18"/>
            </w:rPr>
            <w:t>Financial Rights Legal Centre</w:t>
          </w:r>
          <w:r>
            <w:rPr>
              <w:color w:val="808080" w:themeColor="background1" w:themeShade="80"/>
              <w:sz w:val="18"/>
              <w:szCs w:val="18"/>
            </w:rPr>
            <w:t xml:space="preserve"> Inc ABN 40 506 635 273</w:t>
          </w:r>
        </w:p>
      </w:tc>
      <w:tc>
        <w:tcPr>
          <w:tcW w:w="5228" w:type="dxa"/>
        </w:tcPr>
        <w:p w:rsidR="008114F5" w:rsidRDefault="008114F5" w:rsidP="00FD421A">
          <w:pPr>
            <w:pStyle w:val="Footer"/>
            <w:jc w:val="right"/>
            <w:rPr>
              <w:color w:val="808080" w:themeColor="background1" w:themeShade="80"/>
              <w:sz w:val="18"/>
              <w:szCs w:val="18"/>
            </w:rPr>
          </w:pPr>
        </w:p>
        <w:p w:rsidR="008114F5" w:rsidRPr="00304C2C" w:rsidRDefault="008114F5" w:rsidP="00FD421A">
          <w:pPr>
            <w:pStyle w:val="Footer"/>
            <w:jc w:val="right"/>
            <w:rPr>
              <w:color w:val="808080" w:themeColor="background1" w:themeShade="80"/>
              <w:sz w:val="18"/>
              <w:szCs w:val="18"/>
            </w:rPr>
          </w:pPr>
          <w:r w:rsidRPr="00F56098">
            <w:rPr>
              <w:color w:val="808080" w:themeColor="background1" w:themeShade="80"/>
              <w:sz w:val="18"/>
              <w:szCs w:val="18"/>
            </w:rPr>
            <w:t xml:space="preserve">Page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PAGE  \* Arabic  \* MERGEFORMAT </w:instrText>
          </w:r>
          <w:r w:rsidRPr="00F56098">
            <w:rPr>
              <w:b/>
              <w:bCs/>
              <w:color w:val="808080" w:themeColor="background1" w:themeShade="80"/>
              <w:sz w:val="18"/>
              <w:szCs w:val="18"/>
            </w:rPr>
            <w:fldChar w:fldCharType="separate"/>
          </w:r>
          <w:r w:rsidR="00D27418">
            <w:rPr>
              <w:b/>
              <w:bCs/>
              <w:noProof/>
              <w:color w:val="808080" w:themeColor="background1" w:themeShade="80"/>
              <w:sz w:val="18"/>
              <w:szCs w:val="18"/>
            </w:rPr>
            <w:t>2</w:t>
          </w:r>
          <w:r w:rsidRPr="00F56098">
            <w:rPr>
              <w:b/>
              <w:bCs/>
              <w:color w:val="808080" w:themeColor="background1" w:themeShade="80"/>
              <w:sz w:val="18"/>
              <w:szCs w:val="18"/>
            </w:rPr>
            <w:fldChar w:fldCharType="end"/>
          </w:r>
          <w:r w:rsidRPr="00F56098">
            <w:rPr>
              <w:color w:val="808080" w:themeColor="background1" w:themeShade="80"/>
              <w:sz w:val="18"/>
              <w:szCs w:val="18"/>
            </w:rPr>
            <w:t xml:space="preserve"> of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NUMPAGES  \* Arabic  \* MERGEFORMAT </w:instrText>
          </w:r>
          <w:r w:rsidRPr="00F56098">
            <w:rPr>
              <w:b/>
              <w:bCs/>
              <w:color w:val="808080" w:themeColor="background1" w:themeShade="80"/>
              <w:sz w:val="18"/>
              <w:szCs w:val="18"/>
            </w:rPr>
            <w:fldChar w:fldCharType="separate"/>
          </w:r>
          <w:r w:rsidR="00D27418">
            <w:rPr>
              <w:b/>
              <w:bCs/>
              <w:noProof/>
              <w:color w:val="808080" w:themeColor="background1" w:themeShade="80"/>
              <w:sz w:val="18"/>
              <w:szCs w:val="18"/>
            </w:rPr>
            <w:t>2</w:t>
          </w:r>
          <w:r w:rsidRPr="00F56098">
            <w:rPr>
              <w:b/>
              <w:bCs/>
              <w:color w:val="808080" w:themeColor="background1" w:themeShade="80"/>
              <w:sz w:val="18"/>
              <w:szCs w:val="18"/>
            </w:rPr>
            <w:fldChar w:fldCharType="end"/>
          </w:r>
        </w:p>
      </w:tc>
    </w:tr>
  </w:tbl>
  <w:p w:rsidR="008114F5" w:rsidRPr="00304C2C" w:rsidRDefault="008114F5" w:rsidP="00FD421A">
    <w:pPr>
      <w:pStyle w:val="Footer"/>
      <w:jc w:val="right"/>
      <w:rPr>
        <w:color w:val="808080" w:themeColor="background1" w:themeShade="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F5" w:rsidRDefault="008114F5" w:rsidP="00051B7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79"/>
    </w:tblGrid>
    <w:tr w:rsidR="008114F5" w:rsidRPr="00304C2C" w:rsidTr="002227D0">
      <w:tc>
        <w:tcPr>
          <w:tcW w:w="5228" w:type="dxa"/>
        </w:tcPr>
        <w:p w:rsidR="008114F5" w:rsidRPr="00304C2C" w:rsidRDefault="008114F5" w:rsidP="00051B7E">
          <w:pPr>
            <w:pStyle w:val="Footer"/>
            <w:rPr>
              <w:color w:val="808080" w:themeColor="background1" w:themeShade="80"/>
              <w:sz w:val="18"/>
              <w:szCs w:val="18"/>
            </w:rPr>
          </w:pPr>
          <w:r>
            <w:rPr>
              <w:color w:val="808080" w:themeColor="background1" w:themeShade="80"/>
              <w:sz w:val="18"/>
              <w:szCs w:val="18"/>
            </w:rPr>
            <w:t>National Debt Helpline: 1800 007 007</w:t>
          </w:r>
        </w:p>
        <w:p w:rsidR="008114F5" w:rsidRPr="00304C2C" w:rsidRDefault="008114F5" w:rsidP="00051B7E">
          <w:pPr>
            <w:pStyle w:val="Footer"/>
            <w:rPr>
              <w:color w:val="808080" w:themeColor="background1" w:themeShade="80"/>
              <w:sz w:val="18"/>
              <w:szCs w:val="18"/>
            </w:rPr>
          </w:pPr>
          <w:r w:rsidRPr="00304C2C">
            <w:rPr>
              <w:color w:val="808080" w:themeColor="background1" w:themeShade="80"/>
              <w:sz w:val="18"/>
              <w:szCs w:val="18"/>
            </w:rPr>
            <w:t>Insurance Law Service: 1300 663 464</w:t>
          </w:r>
        </w:p>
      </w:tc>
      <w:tc>
        <w:tcPr>
          <w:tcW w:w="5228" w:type="dxa"/>
        </w:tcPr>
        <w:p w:rsidR="008114F5" w:rsidRDefault="008114F5" w:rsidP="00B4311C">
          <w:pPr>
            <w:pStyle w:val="Footer"/>
            <w:jc w:val="right"/>
            <w:rPr>
              <w:b/>
              <w:bCs/>
              <w:color w:val="808080" w:themeColor="background1" w:themeShade="80"/>
              <w:sz w:val="18"/>
              <w:szCs w:val="18"/>
            </w:rPr>
          </w:pPr>
          <w:r w:rsidRPr="00F56098">
            <w:rPr>
              <w:color w:val="808080" w:themeColor="background1" w:themeShade="80"/>
              <w:sz w:val="18"/>
              <w:szCs w:val="18"/>
            </w:rPr>
            <w:t xml:space="preserve">Page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PAGE  \* Arabic  \* MERGEFORMAT </w:instrText>
          </w:r>
          <w:r w:rsidRPr="00F56098">
            <w:rPr>
              <w:b/>
              <w:bCs/>
              <w:color w:val="808080" w:themeColor="background1" w:themeShade="80"/>
              <w:sz w:val="18"/>
              <w:szCs w:val="18"/>
            </w:rPr>
            <w:fldChar w:fldCharType="separate"/>
          </w:r>
          <w:r w:rsidR="00550656">
            <w:rPr>
              <w:b/>
              <w:bCs/>
              <w:noProof/>
              <w:color w:val="808080" w:themeColor="background1" w:themeShade="80"/>
              <w:sz w:val="18"/>
              <w:szCs w:val="18"/>
            </w:rPr>
            <w:t>1</w:t>
          </w:r>
          <w:r w:rsidRPr="00F56098">
            <w:rPr>
              <w:b/>
              <w:bCs/>
              <w:color w:val="808080" w:themeColor="background1" w:themeShade="80"/>
              <w:sz w:val="18"/>
              <w:szCs w:val="18"/>
            </w:rPr>
            <w:fldChar w:fldCharType="end"/>
          </w:r>
          <w:r w:rsidRPr="00F56098">
            <w:rPr>
              <w:color w:val="808080" w:themeColor="background1" w:themeShade="80"/>
              <w:sz w:val="18"/>
              <w:szCs w:val="18"/>
            </w:rPr>
            <w:t xml:space="preserve"> of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NUMPAGES  \* Arabic  \* MERGEFORMAT </w:instrText>
          </w:r>
          <w:r w:rsidRPr="00F56098">
            <w:rPr>
              <w:b/>
              <w:bCs/>
              <w:color w:val="808080" w:themeColor="background1" w:themeShade="80"/>
              <w:sz w:val="18"/>
              <w:szCs w:val="18"/>
            </w:rPr>
            <w:fldChar w:fldCharType="separate"/>
          </w:r>
          <w:r w:rsidR="00550656">
            <w:rPr>
              <w:b/>
              <w:bCs/>
              <w:noProof/>
              <w:color w:val="808080" w:themeColor="background1" w:themeShade="80"/>
              <w:sz w:val="18"/>
              <w:szCs w:val="18"/>
            </w:rPr>
            <w:t>2</w:t>
          </w:r>
          <w:r w:rsidRPr="00F56098">
            <w:rPr>
              <w:b/>
              <w:bCs/>
              <w:color w:val="808080" w:themeColor="background1" w:themeShade="80"/>
              <w:sz w:val="18"/>
              <w:szCs w:val="18"/>
            </w:rPr>
            <w:fldChar w:fldCharType="end"/>
          </w:r>
        </w:p>
        <w:p w:rsidR="008114F5" w:rsidRPr="00527D5B" w:rsidRDefault="008114F5" w:rsidP="00B4311C">
          <w:pPr>
            <w:pStyle w:val="Footer"/>
            <w:jc w:val="right"/>
            <w:rPr>
              <w:color w:val="808080" w:themeColor="background1" w:themeShade="80"/>
              <w:sz w:val="20"/>
              <w:szCs w:val="20"/>
            </w:rPr>
          </w:pPr>
          <w:r>
            <w:rPr>
              <w:color w:val="808080" w:themeColor="background1" w:themeShade="80"/>
              <w:sz w:val="18"/>
              <w:szCs w:val="18"/>
            </w:rPr>
            <w:t>Financial Rights Legal Centre Inc. ABN: 40 506 635 273</w:t>
          </w:r>
        </w:p>
      </w:tc>
    </w:tr>
  </w:tbl>
  <w:p w:rsidR="008114F5" w:rsidRDefault="008114F5" w:rsidP="0005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F5" w:rsidRDefault="008114F5" w:rsidP="00536ACC">
      <w:pPr>
        <w:spacing w:after="0" w:line="240" w:lineRule="auto"/>
      </w:pPr>
      <w:r>
        <w:separator/>
      </w:r>
    </w:p>
  </w:footnote>
  <w:footnote w:type="continuationSeparator" w:id="0">
    <w:p w:rsidR="008114F5" w:rsidRDefault="008114F5" w:rsidP="005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F5" w:rsidRPr="00B4311C" w:rsidRDefault="008114F5"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304C2C">
      <w:rPr>
        <w:noProof/>
        <w:color w:val="808080" w:themeColor="background1" w:themeShade="80"/>
        <w:lang w:val="en-AU" w:eastAsia="en-AU"/>
      </w:rPr>
      <w:drawing>
        <wp:anchor distT="0" distB="0" distL="114300" distR="114300" simplePos="0" relativeHeight="251660288" behindDoc="1" locked="0" layoutInCell="1" allowOverlap="1" wp14:anchorId="4FF02EED" wp14:editId="4C452C83">
          <wp:simplePos x="0" y="0"/>
          <wp:positionH relativeFrom="margin">
            <wp:posOffset>0</wp:posOffset>
          </wp:positionH>
          <wp:positionV relativeFrom="margin">
            <wp:posOffset>-1190625</wp:posOffset>
          </wp:positionV>
          <wp:extent cx="2578100" cy="10058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8100" cy="1005840"/>
                  </a:xfrm>
                  <a:prstGeom prst="rect">
                    <a:avLst/>
                  </a:prstGeom>
                </pic:spPr>
              </pic:pic>
            </a:graphicData>
          </a:graphic>
        </wp:anchor>
      </w:drawing>
    </w:r>
    <w:r w:rsidRPr="00304C2C">
      <w:rPr>
        <w:rFonts w:ascii="Lato" w:eastAsia="Calibri" w:hAnsi="Lato" w:cs="GillSans"/>
        <w:color w:val="808080" w:themeColor="background1" w:themeShade="80"/>
      </w:rPr>
      <w:t xml:space="preserve"> </w:t>
    </w:r>
    <w:r w:rsidRPr="00B4311C">
      <w:rPr>
        <w:rFonts w:ascii="Lato" w:eastAsia="Calibri" w:hAnsi="Lato" w:cs="GillSans"/>
        <w:color w:val="808080" w:themeColor="background1" w:themeShade="80"/>
        <w:kern w:val="0"/>
        <w:lang w:val="en-AU"/>
        <w14:ligatures w14:val="none"/>
        <w14:numForm w14:val="default"/>
        <w14:numSpacing w14:val="default"/>
        <w14:cntxtAlts w14:val="0"/>
      </w:rPr>
      <w:t>PO BOX 538</w:t>
    </w:r>
    <w:r w:rsidRPr="00B4311C">
      <w:rPr>
        <w:rFonts w:ascii="Lato" w:eastAsia="Calibri" w:hAnsi="Lato" w:cs="GillSans"/>
        <w:color w:val="808080" w:themeColor="background1" w:themeShade="80"/>
        <w:kern w:val="0"/>
        <w:lang w:val="en-AU"/>
        <w14:ligatures w14:val="none"/>
        <w14:numForm w14:val="default"/>
        <w14:numSpacing w14:val="default"/>
        <w14:cntxtAlts w14:val="0"/>
      </w:rPr>
      <w:br/>
    </w:r>
    <w:r w:rsidRPr="0098165D">
      <w:rPr>
        <w:rFonts w:ascii="Lato" w:eastAsia="Calibri" w:hAnsi="Lato" w:cs="GillSans"/>
        <w:color w:val="808080" w:themeColor="background1" w:themeShade="80"/>
        <w:kern w:val="0"/>
        <w:lang w:val="en-AU"/>
        <w14:ligatures w14:val="none"/>
        <w14:numForm w14:val="default"/>
        <w14:numSpacing w14:val="default"/>
        <w14:cntxtAlts w14:val="0"/>
      </w:rPr>
      <w:t>Surry</w:t>
    </w:r>
    <w:r w:rsidRPr="00B4311C">
      <w:rPr>
        <w:rFonts w:ascii="Lato" w:eastAsia="Calibri" w:hAnsi="Lato" w:cs="GillSans"/>
        <w:color w:val="808080" w:themeColor="background1" w:themeShade="80"/>
        <w:kern w:val="0"/>
        <w:lang w:val="en-AU"/>
        <w14:ligatures w14:val="none"/>
        <w14:numForm w14:val="default"/>
        <w14:numSpacing w14:val="default"/>
        <w14:cntxtAlts w14:val="0"/>
      </w:rPr>
      <w:t xml:space="preserve"> Hills 2010</w:t>
    </w:r>
  </w:p>
  <w:p w:rsidR="008114F5" w:rsidRPr="00B4311C" w:rsidRDefault="008114F5"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B4311C">
      <w:rPr>
        <w:rFonts w:ascii="Lato" w:eastAsia="Calibri" w:hAnsi="Lato" w:cs="GillSans"/>
        <w:color w:val="808080" w:themeColor="background1" w:themeShade="80"/>
        <w:kern w:val="0"/>
        <w:lang w:val="en-AU"/>
        <w14:ligatures w14:val="none"/>
        <w14:numForm w14:val="default"/>
        <w14:numSpacing w14:val="default"/>
        <w14:cntxtAlts w14:val="0"/>
      </w:rPr>
      <w:t>Tel  (02) 9212 4216</w:t>
    </w:r>
  </w:p>
  <w:p w:rsidR="008114F5" w:rsidRPr="00B4311C" w:rsidRDefault="008114F5"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B4311C">
      <w:rPr>
        <w:rFonts w:ascii="Lato" w:eastAsia="Calibri" w:hAnsi="Lato" w:cs="GillSans"/>
        <w:color w:val="808080" w:themeColor="background1" w:themeShade="80"/>
        <w:kern w:val="0"/>
        <w:lang w:val="en-AU"/>
        <w14:ligatures w14:val="none"/>
        <w14:numForm w14:val="default"/>
        <w14:numSpacing w14:val="default"/>
        <w14:cntxtAlts w14:val="0"/>
      </w:rPr>
      <w:t>Fax (02) 9212 4711</w:t>
    </w:r>
  </w:p>
  <w:p w:rsidR="008114F5" w:rsidRPr="00B4311C" w:rsidRDefault="008114F5" w:rsidP="00051B7E">
    <w:pPr>
      <w:pStyle w:val="ContactInfo"/>
      <w:ind w:right="26"/>
      <w:rPr>
        <w:rFonts w:ascii="Lato" w:eastAsia="Calibri" w:hAnsi="Lato" w:cs="Times New Roman"/>
        <w:color w:val="808080" w:themeColor="background1" w:themeShade="80"/>
        <w:kern w:val="0"/>
        <w:lang w:val="en-AU"/>
        <w14:ligatures w14:val="none"/>
        <w14:numForm w14:val="default"/>
        <w14:numSpacing w14:val="default"/>
        <w14:cntxtAlts w14:val="0"/>
      </w:rPr>
    </w:pPr>
    <w:r w:rsidRPr="00B4311C">
      <w:rPr>
        <w:rFonts w:ascii="Lato" w:eastAsia="Calibri" w:hAnsi="Lato" w:cs="Times New Roman"/>
        <w:color w:val="808080" w:themeColor="background1" w:themeShade="80"/>
        <w:kern w:val="0"/>
        <w:lang w:val="en-AU"/>
        <w14:ligatures w14:val="none"/>
        <w14:numForm w14:val="default"/>
        <w14:numSpacing w14:val="default"/>
        <w14:cntxtAlts w14:val="0"/>
      </w:rPr>
      <w:t>info@financialrights.org.au</w:t>
    </w:r>
  </w:p>
  <w:p w:rsidR="008114F5" w:rsidRPr="0098165D" w:rsidRDefault="008114F5" w:rsidP="00051B7E">
    <w:pPr>
      <w:pStyle w:val="ContactInfo"/>
      <w:ind w:right="26"/>
      <w:rPr>
        <w:rFonts w:ascii="Lato" w:eastAsia="Calibri" w:hAnsi="Lato" w:cs="Times New Roman"/>
        <w:color w:val="808080" w:themeColor="background1" w:themeShade="80"/>
        <w:kern w:val="0"/>
        <w:lang w:val="en-AU"/>
        <w14:ligatures w14:val="none"/>
        <w14:numForm w14:val="default"/>
        <w14:numSpacing w14:val="default"/>
        <w14:cntxtAlts w14:val="0"/>
      </w:rPr>
    </w:pPr>
    <w:r w:rsidRPr="00B4311C">
      <w:rPr>
        <w:rFonts w:ascii="Lato" w:eastAsia="Calibri" w:hAnsi="Lato" w:cs="Times New Roman"/>
        <w:color w:val="808080" w:themeColor="background1" w:themeShade="80"/>
        <w:kern w:val="0"/>
        <w:lang w:val="en-AU"/>
        <w14:ligatures w14:val="none"/>
        <w14:numForm w14:val="default"/>
        <w14:numSpacing w14:val="default"/>
        <w14:cntxtAlts w14:val="0"/>
      </w:rPr>
      <w:t>www.financialrights.org.au</w:t>
    </w:r>
  </w:p>
  <w:p w:rsidR="008114F5" w:rsidRDefault="00811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E78"/>
    <w:multiLevelType w:val="hybridMultilevel"/>
    <w:tmpl w:val="8E62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9A4FC4"/>
    <w:multiLevelType w:val="hybridMultilevel"/>
    <w:tmpl w:val="6868D5A0"/>
    <w:lvl w:ilvl="0" w:tplc="DCFA20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874426"/>
    <w:multiLevelType w:val="hybridMultilevel"/>
    <w:tmpl w:val="3AE23D76"/>
    <w:lvl w:ilvl="0" w:tplc="367CA1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35587D"/>
    <w:multiLevelType w:val="hybridMultilevel"/>
    <w:tmpl w:val="0420A8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7462C4"/>
    <w:multiLevelType w:val="hybridMultilevel"/>
    <w:tmpl w:val="B76E70B4"/>
    <w:lvl w:ilvl="0" w:tplc="6A8E203A">
      <w:start w:val="2"/>
      <w:numFmt w:val="bullet"/>
      <w:lvlText w:val="•"/>
      <w:lvlJc w:val="left"/>
      <w:pPr>
        <w:ind w:left="1080" w:hanging="72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8A01B5"/>
    <w:multiLevelType w:val="hybridMultilevel"/>
    <w:tmpl w:val="656EA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2F7588"/>
    <w:multiLevelType w:val="hybridMultilevel"/>
    <w:tmpl w:val="6F70803C"/>
    <w:lvl w:ilvl="0" w:tplc="6ADE4AEC">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5156229"/>
    <w:multiLevelType w:val="hybridMultilevel"/>
    <w:tmpl w:val="277297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91E6F3E"/>
    <w:multiLevelType w:val="hybridMultilevel"/>
    <w:tmpl w:val="85F6D144"/>
    <w:lvl w:ilvl="0" w:tplc="0C090001">
      <w:start w:val="1"/>
      <w:numFmt w:val="bullet"/>
      <w:lvlText w:val=""/>
      <w:lvlJc w:val="left"/>
      <w:pPr>
        <w:ind w:left="720" w:hanging="360"/>
      </w:pPr>
      <w:rPr>
        <w:rFonts w:ascii="Symbol" w:hAnsi="Symbol" w:hint="default"/>
      </w:rPr>
    </w:lvl>
    <w:lvl w:ilvl="1" w:tplc="CFFCA80C">
      <w:numFmt w:val="bullet"/>
      <w:lvlText w:val="-"/>
      <w:lvlJc w:val="left"/>
      <w:pPr>
        <w:ind w:left="1440" w:hanging="360"/>
      </w:pPr>
      <w:rPr>
        <w:rFonts w:ascii="Lato" w:eastAsia="Calibri" w:hAnsi="Lato"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571C84"/>
    <w:multiLevelType w:val="hybridMultilevel"/>
    <w:tmpl w:val="52A4D430"/>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EF39E6"/>
    <w:multiLevelType w:val="hybridMultilevel"/>
    <w:tmpl w:val="FD183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C84884"/>
    <w:multiLevelType w:val="hybridMultilevel"/>
    <w:tmpl w:val="62F23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8943868"/>
    <w:multiLevelType w:val="hybridMultilevel"/>
    <w:tmpl w:val="4DFC3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4C44221"/>
    <w:multiLevelType w:val="hybridMultilevel"/>
    <w:tmpl w:val="59184E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7"/>
  </w:num>
  <w:num w:numId="7">
    <w:abstractNumId w:val="12"/>
  </w:num>
  <w:num w:numId="8">
    <w:abstractNumId w:val="10"/>
  </w:num>
  <w:num w:numId="9">
    <w:abstractNumId w:val="1"/>
  </w:num>
  <w:num w:numId="10">
    <w:abstractNumId w:val="4"/>
  </w:num>
  <w:num w:numId="11">
    <w:abstractNumId w:val="8"/>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E8"/>
    <w:rsid w:val="000012C0"/>
    <w:rsid w:val="00051B7E"/>
    <w:rsid w:val="00062478"/>
    <w:rsid w:val="00096D1C"/>
    <w:rsid w:val="000C33F4"/>
    <w:rsid w:val="000C561F"/>
    <w:rsid w:val="00116462"/>
    <w:rsid w:val="001F3D5E"/>
    <w:rsid w:val="00220B58"/>
    <w:rsid w:val="002227D0"/>
    <w:rsid w:val="0026103F"/>
    <w:rsid w:val="002A58C3"/>
    <w:rsid w:val="00304C2C"/>
    <w:rsid w:val="00325094"/>
    <w:rsid w:val="003708B6"/>
    <w:rsid w:val="0038483F"/>
    <w:rsid w:val="003B0645"/>
    <w:rsid w:val="003B2770"/>
    <w:rsid w:val="003E4E70"/>
    <w:rsid w:val="004677BF"/>
    <w:rsid w:val="00527D5B"/>
    <w:rsid w:val="00536ACC"/>
    <w:rsid w:val="00550656"/>
    <w:rsid w:val="00582B2C"/>
    <w:rsid w:val="00621366"/>
    <w:rsid w:val="00633DEC"/>
    <w:rsid w:val="00653B10"/>
    <w:rsid w:val="00693116"/>
    <w:rsid w:val="0073523C"/>
    <w:rsid w:val="007563C2"/>
    <w:rsid w:val="008114F5"/>
    <w:rsid w:val="00847A3C"/>
    <w:rsid w:val="00856BA1"/>
    <w:rsid w:val="008916BF"/>
    <w:rsid w:val="008D1A57"/>
    <w:rsid w:val="008D526C"/>
    <w:rsid w:val="00915176"/>
    <w:rsid w:val="00942274"/>
    <w:rsid w:val="00950CFB"/>
    <w:rsid w:val="009646B8"/>
    <w:rsid w:val="0098165D"/>
    <w:rsid w:val="009A3810"/>
    <w:rsid w:val="009A47E9"/>
    <w:rsid w:val="009B23CC"/>
    <w:rsid w:val="00AB0B9E"/>
    <w:rsid w:val="00AB238C"/>
    <w:rsid w:val="00B11FC4"/>
    <w:rsid w:val="00B175E8"/>
    <w:rsid w:val="00B322B9"/>
    <w:rsid w:val="00B4311C"/>
    <w:rsid w:val="00C407A4"/>
    <w:rsid w:val="00CA45BD"/>
    <w:rsid w:val="00CD6BFB"/>
    <w:rsid w:val="00CE78BF"/>
    <w:rsid w:val="00D27418"/>
    <w:rsid w:val="00D55774"/>
    <w:rsid w:val="00D82D8D"/>
    <w:rsid w:val="00D97549"/>
    <w:rsid w:val="00DA6003"/>
    <w:rsid w:val="00DB7B1C"/>
    <w:rsid w:val="00E45EC1"/>
    <w:rsid w:val="00E539D6"/>
    <w:rsid w:val="00E81680"/>
    <w:rsid w:val="00E97946"/>
    <w:rsid w:val="00EF481C"/>
    <w:rsid w:val="00F22640"/>
    <w:rsid w:val="00F40B70"/>
    <w:rsid w:val="00F56098"/>
    <w:rsid w:val="00F92DA7"/>
    <w:rsid w:val="00FD4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6"/>
    <w:rPr>
      <w:rFonts w:ascii="Lato" w:hAnsi="Lato"/>
    </w:rPr>
  </w:style>
  <w:style w:type="paragraph" w:styleId="Heading1">
    <w:name w:val="heading 1"/>
    <w:basedOn w:val="Normal"/>
    <w:next w:val="Normal"/>
    <w:link w:val="Heading1Char"/>
    <w:uiPriority w:val="9"/>
    <w:qFormat/>
    <w:rsid w:val="00E539D6"/>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semiHidden/>
    <w:unhideWhenUsed/>
    <w:qFormat/>
    <w:rsid w:val="00E539D6"/>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CC"/>
  </w:style>
  <w:style w:type="paragraph" w:styleId="Footer">
    <w:name w:val="footer"/>
    <w:basedOn w:val="Normal"/>
    <w:link w:val="FooterChar"/>
    <w:uiPriority w:val="99"/>
    <w:unhideWhenUsed/>
    <w:rsid w:val="00536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CC"/>
  </w:style>
  <w:style w:type="character" w:styleId="PlaceholderText">
    <w:name w:val="Placeholder Text"/>
    <w:basedOn w:val="DefaultParagraphFont"/>
    <w:uiPriority w:val="99"/>
    <w:semiHidden/>
    <w:rsid w:val="00536ACC"/>
    <w:rPr>
      <w:color w:val="808080"/>
    </w:rPr>
  </w:style>
  <w:style w:type="paragraph" w:customStyle="1" w:styleId="ContactInfo">
    <w:name w:val="Contact Info"/>
    <w:basedOn w:val="Normal"/>
    <w:qFormat/>
    <w:rsid w:val="00536ACC"/>
    <w:pPr>
      <w:spacing w:after="0" w:line="276" w:lineRule="auto"/>
      <w:ind w:right="-720"/>
      <w:jc w:val="right"/>
    </w:pPr>
    <w:rPr>
      <w:rFonts w:asciiTheme="majorHAnsi" w:hAnsiTheme="majorHAnsi"/>
      <w:color w:val="C45911" w:themeColor="accent2" w:themeShade="BF"/>
      <w:kern w:val="16"/>
      <w:sz w:val="18"/>
      <w:szCs w:val="18"/>
      <w:lang w:val="en-US"/>
      <w14:ligatures w14:val="standardContextual"/>
      <w14:numForm w14:val="oldStyle"/>
      <w14:numSpacing w14:val="proportional"/>
      <w14:cntxtAlts/>
    </w:rPr>
  </w:style>
  <w:style w:type="table" w:styleId="TableGrid">
    <w:name w:val="Table Grid"/>
    <w:basedOn w:val="TableNormal"/>
    <w:uiPriority w:val="39"/>
    <w:rsid w:val="00FD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2C"/>
    <w:rPr>
      <w:rFonts w:ascii="Segoe UI" w:hAnsi="Segoe UI" w:cs="Segoe UI"/>
      <w:sz w:val="18"/>
      <w:szCs w:val="18"/>
    </w:rPr>
  </w:style>
  <w:style w:type="character" w:styleId="Hyperlink">
    <w:name w:val="Hyperlink"/>
    <w:basedOn w:val="DefaultParagraphFont"/>
    <w:uiPriority w:val="99"/>
    <w:unhideWhenUsed/>
    <w:rsid w:val="00B4311C"/>
    <w:rPr>
      <w:color w:val="0563C1" w:themeColor="hyperlink"/>
      <w:u w:val="single"/>
    </w:rPr>
  </w:style>
  <w:style w:type="paragraph" w:customStyle="1" w:styleId="Body">
    <w:name w:val="Body"/>
    <w:rsid w:val="00D9754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AU"/>
    </w:rPr>
  </w:style>
  <w:style w:type="character" w:customStyle="1" w:styleId="Hyperlink1">
    <w:name w:val="Hyperlink.1"/>
    <w:basedOn w:val="DefaultParagraphFont"/>
    <w:rsid w:val="00D97549"/>
    <w:rPr>
      <w:rFonts w:ascii="Lato" w:eastAsia="Lato" w:hAnsi="Lato" w:cs="Lato"/>
      <w:color w:val="0563C1"/>
      <w:u w:val="single" w:color="0563C1"/>
    </w:rPr>
  </w:style>
  <w:style w:type="paragraph" w:styleId="ListParagraph">
    <w:name w:val="List Paragraph"/>
    <w:basedOn w:val="Normal"/>
    <w:uiPriority w:val="34"/>
    <w:qFormat/>
    <w:rsid w:val="00D97549"/>
    <w:pPr>
      <w:ind w:left="720"/>
      <w:contextualSpacing/>
    </w:pPr>
  </w:style>
  <w:style w:type="character" w:customStyle="1" w:styleId="Heading1Char">
    <w:name w:val="Heading 1 Char"/>
    <w:basedOn w:val="DefaultParagraphFont"/>
    <w:link w:val="Heading1"/>
    <w:uiPriority w:val="9"/>
    <w:rsid w:val="00E539D6"/>
    <w:rPr>
      <w:rFonts w:ascii="Lato" w:eastAsiaTheme="majorEastAsia" w:hAnsi="Lato" w:cstheme="majorBidi"/>
      <w:b/>
      <w:bCs/>
      <w:sz w:val="32"/>
      <w:szCs w:val="28"/>
    </w:rPr>
  </w:style>
  <w:style w:type="character" w:customStyle="1" w:styleId="Heading2Char">
    <w:name w:val="Heading 2 Char"/>
    <w:basedOn w:val="DefaultParagraphFont"/>
    <w:link w:val="Heading2"/>
    <w:uiPriority w:val="9"/>
    <w:semiHidden/>
    <w:rsid w:val="00E539D6"/>
    <w:rPr>
      <w:rFonts w:ascii="Lato" w:eastAsiaTheme="majorEastAsia" w:hAnsi="Lato" w:cstheme="majorBidi"/>
      <w:b/>
      <w:bCs/>
      <w:color w:val="000000" w:themeColor="text1"/>
      <w:sz w:val="28"/>
      <w:szCs w:val="26"/>
    </w:rPr>
  </w:style>
  <w:style w:type="paragraph" w:styleId="FootnoteText">
    <w:name w:val="footnote text"/>
    <w:basedOn w:val="Normal"/>
    <w:link w:val="FootnoteTextChar"/>
    <w:uiPriority w:val="99"/>
    <w:semiHidden/>
    <w:unhideWhenUsed/>
    <w:rsid w:val="000C33F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0C33F4"/>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0C33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6"/>
    <w:rPr>
      <w:rFonts w:ascii="Lato" w:hAnsi="Lato"/>
    </w:rPr>
  </w:style>
  <w:style w:type="paragraph" w:styleId="Heading1">
    <w:name w:val="heading 1"/>
    <w:basedOn w:val="Normal"/>
    <w:next w:val="Normal"/>
    <w:link w:val="Heading1Char"/>
    <w:uiPriority w:val="9"/>
    <w:qFormat/>
    <w:rsid w:val="00E539D6"/>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semiHidden/>
    <w:unhideWhenUsed/>
    <w:qFormat/>
    <w:rsid w:val="00E539D6"/>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CC"/>
  </w:style>
  <w:style w:type="paragraph" w:styleId="Footer">
    <w:name w:val="footer"/>
    <w:basedOn w:val="Normal"/>
    <w:link w:val="FooterChar"/>
    <w:uiPriority w:val="99"/>
    <w:unhideWhenUsed/>
    <w:rsid w:val="00536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CC"/>
  </w:style>
  <w:style w:type="character" w:styleId="PlaceholderText">
    <w:name w:val="Placeholder Text"/>
    <w:basedOn w:val="DefaultParagraphFont"/>
    <w:uiPriority w:val="99"/>
    <w:semiHidden/>
    <w:rsid w:val="00536ACC"/>
    <w:rPr>
      <w:color w:val="808080"/>
    </w:rPr>
  </w:style>
  <w:style w:type="paragraph" w:customStyle="1" w:styleId="ContactInfo">
    <w:name w:val="Contact Info"/>
    <w:basedOn w:val="Normal"/>
    <w:qFormat/>
    <w:rsid w:val="00536ACC"/>
    <w:pPr>
      <w:spacing w:after="0" w:line="276" w:lineRule="auto"/>
      <w:ind w:right="-720"/>
      <w:jc w:val="right"/>
    </w:pPr>
    <w:rPr>
      <w:rFonts w:asciiTheme="majorHAnsi" w:hAnsiTheme="majorHAnsi"/>
      <w:color w:val="C45911" w:themeColor="accent2" w:themeShade="BF"/>
      <w:kern w:val="16"/>
      <w:sz w:val="18"/>
      <w:szCs w:val="18"/>
      <w:lang w:val="en-US"/>
      <w14:ligatures w14:val="standardContextual"/>
      <w14:numForm w14:val="oldStyle"/>
      <w14:numSpacing w14:val="proportional"/>
      <w14:cntxtAlts/>
    </w:rPr>
  </w:style>
  <w:style w:type="table" w:styleId="TableGrid">
    <w:name w:val="Table Grid"/>
    <w:basedOn w:val="TableNormal"/>
    <w:uiPriority w:val="39"/>
    <w:rsid w:val="00FD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2C"/>
    <w:rPr>
      <w:rFonts w:ascii="Segoe UI" w:hAnsi="Segoe UI" w:cs="Segoe UI"/>
      <w:sz w:val="18"/>
      <w:szCs w:val="18"/>
    </w:rPr>
  </w:style>
  <w:style w:type="character" w:styleId="Hyperlink">
    <w:name w:val="Hyperlink"/>
    <w:basedOn w:val="DefaultParagraphFont"/>
    <w:uiPriority w:val="99"/>
    <w:unhideWhenUsed/>
    <w:rsid w:val="00B4311C"/>
    <w:rPr>
      <w:color w:val="0563C1" w:themeColor="hyperlink"/>
      <w:u w:val="single"/>
    </w:rPr>
  </w:style>
  <w:style w:type="paragraph" w:customStyle="1" w:styleId="Body">
    <w:name w:val="Body"/>
    <w:rsid w:val="00D9754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AU"/>
    </w:rPr>
  </w:style>
  <w:style w:type="character" w:customStyle="1" w:styleId="Hyperlink1">
    <w:name w:val="Hyperlink.1"/>
    <w:basedOn w:val="DefaultParagraphFont"/>
    <w:rsid w:val="00D97549"/>
    <w:rPr>
      <w:rFonts w:ascii="Lato" w:eastAsia="Lato" w:hAnsi="Lato" w:cs="Lato"/>
      <w:color w:val="0563C1"/>
      <w:u w:val="single" w:color="0563C1"/>
    </w:rPr>
  </w:style>
  <w:style w:type="paragraph" w:styleId="ListParagraph">
    <w:name w:val="List Paragraph"/>
    <w:basedOn w:val="Normal"/>
    <w:uiPriority w:val="34"/>
    <w:qFormat/>
    <w:rsid w:val="00D97549"/>
    <w:pPr>
      <w:ind w:left="720"/>
      <w:contextualSpacing/>
    </w:pPr>
  </w:style>
  <w:style w:type="character" w:customStyle="1" w:styleId="Heading1Char">
    <w:name w:val="Heading 1 Char"/>
    <w:basedOn w:val="DefaultParagraphFont"/>
    <w:link w:val="Heading1"/>
    <w:uiPriority w:val="9"/>
    <w:rsid w:val="00E539D6"/>
    <w:rPr>
      <w:rFonts w:ascii="Lato" w:eastAsiaTheme="majorEastAsia" w:hAnsi="Lato" w:cstheme="majorBidi"/>
      <w:b/>
      <w:bCs/>
      <w:sz w:val="32"/>
      <w:szCs w:val="28"/>
    </w:rPr>
  </w:style>
  <w:style w:type="character" w:customStyle="1" w:styleId="Heading2Char">
    <w:name w:val="Heading 2 Char"/>
    <w:basedOn w:val="DefaultParagraphFont"/>
    <w:link w:val="Heading2"/>
    <w:uiPriority w:val="9"/>
    <w:semiHidden/>
    <w:rsid w:val="00E539D6"/>
    <w:rPr>
      <w:rFonts w:ascii="Lato" w:eastAsiaTheme="majorEastAsia" w:hAnsi="Lato" w:cstheme="majorBidi"/>
      <w:b/>
      <w:bCs/>
      <w:color w:val="000000" w:themeColor="text1"/>
      <w:sz w:val="28"/>
      <w:szCs w:val="26"/>
    </w:rPr>
  </w:style>
  <w:style w:type="paragraph" w:styleId="FootnoteText">
    <w:name w:val="footnote text"/>
    <w:basedOn w:val="Normal"/>
    <w:link w:val="FootnoteTextChar"/>
    <w:uiPriority w:val="99"/>
    <w:semiHidden/>
    <w:unhideWhenUsed/>
    <w:rsid w:val="000C33F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0C33F4"/>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0C3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96128">
      <w:bodyDiv w:val="1"/>
      <w:marLeft w:val="0"/>
      <w:marRight w:val="0"/>
      <w:marTop w:val="0"/>
      <w:marBottom w:val="0"/>
      <w:divBdr>
        <w:top w:val="none" w:sz="0" w:space="0" w:color="auto"/>
        <w:left w:val="none" w:sz="0" w:space="0" w:color="auto"/>
        <w:bottom w:val="none" w:sz="0" w:space="0" w:color="auto"/>
        <w:right w:val="none" w:sz="0" w:space="0" w:color="auto"/>
      </w:divBdr>
    </w:div>
    <w:div w:id="1520389578">
      <w:bodyDiv w:val="1"/>
      <w:marLeft w:val="0"/>
      <w:marRight w:val="0"/>
      <w:marTop w:val="0"/>
      <w:marBottom w:val="0"/>
      <w:divBdr>
        <w:top w:val="none" w:sz="0" w:space="0" w:color="auto"/>
        <w:left w:val="none" w:sz="0" w:space="0" w:color="auto"/>
        <w:bottom w:val="none" w:sz="0" w:space="0" w:color="auto"/>
        <w:right w:val="none" w:sz="0" w:space="0" w:color="auto"/>
      </w:divBdr>
    </w:div>
    <w:div w:id="1520780327">
      <w:bodyDiv w:val="1"/>
      <w:marLeft w:val="0"/>
      <w:marRight w:val="0"/>
      <w:marTop w:val="0"/>
      <w:marBottom w:val="0"/>
      <w:divBdr>
        <w:top w:val="none" w:sz="0" w:space="0" w:color="auto"/>
        <w:left w:val="none" w:sz="0" w:space="0" w:color="auto"/>
        <w:bottom w:val="none" w:sz="0" w:space="0" w:color="auto"/>
        <w:right w:val="none" w:sz="0" w:space="0" w:color="auto"/>
      </w:divBdr>
    </w:div>
    <w:div w:id="1544757538">
      <w:bodyDiv w:val="1"/>
      <w:marLeft w:val="0"/>
      <w:marRight w:val="0"/>
      <w:marTop w:val="0"/>
      <w:marBottom w:val="0"/>
      <w:divBdr>
        <w:top w:val="none" w:sz="0" w:space="0" w:color="auto"/>
        <w:left w:val="none" w:sz="0" w:space="0" w:color="auto"/>
        <w:bottom w:val="none" w:sz="0" w:space="0" w:color="auto"/>
        <w:right w:val="none" w:sz="0" w:space="0" w:color="auto"/>
      </w:divBdr>
    </w:div>
    <w:div w:id="15551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ren.Cox@financialrights.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SICenforcementreview@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2017MG-88-100915</_dlc_DocId>
    <TaxCatchAll xmlns="d4dd4adf-ddb3-46a3-8d7c-fab3fb2a6bc7">
      <Value>7</Value>
    </TaxCatchAll>
    <_dlc_DocIdUrl xmlns="d4dd4adf-ddb3-46a3-8d7c-fab3fb2a6bc7">
      <Url>http://tweb/sites/mg/fsd/_layouts/15/DocIdRedir.aspx?ID=2017MG-88-100915</Url>
      <Description>2017MG-88-100915</Description>
    </_dlc_DocIdUrl>
    <IconOverlay xmlns="http://schemas.microsoft.com/sharepoint/v4"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7722" ma:contentTypeDescription=" " ma:contentTypeScope="" ma:versionID="cc45cfa7275fab0313e9e527346085a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088EF14-8447-440C-830D-BB7BBBF76DF2}">
  <ds:schemaRefs>
    <ds:schemaRef ds:uri="http://schemas.microsoft.com/sharepoint/events"/>
  </ds:schemaRefs>
</ds:datastoreItem>
</file>

<file path=customXml/itemProps2.xml><?xml version="1.0" encoding="utf-8"?>
<ds:datastoreItem xmlns:ds="http://schemas.openxmlformats.org/officeDocument/2006/customXml" ds:itemID="{26EB8AAA-2620-4E8A-ABAB-06DCB558C10D}">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1C62756E-A94E-4112-95D0-700486FE59AB}">
  <ds:schemaRefs>
    <ds:schemaRef ds:uri="http://schemas.microsoft.com/sharepoint/events"/>
  </ds:schemaRefs>
</ds:datastoreItem>
</file>

<file path=customXml/itemProps4.xml><?xml version="1.0" encoding="utf-8"?>
<ds:datastoreItem xmlns:ds="http://schemas.openxmlformats.org/officeDocument/2006/customXml" ds:itemID="{A26DBCB4-1E4A-43E7-B0A7-206D6500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3CF05-339C-409C-8D8C-EC9B707F6829}">
  <ds:schemaRefs>
    <ds:schemaRef ds:uri="http://schemas.microsoft.com/sharepoint/v3/contenttype/forms"/>
  </ds:schemaRefs>
</ds:datastoreItem>
</file>

<file path=customXml/itemProps6.xml><?xml version="1.0" encoding="utf-8"?>
<ds:datastoreItem xmlns:ds="http://schemas.openxmlformats.org/officeDocument/2006/customXml" ds:itemID="{61F9E2FD-DA62-406B-A44B-3C091E9838C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4154</Characters>
  <Application>Microsoft Office Word</Application>
  <DocSecurity>0</DocSecurity>
  <Lines>63</Lines>
  <Paragraphs>19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FRLC - Strengthening Penalties for Corporate and Financial Sector Misconduct</dc:title>
  <dc:creator/>
  <cp:lastModifiedBy/>
  <cp:revision>1</cp:revision>
  <dcterms:created xsi:type="dcterms:W3CDTF">2017-12-19T06:47:00Z</dcterms:created>
  <dcterms:modified xsi:type="dcterms:W3CDTF">2017-12-19T06:47:00Z</dcterms:modified>
  <dc:language>English</dc:language>
</cp:coreProperties>
</file>