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BB243" w14:textId="15506748" w:rsidR="006C73A4" w:rsidRPr="00F51A71" w:rsidRDefault="006C73A4" w:rsidP="00457877">
      <w:pPr>
        <w:pStyle w:val="ChapterHeading"/>
        <w:tabs>
          <w:tab w:val="clear" w:pos="1134"/>
          <w:tab w:val="num" w:pos="360"/>
        </w:tabs>
      </w:pPr>
      <w:bookmarkStart w:id="0" w:name="_GoBack"/>
      <w:bookmarkEnd w:id="0"/>
      <w:r w:rsidRPr="00F51A71">
        <w:br/>
      </w:r>
      <w:r>
        <w:t xml:space="preserve">Extending </w:t>
      </w:r>
      <w:r w:rsidR="00F54D46">
        <w:t>superannuation choice to</w:t>
      </w:r>
      <w:r>
        <w:t xml:space="preserve"> </w:t>
      </w:r>
      <w:r w:rsidR="00F54D46">
        <w:t>e</w:t>
      </w:r>
      <w:r>
        <w:t xml:space="preserve">nterprise </w:t>
      </w:r>
      <w:r w:rsidR="00F54D46">
        <w:t xml:space="preserve">agreements </w:t>
      </w:r>
      <w:r>
        <w:t xml:space="preserve">and </w:t>
      </w:r>
      <w:r w:rsidR="00F54D46">
        <w:t>w</w:t>
      </w:r>
      <w:r>
        <w:t xml:space="preserve">orkplace </w:t>
      </w:r>
      <w:r w:rsidR="00F54D46">
        <w:t>determinations</w:t>
      </w:r>
    </w:p>
    <w:p w14:paraId="0F928C3C" w14:textId="77777777" w:rsidR="006C73A4" w:rsidRDefault="006C73A4" w:rsidP="00457877">
      <w:pPr>
        <w:pStyle w:val="Heading2"/>
      </w:pPr>
      <w:r>
        <w:t>Outline of chapter</w:t>
      </w:r>
    </w:p>
    <w:p w14:paraId="041A8FC0" w14:textId="3EA6BAEF" w:rsidR="006C73A4" w:rsidRDefault="006C73A4" w:rsidP="00457877">
      <w:pPr>
        <w:pStyle w:val="base-text-paragraph"/>
      </w:pPr>
      <w:r>
        <w:t xml:space="preserve">Schedule # to this Bill amends the </w:t>
      </w:r>
      <w:r w:rsidRPr="00E34FE5">
        <w:rPr>
          <w:i/>
        </w:rPr>
        <w:t>Superannuation Guarantee (Administration) Act 1992</w:t>
      </w:r>
      <w:r>
        <w:t xml:space="preserve"> to </w:t>
      </w:r>
      <w:r w:rsidR="00303FF7">
        <w:t>ensure employees have an opportunity to separately choose their superannuation fund for</w:t>
      </w:r>
      <w:r w:rsidR="00F20ACD">
        <w:t xml:space="preserve"> new</w:t>
      </w:r>
      <w:r w:rsidR="00303FF7">
        <w:t xml:space="preserve"> enterprise agreement</w:t>
      </w:r>
      <w:r w:rsidR="00530753">
        <w:t>s</w:t>
      </w:r>
      <w:r w:rsidR="00303FF7">
        <w:t xml:space="preserve"> or workplace determination</w:t>
      </w:r>
      <w:r w:rsidR="00F20ACD">
        <w:t>s that are made</w:t>
      </w:r>
      <w:r w:rsidR="00303FF7">
        <w:t xml:space="preserve"> from 1 July 2016.</w:t>
      </w:r>
    </w:p>
    <w:p w14:paraId="0A0963D6" w14:textId="77777777" w:rsidR="006C73A4" w:rsidRDefault="006C73A4" w:rsidP="00457877">
      <w:pPr>
        <w:pStyle w:val="Heading2"/>
      </w:pPr>
      <w:r>
        <w:t>Context of amendments</w:t>
      </w:r>
    </w:p>
    <w:p w14:paraId="65B308B1" w14:textId="1D5E297C" w:rsidR="000E417C" w:rsidRDefault="000E417C" w:rsidP="000E417C">
      <w:pPr>
        <w:pStyle w:val="base-text-paragraph"/>
        <w:numPr>
          <w:ilvl w:val="1"/>
          <w:numId w:val="32"/>
        </w:numPr>
      </w:pPr>
      <w:r w:rsidRPr="000E417C">
        <w:t xml:space="preserve">An important part of Australia's superannuation system is the provision of compulsory employer contributions by employers to complying superannuation funds </w:t>
      </w:r>
      <w:r w:rsidR="00D02720">
        <w:t>in respect of</w:t>
      </w:r>
      <w:r w:rsidRPr="000E417C">
        <w:t xml:space="preserve"> their employees. </w:t>
      </w:r>
      <w:r>
        <w:t xml:space="preserve"> </w:t>
      </w:r>
    </w:p>
    <w:p w14:paraId="3A55D02F" w14:textId="4607CC57" w:rsidR="00E34FE5" w:rsidRPr="000E417C" w:rsidRDefault="00E34FE5" w:rsidP="00E34FE5">
      <w:pPr>
        <w:pStyle w:val="base-text-paragraph"/>
        <w:numPr>
          <w:ilvl w:val="1"/>
          <w:numId w:val="32"/>
        </w:numPr>
      </w:pPr>
      <w:r w:rsidRPr="00E34FE5">
        <w:t xml:space="preserve">Currently some employees do not have the opportunity to choose their own superannuation fund. Where an employer makes contributions under, or in accordance with, an enterprise agreement or workplace determination, employers satisfy the choice of fund requirements in the SGAA. These agreements or determinations may specify a given superannuation fund, or a number of superannuation funds, that an employer may contribute to for the benefit of the employee.  </w:t>
      </w:r>
    </w:p>
    <w:p w14:paraId="4E9904A8" w14:textId="3596E707" w:rsidR="006C73A4" w:rsidRDefault="006C73A4" w:rsidP="00457877">
      <w:pPr>
        <w:pStyle w:val="Heading2"/>
      </w:pPr>
      <w:r>
        <w:t>Summary of new law</w:t>
      </w:r>
    </w:p>
    <w:p w14:paraId="2FE87A27" w14:textId="41700E57" w:rsidR="00C63CC6" w:rsidRDefault="00C63CC6" w:rsidP="00C63CC6">
      <w:pPr>
        <w:pStyle w:val="base-text-paragraph"/>
      </w:pPr>
      <w:r>
        <w:t>The amendments will enable employees covered under enterprise agreements and workplace determinations that are made from 1 July 2016 to choose their own superannuation fund.</w:t>
      </w:r>
    </w:p>
    <w:p w14:paraId="69517F1E" w14:textId="77777777" w:rsidR="002C108C" w:rsidRDefault="002C108C">
      <w:pPr>
        <w:spacing w:before="0" w:after="0"/>
        <w:rPr>
          <w:rFonts w:ascii="Helvetica" w:hAnsi="Helvetica"/>
          <w:b/>
          <w:sz w:val="26"/>
        </w:rPr>
      </w:pPr>
      <w:r>
        <w:br w:type="page"/>
      </w:r>
    </w:p>
    <w:p w14:paraId="4A72C6B9" w14:textId="726A0BBE" w:rsidR="006C73A4" w:rsidRDefault="006C73A4" w:rsidP="00457877">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C73A4" w:rsidRPr="004666B8" w14:paraId="25404CC7" w14:textId="77777777" w:rsidTr="00457877">
        <w:tc>
          <w:tcPr>
            <w:tcW w:w="3275" w:type="dxa"/>
          </w:tcPr>
          <w:p w14:paraId="303E792E" w14:textId="77777777" w:rsidR="006C73A4" w:rsidRPr="004666B8" w:rsidRDefault="006C73A4" w:rsidP="00457877">
            <w:pPr>
              <w:pStyle w:val="tableheaderwithintable"/>
              <w:rPr>
                <w:lang w:val="en-US" w:eastAsia="en-US"/>
              </w:rPr>
            </w:pPr>
            <w:r w:rsidRPr="004666B8">
              <w:rPr>
                <w:lang w:val="en-US" w:eastAsia="en-US"/>
              </w:rPr>
              <w:t>New law</w:t>
            </w:r>
          </w:p>
        </w:tc>
        <w:tc>
          <w:tcPr>
            <w:tcW w:w="3276" w:type="dxa"/>
          </w:tcPr>
          <w:p w14:paraId="67BBA89C" w14:textId="77777777" w:rsidR="006C73A4" w:rsidRPr="004666B8" w:rsidRDefault="006C73A4" w:rsidP="00457877">
            <w:pPr>
              <w:pStyle w:val="tableheaderwithintable"/>
              <w:rPr>
                <w:lang w:val="en-US" w:eastAsia="en-US"/>
              </w:rPr>
            </w:pPr>
            <w:r w:rsidRPr="004666B8">
              <w:rPr>
                <w:lang w:val="en-US" w:eastAsia="en-US"/>
              </w:rPr>
              <w:t>Current law</w:t>
            </w:r>
          </w:p>
        </w:tc>
      </w:tr>
      <w:tr w:rsidR="006C73A4" w:rsidRPr="00BE1C6E" w14:paraId="7E34CBEF" w14:textId="77777777" w:rsidTr="00457877">
        <w:tc>
          <w:tcPr>
            <w:tcW w:w="3275" w:type="dxa"/>
          </w:tcPr>
          <w:p w14:paraId="2ECE3B8C" w14:textId="7719385C" w:rsidR="00EF5527" w:rsidRPr="004666B8" w:rsidRDefault="00E9302F" w:rsidP="00D55F6A">
            <w:pPr>
              <w:pStyle w:val="tabletext"/>
              <w:rPr>
                <w:lang w:val="en-US" w:eastAsia="en-US"/>
              </w:rPr>
            </w:pPr>
            <w:r>
              <w:rPr>
                <w:lang w:val="en-US" w:eastAsia="en-US"/>
              </w:rPr>
              <w:t>C</w:t>
            </w:r>
            <w:r w:rsidR="00EA767E">
              <w:rPr>
                <w:lang w:val="en-US" w:eastAsia="en-US"/>
              </w:rPr>
              <w:t>ompulsory employer su</w:t>
            </w:r>
            <w:r w:rsidR="00343C11">
              <w:rPr>
                <w:lang w:val="en-US" w:eastAsia="en-US"/>
              </w:rPr>
              <w:t>perannuation contributions to a fund under</w:t>
            </w:r>
            <w:r w:rsidR="001010BF">
              <w:rPr>
                <w:lang w:val="en-US" w:eastAsia="en-US"/>
              </w:rPr>
              <w:t>,</w:t>
            </w:r>
            <w:r w:rsidR="00343C11">
              <w:rPr>
                <w:lang w:val="en-US" w:eastAsia="en-US"/>
              </w:rPr>
              <w:t xml:space="preserve"> or in accordance </w:t>
            </w:r>
            <w:r w:rsidR="00BE1C6E">
              <w:rPr>
                <w:lang w:val="en-US" w:eastAsia="en-US"/>
              </w:rPr>
              <w:t>with</w:t>
            </w:r>
            <w:r w:rsidR="0054373A">
              <w:rPr>
                <w:lang w:val="en-US" w:eastAsia="en-US"/>
              </w:rPr>
              <w:t>,</w:t>
            </w:r>
            <w:r w:rsidR="00BE1C6E">
              <w:rPr>
                <w:lang w:val="en-US" w:eastAsia="en-US"/>
              </w:rPr>
              <w:t xml:space="preserve"> </w:t>
            </w:r>
            <w:r w:rsidR="00343C11">
              <w:rPr>
                <w:lang w:val="en-US" w:eastAsia="en-US"/>
              </w:rPr>
              <w:t>a workplace determination or</w:t>
            </w:r>
            <w:r w:rsidR="004147A6">
              <w:rPr>
                <w:lang w:val="en-US" w:eastAsia="en-US"/>
              </w:rPr>
              <w:t xml:space="preserve"> an</w:t>
            </w:r>
            <w:r w:rsidR="00343C11">
              <w:rPr>
                <w:lang w:val="en-US" w:eastAsia="en-US"/>
              </w:rPr>
              <w:t xml:space="preserve"> enterprise agreement made before 1 July 2016</w:t>
            </w:r>
            <w:r w:rsidR="001010BF">
              <w:rPr>
                <w:lang w:val="en-US" w:eastAsia="en-US"/>
              </w:rPr>
              <w:t xml:space="preserve"> will comply with the choice of fund requirements.</w:t>
            </w:r>
          </w:p>
        </w:tc>
        <w:tc>
          <w:tcPr>
            <w:tcW w:w="3276" w:type="dxa"/>
          </w:tcPr>
          <w:p w14:paraId="6623A2B5" w14:textId="191024B0" w:rsidR="006366A7" w:rsidRPr="00D55F6A" w:rsidRDefault="00E9302F" w:rsidP="00D55F6A">
            <w:pPr>
              <w:pStyle w:val="tabletext"/>
              <w:rPr>
                <w:lang w:val="en-US" w:eastAsia="en-US"/>
              </w:rPr>
            </w:pPr>
            <w:r>
              <w:rPr>
                <w:lang w:val="en-US" w:eastAsia="en-US"/>
              </w:rPr>
              <w:t>C</w:t>
            </w:r>
            <w:r w:rsidR="00EA767E">
              <w:rPr>
                <w:lang w:val="en-US" w:eastAsia="en-US"/>
              </w:rPr>
              <w:t>ompulsory employer superannuation contributions</w:t>
            </w:r>
            <w:r w:rsidR="00343C11">
              <w:rPr>
                <w:lang w:val="en-US" w:eastAsia="en-US"/>
              </w:rPr>
              <w:t xml:space="preserve"> to a </w:t>
            </w:r>
            <w:r w:rsidR="00240A0B">
              <w:rPr>
                <w:lang w:val="en-US" w:eastAsia="en-US"/>
              </w:rPr>
              <w:t>fund under</w:t>
            </w:r>
            <w:r w:rsidR="00EA767E">
              <w:rPr>
                <w:lang w:val="en-US" w:eastAsia="en-US"/>
              </w:rPr>
              <w:t xml:space="preserve">, or </w:t>
            </w:r>
            <w:r w:rsidR="00343C11">
              <w:rPr>
                <w:lang w:val="en-US" w:eastAsia="en-US"/>
              </w:rPr>
              <w:t xml:space="preserve">in </w:t>
            </w:r>
            <w:r w:rsidR="00BE1C6E">
              <w:rPr>
                <w:lang w:val="en-US" w:eastAsia="en-US"/>
              </w:rPr>
              <w:t>accordance with</w:t>
            </w:r>
            <w:r w:rsidR="0054373A">
              <w:rPr>
                <w:lang w:val="en-US" w:eastAsia="en-US"/>
              </w:rPr>
              <w:t>,</w:t>
            </w:r>
            <w:r w:rsidR="00EA767E">
              <w:rPr>
                <w:lang w:val="en-US" w:eastAsia="en-US"/>
              </w:rPr>
              <w:t xml:space="preserve"> </w:t>
            </w:r>
            <w:r w:rsidR="00343C11">
              <w:rPr>
                <w:lang w:val="en-US" w:eastAsia="en-US"/>
              </w:rPr>
              <w:t xml:space="preserve">a workplace determination or </w:t>
            </w:r>
            <w:r w:rsidR="004147A6">
              <w:rPr>
                <w:lang w:val="en-US" w:eastAsia="en-US"/>
              </w:rPr>
              <w:t xml:space="preserve">an </w:t>
            </w:r>
            <w:r w:rsidR="00343C11">
              <w:rPr>
                <w:lang w:val="en-US" w:eastAsia="en-US"/>
              </w:rPr>
              <w:t>enterprise agreement comply with the choice of fund requirements</w:t>
            </w:r>
            <w:r w:rsidR="001010BF">
              <w:rPr>
                <w:lang w:val="en-US" w:eastAsia="en-US"/>
              </w:rPr>
              <w:t>.</w:t>
            </w:r>
          </w:p>
        </w:tc>
      </w:tr>
      <w:tr w:rsidR="00D55F6A" w:rsidRPr="00BE1C6E" w14:paraId="05F522F3" w14:textId="77777777" w:rsidTr="00457877">
        <w:tc>
          <w:tcPr>
            <w:tcW w:w="3275" w:type="dxa"/>
          </w:tcPr>
          <w:p w14:paraId="41BA31F8" w14:textId="56B6B109" w:rsidR="00D55F6A" w:rsidDel="00E9302F" w:rsidRDefault="00D55F6A" w:rsidP="005A4974">
            <w:pPr>
              <w:pStyle w:val="tabletext"/>
              <w:rPr>
                <w:lang w:val="en-US" w:eastAsia="en-US"/>
              </w:rPr>
            </w:pPr>
            <w:r>
              <w:rPr>
                <w:lang w:val="en-US" w:eastAsia="en-US"/>
              </w:rPr>
              <w:t>An employee will be able to choose their own superannuation fund where they are employed under a workplace determination or enterprise agreement that is</w:t>
            </w:r>
            <w:r w:rsidR="0075251A">
              <w:rPr>
                <w:lang w:val="en-US" w:eastAsia="en-US"/>
              </w:rPr>
              <w:t xml:space="preserve"> made </w:t>
            </w:r>
            <w:r>
              <w:rPr>
                <w:lang w:val="en-US" w:eastAsia="en-US"/>
              </w:rPr>
              <w:t>from</w:t>
            </w:r>
            <w:r w:rsidR="0075251A">
              <w:rPr>
                <w:lang w:val="en-US" w:eastAsia="en-US"/>
              </w:rPr>
              <w:t xml:space="preserve"> 1 July 2016. </w:t>
            </w:r>
            <w:r>
              <w:rPr>
                <w:lang w:val="en-US" w:eastAsia="en-US"/>
              </w:rPr>
              <w:t>Where there is no chosen fund for an employee, an employer that continues to make compulsory contributions for an employee with the same fund</w:t>
            </w:r>
            <w:r w:rsidR="00117D35">
              <w:rPr>
                <w:lang w:val="en-US" w:eastAsia="en-US"/>
              </w:rPr>
              <w:t>,</w:t>
            </w:r>
            <w:r>
              <w:rPr>
                <w:lang w:val="en-US" w:eastAsia="en-US"/>
              </w:rPr>
              <w:t xml:space="preserve"> in accordance with the previous workplace determination or enterprise agreement will comply with the choice of fund requirements.</w:t>
            </w:r>
          </w:p>
        </w:tc>
        <w:tc>
          <w:tcPr>
            <w:tcW w:w="3276" w:type="dxa"/>
          </w:tcPr>
          <w:p w14:paraId="24304AD3" w14:textId="77777777" w:rsidR="00D55F6A" w:rsidRDefault="00D55F6A" w:rsidP="00D55F6A">
            <w:pPr>
              <w:pStyle w:val="tabletext"/>
              <w:rPr>
                <w:lang w:val="en-US" w:eastAsia="en-US"/>
              </w:rPr>
            </w:pPr>
            <w:r>
              <w:rPr>
                <w:lang w:val="en-US" w:eastAsia="en-US"/>
              </w:rPr>
              <w:t>Employees of employers that make compulsory employer superannuation contributions to a fund under, or in accordance with, a workplace determination or an enterprise agreement, may not be able to choose their own superannuation fund.</w:t>
            </w:r>
          </w:p>
          <w:p w14:paraId="1F1BBB82" w14:textId="77777777" w:rsidR="00D55F6A" w:rsidDel="00E9302F" w:rsidRDefault="00D55F6A" w:rsidP="00457877">
            <w:pPr>
              <w:pStyle w:val="tabletext"/>
              <w:rPr>
                <w:lang w:val="en-US" w:eastAsia="en-US"/>
              </w:rPr>
            </w:pPr>
          </w:p>
        </w:tc>
      </w:tr>
      <w:tr w:rsidR="00D55F6A" w:rsidRPr="00BE1C6E" w14:paraId="2F7F71CA" w14:textId="77777777" w:rsidTr="00457877">
        <w:tc>
          <w:tcPr>
            <w:tcW w:w="3275" w:type="dxa"/>
          </w:tcPr>
          <w:p w14:paraId="1366F019" w14:textId="1A92AF6A" w:rsidR="00D55F6A" w:rsidDel="00E9302F" w:rsidRDefault="00D55F6A" w:rsidP="00117D35">
            <w:pPr>
              <w:pStyle w:val="tabletext"/>
              <w:rPr>
                <w:lang w:val="en-US" w:eastAsia="en-US"/>
              </w:rPr>
            </w:pPr>
            <w:r>
              <w:rPr>
                <w:lang w:val="en-US" w:eastAsia="en-US"/>
              </w:rPr>
              <w:t>An employer will not have an increase in the superannuation guarantee shortfall in a given quarter, for an employee that is member of a defined benefit scheme, where the employee’s benefit in the defined benefit scheme would not be affected if compulsory superannuation contributions were made to another fund.</w:t>
            </w:r>
          </w:p>
        </w:tc>
        <w:tc>
          <w:tcPr>
            <w:tcW w:w="3276" w:type="dxa"/>
          </w:tcPr>
          <w:p w14:paraId="6F15B9A2" w14:textId="434863E8" w:rsidR="00D55F6A" w:rsidDel="00E9302F" w:rsidRDefault="00D55F6A" w:rsidP="00457877">
            <w:pPr>
              <w:pStyle w:val="tabletext"/>
              <w:rPr>
                <w:lang w:val="en-US" w:eastAsia="en-US"/>
              </w:rPr>
            </w:pPr>
            <w:r>
              <w:rPr>
                <w:lang w:val="en-US" w:eastAsia="en-US"/>
              </w:rPr>
              <w:t>An employer may have an increase in the superannuation guarantee shortfall in a given quarter, for an employee that is member of a defined benefit scheme, in the case where the employee’s benefit in the defined benefit scheme would not be affected if compulsory superannuation contributions were made to another fund.</w:t>
            </w:r>
          </w:p>
        </w:tc>
      </w:tr>
    </w:tbl>
    <w:p w14:paraId="4A809233" w14:textId="36D3F856" w:rsidR="006C73A4" w:rsidRDefault="006C73A4" w:rsidP="00457877">
      <w:pPr>
        <w:pStyle w:val="Heading2"/>
      </w:pPr>
      <w:r>
        <w:t>Detailed explanation of new law</w:t>
      </w:r>
    </w:p>
    <w:p w14:paraId="42B443BA" w14:textId="77777777" w:rsidR="005A4974" w:rsidRPr="00392E6A" w:rsidRDefault="005A4974" w:rsidP="005A4974">
      <w:pPr>
        <w:pStyle w:val="base-text-paragraph"/>
        <w:numPr>
          <w:ilvl w:val="0"/>
          <w:numId w:val="0"/>
        </w:numPr>
        <w:rPr>
          <w:rFonts w:ascii="Helvetica" w:hAnsi="Helvetica" w:cs="Helvetica"/>
          <w:b/>
        </w:rPr>
      </w:pPr>
      <w:r w:rsidRPr="00392E6A">
        <w:rPr>
          <w:rFonts w:ascii="Helvetica" w:hAnsi="Helvetica" w:cs="Helvetica"/>
          <w:b/>
        </w:rPr>
        <w:t>Existing arrangements</w:t>
      </w:r>
    </w:p>
    <w:p w14:paraId="45A3BA92" w14:textId="3CED3650" w:rsidR="004E2FE3" w:rsidRDefault="00B1627B" w:rsidP="00B1627B">
      <w:pPr>
        <w:pStyle w:val="base-text-paragraph"/>
      </w:pPr>
      <w:r>
        <w:t>Part 3A of the SGAA sets out</w:t>
      </w:r>
      <w:r w:rsidR="004E2FE3">
        <w:t xml:space="preserve"> the choice of fund requirements that employers must comply with to avoid penalties in the form of increased superannuation guarantee charges. These requirements include offering employees a choice of superannuation fund and providing the</w:t>
      </w:r>
      <w:r w:rsidR="009C0939">
        <w:t>m</w:t>
      </w:r>
      <w:r w:rsidR="004E2FE3">
        <w:t xml:space="preserve"> with a standard choice form in particular circumstances.</w:t>
      </w:r>
    </w:p>
    <w:p w14:paraId="2BDCA9EE" w14:textId="70E4E092" w:rsidR="004147A6" w:rsidRDefault="004E2FE3" w:rsidP="000C5C0C">
      <w:pPr>
        <w:pStyle w:val="base-text-paragraph"/>
      </w:pPr>
      <w:r>
        <w:t xml:space="preserve">Division 2 of Part 3A of the SGAA outlines when contributions </w:t>
      </w:r>
      <w:r w:rsidR="009E74A4">
        <w:t>made</w:t>
      </w:r>
      <w:r w:rsidR="000C5C0C">
        <w:t xml:space="preserve"> by an employer satisfy the choice of fund requirements. </w:t>
      </w:r>
      <w:r w:rsidR="004147A6">
        <w:t xml:space="preserve">Under </w:t>
      </w:r>
      <w:r w:rsidR="004147A6">
        <w:lastRenderedPageBreak/>
        <w:t xml:space="preserve">subsection </w:t>
      </w:r>
      <w:proofErr w:type="gramStart"/>
      <w:r w:rsidR="004147A6">
        <w:t>32C(</w:t>
      </w:r>
      <w:proofErr w:type="gramEnd"/>
      <w:r w:rsidR="004147A6">
        <w:t>1)</w:t>
      </w:r>
      <w:r w:rsidR="00A45EC1">
        <w:t xml:space="preserve"> of the SGAA</w:t>
      </w:r>
      <w:r w:rsidR="004147A6">
        <w:t xml:space="preserve"> contribution</w:t>
      </w:r>
      <w:r w:rsidR="00ED43D6">
        <w:t xml:space="preserve">s made to </w:t>
      </w:r>
      <w:r w:rsidR="004147A6">
        <w:t xml:space="preserve">a chosen fund for an employee or to certain unfunded public sectors schemes satisfy the choice of fund requirements. Subsection </w:t>
      </w:r>
      <w:proofErr w:type="gramStart"/>
      <w:r w:rsidR="004147A6">
        <w:t>32C(</w:t>
      </w:r>
      <w:proofErr w:type="gramEnd"/>
      <w:r w:rsidR="004147A6">
        <w:t>2)</w:t>
      </w:r>
      <w:r w:rsidR="00A45EC1">
        <w:t xml:space="preserve"> of the SGAA </w:t>
      </w:r>
      <w:r w:rsidR="004147A6">
        <w:t xml:space="preserve">sets out requirements for contributions </w:t>
      </w:r>
      <w:r w:rsidR="00A45EC1">
        <w:t>to satisfy the choice of fund requirements where there is no chosen fund and those contributions are made to a default fund.</w:t>
      </w:r>
      <w:r w:rsidR="009706BA">
        <w:t xml:space="preserve"> </w:t>
      </w:r>
      <w:r w:rsidR="00A45EC1">
        <w:t>The remaining subsections in 32C of the SGAA set out other circumstances where contributions made to a fund are in compliance with the choice of fund requirements.</w:t>
      </w:r>
    </w:p>
    <w:p w14:paraId="49A9281B" w14:textId="6046999B" w:rsidR="00B1627B" w:rsidRDefault="004147A6" w:rsidP="00B1627B">
      <w:pPr>
        <w:pStyle w:val="base-text-paragraph"/>
      </w:pPr>
      <w:r>
        <w:t xml:space="preserve"> </w:t>
      </w:r>
      <w:r w:rsidR="00B1627B">
        <w:t xml:space="preserve"> S</w:t>
      </w:r>
      <w:r w:rsidR="000C5C0C">
        <w:t>pecifically, s</w:t>
      </w:r>
      <w:r w:rsidR="00B1627B">
        <w:t>ubs</w:t>
      </w:r>
      <w:r w:rsidR="00A45EC1">
        <w:t>ection 32C(6) of the SGAA provides</w:t>
      </w:r>
      <w:r w:rsidR="00B1627B">
        <w:t xml:space="preserve"> that a contribution</w:t>
      </w:r>
      <w:r w:rsidR="00D02720">
        <w:t xml:space="preserve"> </w:t>
      </w:r>
      <w:r w:rsidR="00B1627B">
        <w:t>is made in compliance with the choice of fund requirements if the contribution</w:t>
      </w:r>
      <w:r w:rsidR="00D02720">
        <w:t xml:space="preserve">, or a part of the contribution, </w:t>
      </w:r>
      <w:r w:rsidR="00B1627B">
        <w:t>is made under, or in accordance with, certain specified industrial agreements, awards, a workplace determinat</w:t>
      </w:r>
      <w:r w:rsidR="00257463">
        <w:t>ion or an enterprise agreement.</w:t>
      </w:r>
    </w:p>
    <w:p w14:paraId="51CBEE81" w14:textId="68F3933A" w:rsidR="006F5F3D" w:rsidRDefault="00726BC0" w:rsidP="006F5F3D">
      <w:pPr>
        <w:pStyle w:val="base-text-paragraph"/>
      </w:pPr>
      <w:r>
        <w:t xml:space="preserve">If an employer makes contributions that do not comply with the choice of fund requirements the employer will have an increased superannuation guarantee shortfall for the quarter. This increases the employer’s liability to superannuation guarantee charge which is paid to the </w:t>
      </w:r>
      <w:r w:rsidR="00D02720">
        <w:t xml:space="preserve">Commissioner in respect of an </w:t>
      </w:r>
      <w:r>
        <w:t>employee. Contributions made to a defined benefit scheme do not attract an increase in superannuation guarantee shortfall where</w:t>
      </w:r>
      <w:r w:rsidR="006F5F3D">
        <w:t>, for a given quarter, the scheme is in surplus or the employee concerned has accrued their maximum benefit in the scheme.</w:t>
      </w:r>
    </w:p>
    <w:p w14:paraId="6E0A3FB1" w14:textId="77777777" w:rsidR="00804BF4" w:rsidRDefault="00804BF4" w:rsidP="00804BF4">
      <w:pPr>
        <w:pStyle w:val="base-text-paragraph"/>
      </w:pPr>
      <w:r>
        <w:t xml:space="preserve">Division 6 of Part 3A of the SGAA outlines employer obligations to provide standard choice forms to employees. Section 32N of the SGAA generally requires that an employer provide a standard choice form to an employee within 28 days of each of the following: </w:t>
      </w:r>
    </w:p>
    <w:p w14:paraId="1A3A6A41" w14:textId="77777777" w:rsidR="00804BF4" w:rsidRDefault="00804BF4" w:rsidP="00804BF4">
      <w:pPr>
        <w:pStyle w:val="Bullet"/>
        <w:tabs>
          <w:tab w:val="clear" w:pos="520"/>
          <w:tab w:val="num" w:pos="1701"/>
        </w:tabs>
        <w:ind w:left="1701" w:hanging="425"/>
      </w:pPr>
      <w:r>
        <w:t xml:space="preserve">the employee commencing employment; </w:t>
      </w:r>
    </w:p>
    <w:p w14:paraId="4E0B0A51" w14:textId="77777777" w:rsidR="00804BF4" w:rsidRDefault="00804BF4" w:rsidP="00804BF4">
      <w:pPr>
        <w:pStyle w:val="Bullet"/>
        <w:tabs>
          <w:tab w:val="clear" w:pos="520"/>
          <w:tab w:val="num" w:pos="1701"/>
        </w:tabs>
        <w:ind w:left="1701" w:hanging="425"/>
      </w:pPr>
      <w:r>
        <w:t xml:space="preserve">the employee receiving a written request from an employee; </w:t>
      </w:r>
    </w:p>
    <w:p w14:paraId="1897A2F0" w14:textId="77777777" w:rsidR="00804BF4" w:rsidRDefault="00804BF4" w:rsidP="00804BF4">
      <w:pPr>
        <w:pStyle w:val="Bullet"/>
        <w:tabs>
          <w:tab w:val="clear" w:pos="520"/>
          <w:tab w:val="num" w:pos="1701"/>
        </w:tabs>
        <w:ind w:left="1701" w:hanging="425"/>
      </w:pPr>
      <w:r>
        <w:t xml:space="preserve">the employer becoming aware of a chosen fund ceasing to be available for contributions; or </w:t>
      </w:r>
    </w:p>
    <w:p w14:paraId="0C529F0B" w14:textId="77777777" w:rsidR="00804BF4" w:rsidRDefault="00804BF4" w:rsidP="00804BF4">
      <w:pPr>
        <w:pStyle w:val="Bullet"/>
        <w:tabs>
          <w:tab w:val="clear" w:pos="520"/>
          <w:tab w:val="num" w:pos="1701"/>
        </w:tabs>
        <w:ind w:left="1701" w:hanging="425"/>
      </w:pPr>
      <w:proofErr w:type="gramStart"/>
      <w:r>
        <w:t>the</w:t>
      </w:r>
      <w:proofErr w:type="gramEnd"/>
      <w:r>
        <w:t xml:space="preserve"> employer changing default fund arrangements. </w:t>
      </w:r>
    </w:p>
    <w:p w14:paraId="27E5A3A1" w14:textId="733EDBBD" w:rsidR="00804BF4" w:rsidRDefault="00804BF4" w:rsidP="00BF1328">
      <w:pPr>
        <w:pStyle w:val="base-text-paragraph"/>
        <w:numPr>
          <w:ilvl w:val="0"/>
          <w:numId w:val="0"/>
        </w:numPr>
        <w:ind w:left="1134"/>
      </w:pPr>
      <w:r w:rsidRPr="00BF1328">
        <w:rPr>
          <w:b/>
          <w:i/>
        </w:rPr>
        <w:t>Defined benefit schemes</w:t>
      </w:r>
    </w:p>
    <w:p w14:paraId="5982E4B6" w14:textId="0326EC2A" w:rsidR="00BC3DA7" w:rsidRDefault="0008486D" w:rsidP="00BC3DA7">
      <w:pPr>
        <w:pStyle w:val="base-text-paragraph"/>
      </w:pPr>
      <w:r>
        <w:t>Division 4 of</w:t>
      </w:r>
      <w:r w:rsidR="00726BC0">
        <w:t xml:space="preserve"> Part 3A of</w:t>
      </w:r>
      <w:r>
        <w:t xml:space="preserve"> the SGAA sets out</w:t>
      </w:r>
      <w:r w:rsidR="00BC3DA7">
        <w:t xml:space="preserve"> a process to be followed when an employee is choosing a fund. Subsection </w:t>
      </w:r>
      <w:proofErr w:type="gramStart"/>
      <w:r w:rsidR="00BC3DA7">
        <w:t>32F(</w:t>
      </w:r>
      <w:proofErr w:type="gramEnd"/>
      <w:r w:rsidR="00BC3DA7">
        <w:t xml:space="preserve">3) of the SGAA ensures that employees </w:t>
      </w:r>
      <w:r w:rsidR="0027742E">
        <w:t>who</w:t>
      </w:r>
      <w:r w:rsidR="00BC3DA7">
        <w:t xml:space="preserve"> </w:t>
      </w:r>
      <w:r w:rsidR="00726BC0">
        <w:t xml:space="preserve">are </w:t>
      </w:r>
      <w:r w:rsidR="00BC3DA7">
        <w:t xml:space="preserve">members of certain defined benefit schemes cannot choose another fund. These are schemes where a member’s retirement, </w:t>
      </w:r>
      <w:r w:rsidR="0041425B">
        <w:t>resignation or retrenchment</w:t>
      </w:r>
      <w:r w:rsidR="00BC3DA7">
        <w:t xml:space="preserve"> benefit in the fund </w:t>
      </w:r>
      <w:r w:rsidR="0041425B">
        <w:lastRenderedPageBreak/>
        <w:t xml:space="preserve">would </w:t>
      </w:r>
      <w:r w:rsidR="00BC3DA7">
        <w:t xml:space="preserve">remain unchanged if the employer </w:t>
      </w:r>
      <w:r w:rsidR="0041425B">
        <w:t xml:space="preserve">made </w:t>
      </w:r>
      <w:r w:rsidR="00BC3DA7">
        <w:t xml:space="preserve">contributions to another fund under the choice of fund arrangements.   </w:t>
      </w:r>
    </w:p>
    <w:p w14:paraId="57FA1FF7" w14:textId="5D54F58D" w:rsidR="0002451B" w:rsidRDefault="0041425B" w:rsidP="00B1627B">
      <w:pPr>
        <w:pStyle w:val="base-text-paragraph"/>
      </w:pPr>
      <w:r>
        <w:t xml:space="preserve">Section 32NA of the SGAA sets out situations where an </w:t>
      </w:r>
      <w:r w:rsidR="007E1B86">
        <w:t xml:space="preserve">employer does not have to provide an employee with </w:t>
      </w:r>
      <w:r w:rsidR="0018729A">
        <w:t>a standard choice form</w:t>
      </w:r>
      <w:r>
        <w:t xml:space="preserve">, </w:t>
      </w:r>
      <w:r w:rsidR="0018729A">
        <w:t xml:space="preserve">including </w:t>
      </w:r>
      <w:r w:rsidR="000519C0">
        <w:t>where contribution</w:t>
      </w:r>
      <w:r w:rsidR="00511517">
        <w:t>s</w:t>
      </w:r>
      <w:r w:rsidR="000519C0">
        <w:t xml:space="preserve"> are made to an </w:t>
      </w:r>
      <w:r w:rsidR="0018729A">
        <w:t xml:space="preserve">unfunded public sector scheme and </w:t>
      </w:r>
      <w:r w:rsidR="000519C0">
        <w:t xml:space="preserve">for some members of defined benefit schemes. </w:t>
      </w:r>
      <w:r>
        <w:t>An employer is not required to give an employee who is</w:t>
      </w:r>
      <w:r w:rsidR="007E1B86">
        <w:t xml:space="preserve"> a member of</w:t>
      </w:r>
      <w:r w:rsidR="000519C0">
        <w:t xml:space="preserve"> a defined benefit scheme </w:t>
      </w:r>
      <w:r>
        <w:t xml:space="preserve">a standard choice form </w:t>
      </w:r>
      <w:r w:rsidR="000519C0">
        <w:t>where:</w:t>
      </w:r>
    </w:p>
    <w:p w14:paraId="174E0765" w14:textId="1F5D18FC" w:rsidR="0041425B" w:rsidRDefault="000519C0" w:rsidP="00E34FE5">
      <w:pPr>
        <w:pStyle w:val="Bullet"/>
        <w:tabs>
          <w:tab w:val="clear" w:pos="520"/>
          <w:tab w:val="num" w:pos="1701"/>
        </w:tabs>
        <w:ind w:left="1701" w:hanging="425"/>
      </w:pPr>
      <w:r>
        <w:t>the scheme is in surplus</w:t>
      </w:r>
      <w:r w:rsidR="0041425B">
        <w:t>;</w:t>
      </w:r>
    </w:p>
    <w:p w14:paraId="3703790D" w14:textId="51945190" w:rsidR="0041425B" w:rsidRDefault="000519C0" w:rsidP="00E34FE5">
      <w:pPr>
        <w:pStyle w:val="Bullet"/>
        <w:tabs>
          <w:tab w:val="clear" w:pos="520"/>
          <w:tab w:val="num" w:pos="1701"/>
        </w:tabs>
        <w:ind w:left="1701" w:hanging="425"/>
      </w:pPr>
      <w:r>
        <w:t>the employee has accrued their maximum benefit in the scheme</w:t>
      </w:r>
      <w:r w:rsidR="0041425B">
        <w:t>;</w:t>
      </w:r>
      <w:r w:rsidR="0053724C">
        <w:t xml:space="preserve"> or</w:t>
      </w:r>
    </w:p>
    <w:p w14:paraId="0B72A708" w14:textId="56A94EA7" w:rsidR="0018729A" w:rsidRDefault="000519C0" w:rsidP="00E34FE5">
      <w:pPr>
        <w:pStyle w:val="Bullet"/>
        <w:tabs>
          <w:tab w:val="clear" w:pos="520"/>
          <w:tab w:val="num" w:pos="1701"/>
        </w:tabs>
        <w:ind w:left="1701" w:hanging="425"/>
      </w:pPr>
      <w:proofErr w:type="gramStart"/>
      <w:r>
        <w:t>the</w:t>
      </w:r>
      <w:proofErr w:type="gramEnd"/>
      <w:r>
        <w:t xml:space="preserve"> </w:t>
      </w:r>
      <w:r w:rsidR="00804BF4">
        <w:t xml:space="preserve">employee’s </w:t>
      </w:r>
      <w:r>
        <w:t xml:space="preserve">benefits in the scheme will remain the same </w:t>
      </w:r>
      <w:r w:rsidR="00257463">
        <w:t>if the employer makes</w:t>
      </w:r>
      <w:r>
        <w:t xml:space="preserve"> contributions to </w:t>
      </w:r>
      <w:r w:rsidR="00C1082D">
        <w:t>another fund for the employee.</w:t>
      </w:r>
    </w:p>
    <w:p w14:paraId="33948158" w14:textId="35BB70A2" w:rsidR="006F5F3D" w:rsidRPr="00804BF4" w:rsidRDefault="006F5F3D" w:rsidP="00804BF4">
      <w:pPr>
        <w:pStyle w:val="Heading3"/>
        <w:rPr>
          <w:rFonts w:cs="Helvetica"/>
        </w:rPr>
      </w:pPr>
      <w:r w:rsidRPr="00804BF4">
        <w:rPr>
          <w:rFonts w:cs="Helvetica"/>
        </w:rPr>
        <w:t>Extending choice of fund</w:t>
      </w:r>
    </w:p>
    <w:p w14:paraId="23974F52" w14:textId="383B37A2" w:rsidR="00FB6BE5" w:rsidRDefault="00B1627B" w:rsidP="00457877">
      <w:pPr>
        <w:pStyle w:val="base-text-paragraph"/>
      </w:pPr>
      <w:r>
        <w:t xml:space="preserve">Schedule </w:t>
      </w:r>
      <w:r w:rsidR="00CA21E4">
        <w:t xml:space="preserve"># </w:t>
      </w:r>
      <w:r w:rsidR="0002451B">
        <w:t>of the Bill amends</w:t>
      </w:r>
      <w:r>
        <w:t xml:space="preserve"> </w:t>
      </w:r>
      <w:r w:rsidR="006B7FE6">
        <w:t>subsection 32C</w:t>
      </w:r>
      <w:r w:rsidR="0002451B">
        <w:t>(6)</w:t>
      </w:r>
      <w:r w:rsidR="006B7FE6">
        <w:t xml:space="preserve"> of the SGAA to limit </w:t>
      </w:r>
      <w:r w:rsidR="00376E2F">
        <w:t xml:space="preserve">the </w:t>
      </w:r>
      <w:r w:rsidR="006B7FE6">
        <w:t xml:space="preserve">circumstances </w:t>
      </w:r>
      <w:r w:rsidR="00032A6C">
        <w:t>in which</w:t>
      </w:r>
      <w:r w:rsidR="006B7FE6">
        <w:t xml:space="preserve"> </w:t>
      </w:r>
      <w:r w:rsidR="0002451B">
        <w:t xml:space="preserve">an employer can satisfy the choice of fund requirements by contributing to a superannuation fund in accordance with a workplace determination or enterprise agreement </w:t>
      </w:r>
      <w:r w:rsidR="00804BF4">
        <w:t xml:space="preserve">to cases </w:t>
      </w:r>
      <w:r w:rsidR="0002451B">
        <w:t xml:space="preserve">where that determination or agreement was made before 1 July 2016. </w:t>
      </w:r>
    </w:p>
    <w:p w14:paraId="66FFD1A5" w14:textId="3588F44E" w:rsidR="00C624C9" w:rsidRDefault="006B7FE6" w:rsidP="00457877">
      <w:pPr>
        <w:pStyle w:val="base-text-paragraph"/>
      </w:pPr>
      <w:r>
        <w:t xml:space="preserve">Where </w:t>
      </w:r>
      <w:r w:rsidR="00117D35">
        <w:t>a workplace determination or enterprise agreement</w:t>
      </w:r>
      <w:r w:rsidR="00031D62">
        <w:t xml:space="preserve"> </w:t>
      </w:r>
      <w:r w:rsidR="00C624C9">
        <w:t>is made on or after 1 July 2016</w:t>
      </w:r>
      <w:r w:rsidR="004C7426">
        <w:t>,</w:t>
      </w:r>
      <w:r>
        <w:t xml:space="preserve"> </w:t>
      </w:r>
      <w:r w:rsidR="005E4664">
        <w:t>an</w:t>
      </w:r>
      <w:r w:rsidR="00FB6BE5">
        <w:t xml:space="preserve"> </w:t>
      </w:r>
      <w:r w:rsidR="005E4664">
        <w:t>employer will</w:t>
      </w:r>
      <w:r w:rsidR="00CA21E4">
        <w:t xml:space="preserve"> need</w:t>
      </w:r>
      <w:r w:rsidR="005E4664">
        <w:t xml:space="preserve"> to</w:t>
      </w:r>
      <w:r w:rsidR="002631A9">
        <w:t xml:space="preserve"> </w:t>
      </w:r>
      <w:r w:rsidR="00CA21E4">
        <w:t>allow</w:t>
      </w:r>
      <w:r w:rsidR="002631A9">
        <w:t xml:space="preserve"> employees to choose their own superannuation fund</w:t>
      </w:r>
      <w:r w:rsidR="00C624C9">
        <w:t xml:space="preserve"> (unless other circumstances exempt the employer from doing so)</w:t>
      </w:r>
      <w:r w:rsidR="002631A9">
        <w:t>.</w:t>
      </w:r>
      <w:r w:rsidR="0002451B">
        <w:t xml:space="preserve"> </w:t>
      </w:r>
    </w:p>
    <w:p w14:paraId="37EF08C6" w14:textId="37218673" w:rsidR="0082324F" w:rsidRDefault="0002451B" w:rsidP="00457877">
      <w:pPr>
        <w:pStyle w:val="base-text-paragraph"/>
      </w:pPr>
      <w:r>
        <w:t>Th</w:t>
      </w:r>
      <w:r w:rsidR="00CA21E4">
        <w:t>is will require the</w:t>
      </w:r>
      <w:r w:rsidR="00727B46">
        <w:t xml:space="preserve"> employer </w:t>
      </w:r>
      <w:r w:rsidR="000708C0">
        <w:t>to give</w:t>
      </w:r>
      <w:r w:rsidR="00727B46">
        <w:t xml:space="preserve"> a standard choice form to</w:t>
      </w:r>
      <w:r w:rsidR="006D5358">
        <w:t xml:space="preserve"> an employee in </w:t>
      </w:r>
      <w:r>
        <w:t xml:space="preserve">the </w:t>
      </w:r>
      <w:r w:rsidR="006D5358">
        <w:t>circumstances set out in</w:t>
      </w:r>
      <w:r w:rsidR="00727B46">
        <w:t xml:space="preserve"> section 32N</w:t>
      </w:r>
      <w:r w:rsidR="00CA21E4">
        <w:t xml:space="preserve"> of the SGAA</w:t>
      </w:r>
      <w:r>
        <w:t>,</w:t>
      </w:r>
      <w:r w:rsidR="00727B46">
        <w:t xml:space="preserve"> including on commencement of employment and on </w:t>
      </w:r>
      <w:r w:rsidR="00C624C9">
        <w:t xml:space="preserve">written </w:t>
      </w:r>
      <w:r w:rsidR="00727B46">
        <w:t xml:space="preserve">request from an employee. </w:t>
      </w:r>
      <w:r>
        <w:t xml:space="preserve">The </w:t>
      </w:r>
      <w:r w:rsidR="00727B46">
        <w:t xml:space="preserve">employee will then </w:t>
      </w:r>
      <w:r w:rsidR="000708C0">
        <w:t xml:space="preserve">be able to choose a fund for their compulsory superannuation contributions. </w:t>
      </w:r>
      <w:r w:rsidR="0082324F">
        <w:t xml:space="preserve">An employer </w:t>
      </w:r>
      <w:r w:rsidR="00B02864">
        <w:t xml:space="preserve">will also be required to act on a written notice from an employee to choose a fund in accordance with Division 4 of </w:t>
      </w:r>
      <w:r w:rsidR="00CA21E4">
        <w:t xml:space="preserve">Part 3A of </w:t>
      </w:r>
      <w:r w:rsidR="00B02864">
        <w:t>the SGAA.</w:t>
      </w:r>
    </w:p>
    <w:p w14:paraId="65CE76B8" w14:textId="78AEC6F8" w:rsidR="00727B46" w:rsidRDefault="0082324F" w:rsidP="00457877">
      <w:pPr>
        <w:pStyle w:val="base-text-paragraph"/>
      </w:pPr>
      <w:r>
        <w:t>Where an employee does not choose their own superannuation fund, an employer will be able</w:t>
      </w:r>
      <w:r w:rsidR="00B02864">
        <w:t xml:space="preserve"> to</w:t>
      </w:r>
      <w:r>
        <w:t xml:space="preserve"> continue to make compulsory superannuation contributions to the same fund that the employe</w:t>
      </w:r>
      <w:r w:rsidR="006647FC">
        <w:t xml:space="preserve">r </w:t>
      </w:r>
      <w:r>
        <w:t>contributed to for the employee under</w:t>
      </w:r>
      <w:r w:rsidR="006647FC">
        <w:t xml:space="preserve"> or in accordance with</w:t>
      </w:r>
      <w:r w:rsidR="0008486D">
        <w:t xml:space="preserve"> a </w:t>
      </w:r>
      <w:r>
        <w:t>workplace determination or enterprise agreement, made before 1 July 2016.</w:t>
      </w:r>
      <w:r w:rsidR="00B02864">
        <w:t xml:space="preserve"> An employer will</w:t>
      </w:r>
      <w:r w:rsidR="006647FC">
        <w:t xml:space="preserve"> also</w:t>
      </w:r>
      <w:r w:rsidR="0008486D">
        <w:t xml:space="preserve"> be able to specify</w:t>
      </w:r>
      <w:r w:rsidR="00B02864">
        <w:t xml:space="preserve"> this fund as a default fund in a standard choice form provide</w:t>
      </w:r>
      <w:r w:rsidR="006647FC">
        <w:t xml:space="preserve">d on request </w:t>
      </w:r>
      <w:r w:rsidR="00990F95">
        <w:t>to the</w:t>
      </w:r>
      <w:r w:rsidR="00B432FD">
        <w:t xml:space="preserve"> employee. </w:t>
      </w:r>
    </w:p>
    <w:p w14:paraId="76BAD023" w14:textId="62111A51" w:rsidR="00BF7C25" w:rsidRDefault="00CA21E4" w:rsidP="00457877">
      <w:pPr>
        <w:pStyle w:val="base-text-paragraph"/>
      </w:pPr>
      <w:r>
        <w:lastRenderedPageBreak/>
        <w:t>Schedule</w:t>
      </w:r>
      <w:r w:rsidR="006373F1">
        <w:t xml:space="preserve"> </w:t>
      </w:r>
      <w:r>
        <w:t>#</w:t>
      </w:r>
      <w:r w:rsidR="006373F1">
        <w:t xml:space="preserve"> of the </w:t>
      </w:r>
      <w:r w:rsidR="00854071">
        <w:t xml:space="preserve">Bill </w:t>
      </w:r>
      <w:r w:rsidR="0008486D">
        <w:t>recognises a further case</w:t>
      </w:r>
      <w:r w:rsidR="0054373A">
        <w:t xml:space="preserve"> </w:t>
      </w:r>
      <w:r w:rsidR="00DC458D">
        <w:t>where</w:t>
      </w:r>
      <w:r w:rsidR="006373F1">
        <w:t xml:space="preserve"> there is no increase in the</w:t>
      </w:r>
      <w:r w:rsidR="00854071">
        <w:t xml:space="preserve"> quarterly</w:t>
      </w:r>
      <w:r w:rsidR="006373F1">
        <w:t xml:space="preserve"> superann</w:t>
      </w:r>
      <w:r w:rsidR="00854071">
        <w:t xml:space="preserve">uation guarantee shortfall for </w:t>
      </w:r>
      <w:r w:rsidR="00117D35">
        <w:t xml:space="preserve">an employer who makes contributions </w:t>
      </w:r>
      <w:r w:rsidR="00C624C9">
        <w:t>in respect of</w:t>
      </w:r>
      <w:r w:rsidR="00117D35">
        <w:t xml:space="preserve"> an employee who is a</w:t>
      </w:r>
      <w:r w:rsidR="00854071">
        <w:t xml:space="preserve"> </w:t>
      </w:r>
      <w:r w:rsidR="0008486D">
        <w:t xml:space="preserve">member of a </w:t>
      </w:r>
      <w:r w:rsidR="00854071">
        <w:t>defined benefit scheme</w:t>
      </w:r>
      <w:r w:rsidR="0008486D">
        <w:t xml:space="preserve">. </w:t>
      </w:r>
      <w:r w:rsidR="00DC458D">
        <w:t>This</w:t>
      </w:r>
      <w:r w:rsidR="00FC6E90">
        <w:t xml:space="preserve"> exclusion</w:t>
      </w:r>
      <w:r w:rsidR="00DC458D">
        <w:t xml:space="preserve"> </w:t>
      </w:r>
      <w:r w:rsidR="00B432FD">
        <w:t>will apply</w:t>
      </w:r>
      <w:r w:rsidR="00854071">
        <w:t xml:space="preserve"> where </w:t>
      </w:r>
      <w:r w:rsidR="00824F7D">
        <w:t xml:space="preserve">an employee </w:t>
      </w:r>
      <w:r w:rsidR="00854071">
        <w:t>cannot choose a fund</w:t>
      </w:r>
      <w:r w:rsidR="00117D35">
        <w:t xml:space="preserve"> under Division 4 of Part 3A of the SGAA because </w:t>
      </w:r>
      <w:r w:rsidR="00F43437">
        <w:t>their</w:t>
      </w:r>
      <w:r w:rsidR="000420D4">
        <w:t xml:space="preserve"> retirement, resignation or retrenchment</w:t>
      </w:r>
      <w:r w:rsidR="00F43437">
        <w:t xml:space="preserve"> benefit in </w:t>
      </w:r>
      <w:r w:rsidR="00117D35">
        <w:t xml:space="preserve">a defined benefit </w:t>
      </w:r>
      <w:r w:rsidR="00F43437">
        <w:t>scheme would not be affected if compulsory contributions were made to another fund. This will ensure</w:t>
      </w:r>
      <w:r w:rsidR="00824F7D">
        <w:t xml:space="preserve"> that employers cannot be penalised for failing to technically comply </w:t>
      </w:r>
      <w:r w:rsidR="00F43437">
        <w:t>with the choice provisions</w:t>
      </w:r>
      <w:r w:rsidR="009E74A4">
        <w:t xml:space="preserve">, </w:t>
      </w:r>
      <w:r w:rsidR="00347810">
        <w:t>if there is</w:t>
      </w:r>
      <w:r w:rsidR="009E74A4">
        <w:t xml:space="preserve"> no chosen fund for an employee,</w:t>
      </w:r>
      <w:r w:rsidR="00824F7D">
        <w:t xml:space="preserve"> </w:t>
      </w:r>
      <w:r w:rsidR="00F43437">
        <w:t>notwithstanding</w:t>
      </w:r>
      <w:r w:rsidR="00824F7D">
        <w:t xml:space="preserve"> that</w:t>
      </w:r>
      <w:r w:rsidR="00F43437">
        <w:t xml:space="preserve"> </w:t>
      </w:r>
      <w:r w:rsidR="001F559B">
        <w:t>the</w:t>
      </w:r>
      <w:r w:rsidR="00824F7D">
        <w:t xml:space="preserve"> emplo</w:t>
      </w:r>
      <w:r w:rsidR="009E74A4">
        <w:t>yee</w:t>
      </w:r>
      <w:r w:rsidR="001F559B">
        <w:t xml:space="preserve"> concerned</w:t>
      </w:r>
      <w:r w:rsidR="000420D4">
        <w:t xml:space="preserve"> is</w:t>
      </w:r>
      <w:r w:rsidR="00824F7D">
        <w:t xml:space="preserve"> unable to choose</w:t>
      </w:r>
      <w:r w:rsidR="00F43437">
        <w:t xml:space="preserve"> a fund under</w:t>
      </w:r>
      <w:r w:rsidR="00824F7D">
        <w:t xml:space="preserve"> subsection 32</w:t>
      </w:r>
      <w:r w:rsidR="009E74A4">
        <w:t>F(</w:t>
      </w:r>
      <w:r w:rsidR="00347810">
        <w:t>3</w:t>
      </w:r>
      <w:r w:rsidR="00824F7D">
        <w:t xml:space="preserve">) </w:t>
      </w:r>
      <w:r w:rsidR="00F43437">
        <w:t>of the SGAA.</w:t>
      </w:r>
    </w:p>
    <w:p w14:paraId="5DB92B5C" w14:textId="77777777" w:rsidR="00E502F0" w:rsidRPr="00FD7611" w:rsidRDefault="00E502F0" w:rsidP="00FD7611">
      <w:pPr>
        <w:pStyle w:val="base-text-paragraph"/>
        <w:numPr>
          <w:ilvl w:val="0"/>
          <w:numId w:val="0"/>
        </w:numPr>
        <w:ind w:left="414" w:firstLine="720"/>
        <w:rPr>
          <w:b/>
          <w:i/>
        </w:rPr>
      </w:pPr>
      <w:r w:rsidRPr="00FD7611">
        <w:rPr>
          <w:b/>
          <w:i/>
        </w:rPr>
        <w:t>Application of amendments</w:t>
      </w:r>
    </w:p>
    <w:p w14:paraId="23C14BB4" w14:textId="77777777" w:rsidR="00E502F0" w:rsidRDefault="00E502F0" w:rsidP="00E502F0">
      <w:pPr>
        <w:pStyle w:val="base-text-paragraph"/>
        <w:numPr>
          <w:ilvl w:val="1"/>
          <w:numId w:val="34"/>
        </w:numPr>
      </w:pPr>
      <w:r>
        <w:t xml:space="preserve">Under the </w:t>
      </w:r>
      <w:r w:rsidRPr="00E502F0">
        <w:rPr>
          <w:i/>
        </w:rPr>
        <w:t xml:space="preserve">Fair Work Act 2009 </w:t>
      </w:r>
      <w:r>
        <w:t xml:space="preserve">(FWA), an enterprise agreement is made when a majority of employees vote to approve the agreement. An enterprise agreement does not operate until at least seven days after the agreement is approved by the Fair Work Commission (FWC). </w:t>
      </w:r>
    </w:p>
    <w:p w14:paraId="498205B7" w14:textId="77777777" w:rsidR="00E502F0" w:rsidRDefault="00E502F0" w:rsidP="00E502F0">
      <w:pPr>
        <w:pStyle w:val="base-text-paragraph"/>
      </w:pPr>
      <w:r>
        <w:t xml:space="preserve">An enterprise agreement applies if it is in operation and covers the employee and employer. The consequences of an enterprise agreement applying to an employee and employer are that it imposes obligations on the parties and gives them entitlements. In the time between when an enterprise agreement is made and when it applies, employment rights and obligations are governed by the existing agreement or instrument.  </w:t>
      </w:r>
    </w:p>
    <w:p w14:paraId="1C2228B5" w14:textId="77777777" w:rsidR="00E502F0" w:rsidRDefault="00E502F0" w:rsidP="00E502F0">
      <w:pPr>
        <w:pStyle w:val="base-text-paragraph"/>
      </w:pPr>
      <w:r>
        <w:t xml:space="preserve">A workplace determination is made by the FWC and operates from the day on which it is made. The FWA applies to a workplace determination that is in operation as if it were an enterprise agreement that is in operation (with some exceptions). </w:t>
      </w:r>
    </w:p>
    <w:p w14:paraId="65805875" w14:textId="42B6943D" w:rsidR="00E502F0" w:rsidRDefault="00E502F0" w:rsidP="00E502F0">
      <w:pPr>
        <w:pStyle w:val="base-text-paragraph"/>
      </w:pPr>
      <w:r>
        <w:t xml:space="preserve">The amendments made by Schedule # </w:t>
      </w:r>
      <w:r w:rsidR="00BF1328">
        <w:t xml:space="preserve">to extend choice of fund </w:t>
      </w:r>
      <w:r>
        <w:t xml:space="preserve">apply to enterprise agreements and workplace determinations made from 1 July 2016. However, because of the operation of the FWA, employees and employers will continue to be governed by their existing enterprise agreement or workplace determination until the new enterprise agreement or workplace determination that is made from 1 July 2016 begins to apply. </w:t>
      </w:r>
    </w:p>
    <w:p w14:paraId="07E639A4" w14:textId="778C68CF" w:rsidR="00D85BEA" w:rsidRPr="00200C32" w:rsidRDefault="00E502F0" w:rsidP="004A430C">
      <w:pPr>
        <w:pStyle w:val="base-text-paragraph"/>
      </w:pPr>
      <w:r>
        <w:t xml:space="preserve">This means that the amendments made by Schedule </w:t>
      </w:r>
      <w:r w:rsidR="002C108C">
        <w:t>#</w:t>
      </w:r>
      <w:r>
        <w:t xml:space="preserve"> </w:t>
      </w:r>
      <w:r w:rsidR="00BF1328">
        <w:t xml:space="preserve">to extend choice of fund </w:t>
      </w:r>
      <w:r>
        <w:t>will apply to enterprise agreements and workplace determinations that are made</w:t>
      </w:r>
      <w:r w:rsidR="002C108C">
        <w:t xml:space="preserve"> and apply, for the purposes of the FWA,</w:t>
      </w:r>
      <w:r>
        <w:t xml:space="preserve"> from 1 July 201</w:t>
      </w:r>
      <w:r w:rsidR="002C108C">
        <w:t>6.</w:t>
      </w:r>
    </w:p>
    <w:sectPr w:rsidR="00D85BEA" w:rsidRPr="00200C32" w:rsidSect="00821379">
      <w:footerReference w:type="even" r:id="rId8"/>
      <w:footerReference w:type="default" r:id="rId9"/>
      <w:footerReference w:type="first" r:id="rId1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EA16B" w14:textId="77777777" w:rsidR="002660D1" w:rsidRDefault="002660D1">
      <w:r>
        <w:separator/>
      </w:r>
    </w:p>
  </w:endnote>
  <w:endnote w:type="continuationSeparator" w:id="0">
    <w:p w14:paraId="1D2FC44A" w14:textId="77777777" w:rsidR="002660D1" w:rsidRDefault="0026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82668" w14:textId="77777777" w:rsidR="00457877" w:rsidRDefault="00457877" w:rsidP="005A76CC">
    <w:pPr>
      <w:pStyle w:val="leftfooter"/>
    </w:pPr>
    <w:r>
      <w:fldChar w:fldCharType="begin"/>
    </w:r>
    <w:r>
      <w:instrText xml:space="preserve"> PAGE   \* MERGEFORMAT </w:instrText>
    </w:r>
    <w:r>
      <w:fldChar w:fldCharType="separate"/>
    </w:r>
    <w:r w:rsidR="0075704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B5A9" w14:textId="77777777" w:rsidR="00457877" w:rsidRDefault="00457877" w:rsidP="005A76CC">
    <w:pPr>
      <w:pStyle w:val="rightfooter"/>
    </w:pPr>
    <w:r>
      <w:fldChar w:fldCharType="begin"/>
    </w:r>
    <w:r>
      <w:instrText xml:space="preserve"> PAGE   \* MERGEFORMAT </w:instrText>
    </w:r>
    <w:r>
      <w:fldChar w:fldCharType="separate"/>
    </w:r>
    <w:r w:rsidR="00757045">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B30B8" w14:textId="77777777" w:rsidR="00457877" w:rsidRDefault="00457877" w:rsidP="005A76CC">
    <w:pPr>
      <w:pStyle w:val="rightfooter"/>
    </w:pPr>
    <w:r>
      <w:fldChar w:fldCharType="begin"/>
    </w:r>
    <w:r>
      <w:instrText xml:space="preserve"> PAGE  \* Arabic  \* MERGEFORMAT </w:instrText>
    </w:r>
    <w:r>
      <w:fldChar w:fldCharType="separate"/>
    </w:r>
    <w:r w:rsidR="0075704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66240" w14:textId="77777777" w:rsidR="002660D1" w:rsidRDefault="002660D1">
      <w:r>
        <w:separator/>
      </w:r>
    </w:p>
  </w:footnote>
  <w:footnote w:type="continuationSeparator" w:id="0">
    <w:p w14:paraId="2222A6A7" w14:textId="77777777" w:rsidR="002660D1" w:rsidRDefault="00266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67F0304"/>
    <w:multiLevelType w:val="multilevel"/>
    <w:tmpl w:val="E230CEE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2"/>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1"/>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3"/>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C4"/>
    <w:rsid w:val="00012F66"/>
    <w:rsid w:val="0002451B"/>
    <w:rsid w:val="00031D62"/>
    <w:rsid w:val="0003226B"/>
    <w:rsid w:val="000327A2"/>
    <w:rsid w:val="00032A6C"/>
    <w:rsid w:val="0003305A"/>
    <w:rsid w:val="00034BE8"/>
    <w:rsid w:val="000420D4"/>
    <w:rsid w:val="00050170"/>
    <w:rsid w:val="00050A77"/>
    <w:rsid w:val="000519C0"/>
    <w:rsid w:val="0005600E"/>
    <w:rsid w:val="00060758"/>
    <w:rsid w:val="00067E1D"/>
    <w:rsid w:val="000705A5"/>
    <w:rsid w:val="000708C0"/>
    <w:rsid w:val="000725C0"/>
    <w:rsid w:val="00075250"/>
    <w:rsid w:val="00076543"/>
    <w:rsid w:val="000835C7"/>
    <w:rsid w:val="0008486D"/>
    <w:rsid w:val="00085C5D"/>
    <w:rsid w:val="0009055D"/>
    <w:rsid w:val="000960B7"/>
    <w:rsid w:val="000A0AFD"/>
    <w:rsid w:val="000A2094"/>
    <w:rsid w:val="000A341E"/>
    <w:rsid w:val="000A5B26"/>
    <w:rsid w:val="000A6DBE"/>
    <w:rsid w:val="000B7FBA"/>
    <w:rsid w:val="000C06D9"/>
    <w:rsid w:val="000C5C0C"/>
    <w:rsid w:val="000D54A6"/>
    <w:rsid w:val="000D6CAE"/>
    <w:rsid w:val="000E089D"/>
    <w:rsid w:val="000E417C"/>
    <w:rsid w:val="000E5B9A"/>
    <w:rsid w:val="000F43CA"/>
    <w:rsid w:val="001010BF"/>
    <w:rsid w:val="001114E6"/>
    <w:rsid w:val="00113E19"/>
    <w:rsid w:val="00117D35"/>
    <w:rsid w:val="00121EB0"/>
    <w:rsid w:val="001236DE"/>
    <w:rsid w:val="00123D96"/>
    <w:rsid w:val="0012405D"/>
    <w:rsid w:val="00124E15"/>
    <w:rsid w:val="00131E0C"/>
    <w:rsid w:val="0014197C"/>
    <w:rsid w:val="00147843"/>
    <w:rsid w:val="00155740"/>
    <w:rsid w:val="00174A29"/>
    <w:rsid w:val="001757E2"/>
    <w:rsid w:val="00181E87"/>
    <w:rsid w:val="0018729A"/>
    <w:rsid w:val="001A7A18"/>
    <w:rsid w:val="001C5206"/>
    <w:rsid w:val="001D5436"/>
    <w:rsid w:val="001D585C"/>
    <w:rsid w:val="001E6545"/>
    <w:rsid w:val="001F559B"/>
    <w:rsid w:val="00200C32"/>
    <w:rsid w:val="00200E96"/>
    <w:rsid w:val="00201B36"/>
    <w:rsid w:val="00220D6C"/>
    <w:rsid w:val="00222D57"/>
    <w:rsid w:val="00227BEC"/>
    <w:rsid w:val="00231CBA"/>
    <w:rsid w:val="00236A1C"/>
    <w:rsid w:val="00240A0B"/>
    <w:rsid w:val="00250154"/>
    <w:rsid w:val="00253E01"/>
    <w:rsid w:val="00257463"/>
    <w:rsid w:val="002631A9"/>
    <w:rsid w:val="00266048"/>
    <w:rsid w:val="002660D1"/>
    <w:rsid w:val="00267964"/>
    <w:rsid w:val="00272FD3"/>
    <w:rsid w:val="0027742E"/>
    <w:rsid w:val="002857E2"/>
    <w:rsid w:val="002A4F1C"/>
    <w:rsid w:val="002A557B"/>
    <w:rsid w:val="002A64A2"/>
    <w:rsid w:val="002B50C4"/>
    <w:rsid w:val="002C108C"/>
    <w:rsid w:val="002C21E2"/>
    <w:rsid w:val="002C43E8"/>
    <w:rsid w:val="002D2436"/>
    <w:rsid w:val="002D6555"/>
    <w:rsid w:val="002E3A4D"/>
    <w:rsid w:val="002E5FD3"/>
    <w:rsid w:val="002F1AFB"/>
    <w:rsid w:val="002F2244"/>
    <w:rsid w:val="002F3991"/>
    <w:rsid w:val="002F75B0"/>
    <w:rsid w:val="0030053A"/>
    <w:rsid w:val="0030256C"/>
    <w:rsid w:val="00303FF7"/>
    <w:rsid w:val="0031764A"/>
    <w:rsid w:val="00320374"/>
    <w:rsid w:val="00325BF0"/>
    <w:rsid w:val="00332813"/>
    <w:rsid w:val="00343C11"/>
    <w:rsid w:val="00345CCB"/>
    <w:rsid w:val="00346BEB"/>
    <w:rsid w:val="00347810"/>
    <w:rsid w:val="003501C2"/>
    <w:rsid w:val="003505E3"/>
    <w:rsid w:val="0036787F"/>
    <w:rsid w:val="00370AE1"/>
    <w:rsid w:val="00370CF4"/>
    <w:rsid w:val="003719A4"/>
    <w:rsid w:val="00376E2F"/>
    <w:rsid w:val="00376FAF"/>
    <w:rsid w:val="00377CD4"/>
    <w:rsid w:val="00386A6F"/>
    <w:rsid w:val="00387BAB"/>
    <w:rsid w:val="00390E94"/>
    <w:rsid w:val="0039400F"/>
    <w:rsid w:val="003A311E"/>
    <w:rsid w:val="003A5A84"/>
    <w:rsid w:val="003A5D7E"/>
    <w:rsid w:val="003B2C77"/>
    <w:rsid w:val="003B32A9"/>
    <w:rsid w:val="003B550D"/>
    <w:rsid w:val="003C1301"/>
    <w:rsid w:val="003C2CB7"/>
    <w:rsid w:val="003C5BA3"/>
    <w:rsid w:val="003D6FD9"/>
    <w:rsid w:val="003D734D"/>
    <w:rsid w:val="003D7F02"/>
    <w:rsid w:val="003E0794"/>
    <w:rsid w:val="003E68F7"/>
    <w:rsid w:val="003F096C"/>
    <w:rsid w:val="003F4BD0"/>
    <w:rsid w:val="00402407"/>
    <w:rsid w:val="0041425B"/>
    <w:rsid w:val="004147A6"/>
    <w:rsid w:val="00416884"/>
    <w:rsid w:val="0043366C"/>
    <w:rsid w:val="00433B1D"/>
    <w:rsid w:val="00433FD9"/>
    <w:rsid w:val="00436054"/>
    <w:rsid w:val="00441D38"/>
    <w:rsid w:val="00442FB9"/>
    <w:rsid w:val="0044391B"/>
    <w:rsid w:val="00450635"/>
    <w:rsid w:val="00451BB3"/>
    <w:rsid w:val="00457877"/>
    <w:rsid w:val="00457BC3"/>
    <w:rsid w:val="00460019"/>
    <w:rsid w:val="00465A34"/>
    <w:rsid w:val="00470181"/>
    <w:rsid w:val="004710EB"/>
    <w:rsid w:val="00475D9F"/>
    <w:rsid w:val="00480C91"/>
    <w:rsid w:val="004836D2"/>
    <w:rsid w:val="00483A94"/>
    <w:rsid w:val="004A430C"/>
    <w:rsid w:val="004B71C9"/>
    <w:rsid w:val="004B755A"/>
    <w:rsid w:val="004C1468"/>
    <w:rsid w:val="004C7426"/>
    <w:rsid w:val="004D6B85"/>
    <w:rsid w:val="004E0A3F"/>
    <w:rsid w:val="004E161F"/>
    <w:rsid w:val="004E2FE3"/>
    <w:rsid w:val="004E6082"/>
    <w:rsid w:val="004F5E58"/>
    <w:rsid w:val="00502551"/>
    <w:rsid w:val="00504D4A"/>
    <w:rsid w:val="005052B0"/>
    <w:rsid w:val="0050652E"/>
    <w:rsid w:val="005075F7"/>
    <w:rsid w:val="00511517"/>
    <w:rsid w:val="00515E69"/>
    <w:rsid w:val="005177DF"/>
    <w:rsid w:val="00517B68"/>
    <w:rsid w:val="00523617"/>
    <w:rsid w:val="005255EA"/>
    <w:rsid w:val="00530753"/>
    <w:rsid w:val="005309A1"/>
    <w:rsid w:val="0053724C"/>
    <w:rsid w:val="005408E6"/>
    <w:rsid w:val="00542326"/>
    <w:rsid w:val="0054284D"/>
    <w:rsid w:val="00543669"/>
    <w:rsid w:val="0054373A"/>
    <w:rsid w:val="0054515C"/>
    <w:rsid w:val="00555D38"/>
    <w:rsid w:val="00560C14"/>
    <w:rsid w:val="00580C19"/>
    <w:rsid w:val="00585AFF"/>
    <w:rsid w:val="005A4974"/>
    <w:rsid w:val="005A5348"/>
    <w:rsid w:val="005A5BB3"/>
    <w:rsid w:val="005A76CC"/>
    <w:rsid w:val="005B22C7"/>
    <w:rsid w:val="005B546F"/>
    <w:rsid w:val="005B5FD2"/>
    <w:rsid w:val="005C0475"/>
    <w:rsid w:val="005C2B1A"/>
    <w:rsid w:val="005C464F"/>
    <w:rsid w:val="005C6FB4"/>
    <w:rsid w:val="005D0F90"/>
    <w:rsid w:val="005E4664"/>
    <w:rsid w:val="005E741D"/>
    <w:rsid w:val="005E77E1"/>
    <w:rsid w:val="005F0015"/>
    <w:rsid w:val="0060211C"/>
    <w:rsid w:val="006071CA"/>
    <w:rsid w:val="006071E9"/>
    <w:rsid w:val="00610E94"/>
    <w:rsid w:val="00621923"/>
    <w:rsid w:val="006366A7"/>
    <w:rsid w:val="006373F1"/>
    <w:rsid w:val="006412C3"/>
    <w:rsid w:val="00653DA2"/>
    <w:rsid w:val="00656B36"/>
    <w:rsid w:val="006647FC"/>
    <w:rsid w:val="006655F9"/>
    <w:rsid w:val="0067020D"/>
    <w:rsid w:val="006712FD"/>
    <w:rsid w:val="00673AC4"/>
    <w:rsid w:val="00676AC8"/>
    <w:rsid w:val="006857AE"/>
    <w:rsid w:val="006916A8"/>
    <w:rsid w:val="00691D5E"/>
    <w:rsid w:val="006A3768"/>
    <w:rsid w:val="006A4718"/>
    <w:rsid w:val="006B7FE6"/>
    <w:rsid w:val="006C33D6"/>
    <w:rsid w:val="006C3CEB"/>
    <w:rsid w:val="006C4015"/>
    <w:rsid w:val="006C73A4"/>
    <w:rsid w:val="006D1E38"/>
    <w:rsid w:val="006D4184"/>
    <w:rsid w:val="006D4CA4"/>
    <w:rsid w:val="006D5358"/>
    <w:rsid w:val="006D737B"/>
    <w:rsid w:val="006E01A2"/>
    <w:rsid w:val="006E08FB"/>
    <w:rsid w:val="006F5F3D"/>
    <w:rsid w:val="006F7AFB"/>
    <w:rsid w:val="007001D0"/>
    <w:rsid w:val="007029C3"/>
    <w:rsid w:val="00703C25"/>
    <w:rsid w:val="00707D39"/>
    <w:rsid w:val="00710171"/>
    <w:rsid w:val="007155B4"/>
    <w:rsid w:val="00725B4F"/>
    <w:rsid w:val="00726BC0"/>
    <w:rsid w:val="00727B46"/>
    <w:rsid w:val="007329C5"/>
    <w:rsid w:val="00736240"/>
    <w:rsid w:val="007439D0"/>
    <w:rsid w:val="007454F8"/>
    <w:rsid w:val="0075251A"/>
    <w:rsid w:val="00753239"/>
    <w:rsid w:val="00757045"/>
    <w:rsid w:val="007629AE"/>
    <w:rsid w:val="00762AAE"/>
    <w:rsid w:val="007652BC"/>
    <w:rsid w:val="00766B32"/>
    <w:rsid w:val="00774214"/>
    <w:rsid w:val="007871CD"/>
    <w:rsid w:val="00790795"/>
    <w:rsid w:val="00792ECD"/>
    <w:rsid w:val="00793F75"/>
    <w:rsid w:val="007966EF"/>
    <w:rsid w:val="007A1BCB"/>
    <w:rsid w:val="007A45D3"/>
    <w:rsid w:val="007A4C99"/>
    <w:rsid w:val="007B188B"/>
    <w:rsid w:val="007B23EE"/>
    <w:rsid w:val="007B3E88"/>
    <w:rsid w:val="007D1821"/>
    <w:rsid w:val="007E1B86"/>
    <w:rsid w:val="007E25E0"/>
    <w:rsid w:val="007E3C31"/>
    <w:rsid w:val="007F241E"/>
    <w:rsid w:val="007F5B1F"/>
    <w:rsid w:val="00804BF4"/>
    <w:rsid w:val="00813210"/>
    <w:rsid w:val="008137FE"/>
    <w:rsid w:val="008147F1"/>
    <w:rsid w:val="008212B5"/>
    <w:rsid w:val="00821379"/>
    <w:rsid w:val="0082324F"/>
    <w:rsid w:val="00824F7D"/>
    <w:rsid w:val="00827930"/>
    <w:rsid w:val="00830A28"/>
    <w:rsid w:val="00830EAA"/>
    <w:rsid w:val="00832743"/>
    <w:rsid w:val="00835001"/>
    <w:rsid w:val="00844687"/>
    <w:rsid w:val="00854071"/>
    <w:rsid w:val="00855D57"/>
    <w:rsid w:val="00867F0F"/>
    <w:rsid w:val="008752F1"/>
    <w:rsid w:val="00885BE8"/>
    <w:rsid w:val="00890245"/>
    <w:rsid w:val="008923A4"/>
    <w:rsid w:val="008B0747"/>
    <w:rsid w:val="008B095D"/>
    <w:rsid w:val="008B31CE"/>
    <w:rsid w:val="008B56B5"/>
    <w:rsid w:val="008C2206"/>
    <w:rsid w:val="008C359D"/>
    <w:rsid w:val="008C51F4"/>
    <w:rsid w:val="008C68A9"/>
    <w:rsid w:val="008D0AE4"/>
    <w:rsid w:val="008D4C40"/>
    <w:rsid w:val="008D5299"/>
    <w:rsid w:val="008D75E9"/>
    <w:rsid w:val="008D785D"/>
    <w:rsid w:val="008F1A67"/>
    <w:rsid w:val="008F726E"/>
    <w:rsid w:val="00901ED2"/>
    <w:rsid w:val="009125BB"/>
    <w:rsid w:val="00915FA5"/>
    <w:rsid w:val="00917DED"/>
    <w:rsid w:val="00922787"/>
    <w:rsid w:val="00926E36"/>
    <w:rsid w:val="00935C6B"/>
    <w:rsid w:val="00937B71"/>
    <w:rsid w:val="00940BFD"/>
    <w:rsid w:val="0095290C"/>
    <w:rsid w:val="009530DE"/>
    <w:rsid w:val="00953F17"/>
    <w:rsid w:val="009615B2"/>
    <w:rsid w:val="0096411E"/>
    <w:rsid w:val="009706BA"/>
    <w:rsid w:val="00973550"/>
    <w:rsid w:val="009759C8"/>
    <w:rsid w:val="00990F95"/>
    <w:rsid w:val="009973BE"/>
    <w:rsid w:val="009977B4"/>
    <w:rsid w:val="00997812"/>
    <w:rsid w:val="009A2B11"/>
    <w:rsid w:val="009A4908"/>
    <w:rsid w:val="009B0AB7"/>
    <w:rsid w:val="009B2AD6"/>
    <w:rsid w:val="009B3023"/>
    <w:rsid w:val="009B3657"/>
    <w:rsid w:val="009B5921"/>
    <w:rsid w:val="009B5A26"/>
    <w:rsid w:val="009C0939"/>
    <w:rsid w:val="009C380E"/>
    <w:rsid w:val="009E5ACA"/>
    <w:rsid w:val="009E6C76"/>
    <w:rsid w:val="009E74A4"/>
    <w:rsid w:val="00A01492"/>
    <w:rsid w:val="00A03DFA"/>
    <w:rsid w:val="00A03E30"/>
    <w:rsid w:val="00A04A9F"/>
    <w:rsid w:val="00A07481"/>
    <w:rsid w:val="00A07DDF"/>
    <w:rsid w:val="00A1128B"/>
    <w:rsid w:val="00A22C72"/>
    <w:rsid w:val="00A27B13"/>
    <w:rsid w:val="00A27B94"/>
    <w:rsid w:val="00A32143"/>
    <w:rsid w:val="00A332EA"/>
    <w:rsid w:val="00A37F77"/>
    <w:rsid w:val="00A44E9C"/>
    <w:rsid w:val="00A45EC1"/>
    <w:rsid w:val="00A46A6A"/>
    <w:rsid w:val="00A516CB"/>
    <w:rsid w:val="00A53EB2"/>
    <w:rsid w:val="00A54CD3"/>
    <w:rsid w:val="00A575AE"/>
    <w:rsid w:val="00A61078"/>
    <w:rsid w:val="00A6215C"/>
    <w:rsid w:val="00A65D09"/>
    <w:rsid w:val="00A722B0"/>
    <w:rsid w:val="00A834B8"/>
    <w:rsid w:val="00A86F1A"/>
    <w:rsid w:val="00A9159F"/>
    <w:rsid w:val="00A9275F"/>
    <w:rsid w:val="00A93921"/>
    <w:rsid w:val="00A96322"/>
    <w:rsid w:val="00AA20C9"/>
    <w:rsid w:val="00AA2141"/>
    <w:rsid w:val="00AA4FD2"/>
    <w:rsid w:val="00AA50D8"/>
    <w:rsid w:val="00AA5524"/>
    <w:rsid w:val="00AD1AAD"/>
    <w:rsid w:val="00AD4ABE"/>
    <w:rsid w:val="00AD687A"/>
    <w:rsid w:val="00AD6DC4"/>
    <w:rsid w:val="00AD6E17"/>
    <w:rsid w:val="00AE23F9"/>
    <w:rsid w:val="00AE29E4"/>
    <w:rsid w:val="00AF0A9F"/>
    <w:rsid w:val="00AF0EB2"/>
    <w:rsid w:val="00AF3340"/>
    <w:rsid w:val="00B00C37"/>
    <w:rsid w:val="00B02864"/>
    <w:rsid w:val="00B06010"/>
    <w:rsid w:val="00B07898"/>
    <w:rsid w:val="00B1627B"/>
    <w:rsid w:val="00B206C1"/>
    <w:rsid w:val="00B31641"/>
    <w:rsid w:val="00B321BE"/>
    <w:rsid w:val="00B3403E"/>
    <w:rsid w:val="00B432FD"/>
    <w:rsid w:val="00B6273D"/>
    <w:rsid w:val="00B64794"/>
    <w:rsid w:val="00B654ED"/>
    <w:rsid w:val="00B67600"/>
    <w:rsid w:val="00B725B1"/>
    <w:rsid w:val="00B72B43"/>
    <w:rsid w:val="00B7388C"/>
    <w:rsid w:val="00B7408F"/>
    <w:rsid w:val="00B75DB6"/>
    <w:rsid w:val="00B93631"/>
    <w:rsid w:val="00B94871"/>
    <w:rsid w:val="00B94FB4"/>
    <w:rsid w:val="00B962FD"/>
    <w:rsid w:val="00BA2235"/>
    <w:rsid w:val="00BA2903"/>
    <w:rsid w:val="00BA728F"/>
    <w:rsid w:val="00BC33C9"/>
    <w:rsid w:val="00BC3DA7"/>
    <w:rsid w:val="00BC3DB1"/>
    <w:rsid w:val="00BD3267"/>
    <w:rsid w:val="00BD4513"/>
    <w:rsid w:val="00BE1C6E"/>
    <w:rsid w:val="00BE681A"/>
    <w:rsid w:val="00BF1328"/>
    <w:rsid w:val="00BF1C59"/>
    <w:rsid w:val="00BF21AE"/>
    <w:rsid w:val="00BF75B2"/>
    <w:rsid w:val="00BF7C25"/>
    <w:rsid w:val="00C03AF3"/>
    <w:rsid w:val="00C05595"/>
    <w:rsid w:val="00C1082D"/>
    <w:rsid w:val="00C1738A"/>
    <w:rsid w:val="00C26CB0"/>
    <w:rsid w:val="00C27414"/>
    <w:rsid w:val="00C30B45"/>
    <w:rsid w:val="00C32240"/>
    <w:rsid w:val="00C43D1E"/>
    <w:rsid w:val="00C44D85"/>
    <w:rsid w:val="00C52FC3"/>
    <w:rsid w:val="00C55D39"/>
    <w:rsid w:val="00C624C9"/>
    <w:rsid w:val="00C63CC6"/>
    <w:rsid w:val="00C643DF"/>
    <w:rsid w:val="00C67F94"/>
    <w:rsid w:val="00C744BC"/>
    <w:rsid w:val="00C8648B"/>
    <w:rsid w:val="00C947E7"/>
    <w:rsid w:val="00C978EF"/>
    <w:rsid w:val="00CA21E4"/>
    <w:rsid w:val="00CA5F63"/>
    <w:rsid w:val="00CA7CDA"/>
    <w:rsid w:val="00CB007F"/>
    <w:rsid w:val="00CB6473"/>
    <w:rsid w:val="00CC09C5"/>
    <w:rsid w:val="00CC5A10"/>
    <w:rsid w:val="00CD1FA8"/>
    <w:rsid w:val="00CE1CB4"/>
    <w:rsid w:val="00CE4136"/>
    <w:rsid w:val="00CE5590"/>
    <w:rsid w:val="00CF3913"/>
    <w:rsid w:val="00CF5226"/>
    <w:rsid w:val="00CF5EE9"/>
    <w:rsid w:val="00CF670E"/>
    <w:rsid w:val="00D01826"/>
    <w:rsid w:val="00D01E95"/>
    <w:rsid w:val="00D02720"/>
    <w:rsid w:val="00D11D73"/>
    <w:rsid w:val="00D15430"/>
    <w:rsid w:val="00D20263"/>
    <w:rsid w:val="00D22699"/>
    <w:rsid w:val="00D34273"/>
    <w:rsid w:val="00D363E1"/>
    <w:rsid w:val="00D372B4"/>
    <w:rsid w:val="00D4029F"/>
    <w:rsid w:val="00D522E9"/>
    <w:rsid w:val="00D55F6A"/>
    <w:rsid w:val="00D66F0C"/>
    <w:rsid w:val="00D67ADC"/>
    <w:rsid w:val="00D75FB3"/>
    <w:rsid w:val="00D85B38"/>
    <w:rsid w:val="00D85BEA"/>
    <w:rsid w:val="00D90D9C"/>
    <w:rsid w:val="00D93657"/>
    <w:rsid w:val="00D96329"/>
    <w:rsid w:val="00D963F2"/>
    <w:rsid w:val="00DA72C6"/>
    <w:rsid w:val="00DB1F26"/>
    <w:rsid w:val="00DB36FF"/>
    <w:rsid w:val="00DB4106"/>
    <w:rsid w:val="00DC458D"/>
    <w:rsid w:val="00DC5A1D"/>
    <w:rsid w:val="00DD2EC4"/>
    <w:rsid w:val="00DD6306"/>
    <w:rsid w:val="00DE2E40"/>
    <w:rsid w:val="00E006C3"/>
    <w:rsid w:val="00E01A29"/>
    <w:rsid w:val="00E110EE"/>
    <w:rsid w:val="00E15D33"/>
    <w:rsid w:val="00E2061C"/>
    <w:rsid w:val="00E31B34"/>
    <w:rsid w:val="00E33716"/>
    <w:rsid w:val="00E34FE5"/>
    <w:rsid w:val="00E35314"/>
    <w:rsid w:val="00E47DF5"/>
    <w:rsid w:val="00E502F0"/>
    <w:rsid w:val="00E509B6"/>
    <w:rsid w:val="00E54185"/>
    <w:rsid w:val="00E62BFD"/>
    <w:rsid w:val="00E7365D"/>
    <w:rsid w:val="00E74BDE"/>
    <w:rsid w:val="00E80C57"/>
    <w:rsid w:val="00E832CA"/>
    <w:rsid w:val="00E85785"/>
    <w:rsid w:val="00E87729"/>
    <w:rsid w:val="00E91A7C"/>
    <w:rsid w:val="00E9302F"/>
    <w:rsid w:val="00EA767E"/>
    <w:rsid w:val="00ED43D6"/>
    <w:rsid w:val="00ED50A3"/>
    <w:rsid w:val="00EE7884"/>
    <w:rsid w:val="00EF521D"/>
    <w:rsid w:val="00EF5527"/>
    <w:rsid w:val="00EF789C"/>
    <w:rsid w:val="00F053A1"/>
    <w:rsid w:val="00F05754"/>
    <w:rsid w:val="00F14312"/>
    <w:rsid w:val="00F1601D"/>
    <w:rsid w:val="00F20933"/>
    <w:rsid w:val="00F20ACD"/>
    <w:rsid w:val="00F43437"/>
    <w:rsid w:val="00F47D74"/>
    <w:rsid w:val="00F51A71"/>
    <w:rsid w:val="00F54D46"/>
    <w:rsid w:val="00F605D2"/>
    <w:rsid w:val="00F742DF"/>
    <w:rsid w:val="00F853D1"/>
    <w:rsid w:val="00F86732"/>
    <w:rsid w:val="00F87253"/>
    <w:rsid w:val="00F87F97"/>
    <w:rsid w:val="00F918CE"/>
    <w:rsid w:val="00F92FE2"/>
    <w:rsid w:val="00F95B90"/>
    <w:rsid w:val="00FA129E"/>
    <w:rsid w:val="00FA3792"/>
    <w:rsid w:val="00FA6A17"/>
    <w:rsid w:val="00FB53AE"/>
    <w:rsid w:val="00FB6BE5"/>
    <w:rsid w:val="00FC0577"/>
    <w:rsid w:val="00FC1516"/>
    <w:rsid w:val="00FC604E"/>
    <w:rsid w:val="00FC6E90"/>
    <w:rsid w:val="00FD0258"/>
    <w:rsid w:val="00FD4B5C"/>
    <w:rsid w:val="00FD7611"/>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1A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C63CC6"/>
    <w:rPr>
      <w:sz w:val="16"/>
      <w:szCs w:val="16"/>
    </w:rPr>
  </w:style>
  <w:style w:type="paragraph" w:styleId="CommentText">
    <w:name w:val="annotation text"/>
    <w:basedOn w:val="Normal"/>
    <w:link w:val="CommentTextChar"/>
    <w:rsid w:val="00C63CC6"/>
    <w:rPr>
      <w:sz w:val="20"/>
    </w:rPr>
  </w:style>
  <w:style w:type="character" w:customStyle="1" w:styleId="CommentTextChar">
    <w:name w:val="Comment Text Char"/>
    <w:basedOn w:val="DefaultParagraphFont"/>
    <w:link w:val="CommentText"/>
    <w:rsid w:val="00C63CC6"/>
  </w:style>
  <w:style w:type="paragraph" w:styleId="CommentSubject">
    <w:name w:val="annotation subject"/>
    <w:basedOn w:val="CommentText"/>
    <w:next w:val="CommentText"/>
    <w:link w:val="CommentSubjectChar"/>
    <w:rsid w:val="00C63CC6"/>
    <w:rPr>
      <w:b/>
      <w:bCs/>
    </w:rPr>
  </w:style>
  <w:style w:type="character" w:customStyle="1" w:styleId="CommentSubjectChar">
    <w:name w:val="Comment Subject Char"/>
    <w:basedOn w:val="CommentTextChar"/>
    <w:link w:val="CommentSubject"/>
    <w:rsid w:val="00C63CC6"/>
    <w:rPr>
      <w:b/>
      <w:bCs/>
    </w:rPr>
  </w:style>
  <w:style w:type="paragraph" w:styleId="BalloonText">
    <w:name w:val="Balloon Text"/>
    <w:basedOn w:val="Normal"/>
    <w:link w:val="BalloonTextChar"/>
    <w:rsid w:val="00C63C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C63CC6"/>
    <w:rPr>
      <w:rFonts w:ascii="Tahoma" w:hAnsi="Tahoma" w:cs="Tahoma"/>
      <w:sz w:val="16"/>
      <w:szCs w:val="16"/>
    </w:rPr>
  </w:style>
  <w:style w:type="paragraph" w:customStyle="1" w:styleId="Bullet">
    <w:name w:val="Bullet"/>
    <w:basedOn w:val="Normal"/>
    <w:link w:val="BulletChar"/>
    <w:rsid w:val="0041425B"/>
    <w:pPr>
      <w:numPr>
        <w:numId w:val="33"/>
      </w:numPr>
    </w:pPr>
  </w:style>
  <w:style w:type="character" w:customStyle="1" w:styleId="BulletChar">
    <w:name w:val="Bullet Char"/>
    <w:basedOn w:val="base-text-paragraphChar"/>
    <w:link w:val="Bullet"/>
    <w:rsid w:val="0041425B"/>
    <w:rPr>
      <w:sz w:val="22"/>
    </w:rPr>
  </w:style>
  <w:style w:type="paragraph" w:customStyle="1" w:styleId="Dash">
    <w:name w:val="Dash"/>
    <w:basedOn w:val="Normal"/>
    <w:link w:val="DashChar"/>
    <w:rsid w:val="0041425B"/>
    <w:pPr>
      <w:numPr>
        <w:ilvl w:val="1"/>
        <w:numId w:val="33"/>
      </w:numPr>
    </w:pPr>
  </w:style>
  <w:style w:type="character" w:customStyle="1" w:styleId="DashChar">
    <w:name w:val="Dash Char"/>
    <w:basedOn w:val="base-text-paragraphChar"/>
    <w:link w:val="Dash"/>
    <w:rsid w:val="0041425B"/>
    <w:rPr>
      <w:sz w:val="22"/>
    </w:rPr>
  </w:style>
  <w:style w:type="paragraph" w:customStyle="1" w:styleId="DoubleDot">
    <w:name w:val="Double Dot"/>
    <w:basedOn w:val="Normal"/>
    <w:link w:val="DoubleDotChar"/>
    <w:rsid w:val="0041425B"/>
    <w:pPr>
      <w:numPr>
        <w:ilvl w:val="2"/>
        <w:numId w:val="33"/>
      </w:numPr>
    </w:pPr>
  </w:style>
  <w:style w:type="character" w:customStyle="1" w:styleId="DoubleDotChar">
    <w:name w:val="Double Dot Char"/>
    <w:basedOn w:val="base-text-paragraphChar"/>
    <w:link w:val="DoubleDot"/>
    <w:rsid w:val="0041425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36787F"/>
    <w:pPr>
      <w:numPr>
        <w:ilvl w:val="1"/>
        <w:numId w:val="20"/>
      </w:numPr>
      <w:tabs>
        <w:tab w:val="clear" w:pos="2552"/>
        <w:tab w:val="num" w:pos="360"/>
      </w:tabs>
      <w:ind w:left="0"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C63CC6"/>
    <w:rPr>
      <w:sz w:val="16"/>
      <w:szCs w:val="16"/>
    </w:rPr>
  </w:style>
  <w:style w:type="paragraph" w:styleId="CommentText">
    <w:name w:val="annotation text"/>
    <w:basedOn w:val="Normal"/>
    <w:link w:val="CommentTextChar"/>
    <w:rsid w:val="00C63CC6"/>
    <w:rPr>
      <w:sz w:val="20"/>
    </w:rPr>
  </w:style>
  <w:style w:type="character" w:customStyle="1" w:styleId="CommentTextChar">
    <w:name w:val="Comment Text Char"/>
    <w:basedOn w:val="DefaultParagraphFont"/>
    <w:link w:val="CommentText"/>
    <w:rsid w:val="00C63CC6"/>
  </w:style>
  <w:style w:type="paragraph" w:styleId="CommentSubject">
    <w:name w:val="annotation subject"/>
    <w:basedOn w:val="CommentText"/>
    <w:next w:val="CommentText"/>
    <w:link w:val="CommentSubjectChar"/>
    <w:rsid w:val="00C63CC6"/>
    <w:rPr>
      <w:b/>
      <w:bCs/>
    </w:rPr>
  </w:style>
  <w:style w:type="character" w:customStyle="1" w:styleId="CommentSubjectChar">
    <w:name w:val="Comment Subject Char"/>
    <w:basedOn w:val="CommentTextChar"/>
    <w:link w:val="CommentSubject"/>
    <w:rsid w:val="00C63CC6"/>
    <w:rPr>
      <w:b/>
      <w:bCs/>
    </w:rPr>
  </w:style>
  <w:style w:type="paragraph" w:styleId="BalloonText">
    <w:name w:val="Balloon Text"/>
    <w:basedOn w:val="Normal"/>
    <w:link w:val="BalloonTextChar"/>
    <w:rsid w:val="00C63C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C63CC6"/>
    <w:rPr>
      <w:rFonts w:ascii="Tahoma" w:hAnsi="Tahoma" w:cs="Tahoma"/>
      <w:sz w:val="16"/>
      <w:szCs w:val="16"/>
    </w:rPr>
  </w:style>
  <w:style w:type="paragraph" w:customStyle="1" w:styleId="Bullet">
    <w:name w:val="Bullet"/>
    <w:basedOn w:val="Normal"/>
    <w:link w:val="BulletChar"/>
    <w:rsid w:val="0041425B"/>
    <w:pPr>
      <w:numPr>
        <w:numId w:val="33"/>
      </w:numPr>
    </w:pPr>
  </w:style>
  <w:style w:type="character" w:customStyle="1" w:styleId="BulletChar">
    <w:name w:val="Bullet Char"/>
    <w:basedOn w:val="base-text-paragraphChar"/>
    <w:link w:val="Bullet"/>
    <w:rsid w:val="0041425B"/>
    <w:rPr>
      <w:sz w:val="22"/>
    </w:rPr>
  </w:style>
  <w:style w:type="paragraph" w:customStyle="1" w:styleId="Dash">
    <w:name w:val="Dash"/>
    <w:basedOn w:val="Normal"/>
    <w:link w:val="DashChar"/>
    <w:rsid w:val="0041425B"/>
    <w:pPr>
      <w:numPr>
        <w:ilvl w:val="1"/>
        <w:numId w:val="33"/>
      </w:numPr>
    </w:pPr>
  </w:style>
  <w:style w:type="character" w:customStyle="1" w:styleId="DashChar">
    <w:name w:val="Dash Char"/>
    <w:basedOn w:val="base-text-paragraphChar"/>
    <w:link w:val="Dash"/>
    <w:rsid w:val="0041425B"/>
    <w:rPr>
      <w:sz w:val="22"/>
    </w:rPr>
  </w:style>
  <w:style w:type="paragraph" w:customStyle="1" w:styleId="DoubleDot">
    <w:name w:val="Double Dot"/>
    <w:basedOn w:val="Normal"/>
    <w:link w:val="DoubleDotChar"/>
    <w:rsid w:val="0041425B"/>
    <w:pPr>
      <w:numPr>
        <w:ilvl w:val="2"/>
        <w:numId w:val="33"/>
      </w:numPr>
    </w:pPr>
  </w:style>
  <w:style w:type="character" w:customStyle="1" w:styleId="DoubleDotChar">
    <w:name w:val="Double Dot Char"/>
    <w:basedOn w:val="base-text-paragraphChar"/>
    <w:link w:val="DoubleDot"/>
    <w:rsid w:val="004142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1664</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Explanatory Statement - Extending superannuation choice to enterprise agreements and workplace determinations</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Extending superannuation choice to enterprise agreements and workplace determinations</dc:title>
  <dc:subject/>
  <dc:creator>The Treasury</dc:creator>
  <cp:keywords/>
  <cp:lastModifiedBy>Fedenko, Serge</cp:lastModifiedBy>
  <cp:revision>4</cp:revision>
  <dcterms:created xsi:type="dcterms:W3CDTF">2015-10-18T23:57:00Z</dcterms:created>
  <dcterms:modified xsi:type="dcterms:W3CDTF">2015-11-04T00:28:00Z</dcterms:modified>
</cp:coreProperties>
</file>