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B5837" w14:textId="77777777" w:rsidR="00F109D4" w:rsidRPr="00647BB7" w:rsidRDefault="00F109D4" w:rsidP="00647BB7">
      <w:pPr>
        <w:pStyle w:val="Heading1"/>
        <w:spacing w:after="360"/>
        <w:rPr>
          <w:rFonts w:ascii="Times New Roman" w:hAnsi="Times New Roman"/>
          <w:u w:val="none"/>
        </w:rPr>
      </w:pPr>
      <w:bookmarkStart w:id="0" w:name="_GoBack"/>
      <w:bookmarkEnd w:id="0"/>
      <w:r w:rsidRPr="00647BB7">
        <w:rPr>
          <w:rFonts w:ascii="Times New Roman" w:hAnsi="Times New Roman"/>
          <w:u w:val="none"/>
        </w:rPr>
        <w:t>EXPLANATORY STATEMENT</w:t>
      </w:r>
    </w:p>
    <w:p w14:paraId="61242027" w14:textId="64CEF720" w:rsidR="007662C7" w:rsidRPr="003E1CE3" w:rsidRDefault="00F109D4" w:rsidP="003E1CE3">
      <w:pPr>
        <w:pStyle w:val="Heading2"/>
        <w:jc w:val="center"/>
      </w:pPr>
      <w:r w:rsidRPr="00503E44">
        <w:t xml:space="preserve">Issued by authority of the </w:t>
      </w:r>
      <w:r w:rsidR="004D349D">
        <w:t xml:space="preserve">Minister </w:t>
      </w:r>
      <w:r w:rsidR="00224C87">
        <w:t>for</w:t>
      </w:r>
      <w:r w:rsidR="004D349D">
        <w:t xml:space="preserve"> Revenue and Financial Services</w:t>
      </w:r>
      <w:r w:rsidR="000E0C41">
        <w:t>,</w:t>
      </w:r>
      <w:r w:rsidR="00D77137">
        <w:t xml:space="preserve"> Minister for Women and Minister Assisting the Prime Minister for the Public Service</w:t>
      </w:r>
    </w:p>
    <w:p w14:paraId="41F260D8" w14:textId="6B29BC45" w:rsidR="00F109D4" w:rsidRPr="00503E44" w:rsidRDefault="00B560BF" w:rsidP="00AA1689">
      <w:pPr>
        <w:spacing w:before="0" w:after="240"/>
        <w:jc w:val="center"/>
        <w:rPr>
          <w:i/>
        </w:rPr>
      </w:pPr>
      <w:r>
        <w:rPr>
          <w:i/>
        </w:rPr>
        <w:t>Financial Sector (Collection of Data) Act 2001</w:t>
      </w:r>
    </w:p>
    <w:p w14:paraId="0A7A0ECC" w14:textId="405E0D2A" w:rsidR="00F109D4" w:rsidRPr="00503E44" w:rsidRDefault="00B560BF" w:rsidP="00AA1689">
      <w:pPr>
        <w:tabs>
          <w:tab w:val="left" w:pos="1418"/>
        </w:tabs>
        <w:spacing w:before="0" w:after="240"/>
        <w:jc w:val="center"/>
        <w:rPr>
          <w:i/>
        </w:rPr>
      </w:pPr>
      <w:r>
        <w:rPr>
          <w:i/>
        </w:rPr>
        <w:t>Financial Sector (Collection of Data) Regulations 2018</w:t>
      </w:r>
    </w:p>
    <w:p w14:paraId="079650CD" w14:textId="4A0497CD" w:rsidR="00F109D4" w:rsidRDefault="00C55D29" w:rsidP="00647BB7">
      <w:pPr>
        <w:spacing w:before="240"/>
      </w:pPr>
      <w:r w:rsidRPr="00503E44">
        <w:t xml:space="preserve">Section </w:t>
      </w:r>
      <w:r w:rsidR="00B560BF">
        <w:t>30</w:t>
      </w:r>
      <w:r w:rsidR="005E4BAC">
        <w:t xml:space="preserve"> </w:t>
      </w:r>
      <w:r w:rsidR="00F109D4" w:rsidRPr="00503E44">
        <w:t xml:space="preserve">of the </w:t>
      </w:r>
      <w:r w:rsidR="00B560BF" w:rsidRPr="00B560BF">
        <w:rPr>
          <w:i/>
        </w:rPr>
        <w:t>Financial Sector (Collection of Data) Act 2001</w:t>
      </w:r>
      <w:r w:rsidR="00F109D4" w:rsidRPr="00503E44">
        <w:t xml:space="preserve"> (the Act) provides that the Governor-General may make regulations prescribing matters required or permitted by the Act to be prescribed, or necessary or convenient to be prescribed for carrying out or giving effect to the Act.</w:t>
      </w:r>
    </w:p>
    <w:p w14:paraId="710E68B5" w14:textId="77777777" w:rsidR="00CB5268" w:rsidRDefault="00B560BF" w:rsidP="00CB0BB8">
      <w:r>
        <w:t xml:space="preserve">The purpose of the </w:t>
      </w:r>
      <w:r w:rsidRPr="00B560BF">
        <w:rPr>
          <w:i/>
        </w:rPr>
        <w:t>Financial Sector (Collection of Data) Regulations 2018</w:t>
      </w:r>
      <w:r>
        <w:rPr>
          <w:i/>
        </w:rPr>
        <w:t xml:space="preserve"> </w:t>
      </w:r>
      <w:r>
        <w:t xml:space="preserve">(the Regulations) is to </w:t>
      </w:r>
      <w:r w:rsidRPr="00FE098D">
        <w:t>remake</w:t>
      </w:r>
      <w:r w:rsidR="00E25D31" w:rsidRPr="00FE098D">
        <w:t xml:space="preserve"> </w:t>
      </w:r>
      <w:r>
        <w:t xml:space="preserve">the </w:t>
      </w:r>
      <w:r w:rsidRPr="00B560BF">
        <w:rPr>
          <w:i/>
        </w:rPr>
        <w:t>Financial Sector (Collection of Data) Regulations 2008</w:t>
      </w:r>
      <w:r>
        <w:rPr>
          <w:i/>
        </w:rPr>
        <w:t xml:space="preserve"> </w:t>
      </w:r>
      <w:r>
        <w:t xml:space="preserve">prior to their ‘sunsetting’. </w:t>
      </w:r>
      <w:r w:rsidRPr="00E0375A">
        <w:t xml:space="preserve">The </w:t>
      </w:r>
      <w:r w:rsidRPr="00DC20AE">
        <w:rPr>
          <w:i/>
        </w:rPr>
        <w:t>Legislation Act 2003</w:t>
      </w:r>
      <w:r>
        <w:t xml:space="preserve"> </w:t>
      </w:r>
      <w:r w:rsidRPr="00E0375A">
        <w:t xml:space="preserve">provides that all legislative instruments, other than exempt instruments, </w:t>
      </w:r>
      <w:r>
        <w:t>are automatically repealed on or after their tenth anniversary of their registration.</w:t>
      </w:r>
      <w:r w:rsidR="005D348C">
        <w:t xml:space="preserve"> The </w:t>
      </w:r>
      <w:r w:rsidR="005D348C" w:rsidRPr="00B560BF">
        <w:rPr>
          <w:i/>
        </w:rPr>
        <w:t>Financial Sector (Collection of Data) Regulations 2008</w:t>
      </w:r>
      <w:r w:rsidR="005D348C">
        <w:rPr>
          <w:i/>
        </w:rPr>
        <w:t xml:space="preserve"> </w:t>
      </w:r>
      <w:r w:rsidR="005D348C">
        <w:t xml:space="preserve">will be automatically repealed on </w:t>
      </w:r>
      <w:r w:rsidR="007E5441">
        <w:t>1 October </w:t>
      </w:r>
      <w:r w:rsidR="005D348C">
        <w:t>2018.</w:t>
      </w:r>
      <w:r w:rsidR="005D348C">
        <w:rPr>
          <w:i/>
        </w:rPr>
        <w:t xml:space="preserve"> </w:t>
      </w:r>
      <w:r>
        <w:t xml:space="preserve"> Legislative instruments generally cease to have effect after</w:t>
      </w:r>
      <w:r w:rsidR="000C6A23">
        <w:t xml:space="preserve"> 10 years</w:t>
      </w:r>
      <w:r>
        <w:t xml:space="preserve"> unless further legislative action is taken to extend their operation, su</w:t>
      </w:r>
      <w:r w:rsidR="00CB5268">
        <w:t xml:space="preserve">ch as remaking the instrument. </w:t>
      </w:r>
    </w:p>
    <w:p w14:paraId="4BDC61E6" w14:textId="50D3D454" w:rsidR="00C93203" w:rsidRDefault="00B560BF" w:rsidP="00CB0BB8">
      <w:r w:rsidRPr="00DC20AE">
        <w:t>The Regulation</w:t>
      </w:r>
      <w:r w:rsidR="00FE689E">
        <w:t>s</w:t>
      </w:r>
      <w:r w:rsidRPr="00DC20AE">
        <w:t xml:space="preserve"> r</w:t>
      </w:r>
      <w:r w:rsidR="00FE689E">
        <w:t xml:space="preserve">emake </w:t>
      </w:r>
      <w:r w:rsidRPr="00DC20AE">
        <w:t xml:space="preserve">the </w:t>
      </w:r>
      <w:r w:rsidRPr="00B560BF">
        <w:rPr>
          <w:i/>
        </w:rPr>
        <w:t>Financial Sector (Collection of Data) Regulations 2008</w:t>
      </w:r>
      <w:r w:rsidR="00B96E9A">
        <w:t xml:space="preserve"> by updating the language and restructuring provisions to align with current drafting practices. </w:t>
      </w:r>
    </w:p>
    <w:p w14:paraId="64DD041B" w14:textId="71DE1AFA" w:rsidR="00681C6B" w:rsidRDefault="00B560BF" w:rsidP="00681C6B">
      <w:r w:rsidRPr="00B96E9A">
        <w:t>These changes do not change the substantive meaning or operation of the provisions.</w:t>
      </w:r>
    </w:p>
    <w:p w14:paraId="19932C73" w14:textId="1A8CC7D8" w:rsidR="00681C6B" w:rsidRPr="00EB1B56" w:rsidRDefault="00681C6B" w:rsidP="00681C6B">
      <w:r w:rsidRPr="00EB1B56">
        <w:t xml:space="preserve">Details of the Regulations are set out in the </w:t>
      </w:r>
      <w:r w:rsidRPr="00EB1B56">
        <w:rPr>
          <w:u w:val="single"/>
        </w:rPr>
        <w:t>Attachment.</w:t>
      </w:r>
      <w:r w:rsidRPr="00EB1B56">
        <w:t xml:space="preserve"> </w:t>
      </w:r>
    </w:p>
    <w:p w14:paraId="54FAA372" w14:textId="77777777" w:rsidR="008B2159" w:rsidRDefault="00B560BF" w:rsidP="00B86103">
      <w:pPr>
        <w:pStyle w:val="Bullet"/>
        <w:numPr>
          <w:ilvl w:val="0"/>
          <w:numId w:val="0"/>
        </w:numPr>
      </w:pPr>
      <w:r w:rsidRPr="00DC20AE">
        <w:t>The Act does not specify any conditions that need to be met before the power to make the Regulation</w:t>
      </w:r>
      <w:r w:rsidR="004219A4">
        <w:t>s</w:t>
      </w:r>
      <w:r w:rsidRPr="00DC20AE">
        <w:t xml:space="preserve"> may be exercised.</w:t>
      </w:r>
    </w:p>
    <w:p w14:paraId="3BA2B94C" w14:textId="6B394E2E" w:rsidR="00F20684" w:rsidRDefault="00B560BF" w:rsidP="00B86103">
      <w:pPr>
        <w:pStyle w:val="Bullet"/>
        <w:numPr>
          <w:ilvl w:val="0"/>
          <w:numId w:val="0"/>
        </w:numPr>
      </w:pPr>
      <w:r w:rsidRPr="00DC20AE">
        <w:t>The Regulation</w:t>
      </w:r>
      <w:r w:rsidR="004219A4">
        <w:t>s</w:t>
      </w:r>
      <w:r w:rsidRPr="00DC20AE">
        <w:t xml:space="preserve"> is a legislative instrument for the purposes of the </w:t>
      </w:r>
      <w:r w:rsidRPr="00DC20AE">
        <w:rPr>
          <w:i/>
        </w:rPr>
        <w:t>Legislation Act 2003</w:t>
      </w:r>
      <w:r w:rsidRPr="00DC20AE">
        <w:t>.</w:t>
      </w:r>
    </w:p>
    <w:p w14:paraId="755AB855" w14:textId="623E603E" w:rsidR="000A5057" w:rsidRPr="00F20684" w:rsidRDefault="00B560BF" w:rsidP="00B560BF">
      <w:r w:rsidRPr="00CA5DE5">
        <w:t>The Regulation</w:t>
      </w:r>
      <w:r w:rsidR="004219A4">
        <w:t>s</w:t>
      </w:r>
      <w:r w:rsidRPr="00CA5DE5">
        <w:t xml:space="preserve"> </w:t>
      </w:r>
      <w:r w:rsidR="004219A4">
        <w:t>commence on</w:t>
      </w:r>
      <w:r>
        <w:t xml:space="preserve"> </w:t>
      </w:r>
      <w:r w:rsidR="000A5057">
        <w:t xml:space="preserve">1 October 2018. </w:t>
      </w:r>
    </w:p>
    <w:p w14:paraId="6233B12F" w14:textId="77777777" w:rsidR="009143A0" w:rsidRDefault="009143A0" w:rsidP="00647BB7">
      <w:pPr>
        <w:spacing w:before="240"/>
      </w:pPr>
    </w:p>
    <w:p w14:paraId="66B3D679" w14:textId="426B0656" w:rsidR="00B86103" w:rsidRDefault="00B86103" w:rsidP="00647BB7">
      <w:pPr>
        <w:spacing w:before="240"/>
      </w:pPr>
    </w:p>
    <w:p w14:paraId="71E39228" w14:textId="77777777" w:rsidR="00B86103" w:rsidRDefault="00B86103" w:rsidP="00647BB7">
      <w:pPr>
        <w:spacing w:before="240"/>
      </w:pPr>
    </w:p>
    <w:p w14:paraId="2EEB7894" w14:textId="77777777" w:rsidR="00B86103" w:rsidRDefault="00B86103" w:rsidP="00647BB7">
      <w:pPr>
        <w:spacing w:before="240"/>
      </w:pPr>
    </w:p>
    <w:p w14:paraId="2E9199F7" w14:textId="77777777" w:rsidR="002021FB" w:rsidRDefault="002021FB" w:rsidP="006B545D">
      <w:pPr>
        <w:tabs>
          <w:tab w:val="left" w:pos="2835"/>
        </w:tabs>
        <w:spacing w:before="240"/>
        <w:ind w:right="91"/>
        <w:rPr>
          <w:b/>
        </w:rPr>
      </w:pPr>
    </w:p>
    <w:p w14:paraId="69856C8F" w14:textId="77777777" w:rsidR="00CB5268" w:rsidRDefault="00CB5268" w:rsidP="00256BF8">
      <w:pPr>
        <w:tabs>
          <w:tab w:val="left" w:pos="2835"/>
        </w:tabs>
        <w:spacing w:before="240"/>
        <w:ind w:right="91"/>
        <w:jc w:val="right"/>
        <w:rPr>
          <w:b/>
        </w:rPr>
      </w:pPr>
    </w:p>
    <w:p w14:paraId="7CB00449" w14:textId="77777777" w:rsidR="00CB5268" w:rsidRDefault="00CB5268" w:rsidP="00256BF8">
      <w:pPr>
        <w:tabs>
          <w:tab w:val="left" w:pos="2835"/>
        </w:tabs>
        <w:spacing w:before="240"/>
        <w:ind w:right="91"/>
        <w:jc w:val="right"/>
        <w:rPr>
          <w:b/>
        </w:rPr>
      </w:pPr>
    </w:p>
    <w:p w14:paraId="19D92C1D" w14:textId="77777777" w:rsidR="00256BF8" w:rsidRPr="007C7E56" w:rsidRDefault="00256BF8" w:rsidP="00256BF8">
      <w:pPr>
        <w:tabs>
          <w:tab w:val="left" w:pos="2835"/>
        </w:tabs>
        <w:spacing w:before="240"/>
        <w:ind w:right="91"/>
        <w:jc w:val="right"/>
        <w:rPr>
          <w:b/>
        </w:rPr>
      </w:pPr>
      <w:r>
        <w:rPr>
          <w:b/>
        </w:rPr>
        <w:lastRenderedPageBreak/>
        <w:t>ATTACHMENT</w:t>
      </w:r>
    </w:p>
    <w:p w14:paraId="3B7E07B6" w14:textId="77777777" w:rsidR="00256BF8" w:rsidRPr="007C7E56" w:rsidRDefault="00256BF8" w:rsidP="00256BF8">
      <w:pPr>
        <w:tabs>
          <w:tab w:val="left" w:pos="2835"/>
        </w:tabs>
        <w:spacing w:before="240"/>
        <w:ind w:right="91"/>
        <w:rPr>
          <w:b/>
          <w:u w:val="single"/>
        </w:rPr>
      </w:pPr>
      <w:r w:rsidRPr="007C7E56">
        <w:rPr>
          <w:b/>
          <w:u w:val="single"/>
        </w:rPr>
        <w:t xml:space="preserve">Details of the </w:t>
      </w:r>
      <w:r w:rsidRPr="007C7E56">
        <w:rPr>
          <w:b/>
          <w:i/>
          <w:u w:val="single"/>
        </w:rPr>
        <w:t xml:space="preserve">Financial Sector (Collection of Data) Regulations 2018 </w:t>
      </w:r>
    </w:p>
    <w:p w14:paraId="6CFAAD47" w14:textId="20C2F721" w:rsidR="00256BF8" w:rsidRDefault="00256BF8" w:rsidP="00256BF8">
      <w:pPr>
        <w:tabs>
          <w:tab w:val="left" w:pos="2835"/>
        </w:tabs>
        <w:spacing w:before="240"/>
        <w:ind w:right="91"/>
      </w:pPr>
      <w:r>
        <w:t xml:space="preserve">This Attachment sets out further details of the </w:t>
      </w:r>
      <w:r w:rsidRPr="007C7E56">
        <w:rPr>
          <w:i/>
        </w:rPr>
        <w:t>Financial Sector (Collection of Data) Regulations 2018</w:t>
      </w:r>
      <w:r>
        <w:t xml:space="preserve"> (the Regulations). All references are to the Regulations unless otherwise stated. References to a ‘corresponding provision’ are to the corresponding provision in the </w:t>
      </w:r>
      <w:r w:rsidRPr="007C7E56">
        <w:rPr>
          <w:i/>
        </w:rPr>
        <w:t>Financial Sector (Collection of Data) Regulations 2008</w:t>
      </w:r>
      <w:r>
        <w:t xml:space="preserve">, as identified by the Finding Table at </w:t>
      </w:r>
      <w:r w:rsidR="004E6A3D">
        <w:t>page 4</w:t>
      </w:r>
      <w:r w:rsidRPr="004E6A3D">
        <w:t>.</w:t>
      </w:r>
      <w:r>
        <w:t xml:space="preserve"> </w:t>
      </w:r>
    </w:p>
    <w:p w14:paraId="43EE7C0E" w14:textId="7BB54E82" w:rsidR="00D22747" w:rsidRPr="00D22747" w:rsidRDefault="00D22747" w:rsidP="00D22747">
      <w:pPr>
        <w:shd w:val="clear" w:color="auto" w:fill="FFFFFF"/>
        <w:spacing w:before="100" w:beforeAutospacing="1" w:after="100" w:afterAutospacing="1"/>
        <w:rPr>
          <w:szCs w:val="24"/>
          <w:lang w:val="en-US"/>
        </w:rPr>
      </w:pPr>
      <w:r>
        <w:rPr>
          <w:szCs w:val="24"/>
          <w:lang w:val="en-US"/>
        </w:rPr>
        <w:t>Changes of a minor or machinery nature, such as updating section numbers in accordanc</w:t>
      </w:r>
      <w:r w:rsidR="004E6A3D">
        <w:rPr>
          <w:szCs w:val="24"/>
          <w:lang w:val="en-US"/>
        </w:rPr>
        <w:t xml:space="preserve">e with </w:t>
      </w:r>
      <w:r w:rsidR="006868D7">
        <w:rPr>
          <w:szCs w:val="24"/>
          <w:lang w:val="en-US"/>
        </w:rPr>
        <w:t>current</w:t>
      </w:r>
      <w:r w:rsidR="004E6A3D">
        <w:rPr>
          <w:szCs w:val="24"/>
          <w:lang w:val="en-US"/>
        </w:rPr>
        <w:t xml:space="preserve"> drafting practice</w:t>
      </w:r>
      <w:r w:rsidR="006868D7">
        <w:rPr>
          <w:szCs w:val="24"/>
          <w:lang w:val="en-US"/>
        </w:rPr>
        <w:t>s</w:t>
      </w:r>
      <w:r>
        <w:rPr>
          <w:szCs w:val="24"/>
          <w:lang w:val="en-US"/>
        </w:rPr>
        <w:t>, are generally not specifically identified in this Attachment. Where the Regulations make changes that require further explanation, these are identified and explained in this Attachment.</w:t>
      </w:r>
    </w:p>
    <w:p w14:paraId="67D666AA" w14:textId="77777777" w:rsidR="00256BF8" w:rsidRDefault="00256BF8" w:rsidP="00256BF8">
      <w:pPr>
        <w:tabs>
          <w:tab w:val="left" w:pos="2835"/>
        </w:tabs>
        <w:spacing w:before="240"/>
        <w:ind w:right="91"/>
        <w:rPr>
          <w:i/>
        </w:rPr>
      </w:pPr>
      <w:r w:rsidRPr="007C7E56">
        <w:rPr>
          <w:i/>
        </w:rPr>
        <w:t>Section 1</w:t>
      </w:r>
    </w:p>
    <w:p w14:paraId="272D7AED" w14:textId="74EDD667" w:rsidR="00256BF8" w:rsidRPr="007C7E56" w:rsidRDefault="00256BF8" w:rsidP="00256BF8">
      <w:pPr>
        <w:tabs>
          <w:tab w:val="left" w:pos="2835"/>
        </w:tabs>
        <w:spacing w:before="240"/>
        <w:ind w:right="91"/>
      </w:pPr>
      <w:r>
        <w:t xml:space="preserve">This section provides that the title of the Regulations is the </w:t>
      </w:r>
      <w:r w:rsidRPr="007C7E56">
        <w:rPr>
          <w:i/>
        </w:rPr>
        <w:t>Financial Sector (Collection of Data) Regulations 2018</w:t>
      </w:r>
      <w:r>
        <w:t xml:space="preserve">. </w:t>
      </w:r>
    </w:p>
    <w:p w14:paraId="16D1908B" w14:textId="77777777" w:rsidR="00256BF8" w:rsidRDefault="00256BF8" w:rsidP="00256BF8">
      <w:pPr>
        <w:tabs>
          <w:tab w:val="left" w:pos="2835"/>
        </w:tabs>
        <w:spacing w:before="240"/>
        <w:ind w:right="91"/>
        <w:rPr>
          <w:i/>
        </w:rPr>
      </w:pPr>
      <w:r>
        <w:rPr>
          <w:i/>
        </w:rPr>
        <w:t>Section 2</w:t>
      </w:r>
    </w:p>
    <w:p w14:paraId="00A2F20D" w14:textId="3104F87D" w:rsidR="00256BF8" w:rsidRPr="007C7E56" w:rsidRDefault="00256BF8" w:rsidP="00256BF8">
      <w:pPr>
        <w:tabs>
          <w:tab w:val="left" w:pos="2835"/>
        </w:tabs>
        <w:spacing w:before="240"/>
        <w:ind w:right="91"/>
      </w:pPr>
      <w:r>
        <w:t xml:space="preserve">This section provides that the Regulations commence on 1 October 2018. </w:t>
      </w:r>
    </w:p>
    <w:p w14:paraId="062C9021" w14:textId="77777777" w:rsidR="00256BF8" w:rsidRDefault="00256BF8" w:rsidP="00256BF8">
      <w:pPr>
        <w:tabs>
          <w:tab w:val="left" w:pos="2835"/>
        </w:tabs>
        <w:spacing w:before="240"/>
        <w:ind w:right="91"/>
        <w:rPr>
          <w:i/>
        </w:rPr>
      </w:pPr>
      <w:r>
        <w:rPr>
          <w:i/>
        </w:rPr>
        <w:t>Section 3</w:t>
      </w:r>
    </w:p>
    <w:p w14:paraId="76A1E654" w14:textId="078F7C7C" w:rsidR="00256BF8" w:rsidRPr="007C7E56" w:rsidRDefault="00256BF8" w:rsidP="00256BF8">
      <w:pPr>
        <w:tabs>
          <w:tab w:val="left" w:pos="2835"/>
        </w:tabs>
        <w:spacing w:before="240"/>
        <w:ind w:right="91"/>
      </w:pPr>
      <w:r>
        <w:t xml:space="preserve">This section provides that the Regulations are made under the </w:t>
      </w:r>
      <w:r w:rsidRPr="00256BF8">
        <w:rPr>
          <w:i/>
        </w:rPr>
        <w:t>Financial Sector (Collection of Data) Act 2001</w:t>
      </w:r>
      <w:r>
        <w:t xml:space="preserve"> (the Act). </w:t>
      </w:r>
    </w:p>
    <w:p w14:paraId="3C0E0D87" w14:textId="77777777" w:rsidR="00256BF8" w:rsidRDefault="00256BF8" w:rsidP="00256BF8">
      <w:pPr>
        <w:tabs>
          <w:tab w:val="left" w:pos="2835"/>
        </w:tabs>
        <w:spacing w:before="240"/>
        <w:ind w:right="91"/>
        <w:rPr>
          <w:i/>
        </w:rPr>
      </w:pPr>
      <w:r>
        <w:rPr>
          <w:i/>
        </w:rPr>
        <w:t>Section 4</w:t>
      </w:r>
    </w:p>
    <w:p w14:paraId="2871B337" w14:textId="13F316E2" w:rsidR="00850667" w:rsidRDefault="00850667" w:rsidP="00850667">
      <w:r>
        <w:t>This section provides that each instrument that is specified in a Schedule to the Regulations is amended or repealed as set out in the applicable items in the Schedule concerned, and any other items in a Schedule to this instrument ha</w:t>
      </w:r>
      <w:r w:rsidR="001C408B">
        <w:t>s effect according to its terms.</w:t>
      </w:r>
      <w:r>
        <w:t xml:space="preserve"> </w:t>
      </w:r>
    </w:p>
    <w:p w14:paraId="2EB512F3" w14:textId="7F4A6BB0" w:rsidR="00CB0BB8" w:rsidRDefault="00CB0BB8" w:rsidP="00CB0BB8">
      <w:pPr>
        <w:tabs>
          <w:tab w:val="left" w:pos="2835"/>
        </w:tabs>
        <w:spacing w:before="240"/>
        <w:ind w:right="91"/>
        <w:rPr>
          <w:i/>
        </w:rPr>
      </w:pPr>
      <w:r>
        <w:rPr>
          <w:i/>
        </w:rPr>
        <w:t>Section</w:t>
      </w:r>
      <w:r w:rsidR="00650F33">
        <w:rPr>
          <w:i/>
        </w:rPr>
        <w:t>s</w:t>
      </w:r>
      <w:r>
        <w:rPr>
          <w:i/>
        </w:rPr>
        <w:t xml:space="preserve"> 5</w:t>
      </w:r>
      <w:r w:rsidR="00650F33">
        <w:rPr>
          <w:i/>
        </w:rPr>
        <w:t xml:space="preserve"> </w:t>
      </w:r>
      <w:r w:rsidR="00FB54F0">
        <w:rPr>
          <w:i/>
        </w:rPr>
        <w:t xml:space="preserve">– </w:t>
      </w:r>
      <w:r w:rsidR="006C7893">
        <w:rPr>
          <w:i/>
        </w:rPr>
        <w:t>7</w:t>
      </w:r>
      <w:r w:rsidR="001C408B">
        <w:rPr>
          <w:i/>
        </w:rPr>
        <w:t xml:space="preserve"> </w:t>
      </w:r>
    </w:p>
    <w:p w14:paraId="721F167B" w14:textId="4FD98788" w:rsidR="006C7893" w:rsidRPr="001C408B" w:rsidRDefault="00650F33" w:rsidP="006C7893">
      <w:pPr>
        <w:keepNext/>
        <w:keepLines/>
        <w:shd w:val="clear" w:color="auto" w:fill="FFFFFF"/>
        <w:spacing w:before="100" w:beforeAutospacing="1" w:after="100" w:afterAutospacing="1"/>
        <w:rPr>
          <w:szCs w:val="24"/>
          <w:lang w:val="en-US"/>
        </w:rPr>
      </w:pPr>
      <w:r>
        <w:t>These</w:t>
      </w:r>
      <w:r w:rsidR="00850667">
        <w:t xml:space="preserve"> section</w:t>
      </w:r>
      <w:r>
        <w:t>s</w:t>
      </w:r>
      <w:r w:rsidR="00850667">
        <w:t xml:space="preserve"> replicate the corresponding provisions in the </w:t>
      </w:r>
      <w:r w:rsidR="003E4919" w:rsidRPr="00B560BF">
        <w:rPr>
          <w:i/>
        </w:rPr>
        <w:t>Financial Sector (Collection of Data) Regulations 2008</w:t>
      </w:r>
      <w:r w:rsidR="003E4919">
        <w:t xml:space="preserve"> </w:t>
      </w:r>
      <w:r w:rsidR="00850667">
        <w:t xml:space="preserve">(please refer to the Finding Table at </w:t>
      </w:r>
      <w:r w:rsidR="005E4BFB">
        <w:t>page</w:t>
      </w:r>
      <w:r w:rsidR="004E6A3D" w:rsidRPr="004E6A3D">
        <w:t xml:space="preserve"> </w:t>
      </w:r>
      <w:r w:rsidR="004E6A3D">
        <w:t>4</w:t>
      </w:r>
      <w:r>
        <w:t xml:space="preserve">), </w:t>
      </w:r>
      <w:r w:rsidR="00C57EEE">
        <w:t xml:space="preserve">with some minor wording changes to reflect </w:t>
      </w:r>
      <w:r w:rsidR="006B545D">
        <w:t>current</w:t>
      </w:r>
      <w:r>
        <w:t xml:space="preserve"> drafting practice</w:t>
      </w:r>
      <w:r w:rsidR="004E6A3D">
        <w:t>s</w:t>
      </w:r>
      <w:r>
        <w:t xml:space="preserve">. </w:t>
      </w:r>
      <w:r w:rsidR="00FB54F0">
        <w:t xml:space="preserve"> </w:t>
      </w:r>
      <w:r w:rsidR="006B545D">
        <w:t>In addition, the</w:t>
      </w:r>
      <w:r w:rsidR="006C7893">
        <w:t xml:space="preserve"> language</w:t>
      </w:r>
      <w:r w:rsidR="006B545D">
        <w:t xml:space="preserve"> in section 7</w:t>
      </w:r>
      <w:r w:rsidR="006C7893">
        <w:t xml:space="preserve"> has been updated to refer to ‘authorities’ rather than ‘agencies’ to</w:t>
      </w:r>
      <w:r w:rsidR="006C7893" w:rsidRPr="001C408B">
        <w:rPr>
          <w:lang w:val="en-US"/>
        </w:rPr>
        <w:t xml:space="preserve"> ensure consistency with the Act.  </w:t>
      </w:r>
    </w:p>
    <w:p w14:paraId="292FB013" w14:textId="02A1A8E9" w:rsidR="002021FB" w:rsidRDefault="002021FB" w:rsidP="002021FB">
      <w:pPr>
        <w:tabs>
          <w:tab w:val="left" w:pos="2835"/>
        </w:tabs>
        <w:spacing w:before="240"/>
        <w:ind w:right="91"/>
        <w:rPr>
          <w:i/>
        </w:rPr>
      </w:pPr>
      <w:r>
        <w:rPr>
          <w:i/>
        </w:rPr>
        <w:t xml:space="preserve">Schedule 1 – Repeals </w:t>
      </w:r>
    </w:p>
    <w:p w14:paraId="42885B96" w14:textId="4F7DAB92" w:rsidR="003E4919" w:rsidRPr="00135E2C" w:rsidRDefault="003E4919" w:rsidP="003E4919">
      <w:pPr>
        <w:shd w:val="clear" w:color="auto" w:fill="FFFFFF"/>
        <w:spacing w:before="100" w:beforeAutospacing="1" w:after="100" w:afterAutospacing="1"/>
        <w:rPr>
          <w:szCs w:val="24"/>
          <w:lang w:val="en-US"/>
        </w:rPr>
      </w:pPr>
      <w:r>
        <w:rPr>
          <w:bCs/>
          <w:szCs w:val="24"/>
        </w:rPr>
        <w:t xml:space="preserve">This schedule provides for the repeal of the </w:t>
      </w:r>
      <w:r w:rsidRPr="00B560BF">
        <w:rPr>
          <w:i/>
        </w:rPr>
        <w:t>Financial Sector (Collection of Data) Regulations 2008</w:t>
      </w:r>
      <w:r>
        <w:rPr>
          <w:i/>
        </w:rPr>
        <w:t xml:space="preserve"> </w:t>
      </w:r>
      <w:r>
        <w:rPr>
          <w:bCs/>
          <w:szCs w:val="24"/>
        </w:rPr>
        <w:t>as the instrument is</w:t>
      </w:r>
      <w:r w:rsidRPr="006C54FF">
        <w:rPr>
          <w:bCs/>
          <w:szCs w:val="24"/>
        </w:rPr>
        <w:t xml:space="preserve"> due to sunset on 1 </w:t>
      </w:r>
      <w:r>
        <w:rPr>
          <w:bCs/>
          <w:szCs w:val="24"/>
        </w:rPr>
        <w:t xml:space="preserve">October </w:t>
      </w:r>
      <w:r w:rsidRPr="006C54FF">
        <w:rPr>
          <w:bCs/>
          <w:szCs w:val="24"/>
        </w:rPr>
        <w:t>201</w:t>
      </w:r>
      <w:r>
        <w:rPr>
          <w:bCs/>
          <w:szCs w:val="24"/>
        </w:rPr>
        <w:t>8</w:t>
      </w:r>
      <w:r w:rsidRPr="006C54FF">
        <w:rPr>
          <w:bCs/>
          <w:szCs w:val="24"/>
        </w:rPr>
        <w:t xml:space="preserve"> and </w:t>
      </w:r>
      <w:r>
        <w:rPr>
          <w:bCs/>
          <w:szCs w:val="24"/>
        </w:rPr>
        <w:t>is</w:t>
      </w:r>
      <w:r w:rsidRPr="006C54FF">
        <w:rPr>
          <w:bCs/>
          <w:szCs w:val="24"/>
        </w:rPr>
        <w:t xml:space="preserve"> being remade by the Regulation</w:t>
      </w:r>
      <w:r>
        <w:rPr>
          <w:bCs/>
          <w:szCs w:val="24"/>
        </w:rPr>
        <w:t>s</w:t>
      </w:r>
      <w:r w:rsidRPr="006C54FF">
        <w:rPr>
          <w:bCs/>
          <w:szCs w:val="24"/>
        </w:rPr>
        <w:t>.</w:t>
      </w:r>
    </w:p>
    <w:p w14:paraId="042E7073" w14:textId="6E3DAFE1" w:rsidR="003E4919" w:rsidRDefault="003E4919" w:rsidP="003E4919">
      <w:pPr>
        <w:shd w:val="clear" w:color="auto" w:fill="FFFFFF"/>
        <w:spacing w:before="100" w:beforeAutospacing="1" w:after="100" w:afterAutospacing="1"/>
        <w:rPr>
          <w:szCs w:val="24"/>
          <w:lang w:val="en-US"/>
        </w:rPr>
      </w:pPr>
      <w:r>
        <w:rPr>
          <w:szCs w:val="24"/>
          <w:lang w:val="en-US"/>
        </w:rPr>
        <w:t xml:space="preserve">Under section 7 of the </w:t>
      </w:r>
      <w:r w:rsidRPr="00CA5DE5">
        <w:rPr>
          <w:i/>
          <w:szCs w:val="24"/>
          <w:lang w:val="en-US"/>
        </w:rPr>
        <w:t>Acts Interpretation Act 1901</w:t>
      </w:r>
      <w:r>
        <w:rPr>
          <w:szCs w:val="24"/>
          <w:lang w:val="en-US"/>
        </w:rPr>
        <w:t xml:space="preserve">, as applied to legislative instruments by subsection 13(1) of the </w:t>
      </w:r>
      <w:r w:rsidRPr="00CA5DE5">
        <w:rPr>
          <w:i/>
          <w:szCs w:val="24"/>
          <w:lang w:val="en-US"/>
        </w:rPr>
        <w:t>Legislation Act 2003</w:t>
      </w:r>
      <w:r>
        <w:rPr>
          <w:szCs w:val="24"/>
          <w:lang w:val="en-US"/>
        </w:rPr>
        <w:t xml:space="preserve">, the repeal of the </w:t>
      </w:r>
      <w:r w:rsidRPr="00B560BF">
        <w:rPr>
          <w:i/>
        </w:rPr>
        <w:lastRenderedPageBreak/>
        <w:t>Financial Sector (Collection of Data) Regulations 2008</w:t>
      </w:r>
      <w:r>
        <w:rPr>
          <w:i/>
        </w:rPr>
        <w:t xml:space="preserve"> </w:t>
      </w:r>
      <w:r>
        <w:rPr>
          <w:szCs w:val="24"/>
          <w:lang w:val="en-US"/>
        </w:rPr>
        <w:t xml:space="preserve">does not affect its previous operation. </w:t>
      </w:r>
    </w:p>
    <w:p w14:paraId="0ED9B329" w14:textId="77777777" w:rsidR="002021FB" w:rsidRPr="002021FB" w:rsidRDefault="002021FB" w:rsidP="002021FB">
      <w:pPr>
        <w:tabs>
          <w:tab w:val="left" w:pos="2835"/>
        </w:tabs>
        <w:spacing w:before="240"/>
        <w:ind w:right="91"/>
      </w:pPr>
    </w:p>
    <w:p w14:paraId="3204AE03" w14:textId="77777777" w:rsidR="002021FB" w:rsidRDefault="002021FB" w:rsidP="00850667">
      <w:pPr>
        <w:tabs>
          <w:tab w:val="left" w:pos="2835"/>
        </w:tabs>
        <w:spacing w:before="240"/>
        <w:ind w:right="91"/>
      </w:pPr>
    </w:p>
    <w:p w14:paraId="35915055" w14:textId="77777777" w:rsidR="00CB0BB8" w:rsidRDefault="00CB0BB8" w:rsidP="00CB0BB8">
      <w:pPr>
        <w:tabs>
          <w:tab w:val="left" w:pos="2835"/>
        </w:tabs>
        <w:spacing w:before="240"/>
        <w:ind w:right="91"/>
        <w:rPr>
          <w:i/>
        </w:rPr>
      </w:pPr>
    </w:p>
    <w:p w14:paraId="5BCF43C5" w14:textId="77777777" w:rsidR="00CB0BB8" w:rsidRDefault="00CB0BB8" w:rsidP="00256BF8">
      <w:pPr>
        <w:tabs>
          <w:tab w:val="left" w:pos="2835"/>
        </w:tabs>
        <w:spacing w:before="240"/>
        <w:ind w:right="91"/>
      </w:pPr>
    </w:p>
    <w:p w14:paraId="0229D095" w14:textId="77777777" w:rsidR="00256BF8" w:rsidRDefault="00256BF8" w:rsidP="00256BF8">
      <w:pPr>
        <w:tabs>
          <w:tab w:val="left" w:pos="2835"/>
        </w:tabs>
        <w:spacing w:before="240"/>
        <w:ind w:right="91"/>
        <w:jc w:val="right"/>
      </w:pPr>
    </w:p>
    <w:p w14:paraId="1933A41F" w14:textId="77777777" w:rsidR="00256BF8" w:rsidRDefault="00256BF8" w:rsidP="00256BF8">
      <w:pPr>
        <w:tabs>
          <w:tab w:val="left" w:pos="2835"/>
        </w:tabs>
        <w:spacing w:before="240"/>
        <w:ind w:right="91"/>
        <w:jc w:val="right"/>
      </w:pPr>
    </w:p>
    <w:p w14:paraId="6D2BF162" w14:textId="77777777" w:rsidR="00256BF8" w:rsidRDefault="00256BF8" w:rsidP="00256BF8">
      <w:pPr>
        <w:tabs>
          <w:tab w:val="left" w:pos="2835"/>
        </w:tabs>
        <w:spacing w:before="240"/>
        <w:ind w:right="91"/>
        <w:jc w:val="right"/>
      </w:pPr>
    </w:p>
    <w:p w14:paraId="4F913330" w14:textId="77777777" w:rsidR="003E4919" w:rsidRDefault="003E4919" w:rsidP="00256BF8">
      <w:pPr>
        <w:tabs>
          <w:tab w:val="left" w:pos="2835"/>
        </w:tabs>
        <w:spacing w:before="240"/>
        <w:ind w:right="91"/>
        <w:rPr>
          <w:b/>
          <w:u w:val="single"/>
        </w:rPr>
      </w:pPr>
    </w:p>
    <w:p w14:paraId="61B3AA07" w14:textId="77777777" w:rsidR="003E4919" w:rsidRDefault="003E4919" w:rsidP="00256BF8">
      <w:pPr>
        <w:tabs>
          <w:tab w:val="left" w:pos="2835"/>
        </w:tabs>
        <w:spacing w:before="240"/>
        <w:ind w:right="91"/>
        <w:rPr>
          <w:b/>
          <w:u w:val="single"/>
        </w:rPr>
      </w:pPr>
    </w:p>
    <w:p w14:paraId="106A38D2" w14:textId="77777777" w:rsidR="003E4919" w:rsidRDefault="003E4919" w:rsidP="00256BF8">
      <w:pPr>
        <w:tabs>
          <w:tab w:val="left" w:pos="2835"/>
        </w:tabs>
        <w:spacing w:before="240"/>
        <w:ind w:right="91"/>
        <w:rPr>
          <w:b/>
          <w:u w:val="single"/>
        </w:rPr>
      </w:pPr>
    </w:p>
    <w:p w14:paraId="7B7DD1A5" w14:textId="77777777" w:rsidR="003E4919" w:rsidRDefault="003E4919" w:rsidP="00256BF8">
      <w:pPr>
        <w:tabs>
          <w:tab w:val="left" w:pos="2835"/>
        </w:tabs>
        <w:spacing w:before="240"/>
        <w:ind w:right="91"/>
        <w:rPr>
          <w:b/>
          <w:u w:val="single"/>
        </w:rPr>
      </w:pPr>
    </w:p>
    <w:p w14:paraId="01FBF83F" w14:textId="77777777" w:rsidR="003E4919" w:rsidRDefault="003E4919" w:rsidP="00256BF8">
      <w:pPr>
        <w:tabs>
          <w:tab w:val="left" w:pos="2835"/>
        </w:tabs>
        <w:spacing w:before="240"/>
        <w:ind w:right="91"/>
        <w:rPr>
          <w:b/>
          <w:u w:val="single"/>
        </w:rPr>
      </w:pPr>
    </w:p>
    <w:p w14:paraId="3CC6447E" w14:textId="77777777" w:rsidR="003E4919" w:rsidRDefault="003E4919" w:rsidP="00256BF8">
      <w:pPr>
        <w:tabs>
          <w:tab w:val="left" w:pos="2835"/>
        </w:tabs>
        <w:spacing w:before="240"/>
        <w:ind w:right="91"/>
        <w:rPr>
          <w:b/>
          <w:u w:val="single"/>
        </w:rPr>
      </w:pPr>
    </w:p>
    <w:p w14:paraId="11BFCB4F" w14:textId="77777777" w:rsidR="003E4919" w:rsidRDefault="003E4919" w:rsidP="00256BF8">
      <w:pPr>
        <w:tabs>
          <w:tab w:val="left" w:pos="2835"/>
        </w:tabs>
        <w:spacing w:before="240"/>
        <w:ind w:right="91"/>
        <w:rPr>
          <w:b/>
          <w:u w:val="single"/>
        </w:rPr>
      </w:pPr>
    </w:p>
    <w:p w14:paraId="13141119" w14:textId="77777777" w:rsidR="003E4919" w:rsidRDefault="003E4919" w:rsidP="00256BF8">
      <w:pPr>
        <w:tabs>
          <w:tab w:val="left" w:pos="2835"/>
        </w:tabs>
        <w:spacing w:before="240"/>
        <w:ind w:right="91"/>
        <w:rPr>
          <w:b/>
          <w:u w:val="single"/>
        </w:rPr>
      </w:pPr>
    </w:p>
    <w:p w14:paraId="7263CE2B" w14:textId="77777777" w:rsidR="003E4919" w:rsidRDefault="003E4919" w:rsidP="00256BF8">
      <w:pPr>
        <w:tabs>
          <w:tab w:val="left" w:pos="2835"/>
        </w:tabs>
        <w:spacing w:before="240"/>
        <w:ind w:right="91"/>
        <w:rPr>
          <w:b/>
          <w:u w:val="single"/>
        </w:rPr>
      </w:pPr>
    </w:p>
    <w:p w14:paraId="678EE44F" w14:textId="321BCB00" w:rsidR="003E4919" w:rsidRDefault="003E4919" w:rsidP="00256BF8">
      <w:pPr>
        <w:tabs>
          <w:tab w:val="left" w:pos="2835"/>
        </w:tabs>
        <w:spacing w:before="240"/>
        <w:ind w:right="91"/>
        <w:rPr>
          <w:b/>
          <w:u w:val="single"/>
        </w:rPr>
      </w:pPr>
    </w:p>
    <w:p w14:paraId="58117E01" w14:textId="77777777" w:rsidR="00E679AB" w:rsidRDefault="00E679AB" w:rsidP="00256BF8">
      <w:pPr>
        <w:tabs>
          <w:tab w:val="left" w:pos="2835"/>
        </w:tabs>
        <w:spacing w:before="240"/>
        <w:ind w:right="91"/>
        <w:rPr>
          <w:b/>
          <w:u w:val="single"/>
        </w:rPr>
      </w:pPr>
    </w:p>
    <w:p w14:paraId="0C92A629" w14:textId="77777777" w:rsidR="006C7893" w:rsidRDefault="006C7893" w:rsidP="00256BF8">
      <w:pPr>
        <w:tabs>
          <w:tab w:val="left" w:pos="2835"/>
        </w:tabs>
        <w:spacing w:before="240"/>
        <w:ind w:right="91"/>
        <w:rPr>
          <w:b/>
          <w:u w:val="single"/>
        </w:rPr>
      </w:pPr>
    </w:p>
    <w:p w14:paraId="713D4158" w14:textId="77777777" w:rsidR="006C7893" w:rsidRDefault="006C7893" w:rsidP="00256BF8">
      <w:pPr>
        <w:tabs>
          <w:tab w:val="left" w:pos="2835"/>
        </w:tabs>
        <w:spacing w:before="240"/>
        <w:ind w:right="91"/>
        <w:rPr>
          <w:b/>
          <w:u w:val="single"/>
        </w:rPr>
      </w:pPr>
    </w:p>
    <w:p w14:paraId="196C572E" w14:textId="77777777" w:rsidR="006C7893" w:rsidRDefault="006C7893" w:rsidP="00256BF8">
      <w:pPr>
        <w:tabs>
          <w:tab w:val="left" w:pos="2835"/>
        </w:tabs>
        <w:spacing w:before="240"/>
        <w:ind w:right="91"/>
        <w:rPr>
          <w:b/>
          <w:u w:val="single"/>
        </w:rPr>
      </w:pPr>
    </w:p>
    <w:p w14:paraId="1E6FD2D5" w14:textId="77777777" w:rsidR="006B545D" w:rsidRDefault="006B545D" w:rsidP="00256BF8">
      <w:pPr>
        <w:tabs>
          <w:tab w:val="left" w:pos="2835"/>
        </w:tabs>
        <w:spacing w:before="240"/>
        <w:ind w:right="91"/>
        <w:rPr>
          <w:b/>
          <w:u w:val="single"/>
        </w:rPr>
      </w:pPr>
    </w:p>
    <w:p w14:paraId="5461E5F2" w14:textId="77777777" w:rsidR="006B545D" w:rsidRDefault="006B545D" w:rsidP="00256BF8">
      <w:pPr>
        <w:tabs>
          <w:tab w:val="left" w:pos="2835"/>
        </w:tabs>
        <w:spacing w:before="240"/>
        <w:ind w:right="91"/>
        <w:rPr>
          <w:b/>
          <w:u w:val="single"/>
        </w:rPr>
      </w:pPr>
    </w:p>
    <w:p w14:paraId="755AB8FD" w14:textId="77777777" w:rsidR="006B545D" w:rsidRDefault="006B545D" w:rsidP="00256BF8">
      <w:pPr>
        <w:tabs>
          <w:tab w:val="left" w:pos="2835"/>
        </w:tabs>
        <w:spacing w:before="240"/>
        <w:ind w:right="91"/>
        <w:rPr>
          <w:b/>
          <w:u w:val="single"/>
        </w:rPr>
      </w:pPr>
    </w:p>
    <w:p w14:paraId="081536B8" w14:textId="77777777" w:rsidR="00BD32C6" w:rsidRDefault="00BD32C6" w:rsidP="00256BF8">
      <w:pPr>
        <w:tabs>
          <w:tab w:val="left" w:pos="2835"/>
        </w:tabs>
        <w:spacing w:before="240"/>
        <w:ind w:right="91"/>
        <w:rPr>
          <w:b/>
          <w:u w:val="single"/>
        </w:rPr>
      </w:pPr>
    </w:p>
    <w:p w14:paraId="6B173305" w14:textId="77777777" w:rsidR="00256BF8" w:rsidRDefault="00256BF8" w:rsidP="00256BF8">
      <w:pPr>
        <w:tabs>
          <w:tab w:val="left" w:pos="2835"/>
        </w:tabs>
        <w:spacing w:before="240"/>
        <w:ind w:right="91"/>
        <w:rPr>
          <w:b/>
          <w:u w:val="single"/>
        </w:rPr>
      </w:pPr>
      <w:r w:rsidRPr="00017A1C">
        <w:rPr>
          <w:b/>
          <w:u w:val="single"/>
        </w:rPr>
        <w:lastRenderedPageBreak/>
        <w:t xml:space="preserve">Finding Table </w:t>
      </w:r>
    </w:p>
    <w:p w14:paraId="740D3868" w14:textId="55F54931" w:rsidR="00256BF8" w:rsidRDefault="00256BF8" w:rsidP="00256BF8">
      <w:pPr>
        <w:tabs>
          <w:tab w:val="left" w:pos="2835"/>
        </w:tabs>
        <w:spacing w:before="240"/>
        <w:ind w:right="91"/>
      </w:pPr>
      <w:r>
        <w:t>As a result of some of the changes described above, it become necessary to renumber provisions of the Regulations. This Explanatory Statement includes a finding table to assist in identifying which provision in the Regulations</w:t>
      </w:r>
      <w:r w:rsidR="00681C6B">
        <w:t xml:space="preserve"> </w:t>
      </w:r>
      <w:r>
        <w:t>correspond</w:t>
      </w:r>
      <w:r w:rsidR="00681C6B">
        <w:t>s</w:t>
      </w:r>
      <w:r>
        <w:t xml:space="preserve"> to a provision in the old law that has been </w:t>
      </w:r>
      <w:r w:rsidR="00CA5A89">
        <w:t xml:space="preserve">renumbered. </w:t>
      </w:r>
      <w:r>
        <w:t xml:space="preserve"> </w:t>
      </w:r>
    </w:p>
    <w:p w14:paraId="3A39D5B5" w14:textId="46A31ECE" w:rsidR="00256BF8" w:rsidRDefault="00256BF8" w:rsidP="00256BF8">
      <w:pPr>
        <w:tabs>
          <w:tab w:val="left" w:pos="2835"/>
        </w:tabs>
        <w:spacing w:before="240"/>
        <w:ind w:right="91"/>
      </w:pPr>
      <w:r>
        <w:t xml:space="preserve">References to the old law are to the </w:t>
      </w:r>
      <w:r w:rsidRPr="00017A1C">
        <w:rPr>
          <w:i/>
        </w:rPr>
        <w:t>Financial Sector (Collection of Data) Regulations 2008</w:t>
      </w:r>
      <w:r>
        <w:t xml:space="preserve">. References to the new law are to the </w:t>
      </w:r>
      <w:r w:rsidRPr="00017A1C">
        <w:rPr>
          <w:i/>
        </w:rPr>
        <w:t>Financial Sector (Collection of Data) Regulations 2018</w:t>
      </w:r>
      <w:r>
        <w:t xml:space="preserve">. Also in the finding table, ‘no equivalent’ means that this is a new provision that has no equivalent in the old law. </w:t>
      </w:r>
    </w:p>
    <w:tbl>
      <w:tblPr>
        <w:tblStyle w:val="TableGrid"/>
        <w:tblW w:w="0" w:type="auto"/>
        <w:tblLook w:val="04A0" w:firstRow="1" w:lastRow="0" w:firstColumn="1" w:lastColumn="0" w:noHBand="0" w:noVBand="1"/>
      </w:tblPr>
      <w:tblGrid>
        <w:gridCol w:w="4261"/>
        <w:gridCol w:w="4261"/>
      </w:tblGrid>
      <w:tr w:rsidR="00256BF8" w:rsidRPr="000D3C05" w14:paraId="73A0A9B7" w14:textId="77777777" w:rsidTr="000A5057">
        <w:tc>
          <w:tcPr>
            <w:tcW w:w="4261" w:type="dxa"/>
          </w:tcPr>
          <w:p w14:paraId="57C85832" w14:textId="77777777" w:rsidR="00256BF8" w:rsidRPr="000D3C05" w:rsidRDefault="00256BF8" w:rsidP="000A5057">
            <w:pPr>
              <w:spacing w:before="100" w:beforeAutospacing="1" w:after="100" w:afterAutospacing="1"/>
              <w:rPr>
                <w:b/>
                <w:i/>
                <w:iCs/>
                <w:szCs w:val="24"/>
              </w:rPr>
            </w:pPr>
            <w:r w:rsidRPr="000D3C05">
              <w:rPr>
                <w:b/>
                <w:i/>
                <w:iCs/>
                <w:szCs w:val="24"/>
              </w:rPr>
              <w:t>Old law</w:t>
            </w:r>
          </w:p>
        </w:tc>
        <w:tc>
          <w:tcPr>
            <w:tcW w:w="4261" w:type="dxa"/>
          </w:tcPr>
          <w:p w14:paraId="3BEC4F08" w14:textId="77777777" w:rsidR="00256BF8" w:rsidRPr="000D3C05" w:rsidRDefault="00256BF8" w:rsidP="000A5057">
            <w:pPr>
              <w:spacing w:before="100" w:beforeAutospacing="1" w:after="100" w:afterAutospacing="1"/>
              <w:rPr>
                <w:b/>
                <w:i/>
                <w:iCs/>
                <w:szCs w:val="24"/>
              </w:rPr>
            </w:pPr>
            <w:r w:rsidRPr="000D3C05">
              <w:rPr>
                <w:b/>
                <w:i/>
                <w:iCs/>
                <w:szCs w:val="24"/>
              </w:rPr>
              <w:t>New Law</w:t>
            </w:r>
          </w:p>
        </w:tc>
      </w:tr>
      <w:tr w:rsidR="00256BF8" w:rsidRPr="000D3C05" w14:paraId="62E716CA" w14:textId="77777777" w:rsidTr="000A5057">
        <w:tc>
          <w:tcPr>
            <w:tcW w:w="4261" w:type="dxa"/>
          </w:tcPr>
          <w:p w14:paraId="759BBA14" w14:textId="77777777" w:rsidR="00256BF8" w:rsidRPr="000D3C05" w:rsidRDefault="00256BF8" w:rsidP="000A5057">
            <w:pPr>
              <w:spacing w:before="100" w:beforeAutospacing="1" w:after="100" w:afterAutospacing="1"/>
              <w:rPr>
                <w:i/>
                <w:iCs/>
                <w:szCs w:val="24"/>
              </w:rPr>
            </w:pPr>
            <w:r w:rsidRPr="00017A1C">
              <w:rPr>
                <w:i/>
              </w:rPr>
              <w:t>Financial Sector (Collection of Data) Regulations 2008</w:t>
            </w:r>
          </w:p>
        </w:tc>
        <w:tc>
          <w:tcPr>
            <w:tcW w:w="4261" w:type="dxa"/>
          </w:tcPr>
          <w:p w14:paraId="723E80FB" w14:textId="77777777" w:rsidR="00256BF8" w:rsidRPr="000D3C05" w:rsidRDefault="00256BF8" w:rsidP="000A5057">
            <w:pPr>
              <w:spacing w:before="100" w:beforeAutospacing="1" w:after="100" w:afterAutospacing="1"/>
              <w:rPr>
                <w:i/>
                <w:iCs/>
                <w:szCs w:val="24"/>
              </w:rPr>
            </w:pPr>
            <w:r w:rsidRPr="00017A1C">
              <w:rPr>
                <w:i/>
              </w:rPr>
              <w:t>Financial Sector (Collection of Data) Regulations 2018</w:t>
            </w:r>
          </w:p>
        </w:tc>
      </w:tr>
      <w:tr w:rsidR="00256BF8" w14:paraId="7C49FE94" w14:textId="77777777" w:rsidTr="000A5057">
        <w:tc>
          <w:tcPr>
            <w:tcW w:w="4261" w:type="dxa"/>
          </w:tcPr>
          <w:p w14:paraId="56623C17" w14:textId="77777777" w:rsidR="00256BF8" w:rsidRDefault="00256BF8" w:rsidP="000A5057">
            <w:pPr>
              <w:spacing w:before="100" w:beforeAutospacing="1" w:after="100" w:afterAutospacing="1"/>
              <w:rPr>
                <w:iCs/>
                <w:szCs w:val="24"/>
              </w:rPr>
            </w:pPr>
            <w:r>
              <w:rPr>
                <w:iCs/>
                <w:szCs w:val="24"/>
              </w:rPr>
              <w:t>1</w:t>
            </w:r>
          </w:p>
        </w:tc>
        <w:tc>
          <w:tcPr>
            <w:tcW w:w="4261" w:type="dxa"/>
          </w:tcPr>
          <w:p w14:paraId="11A8301A" w14:textId="599A0A9B" w:rsidR="00256BF8" w:rsidRDefault="00850667" w:rsidP="000A5057">
            <w:pPr>
              <w:spacing w:before="100" w:beforeAutospacing="1" w:after="100" w:afterAutospacing="1"/>
              <w:rPr>
                <w:iCs/>
                <w:szCs w:val="24"/>
              </w:rPr>
            </w:pPr>
            <w:r>
              <w:rPr>
                <w:iCs/>
                <w:szCs w:val="24"/>
              </w:rPr>
              <w:t>1</w:t>
            </w:r>
          </w:p>
        </w:tc>
      </w:tr>
      <w:tr w:rsidR="00850667" w14:paraId="459CC205" w14:textId="77777777" w:rsidTr="000A5057">
        <w:tc>
          <w:tcPr>
            <w:tcW w:w="4261" w:type="dxa"/>
          </w:tcPr>
          <w:p w14:paraId="04EECC1A" w14:textId="45231D7F" w:rsidR="00850667" w:rsidRDefault="00850667" w:rsidP="000A5057">
            <w:pPr>
              <w:spacing w:before="100" w:beforeAutospacing="1" w:after="100" w:afterAutospacing="1"/>
            </w:pPr>
            <w:r>
              <w:t>No equivalent</w:t>
            </w:r>
          </w:p>
        </w:tc>
        <w:tc>
          <w:tcPr>
            <w:tcW w:w="4261" w:type="dxa"/>
          </w:tcPr>
          <w:p w14:paraId="5818AC74" w14:textId="38CA825E" w:rsidR="00850667" w:rsidRDefault="00850667" w:rsidP="000A5057">
            <w:pPr>
              <w:spacing w:before="100" w:beforeAutospacing="1" w:after="100" w:afterAutospacing="1"/>
              <w:rPr>
                <w:iCs/>
                <w:szCs w:val="24"/>
              </w:rPr>
            </w:pPr>
            <w:r>
              <w:rPr>
                <w:iCs/>
                <w:szCs w:val="24"/>
              </w:rPr>
              <w:t>2</w:t>
            </w:r>
          </w:p>
        </w:tc>
      </w:tr>
      <w:tr w:rsidR="00850667" w14:paraId="43CBE6AC" w14:textId="77777777" w:rsidTr="000A5057">
        <w:tc>
          <w:tcPr>
            <w:tcW w:w="4261" w:type="dxa"/>
          </w:tcPr>
          <w:p w14:paraId="29CC1887" w14:textId="742F8028" w:rsidR="00850667" w:rsidRDefault="00850667" w:rsidP="000A5057">
            <w:pPr>
              <w:spacing w:before="100" w:beforeAutospacing="1" w:after="100" w:afterAutospacing="1"/>
            </w:pPr>
            <w:r>
              <w:t>No equivalent</w:t>
            </w:r>
          </w:p>
        </w:tc>
        <w:tc>
          <w:tcPr>
            <w:tcW w:w="4261" w:type="dxa"/>
          </w:tcPr>
          <w:p w14:paraId="15D5BD4D" w14:textId="4BF824F8" w:rsidR="00850667" w:rsidRDefault="00850667" w:rsidP="000A5057">
            <w:pPr>
              <w:spacing w:before="100" w:beforeAutospacing="1" w:after="100" w:afterAutospacing="1"/>
              <w:rPr>
                <w:iCs/>
                <w:szCs w:val="24"/>
              </w:rPr>
            </w:pPr>
            <w:r>
              <w:rPr>
                <w:iCs/>
                <w:szCs w:val="24"/>
              </w:rPr>
              <w:t>3</w:t>
            </w:r>
          </w:p>
        </w:tc>
      </w:tr>
      <w:tr w:rsidR="00850667" w14:paraId="53E08475" w14:textId="77777777" w:rsidTr="000A5057">
        <w:tc>
          <w:tcPr>
            <w:tcW w:w="4261" w:type="dxa"/>
          </w:tcPr>
          <w:p w14:paraId="005D3B11" w14:textId="5D54693A" w:rsidR="00850667" w:rsidRDefault="00850667" w:rsidP="000A5057">
            <w:pPr>
              <w:spacing w:before="100" w:beforeAutospacing="1" w:after="100" w:afterAutospacing="1"/>
            </w:pPr>
            <w:r>
              <w:t>No equivalent</w:t>
            </w:r>
          </w:p>
        </w:tc>
        <w:tc>
          <w:tcPr>
            <w:tcW w:w="4261" w:type="dxa"/>
          </w:tcPr>
          <w:p w14:paraId="13AFA1D8" w14:textId="09AF0940" w:rsidR="00850667" w:rsidRDefault="00850667" w:rsidP="000A5057">
            <w:pPr>
              <w:spacing w:before="100" w:beforeAutospacing="1" w:after="100" w:afterAutospacing="1"/>
              <w:rPr>
                <w:iCs/>
                <w:szCs w:val="24"/>
              </w:rPr>
            </w:pPr>
            <w:r>
              <w:rPr>
                <w:iCs/>
                <w:szCs w:val="24"/>
              </w:rPr>
              <w:t>4</w:t>
            </w:r>
          </w:p>
        </w:tc>
      </w:tr>
      <w:tr w:rsidR="00256BF8" w14:paraId="3DF88C3A" w14:textId="77777777" w:rsidTr="000A5057">
        <w:tc>
          <w:tcPr>
            <w:tcW w:w="4261" w:type="dxa"/>
          </w:tcPr>
          <w:p w14:paraId="3DB86941" w14:textId="77777777" w:rsidR="00256BF8" w:rsidRDefault="00256BF8" w:rsidP="000A5057">
            <w:pPr>
              <w:spacing w:before="100" w:beforeAutospacing="1" w:after="100" w:afterAutospacing="1"/>
              <w:rPr>
                <w:iCs/>
                <w:szCs w:val="24"/>
              </w:rPr>
            </w:pPr>
            <w:r>
              <w:t>3</w:t>
            </w:r>
          </w:p>
        </w:tc>
        <w:tc>
          <w:tcPr>
            <w:tcW w:w="4261" w:type="dxa"/>
          </w:tcPr>
          <w:p w14:paraId="66AAB542" w14:textId="5E39DFC3" w:rsidR="00256BF8" w:rsidRDefault="00850667" w:rsidP="000A5057">
            <w:pPr>
              <w:spacing w:before="100" w:beforeAutospacing="1" w:after="100" w:afterAutospacing="1"/>
              <w:rPr>
                <w:iCs/>
                <w:szCs w:val="24"/>
              </w:rPr>
            </w:pPr>
            <w:r>
              <w:rPr>
                <w:iCs/>
                <w:szCs w:val="24"/>
              </w:rPr>
              <w:t>5</w:t>
            </w:r>
          </w:p>
        </w:tc>
      </w:tr>
      <w:tr w:rsidR="00256BF8" w14:paraId="4FBA11FB" w14:textId="77777777" w:rsidTr="000A5057">
        <w:tc>
          <w:tcPr>
            <w:tcW w:w="4261" w:type="dxa"/>
          </w:tcPr>
          <w:p w14:paraId="03287274" w14:textId="77777777" w:rsidR="00256BF8" w:rsidRDefault="00256BF8" w:rsidP="000A5057">
            <w:pPr>
              <w:spacing w:before="100" w:beforeAutospacing="1" w:after="100" w:afterAutospacing="1"/>
              <w:rPr>
                <w:iCs/>
                <w:szCs w:val="24"/>
              </w:rPr>
            </w:pPr>
            <w:r>
              <w:t>4</w:t>
            </w:r>
          </w:p>
        </w:tc>
        <w:tc>
          <w:tcPr>
            <w:tcW w:w="4261" w:type="dxa"/>
          </w:tcPr>
          <w:p w14:paraId="41BB7667" w14:textId="2EE61F26" w:rsidR="00256BF8" w:rsidRDefault="00CB0BB8" w:rsidP="000A5057">
            <w:pPr>
              <w:spacing w:before="100" w:beforeAutospacing="1" w:after="100" w:afterAutospacing="1"/>
              <w:rPr>
                <w:iCs/>
                <w:szCs w:val="24"/>
              </w:rPr>
            </w:pPr>
            <w:r>
              <w:rPr>
                <w:iCs/>
                <w:szCs w:val="24"/>
              </w:rPr>
              <w:t>6</w:t>
            </w:r>
          </w:p>
        </w:tc>
      </w:tr>
      <w:tr w:rsidR="00256BF8" w14:paraId="5CA992BC" w14:textId="77777777" w:rsidTr="000A5057">
        <w:tc>
          <w:tcPr>
            <w:tcW w:w="4261" w:type="dxa"/>
          </w:tcPr>
          <w:p w14:paraId="30509C62" w14:textId="77777777" w:rsidR="00256BF8" w:rsidRDefault="00256BF8" w:rsidP="000A5057">
            <w:pPr>
              <w:spacing w:before="100" w:beforeAutospacing="1" w:after="100" w:afterAutospacing="1"/>
              <w:rPr>
                <w:iCs/>
                <w:szCs w:val="24"/>
              </w:rPr>
            </w:pPr>
            <w:r>
              <w:rPr>
                <w:iCs/>
                <w:szCs w:val="24"/>
              </w:rPr>
              <w:t>5</w:t>
            </w:r>
          </w:p>
        </w:tc>
        <w:tc>
          <w:tcPr>
            <w:tcW w:w="4261" w:type="dxa"/>
          </w:tcPr>
          <w:p w14:paraId="1F8C190C" w14:textId="41B46934" w:rsidR="00256BF8" w:rsidRDefault="00CB0BB8" w:rsidP="000A5057">
            <w:pPr>
              <w:spacing w:before="100" w:beforeAutospacing="1" w:after="100" w:afterAutospacing="1"/>
              <w:rPr>
                <w:iCs/>
                <w:szCs w:val="24"/>
              </w:rPr>
            </w:pPr>
            <w:r>
              <w:rPr>
                <w:iCs/>
                <w:szCs w:val="24"/>
              </w:rPr>
              <w:t>7</w:t>
            </w:r>
          </w:p>
        </w:tc>
      </w:tr>
    </w:tbl>
    <w:p w14:paraId="33A774E7" w14:textId="77777777" w:rsidR="00256BF8" w:rsidRDefault="00256BF8" w:rsidP="00647BB7">
      <w:pPr>
        <w:spacing w:before="240"/>
      </w:pPr>
    </w:p>
    <w:p w14:paraId="10A8E350" w14:textId="77777777" w:rsidR="00256BF8" w:rsidRDefault="00256BF8" w:rsidP="00647BB7">
      <w:pPr>
        <w:spacing w:before="240"/>
      </w:pPr>
    </w:p>
    <w:p w14:paraId="0B5F725B" w14:textId="77777777" w:rsidR="00256BF8" w:rsidRDefault="00256BF8" w:rsidP="00647BB7">
      <w:pPr>
        <w:spacing w:before="240"/>
      </w:pPr>
    </w:p>
    <w:p w14:paraId="3E68C2EE" w14:textId="77777777" w:rsidR="00256BF8" w:rsidRDefault="00256BF8" w:rsidP="00647BB7">
      <w:pPr>
        <w:spacing w:before="240"/>
      </w:pPr>
    </w:p>
    <w:p w14:paraId="1F1505FC" w14:textId="77777777" w:rsidR="00256BF8" w:rsidRDefault="00256BF8" w:rsidP="00647BB7">
      <w:pPr>
        <w:spacing w:before="240"/>
      </w:pPr>
    </w:p>
    <w:sectPr w:rsidR="00256BF8" w:rsidSect="00392BB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DF2C2" w14:textId="77777777" w:rsidR="000A5057" w:rsidRDefault="000A5057" w:rsidP="00954679">
      <w:pPr>
        <w:spacing w:before="0" w:after="0"/>
      </w:pPr>
      <w:r>
        <w:separator/>
      </w:r>
    </w:p>
  </w:endnote>
  <w:endnote w:type="continuationSeparator" w:id="0">
    <w:p w14:paraId="4AA0D041" w14:textId="77777777" w:rsidR="000A5057" w:rsidRDefault="000A5057" w:rsidP="00954679">
      <w:pPr>
        <w:spacing w:before="0" w:after="0"/>
      </w:pPr>
      <w:r>
        <w:continuationSeparator/>
      </w:r>
    </w:p>
  </w:endnote>
  <w:endnote w:type="continuationNotice" w:id="1">
    <w:p w14:paraId="4F84B3D2" w14:textId="77777777" w:rsidR="00DF2EF2" w:rsidRDefault="00DF2EF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Times New Roman"/>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04C149" w14:textId="77777777" w:rsidR="006113BD" w:rsidRDefault="006113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E442463" w14:textId="77777777" w:rsidR="000A5057" w:rsidRDefault="000A5057" w:rsidP="00954679">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B33896">
              <w:rPr>
                <w:bCs/>
                <w:noProof/>
              </w:rPr>
              <w:t>2</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B33896">
              <w:rPr>
                <w:bCs/>
                <w:noProof/>
              </w:rPr>
              <w:t>4</w:t>
            </w:r>
            <w:r w:rsidRPr="00954679">
              <w:rPr>
                <w:bCs/>
                <w:szCs w:val="24"/>
              </w:rPr>
              <w:fldChar w:fldCharType="end"/>
            </w:r>
          </w:p>
        </w:sdtContent>
      </w:sdt>
    </w:sdtContent>
  </w:sdt>
  <w:p w14:paraId="3734B019" w14:textId="77777777" w:rsidR="000A5057" w:rsidRDefault="000A50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6A54E" w14:textId="77777777" w:rsidR="006113BD" w:rsidRDefault="006113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C3AA55" w14:textId="77777777" w:rsidR="000A5057" w:rsidRDefault="000A5057" w:rsidP="00954679">
      <w:pPr>
        <w:spacing w:before="0" w:after="0"/>
      </w:pPr>
      <w:r>
        <w:separator/>
      </w:r>
    </w:p>
  </w:footnote>
  <w:footnote w:type="continuationSeparator" w:id="0">
    <w:p w14:paraId="2CA49886" w14:textId="77777777" w:rsidR="000A5057" w:rsidRDefault="000A5057" w:rsidP="00954679">
      <w:pPr>
        <w:spacing w:before="0" w:after="0"/>
      </w:pPr>
      <w:r>
        <w:continuationSeparator/>
      </w:r>
    </w:p>
  </w:footnote>
  <w:footnote w:type="continuationNotice" w:id="1">
    <w:p w14:paraId="51E7591C" w14:textId="77777777" w:rsidR="00DF2EF2" w:rsidRDefault="00DF2EF2">
      <w:pPr>
        <w:spacing w:before="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1C9CB" w14:textId="77777777" w:rsidR="006113BD" w:rsidRDefault="006113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A23DBE" w14:textId="77777777" w:rsidR="006113BD" w:rsidRDefault="006113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72576C" w14:textId="77777777" w:rsidR="006113BD" w:rsidRDefault="006113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nsid w:val="67A43C0B"/>
    <w:multiLevelType w:val="multilevel"/>
    <w:tmpl w:val="045CA2A8"/>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embedSystemFonts/>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916"/>
    <w:rsid w:val="00016EA2"/>
    <w:rsid w:val="00072148"/>
    <w:rsid w:val="00095211"/>
    <w:rsid w:val="000A4380"/>
    <w:rsid w:val="000A5057"/>
    <w:rsid w:val="000C10DF"/>
    <w:rsid w:val="000C6A23"/>
    <w:rsid w:val="000E0C41"/>
    <w:rsid w:val="00113B45"/>
    <w:rsid w:val="001334BF"/>
    <w:rsid w:val="00153B86"/>
    <w:rsid w:val="001C408B"/>
    <w:rsid w:val="001E6A74"/>
    <w:rsid w:val="001F41D0"/>
    <w:rsid w:val="002021FB"/>
    <w:rsid w:val="0021399F"/>
    <w:rsid w:val="00220F16"/>
    <w:rsid w:val="00224C87"/>
    <w:rsid w:val="00254C5B"/>
    <w:rsid w:val="00256BF8"/>
    <w:rsid w:val="002649EE"/>
    <w:rsid w:val="003342CD"/>
    <w:rsid w:val="00335042"/>
    <w:rsid w:val="00362B70"/>
    <w:rsid w:val="00392BBA"/>
    <w:rsid w:val="003954FD"/>
    <w:rsid w:val="003C4916"/>
    <w:rsid w:val="003E1CE3"/>
    <w:rsid w:val="003E4919"/>
    <w:rsid w:val="00407AB0"/>
    <w:rsid w:val="004219A4"/>
    <w:rsid w:val="004412DA"/>
    <w:rsid w:val="00441A63"/>
    <w:rsid w:val="004550A1"/>
    <w:rsid w:val="00462095"/>
    <w:rsid w:val="004B3C0F"/>
    <w:rsid w:val="004C05E4"/>
    <w:rsid w:val="004D349D"/>
    <w:rsid w:val="004E39E1"/>
    <w:rsid w:val="004E6A3D"/>
    <w:rsid w:val="00503E44"/>
    <w:rsid w:val="00515283"/>
    <w:rsid w:val="00533926"/>
    <w:rsid w:val="0055675D"/>
    <w:rsid w:val="00566E8F"/>
    <w:rsid w:val="005833BE"/>
    <w:rsid w:val="005D348C"/>
    <w:rsid w:val="005D7D5A"/>
    <w:rsid w:val="005E4BAC"/>
    <w:rsid w:val="005E4BFB"/>
    <w:rsid w:val="0060130D"/>
    <w:rsid w:val="006113BD"/>
    <w:rsid w:val="0064129F"/>
    <w:rsid w:val="00647BB7"/>
    <w:rsid w:val="00650F33"/>
    <w:rsid w:val="00660886"/>
    <w:rsid w:val="00681C6B"/>
    <w:rsid w:val="006868D7"/>
    <w:rsid w:val="006A0786"/>
    <w:rsid w:val="006B545D"/>
    <w:rsid w:val="006C7582"/>
    <w:rsid w:val="006C7893"/>
    <w:rsid w:val="00736F61"/>
    <w:rsid w:val="007662C7"/>
    <w:rsid w:val="00776306"/>
    <w:rsid w:val="00790465"/>
    <w:rsid w:val="00793636"/>
    <w:rsid w:val="007B1F10"/>
    <w:rsid w:val="007E018D"/>
    <w:rsid w:val="007E5441"/>
    <w:rsid w:val="007F1B71"/>
    <w:rsid w:val="00807E7D"/>
    <w:rsid w:val="00831675"/>
    <w:rsid w:val="00850667"/>
    <w:rsid w:val="0088467C"/>
    <w:rsid w:val="00894579"/>
    <w:rsid w:val="008A5B67"/>
    <w:rsid w:val="008B2159"/>
    <w:rsid w:val="008D16F7"/>
    <w:rsid w:val="009143A0"/>
    <w:rsid w:val="00950A3D"/>
    <w:rsid w:val="00954679"/>
    <w:rsid w:val="009863ED"/>
    <w:rsid w:val="009E2F86"/>
    <w:rsid w:val="009F3EDC"/>
    <w:rsid w:val="00A12209"/>
    <w:rsid w:val="00A36DF3"/>
    <w:rsid w:val="00A532DD"/>
    <w:rsid w:val="00A80BCF"/>
    <w:rsid w:val="00A8369C"/>
    <w:rsid w:val="00AA1689"/>
    <w:rsid w:val="00AC1D15"/>
    <w:rsid w:val="00B07B0C"/>
    <w:rsid w:val="00B25563"/>
    <w:rsid w:val="00B26D48"/>
    <w:rsid w:val="00B33896"/>
    <w:rsid w:val="00B42EE1"/>
    <w:rsid w:val="00B560BF"/>
    <w:rsid w:val="00B77ECF"/>
    <w:rsid w:val="00B86103"/>
    <w:rsid w:val="00B90F30"/>
    <w:rsid w:val="00B92478"/>
    <w:rsid w:val="00B96E9A"/>
    <w:rsid w:val="00BB1EE0"/>
    <w:rsid w:val="00BD32C6"/>
    <w:rsid w:val="00BD61A2"/>
    <w:rsid w:val="00BE484D"/>
    <w:rsid w:val="00C37E05"/>
    <w:rsid w:val="00C55D29"/>
    <w:rsid w:val="00C57EEE"/>
    <w:rsid w:val="00C93203"/>
    <w:rsid w:val="00CA0BE9"/>
    <w:rsid w:val="00CA138D"/>
    <w:rsid w:val="00CA5A89"/>
    <w:rsid w:val="00CB0BB8"/>
    <w:rsid w:val="00CB5268"/>
    <w:rsid w:val="00CC7641"/>
    <w:rsid w:val="00CD1367"/>
    <w:rsid w:val="00D13794"/>
    <w:rsid w:val="00D22747"/>
    <w:rsid w:val="00D24052"/>
    <w:rsid w:val="00D31575"/>
    <w:rsid w:val="00D34626"/>
    <w:rsid w:val="00D4257A"/>
    <w:rsid w:val="00D62665"/>
    <w:rsid w:val="00D77137"/>
    <w:rsid w:val="00D8119B"/>
    <w:rsid w:val="00DC0CDE"/>
    <w:rsid w:val="00DC4D72"/>
    <w:rsid w:val="00DD203D"/>
    <w:rsid w:val="00DF2EF2"/>
    <w:rsid w:val="00DF364F"/>
    <w:rsid w:val="00E0624D"/>
    <w:rsid w:val="00E25D31"/>
    <w:rsid w:val="00E43586"/>
    <w:rsid w:val="00E4438C"/>
    <w:rsid w:val="00E457F3"/>
    <w:rsid w:val="00E679AB"/>
    <w:rsid w:val="00EB1B56"/>
    <w:rsid w:val="00EB7E71"/>
    <w:rsid w:val="00EF509D"/>
    <w:rsid w:val="00F109D4"/>
    <w:rsid w:val="00F20684"/>
    <w:rsid w:val="00F47585"/>
    <w:rsid w:val="00FB54F0"/>
    <w:rsid w:val="00FE04E4"/>
    <w:rsid w:val="00FE098D"/>
    <w:rsid w:val="00FE689E"/>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B2C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table" w:styleId="TableGrid">
    <w:name w:val="Table Grid"/>
    <w:basedOn w:val="TableNormal"/>
    <w:uiPriority w:val="59"/>
    <w:rsid w:val="00256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able of authorities"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table" w:styleId="TableGrid">
    <w:name w:val="Table Grid"/>
    <w:basedOn w:val="TableNormal"/>
    <w:uiPriority w:val="59"/>
    <w:rsid w:val="00256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EBB1A-5085-4BAB-B2EE-24FB4A9B2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752</Words>
  <Characters>4154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Explanatory Statement: Financial Sector (Collection of Data) Regulations 2018</vt:lpstr>
    </vt:vector>
  </TitlesOfParts>
  <Company/>
  <LinksUpToDate>false</LinksUpToDate>
  <CharactersWithSpaces>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Financial Sector (Collection of Data) Regulations 2018</dc:title>
  <dc:subject/>
  <dc:creator/>
  <cp:keywords/>
  <cp:lastModifiedBy/>
  <cp:revision>1</cp:revision>
  <dcterms:created xsi:type="dcterms:W3CDTF">2018-03-26T03:01:00Z</dcterms:created>
  <dcterms:modified xsi:type="dcterms:W3CDTF">2018-03-26T03:01:00Z</dcterms:modified>
</cp:coreProperties>
</file>