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342E8" w14:textId="77777777" w:rsidR="00087749" w:rsidRPr="00647BB7" w:rsidRDefault="00087749" w:rsidP="00087749">
      <w:pPr>
        <w:pStyle w:val="Heading1"/>
        <w:spacing w:after="360"/>
        <w:rPr>
          <w:rFonts w:ascii="Times New Roman" w:hAnsi="Times New Roman"/>
          <w:u w:val="none"/>
        </w:rPr>
      </w:pPr>
      <w:r>
        <w:rPr>
          <w:rFonts w:ascii="Times New Roman" w:hAnsi="Times New Roman"/>
          <w:u w:val="none"/>
        </w:rPr>
        <w:t xml:space="preserve">EXPOSURE DRAFT </w:t>
      </w:r>
      <w:r w:rsidRPr="00647BB7">
        <w:rPr>
          <w:rFonts w:ascii="Times New Roman" w:hAnsi="Times New Roman"/>
          <w:u w:val="none"/>
        </w:rPr>
        <w:t xml:space="preserve">EXPLANATORY </w:t>
      </w:r>
      <w:r>
        <w:rPr>
          <w:rFonts w:ascii="Times New Roman" w:hAnsi="Times New Roman"/>
          <w:u w:val="none"/>
        </w:rPr>
        <w:t>MATERIAL</w:t>
      </w:r>
    </w:p>
    <w:p w14:paraId="76F071AC" w14:textId="77777777" w:rsidR="00F109D4" w:rsidRPr="00E722D7" w:rsidRDefault="00FE04A6" w:rsidP="009E6109">
      <w:pPr>
        <w:spacing w:before="0" w:after="0"/>
        <w:jc w:val="center"/>
        <w:rPr>
          <w:i/>
        </w:rPr>
      </w:pPr>
      <w:r w:rsidRPr="00E722D7">
        <w:rPr>
          <w:i/>
        </w:rPr>
        <w:t>A New Tax System (Goods and Services Tax) Act 1999</w:t>
      </w:r>
    </w:p>
    <w:p w14:paraId="24E6052A" w14:textId="60825FDF" w:rsidR="00F0004B" w:rsidRPr="00F0004B" w:rsidRDefault="00F0004B" w:rsidP="009E6109">
      <w:pPr>
        <w:spacing w:before="0" w:after="0"/>
        <w:jc w:val="center"/>
        <w:rPr>
          <w:sz w:val="22"/>
        </w:rPr>
      </w:pPr>
      <w:r>
        <w:rPr>
          <w:sz w:val="22"/>
        </w:rPr>
        <w:tab/>
      </w:r>
      <w:r w:rsidRPr="00F0004B">
        <w:rPr>
          <w:i/>
          <w:sz w:val="22"/>
        </w:rPr>
        <w:t>A New Tax System (Wine Equalisation Tax) Act 1999</w:t>
      </w:r>
    </w:p>
    <w:p w14:paraId="40CFED80" w14:textId="239C5B0B" w:rsidR="00F0004B" w:rsidRDefault="00F0004B" w:rsidP="009E6109">
      <w:pPr>
        <w:spacing w:before="0" w:after="240"/>
        <w:jc w:val="center"/>
        <w:rPr>
          <w:rFonts w:eastAsiaTheme="minorHAnsi" w:cstheme="minorBidi"/>
          <w:i/>
          <w:sz w:val="22"/>
          <w:lang w:eastAsia="en-US"/>
        </w:rPr>
      </w:pPr>
      <w:r w:rsidRPr="00F0004B">
        <w:rPr>
          <w:rFonts w:eastAsiaTheme="minorHAnsi" w:cstheme="minorBidi"/>
          <w:i/>
          <w:sz w:val="22"/>
          <w:lang w:eastAsia="en-US"/>
        </w:rPr>
        <w:t>Customs Act 1901</w:t>
      </w:r>
    </w:p>
    <w:p w14:paraId="0145D018" w14:textId="2774F22E" w:rsidR="00F109D4" w:rsidRPr="00503E44" w:rsidRDefault="00F0004B" w:rsidP="00E722D7">
      <w:pPr>
        <w:spacing w:before="0" w:after="240"/>
        <w:jc w:val="center"/>
        <w:rPr>
          <w:i/>
        </w:rPr>
      </w:pPr>
      <w:r w:rsidRPr="0053222E">
        <w:rPr>
          <w:i/>
        </w:rPr>
        <w:t>T</w:t>
      </w:r>
      <w:r w:rsidR="00A31624" w:rsidRPr="0053222E">
        <w:rPr>
          <w:i/>
        </w:rPr>
        <w:t>reasury</w:t>
      </w:r>
      <w:r w:rsidRPr="00F0004B">
        <w:rPr>
          <w:i/>
        </w:rPr>
        <w:t xml:space="preserve"> Laws Amendment (Goods and Services Tax) Regulations 2019</w:t>
      </w:r>
    </w:p>
    <w:p w14:paraId="55F810FC" w14:textId="43F18106" w:rsidR="0084443D" w:rsidRDefault="00C13198" w:rsidP="00647BB7">
      <w:pPr>
        <w:spacing w:before="240"/>
      </w:pPr>
      <w:r>
        <w:t xml:space="preserve">The </w:t>
      </w:r>
      <w:r>
        <w:rPr>
          <w:i/>
        </w:rPr>
        <w:t>A New Tax System (Goods and Services Tax) Act 1999</w:t>
      </w:r>
      <w:r w:rsidR="00F109D4" w:rsidRPr="00503E44">
        <w:t xml:space="preserve"> (the </w:t>
      </w:r>
      <w:r w:rsidR="000D03E1">
        <w:t xml:space="preserve">GST </w:t>
      </w:r>
      <w:r w:rsidR="00F109D4" w:rsidRPr="00503E44">
        <w:t xml:space="preserve">Act) </w:t>
      </w:r>
      <w:r w:rsidR="0084443D">
        <w:t xml:space="preserve">establishes the goods and services </w:t>
      </w:r>
      <w:r w:rsidR="0000744B">
        <w:t>tax (GST) which is</w:t>
      </w:r>
      <w:r w:rsidR="0084443D">
        <w:t xml:space="preserve"> a broad-based indirect tax</w:t>
      </w:r>
      <w:r w:rsidR="0000744B">
        <w:t xml:space="preserve"> on supplies in Australia and imports</w:t>
      </w:r>
      <w:r w:rsidR="0084443D">
        <w:t xml:space="preserve">. </w:t>
      </w:r>
    </w:p>
    <w:p w14:paraId="59E48D2A" w14:textId="22EF8E09" w:rsidR="0000744B" w:rsidRDefault="0084443D" w:rsidP="0000744B">
      <w:pPr>
        <w:spacing w:before="240"/>
      </w:pPr>
      <w:r>
        <w:t xml:space="preserve">The </w:t>
      </w:r>
      <w:r w:rsidRPr="00E722D7">
        <w:rPr>
          <w:i/>
        </w:rPr>
        <w:t>A New Tax System (Wine Equalisation Tax) Act 1999</w:t>
      </w:r>
      <w:r>
        <w:t xml:space="preserve"> </w:t>
      </w:r>
      <w:r w:rsidR="000D03E1">
        <w:t xml:space="preserve">(WET Act) </w:t>
      </w:r>
      <w:r>
        <w:t>establishes the wine equalisation tax</w:t>
      </w:r>
      <w:r w:rsidR="0000744B">
        <w:t xml:space="preserve"> that applies to the last wholesale sale of wine and wine imports.</w:t>
      </w:r>
    </w:p>
    <w:p w14:paraId="3BEEB043" w14:textId="5B28B45A" w:rsidR="0000744B" w:rsidRDefault="0000744B" w:rsidP="0000744B">
      <w:pPr>
        <w:spacing w:before="240"/>
      </w:pPr>
      <w:r>
        <w:t xml:space="preserve">The </w:t>
      </w:r>
      <w:r w:rsidRPr="00E722D7">
        <w:rPr>
          <w:i/>
        </w:rPr>
        <w:t>Customs Act 1901</w:t>
      </w:r>
      <w:r>
        <w:t xml:space="preserve"> </w:t>
      </w:r>
      <w:r w:rsidR="000D03E1">
        <w:t xml:space="preserve">(Customs Act) </w:t>
      </w:r>
      <w:r>
        <w:t xml:space="preserve">establishes the </w:t>
      </w:r>
      <w:r w:rsidR="00C90D2E">
        <w:t>framework for the control of imports of goods and the imposition of duties on goods imported into Australia and controls on the exports of goods.</w:t>
      </w:r>
    </w:p>
    <w:p w14:paraId="6E4CDEE4" w14:textId="20134061" w:rsidR="00F109D4" w:rsidRDefault="00274A64" w:rsidP="00647BB7">
      <w:pPr>
        <w:spacing w:before="240"/>
      </w:pPr>
      <w:r>
        <w:t>Section 17</w:t>
      </w:r>
      <w:r w:rsidR="00C13198">
        <w:t xml:space="preserve">7-15 of the </w:t>
      </w:r>
      <w:r w:rsidR="000D03E1">
        <w:t xml:space="preserve">GST </w:t>
      </w:r>
      <w:r w:rsidR="00C13198">
        <w:t>Act</w:t>
      </w:r>
      <w:r w:rsidR="000D03E1">
        <w:t xml:space="preserve">, section 27-35 of the WET Act and section 270 of the </w:t>
      </w:r>
      <w:r w:rsidR="000D03E1" w:rsidRPr="00E722D7">
        <w:rPr>
          <w:i/>
        </w:rPr>
        <w:t>Customs Act 1901</w:t>
      </w:r>
      <w:r w:rsidR="000D03E1">
        <w:t xml:space="preserve"> </w:t>
      </w:r>
      <w:r w:rsidR="00F109D4" w:rsidRPr="00503E44">
        <w:t>provide that the Governor-General may make regulations prescribing matters required or permitted by the Act to be prescribed, or necessary or convenient to be prescribed for carrying out or giving effect to the Act.</w:t>
      </w:r>
    </w:p>
    <w:p w14:paraId="257AA5A0" w14:textId="5AE9E355" w:rsidR="002044FE" w:rsidRDefault="00C13198" w:rsidP="00647BB7">
      <w:pPr>
        <w:spacing w:before="240"/>
      </w:pPr>
      <w:r>
        <w:t xml:space="preserve">The purpose of the </w:t>
      </w:r>
      <w:r w:rsidR="000D03E1">
        <w:rPr>
          <w:i/>
        </w:rPr>
        <w:t>T</w:t>
      </w:r>
      <w:r w:rsidR="00A31624">
        <w:rPr>
          <w:i/>
        </w:rPr>
        <w:t>reasury</w:t>
      </w:r>
      <w:r w:rsidR="000D03E1">
        <w:rPr>
          <w:i/>
        </w:rPr>
        <w:t xml:space="preserve"> Laws Amendment </w:t>
      </w:r>
      <w:r>
        <w:rPr>
          <w:i/>
        </w:rPr>
        <w:t xml:space="preserve">(Goods and Services Tax) </w:t>
      </w:r>
      <w:r w:rsidR="000D03E1">
        <w:rPr>
          <w:i/>
        </w:rPr>
        <w:t>Regulations </w:t>
      </w:r>
      <w:r w:rsidR="00C72014">
        <w:rPr>
          <w:i/>
        </w:rPr>
        <w:t>2019</w:t>
      </w:r>
      <w:r>
        <w:rPr>
          <w:i/>
        </w:rPr>
        <w:t xml:space="preserve"> </w:t>
      </w:r>
      <w:r w:rsidR="00274A64">
        <w:t>(t</w:t>
      </w:r>
      <w:r>
        <w:t xml:space="preserve">he </w:t>
      </w:r>
      <w:r w:rsidR="009E6109">
        <w:t xml:space="preserve">Amending </w:t>
      </w:r>
      <w:r>
        <w:t xml:space="preserve">Regulations) is to </w:t>
      </w:r>
      <w:r w:rsidR="00C61B81">
        <w:t xml:space="preserve">repeal </w:t>
      </w:r>
      <w:r w:rsidR="00C61B81" w:rsidRPr="00C61B81">
        <w:t xml:space="preserve">the </w:t>
      </w:r>
      <w:r w:rsidR="00C61B81" w:rsidRPr="00E722D7">
        <w:rPr>
          <w:i/>
        </w:rPr>
        <w:t>A New Tax System (Goods and Services Tax) Regulations 1999</w:t>
      </w:r>
      <w:r w:rsidR="00C61B81">
        <w:t xml:space="preserve"> at the same time as the </w:t>
      </w:r>
      <w:r w:rsidR="00C61B81" w:rsidRPr="00E722D7">
        <w:rPr>
          <w:i/>
        </w:rPr>
        <w:t xml:space="preserve">A New Tax System (Goods and Services Tax) Regulations 2019 </w:t>
      </w:r>
      <w:r w:rsidR="0085501D">
        <w:t xml:space="preserve">comes into operation </w:t>
      </w:r>
      <w:r w:rsidR="00BA7FB2">
        <w:t>on 1 April 2019</w:t>
      </w:r>
      <w:r w:rsidR="002044FE">
        <w:t xml:space="preserve">. The </w:t>
      </w:r>
      <w:r w:rsidR="00F43AAB">
        <w:t xml:space="preserve">Amending </w:t>
      </w:r>
      <w:r w:rsidR="002044FE">
        <w:t>Regulations</w:t>
      </w:r>
      <w:r w:rsidR="00BA7FB2">
        <w:t xml:space="preserve"> also </w:t>
      </w:r>
      <w:r w:rsidR="000D03E1">
        <w:t>make consequential amendments to the</w:t>
      </w:r>
      <w:r w:rsidR="002044FE" w:rsidRPr="002044FE">
        <w:t xml:space="preserve"> </w:t>
      </w:r>
      <w:r w:rsidR="002044FE" w:rsidRPr="00E722D7">
        <w:rPr>
          <w:i/>
        </w:rPr>
        <w:t>A New Tax System (Wine Equalisation Tax) Regulations 2000</w:t>
      </w:r>
      <w:r w:rsidR="002044FE">
        <w:t xml:space="preserve"> and the </w:t>
      </w:r>
      <w:r w:rsidR="002044FE" w:rsidRPr="00E722D7">
        <w:rPr>
          <w:i/>
        </w:rPr>
        <w:t>Customs Regulation 2015</w:t>
      </w:r>
      <w:r w:rsidR="000D03E1">
        <w:t xml:space="preserve"> </w:t>
      </w:r>
      <w:r w:rsidR="002044FE">
        <w:t xml:space="preserve">that are required because of the </w:t>
      </w:r>
      <w:proofErr w:type="spellStart"/>
      <w:r w:rsidR="002044FE">
        <w:t>sunsetting</w:t>
      </w:r>
      <w:proofErr w:type="spellEnd"/>
      <w:r w:rsidR="002044FE">
        <w:t xml:space="preserve"> of the </w:t>
      </w:r>
      <w:r w:rsidR="002044FE" w:rsidRPr="00E722D7">
        <w:rPr>
          <w:i/>
        </w:rPr>
        <w:t>A New Tax System (Goods and Services Tax) Regulations 1999</w:t>
      </w:r>
      <w:r w:rsidR="002044FE">
        <w:t xml:space="preserve">. </w:t>
      </w:r>
    </w:p>
    <w:p w14:paraId="71CE3DE0" w14:textId="0F310867" w:rsidR="00967A35" w:rsidRPr="00967A35" w:rsidRDefault="002044FE" w:rsidP="000619E5">
      <w:pPr>
        <w:spacing w:before="240"/>
      </w:pPr>
      <w:r>
        <w:t>The consequential amendments are required</w:t>
      </w:r>
      <w:r w:rsidR="00386B90">
        <w:t xml:space="preserve"> to update references to the </w:t>
      </w:r>
      <w:r w:rsidR="00386B90" w:rsidRPr="00E722D7">
        <w:rPr>
          <w:i/>
        </w:rPr>
        <w:t>A New Tax System (Goods and Services Tax) Regulations 2019</w:t>
      </w:r>
      <w:r w:rsidR="00386B90" w:rsidRPr="00386B90">
        <w:t xml:space="preserve"> </w:t>
      </w:r>
      <w:r w:rsidR="002B03DE">
        <w:t xml:space="preserve">in the other regulations and also to take account in changes in numbering in the remade regulations. </w:t>
      </w:r>
    </w:p>
    <w:p w14:paraId="10D87DF0" w14:textId="07EBB9BF" w:rsidR="00B15F29" w:rsidRPr="00C71472" w:rsidRDefault="00B15F29" w:rsidP="00B15F29">
      <w:pPr>
        <w:spacing w:before="240"/>
      </w:pPr>
      <w:r w:rsidRPr="000F3113">
        <w:t xml:space="preserve">Further details of the </w:t>
      </w:r>
      <w:r w:rsidR="00F43AAB">
        <w:t xml:space="preserve">Amending </w:t>
      </w:r>
      <w:r w:rsidRPr="000F3113">
        <w:t>Regulation</w:t>
      </w:r>
      <w:r>
        <w:t>s</w:t>
      </w:r>
      <w:r w:rsidRPr="000F3113">
        <w:t xml:space="preserve"> are set out in </w:t>
      </w:r>
      <w:r w:rsidRPr="00C71472">
        <w:rPr>
          <w:u w:val="single"/>
        </w:rPr>
        <w:t>Attachment A</w:t>
      </w:r>
      <w:r w:rsidRPr="00C71472">
        <w:t>.</w:t>
      </w:r>
    </w:p>
    <w:p w14:paraId="57608BF6" w14:textId="2DE331D0" w:rsidR="00C37E05" w:rsidRDefault="003A46E8" w:rsidP="00647BB7">
      <w:pPr>
        <w:spacing w:before="240"/>
        <w:rPr>
          <w:i/>
        </w:rPr>
      </w:pPr>
      <w:r>
        <w:t xml:space="preserve">The </w:t>
      </w:r>
      <w:r w:rsidR="00F43AAB">
        <w:t xml:space="preserve">Amending </w:t>
      </w:r>
      <w:r>
        <w:t xml:space="preserve">Regulations are a legislative instrument for the purposes of the </w:t>
      </w:r>
      <w:r>
        <w:rPr>
          <w:i/>
        </w:rPr>
        <w:t>Legislation Act 2003.</w:t>
      </w:r>
    </w:p>
    <w:p w14:paraId="16E84BE5" w14:textId="50D27CEB" w:rsidR="003A46E8" w:rsidRDefault="003A46E8" w:rsidP="00647BB7">
      <w:pPr>
        <w:spacing w:before="240"/>
      </w:pPr>
      <w:r>
        <w:t xml:space="preserve">The </w:t>
      </w:r>
      <w:r w:rsidR="00F43AAB">
        <w:t xml:space="preserve">Amending </w:t>
      </w:r>
      <w:r>
        <w:t>Regulations commence on 1 April 2019.</w:t>
      </w:r>
    </w:p>
    <w:p w14:paraId="5DAFA3A3" w14:textId="77777777" w:rsidR="002C4903" w:rsidRDefault="002C4903">
      <w:pPr>
        <w:spacing w:before="0" w:after="0"/>
      </w:pPr>
      <w:r>
        <w:br w:type="page"/>
      </w:r>
    </w:p>
    <w:p w14:paraId="38EF82C7" w14:textId="16584F33" w:rsidR="002C4903" w:rsidRDefault="001B3DF3" w:rsidP="002C4903">
      <w:pPr>
        <w:spacing w:before="240"/>
        <w:jc w:val="right"/>
        <w:rPr>
          <w:b/>
          <w:u w:val="single"/>
        </w:rPr>
      </w:pPr>
      <w:r>
        <w:rPr>
          <w:b/>
          <w:u w:val="single"/>
        </w:rPr>
        <w:lastRenderedPageBreak/>
        <w:t>ATTACH</w:t>
      </w:r>
      <w:r w:rsidR="002C4903">
        <w:rPr>
          <w:b/>
          <w:u w:val="single"/>
        </w:rPr>
        <w:t>MENT A</w:t>
      </w:r>
    </w:p>
    <w:p w14:paraId="3625888C" w14:textId="77777777" w:rsidR="002C4903" w:rsidRDefault="002C4903" w:rsidP="002C4903">
      <w:pPr>
        <w:spacing w:before="240"/>
        <w:jc w:val="right"/>
        <w:rPr>
          <w:b/>
          <w:u w:val="single"/>
        </w:rPr>
      </w:pPr>
    </w:p>
    <w:p w14:paraId="313E99EC" w14:textId="5187F013" w:rsidR="000428A3" w:rsidRPr="00E722D7" w:rsidRDefault="000428A3" w:rsidP="000428A3">
      <w:pPr>
        <w:spacing w:before="0" w:after="0"/>
        <w:rPr>
          <w:b/>
          <w:i/>
          <w:u w:val="single"/>
        </w:rPr>
      </w:pPr>
      <w:r w:rsidRPr="000428A3">
        <w:rPr>
          <w:b/>
          <w:u w:val="single"/>
        </w:rPr>
        <w:t xml:space="preserve">Details of the </w:t>
      </w:r>
      <w:r w:rsidR="002B03DE" w:rsidRPr="00E722D7">
        <w:rPr>
          <w:b/>
          <w:i/>
          <w:u w:val="single"/>
        </w:rPr>
        <w:t>T</w:t>
      </w:r>
      <w:r w:rsidR="00A31624">
        <w:rPr>
          <w:b/>
          <w:i/>
          <w:u w:val="single"/>
        </w:rPr>
        <w:t>reasury</w:t>
      </w:r>
      <w:r w:rsidR="002B03DE" w:rsidRPr="00E722D7">
        <w:rPr>
          <w:b/>
          <w:i/>
          <w:u w:val="single"/>
        </w:rPr>
        <w:t xml:space="preserve"> Laws Amendment (Goods and Services Tax) Regulations</w:t>
      </w:r>
      <w:r w:rsidR="001B3DF3">
        <w:rPr>
          <w:b/>
          <w:i/>
          <w:u w:val="single"/>
        </w:rPr>
        <w:t> </w:t>
      </w:r>
      <w:r w:rsidR="002B03DE" w:rsidRPr="00E722D7">
        <w:rPr>
          <w:b/>
          <w:i/>
          <w:u w:val="single"/>
        </w:rPr>
        <w:t>2019</w:t>
      </w:r>
    </w:p>
    <w:p w14:paraId="2FBA5703" w14:textId="3753CB0A" w:rsidR="00365D9A" w:rsidRDefault="00365D9A" w:rsidP="00365D9A">
      <w:pPr>
        <w:spacing w:before="240"/>
      </w:pPr>
      <w:r>
        <w:t xml:space="preserve">The purpose of the </w:t>
      </w:r>
      <w:r w:rsidR="00A31624">
        <w:rPr>
          <w:i/>
        </w:rPr>
        <w:t>Treasury</w:t>
      </w:r>
      <w:r>
        <w:rPr>
          <w:i/>
        </w:rPr>
        <w:t xml:space="preserve"> Laws Amendment (Goods and Services Tax) Regulations 2019 </w:t>
      </w:r>
      <w:r>
        <w:t xml:space="preserve">(the </w:t>
      </w:r>
      <w:r w:rsidR="00BD02F0">
        <w:t xml:space="preserve">Amending </w:t>
      </w:r>
      <w:r>
        <w:t xml:space="preserve">Regulations) is to repeal </w:t>
      </w:r>
      <w:r w:rsidRPr="00C61B81">
        <w:t xml:space="preserve">the </w:t>
      </w:r>
      <w:r w:rsidRPr="00F51C81">
        <w:rPr>
          <w:i/>
        </w:rPr>
        <w:t>A New Tax System (Goods and Services Tax) Regulations 1999</w:t>
      </w:r>
      <w:r>
        <w:t xml:space="preserve"> at the same time as the </w:t>
      </w:r>
      <w:r w:rsidRPr="00F51C81">
        <w:rPr>
          <w:i/>
        </w:rPr>
        <w:t xml:space="preserve">A New Tax System (Goods and Services Tax) Regulations 2019 </w:t>
      </w:r>
      <w:r w:rsidR="00DD6855">
        <w:t xml:space="preserve">(GST Regulations) </w:t>
      </w:r>
      <w:r>
        <w:t>comes into operation on 1</w:t>
      </w:r>
      <w:r w:rsidR="00DD6855">
        <w:t> </w:t>
      </w:r>
      <w:r>
        <w:t xml:space="preserve">April 2019. The </w:t>
      </w:r>
      <w:r w:rsidR="00BD02F0">
        <w:t xml:space="preserve">Amending </w:t>
      </w:r>
      <w:r>
        <w:t>Regulations also make consequential amendments to the</w:t>
      </w:r>
      <w:r w:rsidRPr="002044FE">
        <w:t xml:space="preserve"> </w:t>
      </w:r>
      <w:r w:rsidRPr="00F51C81">
        <w:rPr>
          <w:i/>
        </w:rPr>
        <w:t>A New Tax System (Wine Equalisation Tax) Regulations 2000</w:t>
      </w:r>
      <w:r>
        <w:t xml:space="preserve"> </w:t>
      </w:r>
      <w:r w:rsidR="00DD6855">
        <w:t xml:space="preserve">(WET Regulations) </w:t>
      </w:r>
      <w:r>
        <w:t xml:space="preserve">and the </w:t>
      </w:r>
      <w:r w:rsidRPr="00F51C81">
        <w:rPr>
          <w:i/>
        </w:rPr>
        <w:t>Customs Regulation 2015</w:t>
      </w:r>
      <w:r>
        <w:t xml:space="preserve"> </w:t>
      </w:r>
      <w:r w:rsidR="00DD6855">
        <w:t xml:space="preserve">(Customs Regulations) </w:t>
      </w:r>
      <w:r>
        <w:t xml:space="preserve">that are required because of the </w:t>
      </w:r>
      <w:proofErr w:type="spellStart"/>
      <w:r>
        <w:t>sunsetting</w:t>
      </w:r>
      <w:proofErr w:type="spellEnd"/>
      <w:r>
        <w:t xml:space="preserve"> of the </w:t>
      </w:r>
      <w:r w:rsidRPr="00F51C81">
        <w:rPr>
          <w:i/>
        </w:rPr>
        <w:t>A New Tax System (Goods and Services Tax) Regulations 1999</w:t>
      </w:r>
      <w:r>
        <w:t xml:space="preserve">. </w:t>
      </w:r>
    </w:p>
    <w:p w14:paraId="27B05CD6" w14:textId="7CCA516D" w:rsidR="000428A3" w:rsidRDefault="00365D9A" w:rsidP="000428A3">
      <w:pPr>
        <w:spacing w:before="0" w:after="0"/>
      </w:pPr>
      <w:r>
        <w:t xml:space="preserve">The consequential amendments are required to update references to the </w:t>
      </w:r>
      <w:r w:rsidRPr="00F51C81">
        <w:rPr>
          <w:i/>
        </w:rPr>
        <w:t>A New Tax System (Goods and Services Tax) Regulations 2019</w:t>
      </w:r>
      <w:r w:rsidRPr="00386B90">
        <w:t xml:space="preserve"> </w:t>
      </w:r>
      <w:r>
        <w:t xml:space="preserve">in the other regulations and also to take account in changes in numbering in the </w:t>
      </w:r>
      <w:r w:rsidR="00BD02F0">
        <w:t>GST R</w:t>
      </w:r>
      <w:r>
        <w:t xml:space="preserve">egulations. </w:t>
      </w:r>
    </w:p>
    <w:p w14:paraId="7267E80D" w14:textId="77777777" w:rsidR="006B58D1" w:rsidRPr="000428A3" w:rsidRDefault="006B58D1" w:rsidP="000428A3">
      <w:pPr>
        <w:spacing w:before="0" w:after="0"/>
      </w:pPr>
    </w:p>
    <w:p w14:paraId="33E63ACF" w14:textId="77777777" w:rsidR="000428A3" w:rsidRPr="00524A77" w:rsidRDefault="000428A3" w:rsidP="000428A3">
      <w:pPr>
        <w:spacing w:before="0" w:after="0"/>
        <w:rPr>
          <w:b/>
          <w:sz w:val="28"/>
          <w:szCs w:val="28"/>
          <w:u w:val="single"/>
        </w:rPr>
      </w:pPr>
      <w:r w:rsidRPr="00524A77">
        <w:rPr>
          <w:b/>
          <w:sz w:val="28"/>
          <w:szCs w:val="28"/>
          <w:u w:val="single"/>
        </w:rPr>
        <w:t>Part 1—Preliminary</w:t>
      </w:r>
    </w:p>
    <w:p w14:paraId="173E3469" w14:textId="77777777" w:rsidR="006B58D1" w:rsidRDefault="006B58D1" w:rsidP="000428A3">
      <w:pPr>
        <w:spacing w:before="0" w:after="0"/>
      </w:pPr>
    </w:p>
    <w:p w14:paraId="226AF277" w14:textId="77777777" w:rsidR="000428A3" w:rsidRPr="006B58D1" w:rsidRDefault="000428A3" w:rsidP="000428A3">
      <w:pPr>
        <w:spacing w:before="0" w:after="0"/>
        <w:rPr>
          <w:b/>
        </w:rPr>
      </w:pPr>
      <w:r w:rsidRPr="006B58D1">
        <w:rPr>
          <w:b/>
        </w:rPr>
        <w:t>Section 1</w:t>
      </w:r>
    </w:p>
    <w:p w14:paraId="486D5305" w14:textId="77777777" w:rsidR="006B58D1" w:rsidRDefault="006B58D1" w:rsidP="000428A3">
      <w:pPr>
        <w:spacing w:before="0" w:after="0"/>
      </w:pPr>
    </w:p>
    <w:p w14:paraId="7BE47BD8" w14:textId="54F30869" w:rsidR="000428A3" w:rsidRDefault="000428A3" w:rsidP="000428A3">
      <w:pPr>
        <w:spacing w:before="0" w:after="0"/>
      </w:pPr>
      <w:r w:rsidRPr="000428A3">
        <w:t xml:space="preserve">This section provides that the title of the </w:t>
      </w:r>
      <w:r w:rsidR="00F43AAB">
        <w:t xml:space="preserve">Amending </w:t>
      </w:r>
      <w:r w:rsidRPr="000428A3">
        <w:t xml:space="preserve">Regulations is the </w:t>
      </w:r>
      <w:r w:rsidR="00A31624">
        <w:rPr>
          <w:i/>
        </w:rPr>
        <w:t>Treasury Laws</w:t>
      </w:r>
      <w:r w:rsidR="005F4370" w:rsidRPr="005F4370">
        <w:rPr>
          <w:i/>
        </w:rPr>
        <w:t xml:space="preserve"> Amendment (Goods and Services Tax) Regulations 2019</w:t>
      </w:r>
      <w:r w:rsidRPr="000428A3">
        <w:t>.</w:t>
      </w:r>
    </w:p>
    <w:p w14:paraId="2516CD78" w14:textId="77777777" w:rsidR="006B58D1" w:rsidRPr="000428A3" w:rsidRDefault="006B58D1" w:rsidP="000428A3">
      <w:pPr>
        <w:spacing w:before="0" w:after="0"/>
      </w:pPr>
    </w:p>
    <w:p w14:paraId="07700BA7" w14:textId="77777777" w:rsidR="000428A3" w:rsidRDefault="000428A3" w:rsidP="000428A3">
      <w:pPr>
        <w:spacing w:before="0" w:after="0"/>
        <w:rPr>
          <w:b/>
        </w:rPr>
      </w:pPr>
      <w:r w:rsidRPr="006B58D1">
        <w:rPr>
          <w:b/>
        </w:rPr>
        <w:t>Section 2</w:t>
      </w:r>
    </w:p>
    <w:p w14:paraId="76D54896" w14:textId="77777777" w:rsidR="006B58D1" w:rsidRPr="006B58D1" w:rsidRDefault="006B58D1" w:rsidP="000428A3">
      <w:pPr>
        <w:spacing w:before="0" w:after="0"/>
        <w:rPr>
          <w:b/>
        </w:rPr>
      </w:pPr>
    </w:p>
    <w:p w14:paraId="707BB4A5" w14:textId="32555808" w:rsidR="000428A3" w:rsidRPr="000428A3" w:rsidRDefault="000428A3" w:rsidP="000428A3">
      <w:pPr>
        <w:spacing w:before="0" w:after="0"/>
      </w:pPr>
      <w:r w:rsidRPr="000428A3">
        <w:t xml:space="preserve">This section provides that the </w:t>
      </w:r>
      <w:r w:rsidR="00F43AAB">
        <w:t xml:space="preserve">Amending </w:t>
      </w:r>
      <w:r w:rsidRPr="000428A3">
        <w:t xml:space="preserve">Regulations commence </w:t>
      </w:r>
      <w:r w:rsidR="005F4370">
        <w:t xml:space="preserve">at the same </w:t>
      </w:r>
      <w:r w:rsidR="005F4370" w:rsidRPr="005F4370">
        <w:t xml:space="preserve">time as the </w:t>
      </w:r>
      <w:r w:rsidR="005F4370" w:rsidRPr="00E722D7">
        <w:rPr>
          <w:i/>
        </w:rPr>
        <w:t>A New Tax System (Goods and Services Tax) Regulations 2019</w:t>
      </w:r>
      <w:r w:rsidR="005F4370" w:rsidRPr="005F4370">
        <w:t xml:space="preserve"> commence</w:t>
      </w:r>
      <w:r w:rsidRPr="000428A3">
        <w:t>.</w:t>
      </w:r>
    </w:p>
    <w:p w14:paraId="6F4E9415" w14:textId="77777777" w:rsidR="006B58D1" w:rsidRDefault="006B58D1" w:rsidP="000428A3">
      <w:pPr>
        <w:spacing w:before="0" w:after="0"/>
      </w:pPr>
    </w:p>
    <w:p w14:paraId="54CE19DF" w14:textId="77777777" w:rsidR="000428A3" w:rsidRPr="006B58D1" w:rsidRDefault="000428A3" w:rsidP="000428A3">
      <w:pPr>
        <w:spacing w:before="0" w:after="0"/>
        <w:rPr>
          <w:b/>
        </w:rPr>
      </w:pPr>
      <w:r w:rsidRPr="006B58D1">
        <w:rPr>
          <w:b/>
        </w:rPr>
        <w:t>Section 3</w:t>
      </w:r>
    </w:p>
    <w:p w14:paraId="3493D18E" w14:textId="77777777" w:rsidR="006B58D1" w:rsidRPr="000428A3" w:rsidRDefault="006B58D1" w:rsidP="000428A3">
      <w:pPr>
        <w:spacing w:before="0" w:after="0"/>
      </w:pPr>
    </w:p>
    <w:p w14:paraId="75B91D2E" w14:textId="16CAC608" w:rsidR="00707ED1" w:rsidRDefault="000428A3" w:rsidP="000428A3">
      <w:pPr>
        <w:spacing w:before="0" w:after="0"/>
      </w:pPr>
      <w:r w:rsidRPr="000428A3">
        <w:t xml:space="preserve">This section provides that the </w:t>
      </w:r>
      <w:r w:rsidR="00BD02F0">
        <w:t xml:space="preserve">Amending </w:t>
      </w:r>
      <w:r w:rsidRPr="000428A3">
        <w:t>Regulations are made under the</w:t>
      </w:r>
    </w:p>
    <w:p w14:paraId="01C36A7D" w14:textId="6E967B87" w:rsidR="000428A3" w:rsidRPr="000428A3" w:rsidRDefault="00F857E5" w:rsidP="005F4370">
      <w:pPr>
        <w:spacing w:before="0" w:after="0"/>
      </w:pPr>
      <w:r w:rsidRPr="00F857E5">
        <w:rPr>
          <w:i/>
        </w:rPr>
        <w:t>A New Tax System (Goods and Services Tax) Act 1999</w:t>
      </w:r>
      <w:r w:rsidRPr="00F857E5">
        <w:t xml:space="preserve"> (the Act)</w:t>
      </w:r>
      <w:r w:rsidR="005F4370">
        <w:t xml:space="preserve">, the </w:t>
      </w:r>
      <w:r w:rsidR="005F4370" w:rsidRPr="00E722D7">
        <w:rPr>
          <w:i/>
        </w:rPr>
        <w:t>A New Tax System (Wine Equalisation Tax) Act 1999</w:t>
      </w:r>
      <w:r w:rsidR="005F4370">
        <w:t xml:space="preserve"> and the</w:t>
      </w:r>
      <w:r w:rsidR="005F4370" w:rsidRPr="00E722D7">
        <w:rPr>
          <w:i/>
        </w:rPr>
        <w:t xml:space="preserve"> Customs Act 1901</w:t>
      </w:r>
      <w:r w:rsidR="000428A3" w:rsidRPr="000428A3">
        <w:t>.</w:t>
      </w:r>
    </w:p>
    <w:p w14:paraId="25DB0C07" w14:textId="77777777" w:rsidR="006B58D1" w:rsidRDefault="006B58D1" w:rsidP="000428A3">
      <w:pPr>
        <w:spacing w:before="0" w:after="0"/>
      </w:pPr>
    </w:p>
    <w:p w14:paraId="1DE97BC8" w14:textId="77777777" w:rsidR="00144EEC" w:rsidRDefault="00144EEC" w:rsidP="00044ADF">
      <w:pPr>
        <w:spacing w:before="0" w:after="0"/>
        <w:rPr>
          <w:b/>
        </w:rPr>
      </w:pPr>
      <w:r>
        <w:rPr>
          <w:b/>
        </w:rPr>
        <w:t>Section 4</w:t>
      </w:r>
    </w:p>
    <w:p w14:paraId="73825342" w14:textId="77777777" w:rsidR="00144EEC" w:rsidRDefault="00144EEC" w:rsidP="00044ADF">
      <w:pPr>
        <w:spacing w:before="0" w:after="0"/>
        <w:rPr>
          <w:b/>
        </w:rPr>
      </w:pPr>
    </w:p>
    <w:p w14:paraId="00BDEBFA" w14:textId="77777777" w:rsidR="00144EEC" w:rsidRDefault="00144EEC" w:rsidP="00044ADF">
      <w:pPr>
        <w:spacing w:before="0" w:after="0"/>
      </w:pPr>
      <w:r w:rsidRPr="00144EEC">
        <w:t xml:space="preserve">This </w:t>
      </w:r>
      <w:r>
        <w:t>section provides that an instrument specified in a Schedule to this legislative instrument is amended or repealed as set out in the Schedule.</w:t>
      </w:r>
    </w:p>
    <w:p w14:paraId="27E8003E" w14:textId="7B297E3E" w:rsidR="00044ADF" w:rsidRPr="00144EEC" w:rsidRDefault="00144EEC" w:rsidP="00044ADF">
      <w:pPr>
        <w:spacing w:before="0" w:after="0"/>
        <w:rPr>
          <w:b/>
          <w:sz w:val="28"/>
          <w:szCs w:val="28"/>
          <w:u w:val="single"/>
        </w:rPr>
      </w:pPr>
      <w:r w:rsidRPr="00144EEC">
        <w:rPr>
          <w:b/>
          <w:sz w:val="28"/>
          <w:szCs w:val="28"/>
          <w:u w:val="single"/>
        </w:rPr>
        <w:t xml:space="preserve"> </w:t>
      </w:r>
    </w:p>
    <w:p w14:paraId="353F9F51" w14:textId="5AE77D5D" w:rsidR="00BD2DF9" w:rsidRPr="00E722D7" w:rsidRDefault="004C5D03" w:rsidP="000428A3">
      <w:pPr>
        <w:spacing w:before="0" w:after="0"/>
        <w:rPr>
          <w:b/>
          <w:sz w:val="28"/>
          <w:szCs w:val="28"/>
          <w:u w:val="single"/>
        </w:rPr>
      </w:pPr>
      <w:r w:rsidRPr="00E722D7">
        <w:rPr>
          <w:b/>
          <w:sz w:val="28"/>
          <w:szCs w:val="28"/>
          <w:u w:val="single"/>
        </w:rPr>
        <w:t>Schedule 1 -</w:t>
      </w:r>
      <w:r w:rsidR="00E722D7">
        <w:rPr>
          <w:b/>
          <w:sz w:val="28"/>
          <w:szCs w:val="28"/>
          <w:u w:val="single"/>
        </w:rPr>
        <w:t xml:space="preserve"> </w:t>
      </w:r>
      <w:r w:rsidRPr="00E722D7">
        <w:rPr>
          <w:b/>
          <w:sz w:val="28"/>
          <w:szCs w:val="28"/>
          <w:u w:val="single"/>
        </w:rPr>
        <w:t>Repeals</w:t>
      </w:r>
    </w:p>
    <w:p w14:paraId="49533198" w14:textId="77777777" w:rsidR="00524A77" w:rsidRPr="00144EEC" w:rsidRDefault="00524A77" w:rsidP="000428A3">
      <w:pPr>
        <w:spacing w:before="0" w:after="0"/>
        <w:rPr>
          <w:b/>
          <w:sz w:val="28"/>
          <w:szCs w:val="28"/>
          <w:highlight w:val="yellow"/>
          <w:u w:val="single"/>
        </w:rPr>
      </w:pPr>
    </w:p>
    <w:p w14:paraId="0E8A53DF" w14:textId="77777777" w:rsidR="00E722D7" w:rsidRDefault="004C5D03" w:rsidP="00B903DA">
      <w:pPr>
        <w:spacing w:before="0" w:after="0"/>
      </w:pPr>
      <w:r w:rsidRPr="00E722D7">
        <w:t>Schedule</w:t>
      </w:r>
      <w:r w:rsidR="00E722D7">
        <w:t xml:space="preserve"> 1</w:t>
      </w:r>
      <w:r w:rsidRPr="00E722D7">
        <w:t xml:space="preserve"> repeals the </w:t>
      </w:r>
      <w:r w:rsidRPr="00E722D7">
        <w:rPr>
          <w:i/>
        </w:rPr>
        <w:t>A New Tax System (Goods and Services Tax) Regulations 1999</w:t>
      </w:r>
      <w:r w:rsidR="00B903DA" w:rsidRPr="00E722D7">
        <w:t>.</w:t>
      </w:r>
      <w:r w:rsidR="00B903DA">
        <w:t xml:space="preserve"> </w:t>
      </w:r>
    </w:p>
    <w:p w14:paraId="4C2AC794" w14:textId="77777777" w:rsidR="00E722D7" w:rsidRDefault="00E722D7" w:rsidP="00B903DA">
      <w:pPr>
        <w:spacing w:before="0" w:after="0"/>
      </w:pPr>
    </w:p>
    <w:p w14:paraId="473400BB" w14:textId="1DF4FF01" w:rsidR="00E722D7" w:rsidRPr="00E722D7" w:rsidRDefault="00E722D7" w:rsidP="00E722D7">
      <w:pPr>
        <w:spacing w:before="0" w:after="0"/>
        <w:rPr>
          <w:b/>
          <w:sz w:val="28"/>
          <w:szCs w:val="28"/>
          <w:u w:val="single"/>
        </w:rPr>
      </w:pPr>
      <w:r w:rsidRPr="00E722D7">
        <w:rPr>
          <w:b/>
          <w:sz w:val="28"/>
          <w:szCs w:val="28"/>
          <w:u w:val="single"/>
        </w:rPr>
        <w:t xml:space="preserve">Schedule </w:t>
      </w:r>
      <w:r>
        <w:rPr>
          <w:b/>
          <w:sz w:val="28"/>
          <w:szCs w:val="28"/>
          <w:u w:val="single"/>
        </w:rPr>
        <w:t>2</w:t>
      </w:r>
      <w:r w:rsidRPr="00E722D7">
        <w:rPr>
          <w:b/>
          <w:sz w:val="28"/>
          <w:szCs w:val="28"/>
          <w:u w:val="single"/>
        </w:rPr>
        <w:t xml:space="preserve"> -</w:t>
      </w:r>
      <w:r>
        <w:rPr>
          <w:b/>
          <w:sz w:val="28"/>
          <w:szCs w:val="28"/>
          <w:u w:val="single"/>
        </w:rPr>
        <w:t xml:space="preserve"> Amendments</w:t>
      </w:r>
    </w:p>
    <w:p w14:paraId="7DC134DE" w14:textId="77777777" w:rsidR="00E722D7" w:rsidRDefault="00E722D7" w:rsidP="00E722D7">
      <w:pPr>
        <w:spacing w:before="0" w:after="0"/>
        <w:rPr>
          <w:b/>
        </w:rPr>
      </w:pPr>
    </w:p>
    <w:p w14:paraId="4EB9EC9E" w14:textId="77777777" w:rsidR="00E722D7" w:rsidRDefault="00E722D7" w:rsidP="00E722D7">
      <w:pPr>
        <w:spacing w:before="0" w:after="0"/>
        <w:rPr>
          <w:b/>
        </w:rPr>
      </w:pPr>
    </w:p>
    <w:p w14:paraId="4DB74CFA" w14:textId="77777777" w:rsidR="00E722D7" w:rsidRDefault="00E722D7" w:rsidP="00E722D7">
      <w:pPr>
        <w:spacing w:before="0" w:after="0"/>
        <w:rPr>
          <w:b/>
        </w:rPr>
      </w:pPr>
    </w:p>
    <w:p w14:paraId="06508455" w14:textId="68AB0EF1" w:rsidR="00E722D7" w:rsidRPr="00DD6855" w:rsidRDefault="00DD6855" w:rsidP="00E722D7">
      <w:pPr>
        <w:spacing w:before="0" w:after="0"/>
        <w:rPr>
          <w:b/>
          <w:i/>
        </w:rPr>
      </w:pPr>
      <w:r>
        <w:rPr>
          <w:b/>
        </w:rPr>
        <w:t xml:space="preserve">Amendments to the </w:t>
      </w:r>
      <w:r w:rsidR="00E722D7" w:rsidRPr="00DD6855">
        <w:rPr>
          <w:b/>
          <w:i/>
        </w:rPr>
        <w:t>A New Tax System (Wine Equalisation Tax) Regulations 2000</w:t>
      </w:r>
      <w:r w:rsidR="003905F8">
        <w:rPr>
          <w:b/>
          <w:i/>
        </w:rPr>
        <w:t xml:space="preserve"> </w:t>
      </w:r>
      <w:r w:rsidR="003905F8" w:rsidRPr="003905F8">
        <w:rPr>
          <w:b/>
        </w:rPr>
        <w:t>and the</w:t>
      </w:r>
      <w:r w:rsidR="003905F8">
        <w:rPr>
          <w:b/>
          <w:i/>
        </w:rPr>
        <w:t xml:space="preserve"> Customs Regulations 2015</w:t>
      </w:r>
    </w:p>
    <w:p w14:paraId="3EC4834B" w14:textId="77777777" w:rsidR="00DD6855" w:rsidRDefault="00DD6855" w:rsidP="00E722D7">
      <w:pPr>
        <w:spacing w:before="0" w:after="0"/>
      </w:pPr>
    </w:p>
    <w:p w14:paraId="7AF4744C" w14:textId="3F70CEA2" w:rsidR="00DD6855" w:rsidRDefault="00CD617D" w:rsidP="00E722D7">
      <w:pPr>
        <w:spacing w:before="0" w:after="0"/>
      </w:pPr>
      <w:r w:rsidRPr="00087749">
        <w:t xml:space="preserve">The </w:t>
      </w:r>
      <w:r w:rsidR="00F26086" w:rsidRPr="00087749">
        <w:t>Amending Regulations make</w:t>
      </w:r>
      <w:r w:rsidR="00F26086">
        <w:t xml:space="preserve"> </w:t>
      </w:r>
      <w:r w:rsidRPr="00CD617D">
        <w:t xml:space="preserve">consequential amendments to update references to the </w:t>
      </w:r>
      <w:r w:rsidRPr="00F26086">
        <w:rPr>
          <w:i/>
        </w:rPr>
        <w:t>A New Tax System (Goods and Services Tax) Regulations 2019</w:t>
      </w:r>
      <w:r w:rsidRPr="00CD617D">
        <w:t xml:space="preserve"> in the</w:t>
      </w:r>
      <w:r w:rsidR="00F26086">
        <w:t xml:space="preserve"> WET Regulations and the Customs Regulations.</w:t>
      </w:r>
      <w:r w:rsidRPr="00CD617D">
        <w:t xml:space="preserve"> </w:t>
      </w:r>
      <w:r w:rsidR="00F26086">
        <w:t>A summary of the consequential amendments to these regulati</w:t>
      </w:r>
      <w:r w:rsidR="00A31624">
        <w:t xml:space="preserve">ons are set out in </w:t>
      </w:r>
      <w:r w:rsidR="00A31624" w:rsidRPr="00602095">
        <w:rPr>
          <w:u w:val="single"/>
        </w:rPr>
        <w:t>Attachment B</w:t>
      </w:r>
      <w:r w:rsidRPr="00CD617D">
        <w:t>.</w:t>
      </w:r>
    </w:p>
    <w:p w14:paraId="71E96B09" w14:textId="77777777" w:rsidR="00A31624" w:rsidRDefault="00A31624" w:rsidP="00E722D7">
      <w:pPr>
        <w:spacing w:before="0" w:after="0"/>
      </w:pPr>
    </w:p>
    <w:p w14:paraId="12CEE392" w14:textId="7830F5B3" w:rsidR="00E722D7" w:rsidRPr="00AD3E17" w:rsidRDefault="00602095" w:rsidP="00BF34F6">
      <w:pPr>
        <w:spacing w:before="0" w:after="0"/>
        <w:rPr>
          <w:b/>
        </w:rPr>
      </w:pPr>
      <w:proofErr w:type="spellStart"/>
      <w:r>
        <w:t>Subregulation</w:t>
      </w:r>
      <w:proofErr w:type="spellEnd"/>
      <w:r>
        <w:t xml:space="preserve"> 25-5.04(1) is amended to </w:t>
      </w:r>
      <w:r w:rsidR="00BF34F6">
        <w:t xml:space="preserve">directly </w:t>
      </w:r>
      <w:r>
        <w:t xml:space="preserve">include the rounding </w:t>
      </w:r>
      <w:r w:rsidR="00BF34F6">
        <w:t>mechanism for wine equalisation tax refunds under the tourist refund scheme rather than by incorporating it by reference to the rounding mechanism in the GST Regulations.</w:t>
      </w:r>
      <w:r>
        <w:t xml:space="preserve"> </w:t>
      </w:r>
    </w:p>
    <w:p w14:paraId="0108BF04" w14:textId="77777777" w:rsidR="006A7A1B" w:rsidRDefault="006A7A1B" w:rsidP="00E722D7">
      <w:pPr>
        <w:spacing w:before="0" w:after="0"/>
      </w:pPr>
    </w:p>
    <w:p w14:paraId="1D5770F7" w14:textId="77777777" w:rsidR="00D773FA" w:rsidRDefault="00BF34F6" w:rsidP="00E722D7">
      <w:pPr>
        <w:spacing w:before="0" w:after="0"/>
      </w:pPr>
      <w:r>
        <w:t xml:space="preserve">A transitional provision is also included in </w:t>
      </w:r>
      <w:r w:rsidR="00D773FA">
        <w:t>Part 8 Division 34 of t</w:t>
      </w:r>
      <w:r>
        <w:t xml:space="preserve">he WET Regulations to clarify that despite the repeal of the wine equalisation tax rounding mechanism for the tourist refund scheme from the date of the repeal of the </w:t>
      </w:r>
      <w:r w:rsidRPr="00BF34F6">
        <w:rPr>
          <w:i/>
        </w:rPr>
        <w:t>A New Tax System (Goods and Services Tax) Regulations 1999</w:t>
      </w:r>
      <w:r w:rsidRPr="00BF34F6">
        <w:t xml:space="preserve"> </w:t>
      </w:r>
      <w:r w:rsidR="00A81612">
        <w:t xml:space="preserve">that the repealed regulation continues to apply to </w:t>
      </w:r>
      <w:r>
        <w:t>for</w:t>
      </w:r>
      <w:r w:rsidR="00A81612">
        <w:t xml:space="preserve"> purchases of wine made before commencement. </w:t>
      </w:r>
      <w:r w:rsidR="00D773FA">
        <w:t>Export of the goods is required within 60 days of the purchase of the wine for refunds to be payable.</w:t>
      </w:r>
    </w:p>
    <w:p w14:paraId="5CB1E5AF" w14:textId="314758C5" w:rsidR="0066069D" w:rsidRDefault="0066069D" w:rsidP="00E722D7">
      <w:pPr>
        <w:spacing w:before="0" w:after="0"/>
      </w:pPr>
    </w:p>
    <w:p w14:paraId="02A1268F" w14:textId="63BBAE5F" w:rsidR="00E722D7" w:rsidRPr="006A7A1B" w:rsidRDefault="004E5441" w:rsidP="00E722D7">
      <w:pPr>
        <w:spacing w:before="0" w:after="0"/>
        <w:rPr>
          <w:b/>
        </w:rPr>
      </w:pPr>
      <w:r>
        <w:t>The Amending Regulations also include an application provision in Part 18 of the Customs Regulation to provide that the amendments to those regulations apply for goods entered for home consumption on or after the commencement of the amendments. This ensures that the updated reference has effect at the same time as the GST Regulations commence.</w:t>
      </w:r>
    </w:p>
    <w:p w14:paraId="2F3A7444" w14:textId="55E41801" w:rsidR="00F26086" w:rsidRPr="002C4903" w:rsidRDefault="00E722D7" w:rsidP="00F26086">
      <w:pPr>
        <w:spacing w:before="0" w:after="0"/>
        <w:jc w:val="right"/>
        <w:rPr>
          <w:u w:val="single"/>
        </w:rPr>
      </w:pPr>
      <w:r>
        <w:rPr>
          <w:b/>
        </w:rPr>
        <w:t xml:space="preserve"> </w:t>
      </w:r>
      <w:r w:rsidR="002C4903" w:rsidRPr="000428A3">
        <w:rPr>
          <w:b/>
        </w:rPr>
        <w:br w:type="page"/>
      </w:r>
      <w:r w:rsidR="00F26086" w:rsidRPr="002C4903">
        <w:rPr>
          <w:b/>
          <w:u w:val="single"/>
        </w:rPr>
        <w:lastRenderedPageBreak/>
        <w:t xml:space="preserve">ATTACHMENT </w:t>
      </w:r>
      <w:r w:rsidR="00F26086">
        <w:rPr>
          <w:b/>
          <w:u w:val="single"/>
        </w:rPr>
        <w:t>B</w:t>
      </w:r>
    </w:p>
    <w:p w14:paraId="708B2878" w14:textId="12B77815" w:rsidR="00F26086" w:rsidRDefault="00F26086" w:rsidP="00F26086">
      <w:pPr>
        <w:pStyle w:val="Heading3"/>
      </w:pPr>
      <w:r>
        <w:t>Summary of consequential amendments to</w:t>
      </w:r>
      <w:r w:rsidRPr="00F26086">
        <w:t xml:space="preserve"> the WET Regulations and the Customs Regulations</w:t>
      </w:r>
    </w:p>
    <w:p w14:paraId="0D51224C" w14:textId="4D0660E8" w:rsidR="00F26086" w:rsidRDefault="00F26086" w:rsidP="00F26086">
      <w:pPr>
        <w:spacing w:before="0" w:after="0"/>
      </w:pPr>
      <w:r w:rsidRPr="00CD617D">
        <w:t xml:space="preserve">The </w:t>
      </w:r>
      <w:r>
        <w:t>table below</w:t>
      </w:r>
      <w:r w:rsidR="00A31624">
        <w:t xml:space="preserve"> summaries the consequential amendments made by the Treasury Laws Amendment</w:t>
      </w:r>
      <w:r w:rsidRPr="00F26086">
        <w:rPr>
          <w:i/>
        </w:rPr>
        <w:t xml:space="preserve"> (Goods and Services Tax) Regulations 2019</w:t>
      </w:r>
      <w:r w:rsidRPr="00CD617D">
        <w:t xml:space="preserve"> </w:t>
      </w:r>
      <w:r w:rsidR="00F42CBC">
        <w:t xml:space="preserve">(Amending Regulations) </w:t>
      </w:r>
      <w:r w:rsidRPr="00CD617D">
        <w:t>in the</w:t>
      </w:r>
      <w:r>
        <w:t xml:space="preserve"> WET Regulations and the Customs Regulations.</w:t>
      </w:r>
      <w:r w:rsidRPr="00CD617D">
        <w:t xml:space="preserve"> </w:t>
      </w:r>
      <w:r>
        <w:t xml:space="preserve">A summary of the consequential amendments </w:t>
      </w:r>
      <w:r w:rsidR="00F42CBC">
        <w:t xml:space="preserve">made </w:t>
      </w:r>
      <w:r>
        <w:t xml:space="preserve">to these regulations </w:t>
      </w:r>
      <w:r w:rsidR="00F42CBC">
        <w:t xml:space="preserve">by the Amending Regulations </w:t>
      </w:r>
      <w:r>
        <w:t>are set out in Attachment B.</w:t>
      </w:r>
    </w:p>
    <w:p w14:paraId="4DA97627" w14:textId="5AA8D321" w:rsidR="00F26086" w:rsidRDefault="00F26086" w:rsidP="00F26086">
      <w:pPr>
        <w:spacing w:before="0" w:after="0"/>
      </w:pPr>
    </w:p>
    <w:tbl>
      <w:tblPr>
        <w:tblStyle w:val="TableGrid"/>
        <w:tblW w:w="0" w:type="auto"/>
        <w:tblLook w:val="04A0" w:firstRow="1" w:lastRow="0" w:firstColumn="1" w:lastColumn="0" w:noHBand="0" w:noVBand="1"/>
      </w:tblPr>
      <w:tblGrid>
        <w:gridCol w:w="2840"/>
        <w:gridCol w:w="2841"/>
        <w:gridCol w:w="2841"/>
      </w:tblGrid>
      <w:tr w:rsidR="00F26086" w:rsidRPr="00AD3E17" w14:paraId="041F0487" w14:textId="77777777" w:rsidTr="001B3DF3">
        <w:tc>
          <w:tcPr>
            <w:tcW w:w="2840" w:type="dxa"/>
          </w:tcPr>
          <w:p w14:paraId="792695C6" w14:textId="77777777" w:rsidR="00F26086" w:rsidRPr="00AD3E17" w:rsidRDefault="00F26086" w:rsidP="001B3DF3">
            <w:pPr>
              <w:spacing w:before="0" w:after="0"/>
              <w:rPr>
                <w:b/>
              </w:rPr>
            </w:pPr>
            <w:r w:rsidRPr="00AD3E17">
              <w:rPr>
                <w:b/>
              </w:rPr>
              <w:t>Regulation number in the WET Regulations</w:t>
            </w:r>
          </w:p>
        </w:tc>
        <w:tc>
          <w:tcPr>
            <w:tcW w:w="2841" w:type="dxa"/>
          </w:tcPr>
          <w:p w14:paraId="584CCFE7" w14:textId="1DCE1A07" w:rsidR="00F26086" w:rsidRPr="00AD3E17" w:rsidRDefault="00F26086" w:rsidP="001B3DF3">
            <w:pPr>
              <w:spacing w:before="0" w:after="0"/>
              <w:rPr>
                <w:b/>
              </w:rPr>
            </w:pPr>
            <w:r w:rsidRPr="00AD3E17">
              <w:rPr>
                <w:b/>
              </w:rPr>
              <w:t>Former GST regulation</w:t>
            </w:r>
            <w:r>
              <w:rPr>
                <w:b/>
              </w:rPr>
              <w:t xml:space="preserve"> referred to</w:t>
            </w:r>
          </w:p>
        </w:tc>
        <w:tc>
          <w:tcPr>
            <w:tcW w:w="2841" w:type="dxa"/>
          </w:tcPr>
          <w:p w14:paraId="15D0BE3E" w14:textId="06C930E6" w:rsidR="00F26086" w:rsidRPr="00AD3E17" w:rsidRDefault="00F26086" w:rsidP="001B3DF3">
            <w:pPr>
              <w:spacing w:before="0" w:after="0"/>
              <w:rPr>
                <w:b/>
              </w:rPr>
            </w:pPr>
            <w:r w:rsidRPr="00AD3E17">
              <w:rPr>
                <w:b/>
              </w:rPr>
              <w:t>Renumbered GST section</w:t>
            </w:r>
            <w:r>
              <w:rPr>
                <w:b/>
              </w:rPr>
              <w:t xml:space="preserve"> referred to</w:t>
            </w:r>
          </w:p>
        </w:tc>
      </w:tr>
      <w:tr w:rsidR="00F26086" w14:paraId="26A8765C" w14:textId="77777777" w:rsidTr="001B3DF3">
        <w:tc>
          <w:tcPr>
            <w:tcW w:w="2840" w:type="dxa"/>
          </w:tcPr>
          <w:p w14:paraId="34FD64C4" w14:textId="77777777" w:rsidR="00F26086" w:rsidRDefault="00F26086" w:rsidP="001B3DF3">
            <w:pPr>
              <w:spacing w:before="0" w:after="0"/>
            </w:pPr>
            <w:r>
              <w:t>P</w:t>
            </w:r>
            <w:r w:rsidRPr="00AD3E17">
              <w:t>aragraph 25-5.02(1)(a)</w:t>
            </w:r>
          </w:p>
        </w:tc>
        <w:tc>
          <w:tcPr>
            <w:tcW w:w="2841" w:type="dxa"/>
          </w:tcPr>
          <w:p w14:paraId="780F961B" w14:textId="77777777" w:rsidR="00F26086" w:rsidRDefault="00F26086" w:rsidP="001B3DF3">
            <w:pPr>
              <w:spacing w:before="0" w:after="0"/>
            </w:pPr>
            <w:r>
              <w:t>Subdivision 168-</w:t>
            </w:r>
            <w:r w:rsidRPr="00AD3E17">
              <w:t>1</w:t>
            </w:r>
          </w:p>
        </w:tc>
        <w:tc>
          <w:tcPr>
            <w:tcW w:w="2841" w:type="dxa"/>
          </w:tcPr>
          <w:p w14:paraId="08FE8106" w14:textId="3B72A4F1" w:rsidR="00F26086" w:rsidRDefault="00F26086" w:rsidP="00004F06">
            <w:pPr>
              <w:spacing w:before="0" w:after="0"/>
            </w:pPr>
            <w:r w:rsidRPr="00AD3E17">
              <w:t>Subdivision 168</w:t>
            </w:r>
            <w:r w:rsidR="00004F06">
              <w:noBreakHyphen/>
            </w:r>
            <w:r w:rsidRPr="00AD3E17">
              <w:t>A</w:t>
            </w:r>
          </w:p>
        </w:tc>
      </w:tr>
      <w:tr w:rsidR="00F26086" w14:paraId="46176861" w14:textId="77777777" w:rsidTr="001B3DF3">
        <w:tc>
          <w:tcPr>
            <w:tcW w:w="2840" w:type="dxa"/>
          </w:tcPr>
          <w:p w14:paraId="27D15D39" w14:textId="77777777" w:rsidR="00F26086" w:rsidRDefault="00F26086" w:rsidP="001B3DF3">
            <w:pPr>
              <w:spacing w:before="0" w:after="0"/>
            </w:pPr>
            <w:r>
              <w:t>Paragraph 25-</w:t>
            </w:r>
            <w:r w:rsidRPr="00AD3E17">
              <w:t>5.02(1)(b)</w:t>
            </w:r>
          </w:p>
        </w:tc>
        <w:tc>
          <w:tcPr>
            <w:tcW w:w="2841" w:type="dxa"/>
          </w:tcPr>
          <w:p w14:paraId="25F21738" w14:textId="77777777" w:rsidR="00F26086" w:rsidRDefault="00F26086" w:rsidP="001B3DF3">
            <w:pPr>
              <w:spacing w:before="0" w:after="0"/>
            </w:pPr>
            <w:r>
              <w:t>Subdivision 168-</w:t>
            </w:r>
            <w:r w:rsidRPr="00AD3E17">
              <w:t>2</w:t>
            </w:r>
          </w:p>
        </w:tc>
        <w:tc>
          <w:tcPr>
            <w:tcW w:w="2841" w:type="dxa"/>
          </w:tcPr>
          <w:p w14:paraId="53718C12" w14:textId="0892B822" w:rsidR="00F26086" w:rsidRDefault="00F26086" w:rsidP="00004F06">
            <w:pPr>
              <w:spacing w:before="0" w:after="0"/>
            </w:pPr>
            <w:r w:rsidRPr="00AD3E17">
              <w:t>Subdivision 168</w:t>
            </w:r>
            <w:r w:rsidR="00004F06">
              <w:noBreakHyphen/>
            </w:r>
            <w:r w:rsidRPr="00AD3E17">
              <w:t>B</w:t>
            </w:r>
          </w:p>
        </w:tc>
      </w:tr>
      <w:tr w:rsidR="00F26086" w14:paraId="190F8CE4" w14:textId="77777777" w:rsidTr="001B3DF3">
        <w:tc>
          <w:tcPr>
            <w:tcW w:w="2840" w:type="dxa"/>
          </w:tcPr>
          <w:p w14:paraId="0B0C22EA" w14:textId="77777777" w:rsidR="00F26086" w:rsidRDefault="00F26086" w:rsidP="001B3DF3">
            <w:pPr>
              <w:spacing w:before="0" w:after="0"/>
            </w:pPr>
            <w:r>
              <w:t>Paragraph 25-</w:t>
            </w:r>
            <w:r w:rsidRPr="00AD3E17">
              <w:t>5.02(1)(c)</w:t>
            </w:r>
          </w:p>
        </w:tc>
        <w:tc>
          <w:tcPr>
            <w:tcW w:w="2841" w:type="dxa"/>
          </w:tcPr>
          <w:p w14:paraId="6BA41E08" w14:textId="77777777" w:rsidR="00F26086" w:rsidRDefault="00F26086" w:rsidP="001B3DF3">
            <w:pPr>
              <w:spacing w:before="0" w:after="0"/>
            </w:pPr>
            <w:r>
              <w:t>Subdivision 168-3 and</w:t>
            </w:r>
            <w:r w:rsidRPr="00AD3E17">
              <w:t xml:space="preserve"> 168</w:t>
            </w:r>
            <w:r>
              <w:noBreakHyphen/>
            </w:r>
            <w:r w:rsidRPr="00AD3E17">
              <w:t>3A</w:t>
            </w:r>
          </w:p>
        </w:tc>
        <w:tc>
          <w:tcPr>
            <w:tcW w:w="2841" w:type="dxa"/>
          </w:tcPr>
          <w:p w14:paraId="12210D7F" w14:textId="37F008B1" w:rsidR="00F26086" w:rsidRDefault="00F26086" w:rsidP="00777795">
            <w:pPr>
              <w:spacing w:before="0" w:after="0"/>
            </w:pPr>
            <w:r>
              <w:t>Subdivision 168</w:t>
            </w:r>
            <w:r>
              <w:noBreakHyphen/>
            </w:r>
            <w:r w:rsidRPr="00AD3E17">
              <w:t xml:space="preserve">C </w:t>
            </w:r>
            <w:r w:rsidR="00777795">
              <w:t>and</w:t>
            </w:r>
            <w:bookmarkStart w:id="0" w:name="_GoBack"/>
            <w:bookmarkEnd w:id="0"/>
            <w:r w:rsidRPr="00AD3E17">
              <w:t xml:space="preserve"> 168</w:t>
            </w:r>
            <w:r>
              <w:noBreakHyphen/>
            </w:r>
            <w:r w:rsidRPr="00AD3E17">
              <w:t>D</w:t>
            </w:r>
          </w:p>
        </w:tc>
      </w:tr>
      <w:tr w:rsidR="00F26086" w14:paraId="4B8E416E" w14:textId="77777777" w:rsidTr="001B3DF3">
        <w:tc>
          <w:tcPr>
            <w:tcW w:w="2840" w:type="dxa"/>
          </w:tcPr>
          <w:p w14:paraId="049CD2CF" w14:textId="77777777" w:rsidR="00F26086" w:rsidRDefault="00F26086" w:rsidP="001B3DF3">
            <w:pPr>
              <w:spacing w:before="0" w:after="0"/>
            </w:pPr>
            <w:proofErr w:type="spellStart"/>
            <w:r>
              <w:t>Subregulation</w:t>
            </w:r>
            <w:proofErr w:type="spellEnd"/>
            <w:r>
              <w:t xml:space="preserve"> 25-</w:t>
            </w:r>
            <w:r w:rsidRPr="00AD3E17">
              <w:t>5.04(1)</w:t>
            </w:r>
          </w:p>
        </w:tc>
        <w:tc>
          <w:tcPr>
            <w:tcW w:w="2841" w:type="dxa"/>
          </w:tcPr>
          <w:p w14:paraId="0F5009B9" w14:textId="6772A2C0" w:rsidR="00F26086" w:rsidRDefault="00004F06" w:rsidP="001B3DF3">
            <w:pPr>
              <w:spacing w:before="0" w:after="0"/>
            </w:pPr>
            <w:r>
              <w:t>Paragraphs 168-5.11(2)(a) and (3)(a)</w:t>
            </w:r>
          </w:p>
        </w:tc>
        <w:tc>
          <w:tcPr>
            <w:tcW w:w="2841" w:type="dxa"/>
          </w:tcPr>
          <w:p w14:paraId="0C91AC5E" w14:textId="5441F700" w:rsidR="00F26086" w:rsidRDefault="00004F06" w:rsidP="001B3DF3">
            <w:pPr>
              <w:spacing w:before="0" w:after="0"/>
            </w:pPr>
            <w:r>
              <w:t>Not applicable</w:t>
            </w:r>
            <w:r w:rsidR="00697511">
              <w:t xml:space="preserve"> (see above)</w:t>
            </w:r>
          </w:p>
        </w:tc>
      </w:tr>
      <w:tr w:rsidR="00F26086" w14:paraId="1E4F69A9" w14:textId="77777777" w:rsidTr="001B3DF3">
        <w:tc>
          <w:tcPr>
            <w:tcW w:w="2840" w:type="dxa"/>
          </w:tcPr>
          <w:p w14:paraId="2B70E40A" w14:textId="77777777" w:rsidR="00F26086" w:rsidRDefault="00F26086" w:rsidP="001B3DF3">
            <w:pPr>
              <w:spacing w:before="0" w:after="0"/>
            </w:pPr>
            <w:proofErr w:type="spellStart"/>
            <w:r>
              <w:t>Subregulation</w:t>
            </w:r>
            <w:proofErr w:type="spellEnd"/>
            <w:r>
              <w:t xml:space="preserve"> 25-</w:t>
            </w:r>
            <w:r w:rsidRPr="00AD3E17">
              <w:t>5.04(2)</w:t>
            </w:r>
          </w:p>
        </w:tc>
        <w:tc>
          <w:tcPr>
            <w:tcW w:w="2841" w:type="dxa"/>
          </w:tcPr>
          <w:p w14:paraId="24E92DA0" w14:textId="77777777" w:rsidR="00F26086" w:rsidRDefault="00F26086" w:rsidP="001B3DF3">
            <w:pPr>
              <w:spacing w:before="0" w:after="0"/>
            </w:pPr>
            <w:r>
              <w:t>Subdivisions 168-5 and 168-</w:t>
            </w:r>
            <w:r w:rsidRPr="00AD3E17">
              <w:t>6</w:t>
            </w:r>
          </w:p>
        </w:tc>
        <w:tc>
          <w:tcPr>
            <w:tcW w:w="2841" w:type="dxa"/>
          </w:tcPr>
          <w:p w14:paraId="20880C5F" w14:textId="77777777" w:rsidR="00F26086" w:rsidRDefault="00F26086" w:rsidP="001B3DF3">
            <w:pPr>
              <w:spacing w:before="0" w:after="0"/>
            </w:pPr>
            <w:r w:rsidRPr="00AD3E17">
              <w:t>Subdivis</w:t>
            </w:r>
            <w:r>
              <w:t>ions 168-</w:t>
            </w:r>
            <w:r w:rsidRPr="00AD3E17">
              <w:t>F and 168</w:t>
            </w:r>
            <w:r>
              <w:noBreakHyphen/>
            </w:r>
            <w:r w:rsidRPr="00AD3E17">
              <w:t>G</w:t>
            </w:r>
          </w:p>
        </w:tc>
      </w:tr>
      <w:tr w:rsidR="00F26086" w:rsidRPr="00AD3E17" w14:paraId="3D91495F" w14:textId="77777777" w:rsidTr="001B3DF3">
        <w:tc>
          <w:tcPr>
            <w:tcW w:w="2840" w:type="dxa"/>
          </w:tcPr>
          <w:p w14:paraId="6795475E" w14:textId="77777777" w:rsidR="00F26086" w:rsidRPr="00AD3E17" w:rsidRDefault="00F26086" w:rsidP="001B3DF3">
            <w:pPr>
              <w:spacing w:before="0" w:after="0"/>
              <w:rPr>
                <w:b/>
              </w:rPr>
            </w:pPr>
            <w:r w:rsidRPr="00AD3E17">
              <w:rPr>
                <w:b/>
              </w:rPr>
              <w:t xml:space="preserve">Regulation number in the </w:t>
            </w:r>
            <w:r>
              <w:rPr>
                <w:b/>
              </w:rPr>
              <w:t>Customs</w:t>
            </w:r>
            <w:r w:rsidRPr="00AD3E17">
              <w:rPr>
                <w:b/>
              </w:rPr>
              <w:t xml:space="preserve"> Regulations</w:t>
            </w:r>
          </w:p>
        </w:tc>
        <w:tc>
          <w:tcPr>
            <w:tcW w:w="2841" w:type="dxa"/>
          </w:tcPr>
          <w:p w14:paraId="64DFCC38" w14:textId="28554F71" w:rsidR="00F26086" w:rsidRPr="00AD3E17" w:rsidRDefault="00F26086" w:rsidP="001B3DF3">
            <w:pPr>
              <w:spacing w:before="0" w:after="0"/>
              <w:rPr>
                <w:b/>
              </w:rPr>
            </w:pPr>
            <w:r w:rsidRPr="00AD3E17">
              <w:rPr>
                <w:b/>
              </w:rPr>
              <w:t>Former GST regulation</w:t>
            </w:r>
            <w:r>
              <w:rPr>
                <w:b/>
              </w:rPr>
              <w:t xml:space="preserve"> referred to</w:t>
            </w:r>
          </w:p>
        </w:tc>
        <w:tc>
          <w:tcPr>
            <w:tcW w:w="2841" w:type="dxa"/>
          </w:tcPr>
          <w:p w14:paraId="78AA6FD5" w14:textId="6F659D6D" w:rsidR="00F26086" w:rsidRPr="00AD3E17" w:rsidRDefault="00F26086" w:rsidP="001B3DF3">
            <w:pPr>
              <w:spacing w:before="0" w:after="0"/>
              <w:rPr>
                <w:b/>
              </w:rPr>
            </w:pPr>
            <w:r w:rsidRPr="00AD3E17">
              <w:rPr>
                <w:b/>
              </w:rPr>
              <w:t>Renumbered GST section</w:t>
            </w:r>
            <w:r>
              <w:rPr>
                <w:b/>
              </w:rPr>
              <w:t xml:space="preserve"> referred to</w:t>
            </w:r>
          </w:p>
        </w:tc>
      </w:tr>
      <w:tr w:rsidR="00F26086" w14:paraId="2534CAD8" w14:textId="77777777" w:rsidTr="001B3DF3">
        <w:tc>
          <w:tcPr>
            <w:tcW w:w="2840" w:type="dxa"/>
          </w:tcPr>
          <w:p w14:paraId="09B89942" w14:textId="77777777" w:rsidR="00F26086" w:rsidRDefault="00F26086" w:rsidP="001B3DF3">
            <w:pPr>
              <w:spacing w:before="0" w:after="0"/>
            </w:pPr>
            <w:r>
              <w:t>Subparagraph 94A(1)(a)(iv)</w:t>
            </w:r>
          </w:p>
          <w:p w14:paraId="09DC20FE" w14:textId="77777777" w:rsidR="00F26086" w:rsidRDefault="00F26086" w:rsidP="001B3DF3">
            <w:pPr>
              <w:spacing w:before="0" w:after="0"/>
            </w:pPr>
          </w:p>
        </w:tc>
        <w:tc>
          <w:tcPr>
            <w:tcW w:w="2841" w:type="dxa"/>
          </w:tcPr>
          <w:p w14:paraId="5CEA6399" w14:textId="77777777" w:rsidR="00F26086" w:rsidRDefault="00F26086" w:rsidP="001B3DF3">
            <w:pPr>
              <w:spacing w:before="0" w:after="0"/>
            </w:pPr>
            <w:r>
              <w:t>Part 2-</w:t>
            </w:r>
            <w:r w:rsidRPr="00CD617D">
              <w:t xml:space="preserve">7 of the </w:t>
            </w:r>
            <w:r w:rsidRPr="00CD617D">
              <w:rPr>
                <w:i/>
              </w:rPr>
              <w:t>A New Tax System (Goods and Services Tax) Regulations 1999</w:t>
            </w:r>
          </w:p>
        </w:tc>
        <w:tc>
          <w:tcPr>
            <w:tcW w:w="2841" w:type="dxa"/>
          </w:tcPr>
          <w:p w14:paraId="26FBCEAF" w14:textId="77777777" w:rsidR="00F26086" w:rsidRDefault="00F26086" w:rsidP="001B3DF3">
            <w:pPr>
              <w:spacing w:before="0" w:after="0"/>
            </w:pPr>
            <w:r w:rsidRPr="00CD617D">
              <w:rPr>
                <w:i/>
              </w:rPr>
              <w:t>A New Tax System (Goods and Services Tax) Regulations 2019</w:t>
            </w:r>
          </w:p>
        </w:tc>
      </w:tr>
    </w:tbl>
    <w:p w14:paraId="4619AC33" w14:textId="77777777" w:rsidR="00F26086" w:rsidRPr="00E722D7" w:rsidRDefault="00F26086" w:rsidP="00F26086">
      <w:pPr>
        <w:spacing w:before="0" w:after="0"/>
      </w:pPr>
    </w:p>
    <w:p w14:paraId="18AE8AED" w14:textId="11C9D731" w:rsidR="004A4EC3" w:rsidRDefault="004A4EC3" w:rsidP="002C4903">
      <w:pPr>
        <w:shd w:val="clear" w:color="auto" w:fill="FFFFFF"/>
        <w:rPr>
          <w:color w:val="000000"/>
          <w:szCs w:val="24"/>
        </w:rPr>
      </w:pPr>
    </w:p>
    <w:p w14:paraId="77F1F2A1" w14:textId="77777777" w:rsidR="004A4EC3" w:rsidRDefault="004A4EC3" w:rsidP="002C4903">
      <w:pPr>
        <w:shd w:val="clear" w:color="auto" w:fill="FFFFFF"/>
        <w:rPr>
          <w:color w:val="000000"/>
          <w:szCs w:val="24"/>
        </w:rPr>
      </w:pPr>
    </w:p>
    <w:p w14:paraId="65CE8D79" w14:textId="77777777" w:rsidR="004A4EC3" w:rsidRDefault="004A4EC3" w:rsidP="002C4903">
      <w:pPr>
        <w:shd w:val="clear" w:color="auto" w:fill="FFFFFF"/>
        <w:rPr>
          <w:color w:val="000000"/>
          <w:szCs w:val="24"/>
        </w:rPr>
      </w:pPr>
    </w:p>
    <w:p w14:paraId="00A62D05" w14:textId="3A2CA3E6" w:rsidR="007F4171" w:rsidRDefault="007F4171">
      <w:pPr>
        <w:spacing w:before="0" w:after="0"/>
        <w:rPr>
          <w:color w:val="000000"/>
          <w:szCs w:val="24"/>
        </w:rPr>
      </w:pPr>
    </w:p>
    <w:sectPr w:rsidR="007F4171"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E7B94" w14:textId="77777777" w:rsidR="001B3DF3" w:rsidRDefault="001B3DF3" w:rsidP="00954679">
      <w:pPr>
        <w:spacing w:before="0" w:after="0"/>
      </w:pPr>
      <w:r>
        <w:separator/>
      </w:r>
    </w:p>
  </w:endnote>
  <w:endnote w:type="continuationSeparator" w:id="0">
    <w:p w14:paraId="44EAD4EB" w14:textId="77777777" w:rsidR="001B3DF3" w:rsidRDefault="001B3DF3" w:rsidP="00954679">
      <w:pPr>
        <w:spacing w:before="0" w:after="0"/>
      </w:pPr>
      <w:r>
        <w:continuationSeparator/>
      </w:r>
    </w:p>
  </w:endnote>
  <w:endnote w:type="continuationNotice" w:id="1">
    <w:p w14:paraId="42F5E14F" w14:textId="77777777" w:rsidR="001B3DF3" w:rsidRDefault="001B3DF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B043D49" w14:textId="77777777" w:rsidR="001B3DF3" w:rsidRDefault="001B3DF3"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71746">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71746">
              <w:rPr>
                <w:bCs/>
                <w:noProof/>
              </w:rPr>
              <w:t>4</w:t>
            </w:r>
            <w:r w:rsidRPr="00954679">
              <w:rPr>
                <w:bCs/>
                <w:szCs w:val="24"/>
              </w:rPr>
              <w:fldChar w:fldCharType="end"/>
            </w:r>
          </w:p>
        </w:sdtContent>
      </w:sdt>
    </w:sdtContent>
  </w:sdt>
  <w:p w14:paraId="2CAFF622" w14:textId="77777777" w:rsidR="001B3DF3" w:rsidRDefault="001B3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B332A" w14:textId="77777777" w:rsidR="001B3DF3" w:rsidRDefault="001B3DF3" w:rsidP="00954679">
      <w:pPr>
        <w:spacing w:before="0" w:after="0"/>
      </w:pPr>
      <w:r>
        <w:separator/>
      </w:r>
    </w:p>
  </w:footnote>
  <w:footnote w:type="continuationSeparator" w:id="0">
    <w:p w14:paraId="50BE5441" w14:textId="77777777" w:rsidR="001B3DF3" w:rsidRDefault="001B3DF3" w:rsidP="00954679">
      <w:pPr>
        <w:spacing w:before="0" w:after="0"/>
      </w:pPr>
      <w:r>
        <w:continuationSeparator/>
      </w:r>
    </w:p>
  </w:footnote>
  <w:footnote w:type="continuationNotice" w:id="1">
    <w:p w14:paraId="6372F453" w14:textId="77777777" w:rsidR="001B3DF3" w:rsidRDefault="001B3DF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E5C5E" w14:textId="77777777" w:rsidR="0020241E" w:rsidRPr="00DA6211" w:rsidRDefault="0020241E" w:rsidP="0020241E">
    <w:pPr>
      <w:pStyle w:val="Header"/>
      <w:jc w:val="center"/>
      <w:rPr>
        <w:color w:val="FF0000"/>
      </w:rPr>
    </w:pPr>
    <w:r w:rsidRPr="00DA6211">
      <w:rPr>
        <w:color w:val="FF0000"/>
      </w:rPr>
      <w:t>EXPOSURE DRAFT</w:t>
    </w:r>
  </w:p>
  <w:p w14:paraId="444BA53E" w14:textId="77777777" w:rsidR="0020241E" w:rsidRDefault="00202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7E088F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A6"/>
    <w:rsid w:val="00004F06"/>
    <w:rsid w:val="0000744B"/>
    <w:rsid w:val="000107A8"/>
    <w:rsid w:val="000157EA"/>
    <w:rsid w:val="00016EA2"/>
    <w:rsid w:val="00024356"/>
    <w:rsid w:val="00033CC0"/>
    <w:rsid w:val="0003450F"/>
    <w:rsid w:val="000355E2"/>
    <w:rsid w:val="0003771D"/>
    <w:rsid w:val="000428A3"/>
    <w:rsid w:val="00044ADF"/>
    <w:rsid w:val="00050EF4"/>
    <w:rsid w:val="000619E5"/>
    <w:rsid w:val="00071A7E"/>
    <w:rsid w:val="00087749"/>
    <w:rsid w:val="00095211"/>
    <w:rsid w:val="00096B82"/>
    <w:rsid w:val="000A0607"/>
    <w:rsid w:val="000A56B2"/>
    <w:rsid w:val="000C10DF"/>
    <w:rsid w:val="000C5493"/>
    <w:rsid w:val="000D03E1"/>
    <w:rsid w:val="00112CEB"/>
    <w:rsid w:val="00113B45"/>
    <w:rsid w:val="00125759"/>
    <w:rsid w:val="00126EBA"/>
    <w:rsid w:val="00131241"/>
    <w:rsid w:val="001319C5"/>
    <w:rsid w:val="00137E58"/>
    <w:rsid w:val="00141089"/>
    <w:rsid w:val="0014215E"/>
    <w:rsid w:val="00144EEC"/>
    <w:rsid w:val="00145526"/>
    <w:rsid w:val="00151AF4"/>
    <w:rsid w:val="00152707"/>
    <w:rsid w:val="0017239A"/>
    <w:rsid w:val="00172699"/>
    <w:rsid w:val="0018380D"/>
    <w:rsid w:val="00192833"/>
    <w:rsid w:val="001A18A0"/>
    <w:rsid w:val="001A50D6"/>
    <w:rsid w:val="001B2FD2"/>
    <w:rsid w:val="001B3DF3"/>
    <w:rsid w:val="001C436B"/>
    <w:rsid w:val="001C69B1"/>
    <w:rsid w:val="001E6A74"/>
    <w:rsid w:val="001F41D0"/>
    <w:rsid w:val="0020241E"/>
    <w:rsid w:val="002044FE"/>
    <w:rsid w:val="0021305A"/>
    <w:rsid w:val="00214444"/>
    <w:rsid w:val="00216E57"/>
    <w:rsid w:val="00220F16"/>
    <w:rsid w:val="00236BD1"/>
    <w:rsid w:val="00251E6D"/>
    <w:rsid w:val="00254C5B"/>
    <w:rsid w:val="002554F2"/>
    <w:rsid w:val="00257342"/>
    <w:rsid w:val="00261B62"/>
    <w:rsid w:val="00261E6F"/>
    <w:rsid w:val="0026343B"/>
    <w:rsid w:val="00274A64"/>
    <w:rsid w:val="00277A6B"/>
    <w:rsid w:val="00285EE4"/>
    <w:rsid w:val="00286A0A"/>
    <w:rsid w:val="002B03DE"/>
    <w:rsid w:val="002B79BF"/>
    <w:rsid w:val="002C4903"/>
    <w:rsid w:val="002E0E73"/>
    <w:rsid w:val="002E2D12"/>
    <w:rsid w:val="002E40AA"/>
    <w:rsid w:val="002F127A"/>
    <w:rsid w:val="00307146"/>
    <w:rsid w:val="00315790"/>
    <w:rsid w:val="003234E1"/>
    <w:rsid w:val="003342CD"/>
    <w:rsid w:val="00335042"/>
    <w:rsid w:val="0033707B"/>
    <w:rsid w:val="00337A4B"/>
    <w:rsid w:val="00337BF4"/>
    <w:rsid w:val="0035054C"/>
    <w:rsid w:val="00362B70"/>
    <w:rsid w:val="00365D9A"/>
    <w:rsid w:val="0037788A"/>
    <w:rsid w:val="00386B90"/>
    <w:rsid w:val="003905F8"/>
    <w:rsid w:val="00392BBA"/>
    <w:rsid w:val="003954FD"/>
    <w:rsid w:val="003A26D2"/>
    <w:rsid w:val="003A46E8"/>
    <w:rsid w:val="003A6ED3"/>
    <w:rsid w:val="003B18ED"/>
    <w:rsid w:val="003B4109"/>
    <w:rsid w:val="003B537C"/>
    <w:rsid w:val="003E1CE3"/>
    <w:rsid w:val="003F1C84"/>
    <w:rsid w:val="003F43F5"/>
    <w:rsid w:val="003F5A8C"/>
    <w:rsid w:val="00405245"/>
    <w:rsid w:val="00426E41"/>
    <w:rsid w:val="00431D94"/>
    <w:rsid w:val="00436952"/>
    <w:rsid w:val="004447E2"/>
    <w:rsid w:val="0044757E"/>
    <w:rsid w:val="00454482"/>
    <w:rsid w:val="00461DC8"/>
    <w:rsid w:val="00462095"/>
    <w:rsid w:val="004653AC"/>
    <w:rsid w:val="004764CF"/>
    <w:rsid w:val="00481D38"/>
    <w:rsid w:val="00482A88"/>
    <w:rsid w:val="00491CD9"/>
    <w:rsid w:val="00491F60"/>
    <w:rsid w:val="0049228A"/>
    <w:rsid w:val="004A4EC3"/>
    <w:rsid w:val="004B3C0F"/>
    <w:rsid w:val="004B71A7"/>
    <w:rsid w:val="004C05E4"/>
    <w:rsid w:val="004C402F"/>
    <w:rsid w:val="004C5D03"/>
    <w:rsid w:val="004C7ACA"/>
    <w:rsid w:val="004D1694"/>
    <w:rsid w:val="004D2498"/>
    <w:rsid w:val="004E39E1"/>
    <w:rsid w:val="004E4157"/>
    <w:rsid w:val="004E4D8C"/>
    <w:rsid w:val="004E5441"/>
    <w:rsid w:val="00503E44"/>
    <w:rsid w:val="0050644A"/>
    <w:rsid w:val="00512A59"/>
    <w:rsid w:val="00513AB5"/>
    <w:rsid w:val="00515283"/>
    <w:rsid w:val="00515809"/>
    <w:rsid w:val="00523912"/>
    <w:rsid w:val="00524A77"/>
    <w:rsid w:val="00527344"/>
    <w:rsid w:val="0053222E"/>
    <w:rsid w:val="00533926"/>
    <w:rsid w:val="005454BC"/>
    <w:rsid w:val="0055675D"/>
    <w:rsid w:val="00566E8F"/>
    <w:rsid w:val="00571746"/>
    <w:rsid w:val="00576FCD"/>
    <w:rsid w:val="005833BE"/>
    <w:rsid w:val="005848CE"/>
    <w:rsid w:val="005868EA"/>
    <w:rsid w:val="005A6B32"/>
    <w:rsid w:val="005B3740"/>
    <w:rsid w:val="005C23C7"/>
    <w:rsid w:val="005C2C75"/>
    <w:rsid w:val="005D7D5A"/>
    <w:rsid w:val="005E0EE0"/>
    <w:rsid w:val="005E4BAC"/>
    <w:rsid w:val="005F4370"/>
    <w:rsid w:val="0060130D"/>
    <w:rsid w:val="00602095"/>
    <w:rsid w:val="00613557"/>
    <w:rsid w:val="00631380"/>
    <w:rsid w:val="0064129F"/>
    <w:rsid w:val="006477D2"/>
    <w:rsid w:val="00647BB7"/>
    <w:rsid w:val="00651D37"/>
    <w:rsid w:val="0066069D"/>
    <w:rsid w:val="00661348"/>
    <w:rsid w:val="00672787"/>
    <w:rsid w:val="00680297"/>
    <w:rsid w:val="00697511"/>
    <w:rsid w:val="006A0786"/>
    <w:rsid w:val="006A7A1B"/>
    <w:rsid w:val="006B410D"/>
    <w:rsid w:val="006B58D1"/>
    <w:rsid w:val="006B78B4"/>
    <w:rsid w:val="006C138D"/>
    <w:rsid w:val="006C2572"/>
    <w:rsid w:val="006C6D6F"/>
    <w:rsid w:val="006D216C"/>
    <w:rsid w:val="006D4B7C"/>
    <w:rsid w:val="006E444A"/>
    <w:rsid w:val="006F7DC6"/>
    <w:rsid w:val="00707ED1"/>
    <w:rsid w:val="0072158F"/>
    <w:rsid w:val="007217D9"/>
    <w:rsid w:val="00722057"/>
    <w:rsid w:val="00724DC3"/>
    <w:rsid w:val="00736F61"/>
    <w:rsid w:val="0075051B"/>
    <w:rsid w:val="0075263A"/>
    <w:rsid w:val="00753A41"/>
    <w:rsid w:val="00765962"/>
    <w:rsid w:val="007662C7"/>
    <w:rsid w:val="00776306"/>
    <w:rsid w:val="00777795"/>
    <w:rsid w:val="007B1F10"/>
    <w:rsid w:val="007D40A4"/>
    <w:rsid w:val="007E018D"/>
    <w:rsid w:val="007F1B71"/>
    <w:rsid w:val="007F273C"/>
    <w:rsid w:val="007F273F"/>
    <w:rsid w:val="007F4171"/>
    <w:rsid w:val="007F5535"/>
    <w:rsid w:val="00807E7D"/>
    <w:rsid w:val="00812740"/>
    <w:rsid w:val="0082425E"/>
    <w:rsid w:val="00831675"/>
    <w:rsid w:val="00835349"/>
    <w:rsid w:val="0083728F"/>
    <w:rsid w:val="00840A3D"/>
    <w:rsid w:val="0084443D"/>
    <w:rsid w:val="00845C15"/>
    <w:rsid w:val="00851706"/>
    <w:rsid w:val="0085501D"/>
    <w:rsid w:val="0088467C"/>
    <w:rsid w:val="00891E88"/>
    <w:rsid w:val="00894579"/>
    <w:rsid w:val="00896F65"/>
    <w:rsid w:val="008A0F7E"/>
    <w:rsid w:val="008A5B67"/>
    <w:rsid w:val="008B3458"/>
    <w:rsid w:val="008B418D"/>
    <w:rsid w:val="008B7D51"/>
    <w:rsid w:val="008C14A3"/>
    <w:rsid w:val="008C32B5"/>
    <w:rsid w:val="008D07E9"/>
    <w:rsid w:val="008D16F7"/>
    <w:rsid w:val="008E1427"/>
    <w:rsid w:val="009031BC"/>
    <w:rsid w:val="009100DB"/>
    <w:rsid w:val="009143A0"/>
    <w:rsid w:val="009151C1"/>
    <w:rsid w:val="009250E9"/>
    <w:rsid w:val="0094412D"/>
    <w:rsid w:val="009457EF"/>
    <w:rsid w:val="00954679"/>
    <w:rsid w:val="00967A35"/>
    <w:rsid w:val="00971B0A"/>
    <w:rsid w:val="0098364D"/>
    <w:rsid w:val="009873B8"/>
    <w:rsid w:val="009A6368"/>
    <w:rsid w:val="009C6A76"/>
    <w:rsid w:val="009D5504"/>
    <w:rsid w:val="009E2F86"/>
    <w:rsid w:val="009E6109"/>
    <w:rsid w:val="009F7E66"/>
    <w:rsid w:val="00A017BA"/>
    <w:rsid w:val="00A12209"/>
    <w:rsid w:val="00A217B6"/>
    <w:rsid w:val="00A31624"/>
    <w:rsid w:val="00A36DF3"/>
    <w:rsid w:val="00A40177"/>
    <w:rsid w:val="00A532DD"/>
    <w:rsid w:val="00A558A5"/>
    <w:rsid w:val="00A662DC"/>
    <w:rsid w:val="00A714CB"/>
    <w:rsid w:val="00A76040"/>
    <w:rsid w:val="00A80BCF"/>
    <w:rsid w:val="00A81612"/>
    <w:rsid w:val="00A82BC2"/>
    <w:rsid w:val="00A8369C"/>
    <w:rsid w:val="00AA1689"/>
    <w:rsid w:val="00AA4848"/>
    <w:rsid w:val="00AB3AB8"/>
    <w:rsid w:val="00AC1D15"/>
    <w:rsid w:val="00AC2632"/>
    <w:rsid w:val="00AC6556"/>
    <w:rsid w:val="00AC659F"/>
    <w:rsid w:val="00AD138B"/>
    <w:rsid w:val="00AD3E17"/>
    <w:rsid w:val="00B01D0C"/>
    <w:rsid w:val="00B07B0C"/>
    <w:rsid w:val="00B15F29"/>
    <w:rsid w:val="00B25563"/>
    <w:rsid w:val="00B26055"/>
    <w:rsid w:val="00B26D48"/>
    <w:rsid w:val="00B423FD"/>
    <w:rsid w:val="00B42EE1"/>
    <w:rsid w:val="00B548CC"/>
    <w:rsid w:val="00B64FD8"/>
    <w:rsid w:val="00B903DA"/>
    <w:rsid w:val="00B92478"/>
    <w:rsid w:val="00B9506E"/>
    <w:rsid w:val="00BA00FE"/>
    <w:rsid w:val="00BA7FB2"/>
    <w:rsid w:val="00BC1BE4"/>
    <w:rsid w:val="00BD02F0"/>
    <w:rsid w:val="00BD2DF9"/>
    <w:rsid w:val="00BD61A2"/>
    <w:rsid w:val="00BE484D"/>
    <w:rsid w:val="00BF272D"/>
    <w:rsid w:val="00BF2ABE"/>
    <w:rsid w:val="00BF34F6"/>
    <w:rsid w:val="00C10D3B"/>
    <w:rsid w:val="00C13198"/>
    <w:rsid w:val="00C16C7D"/>
    <w:rsid w:val="00C32ECD"/>
    <w:rsid w:val="00C337DC"/>
    <w:rsid w:val="00C366BF"/>
    <w:rsid w:val="00C37E05"/>
    <w:rsid w:val="00C41540"/>
    <w:rsid w:val="00C4649F"/>
    <w:rsid w:val="00C55D29"/>
    <w:rsid w:val="00C56C83"/>
    <w:rsid w:val="00C61B81"/>
    <w:rsid w:val="00C72014"/>
    <w:rsid w:val="00C73D20"/>
    <w:rsid w:val="00C82DF1"/>
    <w:rsid w:val="00C90D2E"/>
    <w:rsid w:val="00CA0BE9"/>
    <w:rsid w:val="00CA138D"/>
    <w:rsid w:val="00CA40F1"/>
    <w:rsid w:val="00CB777F"/>
    <w:rsid w:val="00CC078D"/>
    <w:rsid w:val="00CC1685"/>
    <w:rsid w:val="00CC7641"/>
    <w:rsid w:val="00CD617D"/>
    <w:rsid w:val="00CE5007"/>
    <w:rsid w:val="00CF48BD"/>
    <w:rsid w:val="00D04DAB"/>
    <w:rsid w:val="00D074AE"/>
    <w:rsid w:val="00D13794"/>
    <w:rsid w:val="00D13E1F"/>
    <w:rsid w:val="00D21621"/>
    <w:rsid w:val="00D24052"/>
    <w:rsid w:val="00D24386"/>
    <w:rsid w:val="00D24B31"/>
    <w:rsid w:val="00D24C29"/>
    <w:rsid w:val="00D31575"/>
    <w:rsid w:val="00D34626"/>
    <w:rsid w:val="00D4257A"/>
    <w:rsid w:val="00D57826"/>
    <w:rsid w:val="00D62665"/>
    <w:rsid w:val="00D675B9"/>
    <w:rsid w:val="00D748C7"/>
    <w:rsid w:val="00D773FA"/>
    <w:rsid w:val="00D86C6B"/>
    <w:rsid w:val="00D93434"/>
    <w:rsid w:val="00D955BB"/>
    <w:rsid w:val="00D95665"/>
    <w:rsid w:val="00DA6A87"/>
    <w:rsid w:val="00DB341B"/>
    <w:rsid w:val="00DB39C1"/>
    <w:rsid w:val="00DB752E"/>
    <w:rsid w:val="00DC040F"/>
    <w:rsid w:val="00DC0CDE"/>
    <w:rsid w:val="00DC274F"/>
    <w:rsid w:val="00DC2A95"/>
    <w:rsid w:val="00DC4D72"/>
    <w:rsid w:val="00DD13E8"/>
    <w:rsid w:val="00DD2862"/>
    <w:rsid w:val="00DD46BE"/>
    <w:rsid w:val="00DD6855"/>
    <w:rsid w:val="00DE2664"/>
    <w:rsid w:val="00DE57DD"/>
    <w:rsid w:val="00E0624D"/>
    <w:rsid w:val="00E24443"/>
    <w:rsid w:val="00E300AB"/>
    <w:rsid w:val="00E404AE"/>
    <w:rsid w:val="00E43FD9"/>
    <w:rsid w:val="00E4438C"/>
    <w:rsid w:val="00E457F3"/>
    <w:rsid w:val="00E54C2F"/>
    <w:rsid w:val="00E555A4"/>
    <w:rsid w:val="00E55C5C"/>
    <w:rsid w:val="00E722D7"/>
    <w:rsid w:val="00E816F3"/>
    <w:rsid w:val="00E833E6"/>
    <w:rsid w:val="00E84AF5"/>
    <w:rsid w:val="00E84B17"/>
    <w:rsid w:val="00E90B26"/>
    <w:rsid w:val="00EB0D37"/>
    <w:rsid w:val="00EB51FC"/>
    <w:rsid w:val="00EB7E71"/>
    <w:rsid w:val="00ED2EBD"/>
    <w:rsid w:val="00ED46FA"/>
    <w:rsid w:val="00ED488D"/>
    <w:rsid w:val="00F0004B"/>
    <w:rsid w:val="00F0224B"/>
    <w:rsid w:val="00F109D4"/>
    <w:rsid w:val="00F26086"/>
    <w:rsid w:val="00F37289"/>
    <w:rsid w:val="00F4068D"/>
    <w:rsid w:val="00F42CBC"/>
    <w:rsid w:val="00F43AAB"/>
    <w:rsid w:val="00F43EF6"/>
    <w:rsid w:val="00F463D0"/>
    <w:rsid w:val="00F47585"/>
    <w:rsid w:val="00F52D9F"/>
    <w:rsid w:val="00F620D4"/>
    <w:rsid w:val="00F7209B"/>
    <w:rsid w:val="00F73B35"/>
    <w:rsid w:val="00F857E5"/>
    <w:rsid w:val="00F85E6F"/>
    <w:rsid w:val="00F86B60"/>
    <w:rsid w:val="00F96C69"/>
    <w:rsid w:val="00F97A72"/>
    <w:rsid w:val="00FA4FF6"/>
    <w:rsid w:val="00FA66A8"/>
    <w:rsid w:val="00FB022F"/>
    <w:rsid w:val="00FC1A56"/>
    <w:rsid w:val="00FD34F6"/>
    <w:rsid w:val="00FE04A6"/>
    <w:rsid w:val="00FE04E4"/>
    <w:rsid w:val="00FE47AC"/>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A3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9A"/>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5E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E555A4"/>
    <w:pPr>
      <w:spacing w:after="100"/>
    </w:pPr>
  </w:style>
  <w:style w:type="paragraph" w:customStyle="1" w:styleId="notetext">
    <w:name w:val="note(text)"/>
    <w:aliases w:val="n"/>
    <w:basedOn w:val="Normal"/>
    <w:link w:val="notetextChar"/>
    <w:rsid w:val="006C6D6F"/>
    <w:pPr>
      <w:spacing w:before="122" w:after="0"/>
      <w:ind w:left="1985" w:hanging="851"/>
    </w:pPr>
    <w:rPr>
      <w:sz w:val="18"/>
    </w:rPr>
  </w:style>
  <w:style w:type="character" w:customStyle="1" w:styleId="notetextChar">
    <w:name w:val="note(text) Char"/>
    <w:aliases w:val="n Char"/>
    <w:link w:val="notetext"/>
    <w:rsid w:val="006C6D6F"/>
    <w:rPr>
      <w:sz w:val="18"/>
    </w:rPr>
  </w:style>
  <w:style w:type="paragraph" w:customStyle="1" w:styleId="paragraph">
    <w:name w:val="paragraph"/>
    <w:aliases w:val="a"/>
    <w:basedOn w:val="Normal"/>
    <w:rsid w:val="00F0004B"/>
    <w:pPr>
      <w:tabs>
        <w:tab w:val="right" w:pos="1531"/>
      </w:tabs>
      <w:spacing w:before="40" w:after="0"/>
      <w:ind w:left="1644" w:hanging="1644"/>
    </w:pPr>
    <w:rPr>
      <w:sz w:val="22"/>
    </w:rPr>
  </w:style>
  <w:style w:type="character" w:customStyle="1" w:styleId="Heading1Char">
    <w:name w:val="Heading 1 Char"/>
    <w:basedOn w:val="DefaultParagraphFont"/>
    <w:link w:val="Heading1"/>
    <w:rsid w:val="00087749"/>
    <w:rPr>
      <w:rFonts w:ascii="Arial Bold" w:hAnsi="Arial Bold"/>
      <w:b/>
      <w:kern w:val="28"/>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9A"/>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5E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E555A4"/>
    <w:pPr>
      <w:spacing w:after="100"/>
    </w:pPr>
  </w:style>
  <w:style w:type="paragraph" w:customStyle="1" w:styleId="notetext">
    <w:name w:val="note(text)"/>
    <w:aliases w:val="n"/>
    <w:basedOn w:val="Normal"/>
    <w:link w:val="notetextChar"/>
    <w:rsid w:val="006C6D6F"/>
    <w:pPr>
      <w:spacing w:before="122" w:after="0"/>
      <w:ind w:left="1985" w:hanging="851"/>
    </w:pPr>
    <w:rPr>
      <w:sz w:val="18"/>
    </w:rPr>
  </w:style>
  <w:style w:type="character" w:customStyle="1" w:styleId="notetextChar">
    <w:name w:val="note(text) Char"/>
    <w:aliases w:val="n Char"/>
    <w:link w:val="notetext"/>
    <w:rsid w:val="006C6D6F"/>
    <w:rPr>
      <w:sz w:val="18"/>
    </w:rPr>
  </w:style>
  <w:style w:type="paragraph" w:customStyle="1" w:styleId="paragraph">
    <w:name w:val="paragraph"/>
    <w:aliases w:val="a"/>
    <w:basedOn w:val="Normal"/>
    <w:rsid w:val="00F0004B"/>
    <w:pPr>
      <w:tabs>
        <w:tab w:val="right" w:pos="1531"/>
      </w:tabs>
      <w:spacing w:before="40" w:after="0"/>
      <w:ind w:left="1644" w:hanging="1644"/>
    </w:pPr>
    <w:rPr>
      <w:sz w:val="22"/>
    </w:rPr>
  </w:style>
  <w:style w:type="character" w:customStyle="1" w:styleId="Heading1Char">
    <w:name w:val="Heading 1 Char"/>
    <w:basedOn w:val="DefaultParagraphFont"/>
    <w:link w:val="Heading1"/>
    <w:rsid w:val="00087749"/>
    <w:rPr>
      <w:rFonts w:ascii="Arial Bold" w:hAnsi="Arial Bold"/>
      <w:b/>
      <w:kern w:val="28"/>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7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8EE0FC28AE42354D97C2D86578A7BB81" ma:contentTypeVersion="16323" ma:contentTypeDescription="" ma:contentTypeScope="" ma:versionID="cf8784dd84288a23f65cf7bfa0ab2bc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fce65da61d4ccee1554a6386d0078bb4"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2018RG-309-2868</_dlc_DocId>
    <_dlc_DocIdUrl xmlns="0f563589-9cf9-4143-b1eb-fb0534803d38">
      <Url>http://tweb/sites/rg/iitd/gs/_layouts/15/DocIdRedir.aspx?ID=2018RG-309-2868</Url>
      <Description>2018RG-309-2868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6E21-4E93-489C-A002-8A2D22E8D29E}"/>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8AFEF76-6B97-4885-98CC-4F043CC68A54}"/>
</file>

<file path=customXml/itemProps5.xml><?xml version="1.0" encoding="utf-8"?>
<ds:datastoreItem xmlns:ds="http://schemas.openxmlformats.org/officeDocument/2006/customXml" ds:itemID="{46278533-3486-40E5-9013-DD26FD164D39}">
  <ds:schemaRefs>
    <ds:schemaRef ds:uri="http://purl.org/dc/dcmitype/"/>
    <ds:schemaRef ds:uri="9f7bc583-7cbe-45b9-a2bd-8bbb6543b37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0f563589-9cf9-4143-b1eb-fb0534803d38"/>
    <ds:schemaRef ds:uri="http://schemas.microsoft.com/sharepoint/v4"/>
    <ds:schemaRef ds:uri="687b78b0-2ddd-4441-8a8b-c9638c2a1939"/>
    <ds:schemaRef ds:uri="http://purl.org/dc/elements/1.1/"/>
    <ds:schemaRef ds:uri="http://schemas.microsoft.com/sharepoint/v3"/>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B564ADB7-49E3-4D24-AFA6-3A11EECB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4</Pages>
  <Words>1044</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Lee, Chelsy</dc:creator>
  <cp:lastModifiedBy>Boyd, Patrick</cp:lastModifiedBy>
  <cp:revision>3</cp:revision>
  <cp:lastPrinted>2018-12-14T04:34:00Z</cp:lastPrinted>
  <dcterms:created xsi:type="dcterms:W3CDTF">2018-12-14T04:33:00Z</dcterms:created>
  <dcterms:modified xsi:type="dcterms:W3CDTF">2018-12-14T04:34:00Z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-555372323</vt:i4>
  </property>
  <property fmtid="{D5CDD505-2E9C-101B-9397-08002B2CF9AE}" pid="3" name="_NewReviewCycle">
    <vt:lpwstr/>
  </property>
  <property fmtid="{D5CDD505-2E9C-101B-9397-08002B2CF9AE}" pid="4" name="_EmailSubject">
    <vt:lpwstr>Public consulation - Website words - GST sunsetting regulations 2018 [DLM=Sensitive:Legal]</vt:lpwstr>
  </property>
  <property fmtid="{D5CDD505-2E9C-101B-9397-08002B2CF9AE}" pid="5" name="_AuthorEmail">
    <vt:lpwstr>Patrick.Boyd@TREASURY.GOV.AU</vt:lpwstr>
  </property>
  <property fmtid="{D5CDD505-2E9C-101B-9397-08002B2CF9AE}" pid="6" name="_AuthorEmailDisplayName">
    <vt:lpwstr>Boyd, Patrick</vt:lpwstr>
  </property>
  <property fmtid="{D5CDD505-2E9C-101B-9397-08002B2CF9AE}" pid="7" name="ContentTypeId">
    <vt:lpwstr>0x01010036BB8DE7EC542E42A8B2E98CC20CB697008EE0FC28AE42354D97C2D86578A7BB81</vt:lpwstr>
  </property>
  <property fmtid="{D5CDD505-2E9C-101B-9397-08002B2CF9AE}" pid="8" name="_PreviousAdHocReviewCycleID">
    <vt:i4>-1533705720</vt:i4>
  </property>
  <property fmtid="{D5CDD505-2E9C-101B-9397-08002B2CF9AE}" pid="10" name="TSYRecordClass">
    <vt:lpwstr>7;#TSY RA-9236 - Retain as national archives|c6a225b4-6b93-473e-bcbb-6bc6ab25b623</vt:lpwstr>
  </property>
  <property fmtid="{D5CDD505-2E9C-101B-9397-08002B2CF9AE}" pid="11" name="_dlc_DocIdItemGuid">
    <vt:lpwstr>363ab5cc-ae01-4582-9559-6c94120ad111</vt:lpwstr>
  </property>
  <property fmtid="{D5CDD505-2E9C-101B-9397-08002B2CF9AE}" pid="12" name="RecordPoint_WorkflowType">
    <vt:lpwstr>ActiveSubmitStub</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{687b78b0-2ddd-4441-8a8b-c9638c2a1939}</vt:lpwstr>
  </property>
  <property fmtid="{D5CDD505-2E9C-101B-9397-08002B2CF9AE}" pid="16" name="RecordPoint_ActiveItemUniqueId">
    <vt:lpwstr>{6ce6d8e0-ed43-4505-9a04-41b51f874b4d}</vt:lpwstr>
  </property>
  <property fmtid="{D5CDD505-2E9C-101B-9397-08002B2CF9AE}" pid="17" name="RecordPoint_RecordNumberSubmitted">
    <vt:lpwstr/>
  </property>
  <property fmtid="{D5CDD505-2E9C-101B-9397-08002B2CF9AE}" pid="18" name="RecordPoint_SubmissionCompleted">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