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76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63"/>
      </w:tblGrid>
      <w:tr w:rsidR="00647FB2" w:rsidRPr="00C272F5" w14:paraId="012635D5" w14:textId="77777777" w:rsidTr="0074713C">
        <w:tc>
          <w:tcPr>
            <w:tcW w:w="7763" w:type="dxa"/>
            <w:shd w:val="clear" w:color="auto" w:fill="auto"/>
          </w:tcPr>
          <w:p w14:paraId="6D3D92C8" w14:textId="77777777" w:rsidR="00647FB2" w:rsidRPr="00C272F5" w:rsidRDefault="00647FB2" w:rsidP="00647FB2">
            <w:pPr>
              <w:jc w:val="center"/>
              <w:rPr>
                <w:b/>
                <w:sz w:val="26"/>
              </w:rPr>
            </w:pPr>
            <w:bookmarkStart w:id="0" w:name="_GoBack"/>
            <w:bookmarkEnd w:id="0"/>
            <w:r w:rsidRPr="00C272F5">
              <w:rPr>
                <w:b/>
                <w:sz w:val="26"/>
              </w:rPr>
              <w:t>EXPOSURE DRAFT</w:t>
            </w:r>
          </w:p>
          <w:p w14:paraId="6E34F84B" w14:textId="77777777" w:rsidR="00647FB2" w:rsidRPr="00C272F5" w:rsidRDefault="00647FB2" w:rsidP="00647FB2">
            <w:pPr>
              <w:rPr>
                <w:b/>
                <w:sz w:val="20"/>
              </w:rPr>
            </w:pPr>
          </w:p>
        </w:tc>
      </w:tr>
    </w:tbl>
    <w:p w14:paraId="31EBE51A" w14:textId="77777777" w:rsidR="00647FB2" w:rsidRPr="00647FB2" w:rsidRDefault="00647FB2" w:rsidP="00647FB2">
      <w:pPr>
        <w:rPr>
          <w:sz w:val="32"/>
          <w:szCs w:val="32"/>
        </w:rPr>
      </w:pPr>
    </w:p>
    <w:p w14:paraId="41C0DD2E" w14:textId="77777777" w:rsidR="00664C63" w:rsidRPr="00647FB2" w:rsidRDefault="00664C63" w:rsidP="00647FB2">
      <w:pPr>
        <w:rPr>
          <w:sz w:val="32"/>
          <w:szCs w:val="32"/>
        </w:rPr>
      </w:pPr>
      <w:r w:rsidRPr="00647FB2">
        <w:rPr>
          <w:sz w:val="32"/>
          <w:szCs w:val="32"/>
        </w:rPr>
        <w:t>Inserts for</w:t>
      </w:r>
    </w:p>
    <w:p w14:paraId="1EF1FEAC" w14:textId="77777777" w:rsidR="00664C63" w:rsidRPr="00647FB2" w:rsidRDefault="00165C40" w:rsidP="00647FB2">
      <w:pPr>
        <w:pStyle w:val="ShortT"/>
      </w:pPr>
      <w:r w:rsidRPr="00647FB2">
        <w:t>Superannuation Legislation Amendment (Transparency Measures) Bill 2015</w:t>
      </w:r>
      <w:r w:rsidR="0058179F" w:rsidRPr="00647FB2">
        <w:t>: Product dashboards</w:t>
      </w:r>
    </w:p>
    <w:p w14:paraId="44C3DD42" w14:textId="77777777" w:rsidR="00664C63" w:rsidRPr="00647FB2" w:rsidRDefault="00664C63" w:rsidP="00647FB2">
      <w:pPr>
        <w:jc w:val="center"/>
      </w:pPr>
    </w:p>
    <w:p w14:paraId="290BFF79" w14:textId="77777777" w:rsidR="00664C63" w:rsidRPr="00647FB2" w:rsidRDefault="00664C63" w:rsidP="00647FB2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551"/>
        <w:gridCol w:w="2552"/>
        <w:gridCol w:w="2552"/>
      </w:tblGrid>
      <w:tr w:rsidR="00664C63" w:rsidRPr="00C272F5" w14:paraId="6548AAAF" w14:textId="77777777" w:rsidTr="0074713C">
        <w:trPr>
          <w:tblHeader/>
        </w:trPr>
        <w:tc>
          <w:tcPr>
            <w:tcW w:w="7655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4C549E45" w14:textId="77777777" w:rsidR="00664C63" w:rsidRPr="00647FB2" w:rsidRDefault="00664C63" w:rsidP="00647FB2">
            <w:pPr>
              <w:pStyle w:val="TableHeading"/>
            </w:pPr>
            <w:r w:rsidRPr="00647FB2">
              <w:t>Commencement information</w:t>
            </w:r>
          </w:p>
        </w:tc>
      </w:tr>
      <w:tr w:rsidR="00664C63" w:rsidRPr="00C272F5" w14:paraId="6C2CF384" w14:textId="77777777" w:rsidTr="0074713C">
        <w:trPr>
          <w:tblHeader/>
        </w:trPr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FC8F1D0" w14:textId="77777777" w:rsidR="00664C63" w:rsidRPr="00647FB2" w:rsidRDefault="00664C63" w:rsidP="00647FB2">
            <w:pPr>
              <w:pStyle w:val="TableHeading"/>
            </w:pPr>
            <w:r w:rsidRPr="00647FB2">
              <w:t>Column 1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AF1842A" w14:textId="77777777" w:rsidR="00664C63" w:rsidRPr="00647FB2" w:rsidRDefault="00664C63" w:rsidP="00647FB2">
            <w:pPr>
              <w:pStyle w:val="TableHeading"/>
            </w:pPr>
            <w:r w:rsidRPr="00647FB2">
              <w:t>Column 2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E6823AA" w14:textId="77777777" w:rsidR="00664C63" w:rsidRPr="00647FB2" w:rsidRDefault="00664C63" w:rsidP="00647FB2">
            <w:pPr>
              <w:pStyle w:val="TableHeading"/>
            </w:pPr>
            <w:r w:rsidRPr="00647FB2">
              <w:t>Column 3</w:t>
            </w:r>
          </w:p>
        </w:tc>
      </w:tr>
      <w:tr w:rsidR="00664C63" w:rsidRPr="00C272F5" w14:paraId="0E7A66F6" w14:textId="77777777" w:rsidTr="0074713C">
        <w:trPr>
          <w:tblHeader/>
        </w:trPr>
        <w:tc>
          <w:tcPr>
            <w:tcW w:w="255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13870917" w14:textId="77777777" w:rsidR="00664C63" w:rsidRPr="00647FB2" w:rsidRDefault="00664C63" w:rsidP="00647FB2">
            <w:pPr>
              <w:pStyle w:val="TableHeading"/>
            </w:pPr>
            <w:r w:rsidRPr="00647FB2">
              <w:t>Provisions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3E746DAE" w14:textId="77777777" w:rsidR="00664C63" w:rsidRPr="00647FB2" w:rsidRDefault="00664C63" w:rsidP="00647FB2">
            <w:pPr>
              <w:pStyle w:val="TableHeading"/>
            </w:pPr>
            <w:r w:rsidRPr="00647FB2">
              <w:t>Commencement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13A07A24" w14:textId="77777777" w:rsidR="00664C63" w:rsidRPr="00647FB2" w:rsidRDefault="00664C63" w:rsidP="00647FB2">
            <w:pPr>
              <w:pStyle w:val="TableHeading"/>
            </w:pPr>
            <w:r w:rsidRPr="00647FB2">
              <w:t>Date/Details</w:t>
            </w:r>
          </w:p>
        </w:tc>
      </w:tr>
      <w:tr w:rsidR="00664C63" w:rsidRPr="00C272F5" w14:paraId="5DBC0CEA" w14:textId="77777777" w:rsidTr="0074713C">
        <w:tc>
          <w:tcPr>
            <w:tcW w:w="2551" w:type="dxa"/>
            <w:tcBorders>
              <w:top w:val="single" w:sz="12" w:space="0" w:color="auto"/>
            </w:tcBorders>
            <w:shd w:val="clear" w:color="auto" w:fill="auto"/>
          </w:tcPr>
          <w:p w14:paraId="08CCA178" w14:textId="77777777" w:rsidR="00664C63" w:rsidRPr="00647FB2" w:rsidRDefault="00664C63" w:rsidP="00647FB2">
            <w:pPr>
              <w:pStyle w:val="Tabletext"/>
            </w:pPr>
            <w:r w:rsidRPr="00647FB2">
              <w:t xml:space="preserve">1.  </w:t>
            </w:r>
          </w:p>
        </w:tc>
        <w:tc>
          <w:tcPr>
            <w:tcW w:w="2552" w:type="dxa"/>
            <w:tcBorders>
              <w:top w:val="single" w:sz="12" w:space="0" w:color="auto"/>
            </w:tcBorders>
            <w:shd w:val="clear" w:color="auto" w:fill="auto"/>
          </w:tcPr>
          <w:p w14:paraId="2D5B319E" w14:textId="77777777" w:rsidR="00664C63" w:rsidRPr="00647FB2" w:rsidRDefault="00664C63" w:rsidP="00647FB2">
            <w:pPr>
              <w:pStyle w:val="Tabletext"/>
            </w:pPr>
          </w:p>
        </w:tc>
        <w:tc>
          <w:tcPr>
            <w:tcW w:w="2552" w:type="dxa"/>
            <w:tcBorders>
              <w:top w:val="single" w:sz="12" w:space="0" w:color="auto"/>
            </w:tcBorders>
            <w:shd w:val="clear" w:color="auto" w:fill="auto"/>
          </w:tcPr>
          <w:p w14:paraId="1E8B36A5" w14:textId="77777777" w:rsidR="00664C63" w:rsidRPr="00647FB2" w:rsidRDefault="00664C63" w:rsidP="00647FB2">
            <w:pPr>
              <w:pStyle w:val="Tabletext"/>
            </w:pPr>
          </w:p>
        </w:tc>
      </w:tr>
      <w:tr w:rsidR="00664C63" w:rsidRPr="00C272F5" w14:paraId="7EE2816E" w14:textId="77777777" w:rsidTr="0074713C"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14:paraId="124856F6" w14:textId="77777777" w:rsidR="00664C63" w:rsidRPr="00647FB2" w:rsidRDefault="00664C63" w:rsidP="00647FB2">
            <w:pPr>
              <w:pStyle w:val="Tabletext"/>
            </w:pPr>
            <w:r w:rsidRPr="00647FB2">
              <w:t xml:space="preserve">2.  </w:t>
            </w:r>
            <w:r w:rsidR="008607C2" w:rsidRPr="00647FB2">
              <w:t>Schedule #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7C3CC8B2" w14:textId="77777777" w:rsidR="00664C63" w:rsidRPr="00647FB2" w:rsidRDefault="009F3379" w:rsidP="00647FB2">
            <w:pPr>
              <w:pStyle w:val="Tabletext"/>
            </w:pPr>
            <w:r w:rsidRPr="00647FB2">
              <w:t>1</w:t>
            </w:r>
            <w:r w:rsidR="00647FB2" w:rsidRPr="00647FB2">
              <w:t> </w:t>
            </w:r>
            <w:r w:rsidRPr="00647FB2">
              <w:t>July 2016.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42EC50BF" w14:textId="77777777" w:rsidR="00664C63" w:rsidRPr="00647FB2" w:rsidRDefault="009F3379" w:rsidP="00647FB2">
            <w:pPr>
              <w:pStyle w:val="Tabletext"/>
            </w:pPr>
            <w:r w:rsidRPr="00647FB2">
              <w:t>1</w:t>
            </w:r>
            <w:r w:rsidR="00647FB2" w:rsidRPr="00647FB2">
              <w:t> </w:t>
            </w:r>
            <w:r w:rsidRPr="00647FB2">
              <w:t>July 2016</w:t>
            </w:r>
          </w:p>
        </w:tc>
      </w:tr>
      <w:tr w:rsidR="00664C63" w:rsidRPr="00C272F5" w14:paraId="5F652EAC" w14:textId="77777777" w:rsidTr="0074713C">
        <w:tc>
          <w:tcPr>
            <w:tcW w:w="2551" w:type="dxa"/>
            <w:tcBorders>
              <w:bottom w:val="single" w:sz="12" w:space="0" w:color="auto"/>
            </w:tcBorders>
            <w:shd w:val="clear" w:color="auto" w:fill="auto"/>
          </w:tcPr>
          <w:p w14:paraId="528C5531" w14:textId="77777777" w:rsidR="00664C63" w:rsidRPr="00647FB2" w:rsidRDefault="00664C63" w:rsidP="00647FB2">
            <w:pPr>
              <w:pStyle w:val="Tabletext"/>
            </w:pPr>
            <w:r w:rsidRPr="00647FB2">
              <w:t xml:space="preserve">3.  </w:t>
            </w:r>
          </w:p>
        </w:tc>
        <w:tc>
          <w:tcPr>
            <w:tcW w:w="2552" w:type="dxa"/>
            <w:tcBorders>
              <w:bottom w:val="single" w:sz="12" w:space="0" w:color="auto"/>
            </w:tcBorders>
            <w:shd w:val="clear" w:color="auto" w:fill="auto"/>
          </w:tcPr>
          <w:p w14:paraId="6CAD18C8" w14:textId="77777777" w:rsidR="00664C63" w:rsidRPr="00647FB2" w:rsidRDefault="00664C63" w:rsidP="00647FB2">
            <w:pPr>
              <w:pStyle w:val="Tabletext"/>
            </w:pPr>
          </w:p>
        </w:tc>
        <w:tc>
          <w:tcPr>
            <w:tcW w:w="2552" w:type="dxa"/>
            <w:tcBorders>
              <w:bottom w:val="single" w:sz="12" w:space="0" w:color="auto"/>
            </w:tcBorders>
            <w:shd w:val="clear" w:color="auto" w:fill="auto"/>
          </w:tcPr>
          <w:p w14:paraId="479CA4A5" w14:textId="77777777" w:rsidR="00664C63" w:rsidRPr="00647FB2" w:rsidRDefault="00664C63" w:rsidP="00647FB2">
            <w:pPr>
              <w:pStyle w:val="Tabletext"/>
            </w:pPr>
          </w:p>
        </w:tc>
      </w:tr>
    </w:tbl>
    <w:p w14:paraId="47BC696E" w14:textId="77777777" w:rsidR="008D496F" w:rsidRDefault="008D496F" w:rsidP="00647FB2">
      <w:pPr>
        <w:pStyle w:val="ActHead6"/>
        <w:pageBreakBefore/>
        <w:rPr>
          <w:rStyle w:val="CharAmSchNo"/>
        </w:rPr>
        <w:sectPr w:rsidR="008D496F" w:rsidSect="00014E9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466" w:right="2098" w:bottom="2466" w:left="2098" w:header="1899" w:footer="1899" w:gutter="0"/>
          <w:cols w:space="720"/>
          <w:titlePg/>
          <w:docGrid w:linePitch="299"/>
        </w:sectPr>
      </w:pPr>
      <w:bookmarkStart w:id="1" w:name="_Toc429404147"/>
      <w:bookmarkStart w:id="2" w:name="opcAmSched"/>
      <w:bookmarkStart w:id="3" w:name="opcCurrentFind"/>
    </w:p>
    <w:p w14:paraId="22257ED9" w14:textId="77777777" w:rsidR="009F3379" w:rsidRPr="00647FB2" w:rsidRDefault="0058179F" w:rsidP="008D496F">
      <w:pPr>
        <w:pStyle w:val="ActHead1"/>
      </w:pPr>
      <w:r w:rsidRPr="00647FB2">
        <w:rPr>
          <w:rStyle w:val="CharAmSchNo"/>
        </w:rPr>
        <w:lastRenderedPageBreak/>
        <w:t>Schedule #</w:t>
      </w:r>
      <w:r w:rsidRPr="00647FB2">
        <w:t>—</w:t>
      </w:r>
      <w:r w:rsidRPr="00647FB2">
        <w:rPr>
          <w:rStyle w:val="CharAmSchText"/>
        </w:rPr>
        <w:t>Product dashboards</w:t>
      </w:r>
      <w:bookmarkEnd w:id="1"/>
      <w:bookmarkEnd w:id="2"/>
      <w:bookmarkEnd w:id="3"/>
    </w:p>
    <w:p w14:paraId="1380152A" w14:textId="77777777" w:rsidR="0058179F" w:rsidRPr="0074713C" w:rsidRDefault="0058179F" w:rsidP="008D496F">
      <w:pPr>
        <w:pStyle w:val="ActHead2"/>
        <w:rPr>
          <w:i/>
        </w:rPr>
      </w:pPr>
      <w:bookmarkStart w:id="4" w:name="_Toc429404148"/>
      <w:r w:rsidRPr="0074713C">
        <w:rPr>
          <w:i/>
        </w:rPr>
        <w:t>Corporations Act 2001</w:t>
      </w:r>
      <w:bookmarkEnd w:id="4"/>
    </w:p>
    <w:p w14:paraId="33B8A6EE" w14:textId="77777777" w:rsidR="00B32652" w:rsidRPr="00647FB2" w:rsidRDefault="007238C8" w:rsidP="008D496F">
      <w:pPr>
        <w:pStyle w:val="ActHead3"/>
      </w:pPr>
      <w:r w:rsidRPr="00647FB2">
        <w:t>1</w:t>
      </w:r>
      <w:r w:rsidR="008D496F">
        <w:tab/>
      </w:r>
      <w:r w:rsidR="00B32652" w:rsidRPr="00647FB2">
        <w:t>Before subsection</w:t>
      </w:r>
      <w:r w:rsidR="00647FB2" w:rsidRPr="00647FB2">
        <w:t> </w:t>
      </w:r>
      <w:r w:rsidR="00B32652" w:rsidRPr="00647FB2">
        <w:t>1017BA(1)</w:t>
      </w:r>
    </w:p>
    <w:p w14:paraId="4DE8B48E" w14:textId="77777777" w:rsidR="00B32652" w:rsidRPr="00647FB2" w:rsidRDefault="00B32652" w:rsidP="00647FB2">
      <w:pPr>
        <w:pStyle w:val="Item"/>
      </w:pPr>
      <w:r w:rsidRPr="00647FB2">
        <w:t>Insert:</w:t>
      </w:r>
    </w:p>
    <w:p w14:paraId="736378FC" w14:textId="77777777" w:rsidR="00B32652" w:rsidRPr="00647FB2" w:rsidRDefault="00B32652" w:rsidP="00647FB2">
      <w:pPr>
        <w:pStyle w:val="SubsectionHead"/>
      </w:pPr>
      <w:r w:rsidRPr="00647FB2">
        <w:t>Making product dashboard</w:t>
      </w:r>
      <w:r w:rsidR="00E7637D" w:rsidRPr="00647FB2">
        <w:t>s</w:t>
      </w:r>
      <w:r w:rsidRPr="00647FB2">
        <w:t xml:space="preserve"> publicly available</w:t>
      </w:r>
    </w:p>
    <w:p w14:paraId="4A254DBD" w14:textId="77777777" w:rsidR="0033411C" w:rsidRPr="00647FB2" w:rsidRDefault="007238C8" w:rsidP="008D496F">
      <w:pPr>
        <w:pStyle w:val="ActHead3"/>
      </w:pPr>
      <w:r w:rsidRPr="00647FB2">
        <w:t>2</w:t>
      </w:r>
      <w:r w:rsidR="008D496F">
        <w:tab/>
      </w:r>
      <w:r w:rsidR="00295098" w:rsidRPr="00647FB2">
        <w:t>Paragraph 1017BA(1)(a)</w:t>
      </w:r>
    </w:p>
    <w:p w14:paraId="14241E9C" w14:textId="77777777" w:rsidR="00E3195B" w:rsidRPr="00647FB2" w:rsidRDefault="00E3195B" w:rsidP="00647FB2">
      <w:pPr>
        <w:pStyle w:val="Item"/>
      </w:pPr>
      <w:r w:rsidRPr="00647FB2">
        <w:t>Repeal the paragraph, substitute:</w:t>
      </w:r>
    </w:p>
    <w:p w14:paraId="48B6FD12" w14:textId="77777777" w:rsidR="00E3195B" w:rsidRPr="00530256" w:rsidRDefault="00E3195B" w:rsidP="00530256">
      <w:pPr>
        <w:pStyle w:val="paragraph"/>
      </w:pPr>
      <w:r w:rsidRPr="00530256">
        <w:tab/>
        <w:t>(a)</w:t>
      </w:r>
      <w:r w:rsidRPr="00530256">
        <w:tab/>
        <w:t>that a product dashboard for each of the fund’s:</w:t>
      </w:r>
    </w:p>
    <w:p w14:paraId="2F17706F" w14:textId="77777777" w:rsidR="00E3195B" w:rsidRPr="00530256" w:rsidRDefault="00E3195B" w:rsidP="00530256">
      <w:pPr>
        <w:pStyle w:val="paragraphsub"/>
      </w:pPr>
      <w:r w:rsidRPr="00530256">
        <w:tab/>
        <w:t>(i)</w:t>
      </w:r>
      <w:r w:rsidRPr="00530256">
        <w:tab/>
        <w:t>MySuper products; and</w:t>
      </w:r>
    </w:p>
    <w:p w14:paraId="31412472" w14:textId="77777777" w:rsidR="00E3195B" w:rsidRPr="00647FB2" w:rsidRDefault="00E3195B" w:rsidP="00530256">
      <w:pPr>
        <w:pStyle w:val="paragraphsub"/>
      </w:pPr>
      <w:r w:rsidRPr="00647FB2">
        <w:tab/>
        <w:t>(ii)</w:t>
      </w:r>
      <w:r w:rsidRPr="00647FB2">
        <w:tab/>
        <w:t>qualifying choice investment options;</w:t>
      </w:r>
    </w:p>
    <w:p w14:paraId="2B200640" w14:textId="77777777" w:rsidR="00E3195B" w:rsidRPr="00647FB2" w:rsidRDefault="00E3195B" w:rsidP="00530256">
      <w:pPr>
        <w:pStyle w:val="paragraph"/>
      </w:pPr>
      <w:r w:rsidRPr="00647FB2">
        <w:tab/>
      </w:r>
      <w:r w:rsidRPr="00647FB2">
        <w:tab/>
        <w:t>is publicly available at all times on the fund’s website; and</w:t>
      </w:r>
    </w:p>
    <w:p w14:paraId="069CA11E" w14:textId="77777777" w:rsidR="00E3195B" w:rsidRPr="00647FB2" w:rsidRDefault="007238C8" w:rsidP="008D496F">
      <w:pPr>
        <w:pStyle w:val="ActHead3"/>
      </w:pPr>
      <w:r w:rsidRPr="00647FB2">
        <w:t>3</w:t>
      </w:r>
      <w:r w:rsidR="008D496F">
        <w:tab/>
      </w:r>
      <w:r w:rsidR="00E3195B" w:rsidRPr="00647FB2">
        <w:t>Paragraph 1017BA(1)(e)</w:t>
      </w:r>
    </w:p>
    <w:p w14:paraId="41DDA389" w14:textId="77777777" w:rsidR="00E3195B" w:rsidRPr="00647FB2" w:rsidRDefault="00E3195B" w:rsidP="00647FB2">
      <w:pPr>
        <w:pStyle w:val="Item"/>
      </w:pPr>
      <w:r w:rsidRPr="00647FB2">
        <w:t>Repeal the paragraph, substitute:</w:t>
      </w:r>
    </w:p>
    <w:p w14:paraId="6ED79BFA" w14:textId="77777777" w:rsidR="00E3195B" w:rsidRPr="00647FB2" w:rsidRDefault="00E3195B" w:rsidP="00530256">
      <w:pPr>
        <w:pStyle w:val="paragraph"/>
      </w:pPr>
      <w:r w:rsidRPr="00647FB2">
        <w:tab/>
        <w:t>(e)</w:t>
      </w:r>
      <w:r w:rsidRPr="00647FB2">
        <w:tab/>
        <w:t>if the regulations prescribe either or both of the following:</w:t>
      </w:r>
    </w:p>
    <w:p w14:paraId="6087C486" w14:textId="77777777" w:rsidR="00E3195B" w:rsidRPr="00647FB2" w:rsidRDefault="00E3195B" w:rsidP="00530256">
      <w:pPr>
        <w:pStyle w:val="paragraphsub"/>
      </w:pPr>
      <w:r w:rsidRPr="00647FB2">
        <w:tab/>
        <w:t>(i)</w:t>
      </w:r>
      <w:r w:rsidRPr="00647FB2">
        <w:tab/>
        <w:t>the way information is to be set out in a product dashboard;</w:t>
      </w:r>
    </w:p>
    <w:p w14:paraId="538B2883" w14:textId="77777777" w:rsidR="00E3195B" w:rsidRPr="00647FB2" w:rsidRDefault="00E3195B" w:rsidP="00530256">
      <w:pPr>
        <w:pStyle w:val="paragraphsub"/>
      </w:pPr>
      <w:r w:rsidRPr="00647FB2">
        <w:tab/>
        <w:t>(ii)</w:t>
      </w:r>
      <w:r w:rsidRPr="00647FB2">
        <w:tab/>
        <w:t>the way a product dashboard is to be displayed, and be accessible, on the fund’s website;</w:t>
      </w:r>
    </w:p>
    <w:p w14:paraId="1C9E0FA5" w14:textId="77777777" w:rsidR="00E3195B" w:rsidRPr="00647FB2" w:rsidRDefault="00E3195B" w:rsidP="00530256">
      <w:pPr>
        <w:pStyle w:val="paragraph"/>
      </w:pPr>
      <w:r w:rsidRPr="00647FB2">
        <w:tab/>
      </w:r>
      <w:r w:rsidRPr="00647FB2">
        <w:tab/>
        <w:t>that each product dashboard sets out information, and is displayed and accessible, in accordance with the regulations.</w:t>
      </w:r>
    </w:p>
    <w:p w14:paraId="76CAEF8D" w14:textId="77777777" w:rsidR="00E3195B" w:rsidRPr="00647FB2" w:rsidRDefault="007238C8" w:rsidP="008D496F">
      <w:pPr>
        <w:pStyle w:val="ActHead3"/>
      </w:pPr>
      <w:r w:rsidRPr="00647FB2">
        <w:t>4</w:t>
      </w:r>
      <w:r w:rsidR="008D496F">
        <w:tab/>
      </w:r>
      <w:r w:rsidR="00E3195B" w:rsidRPr="00647FB2">
        <w:t>After subsection</w:t>
      </w:r>
      <w:r w:rsidR="00647FB2" w:rsidRPr="00647FB2">
        <w:t> </w:t>
      </w:r>
      <w:r w:rsidR="00E3195B" w:rsidRPr="00647FB2">
        <w:t>1017BA(1)</w:t>
      </w:r>
    </w:p>
    <w:p w14:paraId="6254E06B" w14:textId="77777777" w:rsidR="00E3195B" w:rsidRPr="00647FB2" w:rsidRDefault="00E3195B" w:rsidP="00647FB2">
      <w:pPr>
        <w:pStyle w:val="Item"/>
      </w:pPr>
      <w:r w:rsidRPr="00647FB2">
        <w:t>Insert:</w:t>
      </w:r>
    </w:p>
    <w:p w14:paraId="6D324DCC" w14:textId="77777777" w:rsidR="00E3195B" w:rsidRPr="00647FB2" w:rsidRDefault="00E3195B" w:rsidP="00647FB2">
      <w:pPr>
        <w:pStyle w:val="subsection"/>
      </w:pPr>
      <w:r w:rsidRPr="00647FB2">
        <w:tab/>
        <w:t>(1A)</w:t>
      </w:r>
      <w:r w:rsidRPr="00647FB2">
        <w:tab/>
      </w:r>
      <w:r w:rsidR="00647FB2" w:rsidRPr="00647FB2">
        <w:t>Subsection (</w:t>
      </w:r>
      <w:r w:rsidRPr="00647FB2">
        <w:t>1) does not apply to the trustee, or the trustees, of a regulated superannuation fund:</w:t>
      </w:r>
    </w:p>
    <w:p w14:paraId="3DDF7EA6" w14:textId="77777777" w:rsidR="00E3195B" w:rsidRPr="00647FB2" w:rsidRDefault="00E3195B" w:rsidP="00530256">
      <w:pPr>
        <w:pStyle w:val="paragraph"/>
      </w:pPr>
      <w:r w:rsidRPr="00647FB2">
        <w:tab/>
        <w:t>(a)</w:t>
      </w:r>
      <w:r w:rsidRPr="00647FB2">
        <w:tab/>
        <w:t>if the fund is a pooled superannuation trust or an eligible rollover fund; or</w:t>
      </w:r>
    </w:p>
    <w:p w14:paraId="420A8397" w14:textId="77777777" w:rsidR="00E3195B" w:rsidRPr="00647FB2" w:rsidRDefault="00E3195B" w:rsidP="00530256">
      <w:pPr>
        <w:pStyle w:val="paragraph"/>
      </w:pPr>
      <w:r w:rsidRPr="00647FB2">
        <w:tab/>
        <w:t>(b)</w:t>
      </w:r>
      <w:r w:rsidRPr="00647FB2">
        <w:tab/>
        <w:t>if any conditions prescribed by the regulations are met in relation to the fund; or</w:t>
      </w:r>
    </w:p>
    <w:p w14:paraId="2867172B" w14:textId="77777777" w:rsidR="00E3195B" w:rsidRPr="00647FB2" w:rsidRDefault="00E3195B" w:rsidP="00530256">
      <w:pPr>
        <w:pStyle w:val="paragraph"/>
      </w:pPr>
      <w:r w:rsidRPr="00647FB2">
        <w:tab/>
        <w:t>(c)</w:t>
      </w:r>
      <w:r w:rsidRPr="00647FB2">
        <w:tab/>
        <w:t>until 1</w:t>
      </w:r>
      <w:r w:rsidR="00647FB2" w:rsidRPr="00647FB2">
        <w:t> </w:t>
      </w:r>
      <w:r w:rsidRPr="00647FB2">
        <w:t>October of the current financial year for</w:t>
      </w:r>
      <w:r w:rsidR="00586A97" w:rsidRPr="00647FB2">
        <w:t xml:space="preserve"> a product dashboard for a qualifying choice investment option</w:t>
      </w:r>
      <w:r w:rsidR="00E7637D" w:rsidRPr="00647FB2">
        <w:t>,</w:t>
      </w:r>
      <w:r w:rsidR="00586A97" w:rsidRPr="00647FB2">
        <w:t xml:space="preserve"> if </w:t>
      </w:r>
      <w:r w:rsidRPr="00647FB2">
        <w:t>that investment option was not one of the fund’s qualifying choice investment options for the previous financial year.</w:t>
      </w:r>
    </w:p>
    <w:p w14:paraId="15F081E6" w14:textId="77777777" w:rsidR="00192EE3" w:rsidRPr="00647FB2" w:rsidRDefault="007238C8" w:rsidP="008D496F">
      <w:pPr>
        <w:pStyle w:val="ActHead3"/>
      </w:pPr>
      <w:r w:rsidRPr="00647FB2">
        <w:lastRenderedPageBreak/>
        <w:t>5</w:t>
      </w:r>
      <w:r w:rsidR="008D496F">
        <w:tab/>
      </w:r>
      <w:r w:rsidR="00192EE3" w:rsidRPr="00647FB2">
        <w:t>At the end of subsection</w:t>
      </w:r>
      <w:r w:rsidR="00647FB2" w:rsidRPr="00647FB2">
        <w:t> </w:t>
      </w:r>
      <w:r w:rsidR="00192EE3" w:rsidRPr="00647FB2">
        <w:t>1017BA(2)</w:t>
      </w:r>
    </w:p>
    <w:p w14:paraId="46B40DA6" w14:textId="77777777" w:rsidR="00192EE3" w:rsidRPr="00647FB2" w:rsidRDefault="00192EE3" w:rsidP="00647FB2">
      <w:pPr>
        <w:pStyle w:val="Item"/>
      </w:pPr>
      <w:r w:rsidRPr="00647FB2">
        <w:t>Add:</w:t>
      </w:r>
    </w:p>
    <w:p w14:paraId="047C82E2" w14:textId="77777777" w:rsidR="00192EE3" w:rsidRPr="00647FB2" w:rsidRDefault="00192EE3" w:rsidP="00647FB2">
      <w:pPr>
        <w:pStyle w:val="subsection2"/>
      </w:pPr>
      <w:r w:rsidRPr="00647FB2">
        <w:t xml:space="preserve">For the purposes of </w:t>
      </w:r>
      <w:r w:rsidR="00647FB2" w:rsidRPr="00647FB2">
        <w:t>paragraph (</w:t>
      </w:r>
      <w:r w:rsidRPr="00647FB2">
        <w:t>b), the regulations may empower APRA or ASIC to issue instructions for how to set out that other information.</w:t>
      </w:r>
    </w:p>
    <w:p w14:paraId="37B5C8F5" w14:textId="77777777" w:rsidR="00192EE3" w:rsidRPr="00647FB2" w:rsidRDefault="007238C8" w:rsidP="008D496F">
      <w:pPr>
        <w:pStyle w:val="ActHead3"/>
      </w:pPr>
      <w:r w:rsidRPr="00647FB2">
        <w:t>6</w:t>
      </w:r>
      <w:r w:rsidR="008D496F">
        <w:tab/>
      </w:r>
      <w:r w:rsidR="00192EE3" w:rsidRPr="00647FB2">
        <w:t>After subsection</w:t>
      </w:r>
      <w:r w:rsidR="00647FB2" w:rsidRPr="00647FB2">
        <w:t> </w:t>
      </w:r>
      <w:r w:rsidR="00192EE3" w:rsidRPr="00647FB2">
        <w:t>1017BA(2)</w:t>
      </w:r>
    </w:p>
    <w:p w14:paraId="53EB22F7" w14:textId="77777777" w:rsidR="00192EE3" w:rsidRPr="00647FB2" w:rsidRDefault="00192EE3" w:rsidP="00647FB2">
      <w:pPr>
        <w:pStyle w:val="Item"/>
      </w:pPr>
      <w:r w:rsidRPr="00647FB2">
        <w:t>Insert:</w:t>
      </w:r>
    </w:p>
    <w:p w14:paraId="7EA92DE6" w14:textId="77777777" w:rsidR="00192EE3" w:rsidRPr="00647FB2" w:rsidRDefault="00192EE3" w:rsidP="00647FB2">
      <w:pPr>
        <w:pStyle w:val="subsection"/>
      </w:pPr>
      <w:r w:rsidRPr="00647FB2">
        <w:tab/>
        <w:t>(2A)</w:t>
      </w:r>
      <w:r w:rsidRPr="00647FB2">
        <w:tab/>
      </w:r>
      <w:r w:rsidR="00647FB2" w:rsidRPr="00647FB2">
        <w:t>Subsection (</w:t>
      </w:r>
      <w:r w:rsidRPr="00647FB2">
        <w:t>2) does not apply to a MySuper product if any conditions prescribed by the regulations are met in relation to the product.</w:t>
      </w:r>
    </w:p>
    <w:p w14:paraId="3B52DE65" w14:textId="77777777" w:rsidR="00192EE3" w:rsidRPr="00647FB2" w:rsidRDefault="007238C8" w:rsidP="008D496F">
      <w:pPr>
        <w:pStyle w:val="ActHead3"/>
      </w:pPr>
      <w:r w:rsidRPr="00647FB2">
        <w:t>7</w:t>
      </w:r>
      <w:r w:rsidR="008D496F">
        <w:tab/>
      </w:r>
      <w:r w:rsidR="00192EE3" w:rsidRPr="00647FB2">
        <w:t>Subsection</w:t>
      </w:r>
      <w:r w:rsidR="00647FB2" w:rsidRPr="00647FB2">
        <w:t> </w:t>
      </w:r>
      <w:r w:rsidR="00192EE3" w:rsidRPr="00647FB2">
        <w:t>1017BA(3)</w:t>
      </w:r>
    </w:p>
    <w:p w14:paraId="752A9CAF" w14:textId="55378064" w:rsidR="00192EE3" w:rsidRPr="00647FB2" w:rsidRDefault="00192EE3" w:rsidP="00647FB2">
      <w:pPr>
        <w:pStyle w:val="Item"/>
      </w:pPr>
      <w:r w:rsidRPr="00647FB2">
        <w:t xml:space="preserve">Omit </w:t>
      </w:r>
      <w:r w:rsidR="002A04B5">
        <w:t>‘</w:t>
      </w:r>
      <w:r w:rsidRPr="00647FB2">
        <w:t xml:space="preserve">Subject to </w:t>
      </w:r>
      <w:r w:rsidR="00647FB2" w:rsidRPr="00647FB2">
        <w:t>subsection (</w:t>
      </w:r>
      <w:r w:rsidRPr="00647FB2">
        <w:t>4), the product dashboard for a choice product</w:t>
      </w:r>
      <w:r w:rsidR="002A04B5">
        <w:t>’</w:t>
      </w:r>
      <w:r w:rsidRPr="00647FB2">
        <w:t xml:space="preserve">, substitute </w:t>
      </w:r>
      <w:r w:rsidR="002A04B5">
        <w:t>‘</w:t>
      </w:r>
      <w:r w:rsidRPr="00647FB2">
        <w:t>The product dashboard for a qualifying choice investment option</w:t>
      </w:r>
      <w:r w:rsidR="002A04B5">
        <w:t>’</w:t>
      </w:r>
      <w:r w:rsidRPr="00647FB2">
        <w:t>.</w:t>
      </w:r>
    </w:p>
    <w:p w14:paraId="7EC9D729" w14:textId="77777777" w:rsidR="00192EE3" w:rsidRPr="00647FB2" w:rsidRDefault="007238C8" w:rsidP="008D496F">
      <w:pPr>
        <w:pStyle w:val="ActHead3"/>
      </w:pPr>
      <w:r w:rsidRPr="00647FB2">
        <w:t>8</w:t>
      </w:r>
      <w:r w:rsidR="008D496F">
        <w:tab/>
      </w:r>
      <w:r w:rsidR="00192EE3" w:rsidRPr="00647FB2">
        <w:t>Paragraph 1017BA(3)(a)</w:t>
      </w:r>
    </w:p>
    <w:p w14:paraId="20504E30" w14:textId="6AE3B802" w:rsidR="00192EE3" w:rsidRPr="00647FB2" w:rsidRDefault="00192EE3" w:rsidP="00647FB2">
      <w:pPr>
        <w:pStyle w:val="Item"/>
      </w:pPr>
      <w:r w:rsidRPr="00647FB2">
        <w:t xml:space="preserve">Omit </w:t>
      </w:r>
      <w:r w:rsidR="002A04B5">
        <w:t>‘</w:t>
      </w:r>
      <w:r w:rsidRPr="00647FB2">
        <w:t>for each investment option offered within the choice product</w:t>
      </w:r>
      <w:r w:rsidR="002A04B5">
        <w:t>’</w:t>
      </w:r>
      <w:r w:rsidRPr="00647FB2">
        <w:t>.</w:t>
      </w:r>
    </w:p>
    <w:p w14:paraId="43D43884" w14:textId="77777777" w:rsidR="00192EE3" w:rsidRPr="00647FB2" w:rsidRDefault="007238C8" w:rsidP="008D496F">
      <w:pPr>
        <w:pStyle w:val="ActHead3"/>
      </w:pPr>
      <w:r w:rsidRPr="00647FB2">
        <w:t>9</w:t>
      </w:r>
      <w:r w:rsidR="008D496F">
        <w:tab/>
      </w:r>
      <w:r w:rsidR="00192EE3" w:rsidRPr="00647FB2">
        <w:t>At the end of subsection</w:t>
      </w:r>
      <w:r w:rsidR="00647FB2" w:rsidRPr="00647FB2">
        <w:t> </w:t>
      </w:r>
      <w:r w:rsidR="00192EE3" w:rsidRPr="00647FB2">
        <w:t>1017BA(3)</w:t>
      </w:r>
    </w:p>
    <w:p w14:paraId="3F88F8D2" w14:textId="77777777" w:rsidR="00192EE3" w:rsidRPr="00647FB2" w:rsidRDefault="00192EE3" w:rsidP="00647FB2">
      <w:pPr>
        <w:pStyle w:val="Item"/>
      </w:pPr>
      <w:r w:rsidRPr="00647FB2">
        <w:t>Add:</w:t>
      </w:r>
    </w:p>
    <w:p w14:paraId="04BE541A" w14:textId="77777777" w:rsidR="00192EE3" w:rsidRPr="00647FB2" w:rsidRDefault="00192EE3" w:rsidP="00647FB2">
      <w:pPr>
        <w:pStyle w:val="subsection2"/>
      </w:pPr>
      <w:r w:rsidRPr="00647FB2">
        <w:t xml:space="preserve">For the purposes of </w:t>
      </w:r>
      <w:r w:rsidR="00647FB2" w:rsidRPr="00647FB2">
        <w:t>paragraph (</w:t>
      </w:r>
      <w:r w:rsidRPr="00647FB2">
        <w:t>b), the regulations may empower APRA or ASIC to issue instructions for how to set out that other information.</w:t>
      </w:r>
    </w:p>
    <w:p w14:paraId="14AD2BAF" w14:textId="77777777" w:rsidR="00192EE3" w:rsidRPr="00647FB2" w:rsidRDefault="007238C8" w:rsidP="008D496F">
      <w:pPr>
        <w:pStyle w:val="ActHead3"/>
      </w:pPr>
      <w:r w:rsidRPr="00647FB2">
        <w:t>10</w:t>
      </w:r>
      <w:r w:rsidR="008D496F">
        <w:tab/>
      </w:r>
      <w:r w:rsidR="00192EE3" w:rsidRPr="00647FB2">
        <w:t>Subsection</w:t>
      </w:r>
      <w:r w:rsidR="00647FB2" w:rsidRPr="00647FB2">
        <w:t> </w:t>
      </w:r>
      <w:r w:rsidR="00192EE3" w:rsidRPr="00647FB2">
        <w:t>1017BA(4)</w:t>
      </w:r>
    </w:p>
    <w:p w14:paraId="5271A1EE" w14:textId="5BF49746" w:rsidR="00192EE3" w:rsidRPr="00647FB2" w:rsidRDefault="00192EE3" w:rsidP="00647FB2">
      <w:pPr>
        <w:pStyle w:val="Item"/>
      </w:pPr>
      <w:r w:rsidRPr="00647FB2">
        <w:t xml:space="preserve">Omit </w:t>
      </w:r>
      <w:r w:rsidR="002A04B5">
        <w:t>‘</w:t>
      </w:r>
      <w:r w:rsidRPr="00647FB2">
        <w:t>an investment option within a choice product</w:t>
      </w:r>
      <w:r w:rsidR="002A04B5">
        <w:t>’</w:t>
      </w:r>
      <w:r w:rsidRPr="00647FB2">
        <w:t xml:space="preserve">, substitute </w:t>
      </w:r>
      <w:r w:rsidR="002A04B5">
        <w:t>‘</w:t>
      </w:r>
      <w:r w:rsidRPr="00647FB2">
        <w:t>a</w:t>
      </w:r>
      <w:r w:rsidR="004930C3">
        <w:t> </w:t>
      </w:r>
      <w:r w:rsidRPr="00647FB2">
        <w:t>qualifying choice investment option</w:t>
      </w:r>
      <w:r w:rsidR="002A04B5">
        <w:t>’</w:t>
      </w:r>
      <w:r w:rsidRPr="00647FB2">
        <w:t>.</w:t>
      </w:r>
    </w:p>
    <w:p w14:paraId="6C5DFAA1" w14:textId="77777777" w:rsidR="00192EE3" w:rsidRPr="00647FB2" w:rsidRDefault="007238C8" w:rsidP="008D496F">
      <w:pPr>
        <w:pStyle w:val="ActHead3"/>
      </w:pPr>
      <w:r w:rsidRPr="00647FB2">
        <w:t>11</w:t>
      </w:r>
      <w:r w:rsidR="008D496F">
        <w:tab/>
      </w:r>
      <w:r w:rsidR="00192EE3" w:rsidRPr="00647FB2">
        <w:t>Paragraph 1017BA(4)(a)</w:t>
      </w:r>
    </w:p>
    <w:p w14:paraId="6C64E427" w14:textId="0D066326" w:rsidR="00192EE3" w:rsidRPr="00647FB2" w:rsidRDefault="00192EE3" w:rsidP="00647FB2">
      <w:pPr>
        <w:pStyle w:val="Item"/>
      </w:pPr>
      <w:r w:rsidRPr="00647FB2">
        <w:t xml:space="preserve">Omit </w:t>
      </w:r>
      <w:r w:rsidR="002A04B5">
        <w:t>‘</w:t>
      </w:r>
      <w:r w:rsidRPr="00647FB2">
        <w:t>option</w:t>
      </w:r>
      <w:r w:rsidR="002A04B5">
        <w:t>’</w:t>
      </w:r>
      <w:r w:rsidRPr="00647FB2">
        <w:t xml:space="preserve">, substitute </w:t>
      </w:r>
      <w:r w:rsidR="002A04B5">
        <w:t>‘</w:t>
      </w:r>
      <w:r w:rsidRPr="00647FB2">
        <w:t>investment option</w:t>
      </w:r>
      <w:r w:rsidR="002A04B5">
        <w:t>’</w:t>
      </w:r>
      <w:r w:rsidRPr="00647FB2">
        <w:t>.</w:t>
      </w:r>
    </w:p>
    <w:p w14:paraId="75919B22" w14:textId="77777777" w:rsidR="00192EE3" w:rsidRPr="00647FB2" w:rsidRDefault="007238C8" w:rsidP="008D496F">
      <w:pPr>
        <w:pStyle w:val="ActHead3"/>
      </w:pPr>
      <w:r w:rsidRPr="00647FB2">
        <w:t>12</w:t>
      </w:r>
      <w:r w:rsidR="008D496F">
        <w:tab/>
      </w:r>
      <w:r w:rsidR="00192EE3" w:rsidRPr="00647FB2">
        <w:t>At the end of subsection</w:t>
      </w:r>
      <w:r w:rsidR="00647FB2" w:rsidRPr="00647FB2">
        <w:t> </w:t>
      </w:r>
      <w:r w:rsidR="00192EE3" w:rsidRPr="00647FB2">
        <w:t>1017BA(4)</w:t>
      </w:r>
    </w:p>
    <w:p w14:paraId="6DF96800" w14:textId="77777777" w:rsidR="00192EE3" w:rsidRPr="00647FB2" w:rsidRDefault="00192EE3" w:rsidP="00647FB2">
      <w:pPr>
        <w:pStyle w:val="Item"/>
      </w:pPr>
      <w:r w:rsidRPr="00647FB2">
        <w:t>Add:</w:t>
      </w:r>
    </w:p>
    <w:p w14:paraId="1417C38F" w14:textId="77777777" w:rsidR="00192EE3" w:rsidRPr="00647FB2" w:rsidRDefault="00192EE3" w:rsidP="00530256">
      <w:pPr>
        <w:pStyle w:val="paragraph"/>
      </w:pPr>
      <w:r w:rsidRPr="00647FB2">
        <w:tab/>
        <w:t>; or (d)</w:t>
      </w:r>
      <w:r w:rsidRPr="00647FB2">
        <w:tab/>
        <w:t>any conditions prescribed by the regulations are met in relation to the investment option.</w:t>
      </w:r>
    </w:p>
    <w:p w14:paraId="6EB60CA7" w14:textId="77777777" w:rsidR="00192EE3" w:rsidRPr="00647FB2" w:rsidRDefault="007238C8" w:rsidP="0074713C">
      <w:pPr>
        <w:pStyle w:val="ActHead3"/>
      </w:pPr>
      <w:r w:rsidRPr="00647FB2">
        <w:lastRenderedPageBreak/>
        <w:t>13</w:t>
      </w:r>
      <w:r w:rsidR="008D496F">
        <w:tab/>
      </w:r>
      <w:r w:rsidR="00272764" w:rsidRPr="00647FB2">
        <w:t>After</w:t>
      </w:r>
      <w:r w:rsidR="00192EE3" w:rsidRPr="00647FB2">
        <w:t xml:space="preserve"> subsection</w:t>
      </w:r>
      <w:r w:rsidR="00647FB2" w:rsidRPr="00647FB2">
        <w:t> </w:t>
      </w:r>
      <w:r w:rsidR="00192EE3" w:rsidRPr="00647FB2">
        <w:t>1017BA(</w:t>
      </w:r>
      <w:r w:rsidR="00272764" w:rsidRPr="00647FB2">
        <w:t>4A</w:t>
      </w:r>
      <w:r w:rsidR="00192EE3" w:rsidRPr="00647FB2">
        <w:t>)</w:t>
      </w:r>
    </w:p>
    <w:p w14:paraId="59105C5A" w14:textId="77777777" w:rsidR="00192EE3" w:rsidRPr="00647FB2" w:rsidRDefault="00192EE3" w:rsidP="0074713C">
      <w:pPr>
        <w:pStyle w:val="Item"/>
        <w:keepNext/>
      </w:pPr>
      <w:r w:rsidRPr="00647FB2">
        <w:t>Insert:</w:t>
      </w:r>
    </w:p>
    <w:p w14:paraId="63B3C1EF" w14:textId="77777777" w:rsidR="00B04B95" w:rsidRPr="00647FB2" w:rsidRDefault="00B04B95" w:rsidP="00647FB2">
      <w:pPr>
        <w:pStyle w:val="SubsectionHead"/>
      </w:pPr>
      <w:r w:rsidRPr="00647FB2">
        <w:t xml:space="preserve">Meaning of </w:t>
      </w:r>
      <w:r w:rsidRPr="00647FB2">
        <w:rPr>
          <w:b/>
        </w:rPr>
        <w:t>fee</w:t>
      </w:r>
    </w:p>
    <w:p w14:paraId="0223D47B" w14:textId="77777777" w:rsidR="00B04B95" w:rsidRPr="00647FB2" w:rsidRDefault="00B04B95" w:rsidP="00530256">
      <w:pPr>
        <w:pStyle w:val="subsection"/>
      </w:pPr>
      <w:r w:rsidRPr="00647FB2">
        <w:tab/>
        <w:t>(4B)</w:t>
      </w:r>
      <w:r w:rsidRPr="00647FB2">
        <w:tab/>
        <w:t xml:space="preserve">A </w:t>
      </w:r>
      <w:r w:rsidRPr="00647FB2">
        <w:rPr>
          <w:b/>
          <w:i/>
        </w:rPr>
        <w:t>fee</w:t>
      </w:r>
      <w:r w:rsidRPr="00647FB2">
        <w:t>, in relation to a regulated superannuation fund’s:</w:t>
      </w:r>
    </w:p>
    <w:p w14:paraId="339B2051" w14:textId="77777777" w:rsidR="00B04B95" w:rsidRPr="00647FB2" w:rsidRDefault="00B04B95" w:rsidP="00530256">
      <w:pPr>
        <w:pStyle w:val="paragraph"/>
      </w:pPr>
      <w:r w:rsidRPr="00647FB2">
        <w:tab/>
        <w:t>(a)</w:t>
      </w:r>
      <w:r w:rsidRPr="00647FB2">
        <w:tab/>
        <w:t>MySuper product; or</w:t>
      </w:r>
    </w:p>
    <w:p w14:paraId="61338EA8" w14:textId="77777777" w:rsidR="00B04B95" w:rsidRPr="00647FB2" w:rsidRDefault="00B04B95" w:rsidP="00530256">
      <w:pPr>
        <w:pStyle w:val="paragraph"/>
      </w:pPr>
      <w:r w:rsidRPr="00647FB2">
        <w:tab/>
        <w:t>(b)</w:t>
      </w:r>
      <w:r w:rsidRPr="00647FB2">
        <w:tab/>
        <w:t>qualifying choice investment option;</w:t>
      </w:r>
    </w:p>
    <w:p w14:paraId="11F49B9A" w14:textId="77777777" w:rsidR="00B04B95" w:rsidRPr="00647FB2" w:rsidRDefault="00B04B95" w:rsidP="00647FB2">
      <w:pPr>
        <w:pStyle w:val="subsection2"/>
      </w:pPr>
      <w:r w:rsidRPr="00647FB2">
        <w:t xml:space="preserve">is a fee (other than an excluded fee) that may be charged under </w:t>
      </w:r>
      <w:r w:rsidR="00337472" w:rsidRPr="00647FB2">
        <w:t xml:space="preserve">the </w:t>
      </w:r>
      <w:r w:rsidR="00337472" w:rsidRPr="00647FB2">
        <w:rPr>
          <w:i/>
        </w:rPr>
        <w:t>Superannuation Industry (Supervision) Act 1993</w:t>
      </w:r>
      <w:r w:rsidR="00337472" w:rsidRPr="00647FB2">
        <w:t xml:space="preserve"> </w:t>
      </w:r>
      <w:r w:rsidRPr="00647FB2">
        <w:t>by the trustee, or the trustees, of the fund in relation to the product or investment option.</w:t>
      </w:r>
    </w:p>
    <w:p w14:paraId="70020AE1" w14:textId="77777777" w:rsidR="00272764" w:rsidRPr="00647FB2" w:rsidRDefault="00272764" w:rsidP="00647FB2">
      <w:pPr>
        <w:pStyle w:val="SubsectionHead"/>
      </w:pPr>
      <w:r w:rsidRPr="00647FB2">
        <w:t>Lifecycle exceptions and stages</w:t>
      </w:r>
    </w:p>
    <w:p w14:paraId="196852D3" w14:textId="77777777" w:rsidR="00272764" w:rsidRPr="00647FB2" w:rsidRDefault="00272764" w:rsidP="00647FB2">
      <w:pPr>
        <w:pStyle w:val="subsection"/>
      </w:pPr>
      <w:r w:rsidRPr="00647FB2">
        <w:tab/>
        <w:t>(4</w:t>
      </w:r>
      <w:r w:rsidR="00B04B95" w:rsidRPr="00647FB2">
        <w:t>C</w:t>
      </w:r>
      <w:r w:rsidRPr="00647FB2">
        <w:t>)</w:t>
      </w:r>
      <w:r w:rsidRPr="00647FB2">
        <w:tab/>
        <w:t xml:space="preserve">If a lifecycle exception applies to a MySuper product, then </w:t>
      </w:r>
      <w:r w:rsidR="00647FB2" w:rsidRPr="00647FB2">
        <w:t>subsections (</w:t>
      </w:r>
      <w:r w:rsidR="00B04B95" w:rsidRPr="00647FB2">
        <w:t xml:space="preserve">1) to (4B) apply </w:t>
      </w:r>
      <w:r w:rsidRPr="00647FB2">
        <w:t>in</w:t>
      </w:r>
      <w:r w:rsidR="000B4B68" w:rsidRPr="00647FB2">
        <w:t xml:space="preserve"> relation to the product as if each</w:t>
      </w:r>
      <w:r w:rsidRPr="00647FB2">
        <w:t xml:space="preserve"> reference in </w:t>
      </w:r>
      <w:r w:rsidR="00B04B95" w:rsidRPr="00647FB2">
        <w:t>those subsections</w:t>
      </w:r>
      <w:r w:rsidRPr="00647FB2">
        <w:t xml:space="preserve"> to a MySuper product were a reference to each </w:t>
      </w:r>
      <w:r w:rsidR="000B4B68" w:rsidRPr="00647FB2">
        <w:t xml:space="preserve">lifecycle stage of </w:t>
      </w:r>
      <w:r w:rsidR="00E7637D" w:rsidRPr="00647FB2">
        <w:t>the</w:t>
      </w:r>
      <w:r w:rsidR="00B04B95" w:rsidRPr="00647FB2">
        <w:t xml:space="preserve"> MySuper product</w:t>
      </w:r>
      <w:r w:rsidR="000B4B68" w:rsidRPr="00647FB2">
        <w:t>.</w:t>
      </w:r>
    </w:p>
    <w:p w14:paraId="523E3082" w14:textId="77777777" w:rsidR="000B4B68" w:rsidRPr="00647FB2" w:rsidRDefault="00B04B95" w:rsidP="00647FB2">
      <w:pPr>
        <w:pStyle w:val="subsection"/>
      </w:pPr>
      <w:r w:rsidRPr="00647FB2">
        <w:tab/>
        <w:t>(4D</w:t>
      </w:r>
      <w:r w:rsidR="000B4B68" w:rsidRPr="00647FB2">
        <w:t>)</w:t>
      </w:r>
      <w:r w:rsidR="000B4B68" w:rsidRPr="00647FB2">
        <w:tab/>
        <w:t xml:space="preserve">If a lifecycle exception applies to a qualifying choice investment option, </w:t>
      </w:r>
      <w:r w:rsidR="00E7637D" w:rsidRPr="00647FB2">
        <w:t xml:space="preserve">then </w:t>
      </w:r>
      <w:r w:rsidR="00647FB2" w:rsidRPr="00647FB2">
        <w:t>subsections (</w:t>
      </w:r>
      <w:r w:rsidRPr="00647FB2">
        <w:t>1) to (4B)</w:t>
      </w:r>
      <w:r w:rsidR="000B4B68" w:rsidRPr="00647FB2">
        <w:t xml:space="preserve"> appl</w:t>
      </w:r>
      <w:r w:rsidRPr="00647FB2">
        <w:t>y</w:t>
      </w:r>
      <w:r w:rsidR="000B4B68" w:rsidRPr="00647FB2">
        <w:t xml:space="preserve"> in relation to the investment option as if </w:t>
      </w:r>
      <w:r w:rsidR="0078414A" w:rsidRPr="00647FB2">
        <w:t>each</w:t>
      </w:r>
      <w:r w:rsidR="000B4B68" w:rsidRPr="00647FB2">
        <w:t xml:space="preserve"> reference in </w:t>
      </w:r>
      <w:r w:rsidRPr="00647FB2">
        <w:t>those subsections</w:t>
      </w:r>
      <w:r w:rsidR="000B4B68" w:rsidRPr="00647FB2">
        <w:t xml:space="preserve"> to a qualifying choice investment option were a reference to each lifecycle stage of </w:t>
      </w:r>
      <w:r w:rsidR="00E7637D" w:rsidRPr="00647FB2">
        <w:t>the</w:t>
      </w:r>
      <w:r w:rsidRPr="00647FB2">
        <w:t xml:space="preserve"> investment option</w:t>
      </w:r>
      <w:r w:rsidR="000B4B68" w:rsidRPr="00647FB2">
        <w:t>.</w:t>
      </w:r>
    </w:p>
    <w:p w14:paraId="36D7CC7C" w14:textId="77777777" w:rsidR="00192EE3" w:rsidRPr="00647FB2" w:rsidRDefault="00192EE3" w:rsidP="00647FB2">
      <w:pPr>
        <w:pStyle w:val="SubsectionHead"/>
      </w:pPr>
      <w:r w:rsidRPr="00647FB2">
        <w:t>Definitions</w:t>
      </w:r>
    </w:p>
    <w:p w14:paraId="0FCC820C" w14:textId="77777777" w:rsidR="00192EE3" w:rsidRPr="00647FB2" w:rsidRDefault="007238C8" w:rsidP="008D496F">
      <w:pPr>
        <w:pStyle w:val="ActHead3"/>
      </w:pPr>
      <w:r w:rsidRPr="00647FB2">
        <w:t>14</w:t>
      </w:r>
      <w:r w:rsidR="008D496F">
        <w:tab/>
      </w:r>
      <w:r w:rsidR="00192EE3" w:rsidRPr="00647FB2">
        <w:t>Subsection</w:t>
      </w:r>
      <w:r w:rsidR="00647FB2" w:rsidRPr="00647FB2">
        <w:t> </w:t>
      </w:r>
      <w:r w:rsidR="00192EE3" w:rsidRPr="00647FB2">
        <w:t>1017BA(5)</w:t>
      </w:r>
    </w:p>
    <w:p w14:paraId="33A5C766" w14:textId="77777777" w:rsidR="00192EE3" w:rsidRPr="00647FB2" w:rsidRDefault="00192EE3" w:rsidP="00647FB2">
      <w:pPr>
        <w:pStyle w:val="Item"/>
      </w:pPr>
      <w:r w:rsidRPr="00647FB2">
        <w:t>Insert:</w:t>
      </w:r>
    </w:p>
    <w:p w14:paraId="79DF6101" w14:textId="77777777" w:rsidR="00192EE3" w:rsidRPr="00647FB2" w:rsidRDefault="00192EE3" w:rsidP="00647FB2">
      <w:pPr>
        <w:pStyle w:val="Definition"/>
        <w:rPr>
          <w:b/>
          <w:i/>
        </w:rPr>
      </w:pPr>
      <w:r w:rsidRPr="00647FB2">
        <w:rPr>
          <w:b/>
          <w:i/>
        </w:rPr>
        <w:t>eligible rollover fund</w:t>
      </w:r>
      <w:r w:rsidRPr="00647FB2">
        <w:t xml:space="preserve"> has the same meaning as in the </w:t>
      </w:r>
      <w:r w:rsidRPr="00647FB2">
        <w:rPr>
          <w:i/>
        </w:rPr>
        <w:t>Superannuation Industry (Supervision) Act 1993</w:t>
      </w:r>
      <w:r w:rsidRPr="00647FB2">
        <w:t>.</w:t>
      </w:r>
    </w:p>
    <w:p w14:paraId="0999521C" w14:textId="71F3B56D" w:rsidR="00192EE3" w:rsidRPr="00647FB2" w:rsidRDefault="00192EE3" w:rsidP="00647FB2">
      <w:pPr>
        <w:pStyle w:val="Definition"/>
      </w:pPr>
      <w:r w:rsidRPr="00647FB2">
        <w:rPr>
          <w:b/>
          <w:i/>
        </w:rPr>
        <w:t>excluded fee</w:t>
      </w:r>
      <w:r w:rsidRPr="00647FB2">
        <w:t xml:space="preserve"> means an activity fee, an advice fee or an insurance fee, all within the meaning of the </w:t>
      </w:r>
      <w:r w:rsidRPr="00647FB2">
        <w:rPr>
          <w:i/>
        </w:rPr>
        <w:t>Superannua</w:t>
      </w:r>
      <w:r w:rsidR="009D1409">
        <w:rPr>
          <w:i/>
        </w:rPr>
        <w:t>tion Industry (Supervision) Act </w:t>
      </w:r>
      <w:r w:rsidRPr="00647FB2">
        <w:rPr>
          <w:i/>
        </w:rPr>
        <w:t>1993</w:t>
      </w:r>
      <w:r w:rsidRPr="00647FB2">
        <w:t>.</w:t>
      </w:r>
    </w:p>
    <w:p w14:paraId="59EFC17B" w14:textId="77777777" w:rsidR="00192EE3" w:rsidRPr="00647FB2" w:rsidRDefault="007238C8" w:rsidP="008D496F">
      <w:pPr>
        <w:pStyle w:val="ActHead3"/>
      </w:pPr>
      <w:r w:rsidRPr="00647FB2">
        <w:t>15</w:t>
      </w:r>
      <w:r w:rsidR="008D496F">
        <w:tab/>
      </w:r>
      <w:r w:rsidR="00192EE3" w:rsidRPr="00647FB2">
        <w:t>Subsection</w:t>
      </w:r>
      <w:r w:rsidR="00647FB2" w:rsidRPr="00647FB2">
        <w:t> </w:t>
      </w:r>
      <w:r w:rsidR="00192EE3" w:rsidRPr="00647FB2">
        <w:t xml:space="preserve">1017BA(5) (definition of </w:t>
      </w:r>
      <w:r w:rsidR="00192EE3" w:rsidRPr="00647FB2">
        <w:rPr>
          <w:i/>
        </w:rPr>
        <w:t>fee</w:t>
      </w:r>
      <w:r w:rsidR="00192EE3" w:rsidRPr="00647FB2">
        <w:t>)</w:t>
      </w:r>
    </w:p>
    <w:p w14:paraId="5DDE6632" w14:textId="77777777" w:rsidR="00192EE3" w:rsidRPr="00647FB2" w:rsidRDefault="00192EE3" w:rsidP="00647FB2">
      <w:pPr>
        <w:pStyle w:val="Item"/>
      </w:pPr>
      <w:r w:rsidRPr="00647FB2">
        <w:t>Repeal the definition, substitute:</w:t>
      </w:r>
    </w:p>
    <w:p w14:paraId="38037630" w14:textId="77777777" w:rsidR="00B04B95" w:rsidRPr="00647FB2" w:rsidRDefault="00192EE3" w:rsidP="00647FB2">
      <w:pPr>
        <w:pStyle w:val="Definition"/>
      </w:pPr>
      <w:r w:rsidRPr="00647FB2">
        <w:rPr>
          <w:b/>
          <w:i/>
        </w:rPr>
        <w:t>fee</w:t>
      </w:r>
      <w:r w:rsidR="00B04B95" w:rsidRPr="00647FB2">
        <w:t xml:space="preserve"> has the meaning given by </w:t>
      </w:r>
      <w:r w:rsidR="00647FB2" w:rsidRPr="00647FB2">
        <w:t>subsection (</w:t>
      </w:r>
      <w:r w:rsidR="00B04B95" w:rsidRPr="00647FB2">
        <w:t>4B).</w:t>
      </w:r>
    </w:p>
    <w:p w14:paraId="77D9EA19" w14:textId="77777777" w:rsidR="00192EE3" w:rsidRPr="00647FB2" w:rsidRDefault="007238C8" w:rsidP="0074713C">
      <w:pPr>
        <w:pStyle w:val="ActHead3"/>
      </w:pPr>
      <w:r w:rsidRPr="00647FB2">
        <w:t>16</w:t>
      </w:r>
      <w:r w:rsidR="008D496F">
        <w:tab/>
      </w:r>
      <w:r w:rsidR="00192EE3" w:rsidRPr="00647FB2">
        <w:t>Subsection</w:t>
      </w:r>
      <w:r w:rsidR="00647FB2" w:rsidRPr="00647FB2">
        <w:t> </w:t>
      </w:r>
      <w:r w:rsidR="00192EE3" w:rsidRPr="00647FB2">
        <w:t>1017BA(5)</w:t>
      </w:r>
    </w:p>
    <w:p w14:paraId="7DF6B90A" w14:textId="77777777" w:rsidR="00192EE3" w:rsidRPr="00647FB2" w:rsidRDefault="00192EE3" w:rsidP="0074713C">
      <w:pPr>
        <w:pStyle w:val="Item"/>
        <w:keepNext/>
      </w:pPr>
      <w:r w:rsidRPr="00647FB2">
        <w:t>Insert:</w:t>
      </w:r>
    </w:p>
    <w:p w14:paraId="7D25AD7D" w14:textId="77777777" w:rsidR="00192EE3" w:rsidRPr="00647FB2" w:rsidRDefault="00192EE3" w:rsidP="00647FB2">
      <w:pPr>
        <w:pStyle w:val="Definition"/>
      </w:pPr>
      <w:r w:rsidRPr="00647FB2">
        <w:rPr>
          <w:b/>
          <w:i/>
        </w:rPr>
        <w:t>investment option</w:t>
      </w:r>
      <w:r w:rsidRPr="00647FB2">
        <w:t>, within a choice product, includes the choice product, if it does not contain multiple investment options.</w:t>
      </w:r>
    </w:p>
    <w:p w14:paraId="297D942A" w14:textId="77777777" w:rsidR="00192EE3" w:rsidRPr="00647FB2" w:rsidRDefault="00192EE3" w:rsidP="00647FB2">
      <w:pPr>
        <w:pStyle w:val="Definition"/>
      </w:pPr>
      <w:r w:rsidRPr="00647FB2">
        <w:rPr>
          <w:b/>
          <w:i/>
        </w:rPr>
        <w:t>lifecycle exception</w:t>
      </w:r>
      <w:r w:rsidRPr="00647FB2">
        <w:t>:</w:t>
      </w:r>
    </w:p>
    <w:p w14:paraId="51A9DD8F" w14:textId="77777777" w:rsidR="00192EE3" w:rsidRPr="00647FB2" w:rsidRDefault="00192EE3" w:rsidP="00530256">
      <w:pPr>
        <w:pStyle w:val="paragraph"/>
      </w:pPr>
      <w:r w:rsidRPr="00647FB2">
        <w:tab/>
        <w:t>(a)</w:t>
      </w:r>
      <w:r w:rsidRPr="00647FB2">
        <w:tab/>
        <w:t>for a MySuper product, has the meaning given by subsection</w:t>
      </w:r>
      <w:r w:rsidR="00647FB2" w:rsidRPr="00647FB2">
        <w:t> </w:t>
      </w:r>
      <w:r w:rsidRPr="00647FB2">
        <w:t xml:space="preserve">29TC(2) of the </w:t>
      </w:r>
      <w:r w:rsidRPr="00647FB2">
        <w:rPr>
          <w:i/>
        </w:rPr>
        <w:t>Superannuation Industry (Supervision) Act 1993</w:t>
      </w:r>
      <w:r w:rsidRPr="00647FB2">
        <w:t>; or</w:t>
      </w:r>
    </w:p>
    <w:p w14:paraId="7CA589AB" w14:textId="77777777" w:rsidR="00192EE3" w:rsidRPr="00647FB2" w:rsidRDefault="00192EE3" w:rsidP="00530256">
      <w:pPr>
        <w:pStyle w:val="paragraph"/>
      </w:pPr>
      <w:r w:rsidRPr="00647FB2">
        <w:tab/>
        <w:t>(b)</w:t>
      </w:r>
      <w:r w:rsidRPr="00647FB2">
        <w:tab/>
        <w:t>for a qualifying choice investment option, means a rule under the governing rules of the fund that:</w:t>
      </w:r>
    </w:p>
    <w:p w14:paraId="759F5356" w14:textId="77777777" w:rsidR="00192EE3" w:rsidRPr="00647FB2" w:rsidRDefault="00192EE3" w:rsidP="00530256">
      <w:pPr>
        <w:pStyle w:val="paragraphsub"/>
      </w:pPr>
      <w:r w:rsidRPr="00647FB2">
        <w:tab/>
        <w:t>(i)</w:t>
      </w:r>
      <w:r w:rsidRPr="00647FB2">
        <w:tab/>
        <w:t>relates to the investment option; and</w:t>
      </w:r>
    </w:p>
    <w:p w14:paraId="7C4D11EF" w14:textId="77777777" w:rsidR="00192EE3" w:rsidRPr="00647FB2" w:rsidRDefault="00192EE3" w:rsidP="00530256">
      <w:pPr>
        <w:pStyle w:val="paragraphsub"/>
      </w:pPr>
      <w:r w:rsidRPr="00647FB2">
        <w:tab/>
        <w:t>(ii)</w:t>
      </w:r>
      <w:r w:rsidRPr="00647FB2">
        <w:tab/>
        <w:t xml:space="preserve">would be covered by </w:t>
      </w:r>
      <w:r w:rsidR="00647FB2" w:rsidRPr="00647FB2">
        <w:t>paragraph (</w:t>
      </w:r>
      <w:r w:rsidRPr="00647FB2">
        <w:t>a) if the investment option were a MySuper product.</w:t>
      </w:r>
    </w:p>
    <w:p w14:paraId="33B5FC3B" w14:textId="77777777" w:rsidR="00192EE3" w:rsidRPr="00647FB2" w:rsidRDefault="00192EE3" w:rsidP="00647FB2">
      <w:pPr>
        <w:pStyle w:val="Definition"/>
      </w:pPr>
      <w:r w:rsidRPr="00647FB2">
        <w:rPr>
          <w:b/>
          <w:i/>
        </w:rPr>
        <w:t>lifecycle stage</w:t>
      </w:r>
      <w:r w:rsidRPr="00647FB2">
        <w:t xml:space="preserve">: a </w:t>
      </w:r>
      <w:r w:rsidRPr="00647FB2">
        <w:rPr>
          <w:b/>
          <w:i/>
        </w:rPr>
        <w:t>lifecycle stage</w:t>
      </w:r>
      <w:r w:rsidRPr="00647FB2">
        <w:t xml:space="preserve"> of:</w:t>
      </w:r>
    </w:p>
    <w:p w14:paraId="679A2764" w14:textId="77777777" w:rsidR="00192EE3" w:rsidRPr="00647FB2" w:rsidRDefault="00192EE3" w:rsidP="00530256">
      <w:pPr>
        <w:pStyle w:val="paragraph"/>
      </w:pPr>
      <w:r w:rsidRPr="00647FB2">
        <w:tab/>
        <w:t>(a)</w:t>
      </w:r>
      <w:r w:rsidRPr="00647FB2">
        <w:tab/>
        <w:t>a MySuper product to which a lifecycle exception applies; or</w:t>
      </w:r>
    </w:p>
    <w:p w14:paraId="1FE61DDE" w14:textId="77777777" w:rsidR="00192EE3" w:rsidRPr="00647FB2" w:rsidRDefault="00192EE3" w:rsidP="00530256">
      <w:pPr>
        <w:pStyle w:val="paragraph"/>
      </w:pPr>
      <w:r w:rsidRPr="00647FB2">
        <w:tab/>
        <w:t>(b)</w:t>
      </w:r>
      <w:r w:rsidRPr="00647FB2">
        <w:tab/>
        <w:t>a qualifying choice investment option to which a lifecycle exception applies;</w:t>
      </w:r>
    </w:p>
    <w:p w14:paraId="5A148EC3" w14:textId="77777777" w:rsidR="00192EE3" w:rsidRPr="00647FB2" w:rsidRDefault="00192EE3" w:rsidP="00647FB2">
      <w:pPr>
        <w:pStyle w:val="subsection2"/>
      </w:pPr>
      <w:r w:rsidRPr="00647FB2">
        <w:t>means so much of the product or investment option as relates to a particular subclass of members of the fund to whom gains and losses are streamed under the lifecycle exception.</w:t>
      </w:r>
    </w:p>
    <w:p w14:paraId="61B5A2C2" w14:textId="77777777" w:rsidR="00192EE3" w:rsidRPr="00647FB2" w:rsidRDefault="00192EE3" w:rsidP="00647FB2">
      <w:pPr>
        <w:pStyle w:val="Definition"/>
      </w:pPr>
      <w:r w:rsidRPr="00647FB2">
        <w:rPr>
          <w:b/>
          <w:i/>
        </w:rPr>
        <w:t>pooled superannuation trust</w:t>
      </w:r>
      <w:r w:rsidRPr="00647FB2">
        <w:t xml:space="preserve"> has the same meaning as in the </w:t>
      </w:r>
      <w:r w:rsidRPr="00647FB2">
        <w:rPr>
          <w:i/>
        </w:rPr>
        <w:t>Superannuation Industry (Supervision) Act 1993</w:t>
      </w:r>
      <w:r w:rsidRPr="00647FB2">
        <w:t>.</w:t>
      </w:r>
    </w:p>
    <w:p w14:paraId="1031D71A" w14:textId="77777777" w:rsidR="00192EE3" w:rsidRPr="00647FB2" w:rsidRDefault="00192EE3" w:rsidP="00647FB2">
      <w:pPr>
        <w:pStyle w:val="Definition"/>
      </w:pPr>
      <w:r w:rsidRPr="00647FB2">
        <w:rPr>
          <w:b/>
          <w:i/>
        </w:rPr>
        <w:t>qualifying choice investment option</w:t>
      </w:r>
      <w:r w:rsidRPr="00647FB2">
        <w:t>, for a regulated superannuation fund, means an investment option within one of the fund’s choice products, if that option:</w:t>
      </w:r>
    </w:p>
    <w:p w14:paraId="6315C620" w14:textId="77777777" w:rsidR="00192EE3" w:rsidRPr="00647FB2" w:rsidRDefault="00192EE3" w:rsidP="00530256">
      <w:pPr>
        <w:pStyle w:val="paragraph"/>
      </w:pPr>
      <w:r w:rsidRPr="00647FB2">
        <w:tab/>
        <w:t>(a)</w:t>
      </w:r>
      <w:r w:rsidRPr="00647FB2">
        <w:tab/>
        <w:t>is one of the 10 largest of those options, as measured by funds under management on 30</w:t>
      </w:r>
      <w:r w:rsidR="00647FB2" w:rsidRPr="00647FB2">
        <w:t> </w:t>
      </w:r>
      <w:r w:rsidRPr="00647FB2">
        <w:t>June of the previous financial year; and</w:t>
      </w:r>
    </w:p>
    <w:p w14:paraId="555EB6FB" w14:textId="77777777" w:rsidR="00192EE3" w:rsidRPr="00647FB2" w:rsidRDefault="00192EE3" w:rsidP="00530256">
      <w:pPr>
        <w:pStyle w:val="paragraph"/>
      </w:pPr>
      <w:r w:rsidRPr="00647FB2">
        <w:tab/>
        <w:t>(b)</w:t>
      </w:r>
      <w:r w:rsidRPr="00647FB2">
        <w:tab/>
        <w:t>is not excluded by the regulations from this definition.</w:t>
      </w:r>
    </w:p>
    <w:p w14:paraId="2D9E909A" w14:textId="77777777" w:rsidR="00F1257A" w:rsidRPr="00647FB2" w:rsidRDefault="00F1257A" w:rsidP="00647FB2">
      <w:pPr>
        <w:pStyle w:val="notetext"/>
      </w:pPr>
      <w:r w:rsidRPr="00647FB2">
        <w:t>Note:</w:t>
      </w:r>
      <w:r w:rsidRPr="00647FB2">
        <w:tab/>
      </w:r>
      <w:r w:rsidR="00647FB2" w:rsidRPr="00647FB2">
        <w:t>Subsection (</w:t>
      </w:r>
      <w:r w:rsidR="00006E53" w:rsidRPr="00647FB2">
        <w:t>4D) does not apply to this subsection. This means that w</w:t>
      </w:r>
      <w:r w:rsidRPr="00647FB2">
        <w:t>hen working out the fund’s 10 largest investment options within its choice products:</w:t>
      </w:r>
    </w:p>
    <w:p w14:paraId="371E407C" w14:textId="77777777" w:rsidR="00F1257A" w:rsidRPr="00647FB2" w:rsidRDefault="00F1257A" w:rsidP="00647FB2">
      <w:pPr>
        <w:pStyle w:val="notepara"/>
      </w:pPr>
      <w:r w:rsidRPr="00647FB2">
        <w:t>(a)</w:t>
      </w:r>
      <w:r w:rsidRPr="00647FB2">
        <w:tab/>
        <w:t xml:space="preserve">an option </w:t>
      </w:r>
      <w:r w:rsidR="00C658D3" w:rsidRPr="00647FB2">
        <w:t>with</w:t>
      </w:r>
      <w:r w:rsidRPr="00647FB2">
        <w:t xml:space="preserve"> lifecycle stages is treated as a single option; and</w:t>
      </w:r>
    </w:p>
    <w:p w14:paraId="1E9C950A" w14:textId="77777777" w:rsidR="00F1257A" w:rsidRPr="00647FB2" w:rsidRDefault="00F1257A" w:rsidP="00647FB2">
      <w:pPr>
        <w:pStyle w:val="notepara"/>
      </w:pPr>
      <w:r w:rsidRPr="00647FB2">
        <w:t>(b)</w:t>
      </w:r>
      <w:r w:rsidRPr="00647FB2">
        <w:tab/>
        <w:t>funds under management of those stages are aggregated.</w:t>
      </w:r>
    </w:p>
    <w:p w14:paraId="780E58C0" w14:textId="77777777" w:rsidR="00192EE3" w:rsidRPr="00647FB2" w:rsidRDefault="008D496F" w:rsidP="008D496F">
      <w:pPr>
        <w:pStyle w:val="ActHead3"/>
      </w:pPr>
      <w:r>
        <w:br w:type="page"/>
      </w:r>
      <w:r w:rsidR="007238C8" w:rsidRPr="00647FB2">
        <w:t>17</w:t>
      </w:r>
      <w:r>
        <w:tab/>
      </w:r>
      <w:r w:rsidR="00192EE3" w:rsidRPr="00647FB2">
        <w:t>Paragraphs 1021NA(1)(b) and (c)</w:t>
      </w:r>
    </w:p>
    <w:p w14:paraId="596FBFD3" w14:textId="77777777" w:rsidR="00192EE3" w:rsidRPr="00647FB2" w:rsidRDefault="00192EE3" w:rsidP="00647FB2">
      <w:pPr>
        <w:pStyle w:val="Item"/>
      </w:pPr>
      <w:r w:rsidRPr="00647FB2">
        <w:t>Repeal the paragraphs, substitute:</w:t>
      </w:r>
    </w:p>
    <w:p w14:paraId="2F1EE815" w14:textId="77777777" w:rsidR="00192EE3" w:rsidRPr="00647FB2" w:rsidRDefault="00192EE3" w:rsidP="00530256">
      <w:pPr>
        <w:pStyle w:val="paragraph"/>
      </w:pPr>
      <w:r w:rsidRPr="00647FB2">
        <w:tab/>
        <w:t>(b)</w:t>
      </w:r>
      <w:r w:rsidRPr="00647FB2">
        <w:tab/>
        <w:t>the person is required under section</w:t>
      </w:r>
      <w:r w:rsidR="00647FB2" w:rsidRPr="00647FB2">
        <w:t> </w:t>
      </w:r>
      <w:r w:rsidRPr="00647FB2">
        <w:t>1017BA to ensure that a product dashboard is publicly available on the fund’s website; and</w:t>
      </w:r>
    </w:p>
    <w:p w14:paraId="4FBA2CB8" w14:textId="77777777" w:rsidR="00192EE3" w:rsidRPr="00647FB2" w:rsidRDefault="00192EE3" w:rsidP="00530256">
      <w:pPr>
        <w:pStyle w:val="paragraph"/>
      </w:pPr>
      <w:r w:rsidRPr="00647FB2">
        <w:tab/>
        <w:t>(c)</w:t>
      </w:r>
      <w:r w:rsidRPr="00647FB2">
        <w:tab/>
        <w:t>the person does not comply with that section in relation to that product dashboard.</w:t>
      </w:r>
    </w:p>
    <w:p w14:paraId="34526670" w14:textId="77777777" w:rsidR="00192EE3" w:rsidRPr="00647FB2" w:rsidRDefault="007238C8" w:rsidP="008D496F">
      <w:pPr>
        <w:pStyle w:val="ActHead3"/>
      </w:pPr>
      <w:r w:rsidRPr="00647FB2">
        <w:t>18</w:t>
      </w:r>
      <w:r w:rsidR="008D496F">
        <w:tab/>
      </w:r>
      <w:r w:rsidR="00192EE3" w:rsidRPr="00647FB2">
        <w:t>Paragraph 1539(a)</w:t>
      </w:r>
    </w:p>
    <w:p w14:paraId="58309720" w14:textId="2DE10126" w:rsidR="00192EE3" w:rsidRPr="00647FB2" w:rsidRDefault="00192EE3" w:rsidP="00647FB2">
      <w:pPr>
        <w:pStyle w:val="Item"/>
      </w:pPr>
      <w:r w:rsidRPr="00647FB2">
        <w:t xml:space="preserve">Omit </w:t>
      </w:r>
      <w:r w:rsidR="002A04B5">
        <w:t>‘</w:t>
      </w:r>
      <w:r w:rsidRPr="00647FB2">
        <w:t>1</w:t>
      </w:r>
      <w:r w:rsidR="00647FB2" w:rsidRPr="00647FB2">
        <w:t> </w:t>
      </w:r>
      <w:r w:rsidRPr="00647FB2">
        <w:t>July 2013</w:t>
      </w:r>
      <w:r w:rsidR="002A04B5">
        <w:t>’</w:t>
      </w:r>
      <w:r w:rsidRPr="00647FB2">
        <w:t xml:space="preserve">, substitute </w:t>
      </w:r>
      <w:r w:rsidR="002A04B5">
        <w:t>‘</w:t>
      </w:r>
      <w:r w:rsidRPr="00647FB2">
        <w:t>31</w:t>
      </w:r>
      <w:r w:rsidR="00647FB2" w:rsidRPr="00647FB2">
        <w:t> </w:t>
      </w:r>
      <w:r w:rsidRPr="00647FB2">
        <w:t>December 2013</w:t>
      </w:r>
      <w:r w:rsidR="002A04B5">
        <w:t>’</w:t>
      </w:r>
      <w:r w:rsidRPr="00647FB2">
        <w:t>.</w:t>
      </w:r>
    </w:p>
    <w:p w14:paraId="5B22888E" w14:textId="77777777" w:rsidR="00192EE3" w:rsidRPr="00647FB2" w:rsidRDefault="007238C8" w:rsidP="008D496F">
      <w:pPr>
        <w:pStyle w:val="ActHead3"/>
      </w:pPr>
      <w:r w:rsidRPr="00647FB2">
        <w:t>19</w:t>
      </w:r>
      <w:r w:rsidR="008D496F">
        <w:tab/>
      </w:r>
      <w:r w:rsidR="00192EE3" w:rsidRPr="00647FB2">
        <w:t>Paragraph 1539(b)</w:t>
      </w:r>
    </w:p>
    <w:p w14:paraId="2769ECB4" w14:textId="3A10B57E" w:rsidR="00431A9F" w:rsidRPr="008D496F" w:rsidRDefault="00192EE3" w:rsidP="0074713C">
      <w:pPr>
        <w:pStyle w:val="Item"/>
      </w:pPr>
      <w:r w:rsidRPr="00647FB2">
        <w:t xml:space="preserve">Omit </w:t>
      </w:r>
      <w:r w:rsidR="002A04B5">
        <w:t>‘</w:t>
      </w:r>
      <w:r w:rsidRPr="00647FB2">
        <w:t>1</w:t>
      </w:r>
      <w:r w:rsidR="00647FB2" w:rsidRPr="00647FB2">
        <w:t> </w:t>
      </w:r>
      <w:r w:rsidRPr="00647FB2">
        <w:t>July 2014</w:t>
      </w:r>
      <w:r w:rsidR="002A04B5">
        <w:t>’</w:t>
      </w:r>
      <w:r w:rsidRPr="00647FB2">
        <w:t xml:space="preserve">, substitute </w:t>
      </w:r>
      <w:r w:rsidR="002A04B5">
        <w:t>‘</w:t>
      </w:r>
      <w:r w:rsidRPr="00647FB2">
        <w:t>1</w:t>
      </w:r>
      <w:r w:rsidR="00647FB2" w:rsidRPr="00647FB2">
        <w:t> </w:t>
      </w:r>
      <w:r w:rsidRPr="00647FB2">
        <w:t>July 2016</w:t>
      </w:r>
      <w:r w:rsidR="002A04B5">
        <w:t>’</w:t>
      </w:r>
      <w:r w:rsidRPr="00647FB2">
        <w:t>.</w:t>
      </w:r>
    </w:p>
    <w:p w14:paraId="25AA8125" w14:textId="77777777" w:rsidR="00431A9F" w:rsidRPr="008D496F" w:rsidRDefault="00431A9F" w:rsidP="008D496F"/>
    <w:p w14:paraId="1929346C" w14:textId="77777777" w:rsidR="008D496F" w:rsidRPr="008D496F" w:rsidRDefault="008D496F" w:rsidP="008D496F">
      <w:pPr>
        <w:sectPr w:rsidR="008D496F" w:rsidRPr="008D496F" w:rsidSect="00014E99">
          <w:footerReference w:type="even" r:id="rId15"/>
          <w:footerReference w:type="first" r:id="rId16"/>
          <w:type w:val="oddPage"/>
          <w:pgSz w:w="11906" w:h="16838" w:code="277"/>
          <w:pgMar w:top="2466" w:right="2098" w:bottom="2466" w:left="2098" w:header="1899" w:footer="1899" w:gutter="0"/>
          <w:pgNumType w:start="1"/>
          <w:cols w:space="720"/>
          <w:titlePg/>
        </w:sectPr>
      </w:pPr>
    </w:p>
    <w:p w14:paraId="37FE39A2" w14:textId="1FE46509" w:rsidR="00755A88" w:rsidRPr="00755A88" w:rsidRDefault="00431A9F" w:rsidP="00014E99">
      <w:pPr>
        <w:pBdr>
          <w:top w:val="single" w:sz="12" w:space="0" w:color="000000"/>
          <w:left w:val="single" w:sz="12" w:space="30" w:color="000000"/>
          <w:bottom w:val="single" w:sz="12" w:space="0" w:color="000000"/>
          <w:right w:val="single" w:sz="12" w:space="0" w:color="000000"/>
        </w:pBdr>
        <w:spacing w:before="240" w:after="240" w:line="259" w:lineRule="auto"/>
        <w:ind w:left="648"/>
        <w:jc w:val="center"/>
        <w:rPr>
          <w:rFonts w:eastAsia="Times New Roman"/>
          <w:color w:val="000000"/>
          <w:szCs w:val="22"/>
          <w:lang w:eastAsia="en-AU"/>
        </w:rPr>
      </w:pPr>
      <w:r w:rsidRPr="00431A9F">
        <w:rPr>
          <w:rFonts w:eastAsia="Times New Roman"/>
          <w:b/>
          <w:color w:val="000000"/>
          <w:sz w:val="26"/>
          <w:szCs w:val="22"/>
          <w:lang w:eastAsia="en-AU"/>
        </w:rPr>
        <w:t xml:space="preserve">EXPOSURE DRAFT </w:t>
      </w:r>
    </w:p>
    <w:p w14:paraId="2EF5D17F" w14:textId="2028EF32" w:rsidR="00755A88" w:rsidRPr="00755A88" w:rsidRDefault="00755A88" w:rsidP="00755A88">
      <w:pPr>
        <w:tabs>
          <w:tab w:val="center" w:pos="648"/>
        </w:tabs>
        <w:spacing w:after="1" w:line="259" w:lineRule="auto"/>
        <w:ind w:left="-15"/>
        <w:rPr>
          <w:rFonts w:eastAsia="Times New Roman"/>
          <w:color w:val="000000"/>
          <w:szCs w:val="22"/>
          <w:lang w:eastAsia="en-AU"/>
        </w:rPr>
      </w:pPr>
    </w:p>
    <w:p w14:paraId="2772C037" w14:textId="77777777" w:rsidR="00755A88" w:rsidRPr="00755A88" w:rsidRDefault="00755A88" w:rsidP="00755A88">
      <w:pPr>
        <w:spacing w:after="56" w:line="259" w:lineRule="auto"/>
        <w:rPr>
          <w:rFonts w:eastAsia="Times New Roman"/>
          <w:color w:val="000000"/>
          <w:szCs w:val="22"/>
          <w:lang w:eastAsia="en-AU"/>
        </w:rPr>
      </w:pPr>
      <w:r w:rsidRPr="00755A88">
        <w:rPr>
          <w:rFonts w:eastAsia="Times New Roman"/>
          <w:color w:val="000000"/>
          <w:sz w:val="32"/>
          <w:szCs w:val="22"/>
          <w:lang w:eastAsia="en-AU"/>
        </w:rPr>
        <w:t xml:space="preserve">Inserts for </w:t>
      </w:r>
    </w:p>
    <w:p w14:paraId="7844D7F7" w14:textId="01485A55" w:rsidR="00755A88" w:rsidRPr="00755A88" w:rsidRDefault="00755A88" w:rsidP="00530256">
      <w:pPr>
        <w:pStyle w:val="ShortT"/>
      </w:pPr>
      <w:r w:rsidRPr="00755A88">
        <w:t xml:space="preserve">Superannuation Legislation Amendment (Transparency Measures) Bill 2015: Portfolio holdings disclosure </w:t>
      </w:r>
    </w:p>
    <w:p w14:paraId="041E24B5" w14:textId="77777777" w:rsidR="00755A88" w:rsidRPr="00755A88" w:rsidRDefault="00755A88" w:rsidP="00755A88">
      <w:pPr>
        <w:tabs>
          <w:tab w:val="center" w:pos="4194"/>
        </w:tabs>
        <w:spacing w:after="62" w:line="259" w:lineRule="auto"/>
        <w:ind w:left="-15"/>
        <w:rPr>
          <w:rFonts w:eastAsia="Times New Roman"/>
          <w:color w:val="000000"/>
          <w:szCs w:val="22"/>
          <w:lang w:eastAsia="en-AU"/>
        </w:rPr>
      </w:pPr>
    </w:p>
    <w:p w14:paraId="1372DE8A" w14:textId="5FBC21F4" w:rsidR="00755A88" w:rsidRPr="00755A88" w:rsidRDefault="00755A88" w:rsidP="00755A88">
      <w:pPr>
        <w:tabs>
          <w:tab w:val="center" w:pos="648"/>
        </w:tabs>
        <w:spacing w:after="1" w:line="259" w:lineRule="auto"/>
        <w:ind w:left="-15"/>
        <w:rPr>
          <w:rFonts w:eastAsia="Times New Roman"/>
          <w:color w:val="000000"/>
          <w:szCs w:val="22"/>
          <w:lang w:eastAsia="en-AU"/>
        </w:rPr>
      </w:pPr>
    </w:p>
    <w:tbl>
      <w:tblPr>
        <w:tblW w:w="7655" w:type="dxa"/>
        <w:tblCellMar>
          <w:top w:w="79" w:type="dxa"/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2551"/>
        <w:gridCol w:w="2552"/>
        <w:gridCol w:w="2552"/>
      </w:tblGrid>
      <w:tr w:rsidR="0074713C" w:rsidRPr="00755A88" w14:paraId="571E803B" w14:textId="77777777" w:rsidTr="009D1409">
        <w:trPr>
          <w:trHeight w:val="324"/>
          <w:tblHeader/>
        </w:trPr>
        <w:tc>
          <w:tcPr>
            <w:tcW w:w="7655" w:type="dxa"/>
            <w:gridSpan w:val="3"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</w:tcPr>
          <w:p w14:paraId="23DFADE2" w14:textId="101E2512" w:rsidR="0074713C" w:rsidRPr="00755A88" w:rsidRDefault="0074713C" w:rsidP="0074713C">
            <w:pPr>
              <w:spacing w:after="120" w:line="259" w:lineRule="auto"/>
              <w:rPr>
                <w:rFonts w:ascii="Calibri" w:eastAsia="Times New Roman" w:hAnsi="Calibri"/>
                <w:b/>
                <w:color w:val="000000"/>
                <w:szCs w:val="22"/>
                <w:lang w:eastAsia="en-AU"/>
              </w:rPr>
            </w:pPr>
            <w:r w:rsidRPr="00755A88">
              <w:rPr>
                <w:rFonts w:ascii="Calibri" w:eastAsia="Times New Roman" w:hAnsi="Calibri"/>
                <w:b/>
                <w:color w:val="000000"/>
                <w:sz w:val="20"/>
                <w:szCs w:val="22"/>
                <w:lang w:eastAsia="en-AU"/>
              </w:rPr>
              <w:t xml:space="preserve">Commencement information </w:t>
            </w:r>
          </w:p>
        </w:tc>
      </w:tr>
      <w:tr w:rsidR="00755A88" w:rsidRPr="00755A88" w14:paraId="751DFF2A" w14:textId="77777777" w:rsidTr="009D1409">
        <w:trPr>
          <w:trHeight w:val="314"/>
          <w:tblHeader/>
        </w:trPr>
        <w:tc>
          <w:tcPr>
            <w:tcW w:w="255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</w:tcPr>
          <w:p w14:paraId="482A3C10" w14:textId="77777777" w:rsidR="00755A88" w:rsidRPr="00755A88" w:rsidRDefault="00755A88" w:rsidP="00C44F9B">
            <w:pPr>
              <w:spacing w:line="259" w:lineRule="auto"/>
              <w:ind w:left="120"/>
              <w:rPr>
                <w:rFonts w:ascii="Calibri" w:eastAsia="Times New Roman" w:hAnsi="Calibri"/>
                <w:b/>
                <w:color w:val="000000"/>
                <w:szCs w:val="22"/>
                <w:lang w:eastAsia="en-AU"/>
              </w:rPr>
            </w:pPr>
            <w:r w:rsidRPr="00755A88">
              <w:rPr>
                <w:rFonts w:ascii="Calibri" w:eastAsia="Times New Roman" w:hAnsi="Calibri"/>
                <w:b/>
                <w:color w:val="000000"/>
                <w:sz w:val="20"/>
                <w:szCs w:val="22"/>
                <w:lang w:eastAsia="en-AU"/>
              </w:rPr>
              <w:t xml:space="preserve">Column 1 </w:t>
            </w:r>
          </w:p>
        </w:tc>
        <w:tc>
          <w:tcPr>
            <w:tcW w:w="255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</w:tcPr>
          <w:p w14:paraId="174F097B" w14:textId="77777777" w:rsidR="00755A88" w:rsidRPr="00755A88" w:rsidRDefault="00755A88" w:rsidP="00C44F9B">
            <w:pPr>
              <w:spacing w:line="259" w:lineRule="auto"/>
              <w:rPr>
                <w:rFonts w:ascii="Calibri" w:eastAsia="Times New Roman" w:hAnsi="Calibri"/>
                <w:b/>
                <w:color w:val="000000"/>
                <w:szCs w:val="22"/>
                <w:lang w:eastAsia="en-AU"/>
              </w:rPr>
            </w:pPr>
            <w:r w:rsidRPr="00755A88">
              <w:rPr>
                <w:rFonts w:ascii="Calibri" w:eastAsia="Times New Roman" w:hAnsi="Calibri"/>
                <w:b/>
                <w:color w:val="000000"/>
                <w:sz w:val="20"/>
                <w:szCs w:val="22"/>
                <w:lang w:eastAsia="en-AU"/>
              </w:rPr>
              <w:t xml:space="preserve">Column 2 </w:t>
            </w:r>
          </w:p>
        </w:tc>
        <w:tc>
          <w:tcPr>
            <w:tcW w:w="255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</w:tcPr>
          <w:p w14:paraId="4E2B7B17" w14:textId="77777777" w:rsidR="00755A88" w:rsidRPr="00755A88" w:rsidRDefault="00755A88" w:rsidP="00C44F9B">
            <w:pPr>
              <w:spacing w:line="259" w:lineRule="auto"/>
              <w:rPr>
                <w:rFonts w:ascii="Calibri" w:eastAsia="Times New Roman" w:hAnsi="Calibri"/>
                <w:b/>
                <w:color w:val="000000"/>
                <w:szCs w:val="22"/>
                <w:lang w:eastAsia="en-AU"/>
              </w:rPr>
            </w:pPr>
            <w:r w:rsidRPr="00755A88">
              <w:rPr>
                <w:rFonts w:ascii="Calibri" w:eastAsia="Times New Roman" w:hAnsi="Calibri"/>
                <w:b/>
                <w:color w:val="000000"/>
                <w:sz w:val="20"/>
                <w:szCs w:val="22"/>
                <w:lang w:eastAsia="en-AU"/>
              </w:rPr>
              <w:t xml:space="preserve">Column 3 </w:t>
            </w:r>
          </w:p>
        </w:tc>
      </w:tr>
      <w:tr w:rsidR="00755A88" w:rsidRPr="00755A88" w14:paraId="4AB280F7" w14:textId="77777777" w:rsidTr="009D1409">
        <w:trPr>
          <w:trHeight w:val="322"/>
          <w:tblHeader/>
        </w:trPr>
        <w:tc>
          <w:tcPr>
            <w:tcW w:w="2551" w:type="dxa"/>
            <w:tcBorders>
              <w:top w:val="single" w:sz="6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</w:tcPr>
          <w:p w14:paraId="1AD2D7FC" w14:textId="77777777" w:rsidR="00755A88" w:rsidRPr="00755A88" w:rsidRDefault="00755A88" w:rsidP="00C44F9B">
            <w:pPr>
              <w:spacing w:line="259" w:lineRule="auto"/>
              <w:ind w:left="120"/>
              <w:rPr>
                <w:rFonts w:ascii="Calibri" w:eastAsia="Times New Roman" w:hAnsi="Calibri"/>
                <w:b/>
                <w:color w:val="000000"/>
                <w:szCs w:val="22"/>
                <w:lang w:eastAsia="en-AU"/>
              </w:rPr>
            </w:pPr>
            <w:r w:rsidRPr="00755A88">
              <w:rPr>
                <w:rFonts w:ascii="Calibri" w:eastAsia="Times New Roman" w:hAnsi="Calibri"/>
                <w:b/>
                <w:color w:val="000000"/>
                <w:sz w:val="20"/>
                <w:szCs w:val="22"/>
                <w:lang w:eastAsia="en-AU"/>
              </w:rPr>
              <w:t xml:space="preserve">Provisions </w:t>
            </w:r>
          </w:p>
        </w:tc>
        <w:tc>
          <w:tcPr>
            <w:tcW w:w="2552" w:type="dxa"/>
            <w:tcBorders>
              <w:top w:val="single" w:sz="6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</w:tcPr>
          <w:p w14:paraId="25B49D6A" w14:textId="77777777" w:rsidR="00755A88" w:rsidRPr="00755A88" w:rsidRDefault="00755A88" w:rsidP="00C44F9B">
            <w:pPr>
              <w:spacing w:line="259" w:lineRule="auto"/>
              <w:rPr>
                <w:rFonts w:ascii="Calibri" w:eastAsia="Times New Roman" w:hAnsi="Calibri"/>
                <w:b/>
                <w:color w:val="000000"/>
                <w:szCs w:val="22"/>
                <w:lang w:eastAsia="en-AU"/>
              </w:rPr>
            </w:pPr>
            <w:r w:rsidRPr="00755A88">
              <w:rPr>
                <w:rFonts w:ascii="Calibri" w:eastAsia="Times New Roman" w:hAnsi="Calibri"/>
                <w:b/>
                <w:color w:val="000000"/>
                <w:sz w:val="20"/>
                <w:szCs w:val="22"/>
                <w:lang w:eastAsia="en-AU"/>
              </w:rPr>
              <w:t xml:space="preserve">Commencement </w:t>
            </w:r>
          </w:p>
        </w:tc>
        <w:tc>
          <w:tcPr>
            <w:tcW w:w="2552" w:type="dxa"/>
            <w:tcBorders>
              <w:top w:val="single" w:sz="6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</w:tcPr>
          <w:p w14:paraId="1D07AE32" w14:textId="77777777" w:rsidR="00755A88" w:rsidRPr="00755A88" w:rsidRDefault="00755A88" w:rsidP="00C44F9B">
            <w:pPr>
              <w:spacing w:line="259" w:lineRule="auto"/>
              <w:rPr>
                <w:rFonts w:ascii="Calibri" w:eastAsia="Times New Roman" w:hAnsi="Calibri"/>
                <w:b/>
                <w:color w:val="000000"/>
                <w:szCs w:val="22"/>
                <w:lang w:eastAsia="en-AU"/>
              </w:rPr>
            </w:pPr>
            <w:r w:rsidRPr="00755A88">
              <w:rPr>
                <w:rFonts w:ascii="Calibri" w:eastAsia="Times New Roman" w:hAnsi="Calibri"/>
                <w:b/>
                <w:color w:val="000000"/>
                <w:sz w:val="20"/>
                <w:szCs w:val="22"/>
                <w:lang w:eastAsia="en-AU"/>
              </w:rPr>
              <w:t xml:space="preserve">Date/Details </w:t>
            </w:r>
          </w:p>
        </w:tc>
      </w:tr>
      <w:tr w:rsidR="00755A88" w:rsidRPr="00755A88" w14:paraId="4A8A424F" w14:textId="77777777" w:rsidTr="0074713C">
        <w:trPr>
          <w:trHeight w:val="322"/>
        </w:trPr>
        <w:tc>
          <w:tcPr>
            <w:tcW w:w="2551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3D0A648A" w14:textId="77777777" w:rsidR="00755A88" w:rsidRPr="00755A88" w:rsidRDefault="00755A88" w:rsidP="00C44F9B">
            <w:pPr>
              <w:spacing w:line="259" w:lineRule="auto"/>
              <w:ind w:left="120"/>
              <w:rPr>
                <w:rFonts w:ascii="Calibri" w:eastAsia="Times New Roman" w:hAnsi="Calibri"/>
                <w:color w:val="000000"/>
                <w:szCs w:val="22"/>
                <w:lang w:eastAsia="en-AU"/>
              </w:rPr>
            </w:pPr>
            <w:r w:rsidRPr="00755A88">
              <w:rPr>
                <w:rFonts w:ascii="Calibri" w:eastAsia="Times New Roman" w:hAnsi="Calibri"/>
                <w:color w:val="000000"/>
                <w:sz w:val="20"/>
                <w:szCs w:val="22"/>
                <w:lang w:eastAsia="en-AU"/>
              </w:rPr>
              <w:t xml:space="preserve">1.   </w:t>
            </w:r>
          </w:p>
        </w:tc>
        <w:tc>
          <w:tcPr>
            <w:tcW w:w="2552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52BFCFAF" w14:textId="77777777" w:rsidR="00755A88" w:rsidRPr="00755A88" w:rsidRDefault="00755A88" w:rsidP="00C44F9B">
            <w:pPr>
              <w:spacing w:line="259" w:lineRule="auto"/>
              <w:rPr>
                <w:rFonts w:ascii="Calibri" w:eastAsia="Times New Roman" w:hAnsi="Calibri"/>
                <w:color w:val="000000"/>
                <w:szCs w:val="22"/>
                <w:lang w:eastAsia="en-AU"/>
              </w:rPr>
            </w:pPr>
            <w:r w:rsidRPr="00755A88">
              <w:rPr>
                <w:rFonts w:ascii="Calibri" w:eastAsia="Times New Roman" w:hAnsi="Calibri"/>
                <w:color w:val="000000"/>
                <w:sz w:val="20"/>
                <w:szCs w:val="22"/>
                <w:lang w:eastAsia="en-AU"/>
              </w:rPr>
              <w:t xml:space="preserve"> </w:t>
            </w:r>
          </w:p>
        </w:tc>
        <w:tc>
          <w:tcPr>
            <w:tcW w:w="2552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238F4657" w14:textId="77777777" w:rsidR="00755A88" w:rsidRPr="00755A88" w:rsidRDefault="00755A88" w:rsidP="00C44F9B">
            <w:pPr>
              <w:spacing w:line="259" w:lineRule="auto"/>
              <w:rPr>
                <w:rFonts w:ascii="Calibri" w:eastAsia="Times New Roman" w:hAnsi="Calibri"/>
                <w:color w:val="000000"/>
                <w:szCs w:val="22"/>
                <w:lang w:eastAsia="en-AU"/>
              </w:rPr>
            </w:pPr>
            <w:r w:rsidRPr="00755A88">
              <w:rPr>
                <w:rFonts w:ascii="Calibri" w:eastAsia="Times New Roman" w:hAnsi="Calibri"/>
                <w:color w:val="000000"/>
                <w:sz w:val="20"/>
                <w:szCs w:val="22"/>
                <w:lang w:eastAsia="en-AU"/>
              </w:rPr>
              <w:t xml:space="preserve"> </w:t>
            </w:r>
          </w:p>
        </w:tc>
      </w:tr>
      <w:tr w:rsidR="00755A88" w:rsidRPr="00755A88" w14:paraId="7E5BBA3A" w14:textId="77777777" w:rsidTr="0074713C">
        <w:trPr>
          <w:trHeight w:val="310"/>
        </w:trPr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351EAE36" w14:textId="77777777" w:rsidR="00755A88" w:rsidRPr="00755A88" w:rsidRDefault="00755A88" w:rsidP="00C44F9B">
            <w:pPr>
              <w:spacing w:line="259" w:lineRule="auto"/>
              <w:ind w:left="120"/>
              <w:rPr>
                <w:rFonts w:ascii="Calibri" w:eastAsia="Times New Roman" w:hAnsi="Calibri"/>
                <w:color w:val="000000"/>
                <w:szCs w:val="22"/>
                <w:lang w:eastAsia="en-AU"/>
              </w:rPr>
            </w:pPr>
            <w:r w:rsidRPr="00755A88">
              <w:rPr>
                <w:rFonts w:ascii="Calibri" w:eastAsia="Times New Roman" w:hAnsi="Calibri"/>
                <w:color w:val="000000"/>
                <w:sz w:val="20"/>
                <w:szCs w:val="22"/>
                <w:lang w:eastAsia="en-AU"/>
              </w:rPr>
              <w:t xml:space="preserve">2.  Schedule # 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750E1B77" w14:textId="77777777" w:rsidR="00755A88" w:rsidRPr="00755A88" w:rsidRDefault="00755A88" w:rsidP="00C44F9B">
            <w:pPr>
              <w:spacing w:line="259" w:lineRule="auto"/>
              <w:rPr>
                <w:rFonts w:ascii="Calibri" w:eastAsia="Times New Roman" w:hAnsi="Calibri"/>
                <w:color w:val="000000"/>
                <w:szCs w:val="22"/>
                <w:lang w:eastAsia="en-AU"/>
              </w:rPr>
            </w:pPr>
            <w:r w:rsidRPr="00755A88">
              <w:rPr>
                <w:rFonts w:ascii="Calibri" w:eastAsia="Times New Roman" w:hAnsi="Calibri"/>
                <w:color w:val="000000"/>
                <w:sz w:val="20"/>
                <w:szCs w:val="22"/>
                <w:lang w:eastAsia="en-AU"/>
              </w:rPr>
              <w:t xml:space="preserve">1 July 2016. 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394099DE" w14:textId="77777777" w:rsidR="00755A88" w:rsidRPr="00755A88" w:rsidRDefault="00755A88" w:rsidP="00C44F9B">
            <w:pPr>
              <w:spacing w:line="259" w:lineRule="auto"/>
              <w:rPr>
                <w:rFonts w:ascii="Calibri" w:eastAsia="Times New Roman" w:hAnsi="Calibri"/>
                <w:color w:val="000000"/>
                <w:szCs w:val="22"/>
                <w:lang w:eastAsia="en-AU"/>
              </w:rPr>
            </w:pPr>
            <w:r w:rsidRPr="00755A88">
              <w:rPr>
                <w:rFonts w:ascii="Calibri" w:eastAsia="Times New Roman" w:hAnsi="Calibri"/>
                <w:color w:val="000000"/>
                <w:sz w:val="20"/>
                <w:szCs w:val="22"/>
                <w:lang w:eastAsia="en-AU"/>
              </w:rPr>
              <w:t xml:space="preserve">1 July 2016 </w:t>
            </w:r>
          </w:p>
        </w:tc>
      </w:tr>
      <w:tr w:rsidR="00755A88" w:rsidRPr="00755A88" w14:paraId="6914D9F5" w14:textId="77777777" w:rsidTr="0074713C">
        <w:trPr>
          <w:trHeight w:val="322"/>
        </w:trPr>
        <w:tc>
          <w:tcPr>
            <w:tcW w:w="2551" w:type="dxa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</w:tcPr>
          <w:p w14:paraId="20044872" w14:textId="77777777" w:rsidR="00755A88" w:rsidRPr="00755A88" w:rsidRDefault="00755A88" w:rsidP="00C44F9B">
            <w:pPr>
              <w:spacing w:line="259" w:lineRule="auto"/>
              <w:ind w:left="120"/>
              <w:rPr>
                <w:rFonts w:ascii="Calibri" w:eastAsia="Times New Roman" w:hAnsi="Calibri"/>
                <w:color w:val="000000"/>
                <w:szCs w:val="22"/>
                <w:lang w:eastAsia="en-AU"/>
              </w:rPr>
            </w:pPr>
            <w:r w:rsidRPr="00755A88">
              <w:rPr>
                <w:rFonts w:ascii="Calibri" w:eastAsia="Times New Roman" w:hAnsi="Calibri"/>
                <w:color w:val="000000"/>
                <w:sz w:val="20"/>
                <w:szCs w:val="22"/>
                <w:lang w:eastAsia="en-AU"/>
              </w:rPr>
              <w:t xml:space="preserve">3.   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</w:tcPr>
          <w:p w14:paraId="5F5BFD2D" w14:textId="77777777" w:rsidR="00755A88" w:rsidRPr="00755A88" w:rsidRDefault="00755A88" w:rsidP="00C44F9B">
            <w:pPr>
              <w:spacing w:line="259" w:lineRule="auto"/>
              <w:rPr>
                <w:rFonts w:ascii="Calibri" w:eastAsia="Times New Roman" w:hAnsi="Calibri"/>
                <w:color w:val="000000"/>
                <w:szCs w:val="22"/>
                <w:lang w:eastAsia="en-AU"/>
              </w:rPr>
            </w:pPr>
            <w:r w:rsidRPr="00755A88">
              <w:rPr>
                <w:rFonts w:ascii="Calibri" w:eastAsia="Times New Roman" w:hAnsi="Calibri"/>
                <w:color w:val="000000"/>
                <w:sz w:val="20"/>
                <w:szCs w:val="22"/>
                <w:lang w:eastAsia="en-AU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</w:tcPr>
          <w:p w14:paraId="670C974A" w14:textId="77777777" w:rsidR="00755A88" w:rsidRPr="00755A88" w:rsidRDefault="00755A88" w:rsidP="00C44F9B">
            <w:pPr>
              <w:spacing w:line="259" w:lineRule="auto"/>
              <w:rPr>
                <w:rFonts w:ascii="Calibri" w:eastAsia="Times New Roman" w:hAnsi="Calibri"/>
                <w:color w:val="000000"/>
                <w:szCs w:val="22"/>
                <w:lang w:eastAsia="en-AU"/>
              </w:rPr>
            </w:pPr>
            <w:r w:rsidRPr="00755A88">
              <w:rPr>
                <w:rFonts w:ascii="Calibri" w:eastAsia="Times New Roman" w:hAnsi="Calibri"/>
                <w:color w:val="000000"/>
                <w:sz w:val="20"/>
                <w:szCs w:val="22"/>
                <w:lang w:eastAsia="en-AU"/>
              </w:rPr>
              <w:t xml:space="preserve"> </w:t>
            </w:r>
          </w:p>
        </w:tc>
      </w:tr>
    </w:tbl>
    <w:p w14:paraId="16804D8B" w14:textId="77777777" w:rsidR="00CA7E4B" w:rsidRDefault="00CA7E4B" w:rsidP="00755A88">
      <w:pPr>
        <w:spacing w:after="53" w:line="259" w:lineRule="auto"/>
        <w:ind w:left="10" w:right="86" w:hanging="10"/>
        <w:jc w:val="right"/>
        <w:rPr>
          <w:rFonts w:eastAsia="Times New Roman"/>
          <w:color w:val="000000"/>
          <w:sz w:val="18"/>
          <w:szCs w:val="22"/>
          <w:lang w:eastAsia="en-AU"/>
        </w:rPr>
      </w:pPr>
    </w:p>
    <w:p w14:paraId="5CB96387" w14:textId="77777777" w:rsidR="00CA7E4B" w:rsidRDefault="00CA7E4B" w:rsidP="00014E99">
      <w:pPr>
        <w:spacing w:after="53" w:line="259" w:lineRule="auto"/>
        <w:ind w:right="86"/>
        <w:rPr>
          <w:rFonts w:eastAsia="Times New Roman"/>
          <w:color w:val="000000"/>
          <w:sz w:val="18"/>
          <w:szCs w:val="22"/>
          <w:lang w:eastAsia="en-AU"/>
        </w:rPr>
      </w:pPr>
    </w:p>
    <w:p w14:paraId="69FB75D0" w14:textId="77777777" w:rsidR="00CA7E4B" w:rsidRDefault="00CA7E4B" w:rsidP="00755A88">
      <w:pPr>
        <w:spacing w:after="53" w:line="259" w:lineRule="auto"/>
        <w:ind w:left="10" w:right="86" w:hanging="10"/>
        <w:jc w:val="right"/>
        <w:rPr>
          <w:rFonts w:eastAsia="Times New Roman"/>
          <w:i/>
          <w:color w:val="000000"/>
          <w:sz w:val="18"/>
          <w:szCs w:val="22"/>
          <w:lang w:eastAsia="en-AU"/>
        </w:rPr>
        <w:sectPr w:rsidR="00CA7E4B" w:rsidSect="00014E99">
          <w:type w:val="oddPage"/>
          <w:pgSz w:w="11906" w:h="16838"/>
          <w:pgMar w:top="2466" w:right="2098" w:bottom="2466" w:left="2098" w:header="1899" w:footer="1899" w:gutter="0"/>
          <w:cols w:space="720"/>
          <w:titlePg/>
          <w:docGrid w:linePitch="299"/>
        </w:sectPr>
      </w:pPr>
    </w:p>
    <w:p w14:paraId="17DC1380" w14:textId="77777777" w:rsidR="00755A88" w:rsidRPr="008D496F" w:rsidRDefault="00755A88" w:rsidP="008D496F">
      <w:pPr>
        <w:pStyle w:val="ActHead1"/>
        <w:rPr>
          <w:rFonts w:eastAsia="Arial"/>
        </w:rPr>
      </w:pPr>
      <w:r w:rsidRPr="00755A88">
        <w:rPr>
          <w:rFonts w:eastAsia="Arial"/>
        </w:rPr>
        <w:t xml:space="preserve">Schedule #—Portfolio holdings disclosure </w:t>
      </w:r>
    </w:p>
    <w:p w14:paraId="70E4DAA8" w14:textId="77777777" w:rsidR="00755A88" w:rsidRPr="009D1409" w:rsidRDefault="00755A88" w:rsidP="008D496F">
      <w:pPr>
        <w:pStyle w:val="ActHead2"/>
        <w:rPr>
          <w:i/>
        </w:rPr>
      </w:pPr>
      <w:r w:rsidRPr="009D1409">
        <w:rPr>
          <w:i/>
        </w:rPr>
        <w:t xml:space="preserve">Corporations Act 2001 </w:t>
      </w:r>
    </w:p>
    <w:p w14:paraId="16A551F9" w14:textId="77777777" w:rsidR="00755A88" w:rsidRPr="00755A88" w:rsidRDefault="00755A88" w:rsidP="008D496F">
      <w:pPr>
        <w:pStyle w:val="ActHead3"/>
      </w:pPr>
      <w:r w:rsidRPr="00755A88">
        <w:t>1</w:t>
      </w:r>
      <w:r w:rsidR="008D496F">
        <w:tab/>
      </w:r>
      <w:r w:rsidRPr="00755A88">
        <w:t xml:space="preserve">Subsection 1017BB(1) </w:t>
      </w:r>
    </w:p>
    <w:p w14:paraId="5F46895C" w14:textId="77777777" w:rsidR="00755A88" w:rsidRPr="00755A88" w:rsidRDefault="00755A88" w:rsidP="00755A88">
      <w:pPr>
        <w:spacing w:after="168" w:line="248" w:lineRule="auto"/>
        <w:ind w:left="718" w:hanging="10"/>
        <w:rPr>
          <w:rFonts w:eastAsia="Times New Roman"/>
          <w:color w:val="000000"/>
          <w:szCs w:val="22"/>
          <w:lang w:eastAsia="en-AU"/>
        </w:rPr>
      </w:pPr>
      <w:r w:rsidRPr="00755A88">
        <w:rPr>
          <w:rFonts w:eastAsia="Times New Roman"/>
          <w:color w:val="000000"/>
          <w:szCs w:val="22"/>
          <w:lang w:eastAsia="en-AU"/>
        </w:rPr>
        <w:t xml:space="preserve">Repeal the subsection, substitute: </w:t>
      </w:r>
    </w:p>
    <w:p w14:paraId="30106856" w14:textId="77777777" w:rsidR="00755A88" w:rsidRPr="00530256" w:rsidRDefault="00755A88" w:rsidP="00530256">
      <w:pPr>
        <w:pStyle w:val="paragraph"/>
      </w:pPr>
      <w:r w:rsidRPr="00530256">
        <w:t>(1)</w:t>
      </w:r>
      <w:r w:rsidR="00530256" w:rsidRPr="00530256">
        <w:tab/>
      </w:r>
      <w:r w:rsidRPr="00530256">
        <w:t>The trustee, or the trustees, of a re</w:t>
      </w:r>
      <w:r w:rsidR="00530256" w:rsidRPr="00530256">
        <w:t xml:space="preserve">gistrable superannuation entity </w:t>
      </w:r>
      <w:r w:rsidRPr="00530256">
        <w:t xml:space="preserve">must make the following information about each of the entity’s investment options publicly available on the entity’s website no later than 90 days after each reporting day: </w:t>
      </w:r>
    </w:p>
    <w:p w14:paraId="007F83E3" w14:textId="77777777" w:rsidR="00755A88" w:rsidRPr="00530256" w:rsidRDefault="00755A88" w:rsidP="00CA7E4B">
      <w:pPr>
        <w:pStyle w:val="paragraphsub-sub"/>
      </w:pPr>
      <w:r w:rsidRPr="00530256">
        <w:t>(a)</w:t>
      </w:r>
      <w:r w:rsidR="00530256" w:rsidRPr="00530256">
        <w:tab/>
      </w:r>
      <w:r w:rsidRPr="00530256">
        <w:t xml:space="preserve">sufficient information to identify each financial product or other property: </w:t>
      </w:r>
    </w:p>
    <w:p w14:paraId="36F34A5F" w14:textId="77777777" w:rsidR="00755A88" w:rsidRPr="00CA7E4B" w:rsidRDefault="00755A88" w:rsidP="00CA7E4B">
      <w:pPr>
        <w:pStyle w:val="paraRoman"/>
      </w:pPr>
      <w:r w:rsidRPr="00CA7E4B">
        <w:t xml:space="preserve">allocated to the investment option; and </w:t>
      </w:r>
    </w:p>
    <w:p w14:paraId="2E78ED1D" w14:textId="77777777" w:rsidR="00530256" w:rsidRPr="00CA7E4B" w:rsidRDefault="00755A88" w:rsidP="00CA7E4B">
      <w:pPr>
        <w:pStyle w:val="paraRoman"/>
      </w:pPr>
      <w:r w:rsidRPr="00CA7E4B">
        <w:t xml:space="preserve">in which an asset of the entity, or an associated entity of the entity, is invested at </w:t>
      </w:r>
      <w:r w:rsidR="00530256" w:rsidRPr="00CA7E4B">
        <w:t>the end of the reporting day;</w:t>
      </w:r>
    </w:p>
    <w:p w14:paraId="702D453A" w14:textId="77777777" w:rsidR="00755A88" w:rsidRPr="00530256" w:rsidRDefault="00755A88" w:rsidP="00CA7E4B">
      <w:pPr>
        <w:pStyle w:val="paragraphsub-sub"/>
      </w:pPr>
      <w:r w:rsidRPr="00530256">
        <w:t>(b)</w:t>
      </w:r>
      <w:r w:rsidR="00530256">
        <w:tab/>
      </w:r>
      <w:r w:rsidRPr="00530256">
        <w:t xml:space="preserve">the value, at the end of the reporting day, of those assets. </w:t>
      </w:r>
    </w:p>
    <w:p w14:paraId="13C5BE28" w14:textId="77777777" w:rsidR="00755A88" w:rsidRPr="00755A88" w:rsidRDefault="00755A88" w:rsidP="008D496F">
      <w:pPr>
        <w:pStyle w:val="ActHead3"/>
      </w:pPr>
      <w:r w:rsidRPr="00755A88">
        <w:t>2</w:t>
      </w:r>
      <w:r w:rsidR="008D496F">
        <w:tab/>
      </w:r>
      <w:r w:rsidRPr="00755A88">
        <w:t xml:space="preserve">Subsections 1017BB(4) and (5) </w:t>
      </w:r>
    </w:p>
    <w:p w14:paraId="241CB037" w14:textId="77777777" w:rsidR="00755A88" w:rsidRPr="00755A88" w:rsidRDefault="00755A88" w:rsidP="00755A88">
      <w:pPr>
        <w:spacing w:after="168" w:line="248" w:lineRule="auto"/>
        <w:ind w:left="718" w:hanging="10"/>
        <w:rPr>
          <w:rFonts w:eastAsia="Times New Roman"/>
          <w:color w:val="000000"/>
          <w:szCs w:val="22"/>
          <w:lang w:eastAsia="en-AU"/>
        </w:rPr>
      </w:pPr>
      <w:r w:rsidRPr="00755A88">
        <w:rPr>
          <w:rFonts w:eastAsia="Times New Roman"/>
          <w:color w:val="000000"/>
          <w:szCs w:val="22"/>
          <w:lang w:eastAsia="en-AU"/>
        </w:rPr>
        <w:t xml:space="preserve">Repeal the subsections, substitute: </w:t>
      </w:r>
    </w:p>
    <w:p w14:paraId="7BA103D8" w14:textId="16E3BDE7" w:rsidR="00755A88" w:rsidRPr="00755A88" w:rsidRDefault="00755A88" w:rsidP="00913FFA">
      <w:pPr>
        <w:pStyle w:val="paragraph"/>
      </w:pPr>
      <w:r w:rsidRPr="00755A88">
        <w:t xml:space="preserve"> (4)</w:t>
      </w:r>
      <w:r w:rsidR="00913FFA">
        <w:tab/>
      </w:r>
      <w:r w:rsidRPr="00755A88">
        <w:t xml:space="preserve">Subsection (1) does not apply to the trustee, or the trustees, of a registrable superannuation entity if: </w:t>
      </w:r>
    </w:p>
    <w:p w14:paraId="6B1D7BD0" w14:textId="4C2C5E62" w:rsidR="00755A88" w:rsidRPr="00CA7E4B" w:rsidRDefault="00913FFA" w:rsidP="00CA7E4B">
      <w:pPr>
        <w:pStyle w:val="paragraphsub-sub"/>
      </w:pPr>
      <w:r w:rsidRPr="00CA7E4B">
        <w:t>(a)</w:t>
      </w:r>
      <w:r w:rsidRPr="00CA7E4B">
        <w:tab/>
      </w:r>
      <w:r w:rsidR="00755A88" w:rsidRPr="00CA7E4B">
        <w:t xml:space="preserve">if the entity is a pooled superannuation trust, a single member fund or a small APRA fund; or </w:t>
      </w:r>
    </w:p>
    <w:p w14:paraId="6523CEA0" w14:textId="4E56D957" w:rsidR="00755A88" w:rsidRPr="00755A88" w:rsidRDefault="00913FFA" w:rsidP="00CA7E4B">
      <w:pPr>
        <w:pStyle w:val="paragraphsub-sub"/>
      </w:pPr>
      <w:r>
        <w:t>(b)</w:t>
      </w:r>
      <w:r>
        <w:tab/>
      </w:r>
      <w:r w:rsidR="00755A88" w:rsidRPr="00755A88">
        <w:t xml:space="preserve">for any of the entity’s investment options that has been closed to new members for at least 5 years; or </w:t>
      </w:r>
    </w:p>
    <w:p w14:paraId="29BAB7E7" w14:textId="2AF99091" w:rsidR="00755A88" w:rsidRPr="00755A88" w:rsidRDefault="00913FFA" w:rsidP="00CA7E4B">
      <w:pPr>
        <w:pStyle w:val="paragraphsub-sub"/>
      </w:pPr>
      <w:r>
        <w:t>(c)</w:t>
      </w:r>
      <w:r>
        <w:tab/>
      </w:r>
      <w:r w:rsidR="00755A88" w:rsidRPr="00755A88">
        <w:t xml:space="preserve">for 5% of the assets referred to in subparagraph (1)(a)(ii) for each of the entity’s investment options; or </w:t>
      </w:r>
    </w:p>
    <w:p w14:paraId="7B2DE258" w14:textId="0FFD045B" w:rsidR="00755A88" w:rsidRPr="00755A88" w:rsidRDefault="00913FFA" w:rsidP="00CA7E4B">
      <w:pPr>
        <w:pStyle w:val="paragraphsub-sub"/>
      </w:pPr>
      <w:r>
        <w:t>(d)</w:t>
      </w:r>
      <w:r>
        <w:tab/>
      </w:r>
      <w:r w:rsidR="00755A88" w:rsidRPr="00755A88">
        <w:t xml:space="preserve">for an asset invested in a financial product or other property allocated to a defined benefit fund (within the meaning of </w:t>
      </w:r>
    </w:p>
    <w:p w14:paraId="2A514A79" w14:textId="77777777" w:rsidR="00755A88" w:rsidRPr="00755A88" w:rsidRDefault="00755A88" w:rsidP="00755A88">
      <w:pPr>
        <w:spacing w:after="10" w:line="248" w:lineRule="auto"/>
        <w:ind w:left="1655" w:hanging="10"/>
        <w:rPr>
          <w:rFonts w:eastAsia="Times New Roman"/>
          <w:color w:val="000000"/>
          <w:szCs w:val="22"/>
          <w:lang w:eastAsia="en-AU"/>
        </w:rPr>
      </w:pPr>
      <w:r w:rsidRPr="00755A88">
        <w:rPr>
          <w:rFonts w:eastAsia="Times New Roman"/>
          <w:color w:val="000000"/>
          <w:szCs w:val="22"/>
          <w:lang w:eastAsia="en-AU"/>
        </w:rPr>
        <w:t xml:space="preserve">Division 3A of Part 8 of the </w:t>
      </w:r>
      <w:r w:rsidRPr="00755A88">
        <w:rPr>
          <w:rFonts w:eastAsia="Times New Roman"/>
          <w:i/>
          <w:color w:val="000000"/>
          <w:szCs w:val="22"/>
          <w:lang w:eastAsia="en-AU"/>
        </w:rPr>
        <w:t xml:space="preserve">Superannuation Industry </w:t>
      </w:r>
    </w:p>
    <w:p w14:paraId="0BA2CB38" w14:textId="77777777" w:rsidR="00755A88" w:rsidRPr="00755A88" w:rsidRDefault="00755A88" w:rsidP="00755A88">
      <w:pPr>
        <w:spacing w:after="27" w:line="248" w:lineRule="auto"/>
        <w:ind w:left="1640" w:hanging="10"/>
        <w:rPr>
          <w:rFonts w:eastAsia="Times New Roman"/>
          <w:color w:val="000000"/>
          <w:szCs w:val="22"/>
          <w:lang w:eastAsia="en-AU"/>
        </w:rPr>
      </w:pPr>
      <w:r w:rsidRPr="00755A88">
        <w:rPr>
          <w:rFonts w:eastAsia="Times New Roman"/>
          <w:i/>
          <w:color w:val="000000"/>
          <w:szCs w:val="22"/>
          <w:lang w:eastAsia="en-AU"/>
        </w:rPr>
        <w:t>(Supervision) Act 1993</w:t>
      </w:r>
      <w:r w:rsidRPr="00755A88">
        <w:rPr>
          <w:rFonts w:eastAsia="Times New Roman"/>
          <w:color w:val="000000"/>
          <w:szCs w:val="22"/>
          <w:lang w:eastAsia="en-AU"/>
        </w:rPr>
        <w:t xml:space="preserve">; or </w:t>
      </w:r>
    </w:p>
    <w:p w14:paraId="7F5ACCDA" w14:textId="52BFA781" w:rsidR="00755A88" w:rsidRPr="00755A88" w:rsidRDefault="00913FFA" w:rsidP="00CA7E4B">
      <w:pPr>
        <w:pStyle w:val="paragraphsub-sub"/>
      </w:pPr>
      <w:r>
        <w:t>(e)</w:t>
      </w:r>
      <w:r>
        <w:tab/>
      </w:r>
      <w:r w:rsidR="00755A88" w:rsidRPr="00755A88">
        <w:t xml:space="preserve">for financial products, or other property, that: </w:t>
      </w:r>
    </w:p>
    <w:p w14:paraId="5971B929" w14:textId="77777777" w:rsidR="00755A88" w:rsidRPr="00755A88" w:rsidRDefault="00755A88" w:rsidP="00CA7E4B">
      <w:pPr>
        <w:pStyle w:val="paraRoman"/>
        <w:numPr>
          <w:ilvl w:val="0"/>
          <w:numId w:val="24"/>
        </w:numPr>
      </w:pPr>
      <w:r w:rsidRPr="00755A88">
        <w:t xml:space="preserve">is allocated to an investment option; and </w:t>
      </w:r>
    </w:p>
    <w:p w14:paraId="7AD93E5F" w14:textId="77777777" w:rsidR="00755A88" w:rsidRPr="00755A88" w:rsidRDefault="00755A88" w:rsidP="00CA7E4B">
      <w:pPr>
        <w:pStyle w:val="paraRoman"/>
      </w:pPr>
      <w:r w:rsidRPr="00755A88">
        <w:t xml:space="preserve">is not a material investment in accordance with </w:t>
      </w:r>
    </w:p>
    <w:p w14:paraId="7B3AB29A" w14:textId="45F156B4" w:rsidR="00755A88" w:rsidRPr="00755A88" w:rsidRDefault="00755A88" w:rsidP="00CA7E4B">
      <w:pPr>
        <w:pStyle w:val="paraRoman"/>
      </w:pPr>
      <w:r w:rsidRPr="00755A88">
        <w:t>regulations made for the purposes of this paragraph. The</w:t>
      </w:r>
      <w:r w:rsidR="00CA7E4B">
        <w:t xml:space="preserve"> </w:t>
      </w:r>
      <w:r w:rsidRPr="00755A88">
        <w:t xml:space="preserve">trustee, or the trustees, of the entity may determine which assets make up the 5% mentioned in paragraph (c). </w:t>
      </w:r>
    </w:p>
    <w:p w14:paraId="173670A9" w14:textId="77777777" w:rsidR="00755A88" w:rsidRPr="00755A88" w:rsidRDefault="00755A88" w:rsidP="0074713C">
      <w:pPr>
        <w:pStyle w:val="ActHead3"/>
      </w:pPr>
      <w:r w:rsidRPr="00755A88">
        <w:t>3</w:t>
      </w:r>
      <w:r w:rsidR="008D496F">
        <w:tab/>
      </w:r>
      <w:r w:rsidRPr="00755A88">
        <w:t xml:space="preserve">Subsection 1017BB(6) </w:t>
      </w:r>
    </w:p>
    <w:p w14:paraId="1E8CBBD1" w14:textId="77777777" w:rsidR="00755A88" w:rsidRPr="00755A88" w:rsidRDefault="00755A88" w:rsidP="0074713C">
      <w:pPr>
        <w:keepNext/>
        <w:keepLines/>
        <w:spacing w:after="166" w:line="248" w:lineRule="auto"/>
        <w:ind w:left="718" w:hanging="10"/>
        <w:rPr>
          <w:rFonts w:eastAsia="Times New Roman"/>
          <w:color w:val="000000"/>
          <w:szCs w:val="22"/>
          <w:lang w:eastAsia="en-AU"/>
        </w:rPr>
      </w:pPr>
      <w:r w:rsidRPr="00755A88">
        <w:rPr>
          <w:rFonts w:eastAsia="Times New Roman"/>
          <w:color w:val="000000"/>
          <w:szCs w:val="22"/>
          <w:lang w:eastAsia="en-AU"/>
        </w:rPr>
        <w:t xml:space="preserve">Insert: </w:t>
      </w:r>
    </w:p>
    <w:p w14:paraId="180E1227" w14:textId="77777777" w:rsidR="00755A88" w:rsidRPr="00755A88" w:rsidRDefault="00755A88" w:rsidP="00755A88">
      <w:pPr>
        <w:spacing w:after="19" w:line="259" w:lineRule="auto"/>
        <w:ind w:left="1133"/>
        <w:rPr>
          <w:rFonts w:eastAsia="Times New Roman"/>
          <w:color w:val="000000"/>
          <w:szCs w:val="22"/>
          <w:lang w:eastAsia="en-AU"/>
        </w:rPr>
      </w:pPr>
      <w:r w:rsidRPr="00755A88">
        <w:rPr>
          <w:rFonts w:eastAsia="Times New Roman"/>
          <w:b/>
          <w:i/>
          <w:color w:val="000000"/>
          <w:szCs w:val="22"/>
          <w:lang w:eastAsia="en-AU"/>
        </w:rPr>
        <w:t>investment option</w:t>
      </w:r>
      <w:r w:rsidRPr="00755A88">
        <w:rPr>
          <w:rFonts w:eastAsia="Times New Roman"/>
          <w:color w:val="000000"/>
          <w:szCs w:val="22"/>
          <w:lang w:eastAsia="en-AU"/>
        </w:rPr>
        <w:t xml:space="preserve"> includes: </w:t>
      </w:r>
    </w:p>
    <w:p w14:paraId="6EDB11BF" w14:textId="2939767B" w:rsidR="00755A88" w:rsidRPr="00755A88" w:rsidRDefault="00CA7E4B" w:rsidP="00CA7E4B">
      <w:pPr>
        <w:pStyle w:val="paragraphsub-sub"/>
      </w:pPr>
      <w:r>
        <w:t>(a)</w:t>
      </w:r>
      <w:r>
        <w:tab/>
      </w:r>
      <w:r w:rsidR="00755A88" w:rsidRPr="00755A88">
        <w:t xml:space="preserve">a choice product that does not contain multiple investment options; and </w:t>
      </w:r>
    </w:p>
    <w:p w14:paraId="20542AE0" w14:textId="77777777" w:rsidR="00CA7E4B" w:rsidRDefault="00CA7E4B" w:rsidP="00CA7E4B">
      <w:pPr>
        <w:pStyle w:val="paragraphsub-sub"/>
      </w:pPr>
    </w:p>
    <w:p w14:paraId="6544B356" w14:textId="57FD8DD0" w:rsidR="00755A88" w:rsidRPr="00755A88" w:rsidRDefault="00CA7E4B" w:rsidP="00CA7E4B">
      <w:pPr>
        <w:pStyle w:val="paragraphsub-sub"/>
      </w:pPr>
      <w:r>
        <w:t>(b)</w:t>
      </w:r>
      <w:r>
        <w:tab/>
      </w:r>
      <w:r w:rsidR="00755A88" w:rsidRPr="00755A88">
        <w:t xml:space="preserve">a MySuper product (within the meaning of the </w:t>
      </w:r>
    </w:p>
    <w:p w14:paraId="17A0DA1D" w14:textId="77777777" w:rsidR="00755A88" w:rsidRPr="00755A88" w:rsidRDefault="00755A88" w:rsidP="00755A88">
      <w:pPr>
        <w:spacing w:after="169" w:line="248" w:lineRule="auto"/>
        <w:ind w:left="1640" w:hanging="10"/>
        <w:rPr>
          <w:rFonts w:eastAsia="Times New Roman"/>
          <w:color w:val="000000"/>
          <w:szCs w:val="22"/>
          <w:lang w:eastAsia="en-AU"/>
        </w:rPr>
      </w:pPr>
      <w:r w:rsidRPr="00755A88">
        <w:rPr>
          <w:rFonts w:eastAsia="Times New Roman"/>
          <w:i/>
          <w:color w:val="000000"/>
          <w:szCs w:val="22"/>
          <w:lang w:eastAsia="en-AU"/>
        </w:rPr>
        <w:t>Superannuation Industry (Supervision) Act 1993</w:t>
      </w:r>
      <w:r w:rsidRPr="00755A88">
        <w:rPr>
          <w:rFonts w:eastAsia="Times New Roman"/>
          <w:color w:val="000000"/>
          <w:szCs w:val="22"/>
          <w:lang w:eastAsia="en-AU"/>
        </w:rPr>
        <w:t xml:space="preserve">). </w:t>
      </w:r>
    </w:p>
    <w:p w14:paraId="10DC4548" w14:textId="77777777" w:rsidR="00755A88" w:rsidRPr="00755A88" w:rsidRDefault="00755A88" w:rsidP="00755A88">
      <w:pPr>
        <w:spacing w:after="169" w:line="248" w:lineRule="auto"/>
        <w:ind w:left="1143" w:hanging="10"/>
        <w:rPr>
          <w:rFonts w:eastAsia="Times New Roman"/>
          <w:color w:val="000000"/>
          <w:szCs w:val="22"/>
          <w:lang w:eastAsia="en-AU"/>
        </w:rPr>
      </w:pPr>
      <w:r w:rsidRPr="00755A88">
        <w:rPr>
          <w:rFonts w:eastAsia="Times New Roman"/>
          <w:b/>
          <w:i/>
          <w:color w:val="000000"/>
          <w:szCs w:val="22"/>
          <w:lang w:eastAsia="en-AU"/>
        </w:rPr>
        <w:t>pooled superannuation trust</w:t>
      </w:r>
      <w:r w:rsidRPr="00755A88">
        <w:rPr>
          <w:rFonts w:eastAsia="Times New Roman"/>
          <w:color w:val="000000"/>
          <w:szCs w:val="22"/>
          <w:lang w:eastAsia="en-AU"/>
        </w:rPr>
        <w:t xml:space="preserve"> has the same meaning as in the </w:t>
      </w:r>
      <w:r w:rsidRPr="00755A88">
        <w:rPr>
          <w:rFonts w:eastAsia="Times New Roman"/>
          <w:i/>
          <w:color w:val="000000"/>
          <w:szCs w:val="22"/>
          <w:lang w:eastAsia="en-AU"/>
        </w:rPr>
        <w:t>Superannuation Industry (Supervision) Act 1993</w:t>
      </w:r>
      <w:r w:rsidRPr="00755A88">
        <w:rPr>
          <w:rFonts w:eastAsia="Times New Roman"/>
          <w:color w:val="000000"/>
          <w:szCs w:val="22"/>
          <w:lang w:eastAsia="en-AU"/>
        </w:rPr>
        <w:t xml:space="preserve">. </w:t>
      </w:r>
    </w:p>
    <w:p w14:paraId="6D5A9E37" w14:textId="58D7E1C2" w:rsidR="00755A88" w:rsidRPr="00755A88" w:rsidRDefault="00755A88" w:rsidP="00755A88">
      <w:pPr>
        <w:spacing w:after="232" w:line="248" w:lineRule="auto"/>
        <w:ind w:left="1143" w:hanging="10"/>
        <w:rPr>
          <w:rFonts w:eastAsia="Times New Roman"/>
          <w:color w:val="000000"/>
          <w:szCs w:val="22"/>
          <w:lang w:eastAsia="en-AU"/>
        </w:rPr>
      </w:pPr>
      <w:r w:rsidRPr="00755A88">
        <w:rPr>
          <w:rFonts w:eastAsia="Times New Roman"/>
          <w:b/>
          <w:i/>
          <w:color w:val="000000"/>
          <w:szCs w:val="22"/>
          <w:lang w:eastAsia="en-AU"/>
        </w:rPr>
        <w:t>small APRA fund</w:t>
      </w:r>
      <w:r w:rsidRPr="00755A88">
        <w:rPr>
          <w:rFonts w:eastAsia="Times New Roman"/>
          <w:color w:val="000000"/>
          <w:szCs w:val="22"/>
          <w:lang w:eastAsia="en-AU"/>
        </w:rPr>
        <w:t xml:space="preserve"> means a regulated superannuation fund (within the meaning of the </w:t>
      </w:r>
      <w:r w:rsidRPr="00755A88">
        <w:rPr>
          <w:rFonts w:eastAsia="Times New Roman"/>
          <w:i/>
          <w:color w:val="000000"/>
          <w:szCs w:val="22"/>
          <w:lang w:eastAsia="en-AU"/>
        </w:rPr>
        <w:t>Superannuation Industry (Supervision) Act 1993</w:t>
      </w:r>
      <w:r w:rsidR="0074713C">
        <w:rPr>
          <w:rFonts w:eastAsia="Times New Roman"/>
          <w:color w:val="000000"/>
          <w:szCs w:val="22"/>
          <w:lang w:eastAsia="en-AU"/>
        </w:rPr>
        <w:t>) with less than five</w:t>
      </w:r>
      <w:r w:rsidRPr="00755A88">
        <w:rPr>
          <w:rFonts w:eastAsia="Times New Roman"/>
          <w:color w:val="000000"/>
          <w:szCs w:val="22"/>
          <w:lang w:eastAsia="en-AU"/>
        </w:rPr>
        <w:t xml:space="preserve"> members. </w:t>
      </w:r>
    </w:p>
    <w:p w14:paraId="487493A0" w14:textId="77777777" w:rsidR="00755A88" w:rsidRPr="008D496F" w:rsidRDefault="008D496F" w:rsidP="008D496F">
      <w:pPr>
        <w:pStyle w:val="ActHead3"/>
      </w:pPr>
      <w:r w:rsidRPr="008D496F">
        <w:t>4</w:t>
      </w:r>
      <w:r w:rsidRPr="008D496F">
        <w:tab/>
      </w:r>
      <w:r w:rsidR="00755A88" w:rsidRPr="008D496F">
        <w:t xml:space="preserve">Sections 1017BC, 1017BD and 1017BE </w:t>
      </w:r>
    </w:p>
    <w:p w14:paraId="3B502D54" w14:textId="77777777" w:rsidR="00755A88" w:rsidRPr="00755A88" w:rsidRDefault="00755A88" w:rsidP="00755A88">
      <w:pPr>
        <w:spacing w:after="232" w:line="248" w:lineRule="auto"/>
        <w:ind w:left="718" w:hanging="10"/>
        <w:rPr>
          <w:rFonts w:eastAsia="Times New Roman"/>
          <w:color w:val="000000"/>
          <w:szCs w:val="22"/>
          <w:lang w:eastAsia="en-AU"/>
        </w:rPr>
      </w:pPr>
      <w:r w:rsidRPr="00755A88">
        <w:rPr>
          <w:rFonts w:eastAsia="Times New Roman"/>
          <w:color w:val="000000"/>
          <w:szCs w:val="22"/>
          <w:lang w:eastAsia="en-AU"/>
        </w:rPr>
        <w:t xml:space="preserve">Repeal the sections. </w:t>
      </w:r>
    </w:p>
    <w:p w14:paraId="0DE7BEF1" w14:textId="77777777" w:rsidR="00755A88" w:rsidRPr="00755A88" w:rsidRDefault="008D496F" w:rsidP="008D496F">
      <w:pPr>
        <w:pStyle w:val="ActHead3"/>
        <w:rPr>
          <w:rFonts w:eastAsia="Times New Roman"/>
        </w:rPr>
      </w:pPr>
      <w:r>
        <w:t>5</w:t>
      </w:r>
      <w:r>
        <w:tab/>
      </w:r>
      <w:r w:rsidR="00755A88" w:rsidRPr="00755A88">
        <w:t xml:space="preserve">Paragraph 1020E(1)(c) </w:t>
      </w:r>
    </w:p>
    <w:p w14:paraId="0E94EBB6" w14:textId="468967EC" w:rsidR="00755A88" w:rsidRPr="00755A88" w:rsidRDefault="00755A88" w:rsidP="00755A88">
      <w:pPr>
        <w:spacing w:after="232" w:line="248" w:lineRule="auto"/>
        <w:ind w:left="718" w:hanging="10"/>
        <w:rPr>
          <w:rFonts w:eastAsia="Times New Roman"/>
          <w:color w:val="000000"/>
          <w:szCs w:val="22"/>
          <w:lang w:eastAsia="en-AU"/>
        </w:rPr>
      </w:pPr>
      <w:r w:rsidRPr="00755A88">
        <w:rPr>
          <w:rFonts w:eastAsia="Times New Roman"/>
          <w:color w:val="000000"/>
          <w:szCs w:val="22"/>
          <w:lang w:eastAsia="en-AU"/>
        </w:rPr>
        <w:t xml:space="preserve">Omit </w:t>
      </w:r>
      <w:r w:rsidR="00014E99">
        <w:rPr>
          <w:rFonts w:eastAsia="Times New Roman"/>
          <w:color w:val="000000"/>
          <w:szCs w:val="22"/>
          <w:lang w:eastAsia="en-AU"/>
        </w:rPr>
        <w:t>‘</w:t>
      </w:r>
      <w:r w:rsidRPr="00755A88">
        <w:rPr>
          <w:rFonts w:eastAsia="Times New Roman"/>
          <w:color w:val="000000"/>
          <w:szCs w:val="22"/>
          <w:lang w:eastAsia="en-AU"/>
        </w:rPr>
        <w:t>, or provided under subsection 1017BC(3),</w:t>
      </w:r>
      <w:r w:rsidR="00014E99">
        <w:rPr>
          <w:rFonts w:eastAsia="Times New Roman"/>
          <w:color w:val="000000"/>
          <w:szCs w:val="22"/>
          <w:lang w:eastAsia="en-AU"/>
        </w:rPr>
        <w:t>’</w:t>
      </w:r>
      <w:r w:rsidRPr="00755A88">
        <w:rPr>
          <w:rFonts w:eastAsia="Times New Roman"/>
          <w:color w:val="000000"/>
          <w:szCs w:val="22"/>
          <w:lang w:eastAsia="en-AU"/>
        </w:rPr>
        <w:t xml:space="preserve">. </w:t>
      </w:r>
    </w:p>
    <w:p w14:paraId="02235586" w14:textId="77777777" w:rsidR="00755A88" w:rsidRPr="00755A88" w:rsidRDefault="008D496F" w:rsidP="008D496F">
      <w:pPr>
        <w:pStyle w:val="ActHead3"/>
        <w:rPr>
          <w:rFonts w:eastAsia="Times New Roman"/>
        </w:rPr>
      </w:pPr>
      <w:r>
        <w:t>6</w:t>
      </w:r>
      <w:r>
        <w:tab/>
      </w:r>
      <w:r w:rsidR="00755A88" w:rsidRPr="00755A88">
        <w:t xml:space="preserve">Subsection 1020E(11) (paragraph (d) of the definition of </w:t>
      </w:r>
      <w:r w:rsidR="00755A88" w:rsidRPr="00755A88">
        <w:rPr>
          <w:i/>
        </w:rPr>
        <w:t>defective</w:t>
      </w:r>
      <w:r w:rsidR="00755A88" w:rsidRPr="00755A88">
        <w:t xml:space="preserve">) </w:t>
      </w:r>
    </w:p>
    <w:p w14:paraId="2094B632" w14:textId="37B3C0DB" w:rsidR="00755A88" w:rsidRPr="00755A88" w:rsidRDefault="00755A88" w:rsidP="00755A88">
      <w:pPr>
        <w:spacing w:after="232" w:line="248" w:lineRule="auto"/>
        <w:ind w:left="718" w:hanging="10"/>
        <w:rPr>
          <w:rFonts w:eastAsia="Times New Roman"/>
          <w:color w:val="000000"/>
          <w:szCs w:val="22"/>
          <w:lang w:eastAsia="en-AU"/>
        </w:rPr>
      </w:pPr>
      <w:r w:rsidRPr="00755A88">
        <w:rPr>
          <w:rFonts w:eastAsia="Times New Roman"/>
          <w:color w:val="000000"/>
          <w:szCs w:val="22"/>
          <w:lang w:eastAsia="en-AU"/>
        </w:rPr>
        <w:t xml:space="preserve">Omit </w:t>
      </w:r>
      <w:r w:rsidR="00014E99">
        <w:rPr>
          <w:rFonts w:eastAsia="Times New Roman"/>
          <w:color w:val="000000"/>
          <w:szCs w:val="22"/>
          <w:lang w:eastAsia="en-AU"/>
        </w:rPr>
        <w:t>‘</w:t>
      </w:r>
      <w:r w:rsidRPr="00755A88">
        <w:rPr>
          <w:rFonts w:eastAsia="Times New Roman"/>
          <w:color w:val="000000"/>
          <w:szCs w:val="22"/>
          <w:lang w:eastAsia="en-AU"/>
        </w:rPr>
        <w:t>or information provided under section 1017BC</w:t>
      </w:r>
      <w:r w:rsidR="002A04B5">
        <w:rPr>
          <w:rFonts w:eastAsia="Times New Roman"/>
          <w:color w:val="000000"/>
          <w:szCs w:val="22"/>
          <w:lang w:eastAsia="en-AU"/>
        </w:rPr>
        <w:t>’</w:t>
      </w:r>
      <w:r w:rsidRPr="00755A88">
        <w:rPr>
          <w:rFonts w:eastAsia="Times New Roman"/>
          <w:color w:val="000000"/>
          <w:szCs w:val="22"/>
          <w:lang w:eastAsia="en-AU"/>
        </w:rPr>
        <w:t xml:space="preserve">. </w:t>
      </w:r>
    </w:p>
    <w:p w14:paraId="041E5EB5" w14:textId="77777777" w:rsidR="00755A88" w:rsidRPr="00755A88" w:rsidRDefault="00755A88" w:rsidP="008D496F">
      <w:pPr>
        <w:pStyle w:val="ActHead3"/>
      </w:pPr>
      <w:r w:rsidRPr="00755A88">
        <w:t>7</w:t>
      </w:r>
      <w:r w:rsidR="008D496F">
        <w:tab/>
      </w:r>
      <w:r w:rsidRPr="00755A88">
        <w:t xml:space="preserve">Section 1021NC </w:t>
      </w:r>
    </w:p>
    <w:p w14:paraId="1C23F543" w14:textId="77777777" w:rsidR="00755A88" w:rsidRPr="00755A88" w:rsidRDefault="00755A88" w:rsidP="00755A88">
      <w:pPr>
        <w:spacing w:after="232" w:line="248" w:lineRule="auto"/>
        <w:ind w:left="718" w:hanging="10"/>
        <w:rPr>
          <w:rFonts w:eastAsia="Times New Roman"/>
          <w:color w:val="000000"/>
          <w:szCs w:val="22"/>
          <w:lang w:eastAsia="en-AU"/>
        </w:rPr>
      </w:pPr>
      <w:r w:rsidRPr="00755A88">
        <w:rPr>
          <w:rFonts w:eastAsia="Times New Roman"/>
          <w:color w:val="000000"/>
          <w:szCs w:val="22"/>
          <w:lang w:eastAsia="en-AU"/>
        </w:rPr>
        <w:t xml:space="preserve">Repeal the section. </w:t>
      </w:r>
    </w:p>
    <w:p w14:paraId="2A84C4F6" w14:textId="77777777" w:rsidR="008D496F" w:rsidRPr="008D496F" w:rsidRDefault="008D496F" w:rsidP="008D496F">
      <w:pPr>
        <w:pStyle w:val="ActHead3"/>
        <w:rPr>
          <w:rFonts w:eastAsia="Times New Roman"/>
          <w:sz w:val="22"/>
        </w:rPr>
      </w:pPr>
      <w:r>
        <w:t>8</w:t>
      </w:r>
      <w:r>
        <w:tab/>
        <w:t>Subparagraph 1022B(1)(g)(iii)</w:t>
      </w:r>
    </w:p>
    <w:p w14:paraId="4284DEFE" w14:textId="6E7AF607" w:rsidR="00755A88" w:rsidRPr="008D496F" w:rsidRDefault="00755A88" w:rsidP="00CA7E4B">
      <w:pPr>
        <w:ind w:left="709"/>
      </w:pPr>
      <w:r w:rsidRPr="008D496F">
        <w:t xml:space="preserve">Omit </w:t>
      </w:r>
      <w:r w:rsidR="002A04B5">
        <w:t>‘</w:t>
      </w:r>
      <w:r w:rsidRPr="008D496F">
        <w:t>or</w:t>
      </w:r>
      <w:r w:rsidR="002A04B5">
        <w:t>’</w:t>
      </w:r>
      <w:r w:rsidRPr="008D496F">
        <w:t xml:space="preserve">. </w:t>
      </w:r>
    </w:p>
    <w:p w14:paraId="7E6B9701" w14:textId="77777777" w:rsidR="00755A88" w:rsidRPr="00755A88" w:rsidRDefault="008D496F" w:rsidP="008D496F">
      <w:pPr>
        <w:pStyle w:val="ActHead3"/>
        <w:rPr>
          <w:rFonts w:eastAsia="Times New Roman"/>
        </w:rPr>
      </w:pPr>
      <w:r>
        <w:t>9</w:t>
      </w:r>
      <w:r>
        <w:tab/>
      </w:r>
      <w:r w:rsidR="00755A88" w:rsidRPr="00755A88">
        <w:t xml:space="preserve">Paragraph 1022B(1)(h) </w:t>
      </w:r>
    </w:p>
    <w:p w14:paraId="008CEE50" w14:textId="77777777" w:rsidR="00755A88" w:rsidRPr="00755A88" w:rsidRDefault="00755A88" w:rsidP="00755A88">
      <w:pPr>
        <w:spacing w:after="232" w:line="248" w:lineRule="auto"/>
        <w:ind w:left="718" w:hanging="10"/>
        <w:rPr>
          <w:rFonts w:eastAsia="Times New Roman"/>
          <w:color w:val="000000"/>
          <w:szCs w:val="22"/>
          <w:lang w:eastAsia="en-AU"/>
        </w:rPr>
      </w:pPr>
      <w:r w:rsidRPr="00755A88">
        <w:rPr>
          <w:rFonts w:eastAsia="Times New Roman"/>
          <w:color w:val="000000"/>
          <w:szCs w:val="22"/>
          <w:lang w:eastAsia="en-AU"/>
        </w:rPr>
        <w:t xml:space="preserve">Repeal the paragraph. </w:t>
      </w:r>
    </w:p>
    <w:p w14:paraId="399F2A96" w14:textId="77777777" w:rsidR="00755A88" w:rsidRPr="00755A88" w:rsidRDefault="008D496F" w:rsidP="008D496F">
      <w:pPr>
        <w:pStyle w:val="ActHead3"/>
        <w:rPr>
          <w:rFonts w:eastAsia="Times New Roman"/>
        </w:rPr>
      </w:pPr>
      <w:r>
        <w:t>10</w:t>
      </w:r>
      <w:r>
        <w:tab/>
      </w:r>
      <w:r w:rsidR="00755A88" w:rsidRPr="00755A88">
        <w:t xml:space="preserve">Subparagraph 1041H(3)(a)(iii) </w:t>
      </w:r>
    </w:p>
    <w:p w14:paraId="2A3186D3" w14:textId="54B191E7" w:rsidR="00755A88" w:rsidRPr="00755A88" w:rsidRDefault="00755A88" w:rsidP="00755A88">
      <w:pPr>
        <w:spacing w:after="232" w:line="248" w:lineRule="auto"/>
        <w:ind w:left="718" w:hanging="10"/>
        <w:rPr>
          <w:rFonts w:eastAsia="Times New Roman"/>
          <w:color w:val="000000"/>
          <w:szCs w:val="22"/>
          <w:lang w:eastAsia="en-AU"/>
        </w:rPr>
      </w:pPr>
      <w:r w:rsidRPr="00755A88">
        <w:rPr>
          <w:rFonts w:eastAsia="Times New Roman"/>
          <w:color w:val="000000"/>
          <w:szCs w:val="22"/>
          <w:lang w:eastAsia="en-AU"/>
        </w:rPr>
        <w:t xml:space="preserve">Omit </w:t>
      </w:r>
      <w:r w:rsidR="002A04B5">
        <w:rPr>
          <w:rFonts w:eastAsia="Times New Roman"/>
          <w:color w:val="000000"/>
          <w:szCs w:val="22"/>
          <w:lang w:eastAsia="en-AU"/>
        </w:rPr>
        <w:t>‘</w:t>
      </w:r>
      <w:r w:rsidRPr="00755A88">
        <w:rPr>
          <w:rFonts w:eastAsia="Times New Roman"/>
          <w:color w:val="000000"/>
          <w:szCs w:val="22"/>
          <w:lang w:eastAsia="en-AU"/>
        </w:rPr>
        <w:t>, 1021NB or 1021NC</w:t>
      </w:r>
      <w:r w:rsidR="002A04B5">
        <w:rPr>
          <w:rFonts w:eastAsia="Times New Roman"/>
          <w:color w:val="000000"/>
          <w:szCs w:val="22"/>
          <w:lang w:eastAsia="en-AU"/>
        </w:rPr>
        <w:t>’</w:t>
      </w:r>
      <w:r w:rsidRPr="00755A88">
        <w:rPr>
          <w:rFonts w:eastAsia="Times New Roman"/>
          <w:color w:val="000000"/>
          <w:szCs w:val="22"/>
          <w:lang w:eastAsia="en-AU"/>
        </w:rPr>
        <w:t xml:space="preserve">, substitute </w:t>
      </w:r>
      <w:r w:rsidR="002A04B5">
        <w:rPr>
          <w:rFonts w:eastAsia="Times New Roman"/>
          <w:color w:val="000000"/>
          <w:szCs w:val="22"/>
          <w:lang w:eastAsia="en-AU"/>
        </w:rPr>
        <w:t>‘</w:t>
      </w:r>
      <w:r w:rsidRPr="00755A88">
        <w:rPr>
          <w:rFonts w:eastAsia="Times New Roman"/>
          <w:color w:val="000000"/>
          <w:szCs w:val="22"/>
          <w:lang w:eastAsia="en-AU"/>
        </w:rPr>
        <w:t>or 1021NB</w:t>
      </w:r>
      <w:r w:rsidR="002A04B5">
        <w:rPr>
          <w:rFonts w:eastAsia="Times New Roman"/>
          <w:color w:val="000000"/>
          <w:szCs w:val="22"/>
          <w:lang w:eastAsia="en-AU"/>
        </w:rPr>
        <w:t>’</w:t>
      </w:r>
      <w:r w:rsidRPr="00755A88">
        <w:rPr>
          <w:rFonts w:eastAsia="Times New Roman"/>
          <w:color w:val="000000"/>
          <w:szCs w:val="22"/>
          <w:lang w:eastAsia="en-AU"/>
        </w:rPr>
        <w:t xml:space="preserve">. </w:t>
      </w:r>
    </w:p>
    <w:p w14:paraId="490E12C9" w14:textId="77777777" w:rsidR="00755A88" w:rsidRPr="00755A88" w:rsidRDefault="00755A88" w:rsidP="008D496F">
      <w:pPr>
        <w:pStyle w:val="ActHead3"/>
      </w:pPr>
      <w:r w:rsidRPr="00755A88">
        <w:t>11</w:t>
      </w:r>
      <w:r w:rsidR="008D496F">
        <w:tab/>
      </w:r>
      <w:r w:rsidRPr="00755A88">
        <w:t xml:space="preserve">Subparagraph 1041K(1)(a)(iii) </w:t>
      </w:r>
    </w:p>
    <w:p w14:paraId="3BF38375" w14:textId="15DD7447" w:rsidR="00755A88" w:rsidRPr="00755A88" w:rsidRDefault="00755A88" w:rsidP="004930C3">
      <w:pPr>
        <w:spacing w:after="232" w:line="248" w:lineRule="auto"/>
        <w:ind w:left="718" w:hanging="10"/>
        <w:rPr>
          <w:rFonts w:eastAsia="Times New Roman"/>
          <w:color w:val="000000"/>
          <w:szCs w:val="22"/>
          <w:lang w:eastAsia="en-AU"/>
        </w:rPr>
      </w:pPr>
      <w:r w:rsidRPr="00755A88">
        <w:rPr>
          <w:rFonts w:eastAsia="Times New Roman"/>
          <w:color w:val="000000"/>
          <w:szCs w:val="22"/>
          <w:lang w:eastAsia="en-AU"/>
        </w:rPr>
        <w:t xml:space="preserve">Omit </w:t>
      </w:r>
      <w:r w:rsidR="002A04B5">
        <w:rPr>
          <w:rFonts w:eastAsia="Times New Roman"/>
          <w:color w:val="000000"/>
          <w:szCs w:val="22"/>
          <w:lang w:eastAsia="en-AU"/>
        </w:rPr>
        <w:t>‘</w:t>
      </w:r>
      <w:r w:rsidRPr="00755A88">
        <w:rPr>
          <w:rFonts w:eastAsia="Times New Roman"/>
          <w:color w:val="000000"/>
          <w:szCs w:val="22"/>
          <w:lang w:eastAsia="en-AU"/>
        </w:rPr>
        <w:t>, 1021NB or 1021NC</w:t>
      </w:r>
      <w:r w:rsidR="002A04B5">
        <w:rPr>
          <w:rFonts w:eastAsia="Times New Roman"/>
          <w:color w:val="000000"/>
          <w:szCs w:val="22"/>
          <w:lang w:eastAsia="en-AU"/>
        </w:rPr>
        <w:t>’</w:t>
      </w:r>
      <w:r w:rsidRPr="00755A88">
        <w:rPr>
          <w:rFonts w:eastAsia="Times New Roman"/>
          <w:color w:val="000000"/>
          <w:szCs w:val="22"/>
          <w:lang w:eastAsia="en-AU"/>
        </w:rPr>
        <w:t xml:space="preserve">, substitute </w:t>
      </w:r>
      <w:r w:rsidR="002A04B5">
        <w:rPr>
          <w:rFonts w:eastAsia="Times New Roman"/>
          <w:color w:val="000000"/>
          <w:szCs w:val="22"/>
          <w:lang w:eastAsia="en-AU"/>
        </w:rPr>
        <w:t>‘</w:t>
      </w:r>
      <w:r w:rsidRPr="00755A88">
        <w:rPr>
          <w:rFonts w:eastAsia="Times New Roman"/>
          <w:color w:val="000000"/>
          <w:szCs w:val="22"/>
          <w:lang w:eastAsia="en-AU"/>
        </w:rPr>
        <w:t>or 1021NB</w:t>
      </w:r>
      <w:r w:rsidR="002A04B5">
        <w:rPr>
          <w:rFonts w:eastAsia="Times New Roman"/>
          <w:color w:val="000000"/>
          <w:szCs w:val="22"/>
          <w:lang w:eastAsia="en-AU"/>
        </w:rPr>
        <w:t>’</w:t>
      </w:r>
      <w:r w:rsidRPr="00755A88">
        <w:rPr>
          <w:rFonts w:eastAsia="Times New Roman"/>
          <w:color w:val="000000"/>
          <w:szCs w:val="22"/>
          <w:lang w:eastAsia="en-AU"/>
        </w:rPr>
        <w:t xml:space="preserve">. </w:t>
      </w:r>
    </w:p>
    <w:p w14:paraId="08070290" w14:textId="77777777" w:rsidR="00755A88" w:rsidRPr="00755A88" w:rsidRDefault="008D496F" w:rsidP="008D496F">
      <w:pPr>
        <w:pStyle w:val="ActHead3"/>
        <w:rPr>
          <w:rFonts w:eastAsia="Times New Roman"/>
        </w:rPr>
      </w:pPr>
      <w:r>
        <w:t>12</w:t>
      </w:r>
      <w:r>
        <w:tab/>
      </w:r>
      <w:r w:rsidR="00755A88" w:rsidRPr="00755A88">
        <w:t xml:space="preserve">Schedule 3 (table items 308AG, 308AH and 308AI) </w:t>
      </w:r>
    </w:p>
    <w:p w14:paraId="0FFA06BD" w14:textId="77777777" w:rsidR="00755A88" w:rsidRPr="00755A88" w:rsidRDefault="00755A88" w:rsidP="00755A88">
      <w:pPr>
        <w:spacing w:after="232" w:line="248" w:lineRule="auto"/>
        <w:ind w:left="718" w:hanging="10"/>
        <w:rPr>
          <w:rFonts w:eastAsia="Times New Roman"/>
          <w:color w:val="000000"/>
          <w:szCs w:val="22"/>
          <w:lang w:eastAsia="en-AU"/>
        </w:rPr>
      </w:pPr>
      <w:r w:rsidRPr="00755A88">
        <w:rPr>
          <w:rFonts w:eastAsia="Times New Roman"/>
          <w:color w:val="000000"/>
          <w:szCs w:val="22"/>
          <w:lang w:eastAsia="en-AU"/>
        </w:rPr>
        <w:t xml:space="preserve">Repeal the items. </w:t>
      </w:r>
    </w:p>
    <w:p w14:paraId="05E12B86" w14:textId="77777777" w:rsidR="00755A88" w:rsidRPr="00755A88" w:rsidRDefault="008D496F" w:rsidP="008D496F">
      <w:pPr>
        <w:pStyle w:val="ActHead3"/>
        <w:rPr>
          <w:rFonts w:eastAsia="Times New Roman"/>
        </w:rPr>
      </w:pPr>
      <w:r>
        <w:t>13</w:t>
      </w:r>
      <w:r>
        <w:tab/>
      </w:r>
      <w:r w:rsidR="00755A88" w:rsidRPr="00755A88">
        <w:t xml:space="preserve">Section 1540 </w:t>
      </w:r>
    </w:p>
    <w:p w14:paraId="2A4F6343" w14:textId="34F7F953" w:rsidR="00755A88" w:rsidRPr="00755A88" w:rsidRDefault="00755A88" w:rsidP="00755A88">
      <w:pPr>
        <w:spacing w:after="232" w:line="248" w:lineRule="auto"/>
        <w:ind w:left="718" w:hanging="10"/>
        <w:rPr>
          <w:rFonts w:eastAsia="Times New Roman"/>
          <w:color w:val="000000"/>
          <w:szCs w:val="22"/>
          <w:lang w:eastAsia="en-AU"/>
        </w:rPr>
      </w:pPr>
      <w:r w:rsidRPr="00755A88">
        <w:rPr>
          <w:rFonts w:eastAsia="Times New Roman"/>
          <w:color w:val="000000"/>
          <w:szCs w:val="22"/>
          <w:lang w:eastAsia="en-AU"/>
        </w:rPr>
        <w:t xml:space="preserve">Omit </w:t>
      </w:r>
      <w:r w:rsidR="002A04B5">
        <w:rPr>
          <w:rFonts w:eastAsia="Times New Roman"/>
          <w:color w:val="000000"/>
          <w:szCs w:val="22"/>
          <w:lang w:eastAsia="en-AU"/>
        </w:rPr>
        <w:t>‘</w:t>
      </w:r>
      <w:r w:rsidRPr="00755A88">
        <w:rPr>
          <w:rFonts w:eastAsia="Times New Roman"/>
          <w:color w:val="000000"/>
          <w:szCs w:val="22"/>
          <w:lang w:eastAsia="en-AU"/>
        </w:rPr>
        <w:t>30 June 2014</w:t>
      </w:r>
      <w:r w:rsidR="002A04B5">
        <w:rPr>
          <w:rFonts w:eastAsia="Times New Roman"/>
          <w:color w:val="000000"/>
          <w:szCs w:val="22"/>
          <w:lang w:eastAsia="en-AU"/>
        </w:rPr>
        <w:t>’</w:t>
      </w:r>
      <w:r w:rsidRPr="00755A88">
        <w:rPr>
          <w:rFonts w:eastAsia="Times New Roman"/>
          <w:color w:val="000000"/>
          <w:szCs w:val="22"/>
          <w:lang w:eastAsia="en-AU"/>
        </w:rPr>
        <w:t xml:space="preserve">, substitute </w:t>
      </w:r>
      <w:r w:rsidR="002A04B5">
        <w:rPr>
          <w:rFonts w:eastAsia="Times New Roman"/>
          <w:color w:val="000000"/>
          <w:szCs w:val="22"/>
          <w:lang w:eastAsia="en-AU"/>
        </w:rPr>
        <w:t>‘</w:t>
      </w:r>
      <w:r w:rsidRPr="00755A88">
        <w:rPr>
          <w:rFonts w:eastAsia="Times New Roman"/>
          <w:color w:val="000000"/>
          <w:szCs w:val="22"/>
          <w:lang w:eastAsia="en-AU"/>
        </w:rPr>
        <w:t>31 December 2016</w:t>
      </w:r>
      <w:r w:rsidR="002A04B5">
        <w:rPr>
          <w:rFonts w:eastAsia="Times New Roman"/>
          <w:color w:val="000000"/>
          <w:szCs w:val="22"/>
          <w:lang w:eastAsia="en-AU"/>
        </w:rPr>
        <w:t>’</w:t>
      </w:r>
      <w:r w:rsidRPr="00755A88">
        <w:rPr>
          <w:rFonts w:eastAsia="Times New Roman"/>
          <w:color w:val="000000"/>
          <w:szCs w:val="22"/>
          <w:lang w:eastAsia="en-AU"/>
        </w:rPr>
        <w:t xml:space="preserve">. </w:t>
      </w:r>
    </w:p>
    <w:p w14:paraId="429FC1EE" w14:textId="77777777" w:rsidR="00755A88" w:rsidRPr="00755A88" w:rsidRDefault="00755A88" w:rsidP="008D496F">
      <w:pPr>
        <w:pStyle w:val="ActHead3"/>
      </w:pPr>
      <w:r w:rsidRPr="00755A88">
        <w:t>14</w:t>
      </w:r>
      <w:r w:rsidR="008D496F">
        <w:tab/>
      </w:r>
      <w:r w:rsidRPr="00755A88">
        <w:t xml:space="preserve">Section 1541 </w:t>
      </w:r>
    </w:p>
    <w:p w14:paraId="05DF90F8" w14:textId="77777777" w:rsidR="00755A88" w:rsidRPr="00755A88" w:rsidRDefault="00755A88" w:rsidP="00755A88">
      <w:pPr>
        <w:spacing w:after="232" w:line="248" w:lineRule="auto"/>
        <w:ind w:left="718" w:hanging="10"/>
        <w:rPr>
          <w:rFonts w:eastAsia="Times New Roman"/>
          <w:color w:val="000000"/>
          <w:szCs w:val="22"/>
          <w:lang w:eastAsia="en-AU"/>
        </w:rPr>
      </w:pPr>
      <w:r w:rsidRPr="00755A88">
        <w:rPr>
          <w:rFonts w:eastAsia="Times New Roman"/>
          <w:color w:val="000000"/>
          <w:szCs w:val="22"/>
          <w:lang w:eastAsia="en-AU"/>
        </w:rPr>
        <w:t xml:space="preserve">Repeal the section. </w:t>
      </w:r>
    </w:p>
    <w:p w14:paraId="6CC934D6" w14:textId="21F3F2B3" w:rsidR="00755A88" w:rsidRPr="00755A88" w:rsidRDefault="00755A88" w:rsidP="0074713C">
      <w:pPr>
        <w:pStyle w:val="ActHead3"/>
        <w:rPr>
          <w:rFonts w:eastAsia="Times New Roman"/>
        </w:rPr>
      </w:pPr>
      <w:r w:rsidRPr="00755A88">
        <w:t>15</w:t>
      </w:r>
      <w:r w:rsidR="008D496F">
        <w:tab/>
      </w:r>
      <w:r w:rsidRPr="00755A88">
        <w:t xml:space="preserve">At the end of Chapter 10 </w:t>
      </w:r>
      <w:r w:rsidRPr="00755A88">
        <w:rPr>
          <w:rFonts w:eastAsia="Times New Roman"/>
        </w:rPr>
        <w:t xml:space="preserve">Add: </w:t>
      </w:r>
    </w:p>
    <w:p w14:paraId="7DFCDF2A" w14:textId="77777777" w:rsidR="008D496F" w:rsidRDefault="008D496F" w:rsidP="0074713C">
      <w:pPr>
        <w:keepNext/>
        <w:keepLines/>
        <w:rPr>
          <w:lang w:eastAsia="en-AU"/>
        </w:rPr>
      </w:pPr>
    </w:p>
    <w:p w14:paraId="690A3DF9" w14:textId="77777777" w:rsidR="00755A88" w:rsidRPr="0074713C" w:rsidRDefault="00755A88" w:rsidP="0074713C">
      <w:pPr>
        <w:keepNext/>
        <w:keepLines/>
        <w:spacing w:after="1" w:line="240" w:lineRule="auto"/>
        <w:ind w:left="1128" w:hanging="1143"/>
        <w:rPr>
          <w:rFonts w:eastAsia="Times New Roman"/>
          <w:i/>
          <w:color w:val="000000"/>
          <w:szCs w:val="22"/>
          <w:lang w:eastAsia="en-AU"/>
        </w:rPr>
      </w:pPr>
      <w:r w:rsidRPr="00755A88">
        <w:rPr>
          <w:rFonts w:eastAsia="Times New Roman"/>
          <w:b/>
          <w:color w:val="000000"/>
          <w:sz w:val="32"/>
          <w:szCs w:val="22"/>
          <w:lang w:eastAsia="en-AU"/>
        </w:rPr>
        <w:t xml:space="preserve">Part 10.25—Transitional provisions relating to the </w:t>
      </w:r>
      <w:r w:rsidRPr="0074713C">
        <w:rPr>
          <w:rFonts w:eastAsia="Times New Roman"/>
          <w:b/>
          <w:i/>
          <w:color w:val="000000"/>
          <w:sz w:val="32"/>
          <w:szCs w:val="22"/>
          <w:lang w:eastAsia="en-AU"/>
        </w:rPr>
        <w:t xml:space="preserve">Superannuation Legislation Amendment </w:t>
      </w:r>
    </w:p>
    <w:p w14:paraId="48F87311" w14:textId="16B48BA9" w:rsidR="00755A88" w:rsidRPr="0074713C" w:rsidRDefault="00755A88" w:rsidP="0074713C">
      <w:pPr>
        <w:keepNext/>
        <w:keepLines/>
        <w:spacing w:after="1" w:line="240" w:lineRule="auto"/>
        <w:ind w:left="1133"/>
        <w:rPr>
          <w:rFonts w:eastAsia="Times New Roman"/>
          <w:i/>
          <w:color w:val="000000"/>
          <w:szCs w:val="22"/>
          <w:lang w:eastAsia="en-AU"/>
        </w:rPr>
      </w:pPr>
      <w:r w:rsidRPr="0074713C">
        <w:rPr>
          <w:rFonts w:eastAsia="Times New Roman"/>
          <w:b/>
          <w:i/>
          <w:color w:val="000000"/>
          <w:sz w:val="32"/>
          <w:szCs w:val="22"/>
          <w:lang w:eastAsia="en-AU"/>
        </w:rPr>
        <w:t>(Governance and Transpar</w:t>
      </w:r>
      <w:r w:rsidR="0074713C">
        <w:rPr>
          <w:rFonts w:eastAsia="Times New Roman"/>
          <w:b/>
          <w:i/>
          <w:color w:val="000000"/>
          <w:sz w:val="32"/>
          <w:szCs w:val="22"/>
          <w:lang w:eastAsia="en-AU"/>
        </w:rPr>
        <w:t>ency Measures) Act </w:t>
      </w:r>
      <w:r w:rsidR="008D496F" w:rsidRPr="0074713C">
        <w:rPr>
          <w:rFonts w:eastAsia="Times New Roman"/>
          <w:b/>
          <w:i/>
          <w:color w:val="000000"/>
          <w:sz w:val="32"/>
          <w:szCs w:val="22"/>
          <w:lang w:eastAsia="en-AU"/>
        </w:rPr>
        <w:t>2015</w:t>
      </w:r>
    </w:p>
    <w:p w14:paraId="7E632572" w14:textId="77777777" w:rsidR="008D496F" w:rsidRDefault="008D496F" w:rsidP="0074713C">
      <w:pPr>
        <w:keepNext/>
        <w:keepLines/>
        <w:spacing w:after="158" w:line="238" w:lineRule="auto"/>
        <w:ind w:left="1133" w:hanging="1133"/>
        <w:rPr>
          <w:rFonts w:eastAsia="Times New Roman"/>
          <w:b/>
          <w:color w:val="000000"/>
          <w:sz w:val="24"/>
          <w:szCs w:val="22"/>
          <w:lang w:eastAsia="en-AU"/>
        </w:rPr>
      </w:pPr>
    </w:p>
    <w:p w14:paraId="3CA07130" w14:textId="77777777" w:rsidR="00755A88" w:rsidRPr="00755A88" w:rsidRDefault="00755A88" w:rsidP="0074713C">
      <w:pPr>
        <w:keepNext/>
        <w:keepLines/>
        <w:spacing w:after="158" w:line="238" w:lineRule="auto"/>
        <w:ind w:left="1133" w:hanging="1133"/>
        <w:rPr>
          <w:rFonts w:eastAsia="Times New Roman"/>
          <w:color w:val="000000"/>
          <w:szCs w:val="22"/>
          <w:lang w:eastAsia="en-AU"/>
        </w:rPr>
      </w:pPr>
      <w:r w:rsidRPr="00755A88">
        <w:rPr>
          <w:rFonts w:eastAsia="Times New Roman"/>
          <w:b/>
          <w:color w:val="000000"/>
          <w:sz w:val="24"/>
          <w:szCs w:val="22"/>
          <w:lang w:eastAsia="en-AU"/>
        </w:rPr>
        <w:t xml:space="preserve">1550  Application of amendments relating to portfolio holdings disclosure </w:t>
      </w:r>
    </w:p>
    <w:p w14:paraId="467B7812" w14:textId="6C930C5F" w:rsidR="004930C3" w:rsidRDefault="00755A88" w:rsidP="002A04B5">
      <w:pPr>
        <w:tabs>
          <w:tab w:val="center" w:pos="3877"/>
        </w:tabs>
        <w:spacing w:after="10" w:line="248" w:lineRule="auto"/>
        <w:ind w:left="709"/>
        <w:rPr>
          <w:rFonts w:eastAsia="Times New Roman"/>
          <w:color w:val="000000"/>
          <w:szCs w:val="22"/>
          <w:lang w:eastAsia="en-AU"/>
        </w:rPr>
      </w:pPr>
      <w:r w:rsidRPr="00755A88">
        <w:rPr>
          <w:rFonts w:eastAsia="Times New Roman"/>
          <w:color w:val="000000"/>
          <w:szCs w:val="22"/>
          <w:lang w:eastAsia="en-AU"/>
        </w:rPr>
        <w:t xml:space="preserve">The amendments of section 1017BB made by Schedule # to the </w:t>
      </w:r>
      <w:r w:rsidRPr="00755A88">
        <w:rPr>
          <w:rFonts w:eastAsia="Times New Roman"/>
          <w:i/>
          <w:color w:val="000000"/>
          <w:szCs w:val="22"/>
          <w:lang w:eastAsia="en-AU"/>
        </w:rPr>
        <w:t>Superannuation Legislation Amendment (Transparency Measures) Act 2015</w:t>
      </w:r>
      <w:r w:rsidRPr="00755A88">
        <w:rPr>
          <w:rFonts w:eastAsia="Times New Roman"/>
          <w:color w:val="000000"/>
          <w:szCs w:val="22"/>
          <w:lang w:eastAsia="en-AU"/>
        </w:rPr>
        <w:t xml:space="preserve"> apply in relation to the reporting day that is 31 December 2016 and to later reporting days. </w:t>
      </w:r>
    </w:p>
    <w:p w14:paraId="09BA1C97" w14:textId="10876962" w:rsidR="00431A9F" w:rsidRPr="00431A9F" w:rsidRDefault="00431A9F" w:rsidP="0074713C">
      <w:pPr>
        <w:spacing w:line="240" w:lineRule="auto"/>
        <w:rPr>
          <w:rFonts w:eastAsia="Times New Roman"/>
          <w:color w:val="000000"/>
          <w:szCs w:val="22"/>
          <w:lang w:eastAsia="en-AU"/>
        </w:rPr>
      </w:pPr>
    </w:p>
    <w:sectPr w:rsidR="00431A9F" w:rsidRPr="00431A9F" w:rsidSect="0074713C">
      <w:headerReference w:type="even" r:id="rId17"/>
      <w:headerReference w:type="default" r:id="rId18"/>
      <w:footerReference w:type="default" r:id="rId19"/>
      <w:headerReference w:type="first" r:id="rId20"/>
      <w:footerReference w:type="first" r:id="rId21"/>
      <w:type w:val="oddPage"/>
      <w:pgSz w:w="11906" w:h="16838" w:code="277"/>
      <w:pgMar w:top="2466" w:right="2098" w:bottom="2466" w:left="2098" w:header="1899" w:footer="189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C9B08A" w14:textId="77777777" w:rsidR="00C44F9B" w:rsidRDefault="00C44F9B" w:rsidP="00664C63">
      <w:pPr>
        <w:spacing w:line="240" w:lineRule="auto"/>
      </w:pPr>
      <w:r>
        <w:separator/>
      </w:r>
    </w:p>
  </w:endnote>
  <w:endnote w:type="continuationSeparator" w:id="0">
    <w:p w14:paraId="5290D85D" w14:textId="77777777" w:rsidR="00C44F9B" w:rsidRDefault="00C44F9B" w:rsidP="00664C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Regular r:id="rId1" w:subsetted="1" w:fontKey="{199EA9C4-545A-43E0-B793-0F21968E7A3F}"/>
    <w:embedBold r:id="rId2" w:subsetted="1" w:fontKey="{07CC6DE7-1A6B-4178-BBC7-CB3D476F919D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CD1591" w14:textId="77777777" w:rsidR="00CA7E4B" w:rsidRDefault="00CA7E4B" w:rsidP="00CA7E4B">
    <w:pPr>
      <w:pStyle w:val="Footer"/>
      <w:pBdr>
        <w:top w:val="single" w:sz="4" w:space="1" w:color="auto"/>
      </w:pBdr>
      <w:rPr>
        <w:rFonts w:eastAsia="Arial"/>
      </w:rPr>
    </w:pPr>
  </w:p>
  <w:p w14:paraId="0CC12CE7" w14:textId="77777777" w:rsidR="00CA7E4B" w:rsidRDefault="00CA7E4B" w:rsidP="00CA7E4B">
    <w:pPr>
      <w:pStyle w:val="Footer"/>
      <w:rPr>
        <w:rFonts w:eastAsia="Arial"/>
      </w:rPr>
    </w:pPr>
    <w:r>
      <w:rPr>
        <w:rFonts w:eastAsia="Arial"/>
      </w:rPr>
      <w:fldChar w:fldCharType="begin"/>
    </w:r>
    <w:r>
      <w:rPr>
        <w:rFonts w:eastAsia="Arial"/>
      </w:rPr>
      <w:instrText xml:space="preserve"> PAGE   \* MERGEFORMAT </w:instrText>
    </w:r>
    <w:r>
      <w:rPr>
        <w:rFonts w:eastAsia="Arial"/>
      </w:rPr>
      <w:fldChar w:fldCharType="separate"/>
    </w:r>
    <w:r>
      <w:rPr>
        <w:rFonts w:eastAsia="Arial"/>
        <w:noProof/>
      </w:rPr>
      <w:t>2</w:t>
    </w:r>
    <w:r>
      <w:rPr>
        <w:rFonts w:eastAsia="Arial"/>
      </w:rPr>
      <w:fldChar w:fldCharType="end"/>
    </w:r>
  </w:p>
  <w:p w14:paraId="69E4497F" w14:textId="77777777" w:rsidR="00CA7E4B" w:rsidRDefault="00CA7E4B" w:rsidP="00CA7E4B">
    <w:pPr>
      <w:spacing w:after="40" w:line="259" w:lineRule="auto"/>
      <w:ind w:left="889"/>
      <w:jc w:val="center"/>
      <w:rPr>
        <w:rFonts w:ascii="Arial" w:eastAsia="Arial" w:hAnsi="Arial" w:cs="Arial"/>
        <w:b/>
        <w:sz w:val="40"/>
      </w:rPr>
    </w:pPr>
  </w:p>
  <w:p w14:paraId="75E47416" w14:textId="77777777" w:rsidR="00CA7E4B" w:rsidRDefault="00CA7E4B" w:rsidP="00CA7E4B">
    <w:pPr>
      <w:spacing w:after="40" w:line="259" w:lineRule="auto"/>
      <w:ind w:left="889"/>
      <w:jc w:val="center"/>
      <w:rPr>
        <w:rFonts w:ascii="Arial" w:eastAsia="Arial" w:hAnsi="Arial" w:cs="Arial"/>
        <w:b/>
        <w:sz w:val="40"/>
      </w:rPr>
    </w:pPr>
  </w:p>
  <w:p w14:paraId="58465FDC" w14:textId="77777777" w:rsidR="00CA7E4B" w:rsidRDefault="00CA7E4B" w:rsidP="00CA7E4B">
    <w:pPr>
      <w:spacing w:after="40" w:line="259" w:lineRule="auto"/>
      <w:ind w:left="889"/>
      <w:jc w:val="center"/>
      <w:rPr>
        <w:rFonts w:ascii="Arial" w:eastAsia="Arial" w:hAnsi="Arial" w:cs="Arial"/>
        <w:b/>
        <w:sz w:val="40"/>
      </w:rPr>
    </w:pPr>
  </w:p>
  <w:p w14:paraId="1ED85C1B" w14:textId="77777777" w:rsidR="00CA7E4B" w:rsidRDefault="00CA7E4B" w:rsidP="00CA7E4B">
    <w:pPr>
      <w:spacing w:after="40" w:line="259" w:lineRule="auto"/>
      <w:ind w:left="889"/>
      <w:jc w:val="center"/>
    </w:pPr>
    <w:r>
      <w:rPr>
        <w:rFonts w:ascii="Arial" w:eastAsia="Arial" w:hAnsi="Arial" w:cs="Arial"/>
        <w:b/>
        <w:sz w:val="40"/>
      </w:rPr>
      <w:t xml:space="preserve"> </w:t>
    </w:r>
  </w:p>
  <w:p w14:paraId="1F9D2FCB" w14:textId="248148EE" w:rsidR="00755A88" w:rsidRPr="00CA7E4B" w:rsidRDefault="00CA7E4B" w:rsidP="00CA7E4B">
    <w:pPr>
      <w:spacing w:line="259" w:lineRule="auto"/>
      <w:ind w:left="778"/>
      <w:jc w:val="center"/>
    </w:pPr>
    <w:r>
      <w:rPr>
        <w:rFonts w:ascii="Arial" w:eastAsia="Arial" w:hAnsi="Arial" w:cs="Arial"/>
        <w:b/>
        <w:sz w:val="40"/>
      </w:rPr>
      <w:t xml:space="preserve">EXPOSURE DRAFT </w:t>
    </w:r>
    <w:r w:rsidR="00755A88" w:rsidRPr="00CA7E4B"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E46F92" w14:textId="77777777" w:rsidR="00CA7E4B" w:rsidRDefault="00CA7E4B" w:rsidP="00CA7E4B">
    <w:pPr>
      <w:pStyle w:val="Footer"/>
      <w:pBdr>
        <w:top w:val="single" w:sz="4" w:space="1" w:color="auto"/>
      </w:pBdr>
      <w:rPr>
        <w:rFonts w:eastAsia="Arial"/>
      </w:rPr>
    </w:pPr>
  </w:p>
  <w:p w14:paraId="141B8473" w14:textId="0E0C3CC4" w:rsidR="00CA7E4B" w:rsidRPr="00014E99" w:rsidRDefault="00CA7E4B" w:rsidP="00014E99">
    <w:pPr>
      <w:pStyle w:val="Footer"/>
      <w:jc w:val="right"/>
      <w:rPr>
        <w:rFonts w:eastAsia="Arial"/>
      </w:rPr>
    </w:pPr>
    <w:r>
      <w:rPr>
        <w:rFonts w:eastAsia="Arial"/>
      </w:rPr>
      <w:fldChar w:fldCharType="begin"/>
    </w:r>
    <w:r>
      <w:rPr>
        <w:rFonts w:eastAsia="Arial"/>
      </w:rPr>
      <w:instrText xml:space="preserve"> PAGE   \* MERGEFORMAT </w:instrText>
    </w:r>
    <w:r>
      <w:rPr>
        <w:rFonts w:eastAsia="Arial"/>
      </w:rPr>
      <w:fldChar w:fldCharType="separate"/>
    </w:r>
    <w:r w:rsidR="00127C2D">
      <w:rPr>
        <w:rFonts w:eastAsia="Arial"/>
        <w:noProof/>
      </w:rPr>
      <w:t>5</w:t>
    </w:r>
    <w:r>
      <w:rPr>
        <w:rFonts w:eastAsia="Arial"/>
      </w:rPr>
      <w:fldChar w:fldCharType="end"/>
    </w:r>
  </w:p>
  <w:p w14:paraId="53E8D32A" w14:textId="1E3A3E74" w:rsidR="00755A88" w:rsidRPr="00CA7E4B" w:rsidRDefault="00CA7E4B" w:rsidP="00CA7E4B">
    <w:pPr>
      <w:spacing w:line="259" w:lineRule="auto"/>
      <w:ind w:left="778"/>
      <w:jc w:val="center"/>
    </w:pPr>
    <w:r>
      <w:rPr>
        <w:rFonts w:ascii="Arial" w:eastAsia="Arial" w:hAnsi="Arial" w:cs="Arial"/>
        <w:b/>
        <w:sz w:val="40"/>
      </w:rPr>
      <w:t xml:space="preserve">EXPOSURE DRAFT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FA3A7D" w14:textId="77777777" w:rsidR="00755A88" w:rsidRDefault="00755A88">
    <w:pPr>
      <w:spacing w:line="259" w:lineRule="auto"/>
      <w:ind w:left="778"/>
      <w:jc w:val="center"/>
    </w:pPr>
    <w:r>
      <w:rPr>
        <w:rFonts w:ascii="Arial" w:eastAsia="Arial" w:hAnsi="Arial" w:cs="Arial"/>
        <w:b/>
        <w:sz w:val="40"/>
      </w:rPr>
      <w:t xml:space="preserve">EXPOSURE DRAFT 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E7E5B4" w14:textId="77777777" w:rsidR="00CA7E4B" w:rsidRDefault="00CA7E4B" w:rsidP="00CA7E4B">
    <w:pPr>
      <w:pStyle w:val="Footer"/>
      <w:pBdr>
        <w:top w:val="single" w:sz="4" w:space="1" w:color="auto"/>
      </w:pBdr>
      <w:rPr>
        <w:rFonts w:eastAsia="Arial"/>
      </w:rPr>
    </w:pPr>
  </w:p>
  <w:p w14:paraId="1CEFC7A1" w14:textId="03A661AB" w:rsidR="00CA7E4B" w:rsidRPr="00014E99" w:rsidRDefault="00CA7E4B" w:rsidP="00014E99">
    <w:pPr>
      <w:pStyle w:val="Footer"/>
      <w:rPr>
        <w:rFonts w:eastAsia="Arial"/>
      </w:rPr>
    </w:pPr>
    <w:r>
      <w:rPr>
        <w:rFonts w:eastAsia="Arial"/>
      </w:rPr>
      <w:fldChar w:fldCharType="begin"/>
    </w:r>
    <w:r>
      <w:rPr>
        <w:rFonts w:eastAsia="Arial"/>
      </w:rPr>
      <w:instrText xml:space="preserve"> PAGE   \* MERGEFORMAT </w:instrText>
    </w:r>
    <w:r>
      <w:rPr>
        <w:rFonts w:eastAsia="Arial"/>
      </w:rPr>
      <w:fldChar w:fldCharType="separate"/>
    </w:r>
    <w:r w:rsidR="00252768">
      <w:rPr>
        <w:rFonts w:eastAsia="Arial"/>
        <w:noProof/>
      </w:rPr>
      <w:t>2</w:t>
    </w:r>
    <w:r>
      <w:rPr>
        <w:rFonts w:eastAsia="Arial"/>
      </w:rPr>
      <w:fldChar w:fldCharType="end"/>
    </w:r>
  </w:p>
  <w:p w14:paraId="35CA3A8A" w14:textId="77777777" w:rsidR="00CA7E4B" w:rsidRPr="00CA7E4B" w:rsidRDefault="00CA7E4B" w:rsidP="00CA7E4B">
    <w:pPr>
      <w:spacing w:line="259" w:lineRule="auto"/>
      <w:ind w:left="778"/>
      <w:jc w:val="center"/>
    </w:pPr>
    <w:r>
      <w:rPr>
        <w:rFonts w:ascii="Arial" w:eastAsia="Arial" w:hAnsi="Arial" w:cs="Arial"/>
        <w:b/>
        <w:sz w:val="40"/>
      </w:rPr>
      <w:t xml:space="preserve">EXPOSURE DRAFT </w:t>
    </w:r>
    <w:r w:rsidRPr="00CA7E4B">
      <w:t xml:space="preserve"> 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9BF81E" w14:textId="77777777" w:rsidR="00CA7E4B" w:rsidRDefault="00CA7E4B" w:rsidP="00CA7E4B">
    <w:pPr>
      <w:pStyle w:val="Footer"/>
      <w:pBdr>
        <w:top w:val="single" w:sz="4" w:space="1" w:color="auto"/>
      </w:pBdr>
      <w:rPr>
        <w:rFonts w:eastAsia="Arial"/>
      </w:rPr>
    </w:pPr>
  </w:p>
  <w:p w14:paraId="438A8F62" w14:textId="77777777" w:rsidR="00CA7E4B" w:rsidRDefault="00CA7E4B" w:rsidP="00CA7E4B">
    <w:pPr>
      <w:pStyle w:val="Footer"/>
      <w:jc w:val="right"/>
      <w:rPr>
        <w:rFonts w:eastAsia="Arial"/>
      </w:rPr>
    </w:pPr>
    <w:r>
      <w:rPr>
        <w:rFonts w:eastAsia="Arial"/>
      </w:rPr>
      <w:fldChar w:fldCharType="begin"/>
    </w:r>
    <w:r>
      <w:rPr>
        <w:rFonts w:eastAsia="Arial"/>
      </w:rPr>
      <w:instrText xml:space="preserve"> PAGE   \* MERGEFORMAT </w:instrText>
    </w:r>
    <w:r>
      <w:rPr>
        <w:rFonts w:eastAsia="Arial"/>
      </w:rPr>
      <w:fldChar w:fldCharType="separate"/>
    </w:r>
    <w:r w:rsidR="00252768">
      <w:rPr>
        <w:rFonts w:eastAsia="Arial"/>
        <w:noProof/>
      </w:rPr>
      <w:t>1</w:t>
    </w:r>
    <w:r>
      <w:rPr>
        <w:rFonts w:eastAsia="Arial"/>
      </w:rPr>
      <w:fldChar w:fldCharType="end"/>
    </w:r>
  </w:p>
  <w:p w14:paraId="582804B6" w14:textId="77777777" w:rsidR="00CA7E4B" w:rsidRDefault="00CA7E4B">
    <w:pPr>
      <w:spacing w:line="259" w:lineRule="auto"/>
      <w:ind w:left="778"/>
      <w:jc w:val="center"/>
    </w:pPr>
    <w:r>
      <w:rPr>
        <w:rFonts w:ascii="Arial" w:eastAsia="Arial" w:hAnsi="Arial" w:cs="Arial"/>
        <w:b/>
        <w:sz w:val="40"/>
      </w:rPr>
      <w:t xml:space="preserve">EXPOSURE DRAFT 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DEE094" w14:textId="77777777" w:rsidR="00CA7E4B" w:rsidRDefault="00CA7E4B" w:rsidP="00CA7E4B">
    <w:pPr>
      <w:pStyle w:val="Footer"/>
      <w:pBdr>
        <w:top w:val="single" w:sz="4" w:space="1" w:color="auto"/>
      </w:pBdr>
      <w:rPr>
        <w:rFonts w:eastAsia="Arial"/>
      </w:rPr>
    </w:pPr>
  </w:p>
  <w:p w14:paraId="275A7578" w14:textId="77777777" w:rsidR="00CA7E4B" w:rsidRDefault="00CA7E4B" w:rsidP="00CA7E4B">
    <w:pPr>
      <w:pStyle w:val="Footer"/>
      <w:jc w:val="right"/>
      <w:rPr>
        <w:rFonts w:eastAsia="Arial"/>
      </w:rPr>
    </w:pPr>
    <w:r>
      <w:rPr>
        <w:rFonts w:eastAsia="Arial"/>
      </w:rPr>
      <w:fldChar w:fldCharType="begin"/>
    </w:r>
    <w:r>
      <w:rPr>
        <w:rFonts w:eastAsia="Arial"/>
      </w:rPr>
      <w:instrText xml:space="preserve"> PAGE   \* MERGEFORMAT </w:instrText>
    </w:r>
    <w:r>
      <w:rPr>
        <w:rFonts w:eastAsia="Arial"/>
      </w:rPr>
      <w:fldChar w:fldCharType="separate"/>
    </w:r>
    <w:r w:rsidR="00127C2D">
      <w:rPr>
        <w:rFonts w:eastAsia="Arial"/>
        <w:noProof/>
      </w:rPr>
      <w:t>11</w:t>
    </w:r>
    <w:r>
      <w:rPr>
        <w:rFonts w:eastAsia="Arial"/>
      </w:rPr>
      <w:fldChar w:fldCharType="end"/>
    </w:r>
  </w:p>
  <w:p w14:paraId="33EDE495" w14:textId="29466008" w:rsidR="00CA7E4B" w:rsidRDefault="00CA7E4B" w:rsidP="002A04B5">
    <w:pPr>
      <w:spacing w:after="40" w:line="259" w:lineRule="auto"/>
    </w:pPr>
  </w:p>
  <w:p w14:paraId="4294FEFE" w14:textId="7147FCB3" w:rsidR="00F958BE" w:rsidRPr="00CA7E4B" w:rsidRDefault="00CA7E4B" w:rsidP="00CA7E4B">
    <w:pPr>
      <w:spacing w:line="259" w:lineRule="auto"/>
      <w:ind w:left="778"/>
      <w:jc w:val="center"/>
    </w:pPr>
    <w:r>
      <w:rPr>
        <w:rFonts w:ascii="Arial" w:eastAsia="Arial" w:hAnsi="Arial" w:cs="Arial"/>
        <w:b/>
        <w:sz w:val="40"/>
      </w:rPr>
      <w:t>EXPOSURE DRAFT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7AB086" w14:textId="77777777" w:rsidR="00CA7E4B" w:rsidRDefault="00CA7E4B" w:rsidP="00CA7E4B">
    <w:pPr>
      <w:pStyle w:val="Footer"/>
      <w:pBdr>
        <w:top w:val="single" w:sz="4" w:space="1" w:color="auto"/>
      </w:pBdr>
      <w:rPr>
        <w:rFonts w:eastAsia="Arial"/>
      </w:rPr>
    </w:pPr>
  </w:p>
  <w:p w14:paraId="42FFD90C" w14:textId="4E74DD1B" w:rsidR="00CA7E4B" w:rsidRPr="00014E99" w:rsidRDefault="00CA7E4B" w:rsidP="00014E99">
    <w:pPr>
      <w:pStyle w:val="Footer"/>
      <w:jc w:val="right"/>
      <w:rPr>
        <w:rFonts w:eastAsia="Arial"/>
      </w:rPr>
    </w:pPr>
    <w:r>
      <w:rPr>
        <w:rFonts w:eastAsia="Arial"/>
      </w:rPr>
      <w:fldChar w:fldCharType="begin"/>
    </w:r>
    <w:r>
      <w:rPr>
        <w:rFonts w:eastAsia="Arial"/>
      </w:rPr>
      <w:instrText xml:space="preserve"> PAGE   \* MERGEFORMAT </w:instrText>
    </w:r>
    <w:r>
      <w:rPr>
        <w:rFonts w:eastAsia="Arial"/>
      </w:rPr>
      <w:fldChar w:fldCharType="separate"/>
    </w:r>
    <w:r w:rsidR="00127C2D">
      <w:rPr>
        <w:rFonts w:eastAsia="Arial"/>
        <w:noProof/>
      </w:rPr>
      <w:t>9</w:t>
    </w:r>
    <w:r>
      <w:rPr>
        <w:rFonts w:eastAsia="Arial"/>
      </w:rPr>
      <w:fldChar w:fldCharType="end"/>
    </w:r>
  </w:p>
  <w:p w14:paraId="186D7CB9" w14:textId="1EB1A185" w:rsidR="00664C63" w:rsidRPr="00BB4623" w:rsidRDefault="00CA7E4B" w:rsidP="00CA7E4B">
    <w:pPr>
      <w:spacing w:line="259" w:lineRule="auto"/>
      <w:ind w:left="778"/>
      <w:jc w:val="center"/>
    </w:pPr>
    <w:r>
      <w:rPr>
        <w:rFonts w:ascii="Arial" w:eastAsia="Arial" w:hAnsi="Arial" w:cs="Arial"/>
        <w:b/>
        <w:sz w:val="40"/>
      </w:rPr>
      <w:t>EXPOSURE DRAFT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E77C5C" w14:textId="77777777" w:rsidR="00C44F9B" w:rsidRDefault="00C44F9B" w:rsidP="00664C63">
      <w:pPr>
        <w:spacing w:line="240" w:lineRule="auto"/>
      </w:pPr>
      <w:r>
        <w:separator/>
      </w:r>
    </w:p>
  </w:footnote>
  <w:footnote w:type="continuationSeparator" w:id="0">
    <w:p w14:paraId="242E2469" w14:textId="77777777" w:rsidR="00C44F9B" w:rsidRDefault="00C44F9B" w:rsidP="00664C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C25DA0" w14:textId="576C98CA" w:rsidR="00755A88" w:rsidRDefault="0074713C"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84864" behindDoc="1" locked="0" layoutInCell="1" allowOverlap="1" wp14:anchorId="7C2E73C4" wp14:editId="618C7467">
              <wp:simplePos x="0" y="0"/>
              <wp:positionH relativeFrom="column">
                <wp:posOffset>314325</wp:posOffset>
              </wp:positionH>
              <wp:positionV relativeFrom="page">
                <wp:posOffset>600710</wp:posOffset>
              </wp:positionV>
              <wp:extent cx="4411980" cy="396240"/>
              <wp:effectExtent l="0" t="0" r="7620" b="381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1980" cy="396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80D8929" w14:textId="77777777" w:rsidR="0074713C" w:rsidRPr="00647FB2" w:rsidRDefault="0074713C" w:rsidP="0074713C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4.75pt;margin-top:47.3pt;width:347.4pt;height:31.2pt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STutAIAAJEFAAAOAAAAZHJzL2Uyb0RvYy54bWysVN9v2yAQfp+0/wHxntpO3TS26lRpq0yT&#10;orZSOvWZYByjYmBAYnfT/vcdOE6Tdg/TND/gO+64H993cHXdNQLtmLFcyQInZzFGTFJVcrkp8Len&#10;xWiKkXVElkQoyQr8yiy+nn3+dNXqnI1VrUTJDIIg0uatLnDtnM6jyNKaNcSeKc0kGCtlGuJANZuo&#10;NKSF6I2IxnE8iVplSm0UZdbC7l1vxLMQv6oYdQ9VZZlDosBQmwurCevar9HsiuQbQ3TN6b4M8g9V&#10;NIRLSHoIdUccQVvDP4RqODXKqsqdUdVEqqo4ZaEH6CaJ33WzqolmoRcAx+oDTPb/haX3u0eDeFng&#10;CUaSNEDRE+sculEdmnh0Wm1zcFppcHMdbAPLoVOrl4q+WHCJjnz6Axa8PRpdZRr/hz4RHAQCXg+g&#10;+ywUNtM0SbIpmCjYzrPJOA2sRG+ntbHuC1MN8kKBDZAaKiC7pXU+P8kHF5/MKsHLBRciKGazvhUG&#10;7QgMwCJ8vis4cuImJGoBgvOLOESWyp/v/YT0cViYpT4faJ0DMexDF4Hnn1kCld+Ms9FiMr0cpYv0&#10;YpRdxtNRnGQ32SROs/Ru8ctHT9K85mXJ5JJLNsxckv4dp/vp76clTN1J4SdNeVAOva8FoS8fW49O&#10;ywnIQHfDP3QZ+O0p9Uy7bt0BNF5cq/IV5sIooAUYtJouOCRdEuseiYGLBJvwOLgHWCqhAGK1lzCq&#10;lfnxp33vD1iAFaMWLmaB7fctMQwj8VXC5GdJChOCXFDSi8sxKObYsj62yG1zq4D6JFQXRO/vxCBW&#10;RjXP8IbMfVYwEUkhd4HdIN66/rmAN4iy+Tw4wd3VxC3lStPhOniwn7pnYvR+TB3AeK+GK0zyd9Pa&#10;+/oRkmq+dariYZTfUAUKvAL3PpCxf6P8w3KsB6+3l3T2GwAA//8DAFBLAwQUAAYACAAAACEA1SlM&#10;c94AAAAJAQAADwAAAGRycy9kb3ducmV2LnhtbEyPQUvDQBCF74L/YRnBm91V08TEbIoURBB6MOp9&#10;m50mwexsyG7a9N87nuxxeB/vfVNuFjeII06h96ThfqVAIDXe9tRq+Pp8vXsCEaIhawZPqOGMATbV&#10;9VVpCutP9IHHOraCSygURkMX41hIGZoOnQkrPyJxdvCTM5HPqZV2Micud4N8UCqVzvTEC50Zcdth&#10;81PPTsN7nW4xLIfdd5Y3b1LNed2ed1rf3iwvzyAiLvEfhj99VoeKnfZ+JhvEoCHJ10xqyJMUBOdZ&#10;kjyC2DO4zhTIqpSXH1S/AAAA//8DAFBLAQItABQABgAIAAAAIQC2gziS/gAAAOEBAAATAAAAAAAA&#10;AAAAAAAAAAAAAABbQ29udGVudF9UeXBlc10ueG1sUEsBAi0AFAAGAAgAAAAhADj9If/WAAAAlAEA&#10;AAsAAAAAAAAAAAAAAAAALwEAAF9yZWxzLy5yZWxzUEsBAi0AFAAGAAgAAAAhABO1JO60AgAAkQUA&#10;AA4AAAAAAAAAAAAAAAAALgIAAGRycy9lMm9Eb2MueG1sUEsBAi0AFAAGAAgAAAAhANUpTHPeAAAA&#10;CQEAAA8AAAAAAAAAAAAAAAAADgUAAGRycy9kb3ducmV2LnhtbFBLBQYAAAAABAAEAPMAAAAZBgAA&#10;AAA=&#10;" stroked="f" strokeweight=".5pt">
              <v:path arrowok="t"/>
              <v:textbox>
                <w:txbxContent>
                  <w:p w14:paraId="180D8929" w14:textId="77777777" w:rsidR="0074713C" w:rsidRPr="00647FB2" w:rsidRDefault="0074713C" w:rsidP="0074713C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064EEA" w14:textId="0976D7C4" w:rsidR="00755A88" w:rsidRDefault="0074713C"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86912" behindDoc="1" locked="0" layoutInCell="1" allowOverlap="1" wp14:anchorId="2F402849" wp14:editId="1AD335D4">
              <wp:simplePos x="0" y="0"/>
              <wp:positionH relativeFrom="column">
                <wp:posOffset>323850</wp:posOffset>
              </wp:positionH>
              <wp:positionV relativeFrom="page">
                <wp:posOffset>600710</wp:posOffset>
              </wp:positionV>
              <wp:extent cx="4411980" cy="396240"/>
              <wp:effectExtent l="0" t="0" r="7620" b="381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1980" cy="396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B3BC89B" w14:textId="77777777" w:rsidR="0074713C" w:rsidRPr="00647FB2" w:rsidRDefault="0074713C" w:rsidP="0074713C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margin-left:25.5pt;margin-top:47.3pt;width:347.4pt;height:31.2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tWduAIAAJgFAAAOAAAAZHJzL2Uyb0RvYy54bWysVN9v2yAQfp+0/wHxntpO3SS26lRpq0yT&#10;orZSO/WZYByjYmBAYnfT/vcdOE6Tdg/TND9gjjvu1/cdl1ddI9COGcuVLHByFmPEJFUll5sCf3ta&#10;jmYYWUdkSYSSrMCvzOKr+edPl63O2VjVSpTMIHAibd7qAtfO6TyKLK1ZQ+yZ0kyCslKmIQ5Es4lK&#10;Q1rw3ohoHMeTqFWm1EZRZi2c3vZKPA/+q4pRd19VljkkCgy5ubCasK79Gs0vSb4xRNec7tMg/5BF&#10;Q7iEoAdXt8QRtDX8g6uGU6OsqtwZVU2kqopTFmqAapL4XTWPNdEs1ALNsfrQJvv/3NK73YNBvCzw&#10;FCNJGoDoiXUOXasOTX13Wm1zMHrUYOY6OAaUQ6VWrxR9sWASHdn0FyxY+250lWn8H+pEcBEAeD00&#10;3UehcJimSZLNQEVBd55NxmlAJXq7rY11X5hqkN8U2ACoIQOyW1nn45N8MPHBrBK8XHIhgmA26xth&#10;0I4AAZbh81XBlRMzIVFb4Mn5RRw8S+Xv93ZCej8scKmPB1LnYBvOoYqA888sgcyvx9loOZlNR+ky&#10;vRhl03g2ipPsOpvEaZbeLn9570ma17wsmVxxyQbOJenfYbpnf8+WwLqTxE+K8k051L4WhL58LD06&#10;TSd0Bqob/qHKgG8PqUfadesuMCYZ+LFW5SvQwyhAB4C0mi45xF4R6x6IgXmCQ3gj3D0slVDQabXf&#10;YVQr8+NP594eWgJajFqYzwLb71tiGEbiq4QByJIUiIJcENKL6RgEc6xZH2vktrlRwIAkZBe23t6J&#10;YVsZ1TzDU7LwUUFFJIXYBXbD9sb1rwY8RZQtFsEIRlgTt5KPmg5T4Xv+1D0To/dsddDNOzVMMsnf&#10;kba39UySarF1quKB0b7PfVcBCS/A+AdM9k+Vf1+O5WD19qDOfwMAAP//AwBQSwMEFAAGAAgAAAAh&#10;AP5HsH7eAAAACQEAAA8AAABkcnMvZG93bnJldi54bWxMj0FLw0AQhe+C/2EZwZvdrTSJidkUKYgg&#10;9GCq9212mgSzsyG7adN/73jS4/Aeb76v3C5uEGecQu9Jw3qlQCA13vbUavg8vD48gQjRkDWDJ9Rw&#10;xQDb6vamNIX1F/rAcx1bwSMUCqOhi3EspAxNh86ElR+RODv5yZnI59RKO5kLj7tBPiqVSmd64g+d&#10;GXHXYfNdz07De53uMCyn/VeWN29SzXndXvda398tL88gIi7xrwy/+IwOFTMd/Uw2iEFDsmaVqCHf&#10;pCA4zzYJqxy5mGQKZFXK/wbVDwAAAP//AwBQSwECLQAUAAYACAAAACEAtoM4kv4AAADhAQAAEwAA&#10;AAAAAAAAAAAAAAAAAAAAW0NvbnRlbnRfVHlwZXNdLnhtbFBLAQItABQABgAIAAAAIQA4/SH/1gAA&#10;AJQBAAALAAAAAAAAAAAAAAAAAC8BAABfcmVscy8ucmVsc1BLAQItABQABgAIAAAAIQCxAtWduAIA&#10;AJgFAAAOAAAAAAAAAAAAAAAAAC4CAABkcnMvZTJvRG9jLnhtbFBLAQItABQABgAIAAAAIQD+R7B+&#10;3gAAAAkBAAAPAAAAAAAAAAAAAAAAABIFAABkcnMvZG93bnJldi54bWxQSwUGAAAAAAQABADzAAAA&#10;HQYAAAAA&#10;" stroked="f" strokeweight=".5pt">
              <v:path arrowok="t"/>
              <v:textbox>
                <w:txbxContent>
                  <w:p w14:paraId="1B3BC89B" w14:textId="77777777" w:rsidR="0074713C" w:rsidRPr="00647FB2" w:rsidRDefault="0074713C" w:rsidP="0074713C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ACCECD" w14:textId="5F4B9FB8" w:rsidR="00755A88" w:rsidRDefault="0074713C" w:rsidP="00014E99">
    <w:pPr>
      <w:spacing w:after="39" w:line="259" w:lineRule="auto"/>
      <w:ind w:left="778"/>
      <w:jc w:val="cen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82816" behindDoc="1" locked="0" layoutInCell="1" allowOverlap="1" wp14:anchorId="733B3826" wp14:editId="498528CD">
              <wp:simplePos x="0" y="0"/>
              <wp:positionH relativeFrom="column">
                <wp:posOffset>219075</wp:posOffset>
              </wp:positionH>
              <wp:positionV relativeFrom="page">
                <wp:posOffset>600710</wp:posOffset>
              </wp:positionV>
              <wp:extent cx="4411980" cy="396240"/>
              <wp:effectExtent l="0" t="0" r="7620" b="381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1980" cy="396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8CF1FE0" w14:textId="77777777" w:rsidR="0074713C" w:rsidRPr="00647FB2" w:rsidRDefault="0074713C" w:rsidP="0074713C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left:0;text-align:left;margin-left:17.25pt;margin-top:47.3pt;width:347.4pt;height:31.2pt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qPvuAIAAJgFAAAOAAAAZHJzL2Uyb0RvYy54bWysVN9v2yAQfp+0/wHxntpO3DS26lRpq0yT&#10;orZSO/WZYByjYmBAYnfT/vcdOE6Tdg/TND9gjjvu1/cdl1ddI9COGcuVLHByFmPEJFUll5sCf3ta&#10;jmYYWUdkSYSSrMCvzOKr+edPl63O2VjVSpTMIHAibd7qAtfO6TyKLK1ZQ+yZ0kyCslKmIQ5Es4lK&#10;Q1rw3ohoHMfTqFWm1EZRZi2c3vZKPA/+q4pRd19VljkkCgy5ubCasK79Gs0vSb4xRNec7tMg/5BF&#10;Q7iEoAdXt8QRtDX8g6uGU6OsqtwZVU2kqopTFmqAapL4XTWPNdEs1ALNsfrQJvv/3NK73YNBvCzw&#10;BCNJGoDoiXUOXasOTXx3Wm1zMHrUYOY6OAaUQ6VWrxR9sWASHdn0FyxY+250lWn8H+pEcBEAeD00&#10;3UehcJimSZLNQEVBN8mm4zSgEr3d1sa6L0w1yG8KbADUkAHZrazz8Uk+mPhgVgleLrkQQTCb9Y0w&#10;aEeAAMvw+argyomZkKgt8HRyHgfPUvn7vZ2Q3g8LXOrjgdQ52IZzqCLg/DNLIPPrcTZaTmcXo3SZ&#10;no+yi3g2ipPsOpvGaZbeLn9570ma17wsmVxxyQbOJenfYbpnf8+WwLqTxE+K8k051L4WhL58LD06&#10;TSd0Bqob/qHKgG8PqUfadesuMGY88GOtylegh1GADgBpNV1yiL0i1j0QA/MEh/BGuHtYKqGg02q/&#10;w6hW5sefzr09tAS0GLUwnwW237fEMIzEVwkDkCUpEAW5IKTnF2MQzLFmfayR2+ZGAQOSkF3Yensn&#10;hm1lVPMMT8nCRwUVkRRiF9gN2xvXvxrwFFG2WAQjGGFN3Eo+ajpMhe/5U/dMjN6z1UE379QwySR/&#10;R9re1jNJqsXWqYoHRvs+910FJLwA4x8w2T9V/n05loPV24M6/w0AAP//AwBQSwMEFAAGAAgAAAAh&#10;AEwIlbbfAAAACQEAAA8AAABkcnMvZG93bnJldi54bWxMj8tOwzAQRfdI/IM1SOyoTR8JCXEqVAkh&#10;IXVBgL0bT5OIeBzFTpv+PcOKLkf36N4zxXZ2vTjhGDpPGh4XCgRS7W1HjYavz9eHJxAhGrKm94Qa&#10;LhhgW97eFCa3/kwfeKpiI7iEQm40tDEOuZShbtGZsPADEmdHPzoT+RwbaUdz5nLXy6VSiXSmI15o&#10;zYC7FuufanIa3qtkh2E+7r/TrH6Tasqq5rLX+v5ufnkGEXGO/zD86bM6lOx08BPZIHoNq/WGSQ3Z&#10;OgHBebrMViAODG5SBbIs5PUH5S8AAAD//wMAUEsBAi0AFAAGAAgAAAAhALaDOJL+AAAA4QEAABMA&#10;AAAAAAAAAAAAAAAAAAAAAFtDb250ZW50X1R5cGVzXS54bWxQSwECLQAUAAYACAAAACEAOP0h/9YA&#10;AACUAQAACwAAAAAAAAAAAAAAAAAvAQAAX3JlbHMvLnJlbHNQSwECLQAUAAYACAAAACEAJUaj77gC&#10;AACYBQAADgAAAAAAAAAAAAAAAAAuAgAAZHJzL2Uyb0RvYy54bWxQSwECLQAUAAYACAAAACEATAiV&#10;tt8AAAAJAQAADwAAAAAAAAAAAAAAAAASBQAAZHJzL2Rvd25yZXYueG1sUEsFBgAAAAAEAAQA8wAA&#10;AB4GAAAAAA==&#10;" stroked="f" strokeweight=".5pt">
              <v:path arrowok="t"/>
              <v:textbox>
                <w:txbxContent>
                  <w:p w14:paraId="18CF1FE0" w14:textId="77777777" w:rsidR="0074713C" w:rsidRPr="00647FB2" w:rsidRDefault="0074713C" w:rsidP="0074713C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F547D3" w14:textId="5D1E40E1" w:rsidR="00F958BE" w:rsidRPr="0074713C" w:rsidRDefault="0074713C" w:rsidP="0074713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8720" behindDoc="1" locked="0" layoutInCell="1" allowOverlap="1" wp14:anchorId="6CABDB04" wp14:editId="17FE1C25">
              <wp:simplePos x="0" y="0"/>
              <wp:positionH relativeFrom="column">
                <wp:posOffset>390525</wp:posOffset>
              </wp:positionH>
              <wp:positionV relativeFrom="page">
                <wp:posOffset>295910</wp:posOffset>
              </wp:positionV>
              <wp:extent cx="4411980" cy="396240"/>
              <wp:effectExtent l="0" t="0" r="7620" b="381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1980" cy="396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5E569F2" w14:textId="77777777" w:rsidR="0074713C" w:rsidRPr="00647FB2" w:rsidRDefault="0074713C" w:rsidP="0074713C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left:0;text-align:left;margin-left:30.75pt;margin-top:23.3pt;width:347.4pt;height:31.2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odRtwIAAJgFAAAOAAAAZHJzL2Uyb0RvYy54bWysVF1P2zAUfZ+0/2D5vSQpoTQRKSqgTJMq&#10;QIKJZ9dxGgvH9my3CZv233ftNKXAHqZpeXB8fY/v57m+uOxbgXbMWK5kgZOTGCMmqaq43BT422M5&#10;mWNkHZEVEUqyAr8wiy8Xnz9ddDpnU9UoUTGDwIi0eacL3Din8yiytGEtsSdKMwnKWpmWOBDNJqoM&#10;6cB6K6JpHM+iTplKG0WZtXB6MyjxItiva0bdXV1b5pAoMMTmwmrCuvZrtLgg+cYQ3XC6D4P8QxQt&#10;4RKcHkzdEEfQ1vAPplpOjbKqdidUtZGqa05ZyAGySeJ32Tw0RLOQCxTH6kOZ7P8zS2939wbxCnqH&#10;kSQttOiR9Q5dqR4lvjqdtjmAHjTAXA/HHukztXql6LMFSHSEGS5YQHtMX5vW/yFPBBehAS+Honsv&#10;FA7TNEmyOago6E6z2TQNXYleb2tj3RemWuQ3BTbQ1BAB2a2s8/5JPkJCYErwquRCBMFs1tfCoB0B&#10;ApTh81nBFXsMExJ1BZ6dnsXBslT+/oAT0tthgUuDP5B6B9twDlmEPv/MEoj8appNytn8fJKW6dkk&#10;O4/nkzjJrrJZnGbpTfnLW0/SvOFVxeSKSzZyLkn/rqd79g9sCax7E/ibpHxRDrmvBaHPH1OP3oYT&#10;KgPZjf+QZejv0FLfadev+8CY05Efa1W9AD2Mgu5AI62mJQffK2LdPTEwT3AIb4S7g6UWCiqt9juM&#10;GmV+/Onc46EkoMWog/kssP2+JYZhJL5KGIAsSYEoyAUhPTufgmCONetjjdy21woYACSH6MLW450Y&#10;t7VR7RM8JUvvFVREUvBdYDdur93wasBTRNlyGUAwwpq4lXzQdJwKX/PH/okYvWerg2reqnGSSf6O&#10;tAPWM0mq5dapmgdG+zoPVYVOeAHGP/Rk/1T59+VYDqjXB3XxGwAA//8DAFBLAwQUAAYACAAAACEA&#10;RfvD8d4AAAAJAQAADwAAAGRycy9kb3ducmV2LnhtbEyPwU7DMBBE70j8g7VI3KhdoC4JcSpUCSEh&#10;9UCAuxtvk4h4HcVOm/49y4keV/M087bYzL4XRxxjF8jAcqFAINXBddQY+Pp8vXsCEZMlZ/tAaOCM&#10;ETbl9VVhcxdO9IHHKjWCSyjm1kCb0pBLGesWvY2LMCBxdgijt4nPsZFutCcu9728V0pLbzvihdYO&#10;uG2x/qkmb+C90luM82H3vc7qN6mmrGrOO2Nub+aXZxAJ5/QPw58+q0PJTvswkYuiN6CXKyYNPGoN&#10;gvP1Sj+A2DOoMgWyLOTlB+UvAAAA//8DAFBLAQItABQABgAIAAAAIQC2gziS/gAAAOEBAAATAAAA&#10;AAAAAAAAAAAAAAAAAABbQ29udGVudF9UeXBlc10ueG1sUEsBAi0AFAAGAAgAAAAhADj9If/WAAAA&#10;lAEAAAsAAAAAAAAAAAAAAAAALwEAAF9yZWxzLy5yZWxzUEsBAi0AFAAGAAgAAAAhAHA+h1G3AgAA&#10;mAUAAA4AAAAAAAAAAAAAAAAALgIAAGRycy9lMm9Eb2MueG1sUEsBAi0AFAAGAAgAAAAhAEX7w/He&#10;AAAACQEAAA8AAAAAAAAAAAAAAAAAEQUAAGRycy9kb3ducmV2LnhtbFBLBQYAAAAABAAEAPMAAAAc&#10;BgAAAAA=&#10;" stroked="f" strokeweight=".5pt">
              <v:path arrowok="t"/>
              <v:textbox>
                <w:txbxContent>
                  <w:p w14:paraId="55E569F2" w14:textId="77777777" w:rsidR="0074713C" w:rsidRPr="00647FB2" w:rsidRDefault="0074713C" w:rsidP="0074713C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30C9D8" w14:textId="052AFB89" w:rsidR="00664C63" w:rsidRPr="00BB4623" w:rsidRDefault="00530256" w:rsidP="0074713C">
    <w:pPr>
      <w:jc w:val="right"/>
      <w:rPr>
        <w:sz w:val="24"/>
      </w:rPr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76672" behindDoc="1" locked="0" layoutInCell="1" allowOverlap="1" wp14:anchorId="6FEF42EC" wp14:editId="3CBC7068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1980" cy="396240"/>
              <wp:effectExtent l="0" t="0" r="7620" b="381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1980" cy="396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DF8E7E9" w14:textId="77777777" w:rsidR="00647FB2" w:rsidRPr="00647FB2" w:rsidRDefault="00647FB2" w:rsidP="00647FB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0;margin-top:11.3pt;width:347.4pt;height:31.2pt;z-index:-25163980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pj1twIAAJgFAAAOAAAAZHJzL2Uyb0RvYy54bWysVN1P2zAQf5+0/8Hye0lSQmkiUlRAnSZV&#10;gFQmnl3HaSwc27PdJmza/76z05QW9jBNy4Pj+/B9/e7u6rprBNoxY7mSBU7OYoyYpKrkclPgb0+L&#10;0RQj64gsiVCSFfiVWXw9+/zpqtU5G6taiZIZBEakzVtd4No5nUeRpTVriD1TmkkQVso0xAFpNlFp&#10;SAvWGxGN43gStcqU2ijKrAXuXS/Es2C/qhh1D1VlmUOiwBCbC6cJ59qf0eyK5BtDdM3pPgzyD1E0&#10;hEtwejB1RxxBW8M/mGo4Ncqqyp1R1USqqjhlIQfIJonfZbOqiWYhFyiO1Ycy2f9nlt7vHg3iZYFT&#10;jCRpAKIn1jl0ozqU+uq02uagtNKg5jpgA8ohU6uXir5YUImOdPoHFrR9NbrKNP4PeSJ4CAC8Horu&#10;vVBgpmmSZFMQUZCdZ5NxGlCJ3l5rY90XphrkLwU2AGqIgOyW1nn/JB9UvDOrBC8XXIhAmM36Vhi0&#10;I9AAi/D5rODJiZqQqC3w5PwiDpal8u97PSG9HRZ6qfcHVOfgGviQRcD5Z5ZA5DfjbLSYTC9H6SK9&#10;GGWX8XQUJ9lNNonTLL1b/PLWkzSveVkyueSSDT2XpH+H6b77+24JXXcS+ElSviiH3NeC0JePqUen&#10;4YTKQHbDP2QZ8O0h9Ui7bt3tOwYq5DlrVb5CexgF6ACQVtMFB99LYt0jMTBPwIQd4R7gqISCSqv9&#10;DaNamR9/4nt9KAlIMWphPgtsv2+JYRiJrxIGIEtSaBTkApFeXI6BMMeS9bFEbptbBR2QhOjC1es7&#10;MVwro5pnWCVz7xVERFLwXWA3XG9dvzVgFVE2nwclGGFN3FKuNB2mwtf8qXsmRu+71UE179UwySR/&#10;17S9ru8kqeZbpyoeOvqtqoCEJ2D8Ayb7VeX3yzEdtN4W6uw3AAAA//8DAFBLAwQUAAYACAAAACEA&#10;DqFMgdsAAAAGAQAADwAAAGRycy9kb3ducmV2LnhtbEyPQUvDQBSE74L/YXmCN7sxaGxiXooURBB6&#10;MNX7NvuaBLNvQ3bTpv/e50mPwwwz35SbxQ3qRFPoPSPcrxJQxI23PbcIn/vXuzWoEA1bM3gmhAsF&#10;2FTXV6UprD/zB53q2Cop4VAYhC7GsdA6NB05E1Z+JBbv6Cdnosip1XYyZyl3g06TJNPO9CwLnRlp&#10;21HzXc8O4b3OthSW4+7rKW/edDLndXvZId7eLC/PoCIt8S8Mv/iCDpUwHfzMNqgBQY5EhDTNQImb&#10;5Q9y5ICwfkxAV6X+j1/9AAAA//8DAFBLAQItABQABgAIAAAAIQC2gziS/gAAAOEBAAATAAAAAAAA&#10;AAAAAAAAAAAAAABbQ29udGVudF9UeXBlc10ueG1sUEsBAi0AFAAGAAgAAAAhADj9If/WAAAAlAEA&#10;AAsAAAAAAAAAAAAAAAAALwEAAF9yZWxzLy5yZWxzUEsBAi0AFAAGAAgAAAAhAI9amPW3AgAAmAUA&#10;AA4AAAAAAAAAAAAAAAAALgIAAGRycy9lMm9Eb2MueG1sUEsBAi0AFAAGAAgAAAAhAA6hTIHbAAAA&#10;BgEAAA8AAAAAAAAAAAAAAAAAEQUAAGRycy9kb3ducmV2LnhtbFBLBQYAAAAABAAEAPMAAAAZBgAA&#10;AAA=&#10;" stroked="f" strokeweight=".5pt">
              <v:path arrowok="t"/>
              <v:textbox>
                <w:txbxContent>
                  <w:p w14:paraId="1DF8E7E9" w14:textId="77777777" w:rsidR="00647FB2" w:rsidRPr="00647FB2" w:rsidRDefault="00647FB2" w:rsidP="00647FB2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  <w:p w14:paraId="34F3931B" w14:textId="77777777" w:rsidR="00F958BE" w:rsidRDefault="00F958BE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0C8057" w14:textId="27B290C0" w:rsidR="00664C63" w:rsidRPr="0074713C" w:rsidRDefault="0074713C" w:rsidP="0074713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80768" behindDoc="1" locked="0" layoutInCell="1" allowOverlap="1" wp14:anchorId="0867DD3C" wp14:editId="139F0537">
              <wp:simplePos x="0" y="0"/>
              <wp:positionH relativeFrom="column">
                <wp:posOffset>542925</wp:posOffset>
              </wp:positionH>
              <wp:positionV relativeFrom="page">
                <wp:posOffset>448310</wp:posOffset>
              </wp:positionV>
              <wp:extent cx="4411980" cy="396240"/>
              <wp:effectExtent l="0" t="0" r="7620" b="381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1980" cy="396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F42994E" w14:textId="77777777" w:rsidR="0074713C" w:rsidRPr="00647FB2" w:rsidRDefault="0074713C" w:rsidP="0074713C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1" type="#_x0000_t202" style="position:absolute;left:0;text-align:left;margin-left:42.75pt;margin-top:35.3pt;width:347.4pt;height:31.2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muduAIAAJgFAAAOAAAAZHJzL2Uyb0RvYy54bWysVFtv2yAUfp+0/4B4T32pk8ZWnSpt5WlS&#10;1FZqpz4TjGOrGBiQ2N20/74DjtOk3cM0zQ+Ywzmc2/cdLq/6lqMd06aRIsfRWYgRE1SWjdjk+NtT&#10;MZljZCwRJeFSsBy/MoOvFp8/XXYqY7GsJS+ZRuBEmKxTOa6tVVkQGFqzlpgzqZgAZSV1SyyIehOU&#10;mnTgveVBHIazoJO6VFpSZgyc3g5KvPD+q4pRe19VhlnEcwy5Wb9qv67dGiwuSbbRRNUN3adB/iGL&#10;ljQCgh5c3RJL0FY3H1y1DdXSyMqeUdkGsqoaynwNUE0UvqvmsSaK+VqgOUYd2mT+n1t6t3vQqClz&#10;HGMkSAsQPbHeomvZo9h1p1MmA6NHBWa2h2NA2Vdq1ErSFwMmwZHNcMGAtetGX+nW/aFOBBcBgNdD&#10;010UCodJEkXpHFQUdOfpLE48KsHbbaWN/cJki9wmxxpA9RmQ3cpYF59ko4kLZiRvyqLh3At6s77h&#10;Gu0IEKDwn6sKrpyYcYG6HM/Op6H3LKS7P9hx4fwwz6UhHki9ha0/hyo8zj/TCDK/jtNJMZtfTJIi&#10;mU7Si3A+CaP0Op2FSZrcFr+c9yjJ6qYsmVg1go2ci5K/w3TP/oEtnnUniZ8U5ZpyqH3NCX35WHpw&#10;mo7vDFQ3/n2VHt8BUoe07de9Z8x05Mdalq9ADy0BHQDSKFo0EHtFjH0gGuYJDuGNsPewVFxCp+V+&#10;h1Et9Y8/nTt7aAloMepgPnNsvm+JZhjxrwIGII0SIAqyXkimFzEI+lizPtaIbXsjgQGRz85vnb3l&#10;47bSsn2Gp2TpooKKCAqxc2zH7Y0dXg14iihbLr0RjLAidiUeFR2nwvX8qX8mWu3ZaqGbd3KcZJK9&#10;I+1g65gk5HJrZdV4Rrs+D10FJJwA4+8x2T9V7n05lr3V24O6+A0AAP//AwBQSwMEFAAGAAgAAAAh&#10;AKVmbYTdAAAACQEAAA8AAABkcnMvZG93bnJldi54bWxMj0FLw0AQhe+C/2EZwZvd1dAkjdkUKYgg&#10;9GCq9212mgSzsyG7adN/73jS4/A+3vum3C5uEGecQu9Jw+NKgUBqvO2p1fB5eH3IQYRoyJrBE2q4&#10;YoBtdXtTmsL6C33guY6t4BIKhdHQxTgWUoamQ2fCyo9InJ385Ezkc2qlncyFy90gn5RKpTM98UJn&#10;Rtx12HzXs9PwXqc7DMtp/5Vtmjep5k3dXvda398tL88gIi7xD4ZffVaHip2OfiYbxKAhX6+Z1JCp&#10;FATnWa4SEEcGk0SBrEr5/4PqBwAA//8DAFBLAQItABQABgAIAAAAIQC2gziS/gAAAOEBAAATAAAA&#10;AAAAAAAAAAAAAAAAAABbQ29udGVudF9UeXBlc10ueG1sUEsBAi0AFAAGAAgAAAAhADj9If/WAAAA&#10;lAEAAAsAAAAAAAAAAAAAAAAALwEAAF9yZWxzLy5yZWxzUEsBAi0AFAAGAAgAAAAhAI62a524AgAA&#10;mAUAAA4AAAAAAAAAAAAAAAAALgIAAGRycy9lMm9Eb2MueG1sUEsBAi0AFAAGAAgAAAAhAKVmbYTd&#10;AAAACQEAAA8AAAAAAAAAAAAAAAAAEgUAAGRycy9kb3ducmV2LnhtbFBLBQYAAAAABAAEAPMAAAAc&#10;BgAAAAA=&#10;" stroked="f" strokeweight=".5pt">
              <v:path arrowok="t"/>
              <v:textbox>
                <w:txbxContent>
                  <w:p w14:paraId="4F42994E" w14:textId="77777777" w:rsidR="0074713C" w:rsidRPr="00647FB2" w:rsidRDefault="0074713C" w:rsidP="0074713C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E3AF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9B2E87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ABC97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A6ACF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8B089B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EF8CE6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16868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B8E8C3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17CAA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1CA0B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C5F374C"/>
    <w:multiLevelType w:val="hybridMultilevel"/>
    <w:tmpl w:val="3C40C336"/>
    <w:lvl w:ilvl="0" w:tplc="84FC35B6">
      <w:start w:val="12"/>
      <w:numFmt w:val="decimal"/>
      <w:lvlText w:val="%1"/>
      <w:lvlJc w:val="left"/>
      <w:pPr>
        <w:ind w:left="40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DA849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C6A04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78AFB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84E0A9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2C7DB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31E6D8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B10DAE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8C45FA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1DFF007C"/>
    <w:multiLevelType w:val="hybridMultilevel"/>
    <w:tmpl w:val="96B4195A"/>
    <w:lvl w:ilvl="0" w:tplc="DE341ED6">
      <w:start w:val="4"/>
      <w:numFmt w:val="decimal"/>
      <w:lvlText w:val="%1"/>
      <w:lvlJc w:val="left"/>
      <w:pPr>
        <w:ind w:left="26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52A06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7EA92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CA9D3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98A5F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F3A3DE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56937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5E9FF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61C68A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202B3B3B"/>
    <w:multiLevelType w:val="hybridMultilevel"/>
    <w:tmpl w:val="F1C26764"/>
    <w:lvl w:ilvl="0" w:tplc="CB3431A6">
      <w:start w:val="1"/>
      <w:numFmt w:val="lowerLetter"/>
      <w:lvlText w:val="(%1)"/>
      <w:lvlJc w:val="left"/>
      <w:pPr>
        <w:ind w:left="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5E46644">
      <w:start w:val="1"/>
      <w:numFmt w:val="lowerRoman"/>
      <w:lvlText w:val="(%2)"/>
      <w:lvlJc w:val="left"/>
      <w:pPr>
        <w:ind w:left="1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6105828">
      <w:start w:val="1"/>
      <w:numFmt w:val="lowerRoman"/>
      <w:lvlText w:val="%3"/>
      <w:lvlJc w:val="left"/>
      <w:pPr>
        <w:ind w:left="2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2101DAE">
      <w:start w:val="1"/>
      <w:numFmt w:val="decimal"/>
      <w:lvlText w:val="%4"/>
      <w:lvlJc w:val="left"/>
      <w:pPr>
        <w:ind w:left="3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7BE5904">
      <w:start w:val="1"/>
      <w:numFmt w:val="lowerLetter"/>
      <w:lvlText w:val="%5"/>
      <w:lvlJc w:val="left"/>
      <w:pPr>
        <w:ind w:left="4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E46D904">
      <w:start w:val="1"/>
      <w:numFmt w:val="lowerRoman"/>
      <w:lvlText w:val="%6"/>
      <w:lvlJc w:val="left"/>
      <w:pPr>
        <w:ind w:left="4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BBAE102">
      <w:start w:val="1"/>
      <w:numFmt w:val="decimal"/>
      <w:lvlText w:val="%7"/>
      <w:lvlJc w:val="left"/>
      <w:pPr>
        <w:ind w:left="5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B4448B2">
      <w:start w:val="1"/>
      <w:numFmt w:val="lowerLetter"/>
      <w:lvlText w:val="%8"/>
      <w:lvlJc w:val="left"/>
      <w:pPr>
        <w:ind w:left="6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B944DBC">
      <w:start w:val="1"/>
      <w:numFmt w:val="lowerRoman"/>
      <w:lvlText w:val="%9"/>
      <w:lvlJc w:val="left"/>
      <w:pPr>
        <w:ind w:left="7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5">
    <w:nsid w:val="4C99611E"/>
    <w:multiLevelType w:val="hybridMultilevel"/>
    <w:tmpl w:val="0C929D12"/>
    <w:lvl w:ilvl="0" w:tplc="6930BCFE">
      <w:start w:val="8"/>
      <w:numFmt w:val="decimal"/>
      <w:lvlText w:val="%1"/>
      <w:lvlJc w:val="left"/>
      <w:pPr>
        <w:ind w:left="40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8C95E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2881F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B414E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26B78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2DA533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9C568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E2601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CA4CCF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4F9D05B2"/>
    <w:multiLevelType w:val="hybridMultilevel"/>
    <w:tmpl w:val="97065098"/>
    <w:lvl w:ilvl="0" w:tplc="3EA0E130">
      <w:start w:val="1"/>
      <w:numFmt w:val="lowerRoman"/>
      <w:pStyle w:val="paraRoman"/>
      <w:lvlText w:val="(%1)"/>
      <w:lvlJc w:val="left"/>
      <w:pPr>
        <w:tabs>
          <w:tab w:val="num" w:pos="2126"/>
        </w:tabs>
        <w:ind w:left="2126" w:hanging="425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7607726">
      <w:start w:val="1"/>
      <w:numFmt w:val="lowerLetter"/>
      <w:lvlText w:val="%2"/>
      <w:lvlJc w:val="left"/>
      <w:pPr>
        <w:ind w:left="2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8720796">
      <w:start w:val="1"/>
      <w:numFmt w:val="lowerRoman"/>
      <w:lvlText w:val="%3"/>
      <w:lvlJc w:val="left"/>
      <w:pPr>
        <w:ind w:left="3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5465C5A">
      <w:start w:val="1"/>
      <w:numFmt w:val="decimal"/>
      <w:lvlText w:val="%4"/>
      <w:lvlJc w:val="left"/>
      <w:pPr>
        <w:ind w:left="4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71A4022">
      <w:start w:val="1"/>
      <w:numFmt w:val="lowerLetter"/>
      <w:lvlText w:val="%5"/>
      <w:lvlJc w:val="left"/>
      <w:pPr>
        <w:ind w:left="4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3344FE2">
      <w:start w:val="1"/>
      <w:numFmt w:val="lowerRoman"/>
      <w:lvlText w:val="%6"/>
      <w:lvlJc w:val="left"/>
      <w:pPr>
        <w:ind w:left="5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6C0DA4A">
      <w:start w:val="1"/>
      <w:numFmt w:val="decimal"/>
      <w:lvlText w:val="%7"/>
      <w:lvlJc w:val="left"/>
      <w:pPr>
        <w:ind w:left="6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444AB36">
      <w:start w:val="1"/>
      <w:numFmt w:val="lowerLetter"/>
      <w:lvlText w:val="%8"/>
      <w:lvlJc w:val="left"/>
      <w:pPr>
        <w:ind w:left="7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BD20DA2">
      <w:start w:val="1"/>
      <w:numFmt w:val="lowerRoman"/>
      <w:lvlText w:val="%9"/>
      <w:lvlJc w:val="left"/>
      <w:pPr>
        <w:ind w:left="7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58C956F0"/>
    <w:multiLevelType w:val="hybridMultilevel"/>
    <w:tmpl w:val="081A30A6"/>
    <w:lvl w:ilvl="0" w:tplc="C9401A52">
      <w:start w:val="1"/>
      <w:numFmt w:val="lowerLetter"/>
      <w:lvlText w:val="(%1)"/>
      <w:lvlJc w:val="left"/>
      <w:pPr>
        <w:ind w:left="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ED4BBAA">
      <w:start w:val="1"/>
      <w:numFmt w:val="lowerLetter"/>
      <w:lvlText w:val="%2"/>
      <w:lvlJc w:val="left"/>
      <w:pPr>
        <w:ind w:left="2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0DA9098">
      <w:start w:val="1"/>
      <w:numFmt w:val="lowerRoman"/>
      <w:lvlText w:val="%3"/>
      <w:lvlJc w:val="left"/>
      <w:pPr>
        <w:ind w:left="3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47C3DA8">
      <w:start w:val="1"/>
      <w:numFmt w:val="decimal"/>
      <w:lvlText w:val="%4"/>
      <w:lvlJc w:val="left"/>
      <w:pPr>
        <w:ind w:left="3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6FEC9B2">
      <w:start w:val="1"/>
      <w:numFmt w:val="lowerLetter"/>
      <w:lvlText w:val="%5"/>
      <w:lvlJc w:val="left"/>
      <w:pPr>
        <w:ind w:left="4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FFE6856">
      <w:start w:val="1"/>
      <w:numFmt w:val="lowerRoman"/>
      <w:lvlText w:val="%6"/>
      <w:lvlJc w:val="left"/>
      <w:pPr>
        <w:ind w:left="5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7022A82">
      <w:start w:val="1"/>
      <w:numFmt w:val="decimal"/>
      <w:lvlText w:val="%7"/>
      <w:lvlJc w:val="left"/>
      <w:pPr>
        <w:ind w:left="5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20AEEE0">
      <w:start w:val="1"/>
      <w:numFmt w:val="lowerLetter"/>
      <w:lvlText w:val="%8"/>
      <w:lvlJc w:val="left"/>
      <w:pPr>
        <w:ind w:left="6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396F7C8">
      <w:start w:val="1"/>
      <w:numFmt w:val="lowerRoman"/>
      <w:lvlText w:val="%9"/>
      <w:lvlJc w:val="left"/>
      <w:pPr>
        <w:ind w:left="7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72394DB8"/>
    <w:multiLevelType w:val="hybridMultilevel"/>
    <w:tmpl w:val="A7F26F94"/>
    <w:lvl w:ilvl="0" w:tplc="12E412B4">
      <w:start w:val="2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CA50D3D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8E2E6F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15BC308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8124A28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8C72590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C908BBE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D7C89ED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2CC02A8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0"/>
  </w:num>
  <w:num w:numId="13">
    <w:abstractNumId w:val="18"/>
  </w:num>
  <w:num w:numId="14">
    <w:abstractNumId w:val="16"/>
  </w:num>
  <w:num w:numId="15">
    <w:abstractNumId w:val="13"/>
  </w:num>
  <w:num w:numId="16">
    <w:abstractNumId w:val="17"/>
  </w:num>
  <w:num w:numId="17">
    <w:abstractNumId w:val="12"/>
  </w:num>
  <w:num w:numId="18">
    <w:abstractNumId w:val="15"/>
  </w:num>
  <w:num w:numId="19">
    <w:abstractNumId w:val="11"/>
  </w:num>
  <w:num w:numId="20">
    <w:abstractNumId w:val="16"/>
    <w:lvlOverride w:ilvl="0">
      <w:startOverride w:val="1"/>
    </w:lvlOverride>
  </w:num>
  <w:num w:numId="21">
    <w:abstractNumId w:val="16"/>
  </w:num>
  <w:num w:numId="22">
    <w:abstractNumId w:val="16"/>
    <w:lvlOverride w:ilvl="0">
      <w:startOverride w:val="1"/>
    </w:lvlOverride>
  </w:num>
  <w:num w:numId="23">
    <w:abstractNumId w:val="16"/>
    <w:lvlOverride w:ilvl="0">
      <w:startOverride w:val="1"/>
    </w:lvlOverride>
  </w:num>
  <w:num w:numId="24">
    <w:abstractNumId w:val="1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removePersonalInformation/>
  <w:removeDateAndTime/>
  <w:embedTrueTypeFonts/>
  <w:saveSubsetFonts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79F"/>
    <w:rsid w:val="000068BA"/>
    <w:rsid w:val="00006E53"/>
    <w:rsid w:val="000136AF"/>
    <w:rsid w:val="00014B9A"/>
    <w:rsid w:val="00014E99"/>
    <w:rsid w:val="00030280"/>
    <w:rsid w:val="00032EB8"/>
    <w:rsid w:val="0004533D"/>
    <w:rsid w:val="000511C8"/>
    <w:rsid w:val="00055D20"/>
    <w:rsid w:val="0005645B"/>
    <w:rsid w:val="000614BF"/>
    <w:rsid w:val="00087033"/>
    <w:rsid w:val="000936B2"/>
    <w:rsid w:val="000A0061"/>
    <w:rsid w:val="000B4B68"/>
    <w:rsid w:val="000B79BD"/>
    <w:rsid w:val="000B7CC2"/>
    <w:rsid w:val="000C74F9"/>
    <w:rsid w:val="000D05EF"/>
    <w:rsid w:val="000D3899"/>
    <w:rsid w:val="000E1FAF"/>
    <w:rsid w:val="000F21C1"/>
    <w:rsid w:val="000F4126"/>
    <w:rsid w:val="000F613C"/>
    <w:rsid w:val="000F628D"/>
    <w:rsid w:val="000F7453"/>
    <w:rsid w:val="001016D1"/>
    <w:rsid w:val="0010240E"/>
    <w:rsid w:val="0010745C"/>
    <w:rsid w:val="0011206D"/>
    <w:rsid w:val="0011695C"/>
    <w:rsid w:val="00127C2D"/>
    <w:rsid w:val="00143AC7"/>
    <w:rsid w:val="00143DAA"/>
    <w:rsid w:val="00155B28"/>
    <w:rsid w:val="00162B0A"/>
    <w:rsid w:val="00165C40"/>
    <w:rsid w:val="00166C2F"/>
    <w:rsid w:val="00182C9A"/>
    <w:rsid w:val="0018435F"/>
    <w:rsid w:val="00192EE3"/>
    <w:rsid w:val="001939E1"/>
    <w:rsid w:val="00195382"/>
    <w:rsid w:val="001B0F61"/>
    <w:rsid w:val="001B3B02"/>
    <w:rsid w:val="001C69C4"/>
    <w:rsid w:val="001E07E0"/>
    <w:rsid w:val="001E3590"/>
    <w:rsid w:val="001E7407"/>
    <w:rsid w:val="001F199F"/>
    <w:rsid w:val="00203A45"/>
    <w:rsid w:val="0021250A"/>
    <w:rsid w:val="002277A0"/>
    <w:rsid w:val="0023510C"/>
    <w:rsid w:val="00240749"/>
    <w:rsid w:val="00252768"/>
    <w:rsid w:val="00272764"/>
    <w:rsid w:val="002729BE"/>
    <w:rsid w:val="00284A00"/>
    <w:rsid w:val="00286CB1"/>
    <w:rsid w:val="00293886"/>
    <w:rsid w:val="00295098"/>
    <w:rsid w:val="00295929"/>
    <w:rsid w:val="00296415"/>
    <w:rsid w:val="00297ECB"/>
    <w:rsid w:val="002A04B5"/>
    <w:rsid w:val="002A174C"/>
    <w:rsid w:val="002A61F4"/>
    <w:rsid w:val="002B166F"/>
    <w:rsid w:val="002B178B"/>
    <w:rsid w:val="002C085A"/>
    <w:rsid w:val="002C31B9"/>
    <w:rsid w:val="002D043A"/>
    <w:rsid w:val="002E0172"/>
    <w:rsid w:val="002F08B3"/>
    <w:rsid w:val="00313C6F"/>
    <w:rsid w:val="00333D7D"/>
    <w:rsid w:val="0033411C"/>
    <w:rsid w:val="00334771"/>
    <w:rsid w:val="00337472"/>
    <w:rsid w:val="003415D3"/>
    <w:rsid w:val="00345028"/>
    <w:rsid w:val="003470D6"/>
    <w:rsid w:val="00352B0F"/>
    <w:rsid w:val="00362A1F"/>
    <w:rsid w:val="00364CCB"/>
    <w:rsid w:val="00391BE5"/>
    <w:rsid w:val="00394659"/>
    <w:rsid w:val="003B0F1E"/>
    <w:rsid w:val="003B7DD5"/>
    <w:rsid w:val="003C20C8"/>
    <w:rsid w:val="003D0BFE"/>
    <w:rsid w:val="003D5700"/>
    <w:rsid w:val="003F60D2"/>
    <w:rsid w:val="0040162B"/>
    <w:rsid w:val="00402376"/>
    <w:rsid w:val="004043EE"/>
    <w:rsid w:val="0040616D"/>
    <w:rsid w:val="004116CD"/>
    <w:rsid w:val="004168B4"/>
    <w:rsid w:val="00424CA9"/>
    <w:rsid w:val="004279A7"/>
    <w:rsid w:val="00427D10"/>
    <w:rsid w:val="00431A9F"/>
    <w:rsid w:val="0044291A"/>
    <w:rsid w:val="00480477"/>
    <w:rsid w:val="004930C3"/>
    <w:rsid w:val="00496F97"/>
    <w:rsid w:val="004B39E9"/>
    <w:rsid w:val="004B4C4F"/>
    <w:rsid w:val="004C1846"/>
    <w:rsid w:val="004D464C"/>
    <w:rsid w:val="004D672A"/>
    <w:rsid w:val="004E5EF6"/>
    <w:rsid w:val="004F4B3B"/>
    <w:rsid w:val="00501E42"/>
    <w:rsid w:val="005077B8"/>
    <w:rsid w:val="00516B8D"/>
    <w:rsid w:val="005274A6"/>
    <w:rsid w:val="00530256"/>
    <w:rsid w:val="00537FBC"/>
    <w:rsid w:val="00543735"/>
    <w:rsid w:val="00543850"/>
    <w:rsid w:val="00544819"/>
    <w:rsid w:val="00564A03"/>
    <w:rsid w:val="00575318"/>
    <w:rsid w:val="0058179F"/>
    <w:rsid w:val="00584052"/>
    <w:rsid w:val="00584811"/>
    <w:rsid w:val="00586A97"/>
    <w:rsid w:val="00593AA6"/>
    <w:rsid w:val="00594161"/>
    <w:rsid w:val="00594749"/>
    <w:rsid w:val="005A1A21"/>
    <w:rsid w:val="005A2441"/>
    <w:rsid w:val="005A6F34"/>
    <w:rsid w:val="005B4067"/>
    <w:rsid w:val="005C3F41"/>
    <w:rsid w:val="005C5800"/>
    <w:rsid w:val="005D327C"/>
    <w:rsid w:val="005D4DEA"/>
    <w:rsid w:val="00600219"/>
    <w:rsid w:val="00611C2E"/>
    <w:rsid w:val="006120E4"/>
    <w:rsid w:val="00616A64"/>
    <w:rsid w:val="0062599E"/>
    <w:rsid w:val="00626EA4"/>
    <w:rsid w:val="00634483"/>
    <w:rsid w:val="00643965"/>
    <w:rsid w:val="006444FB"/>
    <w:rsid w:val="00647FB2"/>
    <w:rsid w:val="0065106B"/>
    <w:rsid w:val="006527A6"/>
    <w:rsid w:val="00664C63"/>
    <w:rsid w:val="00667A33"/>
    <w:rsid w:val="00677CC2"/>
    <w:rsid w:val="00681A4A"/>
    <w:rsid w:val="00690A34"/>
    <w:rsid w:val="0069207B"/>
    <w:rsid w:val="006A5118"/>
    <w:rsid w:val="006B51F1"/>
    <w:rsid w:val="006C3347"/>
    <w:rsid w:val="006C7F8C"/>
    <w:rsid w:val="006D3764"/>
    <w:rsid w:val="006E0AF1"/>
    <w:rsid w:val="00700B2C"/>
    <w:rsid w:val="00713084"/>
    <w:rsid w:val="007173B8"/>
    <w:rsid w:val="007238C8"/>
    <w:rsid w:val="00731574"/>
    <w:rsid w:val="00731E00"/>
    <w:rsid w:val="00732A85"/>
    <w:rsid w:val="007440B7"/>
    <w:rsid w:val="007447B8"/>
    <w:rsid w:val="0074713C"/>
    <w:rsid w:val="0075226A"/>
    <w:rsid w:val="00755A88"/>
    <w:rsid w:val="007715C9"/>
    <w:rsid w:val="00774EDD"/>
    <w:rsid w:val="007757EC"/>
    <w:rsid w:val="007770DC"/>
    <w:rsid w:val="00781ED0"/>
    <w:rsid w:val="0078414A"/>
    <w:rsid w:val="007845BF"/>
    <w:rsid w:val="0079466D"/>
    <w:rsid w:val="00795FCE"/>
    <w:rsid w:val="007A659A"/>
    <w:rsid w:val="007A71CD"/>
    <w:rsid w:val="007B081F"/>
    <w:rsid w:val="007C520A"/>
    <w:rsid w:val="007E4CC8"/>
    <w:rsid w:val="00827031"/>
    <w:rsid w:val="00830815"/>
    <w:rsid w:val="00837DE7"/>
    <w:rsid w:val="00852F4C"/>
    <w:rsid w:val="008557D6"/>
    <w:rsid w:val="00856A31"/>
    <w:rsid w:val="008607C2"/>
    <w:rsid w:val="00860F26"/>
    <w:rsid w:val="008754D0"/>
    <w:rsid w:val="0087771B"/>
    <w:rsid w:val="00883892"/>
    <w:rsid w:val="00890DBA"/>
    <w:rsid w:val="008A6470"/>
    <w:rsid w:val="008B3DAC"/>
    <w:rsid w:val="008B4C47"/>
    <w:rsid w:val="008D0AB7"/>
    <w:rsid w:val="008D0EE0"/>
    <w:rsid w:val="008D496F"/>
    <w:rsid w:val="008E05CA"/>
    <w:rsid w:val="008E40E0"/>
    <w:rsid w:val="008F066C"/>
    <w:rsid w:val="00913FFA"/>
    <w:rsid w:val="00924F8D"/>
    <w:rsid w:val="00932377"/>
    <w:rsid w:val="00932FA3"/>
    <w:rsid w:val="00934BB0"/>
    <w:rsid w:val="0095602D"/>
    <w:rsid w:val="00956862"/>
    <w:rsid w:val="009620C2"/>
    <w:rsid w:val="009651EC"/>
    <w:rsid w:val="0098476A"/>
    <w:rsid w:val="009A12A4"/>
    <w:rsid w:val="009C1054"/>
    <w:rsid w:val="009D1409"/>
    <w:rsid w:val="009D3166"/>
    <w:rsid w:val="009D53EB"/>
    <w:rsid w:val="009F3379"/>
    <w:rsid w:val="009F518A"/>
    <w:rsid w:val="00A120DD"/>
    <w:rsid w:val="00A14CBA"/>
    <w:rsid w:val="00A231E2"/>
    <w:rsid w:val="00A23612"/>
    <w:rsid w:val="00A25627"/>
    <w:rsid w:val="00A35971"/>
    <w:rsid w:val="00A368D1"/>
    <w:rsid w:val="00A415B9"/>
    <w:rsid w:val="00A54E02"/>
    <w:rsid w:val="00A64912"/>
    <w:rsid w:val="00A70A74"/>
    <w:rsid w:val="00A713E6"/>
    <w:rsid w:val="00A81646"/>
    <w:rsid w:val="00AA4884"/>
    <w:rsid w:val="00AA5445"/>
    <w:rsid w:val="00AA68FA"/>
    <w:rsid w:val="00AA7A5D"/>
    <w:rsid w:val="00AB5A90"/>
    <w:rsid w:val="00AD27B3"/>
    <w:rsid w:val="00AD5641"/>
    <w:rsid w:val="00AE59F7"/>
    <w:rsid w:val="00AE5FF3"/>
    <w:rsid w:val="00AE7BD7"/>
    <w:rsid w:val="00B00606"/>
    <w:rsid w:val="00B04B95"/>
    <w:rsid w:val="00B05DED"/>
    <w:rsid w:val="00B250E8"/>
    <w:rsid w:val="00B26413"/>
    <w:rsid w:val="00B30BBF"/>
    <w:rsid w:val="00B32652"/>
    <w:rsid w:val="00B33B3C"/>
    <w:rsid w:val="00B340B6"/>
    <w:rsid w:val="00B3608C"/>
    <w:rsid w:val="00B372A6"/>
    <w:rsid w:val="00B429C2"/>
    <w:rsid w:val="00B53ACF"/>
    <w:rsid w:val="00B572F7"/>
    <w:rsid w:val="00B57760"/>
    <w:rsid w:val="00B61C25"/>
    <w:rsid w:val="00B70E56"/>
    <w:rsid w:val="00B770BA"/>
    <w:rsid w:val="00B808B8"/>
    <w:rsid w:val="00BA2B24"/>
    <w:rsid w:val="00BC1A95"/>
    <w:rsid w:val="00BC30F2"/>
    <w:rsid w:val="00BC398F"/>
    <w:rsid w:val="00BD1655"/>
    <w:rsid w:val="00BE4E90"/>
    <w:rsid w:val="00BE719A"/>
    <w:rsid w:val="00BE720A"/>
    <w:rsid w:val="00BF5EED"/>
    <w:rsid w:val="00C03EFC"/>
    <w:rsid w:val="00C07B8F"/>
    <w:rsid w:val="00C272F5"/>
    <w:rsid w:val="00C32234"/>
    <w:rsid w:val="00C3260A"/>
    <w:rsid w:val="00C357FA"/>
    <w:rsid w:val="00C42BF8"/>
    <w:rsid w:val="00C43794"/>
    <w:rsid w:val="00C44F9B"/>
    <w:rsid w:val="00C50043"/>
    <w:rsid w:val="00C53114"/>
    <w:rsid w:val="00C55259"/>
    <w:rsid w:val="00C637C0"/>
    <w:rsid w:val="00C658D3"/>
    <w:rsid w:val="00C723B9"/>
    <w:rsid w:val="00C7573B"/>
    <w:rsid w:val="00C75B3B"/>
    <w:rsid w:val="00C77D10"/>
    <w:rsid w:val="00C81E0F"/>
    <w:rsid w:val="00C87FA5"/>
    <w:rsid w:val="00CA04C2"/>
    <w:rsid w:val="00CA7E4B"/>
    <w:rsid w:val="00CB0EA8"/>
    <w:rsid w:val="00CB796D"/>
    <w:rsid w:val="00CC7A09"/>
    <w:rsid w:val="00CD1495"/>
    <w:rsid w:val="00CD6AC4"/>
    <w:rsid w:val="00CF0BB2"/>
    <w:rsid w:val="00CF4975"/>
    <w:rsid w:val="00D13441"/>
    <w:rsid w:val="00D15094"/>
    <w:rsid w:val="00D15CCC"/>
    <w:rsid w:val="00D17175"/>
    <w:rsid w:val="00D27E5E"/>
    <w:rsid w:val="00D3213F"/>
    <w:rsid w:val="00D374CE"/>
    <w:rsid w:val="00D40252"/>
    <w:rsid w:val="00D43405"/>
    <w:rsid w:val="00D503C6"/>
    <w:rsid w:val="00D53DCF"/>
    <w:rsid w:val="00D6389E"/>
    <w:rsid w:val="00D70DFB"/>
    <w:rsid w:val="00D766DF"/>
    <w:rsid w:val="00D83414"/>
    <w:rsid w:val="00DA3FAB"/>
    <w:rsid w:val="00DD314D"/>
    <w:rsid w:val="00E05704"/>
    <w:rsid w:val="00E078AF"/>
    <w:rsid w:val="00E3195B"/>
    <w:rsid w:val="00E367B5"/>
    <w:rsid w:val="00E44D69"/>
    <w:rsid w:val="00E47DB2"/>
    <w:rsid w:val="00E51631"/>
    <w:rsid w:val="00E53259"/>
    <w:rsid w:val="00E54CAB"/>
    <w:rsid w:val="00E74DC7"/>
    <w:rsid w:val="00E7637D"/>
    <w:rsid w:val="00E8338C"/>
    <w:rsid w:val="00E87DCB"/>
    <w:rsid w:val="00E94998"/>
    <w:rsid w:val="00E963CD"/>
    <w:rsid w:val="00EB731E"/>
    <w:rsid w:val="00EB7B82"/>
    <w:rsid w:val="00EB7C05"/>
    <w:rsid w:val="00EC5B43"/>
    <w:rsid w:val="00ED1A6C"/>
    <w:rsid w:val="00EE6DCC"/>
    <w:rsid w:val="00EF2E3A"/>
    <w:rsid w:val="00F0132A"/>
    <w:rsid w:val="00F078DC"/>
    <w:rsid w:val="00F1257A"/>
    <w:rsid w:val="00F3304B"/>
    <w:rsid w:val="00F44CB5"/>
    <w:rsid w:val="00F45F1F"/>
    <w:rsid w:val="00F5076A"/>
    <w:rsid w:val="00F54B45"/>
    <w:rsid w:val="00F60FAC"/>
    <w:rsid w:val="00F6546A"/>
    <w:rsid w:val="00F8103A"/>
    <w:rsid w:val="00F958BE"/>
    <w:rsid w:val="00FA3991"/>
    <w:rsid w:val="00FB75BD"/>
    <w:rsid w:val="00FD0796"/>
    <w:rsid w:val="00FD5D2B"/>
    <w:rsid w:val="00FE2A7D"/>
    <w:rsid w:val="00FF0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."/>
  <w:listSeparator w:val=","/>
  <w14:docId w14:val="7A0D99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47FB2"/>
    <w:pPr>
      <w:spacing w:line="260" w:lineRule="atLeast"/>
    </w:pPr>
    <w:rPr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07C2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07C2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07C2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07C2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07C2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07C2"/>
    <w:pPr>
      <w:keepNext/>
      <w:keepLines/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07C2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07C2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07C2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647FB2"/>
  </w:style>
  <w:style w:type="paragraph" w:customStyle="1" w:styleId="OPCParaBase">
    <w:name w:val="OPCParaBase"/>
    <w:qFormat/>
    <w:rsid w:val="00647FB2"/>
    <w:pPr>
      <w:spacing w:line="260" w:lineRule="atLeast"/>
    </w:pPr>
    <w:rPr>
      <w:rFonts w:eastAsia="Times New Roman"/>
      <w:sz w:val="22"/>
    </w:rPr>
  </w:style>
  <w:style w:type="paragraph" w:customStyle="1" w:styleId="ShortT">
    <w:name w:val="ShortT"/>
    <w:basedOn w:val="OPCParaBase"/>
    <w:next w:val="Normal"/>
    <w:qFormat/>
    <w:rsid w:val="00647FB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8D496F"/>
    <w:pPr>
      <w:keepNext/>
      <w:keepLines/>
      <w:spacing w:line="240" w:lineRule="auto"/>
      <w:ind w:left="1134" w:hanging="1134"/>
      <w:outlineLvl w:val="0"/>
    </w:pPr>
    <w:rPr>
      <w:rFonts w:ascii="Arial" w:hAnsi="Arial"/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47FB2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8D496F"/>
    <w:pPr>
      <w:keepNext/>
      <w:keepLines/>
      <w:tabs>
        <w:tab w:val="left" w:pos="426"/>
      </w:tabs>
      <w:spacing w:before="240" w:line="240" w:lineRule="auto"/>
      <w:ind w:left="426" w:hanging="426"/>
      <w:outlineLvl w:val="2"/>
    </w:pPr>
    <w:rPr>
      <w:rFonts w:eastAsia="Arial"/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47FB2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647FB2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647FB2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647FB2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647FB2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647FB2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647FB2"/>
  </w:style>
  <w:style w:type="paragraph" w:customStyle="1" w:styleId="Blocks">
    <w:name w:val="Blocks"/>
    <w:aliases w:val="bb"/>
    <w:basedOn w:val="OPCParaBase"/>
    <w:qFormat/>
    <w:rsid w:val="00647FB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647FB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647FB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647FB2"/>
    <w:rPr>
      <w:i/>
    </w:rPr>
  </w:style>
  <w:style w:type="paragraph" w:customStyle="1" w:styleId="BoxList">
    <w:name w:val="BoxList"/>
    <w:aliases w:val="bl"/>
    <w:basedOn w:val="BoxText"/>
    <w:qFormat/>
    <w:rsid w:val="00647FB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647FB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647FB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647FB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647FB2"/>
  </w:style>
  <w:style w:type="character" w:customStyle="1" w:styleId="CharAmPartText">
    <w:name w:val="CharAmPartText"/>
    <w:basedOn w:val="OPCCharBase"/>
    <w:uiPriority w:val="1"/>
    <w:qFormat/>
    <w:rsid w:val="00647FB2"/>
  </w:style>
  <w:style w:type="character" w:customStyle="1" w:styleId="CharAmSchNo">
    <w:name w:val="CharAmSchNo"/>
    <w:basedOn w:val="OPCCharBase"/>
    <w:uiPriority w:val="1"/>
    <w:qFormat/>
    <w:rsid w:val="00647FB2"/>
  </w:style>
  <w:style w:type="character" w:customStyle="1" w:styleId="CharAmSchText">
    <w:name w:val="CharAmSchText"/>
    <w:basedOn w:val="OPCCharBase"/>
    <w:uiPriority w:val="1"/>
    <w:qFormat/>
    <w:rsid w:val="00647FB2"/>
  </w:style>
  <w:style w:type="character" w:customStyle="1" w:styleId="CharBoldItalic">
    <w:name w:val="CharBoldItalic"/>
    <w:uiPriority w:val="1"/>
    <w:qFormat/>
    <w:rsid w:val="00647FB2"/>
    <w:rPr>
      <w:b/>
      <w:i/>
    </w:rPr>
  </w:style>
  <w:style w:type="character" w:customStyle="1" w:styleId="CharChapNo">
    <w:name w:val="CharChapNo"/>
    <w:basedOn w:val="OPCCharBase"/>
    <w:uiPriority w:val="1"/>
    <w:qFormat/>
    <w:rsid w:val="00647FB2"/>
  </w:style>
  <w:style w:type="character" w:customStyle="1" w:styleId="CharChapText">
    <w:name w:val="CharChapText"/>
    <w:basedOn w:val="OPCCharBase"/>
    <w:uiPriority w:val="1"/>
    <w:qFormat/>
    <w:rsid w:val="00647FB2"/>
  </w:style>
  <w:style w:type="character" w:customStyle="1" w:styleId="CharDivNo">
    <w:name w:val="CharDivNo"/>
    <w:basedOn w:val="OPCCharBase"/>
    <w:uiPriority w:val="1"/>
    <w:qFormat/>
    <w:rsid w:val="00647FB2"/>
  </w:style>
  <w:style w:type="character" w:customStyle="1" w:styleId="CharDivText">
    <w:name w:val="CharDivText"/>
    <w:basedOn w:val="OPCCharBase"/>
    <w:uiPriority w:val="1"/>
    <w:qFormat/>
    <w:rsid w:val="00647FB2"/>
  </w:style>
  <w:style w:type="character" w:customStyle="1" w:styleId="CharItalic">
    <w:name w:val="CharItalic"/>
    <w:uiPriority w:val="1"/>
    <w:qFormat/>
    <w:rsid w:val="00647FB2"/>
    <w:rPr>
      <w:i/>
    </w:rPr>
  </w:style>
  <w:style w:type="character" w:customStyle="1" w:styleId="CharPartNo">
    <w:name w:val="CharPartNo"/>
    <w:basedOn w:val="OPCCharBase"/>
    <w:uiPriority w:val="1"/>
    <w:qFormat/>
    <w:rsid w:val="00647FB2"/>
  </w:style>
  <w:style w:type="character" w:customStyle="1" w:styleId="CharPartText">
    <w:name w:val="CharPartText"/>
    <w:basedOn w:val="OPCCharBase"/>
    <w:uiPriority w:val="1"/>
    <w:qFormat/>
    <w:rsid w:val="00647FB2"/>
  </w:style>
  <w:style w:type="character" w:customStyle="1" w:styleId="CharSectno">
    <w:name w:val="CharSectno"/>
    <w:basedOn w:val="OPCCharBase"/>
    <w:uiPriority w:val="1"/>
    <w:qFormat/>
    <w:rsid w:val="00647FB2"/>
  </w:style>
  <w:style w:type="character" w:customStyle="1" w:styleId="CharSubdNo">
    <w:name w:val="CharSubdNo"/>
    <w:basedOn w:val="OPCCharBase"/>
    <w:uiPriority w:val="1"/>
    <w:qFormat/>
    <w:rsid w:val="00647FB2"/>
  </w:style>
  <w:style w:type="character" w:customStyle="1" w:styleId="CharSubdText">
    <w:name w:val="CharSubdText"/>
    <w:basedOn w:val="OPCCharBase"/>
    <w:uiPriority w:val="1"/>
    <w:qFormat/>
    <w:rsid w:val="00647FB2"/>
  </w:style>
  <w:style w:type="paragraph" w:customStyle="1" w:styleId="CTA--">
    <w:name w:val="CTA --"/>
    <w:basedOn w:val="OPCParaBase"/>
    <w:next w:val="Normal"/>
    <w:rsid w:val="00647FB2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47FB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47FB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47FB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647FB2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647FB2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647FB2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647FB2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647FB2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647FB2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647FB2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647FB2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647FB2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647FB2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647FB2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47FB2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647FB2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647FB2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647FB2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647FB2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647FB2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74713C"/>
    <w:pPr>
      <w:keepNext/>
      <w:keepLines/>
      <w:pBdr>
        <w:bottom w:val="single" w:sz="4" w:space="1" w:color="auto"/>
      </w:pBdr>
      <w:spacing w:line="240" w:lineRule="auto"/>
      <w:jc w:val="center"/>
    </w:pPr>
    <w:rPr>
      <w:rFonts w:ascii="Arial" w:eastAsia="Arial" w:hAnsi="Arial" w:cs="Arial"/>
      <w:b/>
      <w:sz w:val="40"/>
    </w:rPr>
  </w:style>
  <w:style w:type="character" w:customStyle="1" w:styleId="HeaderChar">
    <w:name w:val="Header Char"/>
    <w:link w:val="Header"/>
    <w:rsid w:val="0074713C"/>
    <w:rPr>
      <w:rFonts w:ascii="Arial" w:eastAsia="Arial" w:hAnsi="Arial" w:cs="Arial"/>
      <w:b/>
      <w:sz w:val="40"/>
    </w:rPr>
  </w:style>
  <w:style w:type="paragraph" w:customStyle="1" w:styleId="House">
    <w:name w:val="House"/>
    <w:basedOn w:val="OPCParaBase"/>
    <w:rsid w:val="00647FB2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647FB2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647FB2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647FB2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647FB2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647FB2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647FB2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647FB2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647FB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647FB2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530256"/>
    <w:pPr>
      <w:tabs>
        <w:tab w:val="left" w:pos="1134"/>
      </w:tabs>
      <w:spacing w:before="40" w:line="240" w:lineRule="auto"/>
      <w:ind w:left="1134" w:hanging="567"/>
    </w:pPr>
  </w:style>
  <w:style w:type="paragraph" w:customStyle="1" w:styleId="paragraphsub-sub">
    <w:name w:val="paragraph(sub-sub)"/>
    <w:aliases w:val="aaa"/>
    <w:basedOn w:val="OPCParaBase"/>
    <w:rsid w:val="00CA7E4B"/>
    <w:pPr>
      <w:tabs>
        <w:tab w:val="left" w:pos="1701"/>
      </w:tabs>
      <w:spacing w:before="40" w:line="240" w:lineRule="auto"/>
      <w:ind w:left="1701" w:hanging="567"/>
    </w:pPr>
  </w:style>
  <w:style w:type="paragraph" w:customStyle="1" w:styleId="paragraph">
    <w:name w:val="paragraph"/>
    <w:aliases w:val="a"/>
    <w:basedOn w:val="OPCParaBase"/>
    <w:rsid w:val="00530256"/>
    <w:pPr>
      <w:spacing w:before="40" w:line="240" w:lineRule="auto"/>
      <w:ind w:left="1134" w:hanging="425"/>
    </w:pPr>
  </w:style>
  <w:style w:type="paragraph" w:customStyle="1" w:styleId="ParlAmend">
    <w:name w:val="ParlAmend"/>
    <w:aliases w:val="pp"/>
    <w:basedOn w:val="OPCParaBase"/>
    <w:rsid w:val="00647FB2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647FB2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647FB2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647FB2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647FB2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647FB2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647FB2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647FB2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647FB2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647FB2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647FB2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647FB2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647FB2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647FB2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647FB2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647FB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647FB2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647FB2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647FB2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647FB2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647FB2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647FB2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47FB2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semiHidden/>
    <w:unhideWhenUsed/>
    <w:rsid w:val="00647FB2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47FB2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47FB2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47FB2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47FB2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647FB2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647FB2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647FB2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647FB2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647FB2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647FB2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647FB2"/>
    <w:pPr>
      <w:tabs>
        <w:tab w:val="center" w:pos="4153"/>
        <w:tab w:val="right" w:pos="8306"/>
      </w:tabs>
    </w:pPr>
    <w:rPr>
      <w:rFonts w:eastAsia="Times New Roman"/>
      <w:sz w:val="22"/>
      <w:szCs w:val="24"/>
    </w:rPr>
  </w:style>
  <w:style w:type="character" w:customStyle="1" w:styleId="FooterChar">
    <w:name w:val="Footer Char"/>
    <w:link w:val="Footer"/>
    <w:rsid w:val="00647FB2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uiPriority w:val="99"/>
    <w:semiHidden/>
    <w:unhideWhenUsed/>
    <w:rsid w:val="00647FB2"/>
    <w:rPr>
      <w:sz w:val="16"/>
    </w:rPr>
  </w:style>
  <w:style w:type="table" w:customStyle="1" w:styleId="CFlag">
    <w:name w:val="CFlag"/>
    <w:basedOn w:val="TableNormal"/>
    <w:uiPriority w:val="99"/>
    <w:rsid w:val="00647FB2"/>
    <w:rPr>
      <w:rFonts w:eastAsia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mpiledActNo">
    <w:name w:val="CompiledActNo"/>
    <w:basedOn w:val="OPCParaBase"/>
    <w:next w:val="Normal"/>
    <w:rsid w:val="00647FB2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647FB2"/>
    <w:rPr>
      <w:i/>
      <w:sz w:val="24"/>
      <w:szCs w:val="24"/>
    </w:rPr>
  </w:style>
  <w:style w:type="paragraph" w:customStyle="1" w:styleId="ENotesText">
    <w:name w:val="ENotesText"/>
    <w:basedOn w:val="OPCParaBase"/>
    <w:next w:val="Normal"/>
    <w:rsid w:val="00647FB2"/>
  </w:style>
  <w:style w:type="paragraph" w:customStyle="1" w:styleId="Paragraphsub-sub-sub">
    <w:name w:val="Paragraph(sub-sub-sub)"/>
    <w:aliases w:val="aaaa"/>
    <w:basedOn w:val="OPCParaBase"/>
    <w:rsid w:val="00647FB2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647FB2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647FB2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7FB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647FB2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647FB2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647FB2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647FB2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647FB2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647FB2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647FB2"/>
  </w:style>
  <w:style w:type="character" w:customStyle="1" w:styleId="CharSubPartNoCASA">
    <w:name w:val="CharSubPartNo(CASA)"/>
    <w:basedOn w:val="OPCCharBase"/>
    <w:uiPriority w:val="1"/>
    <w:rsid w:val="00647FB2"/>
  </w:style>
  <w:style w:type="paragraph" w:customStyle="1" w:styleId="ENoteTTIndentHeadingSub">
    <w:name w:val="ENoteTTIndentHeadingSub"/>
    <w:aliases w:val="enTTHis"/>
    <w:basedOn w:val="OPCParaBase"/>
    <w:rsid w:val="00647FB2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647FB2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647FB2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647FB2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rsid w:val="00647FB2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5D4DEA"/>
    <w:rPr>
      <w:rFonts w:ascii="Arial" w:hAnsi="Arial"/>
      <w:sz w:val="22"/>
      <w:lang w:eastAsia="en-US"/>
    </w:rPr>
  </w:style>
  <w:style w:type="paragraph" w:customStyle="1" w:styleId="SOText">
    <w:name w:val="SO Text"/>
    <w:aliases w:val="sot"/>
    <w:link w:val="SOTextChar"/>
    <w:rsid w:val="00647FB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  <w:lang w:eastAsia="en-US"/>
    </w:rPr>
  </w:style>
  <w:style w:type="character" w:customStyle="1" w:styleId="SOTextChar">
    <w:name w:val="SO Text Char"/>
    <w:aliases w:val="sot Char"/>
    <w:link w:val="SOText"/>
    <w:rsid w:val="00647FB2"/>
    <w:rPr>
      <w:sz w:val="22"/>
    </w:rPr>
  </w:style>
  <w:style w:type="paragraph" w:customStyle="1" w:styleId="SOTextNote">
    <w:name w:val="SO TextNote"/>
    <w:aliases w:val="sont"/>
    <w:basedOn w:val="SOText"/>
    <w:qFormat/>
    <w:rsid w:val="00647FB2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647FB2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link w:val="SOPara"/>
    <w:rsid w:val="00647FB2"/>
    <w:rPr>
      <w:sz w:val="22"/>
    </w:rPr>
  </w:style>
  <w:style w:type="paragraph" w:customStyle="1" w:styleId="FileName">
    <w:name w:val="FileName"/>
    <w:basedOn w:val="Normal"/>
    <w:rsid w:val="00647FB2"/>
  </w:style>
  <w:style w:type="paragraph" w:customStyle="1" w:styleId="TableHeading">
    <w:name w:val="TableHeading"/>
    <w:aliases w:val="th"/>
    <w:basedOn w:val="OPCParaBase"/>
    <w:next w:val="Tabletext"/>
    <w:rsid w:val="00647FB2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647FB2"/>
    <w:rPr>
      <w:b/>
    </w:rPr>
  </w:style>
  <w:style w:type="character" w:customStyle="1" w:styleId="SOHeadBoldChar">
    <w:name w:val="SO HeadBold Char"/>
    <w:aliases w:val="sohb Char"/>
    <w:link w:val="SOHeadBold"/>
    <w:rsid w:val="00647FB2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647FB2"/>
    <w:rPr>
      <w:i/>
    </w:rPr>
  </w:style>
  <w:style w:type="character" w:customStyle="1" w:styleId="SOHeadItalicChar">
    <w:name w:val="SO HeadItalic Char"/>
    <w:aliases w:val="sohi Char"/>
    <w:link w:val="SOHeadItalic"/>
    <w:rsid w:val="00647FB2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47FB2"/>
    <w:pPr>
      <w:ind w:left="1559" w:hanging="425"/>
    </w:pPr>
  </w:style>
  <w:style w:type="character" w:customStyle="1" w:styleId="SOBulletChar">
    <w:name w:val="SO Bullet Char"/>
    <w:aliases w:val="sotb Char"/>
    <w:link w:val="SOBullet"/>
    <w:rsid w:val="00647FB2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647FB2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link w:val="SOBulletNote"/>
    <w:rsid w:val="00647FB2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647FB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link w:val="SOText2"/>
    <w:rsid w:val="00647FB2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647FB2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Heading1Char">
    <w:name w:val="Heading 1 Char"/>
    <w:link w:val="Heading1"/>
    <w:uiPriority w:val="9"/>
    <w:rsid w:val="008607C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uiPriority w:val="9"/>
    <w:semiHidden/>
    <w:rsid w:val="008607C2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uiPriority w:val="9"/>
    <w:semiHidden/>
    <w:rsid w:val="008607C2"/>
    <w:rPr>
      <w:rFonts w:ascii="Cambria" w:eastAsia="Times New Roman" w:hAnsi="Cambria" w:cs="Times New Roman"/>
      <w:b/>
      <w:bCs/>
      <w:color w:val="4F81BD"/>
      <w:sz w:val="22"/>
    </w:rPr>
  </w:style>
  <w:style w:type="character" w:customStyle="1" w:styleId="Heading4Char">
    <w:name w:val="Heading 4 Char"/>
    <w:link w:val="Heading4"/>
    <w:uiPriority w:val="9"/>
    <w:semiHidden/>
    <w:rsid w:val="008607C2"/>
    <w:rPr>
      <w:rFonts w:ascii="Cambria" w:eastAsia="Times New Roman" w:hAnsi="Cambria" w:cs="Times New Roman"/>
      <w:b/>
      <w:bCs/>
      <w:i/>
      <w:iCs/>
      <w:color w:val="4F81BD"/>
      <w:sz w:val="22"/>
    </w:rPr>
  </w:style>
  <w:style w:type="character" w:customStyle="1" w:styleId="Heading5Char">
    <w:name w:val="Heading 5 Char"/>
    <w:link w:val="Heading5"/>
    <w:uiPriority w:val="9"/>
    <w:semiHidden/>
    <w:rsid w:val="008607C2"/>
    <w:rPr>
      <w:rFonts w:ascii="Cambria" w:eastAsia="Times New Roman" w:hAnsi="Cambria" w:cs="Times New Roman"/>
      <w:color w:val="243F60"/>
      <w:sz w:val="22"/>
    </w:rPr>
  </w:style>
  <w:style w:type="character" w:customStyle="1" w:styleId="Heading6Char">
    <w:name w:val="Heading 6 Char"/>
    <w:link w:val="Heading6"/>
    <w:uiPriority w:val="9"/>
    <w:semiHidden/>
    <w:rsid w:val="008607C2"/>
    <w:rPr>
      <w:rFonts w:ascii="Cambria" w:eastAsia="Times New Roman" w:hAnsi="Cambria" w:cs="Times New Roman"/>
      <w:i/>
      <w:iCs/>
      <w:color w:val="243F60"/>
      <w:sz w:val="22"/>
    </w:rPr>
  </w:style>
  <w:style w:type="character" w:customStyle="1" w:styleId="Heading7Char">
    <w:name w:val="Heading 7 Char"/>
    <w:link w:val="Heading7"/>
    <w:uiPriority w:val="9"/>
    <w:semiHidden/>
    <w:rsid w:val="008607C2"/>
    <w:rPr>
      <w:rFonts w:ascii="Cambria" w:eastAsia="Times New Roman" w:hAnsi="Cambria" w:cs="Times New Roman"/>
      <w:i/>
      <w:iCs/>
      <w:color w:val="404040"/>
      <w:sz w:val="22"/>
    </w:rPr>
  </w:style>
  <w:style w:type="character" w:customStyle="1" w:styleId="Heading8Char">
    <w:name w:val="Heading 8 Char"/>
    <w:link w:val="Heading8"/>
    <w:uiPriority w:val="9"/>
    <w:semiHidden/>
    <w:rsid w:val="008607C2"/>
    <w:rPr>
      <w:rFonts w:ascii="Cambria" w:eastAsia="Times New Roman" w:hAnsi="Cambria" w:cs="Times New Roman"/>
      <w:color w:val="404040"/>
    </w:rPr>
  </w:style>
  <w:style w:type="character" w:customStyle="1" w:styleId="Heading9Char">
    <w:name w:val="Heading 9 Char"/>
    <w:link w:val="Heading9"/>
    <w:uiPriority w:val="9"/>
    <w:semiHidden/>
    <w:rsid w:val="008607C2"/>
    <w:rPr>
      <w:rFonts w:ascii="Cambria" w:eastAsia="Times New Roman" w:hAnsi="Cambria" w:cs="Times New Roman"/>
      <w:i/>
      <w:iCs/>
      <w:color w:val="4040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796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B796D"/>
    <w:rPr>
      <w:rFonts w:ascii="Tahoma" w:hAnsi="Tahoma" w:cs="Tahoma"/>
      <w:sz w:val="16"/>
      <w:szCs w:val="16"/>
    </w:rPr>
  </w:style>
  <w:style w:type="table" w:customStyle="1" w:styleId="TableGrid">
    <w:name w:val="TableGrid"/>
    <w:rsid w:val="00431A9F"/>
    <w:rPr>
      <w:rFonts w:ascii="Calibri" w:eastAsia="Times New Roman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755A88"/>
    <w:rPr>
      <w:rFonts w:ascii="Calibri" w:eastAsia="Times New Roman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aRoman">
    <w:name w:val="paraRoman"/>
    <w:basedOn w:val="Normal"/>
    <w:rsid w:val="00CA7E4B"/>
    <w:pPr>
      <w:numPr>
        <w:numId w:val="21"/>
      </w:numPr>
      <w:spacing w:after="32" w:line="248" w:lineRule="auto"/>
    </w:pPr>
    <w:rPr>
      <w:rFonts w:eastAsia="Times New Roman"/>
      <w:color w:val="000000"/>
      <w:szCs w:val="22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47FB2"/>
    <w:pPr>
      <w:spacing w:line="260" w:lineRule="atLeast"/>
    </w:pPr>
    <w:rPr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07C2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07C2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07C2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07C2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07C2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07C2"/>
    <w:pPr>
      <w:keepNext/>
      <w:keepLines/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07C2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07C2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07C2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647FB2"/>
  </w:style>
  <w:style w:type="paragraph" w:customStyle="1" w:styleId="OPCParaBase">
    <w:name w:val="OPCParaBase"/>
    <w:qFormat/>
    <w:rsid w:val="00647FB2"/>
    <w:pPr>
      <w:spacing w:line="260" w:lineRule="atLeast"/>
    </w:pPr>
    <w:rPr>
      <w:rFonts w:eastAsia="Times New Roman"/>
      <w:sz w:val="22"/>
    </w:rPr>
  </w:style>
  <w:style w:type="paragraph" w:customStyle="1" w:styleId="ShortT">
    <w:name w:val="ShortT"/>
    <w:basedOn w:val="OPCParaBase"/>
    <w:next w:val="Normal"/>
    <w:qFormat/>
    <w:rsid w:val="00647FB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8D496F"/>
    <w:pPr>
      <w:keepNext/>
      <w:keepLines/>
      <w:spacing w:line="240" w:lineRule="auto"/>
      <w:ind w:left="1134" w:hanging="1134"/>
      <w:outlineLvl w:val="0"/>
    </w:pPr>
    <w:rPr>
      <w:rFonts w:ascii="Arial" w:hAnsi="Arial"/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47FB2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8D496F"/>
    <w:pPr>
      <w:keepNext/>
      <w:keepLines/>
      <w:tabs>
        <w:tab w:val="left" w:pos="426"/>
      </w:tabs>
      <w:spacing w:before="240" w:line="240" w:lineRule="auto"/>
      <w:ind w:left="426" w:hanging="426"/>
      <w:outlineLvl w:val="2"/>
    </w:pPr>
    <w:rPr>
      <w:rFonts w:eastAsia="Arial"/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47FB2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647FB2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647FB2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647FB2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647FB2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647FB2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647FB2"/>
  </w:style>
  <w:style w:type="paragraph" w:customStyle="1" w:styleId="Blocks">
    <w:name w:val="Blocks"/>
    <w:aliases w:val="bb"/>
    <w:basedOn w:val="OPCParaBase"/>
    <w:qFormat/>
    <w:rsid w:val="00647FB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647FB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647FB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647FB2"/>
    <w:rPr>
      <w:i/>
    </w:rPr>
  </w:style>
  <w:style w:type="paragraph" w:customStyle="1" w:styleId="BoxList">
    <w:name w:val="BoxList"/>
    <w:aliases w:val="bl"/>
    <w:basedOn w:val="BoxText"/>
    <w:qFormat/>
    <w:rsid w:val="00647FB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647FB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647FB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647FB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647FB2"/>
  </w:style>
  <w:style w:type="character" w:customStyle="1" w:styleId="CharAmPartText">
    <w:name w:val="CharAmPartText"/>
    <w:basedOn w:val="OPCCharBase"/>
    <w:uiPriority w:val="1"/>
    <w:qFormat/>
    <w:rsid w:val="00647FB2"/>
  </w:style>
  <w:style w:type="character" w:customStyle="1" w:styleId="CharAmSchNo">
    <w:name w:val="CharAmSchNo"/>
    <w:basedOn w:val="OPCCharBase"/>
    <w:uiPriority w:val="1"/>
    <w:qFormat/>
    <w:rsid w:val="00647FB2"/>
  </w:style>
  <w:style w:type="character" w:customStyle="1" w:styleId="CharAmSchText">
    <w:name w:val="CharAmSchText"/>
    <w:basedOn w:val="OPCCharBase"/>
    <w:uiPriority w:val="1"/>
    <w:qFormat/>
    <w:rsid w:val="00647FB2"/>
  </w:style>
  <w:style w:type="character" w:customStyle="1" w:styleId="CharBoldItalic">
    <w:name w:val="CharBoldItalic"/>
    <w:uiPriority w:val="1"/>
    <w:qFormat/>
    <w:rsid w:val="00647FB2"/>
    <w:rPr>
      <w:b/>
      <w:i/>
    </w:rPr>
  </w:style>
  <w:style w:type="character" w:customStyle="1" w:styleId="CharChapNo">
    <w:name w:val="CharChapNo"/>
    <w:basedOn w:val="OPCCharBase"/>
    <w:uiPriority w:val="1"/>
    <w:qFormat/>
    <w:rsid w:val="00647FB2"/>
  </w:style>
  <w:style w:type="character" w:customStyle="1" w:styleId="CharChapText">
    <w:name w:val="CharChapText"/>
    <w:basedOn w:val="OPCCharBase"/>
    <w:uiPriority w:val="1"/>
    <w:qFormat/>
    <w:rsid w:val="00647FB2"/>
  </w:style>
  <w:style w:type="character" w:customStyle="1" w:styleId="CharDivNo">
    <w:name w:val="CharDivNo"/>
    <w:basedOn w:val="OPCCharBase"/>
    <w:uiPriority w:val="1"/>
    <w:qFormat/>
    <w:rsid w:val="00647FB2"/>
  </w:style>
  <w:style w:type="character" w:customStyle="1" w:styleId="CharDivText">
    <w:name w:val="CharDivText"/>
    <w:basedOn w:val="OPCCharBase"/>
    <w:uiPriority w:val="1"/>
    <w:qFormat/>
    <w:rsid w:val="00647FB2"/>
  </w:style>
  <w:style w:type="character" w:customStyle="1" w:styleId="CharItalic">
    <w:name w:val="CharItalic"/>
    <w:uiPriority w:val="1"/>
    <w:qFormat/>
    <w:rsid w:val="00647FB2"/>
    <w:rPr>
      <w:i/>
    </w:rPr>
  </w:style>
  <w:style w:type="character" w:customStyle="1" w:styleId="CharPartNo">
    <w:name w:val="CharPartNo"/>
    <w:basedOn w:val="OPCCharBase"/>
    <w:uiPriority w:val="1"/>
    <w:qFormat/>
    <w:rsid w:val="00647FB2"/>
  </w:style>
  <w:style w:type="character" w:customStyle="1" w:styleId="CharPartText">
    <w:name w:val="CharPartText"/>
    <w:basedOn w:val="OPCCharBase"/>
    <w:uiPriority w:val="1"/>
    <w:qFormat/>
    <w:rsid w:val="00647FB2"/>
  </w:style>
  <w:style w:type="character" w:customStyle="1" w:styleId="CharSectno">
    <w:name w:val="CharSectno"/>
    <w:basedOn w:val="OPCCharBase"/>
    <w:uiPriority w:val="1"/>
    <w:qFormat/>
    <w:rsid w:val="00647FB2"/>
  </w:style>
  <w:style w:type="character" w:customStyle="1" w:styleId="CharSubdNo">
    <w:name w:val="CharSubdNo"/>
    <w:basedOn w:val="OPCCharBase"/>
    <w:uiPriority w:val="1"/>
    <w:qFormat/>
    <w:rsid w:val="00647FB2"/>
  </w:style>
  <w:style w:type="character" w:customStyle="1" w:styleId="CharSubdText">
    <w:name w:val="CharSubdText"/>
    <w:basedOn w:val="OPCCharBase"/>
    <w:uiPriority w:val="1"/>
    <w:qFormat/>
    <w:rsid w:val="00647FB2"/>
  </w:style>
  <w:style w:type="paragraph" w:customStyle="1" w:styleId="CTA--">
    <w:name w:val="CTA --"/>
    <w:basedOn w:val="OPCParaBase"/>
    <w:next w:val="Normal"/>
    <w:rsid w:val="00647FB2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47FB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47FB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47FB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647FB2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647FB2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647FB2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647FB2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647FB2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647FB2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647FB2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647FB2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647FB2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647FB2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647FB2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47FB2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647FB2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647FB2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647FB2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647FB2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647FB2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74713C"/>
    <w:pPr>
      <w:keepNext/>
      <w:keepLines/>
      <w:pBdr>
        <w:bottom w:val="single" w:sz="4" w:space="1" w:color="auto"/>
      </w:pBdr>
      <w:spacing w:line="240" w:lineRule="auto"/>
      <w:jc w:val="center"/>
    </w:pPr>
    <w:rPr>
      <w:rFonts w:ascii="Arial" w:eastAsia="Arial" w:hAnsi="Arial" w:cs="Arial"/>
      <w:b/>
      <w:sz w:val="40"/>
    </w:rPr>
  </w:style>
  <w:style w:type="character" w:customStyle="1" w:styleId="HeaderChar">
    <w:name w:val="Header Char"/>
    <w:link w:val="Header"/>
    <w:rsid w:val="0074713C"/>
    <w:rPr>
      <w:rFonts w:ascii="Arial" w:eastAsia="Arial" w:hAnsi="Arial" w:cs="Arial"/>
      <w:b/>
      <w:sz w:val="40"/>
    </w:rPr>
  </w:style>
  <w:style w:type="paragraph" w:customStyle="1" w:styleId="House">
    <w:name w:val="House"/>
    <w:basedOn w:val="OPCParaBase"/>
    <w:rsid w:val="00647FB2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647FB2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647FB2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647FB2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647FB2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647FB2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647FB2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647FB2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647FB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647FB2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530256"/>
    <w:pPr>
      <w:tabs>
        <w:tab w:val="left" w:pos="1134"/>
      </w:tabs>
      <w:spacing w:before="40" w:line="240" w:lineRule="auto"/>
      <w:ind w:left="1134" w:hanging="567"/>
    </w:pPr>
  </w:style>
  <w:style w:type="paragraph" w:customStyle="1" w:styleId="paragraphsub-sub">
    <w:name w:val="paragraph(sub-sub)"/>
    <w:aliases w:val="aaa"/>
    <w:basedOn w:val="OPCParaBase"/>
    <w:rsid w:val="00CA7E4B"/>
    <w:pPr>
      <w:tabs>
        <w:tab w:val="left" w:pos="1701"/>
      </w:tabs>
      <w:spacing w:before="40" w:line="240" w:lineRule="auto"/>
      <w:ind w:left="1701" w:hanging="567"/>
    </w:pPr>
  </w:style>
  <w:style w:type="paragraph" w:customStyle="1" w:styleId="paragraph">
    <w:name w:val="paragraph"/>
    <w:aliases w:val="a"/>
    <w:basedOn w:val="OPCParaBase"/>
    <w:rsid w:val="00530256"/>
    <w:pPr>
      <w:spacing w:before="40" w:line="240" w:lineRule="auto"/>
      <w:ind w:left="1134" w:hanging="425"/>
    </w:pPr>
  </w:style>
  <w:style w:type="paragraph" w:customStyle="1" w:styleId="ParlAmend">
    <w:name w:val="ParlAmend"/>
    <w:aliases w:val="pp"/>
    <w:basedOn w:val="OPCParaBase"/>
    <w:rsid w:val="00647FB2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647FB2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647FB2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647FB2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647FB2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647FB2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647FB2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647FB2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647FB2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647FB2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647FB2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647FB2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647FB2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647FB2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647FB2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647FB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647FB2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647FB2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647FB2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647FB2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647FB2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647FB2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47FB2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semiHidden/>
    <w:unhideWhenUsed/>
    <w:rsid w:val="00647FB2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47FB2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47FB2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47FB2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47FB2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647FB2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647FB2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647FB2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647FB2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647FB2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647FB2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647FB2"/>
    <w:pPr>
      <w:tabs>
        <w:tab w:val="center" w:pos="4153"/>
        <w:tab w:val="right" w:pos="8306"/>
      </w:tabs>
    </w:pPr>
    <w:rPr>
      <w:rFonts w:eastAsia="Times New Roman"/>
      <w:sz w:val="22"/>
      <w:szCs w:val="24"/>
    </w:rPr>
  </w:style>
  <w:style w:type="character" w:customStyle="1" w:styleId="FooterChar">
    <w:name w:val="Footer Char"/>
    <w:link w:val="Footer"/>
    <w:rsid w:val="00647FB2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uiPriority w:val="99"/>
    <w:semiHidden/>
    <w:unhideWhenUsed/>
    <w:rsid w:val="00647FB2"/>
    <w:rPr>
      <w:sz w:val="16"/>
    </w:rPr>
  </w:style>
  <w:style w:type="table" w:customStyle="1" w:styleId="CFlag">
    <w:name w:val="CFlag"/>
    <w:basedOn w:val="TableNormal"/>
    <w:uiPriority w:val="99"/>
    <w:rsid w:val="00647FB2"/>
    <w:rPr>
      <w:rFonts w:eastAsia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mpiledActNo">
    <w:name w:val="CompiledActNo"/>
    <w:basedOn w:val="OPCParaBase"/>
    <w:next w:val="Normal"/>
    <w:rsid w:val="00647FB2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647FB2"/>
    <w:rPr>
      <w:i/>
      <w:sz w:val="24"/>
      <w:szCs w:val="24"/>
    </w:rPr>
  </w:style>
  <w:style w:type="paragraph" w:customStyle="1" w:styleId="ENotesText">
    <w:name w:val="ENotesText"/>
    <w:basedOn w:val="OPCParaBase"/>
    <w:next w:val="Normal"/>
    <w:rsid w:val="00647FB2"/>
  </w:style>
  <w:style w:type="paragraph" w:customStyle="1" w:styleId="Paragraphsub-sub-sub">
    <w:name w:val="Paragraph(sub-sub-sub)"/>
    <w:aliases w:val="aaaa"/>
    <w:basedOn w:val="OPCParaBase"/>
    <w:rsid w:val="00647FB2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647FB2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647FB2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7FB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647FB2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647FB2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647FB2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647FB2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647FB2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647FB2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647FB2"/>
  </w:style>
  <w:style w:type="character" w:customStyle="1" w:styleId="CharSubPartNoCASA">
    <w:name w:val="CharSubPartNo(CASA)"/>
    <w:basedOn w:val="OPCCharBase"/>
    <w:uiPriority w:val="1"/>
    <w:rsid w:val="00647FB2"/>
  </w:style>
  <w:style w:type="paragraph" w:customStyle="1" w:styleId="ENoteTTIndentHeadingSub">
    <w:name w:val="ENoteTTIndentHeadingSub"/>
    <w:aliases w:val="enTTHis"/>
    <w:basedOn w:val="OPCParaBase"/>
    <w:rsid w:val="00647FB2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647FB2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647FB2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647FB2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rsid w:val="00647FB2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5D4DEA"/>
    <w:rPr>
      <w:rFonts w:ascii="Arial" w:hAnsi="Arial"/>
      <w:sz w:val="22"/>
      <w:lang w:eastAsia="en-US"/>
    </w:rPr>
  </w:style>
  <w:style w:type="paragraph" w:customStyle="1" w:styleId="SOText">
    <w:name w:val="SO Text"/>
    <w:aliases w:val="sot"/>
    <w:link w:val="SOTextChar"/>
    <w:rsid w:val="00647FB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  <w:lang w:eastAsia="en-US"/>
    </w:rPr>
  </w:style>
  <w:style w:type="character" w:customStyle="1" w:styleId="SOTextChar">
    <w:name w:val="SO Text Char"/>
    <w:aliases w:val="sot Char"/>
    <w:link w:val="SOText"/>
    <w:rsid w:val="00647FB2"/>
    <w:rPr>
      <w:sz w:val="22"/>
    </w:rPr>
  </w:style>
  <w:style w:type="paragraph" w:customStyle="1" w:styleId="SOTextNote">
    <w:name w:val="SO TextNote"/>
    <w:aliases w:val="sont"/>
    <w:basedOn w:val="SOText"/>
    <w:qFormat/>
    <w:rsid w:val="00647FB2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647FB2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link w:val="SOPara"/>
    <w:rsid w:val="00647FB2"/>
    <w:rPr>
      <w:sz w:val="22"/>
    </w:rPr>
  </w:style>
  <w:style w:type="paragraph" w:customStyle="1" w:styleId="FileName">
    <w:name w:val="FileName"/>
    <w:basedOn w:val="Normal"/>
    <w:rsid w:val="00647FB2"/>
  </w:style>
  <w:style w:type="paragraph" w:customStyle="1" w:styleId="TableHeading">
    <w:name w:val="TableHeading"/>
    <w:aliases w:val="th"/>
    <w:basedOn w:val="OPCParaBase"/>
    <w:next w:val="Tabletext"/>
    <w:rsid w:val="00647FB2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647FB2"/>
    <w:rPr>
      <w:b/>
    </w:rPr>
  </w:style>
  <w:style w:type="character" w:customStyle="1" w:styleId="SOHeadBoldChar">
    <w:name w:val="SO HeadBold Char"/>
    <w:aliases w:val="sohb Char"/>
    <w:link w:val="SOHeadBold"/>
    <w:rsid w:val="00647FB2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647FB2"/>
    <w:rPr>
      <w:i/>
    </w:rPr>
  </w:style>
  <w:style w:type="character" w:customStyle="1" w:styleId="SOHeadItalicChar">
    <w:name w:val="SO HeadItalic Char"/>
    <w:aliases w:val="sohi Char"/>
    <w:link w:val="SOHeadItalic"/>
    <w:rsid w:val="00647FB2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47FB2"/>
    <w:pPr>
      <w:ind w:left="1559" w:hanging="425"/>
    </w:pPr>
  </w:style>
  <w:style w:type="character" w:customStyle="1" w:styleId="SOBulletChar">
    <w:name w:val="SO Bullet Char"/>
    <w:aliases w:val="sotb Char"/>
    <w:link w:val="SOBullet"/>
    <w:rsid w:val="00647FB2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647FB2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link w:val="SOBulletNote"/>
    <w:rsid w:val="00647FB2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647FB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link w:val="SOText2"/>
    <w:rsid w:val="00647FB2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647FB2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Heading1Char">
    <w:name w:val="Heading 1 Char"/>
    <w:link w:val="Heading1"/>
    <w:uiPriority w:val="9"/>
    <w:rsid w:val="008607C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uiPriority w:val="9"/>
    <w:semiHidden/>
    <w:rsid w:val="008607C2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uiPriority w:val="9"/>
    <w:semiHidden/>
    <w:rsid w:val="008607C2"/>
    <w:rPr>
      <w:rFonts w:ascii="Cambria" w:eastAsia="Times New Roman" w:hAnsi="Cambria" w:cs="Times New Roman"/>
      <w:b/>
      <w:bCs/>
      <w:color w:val="4F81BD"/>
      <w:sz w:val="22"/>
    </w:rPr>
  </w:style>
  <w:style w:type="character" w:customStyle="1" w:styleId="Heading4Char">
    <w:name w:val="Heading 4 Char"/>
    <w:link w:val="Heading4"/>
    <w:uiPriority w:val="9"/>
    <w:semiHidden/>
    <w:rsid w:val="008607C2"/>
    <w:rPr>
      <w:rFonts w:ascii="Cambria" w:eastAsia="Times New Roman" w:hAnsi="Cambria" w:cs="Times New Roman"/>
      <w:b/>
      <w:bCs/>
      <w:i/>
      <w:iCs/>
      <w:color w:val="4F81BD"/>
      <w:sz w:val="22"/>
    </w:rPr>
  </w:style>
  <w:style w:type="character" w:customStyle="1" w:styleId="Heading5Char">
    <w:name w:val="Heading 5 Char"/>
    <w:link w:val="Heading5"/>
    <w:uiPriority w:val="9"/>
    <w:semiHidden/>
    <w:rsid w:val="008607C2"/>
    <w:rPr>
      <w:rFonts w:ascii="Cambria" w:eastAsia="Times New Roman" w:hAnsi="Cambria" w:cs="Times New Roman"/>
      <w:color w:val="243F60"/>
      <w:sz w:val="22"/>
    </w:rPr>
  </w:style>
  <w:style w:type="character" w:customStyle="1" w:styleId="Heading6Char">
    <w:name w:val="Heading 6 Char"/>
    <w:link w:val="Heading6"/>
    <w:uiPriority w:val="9"/>
    <w:semiHidden/>
    <w:rsid w:val="008607C2"/>
    <w:rPr>
      <w:rFonts w:ascii="Cambria" w:eastAsia="Times New Roman" w:hAnsi="Cambria" w:cs="Times New Roman"/>
      <w:i/>
      <w:iCs/>
      <w:color w:val="243F60"/>
      <w:sz w:val="22"/>
    </w:rPr>
  </w:style>
  <w:style w:type="character" w:customStyle="1" w:styleId="Heading7Char">
    <w:name w:val="Heading 7 Char"/>
    <w:link w:val="Heading7"/>
    <w:uiPriority w:val="9"/>
    <w:semiHidden/>
    <w:rsid w:val="008607C2"/>
    <w:rPr>
      <w:rFonts w:ascii="Cambria" w:eastAsia="Times New Roman" w:hAnsi="Cambria" w:cs="Times New Roman"/>
      <w:i/>
      <w:iCs/>
      <w:color w:val="404040"/>
      <w:sz w:val="22"/>
    </w:rPr>
  </w:style>
  <w:style w:type="character" w:customStyle="1" w:styleId="Heading8Char">
    <w:name w:val="Heading 8 Char"/>
    <w:link w:val="Heading8"/>
    <w:uiPriority w:val="9"/>
    <w:semiHidden/>
    <w:rsid w:val="008607C2"/>
    <w:rPr>
      <w:rFonts w:ascii="Cambria" w:eastAsia="Times New Roman" w:hAnsi="Cambria" w:cs="Times New Roman"/>
      <w:color w:val="404040"/>
    </w:rPr>
  </w:style>
  <w:style w:type="character" w:customStyle="1" w:styleId="Heading9Char">
    <w:name w:val="Heading 9 Char"/>
    <w:link w:val="Heading9"/>
    <w:uiPriority w:val="9"/>
    <w:semiHidden/>
    <w:rsid w:val="008607C2"/>
    <w:rPr>
      <w:rFonts w:ascii="Cambria" w:eastAsia="Times New Roman" w:hAnsi="Cambria" w:cs="Times New Roman"/>
      <w:i/>
      <w:iCs/>
      <w:color w:val="4040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796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B796D"/>
    <w:rPr>
      <w:rFonts w:ascii="Tahoma" w:hAnsi="Tahoma" w:cs="Tahoma"/>
      <w:sz w:val="16"/>
      <w:szCs w:val="16"/>
    </w:rPr>
  </w:style>
  <w:style w:type="table" w:customStyle="1" w:styleId="TableGrid">
    <w:name w:val="TableGrid"/>
    <w:rsid w:val="00431A9F"/>
    <w:rPr>
      <w:rFonts w:ascii="Calibri" w:eastAsia="Times New Roman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755A88"/>
    <w:rPr>
      <w:rFonts w:ascii="Calibri" w:eastAsia="Times New Roman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aRoman">
    <w:name w:val="paraRoman"/>
    <w:basedOn w:val="Normal"/>
    <w:rsid w:val="00CA7E4B"/>
    <w:pPr>
      <w:numPr>
        <w:numId w:val="21"/>
      </w:numPr>
      <w:spacing w:after="32" w:line="248" w:lineRule="auto"/>
    </w:pPr>
    <w:rPr>
      <w:rFonts w:eastAsia="Times New Roman"/>
      <w:color w:val="000000"/>
      <w:szCs w:val="22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footer" Target="footer7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23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footer" Target="footer6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B55E5F59-EDAE-4593-B4AD-114378029803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1540</Words>
  <Characters>8337</Characters>
  <Application>Microsoft Office Word</Application>
  <DocSecurity>2</DocSecurity>
  <PresentationFormat/>
  <Lines>266</Lines>
  <Paragraphs>175</Paragraphs>
  <ScaleCrop>false</ScaleCrop>
  <LinksUpToDate>false</LinksUpToDate>
  <CharactersWithSpaces>9812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Exposure Draft Legislation - Improved Superannuation Transparency</dc:title>
  <dc:subject/>
  <dc:creator/>
  <cp:keywords/>
  <cp:lastModifiedBy/>
  <cp:revision>1</cp:revision>
  <dcterms:created xsi:type="dcterms:W3CDTF">2015-11-02T04:10:00Z</dcterms:created>
  <dcterms:modified xsi:type="dcterms:W3CDTF">2015-11-02T04:10:00Z</dcterms:modified>
  <dc:language>English</dc:language>
  <cp:version/>
</cp:coreProperties>
</file>