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EC6FD8" w14:textId="390628D6" w:rsidR="0048364F" w:rsidRPr="00C701C4" w:rsidRDefault="002C7708" w:rsidP="00301DAE">
      <w:pPr>
        <w:jc w:val="center"/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017153B" wp14:editId="67E4365B">
            <wp:extent cx="15049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</w:tblGrid>
      <w:tr w:rsidR="00C701C4" w:rsidRPr="00800613" w14:paraId="70FB64DE" w14:textId="77777777" w:rsidTr="00301DAE">
        <w:tc>
          <w:tcPr>
            <w:tcW w:w="7655" w:type="dxa"/>
            <w:shd w:val="clear" w:color="auto" w:fill="auto"/>
          </w:tcPr>
          <w:p w14:paraId="782650EC" w14:textId="72CE0FDB" w:rsidR="00C701C4" w:rsidRPr="00800613" w:rsidRDefault="00C701C4" w:rsidP="00301DAE">
            <w:pPr>
              <w:spacing w:before="120" w:after="120"/>
              <w:jc w:val="center"/>
              <w:rPr>
                <w:b/>
                <w:sz w:val="20"/>
              </w:rPr>
            </w:pPr>
            <w:r w:rsidRPr="00800613">
              <w:rPr>
                <w:b/>
                <w:sz w:val="26"/>
              </w:rPr>
              <w:t>EXPOSURE DRAFT</w:t>
            </w:r>
          </w:p>
        </w:tc>
      </w:tr>
    </w:tbl>
    <w:p w14:paraId="77599181" w14:textId="77777777" w:rsidR="0048364F" w:rsidRPr="00C701C4" w:rsidRDefault="0048364F" w:rsidP="0048364F">
      <w:pPr>
        <w:rPr>
          <w:sz w:val="19"/>
        </w:rPr>
      </w:pPr>
    </w:p>
    <w:p w14:paraId="4230019E" w14:textId="77777777" w:rsidR="00C701C4" w:rsidRPr="00C701C4" w:rsidRDefault="00C701C4" w:rsidP="0048364F">
      <w:pPr>
        <w:rPr>
          <w:sz w:val="19"/>
        </w:rPr>
      </w:pPr>
    </w:p>
    <w:p w14:paraId="46BAD8B3" w14:textId="77777777" w:rsidR="0048364F" w:rsidRPr="00C701C4" w:rsidRDefault="000D7619" w:rsidP="008D47B3">
      <w:pPr>
        <w:pStyle w:val="ShortT"/>
      </w:pPr>
      <w:r w:rsidRPr="00C701C4">
        <w:t xml:space="preserve">Superannuation </w:t>
      </w:r>
      <w:r w:rsidR="00C43236" w:rsidRPr="00C701C4">
        <w:t>Legislation</w:t>
      </w:r>
      <w:r w:rsidRPr="00C701C4">
        <w:t xml:space="preserve"> Amendment (</w:t>
      </w:r>
      <w:r w:rsidR="00B47927" w:rsidRPr="00C701C4">
        <w:t>Transparency</w:t>
      </w:r>
      <w:r w:rsidRPr="00C701C4">
        <w:t xml:space="preserve"> Measures) Regulation</w:t>
      </w:r>
      <w:r w:rsidR="00C701C4" w:rsidRPr="00C701C4">
        <w:t> </w:t>
      </w:r>
      <w:r w:rsidRPr="00C701C4">
        <w:t>2015</w:t>
      </w:r>
    </w:p>
    <w:p w14:paraId="09181DC0" w14:textId="77777777" w:rsidR="0048364F" w:rsidRPr="00C701C4" w:rsidRDefault="0048364F" w:rsidP="0048364F"/>
    <w:p w14:paraId="7D3A169A" w14:textId="77777777" w:rsidR="0048364F" w:rsidRPr="00C701C4" w:rsidRDefault="00A4361F" w:rsidP="00680F17">
      <w:pPr>
        <w:pStyle w:val="InstNo"/>
      </w:pPr>
      <w:r w:rsidRPr="00C701C4">
        <w:t>Select Legislative Instrument</w:t>
      </w:r>
      <w:r w:rsidR="00154EAC" w:rsidRPr="00C701C4">
        <w:t xml:space="preserve"> </w:t>
      </w:r>
      <w:bookmarkStart w:id="1" w:name="BKCheck15B_1"/>
      <w:bookmarkEnd w:id="1"/>
      <w:r w:rsidR="00D0104A" w:rsidRPr="00C701C4">
        <w:fldChar w:fldCharType="begin"/>
      </w:r>
      <w:r w:rsidR="00D0104A" w:rsidRPr="00C701C4">
        <w:instrText xml:space="preserve"> DOCPROPERTY  ActNo </w:instrText>
      </w:r>
      <w:r w:rsidR="00D0104A" w:rsidRPr="00C701C4">
        <w:fldChar w:fldCharType="separate"/>
      </w:r>
      <w:r w:rsidR="00C701C4" w:rsidRPr="009A32ED">
        <w:rPr>
          <w:highlight w:val="yellow"/>
        </w:rPr>
        <w:t>No.      ,</w:t>
      </w:r>
      <w:r w:rsidR="00C701C4">
        <w:t xml:space="preserve"> 2015</w:t>
      </w:r>
      <w:r w:rsidR="00D0104A" w:rsidRPr="00C701C4">
        <w:fldChar w:fldCharType="end"/>
      </w:r>
    </w:p>
    <w:p w14:paraId="38821991" w14:textId="77777777" w:rsidR="00103814" w:rsidRPr="00C701C4" w:rsidRDefault="00103814" w:rsidP="00E11583">
      <w:pPr>
        <w:pStyle w:val="SignCoverPageStart"/>
        <w:spacing w:before="240"/>
        <w:rPr>
          <w:szCs w:val="22"/>
        </w:rPr>
      </w:pPr>
      <w:r w:rsidRPr="00C701C4">
        <w:rPr>
          <w:szCs w:val="22"/>
        </w:rPr>
        <w:t>I, General the Honourable Sir Peter Cosgrove AK MC (Ret’d), Governor</w:t>
      </w:r>
      <w:r w:rsidR="00C701C4">
        <w:rPr>
          <w:szCs w:val="22"/>
        </w:rPr>
        <w:noBreakHyphen/>
      </w:r>
      <w:r w:rsidRPr="00C701C4">
        <w:rPr>
          <w:szCs w:val="22"/>
        </w:rPr>
        <w:t>General of the Commonwealth of Australia, acting with the advice of the Federal Executive Council, make the following regulation.</w:t>
      </w:r>
    </w:p>
    <w:p w14:paraId="721BA0AC" w14:textId="77777777" w:rsidR="00103814" w:rsidRPr="00C701C4" w:rsidRDefault="00103814" w:rsidP="00DF12DE">
      <w:pPr>
        <w:keepNext/>
        <w:tabs>
          <w:tab w:val="left" w:pos="2835"/>
        </w:tabs>
        <w:spacing w:before="720" w:line="240" w:lineRule="atLeast"/>
        <w:ind w:right="397"/>
        <w:jc w:val="both"/>
        <w:rPr>
          <w:szCs w:val="22"/>
        </w:rPr>
      </w:pPr>
      <w:r w:rsidRPr="00C701C4">
        <w:rPr>
          <w:szCs w:val="22"/>
        </w:rPr>
        <w:t xml:space="preserve">Dated </w:t>
      </w:r>
      <w:r w:rsidRPr="00C701C4">
        <w:rPr>
          <w:szCs w:val="22"/>
        </w:rPr>
        <w:tab/>
      </w:r>
      <w:bookmarkStart w:id="2" w:name="BKCheck15B_2"/>
      <w:bookmarkEnd w:id="2"/>
      <w:r w:rsidRPr="00C701C4">
        <w:rPr>
          <w:szCs w:val="22"/>
        </w:rPr>
        <w:fldChar w:fldCharType="begin"/>
      </w:r>
      <w:r w:rsidRPr="00C701C4">
        <w:rPr>
          <w:szCs w:val="22"/>
        </w:rPr>
        <w:instrText xml:space="preserve"> DOCPROPERTY  DateMade </w:instrText>
      </w:r>
      <w:r w:rsidRPr="00C701C4">
        <w:rPr>
          <w:szCs w:val="22"/>
        </w:rPr>
        <w:fldChar w:fldCharType="separate"/>
      </w:r>
      <w:r w:rsidR="00C701C4">
        <w:rPr>
          <w:szCs w:val="22"/>
        </w:rPr>
        <w:t>2015</w:t>
      </w:r>
      <w:r w:rsidRPr="00C701C4">
        <w:rPr>
          <w:szCs w:val="22"/>
        </w:rPr>
        <w:fldChar w:fldCharType="end"/>
      </w:r>
    </w:p>
    <w:p w14:paraId="28EFCDE3" w14:textId="77777777" w:rsidR="00103814" w:rsidRPr="00C701C4" w:rsidRDefault="00103814" w:rsidP="00E1158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701C4">
        <w:rPr>
          <w:szCs w:val="22"/>
        </w:rPr>
        <w:t>Peter Cosgrove</w:t>
      </w:r>
    </w:p>
    <w:p w14:paraId="12BA4A6B" w14:textId="77777777" w:rsidR="00103814" w:rsidRPr="00C701C4" w:rsidRDefault="00103814" w:rsidP="00E1158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701C4">
        <w:rPr>
          <w:szCs w:val="22"/>
        </w:rPr>
        <w:t>Governor</w:t>
      </w:r>
      <w:r w:rsidR="00C701C4">
        <w:rPr>
          <w:szCs w:val="22"/>
        </w:rPr>
        <w:noBreakHyphen/>
      </w:r>
      <w:r w:rsidRPr="00C701C4">
        <w:rPr>
          <w:szCs w:val="22"/>
        </w:rPr>
        <w:t>General</w:t>
      </w:r>
    </w:p>
    <w:p w14:paraId="0FC5B341" w14:textId="77777777" w:rsidR="00103814" w:rsidRPr="00C701C4" w:rsidRDefault="00103814" w:rsidP="00E1158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701C4">
        <w:rPr>
          <w:szCs w:val="22"/>
        </w:rPr>
        <w:t>By His Excellency’s Command</w:t>
      </w:r>
    </w:p>
    <w:p w14:paraId="2E7A89EC" w14:textId="77777777" w:rsidR="00103814" w:rsidRPr="00C701C4" w:rsidRDefault="00E343DF" w:rsidP="00E1158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Kelly O’Dwyer</w:t>
      </w:r>
      <w:r w:rsidR="00103814" w:rsidRPr="00C701C4">
        <w:t xml:space="preserve"> </w:t>
      </w:r>
      <w:r w:rsidR="00103814" w:rsidRPr="00C701C4">
        <w:rPr>
          <w:b/>
          <w:szCs w:val="22"/>
        </w:rPr>
        <w:t>[DRAFT ONLY—NOT FOR SIGNATURE]</w:t>
      </w:r>
    </w:p>
    <w:p w14:paraId="2E09FD40" w14:textId="77777777" w:rsidR="00103814" w:rsidRPr="00C701C4" w:rsidRDefault="00E343DF" w:rsidP="00E11583">
      <w:pPr>
        <w:pStyle w:val="SignCoverPageEnd"/>
        <w:rPr>
          <w:szCs w:val="22"/>
        </w:rPr>
      </w:pPr>
      <w:r>
        <w:rPr>
          <w:szCs w:val="22"/>
        </w:rPr>
        <w:t>Minister for Small Business and Assistant Treasurer</w:t>
      </w:r>
    </w:p>
    <w:p w14:paraId="504543E9" w14:textId="77777777" w:rsidR="00103814" w:rsidRPr="00C701C4" w:rsidRDefault="00103814" w:rsidP="00103814"/>
    <w:p w14:paraId="0C4B1C50" w14:textId="77777777" w:rsidR="0048364F" w:rsidRPr="00DF12DE" w:rsidRDefault="0048364F" w:rsidP="00DF12DE"/>
    <w:p w14:paraId="3889D44C" w14:textId="77777777" w:rsidR="0048364F" w:rsidRPr="00DF12DE" w:rsidRDefault="0048364F" w:rsidP="00DF12DE">
      <w:pPr>
        <w:sectPr w:rsidR="0048364F" w:rsidRPr="00DF12DE" w:rsidSect="00301DA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1AA23A08" w14:textId="77777777" w:rsidR="0048364F" w:rsidRPr="00C701C4" w:rsidRDefault="0048364F" w:rsidP="00DF12DE">
      <w:pPr>
        <w:pStyle w:val="TOCHeading"/>
      </w:pPr>
      <w:r w:rsidRPr="00C701C4">
        <w:lastRenderedPageBreak/>
        <w:t>Contents</w:t>
      </w:r>
    </w:p>
    <w:bookmarkStart w:id="3" w:name="BKCheck15B_3"/>
    <w:bookmarkEnd w:id="3"/>
    <w:p w14:paraId="1849B468" w14:textId="77777777" w:rsidR="00C92FE4" w:rsidRDefault="00452F75" w:rsidP="00301DAE">
      <w:pPr>
        <w:pStyle w:val="TOC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fldChar w:fldCharType="begin"/>
      </w:r>
      <w:r>
        <w:instrText xml:space="preserve"> TOC \o "1-1" \t "Heading 2,2,Heading 3,3,Heading 4,4,Heading 5,5,Heading 6,6,Heading 7,7,Heading 8,8,Heading 9,9,ActHead 3,3,ENotesHeading 1,2,ENotesHeading 2,3,ENotesHeading 3,5,SubPart(CASA),2" </w:instrText>
      </w:r>
      <w:r>
        <w:fldChar w:fldCharType="separate"/>
      </w:r>
      <w:r w:rsidR="00C92FE4">
        <w:t>Schedule 1—Product dashboards</w:t>
      </w:r>
      <w:r w:rsidR="00C92FE4">
        <w:tab/>
      </w:r>
      <w:r w:rsidR="00C92FE4">
        <w:fldChar w:fldCharType="begin"/>
      </w:r>
      <w:r w:rsidR="00C92FE4">
        <w:instrText xml:space="preserve"> PAGEREF _Toc433988524 \h </w:instrText>
      </w:r>
      <w:r w:rsidR="00C92FE4">
        <w:fldChar w:fldCharType="separate"/>
      </w:r>
      <w:r w:rsidR="006A66AD">
        <w:t>3</w:t>
      </w:r>
      <w:r w:rsidR="00C92FE4">
        <w:fldChar w:fldCharType="end"/>
      </w:r>
    </w:p>
    <w:p w14:paraId="5E9ABB31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1  Subsection 7.9.01(1)</w:t>
      </w:r>
      <w:r>
        <w:tab/>
      </w:r>
      <w:r>
        <w:fldChar w:fldCharType="begin"/>
      </w:r>
      <w:r>
        <w:instrText xml:space="preserve"> PAGEREF _Toc433988525 \h </w:instrText>
      </w:r>
      <w:r>
        <w:fldChar w:fldCharType="separate"/>
      </w:r>
      <w:r w:rsidR="006A66AD">
        <w:t>3</w:t>
      </w:r>
      <w:r>
        <w:fldChar w:fldCharType="end"/>
      </w:r>
    </w:p>
    <w:p w14:paraId="710C3697" w14:textId="77777777" w:rsidR="00C92FE4" w:rsidRPr="00301DAE" w:rsidRDefault="00C92FE4" w:rsidP="00301DAE">
      <w:pPr>
        <w:pStyle w:val="TOC3"/>
        <w:rPr>
          <w:rFonts w:eastAsiaTheme="minorEastAsia"/>
        </w:rPr>
      </w:pPr>
      <w:r>
        <w:t>2  Division 2E of Part 7.9</w:t>
      </w:r>
      <w:r>
        <w:tab/>
      </w:r>
      <w:r>
        <w:fldChar w:fldCharType="begin"/>
      </w:r>
      <w:r>
        <w:instrText xml:space="preserve"> PAGEREF _Toc433988526 \h </w:instrText>
      </w:r>
      <w:r>
        <w:fldChar w:fldCharType="separate"/>
      </w:r>
      <w:r w:rsidR="006A66AD">
        <w:t>3</w:t>
      </w:r>
      <w:r>
        <w:fldChar w:fldCharType="end"/>
      </w:r>
    </w:p>
    <w:p w14:paraId="7C973F5B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3  Paragraph 7.9.20(1)(o)</w:t>
      </w:r>
      <w:r>
        <w:tab/>
      </w:r>
      <w:r>
        <w:fldChar w:fldCharType="begin"/>
      </w:r>
      <w:r>
        <w:instrText xml:space="preserve"> PAGEREF _Toc433988527 \h </w:instrText>
      </w:r>
      <w:r>
        <w:fldChar w:fldCharType="separate"/>
      </w:r>
      <w:r w:rsidR="006A66AD">
        <w:t>9</w:t>
      </w:r>
      <w:r>
        <w:fldChar w:fldCharType="end"/>
      </w:r>
    </w:p>
    <w:p w14:paraId="516673AE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4  After Schedule 8D</w:t>
      </w:r>
      <w:r>
        <w:tab/>
      </w:r>
      <w:r>
        <w:fldChar w:fldCharType="begin"/>
      </w:r>
      <w:r>
        <w:instrText xml:space="preserve"> PAGEREF _Toc433988528 \h </w:instrText>
      </w:r>
      <w:r>
        <w:fldChar w:fldCharType="separate"/>
      </w:r>
      <w:r w:rsidR="006A66AD">
        <w:t>9</w:t>
      </w:r>
      <w:r>
        <w:fldChar w:fldCharType="end"/>
      </w:r>
    </w:p>
    <w:p w14:paraId="6270AA28" w14:textId="77777777" w:rsidR="00C92FE4" w:rsidRDefault="00C92FE4" w:rsidP="00301DAE">
      <w:pPr>
        <w:pStyle w:val="TOC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Schedule 8E—Example product dashboard</w:t>
      </w:r>
      <w:r>
        <w:tab/>
      </w:r>
      <w:r>
        <w:fldChar w:fldCharType="begin"/>
      </w:r>
      <w:r>
        <w:instrText xml:space="preserve"> PAGEREF _Toc433988529 \h </w:instrText>
      </w:r>
      <w:r>
        <w:fldChar w:fldCharType="separate"/>
      </w:r>
      <w:r w:rsidR="006A66AD">
        <w:t>11</w:t>
      </w:r>
      <w:r>
        <w:fldChar w:fldCharType="end"/>
      </w:r>
    </w:p>
    <w:p w14:paraId="173CB978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5  Part 6A of Schedule 10A</w:t>
      </w:r>
      <w:r>
        <w:tab/>
      </w:r>
      <w:r>
        <w:fldChar w:fldCharType="begin"/>
      </w:r>
      <w:r>
        <w:instrText xml:space="preserve"> PAGEREF _Toc433988530 \h </w:instrText>
      </w:r>
      <w:r>
        <w:fldChar w:fldCharType="separate"/>
      </w:r>
      <w:r w:rsidR="006A66AD">
        <w:t>11</w:t>
      </w:r>
      <w:r>
        <w:fldChar w:fldCharType="end"/>
      </w:r>
    </w:p>
    <w:p w14:paraId="0FA3EA84" w14:textId="77777777" w:rsidR="00C92FE4" w:rsidRDefault="00C92FE4" w:rsidP="00301DAE">
      <w:pPr>
        <w:pStyle w:val="TOC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Schedule 2—Portfolio holdings disclosure</w:t>
      </w:r>
      <w:r>
        <w:tab/>
      </w:r>
      <w:r>
        <w:fldChar w:fldCharType="begin"/>
      </w:r>
      <w:r>
        <w:instrText xml:space="preserve"> PAGEREF _Toc433988531 \h </w:instrText>
      </w:r>
      <w:r>
        <w:fldChar w:fldCharType="separate"/>
      </w:r>
      <w:r w:rsidR="006A66AD">
        <w:t>13</w:t>
      </w:r>
      <w:r>
        <w:fldChar w:fldCharType="end"/>
      </w:r>
    </w:p>
    <w:p w14:paraId="1E688D17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1  At the end of Division 2E of Part 7.9</w:t>
      </w:r>
      <w:r>
        <w:tab/>
      </w:r>
      <w:r>
        <w:fldChar w:fldCharType="begin"/>
      </w:r>
      <w:r>
        <w:instrText xml:space="preserve"> PAGEREF _Toc433988532 \h </w:instrText>
      </w:r>
      <w:r>
        <w:fldChar w:fldCharType="separate"/>
      </w:r>
      <w:r w:rsidR="006A66AD">
        <w:t>13</w:t>
      </w:r>
      <w:r>
        <w:fldChar w:fldCharType="end"/>
      </w:r>
    </w:p>
    <w:p w14:paraId="2BF97B9B" w14:textId="77777777" w:rsidR="00C92FE4" w:rsidRDefault="00C92FE4" w:rsidP="00301DAE">
      <w:pPr>
        <w:pStyle w:val="TOC3"/>
        <w:rPr>
          <w:rFonts w:asciiTheme="minorHAnsi" w:eastAsiaTheme="minorEastAsia" w:hAnsiTheme="minorHAnsi" w:cstheme="minorBidi"/>
          <w:kern w:val="0"/>
          <w:szCs w:val="22"/>
        </w:rPr>
      </w:pPr>
      <w:r>
        <w:t>2  After Schedule 8E</w:t>
      </w:r>
      <w:r>
        <w:tab/>
      </w:r>
      <w:r>
        <w:fldChar w:fldCharType="begin"/>
      </w:r>
      <w:r>
        <w:instrText xml:space="preserve"> PAGEREF _Toc433988533 \h </w:instrText>
      </w:r>
      <w:r>
        <w:fldChar w:fldCharType="separate"/>
      </w:r>
      <w:r w:rsidR="006A66AD">
        <w:t>16</w:t>
      </w:r>
      <w:r>
        <w:fldChar w:fldCharType="end"/>
      </w:r>
    </w:p>
    <w:p w14:paraId="1D07B164" w14:textId="77777777" w:rsidR="00C92FE4" w:rsidRDefault="00C92FE4" w:rsidP="00301DAE">
      <w:pPr>
        <w:pStyle w:val="TOC1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>
        <w:t>Schedule 8F—Way to organise portfolio holding information</w:t>
      </w:r>
      <w:r>
        <w:tab/>
      </w:r>
      <w:r>
        <w:fldChar w:fldCharType="begin"/>
      </w:r>
      <w:r>
        <w:instrText xml:space="preserve"> PAGEREF _Toc433988534 \h </w:instrText>
      </w:r>
      <w:r>
        <w:fldChar w:fldCharType="separate"/>
      </w:r>
      <w:r w:rsidR="006A66AD">
        <w:t>17</w:t>
      </w:r>
      <w:r>
        <w:fldChar w:fldCharType="end"/>
      </w:r>
    </w:p>
    <w:p w14:paraId="46CDB921" w14:textId="51565C6A" w:rsidR="00833416" w:rsidRPr="00C701C4" w:rsidRDefault="00452F75" w:rsidP="00452F75">
      <w:r>
        <w:fldChar w:fldCharType="end"/>
      </w:r>
    </w:p>
    <w:p w14:paraId="5D44009A" w14:textId="77777777" w:rsidR="00722023" w:rsidRDefault="00722023" w:rsidP="0048364F"/>
    <w:p w14:paraId="38871F43" w14:textId="77777777" w:rsidR="00452F75" w:rsidRPr="00452F75" w:rsidRDefault="00452F75" w:rsidP="00452F75">
      <w:pPr>
        <w:sectPr w:rsidR="00452F75" w:rsidRPr="00452F75" w:rsidSect="00301DAE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466" w:right="2098" w:bottom="2466" w:left="2098" w:header="1899" w:footer="1899" w:gutter="0"/>
          <w:pgNumType w:fmt="lowerRoman" w:start="1"/>
          <w:cols w:space="708"/>
          <w:docGrid w:linePitch="360"/>
        </w:sectPr>
      </w:pPr>
    </w:p>
    <w:p w14:paraId="14D7F714" w14:textId="77777777" w:rsidR="0048364F" w:rsidRPr="00C701C4" w:rsidRDefault="0048364F" w:rsidP="00DF12DE">
      <w:pPr>
        <w:pStyle w:val="ActHead5"/>
        <w:spacing w:before="0"/>
        <w:outlineLvl w:val="9"/>
      </w:pPr>
      <w:r w:rsidRPr="00C701C4">
        <w:rPr>
          <w:rStyle w:val="CharSectno"/>
        </w:rPr>
        <w:lastRenderedPageBreak/>
        <w:t>1</w:t>
      </w:r>
      <w:r w:rsidRPr="00C701C4">
        <w:t xml:space="preserve">  </w:t>
      </w:r>
      <w:r w:rsidR="004F676E" w:rsidRPr="00C701C4">
        <w:t>Name</w:t>
      </w:r>
    </w:p>
    <w:p w14:paraId="3C2E79A8" w14:textId="1F9357A2" w:rsidR="0048364F" w:rsidRPr="00C701C4" w:rsidRDefault="0048364F" w:rsidP="007164E7">
      <w:pPr>
        <w:pStyle w:val="subsection"/>
      </w:pPr>
      <w:r w:rsidRPr="00C701C4">
        <w:tab/>
      </w:r>
      <w:r w:rsidR="00723B39">
        <w:tab/>
      </w:r>
      <w:r w:rsidRPr="00C701C4">
        <w:t>Th</w:t>
      </w:r>
      <w:r w:rsidR="00F24C35" w:rsidRPr="00C701C4">
        <w:t>is</w:t>
      </w:r>
      <w:r w:rsidRPr="00C701C4">
        <w:t xml:space="preserve"> </w:t>
      </w:r>
      <w:r w:rsidR="00F24C35" w:rsidRPr="00C701C4">
        <w:t>is</w:t>
      </w:r>
      <w:r w:rsidR="003801D0" w:rsidRPr="00C701C4">
        <w:t xml:space="preserve"> the</w:t>
      </w:r>
      <w:r w:rsidRPr="00C701C4">
        <w:t xml:space="preserve"> </w:t>
      </w:r>
      <w:r w:rsidR="008D47B3" w:rsidRPr="00C701C4">
        <w:t>Superannuation L</w:t>
      </w:r>
      <w:r w:rsidR="00C43236" w:rsidRPr="00C701C4">
        <w:t>egislation</w:t>
      </w:r>
      <w:r w:rsidR="008D47B3" w:rsidRPr="00C701C4">
        <w:t xml:space="preserve"> Amendment (</w:t>
      </w:r>
      <w:r w:rsidR="00B47927" w:rsidRPr="00C701C4">
        <w:t>Transparency</w:t>
      </w:r>
      <w:r w:rsidR="008D47B3" w:rsidRPr="00C701C4">
        <w:t xml:space="preserve"> Measures) Regulation</w:t>
      </w:r>
      <w:r w:rsidR="00C701C4" w:rsidRPr="00C701C4">
        <w:t> </w:t>
      </w:r>
      <w:r w:rsidR="008D47B3" w:rsidRPr="00C701C4">
        <w:t>2015</w:t>
      </w:r>
      <w:r w:rsidRPr="00C701C4">
        <w:t>.</w:t>
      </w:r>
    </w:p>
    <w:p w14:paraId="5DFDEF22" w14:textId="77777777" w:rsidR="0048364F" w:rsidRPr="00C701C4" w:rsidRDefault="0048364F" w:rsidP="00DF12DE">
      <w:pPr>
        <w:pStyle w:val="ActHead5"/>
        <w:outlineLvl w:val="9"/>
      </w:pPr>
      <w:r w:rsidRPr="00C701C4">
        <w:rPr>
          <w:rStyle w:val="CharSectno"/>
        </w:rPr>
        <w:t>2</w:t>
      </w:r>
      <w:r w:rsidRPr="00C701C4">
        <w:t xml:space="preserve">  Commencement</w:t>
      </w:r>
    </w:p>
    <w:p w14:paraId="71CBC1AB" w14:textId="77777777" w:rsidR="00DC60F3" w:rsidRPr="00C701C4" w:rsidRDefault="00DC60F3" w:rsidP="007164E7">
      <w:pPr>
        <w:pStyle w:val="subsection"/>
      </w:pPr>
      <w:r w:rsidRPr="00C701C4">
        <w:tab/>
        <w:t>(1)</w:t>
      </w:r>
      <w:r w:rsidRPr="00C701C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0D1A08D" w14:textId="77777777" w:rsidR="00DC60F3" w:rsidRPr="00C701C4" w:rsidRDefault="00DC60F3" w:rsidP="00790A7C">
      <w:pPr>
        <w:pStyle w:val="Tabletext"/>
      </w:pPr>
    </w:p>
    <w:tbl>
      <w:tblPr>
        <w:tblW w:w="7655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551"/>
        <w:gridCol w:w="3119"/>
        <w:gridCol w:w="1985"/>
      </w:tblGrid>
      <w:tr w:rsidR="00DC60F3" w:rsidRPr="00800613" w14:paraId="799983E5" w14:textId="77777777" w:rsidTr="0067316A">
        <w:trPr>
          <w:tblHeader/>
        </w:trPr>
        <w:tc>
          <w:tcPr>
            <w:tcW w:w="7655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75091C8F" w14:textId="77777777" w:rsidR="00DC60F3" w:rsidRPr="00C701C4" w:rsidRDefault="00DC60F3" w:rsidP="00790A7C">
            <w:pPr>
              <w:pStyle w:val="TableHeading"/>
            </w:pPr>
            <w:r w:rsidRPr="00C701C4">
              <w:t>Commencement information</w:t>
            </w:r>
          </w:p>
        </w:tc>
      </w:tr>
      <w:tr w:rsidR="00DC60F3" w:rsidRPr="00800613" w14:paraId="71CD66D5" w14:textId="77777777" w:rsidTr="0067316A">
        <w:trPr>
          <w:tblHeader/>
        </w:trPr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165E241" w14:textId="77777777" w:rsidR="00DC60F3" w:rsidRPr="00C701C4" w:rsidRDefault="00DC60F3" w:rsidP="00790A7C">
            <w:pPr>
              <w:pStyle w:val="TableHeading"/>
            </w:pPr>
            <w:r w:rsidRPr="00C701C4">
              <w:t>Column 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0CA5870C" w14:textId="77777777" w:rsidR="00DC60F3" w:rsidRPr="00C701C4" w:rsidRDefault="00DC60F3" w:rsidP="00790A7C">
            <w:pPr>
              <w:pStyle w:val="TableHeading"/>
            </w:pPr>
            <w:r w:rsidRPr="00C701C4">
              <w:t>Column 2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453A8A03" w14:textId="77777777" w:rsidR="00DC60F3" w:rsidRPr="00C701C4" w:rsidRDefault="00DC60F3" w:rsidP="00790A7C">
            <w:pPr>
              <w:pStyle w:val="TableHeading"/>
            </w:pPr>
            <w:r w:rsidRPr="00C701C4">
              <w:t>Column 3</w:t>
            </w:r>
          </w:p>
        </w:tc>
      </w:tr>
      <w:tr w:rsidR="00DC60F3" w:rsidRPr="00800613" w14:paraId="0995A506" w14:textId="77777777" w:rsidTr="0067316A">
        <w:trPr>
          <w:tblHeader/>
        </w:trPr>
        <w:tc>
          <w:tcPr>
            <w:tcW w:w="255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6FEF0019" w14:textId="77777777" w:rsidR="00DC60F3" w:rsidRPr="00C701C4" w:rsidRDefault="00DC60F3" w:rsidP="00790A7C">
            <w:pPr>
              <w:pStyle w:val="TableHeading"/>
            </w:pPr>
            <w:r w:rsidRPr="00C701C4">
              <w:t>Provisions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EE3AF8D" w14:textId="77777777" w:rsidR="00DC60F3" w:rsidRPr="00C701C4" w:rsidRDefault="00DC60F3" w:rsidP="00790A7C">
            <w:pPr>
              <w:pStyle w:val="TableHeading"/>
            </w:pPr>
            <w:r w:rsidRPr="00C701C4">
              <w:t>Commencement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FD2806D" w14:textId="77777777" w:rsidR="00DC60F3" w:rsidRPr="00C701C4" w:rsidRDefault="00DC60F3" w:rsidP="00790A7C">
            <w:pPr>
              <w:pStyle w:val="TableHeading"/>
            </w:pPr>
            <w:r w:rsidRPr="00C701C4">
              <w:t>Date/Details</w:t>
            </w:r>
          </w:p>
        </w:tc>
      </w:tr>
      <w:tr w:rsidR="00DC60F3" w:rsidRPr="00800613" w14:paraId="39C9A8D8" w14:textId="77777777" w:rsidTr="0067316A"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CE89F56" w14:textId="77777777" w:rsidR="00DC60F3" w:rsidRPr="00C701C4" w:rsidRDefault="00DC60F3" w:rsidP="00790A7C">
            <w:pPr>
              <w:pStyle w:val="Tabletext"/>
            </w:pPr>
            <w:r w:rsidRPr="00C701C4">
              <w:t>1.  Sections</w:t>
            </w:r>
            <w:r w:rsidR="00C701C4" w:rsidRPr="00C701C4">
              <w:t> </w:t>
            </w:r>
            <w:r w:rsidRPr="00C701C4">
              <w:t>1 to 4 and anything in this instrument not elsewhere covered by this table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13357D03" w14:textId="77777777" w:rsidR="00DC60F3" w:rsidRPr="00C701C4" w:rsidRDefault="00DC60F3" w:rsidP="00790A7C">
            <w:pPr>
              <w:pStyle w:val="Tabletext"/>
            </w:pPr>
            <w:r w:rsidRPr="00C701C4">
              <w:t>The day after this instrument is registered.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14:paraId="06099C9B" w14:textId="77777777" w:rsidR="00DC60F3" w:rsidRPr="00C701C4" w:rsidRDefault="00DC60F3">
            <w:pPr>
              <w:pStyle w:val="Tabletext"/>
            </w:pPr>
          </w:p>
        </w:tc>
      </w:tr>
      <w:tr w:rsidR="00DC60F3" w:rsidRPr="00800613" w14:paraId="14B3D3F7" w14:textId="77777777" w:rsidTr="0067316A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85F4BB3" w14:textId="77777777" w:rsidR="00DC60F3" w:rsidRPr="00C701C4" w:rsidRDefault="00DC60F3">
            <w:pPr>
              <w:pStyle w:val="Tabletext"/>
            </w:pPr>
            <w:r w:rsidRPr="00C701C4">
              <w:t>2.  Schedule</w:t>
            </w:r>
            <w:r w:rsidR="00C701C4" w:rsidRPr="00C701C4">
              <w:t> </w:t>
            </w:r>
            <w:r w:rsidRPr="00C701C4"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AE7D4B7" w14:textId="77777777" w:rsidR="00DC60F3" w:rsidRPr="00C701C4" w:rsidRDefault="00DC60F3">
            <w:pPr>
              <w:pStyle w:val="Tabletext"/>
            </w:pPr>
            <w:r w:rsidRPr="00C701C4">
              <w:t>1</w:t>
            </w:r>
            <w:r w:rsidR="00C701C4" w:rsidRPr="00C701C4">
              <w:t> </w:t>
            </w:r>
            <w:r w:rsidRPr="00C701C4">
              <w:t>July 2016.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AD83D48" w14:textId="77777777" w:rsidR="00DC60F3" w:rsidRPr="00C701C4" w:rsidRDefault="00DC60F3">
            <w:pPr>
              <w:pStyle w:val="Tabletext"/>
            </w:pPr>
            <w:r w:rsidRPr="00C701C4">
              <w:t>1</w:t>
            </w:r>
            <w:r w:rsidR="00C701C4" w:rsidRPr="00C701C4">
              <w:t> </w:t>
            </w:r>
            <w:r w:rsidRPr="00C701C4">
              <w:t>July 2016</w:t>
            </w:r>
          </w:p>
        </w:tc>
      </w:tr>
      <w:tr w:rsidR="00DC60F3" w:rsidRPr="00800613" w14:paraId="4E678133" w14:textId="77777777" w:rsidTr="0067316A"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hideMark/>
          </w:tcPr>
          <w:p w14:paraId="51D77848" w14:textId="77777777" w:rsidR="00DC60F3" w:rsidRPr="00C701C4" w:rsidRDefault="00DC60F3">
            <w:pPr>
              <w:pStyle w:val="Tabletext"/>
            </w:pPr>
            <w:r w:rsidRPr="00C701C4">
              <w:t>3.  Schedule</w:t>
            </w:r>
            <w:r w:rsidR="00C701C4" w:rsidRPr="00C701C4">
              <w:t> </w:t>
            </w:r>
            <w:r w:rsidRPr="00C701C4">
              <w:t>2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auto"/>
          </w:tcPr>
          <w:p w14:paraId="522E3BEB" w14:textId="77777777" w:rsidR="00DC60F3" w:rsidRPr="00C701C4" w:rsidRDefault="00DC60F3">
            <w:pPr>
              <w:pStyle w:val="Tabletext"/>
            </w:pPr>
            <w:r w:rsidRPr="00C701C4">
              <w:t>Immediately after the commencement of the provisions covered by table item</w:t>
            </w:r>
            <w:r w:rsidR="00C701C4" w:rsidRPr="00C701C4">
              <w:t> </w:t>
            </w:r>
            <w:r w:rsidRPr="00C701C4">
              <w:t>2.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52BD9770" w14:textId="77777777" w:rsidR="00DC60F3" w:rsidRPr="00C701C4" w:rsidRDefault="00DC60F3">
            <w:pPr>
              <w:pStyle w:val="Tabletext"/>
            </w:pPr>
            <w:r w:rsidRPr="00C701C4">
              <w:t>1</w:t>
            </w:r>
            <w:r w:rsidR="00C701C4" w:rsidRPr="00C701C4">
              <w:t> </w:t>
            </w:r>
            <w:r w:rsidRPr="00C701C4">
              <w:t>July 2016</w:t>
            </w:r>
          </w:p>
        </w:tc>
      </w:tr>
    </w:tbl>
    <w:p w14:paraId="73D44F60" w14:textId="77777777" w:rsidR="00DC60F3" w:rsidRPr="00C701C4" w:rsidRDefault="00DC60F3" w:rsidP="00790A7C">
      <w:pPr>
        <w:pStyle w:val="notetext"/>
      </w:pPr>
      <w:r w:rsidRPr="00C701C4">
        <w:rPr>
          <w:snapToGrid w:val="0"/>
          <w:lang w:eastAsia="en-US"/>
        </w:rPr>
        <w:t>Note:</w:t>
      </w:r>
      <w:r w:rsidRPr="00C701C4">
        <w:rPr>
          <w:snapToGrid w:val="0"/>
          <w:lang w:eastAsia="en-US"/>
        </w:rPr>
        <w:tab/>
        <w:t xml:space="preserve">This table relates only to the provisions of this </w:t>
      </w:r>
      <w:r w:rsidRPr="00C701C4">
        <w:t xml:space="preserve">instrument </w:t>
      </w:r>
      <w:r w:rsidRPr="00C701C4">
        <w:rPr>
          <w:snapToGrid w:val="0"/>
          <w:lang w:eastAsia="en-US"/>
        </w:rPr>
        <w:t xml:space="preserve">as originally made. It will not be amended to deal with any later amendments of this </w:t>
      </w:r>
      <w:r w:rsidRPr="00C701C4">
        <w:t>instrument</w:t>
      </w:r>
      <w:r w:rsidRPr="00C701C4">
        <w:rPr>
          <w:snapToGrid w:val="0"/>
          <w:lang w:eastAsia="en-US"/>
        </w:rPr>
        <w:t>.</w:t>
      </w:r>
    </w:p>
    <w:p w14:paraId="32F60B83" w14:textId="77777777" w:rsidR="00DC60F3" w:rsidRPr="00C701C4" w:rsidRDefault="00DC60F3" w:rsidP="007164E7">
      <w:pPr>
        <w:pStyle w:val="subsection"/>
      </w:pPr>
      <w:r w:rsidRPr="00C701C4">
        <w:tab/>
        <w:t>(2)</w:t>
      </w:r>
      <w:r w:rsidRPr="00C701C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424812D" w14:textId="77777777" w:rsidR="007769D4" w:rsidRPr="00C701C4" w:rsidRDefault="007769D4" w:rsidP="00DF72DD">
      <w:pPr>
        <w:pStyle w:val="ActHead5"/>
        <w:outlineLvl w:val="9"/>
      </w:pPr>
      <w:r w:rsidRPr="00C701C4">
        <w:rPr>
          <w:rStyle w:val="CharSectno"/>
        </w:rPr>
        <w:t>3</w:t>
      </w:r>
      <w:r w:rsidRPr="00C701C4">
        <w:t xml:space="preserve">  Authority</w:t>
      </w:r>
    </w:p>
    <w:p w14:paraId="277C53FF" w14:textId="77777777" w:rsidR="007769D4" w:rsidRPr="00C701C4" w:rsidRDefault="007769D4" w:rsidP="007164E7">
      <w:pPr>
        <w:pStyle w:val="subsection"/>
      </w:pPr>
      <w:r w:rsidRPr="00C701C4">
        <w:tab/>
      </w:r>
      <w:r w:rsidRPr="00C701C4">
        <w:tab/>
      </w:r>
      <w:r w:rsidR="00AF0336" w:rsidRPr="00C701C4">
        <w:t xml:space="preserve">This </w:t>
      </w:r>
      <w:r w:rsidR="00103814" w:rsidRPr="00C701C4">
        <w:t>instrument</w:t>
      </w:r>
      <w:r w:rsidR="00AF0336" w:rsidRPr="00C701C4">
        <w:t xml:space="preserve"> is made under the </w:t>
      </w:r>
      <w:r w:rsidR="00103814" w:rsidRPr="00C701C4">
        <w:rPr>
          <w:i/>
        </w:rPr>
        <w:t>Corporations Act 2001</w:t>
      </w:r>
      <w:r w:rsidR="00D83D21" w:rsidRPr="00C701C4">
        <w:rPr>
          <w:i/>
        </w:rPr>
        <w:t>.</w:t>
      </w:r>
    </w:p>
    <w:p w14:paraId="3150FC38" w14:textId="77777777" w:rsidR="004E412A" w:rsidRDefault="004E412A">
      <w:pPr>
        <w:spacing w:line="240" w:lineRule="auto"/>
        <w:rPr>
          <w:rStyle w:val="CharSectno"/>
          <w:rFonts w:eastAsia="Times New Roman"/>
          <w:b/>
          <w:kern w:val="28"/>
          <w:sz w:val="24"/>
          <w:lang w:eastAsia="en-AU"/>
        </w:rPr>
      </w:pPr>
      <w:r>
        <w:rPr>
          <w:rStyle w:val="CharSectno"/>
        </w:rPr>
        <w:br w:type="page"/>
      </w:r>
    </w:p>
    <w:p w14:paraId="67AF1D66" w14:textId="34A176A2" w:rsidR="00557C7A" w:rsidRPr="00C701C4" w:rsidRDefault="007769D4" w:rsidP="00DF72DD">
      <w:pPr>
        <w:pStyle w:val="ActHead5"/>
        <w:outlineLvl w:val="9"/>
      </w:pPr>
      <w:r w:rsidRPr="00C701C4">
        <w:rPr>
          <w:rStyle w:val="CharSectno"/>
        </w:rPr>
        <w:lastRenderedPageBreak/>
        <w:t>4</w:t>
      </w:r>
      <w:r w:rsidR="00557C7A" w:rsidRPr="00C701C4">
        <w:t xml:space="preserve">  </w:t>
      </w:r>
      <w:r w:rsidR="00B332B8" w:rsidRPr="00C701C4">
        <w:t>Schedules</w:t>
      </w:r>
    </w:p>
    <w:p w14:paraId="4407C1FF" w14:textId="77777777" w:rsidR="000F6B02" w:rsidRDefault="00557C7A" w:rsidP="007164E7">
      <w:pPr>
        <w:pStyle w:val="subsection"/>
      </w:pPr>
      <w:r w:rsidRPr="00C701C4">
        <w:tab/>
      </w:r>
      <w:r w:rsidRPr="00C701C4">
        <w:tab/>
      </w:r>
      <w:r w:rsidR="000F6B02" w:rsidRPr="00C701C4">
        <w:t xml:space="preserve">Each instrument that is specified in a Schedule to </w:t>
      </w:r>
      <w:r w:rsidR="00103814" w:rsidRPr="00C701C4">
        <w:t>this instrument</w:t>
      </w:r>
      <w:r w:rsidR="000F6B02" w:rsidRPr="00C701C4">
        <w:t xml:space="preserve"> is amended or repealed as set out in the applicable items in the Schedule concerned, and any other item in a Schedule to </w:t>
      </w:r>
      <w:r w:rsidR="00103814" w:rsidRPr="00C701C4">
        <w:t>this instrument</w:t>
      </w:r>
      <w:r w:rsidR="000F6B02" w:rsidRPr="00C701C4">
        <w:t xml:space="preserve"> has effect according to its terms.</w:t>
      </w:r>
    </w:p>
    <w:p w14:paraId="5EC9265D" w14:textId="68A86676" w:rsidR="004E412A" w:rsidRDefault="004E412A" w:rsidP="007164E7">
      <w:pPr>
        <w:pStyle w:val="subsection"/>
      </w:pPr>
    </w:p>
    <w:p w14:paraId="1A694E7E" w14:textId="77777777" w:rsidR="00D56B2C" w:rsidRDefault="00D56B2C" w:rsidP="007164E7">
      <w:pPr>
        <w:pStyle w:val="subsection"/>
        <w:sectPr w:rsidR="00D56B2C" w:rsidSect="00301DA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type w:val="oddPage"/>
          <w:pgSz w:w="11907" w:h="16839" w:code="9"/>
          <w:pgMar w:top="2466" w:right="2098" w:bottom="2466" w:left="2098" w:header="1899" w:footer="1899" w:gutter="0"/>
          <w:pgNumType w:start="1"/>
          <w:cols w:space="708"/>
          <w:titlePg/>
          <w:docGrid w:linePitch="360"/>
        </w:sectPr>
      </w:pPr>
    </w:p>
    <w:p w14:paraId="78AA3BB5" w14:textId="77777777" w:rsidR="00C76241" w:rsidRPr="00DF72DD" w:rsidRDefault="00C76241" w:rsidP="00DF72DD">
      <w:pPr>
        <w:pStyle w:val="ActHead1"/>
      </w:pPr>
      <w:bookmarkStart w:id="4" w:name="_Toc433988524"/>
      <w:bookmarkStart w:id="5" w:name="opcAmSched"/>
      <w:r w:rsidRPr="00DF72DD">
        <w:rPr>
          <w:rStyle w:val="CharAmSchNo"/>
        </w:rPr>
        <w:t>Schedule</w:t>
      </w:r>
      <w:r w:rsidR="00C701C4" w:rsidRPr="00DF72DD">
        <w:rPr>
          <w:rStyle w:val="CharAmSchNo"/>
        </w:rPr>
        <w:t> </w:t>
      </w:r>
      <w:r w:rsidRPr="00DF72DD">
        <w:rPr>
          <w:rStyle w:val="CharAmSchNo"/>
        </w:rPr>
        <w:t>1</w:t>
      </w:r>
      <w:r w:rsidRPr="00DF72DD">
        <w:t>—</w:t>
      </w:r>
      <w:r w:rsidR="006A3850" w:rsidRPr="00DF72DD">
        <w:rPr>
          <w:rStyle w:val="CharAmSchText"/>
        </w:rPr>
        <w:t>Product dashboards</w:t>
      </w:r>
      <w:bookmarkEnd w:id="4"/>
    </w:p>
    <w:bookmarkEnd w:id="5"/>
    <w:p w14:paraId="5F4DEAE3" w14:textId="77777777" w:rsidR="006A3850" w:rsidRPr="00DF72DD" w:rsidRDefault="006A3850" w:rsidP="00DF72DD">
      <w:pPr>
        <w:pStyle w:val="ActHead2"/>
        <w:rPr>
          <w:i/>
        </w:rPr>
      </w:pPr>
      <w:r w:rsidRPr="00DF72DD">
        <w:rPr>
          <w:i/>
        </w:rPr>
        <w:t>Corporations Regulations</w:t>
      </w:r>
      <w:r w:rsidR="00C701C4" w:rsidRPr="00DF72DD">
        <w:rPr>
          <w:i/>
        </w:rPr>
        <w:t> </w:t>
      </w:r>
      <w:r w:rsidRPr="00DF72DD">
        <w:rPr>
          <w:i/>
        </w:rPr>
        <w:t>2001</w:t>
      </w:r>
    </w:p>
    <w:p w14:paraId="4B38F582" w14:textId="77777777" w:rsidR="00A40355" w:rsidRPr="00C701C4" w:rsidRDefault="0092324F" w:rsidP="00DF72DD">
      <w:pPr>
        <w:pStyle w:val="ActHead3"/>
      </w:pPr>
      <w:bookmarkStart w:id="6" w:name="_Toc433988525"/>
      <w:r w:rsidRPr="00C701C4">
        <w:t>1</w:t>
      </w:r>
      <w:r w:rsidR="00A40355" w:rsidRPr="00C701C4">
        <w:t xml:space="preserve">  Subsection</w:t>
      </w:r>
      <w:r w:rsidR="00C701C4" w:rsidRPr="00C701C4">
        <w:t> </w:t>
      </w:r>
      <w:r w:rsidR="00A40355" w:rsidRPr="00C701C4">
        <w:t>7.9.01(1)</w:t>
      </w:r>
      <w:bookmarkEnd w:id="6"/>
    </w:p>
    <w:p w14:paraId="632F5D68" w14:textId="77777777" w:rsidR="00A40355" w:rsidRPr="00C701C4" w:rsidRDefault="00A40355" w:rsidP="00A40355">
      <w:pPr>
        <w:pStyle w:val="Item"/>
      </w:pPr>
      <w:r w:rsidRPr="00C701C4">
        <w:t>Insert:</w:t>
      </w:r>
    </w:p>
    <w:p w14:paraId="2B1F4F2D" w14:textId="77777777" w:rsidR="00A40355" w:rsidRPr="00C701C4" w:rsidRDefault="00A40355" w:rsidP="00A40355">
      <w:pPr>
        <w:pStyle w:val="Definition"/>
      </w:pPr>
      <w:r w:rsidRPr="00C701C4">
        <w:rPr>
          <w:b/>
          <w:i/>
        </w:rPr>
        <w:t>dashboard reporting standard</w:t>
      </w:r>
      <w:r w:rsidRPr="00C701C4">
        <w:t xml:space="preserve"> has the meaning gi</w:t>
      </w:r>
      <w:r w:rsidR="00962850" w:rsidRPr="00C701C4">
        <w:t>ven by subregulation</w:t>
      </w:r>
      <w:r w:rsidR="00C701C4" w:rsidRPr="00C701C4">
        <w:t> </w:t>
      </w:r>
      <w:r w:rsidR="00962850" w:rsidRPr="00C701C4">
        <w:t>7.9.07P(2).</w:t>
      </w:r>
    </w:p>
    <w:p w14:paraId="6B2D3681" w14:textId="77777777" w:rsidR="00792002" w:rsidRPr="00C701C4" w:rsidRDefault="0092324F" w:rsidP="00DF72DD">
      <w:pPr>
        <w:pStyle w:val="ActHead3"/>
      </w:pPr>
      <w:bookmarkStart w:id="7" w:name="_Toc433988526"/>
      <w:r w:rsidRPr="00C701C4">
        <w:t>2</w:t>
      </w:r>
      <w:r w:rsidR="00792002" w:rsidRPr="00C701C4">
        <w:t xml:space="preserve">  Division</w:t>
      </w:r>
      <w:r w:rsidR="00C701C4" w:rsidRPr="00C701C4">
        <w:t> </w:t>
      </w:r>
      <w:r w:rsidR="00792002" w:rsidRPr="00C701C4">
        <w:t>2E of Part</w:t>
      </w:r>
      <w:r w:rsidR="00C701C4" w:rsidRPr="00C701C4">
        <w:t> </w:t>
      </w:r>
      <w:r w:rsidR="00792002" w:rsidRPr="00C701C4">
        <w:t>7.9</w:t>
      </w:r>
      <w:bookmarkEnd w:id="7"/>
    </w:p>
    <w:p w14:paraId="4090E5CE" w14:textId="77777777" w:rsidR="00792002" w:rsidRPr="00C701C4" w:rsidRDefault="00792002" w:rsidP="00792002">
      <w:pPr>
        <w:pStyle w:val="Item"/>
      </w:pPr>
      <w:r w:rsidRPr="00C701C4">
        <w:t>Repeal the Division, substitute:</w:t>
      </w:r>
    </w:p>
    <w:p w14:paraId="11CCDBBE" w14:textId="77777777" w:rsidR="00792002" w:rsidRPr="00C701C4" w:rsidRDefault="00792002" w:rsidP="00DF72DD">
      <w:pPr>
        <w:pStyle w:val="ActHead4"/>
      </w:pPr>
      <w:bookmarkStart w:id="8" w:name="_Toc429660362"/>
      <w:r w:rsidRPr="00C701C4">
        <w:rPr>
          <w:rStyle w:val="CharDivNo"/>
        </w:rPr>
        <w:t>Division</w:t>
      </w:r>
      <w:r w:rsidR="00C701C4" w:rsidRPr="00C701C4">
        <w:rPr>
          <w:rStyle w:val="CharDivNo"/>
        </w:rPr>
        <w:t> </w:t>
      </w:r>
      <w:r w:rsidRPr="00C701C4">
        <w:rPr>
          <w:rStyle w:val="CharDivNo"/>
        </w:rPr>
        <w:t>2E</w:t>
      </w:r>
      <w:r w:rsidRPr="00C701C4">
        <w:t>—</w:t>
      </w:r>
      <w:r w:rsidRPr="00C701C4">
        <w:rPr>
          <w:rStyle w:val="CharDivText"/>
        </w:rPr>
        <w:t>Obligations to make information publicly available: certain superannuation entities</w:t>
      </w:r>
      <w:bookmarkEnd w:id="8"/>
    </w:p>
    <w:p w14:paraId="7B16BB92" w14:textId="77777777" w:rsidR="00792002" w:rsidRPr="00C701C4" w:rsidRDefault="00792002" w:rsidP="00792002">
      <w:pPr>
        <w:pStyle w:val="ActHead4"/>
      </w:pPr>
      <w:bookmarkStart w:id="9" w:name="_Toc429660363"/>
      <w:r w:rsidRPr="00C701C4">
        <w:rPr>
          <w:rStyle w:val="CharSubdNo"/>
        </w:rPr>
        <w:t>Subdivision</w:t>
      </w:r>
      <w:r w:rsidR="00C701C4" w:rsidRPr="00C701C4">
        <w:rPr>
          <w:rStyle w:val="CharSubdNo"/>
        </w:rPr>
        <w:t> </w:t>
      </w:r>
      <w:r w:rsidRPr="00C701C4">
        <w:rPr>
          <w:rStyle w:val="CharSubdNo"/>
        </w:rPr>
        <w:t>2E.1</w:t>
      </w:r>
      <w:r w:rsidRPr="00C701C4">
        <w:t>—</w:t>
      </w:r>
      <w:r w:rsidRPr="00C701C4">
        <w:rPr>
          <w:rStyle w:val="CharSubdText"/>
        </w:rPr>
        <w:t>Product dashboards</w:t>
      </w:r>
      <w:bookmarkEnd w:id="9"/>
    </w:p>
    <w:p w14:paraId="3226CF0B" w14:textId="77777777" w:rsidR="00792002" w:rsidRPr="00C701C4" w:rsidRDefault="00792002" w:rsidP="00792002">
      <w:pPr>
        <w:pStyle w:val="ActHead5"/>
      </w:pPr>
      <w:bookmarkStart w:id="10" w:name="_Toc429660364"/>
      <w:r w:rsidRPr="00C701C4">
        <w:rPr>
          <w:rStyle w:val="CharSectno"/>
        </w:rPr>
        <w:t>7.9.07L</w:t>
      </w:r>
      <w:r w:rsidRPr="00C701C4">
        <w:t xml:space="preserve">  Source of power for this Subdivision</w:t>
      </w:r>
      <w:bookmarkEnd w:id="10"/>
    </w:p>
    <w:p w14:paraId="15E1AE58" w14:textId="77777777" w:rsidR="00792002" w:rsidRPr="00C701C4" w:rsidRDefault="00792002" w:rsidP="007164E7">
      <w:pPr>
        <w:pStyle w:val="subsection"/>
      </w:pPr>
      <w:r w:rsidRPr="00C701C4">
        <w:tab/>
      </w:r>
      <w:r w:rsidRPr="00C701C4">
        <w:tab/>
        <w:t>This Subdivision is made for the purposes of section</w:t>
      </w:r>
      <w:r w:rsidR="00C701C4" w:rsidRPr="00C701C4">
        <w:t> </w:t>
      </w:r>
      <w:r w:rsidRPr="00C701C4">
        <w:t>1017BA of the Act.</w:t>
      </w:r>
    </w:p>
    <w:p w14:paraId="0DEA152D" w14:textId="77777777" w:rsidR="00BD2813" w:rsidRPr="00DF72DD" w:rsidRDefault="00792002" w:rsidP="00BD2813">
      <w:pPr>
        <w:pStyle w:val="ActHead5"/>
        <w:rPr>
          <w:rStyle w:val="CharAmSchNo"/>
        </w:rPr>
      </w:pPr>
      <w:bookmarkStart w:id="11" w:name="_Toc429660365"/>
      <w:r w:rsidRPr="00DF72DD">
        <w:rPr>
          <w:rStyle w:val="CharAmSchNo"/>
        </w:rPr>
        <w:t xml:space="preserve">7.9.07M </w:t>
      </w:r>
      <w:r w:rsidR="00796A02" w:rsidRPr="00DF72DD">
        <w:rPr>
          <w:rStyle w:val="CharAmSchNo"/>
        </w:rPr>
        <w:t xml:space="preserve"> </w:t>
      </w:r>
      <w:r w:rsidR="00BD2813" w:rsidRPr="00DF72DD">
        <w:rPr>
          <w:rStyle w:val="CharAmSchNo"/>
        </w:rPr>
        <w:t>Qualifying choice investment options—excluded options</w:t>
      </w:r>
      <w:bookmarkEnd w:id="11"/>
    </w:p>
    <w:p w14:paraId="683B2375" w14:textId="77777777" w:rsidR="00AF23A6" w:rsidRPr="00C701C4" w:rsidRDefault="00AF23A6" w:rsidP="007164E7">
      <w:pPr>
        <w:pStyle w:val="subsection"/>
      </w:pPr>
      <w:r w:rsidRPr="00C701C4">
        <w:tab/>
      </w:r>
      <w:r w:rsidRPr="00C701C4">
        <w:tab/>
        <w:t xml:space="preserve">For the purposes of </w:t>
      </w:r>
      <w:r w:rsidR="00C701C4" w:rsidRPr="00C701C4">
        <w:t>paragraph (</w:t>
      </w:r>
      <w:r w:rsidRPr="00C701C4">
        <w:t xml:space="preserve">b) of the definition of </w:t>
      </w:r>
      <w:r w:rsidRPr="00C701C4">
        <w:rPr>
          <w:b/>
          <w:i/>
        </w:rPr>
        <w:t>qualifying choice investment option</w:t>
      </w:r>
      <w:r w:rsidRPr="00C701C4">
        <w:t xml:space="preserve"> in subsection</w:t>
      </w:r>
      <w:r w:rsidR="00C701C4" w:rsidRPr="00C701C4">
        <w:t> </w:t>
      </w:r>
      <w:r w:rsidRPr="00C701C4">
        <w:t xml:space="preserve">1017BA(5) of the Act, an investment option is excluded from that definition if the trustee, or the trustees, of the fund do not have the absolute discretion to vary or replace the </w:t>
      </w:r>
      <w:r w:rsidR="00C47F3A" w:rsidRPr="00C701C4">
        <w:t xml:space="preserve">financial products, or other property, allocated to the </w:t>
      </w:r>
      <w:r w:rsidRPr="00C701C4">
        <w:t>investment option.</w:t>
      </w:r>
    </w:p>
    <w:p w14:paraId="3FCC1D9D" w14:textId="77777777" w:rsidR="00C47F3A" w:rsidRPr="00C701C4" w:rsidRDefault="00C47F3A" w:rsidP="00C47F3A">
      <w:pPr>
        <w:pStyle w:val="notetext"/>
      </w:pPr>
      <w:r w:rsidRPr="00C701C4">
        <w:t>Note:</w:t>
      </w:r>
      <w:r w:rsidRPr="00C701C4">
        <w:tab/>
        <w:t>This absolute discretion would not exist if, for example, those financial products or other property could not be varied or replaced without first consulting a member who has selected the investment option.</w:t>
      </w:r>
    </w:p>
    <w:p w14:paraId="5FD0929D" w14:textId="77777777" w:rsidR="004E412A" w:rsidRDefault="004E412A">
      <w:pPr>
        <w:spacing w:line="240" w:lineRule="auto"/>
        <w:rPr>
          <w:rStyle w:val="CharAmSchNo"/>
          <w:rFonts w:eastAsia="Times New Roman"/>
          <w:b/>
          <w:kern w:val="28"/>
          <w:sz w:val="24"/>
          <w:lang w:eastAsia="en-AU"/>
        </w:rPr>
      </w:pPr>
      <w:bookmarkStart w:id="12" w:name="_Toc429660366"/>
      <w:r>
        <w:rPr>
          <w:rStyle w:val="CharAmSchNo"/>
        </w:rPr>
        <w:br w:type="page"/>
      </w:r>
    </w:p>
    <w:p w14:paraId="1498EF46" w14:textId="54E49262" w:rsidR="00283FCA" w:rsidRPr="00DF72DD" w:rsidRDefault="003B775B" w:rsidP="00283FCA">
      <w:pPr>
        <w:pStyle w:val="ActHead5"/>
        <w:rPr>
          <w:rStyle w:val="CharAmSchNo"/>
        </w:rPr>
      </w:pPr>
      <w:r w:rsidRPr="00DF72DD">
        <w:rPr>
          <w:rStyle w:val="CharAmSchNo"/>
        </w:rPr>
        <w:t>7.9.07N</w:t>
      </w:r>
      <w:r w:rsidR="00283FCA" w:rsidRPr="00DF72DD">
        <w:rPr>
          <w:rStyle w:val="CharAmSchNo"/>
        </w:rPr>
        <w:t xml:space="preserve">  Product dashboard—</w:t>
      </w:r>
      <w:r w:rsidR="00821A95" w:rsidRPr="00DF72DD">
        <w:rPr>
          <w:rStyle w:val="CharAmSchNo"/>
        </w:rPr>
        <w:t>order of information and required</w:t>
      </w:r>
      <w:r w:rsidR="00684682" w:rsidRPr="00DF72DD">
        <w:rPr>
          <w:rStyle w:val="CharAmSchNo"/>
        </w:rPr>
        <w:t xml:space="preserve"> text</w:t>
      </w:r>
      <w:bookmarkEnd w:id="12"/>
    </w:p>
    <w:p w14:paraId="4A1FFEBC" w14:textId="77777777" w:rsidR="00283FCA" w:rsidRPr="007164E7" w:rsidRDefault="00E11583" w:rsidP="007164E7">
      <w:pPr>
        <w:pStyle w:val="subsection"/>
      </w:pPr>
      <w:r w:rsidRPr="007164E7">
        <w:tab/>
      </w:r>
      <w:r w:rsidR="00B20D0D" w:rsidRPr="007164E7">
        <w:t>(1)</w:t>
      </w:r>
      <w:r w:rsidR="00353663" w:rsidRPr="007164E7">
        <w:tab/>
      </w:r>
      <w:r w:rsidR="00575750" w:rsidRPr="007164E7">
        <w:t>Information in a pr</w:t>
      </w:r>
      <w:r w:rsidR="00B20D0D" w:rsidRPr="007164E7">
        <w:t xml:space="preserve">oduct dashboard must be </w:t>
      </w:r>
      <w:r w:rsidR="00821A95" w:rsidRPr="007164E7">
        <w:t>ordered</w:t>
      </w:r>
      <w:r w:rsidR="00947DAC" w:rsidRPr="007164E7">
        <w:t xml:space="preserve"> in the following way (and include </w:t>
      </w:r>
      <w:r w:rsidR="00980069" w:rsidRPr="007164E7">
        <w:t>the following</w:t>
      </w:r>
      <w:r w:rsidR="00947DAC" w:rsidRPr="007164E7">
        <w:t xml:space="preserve"> text where specified)</w:t>
      </w:r>
      <w:r w:rsidR="00283FCA" w:rsidRPr="007164E7">
        <w:t>:</w:t>
      </w:r>
    </w:p>
    <w:p w14:paraId="487C55E0" w14:textId="38EADB3E" w:rsidR="00947DAC" w:rsidRPr="007164E7" w:rsidRDefault="003C48E0" w:rsidP="007164E7">
      <w:pPr>
        <w:pStyle w:val="paragraph"/>
      </w:pPr>
      <w:r w:rsidRPr="007164E7">
        <w:t>(a)</w:t>
      </w:r>
      <w:r w:rsidRPr="007164E7">
        <w:tab/>
      </w:r>
      <w:r w:rsidR="002A24B4" w:rsidRPr="007164E7">
        <w:t>an overall heading containing</w:t>
      </w:r>
      <w:r w:rsidR="00947DAC" w:rsidRPr="007164E7">
        <w:t>:</w:t>
      </w:r>
    </w:p>
    <w:p w14:paraId="64F75B93" w14:textId="07723636" w:rsidR="00947DAC" w:rsidRPr="004E412A" w:rsidRDefault="00947DAC" w:rsidP="007164E7">
      <w:pPr>
        <w:pStyle w:val="paragraphsub"/>
      </w:pPr>
      <w:r w:rsidRPr="007164E7">
        <w:t>(i)</w:t>
      </w:r>
      <w:r w:rsidRPr="007164E7">
        <w:tab/>
      </w:r>
      <w:r w:rsidR="00E0611E" w:rsidRPr="007164E7">
        <w:t>if the dashboard is for a MySuper product or a lifecycle</w:t>
      </w:r>
      <w:r w:rsidR="00E0611E" w:rsidRPr="004E412A">
        <w:t xml:space="preserve"> stage of a MySuper product—</w:t>
      </w:r>
      <w:r w:rsidRPr="004E412A">
        <w:t xml:space="preserve">the words </w:t>
      </w:r>
      <w:r w:rsidR="00723B39">
        <w:t>‘</w:t>
      </w:r>
      <w:r w:rsidRPr="004E412A">
        <w:t>MySuper dashboard</w:t>
      </w:r>
      <w:r w:rsidR="00723B39">
        <w:t>’</w:t>
      </w:r>
      <w:r w:rsidR="00E0611E" w:rsidRPr="004E412A">
        <w:t>; or</w:t>
      </w:r>
    </w:p>
    <w:p w14:paraId="0080F125" w14:textId="44B26FB0" w:rsidR="00E0611E" w:rsidRPr="00C701C4" w:rsidRDefault="00E0611E" w:rsidP="007164E7">
      <w:pPr>
        <w:pStyle w:val="paragraphsub"/>
      </w:pPr>
      <w:r w:rsidRPr="00C701C4">
        <w:t>(ii)</w:t>
      </w:r>
      <w:r w:rsidRPr="00C701C4">
        <w:tab/>
        <w:t xml:space="preserve">otherwise—the word </w:t>
      </w:r>
      <w:r w:rsidR="00723B39">
        <w:t>‘</w:t>
      </w:r>
      <w:r w:rsidRPr="00C701C4">
        <w:t>dashboard</w:t>
      </w:r>
      <w:r w:rsidR="00723B39">
        <w:t>’</w:t>
      </w:r>
      <w:r w:rsidRPr="00C701C4">
        <w:t>;</w:t>
      </w:r>
    </w:p>
    <w:p w14:paraId="6DAFCAA4" w14:textId="0BEA08B7" w:rsidR="00E42B1F" w:rsidRPr="00C701C4" w:rsidRDefault="003C48E0" w:rsidP="007164E7">
      <w:pPr>
        <w:pStyle w:val="paragraph"/>
      </w:pPr>
      <w:r w:rsidRPr="00C701C4">
        <w:t>(b)</w:t>
      </w:r>
      <w:r w:rsidRPr="00C701C4">
        <w:tab/>
      </w:r>
      <w:r w:rsidR="00E42B1F" w:rsidRPr="00C701C4">
        <w:t xml:space="preserve">under this heading, the following </w:t>
      </w:r>
      <w:r w:rsidR="00AF47B6" w:rsidRPr="00C701C4">
        <w:t>text</w:t>
      </w:r>
      <w:r w:rsidR="00E42B1F" w:rsidRPr="00C701C4">
        <w:t>:</w:t>
      </w:r>
    </w:p>
    <w:p w14:paraId="0BFDEA3F" w14:textId="779A46F8" w:rsidR="0033553E" w:rsidRPr="00C701C4" w:rsidRDefault="00723B39" w:rsidP="007164E7">
      <w:pPr>
        <w:pStyle w:val="paragraph"/>
        <w:tabs>
          <w:tab w:val="clear" w:pos="1560"/>
        </w:tabs>
        <w:ind w:firstLine="0"/>
      </w:pPr>
      <w:r>
        <w:t>‘</w:t>
      </w:r>
      <w:r w:rsidR="0033553E" w:rsidRPr="00C701C4">
        <w:t xml:space="preserve">This dashboard is based on a representative member with a $50,000 balance. Use this dashboard to compare this </w:t>
      </w:r>
      <w:r w:rsidR="00BC6829" w:rsidRPr="00C701C4">
        <w:t>option</w:t>
      </w:r>
      <w:r w:rsidR="0079092D" w:rsidRPr="00C701C4">
        <w:t xml:space="preserve"> </w:t>
      </w:r>
      <w:r w:rsidR="0033553E" w:rsidRPr="00C701C4">
        <w:t xml:space="preserve">with other </w:t>
      </w:r>
      <w:r w:rsidR="0079092D" w:rsidRPr="00C701C4">
        <w:t xml:space="preserve">superannuation </w:t>
      </w:r>
      <w:r w:rsidR="0033553E" w:rsidRPr="00C701C4">
        <w:t>investment options.</w:t>
      </w:r>
      <w:r>
        <w:t>’</w:t>
      </w:r>
      <w:r w:rsidR="0079092D" w:rsidRPr="00C701C4">
        <w:t>;</w:t>
      </w:r>
    </w:p>
    <w:p w14:paraId="27102AB6" w14:textId="24444359" w:rsidR="003C48E0" w:rsidRPr="00C701C4" w:rsidRDefault="003C48E0" w:rsidP="007164E7">
      <w:pPr>
        <w:pStyle w:val="paragraph"/>
      </w:pPr>
      <w:r w:rsidRPr="00C701C4">
        <w:t>(c)</w:t>
      </w:r>
      <w:r w:rsidRPr="00C701C4">
        <w:tab/>
        <w:t>under this text, the following text:</w:t>
      </w:r>
    </w:p>
    <w:p w14:paraId="324347F5" w14:textId="1A163839" w:rsidR="003C48E0" w:rsidRPr="00C701C4" w:rsidRDefault="00723B39" w:rsidP="007164E7">
      <w:pPr>
        <w:pStyle w:val="paragraphsub"/>
        <w:ind w:left="1560" w:firstLine="0"/>
      </w:pPr>
      <w:r>
        <w:t>‘</w:t>
      </w:r>
      <w:r w:rsidR="003C48E0" w:rsidRPr="00C701C4">
        <w:t>Go to ASIC’s MoneySmart website for more information about superannuation.</w:t>
      </w:r>
      <w:r>
        <w:t>’</w:t>
      </w:r>
      <w:r w:rsidR="003C48E0" w:rsidRPr="00C701C4">
        <w:t>;</w:t>
      </w:r>
    </w:p>
    <w:p w14:paraId="5A2C528D" w14:textId="1673FBEB" w:rsidR="003C48E0" w:rsidRPr="00C701C4" w:rsidRDefault="003C48E0" w:rsidP="007164E7">
      <w:pPr>
        <w:pStyle w:val="paragraph"/>
      </w:pPr>
      <w:r w:rsidRPr="00C701C4">
        <w:t>(d)</w:t>
      </w:r>
      <w:r w:rsidRPr="00C701C4">
        <w:tab/>
        <w:t>within or near this text, a link to that website (or to any replacement website ASIC prepares); and</w:t>
      </w:r>
    </w:p>
    <w:p w14:paraId="7167CF2D" w14:textId="2A1397C9" w:rsidR="00E42B1F" w:rsidRPr="00C701C4" w:rsidRDefault="003C48E0" w:rsidP="007164E7">
      <w:pPr>
        <w:pStyle w:val="paragraph"/>
      </w:pPr>
      <w:r w:rsidRPr="00C701C4">
        <w:t>(e)</w:t>
      </w:r>
      <w:r w:rsidRPr="00C701C4">
        <w:tab/>
      </w:r>
      <w:r w:rsidR="00E42B1F" w:rsidRPr="00C701C4">
        <w:t xml:space="preserve">under this </w:t>
      </w:r>
      <w:r w:rsidR="0079092D" w:rsidRPr="00C701C4">
        <w:t>text</w:t>
      </w:r>
      <w:r w:rsidRPr="00C701C4">
        <w:t xml:space="preserve"> and link</w:t>
      </w:r>
      <w:r w:rsidR="00E42B1F" w:rsidRPr="00C701C4">
        <w:t xml:space="preserve">, </w:t>
      </w:r>
      <w:r w:rsidR="0079092D" w:rsidRPr="00C701C4">
        <w:t xml:space="preserve">boxes in the following order with the following </w:t>
      </w:r>
      <w:r w:rsidR="00BC6829" w:rsidRPr="00C701C4">
        <w:t xml:space="preserve">headings and </w:t>
      </w:r>
      <w:r w:rsidR="0079092D" w:rsidRPr="00C701C4">
        <w:t xml:space="preserve">text </w:t>
      </w:r>
      <w:r w:rsidR="00E42B1F" w:rsidRPr="00C701C4">
        <w:t>(square brackets show where information must be inserted):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3825"/>
      </w:tblGrid>
      <w:tr w:rsidR="00F924AF" w:rsidRPr="00C63D31" w14:paraId="0D6D9D78" w14:textId="77777777" w:rsidTr="00301DAE">
        <w:trPr>
          <w:tblHeader/>
        </w:trPr>
        <w:tc>
          <w:tcPr>
            <w:tcW w:w="3825" w:type="dxa"/>
            <w:shd w:val="clear" w:color="auto" w:fill="auto"/>
          </w:tcPr>
          <w:p w14:paraId="7ADCEDBF" w14:textId="77777777" w:rsidR="00F924AF" w:rsidRPr="00C63D31" w:rsidRDefault="00F924AF" w:rsidP="00C63D31">
            <w:pPr>
              <w:pStyle w:val="TableHeading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STATEMENT OF FEES AND OTHER COSTS</w:t>
            </w:r>
          </w:p>
        </w:tc>
        <w:tc>
          <w:tcPr>
            <w:tcW w:w="3825" w:type="dxa"/>
            <w:shd w:val="clear" w:color="auto" w:fill="auto"/>
          </w:tcPr>
          <w:p w14:paraId="0899C029" w14:textId="77777777" w:rsidR="00F924AF" w:rsidRPr="00C63D31" w:rsidRDefault="0079092D" w:rsidP="00C63D31">
            <w:pPr>
              <w:pStyle w:val="TableHeading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LEVEL OF INVESTMENT RISK</w:t>
            </w:r>
          </w:p>
        </w:tc>
      </w:tr>
      <w:tr w:rsidR="00F924AF" w:rsidRPr="00C63D31" w14:paraId="13AAF17B" w14:textId="77777777" w:rsidTr="00301DAE">
        <w:tc>
          <w:tcPr>
            <w:tcW w:w="3825" w:type="dxa"/>
            <w:shd w:val="clear" w:color="auto" w:fill="auto"/>
          </w:tcPr>
          <w:p w14:paraId="1EF47308" w14:textId="7070A4E6" w:rsidR="00F924AF" w:rsidRPr="00C63D31" w:rsidRDefault="00F924AF" w:rsidP="00C63D31">
            <w:pPr>
              <w:pStyle w:val="Tabletext"/>
              <w:spacing w:before="40" w:after="10"/>
              <w:rPr>
                <w:b/>
                <w:sz w:val="19"/>
                <w:szCs w:val="19"/>
              </w:rPr>
            </w:pPr>
            <w:r w:rsidRPr="00C63D31">
              <w:rPr>
                <w:b/>
                <w:sz w:val="19"/>
                <w:szCs w:val="19"/>
              </w:rPr>
              <w:t>$[ ]</w:t>
            </w:r>
            <w:r w:rsidR="0079092D" w:rsidRPr="00C63D31">
              <w:rPr>
                <w:b/>
                <w:sz w:val="19"/>
                <w:szCs w:val="19"/>
              </w:rPr>
              <w:t xml:space="preserve"> per year</w:t>
            </w:r>
            <w:r w:rsidR="004E412A" w:rsidRPr="00C63D31">
              <w:rPr>
                <w:b/>
                <w:sz w:val="19"/>
                <w:szCs w:val="19"/>
              </w:rPr>
              <w:br/>
            </w:r>
            <w:r w:rsidR="0079092D" w:rsidRPr="00C63D31">
              <w:rPr>
                <w:b/>
                <w:sz w:val="19"/>
                <w:szCs w:val="19"/>
              </w:rPr>
              <w:t>(or [ ]</w:t>
            </w:r>
            <w:r w:rsidRPr="00C63D31">
              <w:rPr>
                <w:b/>
                <w:sz w:val="19"/>
                <w:szCs w:val="19"/>
              </w:rPr>
              <w:t xml:space="preserve">% </w:t>
            </w:r>
            <w:r w:rsidR="0079092D" w:rsidRPr="00C63D31">
              <w:rPr>
                <w:b/>
                <w:sz w:val="19"/>
                <w:szCs w:val="19"/>
              </w:rPr>
              <w:t xml:space="preserve">as a percentage </w:t>
            </w:r>
            <w:r w:rsidRPr="00C63D31">
              <w:rPr>
                <w:b/>
                <w:sz w:val="19"/>
                <w:szCs w:val="19"/>
              </w:rPr>
              <w:t>of $50,000</w:t>
            </w:r>
            <w:r w:rsidR="0079092D" w:rsidRPr="00C63D31">
              <w:rPr>
                <w:b/>
                <w:sz w:val="19"/>
                <w:szCs w:val="19"/>
              </w:rPr>
              <w:t>)</w:t>
            </w:r>
          </w:p>
          <w:p w14:paraId="1535225A" w14:textId="77777777" w:rsidR="0079092D" w:rsidRPr="00C63D31" w:rsidRDefault="0079092D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This is made up of:</w:t>
            </w:r>
          </w:p>
          <w:p w14:paraId="32738E98" w14:textId="77777777" w:rsidR="0079092D" w:rsidRPr="00C63D31" w:rsidRDefault="0079092D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Investment fees: [ ]% of $50,000</w:t>
            </w:r>
          </w:p>
          <w:p w14:paraId="16322407" w14:textId="77777777" w:rsidR="0079092D" w:rsidRPr="00C63D31" w:rsidRDefault="0079092D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PLUS Administration and advice fees: $[ ]</w:t>
            </w:r>
          </w:p>
          <w:p w14:paraId="1C9CECF9" w14:textId="77777777" w:rsidR="0079092D" w:rsidRPr="00C63D31" w:rsidRDefault="0079092D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PLUS Indirect costs: [ ]% of $50,000</w:t>
            </w:r>
          </w:p>
        </w:tc>
        <w:tc>
          <w:tcPr>
            <w:tcW w:w="3825" w:type="dxa"/>
            <w:shd w:val="clear" w:color="auto" w:fill="auto"/>
          </w:tcPr>
          <w:p w14:paraId="4B3BCA6C" w14:textId="77777777" w:rsidR="002F2491" w:rsidRPr="00C63D31" w:rsidRDefault="002F2491" w:rsidP="00C63D31">
            <w:pPr>
              <w:pStyle w:val="Tabletext"/>
              <w:spacing w:before="40" w:after="10"/>
              <w:rPr>
                <w:b/>
                <w:sz w:val="19"/>
                <w:szCs w:val="19"/>
              </w:rPr>
            </w:pPr>
            <w:r w:rsidRPr="00C63D31">
              <w:rPr>
                <w:b/>
                <w:sz w:val="19"/>
                <w:szCs w:val="19"/>
              </w:rPr>
              <w:t>[Insert level of investment risk]</w:t>
            </w:r>
          </w:p>
          <w:p w14:paraId="31449B38" w14:textId="77777777" w:rsidR="002F2491" w:rsidRPr="00C63D31" w:rsidRDefault="002F2491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Negative returns expected in [ ]</w:t>
            </w:r>
            <w:r w:rsidR="00C701C4" w:rsidRPr="00C63D31">
              <w:rPr>
                <w:sz w:val="19"/>
                <w:szCs w:val="19"/>
              </w:rPr>
              <w:noBreakHyphen/>
            </w:r>
            <w:r w:rsidRPr="00C63D31">
              <w:rPr>
                <w:sz w:val="19"/>
                <w:szCs w:val="19"/>
              </w:rPr>
              <w:t>[ ] out of every 20 years.</w:t>
            </w:r>
          </w:p>
          <w:p w14:paraId="30038FA8" w14:textId="77777777" w:rsidR="00F924AF" w:rsidRPr="00C63D31" w:rsidRDefault="00F924AF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</w:p>
        </w:tc>
      </w:tr>
      <w:tr w:rsidR="00F924AF" w:rsidRPr="00C63D31" w14:paraId="41243E3F" w14:textId="77777777" w:rsidTr="00301DAE">
        <w:tc>
          <w:tcPr>
            <w:tcW w:w="3825" w:type="dxa"/>
            <w:shd w:val="clear" w:color="auto" w:fill="auto"/>
          </w:tcPr>
          <w:p w14:paraId="1FFEC02C" w14:textId="77777777" w:rsidR="0079092D" w:rsidRPr="00C63D31" w:rsidRDefault="0079092D" w:rsidP="00C63D31">
            <w:pPr>
              <w:pStyle w:val="Tabletext"/>
              <w:spacing w:before="40" w:after="10"/>
              <w:rPr>
                <w:b/>
                <w:sz w:val="19"/>
                <w:szCs w:val="19"/>
              </w:rPr>
            </w:pPr>
            <w:r w:rsidRPr="00C63D31">
              <w:rPr>
                <w:b/>
                <w:sz w:val="19"/>
                <w:szCs w:val="19"/>
              </w:rPr>
              <w:t>RETURN TARGET</w:t>
            </w:r>
          </w:p>
        </w:tc>
        <w:tc>
          <w:tcPr>
            <w:tcW w:w="3825" w:type="dxa"/>
            <w:shd w:val="clear" w:color="auto" w:fill="auto"/>
          </w:tcPr>
          <w:p w14:paraId="0B1F0C37" w14:textId="77777777" w:rsidR="00F924AF" w:rsidRPr="00C63D31" w:rsidRDefault="00F924AF" w:rsidP="00C63D31">
            <w:pPr>
              <w:pStyle w:val="TableHeading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ACTUAL RETURN</w:t>
            </w:r>
          </w:p>
        </w:tc>
      </w:tr>
      <w:tr w:rsidR="00F924AF" w:rsidRPr="00C63D31" w14:paraId="14CD8A95" w14:textId="77777777" w:rsidTr="00301DAE">
        <w:tc>
          <w:tcPr>
            <w:tcW w:w="3825" w:type="dxa"/>
            <w:shd w:val="clear" w:color="auto" w:fill="auto"/>
          </w:tcPr>
          <w:p w14:paraId="2674CD6E" w14:textId="77777777" w:rsidR="002F2491" w:rsidRPr="00C63D31" w:rsidRDefault="002F2491" w:rsidP="00C63D31">
            <w:pPr>
              <w:pStyle w:val="Tabletext"/>
              <w:spacing w:before="40" w:after="10"/>
              <w:rPr>
                <w:b/>
                <w:sz w:val="19"/>
                <w:szCs w:val="19"/>
              </w:rPr>
            </w:pPr>
            <w:r w:rsidRPr="00C63D31">
              <w:rPr>
                <w:b/>
                <w:sz w:val="19"/>
                <w:szCs w:val="19"/>
              </w:rPr>
              <w:t>[ ]% per year</w:t>
            </w:r>
          </w:p>
          <w:p w14:paraId="2E518DBA" w14:textId="6BEB0752" w:rsidR="0079092D" w:rsidRPr="00C63D31" w:rsidRDefault="00BC6829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Return target for [yy</w:t>
            </w:r>
            <w:r w:rsidR="00301DAE">
              <w:rPr>
                <w:sz w:val="19"/>
                <w:szCs w:val="19"/>
              </w:rPr>
              <w:t>yy] – [yyyy] of [ ]% per </w:t>
            </w:r>
            <w:r w:rsidR="0079092D" w:rsidRPr="00C63D31">
              <w:rPr>
                <w:sz w:val="19"/>
                <w:szCs w:val="19"/>
              </w:rPr>
              <w:t>year above inflation, after fees and taxes.</w:t>
            </w:r>
          </w:p>
          <w:p w14:paraId="09B6D651" w14:textId="77777777" w:rsidR="0079092D" w:rsidRPr="00C63D31" w:rsidRDefault="0079092D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Futur</w:t>
            </w:r>
            <w:r w:rsidR="002F2491" w:rsidRPr="00C63D31">
              <w:rPr>
                <w:sz w:val="19"/>
                <w:szCs w:val="19"/>
              </w:rPr>
              <w:t>e returns cannot be guaranteed.</w:t>
            </w:r>
          </w:p>
        </w:tc>
        <w:tc>
          <w:tcPr>
            <w:tcW w:w="3825" w:type="dxa"/>
            <w:shd w:val="clear" w:color="auto" w:fill="auto"/>
          </w:tcPr>
          <w:p w14:paraId="46488850" w14:textId="77777777" w:rsidR="008179EF" w:rsidRPr="00C63D31" w:rsidRDefault="002F2491" w:rsidP="00C63D31">
            <w:pPr>
              <w:pStyle w:val="Tabletext"/>
              <w:spacing w:before="40" w:after="10"/>
              <w:rPr>
                <w:b/>
                <w:sz w:val="19"/>
                <w:szCs w:val="19"/>
              </w:rPr>
            </w:pPr>
            <w:r w:rsidRPr="00C63D31">
              <w:rPr>
                <w:b/>
                <w:sz w:val="19"/>
                <w:szCs w:val="19"/>
              </w:rPr>
              <w:t>[ ]% per year</w:t>
            </w:r>
          </w:p>
          <w:p w14:paraId="57E3839D" w14:textId="0AF76F12" w:rsidR="00F924AF" w:rsidRPr="00C63D31" w:rsidRDefault="00F924AF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10</w:t>
            </w:r>
            <w:r w:rsidR="00C701C4" w:rsidRPr="00C63D31">
              <w:rPr>
                <w:sz w:val="19"/>
                <w:szCs w:val="19"/>
              </w:rPr>
              <w:noBreakHyphen/>
            </w:r>
            <w:r w:rsidRPr="00C63D31">
              <w:rPr>
                <w:sz w:val="19"/>
                <w:szCs w:val="19"/>
              </w:rPr>
              <w:t xml:space="preserve">year average </w:t>
            </w:r>
            <w:r w:rsidR="002F2491" w:rsidRPr="00C63D31">
              <w:rPr>
                <w:sz w:val="19"/>
                <w:szCs w:val="19"/>
              </w:rPr>
              <w:t xml:space="preserve">actual </w:t>
            </w:r>
            <w:r w:rsidRPr="00C63D31">
              <w:rPr>
                <w:sz w:val="19"/>
                <w:szCs w:val="19"/>
              </w:rPr>
              <w:t>return of</w:t>
            </w:r>
            <w:r w:rsidR="00301DAE">
              <w:rPr>
                <w:sz w:val="19"/>
                <w:szCs w:val="19"/>
              </w:rPr>
              <w:t xml:space="preserve"> </w:t>
            </w:r>
            <w:r w:rsidRPr="00C63D31">
              <w:rPr>
                <w:sz w:val="19"/>
                <w:szCs w:val="19"/>
              </w:rPr>
              <w:t>[</w:t>
            </w:r>
            <w:r w:rsidR="006332C5" w:rsidRPr="00C63D31">
              <w:rPr>
                <w:sz w:val="19"/>
                <w:szCs w:val="19"/>
              </w:rPr>
              <w:t xml:space="preserve"> </w:t>
            </w:r>
            <w:r w:rsidRPr="00C63D31">
              <w:rPr>
                <w:sz w:val="19"/>
                <w:szCs w:val="19"/>
              </w:rPr>
              <w:t>]% per year as at 30</w:t>
            </w:r>
            <w:r w:rsidR="00C701C4" w:rsidRPr="00C63D31">
              <w:rPr>
                <w:sz w:val="19"/>
                <w:szCs w:val="19"/>
              </w:rPr>
              <w:t> </w:t>
            </w:r>
            <w:r w:rsidRPr="00C63D31">
              <w:rPr>
                <w:sz w:val="19"/>
                <w:szCs w:val="19"/>
              </w:rPr>
              <w:t>June [yyyy].</w:t>
            </w:r>
          </w:p>
          <w:p w14:paraId="4E3CFA0C" w14:textId="4F4B66CF" w:rsidR="00F924AF" w:rsidRPr="00C63D31" w:rsidRDefault="00F924AF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 xml:space="preserve">The </w:t>
            </w:r>
            <w:r w:rsidR="002F2491" w:rsidRPr="00C63D31">
              <w:rPr>
                <w:sz w:val="19"/>
                <w:szCs w:val="19"/>
              </w:rPr>
              <w:t xml:space="preserve">10 year average </w:t>
            </w:r>
            <w:r w:rsidR="004E412A" w:rsidRPr="00C63D31">
              <w:rPr>
                <w:sz w:val="19"/>
                <w:szCs w:val="19"/>
              </w:rPr>
              <w:t>return target was</w:t>
            </w:r>
            <w:r w:rsidR="00301DAE">
              <w:rPr>
                <w:sz w:val="19"/>
                <w:szCs w:val="19"/>
              </w:rPr>
              <w:t xml:space="preserve"> [ ]% per </w:t>
            </w:r>
            <w:r w:rsidR="002F2491" w:rsidRPr="00C63D31">
              <w:rPr>
                <w:sz w:val="19"/>
                <w:szCs w:val="19"/>
              </w:rPr>
              <w:t xml:space="preserve">year </w:t>
            </w:r>
            <w:r w:rsidRPr="00C63D31">
              <w:rPr>
                <w:sz w:val="19"/>
                <w:szCs w:val="19"/>
              </w:rPr>
              <w:t>during this period.</w:t>
            </w:r>
          </w:p>
          <w:p w14:paraId="14517A4D" w14:textId="77777777" w:rsidR="00F924AF" w:rsidRPr="00C63D31" w:rsidRDefault="00F924AF" w:rsidP="00C63D31">
            <w:pPr>
              <w:pStyle w:val="Tabletext"/>
              <w:spacing w:before="40" w:after="10"/>
              <w:rPr>
                <w:sz w:val="19"/>
                <w:szCs w:val="19"/>
              </w:rPr>
            </w:pPr>
            <w:r w:rsidRPr="00C63D31">
              <w:rPr>
                <w:sz w:val="19"/>
                <w:szCs w:val="19"/>
              </w:rPr>
              <w:t>The higher the return, the more often you would expect a year of negative returns.</w:t>
            </w:r>
          </w:p>
        </w:tc>
      </w:tr>
    </w:tbl>
    <w:p w14:paraId="2C4A28DB" w14:textId="77777777" w:rsidR="002F2491" w:rsidRPr="00C701C4" w:rsidRDefault="002F2491" w:rsidP="004E412A">
      <w:pPr>
        <w:pStyle w:val="noteToPara"/>
        <w:ind w:left="567" w:hanging="567"/>
      </w:pPr>
      <w:r w:rsidRPr="00C701C4">
        <w:t>Note:</w:t>
      </w:r>
      <w:r w:rsidRPr="00C701C4">
        <w:tab/>
        <w:t>The content of these text boxes is subject to regulations</w:t>
      </w:r>
      <w:r w:rsidR="00C701C4" w:rsidRPr="00C701C4">
        <w:t> </w:t>
      </w:r>
      <w:r w:rsidRPr="00C701C4">
        <w:t>7.9.07P, 7.9.07Q, 7.9.07S and 7.9.07T.</w:t>
      </w:r>
    </w:p>
    <w:p w14:paraId="340E3246" w14:textId="1DAFF1EA" w:rsidR="00E42B1F" w:rsidRPr="00C701C4" w:rsidRDefault="003C48E0" w:rsidP="007164E7">
      <w:pPr>
        <w:pStyle w:val="paragraph"/>
      </w:pPr>
      <w:r w:rsidRPr="00C701C4">
        <w:t>(f)</w:t>
      </w:r>
      <w:r w:rsidRPr="00C701C4">
        <w:tab/>
      </w:r>
      <w:r w:rsidR="007E06A3" w:rsidRPr="00C701C4">
        <w:t>under these text boxes, a comparison graph as described in regulation</w:t>
      </w:r>
      <w:r w:rsidR="00C701C4" w:rsidRPr="00C701C4">
        <w:t> </w:t>
      </w:r>
      <w:r w:rsidR="007E06A3" w:rsidRPr="00C701C4">
        <w:t>7.9.07</w:t>
      </w:r>
      <w:r w:rsidR="003B775B" w:rsidRPr="00C701C4">
        <w:t>R</w:t>
      </w:r>
      <w:r w:rsidR="006332C5" w:rsidRPr="00C701C4">
        <w:t xml:space="preserve"> with the heading </w:t>
      </w:r>
      <w:r w:rsidR="00723B39">
        <w:t>‘</w:t>
      </w:r>
      <w:r w:rsidR="006332C5" w:rsidRPr="00C701C4">
        <w:t>Comparison between return target and actual return</w:t>
      </w:r>
      <w:r w:rsidR="00723B39">
        <w:t>’</w:t>
      </w:r>
      <w:r w:rsidR="007E06A3" w:rsidRPr="00C701C4">
        <w:t>;</w:t>
      </w:r>
    </w:p>
    <w:p w14:paraId="1FAB83AB" w14:textId="7D6605A8" w:rsidR="007E06A3" w:rsidRPr="00C701C4" w:rsidRDefault="003C48E0" w:rsidP="007164E7">
      <w:pPr>
        <w:pStyle w:val="paragraph"/>
      </w:pPr>
      <w:r w:rsidRPr="00C701C4">
        <w:t>(g)</w:t>
      </w:r>
      <w:r w:rsidRPr="00C701C4">
        <w:tab/>
      </w:r>
      <w:r w:rsidR="007E06A3" w:rsidRPr="00C701C4">
        <w:t xml:space="preserve">under this graph, the following </w:t>
      </w:r>
      <w:r w:rsidR="006D32DB" w:rsidRPr="00C701C4">
        <w:t>text</w:t>
      </w:r>
      <w:r w:rsidR="007E06A3" w:rsidRPr="00C701C4">
        <w:t>:</w:t>
      </w:r>
    </w:p>
    <w:p w14:paraId="11E7019A" w14:textId="7D69107E" w:rsidR="007E06A3" w:rsidRPr="00C701C4" w:rsidRDefault="00723B39" w:rsidP="007164E7">
      <w:pPr>
        <w:pStyle w:val="paragraph"/>
        <w:ind w:firstLine="0"/>
      </w:pPr>
      <w:r>
        <w:t>‘</w:t>
      </w:r>
      <w:r w:rsidR="007E06A3" w:rsidRPr="00C701C4">
        <w:t>Past performance is not necessarily an indicat</w:t>
      </w:r>
      <w:r w:rsidR="00A97A85" w:rsidRPr="00C701C4">
        <w:t>or</w:t>
      </w:r>
      <w:r w:rsidR="007E06A3" w:rsidRPr="00C701C4">
        <w:t xml:space="preserve"> of future </w:t>
      </w:r>
      <w:r w:rsidR="00D85090" w:rsidRPr="00C701C4">
        <w:t>returns</w:t>
      </w:r>
      <w:r w:rsidR="007E06A3" w:rsidRPr="00C701C4">
        <w:t>.</w:t>
      </w:r>
      <w:r>
        <w:t>’</w:t>
      </w:r>
      <w:r w:rsidR="007E06A3" w:rsidRPr="00C701C4">
        <w:t>;</w:t>
      </w:r>
    </w:p>
    <w:p w14:paraId="6635398C" w14:textId="6DC4115D" w:rsidR="007E06A3" w:rsidRPr="00C701C4" w:rsidRDefault="003C48E0" w:rsidP="007164E7">
      <w:pPr>
        <w:pStyle w:val="paragraph"/>
      </w:pPr>
      <w:r w:rsidRPr="00C701C4">
        <w:t>(h)</w:t>
      </w:r>
      <w:r w:rsidRPr="00C701C4">
        <w:tab/>
      </w:r>
      <w:r w:rsidR="007E06A3" w:rsidRPr="00C701C4">
        <w:t xml:space="preserve">under this </w:t>
      </w:r>
      <w:r w:rsidR="006D32DB" w:rsidRPr="00C701C4">
        <w:t>text</w:t>
      </w:r>
      <w:r w:rsidR="007E06A3" w:rsidRPr="00C701C4">
        <w:t>, an investment mix pie</w:t>
      </w:r>
      <w:r w:rsidR="009B4145" w:rsidRPr="00C701C4">
        <w:t xml:space="preserve"> chart as</w:t>
      </w:r>
      <w:r w:rsidR="004072A4" w:rsidRPr="00C701C4">
        <w:t xml:space="preserve"> described in regulation</w:t>
      </w:r>
      <w:r w:rsidR="00C701C4" w:rsidRPr="00C701C4">
        <w:t> </w:t>
      </w:r>
      <w:r w:rsidR="004072A4" w:rsidRPr="00C701C4">
        <w:t>7.9.07U</w:t>
      </w:r>
      <w:r w:rsidR="006332C5" w:rsidRPr="00C701C4">
        <w:t xml:space="preserve"> with the heading </w:t>
      </w:r>
      <w:r w:rsidR="00723B39">
        <w:t>‘</w:t>
      </w:r>
      <w:r w:rsidR="006332C5" w:rsidRPr="00C701C4">
        <w:t>Investment mix</w:t>
      </w:r>
      <w:r w:rsidR="00723B39">
        <w:t>’</w:t>
      </w:r>
      <w:r w:rsidR="007E06A3" w:rsidRPr="00C701C4">
        <w:t>;</w:t>
      </w:r>
    </w:p>
    <w:p w14:paraId="22EDB070" w14:textId="198E0FA7" w:rsidR="00A97A85" w:rsidRPr="00C701C4" w:rsidRDefault="003C48E0" w:rsidP="007164E7">
      <w:pPr>
        <w:pStyle w:val="paragraph"/>
      </w:pPr>
      <w:r w:rsidRPr="00C701C4">
        <w:t>(i)</w:t>
      </w:r>
      <w:r w:rsidRPr="00C701C4">
        <w:tab/>
      </w:r>
      <w:r w:rsidR="00A97A85" w:rsidRPr="00C701C4">
        <w:t xml:space="preserve">under this pie chart, the following </w:t>
      </w:r>
      <w:r w:rsidR="00B61F47" w:rsidRPr="00C701C4">
        <w:t>text</w:t>
      </w:r>
      <w:r w:rsidR="00A97A85" w:rsidRPr="00C701C4">
        <w:t>:</w:t>
      </w:r>
    </w:p>
    <w:p w14:paraId="139686D7" w14:textId="1BE1B474" w:rsidR="00A97A85" w:rsidRPr="00C701C4" w:rsidRDefault="00723B39" w:rsidP="007164E7">
      <w:pPr>
        <w:pStyle w:val="paragraph"/>
        <w:ind w:firstLine="0"/>
      </w:pPr>
      <w:r>
        <w:t>‘</w:t>
      </w:r>
      <w:r w:rsidR="00A97A85" w:rsidRPr="00C701C4">
        <w:t xml:space="preserve">The investment mix represents the </w:t>
      </w:r>
      <w:r w:rsidR="00D85090" w:rsidRPr="00C701C4">
        <w:t>strategic asset allocation for this [product/</w:t>
      </w:r>
      <w:r w:rsidR="00BC6829" w:rsidRPr="00C701C4">
        <w:t xml:space="preserve">investment </w:t>
      </w:r>
      <w:r w:rsidR="00D85090" w:rsidRPr="00C701C4">
        <w:t>option/</w:t>
      </w:r>
      <w:r w:rsidR="00BC6829" w:rsidRPr="00C701C4">
        <w:t xml:space="preserve">lifecycle </w:t>
      </w:r>
      <w:r w:rsidR="00D85090" w:rsidRPr="00C701C4">
        <w:t>stage</w:t>
      </w:r>
      <w:r w:rsidR="00D85090" w:rsidRPr="00C701C4">
        <w:rPr>
          <w:i/>
        </w:rPr>
        <w:t>—pick one</w:t>
      </w:r>
      <w:r w:rsidR="00D85090" w:rsidRPr="00C701C4">
        <w:t>]. See the Product D</w:t>
      </w:r>
      <w:r w:rsidR="00A97A85" w:rsidRPr="00C701C4">
        <w:t xml:space="preserve">isclosure </w:t>
      </w:r>
      <w:r w:rsidR="00D85090" w:rsidRPr="00C701C4">
        <w:t>S</w:t>
      </w:r>
      <w:r w:rsidR="00A97A85" w:rsidRPr="00C701C4">
        <w:t>tatement</w:t>
      </w:r>
      <w:r w:rsidR="006440A3" w:rsidRPr="00C701C4">
        <w:t xml:space="preserve"> for more details</w:t>
      </w:r>
      <w:r w:rsidR="00A97A85" w:rsidRPr="00C701C4">
        <w:t>.</w:t>
      </w:r>
      <w:r>
        <w:t>’</w:t>
      </w:r>
      <w:r w:rsidR="00A97A85" w:rsidRPr="00C701C4">
        <w:t>;</w:t>
      </w:r>
    </w:p>
    <w:p w14:paraId="10BFAAE5" w14:textId="62219CB5" w:rsidR="00A97A85" w:rsidRPr="00C701C4" w:rsidRDefault="003C48E0" w:rsidP="007164E7">
      <w:pPr>
        <w:pStyle w:val="paragraph"/>
      </w:pPr>
      <w:r w:rsidRPr="00C701C4">
        <w:t>(j)</w:t>
      </w:r>
      <w:r w:rsidRPr="00C701C4">
        <w:tab/>
      </w:r>
      <w:r w:rsidR="00B61F47" w:rsidRPr="00C701C4">
        <w:t>within or near this text, a</w:t>
      </w:r>
      <w:r w:rsidR="00A97A85" w:rsidRPr="00C701C4">
        <w:t xml:space="preserve"> link</w:t>
      </w:r>
      <w:r w:rsidR="006F3814" w:rsidRPr="00C701C4">
        <w:t xml:space="preserve"> to </w:t>
      </w:r>
      <w:r w:rsidR="006440A3" w:rsidRPr="00C701C4">
        <w:t>the applicable product disclosure statement;</w:t>
      </w:r>
    </w:p>
    <w:p w14:paraId="240BBCEE" w14:textId="752BD088" w:rsidR="007E06A3" w:rsidRPr="00C701C4" w:rsidRDefault="003C48E0" w:rsidP="007164E7">
      <w:pPr>
        <w:pStyle w:val="paragraph"/>
      </w:pPr>
      <w:r w:rsidRPr="00C701C4">
        <w:t>(k)</w:t>
      </w:r>
      <w:r w:rsidRPr="00C701C4">
        <w:tab/>
      </w:r>
      <w:r w:rsidR="007E06A3" w:rsidRPr="00C701C4">
        <w:t xml:space="preserve">next to </w:t>
      </w:r>
      <w:r w:rsidR="006440A3" w:rsidRPr="00C701C4">
        <w:t>the</w:t>
      </w:r>
      <w:r w:rsidR="007E06A3" w:rsidRPr="00C701C4">
        <w:t xml:space="preserve"> pie chart</w:t>
      </w:r>
      <w:r w:rsidR="006440A3" w:rsidRPr="00C701C4">
        <w:t xml:space="preserve"> referred to in </w:t>
      </w:r>
      <w:r w:rsidR="00C701C4" w:rsidRPr="00C701C4">
        <w:t>paragraph (</w:t>
      </w:r>
      <w:r w:rsidRPr="00C701C4">
        <w:t>h</w:t>
      </w:r>
      <w:r w:rsidR="006440A3" w:rsidRPr="00C701C4">
        <w:t>)</w:t>
      </w:r>
      <w:r w:rsidR="007E06A3" w:rsidRPr="00C701C4">
        <w:t xml:space="preserve">, an interactive superannuation estimator as described in </w:t>
      </w:r>
      <w:r w:rsidR="00032EA4" w:rsidRPr="00C701C4">
        <w:t>regulation</w:t>
      </w:r>
      <w:r w:rsidR="00C701C4" w:rsidRPr="00C701C4">
        <w:t> </w:t>
      </w:r>
      <w:r w:rsidR="00032EA4" w:rsidRPr="00C701C4">
        <w:t>7.9.07V</w:t>
      </w:r>
      <w:r w:rsidR="006332C5" w:rsidRPr="00C701C4">
        <w:t xml:space="preserve"> with the heading </w:t>
      </w:r>
      <w:r w:rsidR="00723B39">
        <w:t>‘</w:t>
      </w:r>
      <w:r w:rsidR="006332C5" w:rsidRPr="00C701C4">
        <w:t>Superannuation estimator</w:t>
      </w:r>
      <w:r w:rsidR="00723B39">
        <w:t>’</w:t>
      </w:r>
      <w:r w:rsidR="006440A3" w:rsidRPr="00C701C4">
        <w:t>;</w:t>
      </w:r>
    </w:p>
    <w:p w14:paraId="715BB09A" w14:textId="6F4A7BED" w:rsidR="006440A3" w:rsidRPr="00C701C4" w:rsidRDefault="003C48E0" w:rsidP="007164E7">
      <w:pPr>
        <w:pStyle w:val="paragraphsub"/>
      </w:pPr>
      <w:r w:rsidRPr="00C701C4">
        <w:t>(</w:t>
      </w:r>
      <w:r w:rsidR="007164E7">
        <w:t>i</w:t>
      </w:r>
      <w:r w:rsidRPr="00C701C4">
        <w:t>)</w:t>
      </w:r>
      <w:r w:rsidRPr="00C701C4">
        <w:tab/>
      </w:r>
      <w:r w:rsidR="006440A3" w:rsidRPr="00C701C4">
        <w:t xml:space="preserve">under this estimator, the following </w:t>
      </w:r>
      <w:r w:rsidR="00B61F47" w:rsidRPr="00C701C4">
        <w:t>text</w:t>
      </w:r>
      <w:r w:rsidR="006440A3" w:rsidRPr="00C701C4">
        <w:t>:</w:t>
      </w:r>
    </w:p>
    <w:p w14:paraId="65930259" w14:textId="6587C298" w:rsidR="006440A3" w:rsidRPr="00C701C4" w:rsidRDefault="00723B39" w:rsidP="007164E7">
      <w:pPr>
        <w:pStyle w:val="paragraph"/>
        <w:tabs>
          <w:tab w:val="clear" w:pos="1560"/>
        </w:tabs>
        <w:ind w:left="1985" w:firstLine="0"/>
      </w:pPr>
      <w:r>
        <w:t>‘</w:t>
      </w:r>
      <w:r w:rsidR="006440A3" w:rsidRPr="00C701C4">
        <w:t xml:space="preserve">This estimate is based on the fees charged and target returns for this </w:t>
      </w:r>
      <w:r w:rsidR="00B61F47" w:rsidRPr="00C701C4">
        <w:t>[</w:t>
      </w:r>
      <w:r w:rsidR="00BC6829" w:rsidRPr="00C701C4">
        <w:t>product/investment option/lifecycle stage</w:t>
      </w:r>
      <w:r w:rsidR="00B61F47" w:rsidRPr="00C701C4">
        <w:rPr>
          <w:i/>
        </w:rPr>
        <w:t>—pick one</w:t>
      </w:r>
      <w:r w:rsidR="00B61F47" w:rsidRPr="00C701C4">
        <w:t xml:space="preserve">] </w:t>
      </w:r>
      <w:r w:rsidR="006440A3" w:rsidRPr="00C701C4">
        <w:t>based on a $50,000 balance</w:t>
      </w:r>
      <w:r w:rsidR="00B61F47" w:rsidRPr="00C701C4">
        <w:t xml:space="preserve"> as shown on this dashboard</w:t>
      </w:r>
      <w:r w:rsidR="006440A3" w:rsidRPr="00C701C4">
        <w:t>.</w:t>
      </w:r>
      <w:r>
        <w:t>’</w:t>
      </w:r>
      <w:r w:rsidR="006440A3" w:rsidRPr="00C701C4">
        <w:t>.</w:t>
      </w:r>
    </w:p>
    <w:p w14:paraId="53CDFAA8" w14:textId="27C6B635" w:rsidR="00373A22" w:rsidRPr="00C701C4" w:rsidRDefault="00373A22" w:rsidP="007164E7">
      <w:pPr>
        <w:pStyle w:val="paragraphsub"/>
      </w:pPr>
      <w:r w:rsidRPr="00C701C4">
        <w:t>(</w:t>
      </w:r>
      <w:r w:rsidR="007164E7">
        <w:t>ii</w:t>
      </w:r>
      <w:r w:rsidRPr="00C701C4">
        <w:t>)</w:t>
      </w:r>
      <w:r w:rsidRPr="00C701C4">
        <w:tab/>
      </w:r>
      <w:r w:rsidR="00104536" w:rsidRPr="00C701C4">
        <w:t xml:space="preserve">An example of a product dashboard </w:t>
      </w:r>
      <w:r w:rsidR="006440A3" w:rsidRPr="00C701C4">
        <w:t>consistent with subregulation</w:t>
      </w:r>
      <w:r w:rsidR="00C701C4" w:rsidRPr="00C701C4">
        <w:t> </w:t>
      </w:r>
      <w:r w:rsidR="006440A3" w:rsidRPr="00C701C4">
        <w:t xml:space="preserve">(1) </w:t>
      </w:r>
      <w:r w:rsidR="00104536" w:rsidRPr="00C701C4">
        <w:t>is set out in Schedule</w:t>
      </w:r>
      <w:r w:rsidR="00C701C4" w:rsidRPr="00C701C4">
        <w:t> </w:t>
      </w:r>
      <w:r w:rsidR="00104536" w:rsidRPr="00C701C4">
        <w:t>8E.</w:t>
      </w:r>
    </w:p>
    <w:p w14:paraId="2015CF35" w14:textId="77777777" w:rsidR="00E42B1F" w:rsidRPr="00DF72DD" w:rsidRDefault="003B775B" w:rsidP="00C63D31">
      <w:pPr>
        <w:pStyle w:val="ActHead5"/>
        <w:spacing w:before="240"/>
        <w:rPr>
          <w:rStyle w:val="CharAmSchNo"/>
        </w:rPr>
      </w:pPr>
      <w:bookmarkStart w:id="13" w:name="_Toc429660367"/>
      <w:r w:rsidRPr="00DF72DD">
        <w:rPr>
          <w:rStyle w:val="CharAmSchNo"/>
        </w:rPr>
        <w:t>7.9.07P</w:t>
      </w:r>
      <w:r w:rsidR="00E11583" w:rsidRPr="00DF72DD">
        <w:rPr>
          <w:rStyle w:val="CharAmSchNo"/>
        </w:rPr>
        <w:t xml:space="preserve">  Product dashboard—return target</w:t>
      </w:r>
      <w:bookmarkEnd w:id="13"/>
    </w:p>
    <w:p w14:paraId="7FBAE55D" w14:textId="77777777" w:rsidR="00E11583" w:rsidRPr="00C701C4" w:rsidRDefault="00E11583" w:rsidP="007164E7">
      <w:pPr>
        <w:pStyle w:val="subsection"/>
      </w:pPr>
      <w:r w:rsidRPr="00C701C4">
        <w:tab/>
      </w:r>
      <w:r w:rsidR="00C91E20" w:rsidRPr="00C701C4">
        <w:t>(1)</w:t>
      </w:r>
      <w:r w:rsidRPr="00C701C4">
        <w:tab/>
        <w:t xml:space="preserve">The return target </w:t>
      </w:r>
      <w:r w:rsidR="003B775B" w:rsidRPr="00C701C4">
        <w:t>referred to in paragraph</w:t>
      </w:r>
      <w:r w:rsidR="00C701C4" w:rsidRPr="00C701C4">
        <w:t> </w:t>
      </w:r>
      <w:r w:rsidR="00E40E2F" w:rsidRPr="00C701C4">
        <w:t>7.9.07N(1)(</w:t>
      </w:r>
      <w:r w:rsidR="003C48E0" w:rsidRPr="00C701C4">
        <w:t>e</w:t>
      </w:r>
      <w:r w:rsidR="00E40E2F" w:rsidRPr="00C701C4">
        <w:t>)</w:t>
      </w:r>
      <w:r w:rsidRPr="00C701C4">
        <w:t xml:space="preserve"> must be worked out:</w:t>
      </w:r>
    </w:p>
    <w:p w14:paraId="3FFE1B12" w14:textId="5B823437" w:rsidR="00E11583" w:rsidRPr="00C701C4" w:rsidRDefault="00E11583" w:rsidP="007164E7">
      <w:pPr>
        <w:pStyle w:val="paragraph"/>
      </w:pPr>
      <w:r w:rsidRPr="00C701C4">
        <w:t>(a)</w:t>
      </w:r>
      <w:r w:rsidRPr="00C701C4">
        <w:tab/>
        <w:t>in ac</w:t>
      </w:r>
      <w:r w:rsidR="00BE7CC4" w:rsidRPr="00C701C4">
        <w:t>cordance with any applicable</w:t>
      </w:r>
      <w:r w:rsidRPr="00C701C4">
        <w:t xml:space="preserve"> </w:t>
      </w:r>
      <w:r w:rsidR="002D42D9" w:rsidRPr="00C701C4">
        <w:t xml:space="preserve">dashboard reporting </w:t>
      </w:r>
      <w:r w:rsidR="00AF039E" w:rsidRPr="00C701C4">
        <w:t>standards</w:t>
      </w:r>
      <w:r w:rsidRPr="00C701C4">
        <w:t>; and</w:t>
      </w:r>
    </w:p>
    <w:p w14:paraId="126145CD" w14:textId="15012857" w:rsidR="00E11583" w:rsidRPr="00C701C4" w:rsidRDefault="00E11583" w:rsidP="007164E7">
      <w:pPr>
        <w:pStyle w:val="paragraph"/>
      </w:pPr>
      <w:r w:rsidRPr="00C701C4">
        <w:t>(b)</w:t>
      </w:r>
      <w:r w:rsidRPr="00C701C4">
        <w:tab/>
        <w:t>in relation to the 10</w:t>
      </w:r>
      <w:r w:rsidR="00C701C4">
        <w:noBreakHyphen/>
      </w:r>
      <w:r w:rsidRPr="00C701C4">
        <w:t>year period starting at the start of the current financial year.</w:t>
      </w:r>
    </w:p>
    <w:p w14:paraId="458E53C2" w14:textId="77777777" w:rsidR="00C63D31" w:rsidRDefault="00BE7CC4" w:rsidP="007164E7">
      <w:pPr>
        <w:pStyle w:val="subsection"/>
      </w:pPr>
      <w:r w:rsidRPr="00C701C4">
        <w:tab/>
      </w:r>
    </w:p>
    <w:p w14:paraId="518CA323" w14:textId="77777777" w:rsidR="00C63D31" w:rsidRDefault="00C63D31">
      <w:pPr>
        <w:spacing w:line="240" w:lineRule="auto"/>
        <w:rPr>
          <w:rFonts w:eastAsia="Times New Roman"/>
          <w:lang w:eastAsia="en-AU"/>
        </w:rPr>
      </w:pPr>
      <w:r>
        <w:br w:type="page"/>
      </w:r>
    </w:p>
    <w:p w14:paraId="38BF8F28" w14:textId="4B63F036" w:rsidR="00BE7CC4" w:rsidRPr="00C701C4" w:rsidRDefault="00C63D31" w:rsidP="007164E7">
      <w:pPr>
        <w:pStyle w:val="subsection"/>
      </w:pPr>
      <w:r>
        <w:tab/>
      </w:r>
      <w:r w:rsidR="00BE7CC4" w:rsidRPr="00C701C4">
        <w:t>(2)</w:t>
      </w:r>
      <w:r w:rsidR="00BE7CC4" w:rsidRPr="00C701C4">
        <w:tab/>
        <w:t xml:space="preserve">A </w:t>
      </w:r>
      <w:r w:rsidR="00BE7CC4" w:rsidRPr="00C701C4">
        <w:rPr>
          <w:b/>
          <w:i/>
        </w:rPr>
        <w:t>dashboard reporting standard</w:t>
      </w:r>
      <w:r w:rsidR="00BE7CC4" w:rsidRPr="00C701C4">
        <w:t xml:space="preserve"> is a reporting standard in force under section</w:t>
      </w:r>
      <w:r w:rsidR="00C701C4" w:rsidRPr="00C701C4">
        <w:t> </w:t>
      </w:r>
      <w:r w:rsidR="00BE7CC4" w:rsidRPr="00C701C4">
        <w:t xml:space="preserve">13 of the </w:t>
      </w:r>
      <w:r w:rsidR="00BE7CC4" w:rsidRPr="00C701C4">
        <w:rPr>
          <w:i/>
        </w:rPr>
        <w:t>Financial Sector (Collection of Data) Act 2001</w:t>
      </w:r>
      <w:r w:rsidR="00BE7CC4" w:rsidRPr="00C701C4">
        <w:t xml:space="preserve"> that expressly relates to preparing product dashboards.</w:t>
      </w:r>
    </w:p>
    <w:p w14:paraId="27E3C886" w14:textId="77777777" w:rsidR="00BE7CC4" w:rsidRPr="00C701C4" w:rsidRDefault="00BE7CC4" w:rsidP="00C63D31">
      <w:pPr>
        <w:pStyle w:val="notetext"/>
        <w:tabs>
          <w:tab w:val="left" w:pos="1701"/>
        </w:tabs>
        <w:ind w:left="1701" w:hanging="567"/>
      </w:pPr>
      <w:r w:rsidRPr="00C701C4">
        <w:t>Note:</w:t>
      </w:r>
      <w:r w:rsidRPr="00C701C4">
        <w:tab/>
        <w:t>There could</w:t>
      </w:r>
      <w:r w:rsidR="00615A43" w:rsidRPr="00C701C4">
        <w:t>, for example,</w:t>
      </w:r>
      <w:r w:rsidRPr="00C701C4">
        <w:t xml:space="preserve"> be one dashboard reporting standard that is only applicable for MySuper products (and lifecycle stages of such products), and another that is only applicable for qualifying choice investment options (and lif</w:t>
      </w:r>
      <w:r w:rsidR="00615A43" w:rsidRPr="00C701C4">
        <w:t>ecycle stages of such options).</w:t>
      </w:r>
    </w:p>
    <w:p w14:paraId="68909219" w14:textId="77777777" w:rsidR="00E11583" w:rsidRPr="00DF72DD" w:rsidRDefault="003B775B" w:rsidP="00E11583">
      <w:pPr>
        <w:pStyle w:val="ActHead5"/>
        <w:rPr>
          <w:rStyle w:val="CharAmSchNo"/>
        </w:rPr>
      </w:pPr>
      <w:bookmarkStart w:id="14" w:name="_Toc429660368"/>
      <w:r w:rsidRPr="00DF72DD">
        <w:rPr>
          <w:rStyle w:val="CharAmSchNo"/>
        </w:rPr>
        <w:t>7.9.07Q</w:t>
      </w:r>
      <w:r w:rsidR="00E11583" w:rsidRPr="00DF72DD">
        <w:rPr>
          <w:rStyle w:val="CharAmSchNo"/>
        </w:rPr>
        <w:t xml:space="preserve">  Product dashboard—actual return</w:t>
      </w:r>
      <w:bookmarkEnd w:id="14"/>
    </w:p>
    <w:p w14:paraId="0D41A59F" w14:textId="77777777" w:rsidR="00C35B2C" w:rsidRPr="00C701C4" w:rsidRDefault="00C35B2C" w:rsidP="007164E7">
      <w:pPr>
        <w:pStyle w:val="subsection"/>
      </w:pPr>
      <w:r w:rsidRPr="00C701C4">
        <w:tab/>
        <w:t>(1)</w:t>
      </w:r>
      <w:r w:rsidRPr="00C701C4">
        <w:tab/>
        <w:t>The average actual return referred to in paragraph</w:t>
      </w:r>
      <w:r w:rsidR="00C701C4" w:rsidRPr="00C701C4">
        <w:t> </w:t>
      </w:r>
      <w:r w:rsidRPr="00C701C4">
        <w:t>7.9.07N(1)(e) must be worked out:</w:t>
      </w:r>
    </w:p>
    <w:p w14:paraId="2A7B84C1" w14:textId="54032EF1" w:rsidR="00C35B2C" w:rsidRPr="00C701C4" w:rsidRDefault="00C35B2C" w:rsidP="007164E7">
      <w:pPr>
        <w:pStyle w:val="paragraph"/>
      </w:pPr>
      <w:r w:rsidRPr="00C701C4">
        <w:t>(a)</w:t>
      </w:r>
      <w:r w:rsidRPr="00C701C4">
        <w:tab/>
        <w:t>in accordance with any applicable dashboard reporting standards; and</w:t>
      </w:r>
    </w:p>
    <w:p w14:paraId="5FA0983C" w14:textId="4D77AF62" w:rsidR="00C35B2C" w:rsidRPr="00C701C4" w:rsidRDefault="00C35B2C" w:rsidP="007164E7">
      <w:pPr>
        <w:pStyle w:val="paragraph"/>
      </w:pPr>
      <w:r w:rsidRPr="00C701C4">
        <w:t>(b)</w:t>
      </w:r>
      <w:r w:rsidRPr="00C701C4">
        <w:tab/>
        <w:t xml:space="preserve">for the number of consecutive, whole financial years (the </w:t>
      </w:r>
      <w:r w:rsidR="00CB6E37" w:rsidRPr="00C701C4">
        <w:rPr>
          <w:b/>
          <w:i/>
        </w:rPr>
        <w:t>average return</w:t>
      </w:r>
      <w:r w:rsidRPr="00C701C4">
        <w:rPr>
          <w:b/>
          <w:i/>
        </w:rPr>
        <w:t xml:space="preserve"> years</w:t>
      </w:r>
      <w:r w:rsidRPr="00C701C4">
        <w:t>) du</w:t>
      </w:r>
      <w:r w:rsidR="00583A41" w:rsidRPr="00C701C4">
        <w:t xml:space="preserve">ring which the fund has offered </w:t>
      </w:r>
      <w:r w:rsidR="00CB6E37" w:rsidRPr="00C701C4">
        <w:t>any</w:t>
      </w:r>
      <w:r w:rsidR="00583A41" w:rsidRPr="00C701C4">
        <w:t xml:space="preserve"> of the following:</w:t>
      </w:r>
    </w:p>
    <w:p w14:paraId="2EFD1183" w14:textId="13B0787A" w:rsidR="00C35B2C" w:rsidRPr="00C701C4" w:rsidRDefault="00C35B2C" w:rsidP="007164E7">
      <w:pPr>
        <w:pStyle w:val="paragraphsub"/>
      </w:pPr>
      <w:r w:rsidRPr="00C701C4">
        <w:t>(i)</w:t>
      </w:r>
      <w:r w:rsidRPr="00C701C4">
        <w:tab/>
        <w:t xml:space="preserve">the </w:t>
      </w:r>
      <w:r w:rsidR="00583A41" w:rsidRPr="00C701C4">
        <w:t>MySuper product, investment option</w:t>
      </w:r>
      <w:r w:rsidRPr="00C701C4">
        <w:t xml:space="preserve"> or lifecycle stage to which the dashboard relates</w:t>
      </w:r>
      <w:r w:rsidR="00583A41" w:rsidRPr="00C701C4">
        <w:t>;</w:t>
      </w:r>
    </w:p>
    <w:p w14:paraId="3D958EA7" w14:textId="5AD5E874" w:rsidR="00C35B2C" w:rsidRPr="00C701C4" w:rsidRDefault="00C35B2C" w:rsidP="007164E7">
      <w:pPr>
        <w:pStyle w:val="paragraphsub"/>
      </w:pPr>
      <w:r w:rsidRPr="00C701C4">
        <w:t>(ii)</w:t>
      </w:r>
      <w:r w:rsidRPr="00C701C4">
        <w:tab/>
        <w:t xml:space="preserve">if the dashboard is </w:t>
      </w:r>
      <w:r w:rsidR="00583A41" w:rsidRPr="00C701C4">
        <w:t>for a MySuper product—</w:t>
      </w:r>
      <w:r w:rsidRPr="00C701C4">
        <w:t xml:space="preserve">any predecessor product </w:t>
      </w:r>
      <w:r w:rsidR="00583A41" w:rsidRPr="00C701C4">
        <w:t>for the MySuper product;</w:t>
      </w:r>
    </w:p>
    <w:p w14:paraId="2D8E821F" w14:textId="2D939460" w:rsidR="00C35B2C" w:rsidRPr="00C701C4" w:rsidRDefault="00C35B2C" w:rsidP="007164E7">
      <w:pPr>
        <w:pStyle w:val="paragraphsub"/>
      </w:pPr>
      <w:r w:rsidRPr="00C701C4">
        <w:t>(iii)</w:t>
      </w:r>
      <w:r w:rsidRPr="00C701C4">
        <w:tab/>
        <w:t>if the dashboard is for a lifecycle stage of a MySuper product to which a lifecycle exception applies—any equivalent lifecycle stage of a predecessor product</w:t>
      </w:r>
      <w:r w:rsidR="00583A41" w:rsidRPr="00C701C4">
        <w:t xml:space="preserve"> for the MySuper product; and</w:t>
      </w:r>
    </w:p>
    <w:p w14:paraId="4F22B6DA" w14:textId="4BC2CC9B" w:rsidR="00C35B2C" w:rsidRPr="00C701C4" w:rsidRDefault="00C35B2C" w:rsidP="007164E7">
      <w:pPr>
        <w:pStyle w:val="paragraph"/>
      </w:pPr>
      <w:r w:rsidRPr="00C701C4">
        <w:t>(c)</w:t>
      </w:r>
      <w:r w:rsidRPr="00C701C4">
        <w:tab/>
        <w:t xml:space="preserve">using the actual returns for the </w:t>
      </w:r>
      <w:r w:rsidR="00CB6E37" w:rsidRPr="00C701C4">
        <w:t>average return</w:t>
      </w:r>
      <w:r w:rsidRPr="00C701C4">
        <w:t xml:space="preserve"> years of</w:t>
      </w:r>
      <w:r w:rsidR="00583A41" w:rsidRPr="00C701C4">
        <w:t xml:space="preserve"> all of the products, options or stages to which </w:t>
      </w:r>
      <w:r w:rsidR="00C701C4" w:rsidRPr="00C701C4">
        <w:t>paragraph (</w:t>
      </w:r>
      <w:r w:rsidR="00583A41" w:rsidRPr="00C701C4">
        <w:t>b) applies.</w:t>
      </w:r>
    </w:p>
    <w:p w14:paraId="01CDB000" w14:textId="77777777" w:rsidR="00C35B2C" w:rsidRPr="00C701C4" w:rsidRDefault="00A50668" w:rsidP="007164E7">
      <w:pPr>
        <w:pStyle w:val="subsection"/>
      </w:pPr>
      <w:r w:rsidRPr="00C701C4">
        <w:tab/>
        <w:t>(2</w:t>
      </w:r>
      <w:r w:rsidR="00CB6E37" w:rsidRPr="00C701C4">
        <w:t>)</w:t>
      </w:r>
      <w:r w:rsidR="00CB6E37" w:rsidRPr="00C701C4">
        <w:tab/>
        <w:t xml:space="preserve">For the purposes of paragraph of (1)(b), the average return years must not include </w:t>
      </w:r>
      <w:r w:rsidR="00C35B2C" w:rsidRPr="00C701C4">
        <w:t xml:space="preserve">more than </w:t>
      </w:r>
      <w:r w:rsidR="00CB6E37" w:rsidRPr="00C701C4">
        <w:t>the 10</w:t>
      </w:r>
      <w:r w:rsidR="00C35B2C" w:rsidRPr="00C701C4">
        <w:t xml:space="preserve"> financial years preceding </w:t>
      </w:r>
      <w:r w:rsidR="00CB6E37" w:rsidRPr="00C701C4">
        <w:t>the current</w:t>
      </w:r>
      <w:r w:rsidR="00C35B2C" w:rsidRPr="00C701C4">
        <w:t xml:space="preserve"> financial year.</w:t>
      </w:r>
    </w:p>
    <w:p w14:paraId="4AE5AB91" w14:textId="77777777" w:rsidR="00C91E20" w:rsidRPr="00C701C4" w:rsidRDefault="00ED5324" w:rsidP="00C63D31">
      <w:pPr>
        <w:pStyle w:val="SubsectionHead"/>
        <w:spacing w:before="120"/>
      </w:pPr>
      <w:r w:rsidRPr="00C701C4">
        <w:t xml:space="preserve">Meaning of </w:t>
      </w:r>
      <w:r w:rsidRPr="00C701C4">
        <w:rPr>
          <w:b/>
        </w:rPr>
        <w:t>p</w:t>
      </w:r>
      <w:r w:rsidR="00C91E20" w:rsidRPr="00C701C4">
        <w:rPr>
          <w:b/>
        </w:rPr>
        <w:t>redecessor product</w:t>
      </w:r>
    </w:p>
    <w:p w14:paraId="67F3C306" w14:textId="77777777" w:rsidR="00AD46E9" w:rsidRPr="00C701C4" w:rsidRDefault="00AD46E9" w:rsidP="007164E7">
      <w:pPr>
        <w:pStyle w:val="subsection"/>
      </w:pPr>
      <w:r w:rsidRPr="00C701C4">
        <w:tab/>
        <w:t>(</w:t>
      </w:r>
      <w:r w:rsidR="00A50668" w:rsidRPr="00C701C4">
        <w:t>3</w:t>
      </w:r>
      <w:r w:rsidRPr="00C701C4">
        <w:t>)</w:t>
      </w:r>
      <w:r w:rsidRPr="00C701C4">
        <w:tab/>
        <w:t>In this regulation:</w:t>
      </w:r>
    </w:p>
    <w:p w14:paraId="0D8DBCDC" w14:textId="77777777" w:rsidR="00AD46E9" w:rsidRPr="00C701C4" w:rsidRDefault="00AD46E9" w:rsidP="00C63D31">
      <w:pPr>
        <w:pStyle w:val="Definition"/>
        <w:spacing w:before="120"/>
      </w:pPr>
      <w:r w:rsidRPr="00C701C4">
        <w:rPr>
          <w:b/>
          <w:i/>
        </w:rPr>
        <w:t>predecessor product</w:t>
      </w:r>
      <w:r w:rsidRPr="00C701C4">
        <w:t>, for a MySuper product, means a default investment option in existence on 30</w:t>
      </w:r>
      <w:r w:rsidR="00C701C4" w:rsidRPr="00C701C4">
        <w:t> </w:t>
      </w:r>
      <w:r w:rsidRPr="00C701C4">
        <w:t>June 2013 in relation to which, if a member’s accrued default amount were attributed to the MySuper product, the RSE licensee would be exempted from disclosure requirements under subregulation</w:t>
      </w:r>
      <w:r w:rsidR="00C701C4" w:rsidRPr="00C701C4">
        <w:t> </w:t>
      </w:r>
      <w:r w:rsidRPr="00C701C4">
        <w:t>9.46(2) of the SIS Regulations.</w:t>
      </w:r>
    </w:p>
    <w:p w14:paraId="11930B2F" w14:textId="77777777" w:rsidR="00600FB5" w:rsidRPr="00DF72DD" w:rsidRDefault="003B775B" w:rsidP="00787527">
      <w:pPr>
        <w:pStyle w:val="ActHead5"/>
        <w:rPr>
          <w:rStyle w:val="CharAmSchNo"/>
        </w:rPr>
      </w:pPr>
      <w:bookmarkStart w:id="15" w:name="_Toc429660369"/>
      <w:r w:rsidRPr="00DF72DD">
        <w:rPr>
          <w:rStyle w:val="CharAmSchNo"/>
        </w:rPr>
        <w:t>7.9.07R</w:t>
      </w:r>
      <w:r w:rsidR="00787527" w:rsidRPr="00DF72DD">
        <w:rPr>
          <w:rStyle w:val="CharAmSchNo"/>
        </w:rPr>
        <w:t xml:space="preserve">  Product dashboard—comparison between return target and return</w:t>
      </w:r>
      <w:bookmarkEnd w:id="15"/>
    </w:p>
    <w:p w14:paraId="5120B395" w14:textId="77777777" w:rsidR="00787527" w:rsidRPr="00C701C4" w:rsidRDefault="00787527" w:rsidP="007164E7">
      <w:pPr>
        <w:pStyle w:val="subsection"/>
      </w:pPr>
      <w:r w:rsidRPr="00C701C4">
        <w:tab/>
        <w:t>(1)</w:t>
      </w:r>
      <w:r w:rsidRPr="00C701C4">
        <w:tab/>
      </w:r>
      <w:r w:rsidR="003B2699" w:rsidRPr="00C701C4">
        <w:t>The</w:t>
      </w:r>
      <w:r w:rsidR="00A200BD" w:rsidRPr="00C701C4">
        <w:t xml:space="preserve"> comparison </w:t>
      </w:r>
      <w:r w:rsidR="00E70111" w:rsidRPr="00C701C4">
        <w:t>graph referred to in paragraph</w:t>
      </w:r>
      <w:r w:rsidR="00C701C4" w:rsidRPr="00C701C4">
        <w:t> </w:t>
      </w:r>
      <w:r w:rsidR="00E70111" w:rsidRPr="00C701C4">
        <w:t>7.9.07N(1)(</w:t>
      </w:r>
      <w:r w:rsidR="003C48E0" w:rsidRPr="00C701C4">
        <w:t>f</w:t>
      </w:r>
      <w:r w:rsidR="00E70111" w:rsidRPr="00C701C4">
        <w:t xml:space="preserve">) </w:t>
      </w:r>
      <w:r w:rsidR="00A200BD" w:rsidRPr="00C701C4">
        <w:t>must be worked out:</w:t>
      </w:r>
    </w:p>
    <w:p w14:paraId="6E964D18" w14:textId="6CA154F7" w:rsidR="00A200BD" w:rsidRPr="00C701C4" w:rsidRDefault="00A200BD" w:rsidP="007164E7">
      <w:pPr>
        <w:pStyle w:val="paragraph"/>
      </w:pPr>
      <w:r w:rsidRPr="00C701C4">
        <w:t>(a)</w:t>
      </w:r>
      <w:r w:rsidRPr="00C701C4">
        <w:tab/>
      </w:r>
      <w:r w:rsidR="00ED5324" w:rsidRPr="00C701C4">
        <w:t xml:space="preserve">in accordance with </w:t>
      </w:r>
      <w:r w:rsidR="00C701C4" w:rsidRPr="00C701C4">
        <w:t>subsection (</w:t>
      </w:r>
      <w:r w:rsidR="00B358B3" w:rsidRPr="00C701C4">
        <w:t>2)</w:t>
      </w:r>
      <w:r w:rsidR="002A05FD" w:rsidRPr="00C701C4">
        <w:t xml:space="preserve"> and </w:t>
      </w:r>
      <w:r w:rsidR="00ED5324" w:rsidRPr="00C701C4">
        <w:t xml:space="preserve">any applicable dashboard reporting </w:t>
      </w:r>
      <w:r w:rsidR="00AF039E" w:rsidRPr="00C701C4">
        <w:t>standards</w:t>
      </w:r>
      <w:r w:rsidRPr="00C701C4">
        <w:t>; and</w:t>
      </w:r>
    </w:p>
    <w:p w14:paraId="17187620" w14:textId="4175AAAE" w:rsidR="00A200BD" w:rsidRPr="00C701C4" w:rsidRDefault="00A200BD" w:rsidP="007164E7">
      <w:pPr>
        <w:pStyle w:val="paragraph"/>
      </w:pPr>
      <w:r w:rsidRPr="00C701C4">
        <w:t>(b)</w:t>
      </w:r>
      <w:r w:rsidRPr="00C701C4">
        <w:tab/>
        <w:t xml:space="preserve">in relation to the </w:t>
      </w:r>
      <w:r w:rsidR="00EE77DF" w:rsidRPr="00C701C4">
        <w:t>average return years</w:t>
      </w:r>
      <w:r w:rsidRPr="00C701C4">
        <w:t>.</w:t>
      </w:r>
    </w:p>
    <w:p w14:paraId="20786C63" w14:textId="77777777" w:rsidR="00A200BD" w:rsidRPr="007164E7" w:rsidRDefault="00A200BD" w:rsidP="007164E7">
      <w:pPr>
        <w:pStyle w:val="subsection"/>
      </w:pPr>
      <w:r w:rsidRPr="007164E7">
        <w:tab/>
        <w:t>(2)</w:t>
      </w:r>
      <w:r w:rsidRPr="007164E7">
        <w:tab/>
        <w:t>Th</w:t>
      </w:r>
      <w:r w:rsidR="00E70111" w:rsidRPr="007164E7">
        <w:t>e</w:t>
      </w:r>
      <w:r w:rsidR="00ED5324" w:rsidRPr="007164E7">
        <w:t xml:space="preserve"> comparison </w:t>
      </w:r>
      <w:r w:rsidR="00E70111" w:rsidRPr="007164E7">
        <w:t xml:space="preserve">graph </w:t>
      </w:r>
      <w:r w:rsidRPr="007164E7">
        <w:t xml:space="preserve">must contain </w:t>
      </w:r>
      <w:r w:rsidR="006440A3" w:rsidRPr="007164E7">
        <w:t xml:space="preserve">all of </w:t>
      </w:r>
      <w:r w:rsidRPr="007164E7">
        <w:t>the following:</w:t>
      </w:r>
    </w:p>
    <w:p w14:paraId="46E2E5BC" w14:textId="19360B75" w:rsidR="00ED5324" w:rsidRPr="00C701C4" w:rsidRDefault="00A200BD" w:rsidP="007164E7">
      <w:pPr>
        <w:pStyle w:val="paragraph"/>
      </w:pPr>
      <w:r w:rsidRPr="00C701C4">
        <w:t>(a)</w:t>
      </w:r>
      <w:r w:rsidRPr="00C701C4">
        <w:tab/>
        <w:t>labels for all axes</w:t>
      </w:r>
      <w:r w:rsidR="00ED5324" w:rsidRPr="00C701C4">
        <w:t>;</w:t>
      </w:r>
    </w:p>
    <w:p w14:paraId="099439FD" w14:textId="02F41BC9" w:rsidR="006D32DB" w:rsidRPr="00C701C4" w:rsidRDefault="00ED5324" w:rsidP="007164E7">
      <w:pPr>
        <w:pStyle w:val="paragraph"/>
      </w:pPr>
      <w:r w:rsidRPr="00C701C4">
        <w:t>(b)</w:t>
      </w:r>
      <w:r w:rsidRPr="00C701C4">
        <w:tab/>
      </w:r>
      <w:r w:rsidR="00E94F52" w:rsidRPr="00C701C4">
        <w:t xml:space="preserve">a </w:t>
      </w:r>
      <w:r w:rsidR="008213CC" w:rsidRPr="00C701C4">
        <w:t xml:space="preserve">key to explain the </w:t>
      </w:r>
      <w:r w:rsidR="00E94F52" w:rsidRPr="00C701C4">
        <w:t xml:space="preserve">3 </w:t>
      </w:r>
      <w:r w:rsidR="00A200BD" w:rsidRPr="00C701C4">
        <w:t>data series</w:t>
      </w:r>
      <w:r w:rsidR="006D32DB" w:rsidRPr="00C701C4">
        <w:t xml:space="preserve"> for the graph, </w:t>
      </w:r>
      <w:r w:rsidR="002A5774" w:rsidRPr="00C701C4">
        <w:t>which are</w:t>
      </w:r>
      <w:r w:rsidR="006D32DB" w:rsidRPr="00C701C4">
        <w:t>:</w:t>
      </w:r>
    </w:p>
    <w:p w14:paraId="1681467A" w14:textId="28EE02B1" w:rsidR="006D32DB" w:rsidRPr="00C701C4" w:rsidRDefault="006D32DB" w:rsidP="007164E7">
      <w:pPr>
        <w:pStyle w:val="paragraphsub"/>
      </w:pPr>
      <w:r w:rsidRPr="00C701C4">
        <w:t>(i)</w:t>
      </w:r>
      <w:r w:rsidRPr="00C701C4">
        <w:tab/>
      </w:r>
      <w:r w:rsidR="002A5774" w:rsidRPr="00C701C4">
        <w:t xml:space="preserve">the </w:t>
      </w:r>
      <w:r w:rsidR="006440A3" w:rsidRPr="00C701C4">
        <w:t xml:space="preserve">1 year </w:t>
      </w:r>
      <w:r w:rsidRPr="00C701C4">
        <w:t xml:space="preserve">actual </w:t>
      </w:r>
      <w:r w:rsidR="006440A3" w:rsidRPr="00C701C4">
        <w:t>return</w:t>
      </w:r>
      <w:r w:rsidRPr="00C701C4">
        <w:t>; and</w:t>
      </w:r>
    </w:p>
    <w:p w14:paraId="78796632" w14:textId="4255C0CA" w:rsidR="006D32DB" w:rsidRPr="00C701C4" w:rsidRDefault="006D32DB" w:rsidP="007164E7">
      <w:pPr>
        <w:pStyle w:val="paragraphsub"/>
      </w:pPr>
      <w:r w:rsidRPr="00C701C4">
        <w:t>(ii)</w:t>
      </w:r>
      <w:r w:rsidRPr="00C701C4">
        <w:tab/>
      </w:r>
      <w:r w:rsidR="006440A3" w:rsidRPr="00C701C4">
        <w:t xml:space="preserve">the </w:t>
      </w:r>
      <w:r w:rsidR="006332C5" w:rsidRPr="00C701C4">
        <w:t xml:space="preserve">10 year </w:t>
      </w:r>
      <w:r w:rsidR="006440A3" w:rsidRPr="00C701C4">
        <w:t>average return target</w:t>
      </w:r>
      <w:r w:rsidRPr="00C701C4">
        <w:t>; and</w:t>
      </w:r>
    </w:p>
    <w:p w14:paraId="64528EFD" w14:textId="53A8D8EE" w:rsidR="00A200BD" w:rsidRPr="00C701C4" w:rsidRDefault="006D32DB" w:rsidP="007164E7">
      <w:pPr>
        <w:pStyle w:val="paragraphsub"/>
      </w:pPr>
      <w:r w:rsidRPr="00C701C4">
        <w:t>(iii)</w:t>
      </w:r>
      <w:r w:rsidRPr="00C701C4">
        <w:tab/>
      </w:r>
      <w:r w:rsidR="006440A3" w:rsidRPr="00C701C4">
        <w:t>t</w:t>
      </w:r>
      <w:r w:rsidRPr="00C701C4">
        <w:t>he 10 year average actual return</w:t>
      </w:r>
      <w:r w:rsidR="008213CC" w:rsidRPr="00C701C4">
        <w:t>;</w:t>
      </w:r>
    </w:p>
    <w:p w14:paraId="4E445F4B" w14:textId="15BCA199" w:rsidR="00A200BD" w:rsidRPr="00C701C4" w:rsidRDefault="00A200BD" w:rsidP="007164E7">
      <w:pPr>
        <w:pStyle w:val="paragraph"/>
      </w:pPr>
      <w:r w:rsidRPr="00C701C4">
        <w:t>(</w:t>
      </w:r>
      <w:r w:rsidR="00525479" w:rsidRPr="00C701C4">
        <w:t>c</w:t>
      </w:r>
      <w:r w:rsidRPr="00C701C4">
        <w:t>)</w:t>
      </w:r>
      <w:r w:rsidRPr="00C701C4">
        <w:tab/>
        <w:t xml:space="preserve">identical scales on the </w:t>
      </w:r>
      <w:r w:rsidR="002A5774" w:rsidRPr="00C701C4">
        <w:t>vertical axe</w:t>
      </w:r>
      <w:r w:rsidRPr="00C701C4">
        <w:t>s;</w:t>
      </w:r>
    </w:p>
    <w:p w14:paraId="3008A2DA" w14:textId="203FA82D" w:rsidR="00A200BD" w:rsidRPr="00C701C4" w:rsidRDefault="00525479" w:rsidP="007164E7">
      <w:pPr>
        <w:pStyle w:val="paragraph"/>
      </w:pPr>
      <w:r w:rsidRPr="00C701C4">
        <w:t>(d</w:t>
      </w:r>
      <w:r w:rsidR="00A200BD" w:rsidRPr="00C701C4">
        <w:t>)</w:t>
      </w:r>
      <w:r w:rsidR="00A200BD" w:rsidRPr="00C701C4">
        <w:tab/>
      </w:r>
      <w:r w:rsidR="002A5774" w:rsidRPr="00C701C4">
        <w:t>the vertical axe</w:t>
      </w:r>
      <w:r w:rsidR="008213CC" w:rsidRPr="00C701C4">
        <w:t xml:space="preserve">s to range </w:t>
      </w:r>
      <w:r w:rsidR="00A200BD" w:rsidRPr="00C701C4">
        <w:t xml:space="preserve">from </w:t>
      </w:r>
      <w:r w:rsidR="008213CC" w:rsidRPr="00C701C4">
        <w:t xml:space="preserve">at least </w:t>
      </w:r>
      <w:r w:rsidR="00C701C4">
        <w:noBreakHyphen/>
      </w:r>
      <w:r w:rsidR="00A200BD" w:rsidRPr="00C701C4">
        <w:t xml:space="preserve">20% to 20%, </w:t>
      </w:r>
      <w:r w:rsidR="004072A4" w:rsidRPr="00C701C4">
        <w:t>with</w:t>
      </w:r>
      <w:r w:rsidR="008213CC" w:rsidRPr="00C701C4">
        <w:t xml:space="preserve"> further </w:t>
      </w:r>
      <w:r w:rsidR="00A200BD" w:rsidRPr="00C701C4">
        <w:t xml:space="preserve">equal increments of 5% </w:t>
      </w:r>
      <w:r w:rsidR="008213CC" w:rsidRPr="00C701C4">
        <w:t xml:space="preserve">if this </w:t>
      </w:r>
      <w:r w:rsidR="004072A4" w:rsidRPr="00C701C4">
        <w:t xml:space="preserve">is </w:t>
      </w:r>
      <w:r w:rsidR="008213CC" w:rsidRPr="00C701C4">
        <w:t>necessary to display the data</w:t>
      </w:r>
      <w:r w:rsidR="00A200BD" w:rsidRPr="00C701C4">
        <w:t>;</w:t>
      </w:r>
    </w:p>
    <w:p w14:paraId="565C6088" w14:textId="4736BC52" w:rsidR="00EE451F" w:rsidRPr="00C701C4" w:rsidRDefault="00525479" w:rsidP="007164E7">
      <w:pPr>
        <w:pStyle w:val="paragraph"/>
      </w:pPr>
      <w:r w:rsidRPr="00C701C4">
        <w:t>(e</w:t>
      </w:r>
      <w:r w:rsidR="00A200BD" w:rsidRPr="00C701C4">
        <w:t>)</w:t>
      </w:r>
      <w:r w:rsidR="00A200BD" w:rsidRPr="00C701C4">
        <w:tab/>
        <w:t xml:space="preserve">a column representing the </w:t>
      </w:r>
      <w:r w:rsidR="004072A4" w:rsidRPr="00C701C4">
        <w:t xml:space="preserve">actual return </w:t>
      </w:r>
      <w:r w:rsidR="00A200BD" w:rsidRPr="00C701C4">
        <w:t xml:space="preserve">for each of the </w:t>
      </w:r>
      <w:r w:rsidR="00EE77DF" w:rsidRPr="00C701C4">
        <w:t>average return year</w:t>
      </w:r>
      <w:r w:rsidR="00EE451F" w:rsidRPr="00C701C4">
        <w:t>s</w:t>
      </w:r>
      <w:r w:rsidR="00A200BD" w:rsidRPr="00C701C4">
        <w:t xml:space="preserve">, with value labels </w:t>
      </w:r>
      <w:r w:rsidR="006440A3" w:rsidRPr="00C701C4">
        <w:t xml:space="preserve">for each column </w:t>
      </w:r>
      <w:r w:rsidR="00A200BD" w:rsidRPr="00C701C4">
        <w:t>to</w:t>
      </w:r>
      <w:r w:rsidR="006440A3" w:rsidRPr="00C701C4">
        <w:t xml:space="preserve"> one decimal place;</w:t>
      </w:r>
    </w:p>
    <w:p w14:paraId="30F02B5B" w14:textId="3D9944C3" w:rsidR="00A200BD" w:rsidRPr="00C701C4" w:rsidRDefault="00525479" w:rsidP="007164E7">
      <w:pPr>
        <w:pStyle w:val="paragraph"/>
      </w:pPr>
      <w:r w:rsidRPr="00C701C4">
        <w:t>(f</w:t>
      </w:r>
      <w:r w:rsidR="00EE451F" w:rsidRPr="00C701C4">
        <w:t>)</w:t>
      </w:r>
      <w:r w:rsidR="00EE451F" w:rsidRPr="00C701C4">
        <w:tab/>
      </w:r>
      <w:r w:rsidR="00A200BD" w:rsidRPr="00C701C4">
        <w:t xml:space="preserve">a </w:t>
      </w:r>
      <w:r w:rsidR="002A05FD" w:rsidRPr="00C701C4">
        <w:t>dashed</w:t>
      </w:r>
      <w:r w:rsidR="00A200BD" w:rsidRPr="00C701C4">
        <w:t xml:space="preserve"> line representing the moving </w:t>
      </w:r>
      <w:r w:rsidR="002A05FD" w:rsidRPr="00C701C4">
        <w:t xml:space="preserve">average </w:t>
      </w:r>
      <w:r w:rsidR="004072A4" w:rsidRPr="00C701C4">
        <w:t>return target</w:t>
      </w:r>
      <w:r w:rsidR="003F53BF" w:rsidRPr="00C701C4">
        <w:t xml:space="preserve"> </w:t>
      </w:r>
      <w:r w:rsidR="00A200BD" w:rsidRPr="00C701C4">
        <w:t xml:space="preserve">for the </w:t>
      </w:r>
      <w:r w:rsidR="00EE77DF" w:rsidRPr="00C701C4">
        <w:t>average return year</w:t>
      </w:r>
      <w:r w:rsidR="00EE451F" w:rsidRPr="00C701C4">
        <w:t>s</w:t>
      </w:r>
      <w:r w:rsidR="00A200BD" w:rsidRPr="00C701C4">
        <w:t>;</w:t>
      </w:r>
    </w:p>
    <w:p w14:paraId="08BC15C2" w14:textId="5D9C5FC8" w:rsidR="00A200BD" w:rsidRPr="00C701C4" w:rsidRDefault="00525479" w:rsidP="007164E7">
      <w:pPr>
        <w:pStyle w:val="paragraph"/>
      </w:pPr>
      <w:r w:rsidRPr="00C701C4">
        <w:t>(g</w:t>
      </w:r>
      <w:r w:rsidR="00EE451F" w:rsidRPr="00C701C4">
        <w:t>)</w:t>
      </w:r>
      <w:r w:rsidR="00EE451F" w:rsidRPr="00C701C4">
        <w:tab/>
      </w:r>
      <w:r w:rsidR="00A200BD" w:rsidRPr="00C701C4">
        <w:t xml:space="preserve">a solid line representing the moving average </w:t>
      </w:r>
      <w:r w:rsidR="002A05FD" w:rsidRPr="00C701C4">
        <w:t xml:space="preserve">actual </w:t>
      </w:r>
      <w:r w:rsidR="00A200BD" w:rsidRPr="00C701C4">
        <w:t xml:space="preserve">return for the </w:t>
      </w:r>
      <w:r w:rsidR="00EE77DF" w:rsidRPr="00C701C4">
        <w:t>average return year</w:t>
      </w:r>
      <w:r w:rsidR="00EE451F" w:rsidRPr="00C701C4">
        <w:t>s.</w:t>
      </w:r>
    </w:p>
    <w:p w14:paraId="329B62D5" w14:textId="77777777" w:rsidR="00D901D7" w:rsidRPr="00DF72DD" w:rsidRDefault="003B775B" w:rsidP="00D901D7">
      <w:pPr>
        <w:pStyle w:val="ActHead5"/>
        <w:rPr>
          <w:rStyle w:val="CharAmSchNo"/>
        </w:rPr>
      </w:pPr>
      <w:bookmarkStart w:id="16" w:name="_Toc429660370"/>
      <w:r w:rsidRPr="00DF72DD">
        <w:rPr>
          <w:rStyle w:val="CharAmSchNo"/>
        </w:rPr>
        <w:t>7.9.07S</w:t>
      </w:r>
      <w:r w:rsidR="00D901D7" w:rsidRPr="00DF72DD">
        <w:rPr>
          <w:rStyle w:val="CharAmSchNo"/>
        </w:rPr>
        <w:t xml:space="preserve">  Product dashboard—level of investment risk</w:t>
      </w:r>
      <w:bookmarkEnd w:id="16"/>
    </w:p>
    <w:p w14:paraId="0E2B576E" w14:textId="77777777" w:rsidR="00D901D7" w:rsidRPr="00C701C4" w:rsidRDefault="00D901D7" w:rsidP="007164E7">
      <w:pPr>
        <w:pStyle w:val="subsection"/>
      </w:pPr>
      <w:r w:rsidRPr="00C701C4">
        <w:tab/>
      </w:r>
      <w:r w:rsidRPr="00C701C4">
        <w:tab/>
        <w:t>The level of investment risk referred to in paragraph</w:t>
      </w:r>
      <w:r w:rsidR="00C701C4" w:rsidRPr="00C701C4">
        <w:t> </w:t>
      </w:r>
      <w:r w:rsidR="00E40E2F" w:rsidRPr="00C701C4">
        <w:t>7.9.07N</w:t>
      </w:r>
      <w:r w:rsidR="004072A4" w:rsidRPr="00C701C4">
        <w:t>(1)</w:t>
      </w:r>
      <w:r w:rsidR="003C48E0" w:rsidRPr="00C701C4">
        <w:t>(e</w:t>
      </w:r>
      <w:r w:rsidR="00E40E2F" w:rsidRPr="00C701C4">
        <w:t>)</w:t>
      </w:r>
      <w:r w:rsidR="00A52BC0" w:rsidRPr="00C701C4">
        <w:t xml:space="preserve"> must be</w:t>
      </w:r>
      <w:r w:rsidRPr="00C701C4">
        <w:t>:</w:t>
      </w:r>
    </w:p>
    <w:p w14:paraId="2FC5C677" w14:textId="04FDBB09" w:rsidR="004072A4" w:rsidRPr="00C701C4" w:rsidRDefault="004072A4" w:rsidP="007164E7">
      <w:pPr>
        <w:pStyle w:val="paragraph"/>
      </w:pPr>
      <w:r w:rsidRPr="00C701C4">
        <w:t>(a)</w:t>
      </w:r>
      <w:r w:rsidRPr="00C701C4">
        <w:tab/>
      </w:r>
      <w:r w:rsidR="00A52BC0" w:rsidRPr="00C701C4">
        <w:t xml:space="preserve">worked out </w:t>
      </w:r>
      <w:r w:rsidRPr="00C701C4">
        <w:t xml:space="preserve">in accordance with any applicable dashboard reporting </w:t>
      </w:r>
      <w:r w:rsidR="00AF039E" w:rsidRPr="00C701C4">
        <w:t>standards</w:t>
      </w:r>
      <w:r w:rsidRPr="00C701C4">
        <w:t>; and</w:t>
      </w:r>
    </w:p>
    <w:p w14:paraId="515BA336" w14:textId="65E5C7FA" w:rsidR="00D901D7" w:rsidRPr="00C701C4" w:rsidRDefault="00D901D7" w:rsidP="007164E7">
      <w:pPr>
        <w:pStyle w:val="paragraph"/>
      </w:pPr>
      <w:r w:rsidRPr="00C701C4">
        <w:t>(b)</w:t>
      </w:r>
      <w:r w:rsidRPr="00C701C4">
        <w:tab/>
      </w:r>
      <w:r w:rsidR="00A52BC0" w:rsidRPr="00C701C4">
        <w:t xml:space="preserve">worked out </w:t>
      </w:r>
      <w:r w:rsidRPr="00C701C4">
        <w:t>in relatio</w:t>
      </w:r>
      <w:r w:rsidR="00A52BC0" w:rsidRPr="00C701C4">
        <w:t>n to the current financial year; and</w:t>
      </w:r>
    </w:p>
    <w:p w14:paraId="4391429B" w14:textId="647D0039" w:rsidR="00A52BC0" w:rsidRPr="00C701C4" w:rsidRDefault="00A52BC0" w:rsidP="007164E7">
      <w:pPr>
        <w:pStyle w:val="paragraph"/>
      </w:pPr>
      <w:r w:rsidRPr="00C701C4">
        <w:t>(c)</w:t>
      </w:r>
      <w:r w:rsidRPr="00C701C4">
        <w:tab/>
        <w:t>expressed using the relevant risk label set out in the applicable dashboard reporting standards.</w:t>
      </w:r>
    </w:p>
    <w:p w14:paraId="36B5150B" w14:textId="77777777" w:rsidR="00D901D7" w:rsidRPr="00DF72DD" w:rsidRDefault="00D901D7" w:rsidP="00D901D7">
      <w:pPr>
        <w:pStyle w:val="ActHead5"/>
        <w:rPr>
          <w:rStyle w:val="CharAmSchNo"/>
        </w:rPr>
      </w:pPr>
      <w:bookmarkStart w:id="17" w:name="_Toc429660371"/>
      <w:r w:rsidRPr="00DF72DD">
        <w:rPr>
          <w:rStyle w:val="CharAmSchNo"/>
        </w:rPr>
        <w:t>7</w:t>
      </w:r>
      <w:r w:rsidR="003B775B" w:rsidRPr="00DF72DD">
        <w:rPr>
          <w:rStyle w:val="CharAmSchNo"/>
        </w:rPr>
        <w:t>.9.07T</w:t>
      </w:r>
      <w:r w:rsidRPr="00DF72DD">
        <w:rPr>
          <w:rStyle w:val="CharAmSchNo"/>
        </w:rPr>
        <w:t xml:space="preserve">  Product dashboard—statement of fees and other costs</w:t>
      </w:r>
      <w:bookmarkEnd w:id="17"/>
    </w:p>
    <w:p w14:paraId="5BF50D94" w14:textId="77777777" w:rsidR="00EA190A" w:rsidRPr="00C701C4" w:rsidRDefault="00D901D7" w:rsidP="007164E7">
      <w:pPr>
        <w:pStyle w:val="subsection"/>
      </w:pPr>
      <w:r w:rsidRPr="00C701C4">
        <w:tab/>
        <w:t>(1)</w:t>
      </w:r>
      <w:r w:rsidRPr="00C701C4">
        <w:tab/>
        <w:t xml:space="preserve">The </w:t>
      </w:r>
      <w:r w:rsidR="002F4CD5" w:rsidRPr="00C701C4">
        <w:t xml:space="preserve">particular fees </w:t>
      </w:r>
      <w:r w:rsidR="004E7B27" w:rsidRPr="00C701C4">
        <w:t>and costs, and the total of th</w:t>
      </w:r>
      <w:r w:rsidR="002F4CD5" w:rsidRPr="00C701C4">
        <w:t>e fees and costs</w:t>
      </w:r>
      <w:r w:rsidR="00E63DB2" w:rsidRPr="00C701C4">
        <w:t xml:space="preserve">, covered by the </w:t>
      </w:r>
      <w:r w:rsidRPr="00C701C4">
        <w:t xml:space="preserve">statement of fees and other costs </w:t>
      </w:r>
      <w:r w:rsidR="00EA190A" w:rsidRPr="00C701C4">
        <w:t xml:space="preserve">referred to in </w:t>
      </w:r>
      <w:r w:rsidR="003B775B" w:rsidRPr="00C701C4">
        <w:t>paragraph</w:t>
      </w:r>
      <w:r w:rsidR="00C701C4" w:rsidRPr="00C701C4">
        <w:t> </w:t>
      </w:r>
      <w:r w:rsidR="00E40E2F" w:rsidRPr="00C701C4">
        <w:t>7.9.07N</w:t>
      </w:r>
      <w:r w:rsidR="004072A4" w:rsidRPr="00C701C4">
        <w:t>(1)</w:t>
      </w:r>
      <w:r w:rsidR="003C48E0" w:rsidRPr="00C701C4">
        <w:t>(e</w:t>
      </w:r>
      <w:r w:rsidR="00E40E2F" w:rsidRPr="00C701C4">
        <w:t>)</w:t>
      </w:r>
      <w:r w:rsidR="002F4CD5" w:rsidRPr="00C701C4">
        <w:t xml:space="preserve"> </w:t>
      </w:r>
      <w:r w:rsidR="005673C5" w:rsidRPr="00C701C4">
        <w:t>must</w:t>
      </w:r>
      <w:r w:rsidR="00EA190A" w:rsidRPr="00C701C4">
        <w:t>:</w:t>
      </w:r>
    </w:p>
    <w:p w14:paraId="6316C4A6" w14:textId="42E70F0C" w:rsidR="004072A4" w:rsidRPr="00C701C4" w:rsidRDefault="007C3464" w:rsidP="007164E7">
      <w:pPr>
        <w:pStyle w:val="paragraph"/>
      </w:pPr>
      <w:r w:rsidRPr="00C701C4">
        <w:t>(a)</w:t>
      </w:r>
      <w:r w:rsidRPr="00C701C4">
        <w:tab/>
      </w:r>
      <w:r w:rsidR="005673C5" w:rsidRPr="00C701C4">
        <w:t xml:space="preserve">be </w:t>
      </w:r>
      <w:r w:rsidR="00A52BC0" w:rsidRPr="00C701C4">
        <w:t xml:space="preserve">worked out </w:t>
      </w:r>
      <w:r w:rsidR="004072A4" w:rsidRPr="00C701C4">
        <w:t xml:space="preserve">in accordance with any applicable dashboard reporting </w:t>
      </w:r>
      <w:r w:rsidR="00AF039E" w:rsidRPr="00C701C4">
        <w:t>standards</w:t>
      </w:r>
      <w:r w:rsidR="004072A4" w:rsidRPr="00C701C4">
        <w:t>; and</w:t>
      </w:r>
    </w:p>
    <w:p w14:paraId="7B8304FE" w14:textId="171EC50C" w:rsidR="00EA190A" w:rsidRPr="00C701C4" w:rsidRDefault="007C3464" w:rsidP="007164E7">
      <w:pPr>
        <w:pStyle w:val="paragraph"/>
      </w:pPr>
      <w:r w:rsidRPr="00C701C4">
        <w:t>(</w:t>
      </w:r>
      <w:r w:rsidR="00CA3E85" w:rsidRPr="00C701C4">
        <w:t>b</w:t>
      </w:r>
      <w:r w:rsidRPr="00C701C4">
        <w:t>)</w:t>
      </w:r>
      <w:r w:rsidRPr="00C701C4">
        <w:tab/>
      </w:r>
      <w:r w:rsidR="005673C5" w:rsidRPr="00C701C4">
        <w:t xml:space="preserve">be </w:t>
      </w:r>
      <w:r w:rsidR="00A52BC0" w:rsidRPr="00C701C4">
        <w:t xml:space="preserve">worked out </w:t>
      </w:r>
      <w:r w:rsidR="00EA190A" w:rsidRPr="00C701C4">
        <w:t>in relation to the current financial year;</w:t>
      </w:r>
      <w:r w:rsidR="00373921" w:rsidRPr="00C701C4">
        <w:t xml:space="preserve"> and</w:t>
      </w:r>
    </w:p>
    <w:p w14:paraId="6C638BAB" w14:textId="706CF85F" w:rsidR="007C3464" w:rsidRPr="00C701C4" w:rsidRDefault="00CA3E85" w:rsidP="007164E7">
      <w:pPr>
        <w:pStyle w:val="paragraph"/>
      </w:pPr>
      <w:r w:rsidRPr="00C701C4">
        <w:t>(c</w:t>
      </w:r>
      <w:r w:rsidR="007C3464" w:rsidRPr="00C701C4">
        <w:t>)</w:t>
      </w:r>
      <w:r w:rsidR="007C3464" w:rsidRPr="00C701C4">
        <w:tab/>
      </w:r>
      <w:r w:rsidR="005673C5" w:rsidRPr="00C701C4">
        <w:t xml:space="preserve">be </w:t>
      </w:r>
      <w:r w:rsidR="00A52BC0" w:rsidRPr="00C701C4">
        <w:t xml:space="preserve">expressed </w:t>
      </w:r>
      <w:r w:rsidR="00373921" w:rsidRPr="00C701C4">
        <w:t>in dollars</w:t>
      </w:r>
      <w:r w:rsidR="007C3464" w:rsidRPr="00C701C4">
        <w:t>;</w:t>
      </w:r>
      <w:r w:rsidR="002A05FD" w:rsidRPr="00C701C4">
        <w:t xml:space="preserve"> and</w:t>
      </w:r>
    </w:p>
    <w:p w14:paraId="41F201A7" w14:textId="14C1D39D" w:rsidR="00CA3E85" w:rsidRPr="00C701C4" w:rsidRDefault="00CA3E85" w:rsidP="007164E7">
      <w:pPr>
        <w:pStyle w:val="paragraph"/>
      </w:pPr>
      <w:r w:rsidRPr="00C701C4">
        <w:t>(d)</w:t>
      </w:r>
      <w:r w:rsidRPr="00C701C4">
        <w:tab/>
        <w:t>in the case of a particular fee or cost for which there is a range of amounts—be the highest fee or cost in that range; and</w:t>
      </w:r>
    </w:p>
    <w:p w14:paraId="7C36381C" w14:textId="3931EFA4" w:rsidR="001945A4" w:rsidRPr="00C701C4" w:rsidRDefault="007C3464" w:rsidP="007164E7">
      <w:pPr>
        <w:pStyle w:val="paragraph"/>
      </w:pPr>
      <w:r w:rsidRPr="00C701C4">
        <w:t>(e)</w:t>
      </w:r>
      <w:r w:rsidRPr="00C701C4">
        <w:tab/>
      </w:r>
      <w:r w:rsidR="004E7B27" w:rsidRPr="00C701C4">
        <w:t>in the case of the total of th</w:t>
      </w:r>
      <w:r w:rsidR="001945A4" w:rsidRPr="00C701C4">
        <w:t>e fees and costs:</w:t>
      </w:r>
    </w:p>
    <w:p w14:paraId="47137F36" w14:textId="2FD5465C" w:rsidR="00EA190A" w:rsidRPr="00C701C4" w:rsidRDefault="001945A4" w:rsidP="007164E7">
      <w:pPr>
        <w:pStyle w:val="paragraphsub"/>
      </w:pPr>
      <w:r w:rsidRPr="00C701C4">
        <w:t>(i)</w:t>
      </w:r>
      <w:r w:rsidRPr="00C701C4">
        <w:tab/>
      </w:r>
      <w:r w:rsidR="007C3464" w:rsidRPr="00C701C4">
        <w:t>also be expressed</w:t>
      </w:r>
      <w:r w:rsidR="00373921" w:rsidRPr="00C701C4">
        <w:t xml:space="preserve"> </w:t>
      </w:r>
      <w:r w:rsidR="00EA190A" w:rsidRPr="00C701C4">
        <w:t xml:space="preserve">as a percentage of the $50,000 balance </w:t>
      </w:r>
      <w:r w:rsidR="003B775B" w:rsidRPr="00C701C4">
        <w:t>referred to in paragraph</w:t>
      </w:r>
      <w:r w:rsidR="00C701C4" w:rsidRPr="00C701C4">
        <w:t> </w:t>
      </w:r>
      <w:r w:rsidR="003B775B" w:rsidRPr="00C701C4">
        <w:t>7.9.07N</w:t>
      </w:r>
      <w:r w:rsidR="004072A4" w:rsidRPr="00C701C4">
        <w:t>(1)</w:t>
      </w:r>
      <w:r w:rsidR="00E63DB2" w:rsidRPr="00C701C4">
        <w:t>(b); and</w:t>
      </w:r>
    </w:p>
    <w:p w14:paraId="520409D1" w14:textId="59838CD9" w:rsidR="001945A4" w:rsidRPr="00C701C4" w:rsidRDefault="001945A4" w:rsidP="007164E7">
      <w:pPr>
        <w:pStyle w:val="paragraphsub"/>
      </w:pPr>
      <w:r w:rsidRPr="00C701C4">
        <w:t>(ii)</w:t>
      </w:r>
      <w:r w:rsidRPr="00C701C4">
        <w:tab/>
        <w:t xml:space="preserve">include any highest fee or cost required by </w:t>
      </w:r>
      <w:r w:rsidR="00C701C4" w:rsidRPr="00C701C4">
        <w:t>paragraph (</w:t>
      </w:r>
      <w:r w:rsidR="00CA3E85" w:rsidRPr="00C701C4">
        <w:t>d</w:t>
      </w:r>
      <w:r w:rsidRPr="00C701C4">
        <w:t>); and</w:t>
      </w:r>
    </w:p>
    <w:p w14:paraId="7FF97089" w14:textId="0D48D970" w:rsidR="00E63DB2" w:rsidRPr="00C701C4" w:rsidRDefault="007C3464" w:rsidP="007164E7">
      <w:pPr>
        <w:pStyle w:val="paragraph"/>
      </w:pPr>
      <w:r w:rsidRPr="00C701C4">
        <w:t>(f)</w:t>
      </w:r>
      <w:r w:rsidRPr="00C701C4">
        <w:tab/>
      </w:r>
      <w:r w:rsidR="00E63DB2" w:rsidRPr="00C701C4">
        <w:t xml:space="preserve">in the case of </w:t>
      </w:r>
      <w:r w:rsidR="002F2491" w:rsidRPr="00C701C4">
        <w:t>the</w:t>
      </w:r>
      <w:r w:rsidRPr="00C701C4">
        <w:t xml:space="preserve"> </w:t>
      </w:r>
      <w:r w:rsidR="00E63DB2" w:rsidRPr="00C701C4">
        <w:t>particular fee</w:t>
      </w:r>
      <w:r w:rsidR="002F2491" w:rsidRPr="00C701C4">
        <w:t>s</w:t>
      </w:r>
      <w:r w:rsidR="00E63DB2" w:rsidRPr="00C701C4">
        <w:t xml:space="preserve"> </w:t>
      </w:r>
      <w:r w:rsidR="002F2491" w:rsidRPr="00C701C4">
        <w:t xml:space="preserve">and </w:t>
      </w:r>
      <w:r w:rsidR="00E63DB2" w:rsidRPr="00C701C4">
        <w:t>cost</w:t>
      </w:r>
      <w:r w:rsidR="002F2491" w:rsidRPr="00C701C4">
        <w:t>s</w:t>
      </w:r>
      <w:r w:rsidR="005673C5" w:rsidRPr="00C701C4">
        <w:t>—</w:t>
      </w:r>
      <w:r w:rsidR="00E63DB2" w:rsidRPr="00C701C4">
        <w:t xml:space="preserve">either </w:t>
      </w:r>
      <w:r w:rsidR="005673C5" w:rsidRPr="00C701C4">
        <w:t xml:space="preserve">be </w:t>
      </w:r>
      <w:r w:rsidR="00E63DB2" w:rsidRPr="00C701C4">
        <w:t>expressed in hover text</w:t>
      </w:r>
      <w:r w:rsidR="005673C5" w:rsidRPr="00C701C4">
        <w:t>,</w:t>
      </w:r>
      <w:r w:rsidR="00E63DB2" w:rsidRPr="00C701C4">
        <w:t xml:space="preserve"> or </w:t>
      </w:r>
      <w:r w:rsidR="005673C5" w:rsidRPr="00C701C4">
        <w:t xml:space="preserve">be </w:t>
      </w:r>
      <w:r w:rsidR="00E63DB2" w:rsidRPr="00C701C4">
        <w:t>accessible by a single short an</w:t>
      </w:r>
      <w:r w:rsidR="005673C5" w:rsidRPr="00C701C4">
        <w:t>d clear</w:t>
      </w:r>
      <w:r w:rsidR="00293A71" w:rsidRPr="00C701C4">
        <w:t>ly visible</w:t>
      </w:r>
      <w:r w:rsidR="005673C5" w:rsidRPr="00C701C4">
        <w:t xml:space="preserve"> link from the dashboard</w:t>
      </w:r>
      <w:r w:rsidR="00C70D50" w:rsidRPr="00C701C4">
        <w:t>.</w:t>
      </w:r>
    </w:p>
    <w:p w14:paraId="1F5F4144" w14:textId="77777777" w:rsidR="00A200BD" w:rsidRPr="00C701C4" w:rsidRDefault="0042660F" w:rsidP="007164E7">
      <w:pPr>
        <w:pStyle w:val="subsection"/>
      </w:pPr>
      <w:r w:rsidRPr="00C701C4">
        <w:tab/>
        <w:t>(2)</w:t>
      </w:r>
      <w:r w:rsidRPr="00C701C4">
        <w:tab/>
      </w:r>
      <w:r w:rsidR="00D901D7" w:rsidRPr="00C701C4">
        <w:t xml:space="preserve">For </w:t>
      </w:r>
      <w:r w:rsidR="00EA190A" w:rsidRPr="00C701C4">
        <w:t xml:space="preserve">the purposes of </w:t>
      </w:r>
      <w:r w:rsidR="00D901D7" w:rsidRPr="00C701C4">
        <w:t>paragraph</w:t>
      </w:r>
      <w:r w:rsidR="00C701C4" w:rsidRPr="00C701C4">
        <w:t> </w:t>
      </w:r>
      <w:r w:rsidR="00D901D7" w:rsidRPr="00C701C4">
        <w:t>1017BA(1)(c) of the Act, the period is 14 days after a change to th</w:t>
      </w:r>
      <w:r w:rsidR="00EA190A" w:rsidRPr="00C701C4">
        <w:t>os</w:t>
      </w:r>
      <w:r w:rsidR="00D901D7" w:rsidRPr="00C701C4">
        <w:t>e fees or other costs.</w:t>
      </w:r>
    </w:p>
    <w:p w14:paraId="24578D2B" w14:textId="77777777" w:rsidR="00A200BD" w:rsidRPr="00DF72DD" w:rsidRDefault="003B775B" w:rsidP="00EA190A">
      <w:pPr>
        <w:pStyle w:val="ActHead5"/>
        <w:rPr>
          <w:rStyle w:val="CharAmSchNo"/>
        </w:rPr>
      </w:pPr>
      <w:bookmarkStart w:id="18" w:name="_Toc429660372"/>
      <w:r w:rsidRPr="00DF72DD">
        <w:rPr>
          <w:rStyle w:val="CharAmSchNo"/>
        </w:rPr>
        <w:t>7.9.07U</w:t>
      </w:r>
      <w:r w:rsidR="00EA190A" w:rsidRPr="00DF72DD">
        <w:rPr>
          <w:rStyle w:val="CharAmSchNo"/>
        </w:rPr>
        <w:t xml:space="preserve">  Product dashboard—investment mix pie chart</w:t>
      </w:r>
      <w:bookmarkEnd w:id="18"/>
    </w:p>
    <w:p w14:paraId="4DCF7EB1" w14:textId="77777777" w:rsidR="004072A4" w:rsidRPr="00C701C4" w:rsidRDefault="00EA190A" w:rsidP="007164E7">
      <w:pPr>
        <w:pStyle w:val="subsection"/>
      </w:pPr>
      <w:r w:rsidRPr="00C701C4">
        <w:tab/>
      </w:r>
      <w:r w:rsidRPr="00C701C4">
        <w:tab/>
        <w:t>The pie chart ref</w:t>
      </w:r>
      <w:r w:rsidR="003B775B" w:rsidRPr="00C701C4">
        <w:t>erred to in paragraph</w:t>
      </w:r>
      <w:r w:rsidR="00C701C4" w:rsidRPr="00C701C4">
        <w:t> </w:t>
      </w:r>
      <w:r w:rsidR="003B775B" w:rsidRPr="00C701C4">
        <w:t>7.9.07N</w:t>
      </w:r>
      <w:r w:rsidR="004072A4" w:rsidRPr="00C701C4">
        <w:t>(1)</w:t>
      </w:r>
      <w:r w:rsidRPr="00C701C4">
        <w:t>(</w:t>
      </w:r>
      <w:r w:rsidR="003C48E0" w:rsidRPr="00C701C4">
        <w:t>h</w:t>
      </w:r>
      <w:r w:rsidRPr="00C701C4">
        <w:t xml:space="preserve">) must </w:t>
      </w:r>
      <w:r w:rsidR="004072A4" w:rsidRPr="00C701C4">
        <w:t xml:space="preserve">be worked out and expressed in accordance with any applicable dashboard reporting </w:t>
      </w:r>
      <w:r w:rsidR="00AF039E" w:rsidRPr="00C701C4">
        <w:t>standards</w:t>
      </w:r>
      <w:r w:rsidR="004072A4" w:rsidRPr="00C701C4">
        <w:t>.</w:t>
      </w:r>
    </w:p>
    <w:p w14:paraId="2C3C1E80" w14:textId="77777777" w:rsidR="009B4145" w:rsidRPr="00DF72DD" w:rsidRDefault="009B4145" w:rsidP="009B4145">
      <w:pPr>
        <w:pStyle w:val="ActHead5"/>
        <w:rPr>
          <w:rStyle w:val="CharAmSchNo"/>
        </w:rPr>
      </w:pPr>
      <w:bookmarkStart w:id="19" w:name="_Toc429660373"/>
      <w:r w:rsidRPr="00DF72DD">
        <w:rPr>
          <w:rStyle w:val="CharAmSchNo"/>
        </w:rPr>
        <w:t>7.9.07</w:t>
      </w:r>
      <w:r w:rsidR="003B775B" w:rsidRPr="00DF72DD">
        <w:rPr>
          <w:rStyle w:val="CharAmSchNo"/>
        </w:rPr>
        <w:t>V</w:t>
      </w:r>
      <w:r w:rsidRPr="00DF72DD">
        <w:rPr>
          <w:rStyle w:val="CharAmSchNo"/>
        </w:rPr>
        <w:t xml:space="preserve">  Product dashboard—interactive superannuation estimator</w:t>
      </w:r>
      <w:bookmarkEnd w:id="19"/>
    </w:p>
    <w:p w14:paraId="196AD1F2" w14:textId="77777777" w:rsidR="009B4145" w:rsidRPr="00C701C4" w:rsidRDefault="009B4145" w:rsidP="007164E7">
      <w:pPr>
        <w:pStyle w:val="subsection"/>
      </w:pPr>
      <w:r w:rsidRPr="00C701C4">
        <w:tab/>
      </w:r>
      <w:r w:rsidR="003D5422" w:rsidRPr="00C701C4">
        <w:t>(1)</w:t>
      </w:r>
      <w:r w:rsidRPr="00C701C4">
        <w:tab/>
        <w:t xml:space="preserve">The estimator </w:t>
      </w:r>
      <w:r w:rsidR="003B775B" w:rsidRPr="00C701C4">
        <w:t>referred to in paragraph</w:t>
      </w:r>
      <w:r w:rsidR="00C701C4" w:rsidRPr="00C701C4">
        <w:t> </w:t>
      </w:r>
      <w:r w:rsidR="003B775B" w:rsidRPr="00C701C4">
        <w:t>7.9.07N</w:t>
      </w:r>
      <w:r w:rsidR="00E70111" w:rsidRPr="00C701C4">
        <w:t>(1)(</w:t>
      </w:r>
      <w:r w:rsidR="00293A71" w:rsidRPr="00C701C4">
        <w:t>k</w:t>
      </w:r>
      <w:r w:rsidRPr="00C701C4">
        <w:t xml:space="preserve">) must </w:t>
      </w:r>
      <w:r w:rsidR="00032EA4" w:rsidRPr="00C701C4">
        <w:t xml:space="preserve">be prepared and expressed </w:t>
      </w:r>
      <w:r w:rsidR="00BB278D" w:rsidRPr="00C701C4">
        <w:t xml:space="preserve">in accordance with </w:t>
      </w:r>
      <w:r w:rsidR="00C95A47" w:rsidRPr="00C701C4">
        <w:t xml:space="preserve">any </w:t>
      </w:r>
      <w:r w:rsidR="00BB278D" w:rsidRPr="00C701C4">
        <w:t xml:space="preserve">instructions </w:t>
      </w:r>
      <w:r w:rsidR="00293A71" w:rsidRPr="00C701C4">
        <w:t>determined under subregulation</w:t>
      </w:r>
      <w:r w:rsidR="00C701C4" w:rsidRPr="00C701C4">
        <w:t> </w:t>
      </w:r>
      <w:r w:rsidR="00293A71" w:rsidRPr="00C701C4">
        <w:t>(2)</w:t>
      </w:r>
      <w:r w:rsidR="00032EA4" w:rsidRPr="00C701C4">
        <w:t>.</w:t>
      </w:r>
    </w:p>
    <w:p w14:paraId="3204E24B" w14:textId="77777777" w:rsidR="00293A71" w:rsidRPr="00C701C4" w:rsidRDefault="00293A71" w:rsidP="007164E7">
      <w:pPr>
        <w:pStyle w:val="subsection"/>
      </w:pPr>
      <w:r w:rsidRPr="00C701C4">
        <w:tab/>
        <w:t>(2)</w:t>
      </w:r>
      <w:r w:rsidRPr="00C701C4">
        <w:tab/>
        <w:t xml:space="preserve">ASIC may, by legislative instrument, determine instructions for preparing and expressing </w:t>
      </w:r>
      <w:r w:rsidR="003D5422" w:rsidRPr="00C701C4">
        <w:t>the</w:t>
      </w:r>
      <w:r w:rsidRPr="00C701C4">
        <w:t xml:space="preserve"> estimator referred to in </w:t>
      </w:r>
      <w:r w:rsidR="00A11568" w:rsidRPr="00C701C4">
        <w:t xml:space="preserve">that </w:t>
      </w:r>
      <w:r w:rsidRPr="00C701C4">
        <w:t>paragraph.</w:t>
      </w:r>
    </w:p>
    <w:p w14:paraId="006A25A0" w14:textId="77777777" w:rsidR="00AC261B" w:rsidRPr="00DF72DD" w:rsidRDefault="00AC261B" w:rsidP="00AC261B">
      <w:pPr>
        <w:pStyle w:val="ActHead5"/>
        <w:rPr>
          <w:rStyle w:val="CharAmSchNo"/>
        </w:rPr>
      </w:pPr>
      <w:bookmarkStart w:id="20" w:name="_Toc429660374"/>
      <w:r w:rsidRPr="00DF72DD">
        <w:rPr>
          <w:rStyle w:val="CharAmSchNo"/>
        </w:rPr>
        <w:t>7.9.07</w:t>
      </w:r>
      <w:r w:rsidR="003B775B" w:rsidRPr="00DF72DD">
        <w:rPr>
          <w:rStyle w:val="CharAmSchNo"/>
        </w:rPr>
        <w:t>W</w:t>
      </w:r>
      <w:r w:rsidR="006713FC" w:rsidRPr="00DF72DD">
        <w:rPr>
          <w:rStyle w:val="CharAmSchNo"/>
        </w:rPr>
        <w:t xml:space="preserve">  Product dashboard—o</w:t>
      </w:r>
      <w:r w:rsidRPr="00DF72DD">
        <w:rPr>
          <w:rStyle w:val="CharAmSchNo"/>
        </w:rPr>
        <w:t>ther requirements</w:t>
      </w:r>
      <w:bookmarkEnd w:id="20"/>
    </w:p>
    <w:p w14:paraId="03321E74" w14:textId="77777777" w:rsidR="00322914" w:rsidRPr="00C701C4" w:rsidRDefault="00322914" w:rsidP="007164E7">
      <w:pPr>
        <w:pStyle w:val="subsection"/>
      </w:pPr>
      <w:r w:rsidRPr="00C701C4">
        <w:tab/>
        <w:t>(1)</w:t>
      </w:r>
      <w:r w:rsidRPr="00C701C4">
        <w:tab/>
      </w:r>
      <w:r w:rsidR="00753C6C" w:rsidRPr="00C701C4">
        <w:t xml:space="preserve">A product dashboard must not contain any information other than that </w:t>
      </w:r>
      <w:r w:rsidR="00E70111" w:rsidRPr="00C701C4">
        <w:t>required by this Subdivision</w:t>
      </w:r>
      <w:r w:rsidR="00753C6C" w:rsidRPr="00C701C4">
        <w:t xml:space="preserve">, unless the information is provided by way of </w:t>
      </w:r>
      <w:r w:rsidR="00361DD6" w:rsidRPr="00C701C4">
        <w:t>links to websites or</w:t>
      </w:r>
      <w:r w:rsidR="00753C6C" w:rsidRPr="00C701C4">
        <w:t xml:space="preserve"> hover text.</w:t>
      </w:r>
    </w:p>
    <w:p w14:paraId="34C70BE1" w14:textId="77777777" w:rsidR="00EA190A" w:rsidRPr="00C701C4" w:rsidRDefault="00AC261B" w:rsidP="007164E7">
      <w:pPr>
        <w:pStyle w:val="subsection"/>
      </w:pPr>
      <w:r w:rsidRPr="00C701C4">
        <w:tab/>
      </w:r>
      <w:r w:rsidR="00322914" w:rsidRPr="00C701C4">
        <w:t>(2</w:t>
      </w:r>
      <w:r w:rsidRPr="00C701C4">
        <w:t>)</w:t>
      </w:r>
      <w:r w:rsidRPr="00C701C4">
        <w:tab/>
        <w:t>All monetary amounts set out in a product dashboard must be rounded to the nearest dollar (rounding up if 50 cents or more).</w:t>
      </w:r>
    </w:p>
    <w:p w14:paraId="531F7D81" w14:textId="77777777" w:rsidR="00AC261B" w:rsidRPr="00C701C4" w:rsidRDefault="00322914" w:rsidP="007164E7">
      <w:pPr>
        <w:pStyle w:val="subsection"/>
      </w:pPr>
      <w:r w:rsidRPr="00C701C4">
        <w:tab/>
        <w:t>(3</w:t>
      </w:r>
      <w:r w:rsidR="00AC261B" w:rsidRPr="00C701C4">
        <w:t>)</w:t>
      </w:r>
      <w:r w:rsidR="00AC261B" w:rsidRPr="00C701C4">
        <w:tab/>
        <w:t>All percentages set out in a product dashboard must be rounded to 1 decimal place (rounding up if the second decimal place is 5 or more).</w:t>
      </w:r>
    </w:p>
    <w:p w14:paraId="7A1EA958" w14:textId="77777777" w:rsidR="006713FC" w:rsidRPr="00DF72DD" w:rsidRDefault="006713FC" w:rsidP="006713FC">
      <w:pPr>
        <w:pStyle w:val="ActHead5"/>
        <w:rPr>
          <w:rStyle w:val="CharAmSchNo"/>
        </w:rPr>
      </w:pPr>
      <w:bookmarkStart w:id="21" w:name="_Toc429660375"/>
      <w:r w:rsidRPr="00DF72DD">
        <w:rPr>
          <w:rStyle w:val="CharAmSchNo"/>
        </w:rPr>
        <w:t>7.9.07X  Displaying a product dashboard</w:t>
      </w:r>
      <w:bookmarkEnd w:id="21"/>
    </w:p>
    <w:p w14:paraId="055397A6" w14:textId="77777777" w:rsidR="006713FC" w:rsidRPr="00C701C4" w:rsidRDefault="006713FC" w:rsidP="007164E7">
      <w:pPr>
        <w:pStyle w:val="subsection"/>
      </w:pPr>
      <w:r w:rsidRPr="00C701C4">
        <w:tab/>
      </w:r>
      <w:r w:rsidRPr="00C701C4">
        <w:tab/>
      </w:r>
      <w:r w:rsidR="003B5617" w:rsidRPr="00C701C4">
        <w:t>A product dashboard must be displayed on a fund’s website in such a way that:</w:t>
      </w:r>
    </w:p>
    <w:p w14:paraId="72ED6663" w14:textId="689CF5C3" w:rsidR="003B5617" w:rsidRPr="00C701C4" w:rsidRDefault="003B5617" w:rsidP="007164E7">
      <w:pPr>
        <w:pStyle w:val="paragraph"/>
      </w:pPr>
      <w:r w:rsidRPr="00C701C4">
        <w:t>(a)</w:t>
      </w:r>
      <w:r w:rsidRPr="00C701C4">
        <w:tab/>
        <w:t>the product dashboard can be accessed by clicking no more than 2 links from the fund’s home page; and</w:t>
      </w:r>
    </w:p>
    <w:p w14:paraId="187DCED1" w14:textId="57DF08BC" w:rsidR="003B5617" w:rsidRPr="00C701C4" w:rsidRDefault="003B5617" w:rsidP="007164E7">
      <w:pPr>
        <w:pStyle w:val="paragraph"/>
      </w:pPr>
      <w:r w:rsidRPr="00C701C4">
        <w:t>(b)</w:t>
      </w:r>
      <w:r w:rsidRPr="00C701C4">
        <w:tab/>
        <w:t xml:space="preserve">that link, or those 2 links, to the product dashboard </w:t>
      </w:r>
      <w:r w:rsidR="00C95A47" w:rsidRPr="00C701C4">
        <w:t>are</w:t>
      </w:r>
      <w:r w:rsidRPr="00C701C4">
        <w:t xml:space="preserve"> short, clear</w:t>
      </w:r>
      <w:r w:rsidR="002A05FD" w:rsidRPr="00C701C4">
        <w:t>ly visible</w:t>
      </w:r>
      <w:r w:rsidRPr="00C701C4">
        <w:t xml:space="preserve"> and include the word </w:t>
      </w:r>
      <w:r w:rsidR="00723B39">
        <w:t>‘</w:t>
      </w:r>
      <w:r w:rsidRPr="00C701C4">
        <w:t>dashboard</w:t>
      </w:r>
      <w:r w:rsidR="00723B39">
        <w:t>’</w:t>
      </w:r>
      <w:r w:rsidRPr="00C701C4">
        <w:t>; and</w:t>
      </w:r>
    </w:p>
    <w:p w14:paraId="2D73DC27" w14:textId="1641120B" w:rsidR="003B5617" w:rsidRPr="00C701C4" w:rsidRDefault="003B5617" w:rsidP="007164E7">
      <w:pPr>
        <w:pStyle w:val="paragraph"/>
      </w:pPr>
      <w:r w:rsidRPr="00C701C4">
        <w:t>(c)</w:t>
      </w:r>
      <w:r w:rsidRPr="00C701C4">
        <w:tab/>
        <w:t xml:space="preserve">the product dashboard can </w:t>
      </w:r>
      <w:r w:rsidR="00C95A47" w:rsidRPr="00C701C4">
        <w:t xml:space="preserve">be </w:t>
      </w:r>
      <w:r w:rsidRPr="00C701C4">
        <w:t>printed</w:t>
      </w:r>
      <w:r w:rsidR="00311315" w:rsidRPr="00C701C4">
        <w:t xml:space="preserve"> easily</w:t>
      </w:r>
      <w:r w:rsidR="002B5DE2" w:rsidRPr="00C701C4">
        <w:t xml:space="preserve"> on an A4 page</w:t>
      </w:r>
      <w:r w:rsidRPr="00C701C4">
        <w:t>.</w:t>
      </w:r>
    </w:p>
    <w:p w14:paraId="50D18ECC" w14:textId="46CE0C2F" w:rsidR="007F5D99" w:rsidRPr="00C701C4" w:rsidRDefault="007F5D99" w:rsidP="007F5D99">
      <w:pPr>
        <w:pStyle w:val="notetext"/>
      </w:pPr>
      <w:r w:rsidRPr="00C701C4">
        <w:t>Example:</w:t>
      </w:r>
      <w:r w:rsidRPr="00C701C4">
        <w:tab/>
        <w:t>A fund’s home page has a single link to a product dashboard. That link must be short, clear</w:t>
      </w:r>
      <w:r w:rsidR="002A05FD" w:rsidRPr="00C701C4">
        <w:t>ly visible</w:t>
      </w:r>
      <w:r w:rsidRPr="00C701C4">
        <w:t xml:space="preserve"> and include the word </w:t>
      </w:r>
      <w:r w:rsidR="00723B39">
        <w:t>‘</w:t>
      </w:r>
      <w:r w:rsidRPr="00C701C4">
        <w:t>dashboard</w:t>
      </w:r>
      <w:r w:rsidR="00723B39">
        <w:t>’</w:t>
      </w:r>
      <w:r w:rsidRPr="00C701C4">
        <w:t>.</w:t>
      </w:r>
    </w:p>
    <w:p w14:paraId="125FFEA8" w14:textId="77777777" w:rsidR="009A5562" w:rsidRPr="00C701C4" w:rsidRDefault="0092324F" w:rsidP="00DF72DD">
      <w:pPr>
        <w:pStyle w:val="ActHead3"/>
      </w:pPr>
      <w:bookmarkStart w:id="22" w:name="_Toc433988527"/>
      <w:r w:rsidRPr="00C701C4">
        <w:t>3</w:t>
      </w:r>
      <w:r w:rsidR="000C320E" w:rsidRPr="00C701C4">
        <w:t xml:space="preserve">  Paragraph 7.9.20(1)(o)</w:t>
      </w:r>
      <w:bookmarkEnd w:id="22"/>
    </w:p>
    <w:p w14:paraId="07B91EA5" w14:textId="77777777" w:rsidR="000C320E" w:rsidRPr="00C701C4" w:rsidRDefault="000C320E" w:rsidP="000C320E">
      <w:pPr>
        <w:pStyle w:val="Item"/>
      </w:pPr>
      <w:r w:rsidRPr="00C701C4">
        <w:t>Repeal the paragraph, substitute:</w:t>
      </w:r>
    </w:p>
    <w:p w14:paraId="63D9487A" w14:textId="3443E471" w:rsidR="008C50B4" w:rsidRPr="00C701C4" w:rsidRDefault="000C320E" w:rsidP="007164E7">
      <w:pPr>
        <w:pStyle w:val="paragraph"/>
      </w:pPr>
      <w:r w:rsidRPr="00C701C4">
        <w:t>(</w:t>
      </w:r>
      <w:r w:rsidR="007164E7">
        <w:t>a</w:t>
      </w:r>
      <w:r w:rsidRPr="00C701C4">
        <w:t>)</w:t>
      </w:r>
      <w:r w:rsidRPr="00C701C4">
        <w:tab/>
      </w:r>
      <w:r w:rsidR="008C50B4" w:rsidRPr="00C701C4">
        <w:t>if:</w:t>
      </w:r>
    </w:p>
    <w:p w14:paraId="21BE546D" w14:textId="5E8A28D8" w:rsidR="008C50B4" w:rsidRPr="00C701C4" w:rsidRDefault="008C50B4" w:rsidP="007164E7">
      <w:pPr>
        <w:pStyle w:val="paragraphsub"/>
      </w:pPr>
      <w:r w:rsidRPr="00C701C4">
        <w:t>(i)</w:t>
      </w:r>
      <w:r w:rsidRPr="00C701C4">
        <w:tab/>
        <w:t>the fund is a regulated superannuation fund; and</w:t>
      </w:r>
    </w:p>
    <w:p w14:paraId="1DB9A6DA" w14:textId="391A7778" w:rsidR="008C50B4" w:rsidRPr="00C701C4" w:rsidRDefault="008C50B4" w:rsidP="007164E7">
      <w:pPr>
        <w:pStyle w:val="paragraphsub"/>
      </w:pPr>
      <w:r w:rsidRPr="00C701C4">
        <w:t>(ii)</w:t>
      </w:r>
      <w:r w:rsidRPr="00C701C4">
        <w:tab/>
        <w:t>the trustee or trustees of the fund are required under section</w:t>
      </w:r>
      <w:r w:rsidR="00C701C4" w:rsidRPr="00C701C4">
        <w:t> </w:t>
      </w:r>
      <w:r w:rsidRPr="00C701C4">
        <w:t>1017BA of the Act to make publicly available a product dashboard for the financial product; and</w:t>
      </w:r>
    </w:p>
    <w:p w14:paraId="7642B715" w14:textId="28FD81CB" w:rsidR="008C50B4" w:rsidRPr="00C701C4" w:rsidRDefault="008C50B4" w:rsidP="007164E7">
      <w:pPr>
        <w:pStyle w:val="paragraphsub"/>
      </w:pPr>
      <w:r w:rsidRPr="00C701C4">
        <w:t>(iii)</w:t>
      </w:r>
      <w:r w:rsidRPr="00C701C4">
        <w:tab/>
        <w:t>the member continues to hold the financial product;</w:t>
      </w:r>
    </w:p>
    <w:p w14:paraId="7876A22D" w14:textId="4A90DB6C" w:rsidR="008C50B4" w:rsidRPr="00C701C4" w:rsidRDefault="008C50B4" w:rsidP="007164E7">
      <w:pPr>
        <w:pStyle w:val="paragraph"/>
      </w:pPr>
      <w:r w:rsidRPr="00C701C4">
        <w:tab/>
        <w:t>a link to a website setting out the latest product dashboard for the financial product.</w:t>
      </w:r>
    </w:p>
    <w:p w14:paraId="7A389ACB" w14:textId="77777777" w:rsidR="00F924AF" w:rsidRPr="00C701C4" w:rsidRDefault="0092324F" w:rsidP="00DF72DD">
      <w:pPr>
        <w:pStyle w:val="ActHead3"/>
      </w:pPr>
      <w:bookmarkStart w:id="23" w:name="_Toc433988528"/>
      <w:r w:rsidRPr="00C701C4">
        <w:t>4</w:t>
      </w:r>
      <w:r w:rsidR="00F924AF" w:rsidRPr="00C701C4">
        <w:t xml:space="preserve">  After Schedule</w:t>
      </w:r>
      <w:r w:rsidR="00C701C4" w:rsidRPr="00C701C4">
        <w:t> </w:t>
      </w:r>
      <w:r w:rsidR="00F924AF" w:rsidRPr="00C701C4">
        <w:t>8D</w:t>
      </w:r>
      <w:bookmarkEnd w:id="23"/>
    </w:p>
    <w:p w14:paraId="68976716" w14:textId="77777777" w:rsidR="00F924AF" w:rsidRDefault="00F924AF" w:rsidP="00F924AF">
      <w:pPr>
        <w:pStyle w:val="Item"/>
      </w:pPr>
      <w:r w:rsidRPr="00C701C4">
        <w:t>Insert:</w:t>
      </w:r>
    </w:p>
    <w:p w14:paraId="1AB3E207" w14:textId="77777777" w:rsidR="00301DAE" w:rsidRPr="00301DAE" w:rsidRDefault="00301DAE" w:rsidP="00301DAE">
      <w:pPr>
        <w:pStyle w:val="ItemHead"/>
      </w:pPr>
    </w:p>
    <w:p w14:paraId="170049DB" w14:textId="77777777" w:rsidR="00D56B2C" w:rsidRDefault="00D56B2C" w:rsidP="00D56B2C">
      <w:pPr>
        <w:sectPr w:rsidR="00D56B2C" w:rsidSect="00301DAE">
          <w:type w:val="oddPage"/>
          <w:pgSz w:w="11907" w:h="16839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135AB540" w14:textId="77777777" w:rsidR="00F924AF" w:rsidRPr="00DF72DD" w:rsidRDefault="00F924AF" w:rsidP="00DF72DD">
      <w:pPr>
        <w:pStyle w:val="ActHead1"/>
      </w:pPr>
      <w:bookmarkStart w:id="24" w:name="_Toc429660376"/>
      <w:bookmarkStart w:id="25" w:name="_Toc433988529"/>
      <w:r w:rsidRPr="00DF72DD">
        <w:rPr>
          <w:rStyle w:val="CharChapNo"/>
        </w:rPr>
        <w:t>Schedule</w:t>
      </w:r>
      <w:r w:rsidR="00C701C4" w:rsidRPr="00DF72DD">
        <w:rPr>
          <w:rStyle w:val="CharChapNo"/>
        </w:rPr>
        <w:t> </w:t>
      </w:r>
      <w:r w:rsidRPr="00DF72DD">
        <w:rPr>
          <w:rStyle w:val="CharChapNo"/>
        </w:rPr>
        <w:t>8E</w:t>
      </w:r>
      <w:r w:rsidRPr="00DF72DD">
        <w:t>—</w:t>
      </w:r>
      <w:r w:rsidRPr="00DF72DD">
        <w:rPr>
          <w:rStyle w:val="CharChapText"/>
        </w:rPr>
        <w:t>Example product dashboard</w:t>
      </w:r>
      <w:bookmarkEnd w:id="24"/>
      <w:bookmarkEnd w:id="25"/>
    </w:p>
    <w:p w14:paraId="19E80E33" w14:textId="7911CACF" w:rsidR="00F924AF" w:rsidRDefault="00F924AF" w:rsidP="00F924AF">
      <w:pPr>
        <w:pStyle w:val="notemargin"/>
      </w:pPr>
      <w:r w:rsidRPr="00C701C4">
        <w:rPr>
          <w:rStyle w:val="CharDivText"/>
        </w:rPr>
        <w:t>(</w:t>
      </w:r>
      <w:r w:rsidRPr="00C701C4">
        <w:t>subregulation</w:t>
      </w:r>
      <w:r w:rsidR="00C701C4" w:rsidRPr="00C701C4">
        <w:t> </w:t>
      </w:r>
      <w:r w:rsidRPr="00C701C4">
        <w:t>7.9.07N(2))</w:t>
      </w:r>
    </w:p>
    <w:p w14:paraId="6F7A9BB6" w14:textId="284A83A1" w:rsidR="00F221D7" w:rsidRPr="004E7077" w:rsidRDefault="00F221D7" w:rsidP="004E7077">
      <w:pPr>
        <w:spacing w:line="240" w:lineRule="auto"/>
        <w:rPr>
          <w:sz w:val="10"/>
        </w:rPr>
      </w:pPr>
    </w:p>
    <w:tbl>
      <w:tblPr>
        <w:tblStyle w:val="TableGrid"/>
        <w:tblW w:w="7598" w:type="dxa"/>
        <w:tblInd w:w="8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1443"/>
        <w:gridCol w:w="1227"/>
        <w:gridCol w:w="190"/>
        <w:gridCol w:w="3729"/>
      </w:tblGrid>
      <w:tr w:rsidR="00EF2052" w:rsidRPr="00DA1BCC" w14:paraId="02E05BDD" w14:textId="77777777" w:rsidTr="00723B39">
        <w:tc>
          <w:tcPr>
            <w:tcW w:w="7598" w:type="dxa"/>
            <w:gridSpan w:val="5"/>
            <w:shd w:val="clear" w:color="auto" w:fill="808080" w:themeFill="background1" w:themeFillShade="80"/>
          </w:tcPr>
          <w:p w14:paraId="5D222B34" w14:textId="16656CBF" w:rsidR="00EF2086" w:rsidRPr="00DA1BCC" w:rsidRDefault="00EF2086" w:rsidP="007B31B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1BC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[ ] Dashboard</w:t>
            </w:r>
          </w:p>
        </w:tc>
      </w:tr>
      <w:tr w:rsidR="00EF2086" w:rsidRPr="00DA1BCC" w14:paraId="5FCE82DB" w14:textId="77777777" w:rsidTr="00723B39">
        <w:tc>
          <w:tcPr>
            <w:tcW w:w="7598" w:type="dxa"/>
            <w:gridSpan w:val="5"/>
            <w:tcBorders>
              <w:bottom w:val="single" w:sz="4" w:space="0" w:color="auto"/>
            </w:tcBorders>
          </w:tcPr>
          <w:p w14:paraId="20607B2F" w14:textId="77777777" w:rsidR="00EF2086" w:rsidRPr="00DA1BCC" w:rsidRDefault="00EF2086" w:rsidP="00DA1BCC">
            <w:pPr>
              <w:spacing w:before="60" w:after="60" w:line="240" w:lineRule="auto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 xml:space="preserve">This dashboard is based on a representative member with a $50,000 balance. Use this dashboard to compare this option with other superannuation investment options. </w:t>
            </w:r>
          </w:p>
          <w:p w14:paraId="15079AE8" w14:textId="30626E00" w:rsidR="00EF2086" w:rsidRPr="00DA1BCC" w:rsidRDefault="00EF2086" w:rsidP="00DA1BCC">
            <w:pPr>
              <w:spacing w:before="60" w:after="60" w:line="240" w:lineRule="auto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Go to ASIC’s MoneySmart website [insert link] for more information about superannuation.</w:t>
            </w:r>
          </w:p>
        </w:tc>
      </w:tr>
      <w:tr w:rsidR="004E7077" w:rsidRPr="004E7077" w14:paraId="5A1F88C5" w14:textId="77777777" w:rsidTr="00723B39">
        <w:trPr>
          <w:trHeight w:val="170"/>
        </w:trPr>
        <w:tc>
          <w:tcPr>
            <w:tcW w:w="3679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07EFDD4" w14:textId="4972C56F" w:rsidR="00BB4B46" w:rsidRPr="004E7077" w:rsidRDefault="00EF2086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Statement of fees and other costs</w:t>
            </w:r>
          </w:p>
        </w:tc>
        <w:tc>
          <w:tcPr>
            <w:tcW w:w="190" w:type="dxa"/>
            <w:tcBorders>
              <w:bottom w:val="nil"/>
            </w:tcBorders>
            <w:shd w:val="clear" w:color="auto" w:fill="auto"/>
          </w:tcPr>
          <w:p w14:paraId="72DC6190" w14:textId="77777777" w:rsidR="00BB4B46" w:rsidRPr="004E7077" w:rsidRDefault="00BB4B46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2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B97D052" w14:textId="43C97478" w:rsidR="00BB4B46" w:rsidRPr="004E7077" w:rsidRDefault="0007762E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Level of investment risk</w:t>
            </w:r>
          </w:p>
        </w:tc>
      </w:tr>
      <w:tr w:rsidR="00D23E9A" w:rsidRPr="00D23E9A" w14:paraId="543D80C7" w14:textId="77777777" w:rsidTr="00723B39">
        <w:trPr>
          <w:trHeight w:val="97"/>
        </w:trPr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B7BAF" w14:textId="47B1C68B" w:rsidR="00743840" w:rsidRPr="00D23E9A" w:rsidRDefault="004E7077" w:rsidP="00D23E9A">
            <w:pPr>
              <w:spacing w:line="240" w:lineRule="auto"/>
              <w:rPr>
                <w:rFonts w:ascii="Arial" w:hAnsi="Arial" w:cs="Arial"/>
                <w:sz w:val="9"/>
                <w:szCs w:val="15"/>
              </w:rPr>
            </w:pPr>
            <w:r w:rsidRPr="008F2E7D">
              <w:rPr>
                <w:rFonts w:ascii="Arial" w:hAnsi="Arial" w:cs="Arial"/>
                <w:b/>
                <w:noProof/>
                <w:color w:val="FFFFFF" w:themeColor="background1"/>
                <w:sz w:val="1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484E5E" wp14:editId="48CB4BE0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39065</wp:posOffset>
                      </wp:positionV>
                      <wp:extent cx="1691640" cy="791845"/>
                      <wp:effectExtent l="0" t="0" r="22860" b="273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jc w:val="center"/>
                                    <w:tblInd w:w="-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404"/>
                                    <w:gridCol w:w="1127"/>
                                  </w:tblGrid>
                                  <w:tr w:rsidR="00C63D31" w14:paraId="440D0F2E" w14:textId="77777777" w:rsidTr="004E70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2531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right w:val="nil"/>
                                        </w:tcBorders>
                                      </w:tcPr>
                                      <w:p w14:paraId="2272EFB6" w14:textId="77777777" w:rsidR="00C63D31" w:rsidRPr="004E7077" w:rsidRDefault="00C63D31" w:rsidP="004E7077">
                                        <w:pPr>
                                          <w:spacing w:line="240" w:lineRule="auto"/>
                                          <w:ind w:left="-103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b/>
                                            <w:sz w:val="14"/>
                                            <w:szCs w:val="14"/>
                                          </w:rPr>
                                          <w:t>Hover text or website link:</w:t>
                                        </w:r>
                                        <w:r w:rsidRPr="004E7077"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</w:p>
                                      <w:p w14:paraId="0A4CEC2C" w14:textId="5B2F445B" w:rsidR="00C63D31" w:rsidRPr="004E7077" w:rsidRDefault="00C63D31" w:rsidP="004E7077">
                                        <w:pPr>
                                          <w:spacing w:line="240" w:lineRule="auto"/>
                                          <w:ind w:left="-103"/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4"/>
                                            <w:szCs w:val="14"/>
                                          </w:rPr>
                                          <w:t>This is made up of:</w:t>
                                        </w:r>
                                      </w:p>
                                    </w:tc>
                                  </w:tr>
                                  <w:tr w:rsidR="00C63D31" w14:paraId="43CF114F" w14:textId="77777777" w:rsidTr="004E70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04" w:type="dxa"/>
                                      </w:tcPr>
                                      <w:p w14:paraId="1FFCE8DF" w14:textId="28F4EDF3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Investment fees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7" w:type="dxa"/>
                                      </w:tcPr>
                                      <w:p w14:paraId="447E7EB0" w14:textId="379443F1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[ ] % of $50,000</w:t>
                                        </w:r>
                                      </w:p>
                                    </w:tc>
                                  </w:tr>
                                  <w:tr w:rsidR="00C63D31" w14:paraId="09D20203" w14:textId="77777777" w:rsidTr="004E70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04" w:type="dxa"/>
                                      </w:tcPr>
                                      <w:p w14:paraId="79D7E8B3" w14:textId="32CA4936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PLUS administration and advice fees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7" w:type="dxa"/>
                                      </w:tcPr>
                                      <w:p w14:paraId="6B071588" w14:textId="0D9A6EC7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$[ ]</w:t>
                                        </w:r>
                                      </w:p>
                                    </w:tc>
                                  </w:tr>
                                  <w:tr w:rsidR="00C63D31" w14:paraId="63C910EA" w14:textId="77777777" w:rsidTr="004E70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04" w:type="dxa"/>
                                      </w:tcPr>
                                      <w:p w14:paraId="58A3ED74" w14:textId="6679267E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PLUS indirect costs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7" w:type="dxa"/>
                                      </w:tcPr>
                                      <w:p w14:paraId="23D9561B" w14:textId="2CD1CB13" w:rsidR="00C63D31" w:rsidRPr="004E7077" w:rsidRDefault="00C63D31" w:rsidP="004E7077">
                                        <w:pPr>
                                          <w:spacing w:line="180" w:lineRule="exact"/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</w:pPr>
                                        <w:r w:rsidRPr="004E7077">
                                          <w:rPr>
                                            <w:rFonts w:ascii="Arial" w:hAnsi="Arial" w:cs="Arial"/>
                                            <w:sz w:val="13"/>
                                            <w:szCs w:val="13"/>
                                          </w:rPr>
                                          <w:t>[ ]% of $50,000</w:t>
                                        </w:r>
                                      </w:p>
                                    </w:tc>
                                  </w:tr>
                                </w:tbl>
                                <w:p w14:paraId="489B365B" w14:textId="54A82170" w:rsidR="00C63D31" w:rsidRPr="008F2E7D" w:rsidRDefault="00C63D31">
                                  <w:pP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2.2pt;margin-top:3.1pt;width:133.2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" strokecolor="black [3213]">
                      <v:stroke dashstyle="dash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Ind w:w="-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4"/>
                              <w:gridCol w:w="1127"/>
                            </w:tblGrid>
                            <w:tr w:rsidR="00C63D31" w14:paraId="440D0F2E" w14:textId="77777777" w:rsidTr="004E7077">
                              <w:trPr>
                                <w:jc w:val="center"/>
                              </w:trPr>
                              <w:tc>
                                <w:tcPr>
                                  <w:tcW w:w="2531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272EFB6" w14:textId="77777777" w:rsidR="00C63D31" w:rsidRPr="004E7077" w:rsidRDefault="00C63D31" w:rsidP="004E7077">
                                  <w:pPr>
                                    <w:spacing w:line="240" w:lineRule="auto"/>
                                    <w:ind w:left="-103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Hover text or website link:</w:t>
                                  </w:r>
                                  <w:r w:rsidRPr="004E707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0A4CEC2C" w14:textId="5B2F445B" w:rsidR="00C63D31" w:rsidRPr="004E7077" w:rsidRDefault="00C63D31" w:rsidP="004E7077">
                                  <w:pPr>
                                    <w:spacing w:line="240" w:lineRule="auto"/>
                                    <w:ind w:left="-103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This is made up of:</w:t>
                                  </w:r>
                                </w:p>
                              </w:tc>
                            </w:tr>
                            <w:tr w:rsidR="00C63D31" w14:paraId="43CF114F" w14:textId="77777777" w:rsidTr="004E7077">
                              <w:trPr>
                                <w:jc w:val="center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1FFCE8DF" w14:textId="28F4EDF3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Investment fees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447E7EB0" w14:textId="379443F1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[ ] % of $50,000</w:t>
                                  </w:r>
                                </w:p>
                              </w:tc>
                            </w:tr>
                            <w:tr w:rsidR="00C63D31" w14:paraId="09D20203" w14:textId="77777777" w:rsidTr="004E7077">
                              <w:trPr>
                                <w:jc w:val="center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79D7E8B3" w14:textId="32CA4936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PLUS administration and advice fees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6B071588" w14:textId="0D9A6EC7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$[ ]</w:t>
                                  </w:r>
                                </w:p>
                              </w:tc>
                            </w:tr>
                            <w:tr w:rsidR="00C63D31" w14:paraId="63C910EA" w14:textId="77777777" w:rsidTr="004E7077">
                              <w:trPr>
                                <w:jc w:val="center"/>
                              </w:trPr>
                              <w:tc>
                                <w:tcPr>
                                  <w:tcW w:w="1404" w:type="dxa"/>
                                </w:tcPr>
                                <w:p w14:paraId="58A3ED74" w14:textId="6679267E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PLUS indirect costs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</w:tcPr>
                                <w:p w14:paraId="23D9561B" w14:textId="2CD1CB13" w:rsidR="00C63D31" w:rsidRPr="004E7077" w:rsidRDefault="00C63D31" w:rsidP="004E7077">
                                  <w:pPr>
                                    <w:spacing w:line="180" w:lineRule="exact"/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</w:pPr>
                                  <w:r w:rsidRPr="004E7077">
                                    <w:rPr>
                                      <w:rFonts w:ascii="Arial" w:hAnsi="Arial" w:cs="Arial"/>
                                      <w:sz w:val="13"/>
                                      <w:szCs w:val="13"/>
                                    </w:rPr>
                                    <w:t>[ ]% of $50,000</w:t>
                                  </w:r>
                                </w:p>
                              </w:tc>
                            </w:tr>
                          </w:tbl>
                          <w:p w14:paraId="489B365B" w14:textId="54A82170" w:rsidR="00C63D31" w:rsidRPr="008F2E7D" w:rsidRDefault="00C63D3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49409" w14:textId="77777777" w:rsidR="00743840" w:rsidRPr="00D23E9A" w:rsidRDefault="00743840" w:rsidP="00D23E9A">
            <w:pPr>
              <w:spacing w:line="240" w:lineRule="auto"/>
              <w:rPr>
                <w:rFonts w:ascii="Arial" w:hAnsi="Arial" w:cs="Arial"/>
                <w:sz w:val="9"/>
                <w:szCs w:val="15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FDE3C" w14:textId="77777777" w:rsidR="00743840" w:rsidRPr="00D23E9A" w:rsidRDefault="00743840" w:rsidP="00D23E9A">
            <w:pPr>
              <w:spacing w:line="240" w:lineRule="auto"/>
              <w:rPr>
                <w:rFonts w:ascii="Arial" w:hAnsi="Arial" w:cs="Arial"/>
                <w:sz w:val="9"/>
                <w:szCs w:val="15"/>
              </w:rPr>
            </w:pPr>
          </w:p>
        </w:tc>
      </w:tr>
      <w:tr w:rsidR="008F2E7D" w:rsidRPr="006729D2" w14:paraId="1182B416" w14:textId="77777777" w:rsidTr="00723B39">
        <w:tc>
          <w:tcPr>
            <w:tcW w:w="1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E018D5" w14:textId="36E343EE" w:rsidR="008F2E7D" w:rsidRDefault="008F2E7D" w:rsidP="008F2E7D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A1BCC">
              <w:rPr>
                <w:rFonts w:ascii="Arial" w:hAnsi="Arial" w:cs="Arial"/>
                <w:b/>
                <w:sz w:val="28"/>
                <w:szCs w:val="28"/>
              </w:rPr>
              <w:t>[ ]%</w:t>
            </w:r>
            <w:r>
              <w:rPr>
                <w:rFonts w:ascii="Arial" w:hAnsi="Arial" w:cs="Arial"/>
                <w:b/>
                <w:sz w:val="56"/>
                <w:szCs w:val="56"/>
              </w:rPr>
              <w:br/>
            </w:r>
            <w:r w:rsidRPr="00DA1BCC">
              <w:rPr>
                <w:rFonts w:ascii="Arial" w:hAnsi="Arial" w:cs="Arial"/>
                <w:b/>
                <w:sz w:val="20"/>
              </w:rPr>
              <w:t>per year</w:t>
            </w:r>
          </w:p>
          <w:p w14:paraId="6D2F5B30" w14:textId="6FE8705B" w:rsidR="008F2E7D" w:rsidRPr="008F2E7D" w:rsidRDefault="008F2E7D" w:rsidP="008F2E7D">
            <w:pPr>
              <w:spacing w:before="6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8F2E7D">
              <w:rPr>
                <w:rFonts w:ascii="Arial" w:hAnsi="Arial" w:cs="Arial"/>
                <w:sz w:val="14"/>
                <w:szCs w:val="14"/>
              </w:rPr>
              <w:t>(or [ ]%</w:t>
            </w:r>
            <w:r w:rsidR="004D52E3">
              <w:rPr>
                <w:rFonts w:ascii="Arial" w:hAnsi="Arial" w:cs="Arial"/>
                <w:sz w:val="14"/>
                <w:szCs w:val="14"/>
              </w:rPr>
              <w:t xml:space="preserve"> as a percentage</w:t>
            </w:r>
            <w:r w:rsidR="004D52E3">
              <w:rPr>
                <w:rFonts w:ascii="Arial" w:hAnsi="Arial" w:cs="Arial"/>
                <w:sz w:val="14"/>
                <w:szCs w:val="14"/>
              </w:rPr>
              <w:br/>
            </w:r>
            <w:r w:rsidRPr="008F2E7D">
              <w:rPr>
                <w:rFonts w:ascii="Arial" w:hAnsi="Arial" w:cs="Arial"/>
                <w:sz w:val="14"/>
                <w:szCs w:val="14"/>
              </w:rPr>
              <w:t>of $50,000)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2138D9" w14:textId="764865A2" w:rsidR="008F2E7D" w:rsidRPr="004E7077" w:rsidRDefault="008F2E7D" w:rsidP="004E7077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8ED0BF" w14:textId="77777777" w:rsidR="008F2E7D" w:rsidRPr="006729D2" w:rsidRDefault="008F2E7D" w:rsidP="006729D2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0"/>
              </w:rPr>
            </w:pP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F403E" w14:textId="166D178C" w:rsidR="008F2E7D" w:rsidRDefault="008F2E7D" w:rsidP="008F2E7D">
            <w:pPr>
              <w:spacing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DA1BCC">
              <w:rPr>
                <w:rFonts w:ascii="Arial" w:hAnsi="Arial" w:cs="Arial"/>
                <w:b/>
                <w:sz w:val="28"/>
                <w:szCs w:val="28"/>
              </w:rPr>
              <w:t>[Insert risk label]</w:t>
            </w:r>
          </w:p>
          <w:p w14:paraId="6CEB149D" w14:textId="40A1005F" w:rsidR="008F2E7D" w:rsidRPr="004E7077" w:rsidRDefault="008F2E7D" w:rsidP="008F2E7D">
            <w:pPr>
              <w:spacing w:before="6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E7077">
              <w:rPr>
                <w:rFonts w:ascii="Arial" w:hAnsi="Arial" w:cs="Arial"/>
                <w:sz w:val="14"/>
                <w:szCs w:val="14"/>
              </w:rPr>
              <w:t xml:space="preserve">Negative returns expected in [ ] – [ ] </w:t>
            </w:r>
            <w:r w:rsidR="004E7077">
              <w:rPr>
                <w:rFonts w:ascii="Arial" w:hAnsi="Arial" w:cs="Arial"/>
                <w:sz w:val="14"/>
                <w:szCs w:val="14"/>
              </w:rPr>
              <w:t>out of every</w:t>
            </w:r>
            <w:r w:rsidR="004E7077">
              <w:rPr>
                <w:rFonts w:ascii="Arial" w:hAnsi="Arial" w:cs="Arial"/>
                <w:sz w:val="14"/>
                <w:szCs w:val="14"/>
              </w:rPr>
              <w:br/>
            </w:r>
            <w:r w:rsidRPr="004E7077">
              <w:rPr>
                <w:rFonts w:ascii="Arial" w:hAnsi="Arial" w:cs="Arial"/>
                <w:sz w:val="14"/>
                <w:szCs w:val="14"/>
              </w:rPr>
              <w:t>20 years</w:t>
            </w:r>
          </w:p>
        </w:tc>
      </w:tr>
      <w:tr w:rsidR="007B4E96" w:rsidRPr="004E7077" w14:paraId="73D83E5F" w14:textId="77777777" w:rsidTr="00723B39">
        <w:tc>
          <w:tcPr>
            <w:tcW w:w="367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BE99B1" w14:textId="77777777" w:rsidR="007B4E96" w:rsidRPr="004E7077" w:rsidRDefault="007B4E96" w:rsidP="006729D2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5"/>
                <w:szCs w:val="11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1ADAFD" w14:textId="77777777" w:rsidR="007B4E96" w:rsidRPr="004E7077" w:rsidRDefault="007B4E96" w:rsidP="006729D2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5"/>
                <w:szCs w:val="11"/>
              </w:rPr>
            </w:pPr>
          </w:p>
        </w:tc>
        <w:tc>
          <w:tcPr>
            <w:tcW w:w="3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5004E3" w14:textId="77777777" w:rsidR="007B4E96" w:rsidRPr="004E7077" w:rsidRDefault="007B4E96" w:rsidP="006729D2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  <w:sz w:val="15"/>
                <w:szCs w:val="11"/>
              </w:rPr>
            </w:pPr>
          </w:p>
        </w:tc>
      </w:tr>
      <w:tr w:rsidR="00BA77A2" w:rsidRPr="004E7077" w14:paraId="2350BE94" w14:textId="77777777" w:rsidTr="00723B39">
        <w:trPr>
          <w:trHeight w:val="170"/>
        </w:trPr>
        <w:tc>
          <w:tcPr>
            <w:tcW w:w="3679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B3FBEC9" w14:textId="35D68486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Return target</w:t>
            </w:r>
          </w:p>
        </w:tc>
        <w:tc>
          <w:tcPr>
            <w:tcW w:w="190" w:type="dxa"/>
            <w:tcBorders>
              <w:top w:val="nil"/>
              <w:bottom w:val="nil"/>
            </w:tcBorders>
            <w:shd w:val="clear" w:color="auto" w:fill="auto"/>
          </w:tcPr>
          <w:p w14:paraId="0787199D" w14:textId="77777777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2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EE416C" w14:textId="6814569E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Actual return</w:t>
            </w:r>
          </w:p>
        </w:tc>
      </w:tr>
      <w:tr w:rsidR="00EF2052" w:rsidRPr="00DA1BCC" w14:paraId="4BECB1E1" w14:textId="77777777" w:rsidTr="00723B39">
        <w:tc>
          <w:tcPr>
            <w:tcW w:w="3679" w:type="dxa"/>
            <w:gridSpan w:val="3"/>
            <w:tcBorders>
              <w:bottom w:val="nil"/>
            </w:tcBorders>
          </w:tcPr>
          <w:p w14:paraId="76B20432" w14:textId="549700F4" w:rsidR="00EF2052" w:rsidRPr="00DA1BCC" w:rsidRDefault="00EF2052" w:rsidP="006729D2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A1BCC">
              <w:rPr>
                <w:rFonts w:ascii="Arial" w:hAnsi="Arial" w:cs="Arial"/>
                <w:b/>
                <w:sz w:val="28"/>
                <w:szCs w:val="34"/>
              </w:rPr>
              <w:t>[ ]%</w:t>
            </w:r>
            <w:r w:rsidRPr="00DA1BCC">
              <w:rPr>
                <w:rFonts w:ascii="Arial" w:hAnsi="Arial" w:cs="Arial"/>
                <w:b/>
                <w:sz w:val="20"/>
              </w:rPr>
              <w:t xml:space="preserve"> per year</w:t>
            </w:r>
          </w:p>
        </w:tc>
        <w:tc>
          <w:tcPr>
            <w:tcW w:w="190" w:type="dxa"/>
            <w:tcBorders>
              <w:top w:val="nil"/>
              <w:bottom w:val="nil"/>
            </w:tcBorders>
          </w:tcPr>
          <w:p w14:paraId="2657F18B" w14:textId="77777777" w:rsidR="00EF2052" w:rsidRPr="00DA1BCC" w:rsidRDefault="00EF2052" w:rsidP="006729D2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729" w:type="dxa"/>
            <w:tcBorders>
              <w:bottom w:val="nil"/>
            </w:tcBorders>
          </w:tcPr>
          <w:p w14:paraId="16DA333F" w14:textId="37B11E9B" w:rsidR="00EF2052" w:rsidRPr="00DA1BCC" w:rsidRDefault="00EF2052" w:rsidP="006729D2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DA1BCC">
              <w:rPr>
                <w:rFonts w:ascii="Arial" w:hAnsi="Arial" w:cs="Arial"/>
                <w:b/>
                <w:sz w:val="28"/>
                <w:szCs w:val="34"/>
              </w:rPr>
              <w:t>[ ]%</w:t>
            </w:r>
            <w:r w:rsidRPr="00DA1BCC">
              <w:rPr>
                <w:rFonts w:ascii="Arial" w:hAnsi="Arial" w:cs="Arial"/>
                <w:b/>
                <w:sz w:val="20"/>
              </w:rPr>
              <w:t xml:space="preserve"> per year</w:t>
            </w:r>
          </w:p>
        </w:tc>
      </w:tr>
      <w:tr w:rsidR="00EF2052" w:rsidRPr="00DA1BCC" w14:paraId="330FB359" w14:textId="77777777" w:rsidTr="00723B39">
        <w:tc>
          <w:tcPr>
            <w:tcW w:w="3679" w:type="dxa"/>
            <w:gridSpan w:val="3"/>
            <w:tcBorders>
              <w:top w:val="nil"/>
            </w:tcBorders>
          </w:tcPr>
          <w:p w14:paraId="2DC5C38C" w14:textId="1D61BAA2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Return target for [ ] – [ ] of [ ]% per year above inflation, after fees and taxes.</w:t>
            </w:r>
          </w:p>
          <w:p w14:paraId="6847D1B9" w14:textId="69BC687B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Future returns cannot be guaranteed.</w:t>
            </w:r>
          </w:p>
        </w:tc>
        <w:tc>
          <w:tcPr>
            <w:tcW w:w="190" w:type="dxa"/>
            <w:tcBorders>
              <w:top w:val="nil"/>
            </w:tcBorders>
          </w:tcPr>
          <w:p w14:paraId="2645A2F7" w14:textId="77777777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9" w:type="dxa"/>
            <w:tcBorders>
              <w:top w:val="nil"/>
            </w:tcBorders>
          </w:tcPr>
          <w:p w14:paraId="2D37C8A4" w14:textId="49419CC6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10-year average actual return of [ ]% per year as at 30 June [ ].</w:t>
            </w:r>
          </w:p>
          <w:p w14:paraId="5019029C" w14:textId="0931FD4D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The 10 year average return target was</w:t>
            </w:r>
            <w:r w:rsidR="00743840" w:rsidRPr="00DA1BCC">
              <w:rPr>
                <w:rFonts w:ascii="Arial" w:hAnsi="Arial" w:cs="Arial"/>
                <w:sz w:val="14"/>
                <w:szCs w:val="14"/>
              </w:rPr>
              <w:br/>
            </w:r>
            <w:r w:rsidRPr="00DA1BCC">
              <w:rPr>
                <w:rFonts w:ascii="Arial" w:hAnsi="Arial" w:cs="Arial"/>
                <w:sz w:val="14"/>
                <w:szCs w:val="14"/>
              </w:rPr>
              <w:t>[ ]% per year during this period.</w:t>
            </w:r>
          </w:p>
          <w:p w14:paraId="5889A1C4" w14:textId="31218A55" w:rsidR="00EF2052" w:rsidRPr="00DA1BCC" w:rsidRDefault="00EF2052" w:rsidP="00711525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The higher the return, the more often you would expect a year of negative returns.</w:t>
            </w:r>
          </w:p>
        </w:tc>
      </w:tr>
      <w:tr w:rsidR="00EF2052" w:rsidRPr="004E7077" w14:paraId="24541E60" w14:textId="77777777" w:rsidTr="00723B39">
        <w:trPr>
          <w:trHeight w:val="170"/>
        </w:trPr>
        <w:tc>
          <w:tcPr>
            <w:tcW w:w="7598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85D09F6" w14:textId="61854263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Comparison between return target and actual return</w:t>
            </w:r>
          </w:p>
        </w:tc>
      </w:tr>
      <w:tr w:rsidR="00EF2052" w:rsidRPr="00EF2086" w14:paraId="09754E0D" w14:textId="77777777" w:rsidTr="00723B39">
        <w:tc>
          <w:tcPr>
            <w:tcW w:w="7598" w:type="dxa"/>
            <w:gridSpan w:val="5"/>
            <w:tcBorders>
              <w:bottom w:val="nil"/>
            </w:tcBorders>
          </w:tcPr>
          <w:p w14:paraId="2C1DACA7" w14:textId="6D0C9FCB" w:rsidR="006729D2" w:rsidRPr="005C206E" w:rsidRDefault="00DA1BCC" w:rsidP="00711525">
            <w:pPr>
              <w:spacing w:before="60"/>
              <w:jc w:val="center"/>
              <w:rPr>
                <w:b/>
                <w:color w:val="FFFFFF" w:themeColor="background1"/>
                <w:szCs w:val="17"/>
              </w:rPr>
            </w:pPr>
            <w:r>
              <w:rPr>
                <w:b/>
                <w:noProof/>
                <w:szCs w:val="17"/>
                <w:lang w:eastAsia="en-AU"/>
              </w:rPr>
              <w:drawing>
                <wp:inline distT="0" distB="0" distL="0" distR="0" wp14:anchorId="67966849" wp14:editId="1E954989">
                  <wp:extent cx="3204554" cy="1188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" t="3353" r="1849" b="3213"/>
                          <a:stretch/>
                        </pic:blipFill>
                        <pic:spPr bwMode="auto">
                          <a:xfrm>
                            <a:off x="0" y="0"/>
                            <a:ext cx="3204554" cy="11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052" w:rsidRPr="00DA1BCC" w14:paraId="544B83E9" w14:textId="77777777" w:rsidTr="00723B39">
        <w:tc>
          <w:tcPr>
            <w:tcW w:w="7598" w:type="dxa"/>
            <w:gridSpan w:val="5"/>
            <w:tcBorders>
              <w:top w:val="nil"/>
            </w:tcBorders>
          </w:tcPr>
          <w:p w14:paraId="5057D321" w14:textId="63E14CD3" w:rsidR="00EF2052" w:rsidRPr="00DA1BCC" w:rsidRDefault="00EF2052" w:rsidP="00DF723E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Past performance is not necessarily an indicator of future returns.</w:t>
            </w:r>
          </w:p>
        </w:tc>
      </w:tr>
      <w:tr w:rsidR="00EF2052" w:rsidRPr="004E7077" w14:paraId="09F4E61F" w14:textId="77777777" w:rsidTr="00723B39">
        <w:trPr>
          <w:trHeight w:val="170"/>
        </w:trPr>
        <w:tc>
          <w:tcPr>
            <w:tcW w:w="3679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786FF26" w14:textId="6A55FC99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Investment mix</w:t>
            </w:r>
          </w:p>
        </w:tc>
        <w:tc>
          <w:tcPr>
            <w:tcW w:w="190" w:type="dxa"/>
            <w:tcBorders>
              <w:bottom w:val="nil"/>
            </w:tcBorders>
            <w:shd w:val="clear" w:color="auto" w:fill="auto"/>
          </w:tcPr>
          <w:p w14:paraId="20F73923" w14:textId="77777777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2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757AF82" w14:textId="7FE46E31" w:rsidR="00EF2052" w:rsidRPr="004E7077" w:rsidRDefault="00EF2052" w:rsidP="004E7077">
            <w:pPr>
              <w:spacing w:line="200" w:lineRule="atLeast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E7077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Superannuation estimator</w:t>
            </w:r>
          </w:p>
        </w:tc>
      </w:tr>
      <w:tr w:rsidR="00EF2052" w:rsidRPr="00EF2086" w14:paraId="608CE5CC" w14:textId="77777777" w:rsidTr="00723B39">
        <w:tc>
          <w:tcPr>
            <w:tcW w:w="2452" w:type="dxa"/>
            <w:gridSpan w:val="2"/>
            <w:tcBorders>
              <w:bottom w:val="nil"/>
              <w:right w:val="nil"/>
            </w:tcBorders>
          </w:tcPr>
          <w:p w14:paraId="286FE629" w14:textId="2762C8F3" w:rsidR="00EF2052" w:rsidRPr="00EF2086" w:rsidRDefault="00711525" w:rsidP="004E7077">
            <w:pPr>
              <w:spacing w:before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13C3D39E" wp14:editId="7E3D3FF2">
                  <wp:extent cx="855397" cy="828000"/>
                  <wp:effectExtent l="0" t="0" r="190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59" t="7213" r="33558" b="6986"/>
                          <a:stretch/>
                        </pic:blipFill>
                        <pic:spPr bwMode="auto">
                          <a:xfrm>
                            <a:off x="0" y="0"/>
                            <a:ext cx="855397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" w:type="dxa"/>
            <w:tcBorders>
              <w:left w:val="nil"/>
              <w:bottom w:val="nil"/>
            </w:tcBorders>
            <w:vAlign w:val="center"/>
          </w:tcPr>
          <w:p w14:paraId="40EEBBFC" w14:textId="25E204AC" w:rsidR="00EF2052" w:rsidRPr="00EF2086" w:rsidRDefault="00711525" w:rsidP="007115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ADA0303" wp14:editId="524ECB4B">
                  <wp:extent cx="358516" cy="50400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208" t="32057" r="3633" b="32504"/>
                          <a:stretch/>
                        </pic:blipFill>
                        <pic:spPr bwMode="auto">
                          <a:xfrm>
                            <a:off x="0" y="0"/>
                            <a:ext cx="358516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" w:type="dxa"/>
            <w:tcBorders>
              <w:top w:val="nil"/>
              <w:bottom w:val="nil"/>
            </w:tcBorders>
          </w:tcPr>
          <w:p w14:paraId="21AE7D2D" w14:textId="77777777" w:rsidR="00EF2052" w:rsidRPr="00EF2086" w:rsidRDefault="00EF2052" w:rsidP="007B31BE">
            <w:pPr>
              <w:rPr>
                <w:rFonts w:ascii="Arial" w:hAnsi="Arial" w:cs="Arial"/>
              </w:rPr>
            </w:pPr>
          </w:p>
        </w:tc>
        <w:tc>
          <w:tcPr>
            <w:tcW w:w="3729" w:type="dxa"/>
            <w:tcBorders>
              <w:bottom w:val="nil"/>
            </w:tcBorders>
          </w:tcPr>
          <w:p w14:paraId="3E04FDE4" w14:textId="0AC2B8E0" w:rsidR="00EF2052" w:rsidRPr="005C206E" w:rsidRDefault="008F2E7D" w:rsidP="004E7077">
            <w:pPr>
              <w:spacing w:before="60"/>
              <w:jc w:val="center"/>
              <w:rPr>
                <w:b/>
                <w:color w:val="FFFFFF" w:themeColor="background1"/>
                <w:szCs w:val="17"/>
              </w:rPr>
            </w:pPr>
            <w:r w:rsidRPr="00CF5482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B3B18A7" wp14:editId="1B30B5D1">
                  <wp:extent cx="1056159" cy="828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" t="1302" r="1590" b="1085"/>
                          <a:stretch/>
                        </pic:blipFill>
                        <pic:spPr bwMode="auto">
                          <a:xfrm>
                            <a:off x="0" y="0"/>
                            <a:ext cx="1056159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052" w:rsidRPr="00DA1BCC" w14:paraId="31E99B81" w14:textId="77777777" w:rsidTr="00723B39">
        <w:tc>
          <w:tcPr>
            <w:tcW w:w="3679" w:type="dxa"/>
            <w:gridSpan w:val="3"/>
            <w:tcBorders>
              <w:top w:val="nil"/>
            </w:tcBorders>
          </w:tcPr>
          <w:p w14:paraId="1E1529C4" w14:textId="77777777" w:rsidR="00EF2052" w:rsidRPr="00DA1BCC" w:rsidRDefault="00EF2052" w:rsidP="008F2E7D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The Investment mix represents the strategic asset allocation for this [product/investment option/lifecycle stage].</w:t>
            </w:r>
          </w:p>
          <w:p w14:paraId="01E9CE90" w14:textId="2CEFF8A8" w:rsidR="00EF2052" w:rsidRPr="00DA1BCC" w:rsidRDefault="00EF2052" w:rsidP="008F2E7D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See the Product Disclosure Statement [insert link] for more details.</w:t>
            </w:r>
          </w:p>
        </w:tc>
        <w:tc>
          <w:tcPr>
            <w:tcW w:w="190" w:type="dxa"/>
            <w:tcBorders>
              <w:top w:val="nil"/>
            </w:tcBorders>
          </w:tcPr>
          <w:p w14:paraId="01A61F24" w14:textId="77777777" w:rsidR="00EF2052" w:rsidRPr="00DA1BCC" w:rsidRDefault="00EF2052" w:rsidP="008F2E7D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29" w:type="dxa"/>
            <w:tcBorders>
              <w:top w:val="nil"/>
            </w:tcBorders>
          </w:tcPr>
          <w:p w14:paraId="5D055DBA" w14:textId="27A714A3" w:rsidR="00EF2052" w:rsidRPr="00DA1BCC" w:rsidRDefault="00EF2052" w:rsidP="008F2E7D">
            <w:pPr>
              <w:spacing w:before="60" w:after="6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A1BCC">
              <w:rPr>
                <w:rFonts w:ascii="Arial" w:hAnsi="Arial" w:cs="Arial"/>
                <w:sz w:val="14"/>
                <w:szCs w:val="14"/>
              </w:rPr>
              <w:t>The estimate is based on the fees charged and target returns for this [product/investment option/lifecycle stage] based on a $50,000 balance as shown on this dashboard.</w:t>
            </w:r>
          </w:p>
        </w:tc>
      </w:tr>
    </w:tbl>
    <w:p w14:paraId="056A3D97" w14:textId="77777777" w:rsidR="00723B39" w:rsidRDefault="00723B39" w:rsidP="00723B39">
      <w:bookmarkStart w:id="26" w:name="_Toc433988530"/>
    </w:p>
    <w:p w14:paraId="4966081D" w14:textId="77777777" w:rsidR="00792002" w:rsidRPr="00C701C4" w:rsidRDefault="0092324F" w:rsidP="00DF72DD">
      <w:pPr>
        <w:pStyle w:val="ActHead3"/>
      </w:pPr>
      <w:r w:rsidRPr="00C701C4">
        <w:t>5</w:t>
      </w:r>
      <w:r w:rsidR="00792002" w:rsidRPr="00C701C4">
        <w:t xml:space="preserve">  Part</w:t>
      </w:r>
      <w:r w:rsidR="00C701C4" w:rsidRPr="00C701C4">
        <w:t> </w:t>
      </w:r>
      <w:r w:rsidR="00792002" w:rsidRPr="00C701C4">
        <w:t>6A of Schedule</w:t>
      </w:r>
      <w:r w:rsidR="00C701C4" w:rsidRPr="00C701C4">
        <w:t> </w:t>
      </w:r>
      <w:r w:rsidR="00792002" w:rsidRPr="00C701C4">
        <w:t>10A</w:t>
      </w:r>
      <w:bookmarkEnd w:id="26"/>
    </w:p>
    <w:p w14:paraId="138D9426" w14:textId="7A1E2E24" w:rsidR="00D56B2C" w:rsidRDefault="00792002" w:rsidP="00723B39">
      <w:pPr>
        <w:pStyle w:val="Item"/>
      </w:pPr>
      <w:r w:rsidRPr="00C701C4">
        <w:t>Repeal the Part.</w:t>
      </w:r>
    </w:p>
    <w:p w14:paraId="0AA6C158" w14:textId="77777777" w:rsidR="00D56B2C" w:rsidRDefault="00D56B2C" w:rsidP="00D56B2C"/>
    <w:p w14:paraId="2436F9E8" w14:textId="77777777" w:rsidR="00D56B2C" w:rsidRDefault="00D56B2C" w:rsidP="00D56B2C">
      <w:pPr>
        <w:sectPr w:rsidR="00D56B2C" w:rsidSect="00301DAE">
          <w:type w:val="oddPage"/>
          <w:pgSz w:w="11907" w:h="16839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4082B3BB" w14:textId="676356B9" w:rsidR="0004044E" w:rsidRPr="00C701C4" w:rsidRDefault="0048364F" w:rsidP="00DF723E">
      <w:pPr>
        <w:pStyle w:val="ActHead1"/>
      </w:pPr>
      <w:bookmarkStart w:id="27" w:name="opcCurrentFind"/>
      <w:bookmarkStart w:id="28" w:name="_Toc433988531"/>
      <w:r w:rsidRPr="00C701C4">
        <w:rPr>
          <w:rStyle w:val="CharAmSchNo"/>
        </w:rPr>
        <w:t>Schedule</w:t>
      </w:r>
      <w:r w:rsidR="00C701C4" w:rsidRPr="00C701C4">
        <w:rPr>
          <w:rStyle w:val="CharAmSchNo"/>
        </w:rPr>
        <w:t> </w:t>
      </w:r>
      <w:r w:rsidR="00644965" w:rsidRPr="00C701C4">
        <w:rPr>
          <w:rStyle w:val="CharAmSchNo"/>
        </w:rPr>
        <w:t>2</w:t>
      </w:r>
      <w:r w:rsidRPr="00C701C4">
        <w:t>—</w:t>
      </w:r>
      <w:r w:rsidR="00644965" w:rsidRPr="00C701C4">
        <w:rPr>
          <w:rStyle w:val="CharAmSchText"/>
        </w:rPr>
        <w:t>Portfolio holdings disclosure</w:t>
      </w:r>
      <w:bookmarkEnd w:id="27"/>
      <w:bookmarkEnd w:id="28"/>
    </w:p>
    <w:p w14:paraId="7135DA2F" w14:textId="77777777" w:rsidR="00644965" w:rsidRPr="00C701C4" w:rsidRDefault="00644965" w:rsidP="00DF723E">
      <w:pPr>
        <w:pStyle w:val="ActHead2"/>
      </w:pPr>
      <w:r w:rsidRPr="00C701C4">
        <w:t>Corporations Regulations</w:t>
      </w:r>
      <w:r w:rsidR="00C701C4" w:rsidRPr="00C701C4">
        <w:t> </w:t>
      </w:r>
      <w:r w:rsidRPr="00C701C4">
        <w:t>2001</w:t>
      </w:r>
    </w:p>
    <w:p w14:paraId="3A002154" w14:textId="77777777" w:rsidR="006D3667" w:rsidRPr="00C701C4" w:rsidRDefault="00BB6E79" w:rsidP="00DF723E">
      <w:pPr>
        <w:pStyle w:val="ActHead3"/>
      </w:pPr>
      <w:bookmarkStart w:id="29" w:name="_Toc433988532"/>
      <w:r w:rsidRPr="00C701C4">
        <w:t xml:space="preserve">1  </w:t>
      </w:r>
      <w:r w:rsidR="00644965" w:rsidRPr="00C701C4">
        <w:t>At the end of Division</w:t>
      </w:r>
      <w:r w:rsidR="00C701C4" w:rsidRPr="00C701C4">
        <w:t> </w:t>
      </w:r>
      <w:r w:rsidR="00644965" w:rsidRPr="00C701C4">
        <w:t>2E of Part</w:t>
      </w:r>
      <w:r w:rsidR="00C701C4" w:rsidRPr="00C701C4">
        <w:t> </w:t>
      </w:r>
      <w:r w:rsidR="00644965" w:rsidRPr="00C701C4">
        <w:t>7.9</w:t>
      </w:r>
      <w:bookmarkEnd w:id="29"/>
    </w:p>
    <w:p w14:paraId="320B6EB4" w14:textId="77777777" w:rsidR="00644965" w:rsidRPr="00C701C4" w:rsidRDefault="00644965" w:rsidP="00644965">
      <w:pPr>
        <w:pStyle w:val="Item"/>
      </w:pPr>
      <w:r w:rsidRPr="00C701C4">
        <w:t>Add:</w:t>
      </w:r>
    </w:p>
    <w:p w14:paraId="7BA2CB66" w14:textId="77777777" w:rsidR="00644965" w:rsidRPr="00C701C4" w:rsidRDefault="00644965" w:rsidP="00644965">
      <w:pPr>
        <w:pStyle w:val="ActHead4"/>
      </w:pPr>
      <w:bookmarkStart w:id="30" w:name="_Toc429660379"/>
      <w:r w:rsidRPr="00C701C4">
        <w:rPr>
          <w:rStyle w:val="CharSubdNo"/>
        </w:rPr>
        <w:t>Subdivision</w:t>
      </w:r>
      <w:r w:rsidR="00C701C4" w:rsidRPr="00C701C4">
        <w:rPr>
          <w:rStyle w:val="CharSubdNo"/>
        </w:rPr>
        <w:t> </w:t>
      </w:r>
      <w:r w:rsidRPr="00C701C4">
        <w:rPr>
          <w:rStyle w:val="CharSubdNo"/>
        </w:rPr>
        <w:t>2E.2</w:t>
      </w:r>
      <w:r w:rsidRPr="00C701C4">
        <w:t>—</w:t>
      </w:r>
      <w:r w:rsidRPr="00C701C4">
        <w:rPr>
          <w:rStyle w:val="CharSubdText"/>
        </w:rPr>
        <w:t>Making portfolio holding information publicly available</w:t>
      </w:r>
      <w:bookmarkEnd w:id="30"/>
    </w:p>
    <w:p w14:paraId="2F620A5B" w14:textId="77777777" w:rsidR="001342AC" w:rsidRPr="00DF723E" w:rsidRDefault="001342AC" w:rsidP="001342AC">
      <w:pPr>
        <w:pStyle w:val="ActHead5"/>
        <w:rPr>
          <w:rStyle w:val="CharSectno"/>
        </w:rPr>
      </w:pPr>
      <w:bookmarkStart w:id="31" w:name="_Toc429660380"/>
      <w:r w:rsidRPr="00DF723E">
        <w:rPr>
          <w:rStyle w:val="CharSectno"/>
        </w:rPr>
        <w:t>7.9.07Z  Source of power for this Subdivision</w:t>
      </w:r>
      <w:bookmarkEnd w:id="31"/>
    </w:p>
    <w:p w14:paraId="5F341A1A" w14:textId="77777777" w:rsidR="001342AC" w:rsidRPr="00C701C4" w:rsidRDefault="001342AC" w:rsidP="007164E7">
      <w:pPr>
        <w:pStyle w:val="subsection"/>
      </w:pPr>
      <w:r w:rsidRPr="00C701C4">
        <w:tab/>
      </w:r>
      <w:r w:rsidRPr="00C701C4">
        <w:tab/>
        <w:t>This Subdivision is made for the purposes of section</w:t>
      </w:r>
      <w:r w:rsidR="00C701C4" w:rsidRPr="00C701C4">
        <w:t> </w:t>
      </w:r>
      <w:r w:rsidRPr="00C701C4">
        <w:t>1017BB of the Act.</w:t>
      </w:r>
    </w:p>
    <w:p w14:paraId="6CDA3780" w14:textId="77777777" w:rsidR="00644965" w:rsidRPr="00DF723E" w:rsidRDefault="00A9146C" w:rsidP="00525B0A">
      <w:pPr>
        <w:pStyle w:val="ActHead5"/>
        <w:rPr>
          <w:rStyle w:val="CharSectno"/>
        </w:rPr>
      </w:pPr>
      <w:bookmarkStart w:id="32" w:name="_Toc429660381"/>
      <w:r w:rsidRPr="00DF723E">
        <w:rPr>
          <w:rStyle w:val="CharSectno"/>
        </w:rPr>
        <w:t>7.9.07Z</w:t>
      </w:r>
      <w:r w:rsidR="001342AC" w:rsidRPr="00DF723E">
        <w:rPr>
          <w:rStyle w:val="CharSectno"/>
        </w:rPr>
        <w:t>A</w:t>
      </w:r>
      <w:r w:rsidR="00525B0A" w:rsidRPr="00DF723E">
        <w:rPr>
          <w:rStyle w:val="CharSectno"/>
        </w:rPr>
        <w:t xml:space="preserve">  Way the information must be organised</w:t>
      </w:r>
      <w:bookmarkEnd w:id="32"/>
    </w:p>
    <w:p w14:paraId="0A902476" w14:textId="77777777" w:rsidR="00C7460E" w:rsidRPr="00C701C4" w:rsidRDefault="00525B0A" w:rsidP="007164E7">
      <w:pPr>
        <w:pStyle w:val="subsection"/>
      </w:pPr>
      <w:r w:rsidRPr="00C701C4">
        <w:tab/>
      </w:r>
      <w:r w:rsidR="004A588E" w:rsidRPr="00C701C4">
        <w:t>(1)</w:t>
      </w:r>
      <w:r w:rsidRPr="00C701C4">
        <w:tab/>
      </w:r>
      <w:r w:rsidR="005A76C0" w:rsidRPr="00C701C4">
        <w:t>For the purposes of subsection</w:t>
      </w:r>
      <w:r w:rsidR="00C701C4" w:rsidRPr="00C701C4">
        <w:t> </w:t>
      </w:r>
      <w:r w:rsidR="005A76C0" w:rsidRPr="00C701C4">
        <w:t xml:space="preserve">1017BB(3) of the Act, </w:t>
      </w:r>
      <w:r w:rsidR="005A42B7" w:rsidRPr="00C701C4">
        <w:t xml:space="preserve">the </w:t>
      </w:r>
      <w:r w:rsidR="00B914FB" w:rsidRPr="00C701C4">
        <w:t>trustee, or the trustees, of the registrable superannuation entity mus</w:t>
      </w:r>
      <w:r w:rsidR="007527A3" w:rsidRPr="00C701C4">
        <w:t>t organise</w:t>
      </w:r>
      <w:r w:rsidR="00B914FB" w:rsidRPr="00C701C4">
        <w:t xml:space="preserve"> the </w:t>
      </w:r>
      <w:r w:rsidR="005A42B7" w:rsidRPr="00C701C4">
        <w:t xml:space="preserve">information </w:t>
      </w:r>
      <w:r w:rsidR="008E2BED" w:rsidRPr="00C701C4">
        <w:t xml:space="preserve">about </w:t>
      </w:r>
      <w:r w:rsidR="00C6615E" w:rsidRPr="00C701C4">
        <w:t>an</w:t>
      </w:r>
      <w:r w:rsidR="008E2BED" w:rsidRPr="00C701C4">
        <w:t xml:space="preserve"> investment option </w:t>
      </w:r>
      <w:r w:rsidR="001342AC" w:rsidRPr="00C701C4">
        <w:t>in the following way:</w:t>
      </w:r>
    </w:p>
    <w:p w14:paraId="56D37930" w14:textId="5E6BE38A" w:rsidR="001342AC" w:rsidRPr="00C701C4" w:rsidRDefault="001342AC" w:rsidP="007164E7">
      <w:pPr>
        <w:pStyle w:val="paragraph"/>
      </w:pPr>
      <w:r w:rsidRPr="00C701C4">
        <w:t>(a)</w:t>
      </w:r>
      <w:r w:rsidRPr="00C701C4">
        <w:tab/>
      </w:r>
      <w:r w:rsidR="008E2BED" w:rsidRPr="00C701C4">
        <w:t>the information is to be</w:t>
      </w:r>
      <w:r w:rsidR="00E34567" w:rsidRPr="00C701C4">
        <w:t xml:space="preserve"> expressed</w:t>
      </w:r>
      <w:r w:rsidR="008E2BED" w:rsidRPr="00C701C4">
        <w:t xml:space="preserve"> in </w:t>
      </w:r>
      <w:r w:rsidR="00E34567" w:rsidRPr="00C701C4">
        <w:t xml:space="preserve">a </w:t>
      </w:r>
      <w:r w:rsidR="008E2BED" w:rsidRPr="00C701C4">
        <w:t>table that deals only with the investment option;</w:t>
      </w:r>
    </w:p>
    <w:p w14:paraId="09DD1ABB" w14:textId="6E9D0B48" w:rsidR="008E2BED" w:rsidRPr="00C701C4" w:rsidRDefault="008E2BED" w:rsidP="007164E7">
      <w:pPr>
        <w:pStyle w:val="paragraph"/>
      </w:pPr>
      <w:r w:rsidRPr="00C701C4">
        <w:t>(b)</w:t>
      </w:r>
      <w:r w:rsidRPr="00C701C4">
        <w:tab/>
        <w:t xml:space="preserve">the overall heading for the table is </w:t>
      </w:r>
      <w:r w:rsidR="00723B39">
        <w:t>‘</w:t>
      </w:r>
      <w:r w:rsidRPr="00C701C4">
        <w:t>Portfolio Holdings Information for [name of the investment option]</w:t>
      </w:r>
      <w:r w:rsidR="00723B39">
        <w:t>’</w:t>
      </w:r>
      <w:r w:rsidRPr="00C701C4">
        <w:t>;</w:t>
      </w:r>
    </w:p>
    <w:p w14:paraId="025727D1" w14:textId="6997F0BF" w:rsidR="008E2BED" w:rsidRPr="00C701C4" w:rsidRDefault="008E2BED" w:rsidP="007164E7">
      <w:pPr>
        <w:pStyle w:val="paragraph"/>
      </w:pPr>
      <w:r w:rsidRPr="00C701C4">
        <w:t>(c)</w:t>
      </w:r>
      <w:r w:rsidRPr="00C701C4">
        <w:tab/>
        <w:t>the table is to have 6 columns, the headings of which are as follows (listed in order from left to right):</w:t>
      </w:r>
    </w:p>
    <w:p w14:paraId="649F3306" w14:textId="435C5DDF" w:rsidR="008E2BED" w:rsidRPr="00C701C4" w:rsidRDefault="008E2BED" w:rsidP="007164E7">
      <w:pPr>
        <w:pStyle w:val="paragraphsub"/>
      </w:pPr>
      <w:r w:rsidRPr="00C701C4">
        <w:t>(i)</w:t>
      </w:r>
      <w:r w:rsidRPr="00C701C4">
        <w:tab/>
        <w:t xml:space="preserve">Number </w:t>
      </w:r>
      <w:r w:rsidR="009276D8" w:rsidRPr="00C701C4">
        <w:t xml:space="preserve">for, and investment level of, </w:t>
      </w:r>
      <w:r w:rsidR="005B45A4" w:rsidRPr="00C701C4">
        <w:t>each</w:t>
      </w:r>
      <w:r w:rsidR="004E5CC7" w:rsidRPr="00C701C4">
        <w:t xml:space="preserve"> financial product or property allocated to the investment option</w:t>
      </w:r>
      <w:r w:rsidRPr="00C701C4">
        <w:t>;</w:t>
      </w:r>
    </w:p>
    <w:p w14:paraId="4A754C91" w14:textId="34F6FC2C" w:rsidR="008E2BED" w:rsidRPr="00C701C4" w:rsidRDefault="008E2BED" w:rsidP="007164E7">
      <w:pPr>
        <w:pStyle w:val="paragraphsub"/>
      </w:pPr>
      <w:r w:rsidRPr="00C701C4">
        <w:t>(ii)</w:t>
      </w:r>
      <w:r w:rsidRPr="00C701C4">
        <w:tab/>
        <w:t xml:space="preserve">Name of </w:t>
      </w:r>
      <w:r w:rsidR="004E5CC7" w:rsidRPr="00C701C4">
        <w:t>that product or property</w:t>
      </w:r>
      <w:r w:rsidRPr="00C701C4">
        <w:t>;</w:t>
      </w:r>
    </w:p>
    <w:p w14:paraId="110729ED" w14:textId="1A9B2334" w:rsidR="008E2BED" w:rsidRPr="00C701C4" w:rsidRDefault="008E2BED" w:rsidP="007164E7">
      <w:pPr>
        <w:pStyle w:val="paragraphsub"/>
      </w:pPr>
      <w:r w:rsidRPr="00C701C4">
        <w:t>(iii)</w:t>
      </w:r>
      <w:r w:rsidRPr="00C701C4">
        <w:tab/>
      </w:r>
      <w:r w:rsidR="004E5CC7" w:rsidRPr="00C701C4">
        <w:t>Number of units held in that</w:t>
      </w:r>
      <w:r w:rsidRPr="00C701C4">
        <w:t xml:space="preserve"> product or property;</w:t>
      </w:r>
    </w:p>
    <w:p w14:paraId="5AE01501" w14:textId="77475056" w:rsidR="004E5CC7" w:rsidRPr="00C701C4" w:rsidRDefault="004E5CC7" w:rsidP="007164E7">
      <w:pPr>
        <w:pStyle w:val="paragraphsub"/>
      </w:pPr>
      <w:r w:rsidRPr="00C701C4">
        <w:t>(iv)</w:t>
      </w:r>
      <w:r w:rsidRPr="00C701C4">
        <w:tab/>
        <w:t xml:space="preserve">Number of units held in </w:t>
      </w:r>
      <w:r w:rsidR="00AF736E" w:rsidRPr="00C701C4">
        <w:t xml:space="preserve">any </w:t>
      </w:r>
      <w:r w:rsidRPr="00C701C4">
        <w:t>final product or property;</w:t>
      </w:r>
    </w:p>
    <w:p w14:paraId="6192B222" w14:textId="021AE3B7" w:rsidR="004E5CC7" w:rsidRPr="00C701C4" w:rsidRDefault="004E5CC7" w:rsidP="007164E7">
      <w:pPr>
        <w:pStyle w:val="paragraphsub"/>
      </w:pPr>
      <w:r w:rsidRPr="00C701C4">
        <w:t>(v)</w:t>
      </w:r>
      <w:r w:rsidRPr="00C701C4">
        <w:tab/>
        <w:t>Price per unit;</w:t>
      </w:r>
    </w:p>
    <w:p w14:paraId="53C8BC55" w14:textId="1F6FBE75" w:rsidR="004E5CC7" w:rsidRPr="00C701C4" w:rsidRDefault="004E5CC7" w:rsidP="007164E7">
      <w:pPr>
        <w:pStyle w:val="paragraphsub"/>
      </w:pPr>
      <w:r w:rsidRPr="00C701C4">
        <w:t>(vi)</w:t>
      </w:r>
      <w:r w:rsidRPr="00C701C4">
        <w:tab/>
      </w:r>
      <w:r w:rsidR="00C76B14" w:rsidRPr="00C701C4">
        <w:t>Total invested;</w:t>
      </w:r>
    </w:p>
    <w:p w14:paraId="56EDFDFE" w14:textId="2CB6903F" w:rsidR="008E2BED" w:rsidRPr="00C701C4" w:rsidRDefault="00C76B14" w:rsidP="007164E7">
      <w:pPr>
        <w:pStyle w:val="paragraph"/>
      </w:pPr>
      <w:r w:rsidRPr="00C701C4">
        <w:t>(d)</w:t>
      </w:r>
      <w:r w:rsidRPr="00C701C4">
        <w:tab/>
      </w:r>
      <w:r w:rsidR="00D15014" w:rsidRPr="00C701C4">
        <w:t>each heading is to be in bold;</w:t>
      </w:r>
    </w:p>
    <w:p w14:paraId="0335CF72" w14:textId="31E2CFBF" w:rsidR="00D15014" w:rsidRPr="00C701C4" w:rsidRDefault="00D15014" w:rsidP="007164E7">
      <w:pPr>
        <w:pStyle w:val="paragraph"/>
      </w:pPr>
      <w:r w:rsidRPr="00C701C4">
        <w:t>(e)</w:t>
      </w:r>
      <w:r w:rsidRPr="00C701C4">
        <w:tab/>
      </w:r>
      <w:r w:rsidR="00C6615E" w:rsidRPr="00C701C4">
        <w:t xml:space="preserve">the </w:t>
      </w:r>
      <w:r w:rsidR="009648F5" w:rsidRPr="00C701C4">
        <w:t xml:space="preserve">text in </w:t>
      </w:r>
      <w:r w:rsidRPr="00C701C4">
        <w:t>columns 1</w:t>
      </w:r>
      <w:r w:rsidR="009648F5" w:rsidRPr="00C701C4">
        <w:t>, 2 and 6</w:t>
      </w:r>
      <w:r w:rsidRPr="00C701C4">
        <w:t xml:space="preserve"> of the table </w:t>
      </w:r>
      <w:r w:rsidR="009648F5" w:rsidRPr="00C701C4">
        <w:t xml:space="preserve">is to be in bold for a row of the table that is for a financial product or property </w:t>
      </w:r>
      <w:r w:rsidRPr="00C701C4">
        <w:t xml:space="preserve">in which assets of the entity are </w:t>
      </w:r>
      <w:r w:rsidR="009276D8" w:rsidRPr="00C701C4">
        <w:t xml:space="preserve">directly </w:t>
      </w:r>
      <w:r w:rsidRPr="00C701C4">
        <w:t>invested</w:t>
      </w:r>
      <w:r w:rsidR="009648F5" w:rsidRPr="00C701C4">
        <w:t>;</w:t>
      </w:r>
    </w:p>
    <w:p w14:paraId="4263F78B" w14:textId="799F3342" w:rsidR="00C9472C" w:rsidRPr="00C701C4" w:rsidRDefault="009648F5" w:rsidP="007164E7">
      <w:pPr>
        <w:pStyle w:val="paragraph"/>
      </w:pPr>
      <w:r w:rsidRPr="00C701C4">
        <w:t>(f)</w:t>
      </w:r>
      <w:r w:rsidRPr="00C701C4">
        <w:tab/>
      </w:r>
      <w:r w:rsidR="00FA1B3C" w:rsidRPr="00C701C4">
        <w:t>column 1 of the table must</w:t>
      </w:r>
      <w:r w:rsidR="008E0F8A" w:rsidRPr="00C701C4">
        <w:t xml:space="preserve"> </w:t>
      </w:r>
      <w:r w:rsidR="00FA1B3C" w:rsidRPr="00C701C4">
        <w:t xml:space="preserve">use a method chosen by the trustee, or the trustees, to </w:t>
      </w:r>
      <w:r w:rsidR="00C6615E" w:rsidRPr="00C701C4">
        <w:t>identify</w:t>
      </w:r>
      <w:r w:rsidR="00FA1B3C" w:rsidRPr="00C701C4">
        <w:t xml:space="preserve"> and distinguish the classes </w:t>
      </w:r>
      <w:r w:rsidR="008E0F8A" w:rsidRPr="00C701C4">
        <w:t xml:space="preserve">(or </w:t>
      </w:r>
      <w:r w:rsidR="008E0F8A" w:rsidRPr="00C701C4">
        <w:rPr>
          <w:b/>
          <w:i/>
        </w:rPr>
        <w:t>levels</w:t>
      </w:r>
      <w:r w:rsidR="008E0F8A" w:rsidRPr="00C701C4">
        <w:t xml:space="preserve">) </w:t>
      </w:r>
      <w:r w:rsidR="00FA1B3C" w:rsidRPr="00C701C4">
        <w:t>of financial products or p</w:t>
      </w:r>
      <w:r w:rsidR="005B45A4" w:rsidRPr="00C701C4">
        <w:t xml:space="preserve">roperty covered by </w:t>
      </w:r>
      <w:r w:rsidR="00C701C4" w:rsidRPr="00C701C4">
        <w:t>paragraphs (</w:t>
      </w:r>
      <w:r w:rsidR="005B45A4" w:rsidRPr="00C701C4">
        <w:t>3</w:t>
      </w:r>
      <w:r w:rsidR="00FA1B3C" w:rsidRPr="00C701C4">
        <w:t>)(a), (b) and (c)</w:t>
      </w:r>
      <w:r w:rsidR="00C9472C" w:rsidRPr="00C701C4">
        <w:t>; and</w:t>
      </w:r>
    </w:p>
    <w:p w14:paraId="101C7302" w14:textId="7AEECB2C" w:rsidR="008E0F8A" w:rsidRPr="00C701C4" w:rsidRDefault="008E0F8A" w:rsidP="007164E7">
      <w:pPr>
        <w:pStyle w:val="paragraph"/>
      </w:pPr>
      <w:r w:rsidRPr="00C701C4">
        <w:t>(g)</w:t>
      </w:r>
      <w:r w:rsidRPr="00C701C4">
        <w:tab/>
      </w:r>
      <w:r w:rsidR="00A830C8" w:rsidRPr="00C701C4">
        <w:t xml:space="preserve">using this method, </w:t>
      </w:r>
      <w:r w:rsidRPr="00C701C4">
        <w:t xml:space="preserve">column 1 of the table must list </w:t>
      </w:r>
      <w:r w:rsidR="00FA1B3C" w:rsidRPr="00C701C4">
        <w:t xml:space="preserve">sequentially the products or property in each of those </w:t>
      </w:r>
      <w:r w:rsidRPr="00C701C4">
        <w:t>levels, but in such a way that:</w:t>
      </w:r>
    </w:p>
    <w:p w14:paraId="2E74C03C" w14:textId="4FDCAA9B" w:rsidR="008E0F8A" w:rsidRPr="00C701C4" w:rsidRDefault="008E0F8A" w:rsidP="007164E7">
      <w:pPr>
        <w:pStyle w:val="paragraphsub"/>
      </w:pPr>
      <w:r w:rsidRPr="00C701C4">
        <w:t>(i)</w:t>
      </w:r>
      <w:r w:rsidRPr="00C701C4">
        <w:tab/>
        <w:t xml:space="preserve">lists a </w:t>
      </w:r>
      <w:r w:rsidR="00E34567" w:rsidRPr="00C701C4">
        <w:t xml:space="preserve">particular </w:t>
      </w:r>
      <w:r w:rsidRPr="00C701C4">
        <w:t>product or property in a particular level; and</w:t>
      </w:r>
    </w:p>
    <w:p w14:paraId="4FFF9397" w14:textId="5FCC86E4" w:rsidR="00E34567" w:rsidRPr="00C701C4" w:rsidRDefault="00E34567" w:rsidP="007164E7">
      <w:pPr>
        <w:pStyle w:val="paragraphsub"/>
      </w:pPr>
      <w:r w:rsidRPr="00C701C4">
        <w:t>(ii)</w:t>
      </w:r>
      <w:r w:rsidRPr="00C701C4">
        <w:tab/>
        <w:t>before listing the next product or property in that level, next lists the first product or property in the next lowest level, if any, (see subregulation</w:t>
      </w:r>
      <w:r w:rsidR="00C701C4" w:rsidRPr="00C701C4">
        <w:t> </w:t>
      </w:r>
      <w:r w:rsidRPr="00C701C4">
        <w:t>(2));</w:t>
      </w:r>
    </w:p>
    <w:p w14:paraId="1ACDE0DF" w14:textId="7F9D2385" w:rsidR="00C9472C" w:rsidRPr="00C701C4" w:rsidRDefault="00A830C8" w:rsidP="007164E7">
      <w:pPr>
        <w:pStyle w:val="paragraph"/>
      </w:pPr>
      <w:r w:rsidRPr="00C701C4">
        <w:t>(h</w:t>
      </w:r>
      <w:r w:rsidR="00C9472C" w:rsidRPr="00C701C4">
        <w:t>)</w:t>
      </w:r>
      <w:r w:rsidR="00C9472C" w:rsidRPr="00C701C4">
        <w:tab/>
      </w:r>
      <w:r w:rsidR="00621E5F" w:rsidRPr="00C701C4">
        <w:t xml:space="preserve">column 1 of the final row of the table is to be the word </w:t>
      </w:r>
      <w:r w:rsidR="00723B39">
        <w:t>‘</w:t>
      </w:r>
      <w:r w:rsidR="00621E5F" w:rsidRPr="00C701C4">
        <w:rPr>
          <w:b/>
        </w:rPr>
        <w:t>TOTAL</w:t>
      </w:r>
      <w:r w:rsidR="00723B39">
        <w:t>’</w:t>
      </w:r>
      <w:r w:rsidRPr="00C701C4">
        <w:t xml:space="preserve"> in bold capitals</w:t>
      </w:r>
      <w:r w:rsidR="00EE62D0" w:rsidRPr="00C701C4">
        <w:t>;</w:t>
      </w:r>
    </w:p>
    <w:p w14:paraId="67389CC2" w14:textId="47EBA83E" w:rsidR="00EE62D0" w:rsidRPr="00C701C4" w:rsidRDefault="00EE62D0" w:rsidP="007164E7">
      <w:pPr>
        <w:pStyle w:val="paragraph"/>
      </w:pPr>
      <w:r w:rsidRPr="00C701C4">
        <w:t>(i)</w:t>
      </w:r>
      <w:r w:rsidRPr="00C701C4">
        <w:tab/>
        <w:t>column 3 of the table lists the number of units in a product that is not in the lowest level for the relevant highest level product in which assets of the entity are directly invested;</w:t>
      </w:r>
    </w:p>
    <w:p w14:paraId="01E29ED7" w14:textId="34839FC7" w:rsidR="00EE62D0" w:rsidRPr="00C701C4" w:rsidRDefault="00EE62D0" w:rsidP="007164E7">
      <w:pPr>
        <w:pStyle w:val="paragraph"/>
      </w:pPr>
      <w:r w:rsidRPr="00C701C4">
        <w:t>(j)</w:t>
      </w:r>
      <w:r w:rsidRPr="00C701C4">
        <w:tab/>
        <w:t>column 4 of the table must list the number of units in a product that is in the lowest level for the relevant highest level product in which assets of the entity are directly invested;</w:t>
      </w:r>
    </w:p>
    <w:p w14:paraId="6DF441D8" w14:textId="715A23E6" w:rsidR="001C037E" w:rsidRPr="00C701C4" w:rsidRDefault="00EE62D0" w:rsidP="007164E7">
      <w:pPr>
        <w:pStyle w:val="paragraph"/>
      </w:pPr>
      <w:r w:rsidRPr="00C701C4">
        <w:t>(k)</w:t>
      </w:r>
      <w:r w:rsidRPr="00C701C4">
        <w:tab/>
      </w:r>
      <w:r w:rsidR="001C037E" w:rsidRPr="00C701C4">
        <w:t>column 6 o</w:t>
      </w:r>
      <w:r w:rsidR="005B45A4" w:rsidRPr="00C701C4">
        <w:t>f the final row of the table is</w:t>
      </w:r>
      <w:r w:rsidR="001C037E" w:rsidRPr="00C701C4">
        <w:t>:</w:t>
      </w:r>
    </w:p>
    <w:p w14:paraId="4E8EEDF6" w14:textId="68CDA0A5" w:rsidR="00EE62D0" w:rsidRPr="00C701C4" w:rsidRDefault="001C037E" w:rsidP="007164E7">
      <w:pPr>
        <w:pStyle w:val="paragraphsub"/>
      </w:pPr>
      <w:r w:rsidRPr="00C701C4">
        <w:t>(i)</w:t>
      </w:r>
      <w:r w:rsidRPr="00C701C4">
        <w:tab/>
      </w:r>
      <w:r w:rsidR="005B45A4" w:rsidRPr="00C701C4">
        <w:t xml:space="preserve">to </w:t>
      </w:r>
      <w:r w:rsidR="004E3030" w:rsidRPr="00C701C4">
        <w:t>set out</w:t>
      </w:r>
      <w:r w:rsidR="005B45A4" w:rsidRPr="00C701C4">
        <w:t xml:space="preserve"> </w:t>
      </w:r>
      <w:r w:rsidRPr="00C701C4">
        <w:t>the total of the column 6 amounts for all of the products and property in which assets of the entity are directly invested; and</w:t>
      </w:r>
    </w:p>
    <w:p w14:paraId="5C4BD5C0" w14:textId="2F5FF1D8" w:rsidR="001C037E" w:rsidRPr="00C701C4" w:rsidRDefault="001C037E" w:rsidP="007164E7">
      <w:pPr>
        <w:pStyle w:val="paragraphsub"/>
      </w:pPr>
      <w:r w:rsidRPr="00C701C4">
        <w:t>(ii)</w:t>
      </w:r>
      <w:r w:rsidRPr="00C701C4">
        <w:tab/>
      </w:r>
      <w:r w:rsidR="005B45A4" w:rsidRPr="00C701C4">
        <w:t>to be in bold</w:t>
      </w:r>
      <w:r w:rsidR="00F458E7" w:rsidRPr="00C701C4">
        <w:t>.</w:t>
      </w:r>
    </w:p>
    <w:p w14:paraId="6454095B" w14:textId="77777777" w:rsidR="001C037E" w:rsidRPr="00C701C4" w:rsidRDefault="005B45A4" w:rsidP="00C63D31">
      <w:pPr>
        <w:pStyle w:val="notetext"/>
        <w:ind w:left="1701" w:hanging="567"/>
      </w:pPr>
      <w:r w:rsidRPr="00C701C4">
        <w:t>Note</w:t>
      </w:r>
      <w:r w:rsidR="001C037E" w:rsidRPr="00C701C4">
        <w:t>:</w:t>
      </w:r>
      <w:r w:rsidR="001C037E" w:rsidRPr="00C701C4">
        <w:tab/>
      </w:r>
      <w:r w:rsidR="00C701C4" w:rsidRPr="00C701C4">
        <w:t>Subparagraphs (</w:t>
      </w:r>
      <w:r w:rsidR="001C037E" w:rsidRPr="00C701C4">
        <w:t>g)(i) and (ii) operate in a recursive manner. For example, see rows 6 to 6(B)(3) of the example table in Schedule</w:t>
      </w:r>
      <w:r w:rsidR="00C701C4" w:rsidRPr="00C701C4">
        <w:t> </w:t>
      </w:r>
      <w:r w:rsidR="001C037E" w:rsidRPr="00C701C4">
        <w:t>8F.</w:t>
      </w:r>
    </w:p>
    <w:p w14:paraId="06F7C366" w14:textId="77777777" w:rsidR="005B45A4" w:rsidRPr="00C701C4" w:rsidRDefault="005B45A4" w:rsidP="007164E7">
      <w:pPr>
        <w:pStyle w:val="subsection"/>
      </w:pPr>
      <w:r w:rsidRPr="00C701C4">
        <w:tab/>
        <w:t>(2)</w:t>
      </w:r>
      <w:r w:rsidRPr="00C701C4">
        <w:tab/>
        <w:t xml:space="preserve">The method chosen for </w:t>
      </w:r>
      <w:r w:rsidR="00C701C4" w:rsidRPr="00C701C4">
        <w:t>paragraph (</w:t>
      </w:r>
      <w:r w:rsidRPr="00C701C4">
        <w:t>1)(f) must be used for the purposes of this Subdivision for all of the entity’s investment options.</w:t>
      </w:r>
    </w:p>
    <w:p w14:paraId="6A0FE3A3" w14:textId="77777777" w:rsidR="005B45A4" w:rsidRPr="00C701C4" w:rsidRDefault="005B45A4" w:rsidP="00C63D31">
      <w:pPr>
        <w:pStyle w:val="notetext"/>
        <w:ind w:left="1701" w:hanging="567"/>
      </w:pPr>
      <w:r w:rsidRPr="00C701C4">
        <w:t>Note:</w:t>
      </w:r>
      <w:r w:rsidRPr="00C701C4">
        <w:tab/>
        <w:t xml:space="preserve">An example of a method for </w:t>
      </w:r>
      <w:r w:rsidR="00C701C4" w:rsidRPr="00C701C4">
        <w:t>paragraph (</w:t>
      </w:r>
      <w:r w:rsidRPr="00C701C4">
        <w:t>1)(f) is that used in column 1 of the table in Schedule</w:t>
      </w:r>
      <w:r w:rsidR="00C701C4" w:rsidRPr="00C701C4">
        <w:t> </w:t>
      </w:r>
      <w:r w:rsidRPr="00C701C4">
        <w:t>8F.</w:t>
      </w:r>
    </w:p>
    <w:p w14:paraId="2460F389" w14:textId="064E7D5F" w:rsidR="007164E7" w:rsidRDefault="007164E7" w:rsidP="007164E7">
      <w:pPr>
        <w:pStyle w:val="subsection"/>
      </w:pPr>
    </w:p>
    <w:p w14:paraId="57B24290" w14:textId="77777777" w:rsidR="007164E7" w:rsidRDefault="007164E7">
      <w:pPr>
        <w:spacing w:line="240" w:lineRule="auto"/>
        <w:rPr>
          <w:rFonts w:eastAsia="Times New Roman"/>
          <w:lang w:eastAsia="en-AU"/>
        </w:rPr>
      </w:pPr>
      <w:r>
        <w:br w:type="page"/>
      </w:r>
    </w:p>
    <w:p w14:paraId="7E9CDE45" w14:textId="532A1660" w:rsidR="00C9472C" w:rsidRPr="00C701C4" w:rsidRDefault="007164E7" w:rsidP="007164E7">
      <w:pPr>
        <w:pStyle w:val="subsection"/>
      </w:pPr>
      <w:r>
        <w:tab/>
      </w:r>
      <w:r w:rsidR="005B45A4" w:rsidRPr="00C701C4">
        <w:t>(3</w:t>
      </w:r>
      <w:r w:rsidR="004C02C7" w:rsidRPr="00C701C4">
        <w:t>)</w:t>
      </w:r>
      <w:r w:rsidR="004C02C7" w:rsidRPr="00C701C4">
        <w:tab/>
        <w:t xml:space="preserve">The </w:t>
      </w:r>
      <w:r w:rsidR="00FD1ACA" w:rsidRPr="00C701C4">
        <w:t xml:space="preserve">different levels </w:t>
      </w:r>
      <w:r w:rsidR="004C02C7" w:rsidRPr="00C701C4">
        <w:t xml:space="preserve">of financial products or property </w:t>
      </w:r>
      <w:r w:rsidR="00FD1ACA" w:rsidRPr="00C701C4">
        <w:t xml:space="preserve">are </w:t>
      </w:r>
      <w:r w:rsidR="005B45A4" w:rsidRPr="00C701C4">
        <w:t>set out in</w:t>
      </w:r>
      <w:r w:rsidR="00FD1ACA" w:rsidRPr="00C701C4">
        <w:t xml:space="preserve"> the following </w:t>
      </w:r>
      <w:r w:rsidR="00C701C4" w:rsidRPr="00C701C4">
        <w:t>paragraphs (</w:t>
      </w:r>
      <w:r w:rsidR="00FD1ACA" w:rsidRPr="00C701C4">
        <w:t>from highest to lowest)</w:t>
      </w:r>
      <w:r w:rsidR="004C02C7" w:rsidRPr="00C701C4">
        <w:t>:</w:t>
      </w:r>
    </w:p>
    <w:p w14:paraId="6307F925" w14:textId="2AE0968B" w:rsidR="004C02C7" w:rsidRPr="00C701C4" w:rsidRDefault="004C02C7" w:rsidP="007164E7">
      <w:pPr>
        <w:pStyle w:val="paragraph"/>
      </w:pPr>
      <w:r w:rsidRPr="00C701C4">
        <w:t>(a)</w:t>
      </w:r>
      <w:r w:rsidRPr="00C701C4">
        <w:tab/>
        <w:t>financial products or property in which assets of the entity are directly invested</w:t>
      </w:r>
      <w:r w:rsidR="00FA1B3C" w:rsidRPr="00C701C4">
        <w:t>;</w:t>
      </w:r>
    </w:p>
    <w:p w14:paraId="43EDF8DA" w14:textId="1B75B78C" w:rsidR="00FA1B3C" w:rsidRPr="00C701C4" w:rsidRDefault="00FA1B3C" w:rsidP="007164E7">
      <w:pPr>
        <w:pStyle w:val="paragraph"/>
      </w:pPr>
      <w:r w:rsidRPr="00C701C4">
        <w:t>(b)</w:t>
      </w:r>
      <w:r w:rsidRPr="00C701C4">
        <w:tab/>
        <w:t>financial products or property in which assets are directly invested if those assets are:</w:t>
      </w:r>
    </w:p>
    <w:p w14:paraId="1B709911" w14:textId="17F40C25" w:rsidR="00FA1B3C" w:rsidRPr="00C701C4" w:rsidRDefault="00FA1B3C" w:rsidP="007164E7">
      <w:pPr>
        <w:pStyle w:val="paragraphsub"/>
      </w:pPr>
      <w:r w:rsidRPr="00C701C4">
        <w:t>(i)</w:t>
      </w:r>
      <w:r w:rsidRPr="00C701C4">
        <w:tab/>
        <w:t xml:space="preserve">products or property covered by </w:t>
      </w:r>
      <w:r w:rsidR="00C701C4" w:rsidRPr="00C701C4">
        <w:t>paragraph (</w:t>
      </w:r>
      <w:r w:rsidRPr="00C701C4">
        <w:t>a); and</w:t>
      </w:r>
    </w:p>
    <w:p w14:paraId="49ACDACC" w14:textId="467AC102" w:rsidR="00FA1B3C" w:rsidRPr="00C701C4" w:rsidRDefault="00FA1B3C" w:rsidP="007164E7">
      <w:pPr>
        <w:pStyle w:val="paragraphsub"/>
      </w:pPr>
      <w:r w:rsidRPr="00C701C4">
        <w:t>(ii)</w:t>
      </w:r>
      <w:r w:rsidRPr="00C701C4">
        <w:tab/>
        <w:t>assets of the entity or an associated entity of the entity;</w:t>
      </w:r>
    </w:p>
    <w:p w14:paraId="075291BD" w14:textId="552DAEE2" w:rsidR="00FA1B3C" w:rsidRPr="00C701C4" w:rsidRDefault="00FA1B3C" w:rsidP="007164E7">
      <w:pPr>
        <w:pStyle w:val="paragraph"/>
      </w:pPr>
      <w:r w:rsidRPr="00C701C4">
        <w:t>(c)</w:t>
      </w:r>
      <w:r w:rsidRPr="00C701C4">
        <w:tab/>
        <w:t>financial products or property in which assets are directly invested if those assets are:</w:t>
      </w:r>
    </w:p>
    <w:p w14:paraId="05ADBA08" w14:textId="062E3F47" w:rsidR="00FA1B3C" w:rsidRPr="00C701C4" w:rsidRDefault="00FA1B3C" w:rsidP="007164E7">
      <w:pPr>
        <w:pStyle w:val="paragraphsub"/>
      </w:pPr>
      <w:r w:rsidRPr="00C701C4">
        <w:t>(i)</w:t>
      </w:r>
      <w:r w:rsidRPr="00C701C4">
        <w:tab/>
        <w:t xml:space="preserve">products or property covered by </w:t>
      </w:r>
      <w:r w:rsidR="00C701C4" w:rsidRPr="00C701C4">
        <w:t>paragraph (</w:t>
      </w:r>
      <w:r w:rsidRPr="00C701C4">
        <w:t>b), or by a previous application of this paragraph; and</w:t>
      </w:r>
    </w:p>
    <w:p w14:paraId="74C68B7C" w14:textId="61E118DB" w:rsidR="00FA1B3C" w:rsidRPr="00C701C4" w:rsidRDefault="00FA1B3C" w:rsidP="007164E7">
      <w:pPr>
        <w:pStyle w:val="paragraphsub"/>
      </w:pPr>
      <w:r w:rsidRPr="00C701C4">
        <w:t>(ii)</w:t>
      </w:r>
      <w:r w:rsidRPr="00C701C4">
        <w:tab/>
        <w:t>assets of the entity or an associated entity of the entity.</w:t>
      </w:r>
    </w:p>
    <w:p w14:paraId="7FE2184B" w14:textId="77777777" w:rsidR="00FD1ACA" w:rsidRPr="00C701C4" w:rsidRDefault="00FD1ACA" w:rsidP="00FD1ACA">
      <w:pPr>
        <w:pStyle w:val="subsection2"/>
      </w:pPr>
      <w:r w:rsidRPr="00C701C4">
        <w:t xml:space="preserve">To avoid doubt, products or property covered by a previous application of </w:t>
      </w:r>
      <w:r w:rsidR="00C701C4" w:rsidRPr="00C701C4">
        <w:t>paragraph (</w:t>
      </w:r>
      <w:r w:rsidRPr="00C701C4">
        <w:t>c) are in a higher level than any covered by a later application of that paragraph.</w:t>
      </w:r>
    </w:p>
    <w:p w14:paraId="1FCAE604" w14:textId="77777777" w:rsidR="001342AC" w:rsidRPr="00DF723E" w:rsidRDefault="001342AC" w:rsidP="001342AC">
      <w:pPr>
        <w:pStyle w:val="ActHead5"/>
        <w:rPr>
          <w:rStyle w:val="CharSectno"/>
        </w:rPr>
      </w:pPr>
      <w:bookmarkStart w:id="33" w:name="_Toc429660382"/>
      <w:r w:rsidRPr="00DF723E">
        <w:rPr>
          <w:rStyle w:val="CharSectno"/>
        </w:rPr>
        <w:t>7.9.07ZB  Organising information about derivatives</w:t>
      </w:r>
      <w:bookmarkEnd w:id="33"/>
    </w:p>
    <w:p w14:paraId="45E6E92A" w14:textId="77777777" w:rsidR="00525B0A" w:rsidRPr="00C701C4" w:rsidRDefault="001342AC" w:rsidP="007164E7">
      <w:pPr>
        <w:pStyle w:val="subsection"/>
      </w:pPr>
      <w:r w:rsidRPr="00C701C4">
        <w:tab/>
      </w:r>
      <w:r w:rsidR="00C7460E" w:rsidRPr="00C701C4">
        <w:tab/>
      </w:r>
      <w:r w:rsidR="008A7590" w:rsidRPr="00C701C4">
        <w:t>To the extent that the</w:t>
      </w:r>
      <w:r w:rsidR="007527A3" w:rsidRPr="00C701C4">
        <w:t xml:space="preserve"> information </w:t>
      </w:r>
      <w:r w:rsidR="008A7590" w:rsidRPr="00C701C4">
        <w:t xml:space="preserve">is </w:t>
      </w:r>
      <w:r w:rsidR="007527A3" w:rsidRPr="00C701C4">
        <w:t>about a financial product</w:t>
      </w:r>
      <w:r w:rsidR="00C95A47" w:rsidRPr="00C701C4">
        <w:t xml:space="preserve"> </w:t>
      </w:r>
      <w:r w:rsidR="008A7590" w:rsidRPr="00C701C4">
        <w:t xml:space="preserve">that is a </w:t>
      </w:r>
      <w:r w:rsidR="007527A3" w:rsidRPr="00C701C4">
        <w:t xml:space="preserve">derivative, </w:t>
      </w:r>
      <w:r w:rsidR="008A7590" w:rsidRPr="00C701C4">
        <w:t>the information must be organised so that:</w:t>
      </w:r>
    </w:p>
    <w:p w14:paraId="468BD590" w14:textId="2FF39EFA" w:rsidR="007527A3" w:rsidRPr="00C701C4" w:rsidRDefault="007527A3" w:rsidP="007164E7">
      <w:pPr>
        <w:pStyle w:val="paragraph"/>
      </w:pPr>
      <w:r w:rsidRPr="00C701C4">
        <w:t>(a)</w:t>
      </w:r>
      <w:r w:rsidRPr="00C701C4">
        <w:tab/>
        <w:t>the financial product is</w:t>
      </w:r>
      <w:r w:rsidR="008A7590" w:rsidRPr="00C701C4">
        <w:t xml:space="preserve"> identified as</w:t>
      </w:r>
      <w:r w:rsidRPr="00C701C4">
        <w:t xml:space="preserve"> a derivative; and</w:t>
      </w:r>
    </w:p>
    <w:p w14:paraId="7D8CBEF7" w14:textId="6BEA3C97" w:rsidR="00A9146C" w:rsidRPr="00C701C4" w:rsidRDefault="00A9146C" w:rsidP="007164E7">
      <w:pPr>
        <w:pStyle w:val="paragraph"/>
      </w:pPr>
      <w:r w:rsidRPr="00C701C4">
        <w:t>(b)</w:t>
      </w:r>
      <w:r w:rsidRPr="00C701C4">
        <w:tab/>
        <w:t>the value of the derivative is set out in accordance with any rules in force under section</w:t>
      </w:r>
      <w:r w:rsidR="00C701C4" w:rsidRPr="00C701C4">
        <w:t> </w:t>
      </w:r>
      <w:r w:rsidRPr="00C701C4">
        <w:t>901A of the Act that relate to financial statements and derivatives.</w:t>
      </w:r>
    </w:p>
    <w:p w14:paraId="1B86F8C7" w14:textId="77777777" w:rsidR="008A7590" w:rsidRPr="00C701C4" w:rsidRDefault="008A7590" w:rsidP="00C63D31">
      <w:pPr>
        <w:pStyle w:val="notetext"/>
        <w:ind w:left="1701" w:hanging="567"/>
      </w:pPr>
      <w:r w:rsidRPr="00C701C4">
        <w:t>Note:</w:t>
      </w:r>
      <w:r w:rsidRPr="00C701C4">
        <w:tab/>
      </w:r>
      <w:r w:rsidRPr="00C701C4">
        <w:rPr>
          <w:b/>
          <w:i/>
        </w:rPr>
        <w:t>Derivative</w:t>
      </w:r>
      <w:r w:rsidRPr="00C701C4">
        <w:t xml:space="preserve"> is defined in section</w:t>
      </w:r>
      <w:r w:rsidR="00C701C4" w:rsidRPr="00C701C4">
        <w:t> </w:t>
      </w:r>
      <w:r w:rsidRPr="00C701C4">
        <w:t>761D of the Act.</w:t>
      </w:r>
    </w:p>
    <w:p w14:paraId="2402A51D" w14:textId="77777777" w:rsidR="001342AC" w:rsidRPr="00DF723E" w:rsidRDefault="001342AC" w:rsidP="001342AC">
      <w:pPr>
        <w:pStyle w:val="ActHead5"/>
        <w:rPr>
          <w:rStyle w:val="CharSectno"/>
        </w:rPr>
      </w:pPr>
      <w:bookmarkStart w:id="34" w:name="_Toc429660383"/>
      <w:r w:rsidRPr="00DF723E">
        <w:rPr>
          <w:rStyle w:val="CharSectno"/>
        </w:rPr>
        <w:t>7.9.07ZC  Organising information about derivatives</w:t>
      </w:r>
      <w:bookmarkEnd w:id="34"/>
    </w:p>
    <w:p w14:paraId="14851391" w14:textId="77777777" w:rsidR="001342AC" w:rsidRPr="00C701C4" w:rsidRDefault="001342AC" w:rsidP="007164E7">
      <w:pPr>
        <w:pStyle w:val="subsection"/>
      </w:pPr>
      <w:r w:rsidRPr="00C701C4">
        <w:tab/>
      </w:r>
      <w:r w:rsidRPr="00C701C4">
        <w:tab/>
        <w:t xml:space="preserve">An example of </w:t>
      </w:r>
      <w:r w:rsidR="004E3030" w:rsidRPr="00C701C4">
        <w:t xml:space="preserve">a table </w:t>
      </w:r>
      <w:r w:rsidRPr="00C701C4">
        <w:t>that organises information in a way that is consistent with this Subdivision is set out in Schedule</w:t>
      </w:r>
      <w:r w:rsidR="00C701C4" w:rsidRPr="00C701C4">
        <w:t> </w:t>
      </w:r>
      <w:r w:rsidRPr="00C701C4">
        <w:t>8F.</w:t>
      </w:r>
    </w:p>
    <w:p w14:paraId="504C66D5" w14:textId="77777777" w:rsidR="00542FA5" w:rsidRPr="007164E7" w:rsidRDefault="00542FA5" w:rsidP="007164E7"/>
    <w:p w14:paraId="3FF1D7A8" w14:textId="77777777" w:rsidR="007164E7" w:rsidRPr="007164E7" w:rsidRDefault="007164E7" w:rsidP="007164E7">
      <w:pPr>
        <w:sectPr w:rsidR="007164E7" w:rsidRPr="007164E7" w:rsidSect="00301DAE">
          <w:type w:val="oddPage"/>
          <w:pgSz w:w="11907" w:h="16839" w:code="9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1E11EC52" w14:textId="77777777" w:rsidR="00010ED0" w:rsidRPr="00C701C4" w:rsidRDefault="00104536" w:rsidP="00DF723E">
      <w:pPr>
        <w:pStyle w:val="ActHead3"/>
      </w:pPr>
      <w:bookmarkStart w:id="35" w:name="_Toc433988533"/>
      <w:r w:rsidRPr="00C701C4">
        <w:t>2  After Schedule</w:t>
      </w:r>
      <w:r w:rsidR="00C701C4" w:rsidRPr="00C701C4">
        <w:t> </w:t>
      </w:r>
      <w:r w:rsidRPr="00C701C4">
        <w:t>8E</w:t>
      </w:r>
      <w:bookmarkEnd w:id="35"/>
    </w:p>
    <w:p w14:paraId="30A3D1B1" w14:textId="77777777" w:rsidR="00010ED0" w:rsidRDefault="00010ED0" w:rsidP="00010ED0">
      <w:pPr>
        <w:pStyle w:val="Item"/>
      </w:pPr>
      <w:r w:rsidRPr="00C701C4">
        <w:t>Insert:</w:t>
      </w:r>
    </w:p>
    <w:p w14:paraId="10A93566" w14:textId="4A1781E0" w:rsidR="007164E7" w:rsidRPr="00D316CA" w:rsidRDefault="007164E7" w:rsidP="00D316CA"/>
    <w:p w14:paraId="7E602926" w14:textId="77777777" w:rsidR="007164E7" w:rsidRPr="00D316CA" w:rsidRDefault="007164E7" w:rsidP="00D316CA"/>
    <w:p w14:paraId="616A0405" w14:textId="77777777" w:rsidR="00D316CA" w:rsidRPr="00D316CA" w:rsidRDefault="00D316CA" w:rsidP="00D316CA">
      <w:pPr>
        <w:sectPr w:rsidR="00D316CA" w:rsidRPr="00D316CA" w:rsidSect="00301DAE">
          <w:headerReference w:type="even" r:id="rId30"/>
          <w:headerReference w:type="default" r:id="rId31"/>
          <w:footerReference w:type="even" r:id="rId32"/>
          <w:footerReference w:type="default" r:id="rId33"/>
          <w:footerReference w:type="first" r:id="rId34"/>
          <w:pgSz w:w="16839" w:h="11907" w:orient="landscape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17B04D38" w14:textId="77777777" w:rsidR="00C60202" w:rsidRPr="00DF723E" w:rsidRDefault="00542FA5" w:rsidP="00DF723E">
      <w:pPr>
        <w:pStyle w:val="ActHead1"/>
      </w:pPr>
      <w:bookmarkStart w:id="36" w:name="_Toc429660384"/>
      <w:bookmarkStart w:id="37" w:name="_Toc433988534"/>
      <w:r w:rsidRPr="00DF723E">
        <w:rPr>
          <w:rStyle w:val="CharChapNo"/>
        </w:rPr>
        <w:t>Schedule</w:t>
      </w:r>
      <w:r w:rsidR="00C701C4" w:rsidRPr="00DF723E">
        <w:rPr>
          <w:rStyle w:val="CharChapNo"/>
        </w:rPr>
        <w:t> </w:t>
      </w:r>
      <w:r w:rsidRPr="00DF723E">
        <w:rPr>
          <w:rStyle w:val="CharChapNo"/>
        </w:rPr>
        <w:t>8F</w:t>
      </w:r>
      <w:r w:rsidRPr="00DF723E">
        <w:t>—</w:t>
      </w:r>
      <w:r w:rsidRPr="00DF723E">
        <w:rPr>
          <w:rStyle w:val="CharChapText"/>
        </w:rPr>
        <w:t>Way to organise portfolio holding information</w:t>
      </w:r>
      <w:bookmarkEnd w:id="36"/>
      <w:bookmarkEnd w:id="37"/>
    </w:p>
    <w:p w14:paraId="50DB2D81" w14:textId="234772EA" w:rsidR="00542FA5" w:rsidRPr="00C701C4" w:rsidRDefault="00452F75" w:rsidP="00542FA5">
      <w:pPr>
        <w:pStyle w:val="notemargin"/>
      </w:pPr>
      <w:bookmarkStart w:id="38" w:name="f_Check_Lines_below"/>
      <w:bookmarkEnd w:id="38"/>
      <w:r w:rsidRPr="00C701C4">
        <w:rPr>
          <w:rStyle w:val="CharDivText"/>
        </w:rPr>
        <w:t xml:space="preserve"> </w:t>
      </w:r>
      <w:r w:rsidR="00542FA5" w:rsidRPr="00C701C4">
        <w:rPr>
          <w:rStyle w:val="CharDivText"/>
        </w:rPr>
        <w:t>(</w:t>
      </w:r>
      <w:r w:rsidR="00542FA5" w:rsidRPr="00C701C4">
        <w:t>regulation</w:t>
      </w:r>
      <w:r w:rsidR="00C701C4" w:rsidRPr="00C701C4">
        <w:t> </w:t>
      </w:r>
      <w:r w:rsidR="00542FA5" w:rsidRPr="00C701C4">
        <w:t>7.9.07X)</w:t>
      </w:r>
    </w:p>
    <w:p w14:paraId="1F18123E" w14:textId="77777777" w:rsidR="00C60202" w:rsidRPr="00C701C4" w:rsidRDefault="00C60202" w:rsidP="00542FA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1"/>
        <w:gridCol w:w="2102"/>
        <w:gridCol w:w="2102"/>
        <w:gridCol w:w="2102"/>
        <w:gridCol w:w="2102"/>
        <w:gridCol w:w="2102"/>
      </w:tblGrid>
      <w:tr w:rsidR="00542FA5" w:rsidRPr="00800613" w14:paraId="54444A48" w14:textId="77777777" w:rsidTr="00723B39">
        <w:trPr>
          <w:tblHeader/>
        </w:trPr>
        <w:tc>
          <w:tcPr>
            <w:tcW w:w="12611" w:type="dxa"/>
            <w:gridSpan w:val="6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98090EA" w14:textId="77777777" w:rsidR="00542FA5" w:rsidRPr="00C701C4" w:rsidRDefault="001C286F" w:rsidP="00542FA5">
            <w:pPr>
              <w:pStyle w:val="TableHeading"/>
            </w:pPr>
            <w:r w:rsidRPr="00C701C4">
              <w:t>Portfolio Holdings Information</w:t>
            </w:r>
            <w:r w:rsidR="00BB65A9" w:rsidRPr="00C701C4">
              <w:t xml:space="preserve"> for Growth Fund A</w:t>
            </w:r>
          </w:p>
        </w:tc>
      </w:tr>
      <w:tr w:rsidR="00542FA5" w:rsidRPr="00800613" w14:paraId="60E3DE85" w14:textId="77777777" w:rsidTr="00723B39">
        <w:trPr>
          <w:tblHeader/>
        </w:trPr>
        <w:tc>
          <w:tcPr>
            <w:tcW w:w="21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AE28DF0" w14:textId="77777777" w:rsidR="00542FA5" w:rsidRPr="00C701C4" w:rsidRDefault="001C286F" w:rsidP="00542FA5">
            <w:pPr>
              <w:pStyle w:val="TableHeading"/>
            </w:pPr>
            <w:r w:rsidRPr="00C701C4">
              <w:t>Column 1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6C0B9A" w14:textId="77777777" w:rsidR="00542FA5" w:rsidRPr="00C701C4" w:rsidRDefault="001C286F" w:rsidP="00542FA5">
            <w:pPr>
              <w:pStyle w:val="TableHeading"/>
            </w:pPr>
            <w:r w:rsidRPr="00C701C4">
              <w:t>Column 2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05DD81" w14:textId="77777777" w:rsidR="00542FA5" w:rsidRPr="00C701C4" w:rsidRDefault="001C286F" w:rsidP="00542FA5">
            <w:pPr>
              <w:pStyle w:val="TableHeading"/>
            </w:pPr>
            <w:r w:rsidRPr="00C701C4">
              <w:t>Column 3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0F4713" w14:textId="77777777" w:rsidR="00542FA5" w:rsidRPr="00C701C4" w:rsidRDefault="001C286F" w:rsidP="00542FA5">
            <w:pPr>
              <w:pStyle w:val="TableHeading"/>
            </w:pPr>
            <w:r w:rsidRPr="00C701C4">
              <w:t>Column 4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D2679FE" w14:textId="77777777" w:rsidR="00542FA5" w:rsidRPr="00C701C4" w:rsidRDefault="001C286F" w:rsidP="00542FA5">
            <w:pPr>
              <w:pStyle w:val="TableHeading"/>
            </w:pPr>
            <w:r w:rsidRPr="00C701C4">
              <w:t>Column 5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22FA2A" w14:textId="77777777" w:rsidR="00542FA5" w:rsidRPr="00C701C4" w:rsidRDefault="001C286F" w:rsidP="00542FA5">
            <w:pPr>
              <w:pStyle w:val="TableHeading"/>
            </w:pPr>
            <w:r w:rsidRPr="00C701C4">
              <w:t>Column 6</w:t>
            </w:r>
          </w:p>
        </w:tc>
      </w:tr>
      <w:tr w:rsidR="00542FA5" w:rsidRPr="00800613" w14:paraId="75950492" w14:textId="77777777" w:rsidTr="00723B39">
        <w:trPr>
          <w:tblHeader/>
        </w:trPr>
        <w:tc>
          <w:tcPr>
            <w:tcW w:w="21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0DC762D" w14:textId="77777777" w:rsidR="00542FA5" w:rsidRPr="00C701C4" w:rsidRDefault="00AF736E" w:rsidP="005B45A4">
            <w:pPr>
              <w:pStyle w:val="TableHeading"/>
            </w:pPr>
            <w:r w:rsidRPr="00C701C4">
              <w:t xml:space="preserve">Number for, and investment level of, </w:t>
            </w:r>
            <w:r w:rsidR="005B45A4" w:rsidRPr="00C701C4">
              <w:t>each</w:t>
            </w:r>
            <w:r w:rsidRPr="00C701C4">
              <w:t xml:space="preserve"> financial product or property allocated to the investment option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AE585E" w14:textId="77777777" w:rsidR="00542FA5" w:rsidRPr="00C701C4" w:rsidRDefault="00AF736E" w:rsidP="00AF736E">
            <w:pPr>
              <w:pStyle w:val="TableHeading"/>
            </w:pPr>
            <w:r w:rsidRPr="00C701C4">
              <w:t>Name of that product or property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F80D494" w14:textId="77777777" w:rsidR="00542FA5" w:rsidRPr="00C701C4" w:rsidRDefault="00AF736E" w:rsidP="00542FA5">
            <w:pPr>
              <w:pStyle w:val="TableHeading"/>
            </w:pPr>
            <w:r w:rsidRPr="00C701C4">
              <w:t>Number of units held in that product or property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C682814" w14:textId="77777777" w:rsidR="00542FA5" w:rsidRPr="00C701C4" w:rsidRDefault="00AF736E" w:rsidP="00542FA5">
            <w:pPr>
              <w:pStyle w:val="TableHeading"/>
            </w:pPr>
            <w:r w:rsidRPr="00C701C4">
              <w:t>Number of units held in any final product or property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2D659EA" w14:textId="77777777" w:rsidR="00542FA5" w:rsidRPr="00C701C4" w:rsidRDefault="00AF736E" w:rsidP="00542FA5">
            <w:pPr>
              <w:pStyle w:val="TableHeading"/>
            </w:pPr>
            <w:r w:rsidRPr="00C701C4">
              <w:t>Price of unit</w:t>
            </w:r>
          </w:p>
        </w:tc>
        <w:tc>
          <w:tcPr>
            <w:tcW w:w="210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44426E5" w14:textId="77777777" w:rsidR="00542FA5" w:rsidRPr="00C701C4" w:rsidRDefault="00AF736E" w:rsidP="00AF736E">
            <w:pPr>
              <w:pStyle w:val="TableHeading"/>
            </w:pPr>
            <w:r w:rsidRPr="00C701C4">
              <w:t>Total invested</w:t>
            </w:r>
          </w:p>
        </w:tc>
      </w:tr>
      <w:tr w:rsidR="00542FA5" w:rsidRPr="00800613" w14:paraId="57A5F31E" w14:textId="77777777" w:rsidTr="00723B39">
        <w:tc>
          <w:tcPr>
            <w:tcW w:w="2101" w:type="dxa"/>
            <w:tcBorders>
              <w:top w:val="single" w:sz="12" w:space="0" w:color="auto"/>
            </w:tcBorders>
            <w:shd w:val="clear" w:color="auto" w:fill="auto"/>
          </w:tcPr>
          <w:p w14:paraId="70DD3CAA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1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shd w:val="clear" w:color="auto" w:fill="auto"/>
          </w:tcPr>
          <w:p w14:paraId="726D27B0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Share A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shd w:val="clear" w:color="auto" w:fill="auto"/>
          </w:tcPr>
          <w:p w14:paraId="6098745C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tcBorders>
              <w:top w:val="single" w:sz="12" w:space="0" w:color="auto"/>
            </w:tcBorders>
            <w:shd w:val="clear" w:color="auto" w:fill="auto"/>
          </w:tcPr>
          <w:p w14:paraId="53B4DD24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20,000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shd w:val="clear" w:color="auto" w:fill="auto"/>
          </w:tcPr>
          <w:p w14:paraId="5C94813F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tcBorders>
              <w:top w:val="single" w:sz="12" w:space="0" w:color="auto"/>
            </w:tcBorders>
            <w:shd w:val="clear" w:color="auto" w:fill="auto"/>
          </w:tcPr>
          <w:p w14:paraId="482F3F8E" w14:textId="77777777" w:rsidR="00542FA5" w:rsidRPr="00C701C4" w:rsidRDefault="00790A7C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$200,000</w:t>
            </w:r>
          </w:p>
        </w:tc>
      </w:tr>
      <w:tr w:rsidR="00542FA5" w:rsidRPr="00800613" w14:paraId="364A03FB" w14:textId="77777777" w:rsidTr="00723B39">
        <w:tc>
          <w:tcPr>
            <w:tcW w:w="2101" w:type="dxa"/>
            <w:shd w:val="clear" w:color="auto" w:fill="auto"/>
          </w:tcPr>
          <w:p w14:paraId="146C9926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2</w:t>
            </w:r>
          </w:p>
        </w:tc>
        <w:tc>
          <w:tcPr>
            <w:tcW w:w="2102" w:type="dxa"/>
            <w:shd w:val="clear" w:color="auto" w:fill="auto"/>
          </w:tcPr>
          <w:p w14:paraId="253BF2B7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Share B</w:t>
            </w:r>
          </w:p>
        </w:tc>
        <w:tc>
          <w:tcPr>
            <w:tcW w:w="2102" w:type="dxa"/>
            <w:shd w:val="clear" w:color="auto" w:fill="auto"/>
          </w:tcPr>
          <w:p w14:paraId="07DB1AE5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7BA37072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10,000</w:t>
            </w:r>
          </w:p>
        </w:tc>
        <w:tc>
          <w:tcPr>
            <w:tcW w:w="2102" w:type="dxa"/>
            <w:shd w:val="clear" w:color="auto" w:fill="auto"/>
          </w:tcPr>
          <w:p w14:paraId="481DBA87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$20</w:t>
            </w:r>
          </w:p>
        </w:tc>
        <w:tc>
          <w:tcPr>
            <w:tcW w:w="2102" w:type="dxa"/>
            <w:shd w:val="clear" w:color="auto" w:fill="auto"/>
          </w:tcPr>
          <w:p w14:paraId="3789A349" w14:textId="77777777" w:rsidR="00542FA5" w:rsidRPr="00C701C4" w:rsidRDefault="00790A7C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$200,000</w:t>
            </w:r>
          </w:p>
        </w:tc>
      </w:tr>
      <w:tr w:rsidR="00542FA5" w:rsidRPr="00800613" w14:paraId="54DEA277" w14:textId="77777777" w:rsidTr="00723B39">
        <w:tc>
          <w:tcPr>
            <w:tcW w:w="2101" w:type="dxa"/>
            <w:shd w:val="clear" w:color="auto" w:fill="auto"/>
          </w:tcPr>
          <w:p w14:paraId="50879391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3</w:t>
            </w:r>
          </w:p>
        </w:tc>
        <w:tc>
          <w:tcPr>
            <w:tcW w:w="2102" w:type="dxa"/>
            <w:shd w:val="clear" w:color="auto" w:fill="auto"/>
          </w:tcPr>
          <w:p w14:paraId="7C350447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Commercial property</w:t>
            </w:r>
          </w:p>
        </w:tc>
        <w:tc>
          <w:tcPr>
            <w:tcW w:w="2102" w:type="dxa"/>
            <w:shd w:val="clear" w:color="auto" w:fill="auto"/>
          </w:tcPr>
          <w:p w14:paraId="18F2197F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1AC8E0CD" w14:textId="77777777" w:rsidR="00542FA5" w:rsidRPr="00C701C4" w:rsidRDefault="00C47F3A" w:rsidP="00617F47">
            <w:pPr>
              <w:pStyle w:val="Tabletext"/>
              <w:jc w:val="right"/>
            </w:pPr>
            <w:r w:rsidRPr="00C701C4">
              <w:t>1</w:t>
            </w:r>
          </w:p>
        </w:tc>
        <w:tc>
          <w:tcPr>
            <w:tcW w:w="2102" w:type="dxa"/>
            <w:shd w:val="clear" w:color="auto" w:fill="auto"/>
          </w:tcPr>
          <w:p w14:paraId="2764CCC6" w14:textId="77777777" w:rsidR="00542FA5" w:rsidRPr="00C701C4" w:rsidRDefault="00C47F3A" w:rsidP="00617F47">
            <w:pPr>
              <w:pStyle w:val="Tabletext"/>
              <w:jc w:val="right"/>
            </w:pPr>
            <w:r w:rsidRPr="00C701C4">
              <w:t>$500,000</w:t>
            </w:r>
          </w:p>
        </w:tc>
        <w:tc>
          <w:tcPr>
            <w:tcW w:w="2102" w:type="dxa"/>
            <w:shd w:val="clear" w:color="auto" w:fill="auto"/>
          </w:tcPr>
          <w:p w14:paraId="61109986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rPr>
                <w:b/>
              </w:rPr>
              <w:t>$500,000</w:t>
            </w:r>
          </w:p>
        </w:tc>
      </w:tr>
      <w:tr w:rsidR="00542FA5" w:rsidRPr="00800613" w14:paraId="2290FB8F" w14:textId="77777777" w:rsidTr="00723B39">
        <w:tc>
          <w:tcPr>
            <w:tcW w:w="2101" w:type="dxa"/>
            <w:shd w:val="clear" w:color="auto" w:fill="auto"/>
          </w:tcPr>
          <w:p w14:paraId="7C0B8193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4</w:t>
            </w:r>
          </w:p>
        </w:tc>
        <w:tc>
          <w:tcPr>
            <w:tcW w:w="2102" w:type="dxa"/>
            <w:shd w:val="clear" w:color="auto" w:fill="auto"/>
          </w:tcPr>
          <w:p w14:paraId="6076D624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Managed Investment Scheme ABC</w:t>
            </w:r>
          </w:p>
        </w:tc>
        <w:tc>
          <w:tcPr>
            <w:tcW w:w="2102" w:type="dxa"/>
            <w:shd w:val="clear" w:color="auto" w:fill="auto"/>
          </w:tcPr>
          <w:p w14:paraId="4A0218F1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50,000</w:t>
            </w:r>
          </w:p>
        </w:tc>
        <w:tc>
          <w:tcPr>
            <w:tcW w:w="2102" w:type="dxa"/>
            <w:shd w:val="clear" w:color="auto" w:fill="auto"/>
          </w:tcPr>
          <w:p w14:paraId="4D83A4AD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4E51537E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shd w:val="clear" w:color="auto" w:fill="auto"/>
          </w:tcPr>
          <w:p w14:paraId="20FCF007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rPr>
                <w:b/>
              </w:rPr>
              <w:t>$500,000</w:t>
            </w:r>
          </w:p>
        </w:tc>
      </w:tr>
      <w:tr w:rsidR="00542FA5" w:rsidRPr="00800613" w14:paraId="60D36EF9" w14:textId="77777777" w:rsidTr="00723B39">
        <w:tc>
          <w:tcPr>
            <w:tcW w:w="2101" w:type="dxa"/>
            <w:shd w:val="clear" w:color="auto" w:fill="auto"/>
          </w:tcPr>
          <w:p w14:paraId="2F0F6D93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4(A)</w:t>
            </w:r>
          </w:p>
        </w:tc>
        <w:tc>
          <w:tcPr>
            <w:tcW w:w="2102" w:type="dxa"/>
            <w:shd w:val="clear" w:color="auto" w:fill="auto"/>
          </w:tcPr>
          <w:p w14:paraId="7DEB64F5" w14:textId="77777777" w:rsidR="00542FA5" w:rsidRPr="00C701C4" w:rsidRDefault="00790A7C" w:rsidP="00542FA5">
            <w:pPr>
              <w:pStyle w:val="Tabletext"/>
            </w:pPr>
            <w:r w:rsidRPr="00C701C4">
              <w:t>Commercial property A</w:t>
            </w:r>
          </w:p>
        </w:tc>
        <w:tc>
          <w:tcPr>
            <w:tcW w:w="2102" w:type="dxa"/>
            <w:shd w:val="clear" w:color="auto" w:fill="auto"/>
          </w:tcPr>
          <w:p w14:paraId="4A8D12EC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211BD49B" w14:textId="77777777" w:rsidR="00542FA5" w:rsidRPr="00C701C4" w:rsidRDefault="00C47F3A" w:rsidP="00617F47">
            <w:pPr>
              <w:pStyle w:val="Tabletext"/>
              <w:jc w:val="right"/>
            </w:pPr>
            <w:r w:rsidRPr="00C701C4">
              <w:t>1</w:t>
            </w:r>
          </w:p>
        </w:tc>
        <w:tc>
          <w:tcPr>
            <w:tcW w:w="2102" w:type="dxa"/>
            <w:shd w:val="clear" w:color="auto" w:fill="auto"/>
          </w:tcPr>
          <w:p w14:paraId="43B8153A" w14:textId="77777777" w:rsidR="00542FA5" w:rsidRPr="00C701C4" w:rsidRDefault="00617F47" w:rsidP="00617F47">
            <w:pPr>
              <w:pStyle w:val="Tabletext"/>
              <w:jc w:val="right"/>
            </w:pPr>
            <w:r w:rsidRPr="00C701C4">
              <w:t>$500,000</w:t>
            </w:r>
          </w:p>
        </w:tc>
        <w:tc>
          <w:tcPr>
            <w:tcW w:w="2102" w:type="dxa"/>
            <w:shd w:val="clear" w:color="auto" w:fill="auto"/>
          </w:tcPr>
          <w:p w14:paraId="08132086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$500,000</w:t>
            </w:r>
          </w:p>
        </w:tc>
      </w:tr>
      <w:tr w:rsidR="00542FA5" w:rsidRPr="00800613" w14:paraId="330168A3" w14:textId="77777777" w:rsidTr="00723B39">
        <w:tc>
          <w:tcPr>
            <w:tcW w:w="2101" w:type="dxa"/>
            <w:shd w:val="clear" w:color="auto" w:fill="auto"/>
          </w:tcPr>
          <w:p w14:paraId="2A552C70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5</w:t>
            </w:r>
          </w:p>
        </w:tc>
        <w:tc>
          <w:tcPr>
            <w:tcW w:w="2102" w:type="dxa"/>
            <w:shd w:val="clear" w:color="auto" w:fill="auto"/>
          </w:tcPr>
          <w:p w14:paraId="20968055" w14:textId="77777777" w:rsidR="00542FA5" w:rsidRPr="00C701C4" w:rsidRDefault="00790A7C" w:rsidP="00542FA5">
            <w:pPr>
              <w:pStyle w:val="Tabletext"/>
            </w:pPr>
            <w:r w:rsidRPr="00C701C4">
              <w:rPr>
                <w:b/>
              </w:rPr>
              <w:t>Managed Investment Scheme DEF</w:t>
            </w:r>
          </w:p>
        </w:tc>
        <w:tc>
          <w:tcPr>
            <w:tcW w:w="2102" w:type="dxa"/>
            <w:shd w:val="clear" w:color="auto" w:fill="auto"/>
          </w:tcPr>
          <w:p w14:paraId="48C606D5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40,000</w:t>
            </w:r>
          </w:p>
        </w:tc>
        <w:tc>
          <w:tcPr>
            <w:tcW w:w="2102" w:type="dxa"/>
            <w:shd w:val="clear" w:color="auto" w:fill="auto"/>
          </w:tcPr>
          <w:p w14:paraId="7000FDEE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711A8A85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shd w:val="clear" w:color="auto" w:fill="auto"/>
          </w:tcPr>
          <w:p w14:paraId="22410249" w14:textId="77777777" w:rsidR="00542FA5" w:rsidRPr="00C701C4" w:rsidRDefault="00790A7C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$400,000</w:t>
            </w:r>
          </w:p>
        </w:tc>
      </w:tr>
      <w:tr w:rsidR="00542FA5" w:rsidRPr="00800613" w14:paraId="6E407F67" w14:textId="77777777" w:rsidTr="00723B39">
        <w:tc>
          <w:tcPr>
            <w:tcW w:w="2101" w:type="dxa"/>
            <w:shd w:val="clear" w:color="auto" w:fill="auto"/>
          </w:tcPr>
          <w:p w14:paraId="5817FEF1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5(A)</w:t>
            </w:r>
          </w:p>
        </w:tc>
        <w:tc>
          <w:tcPr>
            <w:tcW w:w="2102" w:type="dxa"/>
            <w:shd w:val="clear" w:color="auto" w:fill="auto"/>
          </w:tcPr>
          <w:p w14:paraId="2B9C5990" w14:textId="77777777" w:rsidR="00542FA5" w:rsidRPr="00C701C4" w:rsidRDefault="00790A7C" w:rsidP="00542FA5">
            <w:pPr>
              <w:pStyle w:val="Tabletext"/>
            </w:pPr>
            <w:r w:rsidRPr="00C701C4">
              <w:t>Share A</w:t>
            </w:r>
          </w:p>
        </w:tc>
        <w:tc>
          <w:tcPr>
            <w:tcW w:w="2102" w:type="dxa"/>
            <w:shd w:val="clear" w:color="auto" w:fill="auto"/>
          </w:tcPr>
          <w:p w14:paraId="2824C660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25DB1B48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20,000</w:t>
            </w:r>
          </w:p>
        </w:tc>
        <w:tc>
          <w:tcPr>
            <w:tcW w:w="2102" w:type="dxa"/>
            <w:shd w:val="clear" w:color="auto" w:fill="auto"/>
          </w:tcPr>
          <w:p w14:paraId="61B25ACB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shd w:val="clear" w:color="auto" w:fill="auto"/>
          </w:tcPr>
          <w:p w14:paraId="1251FC15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$200,000</w:t>
            </w:r>
          </w:p>
        </w:tc>
      </w:tr>
      <w:tr w:rsidR="00542FA5" w:rsidRPr="00800613" w14:paraId="4616926D" w14:textId="77777777" w:rsidTr="00723B39">
        <w:tc>
          <w:tcPr>
            <w:tcW w:w="2101" w:type="dxa"/>
            <w:shd w:val="clear" w:color="auto" w:fill="auto"/>
          </w:tcPr>
          <w:p w14:paraId="3B648116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5(B)</w:t>
            </w:r>
          </w:p>
        </w:tc>
        <w:tc>
          <w:tcPr>
            <w:tcW w:w="2102" w:type="dxa"/>
            <w:shd w:val="clear" w:color="auto" w:fill="auto"/>
          </w:tcPr>
          <w:p w14:paraId="19B90DC6" w14:textId="77777777" w:rsidR="00542FA5" w:rsidRPr="00C701C4" w:rsidRDefault="00790A7C" w:rsidP="00542FA5">
            <w:pPr>
              <w:pStyle w:val="Tabletext"/>
            </w:pPr>
            <w:r w:rsidRPr="00C701C4">
              <w:t>Share B</w:t>
            </w:r>
          </w:p>
        </w:tc>
        <w:tc>
          <w:tcPr>
            <w:tcW w:w="2102" w:type="dxa"/>
            <w:shd w:val="clear" w:color="auto" w:fill="auto"/>
          </w:tcPr>
          <w:p w14:paraId="6B52242B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49426B26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10,000</w:t>
            </w:r>
          </w:p>
        </w:tc>
        <w:tc>
          <w:tcPr>
            <w:tcW w:w="2102" w:type="dxa"/>
            <w:shd w:val="clear" w:color="auto" w:fill="auto"/>
          </w:tcPr>
          <w:p w14:paraId="14156F71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$20</w:t>
            </w:r>
          </w:p>
        </w:tc>
        <w:tc>
          <w:tcPr>
            <w:tcW w:w="2102" w:type="dxa"/>
            <w:shd w:val="clear" w:color="auto" w:fill="auto"/>
          </w:tcPr>
          <w:p w14:paraId="15610557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$200,000</w:t>
            </w:r>
          </w:p>
        </w:tc>
      </w:tr>
      <w:tr w:rsidR="00542FA5" w:rsidRPr="00800613" w14:paraId="029CA53F" w14:textId="77777777" w:rsidTr="00723B39">
        <w:tc>
          <w:tcPr>
            <w:tcW w:w="2101" w:type="dxa"/>
            <w:shd w:val="clear" w:color="auto" w:fill="auto"/>
          </w:tcPr>
          <w:p w14:paraId="6AFC45CC" w14:textId="77777777" w:rsidR="00542FA5" w:rsidRPr="00C701C4" w:rsidRDefault="00790A7C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</w:t>
            </w:r>
          </w:p>
        </w:tc>
        <w:tc>
          <w:tcPr>
            <w:tcW w:w="2102" w:type="dxa"/>
            <w:shd w:val="clear" w:color="auto" w:fill="auto"/>
          </w:tcPr>
          <w:p w14:paraId="6B0E9A05" w14:textId="77777777" w:rsidR="00542FA5" w:rsidRPr="00C701C4" w:rsidRDefault="00790A7C" w:rsidP="00542FA5">
            <w:pPr>
              <w:pStyle w:val="Tabletext"/>
            </w:pPr>
            <w:r w:rsidRPr="00C701C4">
              <w:rPr>
                <w:b/>
              </w:rPr>
              <w:t>Managed Investment Scheme XYZ</w:t>
            </w:r>
          </w:p>
        </w:tc>
        <w:tc>
          <w:tcPr>
            <w:tcW w:w="2102" w:type="dxa"/>
            <w:shd w:val="clear" w:color="auto" w:fill="auto"/>
          </w:tcPr>
          <w:p w14:paraId="2A3795D9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100,000</w:t>
            </w:r>
          </w:p>
        </w:tc>
        <w:tc>
          <w:tcPr>
            <w:tcW w:w="2102" w:type="dxa"/>
            <w:shd w:val="clear" w:color="auto" w:fill="auto"/>
          </w:tcPr>
          <w:p w14:paraId="317C6C31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0D4F5CC9" w14:textId="77777777" w:rsidR="00542FA5" w:rsidRPr="00C701C4" w:rsidRDefault="00790A7C" w:rsidP="00617F47">
            <w:pPr>
              <w:pStyle w:val="Tabletext"/>
              <w:jc w:val="right"/>
            </w:pPr>
            <w:r w:rsidRPr="00C701C4">
              <w:t>$20</w:t>
            </w:r>
          </w:p>
        </w:tc>
        <w:tc>
          <w:tcPr>
            <w:tcW w:w="2102" w:type="dxa"/>
            <w:shd w:val="clear" w:color="auto" w:fill="auto"/>
          </w:tcPr>
          <w:p w14:paraId="38A73B59" w14:textId="77777777" w:rsidR="00542FA5" w:rsidRPr="00C701C4" w:rsidRDefault="00611101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$2,000,000</w:t>
            </w:r>
          </w:p>
        </w:tc>
      </w:tr>
      <w:tr w:rsidR="00542FA5" w:rsidRPr="00800613" w14:paraId="3ABFCD12" w14:textId="77777777" w:rsidTr="00723B39">
        <w:tc>
          <w:tcPr>
            <w:tcW w:w="2101" w:type="dxa"/>
            <w:shd w:val="clear" w:color="auto" w:fill="auto"/>
          </w:tcPr>
          <w:p w14:paraId="4E7C022E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6(A)</w:t>
            </w:r>
          </w:p>
        </w:tc>
        <w:tc>
          <w:tcPr>
            <w:tcW w:w="2102" w:type="dxa"/>
            <w:shd w:val="clear" w:color="auto" w:fill="auto"/>
          </w:tcPr>
          <w:p w14:paraId="066C8392" w14:textId="77777777" w:rsidR="00542FA5" w:rsidRPr="00C701C4" w:rsidRDefault="00611101" w:rsidP="00542FA5">
            <w:pPr>
              <w:pStyle w:val="Tabletext"/>
            </w:pPr>
            <w:r w:rsidRPr="00C701C4">
              <w:t>Managed Investment Scheme UVW</w:t>
            </w:r>
          </w:p>
        </w:tc>
        <w:tc>
          <w:tcPr>
            <w:tcW w:w="2102" w:type="dxa"/>
            <w:shd w:val="clear" w:color="auto" w:fill="auto"/>
          </w:tcPr>
          <w:p w14:paraId="0C002EE4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50,000</w:t>
            </w:r>
          </w:p>
        </w:tc>
        <w:tc>
          <w:tcPr>
            <w:tcW w:w="2102" w:type="dxa"/>
            <w:shd w:val="clear" w:color="auto" w:fill="auto"/>
          </w:tcPr>
          <w:p w14:paraId="7E1392CD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4FF3C898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$15</w:t>
            </w:r>
          </w:p>
        </w:tc>
        <w:tc>
          <w:tcPr>
            <w:tcW w:w="2102" w:type="dxa"/>
            <w:shd w:val="clear" w:color="auto" w:fill="auto"/>
          </w:tcPr>
          <w:p w14:paraId="56634E4D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$750,000</w:t>
            </w:r>
          </w:p>
        </w:tc>
      </w:tr>
      <w:tr w:rsidR="00542FA5" w:rsidRPr="00800613" w14:paraId="68BE34B4" w14:textId="77777777" w:rsidTr="00723B39">
        <w:tc>
          <w:tcPr>
            <w:tcW w:w="2101" w:type="dxa"/>
            <w:shd w:val="clear" w:color="auto" w:fill="auto"/>
          </w:tcPr>
          <w:p w14:paraId="6B2AF0FF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6(A)(1)</w:t>
            </w:r>
          </w:p>
        </w:tc>
        <w:tc>
          <w:tcPr>
            <w:tcW w:w="2102" w:type="dxa"/>
            <w:shd w:val="clear" w:color="auto" w:fill="auto"/>
          </w:tcPr>
          <w:p w14:paraId="696C4F16" w14:textId="77777777" w:rsidR="00542FA5" w:rsidRPr="00C701C4" w:rsidRDefault="00611101" w:rsidP="00542FA5">
            <w:pPr>
              <w:pStyle w:val="Tabletext"/>
            </w:pPr>
            <w:r w:rsidRPr="00C701C4">
              <w:t>Share C</w:t>
            </w:r>
          </w:p>
        </w:tc>
        <w:tc>
          <w:tcPr>
            <w:tcW w:w="2102" w:type="dxa"/>
            <w:shd w:val="clear" w:color="auto" w:fill="auto"/>
          </w:tcPr>
          <w:p w14:paraId="7B22E0C5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0415E759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10,000</w:t>
            </w:r>
          </w:p>
        </w:tc>
        <w:tc>
          <w:tcPr>
            <w:tcW w:w="2102" w:type="dxa"/>
            <w:shd w:val="clear" w:color="auto" w:fill="auto"/>
          </w:tcPr>
          <w:p w14:paraId="5758E585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$15</w:t>
            </w:r>
          </w:p>
        </w:tc>
        <w:tc>
          <w:tcPr>
            <w:tcW w:w="2102" w:type="dxa"/>
            <w:shd w:val="clear" w:color="auto" w:fill="auto"/>
          </w:tcPr>
          <w:p w14:paraId="086A1542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$150,000</w:t>
            </w:r>
          </w:p>
        </w:tc>
      </w:tr>
      <w:tr w:rsidR="00542FA5" w:rsidRPr="00800613" w14:paraId="49E6D4C4" w14:textId="77777777" w:rsidTr="00723B39">
        <w:tc>
          <w:tcPr>
            <w:tcW w:w="2101" w:type="dxa"/>
            <w:shd w:val="clear" w:color="auto" w:fill="auto"/>
          </w:tcPr>
          <w:p w14:paraId="63F8D247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6(A)(2)</w:t>
            </w:r>
          </w:p>
        </w:tc>
        <w:tc>
          <w:tcPr>
            <w:tcW w:w="2102" w:type="dxa"/>
            <w:shd w:val="clear" w:color="auto" w:fill="auto"/>
          </w:tcPr>
          <w:p w14:paraId="5BA7D56B" w14:textId="77777777" w:rsidR="00542FA5" w:rsidRPr="00C701C4" w:rsidRDefault="00611101" w:rsidP="00542FA5">
            <w:pPr>
              <w:pStyle w:val="Tabletext"/>
            </w:pPr>
            <w:r w:rsidRPr="00C701C4">
              <w:t>Commercial property</w:t>
            </w:r>
          </w:p>
        </w:tc>
        <w:tc>
          <w:tcPr>
            <w:tcW w:w="2102" w:type="dxa"/>
            <w:shd w:val="clear" w:color="auto" w:fill="auto"/>
          </w:tcPr>
          <w:p w14:paraId="50B34BBA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096D00F4" w14:textId="77777777" w:rsidR="00542FA5" w:rsidRPr="00C701C4" w:rsidRDefault="00617F47" w:rsidP="00617F47">
            <w:pPr>
              <w:pStyle w:val="Tabletext"/>
              <w:jc w:val="right"/>
            </w:pPr>
            <w:r w:rsidRPr="00C701C4">
              <w:t>1</w:t>
            </w:r>
          </w:p>
        </w:tc>
        <w:tc>
          <w:tcPr>
            <w:tcW w:w="2102" w:type="dxa"/>
            <w:shd w:val="clear" w:color="auto" w:fill="auto"/>
          </w:tcPr>
          <w:p w14:paraId="35CA5713" w14:textId="77777777" w:rsidR="00542FA5" w:rsidRPr="00C701C4" w:rsidRDefault="00617F47" w:rsidP="00617F47">
            <w:pPr>
              <w:pStyle w:val="Tabletext"/>
              <w:jc w:val="right"/>
            </w:pPr>
            <w:r w:rsidRPr="00C701C4">
              <w:t>$600,000</w:t>
            </w:r>
          </w:p>
        </w:tc>
        <w:tc>
          <w:tcPr>
            <w:tcW w:w="2102" w:type="dxa"/>
            <w:shd w:val="clear" w:color="auto" w:fill="auto"/>
          </w:tcPr>
          <w:p w14:paraId="2E7B43DA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$600,000</w:t>
            </w:r>
          </w:p>
        </w:tc>
      </w:tr>
      <w:tr w:rsidR="00542FA5" w:rsidRPr="00800613" w14:paraId="2C567B9B" w14:textId="77777777" w:rsidTr="00723B39">
        <w:tc>
          <w:tcPr>
            <w:tcW w:w="2101" w:type="dxa"/>
            <w:shd w:val="clear" w:color="auto" w:fill="auto"/>
          </w:tcPr>
          <w:p w14:paraId="377D437D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6(B)</w:t>
            </w:r>
          </w:p>
        </w:tc>
        <w:tc>
          <w:tcPr>
            <w:tcW w:w="2102" w:type="dxa"/>
            <w:shd w:val="clear" w:color="auto" w:fill="auto"/>
          </w:tcPr>
          <w:p w14:paraId="5B92D58B" w14:textId="77777777" w:rsidR="00542FA5" w:rsidRPr="00C701C4" w:rsidRDefault="00611101" w:rsidP="00542FA5">
            <w:pPr>
              <w:pStyle w:val="Tabletext"/>
            </w:pPr>
            <w:r w:rsidRPr="00C701C4">
              <w:t>Managed Investment Scheme RST</w:t>
            </w:r>
          </w:p>
        </w:tc>
        <w:tc>
          <w:tcPr>
            <w:tcW w:w="2102" w:type="dxa"/>
            <w:shd w:val="clear" w:color="auto" w:fill="auto"/>
          </w:tcPr>
          <w:p w14:paraId="2B172C1C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25,000</w:t>
            </w:r>
          </w:p>
        </w:tc>
        <w:tc>
          <w:tcPr>
            <w:tcW w:w="2102" w:type="dxa"/>
            <w:shd w:val="clear" w:color="auto" w:fill="auto"/>
          </w:tcPr>
          <w:p w14:paraId="3303F641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3A0AEB6A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$50</w:t>
            </w:r>
          </w:p>
        </w:tc>
        <w:tc>
          <w:tcPr>
            <w:tcW w:w="2102" w:type="dxa"/>
            <w:shd w:val="clear" w:color="auto" w:fill="auto"/>
          </w:tcPr>
          <w:p w14:paraId="4FF60624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$1,250,000</w:t>
            </w:r>
          </w:p>
        </w:tc>
      </w:tr>
      <w:tr w:rsidR="00542FA5" w:rsidRPr="00800613" w14:paraId="3924069D" w14:textId="77777777" w:rsidTr="00723B39">
        <w:tc>
          <w:tcPr>
            <w:tcW w:w="2101" w:type="dxa"/>
            <w:shd w:val="clear" w:color="auto" w:fill="auto"/>
          </w:tcPr>
          <w:p w14:paraId="0CD0ABB3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6(B)(1)</w:t>
            </w:r>
          </w:p>
        </w:tc>
        <w:tc>
          <w:tcPr>
            <w:tcW w:w="2102" w:type="dxa"/>
            <w:shd w:val="clear" w:color="auto" w:fill="auto"/>
          </w:tcPr>
          <w:p w14:paraId="3C57A2F5" w14:textId="77777777" w:rsidR="00542FA5" w:rsidRPr="00C701C4" w:rsidRDefault="00611101" w:rsidP="00542FA5">
            <w:pPr>
              <w:pStyle w:val="Tabletext"/>
            </w:pPr>
            <w:r w:rsidRPr="00C701C4">
              <w:t>Share A</w:t>
            </w:r>
          </w:p>
        </w:tc>
        <w:tc>
          <w:tcPr>
            <w:tcW w:w="2102" w:type="dxa"/>
            <w:shd w:val="clear" w:color="auto" w:fill="auto"/>
          </w:tcPr>
          <w:p w14:paraId="09135BF0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46BAABE0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35,000</w:t>
            </w:r>
          </w:p>
        </w:tc>
        <w:tc>
          <w:tcPr>
            <w:tcW w:w="2102" w:type="dxa"/>
            <w:shd w:val="clear" w:color="auto" w:fill="auto"/>
          </w:tcPr>
          <w:p w14:paraId="0260983B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shd w:val="clear" w:color="auto" w:fill="auto"/>
          </w:tcPr>
          <w:p w14:paraId="4EBCB978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$350,000</w:t>
            </w:r>
          </w:p>
        </w:tc>
      </w:tr>
      <w:tr w:rsidR="00542FA5" w:rsidRPr="00800613" w14:paraId="3BA6AFBE" w14:textId="77777777" w:rsidTr="00723B39">
        <w:tc>
          <w:tcPr>
            <w:tcW w:w="2101" w:type="dxa"/>
            <w:shd w:val="clear" w:color="auto" w:fill="auto"/>
          </w:tcPr>
          <w:p w14:paraId="361E9398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6(B)(2)</w:t>
            </w:r>
          </w:p>
        </w:tc>
        <w:tc>
          <w:tcPr>
            <w:tcW w:w="2102" w:type="dxa"/>
            <w:shd w:val="clear" w:color="auto" w:fill="auto"/>
          </w:tcPr>
          <w:p w14:paraId="4E1110E6" w14:textId="77777777" w:rsidR="00542FA5" w:rsidRPr="00C701C4" w:rsidRDefault="00611101" w:rsidP="00542FA5">
            <w:pPr>
              <w:pStyle w:val="Tabletext"/>
            </w:pPr>
            <w:r w:rsidRPr="00C701C4">
              <w:t>Share C</w:t>
            </w:r>
          </w:p>
        </w:tc>
        <w:tc>
          <w:tcPr>
            <w:tcW w:w="2102" w:type="dxa"/>
            <w:shd w:val="clear" w:color="auto" w:fill="auto"/>
          </w:tcPr>
          <w:p w14:paraId="7FC229DB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56CCC2C0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10,000</w:t>
            </w:r>
          </w:p>
        </w:tc>
        <w:tc>
          <w:tcPr>
            <w:tcW w:w="2102" w:type="dxa"/>
            <w:shd w:val="clear" w:color="auto" w:fill="auto"/>
          </w:tcPr>
          <w:p w14:paraId="085813E6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$15</w:t>
            </w:r>
          </w:p>
        </w:tc>
        <w:tc>
          <w:tcPr>
            <w:tcW w:w="2102" w:type="dxa"/>
            <w:shd w:val="clear" w:color="auto" w:fill="auto"/>
          </w:tcPr>
          <w:p w14:paraId="3600115B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$150,000</w:t>
            </w:r>
          </w:p>
        </w:tc>
      </w:tr>
      <w:tr w:rsidR="00542FA5" w:rsidRPr="00800613" w14:paraId="54D0C759" w14:textId="77777777" w:rsidTr="00723B39">
        <w:tc>
          <w:tcPr>
            <w:tcW w:w="2101" w:type="dxa"/>
            <w:shd w:val="clear" w:color="auto" w:fill="auto"/>
          </w:tcPr>
          <w:p w14:paraId="04B0E425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6(B)(3)</w:t>
            </w:r>
          </w:p>
        </w:tc>
        <w:tc>
          <w:tcPr>
            <w:tcW w:w="2102" w:type="dxa"/>
            <w:shd w:val="clear" w:color="auto" w:fill="auto"/>
          </w:tcPr>
          <w:p w14:paraId="112D03EF" w14:textId="77777777" w:rsidR="00542FA5" w:rsidRPr="00C701C4" w:rsidRDefault="00E4194A" w:rsidP="00542FA5">
            <w:pPr>
              <w:pStyle w:val="Tabletext"/>
            </w:pPr>
            <w:r w:rsidRPr="00C701C4">
              <w:t>Managed Investment Scheme 123</w:t>
            </w:r>
          </w:p>
        </w:tc>
        <w:tc>
          <w:tcPr>
            <w:tcW w:w="2102" w:type="dxa"/>
            <w:shd w:val="clear" w:color="auto" w:fill="auto"/>
          </w:tcPr>
          <w:p w14:paraId="06FCACE9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15,000</w:t>
            </w:r>
          </w:p>
        </w:tc>
        <w:tc>
          <w:tcPr>
            <w:tcW w:w="2102" w:type="dxa"/>
            <w:shd w:val="clear" w:color="auto" w:fill="auto"/>
          </w:tcPr>
          <w:p w14:paraId="26822C41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6AE889A2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$50</w:t>
            </w:r>
          </w:p>
        </w:tc>
        <w:tc>
          <w:tcPr>
            <w:tcW w:w="2102" w:type="dxa"/>
            <w:shd w:val="clear" w:color="auto" w:fill="auto"/>
          </w:tcPr>
          <w:p w14:paraId="75F50BC0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$750,000</w:t>
            </w:r>
          </w:p>
        </w:tc>
      </w:tr>
      <w:tr w:rsidR="00542FA5" w:rsidRPr="00800613" w14:paraId="26E1FF1E" w14:textId="77777777" w:rsidTr="00723B39">
        <w:tc>
          <w:tcPr>
            <w:tcW w:w="2101" w:type="dxa"/>
            <w:shd w:val="clear" w:color="auto" w:fill="auto"/>
          </w:tcPr>
          <w:p w14:paraId="687C923F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7</w:t>
            </w:r>
          </w:p>
        </w:tc>
        <w:tc>
          <w:tcPr>
            <w:tcW w:w="2102" w:type="dxa"/>
            <w:shd w:val="clear" w:color="auto" w:fill="auto"/>
          </w:tcPr>
          <w:p w14:paraId="0E0370D4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Commercial Property</w:t>
            </w:r>
          </w:p>
        </w:tc>
        <w:tc>
          <w:tcPr>
            <w:tcW w:w="2102" w:type="dxa"/>
            <w:shd w:val="clear" w:color="auto" w:fill="auto"/>
          </w:tcPr>
          <w:p w14:paraId="350C24BF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2DEA81EA" w14:textId="77777777" w:rsidR="00542FA5" w:rsidRPr="00C701C4" w:rsidRDefault="00617F47" w:rsidP="00617F47">
            <w:pPr>
              <w:pStyle w:val="Tabletext"/>
              <w:jc w:val="right"/>
            </w:pPr>
            <w:r w:rsidRPr="00C701C4">
              <w:t>1</w:t>
            </w:r>
          </w:p>
        </w:tc>
        <w:tc>
          <w:tcPr>
            <w:tcW w:w="2102" w:type="dxa"/>
            <w:shd w:val="clear" w:color="auto" w:fill="auto"/>
          </w:tcPr>
          <w:p w14:paraId="1886AF46" w14:textId="77777777" w:rsidR="00542FA5" w:rsidRPr="00C701C4" w:rsidRDefault="00617F47" w:rsidP="00617F47">
            <w:pPr>
              <w:pStyle w:val="Tabletext"/>
              <w:jc w:val="right"/>
            </w:pPr>
            <w:r w:rsidRPr="00C701C4">
              <w:t>$500,000</w:t>
            </w:r>
          </w:p>
        </w:tc>
        <w:tc>
          <w:tcPr>
            <w:tcW w:w="2102" w:type="dxa"/>
            <w:shd w:val="clear" w:color="auto" w:fill="auto"/>
          </w:tcPr>
          <w:p w14:paraId="01FECBED" w14:textId="77777777" w:rsidR="00542FA5" w:rsidRPr="00C701C4" w:rsidRDefault="00611101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$500,000</w:t>
            </w:r>
          </w:p>
        </w:tc>
      </w:tr>
      <w:tr w:rsidR="00542FA5" w:rsidRPr="00800613" w14:paraId="59AE01F9" w14:textId="77777777" w:rsidTr="00723B39">
        <w:tc>
          <w:tcPr>
            <w:tcW w:w="2101" w:type="dxa"/>
            <w:shd w:val="clear" w:color="auto" w:fill="auto"/>
          </w:tcPr>
          <w:p w14:paraId="4704E855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8</w:t>
            </w:r>
          </w:p>
        </w:tc>
        <w:tc>
          <w:tcPr>
            <w:tcW w:w="2102" w:type="dxa"/>
            <w:shd w:val="clear" w:color="auto" w:fill="auto"/>
          </w:tcPr>
          <w:p w14:paraId="2251EBD5" w14:textId="77777777" w:rsidR="00542FA5" w:rsidRPr="00C701C4" w:rsidRDefault="00E4194A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Managed Investment Scheme 456</w:t>
            </w:r>
          </w:p>
        </w:tc>
        <w:tc>
          <w:tcPr>
            <w:tcW w:w="2102" w:type="dxa"/>
            <w:shd w:val="clear" w:color="auto" w:fill="auto"/>
          </w:tcPr>
          <w:p w14:paraId="3BD113E2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100,000</w:t>
            </w:r>
          </w:p>
        </w:tc>
        <w:tc>
          <w:tcPr>
            <w:tcW w:w="2102" w:type="dxa"/>
            <w:shd w:val="clear" w:color="auto" w:fill="auto"/>
          </w:tcPr>
          <w:p w14:paraId="5EF4A635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shd w:val="clear" w:color="auto" w:fill="auto"/>
          </w:tcPr>
          <w:p w14:paraId="6A9928AD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$10</w:t>
            </w:r>
          </w:p>
        </w:tc>
        <w:tc>
          <w:tcPr>
            <w:tcW w:w="2102" w:type="dxa"/>
            <w:shd w:val="clear" w:color="auto" w:fill="auto"/>
          </w:tcPr>
          <w:p w14:paraId="10BA647E" w14:textId="77777777" w:rsidR="00542FA5" w:rsidRPr="00C701C4" w:rsidRDefault="00611101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$1,000,000</w:t>
            </w:r>
          </w:p>
        </w:tc>
      </w:tr>
      <w:tr w:rsidR="00542FA5" w:rsidRPr="00800613" w14:paraId="70AA622B" w14:textId="77777777" w:rsidTr="00723B39"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</w:tcPr>
          <w:p w14:paraId="038EA340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9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1219700C" w14:textId="77777777" w:rsidR="00542FA5" w:rsidRPr="00C701C4" w:rsidRDefault="00E4194A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Managed Investment Scheme 789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74EC2CC3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10,000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237E1BB8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37FA2475" w14:textId="77777777" w:rsidR="00542FA5" w:rsidRPr="00C701C4" w:rsidRDefault="00611101" w:rsidP="00617F47">
            <w:pPr>
              <w:pStyle w:val="Tabletext"/>
              <w:jc w:val="right"/>
            </w:pPr>
            <w:r w:rsidRPr="00C701C4">
              <w:t>$70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12556257" w14:textId="77777777" w:rsidR="00542FA5" w:rsidRPr="00C701C4" w:rsidRDefault="00611101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$700,000</w:t>
            </w:r>
          </w:p>
        </w:tc>
      </w:tr>
      <w:tr w:rsidR="00542FA5" w:rsidRPr="00800613" w14:paraId="7558C5BF" w14:textId="77777777" w:rsidTr="00723B39">
        <w:tc>
          <w:tcPr>
            <w:tcW w:w="2101" w:type="dxa"/>
            <w:tcBorders>
              <w:bottom w:val="single" w:sz="12" w:space="0" w:color="auto"/>
            </w:tcBorders>
            <w:shd w:val="clear" w:color="auto" w:fill="auto"/>
          </w:tcPr>
          <w:p w14:paraId="5384FF29" w14:textId="77777777" w:rsidR="00542FA5" w:rsidRPr="00C701C4" w:rsidRDefault="00611101" w:rsidP="00542FA5">
            <w:pPr>
              <w:pStyle w:val="Tabletext"/>
              <w:rPr>
                <w:b/>
              </w:rPr>
            </w:pPr>
            <w:r w:rsidRPr="00C701C4">
              <w:rPr>
                <w:b/>
              </w:rPr>
              <w:t>Total</w:t>
            </w:r>
          </w:p>
        </w:tc>
        <w:tc>
          <w:tcPr>
            <w:tcW w:w="2102" w:type="dxa"/>
            <w:tcBorders>
              <w:bottom w:val="single" w:sz="12" w:space="0" w:color="auto"/>
            </w:tcBorders>
            <w:shd w:val="clear" w:color="auto" w:fill="auto"/>
          </w:tcPr>
          <w:p w14:paraId="303DA52E" w14:textId="77777777" w:rsidR="00542FA5" w:rsidRPr="00C701C4" w:rsidRDefault="00542FA5" w:rsidP="00542FA5">
            <w:pPr>
              <w:pStyle w:val="Tabletext"/>
            </w:pPr>
          </w:p>
        </w:tc>
        <w:tc>
          <w:tcPr>
            <w:tcW w:w="2102" w:type="dxa"/>
            <w:tcBorders>
              <w:bottom w:val="single" w:sz="12" w:space="0" w:color="auto"/>
            </w:tcBorders>
            <w:shd w:val="clear" w:color="auto" w:fill="auto"/>
          </w:tcPr>
          <w:p w14:paraId="47F6B505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tcBorders>
              <w:bottom w:val="single" w:sz="12" w:space="0" w:color="auto"/>
            </w:tcBorders>
            <w:shd w:val="clear" w:color="auto" w:fill="auto"/>
          </w:tcPr>
          <w:p w14:paraId="5E8B5C74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tcBorders>
              <w:bottom w:val="single" w:sz="12" w:space="0" w:color="auto"/>
            </w:tcBorders>
            <w:shd w:val="clear" w:color="auto" w:fill="auto"/>
          </w:tcPr>
          <w:p w14:paraId="2366AD9A" w14:textId="77777777" w:rsidR="00542FA5" w:rsidRPr="00C701C4" w:rsidRDefault="00542FA5" w:rsidP="00617F47">
            <w:pPr>
              <w:pStyle w:val="Tabletext"/>
              <w:jc w:val="right"/>
            </w:pPr>
          </w:p>
        </w:tc>
        <w:tc>
          <w:tcPr>
            <w:tcW w:w="2102" w:type="dxa"/>
            <w:tcBorders>
              <w:bottom w:val="single" w:sz="12" w:space="0" w:color="auto"/>
            </w:tcBorders>
            <w:shd w:val="clear" w:color="auto" w:fill="auto"/>
          </w:tcPr>
          <w:p w14:paraId="351EB028" w14:textId="77777777" w:rsidR="00542FA5" w:rsidRPr="00C701C4" w:rsidRDefault="00611101" w:rsidP="00617F47">
            <w:pPr>
              <w:pStyle w:val="Tabletext"/>
              <w:jc w:val="right"/>
              <w:rPr>
                <w:b/>
              </w:rPr>
            </w:pPr>
            <w:r w:rsidRPr="00C701C4">
              <w:rPr>
                <w:b/>
              </w:rPr>
              <w:t>$6,000,000</w:t>
            </w:r>
          </w:p>
        </w:tc>
      </w:tr>
    </w:tbl>
    <w:p w14:paraId="69A71AB5" w14:textId="77777777" w:rsidR="00542FA5" w:rsidRPr="00C701C4" w:rsidRDefault="00542FA5" w:rsidP="00542FA5">
      <w:pPr>
        <w:pStyle w:val="Tabletext"/>
      </w:pPr>
    </w:p>
    <w:p w14:paraId="4AB8885D" w14:textId="77777777" w:rsidR="00C60202" w:rsidRPr="00C701C4" w:rsidRDefault="00C60202" w:rsidP="00790A7C">
      <w:pPr>
        <w:sectPr w:rsidR="00C60202" w:rsidRPr="00C701C4" w:rsidSect="00301DAE">
          <w:footerReference w:type="first" r:id="rId35"/>
          <w:type w:val="oddPage"/>
          <w:pgSz w:w="16839" w:h="11907" w:orient="landscape"/>
          <w:pgMar w:top="2466" w:right="2098" w:bottom="2466" w:left="2098" w:header="1899" w:footer="1899" w:gutter="0"/>
          <w:cols w:space="708"/>
          <w:titlePg/>
          <w:docGrid w:linePitch="360"/>
        </w:sectPr>
      </w:pPr>
    </w:p>
    <w:p w14:paraId="2454463B" w14:textId="77777777" w:rsidR="00C60202" w:rsidRDefault="00C60202" w:rsidP="000E5B57">
      <w:pPr>
        <w:pStyle w:val="notedraft"/>
        <w:rPr>
          <w:b/>
        </w:rPr>
      </w:pPr>
    </w:p>
    <w:p w14:paraId="60587EF3" w14:textId="3CC3EDE3" w:rsidR="00C63D31" w:rsidRPr="00C701C4" w:rsidRDefault="00C63D31" w:rsidP="00723B39">
      <w:pPr>
        <w:pStyle w:val="notedraft"/>
        <w:ind w:left="0" w:firstLine="0"/>
        <w:rPr>
          <w:b/>
        </w:rPr>
      </w:pPr>
    </w:p>
    <w:sectPr w:rsidR="00C63D31" w:rsidRPr="00C701C4" w:rsidSect="00301DA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7" w:h="16839"/>
      <w:pgMar w:top="2466" w:right="2098" w:bottom="2466" w:left="2098" w:header="1899" w:footer="1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F6162" w14:textId="77777777" w:rsidR="00C63D31" w:rsidRDefault="00C63D31" w:rsidP="0048364F">
      <w:pPr>
        <w:spacing w:line="240" w:lineRule="auto"/>
      </w:pPr>
      <w:r>
        <w:separator/>
      </w:r>
    </w:p>
  </w:endnote>
  <w:endnote w:type="continuationSeparator" w:id="0">
    <w:p w14:paraId="67AE3689" w14:textId="77777777" w:rsidR="00C63D31" w:rsidRDefault="00C63D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3A44D" w14:textId="0D4E585D" w:rsidR="00C63D31" w:rsidRPr="005F1388" w:rsidRDefault="00C63D31" w:rsidP="00542FA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65038FF" wp14:editId="12E599E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D8DAE2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left:0;text-align:left;margin-left:0;margin-top:793.7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I6ugIAAJo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FQsojq6&#10;AgAAmg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14:paraId="30D8DAE2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AEF1" w14:textId="77777777" w:rsidR="00C92FE4" w:rsidRPr="002B0EA5" w:rsidRDefault="00C92FE4" w:rsidP="00C92F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F0F1DE1" wp14:editId="41FA21C5">
              <wp:simplePos x="0" y="0"/>
              <wp:positionH relativeFrom="column">
                <wp:align>center</wp:align>
              </wp:positionH>
              <wp:positionV relativeFrom="page">
                <wp:posOffset>6839585</wp:posOffset>
              </wp:positionV>
              <wp:extent cx="4411980" cy="396240"/>
              <wp:effectExtent l="0" t="0" r="7620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112867" w14:textId="77777777" w:rsidR="00C92FE4" w:rsidRPr="00C701C4" w:rsidRDefault="00C92FE4" w:rsidP="00C92F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2" type="#_x0000_t202" style="position:absolute;margin-left:0;margin-top:538.55pt;width:347.4pt;height:31.2pt;z-index:-2516305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" stroked="f" strokeweight=".5pt">
              <v:path arrowok="t"/>
              <v:textbox>
                <w:txbxContent>
                  <w:p w14:paraId="25112867" w14:textId="77777777" w:rsidR="00C92FE4" w:rsidRPr="00C701C4" w:rsidRDefault="00C92FE4" w:rsidP="00C92F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7"/>
      <w:gridCol w:w="7316"/>
      <w:gridCol w:w="1560"/>
    </w:tblGrid>
    <w:tr w:rsidR="00C92FE4" w:rsidRPr="00800613" w14:paraId="0E14EB4A" w14:textId="77777777" w:rsidTr="00C92FE4">
      <w:tc>
        <w:tcPr>
          <w:tcW w:w="214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F2C3B8A" w14:textId="43FCE8C2" w:rsidR="00C92FE4" w:rsidRPr="00800613" w:rsidRDefault="00C92FE4" w:rsidP="00EE33DB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16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731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EF4FF83" w14:textId="57F78D51" w:rsidR="00C92FE4" w:rsidRPr="00800613" w:rsidRDefault="00C92FE4" w:rsidP="00EE33DB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FB4863" w14:textId="76A421D7" w:rsidR="00C92FE4" w:rsidRPr="00800613" w:rsidRDefault="00C92FE4" w:rsidP="00EE33DB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60B2ED83" w14:textId="77777777" w:rsidR="00D56B2C" w:rsidRPr="00486382" w:rsidRDefault="00D56B2C" w:rsidP="00542F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B4EB0FA" wp14:editId="24E8405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DBF24B" w14:textId="77777777" w:rsidR="00D56B2C" w:rsidRPr="00C701C4" w:rsidRDefault="00D56B2C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53" type="#_x0000_t202" style="position:absolute;margin-left:0;margin-top:793.7pt;width:347.4pt;height:31.2pt;z-index:-2516326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vLNSSbkC&#10;AACZ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14:paraId="2ADBF24B" w14:textId="77777777" w:rsidR="00D56B2C" w:rsidRPr="00C701C4" w:rsidRDefault="00D56B2C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DD8E9" w14:textId="77777777" w:rsidR="00C92FE4" w:rsidRPr="002B0EA5" w:rsidRDefault="00C92FE4" w:rsidP="00C92FE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0FC31EC2" wp14:editId="4B7FB43B">
              <wp:simplePos x="0" y="0"/>
              <wp:positionH relativeFrom="column">
                <wp:align>center</wp:align>
              </wp:positionH>
              <wp:positionV relativeFrom="page">
                <wp:posOffset>6839585</wp:posOffset>
              </wp:positionV>
              <wp:extent cx="4411980" cy="396240"/>
              <wp:effectExtent l="0" t="0" r="7620" b="381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A01A24" w14:textId="77777777" w:rsidR="00C92FE4" w:rsidRPr="00C701C4" w:rsidRDefault="00C92FE4" w:rsidP="00C92FE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54" type="#_x0000_t202" style="position:absolute;margin-left:0;margin-top:538.55pt;width:347.4pt;height:31.2pt;z-index:-2516275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" stroked="f" strokeweight=".5pt">
              <v:path arrowok="t"/>
              <v:textbox>
                <w:txbxContent>
                  <w:p w14:paraId="32A01A24" w14:textId="77777777" w:rsidR="00C92FE4" w:rsidRPr="00C701C4" w:rsidRDefault="00C92FE4" w:rsidP="00C92FE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110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47"/>
      <w:gridCol w:w="7316"/>
      <w:gridCol w:w="1560"/>
    </w:tblGrid>
    <w:tr w:rsidR="00C92FE4" w:rsidRPr="00800613" w14:paraId="13579579" w14:textId="77777777" w:rsidTr="00C92FE4">
      <w:tc>
        <w:tcPr>
          <w:tcW w:w="214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5A75E48" w14:textId="3B811459" w:rsidR="00C92FE4" w:rsidRPr="00800613" w:rsidRDefault="00C92FE4" w:rsidP="00EE33DB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731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0D89866" w14:textId="77777777" w:rsidR="00C92FE4" w:rsidRPr="00800613" w:rsidRDefault="00C92FE4" w:rsidP="00EE33DB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5B22ED" w14:textId="2470CF03" w:rsidR="00C92FE4" w:rsidRPr="00800613" w:rsidRDefault="00C92FE4" w:rsidP="00EE33DB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17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220E0ADA" w14:textId="77777777" w:rsidR="00C92FE4" w:rsidRPr="00486382" w:rsidRDefault="00C92FE4" w:rsidP="00542F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7D322305" wp14:editId="07766869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17B0FE" w14:textId="77777777" w:rsidR="00C92FE4" w:rsidRPr="00C701C4" w:rsidRDefault="00C92FE4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7" o:spid="_x0000_s1055" type="#_x0000_t202" style="position:absolute;margin-left:0;margin-top:793.7pt;width:347.4pt;height:31.2pt;z-index:-2516285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3V0F+LkC&#10;AACb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14:paraId="4317B0FE" w14:textId="77777777" w:rsidR="00C92FE4" w:rsidRPr="00C701C4" w:rsidRDefault="00C92FE4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BB46E" w14:textId="6092F519" w:rsidR="00C63D31" w:rsidRPr="00E33C1C" w:rsidRDefault="00C63D3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C91222E" wp14:editId="00D19BE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C528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58" type="#_x0000_t202" style="position:absolute;margin-left:0;margin-top:793.7pt;width:347.4pt;height:31.2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" stroked="f" strokeweight=".5pt">
              <v:path arrowok="t"/>
              <v:textbox>
                <w:txbxContent>
                  <w:p w14:paraId="06DC528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63D31" w:rsidRPr="00800613" w14:paraId="751ACBF0" w14:textId="77777777" w:rsidTr="00800613"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D5B0A8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20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4E70EEB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F34512B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6A927A9F" w14:textId="77777777" w:rsidR="00C63D31" w:rsidRPr="00ED79B6" w:rsidRDefault="00C63D31" w:rsidP="006D3667">
    <w:pPr>
      <w:rPr>
        <w:i/>
        <w:sz w:val="1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F55EC" w14:textId="77777777" w:rsidR="00C63D31" w:rsidRPr="00E33C1C" w:rsidRDefault="00C63D31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63D31" w:rsidRPr="00800613" w14:paraId="307E21E7" w14:textId="77777777" w:rsidTr="00800613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FB013EE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F95918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DBBA12" w14:textId="10938D8C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PAGE  \* Arabic </w:instrText>
          </w:r>
          <w:r>
            <w:rPr>
              <w:i/>
              <w:sz w:val="18"/>
            </w:rPr>
            <w:fldChar w:fldCharType="separate"/>
          </w:r>
          <w:r w:rsidR="00C92FE4">
            <w:rPr>
              <w:i/>
              <w:noProof/>
              <w:sz w:val="18"/>
            </w:rPr>
            <w:t>21</w:t>
          </w:r>
          <w:r>
            <w:rPr>
              <w:i/>
              <w:sz w:val="18"/>
            </w:rPr>
            <w:fldChar w:fldCharType="end"/>
          </w:r>
        </w:p>
      </w:tc>
    </w:tr>
  </w:tbl>
  <w:p w14:paraId="71E75AD4" w14:textId="26DEBE08" w:rsidR="00C63D31" w:rsidRPr="00ED79B6" w:rsidRDefault="00C63D31" w:rsidP="006D3667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6D90C0A" wp14:editId="417E570F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9EB2D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59" type="#_x0000_t202" style="position:absolute;margin-left:0;margin-top:766.75pt;width:347.4pt;height:31.2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" stroked="f" strokeweight=".5pt">
              <v:path arrowok="t"/>
              <v:textbox>
                <w:txbxContent>
                  <w:p w14:paraId="429EB2D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FAFA07D" wp14:editId="2CD5B09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5FFB25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0" o:spid="_x0000_s1060" type="#_x0000_t202" style="position:absolute;margin-left:0;margin-top:793.7pt;width:347.4pt;height:31.2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BxQJ92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14:paraId="1E5FFB25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19968" w14:textId="77777777" w:rsidR="00C63D31" w:rsidRPr="00E33C1C" w:rsidRDefault="00C63D31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63D31" w:rsidRPr="00800613" w14:paraId="69E4A54C" w14:textId="77777777" w:rsidTr="00800613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E072272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2C12609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6DD1112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Pr="00800613">
            <w:rPr>
              <w:i/>
              <w:noProof/>
              <w:sz w:val="18"/>
            </w:rPr>
            <w:t>1</w:t>
          </w:r>
          <w:r w:rsidRPr="00800613">
            <w:rPr>
              <w:i/>
              <w:sz w:val="18"/>
            </w:rPr>
            <w:fldChar w:fldCharType="end"/>
          </w:r>
        </w:p>
      </w:tc>
    </w:tr>
    <w:tr w:rsidR="00C63D31" w:rsidRPr="00800613" w14:paraId="19EEDC57" w14:textId="77777777" w:rsidTr="0080061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14:paraId="03A63293" w14:textId="77777777" w:rsidR="00C63D31" w:rsidRPr="00800613" w:rsidRDefault="00C63D31" w:rsidP="00E11583">
          <w:pPr>
            <w:rPr>
              <w:sz w:val="18"/>
            </w:rPr>
          </w:pPr>
          <w:r w:rsidRPr="00800613">
            <w:rPr>
              <w:i/>
              <w:sz w:val="18"/>
            </w:rPr>
            <w:t xml:space="preserve"> </w:t>
          </w:r>
        </w:p>
      </w:tc>
    </w:tr>
  </w:tbl>
  <w:p w14:paraId="7B87AC26" w14:textId="77777777" w:rsidR="00C63D31" w:rsidRPr="00ED79B6" w:rsidRDefault="00C63D31" w:rsidP="00B63BD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C63D31" w:rsidRPr="00800613" w14:paraId="3D0AF655" w14:textId="77777777" w:rsidTr="00800613">
      <w:tc>
        <w:tcPr>
          <w:tcW w:w="7303" w:type="dxa"/>
          <w:shd w:val="clear" w:color="auto" w:fill="auto"/>
        </w:tcPr>
        <w:p w14:paraId="4E26AEC1" w14:textId="77777777" w:rsidR="00C63D31" w:rsidRPr="00800613" w:rsidRDefault="00C63D31" w:rsidP="00790A7C">
          <w:pPr>
            <w:rPr>
              <w:sz w:val="18"/>
            </w:rPr>
          </w:pPr>
          <w:r w:rsidRPr="00800613">
            <w:rPr>
              <w:i/>
              <w:sz w:val="18"/>
            </w:rPr>
            <w:t xml:space="preserve"> </w:t>
          </w:r>
        </w:p>
      </w:tc>
    </w:tr>
  </w:tbl>
  <w:p w14:paraId="6898FB02" w14:textId="0B93954C" w:rsidR="00C63D31" w:rsidRPr="006D3667" w:rsidRDefault="00C63D31" w:rsidP="00542F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A77BE3" wp14:editId="52546AD7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2C985D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1" type="#_x0000_t202" style="position:absolute;margin-left:0;margin-top:766.75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KBuuQIAAJo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" stroked="f" strokeweight=".5pt">
              <v:path arrowok="t"/>
              <v:textbox>
                <w:txbxContent>
                  <w:p w14:paraId="032C985D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48607F" wp14:editId="314ACA4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A40ED2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32" type="#_x0000_t202" style="position:absolute;margin-left:0;margin-top:793.7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q1uQIAAJo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80o6tbkC&#10;AACa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14:paraId="3CA40ED2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D56B2C" w:rsidRPr="00800613" w14:paraId="14F5A510" w14:textId="77777777" w:rsidTr="009726D4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3A90CDD" w14:textId="77777777" w:rsidR="00D56B2C" w:rsidRPr="00800613" w:rsidRDefault="00D56B2C" w:rsidP="009726D4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75F5207" w14:textId="77777777" w:rsidR="00D56B2C" w:rsidRPr="00800613" w:rsidRDefault="00D56B2C" w:rsidP="009726D4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EDAA4EB" w14:textId="77777777" w:rsidR="00D56B2C" w:rsidRPr="00800613" w:rsidRDefault="00D56B2C" w:rsidP="009726D4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9E36D2">
            <w:rPr>
              <w:i/>
              <w:noProof/>
              <w:sz w:val="18"/>
            </w:rPr>
            <w:t>1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6F70CBE9" w14:textId="343A9006" w:rsidR="00C63D31" w:rsidRPr="00486382" w:rsidRDefault="00C63D31" w:rsidP="00542FA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3D4BA81" wp14:editId="3A2839B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4A49E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34" type="#_x0000_t202" style="position:absolute;margin-left:0;margin-top:793.7pt;width:347.4pt;height:31.2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5msr4rkC&#10;AACa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14:paraId="6094A49E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86D3" w14:textId="77777777" w:rsidR="00C63D31" w:rsidRPr="00E33C1C" w:rsidRDefault="00C63D31" w:rsidP="00542F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63D31" w:rsidRPr="00800613" w14:paraId="6FA16B28" w14:textId="77777777" w:rsidTr="00800613"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180898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0E950D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C78C16D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</w:tr>
    <w:tr w:rsidR="00C63D31" w:rsidRPr="00800613" w14:paraId="6540B7ED" w14:textId="77777777" w:rsidTr="0080061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  <w:shd w:val="clear" w:color="auto" w:fill="auto"/>
        </w:tcPr>
        <w:p w14:paraId="1E98C16A" w14:textId="77777777" w:rsidR="00C63D31" w:rsidRPr="00800613" w:rsidRDefault="00C63D31" w:rsidP="00800613">
          <w:pPr>
            <w:jc w:val="right"/>
            <w:rPr>
              <w:sz w:val="18"/>
            </w:rPr>
          </w:pPr>
          <w:r w:rsidRPr="00800613">
            <w:rPr>
              <w:i/>
              <w:sz w:val="18"/>
            </w:rPr>
            <w:t xml:space="preserve"> </w:t>
          </w:r>
        </w:p>
      </w:tc>
    </w:tr>
  </w:tbl>
  <w:p w14:paraId="7EDCF6AE" w14:textId="3F9ADBF1" w:rsidR="00C63D31" w:rsidRPr="00ED79B6" w:rsidRDefault="00C63D31" w:rsidP="00542FA5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3E0E6CA" wp14:editId="07C58563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A7D441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39" type="#_x0000_t202" style="position:absolute;margin-left:0;margin-top:766.75pt;width:347.4pt;height:31.2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9cuw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" stroked="f" strokeweight=".5pt">
              <v:path arrowok="t"/>
              <v:textbox>
                <w:txbxContent>
                  <w:p w14:paraId="65A7D441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602A762" wp14:editId="5CB2DDA3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5A943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0" o:spid="_x0000_s1040" type="#_x0000_t202" style="position:absolute;margin-left:0;margin-top:793.7pt;width:347.4pt;height:31.2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" stroked="f" strokeweight=".5pt">
              <v:path arrowok="t"/>
              <v:textbox>
                <w:txbxContent>
                  <w:p w14:paraId="3605A943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647FC" w14:textId="77777777" w:rsidR="00C63D31" w:rsidRPr="00E33C1C" w:rsidRDefault="00C63D31" w:rsidP="00542F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63D31" w:rsidRPr="00800613" w14:paraId="5D725C93" w14:textId="77777777" w:rsidTr="00800613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52438BC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9A141E3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A698725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9E36D2">
            <w:rPr>
              <w:i/>
              <w:noProof/>
              <w:sz w:val="18"/>
            </w:rPr>
            <w:t>i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07564DD8" w14:textId="1C33C841" w:rsidR="00C63D31" w:rsidRPr="00ED79B6" w:rsidRDefault="00C63D31" w:rsidP="00542FA5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DBFF78" wp14:editId="225118D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4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1AD7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41" type="#_x0000_t202" style="position:absolute;margin-left:0;margin-top:793.7pt;width:347.4pt;height:31.2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pPgugIAAJsFAAAOAAAAZHJzL2Uyb0RvYy54bWysVN9v2yAQfp+0/wHxntpO3TS26lRpq0yT&#10;orZSOvWZYByjYmBAYnfT/vcdOE6Tdg/TND9gjjvu1/dx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AOWk+C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14:paraId="4521AD7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87B43" w14:textId="060109AA" w:rsidR="00C63D31" w:rsidRPr="00E33C1C" w:rsidRDefault="00C63D31" w:rsidP="00542F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2D40A74" wp14:editId="4548696B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A6F75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44" type="#_x0000_t202" style="position:absolute;margin-left:0;margin-top:793.7pt;width:347.4pt;height:31.2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F+/I6q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14:paraId="5CFA6F75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C63D31" w:rsidRPr="00800613" w14:paraId="2BDB6705" w14:textId="77777777" w:rsidTr="00800613"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2D8B9C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14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51CA71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2D04B09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1B0C00FD" w14:textId="77777777" w:rsidR="00C63D31" w:rsidRPr="00ED79B6" w:rsidRDefault="00C63D31" w:rsidP="00452F7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1F824" w14:textId="77777777" w:rsidR="00C63D31" w:rsidRPr="00E33C1C" w:rsidRDefault="00C63D31" w:rsidP="00542FA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C63D31" w:rsidRPr="00800613" w14:paraId="50173528" w14:textId="77777777" w:rsidTr="00800613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5E938F2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F3A7AC5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84D61F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15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255F2DD4" w14:textId="5AD190A2" w:rsidR="00C63D31" w:rsidRPr="00ED79B6" w:rsidRDefault="00C63D31" w:rsidP="00542FA5">
    <w:pPr>
      <w:rPr>
        <w:i/>
        <w:sz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BA1CC26" wp14:editId="5BF82C8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488F4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45" type="#_x0000_t202" style="position:absolute;margin-left:0;margin-top:793.7pt;width:347.4pt;height:31.2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PHug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" stroked="f" strokeweight=".5pt">
              <v:path arrowok="t"/>
              <v:textbox>
                <w:txbxContent>
                  <w:p w14:paraId="1D488F4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E6B76" w14:textId="689D2326" w:rsidR="00C63D31" w:rsidRPr="002B0EA5" w:rsidRDefault="00C63D31" w:rsidP="00790A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4DC296A4" wp14:editId="08275965">
              <wp:simplePos x="0" y="0"/>
              <wp:positionH relativeFrom="column">
                <wp:align>center</wp:align>
              </wp:positionH>
              <wp:positionV relativeFrom="page">
                <wp:posOffset>6839585</wp:posOffset>
              </wp:positionV>
              <wp:extent cx="4411980" cy="396240"/>
              <wp:effectExtent l="0" t="0" r="7620" b="381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7FAC3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50" type="#_x0000_t202" style="position:absolute;margin-left:0;margin-top:538.55pt;width:347.4pt;height:31.2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S+ug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" stroked="f" strokeweight=".5pt">
              <v:path arrowok="t"/>
              <v:textbox>
                <w:txbxContent>
                  <w:p w14:paraId="5227FAC3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11023" w:type="dxa"/>
      <w:tblLook w:val="04A0" w:firstRow="1" w:lastRow="0" w:firstColumn="1" w:lastColumn="0" w:noHBand="0" w:noVBand="1"/>
    </w:tblPr>
    <w:tblGrid>
      <w:gridCol w:w="674"/>
      <w:gridCol w:w="8789"/>
      <w:gridCol w:w="1560"/>
    </w:tblGrid>
    <w:tr w:rsidR="00C63D31" w:rsidRPr="00800613" w14:paraId="35FA511B" w14:textId="77777777" w:rsidTr="00DF12DE">
      <w:tc>
        <w:tcPr>
          <w:tcW w:w="674" w:type="dxa"/>
          <w:shd w:val="clear" w:color="auto" w:fill="auto"/>
        </w:tcPr>
        <w:p w14:paraId="160D81EF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18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8789" w:type="dxa"/>
          <w:shd w:val="clear" w:color="auto" w:fill="auto"/>
        </w:tcPr>
        <w:p w14:paraId="1F3E6F2A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1560" w:type="dxa"/>
          <w:shd w:val="clear" w:color="auto" w:fill="auto"/>
        </w:tcPr>
        <w:p w14:paraId="393B60B8" w14:textId="77777777" w:rsidR="00C63D31" w:rsidRPr="00800613" w:rsidRDefault="00C63D31" w:rsidP="00C92FE4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5F063F9D" w14:textId="77777777" w:rsidR="00C63D31" w:rsidRPr="00ED79B6" w:rsidRDefault="00C63D31" w:rsidP="00790A7C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EEFC" w14:textId="06018E40" w:rsidR="00C63D31" w:rsidRPr="002B0EA5" w:rsidRDefault="00C63D31" w:rsidP="00790A7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1A00FF" wp14:editId="14546DB6">
              <wp:simplePos x="0" y="0"/>
              <wp:positionH relativeFrom="column">
                <wp:align>center</wp:align>
              </wp:positionH>
              <wp:positionV relativeFrom="page">
                <wp:posOffset>6839585</wp:posOffset>
              </wp:positionV>
              <wp:extent cx="4411980" cy="396240"/>
              <wp:effectExtent l="0" t="0" r="7620" b="381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DCE34C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51" type="#_x0000_t202" style="position:absolute;margin-left:0;margin-top:538.55pt;width:347.4pt;height:31.2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o4xug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" stroked="f" strokeweight=".5pt">
              <v:path arrowok="t"/>
              <v:textbox>
                <w:txbxContent>
                  <w:p w14:paraId="6DDCE34C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11023" w:type="dxa"/>
      <w:tblLook w:val="04A0" w:firstRow="1" w:lastRow="0" w:firstColumn="1" w:lastColumn="0" w:noHBand="0" w:noVBand="1"/>
    </w:tblPr>
    <w:tblGrid>
      <w:gridCol w:w="1242"/>
      <w:gridCol w:w="8931"/>
      <w:gridCol w:w="850"/>
    </w:tblGrid>
    <w:tr w:rsidR="00C63D31" w:rsidRPr="00800613" w14:paraId="303F533A" w14:textId="77777777" w:rsidTr="00D316CA">
      <w:tc>
        <w:tcPr>
          <w:tcW w:w="1242" w:type="dxa"/>
          <w:shd w:val="clear" w:color="auto" w:fill="auto"/>
        </w:tcPr>
        <w:p w14:paraId="42F8F557" w14:textId="77777777" w:rsidR="00C63D31" w:rsidRPr="00800613" w:rsidRDefault="00C63D31" w:rsidP="00800613">
          <w:pPr>
            <w:spacing w:line="0" w:lineRule="atLeas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ActNo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No.      , 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8931" w:type="dxa"/>
          <w:shd w:val="clear" w:color="auto" w:fill="auto"/>
        </w:tcPr>
        <w:p w14:paraId="63E8E27F" w14:textId="77777777" w:rsidR="00C63D31" w:rsidRPr="00800613" w:rsidRDefault="00C63D31" w:rsidP="00800613">
          <w:pPr>
            <w:spacing w:line="0" w:lineRule="atLeast"/>
            <w:jc w:val="center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DOCPROPERTY ShortT </w:instrText>
          </w:r>
          <w:r w:rsidRPr="00800613">
            <w:rPr>
              <w:i/>
              <w:sz w:val="18"/>
            </w:rPr>
            <w:fldChar w:fldCharType="separate"/>
          </w:r>
          <w:r w:rsidR="006204BC">
            <w:rPr>
              <w:i/>
              <w:sz w:val="18"/>
            </w:rPr>
            <w:t>Superannuation Legislation Amendment (Transparency Measures) Regulation 2015</w:t>
          </w:r>
          <w:r w:rsidRPr="00800613">
            <w:rPr>
              <w:i/>
              <w:sz w:val="18"/>
            </w:rPr>
            <w:fldChar w:fldCharType="end"/>
          </w:r>
        </w:p>
      </w:tc>
      <w:tc>
        <w:tcPr>
          <w:tcW w:w="850" w:type="dxa"/>
          <w:shd w:val="clear" w:color="auto" w:fill="auto"/>
        </w:tcPr>
        <w:p w14:paraId="7845FE72" w14:textId="77777777" w:rsidR="00C63D31" w:rsidRPr="00800613" w:rsidRDefault="00C63D31" w:rsidP="00800613">
          <w:pPr>
            <w:spacing w:line="0" w:lineRule="atLeast"/>
            <w:jc w:val="right"/>
            <w:rPr>
              <w:sz w:val="18"/>
            </w:rPr>
          </w:pPr>
          <w:r w:rsidRPr="00800613">
            <w:rPr>
              <w:i/>
              <w:sz w:val="18"/>
            </w:rPr>
            <w:fldChar w:fldCharType="begin"/>
          </w:r>
          <w:r w:rsidRPr="00800613">
            <w:rPr>
              <w:i/>
              <w:sz w:val="18"/>
            </w:rPr>
            <w:instrText xml:space="preserve"> PAGE </w:instrText>
          </w:r>
          <w:r w:rsidRPr="00800613">
            <w:rPr>
              <w:i/>
              <w:sz w:val="18"/>
            </w:rPr>
            <w:fldChar w:fldCharType="separate"/>
          </w:r>
          <w:r w:rsidR="00F12DE8">
            <w:rPr>
              <w:i/>
              <w:noProof/>
              <w:sz w:val="18"/>
            </w:rPr>
            <w:t>19</w:t>
          </w:r>
          <w:r w:rsidRPr="00800613">
            <w:rPr>
              <w:i/>
              <w:sz w:val="18"/>
            </w:rPr>
            <w:fldChar w:fldCharType="end"/>
          </w:r>
        </w:p>
      </w:tc>
    </w:tr>
  </w:tbl>
  <w:p w14:paraId="08689CA2" w14:textId="77777777" w:rsidR="00C63D31" w:rsidRPr="00ED79B6" w:rsidRDefault="00C63D31" w:rsidP="00790A7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15B7C" w14:textId="77777777" w:rsidR="00C63D31" w:rsidRDefault="00C63D31" w:rsidP="0048364F">
      <w:pPr>
        <w:spacing w:line="240" w:lineRule="auto"/>
      </w:pPr>
      <w:r>
        <w:separator/>
      </w:r>
    </w:p>
  </w:footnote>
  <w:footnote w:type="continuationSeparator" w:id="0">
    <w:p w14:paraId="74594566" w14:textId="77777777" w:rsidR="00C63D31" w:rsidRDefault="00C63D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DF9BA" w14:textId="09B326CF" w:rsidR="00C63D31" w:rsidRPr="005F1388" w:rsidRDefault="00C63D31" w:rsidP="00542FA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9808" behindDoc="1" locked="0" layoutInCell="1" allowOverlap="1" wp14:anchorId="1B76A932" wp14:editId="01392E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078C7D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0;margin-top:11.3pt;width:347.4pt;height:31.2pt;z-index:-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" stroked="f" strokeweight=".5pt">
              <v:path arrowok="t"/>
              <v:textbox>
                <w:txbxContent>
                  <w:p w14:paraId="65078C7D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1250F" w14:textId="3AB327AB" w:rsidR="00C63D31" w:rsidRPr="00A961C4" w:rsidRDefault="00C63D31" w:rsidP="00452F7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 "ActHead 1,c" </w:instrText>
    </w:r>
    <w:r>
      <w:rPr>
        <w:b/>
        <w:sz w:val="20"/>
      </w:rPr>
      <w:fldChar w:fldCharType="separate"/>
    </w:r>
    <w:r w:rsidR="00F12DE8">
      <w:rPr>
        <w:b/>
        <w:noProof/>
        <w:sz w:val="20"/>
      </w:rPr>
      <w:t>Schedule 8F—Way to organise portfolio holding information</w:t>
    </w:r>
    <w:r>
      <w:rPr>
        <w:b/>
        <w:sz w:val="20"/>
      </w:rPr>
      <w:fldChar w:fldCharType="end"/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89CB3F8" wp14:editId="6EBDA7E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BB93E9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47" type="#_x0000_t202" style="position:absolute;margin-left:0;margin-top:11.3pt;width:347.4pt;height:31.2pt;z-index:-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" stroked="f" strokeweight=".5pt">
              <v:path arrowok="t"/>
              <v:textbox>
                <w:txbxContent>
                  <w:p w14:paraId="75BB93E9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A961C4">
      <w:rPr>
        <w:b/>
        <w:sz w:val="20"/>
      </w:rPr>
      <w:t xml:space="preserve"> </w:t>
    </w:r>
  </w:p>
  <w:p w14:paraId="66F7771B" w14:textId="77777777" w:rsidR="00C63D31" w:rsidRPr="00A961C4" w:rsidRDefault="00C63D31" w:rsidP="00790A7C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4DEF7" w14:textId="77663D2D" w:rsidR="00C63D31" w:rsidRPr="00A961C4" w:rsidRDefault="00C63D31" w:rsidP="00790A7C">
    <w:pPr>
      <w:jc w:val="right"/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EB1193F" wp14:editId="6C8FB924">
              <wp:simplePos x="0" y="0"/>
              <wp:positionH relativeFrom="column">
                <wp:align>center</wp:align>
              </wp:positionH>
              <wp:positionV relativeFrom="page">
                <wp:posOffset>442595</wp:posOffset>
              </wp:positionV>
              <wp:extent cx="4411980" cy="396240"/>
              <wp:effectExtent l="0" t="0" r="7620" b="381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E59D30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left:0;text-align:left;margin-left:0;margin-top:34.85pt;width:347.4pt;height:31.2pt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opKug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" stroked="f" strokeweight=".5pt">
              <v:path arrowok="t"/>
              <v:textbox>
                <w:txbxContent>
                  <w:p w14:paraId="2EE59D30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5B224BCB" wp14:editId="02A8D56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F9BE94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left:0;text-align:left;margin-left:0;margin-top:11.3pt;width:347.4pt;height:31.2pt;z-index:-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" stroked="f" strokeweight=".5pt">
              <v:path arrowok="t"/>
              <v:textbox>
                <w:txbxContent>
                  <w:p w14:paraId="61F9BE94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 "ActHead 1,c" </w:instrText>
    </w:r>
    <w:r>
      <w:rPr>
        <w:b/>
        <w:sz w:val="20"/>
      </w:rPr>
      <w:fldChar w:fldCharType="separate"/>
    </w:r>
    <w:r w:rsidR="00F12DE8">
      <w:rPr>
        <w:b/>
        <w:noProof/>
        <w:sz w:val="20"/>
      </w:rPr>
      <w:t>Schedule 8F—Way to organise portfolio holding information</w:t>
    </w:r>
    <w:r>
      <w:rPr>
        <w:b/>
        <w:sz w:val="20"/>
      </w:rPr>
      <w:fldChar w:fldCharType="end"/>
    </w:r>
  </w:p>
  <w:p w14:paraId="63BA8B23" w14:textId="77777777" w:rsidR="00C63D31" w:rsidRPr="00A961C4" w:rsidRDefault="00C63D31" w:rsidP="00790A7C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AC8DE" w14:textId="6CEBD165" w:rsidR="00C63D31" w:rsidRPr="00A961C4" w:rsidRDefault="00C63D31" w:rsidP="00B63BDE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D088366" wp14:editId="2DCD072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2EAC8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56" type="#_x0000_t202" style="position:absolute;margin-left:0;margin-top:11.3pt;width:347.4pt;height:31.2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" stroked="f" strokeweight=".5pt">
              <v:path arrowok="t"/>
              <v:textbox>
                <w:txbxContent>
                  <w:p w14:paraId="052EAC8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12DE8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12DE8">
      <w:rPr>
        <w:noProof/>
        <w:sz w:val="20"/>
      </w:rPr>
      <w:t>Portfolio holdings disclosure</w:t>
    </w:r>
    <w:r>
      <w:rPr>
        <w:sz w:val="20"/>
      </w:rPr>
      <w:fldChar w:fldCharType="end"/>
    </w:r>
  </w:p>
  <w:p w14:paraId="4C936020" w14:textId="77777777" w:rsidR="00C63D31" w:rsidRPr="00A961C4" w:rsidRDefault="00C63D31" w:rsidP="00486382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18C23" w14:textId="7D679120" w:rsidR="00C63D31" w:rsidRPr="00A961C4" w:rsidRDefault="00C63D31" w:rsidP="00452F75">
    <w:pPr>
      <w:jc w:val="right"/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007D854" wp14:editId="07C2604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FBB38B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7" type="#_x0000_t202" style="position:absolute;left:0;text-align:left;margin-left:0;margin-top:11.3pt;width:347.4pt;height:31.2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BC44dhuAIAAJs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14:paraId="0BFBB38B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 "ActHead 1,c" </w:instrText>
    </w:r>
    <w:r>
      <w:rPr>
        <w:b/>
        <w:sz w:val="20"/>
      </w:rPr>
      <w:fldChar w:fldCharType="separate"/>
    </w:r>
    <w:r w:rsidR="006204BC">
      <w:rPr>
        <w:b/>
        <w:noProof/>
        <w:sz w:val="20"/>
      </w:rPr>
      <w:t>Schedule 8F—Way to organise portfolio holding information</w:t>
    </w:r>
    <w:r>
      <w:rPr>
        <w:b/>
        <w:sz w:val="20"/>
      </w:rPr>
      <w:fldChar w:fldCharType="end"/>
    </w:r>
    <w:r w:rsidRPr="00A961C4">
      <w:rPr>
        <w:b/>
        <w:sz w:val="20"/>
      </w:rPr>
      <w:t xml:space="preserve"> </w:t>
    </w:r>
  </w:p>
  <w:p w14:paraId="5989D65B" w14:textId="77777777" w:rsidR="00C63D31" w:rsidRPr="00A961C4" w:rsidRDefault="00C63D31" w:rsidP="00486382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55507" w14:textId="77777777" w:rsidR="00C63D31" w:rsidRPr="00A961C4" w:rsidRDefault="00C63D31" w:rsidP="007220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A8720" w14:textId="2A547B9B" w:rsidR="00C63D31" w:rsidRPr="005F1388" w:rsidRDefault="00C63D31" w:rsidP="00542FA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8784" behindDoc="1" locked="0" layoutInCell="1" allowOverlap="1" wp14:anchorId="3245B3DD" wp14:editId="29F4AB18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7F962B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0;margin-top:34.9pt;width:347.4pt;height:31.2pt;z-index:-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AmcrdWuAIAAJg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14:paraId="047F962B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3711F0D0" wp14:editId="2D5FA26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9BC5AF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0;margin-top:11.3pt;width:347.4pt;height:31.2pt;z-index:-2516787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DzR6PHuAIAAJg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14:paraId="6C9BC5AF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B4829" w14:textId="303C95F9" w:rsidR="00C63D31" w:rsidRPr="005F1388" w:rsidRDefault="00C63D31" w:rsidP="00542FA5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5712" behindDoc="1" locked="0" layoutInCell="1" allowOverlap="1" wp14:anchorId="55AAC858" wp14:editId="2F24C23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F4A859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0;margin-top:11.3pt;width:347.4pt;height:31.2pt;z-index:-2516807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" stroked="f" strokeweight=".5pt">
              <v:path arrowok="t"/>
              <v:textbox>
                <w:txbxContent>
                  <w:p w14:paraId="2DF4A859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F7B30" w14:textId="3E00AB85" w:rsidR="00C63D31" w:rsidRPr="00ED79B6" w:rsidRDefault="00C63D31" w:rsidP="00542FA5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4928" behindDoc="1" locked="0" layoutInCell="1" allowOverlap="1" wp14:anchorId="630394DE" wp14:editId="438E1D23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1EE54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0;margin-top:34.9pt;width:347.4pt;height:31.2pt;z-index:-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CzPTtRuAIAAJo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14:paraId="5321EE54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1B72F6B8" wp14:editId="36B3DE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06EF13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6" type="#_x0000_t202" style="position:absolute;margin-left:0;margin-top:11.3pt;width:347.4pt;height:31.2pt;z-index:-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B/76GKuAIAAJo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14:paraId="2006EF13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B532A" w14:textId="7A9B1A4E" w:rsidR="00C63D31" w:rsidRPr="00ED79B6" w:rsidRDefault="00C63D31" w:rsidP="00542FA5">
    <w:pPr>
      <w:pBdr>
        <w:bottom w:val="single" w:sz="4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246FC42B" wp14:editId="5C350F5C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397232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0;margin-top:34.9pt;width:347.4pt;height:31.2pt;z-index:-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" stroked="f" strokeweight=".5pt">
              <v:path arrowok="t"/>
              <v:textbox>
                <w:txbxContent>
                  <w:p w14:paraId="57397232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6EC5587F" wp14:editId="7ED4EF54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ADC507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8" type="#_x0000_t202" style="position:absolute;margin-left:0;margin-top:11.3pt;width:347.4pt;height:31.2pt;z-index:-2516746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" stroked="f" strokeweight=".5pt">
              <v:path arrowok="t"/>
              <v:textbox>
                <w:txbxContent>
                  <w:p w14:paraId="6DADC507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347AE" w14:textId="77777777" w:rsidR="00C63D31" w:rsidRPr="00ED79B6" w:rsidRDefault="00C63D31" w:rsidP="00542FA5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40B45" w14:textId="03EC628A" w:rsidR="00C63D31" w:rsidRPr="00A961C4" w:rsidRDefault="00C63D31" w:rsidP="009A32ED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48E46028" wp14:editId="7F38FD4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99939C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42" type="#_x0000_t202" style="position:absolute;margin-left:0;margin-top:11.3pt;width:347.4pt;height:31.2pt;z-index:-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VWugIAAJsFAAAOAAAAZHJzL2Uyb0RvYy54bWysVN9v2yAQfp+0/wHxntpOnTS26lRpq0yT&#10;orZSO/WZYByjYmBAYnfT/vcdOE6Tdg/TND9gjjvu1/dx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" stroked="f" strokeweight=".5pt">
              <v:path arrowok="t"/>
              <v:textbox>
                <w:txbxContent>
                  <w:p w14:paraId="5999939C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 "ActHead 1,c" </w:instrText>
    </w:r>
    <w:r>
      <w:rPr>
        <w:b/>
        <w:sz w:val="20"/>
      </w:rPr>
      <w:fldChar w:fldCharType="separate"/>
    </w:r>
    <w:r w:rsidR="00F12DE8">
      <w:rPr>
        <w:b/>
        <w:noProof/>
        <w:sz w:val="20"/>
      </w:rPr>
      <w:t>Schedule 2—Portfolio holdings disclosure</w:t>
    </w:r>
    <w:r>
      <w:rPr>
        <w:b/>
        <w:sz w:val="20"/>
      </w:rPr>
      <w:fldChar w:fldCharType="end"/>
    </w:r>
  </w:p>
  <w:p w14:paraId="0A5116A8" w14:textId="77777777" w:rsidR="00C63D31" w:rsidRPr="00A961C4" w:rsidRDefault="00C63D31" w:rsidP="00542FA5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80CE0" w14:textId="31BE5916" w:rsidR="00C63D31" w:rsidRPr="009A32ED" w:rsidRDefault="00C63D31" w:rsidP="009A32ED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7C49B5E5" wp14:editId="7F5E93BF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E6C6F3" w14:textId="77777777" w:rsidR="00C63D31" w:rsidRPr="00C701C4" w:rsidRDefault="00C63D31" w:rsidP="00C701C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43" type="#_x0000_t202" style="position:absolute;left:0;text-align:left;margin-left:0;margin-top:11.3pt;width:347.4pt;height:31.2pt;z-index:-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" stroked="f" strokeweight=".5pt">
              <v:path arrowok="t"/>
              <v:textbox>
                <w:txbxContent>
                  <w:p w14:paraId="10E6C6F3" w14:textId="77777777" w:rsidR="00C63D31" w:rsidRPr="00C701C4" w:rsidRDefault="00C63D31" w:rsidP="00C701C4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 "ActHead 1,c" </w:instrText>
    </w:r>
    <w:r>
      <w:rPr>
        <w:b/>
        <w:sz w:val="20"/>
      </w:rPr>
      <w:fldChar w:fldCharType="separate"/>
    </w:r>
    <w:r w:rsidR="00F12DE8">
      <w:rPr>
        <w:b/>
        <w:noProof/>
        <w:sz w:val="20"/>
      </w:rPr>
      <w:t>Schedule 2—Portfolio holdings disclosure</w:t>
    </w:r>
    <w:r>
      <w:rPr>
        <w:b/>
        <w:sz w:val="20"/>
      </w:rPr>
      <w:fldChar w:fldCharType="end"/>
    </w:r>
  </w:p>
  <w:p w14:paraId="7BF2D6CC" w14:textId="77777777" w:rsidR="00C63D31" w:rsidRPr="00A961C4" w:rsidRDefault="00C63D31" w:rsidP="00542FA5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2879D" w14:textId="213B8F97" w:rsidR="00C63D31" w:rsidRPr="00A961C4" w:rsidRDefault="00C63D31" w:rsidP="00542FA5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5004CCE" wp14:editId="4C597216">
              <wp:simplePos x="0" y="0"/>
              <wp:positionH relativeFrom="column">
                <wp:posOffset>393065</wp:posOffset>
              </wp:positionH>
              <wp:positionV relativeFrom="page">
                <wp:posOffset>438785</wp:posOffset>
              </wp:positionV>
              <wp:extent cx="4104000" cy="396240"/>
              <wp:effectExtent l="0" t="0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400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4A1CB1" w14:textId="77777777" w:rsidR="00C63D31" w:rsidRPr="00C701C4" w:rsidRDefault="00C63D31" w:rsidP="00452F7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204BC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30.95pt;margin-top:34.55pt;width:323.15pt;height:31.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" stroked="f" strokeweight=".5pt">
              <v:path arrowok="t"/>
              <v:textbox>
                <w:txbxContent>
                  <w:p w14:paraId="674A1CB1" w14:textId="77777777" w:rsidR="00C63D31" w:rsidRPr="00C701C4" w:rsidRDefault="00C63D31" w:rsidP="00452F7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204BC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4660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4AA2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AECE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C4E0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CC7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24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90CE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3E5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B6F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D27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3F6D7267"/>
    <w:multiLevelType w:val="multilevel"/>
    <w:tmpl w:val="C44AD51E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5680" w:hanging="360"/>
      </w:pPr>
    </w:lvl>
    <w:lvl w:ilvl="4">
      <w:start w:val="1"/>
      <w:numFmt w:val="lowerLetter"/>
      <w:lvlText w:val="(%5)"/>
      <w:lvlJc w:val="left"/>
      <w:pPr>
        <w:ind w:left="6040" w:hanging="360"/>
      </w:pPr>
    </w:lvl>
    <w:lvl w:ilvl="5">
      <w:start w:val="1"/>
      <w:numFmt w:val="lowerRoman"/>
      <w:lvlText w:val="(%6)"/>
      <w:lvlJc w:val="left"/>
      <w:pPr>
        <w:ind w:left="6400" w:hanging="360"/>
      </w:pPr>
    </w:lvl>
    <w:lvl w:ilvl="6">
      <w:start w:val="1"/>
      <w:numFmt w:val="decimal"/>
      <w:lvlText w:val="%7."/>
      <w:lvlJc w:val="left"/>
      <w:pPr>
        <w:ind w:left="6760" w:hanging="360"/>
      </w:pPr>
    </w:lvl>
    <w:lvl w:ilvl="7">
      <w:start w:val="1"/>
      <w:numFmt w:val="lowerLetter"/>
      <w:lvlText w:val="%8."/>
      <w:lvlJc w:val="left"/>
      <w:pPr>
        <w:ind w:left="7120" w:hanging="360"/>
      </w:pPr>
    </w:lvl>
    <w:lvl w:ilvl="8">
      <w:start w:val="1"/>
      <w:numFmt w:val="lowerRoman"/>
      <w:lvlText w:val="%9."/>
      <w:lvlJc w:val="left"/>
      <w:pPr>
        <w:ind w:left="7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removePersonalInformation/>
  <w:removeDateAndTime/>
  <w:embedTrueTypeFonts/>
  <w:saveSubsetFonts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14"/>
    <w:rsid w:val="000041C6"/>
    <w:rsid w:val="000063E4"/>
    <w:rsid w:val="00010ED0"/>
    <w:rsid w:val="00011222"/>
    <w:rsid w:val="000113BC"/>
    <w:rsid w:val="000136AF"/>
    <w:rsid w:val="000204B7"/>
    <w:rsid w:val="00021A66"/>
    <w:rsid w:val="00025060"/>
    <w:rsid w:val="00032EA4"/>
    <w:rsid w:val="00033C58"/>
    <w:rsid w:val="00033EAE"/>
    <w:rsid w:val="00034F92"/>
    <w:rsid w:val="0004044E"/>
    <w:rsid w:val="000550E9"/>
    <w:rsid w:val="00060419"/>
    <w:rsid w:val="000614BF"/>
    <w:rsid w:val="00061911"/>
    <w:rsid w:val="0007084F"/>
    <w:rsid w:val="00076806"/>
    <w:rsid w:val="0007762E"/>
    <w:rsid w:val="00083516"/>
    <w:rsid w:val="00096AD1"/>
    <w:rsid w:val="000C320E"/>
    <w:rsid w:val="000C4E79"/>
    <w:rsid w:val="000D05EF"/>
    <w:rsid w:val="000D4697"/>
    <w:rsid w:val="000D7619"/>
    <w:rsid w:val="000D7C18"/>
    <w:rsid w:val="000E1683"/>
    <w:rsid w:val="000E5B57"/>
    <w:rsid w:val="000E7064"/>
    <w:rsid w:val="000F21C1"/>
    <w:rsid w:val="000F6B02"/>
    <w:rsid w:val="000F7427"/>
    <w:rsid w:val="0010211D"/>
    <w:rsid w:val="00103814"/>
    <w:rsid w:val="00104536"/>
    <w:rsid w:val="0010745C"/>
    <w:rsid w:val="001119F4"/>
    <w:rsid w:val="0011469C"/>
    <w:rsid w:val="00115EF1"/>
    <w:rsid w:val="00116975"/>
    <w:rsid w:val="00126F1A"/>
    <w:rsid w:val="00132B34"/>
    <w:rsid w:val="001342AC"/>
    <w:rsid w:val="00136664"/>
    <w:rsid w:val="00147369"/>
    <w:rsid w:val="00154EAC"/>
    <w:rsid w:val="00155C1A"/>
    <w:rsid w:val="001643C9"/>
    <w:rsid w:val="00165568"/>
    <w:rsid w:val="00166C2F"/>
    <w:rsid w:val="001716C9"/>
    <w:rsid w:val="00171EAE"/>
    <w:rsid w:val="00174A1E"/>
    <w:rsid w:val="00187A5A"/>
    <w:rsid w:val="00191859"/>
    <w:rsid w:val="00193461"/>
    <w:rsid w:val="001939E1"/>
    <w:rsid w:val="001945A4"/>
    <w:rsid w:val="00195382"/>
    <w:rsid w:val="001B3097"/>
    <w:rsid w:val="001B7A5D"/>
    <w:rsid w:val="001C037E"/>
    <w:rsid w:val="001C1E67"/>
    <w:rsid w:val="001C286F"/>
    <w:rsid w:val="001C69C4"/>
    <w:rsid w:val="001D26B0"/>
    <w:rsid w:val="001D4229"/>
    <w:rsid w:val="001D619E"/>
    <w:rsid w:val="001D7F83"/>
    <w:rsid w:val="001E0469"/>
    <w:rsid w:val="001E04A3"/>
    <w:rsid w:val="001E16D0"/>
    <w:rsid w:val="001E3590"/>
    <w:rsid w:val="001E562E"/>
    <w:rsid w:val="001E7407"/>
    <w:rsid w:val="001E7D1D"/>
    <w:rsid w:val="001F1A2D"/>
    <w:rsid w:val="001F6924"/>
    <w:rsid w:val="00201D27"/>
    <w:rsid w:val="002027FC"/>
    <w:rsid w:val="00223235"/>
    <w:rsid w:val="00231427"/>
    <w:rsid w:val="00240749"/>
    <w:rsid w:val="002525AE"/>
    <w:rsid w:val="00265FBC"/>
    <w:rsid w:val="00266D05"/>
    <w:rsid w:val="00277C52"/>
    <w:rsid w:val="00283FCA"/>
    <w:rsid w:val="00286D03"/>
    <w:rsid w:val="0028727F"/>
    <w:rsid w:val="0029182A"/>
    <w:rsid w:val="002932B1"/>
    <w:rsid w:val="00293A71"/>
    <w:rsid w:val="00295408"/>
    <w:rsid w:val="00297ECB"/>
    <w:rsid w:val="002A05FD"/>
    <w:rsid w:val="002A0FFD"/>
    <w:rsid w:val="002A24B4"/>
    <w:rsid w:val="002A5774"/>
    <w:rsid w:val="002B2731"/>
    <w:rsid w:val="002B5B89"/>
    <w:rsid w:val="002B5DE2"/>
    <w:rsid w:val="002B7D96"/>
    <w:rsid w:val="002C7708"/>
    <w:rsid w:val="002D043A"/>
    <w:rsid w:val="002D42D9"/>
    <w:rsid w:val="002E3586"/>
    <w:rsid w:val="002F2491"/>
    <w:rsid w:val="002F4CD5"/>
    <w:rsid w:val="00301DAE"/>
    <w:rsid w:val="00304E75"/>
    <w:rsid w:val="003072FA"/>
    <w:rsid w:val="00311315"/>
    <w:rsid w:val="00312537"/>
    <w:rsid w:val="00314EEC"/>
    <w:rsid w:val="0031713F"/>
    <w:rsid w:val="00322914"/>
    <w:rsid w:val="0033553E"/>
    <w:rsid w:val="003406CA"/>
    <w:rsid w:val="003415D3"/>
    <w:rsid w:val="00352B0F"/>
    <w:rsid w:val="00353663"/>
    <w:rsid w:val="00357D3A"/>
    <w:rsid w:val="003611FE"/>
    <w:rsid w:val="00361BD9"/>
    <w:rsid w:val="00361DD6"/>
    <w:rsid w:val="00363549"/>
    <w:rsid w:val="00373921"/>
    <w:rsid w:val="00373A22"/>
    <w:rsid w:val="003801D0"/>
    <w:rsid w:val="003828CB"/>
    <w:rsid w:val="0039228E"/>
    <w:rsid w:val="003926B5"/>
    <w:rsid w:val="003A1939"/>
    <w:rsid w:val="003B04EC"/>
    <w:rsid w:val="003B2699"/>
    <w:rsid w:val="003B5617"/>
    <w:rsid w:val="003B775B"/>
    <w:rsid w:val="003C48E0"/>
    <w:rsid w:val="003C5F2B"/>
    <w:rsid w:val="003D0BFE"/>
    <w:rsid w:val="003D5422"/>
    <w:rsid w:val="003D5700"/>
    <w:rsid w:val="003E5FF5"/>
    <w:rsid w:val="003E6653"/>
    <w:rsid w:val="003F4CA9"/>
    <w:rsid w:val="003F53BF"/>
    <w:rsid w:val="003F567B"/>
    <w:rsid w:val="004010E7"/>
    <w:rsid w:val="00401403"/>
    <w:rsid w:val="004072A4"/>
    <w:rsid w:val="004106F5"/>
    <w:rsid w:val="004116CD"/>
    <w:rsid w:val="00412B83"/>
    <w:rsid w:val="00424CA9"/>
    <w:rsid w:val="0042660F"/>
    <w:rsid w:val="00433910"/>
    <w:rsid w:val="0044291A"/>
    <w:rsid w:val="00452F75"/>
    <w:rsid w:val="004541B9"/>
    <w:rsid w:val="00460499"/>
    <w:rsid w:val="00460C99"/>
    <w:rsid w:val="00480FB9"/>
    <w:rsid w:val="0048364F"/>
    <w:rsid w:val="00485058"/>
    <w:rsid w:val="00486382"/>
    <w:rsid w:val="00496F97"/>
    <w:rsid w:val="004A2484"/>
    <w:rsid w:val="004A492F"/>
    <w:rsid w:val="004A588E"/>
    <w:rsid w:val="004C0050"/>
    <w:rsid w:val="004C0255"/>
    <w:rsid w:val="004C02C7"/>
    <w:rsid w:val="004C5B5A"/>
    <w:rsid w:val="004C6444"/>
    <w:rsid w:val="004C6DE1"/>
    <w:rsid w:val="004D52E3"/>
    <w:rsid w:val="004D77B6"/>
    <w:rsid w:val="004E3030"/>
    <w:rsid w:val="004E412A"/>
    <w:rsid w:val="004E5CC7"/>
    <w:rsid w:val="004E7077"/>
    <w:rsid w:val="004E7B27"/>
    <w:rsid w:val="004F1FAC"/>
    <w:rsid w:val="004F3A90"/>
    <w:rsid w:val="004F676E"/>
    <w:rsid w:val="00504091"/>
    <w:rsid w:val="00516B8D"/>
    <w:rsid w:val="00520A1E"/>
    <w:rsid w:val="00521988"/>
    <w:rsid w:val="00525479"/>
    <w:rsid w:val="00525B0A"/>
    <w:rsid w:val="005342BC"/>
    <w:rsid w:val="00537FBC"/>
    <w:rsid w:val="00542FA5"/>
    <w:rsid w:val="00543469"/>
    <w:rsid w:val="00557C7A"/>
    <w:rsid w:val="00565B7B"/>
    <w:rsid w:val="005673C5"/>
    <w:rsid w:val="00575750"/>
    <w:rsid w:val="0057719B"/>
    <w:rsid w:val="00583A41"/>
    <w:rsid w:val="00584811"/>
    <w:rsid w:val="005851A5"/>
    <w:rsid w:val="0058646E"/>
    <w:rsid w:val="00591E07"/>
    <w:rsid w:val="00593AA6"/>
    <w:rsid w:val="00594161"/>
    <w:rsid w:val="00594749"/>
    <w:rsid w:val="005A42B7"/>
    <w:rsid w:val="005A76C0"/>
    <w:rsid w:val="005B2B1F"/>
    <w:rsid w:val="005B4067"/>
    <w:rsid w:val="005B45A4"/>
    <w:rsid w:val="005C12DE"/>
    <w:rsid w:val="005C3F41"/>
    <w:rsid w:val="005C4E13"/>
    <w:rsid w:val="005E552A"/>
    <w:rsid w:val="00600219"/>
    <w:rsid w:val="00600FB5"/>
    <w:rsid w:val="00611101"/>
    <w:rsid w:val="00615A43"/>
    <w:rsid w:val="00617F47"/>
    <w:rsid w:val="006204BC"/>
    <w:rsid w:val="00621E5F"/>
    <w:rsid w:val="006249E6"/>
    <w:rsid w:val="00630733"/>
    <w:rsid w:val="00631594"/>
    <w:rsid w:val="006332C5"/>
    <w:rsid w:val="006440A3"/>
    <w:rsid w:val="0064468A"/>
    <w:rsid w:val="00644965"/>
    <w:rsid w:val="00654CCA"/>
    <w:rsid w:val="00656DE9"/>
    <w:rsid w:val="00663BDD"/>
    <w:rsid w:val="006713FC"/>
    <w:rsid w:val="006729D2"/>
    <w:rsid w:val="0067316A"/>
    <w:rsid w:val="00677CC2"/>
    <w:rsid w:val="00680F17"/>
    <w:rsid w:val="00684682"/>
    <w:rsid w:val="00685F42"/>
    <w:rsid w:val="00691AE5"/>
    <w:rsid w:val="0069207B"/>
    <w:rsid w:val="006937E2"/>
    <w:rsid w:val="0069392E"/>
    <w:rsid w:val="006977FB"/>
    <w:rsid w:val="006A3850"/>
    <w:rsid w:val="006A4E3F"/>
    <w:rsid w:val="006A526E"/>
    <w:rsid w:val="006A66AD"/>
    <w:rsid w:val="006B262A"/>
    <w:rsid w:val="006B631C"/>
    <w:rsid w:val="006C2C12"/>
    <w:rsid w:val="006C334C"/>
    <w:rsid w:val="006C3FFF"/>
    <w:rsid w:val="006C4710"/>
    <w:rsid w:val="006C7F8C"/>
    <w:rsid w:val="006D32DB"/>
    <w:rsid w:val="006D3667"/>
    <w:rsid w:val="006D4E91"/>
    <w:rsid w:val="006E004B"/>
    <w:rsid w:val="006E7147"/>
    <w:rsid w:val="006F0083"/>
    <w:rsid w:val="006F3814"/>
    <w:rsid w:val="00700B2C"/>
    <w:rsid w:val="00700F37"/>
    <w:rsid w:val="00701E6A"/>
    <w:rsid w:val="00711525"/>
    <w:rsid w:val="00713084"/>
    <w:rsid w:val="007164E7"/>
    <w:rsid w:val="00720603"/>
    <w:rsid w:val="00722023"/>
    <w:rsid w:val="00723B39"/>
    <w:rsid w:val="00731E00"/>
    <w:rsid w:val="00732171"/>
    <w:rsid w:val="00743840"/>
    <w:rsid w:val="007440B7"/>
    <w:rsid w:val="00751A53"/>
    <w:rsid w:val="007527A3"/>
    <w:rsid w:val="00753C6C"/>
    <w:rsid w:val="007634AD"/>
    <w:rsid w:val="007715C9"/>
    <w:rsid w:val="00774EDD"/>
    <w:rsid w:val="007757EC"/>
    <w:rsid w:val="007769D4"/>
    <w:rsid w:val="00785AFA"/>
    <w:rsid w:val="00787527"/>
    <w:rsid w:val="007903AC"/>
    <w:rsid w:val="0079092D"/>
    <w:rsid w:val="00790A7C"/>
    <w:rsid w:val="00792002"/>
    <w:rsid w:val="00796A02"/>
    <w:rsid w:val="007A7F9F"/>
    <w:rsid w:val="007B31BE"/>
    <w:rsid w:val="007B4E96"/>
    <w:rsid w:val="007B60F7"/>
    <w:rsid w:val="007C33AC"/>
    <w:rsid w:val="007C3464"/>
    <w:rsid w:val="007E06A3"/>
    <w:rsid w:val="007E7D4A"/>
    <w:rsid w:val="007F5D99"/>
    <w:rsid w:val="00800613"/>
    <w:rsid w:val="00802136"/>
    <w:rsid w:val="00814C5B"/>
    <w:rsid w:val="008179EF"/>
    <w:rsid w:val="008213CC"/>
    <w:rsid w:val="00821A95"/>
    <w:rsid w:val="00826DA5"/>
    <w:rsid w:val="0083049C"/>
    <w:rsid w:val="00831DAB"/>
    <w:rsid w:val="00833416"/>
    <w:rsid w:val="00856A31"/>
    <w:rsid w:val="008570EA"/>
    <w:rsid w:val="00866972"/>
    <w:rsid w:val="00870AF0"/>
    <w:rsid w:val="00874B69"/>
    <w:rsid w:val="008754D0"/>
    <w:rsid w:val="00877D48"/>
    <w:rsid w:val="00880795"/>
    <w:rsid w:val="0089783B"/>
    <w:rsid w:val="008A7590"/>
    <w:rsid w:val="008C149C"/>
    <w:rsid w:val="008C50B4"/>
    <w:rsid w:val="008D0EE0"/>
    <w:rsid w:val="008D47B3"/>
    <w:rsid w:val="008E0F8A"/>
    <w:rsid w:val="008E2BED"/>
    <w:rsid w:val="008F07E3"/>
    <w:rsid w:val="008F2E7D"/>
    <w:rsid w:val="008F4F1C"/>
    <w:rsid w:val="00907271"/>
    <w:rsid w:val="0092324F"/>
    <w:rsid w:val="009276D8"/>
    <w:rsid w:val="00932377"/>
    <w:rsid w:val="00932A33"/>
    <w:rsid w:val="00941F30"/>
    <w:rsid w:val="00942075"/>
    <w:rsid w:val="00947DAC"/>
    <w:rsid w:val="00962850"/>
    <w:rsid w:val="009648F5"/>
    <w:rsid w:val="00980069"/>
    <w:rsid w:val="009848EC"/>
    <w:rsid w:val="0098605D"/>
    <w:rsid w:val="00987EDC"/>
    <w:rsid w:val="009A32ED"/>
    <w:rsid w:val="009A5562"/>
    <w:rsid w:val="009B2DE4"/>
    <w:rsid w:val="009B3629"/>
    <w:rsid w:val="009B4145"/>
    <w:rsid w:val="009C49D8"/>
    <w:rsid w:val="009D092E"/>
    <w:rsid w:val="009D34F0"/>
    <w:rsid w:val="009D480F"/>
    <w:rsid w:val="009D508A"/>
    <w:rsid w:val="009E293B"/>
    <w:rsid w:val="009E3601"/>
    <w:rsid w:val="009E36D2"/>
    <w:rsid w:val="009F63D9"/>
    <w:rsid w:val="009F727E"/>
    <w:rsid w:val="00A06CE1"/>
    <w:rsid w:val="00A1027A"/>
    <w:rsid w:val="00A11568"/>
    <w:rsid w:val="00A17FC4"/>
    <w:rsid w:val="00A200BD"/>
    <w:rsid w:val="00A2057D"/>
    <w:rsid w:val="00A231E2"/>
    <w:rsid w:val="00A2550D"/>
    <w:rsid w:val="00A26DBE"/>
    <w:rsid w:val="00A326A4"/>
    <w:rsid w:val="00A37C20"/>
    <w:rsid w:val="00A40355"/>
    <w:rsid w:val="00A405E9"/>
    <w:rsid w:val="00A4169B"/>
    <w:rsid w:val="00A4361F"/>
    <w:rsid w:val="00A50668"/>
    <w:rsid w:val="00A5197F"/>
    <w:rsid w:val="00A52BC0"/>
    <w:rsid w:val="00A64912"/>
    <w:rsid w:val="00A70A74"/>
    <w:rsid w:val="00A70C7F"/>
    <w:rsid w:val="00A71C4E"/>
    <w:rsid w:val="00A7224E"/>
    <w:rsid w:val="00A76746"/>
    <w:rsid w:val="00A830C8"/>
    <w:rsid w:val="00A87AB9"/>
    <w:rsid w:val="00A9146C"/>
    <w:rsid w:val="00A95877"/>
    <w:rsid w:val="00A97A85"/>
    <w:rsid w:val="00AA192F"/>
    <w:rsid w:val="00AA679B"/>
    <w:rsid w:val="00AB3315"/>
    <w:rsid w:val="00AB7B41"/>
    <w:rsid w:val="00AC06B3"/>
    <w:rsid w:val="00AC261B"/>
    <w:rsid w:val="00AD46E9"/>
    <w:rsid w:val="00AD5641"/>
    <w:rsid w:val="00AD582C"/>
    <w:rsid w:val="00AE2A2A"/>
    <w:rsid w:val="00AE48E3"/>
    <w:rsid w:val="00AE50A2"/>
    <w:rsid w:val="00AF0336"/>
    <w:rsid w:val="00AF039E"/>
    <w:rsid w:val="00AF23A6"/>
    <w:rsid w:val="00AF47B6"/>
    <w:rsid w:val="00AF6613"/>
    <w:rsid w:val="00AF736E"/>
    <w:rsid w:val="00B00902"/>
    <w:rsid w:val="00B032D8"/>
    <w:rsid w:val="00B11A7F"/>
    <w:rsid w:val="00B20D0D"/>
    <w:rsid w:val="00B2192E"/>
    <w:rsid w:val="00B332B8"/>
    <w:rsid w:val="00B33B3C"/>
    <w:rsid w:val="00B33FDA"/>
    <w:rsid w:val="00B358B3"/>
    <w:rsid w:val="00B44657"/>
    <w:rsid w:val="00B44A27"/>
    <w:rsid w:val="00B47927"/>
    <w:rsid w:val="00B61D2C"/>
    <w:rsid w:val="00B61F47"/>
    <w:rsid w:val="00B63BDE"/>
    <w:rsid w:val="00B772DB"/>
    <w:rsid w:val="00B914FB"/>
    <w:rsid w:val="00B96D95"/>
    <w:rsid w:val="00BA5026"/>
    <w:rsid w:val="00BA77A2"/>
    <w:rsid w:val="00BB278D"/>
    <w:rsid w:val="00BB3219"/>
    <w:rsid w:val="00BB4B46"/>
    <w:rsid w:val="00BB65A9"/>
    <w:rsid w:val="00BB6E79"/>
    <w:rsid w:val="00BC4F91"/>
    <w:rsid w:val="00BC6829"/>
    <w:rsid w:val="00BD2813"/>
    <w:rsid w:val="00BD60E6"/>
    <w:rsid w:val="00BE253A"/>
    <w:rsid w:val="00BE719A"/>
    <w:rsid w:val="00BE720A"/>
    <w:rsid w:val="00BE7CC4"/>
    <w:rsid w:val="00BF4533"/>
    <w:rsid w:val="00BF7912"/>
    <w:rsid w:val="00C038AD"/>
    <w:rsid w:val="00C067E5"/>
    <w:rsid w:val="00C15528"/>
    <w:rsid w:val="00C164CA"/>
    <w:rsid w:val="00C21B63"/>
    <w:rsid w:val="00C331C2"/>
    <w:rsid w:val="00C35B2C"/>
    <w:rsid w:val="00C42BF8"/>
    <w:rsid w:val="00C43236"/>
    <w:rsid w:val="00C44210"/>
    <w:rsid w:val="00C460AE"/>
    <w:rsid w:val="00C47F3A"/>
    <w:rsid w:val="00C50043"/>
    <w:rsid w:val="00C60202"/>
    <w:rsid w:val="00C6170A"/>
    <w:rsid w:val="00C6297E"/>
    <w:rsid w:val="00C63713"/>
    <w:rsid w:val="00C63D31"/>
    <w:rsid w:val="00C6615E"/>
    <w:rsid w:val="00C66AE0"/>
    <w:rsid w:val="00C66EF7"/>
    <w:rsid w:val="00C701C4"/>
    <w:rsid w:val="00C70D50"/>
    <w:rsid w:val="00C7460E"/>
    <w:rsid w:val="00C7573B"/>
    <w:rsid w:val="00C76241"/>
    <w:rsid w:val="00C76B14"/>
    <w:rsid w:val="00C76C1A"/>
    <w:rsid w:val="00C76CF3"/>
    <w:rsid w:val="00C77C02"/>
    <w:rsid w:val="00C77E30"/>
    <w:rsid w:val="00C814F5"/>
    <w:rsid w:val="00C91E20"/>
    <w:rsid w:val="00C92FE4"/>
    <w:rsid w:val="00C9472C"/>
    <w:rsid w:val="00C95A47"/>
    <w:rsid w:val="00CA3E85"/>
    <w:rsid w:val="00CA7D47"/>
    <w:rsid w:val="00CB0180"/>
    <w:rsid w:val="00CB3470"/>
    <w:rsid w:val="00CB6E37"/>
    <w:rsid w:val="00CD5281"/>
    <w:rsid w:val="00CD606E"/>
    <w:rsid w:val="00CD7ECB"/>
    <w:rsid w:val="00CE2B9E"/>
    <w:rsid w:val="00CE5FE7"/>
    <w:rsid w:val="00CE7A71"/>
    <w:rsid w:val="00CF0BB2"/>
    <w:rsid w:val="00CF5AF2"/>
    <w:rsid w:val="00D0104A"/>
    <w:rsid w:val="00D104FC"/>
    <w:rsid w:val="00D13441"/>
    <w:rsid w:val="00D15014"/>
    <w:rsid w:val="00D17B17"/>
    <w:rsid w:val="00D23E9A"/>
    <w:rsid w:val="00D243A3"/>
    <w:rsid w:val="00D316CA"/>
    <w:rsid w:val="00D333D9"/>
    <w:rsid w:val="00D33440"/>
    <w:rsid w:val="00D40403"/>
    <w:rsid w:val="00D52EFE"/>
    <w:rsid w:val="00D56B2C"/>
    <w:rsid w:val="00D63EF6"/>
    <w:rsid w:val="00D678F0"/>
    <w:rsid w:val="00D70DFB"/>
    <w:rsid w:val="00D766DF"/>
    <w:rsid w:val="00D81352"/>
    <w:rsid w:val="00D83D21"/>
    <w:rsid w:val="00D84B58"/>
    <w:rsid w:val="00D85090"/>
    <w:rsid w:val="00D901D7"/>
    <w:rsid w:val="00D925D1"/>
    <w:rsid w:val="00D9339E"/>
    <w:rsid w:val="00DA1BCC"/>
    <w:rsid w:val="00DB6B4D"/>
    <w:rsid w:val="00DC56AE"/>
    <w:rsid w:val="00DC60F3"/>
    <w:rsid w:val="00DD4AF4"/>
    <w:rsid w:val="00DD6644"/>
    <w:rsid w:val="00DF12DE"/>
    <w:rsid w:val="00DF1990"/>
    <w:rsid w:val="00DF2861"/>
    <w:rsid w:val="00DF46E2"/>
    <w:rsid w:val="00DF723E"/>
    <w:rsid w:val="00DF72DD"/>
    <w:rsid w:val="00E05704"/>
    <w:rsid w:val="00E05C46"/>
    <w:rsid w:val="00E0611E"/>
    <w:rsid w:val="00E06C54"/>
    <w:rsid w:val="00E11583"/>
    <w:rsid w:val="00E16B96"/>
    <w:rsid w:val="00E255D5"/>
    <w:rsid w:val="00E25F30"/>
    <w:rsid w:val="00E30206"/>
    <w:rsid w:val="00E33C1C"/>
    <w:rsid w:val="00E343DF"/>
    <w:rsid w:val="00E34567"/>
    <w:rsid w:val="00E40E2F"/>
    <w:rsid w:val="00E4194A"/>
    <w:rsid w:val="00E42B1F"/>
    <w:rsid w:val="00E443FC"/>
    <w:rsid w:val="00E45FE7"/>
    <w:rsid w:val="00E476B8"/>
    <w:rsid w:val="00E5129B"/>
    <w:rsid w:val="00E54292"/>
    <w:rsid w:val="00E55BCD"/>
    <w:rsid w:val="00E63DB2"/>
    <w:rsid w:val="00E70111"/>
    <w:rsid w:val="00E73EC4"/>
    <w:rsid w:val="00E74DC7"/>
    <w:rsid w:val="00E76FAB"/>
    <w:rsid w:val="00E80490"/>
    <w:rsid w:val="00E83E2E"/>
    <w:rsid w:val="00E84931"/>
    <w:rsid w:val="00E84B32"/>
    <w:rsid w:val="00E87699"/>
    <w:rsid w:val="00E87781"/>
    <w:rsid w:val="00E94F52"/>
    <w:rsid w:val="00EA190A"/>
    <w:rsid w:val="00EB0A91"/>
    <w:rsid w:val="00EC60C6"/>
    <w:rsid w:val="00ED3A7D"/>
    <w:rsid w:val="00ED5324"/>
    <w:rsid w:val="00EE451F"/>
    <w:rsid w:val="00EE62D0"/>
    <w:rsid w:val="00EE77DF"/>
    <w:rsid w:val="00EF2052"/>
    <w:rsid w:val="00EF2086"/>
    <w:rsid w:val="00EF2E3A"/>
    <w:rsid w:val="00F047E2"/>
    <w:rsid w:val="00F078DC"/>
    <w:rsid w:val="00F12DE8"/>
    <w:rsid w:val="00F13E86"/>
    <w:rsid w:val="00F16C02"/>
    <w:rsid w:val="00F221D7"/>
    <w:rsid w:val="00F224B3"/>
    <w:rsid w:val="00F24C35"/>
    <w:rsid w:val="00F458E7"/>
    <w:rsid w:val="00F470EB"/>
    <w:rsid w:val="00F55707"/>
    <w:rsid w:val="00F56759"/>
    <w:rsid w:val="00F62768"/>
    <w:rsid w:val="00F64852"/>
    <w:rsid w:val="00F677A9"/>
    <w:rsid w:val="00F77323"/>
    <w:rsid w:val="00F84CF5"/>
    <w:rsid w:val="00F9036D"/>
    <w:rsid w:val="00F924AF"/>
    <w:rsid w:val="00FA1B3C"/>
    <w:rsid w:val="00FA420B"/>
    <w:rsid w:val="00FB03B3"/>
    <w:rsid w:val="00FB192C"/>
    <w:rsid w:val="00FC77BD"/>
    <w:rsid w:val="00FD0943"/>
    <w:rsid w:val="00FD1ACA"/>
    <w:rsid w:val="00FD6518"/>
    <w:rsid w:val="00FD7CFE"/>
    <w:rsid w:val="00FE640F"/>
    <w:rsid w:val="00FF3089"/>
    <w:rsid w:val="00FF3B04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7A7C7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3B39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8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81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8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8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81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8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8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814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81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01C4"/>
  </w:style>
  <w:style w:type="paragraph" w:customStyle="1" w:styleId="OPCParaBase">
    <w:name w:val="OPCParaBase"/>
    <w:qFormat/>
    <w:rsid w:val="00C701C4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C701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72DD"/>
    <w:pPr>
      <w:keepNext/>
      <w:keepLines/>
      <w:pageBreakBefore/>
      <w:spacing w:after="240" w:line="240" w:lineRule="auto"/>
      <w:ind w:left="1134" w:hanging="1134"/>
      <w:outlineLvl w:val="0"/>
    </w:pPr>
    <w:rPr>
      <w:rFonts w:ascii="Arial" w:hAnsi="Arial"/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72DD"/>
    <w:pPr>
      <w:keepNext/>
      <w:keepLines/>
      <w:spacing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01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01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01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01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01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01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01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01C4"/>
  </w:style>
  <w:style w:type="paragraph" w:customStyle="1" w:styleId="Blocks">
    <w:name w:val="Blocks"/>
    <w:aliases w:val="bb"/>
    <w:basedOn w:val="OPCParaBase"/>
    <w:qFormat/>
    <w:rsid w:val="00C701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01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01C4"/>
    <w:rPr>
      <w:i/>
    </w:rPr>
  </w:style>
  <w:style w:type="paragraph" w:customStyle="1" w:styleId="BoxList">
    <w:name w:val="BoxList"/>
    <w:aliases w:val="bl"/>
    <w:basedOn w:val="BoxText"/>
    <w:qFormat/>
    <w:rsid w:val="00C701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01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01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01C4"/>
    <w:pPr>
      <w:ind w:left="1985" w:hanging="851"/>
    </w:pPr>
  </w:style>
  <w:style w:type="character" w:customStyle="1" w:styleId="CharAmPartNo">
    <w:name w:val="CharAmPartNo"/>
    <w:basedOn w:val="OPCCharBase"/>
    <w:qFormat/>
    <w:rsid w:val="00C701C4"/>
  </w:style>
  <w:style w:type="character" w:customStyle="1" w:styleId="CharAmPartText">
    <w:name w:val="CharAmPartText"/>
    <w:basedOn w:val="OPCCharBase"/>
    <w:qFormat/>
    <w:rsid w:val="00C701C4"/>
  </w:style>
  <w:style w:type="character" w:customStyle="1" w:styleId="CharAmSchNo">
    <w:name w:val="CharAmSchNo"/>
    <w:basedOn w:val="OPCCharBase"/>
    <w:qFormat/>
    <w:rsid w:val="00C701C4"/>
  </w:style>
  <w:style w:type="character" w:customStyle="1" w:styleId="CharAmSchText">
    <w:name w:val="CharAmSchText"/>
    <w:basedOn w:val="OPCCharBase"/>
    <w:qFormat/>
    <w:rsid w:val="00C701C4"/>
  </w:style>
  <w:style w:type="character" w:customStyle="1" w:styleId="CharBoldItalic">
    <w:name w:val="CharBoldItalic"/>
    <w:uiPriority w:val="1"/>
    <w:qFormat/>
    <w:rsid w:val="00C701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01C4"/>
  </w:style>
  <w:style w:type="character" w:customStyle="1" w:styleId="CharChapText">
    <w:name w:val="CharChapText"/>
    <w:basedOn w:val="OPCCharBase"/>
    <w:uiPriority w:val="1"/>
    <w:qFormat/>
    <w:rsid w:val="00C701C4"/>
  </w:style>
  <w:style w:type="character" w:customStyle="1" w:styleId="CharDivNo">
    <w:name w:val="CharDivNo"/>
    <w:basedOn w:val="OPCCharBase"/>
    <w:uiPriority w:val="1"/>
    <w:qFormat/>
    <w:rsid w:val="00C701C4"/>
  </w:style>
  <w:style w:type="character" w:customStyle="1" w:styleId="CharDivText">
    <w:name w:val="CharDivText"/>
    <w:basedOn w:val="OPCCharBase"/>
    <w:uiPriority w:val="1"/>
    <w:qFormat/>
    <w:rsid w:val="00C701C4"/>
  </w:style>
  <w:style w:type="character" w:customStyle="1" w:styleId="CharItalic">
    <w:name w:val="CharItalic"/>
    <w:uiPriority w:val="1"/>
    <w:qFormat/>
    <w:rsid w:val="00C701C4"/>
    <w:rPr>
      <w:i/>
    </w:rPr>
  </w:style>
  <w:style w:type="character" w:customStyle="1" w:styleId="CharPartNo">
    <w:name w:val="CharPartNo"/>
    <w:basedOn w:val="OPCCharBase"/>
    <w:uiPriority w:val="1"/>
    <w:qFormat/>
    <w:rsid w:val="00C701C4"/>
  </w:style>
  <w:style w:type="character" w:customStyle="1" w:styleId="CharPartText">
    <w:name w:val="CharPartText"/>
    <w:basedOn w:val="OPCCharBase"/>
    <w:uiPriority w:val="1"/>
    <w:qFormat/>
    <w:rsid w:val="00C701C4"/>
  </w:style>
  <w:style w:type="character" w:customStyle="1" w:styleId="CharSectno">
    <w:name w:val="CharSectno"/>
    <w:basedOn w:val="OPCCharBase"/>
    <w:qFormat/>
    <w:rsid w:val="00C701C4"/>
  </w:style>
  <w:style w:type="character" w:customStyle="1" w:styleId="CharSubdNo">
    <w:name w:val="CharSubdNo"/>
    <w:basedOn w:val="OPCCharBase"/>
    <w:uiPriority w:val="1"/>
    <w:qFormat/>
    <w:rsid w:val="00C701C4"/>
  </w:style>
  <w:style w:type="character" w:customStyle="1" w:styleId="CharSubdText">
    <w:name w:val="CharSubdText"/>
    <w:basedOn w:val="OPCCharBase"/>
    <w:uiPriority w:val="1"/>
    <w:qFormat/>
    <w:rsid w:val="00C701C4"/>
  </w:style>
  <w:style w:type="paragraph" w:customStyle="1" w:styleId="CTA--">
    <w:name w:val="CTA --"/>
    <w:basedOn w:val="OPCParaBase"/>
    <w:next w:val="Normal"/>
    <w:rsid w:val="00C701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01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01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01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01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01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01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01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01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01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01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01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01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01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64E7"/>
    <w:pPr>
      <w:tabs>
        <w:tab w:val="right" w:pos="1021"/>
      </w:tabs>
      <w:spacing w:before="160" w:after="6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01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0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01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0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0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01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01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C701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01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01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01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01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01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01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01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01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01C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01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4E7"/>
    <w:pPr>
      <w:spacing w:before="60" w:after="60" w:line="240" w:lineRule="auto"/>
      <w:ind w:left="1985" w:hanging="425"/>
    </w:pPr>
  </w:style>
  <w:style w:type="paragraph" w:customStyle="1" w:styleId="paragraphsub-sub">
    <w:name w:val="paragraph(sub-sub)"/>
    <w:aliases w:val="aaa"/>
    <w:basedOn w:val="OPCParaBase"/>
    <w:rsid w:val="00C701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64E7"/>
    <w:pPr>
      <w:tabs>
        <w:tab w:val="left" w:pos="1560"/>
      </w:tabs>
      <w:spacing w:before="60" w:after="60" w:line="240" w:lineRule="auto"/>
      <w:ind w:left="1560" w:hanging="426"/>
    </w:pPr>
  </w:style>
  <w:style w:type="paragraph" w:customStyle="1" w:styleId="ParlAmend">
    <w:name w:val="ParlAmend"/>
    <w:aliases w:val="pp"/>
    <w:basedOn w:val="OPCParaBase"/>
    <w:rsid w:val="00C701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01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01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01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01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01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01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01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01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01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01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01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01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01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01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01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01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01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01DAE"/>
    <w:pPr>
      <w:keepNext/>
      <w:keepLines/>
      <w:tabs>
        <w:tab w:val="right" w:leader="dot" w:pos="7655"/>
      </w:tabs>
      <w:spacing w:before="120" w:line="240" w:lineRule="auto"/>
      <w:ind w:left="1474" w:right="56" w:hanging="1474"/>
    </w:pPr>
    <w:rPr>
      <w:b/>
      <w:noProof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452F75"/>
    <w:pPr>
      <w:keepNext/>
      <w:keepLines/>
      <w:tabs>
        <w:tab w:val="right" w:leader="do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01DAE"/>
    <w:pPr>
      <w:keepNext/>
      <w:keepLines/>
      <w:tabs>
        <w:tab w:val="right" w:leader="dot" w:pos="7655"/>
      </w:tabs>
      <w:spacing w:before="80" w:line="240" w:lineRule="auto"/>
      <w:ind w:left="1604" w:right="56" w:hanging="1179"/>
    </w:pPr>
    <w:rPr>
      <w:noProof/>
      <w:kern w:val="28"/>
    </w:rPr>
  </w:style>
  <w:style w:type="paragraph" w:styleId="TOC4">
    <w:name w:val="toc 4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01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01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01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01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01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01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01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01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01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01C4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C701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C701C4"/>
    <w:rPr>
      <w:sz w:val="16"/>
    </w:rPr>
  </w:style>
  <w:style w:type="table" w:customStyle="1" w:styleId="CFlag">
    <w:name w:val="CFlag"/>
    <w:basedOn w:val="TableNormal"/>
    <w:uiPriority w:val="99"/>
    <w:rsid w:val="00C701C4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1C4"/>
    <w:rPr>
      <w:rFonts w:ascii="Tahoma" w:hAnsi="Tahoma" w:cs="Tahoma"/>
      <w:sz w:val="16"/>
      <w:szCs w:val="16"/>
    </w:rPr>
  </w:style>
  <w:style w:type="character" w:styleId="Hyperlink">
    <w:name w:val="Hyperlink"/>
    <w:rsid w:val="00C701C4"/>
    <w:rPr>
      <w:color w:val="0000FF"/>
      <w:u w:val="single"/>
    </w:rPr>
  </w:style>
  <w:style w:type="table" w:styleId="TableGrid">
    <w:name w:val="Table Grid"/>
    <w:basedOn w:val="TableNormal"/>
    <w:uiPriority w:val="59"/>
    <w:rsid w:val="00C70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701C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701C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701C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01C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01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01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01C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701C4"/>
  </w:style>
  <w:style w:type="paragraph" w:customStyle="1" w:styleId="CompiledActNo">
    <w:name w:val="CompiledActNo"/>
    <w:basedOn w:val="OPCParaBase"/>
    <w:next w:val="Normal"/>
    <w:rsid w:val="00C701C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01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01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701C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701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0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70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0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701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01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01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01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01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01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01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01C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01C4"/>
  </w:style>
  <w:style w:type="character" w:customStyle="1" w:styleId="CharSubPartNoCASA">
    <w:name w:val="CharSubPartNo(CASA)"/>
    <w:basedOn w:val="OPCCharBase"/>
    <w:uiPriority w:val="1"/>
    <w:rsid w:val="00C701C4"/>
  </w:style>
  <w:style w:type="paragraph" w:customStyle="1" w:styleId="ENoteTTIndentHeadingSub">
    <w:name w:val="ENoteTTIndentHeadingSub"/>
    <w:aliases w:val="enTTHis"/>
    <w:basedOn w:val="OPCParaBase"/>
    <w:rsid w:val="00C701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01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01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01C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01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C701C4"/>
    <w:rPr>
      <w:sz w:val="22"/>
    </w:rPr>
  </w:style>
  <w:style w:type="paragraph" w:customStyle="1" w:styleId="SOTextNote">
    <w:name w:val="SO TextNote"/>
    <w:aliases w:val="sont"/>
    <w:basedOn w:val="SOText"/>
    <w:qFormat/>
    <w:rsid w:val="00C701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01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C701C4"/>
    <w:rPr>
      <w:sz w:val="22"/>
    </w:rPr>
  </w:style>
  <w:style w:type="paragraph" w:customStyle="1" w:styleId="FileName">
    <w:name w:val="FileName"/>
    <w:basedOn w:val="Normal"/>
    <w:rsid w:val="00C701C4"/>
  </w:style>
  <w:style w:type="paragraph" w:customStyle="1" w:styleId="TableHeading">
    <w:name w:val="TableHeading"/>
    <w:aliases w:val="th"/>
    <w:basedOn w:val="OPCParaBase"/>
    <w:next w:val="Tabletext"/>
    <w:rsid w:val="00C701C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01C4"/>
    <w:rPr>
      <w:b/>
    </w:rPr>
  </w:style>
  <w:style w:type="character" w:customStyle="1" w:styleId="SOHeadBoldChar">
    <w:name w:val="SO HeadBold Char"/>
    <w:aliases w:val="sohb Char"/>
    <w:link w:val="SOHeadBold"/>
    <w:rsid w:val="00C701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01C4"/>
    <w:rPr>
      <w:i/>
    </w:rPr>
  </w:style>
  <w:style w:type="character" w:customStyle="1" w:styleId="SOHeadItalicChar">
    <w:name w:val="SO HeadItalic Char"/>
    <w:aliases w:val="sohi Char"/>
    <w:link w:val="SOHeadItalic"/>
    <w:rsid w:val="00C701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01C4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C701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01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C701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C701C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01C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7164E7"/>
    <w:rPr>
      <w:rFonts w:eastAsia="Times New Roman"/>
      <w:sz w:val="22"/>
    </w:rPr>
  </w:style>
  <w:style w:type="character" w:customStyle="1" w:styleId="notetextChar">
    <w:name w:val="note(text) Char"/>
    <w:aliases w:val="n Char"/>
    <w:link w:val="notetext"/>
    <w:rsid w:val="001038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1038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038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03814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103814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103814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103814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103814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103814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103814"/>
    <w:rPr>
      <w:rFonts w:ascii="Cambria" w:eastAsia="Times New Roman" w:hAnsi="Cambria" w:cs="Times New Roman"/>
      <w:i/>
      <w:iCs/>
      <w:color w:val="404040"/>
    </w:rPr>
  </w:style>
  <w:style w:type="paragraph" w:styleId="TOAHeading">
    <w:name w:val="toa heading"/>
    <w:basedOn w:val="Normal"/>
    <w:next w:val="Normal"/>
    <w:uiPriority w:val="99"/>
    <w:unhideWhenUsed/>
    <w:rsid w:val="00DF12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F12DE"/>
    <w:pPr>
      <w:keepLines w:val="0"/>
      <w:spacing w:before="0" w:after="240"/>
      <w:outlineLvl w:val="9"/>
    </w:pPr>
    <w:rPr>
      <w:rFonts w:ascii="Times New Roman" w:eastAsiaTheme="majorEastAsia" w:hAnsi="Times New Roman" w:cstheme="majorBidi"/>
      <w:color w:val="auto"/>
      <w:kern w:val="32"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3B39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81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814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81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81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814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8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8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814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81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701C4"/>
  </w:style>
  <w:style w:type="paragraph" w:customStyle="1" w:styleId="OPCParaBase">
    <w:name w:val="OPCParaBase"/>
    <w:qFormat/>
    <w:rsid w:val="00C701C4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C701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F72DD"/>
    <w:pPr>
      <w:keepNext/>
      <w:keepLines/>
      <w:pageBreakBefore/>
      <w:spacing w:after="240" w:line="240" w:lineRule="auto"/>
      <w:ind w:left="1134" w:hanging="1134"/>
      <w:outlineLvl w:val="0"/>
    </w:pPr>
    <w:rPr>
      <w:rFonts w:ascii="Arial" w:hAnsi="Arial"/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F72DD"/>
    <w:pPr>
      <w:keepNext/>
      <w:keepLines/>
      <w:spacing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701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701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701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701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701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701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701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701C4"/>
  </w:style>
  <w:style w:type="paragraph" w:customStyle="1" w:styleId="Blocks">
    <w:name w:val="Blocks"/>
    <w:aliases w:val="bb"/>
    <w:basedOn w:val="OPCParaBase"/>
    <w:qFormat/>
    <w:rsid w:val="00C701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701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701C4"/>
    <w:rPr>
      <w:i/>
    </w:rPr>
  </w:style>
  <w:style w:type="paragraph" w:customStyle="1" w:styleId="BoxList">
    <w:name w:val="BoxList"/>
    <w:aliases w:val="bl"/>
    <w:basedOn w:val="BoxText"/>
    <w:qFormat/>
    <w:rsid w:val="00C701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701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701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701C4"/>
    <w:pPr>
      <w:ind w:left="1985" w:hanging="851"/>
    </w:pPr>
  </w:style>
  <w:style w:type="character" w:customStyle="1" w:styleId="CharAmPartNo">
    <w:name w:val="CharAmPartNo"/>
    <w:basedOn w:val="OPCCharBase"/>
    <w:qFormat/>
    <w:rsid w:val="00C701C4"/>
  </w:style>
  <w:style w:type="character" w:customStyle="1" w:styleId="CharAmPartText">
    <w:name w:val="CharAmPartText"/>
    <w:basedOn w:val="OPCCharBase"/>
    <w:qFormat/>
    <w:rsid w:val="00C701C4"/>
  </w:style>
  <w:style w:type="character" w:customStyle="1" w:styleId="CharAmSchNo">
    <w:name w:val="CharAmSchNo"/>
    <w:basedOn w:val="OPCCharBase"/>
    <w:qFormat/>
    <w:rsid w:val="00C701C4"/>
  </w:style>
  <w:style w:type="character" w:customStyle="1" w:styleId="CharAmSchText">
    <w:name w:val="CharAmSchText"/>
    <w:basedOn w:val="OPCCharBase"/>
    <w:qFormat/>
    <w:rsid w:val="00C701C4"/>
  </w:style>
  <w:style w:type="character" w:customStyle="1" w:styleId="CharBoldItalic">
    <w:name w:val="CharBoldItalic"/>
    <w:uiPriority w:val="1"/>
    <w:qFormat/>
    <w:rsid w:val="00C701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C701C4"/>
  </w:style>
  <w:style w:type="character" w:customStyle="1" w:styleId="CharChapText">
    <w:name w:val="CharChapText"/>
    <w:basedOn w:val="OPCCharBase"/>
    <w:uiPriority w:val="1"/>
    <w:qFormat/>
    <w:rsid w:val="00C701C4"/>
  </w:style>
  <w:style w:type="character" w:customStyle="1" w:styleId="CharDivNo">
    <w:name w:val="CharDivNo"/>
    <w:basedOn w:val="OPCCharBase"/>
    <w:uiPriority w:val="1"/>
    <w:qFormat/>
    <w:rsid w:val="00C701C4"/>
  </w:style>
  <w:style w:type="character" w:customStyle="1" w:styleId="CharDivText">
    <w:name w:val="CharDivText"/>
    <w:basedOn w:val="OPCCharBase"/>
    <w:uiPriority w:val="1"/>
    <w:qFormat/>
    <w:rsid w:val="00C701C4"/>
  </w:style>
  <w:style w:type="character" w:customStyle="1" w:styleId="CharItalic">
    <w:name w:val="CharItalic"/>
    <w:uiPriority w:val="1"/>
    <w:qFormat/>
    <w:rsid w:val="00C701C4"/>
    <w:rPr>
      <w:i/>
    </w:rPr>
  </w:style>
  <w:style w:type="character" w:customStyle="1" w:styleId="CharPartNo">
    <w:name w:val="CharPartNo"/>
    <w:basedOn w:val="OPCCharBase"/>
    <w:uiPriority w:val="1"/>
    <w:qFormat/>
    <w:rsid w:val="00C701C4"/>
  </w:style>
  <w:style w:type="character" w:customStyle="1" w:styleId="CharPartText">
    <w:name w:val="CharPartText"/>
    <w:basedOn w:val="OPCCharBase"/>
    <w:uiPriority w:val="1"/>
    <w:qFormat/>
    <w:rsid w:val="00C701C4"/>
  </w:style>
  <w:style w:type="character" w:customStyle="1" w:styleId="CharSectno">
    <w:name w:val="CharSectno"/>
    <w:basedOn w:val="OPCCharBase"/>
    <w:qFormat/>
    <w:rsid w:val="00C701C4"/>
  </w:style>
  <w:style w:type="character" w:customStyle="1" w:styleId="CharSubdNo">
    <w:name w:val="CharSubdNo"/>
    <w:basedOn w:val="OPCCharBase"/>
    <w:uiPriority w:val="1"/>
    <w:qFormat/>
    <w:rsid w:val="00C701C4"/>
  </w:style>
  <w:style w:type="character" w:customStyle="1" w:styleId="CharSubdText">
    <w:name w:val="CharSubdText"/>
    <w:basedOn w:val="OPCCharBase"/>
    <w:uiPriority w:val="1"/>
    <w:qFormat/>
    <w:rsid w:val="00C701C4"/>
  </w:style>
  <w:style w:type="paragraph" w:customStyle="1" w:styleId="CTA--">
    <w:name w:val="CTA --"/>
    <w:basedOn w:val="OPCParaBase"/>
    <w:next w:val="Normal"/>
    <w:rsid w:val="00C701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701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701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701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701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701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701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701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701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701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701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701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701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701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164E7"/>
    <w:pPr>
      <w:tabs>
        <w:tab w:val="right" w:pos="1021"/>
      </w:tabs>
      <w:spacing w:before="160" w:after="6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701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70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701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70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70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701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701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C701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701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701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701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701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701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701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701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701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701C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701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164E7"/>
    <w:pPr>
      <w:spacing w:before="60" w:after="60" w:line="240" w:lineRule="auto"/>
      <w:ind w:left="1985" w:hanging="425"/>
    </w:pPr>
  </w:style>
  <w:style w:type="paragraph" w:customStyle="1" w:styleId="paragraphsub-sub">
    <w:name w:val="paragraph(sub-sub)"/>
    <w:aliases w:val="aaa"/>
    <w:basedOn w:val="OPCParaBase"/>
    <w:rsid w:val="00C701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164E7"/>
    <w:pPr>
      <w:tabs>
        <w:tab w:val="left" w:pos="1560"/>
      </w:tabs>
      <w:spacing w:before="60" w:after="60" w:line="240" w:lineRule="auto"/>
      <w:ind w:left="1560" w:hanging="426"/>
    </w:pPr>
  </w:style>
  <w:style w:type="paragraph" w:customStyle="1" w:styleId="ParlAmend">
    <w:name w:val="ParlAmend"/>
    <w:aliases w:val="pp"/>
    <w:basedOn w:val="OPCParaBase"/>
    <w:rsid w:val="00C701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701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701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701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701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701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701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701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701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01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01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701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701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701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701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701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701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701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301DAE"/>
    <w:pPr>
      <w:keepNext/>
      <w:keepLines/>
      <w:tabs>
        <w:tab w:val="right" w:leader="dot" w:pos="7655"/>
      </w:tabs>
      <w:spacing w:before="120" w:line="240" w:lineRule="auto"/>
      <w:ind w:left="1474" w:right="56" w:hanging="1474"/>
    </w:pPr>
    <w:rPr>
      <w:b/>
      <w:noProof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452F75"/>
    <w:pPr>
      <w:keepNext/>
      <w:keepLines/>
      <w:tabs>
        <w:tab w:val="right" w:leader="do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301DAE"/>
    <w:pPr>
      <w:keepNext/>
      <w:keepLines/>
      <w:tabs>
        <w:tab w:val="right" w:leader="dot" w:pos="7655"/>
      </w:tabs>
      <w:spacing w:before="80" w:line="240" w:lineRule="auto"/>
      <w:ind w:left="1604" w:right="56" w:hanging="1179"/>
    </w:pPr>
    <w:rPr>
      <w:noProof/>
      <w:kern w:val="28"/>
    </w:rPr>
  </w:style>
  <w:style w:type="paragraph" w:styleId="TOC4">
    <w:name w:val="toc 4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701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701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701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701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701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701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701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701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701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701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701C4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C701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C701C4"/>
    <w:rPr>
      <w:sz w:val="16"/>
    </w:rPr>
  </w:style>
  <w:style w:type="table" w:customStyle="1" w:styleId="CFlag">
    <w:name w:val="CFlag"/>
    <w:basedOn w:val="TableNormal"/>
    <w:uiPriority w:val="99"/>
    <w:rsid w:val="00C701C4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0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01C4"/>
    <w:rPr>
      <w:rFonts w:ascii="Tahoma" w:hAnsi="Tahoma" w:cs="Tahoma"/>
      <w:sz w:val="16"/>
      <w:szCs w:val="16"/>
    </w:rPr>
  </w:style>
  <w:style w:type="character" w:styleId="Hyperlink">
    <w:name w:val="Hyperlink"/>
    <w:rsid w:val="00C701C4"/>
    <w:rPr>
      <w:color w:val="0000FF"/>
      <w:u w:val="single"/>
    </w:rPr>
  </w:style>
  <w:style w:type="table" w:styleId="TableGrid">
    <w:name w:val="Table Grid"/>
    <w:basedOn w:val="TableNormal"/>
    <w:uiPriority w:val="59"/>
    <w:rsid w:val="00C70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701C4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701C4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701C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701C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701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701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701C4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701C4"/>
  </w:style>
  <w:style w:type="paragraph" w:customStyle="1" w:styleId="CompiledActNo">
    <w:name w:val="CompiledActNo"/>
    <w:basedOn w:val="OPCParaBase"/>
    <w:next w:val="Normal"/>
    <w:rsid w:val="00C701C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701C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701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701C4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701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70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70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70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701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701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701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701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701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701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701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701C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701C4"/>
  </w:style>
  <w:style w:type="character" w:customStyle="1" w:styleId="CharSubPartNoCASA">
    <w:name w:val="CharSubPartNo(CASA)"/>
    <w:basedOn w:val="OPCCharBase"/>
    <w:uiPriority w:val="1"/>
    <w:rsid w:val="00C701C4"/>
  </w:style>
  <w:style w:type="paragraph" w:customStyle="1" w:styleId="ENoteTTIndentHeadingSub">
    <w:name w:val="ENoteTTIndentHeadingSub"/>
    <w:aliases w:val="enTTHis"/>
    <w:basedOn w:val="OPCParaBase"/>
    <w:rsid w:val="00C701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701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701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701C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701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C701C4"/>
    <w:rPr>
      <w:sz w:val="22"/>
    </w:rPr>
  </w:style>
  <w:style w:type="paragraph" w:customStyle="1" w:styleId="SOTextNote">
    <w:name w:val="SO TextNote"/>
    <w:aliases w:val="sont"/>
    <w:basedOn w:val="SOText"/>
    <w:qFormat/>
    <w:rsid w:val="00C701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701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C701C4"/>
    <w:rPr>
      <w:sz w:val="22"/>
    </w:rPr>
  </w:style>
  <w:style w:type="paragraph" w:customStyle="1" w:styleId="FileName">
    <w:name w:val="FileName"/>
    <w:basedOn w:val="Normal"/>
    <w:rsid w:val="00C701C4"/>
  </w:style>
  <w:style w:type="paragraph" w:customStyle="1" w:styleId="TableHeading">
    <w:name w:val="TableHeading"/>
    <w:aliases w:val="th"/>
    <w:basedOn w:val="OPCParaBase"/>
    <w:next w:val="Tabletext"/>
    <w:rsid w:val="00C701C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701C4"/>
    <w:rPr>
      <w:b/>
    </w:rPr>
  </w:style>
  <w:style w:type="character" w:customStyle="1" w:styleId="SOHeadBoldChar">
    <w:name w:val="SO HeadBold Char"/>
    <w:aliases w:val="sohb Char"/>
    <w:link w:val="SOHeadBold"/>
    <w:rsid w:val="00C701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701C4"/>
    <w:rPr>
      <w:i/>
    </w:rPr>
  </w:style>
  <w:style w:type="character" w:customStyle="1" w:styleId="SOHeadItalicChar">
    <w:name w:val="SO HeadItalic Char"/>
    <w:aliases w:val="sohi Char"/>
    <w:link w:val="SOHeadItalic"/>
    <w:rsid w:val="00C701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701C4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C701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701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C701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70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C701C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701C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7164E7"/>
    <w:rPr>
      <w:rFonts w:eastAsia="Times New Roman"/>
      <w:sz w:val="22"/>
    </w:rPr>
  </w:style>
  <w:style w:type="character" w:customStyle="1" w:styleId="notetextChar">
    <w:name w:val="note(text) Char"/>
    <w:aliases w:val="n Char"/>
    <w:link w:val="notetext"/>
    <w:rsid w:val="0010381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1038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1038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103814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103814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103814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103814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103814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103814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103814"/>
    <w:rPr>
      <w:rFonts w:ascii="Cambria" w:eastAsia="Times New Roman" w:hAnsi="Cambria" w:cs="Times New Roman"/>
      <w:i/>
      <w:iCs/>
      <w:color w:val="404040"/>
    </w:rPr>
  </w:style>
  <w:style w:type="paragraph" w:styleId="TOAHeading">
    <w:name w:val="toa heading"/>
    <w:basedOn w:val="Normal"/>
    <w:next w:val="Normal"/>
    <w:uiPriority w:val="99"/>
    <w:unhideWhenUsed/>
    <w:rsid w:val="00DF12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F12DE"/>
    <w:pPr>
      <w:keepLines w:val="0"/>
      <w:spacing w:before="0" w:after="240"/>
      <w:outlineLvl w:val="9"/>
    </w:pPr>
    <w:rPr>
      <w:rFonts w:ascii="Times New Roman" w:eastAsiaTheme="majorEastAsia" w:hAnsi="Times New Roman" w:cstheme="majorBidi"/>
      <w:color w:val="auto"/>
      <w:kern w:val="32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3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footer" Target="footer9.xml"/><Relationship Id="rId38" Type="http://schemas.openxmlformats.org/officeDocument/2006/relationships/footer" Target="footer1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image" Target="media/image4.emf"/><Relationship Id="rId41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32" Type="http://schemas.openxmlformats.org/officeDocument/2006/relationships/footer" Target="footer8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image" Target="media/image3.emf"/><Relationship Id="rId36" Type="http://schemas.openxmlformats.org/officeDocument/2006/relationships/header" Target="header12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31" Type="http://schemas.openxmlformats.org/officeDocument/2006/relationships/header" Target="header1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image" Target="media/image2.emf"/><Relationship Id="rId30" Type="http://schemas.openxmlformats.org/officeDocument/2006/relationships/header" Target="header10.xml"/><Relationship Id="rId35" Type="http://schemas.openxmlformats.org/officeDocument/2006/relationships/footer" Target="footer11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BFE15-53A1-41F3-864E-8AE3212C7E4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6F4FAC-DF9D-4189-9CD6-DC4EE0CE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3376</Words>
  <Characters>17133</Characters>
  <Application>Microsoft Office Word</Application>
  <DocSecurity>2</DocSecurity>
  <PresentationFormat/>
  <Lines>622</Lines>
  <Paragraphs>367</Paragraphs>
  <ScaleCrop>false</ScaleCrop>
  <LinksUpToDate>false</LinksUpToDate>
  <CharactersWithSpaces>20196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Regulation - Improved Superannuation Transparency</dc:title>
  <dc:subject/>
  <dc:creator/>
  <cp:keywords/>
  <cp:lastModifiedBy/>
  <cp:revision>1</cp:revision>
  <dcterms:created xsi:type="dcterms:W3CDTF">2015-11-02T04:10:00Z</dcterms:created>
  <dcterms:modified xsi:type="dcterms:W3CDTF">2015-11-02T04:10:00Z</dcterms:modified>
  <dc:language>English</dc:language>
  <cp:version/>
</cp:coreProperties>
</file>