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62A53" w14:textId="77777777" w:rsidR="009842A0" w:rsidRPr="008A12AD" w:rsidRDefault="008A12AD" w:rsidP="009842A0">
      <w:pPr>
        <w:pStyle w:val="Title"/>
        <w:jc w:val="left"/>
        <w:rPr>
          <w:sz w:val="36"/>
        </w:rPr>
      </w:pPr>
      <w:r w:rsidRPr="008A12AD">
        <w:rPr>
          <w:sz w:val="36"/>
        </w:rPr>
        <w:t xml:space="preserve">Proposal to remake the Statistics Determination 1983: </w:t>
      </w:r>
      <w:r w:rsidR="009842A0" w:rsidRPr="008A12AD">
        <w:rPr>
          <w:sz w:val="36"/>
        </w:rPr>
        <w:t>frequently asked questions</w:t>
      </w:r>
    </w:p>
    <w:p w14:paraId="4A12816D" w14:textId="77777777" w:rsidR="009842A0" w:rsidRPr="00425AED"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t xml:space="preserve">What does the </w:t>
      </w:r>
      <w:hyperlink r:id="rId14" w:history="1">
        <w:r w:rsidRPr="00640B4B">
          <w:rPr>
            <w:rStyle w:val="Hyperlink"/>
            <w:rFonts w:asciiTheme="minorHAnsi" w:hAnsiTheme="minorHAnsi"/>
            <w:b/>
            <w:u w:val="single"/>
          </w:rPr>
          <w:t>current</w:t>
        </w:r>
      </w:hyperlink>
      <w:r w:rsidRPr="00425AED">
        <w:rPr>
          <w:rFonts w:asciiTheme="minorHAnsi" w:hAnsiTheme="minorHAnsi"/>
          <w:b/>
          <w:color w:val="171717" w:themeColor="background2" w:themeShade="1A"/>
        </w:rPr>
        <w:t xml:space="preserve"> Determination do?</w:t>
      </w:r>
    </w:p>
    <w:p w14:paraId="42FC132E" w14:textId="77777777" w:rsidR="009842A0" w:rsidRDefault="009842A0" w:rsidP="009842A0">
      <w:pPr>
        <w:spacing w:after="0"/>
        <w:rPr>
          <w:color w:val="171717" w:themeColor="background2" w:themeShade="1A"/>
        </w:rPr>
      </w:pPr>
      <w:r w:rsidRPr="0069527C">
        <w:t>It</w:t>
      </w:r>
      <w:r>
        <w:t xml:space="preserve"> complements the </w:t>
      </w:r>
      <w:hyperlink r:id="rId15" w:history="1">
        <w:r w:rsidRPr="00640B4B">
          <w:rPr>
            <w:rStyle w:val="Hyperlink"/>
            <w:i/>
            <w:u w:val="single"/>
          </w:rPr>
          <w:t>Census and Statistics Act 1905</w:t>
        </w:r>
      </w:hyperlink>
      <w:r w:rsidRPr="0069527C">
        <w:t xml:space="preserve"> </w:t>
      </w:r>
      <w:r>
        <w:t xml:space="preserve">by </w:t>
      </w:r>
      <w:r w:rsidRPr="0069527C">
        <w:t>set</w:t>
      </w:r>
      <w:r>
        <w:t>ting out the circumstances under which the ABS may release statistical information collected under that Act. This includes the release of information that may identify a business or organisation.</w:t>
      </w:r>
      <w:r w:rsidRPr="00425AED">
        <w:rPr>
          <w:color w:val="171717" w:themeColor="background2" w:themeShade="1A"/>
        </w:rPr>
        <w:t xml:space="preserve"> </w:t>
      </w:r>
    </w:p>
    <w:p w14:paraId="5B78AAB8" w14:textId="77777777" w:rsidR="009842A0" w:rsidRPr="00810646" w:rsidRDefault="009842A0" w:rsidP="009842A0">
      <w:pPr>
        <w:spacing w:after="0"/>
        <w:rPr>
          <w:color w:val="171717" w:themeColor="background2" w:themeShade="1A"/>
        </w:rPr>
      </w:pPr>
      <w:r w:rsidRPr="00810646">
        <w:rPr>
          <w:color w:val="171717" w:themeColor="background2" w:themeShade="1A"/>
        </w:rPr>
        <w:t>The Determination sets out:</w:t>
      </w:r>
    </w:p>
    <w:p w14:paraId="3F3A3AF9" w14:textId="77777777" w:rsidR="009842A0" w:rsidRPr="00810646" w:rsidRDefault="009842A0" w:rsidP="009842A0">
      <w:pPr>
        <w:pStyle w:val="ListParagraph"/>
        <w:numPr>
          <w:ilvl w:val="0"/>
          <w:numId w:val="17"/>
        </w:numPr>
        <w:rPr>
          <w:rFonts w:ascii="Calibri" w:hAnsi="Calibri"/>
          <w:color w:val="171717" w:themeColor="background2" w:themeShade="1A"/>
        </w:rPr>
      </w:pPr>
      <w:r w:rsidRPr="00810646">
        <w:rPr>
          <w:rFonts w:ascii="Calibri" w:hAnsi="Calibri"/>
          <w:color w:val="171717" w:themeColor="background2" w:themeShade="1A"/>
          <w:sz w:val="22"/>
          <w:szCs w:val="22"/>
        </w:rPr>
        <w:t>what information can be released;</w:t>
      </w:r>
    </w:p>
    <w:p w14:paraId="37F52C0A" w14:textId="77777777" w:rsidR="009842A0" w:rsidRPr="00810646" w:rsidRDefault="009842A0" w:rsidP="009842A0">
      <w:pPr>
        <w:pStyle w:val="ListParagraph"/>
        <w:numPr>
          <w:ilvl w:val="0"/>
          <w:numId w:val="17"/>
        </w:numPr>
        <w:rPr>
          <w:rFonts w:ascii="Calibri" w:hAnsi="Calibri"/>
          <w:color w:val="171717" w:themeColor="background2" w:themeShade="1A"/>
        </w:rPr>
      </w:pPr>
      <w:r w:rsidRPr="00810646">
        <w:rPr>
          <w:rFonts w:ascii="Calibri" w:hAnsi="Calibri"/>
          <w:color w:val="171717" w:themeColor="background2" w:themeShade="1A"/>
          <w:sz w:val="22"/>
          <w:szCs w:val="22"/>
        </w:rPr>
        <w:t>who the information can be released to; and</w:t>
      </w:r>
    </w:p>
    <w:p w14:paraId="53A73D58" w14:textId="77777777" w:rsidR="009842A0" w:rsidRPr="00810646" w:rsidRDefault="009842A0" w:rsidP="009842A0">
      <w:pPr>
        <w:pStyle w:val="ListParagraph"/>
        <w:numPr>
          <w:ilvl w:val="0"/>
          <w:numId w:val="17"/>
        </w:numPr>
        <w:rPr>
          <w:rFonts w:ascii="Calibri" w:hAnsi="Calibri"/>
          <w:color w:val="171717" w:themeColor="background2" w:themeShade="1A"/>
        </w:rPr>
      </w:pPr>
      <w:r w:rsidRPr="00810646">
        <w:rPr>
          <w:rFonts w:ascii="Calibri" w:hAnsi="Calibri"/>
          <w:color w:val="171717" w:themeColor="background2" w:themeShade="1A"/>
          <w:sz w:val="22"/>
          <w:szCs w:val="22"/>
        </w:rPr>
        <w:t xml:space="preserve">any conditions that apply to how recipients may use that information. </w:t>
      </w:r>
    </w:p>
    <w:p w14:paraId="51E93E45" w14:textId="77777777" w:rsidR="009842A0" w:rsidRDefault="009842A0" w:rsidP="009842A0">
      <w:pPr>
        <w:spacing w:after="0"/>
        <w:rPr>
          <w:color w:val="171717" w:themeColor="background2" w:themeShade="1A"/>
        </w:rPr>
      </w:pPr>
      <w:r w:rsidRPr="00B81521">
        <w:rPr>
          <w:color w:val="171717" w:themeColor="background2" w:themeShade="1A"/>
        </w:rPr>
        <w:t xml:space="preserve">For example, the current Determination enables the ABS to </w:t>
      </w:r>
      <w:r>
        <w:rPr>
          <w:color w:val="171717" w:themeColor="background2" w:themeShade="1A"/>
        </w:rPr>
        <w:t>release</w:t>
      </w:r>
      <w:r w:rsidRPr="00B81521">
        <w:rPr>
          <w:color w:val="171717" w:themeColor="background2" w:themeShade="1A"/>
        </w:rPr>
        <w:t xml:space="preserve"> lists </w:t>
      </w:r>
      <w:r>
        <w:rPr>
          <w:color w:val="171717" w:themeColor="background2" w:themeShade="1A"/>
        </w:rPr>
        <w:t>containing certain business characteristics</w:t>
      </w:r>
      <w:r w:rsidRPr="00B81521">
        <w:rPr>
          <w:color w:val="171717" w:themeColor="background2" w:themeShade="1A"/>
        </w:rPr>
        <w:t>, such as names</w:t>
      </w:r>
      <w:r w:rsidRPr="00425AED">
        <w:rPr>
          <w:color w:val="171717" w:themeColor="background2" w:themeShade="1A"/>
        </w:rPr>
        <w:t xml:space="preserve"> and addresses, </w:t>
      </w:r>
      <w:r>
        <w:rPr>
          <w:color w:val="171717" w:themeColor="background2" w:themeShade="1A"/>
        </w:rPr>
        <w:t>to</w:t>
      </w:r>
      <w:r w:rsidRPr="00425AED">
        <w:rPr>
          <w:color w:val="171717" w:themeColor="background2" w:themeShade="1A"/>
        </w:rPr>
        <w:t xml:space="preserve"> other government entities</w:t>
      </w:r>
      <w:r>
        <w:rPr>
          <w:color w:val="171717" w:themeColor="background2" w:themeShade="1A"/>
        </w:rPr>
        <w:t>,</w:t>
      </w:r>
      <w:r w:rsidRPr="00425AED">
        <w:rPr>
          <w:color w:val="171717" w:themeColor="background2" w:themeShade="1A"/>
        </w:rPr>
        <w:t xml:space="preserve"> provided that those entities use that information for </w:t>
      </w:r>
      <w:r>
        <w:rPr>
          <w:color w:val="171717" w:themeColor="background2" w:themeShade="1A"/>
        </w:rPr>
        <w:t>statistical</w:t>
      </w:r>
      <w:r w:rsidRPr="00425AED">
        <w:rPr>
          <w:color w:val="171717" w:themeColor="background2" w:themeShade="1A"/>
        </w:rPr>
        <w:t xml:space="preserve"> purposes</w:t>
      </w:r>
      <w:r>
        <w:rPr>
          <w:color w:val="171717" w:themeColor="background2" w:themeShade="1A"/>
        </w:rPr>
        <w:t xml:space="preserve"> only and do not on-disclose this information to other parties</w:t>
      </w:r>
      <w:r w:rsidRPr="00425AED">
        <w:rPr>
          <w:color w:val="171717" w:themeColor="background2" w:themeShade="1A"/>
        </w:rPr>
        <w:t xml:space="preserve">. </w:t>
      </w:r>
    </w:p>
    <w:p w14:paraId="7C06CD15" w14:textId="77777777" w:rsidR="009842A0" w:rsidRDefault="009842A0" w:rsidP="009842A0">
      <w:pPr>
        <w:spacing w:after="0"/>
        <w:rPr>
          <w:color w:val="171717" w:themeColor="background2" w:themeShade="1A"/>
        </w:rPr>
      </w:pPr>
      <w:r>
        <w:rPr>
          <w:color w:val="171717" w:themeColor="background2" w:themeShade="1A"/>
        </w:rPr>
        <w:t xml:space="preserve">There is </w:t>
      </w:r>
      <w:r w:rsidRPr="00A82A1D">
        <w:rPr>
          <w:b/>
          <w:color w:val="171717" w:themeColor="background2" w:themeShade="1A"/>
        </w:rPr>
        <w:t>no</w:t>
      </w:r>
      <w:r>
        <w:rPr>
          <w:color w:val="171717" w:themeColor="background2" w:themeShade="1A"/>
        </w:rPr>
        <w:t xml:space="preserve"> provision in the Determination to release information of a personal or domestic nature that might identify a person.</w:t>
      </w:r>
    </w:p>
    <w:p w14:paraId="2BF68DAD" w14:textId="77777777" w:rsidR="00640B4B" w:rsidRPr="00425AED" w:rsidRDefault="00640B4B" w:rsidP="009842A0">
      <w:pPr>
        <w:spacing w:after="0"/>
        <w:rPr>
          <w:color w:val="171717" w:themeColor="background2" w:themeShade="1A"/>
        </w:rPr>
      </w:pPr>
    </w:p>
    <w:p w14:paraId="2CA5E0AB" w14:textId="77777777" w:rsidR="009842A0" w:rsidRPr="00425AED"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t xml:space="preserve">Why is the </w:t>
      </w:r>
      <w:hyperlink r:id="rId16" w:history="1">
        <w:r w:rsidRPr="00640B4B">
          <w:rPr>
            <w:rStyle w:val="Hyperlink"/>
            <w:rFonts w:asciiTheme="minorHAnsi" w:hAnsiTheme="minorHAnsi"/>
            <w:b/>
            <w:u w:val="single"/>
          </w:rPr>
          <w:t>current</w:t>
        </w:r>
      </w:hyperlink>
      <w:r w:rsidRPr="00425AED">
        <w:rPr>
          <w:rFonts w:asciiTheme="minorHAnsi" w:hAnsiTheme="minorHAnsi"/>
          <w:b/>
          <w:color w:val="171717" w:themeColor="background2" w:themeShade="1A"/>
        </w:rPr>
        <w:t xml:space="preserve"> Determination important?</w:t>
      </w:r>
    </w:p>
    <w:p w14:paraId="72A8CA26" w14:textId="77777777" w:rsidR="009842A0" w:rsidRPr="003422B3" w:rsidRDefault="009842A0" w:rsidP="009842A0">
      <w:pPr>
        <w:spacing w:after="0"/>
      </w:pPr>
      <w:r>
        <w:t xml:space="preserve">The Determination </w:t>
      </w:r>
      <w:r w:rsidRPr="003422B3">
        <w:t xml:space="preserve">enables the ABS to release </w:t>
      </w:r>
      <w:r>
        <w:t xml:space="preserve">detailed </w:t>
      </w:r>
      <w:r w:rsidRPr="003422B3">
        <w:t>statistical information</w:t>
      </w:r>
      <w:r>
        <w:t xml:space="preserve"> to a wide range of users for analysis and to input into the </w:t>
      </w:r>
      <w:r w:rsidRPr="003422B3">
        <w:t>decision</w:t>
      </w:r>
      <w:r>
        <w:t>-making processes of governments, businesses and individuals</w:t>
      </w:r>
      <w:r w:rsidRPr="003422B3">
        <w:t xml:space="preserve">. </w:t>
      </w:r>
    </w:p>
    <w:p w14:paraId="505FFF53" w14:textId="77777777" w:rsidR="009842A0" w:rsidRDefault="009842A0" w:rsidP="009842A0">
      <w:pPr>
        <w:spacing w:after="0"/>
      </w:pPr>
      <w:r w:rsidRPr="003422B3">
        <w:t xml:space="preserve">For example, the ABS can </w:t>
      </w:r>
      <w:r>
        <w:t>release</w:t>
      </w:r>
      <w:r w:rsidRPr="003422B3">
        <w:t xml:space="preserve"> statistical information </w:t>
      </w:r>
      <w:r>
        <w:t>to</w:t>
      </w:r>
      <w:r w:rsidRPr="003422B3">
        <w:t xml:space="preserve"> government entities to enable them to evaluate programs, inform infrastructure projects, target services, </w:t>
      </w:r>
      <w:r>
        <w:t>or</w:t>
      </w:r>
      <w:r w:rsidRPr="003422B3">
        <w:t xml:space="preserve"> </w:t>
      </w:r>
      <w:r>
        <w:t xml:space="preserve">allocate </w:t>
      </w:r>
      <w:r w:rsidRPr="003422B3">
        <w:t xml:space="preserve">assistance. </w:t>
      </w:r>
    </w:p>
    <w:p w14:paraId="0DD3062C" w14:textId="77777777" w:rsidR="00640B4B" w:rsidRDefault="00640B4B" w:rsidP="009842A0">
      <w:pPr>
        <w:spacing w:after="0"/>
      </w:pPr>
    </w:p>
    <w:p w14:paraId="73A0727D" w14:textId="77777777" w:rsidR="009842A0" w:rsidRPr="00640B4B" w:rsidRDefault="009842A0" w:rsidP="00640B4B">
      <w:pPr>
        <w:pStyle w:val="ListParagraph"/>
        <w:numPr>
          <w:ilvl w:val="0"/>
          <w:numId w:val="15"/>
        </w:numPr>
        <w:spacing w:after="120"/>
        <w:ind w:left="357" w:hanging="357"/>
        <w:rPr>
          <w:rFonts w:asciiTheme="minorHAnsi" w:hAnsiTheme="minorHAnsi"/>
          <w:b/>
          <w:color w:val="171717" w:themeColor="background2" w:themeShade="1A"/>
        </w:rPr>
      </w:pPr>
      <w:r w:rsidRPr="00640B4B">
        <w:rPr>
          <w:rFonts w:asciiTheme="minorHAnsi" w:hAnsiTheme="minorHAnsi"/>
          <w:b/>
          <w:color w:val="171717" w:themeColor="background2" w:themeShade="1A"/>
        </w:rPr>
        <w:t xml:space="preserve">Under the </w:t>
      </w:r>
      <w:hyperlink r:id="rId17" w:history="1">
        <w:r w:rsidR="00640B4B" w:rsidRPr="00640B4B">
          <w:rPr>
            <w:rStyle w:val="Hyperlink"/>
            <w:rFonts w:asciiTheme="minorHAnsi" w:hAnsiTheme="minorHAnsi"/>
            <w:b/>
            <w:u w:val="single"/>
          </w:rPr>
          <w:t>current</w:t>
        </w:r>
      </w:hyperlink>
      <w:r w:rsidR="00640B4B" w:rsidRPr="00425AED">
        <w:rPr>
          <w:rFonts w:asciiTheme="minorHAnsi" w:hAnsiTheme="minorHAnsi"/>
          <w:b/>
          <w:color w:val="171717" w:themeColor="background2" w:themeShade="1A"/>
        </w:rPr>
        <w:t xml:space="preserve"> </w:t>
      </w:r>
      <w:r w:rsidRPr="00640B4B">
        <w:rPr>
          <w:rFonts w:asciiTheme="minorHAnsi" w:hAnsiTheme="minorHAnsi"/>
          <w:b/>
          <w:color w:val="171717" w:themeColor="background2" w:themeShade="1A"/>
        </w:rPr>
        <w:t>Determination, can the ABS release information that is likely to identify a person?</w:t>
      </w:r>
    </w:p>
    <w:p w14:paraId="6D552190" w14:textId="77777777" w:rsidR="009842A0" w:rsidRDefault="009842A0" w:rsidP="009842A0">
      <w:pPr>
        <w:spacing w:after="0"/>
      </w:pPr>
      <w:r w:rsidRPr="00DD6BCB">
        <w:t xml:space="preserve">The Determination </w:t>
      </w:r>
      <w:r>
        <w:t xml:space="preserve">explicitly restricts the ABS from </w:t>
      </w:r>
      <w:r w:rsidRPr="00DD6BCB">
        <w:t>releas</w:t>
      </w:r>
      <w:r>
        <w:t>ing any</w:t>
      </w:r>
      <w:r w:rsidRPr="00DD6BCB">
        <w:t xml:space="preserve"> information of a personal or domestic nature in a manner that is likely to enable the identification </w:t>
      </w:r>
      <w:r>
        <w:t>of a</w:t>
      </w:r>
      <w:r w:rsidRPr="00DD6BCB">
        <w:t xml:space="preserve"> person</w:t>
      </w:r>
      <w:r>
        <w:t xml:space="preserve">. </w:t>
      </w:r>
      <w:r w:rsidRPr="00DD6BCB">
        <w:t xml:space="preserve"> </w:t>
      </w:r>
    </w:p>
    <w:p w14:paraId="75F590C3" w14:textId="77777777" w:rsidR="009842A0" w:rsidRPr="00DD6BCB" w:rsidRDefault="009842A0" w:rsidP="009842A0">
      <w:pPr>
        <w:spacing w:after="0"/>
      </w:pPr>
      <w:r>
        <w:t>In certain situations, the Determination may restrict the ABS from releasing the business dealings of a person, for example, in the case of a sole trader if the data would identify a person.</w:t>
      </w:r>
    </w:p>
    <w:p w14:paraId="68BF87FE" w14:textId="77777777" w:rsidR="009842A0" w:rsidRPr="00425AED" w:rsidRDefault="009842A0" w:rsidP="009842A0">
      <w:pPr>
        <w:spacing w:after="0"/>
        <w:rPr>
          <w:color w:val="171717" w:themeColor="background2" w:themeShade="1A"/>
        </w:rPr>
      </w:pPr>
    </w:p>
    <w:p w14:paraId="16D0FE8E" w14:textId="77777777" w:rsidR="009842A0" w:rsidRPr="00D2687B"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D2687B">
        <w:rPr>
          <w:rFonts w:asciiTheme="minorHAnsi" w:hAnsiTheme="minorHAnsi"/>
          <w:b/>
          <w:color w:val="171717" w:themeColor="background2" w:themeShade="1A"/>
        </w:rPr>
        <w:t xml:space="preserve">Under the </w:t>
      </w:r>
      <w:hyperlink r:id="rId18" w:history="1">
        <w:r w:rsidRPr="00640B4B">
          <w:rPr>
            <w:rStyle w:val="Hyperlink"/>
            <w:rFonts w:asciiTheme="minorHAnsi" w:hAnsiTheme="minorHAnsi"/>
            <w:b/>
            <w:u w:val="single"/>
          </w:rPr>
          <w:t>current</w:t>
        </w:r>
      </w:hyperlink>
      <w:r w:rsidRPr="00D2687B">
        <w:rPr>
          <w:rFonts w:asciiTheme="minorHAnsi" w:hAnsiTheme="minorHAnsi"/>
          <w:b/>
          <w:color w:val="171717" w:themeColor="background2" w:themeShade="1A"/>
        </w:rPr>
        <w:t xml:space="preserve"> Determination, can the ABS release information that </w:t>
      </w:r>
      <w:r>
        <w:rPr>
          <w:rFonts w:asciiTheme="minorHAnsi" w:hAnsiTheme="minorHAnsi"/>
          <w:b/>
          <w:color w:val="171717" w:themeColor="background2" w:themeShade="1A"/>
        </w:rPr>
        <w:t xml:space="preserve">might </w:t>
      </w:r>
      <w:r w:rsidRPr="00D2687B">
        <w:rPr>
          <w:rFonts w:asciiTheme="minorHAnsi" w:hAnsiTheme="minorHAnsi"/>
          <w:b/>
          <w:color w:val="171717" w:themeColor="background2" w:themeShade="1A"/>
        </w:rPr>
        <w:t xml:space="preserve">identify a business or organisation? </w:t>
      </w:r>
    </w:p>
    <w:p w14:paraId="6AC25AE9" w14:textId="77777777" w:rsidR="009842A0" w:rsidRDefault="009842A0" w:rsidP="009842A0">
      <w:pPr>
        <w:spacing w:after="0"/>
      </w:pPr>
      <w:r>
        <w:t>The Determination authorises the ABS to release identifiable business information in certain situations but imposes a number of conditions on the ABS and the recipients of that information.</w:t>
      </w:r>
    </w:p>
    <w:p w14:paraId="3D2687DE" w14:textId="77777777" w:rsidR="009842A0" w:rsidRDefault="009842A0" w:rsidP="009842A0">
      <w:pPr>
        <w:spacing w:after="0"/>
      </w:pPr>
      <w:r>
        <w:t>F</w:t>
      </w:r>
      <w:r w:rsidRPr="00DD6BCB">
        <w:t xml:space="preserve">or example, the ABS can release statistics that might identify a business, such as information relating to the agriculture or building </w:t>
      </w:r>
      <w:r>
        <w:t xml:space="preserve">and </w:t>
      </w:r>
      <w:r w:rsidRPr="00DD6BCB">
        <w:t>construction sectors. The ABS can also share, with other government entities</w:t>
      </w:r>
      <w:r>
        <w:t xml:space="preserve"> only</w:t>
      </w:r>
      <w:r w:rsidRPr="00DD6BCB">
        <w:t xml:space="preserve">, lists that identify </w:t>
      </w:r>
      <w:r>
        <w:t xml:space="preserve">a </w:t>
      </w:r>
      <w:r w:rsidRPr="00DD6BCB">
        <w:t>business or organisation provided that those entities do</w:t>
      </w:r>
      <w:r>
        <w:t xml:space="preserve"> </w:t>
      </w:r>
      <w:r w:rsidRPr="00DD6BCB">
        <w:t>n</w:t>
      </w:r>
      <w:r>
        <w:t>o</w:t>
      </w:r>
      <w:r w:rsidRPr="00DD6BCB">
        <w:t>t use th</w:t>
      </w:r>
      <w:r>
        <w:t>is</w:t>
      </w:r>
      <w:r w:rsidRPr="00DD6BCB">
        <w:t xml:space="preserve"> information for compliance</w:t>
      </w:r>
      <w:r>
        <w:t xml:space="preserve"> or enforcement</w:t>
      </w:r>
      <w:r w:rsidRPr="00DD6BCB">
        <w:t xml:space="preserve"> purposes. </w:t>
      </w:r>
    </w:p>
    <w:p w14:paraId="0A3726B8" w14:textId="77777777" w:rsidR="00640B4B" w:rsidRDefault="00640B4B">
      <w:pPr>
        <w:spacing w:before="0" w:after="160" w:line="259" w:lineRule="auto"/>
      </w:pPr>
      <w:r>
        <w:br w:type="page"/>
      </w:r>
    </w:p>
    <w:p w14:paraId="00D516DF" w14:textId="77777777" w:rsidR="009842A0" w:rsidRPr="009842A0"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9842A0">
        <w:rPr>
          <w:rFonts w:asciiTheme="minorHAnsi" w:hAnsiTheme="minorHAnsi"/>
          <w:b/>
          <w:color w:val="171717" w:themeColor="background2" w:themeShade="1A"/>
        </w:rPr>
        <w:lastRenderedPageBreak/>
        <w:t>Is the Determination still needed?</w:t>
      </w:r>
    </w:p>
    <w:p w14:paraId="09DB1B11" w14:textId="77777777" w:rsidR="009842A0" w:rsidRPr="007D424D" w:rsidRDefault="009842A0" w:rsidP="009842A0">
      <w:pPr>
        <w:keepLines/>
        <w:spacing w:after="0"/>
      </w:pPr>
      <w:r>
        <w:t>T</w:t>
      </w:r>
      <w:r w:rsidRPr="007D424D">
        <w:t>he Determination is vital to enable the ABS to continue to</w:t>
      </w:r>
      <w:r>
        <w:t xml:space="preserve"> produce detailed statistical outputs in response to demand from policy makers and the wider research community.</w:t>
      </w:r>
      <w:r w:rsidRPr="007D424D">
        <w:t xml:space="preserve"> Without the Determination, the range of relevant and timely information </w:t>
      </w:r>
      <w:r>
        <w:t>delivered</w:t>
      </w:r>
      <w:r w:rsidRPr="007D424D">
        <w:t xml:space="preserve"> by the ABS would be significantly reduced.</w:t>
      </w:r>
    </w:p>
    <w:p w14:paraId="35AA1B8B" w14:textId="77777777" w:rsidR="009842A0" w:rsidRPr="00425AED" w:rsidRDefault="009842A0" w:rsidP="009842A0">
      <w:pPr>
        <w:keepLines/>
        <w:spacing w:after="0"/>
        <w:rPr>
          <w:color w:val="171717" w:themeColor="background2" w:themeShade="1A"/>
        </w:rPr>
      </w:pPr>
    </w:p>
    <w:p w14:paraId="59EF6399" w14:textId="77777777" w:rsidR="009842A0" w:rsidRPr="00425AED"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t xml:space="preserve">Does the </w:t>
      </w:r>
      <w:hyperlink r:id="rId19" w:history="1">
        <w:r w:rsidRPr="00640B4B">
          <w:rPr>
            <w:rStyle w:val="Hyperlink"/>
            <w:rFonts w:asciiTheme="minorHAnsi" w:hAnsiTheme="minorHAnsi"/>
            <w:b/>
            <w:u w:val="single"/>
          </w:rPr>
          <w:t>current</w:t>
        </w:r>
      </w:hyperlink>
      <w:r w:rsidRPr="00425AED">
        <w:rPr>
          <w:rFonts w:asciiTheme="minorHAnsi" w:hAnsiTheme="minorHAnsi"/>
          <w:b/>
          <w:color w:val="171717" w:themeColor="background2" w:themeShade="1A"/>
        </w:rPr>
        <w:t xml:space="preserve"> Determination need to be updated?</w:t>
      </w:r>
    </w:p>
    <w:p w14:paraId="4FCCBA60" w14:textId="77777777" w:rsidR="009842A0" w:rsidRDefault="009842A0" w:rsidP="009842A0">
      <w:pPr>
        <w:keepLines/>
        <w:spacing w:after="0"/>
        <w:rPr>
          <w:color w:val="171717" w:themeColor="background2" w:themeShade="1A"/>
        </w:rPr>
      </w:pPr>
      <w:r>
        <w:rPr>
          <w:color w:val="171717" w:themeColor="background2" w:themeShade="1A"/>
        </w:rPr>
        <w:t>T</w:t>
      </w:r>
      <w:r w:rsidRPr="00425AED">
        <w:rPr>
          <w:color w:val="171717" w:themeColor="background2" w:themeShade="1A"/>
        </w:rPr>
        <w:t xml:space="preserve">he Determination was last updated ten years ago and this review is an opportunity to assess whether the Determination is still fit for purpose. </w:t>
      </w:r>
      <w:r>
        <w:rPr>
          <w:color w:val="171717" w:themeColor="background2" w:themeShade="1A"/>
        </w:rPr>
        <w:t xml:space="preserve">For example, this is an opportunity </w:t>
      </w:r>
      <w:r w:rsidRPr="00425AED">
        <w:rPr>
          <w:color w:val="171717" w:themeColor="background2" w:themeShade="1A"/>
        </w:rPr>
        <w:t>to ensure that the information that the ABS can release</w:t>
      </w:r>
      <w:r>
        <w:rPr>
          <w:color w:val="171717" w:themeColor="background2" w:themeShade="1A"/>
        </w:rPr>
        <w:t xml:space="preserve">, the level of detail, and who that information can be released to, </w:t>
      </w:r>
      <w:r w:rsidRPr="00425AED">
        <w:rPr>
          <w:color w:val="171717" w:themeColor="background2" w:themeShade="1A"/>
        </w:rPr>
        <w:t xml:space="preserve">keeps pace with </w:t>
      </w:r>
      <w:r>
        <w:rPr>
          <w:color w:val="171717" w:themeColor="background2" w:themeShade="1A"/>
        </w:rPr>
        <w:t>community expectations</w:t>
      </w:r>
      <w:r w:rsidRPr="00425AED">
        <w:rPr>
          <w:color w:val="171717" w:themeColor="background2" w:themeShade="1A"/>
        </w:rPr>
        <w:t xml:space="preserve">. </w:t>
      </w:r>
    </w:p>
    <w:p w14:paraId="7C16CDE3" w14:textId="77777777" w:rsidR="009842A0" w:rsidRDefault="009842A0" w:rsidP="009842A0">
      <w:pPr>
        <w:keepLines/>
        <w:spacing w:after="0"/>
        <w:rPr>
          <w:color w:val="171717" w:themeColor="background2" w:themeShade="1A"/>
        </w:rPr>
      </w:pPr>
      <w:r>
        <w:rPr>
          <w:color w:val="171717" w:themeColor="background2" w:themeShade="1A"/>
        </w:rPr>
        <w:t xml:space="preserve">The changes which are being put forward will modernise the Determination by enabling statistical information to be accessible in sufficient detail to meet the analysis and decision making needs of stakeholders. </w:t>
      </w:r>
    </w:p>
    <w:p w14:paraId="11E57594" w14:textId="77777777" w:rsidR="009842A0" w:rsidRPr="00425AED" w:rsidRDefault="009842A0" w:rsidP="009842A0">
      <w:pPr>
        <w:spacing w:after="0"/>
        <w:rPr>
          <w:color w:val="171717" w:themeColor="background2" w:themeShade="1A"/>
        </w:rPr>
      </w:pPr>
      <w:r>
        <w:rPr>
          <w:color w:val="171717" w:themeColor="background2" w:themeShade="1A"/>
        </w:rPr>
        <w:t xml:space="preserve">The proposed changes </w:t>
      </w:r>
      <w:r w:rsidRPr="00425AED">
        <w:rPr>
          <w:color w:val="171717" w:themeColor="background2" w:themeShade="1A"/>
        </w:rPr>
        <w:t>need to be balanced against the desire of business and other organisations to protect commercially sensitive business information.</w:t>
      </w:r>
      <w:r>
        <w:rPr>
          <w:color w:val="171717" w:themeColor="background2" w:themeShade="1A"/>
        </w:rPr>
        <w:t xml:space="preserve"> </w:t>
      </w:r>
      <w:r w:rsidRPr="00425AED">
        <w:rPr>
          <w:color w:val="171717" w:themeColor="background2" w:themeShade="1A"/>
        </w:rPr>
        <w:t xml:space="preserve">For example, the new Determination could provide the ABS with greater flexibility to publicly release information that might identify a business where that information is already publicly available. This could include, for example, published information identifying charities, which is similar to information published by the </w:t>
      </w:r>
      <w:hyperlink r:id="rId20" w:history="1">
        <w:r w:rsidRPr="00640B4B">
          <w:rPr>
            <w:rStyle w:val="Hyperlink"/>
            <w:u w:val="single"/>
          </w:rPr>
          <w:t>Australian Charities and Not-for-profits Commission</w:t>
        </w:r>
      </w:hyperlink>
      <w:r>
        <w:rPr>
          <w:color w:val="171717" w:themeColor="background2" w:themeShade="1A"/>
        </w:rPr>
        <w:t>.</w:t>
      </w:r>
    </w:p>
    <w:p w14:paraId="2ADC68D6" w14:textId="77777777" w:rsidR="009842A0" w:rsidRPr="00425AED" w:rsidRDefault="009842A0" w:rsidP="009842A0">
      <w:pPr>
        <w:spacing w:after="0"/>
        <w:rPr>
          <w:color w:val="171717" w:themeColor="background2" w:themeShade="1A"/>
        </w:rPr>
      </w:pPr>
    </w:p>
    <w:p w14:paraId="64AEAAD0" w14:textId="77777777" w:rsidR="009842A0" w:rsidRPr="00425AED"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t xml:space="preserve">Will a </w:t>
      </w:r>
      <w:r w:rsidRPr="00CB0ECA">
        <w:rPr>
          <w:rFonts w:asciiTheme="minorHAnsi" w:hAnsiTheme="minorHAnsi"/>
          <w:b/>
          <w:color w:val="171717" w:themeColor="background2" w:themeShade="1A"/>
          <w:u w:val="single"/>
        </w:rPr>
        <w:t>new</w:t>
      </w:r>
      <w:r w:rsidRPr="00425AED">
        <w:rPr>
          <w:rFonts w:asciiTheme="minorHAnsi" w:hAnsiTheme="minorHAnsi"/>
          <w:b/>
          <w:color w:val="171717" w:themeColor="background2" w:themeShade="1A"/>
        </w:rPr>
        <w:t xml:space="preserve"> Determination allow for the release </w:t>
      </w:r>
      <w:r>
        <w:rPr>
          <w:rFonts w:asciiTheme="minorHAnsi" w:hAnsiTheme="minorHAnsi"/>
          <w:b/>
          <w:color w:val="171717" w:themeColor="background2" w:themeShade="1A"/>
        </w:rPr>
        <w:t xml:space="preserve">or sharing </w:t>
      </w:r>
      <w:r w:rsidRPr="00425AED">
        <w:rPr>
          <w:rFonts w:asciiTheme="minorHAnsi" w:hAnsiTheme="minorHAnsi"/>
          <w:b/>
          <w:color w:val="171717" w:themeColor="background2" w:themeShade="1A"/>
        </w:rPr>
        <w:t>of information that is likely to identify a person?</w:t>
      </w:r>
    </w:p>
    <w:p w14:paraId="1BDBDBEF" w14:textId="77777777" w:rsidR="009842A0" w:rsidRDefault="009842A0" w:rsidP="009842A0">
      <w:pPr>
        <w:spacing w:after="0"/>
        <w:rPr>
          <w:color w:val="171717" w:themeColor="background2" w:themeShade="1A"/>
        </w:rPr>
      </w:pPr>
      <w:r>
        <w:rPr>
          <w:color w:val="171717" w:themeColor="background2" w:themeShade="1A"/>
        </w:rPr>
        <w:t>T</w:t>
      </w:r>
      <w:r w:rsidRPr="00425AED">
        <w:rPr>
          <w:color w:val="171717" w:themeColor="background2" w:themeShade="1A"/>
        </w:rPr>
        <w:t xml:space="preserve">he Determination does not, nor could it ever, allow for the release of information </w:t>
      </w:r>
      <w:r>
        <w:rPr>
          <w:color w:val="171717" w:themeColor="background2" w:themeShade="1A"/>
        </w:rPr>
        <w:t>of a personal or domestic nature i</w:t>
      </w:r>
      <w:r w:rsidRPr="00C5110E">
        <w:rPr>
          <w:color w:val="171717" w:themeColor="background2" w:themeShade="1A"/>
        </w:rPr>
        <w:t xml:space="preserve">n a manner that is likely to enable the identification of </w:t>
      </w:r>
      <w:r w:rsidRPr="00425AED">
        <w:rPr>
          <w:color w:val="171717" w:themeColor="background2" w:themeShade="1A"/>
        </w:rPr>
        <w:t>a person.</w:t>
      </w:r>
    </w:p>
    <w:p w14:paraId="5C9128A7" w14:textId="77777777" w:rsidR="009842A0" w:rsidRPr="00DD6BCB" w:rsidRDefault="009842A0" w:rsidP="009842A0">
      <w:pPr>
        <w:spacing w:after="0"/>
      </w:pPr>
      <w:r>
        <w:t xml:space="preserve">In certain situations, the Determination may restrict the ABS from releasing the business dealings of a person, </w:t>
      </w:r>
      <w:r w:rsidRPr="003C2D90">
        <w:t>for example, in the case of a sole trader if the data would identify a person.</w:t>
      </w:r>
    </w:p>
    <w:p w14:paraId="47D17DC9" w14:textId="77777777" w:rsidR="009842A0" w:rsidRDefault="009842A0" w:rsidP="009842A0">
      <w:pPr>
        <w:spacing w:after="0"/>
        <w:rPr>
          <w:color w:val="171717" w:themeColor="background2" w:themeShade="1A"/>
        </w:rPr>
      </w:pPr>
    </w:p>
    <w:p w14:paraId="4AD3702B" w14:textId="77777777" w:rsidR="009842A0" w:rsidRPr="00F35B7C" w:rsidRDefault="009842A0" w:rsidP="009842A0">
      <w:pPr>
        <w:pStyle w:val="ListParagraph"/>
        <w:numPr>
          <w:ilvl w:val="0"/>
          <w:numId w:val="15"/>
        </w:numPr>
        <w:spacing w:after="120"/>
        <w:ind w:left="357" w:hanging="357"/>
        <w:rPr>
          <w:rFonts w:asciiTheme="minorHAnsi" w:hAnsiTheme="minorHAnsi"/>
          <w:b/>
        </w:rPr>
      </w:pPr>
      <w:r w:rsidRPr="00F35B7C">
        <w:rPr>
          <w:rFonts w:asciiTheme="minorHAnsi" w:hAnsiTheme="minorHAnsi"/>
          <w:b/>
        </w:rPr>
        <w:t xml:space="preserve">Will a </w:t>
      </w:r>
      <w:r w:rsidRPr="00F35B7C">
        <w:rPr>
          <w:rFonts w:asciiTheme="minorHAnsi" w:hAnsiTheme="minorHAnsi"/>
          <w:b/>
          <w:u w:val="single"/>
        </w:rPr>
        <w:t>new</w:t>
      </w:r>
      <w:r w:rsidRPr="00F35B7C">
        <w:rPr>
          <w:rFonts w:asciiTheme="minorHAnsi" w:hAnsiTheme="minorHAnsi"/>
          <w:b/>
        </w:rPr>
        <w:t xml:space="preserve"> Determination still allow for the release or sharing of information that is likely to identify a business or organisation?</w:t>
      </w:r>
    </w:p>
    <w:p w14:paraId="2C830DE5" w14:textId="77777777" w:rsidR="009842A0" w:rsidRDefault="009842A0" w:rsidP="009842A0">
      <w:pPr>
        <w:spacing w:after="0"/>
        <w:rPr>
          <w:color w:val="171717" w:themeColor="background2" w:themeShade="1A"/>
        </w:rPr>
      </w:pPr>
      <w:r>
        <w:t>S</w:t>
      </w:r>
      <w:r w:rsidRPr="00F35B7C">
        <w:t>imilar to the current Determination</w:t>
      </w:r>
      <w:r>
        <w:t>, a new Determination may permit the release of information that identifies, or is likely to identify, a business or organisation</w:t>
      </w:r>
      <w:r w:rsidRPr="00F35B7C">
        <w:t>. For example, the ABS will still be able to release statistics that might identify a business, such as information relating to agricu</w:t>
      </w:r>
      <w:r>
        <w:t>lture or building and construction, or lists of business characteristics.</w:t>
      </w:r>
      <w:r>
        <w:rPr>
          <w:color w:val="171717" w:themeColor="background2" w:themeShade="1A"/>
        </w:rPr>
        <w:tab/>
      </w:r>
    </w:p>
    <w:p w14:paraId="3AB8CFBA" w14:textId="77777777" w:rsidR="009842A0" w:rsidRPr="00B14BE7" w:rsidRDefault="009842A0" w:rsidP="009842A0">
      <w:pPr>
        <w:spacing w:after="0"/>
      </w:pPr>
    </w:p>
    <w:p w14:paraId="5F05DBA0" w14:textId="77777777" w:rsidR="009842A0" w:rsidRPr="00425AED" w:rsidRDefault="009842A0" w:rsidP="009842A0">
      <w:pPr>
        <w:pStyle w:val="ListParagraph"/>
        <w:numPr>
          <w:ilvl w:val="0"/>
          <w:numId w:val="15"/>
        </w:numPr>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t xml:space="preserve">What are the proposed changes </w:t>
      </w:r>
      <w:r>
        <w:rPr>
          <w:rFonts w:asciiTheme="minorHAnsi" w:hAnsiTheme="minorHAnsi"/>
          <w:b/>
          <w:color w:val="171717" w:themeColor="background2" w:themeShade="1A"/>
        </w:rPr>
        <w:t>for a</w:t>
      </w:r>
      <w:r w:rsidRPr="00425AED">
        <w:rPr>
          <w:rFonts w:asciiTheme="minorHAnsi" w:hAnsiTheme="minorHAnsi"/>
          <w:b/>
          <w:color w:val="171717" w:themeColor="background2" w:themeShade="1A"/>
        </w:rPr>
        <w:t xml:space="preserve"> </w:t>
      </w:r>
      <w:r w:rsidRPr="00CB0ECA">
        <w:rPr>
          <w:rFonts w:asciiTheme="minorHAnsi" w:hAnsiTheme="minorHAnsi"/>
          <w:b/>
          <w:color w:val="171717" w:themeColor="background2" w:themeShade="1A"/>
          <w:u w:val="single"/>
        </w:rPr>
        <w:t>new</w:t>
      </w:r>
      <w:r>
        <w:rPr>
          <w:rFonts w:asciiTheme="minorHAnsi" w:hAnsiTheme="minorHAnsi"/>
          <w:b/>
          <w:color w:val="171717" w:themeColor="background2" w:themeShade="1A"/>
        </w:rPr>
        <w:t xml:space="preserve"> </w:t>
      </w:r>
      <w:r w:rsidRPr="00425AED">
        <w:rPr>
          <w:rFonts w:asciiTheme="minorHAnsi" w:hAnsiTheme="minorHAnsi"/>
          <w:b/>
          <w:color w:val="171717" w:themeColor="background2" w:themeShade="1A"/>
        </w:rPr>
        <w:t>Determination?</w:t>
      </w:r>
    </w:p>
    <w:p w14:paraId="7EC766C8" w14:textId="77777777" w:rsidR="00640B4B" w:rsidRDefault="009842A0" w:rsidP="00640B4B">
      <w:pPr>
        <w:spacing w:after="0"/>
        <w:rPr>
          <w:color w:val="171717" w:themeColor="background2" w:themeShade="1A"/>
        </w:rPr>
      </w:pPr>
      <w:r w:rsidRPr="00425AED">
        <w:rPr>
          <w:color w:val="171717" w:themeColor="background2" w:themeShade="1A"/>
        </w:rPr>
        <w:t>The proposed changes are</w:t>
      </w:r>
      <w:r w:rsidRPr="00425AED">
        <w:rPr>
          <w:b/>
          <w:color w:val="171717" w:themeColor="background2" w:themeShade="1A"/>
        </w:rPr>
        <w:t xml:space="preserve"> </w:t>
      </w:r>
      <w:r>
        <w:rPr>
          <w:color w:val="171717" w:themeColor="background2" w:themeShade="1A"/>
        </w:rPr>
        <w:t xml:space="preserve">outlined in </w:t>
      </w:r>
      <w:r w:rsidRPr="009D3076">
        <w:rPr>
          <w:color w:val="171717" w:themeColor="background2" w:themeShade="1A"/>
          <w:u w:val="single"/>
        </w:rPr>
        <w:t>Table 1</w:t>
      </w:r>
      <w:r>
        <w:rPr>
          <w:color w:val="171717" w:themeColor="background2" w:themeShade="1A"/>
        </w:rPr>
        <w:t xml:space="preserve"> of the </w:t>
      </w:r>
      <w:r w:rsidR="00810646">
        <w:rPr>
          <w:color w:val="171717" w:themeColor="background2" w:themeShade="1A"/>
        </w:rPr>
        <w:t>c</w:t>
      </w:r>
      <w:r>
        <w:rPr>
          <w:color w:val="171717" w:themeColor="background2" w:themeShade="1A"/>
        </w:rPr>
        <w:t xml:space="preserve">onsultation paper. </w:t>
      </w:r>
    </w:p>
    <w:p w14:paraId="42BF08CF" w14:textId="77777777" w:rsidR="00640B4B" w:rsidRDefault="00640B4B" w:rsidP="00640B4B">
      <w:pPr>
        <w:spacing w:after="0"/>
        <w:rPr>
          <w:color w:val="171717" w:themeColor="background2" w:themeShade="1A"/>
        </w:rPr>
      </w:pPr>
    </w:p>
    <w:p w14:paraId="35C1B44F" w14:textId="77777777" w:rsidR="009842A0" w:rsidRPr="00640B4B" w:rsidRDefault="009842A0" w:rsidP="00640B4B">
      <w:pPr>
        <w:pStyle w:val="ListParagraph"/>
        <w:numPr>
          <w:ilvl w:val="0"/>
          <w:numId w:val="15"/>
        </w:numPr>
        <w:ind w:left="357" w:hanging="357"/>
        <w:rPr>
          <w:rFonts w:asciiTheme="minorHAnsi" w:hAnsiTheme="minorHAnsi"/>
          <w:b/>
          <w:color w:val="171717" w:themeColor="background2" w:themeShade="1A"/>
        </w:rPr>
      </w:pPr>
      <w:r w:rsidRPr="00640B4B">
        <w:rPr>
          <w:rFonts w:asciiTheme="minorHAnsi" w:hAnsiTheme="minorHAnsi"/>
          <w:b/>
          <w:color w:val="171717" w:themeColor="background2" w:themeShade="1A"/>
        </w:rPr>
        <w:t xml:space="preserve">Will a </w:t>
      </w:r>
      <w:r w:rsidRPr="00810646">
        <w:rPr>
          <w:rFonts w:asciiTheme="minorHAnsi" w:hAnsiTheme="minorHAnsi"/>
          <w:b/>
          <w:color w:val="171717" w:themeColor="background2" w:themeShade="1A"/>
          <w:u w:val="single"/>
        </w:rPr>
        <w:t>new</w:t>
      </w:r>
      <w:r w:rsidRPr="00640B4B">
        <w:rPr>
          <w:rFonts w:asciiTheme="minorHAnsi" w:hAnsiTheme="minorHAnsi"/>
          <w:b/>
          <w:color w:val="171717" w:themeColor="background2" w:themeShade="1A"/>
        </w:rPr>
        <w:t xml:space="preserve"> Determination influence the number of surveys that I have to fill in?</w:t>
      </w:r>
    </w:p>
    <w:p w14:paraId="632EFCA2" w14:textId="77777777" w:rsidR="00640B4B" w:rsidRDefault="009842A0" w:rsidP="00640B4B">
      <w:pPr>
        <w:spacing w:after="0"/>
        <w:rPr>
          <w:color w:val="171717" w:themeColor="background2" w:themeShade="1A"/>
        </w:rPr>
      </w:pPr>
      <w:r>
        <w:rPr>
          <w:color w:val="171717" w:themeColor="background2" w:themeShade="1A"/>
        </w:rPr>
        <w:t>T</w:t>
      </w:r>
      <w:r w:rsidRPr="00425AED">
        <w:rPr>
          <w:color w:val="171717" w:themeColor="background2" w:themeShade="1A"/>
        </w:rPr>
        <w:t>he current Determination does not cover the collection of statistical information. It only covers the release of statistical information.</w:t>
      </w:r>
    </w:p>
    <w:p w14:paraId="1C9ECD10" w14:textId="77777777" w:rsidR="00640B4B" w:rsidRDefault="00640B4B" w:rsidP="00640B4B">
      <w:pPr>
        <w:spacing w:after="0"/>
        <w:rPr>
          <w:color w:val="171717" w:themeColor="background2" w:themeShade="1A"/>
        </w:rPr>
      </w:pPr>
    </w:p>
    <w:p w14:paraId="132D9C1B" w14:textId="77777777" w:rsidR="00640B4B" w:rsidRDefault="00640B4B">
      <w:pPr>
        <w:spacing w:before="0" w:after="160" w:line="259" w:lineRule="auto"/>
        <w:rPr>
          <w:color w:val="171717" w:themeColor="background2" w:themeShade="1A"/>
        </w:rPr>
      </w:pPr>
      <w:r>
        <w:rPr>
          <w:color w:val="171717" w:themeColor="background2" w:themeShade="1A"/>
        </w:rPr>
        <w:br w:type="page"/>
      </w:r>
    </w:p>
    <w:p w14:paraId="57CA819D" w14:textId="77777777" w:rsidR="009842A0" w:rsidRPr="00425AED" w:rsidRDefault="009842A0" w:rsidP="00640B4B">
      <w:pPr>
        <w:pStyle w:val="ListParagraph"/>
        <w:numPr>
          <w:ilvl w:val="0"/>
          <w:numId w:val="15"/>
        </w:numPr>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lastRenderedPageBreak/>
        <w:t xml:space="preserve">Will a </w:t>
      </w:r>
      <w:r w:rsidRPr="00810646">
        <w:rPr>
          <w:rFonts w:asciiTheme="minorHAnsi" w:hAnsiTheme="minorHAnsi"/>
          <w:b/>
          <w:color w:val="171717" w:themeColor="background2" w:themeShade="1A"/>
          <w:u w:val="single"/>
        </w:rPr>
        <w:t>new</w:t>
      </w:r>
      <w:r w:rsidRPr="00425AED">
        <w:rPr>
          <w:rFonts w:asciiTheme="minorHAnsi" w:hAnsiTheme="minorHAnsi"/>
          <w:b/>
          <w:color w:val="171717" w:themeColor="background2" w:themeShade="1A"/>
        </w:rPr>
        <w:t xml:space="preserve"> Determination </w:t>
      </w:r>
      <w:r>
        <w:rPr>
          <w:rFonts w:asciiTheme="minorHAnsi" w:hAnsiTheme="minorHAnsi"/>
          <w:b/>
          <w:color w:val="171717" w:themeColor="background2" w:themeShade="1A"/>
        </w:rPr>
        <w:t>affect</w:t>
      </w:r>
      <w:r w:rsidRPr="00425AED">
        <w:rPr>
          <w:rFonts w:asciiTheme="minorHAnsi" w:hAnsiTheme="minorHAnsi"/>
          <w:b/>
          <w:color w:val="171717" w:themeColor="background2" w:themeShade="1A"/>
        </w:rPr>
        <w:t xml:space="preserve"> small businesses?</w:t>
      </w:r>
    </w:p>
    <w:p w14:paraId="0EDB3AA8" w14:textId="77777777" w:rsidR="009842A0" w:rsidRPr="00425AED" w:rsidRDefault="009842A0" w:rsidP="009842A0">
      <w:pPr>
        <w:spacing w:after="0"/>
        <w:rPr>
          <w:color w:val="171717" w:themeColor="background2" w:themeShade="1A"/>
        </w:rPr>
      </w:pPr>
      <w:r>
        <w:rPr>
          <w:color w:val="171717" w:themeColor="background2" w:themeShade="1A"/>
        </w:rPr>
        <w:t>T</w:t>
      </w:r>
      <w:r w:rsidRPr="00425AED">
        <w:rPr>
          <w:color w:val="171717" w:themeColor="background2" w:themeShade="1A"/>
        </w:rPr>
        <w:t xml:space="preserve">here will be no </w:t>
      </w:r>
      <w:r>
        <w:rPr>
          <w:color w:val="171717" w:themeColor="background2" w:themeShade="1A"/>
        </w:rPr>
        <w:t xml:space="preserve">impact on small business as a result of the proposed changes to the Determination. </w:t>
      </w:r>
      <w:r w:rsidRPr="00425AED">
        <w:rPr>
          <w:color w:val="171717" w:themeColor="background2" w:themeShade="1A"/>
        </w:rPr>
        <w:t xml:space="preserve">For example, the ABS will continue to publicly release high level information about certain industries, such as agriculture or building </w:t>
      </w:r>
      <w:r>
        <w:rPr>
          <w:color w:val="171717" w:themeColor="background2" w:themeShade="1A"/>
        </w:rPr>
        <w:t xml:space="preserve">and </w:t>
      </w:r>
      <w:r w:rsidRPr="00425AED">
        <w:rPr>
          <w:color w:val="171717" w:themeColor="background2" w:themeShade="1A"/>
        </w:rPr>
        <w:t xml:space="preserve">construction, provided that </w:t>
      </w:r>
      <w:r>
        <w:rPr>
          <w:color w:val="171717" w:themeColor="background2" w:themeShade="1A"/>
        </w:rPr>
        <w:t xml:space="preserve">information of a personal or domestic nature </w:t>
      </w:r>
      <w:r w:rsidRPr="00425AED">
        <w:rPr>
          <w:color w:val="171717" w:themeColor="background2" w:themeShade="1A"/>
        </w:rPr>
        <w:t xml:space="preserve">is </w:t>
      </w:r>
      <w:r>
        <w:rPr>
          <w:color w:val="171717" w:themeColor="background2" w:themeShade="1A"/>
        </w:rPr>
        <w:t>not released in a way that is likely to enable the identification of a person</w:t>
      </w:r>
      <w:r w:rsidRPr="00425AED">
        <w:rPr>
          <w:color w:val="171717" w:themeColor="background2" w:themeShade="1A"/>
        </w:rPr>
        <w:t>. Lists of identifiable business information, such as name, address and industry will continue to be shared with government entities</w:t>
      </w:r>
      <w:r>
        <w:rPr>
          <w:color w:val="171717" w:themeColor="background2" w:themeShade="1A"/>
        </w:rPr>
        <w:t>, and are proposed to be released to a</w:t>
      </w:r>
      <w:r w:rsidRPr="00425AED">
        <w:rPr>
          <w:color w:val="171717" w:themeColor="background2" w:themeShade="1A"/>
        </w:rPr>
        <w:t xml:space="preserve"> </w:t>
      </w:r>
      <w:r>
        <w:rPr>
          <w:color w:val="171717" w:themeColor="background2" w:themeShade="1A"/>
        </w:rPr>
        <w:t xml:space="preserve">broader group of users (see b(i) in </w:t>
      </w:r>
      <w:r w:rsidRPr="009D3076">
        <w:rPr>
          <w:color w:val="171717" w:themeColor="background2" w:themeShade="1A"/>
          <w:u w:val="single"/>
        </w:rPr>
        <w:t>Table 1</w:t>
      </w:r>
      <w:r w:rsidR="00810646">
        <w:rPr>
          <w:color w:val="171717" w:themeColor="background2" w:themeShade="1A"/>
        </w:rPr>
        <w:t xml:space="preserve"> of the c</w:t>
      </w:r>
      <w:r>
        <w:rPr>
          <w:color w:val="171717" w:themeColor="background2" w:themeShade="1A"/>
        </w:rPr>
        <w:t xml:space="preserve">onsultation paper), still </w:t>
      </w:r>
      <w:r w:rsidRPr="00425AED">
        <w:rPr>
          <w:color w:val="171717" w:themeColor="background2" w:themeShade="1A"/>
        </w:rPr>
        <w:t>with conditions and restrictions on use</w:t>
      </w:r>
      <w:r>
        <w:rPr>
          <w:color w:val="171717" w:themeColor="background2" w:themeShade="1A"/>
        </w:rPr>
        <w:t xml:space="preserve"> in place</w:t>
      </w:r>
      <w:r w:rsidRPr="00425AED">
        <w:rPr>
          <w:color w:val="171717" w:themeColor="background2" w:themeShade="1A"/>
        </w:rPr>
        <w:t xml:space="preserve">. </w:t>
      </w:r>
    </w:p>
    <w:p w14:paraId="0B65F19D" w14:textId="77777777" w:rsidR="009842A0" w:rsidRPr="00425AED" w:rsidRDefault="009842A0" w:rsidP="009842A0">
      <w:pPr>
        <w:spacing w:after="0"/>
        <w:rPr>
          <w:color w:val="171717" w:themeColor="background2" w:themeShade="1A"/>
        </w:rPr>
      </w:pPr>
    </w:p>
    <w:p w14:paraId="60F2B873" w14:textId="77777777" w:rsidR="009842A0" w:rsidRPr="00425AED"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t xml:space="preserve">Will a </w:t>
      </w:r>
      <w:r w:rsidRPr="00CB0ECA">
        <w:rPr>
          <w:rFonts w:asciiTheme="minorHAnsi" w:hAnsiTheme="minorHAnsi"/>
          <w:b/>
          <w:color w:val="171717" w:themeColor="background2" w:themeShade="1A"/>
          <w:u w:val="single"/>
        </w:rPr>
        <w:t>new</w:t>
      </w:r>
      <w:r w:rsidRPr="00425AED">
        <w:rPr>
          <w:rFonts w:asciiTheme="minorHAnsi" w:hAnsiTheme="minorHAnsi"/>
          <w:b/>
          <w:color w:val="171717" w:themeColor="background2" w:themeShade="1A"/>
        </w:rPr>
        <w:t xml:space="preserve"> Determination still include controls on the release of statistical information?</w:t>
      </w:r>
    </w:p>
    <w:p w14:paraId="5A9AF841" w14:textId="77777777" w:rsidR="009842A0" w:rsidRPr="00425AED" w:rsidRDefault="009842A0" w:rsidP="009842A0">
      <w:pPr>
        <w:spacing w:after="0"/>
        <w:rPr>
          <w:color w:val="171717" w:themeColor="background2" w:themeShade="1A"/>
        </w:rPr>
      </w:pPr>
      <w:r>
        <w:rPr>
          <w:color w:val="171717" w:themeColor="background2" w:themeShade="1A"/>
        </w:rPr>
        <w:t>In</w:t>
      </w:r>
      <w:r w:rsidRPr="00425AED">
        <w:rPr>
          <w:color w:val="171717" w:themeColor="background2" w:themeShade="1A"/>
        </w:rPr>
        <w:t xml:space="preserve"> all instances the release of this information would </w:t>
      </w:r>
      <w:r>
        <w:rPr>
          <w:color w:val="171717" w:themeColor="background2" w:themeShade="1A"/>
        </w:rPr>
        <w:t>continue to require approval from the</w:t>
      </w:r>
      <w:r w:rsidRPr="00425AED">
        <w:rPr>
          <w:color w:val="171717" w:themeColor="background2" w:themeShade="1A"/>
        </w:rPr>
        <w:t xml:space="preserve"> Australian Statistician</w:t>
      </w:r>
      <w:r>
        <w:rPr>
          <w:color w:val="171717" w:themeColor="background2" w:themeShade="1A"/>
        </w:rPr>
        <w:t xml:space="preserve"> or their delegate</w:t>
      </w:r>
      <w:r w:rsidRPr="00425AED">
        <w:rPr>
          <w:color w:val="171717" w:themeColor="background2" w:themeShade="1A"/>
        </w:rPr>
        <w:t xml:space="preserve">. </w:t>
      </w:r>
      <w:r>
        <w:rPr>
          <w:color w:val="171717" w:themeColor="background2" w:themeShade="1A"/>
        </w:rPr>
        <w:t>R</w:t>
      </w:r>
      <w:r w:rsidRPr="00425AED">
        <w:rPr>
          <w:color w:val="171717" w:themeColor="background2" w:themeShade="1A"/>
        </w:rPr>
        <w:t xml:space="preserve">estrictions or conditions </w:t>
      </w:r>
      <w:r>
        <w:rPr>
          <w:color w:val="171717" w:themeColor="background2" w:themeShade="1A"/>
        </w:rPr>
        <w:t>will continue to apply,</w:t>
      </w:r>
      <w:r w:rsidRPr="00425AED">
        <w:rPr>
          <w:color w:val="171717" w:themeColor="background2" w:themeShade="1A"/>
        </w:rPr>
        <w:t xml:space="preserve"> eith</w:t>
      </w:r>
      <w:r>
        <w:rPr>
          <w:color w:val="171717" w:themeColor="background2" w:themeShade="1A"/>
        </w:rPr>
        <w:t>er as outlined in the Determination or in an</w:t>
      </w:r>
      <w:r w:rsidRPr="00425AED">
        <w:rPr>
          <w:color w:val="171717" w:themeColor="background2" w:themeShade="1A"/>
        </w:rPr>
        <w:t xml:space="preserve"> </w:t>
      </w:r>
      <w:r>
        <w:rPr>
          <w:color w:val="171717" w:themeColor="background2" w:themeShade="1A"/>
        </w:rPr>
        <w:t xml:space="preserve">Undertaking signed by the recipient. Penalties may apply for any breach of these restrictions or conditions. </w:t>
      </w:r>
    </w:p>
    <w:p w14:paraId="0632C5B6" w14:textId="77777777" w:rsidR="009842A0" w:rsidRPr="00425AED" w:rsidRDefault="009842A0" w:rsidP="009842A0">
      <w:pPr>
        <w:spacing w:after="0"/>
        <w:rPr>
          <w:b/>
          <w:color w:val="171717" w:themeColor="background2" w:themeShade="1A"/>
        </w:rPr>
      </w:pPr>
    </w:p>
    <w:p w14:paraId="64D78067" w14:textId="77777777" w:rsidR="009842A0" w:rsidRPr="00425AED"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t xml:space="preserve">Who will benefit from a </w:t>
      </w:r>
      <w:r w:rsidRPr="00CB0ECA">
        <w:rPr>
          <w:rFonts w:asciiTheme="minorHAnsi" w:hAnsiTheme="minorHAnsi"/>
          <w:b/>
          <w:color w:val="171717" w:themeColor="background2" w:themeShade="1A"/>
          <w:u w:val="single"/>
        </w:rPr>
        <w:t>new</w:t>
      </w:r>
      <w:r w:rsidRPr="00425AED">
        <w:rPr>
          <w:rFonts w:asciiTheme="minorHAnsi" w:hAnsiTheme="minorHAnsi"/>
          <w:b/>
          <w:color w:val="171717" w:themeColor="background2" w:themeShade="1A"/>
        </w:rPr>
        <w:t xml:space="preserve"> Determination?</w:t>
      </w:r>
    </w:p>
    <w:p w14:paraId="3A65CC7B" w14:textId="77777777" w:rsidR="009842A0" w:rsidRPr="00425AED" w:rsidRDefault="009842A0" w:rsidP="009842A0">
      <w:pPr>
        <w:pStyle w:val="ListParagraph"/>
        <w:numPr>
          <w:ilvl w:val="0"/>
          <w:numId w:val="16"/>
        </w:numPr>
        <w:rPr>
          <w:color w:val="171717" w:themeColor="background2" w:themeShade="1A"/>
        </w:rPr>
      </w:pPr>
      <w:r w:rsidRPr="00425AED">
        <w:rPr>
          <w:rFonts w:asciiTheme="minorHAnsi" w:hAnsiTheme="minorHAnsi"/>
          <w:b/>
          <w:color w:val="171717" w:themeColor="background2" w:themeShade="1A"/>
          <w:sz w:val="22"/>
          <w:szCs w:val="22"/>
        </w:rPr>
        <w:t>Businesses</w:t>
      </w:r>
      <w:r w:rsidRPr="00425AED">
        <w:rPr>
          <w:rFonts w:asciiTheme="minorHAnsi" w:hAnsiTheme="minorHAnsi"/>
          <w:color w:val="171717" w:themeColor="background2" w:themeShade="1A"/>
          <w:sz w:val="22"/>
          <w:szCs w:val="22"/>
        </w:rPr>
        <w:t xml:space="preserve"> will benefit from greater availability of information to inform planning, government services, and programs that affect their business. </w:t>
      </w:r>
    </w:p>
    <w:p w14:paraId="6E625516" w14:textId="77777777" w:rsidR="009842A0" w:rsidRPr="00425AED" w:rsidRDefault="009842A0" w:rsidP="009842A0">
      <w:pPr>
        <w:pStyle w:val="ListParagraph"/>
        <w:numPr>
          <w:ilvl w:val="0"/>
          <w:numId w:val="16"/>
        </w:numPr>
        <w:rPr>
          <w:color w:val="171717" w:themeColor="background2" w:themeShade="1A"/>
        </w:rPr>
      </w:pPr>
      <w:r w:rsidRPr="00425AED">
        <w:rPr>
          <w:rFonts w:asciiTheme="minorHAnsi" w:hAnsiTheme="minorHAnsi"/>
          <w:b/>
          <w:color w:val="171717" w:themeColor="background2" w:themeShade="1A"/>
          <w:sz w:val="22"/>
          <w:szCs w:val="22"/>
        </w:rPr>
        <w:t>The public</w:t>
      </w:r>
      <w:r w:rsidRPr="00425AED">
        <w:rPr>
          <w:rFonts w:asciiTheme="minorHAnsi" w:hAnsiTheme="minorHAnsi"/>
          <w:color w:val="171717" w:themeColor="background2" w:themeShade="1A"/>
          <w:sz w:val="22"/>
          <w:szCs w:val="22"/>
        </w:rPr>
        <w:t xml:space="preserve"> will benefit from </w:t>
      </w:r>
      <w:r>
        <w:rPr>
          <w:rFonts w:asciiTheme="minorHAnsi" w:hAnsiTheme="minorHAnsi"/>
          <w:color w:val="171717" w:themeColor="background2" w:themeShade="1A"/>
          <w:sz w:val="22"/>
          <w:szCs w:val="22"/>
        </w:rPr>
        <w:t xml:space="preserve">more evidenced research, </w:t>
      </w:r>
      <w:r w:rsidRPr="00425AED">
        <w:rPr>
          <w:rFonts w:asciiTheme="minorHAnsi" w:hAnsiTheme="minorHAnsi"/>
          <w:color w:val="171717" w:themeColor="background2" w:themeShade="1A"/>
          <w:sz w:val="22"/>
          <w:szCs w:val="22"/>
        </w:rPr>
        <w:t xml:space="preserve">better targeting of programs and policies, and more efficient spending of public money. </w:t>
      </w:r>
    </w:p>
    <w:p w14:paraId="4D6714FE" w14:textId="77777777" w:rsidR="009842A0" w:rsidRPr="00425AED" w:rsidRDefault="009842A0" w:rsidP="009842A0">
      <w:pPr>
        <w:pStyle w:val="ListParagraph"/>
        <w:numPr>
          <w:ilvl w:val="0"/>
          <w:numId w:val="16"/>
        </w:numPr>
        <w:rPr>
          <w:color w:val="171717" w:themeColor="background2" w:themeShade="1A"/>
        </w:rPr>
      </w:pPr>
      <w:r w:rsidRPr="00425AED">
        <w:rPr>
          <w:rFonts w:asciiTheme="minorHAnsi" w:hAnsiTheme="minorHAnsi"/>
          <w:b/>
          <w:color w:val="171717" w:themeColor="background2" w:themeShade="1A"/>
          <w:sz w:val="22"/>
          <w:szCs w:val="22"/>
        </w:rPr>
        <w:t>Governments</w:t>
      </w:r>
      <w:r w:rsidRPr="00425AED">
        <w:rPr>
          <w:rFonts w:asciiTheme="minorHAnsi" w:hAnsiTheme="minorHAnsi"/>
          <w:color w:val="171717" w:themeColor="background2" w:themeShade="1A"/>
          <w:sz w:val="22"/>
          <w:szCs w:val="22"/>
        </w:rPr>
        <w:t xml:space="preserve"> will benefit from better information to make decisions, evaluate programs, inform infrastructure projects, target services, and direct industry assistance</w:t>
      </w:r>
      <w:r>
        <w:rPr>
          <w:rFonts w:asciiTheme="minorHAnsi" w:hAnsiTheme="minorHAnsi"/>
          <w:color w:val="171717" w:themeColor="background2" w:themeShade="1A"/>
          <w:sz w:val="22"/>
          <w:szCs w:val="22"/>
        </w:rPr>
        <w:t>.</w:t>
      </w:r>
    </w:p>
    <w:p w14:paraId="069D329D" w14:textId="77777777" w:rsidR="009842A0" w:rsidRPr="00425AED" w:rsidRDefault="009842A0" w:rsidP="009842A0">
      <w:pPr>
        <w:pStyle w:val="ListParagraph"/>
        <w:numPr>
          <w:ilvl w:val="0"/>
          <w:numId w:val="16"/>
        </w:numPr>
        <w:rPr>
          <w:color w:val="171717" w:themeColor="background2" w:themeShade="1A"/>
        </w:rPr>
      </w:pPr>
      <w:r w:rsidRPr="00425AED">
        <w:rPr>
          <w:rFonts w:asciiTheme="minorHAnsi" w:hAnsiTheme="minorHAnsi"/>
          <w:b/>
          <w:color w:val="171717" w:themeColor="background2" w:themeShade="1A"/>
          <w:sz w:val="22"/>
          <w:szCs w:val="22"/>
        </w:rPr>
        <w:t>Researchers</w:t>
      </w:r>
      <w:r w:rsidRPr="00425AED">
        <w:rPr>
          <w:rFonts w:asciiTheme="minorHAnsi" w:hAnsiTheme="minorHAnsi"/>
          <w:color w:val="171717" w:themeColor="background2" w:themeShade="1A"/>
          <w:sz w:val="22"/>
          <w:szCs w:val="22"/>
        </w:rPr>
        <w:t xml:space="preserve"> will benefit from improved access to detailed statistical information for research, policy and </w:t>
      </w:r>
      <w:r>
        <w:rPr>
          <w:rFonts w:asciiTheme="minorHAnsi" w:hAnsiTheme="minorHAnsi"/>
          <w:color w:val="171717" w:themeColor="background2" w:themeShade="1A"/>
          <w:sz w:val="22"/>
          <w:szCs w:val="22"/>
        </w:rPr>
        <w:t xml:space="preserve">other </w:t>
      </w:r>
      <w:r w:rsidRPr="00425AED">
        <w:rPr>
          <w:rFonts w:asciiTheme="minorHAnsi" w:hAnsiTheme="minorHAnsi"/>
          <w:color w:val="171717" w:themeColor="background2" w:themeShade="1A"/>
          <w:sz w:val="22"/>
          <w:szCs w:val="22"/>
        </w:rPr>
        <w:t>purposes.</w:t>
      </w:r>
    </w:p>
    <w:p w14:paraId="57AB5872" w14:textId="77777777" w:rsidR="009842A0" w:rsidRPr="00425AED" w:rsidRDefault="009842A0" w:rsidP="009842A0">
      <w:pPr>
        <w:spacing w:after="0"/>
        <w:rPr>
          <w:color w:val="171717" w:themeColor="background2" w:themeShade="1A"/>
        </w:rPr>
      </w:pPr>
    </w:p>
    <w:p w14:paraId="636CFC15" w14:textId="77777777" w:rsidR="009842A0" w:rsidRPr="00425AED" w:rsidRDefault="009842A0" w:rsidP="009842A0">
      <w:pPr>
        <w:pStyle w:val="ListParagraph"/>
        <w:numPr>
          <w:ilvl w:val="0"/>
          <w:numId w:val="15"/>
        </w:numPr>
        <w:spacing w:after="120"/>
        <w:ind w:left="357" w:hanging="357"/>
        <w:rPr>
          <w:rFonts w:asciiTheme="minorHAnsi" w:hAnsiTheme="minorHAnsi"/>
          <w:b/>
          <w:color w:val="171717" w:themeColor="background2" w:themeShade="1A"/>
        </w:rPr>
      </w:pPr>
      <w:r w:rsidRPr="00425AED">
        <w:rPr>
          <w:rFonts w:asciiTheme="minorHAnsi" w:hAnsiTheme="minorHAnsi"/>
          <w:b/>
          <w:color w:val="171717" w:themeColor="background2" w:themeShade="1A"/>
        </w:rPr>
        <w:t xml:space="preserve">When will </w:t>
      </w:r>
      <w:r w:rsidRPr="00CB0ECA">
        <w:rPr>
          <w:rFonts w:asciiTheme="minorHAnsi" w:hAnsiTheme="minorHAnsi"/>
          <w:b/>
          <w:color w:val="171717" w:themeColor="background2" w:themeShade="1A"/>
          <w:u w:val="single"/>
        </w:rPr>
        <w:t>new</w:t>
      </w:r>
      <w:r w:rsidRPr="00425AED">
        <w:rPr>
          <w:rFonts w:asciiTheme="minorHAnsi" w:hAnsiTheme="minorHAnsi"/>
          <w:b/>
          <w:color w:val="171717" w:themeColor="background2" w:themeShade="1A"/>
        </w:rPr>
        <w:t xml:space="preserve"> Determination take effect?</w:t>
      </w:r>
    </w:p>
    <w:p w14:paraId="670F9655" w14:textId="77777777" w:rsidR="009842A0" w:rsidRPr="00425AED" w:rsidRDefault="009842A0" w:rsidP="009842A0">
      <w:pPr>
        <w:spacing w:after="0"/>
        <w:rPr>
          <w:color w:val="171717" w:themeColor="background2" w:themeShade="1A"/>
        </w:rPr>
      </w:pPr>
      <w:r>
        <w:rPr>
          <w:color w:val="171717" w:themeColor="background2" w:themeShade="1A"/>
        </w:rPr>
        <w:t xml:space="preserve">From 1 </w:t>
      </w:r>
      <w:r w:rsidRPr="00425AED">
        <w:rPr>
          <w:color w:val="171717" w:themeColor="background2" w:themeShade="1A"/>
        </w:rPr>
        <w:t>October 20</w:t>
      </w:r>
      <w:r>
        <w:rPr>
          <w:color w:val="171717" w:themeColor="background2" w:themeShade="1A"/>
        </w:rPr>
        <w:t>18.</w:t>
      </w:r>
    </w:p>
    <w:p w14:paraId="5C071983" w14:textId="77777777" w:rsidR="00DD4CAB" w:rsidRPr="00425AED" w:rsidRDefault="00DD4CAB" w:rsidP="00DD4CAB">
      <w:pPr>
        <w:spacing w:after="0"/>
        <w:rPr>
          <w:color w:val="171717" w:themeColor="background2" w:themeShade="1A"/>
        </w:rPr>
      </w:pPr>
    </w:p>
    <w:p w14:paraId="176AA03E" w14:textId="77777777" w:rsidR="00DD4CAB" w:rsidRPr="00425AED" w:rsidRDefault="00DD4CAB" w:rsidP="00DD4CAB">
      <w:pPr>
        <w:pStyle w:val="ListParagraph"/>
        <w:numPr>
          <w:ilvl w:val="0"/>
          <w:numId w:val="15"/>
        </w:numPr>
        <w:spacing w:after="120"/>
        <w:ind w:left="357" w:hanging="357"/>
        <w:rPr>
          <w:rFonts w:asciiTheme="minorHAnsi" w:hAnsiTheme="minorHAnsi"/>
          <w:b/>
          <w:color w:val="171717" w:themeColor="background2" w:themeShade="1A"/>
        </w:rPr>
      </w:pPr>
      <w:r>
        <w:rPr>
          <w:rFonts w:asciiTheme="minorHAnsi" w:hAnsiTheme="minorHAnsi"/>
          <w:b/>
          <w:color w:val="171717" w:themeColor="background2" w:themeShade="1A"/>
        </w:rPr>
        <w:t>What is an example of de-identified unit record level business information affected by proposed change d ii)?</w:t>
      </w:r>
    </w:p>
    <w:p w14:paraId="70922258" w14:textId="77777777" w:rsidR="00DD4CAB" w:rsidRPr="00DD4CAB" w:rsidRDefault="00DD4CAB" w:rsidP="00DD4CAB">
      <w:pPr>
        <w:spacing w:after="0"/>
        <w:rPr>
          <w:color w:val="171717" w:themeColor="background2" w:themeShade="1A"/>
        </w:rPr>
      </w:pPr>
      <w:r w:rsidRPr="00DD4CAB">
        <w:rPr>
          <w:color w:val="171717" w:themeColor="background2" w:themeShade="1A"/>
        </w:rPr>
        <w:t xml:space="preserve">The Business Longitudinal Analysis Data Environment (BLADE) combines </w:t>
      </w:r>
      <w:r w:rsidR="00DD6098">
        <w:rPr>
          <w:color w:val="171717" w:themeColor="background2" w:themeShade="1A"/>
        </w:rPr>
        <w:t>de-identified</w:t>
      </w:r>
      <w:r w:rsidR="00DD6098" w:rsidRPr="00DD4CAB">
        <w:rPr>
          <w:color w:val="171717" w:themeColor="background2" w:themeShade="1A"/>
        </w:rPr>
        <w:t xml:space="preserve"> </w:t>
      </w:r>
      <w:r w:rsidRPr="00DD4CAB">
        <w:rPr>
          <w:color w:val="171717" w:themeColor="background2" w:themeShade="1A"/>
        </w:rPr>
        <w:t xml:space="preserve">Business Activity Statement and Business Income Tax Statement </w:t>
      </w:r>
      <w:r w:rsidR="00545C63">
        <w:rPr>
          <w:color w:val="171717" w:themeColor="background2" w:themeShade="1A"/>
        </w:rPr>
        <w:t xml:space="preserve">data </w:t>
      </w:r>
      <w:r w:rsidRPr="00DD4CAB">
        <w:rPr>
          <w:color w:val="171717" w:themeColor="background2" w:themeShade="1A"/>
        </w:rPr>
        <w:t xml:space="preserve">from the Australian Taxation Office (ATO), </w:t>
      </w:r>
      <w:r w:rsidR="00DD6098">
        <w:rPr>
          <w:color w:val="171717" w:themeColor="background2" w:themeShade="1A"/>
        </w:rPr>
        <w:t xml:space="preserve">together </w:t>
      </w:r>
      <w:r w:rsidRPr="00DD4CAB">
        <w:rPr>
          <w:color w:val="171717" w:themeColor="background2" w:themeShade="1A"/>
        </w:rPr>
        <w:t xml:space="preserve">with ABS </w:t>
      </w:r>
      <w:r w:rsidR="00DD6098" w:rsidRPr="00DD4CAB">
        <w:rPr>
          <w:color w:val="171717" w:themeColor="background2" w:themeShade="1A"/>
        </w:rPr>
        <w:t xml:space="preserve">collected </w:t>
      </w:r>
      <w:r w:rsidRPr="00DD4CAB">
        <w:rPr>
          <w:color w:val="171717" w:themeColor="background2" w:themeShade="1A"/>
        </w:rPr>
        <w:t xml:space="preserve">survey data to generate new </w:t>
      </w:r>
      <w:r w:rsidR="00DD6098">
        <w:rPr>
          <w:color w:val="171717" w:themeColor="background2" w:themeShade="1A"/>
        </w:rPr>
        <w:t>information</w:t>
      </w:r>
      <w:r w:rsidR="00DD6098" w:rsidRPr="00DD4CAB">
        <w:rPr>
          <w:color w:val="171717" w:themeColor="background2" w:themeShade="1A"/>
        </w:rPr>
        <w:t xml:space="preserve"> </w:t>
      </w:r>
      <w:r w:rsidRPr="00DD4CAB">
        <w:rPr>
          <w:color w:val="171717" w:themeColor="background2" w:themeShade="1A"/>
        </w:rPr>
        <w:t xml:space="preserve">about Australian businesses and the economy. </w:t>
      </w:r>
    </w:p>
    <w:p w14:paraId="313C702C" w14:textId="77777777" w:rsidR="00DD4CAB" w:rsidRDefault="00DD4CAB" w:rsidP="00DD4CAB">
      <w:pPr>
        <w:spacing w:after="0"/>
        <w:rPr>
          <w:color w:val="171717" w:themeColor="background2" w:themeShade="1A"/>
        </w:rPr>
      </w:pPr>
      <w:r w:rsidRPr="00DD4CAB">
        <w:rPr>
          <w:color w:val="171717" w:themeColor="background2" w:themeShade="1A"/>
        </w:rPr>
        <w:t xml:space="preserve">BLADE enables researchers to produce aggregate </w:t>
      </w:r>
      <w:r w:rsidR="00DD6098">
        <w:rPr>
          <w:color w:val="171717" w:themeColor="background2" w:themeShade="1A"/>
        </w:rPr>
        <w:t>inf</w:t>
      </w:r>
      <w:r w:rsidR="00131EBE">
        <w:rPr>
          <w:color w:val="171717" w:themeColor="background2" w:themeShade="1A"/>
        </w:rPr>
        <w:t>o</w:t>
      </w:r>
      <w:r w:rsidR="00DD6098">
        <w:rPr>
          <w:color w:val="171717" w:themeColor="background2" w:themeShade="1A"/>
        </w:rPr>
        <w:t>rmation</w:t>
      </w:r>
      <w:r w:rsidR="00DD6098" w:rsidRPr="00DD4CAB">
        <w:rPr>
          <w:color w:val="171717" w:themeColor="background2" w:themeShade="1A"/>
        </w:rPr>
        <w:t xml:space="preserve"> </w:t>
      </w:r>
      <w:r w:rsidRPr="00DD4CAB">
        <w:rPr>
          <w:color w:val="171717" w:themeColor="background2" w:themeShade="1A"/>
        </w:rPr>
        <w:t>of how businesses fare over time and the factors that drive performance, innovation, job creation, competitiveness and productivity.</w:t>
      </w:r>
      <w:r w:rsidR="00545C63" w:rsidRPr="00DD4CAB" w:rsidDel="00545C63">
        <w:rPr>
          <w:color w:val="171717" w:themeColor="background2" w:themeShade="1A"/>
        </w:rPr>
        <w:t xml:space="preserve"> </w:t>
      </w:r>
      <w:r w:rsidRPr="00DD4CAB">
        <w:rPr>
          <w:color w:val="171717" w:themeColor="background2" w:themeShade="1A"/>
        </w:rPr>
        <w:t xml:space="preserve">BLADE is </w:t>
      </w:r>
      <w:r w:rsidR="00545C63">
        <w:rPr>
          <w:color w:val="171717" w:themeColor="background2" w:themeShade="1A"/>
        </w:rPr>
        <w:t xml:space="preserve">also </w:t>
      </w:r>
      <w:r w:rsidRPr="00DD4CAB">
        <w:rPr>
          <w:color w:val="171717" w:themeColor="background2" w:themeShade="1A"/>
        </w:rPr>
        <w:t xml:space="preserve">used by several government </w:t>
      </w:r>
      <w:r w:rsidR="00DD6098">
        <w:rPr>
          <w:color w:val="171717" w:themeColor="background2" w:themeShade="1A"/>
        </w:rPr>
        <w:t>en</w:t>
      </w:r>
      <w:r w:rsidR="00131EBE">
        <w:rPr>
          <w:color w:val="171717" w:themeColor="background2" w:themeShade="1A"/>
        </w:rPr>
        <w:t>t</w:t>
      </w:r>
      <w:r w:rsidR="00DD6098">
        <w:rPr>
          <w:color w:val="171717" w:themeColor="background2" w:themeShade="1A"/>
        </w:rPr>
        <w:t>ities</w:t>
      </w:r>
      <w:r w:rsidR="00DD6098" w:rsidRPr="00DD4CAB">
        <w:rPr>
          <w:color w:val="171717" w:themeColor="background2" w:themeShade="1A"/>
        </w:rPr>
        <w:t xml:space="preserve"> </w:t>
      </w:r>
      <w:r w:rsidRPr="00DD4CAB">
        <w:rPr>
          <w:color w:val="171717" w:themeColor="background2" w:themeShade="1A"/>
        </w:rPr>
        <w:t xml:space="preserve">as part of their evidence base for developing new policies and evaluating existing policies to support Australian businesses and grow the Australian economy. </w:t>
      </w:r>
    </w:p>
    <w:p w14:paraId="76A81887" w14:textId="77777777" w:rsidR="00545C63" w:rsidRPr="00DD4CAB" w:rsidRDefault="00545C63" w:rsidP="00DD4CAB">
      <w:pPr>
        <w:spacing w:after="0"/>
        <w:rPr>
          <w:color w:val="171717" w:themeColor="background2" w:themeShade="1A"/>
        </w:rPr>
      </w:pPr>
      <w:r>
        <w:rPr>
          <w:color w:val="171717" w:themeColor="background2" w:themeShade="1A"/>
        </w:rPr>
        <w:t>BLADE is used for statistical and research purposes, not regulatory or compliance purposes.</w:t>
      </w:r>
    </w:p>
    <w:p w14:paraId="29C1FD5D" w14:textId="77777777" w:rsidR="00DD4CAB" w:rsidRPr="00DD4CAB" w:rsidRDefault="00545C63" w:rsidP="00DD4CAB">
      <w:pPr>
        <w:spacing w:after="0"/>
        <w:rPr>
          <w:color w:val="171717" w:themeColor="background2" w:themeShade="1A"/>
        </w:rPr>
      </w:pPr>
      <w:r>
        <w:rPr>
          <w:color w:val="171717" w:themeColor="background2" w:themeShade="1A"/>
        </w:rPr>
        <w:t xml:space="preserve">To date, </w:t>
      </w:r>
      <w:r w:rsidR="00DD4CAB" w:rsidRPr="00DD4CAB">
        <w:rPr>
          <w:color w:val="171717" w:themeColor="background2" w:themeShade="1A"/>
        </w:rPr>
        <w:t>BLADE has provided insights around the importance of small and medium enterprises to employment growth and innovation.</w:t>
      </w:r>
    </w:p>
    <w:p w14:paraId="1221981A" w14:textId="77777777" w:rsidR="00DD4CAB" w:rsidRPr="00DD4CAB" w:rsidRDefault="00DD4CAB" w:rsidP="00DD4CAB">
      <w:pPr>
        <w:spacing w:after="0"/>
        <w:rPr>
          <w:color w:val="171717" w:themeColor="background2" w:themeShade="1A"/>
        </w:rPr>
      </w:pPr>
      <w:r w:rsidRPr="00DD4CAB">
        <w:rPr>
          <w:color w:val="171717" w:themeColor="background2" w:themeShade="1A"/>
        </w:rPr>
        <w:t xml:space="preserve">More details about BLADE can be found on the </w:t>
      </w:r>
      <w:hyperlink r:id="rId21" w:history="1">
        <w:r>
          <w:rPr>
            <w:rFonts w:ascii="Helv" w:hAnsi="Helv" w:cs="Helv"/>
            <w:color w:val="0000FF"/>
            <w:sz w:val="20"/>
          </w:rPr>
          <w:t>Department of Industry, Innovation and Science</w:t>
        </w:r>
      </w:hyperlink>
      <w:r>
        <w:rPr>
          <w:rFonts w:ascii="Helv" w:hAnsi="Helv" w:cs="Helv"/>
          <w:color w:val="000000"/>
          <w:sz w:val="20"/>
        </w:rPr>
        <w:t xml:space="preserve"> </w:t>
      </w:r>
      <w:r w:rsidRPr="00DD4CAB">
        <w:rPr>
          <w:color w:val="171717" w:themeColor="background2" w:themeShade="1A"/>
        </w:rPr>
        <w:t xml:space="preserve">website. </w:t>
      </w:r>
    </w:p>
    <w:p w14:paraId="2DD4E394" w14:textId="77777777" w:rsidR="00DD4CAB" w:rsidRPr="00425AED" w:rsidRDefault="00DD4CAB" w:rsidP="00DD4CAB">
      <w:pPr>
        <w:pStyle w:val="ListParagraph"/>
        <w:numPr>
          <w:ilvl w:val="0"/>
          <w:numId w:val="15"/>
        </w:numPr>
        <w:spacing w:after="120"/>
        <w:ind w:left="357" w:hanging="357"/>
        <w:rPr>
          <w:rFonts w:asciiTheme="minorHAnsi" w:hAnsiTheme="minorHAnsi"/>
          <w:b/>
          <w:color w:val="171717" w:themeColor="background2" w:themeShade="1A"/>
        </w:rPr>
      </w:pPr>
      <w:r>
        <w:rPr>
          <w:rFonts w:asciiTheme="minorHAnsi" w:hAnsiTheme="minorHAnsi"/>
          <w:b/>
          <w:color w:val="171717" w:themeColor="background2" w:themeShade="1A"/>
        </w:rPr>
        <w:lastRenderedPageBreak/>
        <w:t>How does the ABS maintain the confidentiality of information accessed in BLADE?</w:t>
      </w:r>
    </w:p>
    <w:p w14:paraId="5B2B7F34" w14:textId="77777777" w:rsidR="00DD4CAB" w:rsidRDefault="00DD4CAB" w:rsidP="00DD4CAB">
      <w:pPr>
        <w:spacing w:after="0"/>
        <w:rPr>
          <w:rFonts w:asciiTheme="minorHAnsi" w:hAnsiTheme="minorHAnsi"/>
          <w:i/>
          <w:color w:val="171717" w:themeColor="background2" w:themeShade="1A"/>
          <w:szCs w:val="22"/>
        </w:rPr>
      </w:pPr>
      <w:r w:rsidRPr="00DD4CAB">
        <w:rPr>
          <w:rFonts w:asciiTheme="minorHAnsi" w:hAnsiTheme="minorHAnsi"/>
          <w:color w:val="171717" w:themeColor="background2" w:themeShade="1A"/>
          <w:szCs w:val="22"/>
        </w:rPr>
        <w:t xml:space="preserve">There are strong legislative protections in place to safeguard the </w:t>
      </w:r>
      <w:r w:rsidR="00545C63">
        <w:rPr>
          <w:rFonts w:asciiTheme="minorHAnsi" w:hAnsiTheme="minorHAnsi"/>
          <w:color w:val="171717" w:themeColor="background2" w:themeShade="1A"/>
          <w:szCs w:val="22"/>
        </w:rPr>
        <w:t xml:space="preserve">confidentiality of </w:t>
      </w:r>
      <w:r w:rsidRPr="00DD4CAB">
        <w:rPr>
          <w:rFonts w:asciiTheme="minorHAnsi" w:hAnsiTheme="minorHAnsi"/>
          <w:color w:val="171717" w:themeColor="background2" w:themeShade="1A"/>
          <w:szCs w:val="22"/>
        </w:rPr>
        <w:t>data in BLADE.</w:t>
      </w:r>
      <w:r w:rsidR="00545C63">
        <w:rPr>
          <w:rFonts w:asciiTheme="minorHAnsi" w:hAnsiTheme="minorHAnsi"/>
          <w:color w:val="171717" w:themeColor="background2" w:themeShade="1A"/>
          <w:szCs w:val="22"/>
        </w:rPr>
        <w:t xml:space="preserve">  Legislative protections include the</w:t>
      </w:r>
      <w:r w:rsidRPr="00DD4CAB">
        <w:rPr>
          <w:rFonts w:asciiTheme="minorHAnsi" w:hAnsiTheme="minorHAnsi"/>
          <w:color w:val="171717" w:themeColor="background2" w:themeShade="1A"/>
          <w:szCs w:val="22"/>
        </w:rPr>
        <w:t xml:space="preserve"> </w:t>
      </w:r>
      <w:r w:rsidR="00545C63">
        <w:rPr>
          <w:rFonts w:asciiTheme="minorHAnsi" w:hAnsiTheme="minorHAnsi"/>
          <w:i/>
          <w:color w:val="171717" w:themeColor="background2" w:themeShade="1A"/>
          <w:szCs w:val="22"/>
        </w:rPr>
        <w:t>Census and Statistics Act 1905,</w:t>
      </w:r>
      <w:r w:rsidR="00545C63">
        <w:rPr>
          <w:rFonts w:asciiTheme="minorHAnsi" w:hAnsiTheme="minorHAnsi"/>
          <w:color w:val="171717" w:themeColor="background2" w:themeShade="1A"/>
          <w:szCs w:val="22"/>
        </w:rPr>
        <w:t xml:space="preserve"> legislative requirements of the ATO, and the </w:t>
      </w:r>
      <w:r w:rsidR="00545C63">
        <w:rPr>
          <w:rFonts w:asciiTheme="minorHAnsi" w:hAnsiTheme="minorHAnsi"/>
          <w:i/>
          <w:color w:val="171717" w:themeColor="background2" w:themeShade="1A"/>
          <w:szCs w:val="22"/>
        </w:rPr>
        <w:t>Privacy Act 1988.</w:t>
      </w:r>
    </w:p>
    <w:p w14:paraId="2EBBD0F2" w14:textId="77777777" w:rsidR="00DD4CAB" w:rsidRPr="00DD4CAB" w:rsidRDefault="00545C63" w:rsidP="00DD4CAB">
      <w:pPr>
        <w:spacing w:after="0"/>
        <w:rPr>
          <w:rFonts w:asciiTheme="minorHAnsi" w:hAnsiTheme="minorHAnsi"/>
          <w:color w:val="171717" w:themeColor="background2" w:themeShade="1A"/>
          <w:szCs w:val="22"/>
        </w:rPr>
      </w:pPr>
      <w:r>
        <w:rPr>
          <w:rFonts w:asciiTheme="minorHAnsi" w:hAnsiTheme="minorHAnsi"/>
          <w:color w:val="171717" w:themeColor="background2" w:themeShade="1A"/>
          <w:szCs w:val="22"/>
        </w:rPr>
        <w:t>In practice, access arrangements are an important part of managing confidentiality.  Access arrangements to BLADE are outlined below in answer to FAQ number 18.</w:t>
      </w:r>
    </w:p>
    <w:p w14:paraId="764BB2B2" w14:textId="77777777" w:rsidR="00DD4CAB" w:rsidRDefault="00DD4CAB" w:rsidP="00DD4CAB">
      <w:pPr>
        <w:spacing w:after="0"/>
        <w:rPr>
          <w:rFonts w:asciiTheme="minorHAnsi" w:hAnsiTheme="minorHAnsi"/>
          <w:color w:val="171717" w:themeColor="background2" w:themeShade="1A"/>
          <w:szCs w:val="22"/>
        </w:rPr>
      </w:pPr>
      <w:r w:rsidRPr="00DD4CAB">
        <w:rPr>
          <w:rFonts w:asciiTheme="minorHAnsi" w:hAnsiTheme="minorHAnsi"/>
          <w:color w:val="171717" w:themeColor="background2" w:themeShade="1A"/>
          <w:szCs w:val="22"/>
        </w:rPr>
        <w:t xml:space="preserve">For information on privacy safeguards, see the </w:t>
      </w:r>
      <w:hyperlink r:id="rId22" w:history="1">
        <w:r w:rsidRPr="00DD4CAB">
          <w:rPr>
            <w:rFonts w:asciiTheme="minorHAnsi" w:hAnsiTheme="minorHAnsi" w:cs="Helv"/>
            <w:color w:val="0000FF"/>
            <w:szCs w:val="22"/>
          </w:rPr>
          <w:t>ABS Privacy Policy</w:t>
        </w:r>
      </w:hyperlink>
      <w:r w:rsidRPr="00DD4CAB">
        <w:rPr>
          <w:rFonts w:asciiTheme="minorHAnsi" w:hAnsiTheme="minorHAnsi"/>
          <w:color w:val="171717" w:themeColor="background2" w:themeShade="1A"/>
          <w:szCs w:val="22"/>
        </w:rPr>
        <w:t xml:space="preserve">. </w:t>
      </w:r>
    </w:p>
    <w:p w14:paraId="51134E40" w14:textId="77777777" w:rsidR="00DD4CAB" w:rsidRDefault="00DD4CAB" w:rsidP="00DD4CAB">
      <w:pPr>
        <w:spacing w:after="0"/>
        <w:rPr>
          <w:rFonts w:asciiTheme="minorHAnsi" w:hAnsiTheme="minorHAnsi"/>
          <w:color w:val="171717" w:themeColor="background2" w:themeShade="1A"/>
          <w:szCs w:val="22"/>
        </w:rPr>
      </w:pPr>
    </w:p>
    <w:p w14:paraId="6CADC331" w14:textId="77777777" w:rsidR="00DD4CAB" w:rsidRPr="00425AED" w:rsidRDefault="00DD4CAB" w:rsidP="00DD4CAB">
      <w:pPr>
        <w:pStyle w:val="ListParagraph"/>
        <w:numPr>
          <w:ilvl w:val="0"/>
          <w:numId w:val="15"/>
        </w:numPr>
        <w:ind w:left="357" w:hanging="357"/>
        <w:rPr>
          <w:rFonts w:asciiTheme="minorHAnsi" w:hAnsiTheme="minorHAnsi"/>
          <w:b/>
          <w:color w:val="171717" w:themeColor="background2" w:themeShade="1A"/>
        </w:rPr>
      </w:pPr>
      <w:r w:rsidRPr="00DD4CAB">
        <w:rPr>
          <w:rFonts w:asciiTheme="minorHAnsi" w:hAnsiTheme="minorHAnsi"/>
          <w:b/>
          <w:color w:val="171717" w:themeColor="background2" w:themeShade="1A"/>
        </w:rPr>
        <w:t>Who can access and use BLADE?</w:t>
      </w:r>
    </w:p>
    <w:p w14:paraId="612615C0" w14:textId="77777777" w:rsidR="00545C63" w:rsidRDefault="00DD4CAB" w:rsidP="00DD4CAB">
      <w:pPr>
        <w:spacing w:after="0"/>
        <w:rPr>
          <w:color w:val="171717" w:themeColor="background2" w:themeShade="1A"/>
        </w:rPr>
      </w:pPr>
      <w:r w:rsidRPr="00DD4CAB">
        <w:rPr>
          <w:color w:val="171717" w:themeColor="background2" w:themeShade="1A"/>
        </w:rPr>
        <w:t>BLADE data is available on request</w:t>
      </w:r>
      <w:r w:rsidR="00DD6098">
        <w:rPr>
          <w:color w:val="171717" w:themeColor="background2" w:themeShade="1A"/>
        </w:rPr>
        <w:t xml:space="preserve"> to government entities, </w:t>
      </w:r>
      <w:r w:rsidR="00DD6098" w:rsidRPr="00DD4CAB">
        <w:rPr>
          <w:color w:val="171717" w:themeColor="background2" w:themeShade="1A"/>
        </w:rPr>
        <w:t>researchers and analysts</w:t>
      </w:r>
      <w:r w:rsidRPr="00DD4CAB">
        <w:rPr>
          <w:color w:val="171717" w:themeColor="background2" w:themeShade="1A"/>
        </w:rPr>
        <w:t xml:space="preserve">. </w:t>
      </w:r>
    </w:p>
    <w:p w14:paraId="0D1D569F" w14:textId="77777777" w:rsidR="00DD4CAB" w:rsidRPr="00DD4CAB" w:rsidRDefault="00DD4CAB" w:rsidP="00DD4CAB">
      <w:pPr>
        <w:spacing w:after="0"/>
        <w:rPr>
          <w:color w:val="171717" w:themeColor="background2" w:themeShade="1A"/>
        </w:rPr>
      </w:pPr>
      <w:r w:rsidRPr="00DD4CAB">
        <w:rPr>
          <w:color w:val="171717" w:themeColor="background2" w:themeShade="1A"/>
        </w:rPr>
        <w:t xml:space="preserve">The ABS can extract customised data and provide it in a range of formats (all of which are confidentialised), on a cost recovered basis. </w:t>
      </w:r>
    </w:p>
    <w:p w14:paraId="3990CC82" w14:textId="77777777" w:rsidR="00DD4CAB" w:rsidRPr="00425AED" w:rsidRDefault="00DD4CAB" w:rsidP="00DD4CAB">
      <w:pPr>
        <w:spacing w:after="0"/>
        <w:rPr>
          <w:color w:val="171717" w:themeColor="background2" w:themeShade="1A"/>
        </w:rPr>
      </w:pPr>
      <w:r w:rsidRPr="00DD4CAB">
        <w:rPr>
          <w:color w:val="171717" w:themeColor="background2" w:themeShade="1A"/>
        </w:rPr>
        <w:t>Access to more detailed BLADE data - called microdata - is currently restricted to government analysts who have been seconded to the ABS</w:t>
      </w:r>
      <w:r w:rsidR="00545C63">
        <w:rPr>
          <w:color w:val="171717" w:themeColor="background2" w:themeShade="1A"/>
        </w:rPr>
        <w:t xml:space="preserve"> as ABS officers, and thus subject to the secrecy provisions of the </w:t>
      </w:r>
      <w:r w:rsidR="00545C63">
        <w:rPr>
          <w:i/>
          <w:color w:val="171717" w:themeColor="background2" w:themeShade="1A"/>
        </w:rPr>
        <w:t>Census and Statistics Act 1905</w:t>
      </w:r>
      <w:r w:rsidRPr="00DD4CAB">
        <w:rPr>
          <w:color w:val="171717" w:themeColor="background2" w:themeShade="1A"/>
        </w:rPr>
        <w:t>.</w:t>
      </w:r>
      <w:r w:rsidR="00545C63">
        <w:rPr>
          <w:color w:val="171717" w:themeColor="background2" w:themeShade="1A"/>
        </w:rPr>
        <w:t xml:space="preserve"> </w:t>
      </w:r>
      <w:r w:rsidRPr="00DD4CAB">
        <w:rPr>
          <w:color w:val="171717" w:themeColor="background2" w:themeShade="1A"/>
        </w:rPr>
        <w:t xml:space="preserve"> A small number of trials for non-government researchers are currently in progress.</w:t>
      </w:r>
    </w:p>
    <w:p w14:paraId="03025A4B" w14:textId="77777777" w:rsidR="00DD4CAB" w:rsidRDefault="00DD4CAB" w:rsidP="00DD4CAB">
      <w:pPr>
        <w:spacing w:after="0"/>
        <w:rPr>
          <w:rFonts w:asciiTheme="minorHAnsi" w:hAnsiTheme="minorHAnsi"/>
          <w:color w:val="171717" w:themeColor="background2" w:themeShade="1A"/>
          <w:szCs w:val="22"/>
        </w:rPr>
      </w:pPr>
    </w:p>
    <w:p w14:paraId="0C4E922B" w14:textId="77777777" w:rsidR="00DD4CAB" w:rsidRPr="00425AED" w:rsidRDefault="00DD4CAB" w:rsidP="00DD4CAB">
      <w:pPr>
        <w:pStyle w:val="ListParagraph"/>
        <w:numPr>
          <w:ilvl w:val="0"/>
          <w:numId w:val="15"/>
        </w:numPr>
        <w:ind w:left="357" w:hanging="357"/>
        <w:rPr>
          <w:rFonts w:asciiTheme="minorHAnsi" w:hAnsiTheme="minorHAnsi"/>
          <w:b/>
          <w:color w:val="171717" w:themeColor="background2" w:themeShade="1A"/>
        </w:rPr>
      </w:pPr>
      <w:r>
        <w:rPr>
          <w:rFonts w:ascii="Helv" w:hAnsi="Helv" w:cs="Helv"/>
          <w:b/>
          <w:bCs/>
          <w:color w:val="000000"/>
          <w:sz w:val="20"/>
          <w:szCs w:val="20"/>
        </w:rPr>
        <w:t>How is access to BLADE managed</w:t>
      </w:r>
      <w:r w:rsidRPr="00DD4CAB">
        <w:rPr>
          <w:rFonts w:asciiTheme="minorHAnsi" w:hAnsiTheme="minorHAnsi"/>
          <w:b/>
          <w:color w:val="171717" w:themeColor="background2" w:themeShade="1A"/>
        </w:rPr>
        <w:t>?</w:t>
      </w:r>
    </w:p>
    <w:p w14:paraId="3D4A2176" w14:textId="77777777" w:rsidR="00DD4CAB" w:rsidRPr="00DD4CAB" w:rsidRDefault="00DD4CAB" w:rsidP="00DD4CAB">
      <w:pPr>
        <w:spacing w:after="0"/>
        <w:rPr>
          <w:color w:val="171717" w:themeColor="background2" w:themeShade="1A"/>
        </w:rPr>
      </w:pPr>
      <w:r w:rsidRPr="00DD4CAB">
        <w:rPr>
          <w:color w:val="171717" w:themeColor="background2" w:themeShade="1A"/>
        </w:rPr>
        <w:t xml:space="preserve">The ABS manages access to BLADE microdata using the Five Safes Framework. This is an internationally recognised framework for managing microdata disclosure risk. For more information on how the Five Safes is implemented at the ABS, see the </w:t>
      </w:r>
      <w:r>
        <w:rPr>
          <w:rFonts w:ascii="Helv" w:hAnsi="Helv" w:cs="Helv"/>
          <w:color w:val="0000FF"/>
          <w:sz w:val="20"/>
        </w:rPr>
        <w:t>ABS Confidentiality Series</w:t>
      </w:r>
      <w:r w:rsidRPr="00DD4CAB">
        <w:rPr>
          <w:color w:val="171717" w:themeColor="background2" w:themeShade="1A"/>
        </w:rPr>
        <w:t>.</w:t>
      </w:r>
    </w:p>
    <w:p w14:paraId="5FF29248" w14:textId="77777777" w:rsidR="00DD4CAB" w:rsidRPr="00DD4CAB" w:rsidRDefault="00DD4CAB" w:rsidP="00DD4CAB">
      <w:pPr>
        <w:spacing w:after="0"/>
        <w:rPr>
          <w:color w:val="171717" w:themeColor="background2" w:themeShade="1A"/>
        </w:rPr>
      </w:pPr>
      <w:r w:rsidRPr="00DD4CAB">
        <w:rPr>
          <w:color w:val="171717" w:themeColor="background2" w:themeShade="1A"/>
        </w:rPr>
        <w:t>The Five Safes ensures BLADE can only be accessed by approved researchers and analysts. Researchers must demonstrate their projects are for research or statistical purposes and have a clear benefit to the Australian community. Access for regulatory or compliance purposes is not permitted.</w:t>
      </w:r>
    </w:p>
    <w:p w14:paraId="77E2D0AF" w14:textId="77777777" w:rsidR="00DD4CAB" w:rsidRPr="00DD4CAB" w:rsidRDefault="00545C63" w:rsidP="00DD4CAB">
      <w:pPr>
        <w:spacing w:after="0"/>
        <w:rPr>
          <w:color w:val="171717" w:themeColor="background2" w:themeShade="1A"/>
        </w:rPr>
      </w:pPr>
      <w:r>
        <w:rPr>
          <w:color w:val="171717" w:themeColor="background2" w:themeShade="1A"/>
        </w:rPr>
        <w:t xml:space="preserve">As outlined in FAQ number 17, </w:t>
      </w:r>
      <w:r w:rsidR="00DD4CAB" w:rsidRPr="00DD4CAB">
        <w:rPr>
          <w:color w:val="171717" w:themeColor="background2" w:themeShade="1A"/>
        </w:rPr>
        <w:t>access</w:t>
      </w:r>
      <w:r>
        <w:rPr>
          <w:color w:val="171717" w:themeColor="background2" w:themeShade="1A"/>
        </w:rPr>
        <w:t xml:space="preserve"> to</w:t>
      </w:r>
      <w:r w:rsidR="00DD4CAB" w:rsidRPr="00DD4CAB">
        <w:rPr>
          <w:color w:val="171717" w:themeColor="background2" w:themeShade="1A"/>
        </w:rPr>
        <w:t xml:space="preserve"> BLADE microdata is subject to </w:t>
      </w:r>
      <w:r w:rsidR="00DD6098">
        <w:rPr>
          <w:color w:val="171717" w:themeColor="background2" w:themeShade="1A"/>
        </w:rPr>
        <w:t>the</w:t>
      </w:r>
      <w:r w:rsidR="00DD6098" w:rsidRPr="00DD4CAB">
        <w:rPr>
          <w:color w:val="171717" w:themeColor="background2" w:themeShade="1A"/>
        </w:rPr>
        <w:t xml:space="preserve"> </w:t>
      </w:r>
      <w:r w:rsidR="00DD4CAB" w:rsidRPr="00DD4CAB">
        <w:rPr>
          <w:color w:val="171717" w:themeColor="background2" w:themeShade="1A"/>
        </w:rPr>
        <w:t xml:space="preserve">secrecy requirements </w:t>
      </w:r>
      <w:r w:rsidR="00DD6098">
        <w:rPr>
          <w:color w:val="171717" w:themeColor="background2" w:themeShade="1A"/>
        </w:rPr>
        <w:t>of</w:t>
      </w:r>
      <w:r w:rsidR="00DD6098" w:rsidRPr="00DD4CAB">
        <w:rPr>
          <w:color w:val="171717" w:themeColor="background2" w:themeShade="1A"/>
        </w:rPr>
        <w:t xml:space="preserve"> </w:t>
      </w:r>
      <w:r w:rsidR="00DD4CAB" w:rsidRPr="00DD4CAB">
        <w:rPr>
          <w:color w:val="171717" w:themeColor="background2" w:themeShade="1A"/>
        </w:rPr>
        <w:t xml:space="preserve">the </w:t>
      </w:r>
      <w:r w:rsidR="00DD4CAB" w:rsidRPr="00F97E38">
        <w:rPr>
          <w:i/>
          <w:color w:val="171717" w:themeColor="background2" w:themeShade="1A"/>
        </w:rPr>
        <w:t>Census and Statistics Act 1905</w:t>
      </w:r>
      <w:r>
        <w:rPr>
          <w:i/>
          <w:color w:val="171717" w:themeColor="background2" w:themeShade="1A"/>
        </w:rPr>
        <w:t xml:space="preserve">.  </w:t>
      </w:r>
      <w:r w:rsidR="001C125A">
        <w:rPr>
          <w:color w:val="171717" w:themeColor="background2" w:themeShade="1A"/>
        </w:rPr>
        <w:t>Government officials seconded to the ABS</w:t>
      </w:r>
      <w:r w:rsidR="00DD4CAB" w:rsidRPr="00DD4CAB">
        <w:rPr>
          <w:color w:val="171717" w:themeColor="background2" w:themeShade="1A"/>
        </w:rPr>
        <w:t xml:space="preserve"> have each signed a legally binding undertaking of fidelity and secrecy. Breach of these provisions </w:t>
      </w:r>
      <w:r w:rsidR="00DD6098">
        <w:rPr>
          <w:color w:val="171717" w:themeColor="background2" w:themeShade="1A"/>
        </w:rPr>
        <w:t xml:space="preserve">can </w:t>
      </w:r>
      <w:r w:rsidR="00DD4CAB" w:rsidRPr="00DD4CAB">
        <w:rPr>
          <w:color w:val="171717" w:themeColor="background2" w:themeShade="1A"/>
        </w:rPr>
        <w:t>incur severe penalties</w:t>
      </w:r>
      <w:r w:rsidR="00DD6098">
        <w:rPr>
          <w:color w:val="171717" w:themeColor="background2" w:themeShade="1A"/>
        </w:rPr>
        <w:t>,</w:t>
      </w:r>
      <w:r w:rsidR="00DD4CAB" w:rsidRPr="00DD4CAB">
        <w:rPr>
          <w:color w:val="171717" w:themeColor="background2" w:themeShade="1A"/>
        </w:rPr>
        <w:t xml:space="preserve"> including fines of up to $25,200 and/or imprisonment for up to 2 years.</w:t>
      </w:r>
    </w:p>
    <w:p w14:paraId="536CC56E" w14:textId="77777777" w:rsidR="00DD4CAB" w:rsidRPr="00DD4CAB" w:rsidRDefault="00DD4CAB" w:rsidP="00DD4CAB">
      <w:pPr>
        <w:spacing w:after="0"/>
        <w:rPr>
          <w:color w:val="171717" w:themeColor="background2" w:themeShade="1A"/>
        </w:rPr>
      </w:pPr>
      <w:r w:rsidRPr="00DD4CAB">
        <w:rPr>
          <w:color w:val="171717" w:themeColor="background2" w:themeShade="1A"/>
        </w:rPr>
        <w:t xml:space="preserve">Access to BLADE microdata is via </w:t>
      </w:r>
      <w:r w:rsidR="001C125A">
        <w:rPr>
          <w:color w:val="171717" w:themeColor="background2" w:themeShade="1A"/>
        </w:rPr>
        <w:t xml:space="preserve">a </w:t>
      </w:r>
      <w:r w:rsidRPr="00DD4CAB">
        <w:rPr>
          <w:color w:val="171717" w:themeColor="background2" w:themeShade="1A"/>
        </w:rPr>
        <w:t xml:space="preserve">secure </w:t>
      </w:r>
      <w:hyperlink r:id="rId23" w:history="1">
        <w:r w:rsidR="00F97E38">
          <w:rPr>
            <w:rFonts w:ascii="Helv" w:hAnsi="Helv" w:cs="Helv"/>
            <w:color w:val="0000FF"/>
            <w:sz w:val="20"/>
          </w:rPr>
          <w:t xml:space="preserve">ABS </w:t>
        </w:r>
        <w:proofErr w:type="spellStart"/>
        <w:r w:rsidR="00F97E38">
          <w:rPr>
            <w:rFonts w:ascii="Helv" w:hAnsi="Helv" w:cs="Helv"/>
            <w:color w:val="0000FF"/>
            <w:sz w:val="20"/>
          </w:rPr>
          <w:t>DataLab</w:t>
        </w:r>
        <w:proofErr w:type="spellEnd"/>
      </w:hyperlink>
      <w:r w:rsidRPr="00DD4CAB">
        <w:rPr>
          <w:color w:val="171717" w:themeColor="background2" w:themeShade="1A"/>
        </w:rPr>
        <w:t>. All da</w:t>
      </w:r>
      <w:r w:rsidR="00983E26">
        <w:rPr>
          <w:color w:val="171717" w:themeColor="background2" w:themeShade="1A"/>
        </w:rPr>
        <w:t>ta available for analysis is de</w:t>
      </w:r>
      <w:r w:rsidR="00983E26">
        <w:rPr>
          <w:color w:val="171717" w:themeColor="background2" w:themeShade="1A"/>
        </w:rPr>
        <w:noBreakHyphen/>
      </w:r>
      <w:r w:rsidRPr="00DD4CAB">
        <w:rPr>
          <w:color w:val="171717" w:themeColor="background2" w:themeShade="1A"/>
        </w:rPr>
        <w:t xml:space="preserve">identified, meaning it does not contain names and addresses or other identifying information about a business. DataLab sessions are regularly audited by ABS staff to ensure compliance with </w:t>
      </w:r>
      <w:r w:rsidR="00983E26">
        <w:rPr>
          <w:color w:val="171717" w:themeColor="background2" w:themeShade="1A"/>
        </w:rPr>
        <w:t>pre</w:t>
      </w:r>
      <w:bookmarkStart w:id="0" w:name="_GoBack"/>
      <w:r w:rsidR="00983E26">
        <w:rPr>
          <w:color w:val="171717" w:themeColor="background2" w:themeShade="1A"/>
        </w:rPr>
        <w:noBreakHyphen/>
      </w:r>
      <w:bookmarkEnd w:id="0"/>
      <w:r w:rsidR="001C125A">
        <w:rPr>
          <w:color w:val="171717" w:themeColor="background2" w:themeShade="1A"/>
        </w:rPr>
        <w:t>agreed</w:t>
      </w:r>
      <w:r w:rsidRPr="00DD4CAB">
        <w:rPr>
          <w:color w:val="171717" w:themeColor="background2" w:themeShade="1A"/>
        </w:rPr>
        <w:t xml:space="preserve"> </w:t>
      </w:r>
      <w:hyperlink r:id="rId24" w:history="1">
        <w:r w:rsidR="00F97E38">
          <w:rPr>
            <w:rFonts w:ascii="Helv" w:hAnsi="Helv" w:cs="Helv"/>
            <w:color w:val="0000FF"/>
            <w:sz w:val="20"/>
          </w:rPr>
          <w:t>Terms and Conditions</w:t>
        </w:r>
      </w:hyperlink>
      <w:r w:rsidRPr="00DD4CAB">
        <w:rPr>
          <w:color w:val="171717" w:themeColor="background2" w:themeShade="1A"/>
        </w:rPr>
        <w:t xml:space="preserve">. </w:t>
      </w:r>
    </w:p>
    <w:p w14:paraId="0EDEF08B" w14:textId="77777777" w:rsidR="00DD4CAB" w:rsidRPr="00DD4CAB" w:rsidRDefault="00DD4CAB" w:rsidP="00DD4CAB">
      <w:pPr>
        <w:spacing w:after="0"/>
        <w:rPr>
          <w:rFonts w:asciiTheme="minorHAnsi" w:hAnsiTheme="minorHAnsi"/>
          <w:color w:val="171717" w:themeColor="background2" w:themeShade="1A"/>
          <w:szCs w:val="22"/>
        </w:rPr>
      </w:pPr>
    </w:p>
    <w:p w14:paraId="19BEC756" w14:textId="77777777" w:rsidR="002D488F" w:rsidRDefault="002D488F" w:rsidP="002D488F"/>
    <w:p w14:paraId="46F1E29E" w14:textId="77777777" w:rsidR="00DD4CAB" w:rsidRDefault="00DD4CAB" w:rsidP="002D488F"/>
    <w:sectPr w:rsidR="00DD4CAB" w:rsidSect="00630E37">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82F3A" w14:textId="77777777" w:rsidR="00253BFD" w:rsidRDefault="00253BFD">
      <w:pPr>
        <w:spacing w:before="0" w:after="0"/>
      </w:pPr>
      <w:r>
        <w:separator/>
      </w:r>
    </w:p>
  </w:endnote>
  <w:endnote w:type="continuationSeparator" w:id="0">
    <w:p w14:paraId="292BA2F7" w14:textId="77777777" w:rsidR="00253BFD" w:rsidRDefault="00253B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702857"/>
      <w:docPartObj>
        <w:docPartGallery w:val="Page Numbers (Bottom of Page)"/>
        <w:docPartUnique/>
      </w:docPartObj>
    </w:sdtPr>
    <w:sdtEndPr>
      <w:rPr>
        <w:noProof/>
      </w:rPr>
    </w:sdtEndPr>
    <w:sdtContent>
      <w:p w14:paraId="4843CC3B" w14:textId="77777777" w:rsidR="00DD4CAB" w:rsidRDefault="00DD4CAB">
        <w:pPr>
          <w:pStyle w:val="Footer"/>
        </w:pPr>
        <w:r>
          <w:fldChar w:fldCharType="begin"/>
        </w:r>
        <w:r>
          <w:instrText xml:space="preserve"> PAGE   \* MERGEFORMAT </w:instrText>
        </w:r>
        <w:r>
          <w:fldChar w:fldCharType="separate"/>
        </w:r>
        <w:r w:rsidR="00983E26">
          <w:rPr>
            <w:noProof/>
          </w:rPr>
          <w:t>4</w:t>
        </w:r>
        <w:r>
          <w:rPr>
            <w:noProof/>
          </w:rPr>
          <w:fldChar w:fldCharType="end"/>
        </w:r>
      </w:p>
    </w:sdtContent>
  </w:sdt>
  <w:p w14:paraId="6BFEDA4F" w14:textId="77777777" w:rsidR="00DD4CAB" w:rsidRDefault="00DD4CAB" w:rsidP="00DD4CAB">
    <w:pPr>
      <w:pStyle w:val="Footer"/>
      <w:tabs>
        <w:tab w:val="clear" w:pos="4513"/>
        <w:tab w:val="clear" w:pos="9026"/>
        <w:tab w:val="left" w:pos="80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9FF7" w14:textId="77777777" w:rsidR="00253BFD" w:rsidRDefault="00253BFD">
      <w:pPr>
        <w:spacing w:before="0" w:after="0"/>
      </w:pPr>
      <w:r>
        <w:separator/>
      </w:r>
    </w:p>
  </w:footnote>
  <w:footnote w:type="continuationSeparator" w:id="0">
    <w:p w14:paraId="037A26A2" w14:textId="77777777" w:rsidR="00253BFD" w:rsidRDefault="00253BF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F1763AB"/>
    <w:multiLevelType w:val="hybridMultilevel"/>
    <w:tmpl w:val="C37E5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58E4496"/>
    <w:multiLevelType w:val="hybridMultilevel"/>
    <w:tmpl w:val="D0FCE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10D2021"/>
    <w:multiLevelType w:val="multilevel"/>
    <w:tmpl w:val="72F8140E"/>
    <w:numStyleLink w:val="OutlineList"/>
  </w:abstractNum>
  <w:abstractNum w:abstractNumId="12">
    <w:nsid w:val="6D860F1E"/>
    <w:multiLevelType w:val="hybridMultilevel"/>
    <w:tmpl w:val="40F46228"/>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7"/>
  </w:num>
  <w:num w:numId="2">
    <w:abstractNumId w:val="0"/>
  </w:num>
  <w:num w:numId="3">
    <w:abstractNumId w:val="9"/>
  </w:num>
  <w:num w:numId="4">
    <w:abstractNumId w:val="2"/>
  </w:num>
  <w:num w:numId="5">
    <w:abstractNumId w:val="3"/>
  </w:num>
  <w:num w:numId="6">
    <w:abstractNumId w:val="11"/>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3"/>
  </w:num>
  <w:num w:numId="12">
    <w:abstractNumId w:val="11"/>
  </w:num>
  <w:num w:numId="13">
    <w:abstractNumId w:val="6"/>
  </w:num>
  <w:num w:numId="14">
    <w:abstractNumId w:val="8"/>
  </w:num>
  <w:num w:numId="15">
    <w:abstractNumId w:val="1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A0"/>
    <w:rsid w:val="00011725"/>
    <w:rsid w:val="00012C62"/>
    <w:rsid w:val="0002544D"/>
    <w:rsid w:val="00041A8B"/>
    <w:rsid w:val="0004274D"/>
    <w:rsid w:val="00044C0A"/>
    <w:rsid w:val="00056880"/>
    <w:rsid w:val="000675D1"/>
    <w:rsid w:val="0007102C"/>
    <w:rsid w:val="00073521"/>
    <w:rsid w:val="000775DE"/>
    <w:rsid w:val="000858F2"/>
    <w:rsid w:val="00087FAF"/>
    <w:rsid w:val="000C3EE5"/>
    <w:rsid w:val="000C5F40"/>
    <w:rsid w:val="000E0B74"/>
    <w:rsid w:val="000E76FC"/>
    <w:rsid w:val="000F0BF8"/>
    <w:rsid w:val="000F7517"/>
    <w:rsid w:val="00131EBE"/>
    <w:rsid w:val="001360DB"/>
    <w:rsid w:val="0014091C"/>
    <w:rsid w:val="001606CF"/>
    <w:rsid w:val="0016128D"/>
    <w:rsid w:val="0017089D"/>
    <w:rsid w:val="0019101A"/>
    <w:rsid w:val="001C125A"/>
    <w:rsid w:val="001C358D"/>
    <w:rsid w:val="0022190E"/>
    <w:rsid w:val="00231049"/>
    <w:rsid w:val="002314D2"/>
    <w:rsid w:val="00232FD7"/>
    <w:rsid w:val="002372A6"/>
    <w:rsid w:val="00253BFD"/>
    <w:rsid w:val="00257AEE"/>
    <w:rsid w:val="00263B6C"/>
    <w:rsid w:val="0027590B"/>
    <w:rsid w:val="00285969"/>
    <w:rsid w:val="002940EC"/>
    <w:rsid w:val="002B3829"/>
    <w:rsid w:val="002B5C39"/>
    <w:rsid w:val="002D488F"/>
    <w:rsid w:val="002F617F"/>
    <w:rsid w:val="003122F4"/>
    <w:rsid w:val="003268D5"/>
    <w:rsid w:val="00344779"/>
    <w:rsid w:val="00354D27"/>
    <w:rsid w:val="003839F0"/>
    <w:rsid w:val="003858A6"/>
    <w:rsid w:val="00392DCC"/>
    <w:rsid w:val="003E4D87"/>
    <w:rsid w:val="003F71F2"/>
    <w:rsid w:val="00416762"/>
    <w:rsid w:val="00445265"/>
    <w:rsid w:val="004559CE"/>
    <w:rsid w:val="00475B7B"/>
    <w:rsid w:val="00475F4D"/>
    <w:rsid w:val="00482AD1"/>
    <w:rsid w:val="00483049"/>
    <w:rsid w:val="00492FCB"/>
    <w:rsid w:val="004938D1"/>
    <w:rsid w:val="004951A8"/>
    <w:rsid w:val="004F1164"/>
    <w:rsid w:val="00516785"/>
    <w:rsid w:val="0052419D"/>
    <w:rsid w:val="005301F8"/>
    <w:rsid w:val="005312FC"/>
    <w:rsid w:val="0053603D"/>
    <w:rsid w:val="00545C63"/>
    <w:rsid w:val="005868DE"/>
    <w:rsid w:val="0060595B"/>
    <w:rsid w:val="00605AFD"/>
    <w:rsid w:val="00607C7C"/>
    <w:rsid w:val="006123D4"/>
    <w:rsid w:val="00630E37"/>
    <w:rsid w:val="00637C14"/>
    <w:rsid w:val="00640B4B"/>
    <w:rsid w:val="00656356"/>
    <w:rsid w:val="006755BF"/>
    <w:rsid w:val="00686165"/>
    <w:rsid w:val="00691CB5"/>
    <w:rsid w:val="006A6EE1"/>
    <w:rsid w:val="006B5E7C"/>
    <w:rsid w:val="006C645D"/>
    <w:rsid w:val="006D42C7"/>
    <w:rsid w:val="006E3CC3"/>
    <w:rsid w:val="006F656C"/>
    <w:rsid w:val="00707014"/>
    <w:rsid w:val="00745A87"/>
    <w:rsid w:val="0078509F"/>
    <w:rsid w:val="00794499"/>
    <w:rsid w:val="007B295C"/>
    <w:rsid w:val="007D5AA6"/>
    <w:rsid w:val="007E2AB9"/>
    <w:rsid w:val="007E6456"/>
    <w:rsid w:val="00810646"/>
    <w:rsid w:val="00834243"/>
    <w:rsid w:val="00855618"/>
    <w:rsid w:val="00857969"/>
    <w:rsid w:val="008808BA"/>
    <w:rsid w:val="008A1187"/>
    <w:rsid w:val="008A12AD"/>
    <w:rsid w:val="008B1499"/>
    <w:rsid w:val="008B5D35"/>
    <w:rsid w:val="008C1D00"/>
    <w:rsid w:val="008D339F"/>
    <w:rsid w:val="008D7F38"/>
    <w:rsid w:val="008E6292"/>
    <w:rsid w:val="008F5F84"/>
    <w:rsid w:val="00925AA5"/>
    <w:rsid w:val="0094019D"/>
    <w:rsid w:val="00942C11"/>
    <w:rsid w:val="009732EC"/>
    <w:rsid w:val="009821CE"/>
    <w:rsid w:val="00983E26"/>
    <w:rsid w:val="009842A0"/>
    <w:rsid w:val="009852CF"/>
    <w:rsid w:val="009A658F"/>
    <w:rsid w:val="009F2679"/>
    <w:rsid w:val="00A16E03"/>
    <w:rsid w:val="00A260CD"/>
    <w:rsid w:val="00A3749B"/>
    <w:rsid w:val="00A457E1"/>
    <w:rsid w:val="00A62E42"/>
    <w:rsid w:val="00A64A71"/>
    <w:rsid w:val="00AE2F90"/>
    <w:rsid w:val="00B3149D"/>
    <w:rsid w:val="00B770FF"/>
    <w:rsid w:val="00B82EF9"/>
    <w:rsid w:val="00B85F47"/>
    <w:rsid w:val="00B87927"/>
    <w:rsid w:val="00B92619"/>
    <w:rsid w:val="00BD5650"/>
    <w:rsid w:val="00BF69B5"/>
    <w:rsid w:val="00C30297"/>
    <w:rsid w:val="00C54E4E"/>
    <w:rsid w:val="00C663AB"/>
    <w:rsid w:val="00C85314"/>
    <w:rsid w:val="00CA46D6"/>
    <w:rsid w:val="00CA4BC0"/>
    <w:rsid w:val="00CC559D"/>
    <w:rsid w:val="00CC60A8"/>
    <w:rsid w:val="00CD654B"/>
    <w:rsid w:val="00CD6BD4"/>
    <w:rsid w:val="00CE223E"/>
    <w:rsid w:val="00D145F5"/>
    <w:rsid w:val="00D355F0"/>
    <w:rsid w:val="00D45AF8"/>
    <w:rsid w:val="00D51C05"/>
    <w:rsid w:val="00D83BD9"/>
    <w:rsid w:val="00D95FB9"/>
    <w:rsid w:val="00DA686B"/>
    <w:rsid w:val="00DB7F09"/>
    <w:rsid w:val="00DC00E8"/>
    <w:rsid w:val="00DD4CAB"/>
    <w:rsid w:val="00DD6098"/>
    <w:rsid w:val="00E10D39"/>
    <w:rsid w:val="00E1136B"/>
    <w:rsid w:val="00E22D51"/>
    <w:rsid w:val="00E35FA1"/>
    <w:rsid w:val="00E50E7C"/>
    <w:rsid w:val="00E51545"/>
    <w:rsid w:val="00E55326"/>
    <w:rsid w:val="00E711D7"/>
    <w:rsid w:val="00E902B0"/>
    <w:rsid w:val="00E902E8"/>
    <w:rsid w:val="00EB030F"/>
    <w:rsid w:val="00EC6B16"/>
    <w:rsid w:val="00EE677F"/>
    <w:rsid w:val="00F0082D"/>
    <w:rsid w:val="00F07C90"/>
    <w:rsid w:val="00F20469"/>
    <w:rsid w:val="00F66B9F"/>
    <w:rsid w:val="00F71A0E"/>
    <w:rsid w:val="00F92279"/>
    <w:rsid w:val="00F97E38"/>
    <w:rsid w:val="00FB64AA"/>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03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styleId="ListParagraph">
    <w:name w:val="List Paragraph"/>
    <w:aliases w:val="Bullet point,List Paragraph1,List Paragraph11,Recommendation,List Bullet 1,L,List Paragraph Number"/>
    <w:basedOn w:val="Normal"/>
    <w:link w:val="ListParagraphChar"/>
    <w:uiPriority w:val="34"/>
    <w:qFormat/>
    <w:rsid w:val="009842A0"/>
    <w:pPr>
      <w:spacing w:before="0" w:after="0"/>
      <w:ind w:left="720"/>
      <w:contextualSpacing/>
    </w:pPr>
    <w:rPr>
      <w:rFonts w:ascii="Times New Roman" w:hAnsi="Times New Roman"/>
      <w:sz w:val="24"/>
      <w:szCs w:val="24"/>
    </w:rPr>
  </w:style>
  <w:style w:type="character" w:customStyle="1" w:styleId="ListParagraphChar">
    <w:name w:val="List Paragraph Char"/>
    <w:aliases w:val="Bullet point Char,List Paragraph1 Char,List Paragraph11 Char,Recommendation Char,List Bullet 1 Char,L Char,List Paragraph Number Char"/>
    <w:basedOn w:val="DefaultParagraphFont"/>
    <w:link w:val="ListParagraph"/>
    <w:uiPriority w:val="34"/>
    <w:rsid w:val="009842A0"/>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45C63"/>
    <w:rPr>
      <w:sz w:val="16"/>
      <w:szCs w:val="16"/>
    </w:rPr>
  </w:style>
  <w:style w:type="paragraph" w:styleId="CommentText">
    <w:name w:val="annotation text"/>
    <w:basedOn w:val="Normal"/>
    <w:link w:val="CommentTextChar"/>
    <w:uiPriority w:val="99"/>
    <w:semiHidden/>
    <w:unhideWhenUsed/>
    <w:rsid w:val="00545C63"/>
    <w:rPr>
      <w:sz w:val="20"/>
    </w:rPr>
  </w:style>
  <w:style w:type="character" w:customStyle="1" w:styleId="CommentTextChar">
    <w:name w:val="Comment Text Char"/>
    <w:basedOn w:val="DefaultParagraphFont"/>
    <w:link w:val="CommentText"/>
    <w:uiPriority w:val="99"/>
    <w:semiHidden/>
    <w:rsid w:val="00545C6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45C63"/>
    <w:rPr>
      <w:b/>
      <w:bCs/>
    </w:rPr>
  </w:style>
  <w:style w:type="character" w:customStyle="1" w:styleId="CommentSubjectChar">
    <w:name w:val="Comment Subject Char"/>
    <w:basedOn w:val="CommentTextChar"/>
    <w:link w:val="CommentSubject"/>
    <w:uiPriority w:val="99"/>
    <w:semiHidden/>
    <w:rsid w:val="00545C63"/>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styleId="ListParagraph">
    <w:name w:val="List Paragraph"/>
    <w:aliases w:val="Bullet point,List Paragraph1,List Paragraph11,Recommendation,List Bullet 1,L,List Paragraph Number"/>
    <w:basedOn w:val="Normal"/>
    <w:link w:val="ListParagraphChar"/>
    <w:uiPriority w:val="34"/>
    <w:qFormat/>
    <w:rsid w:val="009842A0"/>
    <w:pPr>
      <w:spacing w:before="0" w:after="0"/>
      <w:ind w:left="720"/>
      <w:contextualSpacing/>
    </w:pPr>
    <w:rPr>
      <w:rFonts w:ascii="Times New Roman" w:hAnsi="Times New Roman"/>
      <w:sz w:val="24"/>
      <w:szCs w:val="24"/>
    </w:rPr>
  </w:style>
  <w:style w:type="character" w:customStyle="1" w:styleId="ListParagraphChar">
    <w:name w:val="List Paragraph Char"/>
    <w:aliases w:val="Bullet point Char,List Paragraph1 Char,List Paragraph11 Char,Recommendation Char,List Bullet 1 Char,L Char,List Paragraph Number Char"/>
    <w:basedOn w:val="DefaultParagraphFont"/>
    <w:link w:val="ListParagraph"/>
    <w:uiPriority w:val="34"/>
    <w:rsid w:val="009842A0"/>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45C63"/>
    <w:rPr>
      <w:sz w:val="16"/>
      <w:szCs w:val="16"/>
    </w:rPr>
  </w:style>
  <w:style w:type="paragraph" w:styleId="CommentText">
    <w:name w:val="annotation text"/>
    <w:basedOn w:val="Normal"/>
    <w:link w:val="CommentTextChar"/>
    <w:uiPriority w:val="99"/>
    <w:semiHidden/>
    <w:unhideWhenUsed/>
    <w:rsid w:val="00545C63"/>
    <w:rPr>
      <w:sz w:val="20"/>
    </w:rPr>
  </w:style>
  <w:style w:type="character" w:customStyle="1" w:styleId="CommentTextChar">
    <w:name w:val="Comment Text Char"/>
    <w:basedOn w:val="DefaultParagraphFont"/>
    <w:link w:val="CommentText"/>
    <w:uiPriority w:val="99"/>
    <w:semiHidden/>
    <w:rsid w:val="00545C6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45C63"/>
    <w:rPr>
      <w:b/>
      <w:bCs/>
    </w:rPr>
  </w:style>
  <w:style w:type="character" w:customStyle="1" w:styleId="CommentSubjectChar">
    <w:name w:val="Comment Subject Char"/>
    <w:basedOn w:val="CommentTextChar"/>
    <w:link w:val="CommentSubject"/>
    <w:uiPriority w:val="99"/>
    <w:semiHidden/>
    <w:rsid w:val="00545C63"/>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legislation.gov.au/Details/F2004C0020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dustry.gov.au/Office-of-the-Chief-Economist/Data/Pages/Business-Longitudinal-Analysis-Data-Environment.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legislation.gov.au/Details/F2004C0020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Details/F2004C00203" TargetMode="External"/><Relationship Id="rId20" Type="http://schemas.openxmlformats.org/officeDocument/2006/relationships/hyperlink" Target="https://www.acnc.gov.au/ACNC/FindCharity/QuickSearch/ACNC/OnlineProcessors/Online_register/Search_the_Register.aspx?noleft=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abs.gov.au/websitedbs/D3310114.nsf/home/Registration+Centre+-+Terms+&amp;+Conditions" TargetMode="External"/><Relationship Id="rId5" Type="http://schemas.openxmlformats.org/officeDocument/2006/relationships/customXml" Target="../customXml/item5.xml"/><Relationship Id="rId15" Type="http://schemas.openxmlformats.org/officeDocument/2006/relationships/hyperlink" Target="https://www.legislation.gov.au/Details/C2016C01005" TargetMode="External"/><Relationship Id="rId23" Type="http://schemas.openxmlformats.org/officeDocument/2006/relationships/hyperlink" Target="http://www.abs.gov.au/websitedbs/D3310114.nsf/89a5f3d8684682b6ca256de4002c809b/55c077b4d87d2fbdca2572090006fbcf!OpenDocument" TargetMode="External"/><Relationship Id="rId10" Type="http://schemas.openxmlformats.org/officeDocument/2006/relationships/settings" Target="settings.xml"/><Relationship Id="rId19" Type="http://schemas.openxmlformats.org/officeDocument/2006/relationships/hyperlink" Target="https://www.legislation.gov.au/Details/F2004C00203"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legislation.gov.au/Details/F2004C00203" TargetMode="External"/><Relationship Id="rId22" Type="http://schemas.openxmlformats.org/officeDocument/2006/relationships/hyperlink" Target="http://www.abs.gov.au/websitedbs/D3310114.nsf/Home/Privacy?opendocumen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2D77FC5E78371044AD6489ADEA6DAB9B|1757814118" UniqueId="907908e7-fe2a-4e3a-8319-ed1139c39beb">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54bb81cf-96ba-41ce-8a26-ccbc5a57d34e">
      <Terms xmlns="http://schemas.microsoft.com/office/infopath/2007/PartnerControls">
        <TermInfo xmlns="http://schemas.microsoft.com/office/infopath/2007/PartnerControls">
          <TermName xmlns="http://schemas.microsoft.com/office/infopath/2007/PartnerControls">TSY RA-8833 - Destroy 10 years after action completed</TermName>
          <TermId xmlns="http://schemas.microsoft.com/office/infopath/2007/PartnerControls">7bca45ba-b715-47b5-9037-b923dddd3489</TermId>
        </TermInfo>
      </Terms>
    </lb508a4dc5e84436a0fe496b536466aa>
    <IconOverlay xmlns="http://schemas.microsoft.com/sharepoint/v4" xsi:nil="true"/>
    <TaxCatchAll xmlns="54bb81cf-96ba-41ce-8a26-ccbc5a57d34e">
      <Value>48</Value>
    </TaxCatchAll>
    <ContentTypes xmlns="f0b8e850-5d6c-4fdf-aaa8-971c30da5c10">15</ContentTypes>
    <WorkStreams xmlns="f0b8e850-5d6c-4fdf-aaa8-971c30da5c10"/>
    <_dlc_DocId xmlns="54bb81cf-96ba-41ce-8a26-ccbc5a57d34e">2017MEG-154-877</_dlc_DocId>
    <_dlc_DocIdUrl xmlns="54bb81cf-96ba-41ce-8a26-ccbc5a57d34e">
      <Url>http://tweb/sites/meg/mmpd/_layouts/15/DocIdRedir.aspx?ID=2017MEG-154-877</Url>
      <Description>2017MEG-154-877</Description>
    </_dlc_DocIdUrl>
    <Monetary_x0020_policy_x0020_streams xmlns="2607908e-e259-4497-ba2a-eb929317cb90"/>
    <Work_x0020_streams xmlns="2607908e-e259-4497-ba2a-eb929317cb90"/>
    <Project_x0020_number xmlns="2607908e-e259-4497-ba2a-eb929317cb90">99</Project_x0020_number>
    <Macro_x002d_financial_x0020_risk_x0020_streams xmlns="2607908e-e259-4497-ba2a-eb929317cb90"/>
    <Participation_x0020_streams xmlns="2607908e-e259-4497-ba2a-eb929317cb90"/>
    <Productivity_x0020_streams xmlns="2607908e-e259-4497-ba2a-eb929317cb90"/>
    <Population_x0020_streams xmlns="2607908e-e259-4497-ba2a-eb929317cb90"/>
    <Fiscal_x0020_policy_x0020_streams xmlns="2607908e-e259-4497-ba2a-eb929317cb90"/>
    <Content_x0020_tyoes xmlns="2607908e-e259-4497-ba2a-eb929317cb90">12</Content_x0020_tyoes>
    <Model_x0020_development xmlns="2607908e-e259-4497-ba2a-eb929317cb90"/>
    <Model_x0020_simulation xmlns="2607908e-e259-4497-ba2a-eb929317cb90"/>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2D77FC5E78371044AD6489ADEA6DAB9B00194541FE243FB14FA31679C44A042B1B" ma:contentTypeVersion="8892" ma:contentTypeDescription="" ma:contentTypeScope="" ma:versionID="96e6ff993766f266f9c2a33c3efe8d55">
  <xsd:schema xmlns:xsd="http://www.w3.org/2001/XMLSchema" xmlns:xs="http://www.w3.org/2001/XMLSchema" xmlns:p="http://schemas.microsoft.com/office/2006/metadata/properties" xmlns:ns1="http://schemas.microsoft.com/sharepoint/v3" xmlns:ns2="54bb81cf-96ba-41ce-8a26-ccbc5a57d34e" xmlns:ns3="2607908e-e259-4497-ba2a-eb929317cb90" xmlns:ns4="f0b8e850-5d6c-4fdf-aaa8-971c30da5c10" xmlns:ns5="http://schemas.microsoft.com/sharepoint/v4" targetNamespace="http://schemas.microsoft.com/office/2006/metadata/properties" ma:root="true" ma:fieldsID="03523e0cd0cb0488167546360f32be7c" ns1:_="" ns2:_="" ns3:_="" ns4:_="" ns5:_="">
    <xsd:import namespace="http://schemas.microsoft.com/sharepoint/v3"/>
    <xsd:import namespace="54bb81cf-96ba-41ce-8a26-ccbc5a57d34e"/>
    <xsd:import namespace="2607908e-e259-4497-ba2a-eb929317cb90"/>
    <xsd:import namespace="f0b8e850-5d6c-4fdf-aaa8-971c30da5c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3:Content_x0020_tyoes"/>
                <xsd:element ref="ns4:WorkStreams" minOccurs="0"/>
                <xsd:element ref="ns3:Population_x0020_streams" minOccurs="0"/>
                <xsd:element ref="ns3:Participation_x0020_streams" minOccurs="0"/>
                <xsd:element ref="ns3:Productivity_x0020_streams" minOccurs="0"/>
                <xsd:element ref="ns3:Fiscal_x0020_policy_x0020_streams" minOccurs="0"/>
                <xsd:element ref="ns3:Monetary_x0020_policy_x0020_streams" minOccurs="0"/>
                <xsd:element ref="ns3:Macro_x002d_financial_x0020_risk_x0020_streams" minOccurs="0"/>
                <xsd:element ref="ns5:IconOverlay" minOccurs="0"/>
                <xsd:element ref="ns3:Model_x0020_simulation" minOccurs="0"/>
                <xsd:element ref="ns3:Model_x0020_development" minOccurs="0"/>
                <xsd:element ref="ns3:Project_x0020_number" minOccurs="0"/>
                <xsd:element ref="ns3:Work_x0020_streams" minOccurs="0"/>
                <xsd:element ref="ns4:Cont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b81cf-96ba-41ce-8a26-ccbc5a57d3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49;#AE-20336-Destroy 3 years after production|772c9fff-ac92-4d4b-86d1-33888c4b043f"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7908e-e259-4497-ba2a-eb929317cb90" elementFormDefault="qualified">
    <xsd:import namespace="http://schemas.microsoft.com/office/2006/documentManagement/types"/>
    <xsd:import namespace="http://schemas.microsoft.com/office/infopath/2007/PartnerControls"/>
    <xsd:element name="Content_x0020_tyoes" ma:index="16" ma:displayName="Content types" ma:list="{4f224bbf-b44e-4c30-b732-17c4320ce6cc}" ma:internalName="Content_x0020_tyoes" ma:showField="Title">
      <xsd:simpleType>
        <xsd:restriction base="dms:Lookup"/>
      </xsd:simpleType>
    </xsd:element>
    <xsd:element name="Population_x0020_streams" ma:index="18" nillable="true" ma:displayName="Population streams" ma:list="{626ce797-6a0f-4efc-92db-4b02c7dae518}" ma:internalName="Population_x0020_streams" ma:showField="Title">
      <xsd:complexType>
        <xsd:complexContent>
          <xsd:extension base="dms:MultiChoiceLookup">
            <xsd:sequence>
              <xsd:element name="Value" type="dms:Lookup" maxOccurs="unbounded" minOccurs="0" nillable="true"/>
            </xsd:sequence>
          </xsd:extension>
        </xsd:complexContent>
      </xsd:complexType>
    </xsd:element>
    <xsd:element name="Participation_x0020_streams" ma:index="19" nillable="true" ma:displayName="Participation streams" ma:list="{ea297aad-21fb-4814-bfb4-c1d165e238af}" ma:internalName="Participation_x0020_streams" ma:showField="Title">
      <xsd:complexType>
        <xsd:complexContent>
          <xsd:extension base="dms:MultiChoiceLookup">
            <xsd:sequence>
              <xsd:element name="Value" type="dms:Lookup" maxOccurs="unbounded" minOccurs="0" nillable="true"/>
            </xsd:sequence>
          </xsd:extension>
        </xsd:complexContent>
      </xsd:complexType>
    </xsd:element>
    <xsd:element name="Productivity_x0020_streams" ma:index="20" nillable="true" ma:displayName="Productivity streams" ma:list="{559149e6-9ef6-42b6-869a-da44a1232927}" ma:internalName="Productivity_x0020_streams" ma:showField="Title">
      <xsd:complexType>
        <xsd:complexContent>
          <xsd:extension base="dms:MultiChoiceLookup">
            <xsd:sequence>
              <xsd:element name="Value" type="dms:Lookup" maxOccurs="unbounded" minOccurs="0" nillable="true"/>
            </xsd:sequence>
          </xsd:extension>
        </xsd:complexContent>
      </xsd:complexType>
    </xsd:element>
    <xsd:element name="Fiscal_x0020_policy_x0020_streams" ma:index="21" nillable="true" ma:displayName="Fiscal policy streams" ma:list="{3261a855-5808-4ced-8a1d-31d8e7e3e2f9}" ma:internalName="Fiscal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onetary_x0020_policy_x0020_streams" ma:index="22" nillable="true" ma:displayName="Monetary policy streams" ma:list="{e5f9ceb1-1dc5-4b38-b56c-a059627dfb53}" ma:internalName="Monetary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acro_x002d_financial_x0020_risk_x0020_streams" ma:index="23" nillable="true" ma:displayName="Macro-financial risk streams" ma:list="{0e047be6-86fe-42ab-a4e9-d2d4b793196f}" ma:internalName="Macro_x002d_financial_x0020_risk_x0020_streams" ma:showField="Title">
      <xsd:complexType>
        <xsd:complexContent>
          <xsd:extension base="dms:MultiChoiceLookup">
            <xsd:sequence>
              <xsd:element name="Value" type="dms:Lookup" maxOccurs="unbounded" minOccurs="0" nillable="true"/>
            </xsd:sequence>
          </xsd:extension>
        </xsd:complexContent>
      </xsd:complexType>
    </xsd:element>
    <xsd:element name="Model_x0020_simulation" ma:index="26" nillable="true" ma:displayName="Model simulation streams" ma:list="{36332a20-ab24-4d4d-a40f-075860218e23}" ma:internalName="Model_x0020_simulation" ma:showField="Title">
      <xsd:complexType>
        <xsd:complexContent>
          <xsd:extension base="dms:MultiChoiceLookup">
            <xsd:sequence>
              <xsd:element name="Value" type="dms:Lookup" maxOccurs="unbounded" minOccurs="0" nillable="true"/>
            </xsd:sequence>
          </xsd:extension>
        </xsd:complexContent>
      </xsd:complexType>
    </xsd:element>
    <xsd:element name="Model_x0020_development" ma:index="27" nillable="true" ma:displayName="Model development streams" ma:internalName="Model_x0020_development">
      <xsd:complexType>
        <xsd:complexContent>
          <xsd:extension base="dms:MultiChoice">
            <xsd:sequence>
              <xsd:element name="Value" maxOccurs="unbounded" minOccurs="0" nillable="true">
                <xsd:simpleType>
                  <xsd:restriction base="dms:Choice">
                    <xsd:enumeration value="G-cubed"/>
                    <xsd:enumeration value="IECGE"/>
                    <xsd:enumeration value="GIMF"/>
                    <xsd:enumeration value="GVAR"/>
                    <xsd:enumeration value="Overlapping Generations"/>
                    <xsd:enumeration value="Dynamic general equilibrium"/>
                    <xsd:enumeration value="Single equation"/>
                    <xsd:enumeration value="VAR"/>
                    <xsd:enumeration value="Forecast/projection model"/>
                    <xsd:enumeration value="Government spending"/>
                    <xsd:enumeration value="Dr Chung Tran training course 2016"/>
                    <xsd:enumeration value="International modelling"/>
                  </xsd:restriction>
                </xsd:simpleType>
              </xsd:element>
            </xsd:sequence>
          </xsd:extension>
        </xsd:complexContent>
      </xsd:complexType>
    </xsd:element>
    <xsd:element name="Project_x0020_number" ma:index="28" nillable="true" ma:displayName="Project number" ma:list="{b58c7af6-9285-4f5e-9df2-dfb3963c4ce7}" ma:internalName="Project_x0020_number" ma:showField="Project_x0020_number">
      <xsd:simpleType>
        <xsd:restriction base="dms:Lookup"/>
      </xsd:simpleType>
    </xsd:element>
    <xsd:element name="Work_x0020_streams" ma:index="29" nillable="true" ma:displayName="Work streams" ma:hidden="true" ma:list="{504b9a15-e5a5-47ba-acbd-a5ca5b65581d}" ma:internalName="Work_x0020_stream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b8e850-5d6c-4fdf-aaa8-971c30da5c10" elementFormDefault="qualified">
    <xsd:import namespace="http://schemas.microsoft.com/office/2006/documentManagement/types"/>
    <xsd:import namespace="http://schemas.microsoft.com/office/infopath/2007/PartnerControls"/>
    <xsd:element name="WorkStreams" ma:index="17" nillable="true" ma:displayName="WorkStreams" ma:list="{504b9a15-e5a5-47ba-acbd-a5ca5b65581d}" ma:internalName="WorkStreams" ma:showField="Title" ma:web="f0b8e850-5d6c-4fdf-aaa8-971c30da5c10">
      <xsd:complexType>
        <xsd:complexContent>
          <xsd:extension base="dms:MultiChoiceLookup">
            <xsd:sequence>
              <xsd:element name="Value" type="dms:Lookup" maxOccurs="unbounded" minOccurs="0" nillable="true"/>
            </xsd:sequence>
          </xsd:extension>
        </xsd:complexContent>
      </xsd:complexType>
    </xsd:element>
    <xsd:element name="ContentTypes" ma:index="30" nillable="true" ma:displayName="ContentTypes" ma:list="{4f224bbf-b44e-4c30-b732-17c4320ce6cc}" ma:internalName="ContentTypes" ma:showField="Title" ma:web="f0b8e850-5d6c-4fdf-aaa8-971c30da5c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5DD2-A621-4CC5-AC59-D03E25C28D7A}">
  <ds:schemaRefs>
    <ds:schemaRef ds:uri="http://schemas.microsoft.com/sharepoint/events"/>
  </ds:schemaRefs>
</ds:datastoreItem>
</file>

<file path=customXml/itemProps2.xml><?xml version="1.0" encoding="utf-8"?>
<ds:datastoreItem xmlns:ds="http://schemas.openxmlformats.org/officeDocument/2006/customXml" ds:itemID="{910883FD-294D-455E-8574-312FA198B8C3}">
  <ds:schemaRefs>
    <ds:schemaRef ds:uri="office.server.policy"/>
  </ds:schemaRefs>
</ds:datastoreItem>
</file>

<file path=customXml/itemProps3.xml><?xml version="1.0" encoding="utf-8"?>
<ds:datastoreItem xmlns:ds="http://schemas.openxmlformats.org/officeDocument/2006/customXml" ds:itemID="{3E0D8761-4CB2-4AA8-BCC5-900FF28A6401}">
  <ds:schemaRefs>
    <ds:schemaRef ds:uri="http://schemas.microsoft.com/sharepoint/v3/contenttype/forms"/>
  </ds:schemaRefs>
</ds:datastoreItem>
</file>

<file path=customXml/itemProps4.xml><?xml version="1.0" encoding="utf-8"?>
<ds:datastoreItem xmlns:ds="http://schemas.openxmlformats.org/officeDocument/2006/customXml" ds:itemID="{8BD50967-3CE6-41E9-9417-701101B89A02}">
  <ds:schemaRef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http://schemas.microsoft.com/sharepoint/v4"/>
    <ds:schemaRef ds:uri="f0b8e850-5d6c-4fdf-aaa8-971c30da5c10"/>
    <ds:schemaRef ds:uri="http://schemas.microsoft.com/office/2006/metadata/properties"/>
    <ds:schemaRef ds:uri="2607908e-e259-4497-ba2a-eb929317cb90"/>
    <ds:schemaRef ds:uri="54bb81cf-96ba-41ce-8a26-ccbc5a57d34e"/>
    <ds:schemaRef ds:uri="http://schemas.microsoft.com/sharepoint/v3"/>
    <ds:schemaRef ds:uri="http://purl.org/dc/elements/1.1/"/>
  </ds:schemaRefs>
</ds:datastoreItem>
</file>

<file path=customXml/itemProps5.xml><?xml version="1.0" encoding="utf-8"?>
<ds:datastoreItem xmlns:ds="http://schemas.openxmlformats.org/officeDocument/2006/customXml" ds:itemID="{55575446-EBE9-495E-8A13-EF788E00D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b81cf-96ba-41ce-8a26-ccbc5a57d34e"/>
    <ds:schemaRef ds:uri="2607908e-e259-4497-ba2a-eb929317cb90"/>
    <ds:schemaRef ds:uri="f0b8e850-5d6c-4fdf-aaa8-971c30da5c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1FB5D9-8C17-4D66-B051-4C1CD05F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0</TotalTime>
  <Pages>4</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Sibelle, Alexander</dc:creator>
  <cp:lastModifiedBy>Sibelle, Alexander</cp:lastModifiedBy>
  <cp:revision>2</cp:revision>
  <cp:lastPrinted>2017-12-04T05:06:00Z</cp:lastPrinted>
  <dcterms:created xsi:type="dcterms:W3CDTF">2018-02-05T23:15:00Z</dcterms:created>
  <dcterms:modified xsi:type="dcterms:W3CDTF">2018-02-05T23:15:00Z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0x0101002D77FC5E78371044AD6489ADEA6DAB9B00194541FE243FB14FA31679C44A042B1B</vt:lpwstr>
  </property>
  <property fmtid="{D5CDD505-2E9C-101B-9397-08002B2CF9AE}" pid="3" name="TSYRecordClass">
    <vt:lpwstr>48;#TSY RA-8833 - Destroy 10 years after action completed|7bca45ba-b715-47b5-9037-b923dddd3489</vt:lpwstr>
  </property>
  <property fmtid="{D5CDD505-2E9C-101B-9397-08002B2CF9AE}" pid="4" name="_dlc_DocIdItemGuid">
    <vt:lpwstr>7d32107d-2747-42f7-993d-b74c22af70f0</vt:lpwstr>
  </property>
  <property fmtid="{D5CDD505-2E9C-101B-9397-08002B2CF9AE}" pid="5" name="RecordPoint_WorkflowType">
    <vt:lpwstr>ActiveSubmitStub</vt:lpwstr>
  </property>
  <property fmtid="{D5CDD505-2E9C-101B-9397-08002B2CF9AE}" pid="6" name="RecordPoint_ActiveItemWebId">
    <vt:lpwstr>{f0b8e850-5d6c-4fdf-aaa8-971c30da5c10}</vt:lpwstr>
  </property>
  <property fmtid="{D5CDD505-2E9C-101B-9397-08002B2CF9AE}" pid="7" name="RecordPoint_ActiveItemSiteId">
    <vt:lpwstr>{5ee6e47b-6e52-4499-bd11-9d6883ed7b5d}</vt:lpwstr>
  </property>
  <property fmtid="{D5CDD505-2E9C-101B-9397-08002B2CF9AE}" pid="8" name="RecordPoint_ActiveItemListId">
    <vt:lpwstr>{d3f2754c-da0e-4c9a-a84f-52c4c8ca2ba6}</vt:lpwstr>
  </property>
  <property fmtid="{D5CDD505-2E9C-101B-9397-08002B2CF9AE}" pid="9" name="RecordPoint_ActiveItemUniqueId">
    <vt:lpwstr>{7d32107d-2747-42f7-993d-b74c22af70f0}</vt:lpwstr>
  </property>
</Properties>
</file>