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9D4" w:rsidRPr="00647BB7" w:rsidRDefault="00F109D4" w:rsidP="00647BB7">
      <w:pPr>
        <w:pStyle w:val="Heading1"/>
        <w:spacing w:after="360"/>
        <w:rPr>
          <w:rFonts w:ascii="Times New Roman" w:hAnsi="Times New Roman"/>
          <w:u w:val="none"/>
        </w:rPr>
      </w:pPr>
      <w:r w:rsidRPr="00647BB7">
        <w:rPr>
          <w:rFonts w:ascii="Times New Roman" w:hAnsi="Times New Roman"/>
          <w:u w:val="none"/>
        </w:rPr>
        <w:t>EXPLANATORY STATEMENT</w:t>
      </w:r>
    </w:p>
    <w:p w:rsidR="007662C7" w:rsidRPr="003E1CE3" w:rsidRDefault="00F109D4" w:rsidP="003E1CE3">
      <w:pPr>
        <w:pStyle w:val="Heading2"/>
        <w:jc w:val="center"/>
      </w:pPr>
      <w:r w:rsidRPr="00503E44">
        <w:t xml:space="preserve">Issued by authority of the </w:t>
      </w:r>
      <w:r w:rsidR="002C23F6" w:rsidRPr="00AD742D">
        <w:rPr>
          <w:szCs w:val="22"/>
        </w:rPr>
        <w:t>Assistant Treasurer</w:t>
      </w:r>
    </w:p>
    <w:p w:rsidR="00F109D4" w:rsidRPr="00503E44" w:rsidRDefault="002C23F6" w:rsidP="00AA1689">
      <w:pPr>
        <w:spacing w:before="0" w:after="240"/>
        <w:jc w:val="center"/>
        <w:rPr>
          <w:i/>
        </w:rPr>
      </w:pPr>
      <w:r w:rsidRPr="00AD742D">
        <w:rPr>
          <w:i/>
        </w:rPr>
        <w:t>Income Tax Assessment Act 1997</w:t>
      </w:r>
    </w:p>
    <w:p w:rsidR="00F109D4" w:rsidRPr="00503E44" w:rsidRDefault="002C23F6" w:rsidP="00AA1689">
      <w:pPr>
        <w:tabs>
          <w:tab w:val="left" w:pos="1418"/>
        </w:tabs>
        <w:spacing w:before="0" w:after="240"/>
        <w:jc w:val="center"/>
        <w:rPr>
          <w:i/>
        </w:rPr>
      </w:pPr>
      <w:r w:rsidRPr="00AD742D">
        <w:rPr>
          <w:i/>
          <w:noProof/>
        </w:rPr>
        <w:t>Treasury Laws Amendment (2019 Measures No. #) Regulations 2019</w:t>
      </w:r>
    </w:p>
    <w:p w:rsidR="00F109D4" w:rsidRDefault="00C55D29" w:rsidP="00AD3A14">
      <w:pPr>
        <w:spacing w:before="240"/>
      </w:pPr>
      <w:r w:rsidRPr="00503E44">
        <w:t>Section</w:t>
      </w:r>
      <w:r w:rsidR="009F793F">
        <w:t> </w:t>
      </w:r>
      <w:r w:rsidR="002C23F6">
        <w:t>909</w:t>
      </w:r>
      <w:r w:rsidR="009F793F">
        <w:noBreakHyphen/>
      </w:r>
      <w:r w:rsidR="002C23F6">
        <w:t>1</w:t>
      </w:r>
      <w:r w:rsidR="005E4BAC">
        <w:t xml:space="preserve"> </w:t>
      </w:r>
      <w:r w:rsidR="00F109D4" w:rsidRPr="00503E44">
        <w:t xml:space="preserve">of the </w:t>
      </w:r>
      <w:r w:rsidR="002C23F6" w:rsidRPr="00AD742D">
        <w:rPr>
          <w:i/>
        </w:rPr>
        <w:t>Income Tax Assessment</w:t>
      </w:r>
      <w:r w:rsidR="009F793F">
        <w:rPr>
          <w:i/>
        </w:rPr>
        <w:t> </w:t>
      </w:r>
      <w:r w:rsidR="002C23F6" w:rsidRPr="00AD742D">
        <w:rPr>
          <w:i/>
        </w:rPr>
        <w:t>Act</w:t>
      </w:r>
      <w:r w:rsidR="009F793F">
        <w:rPr>
          <w:i/>
        </w:rPr>
        <w:t> </w:t>
      </w:r>
      <w:r w:rsidR="002C23F6" w:rsidRPr="00AD742D">
        <w:rPr>
          <w:i/>
        </w:rPr>
        <w:t>1997</w:t>
      </w:r>
      <w:r w:rsidR="00F109D4" w:rsidRPr="00503E44">
        <w:t xml:space="preserve"> (the</w:t>
      </w:r>
      <w:r w:rsidR="009F793F">
        <w:t> </w:t>
      </w:r>
      <w:r w:rsidR="002C23F6">
        <w:t>Act) provides that the Governor</w:t>
      </w:r>
      <w:r w:rsidR="009F793F">
        <w:noBreakHyphen/>
      </w:r>
      <w:r w:rsidR="00F109D4" w:rsidRPr="00503E44">
        <w:t>General may make regulations prescribing matters required or permitted by the</w:t>
      </w:r>
      <w:r w:rsidR="009F793F">
        <w:t> </w:t>
      </w:r>
      <w:r w:rsidR="00F109D4" w:rsidRPr="00503E44">
        <w:t>Act to be prescribed, or necessary or convenient to be prescribed for carrying out or giving effect to the</w:t>
      </w:r>
      <w:r w:rsidR="009F793F">
        <w:t> </w:t>
      </w:r>
      <w:r w:rsidR="00F109D4" w:rsidRPr="00503E44">
        <w:t>Act.</w:t>
      </w:r>
    </w:p>
    <w:p w:rsidR="0066138C" w:rsidRPr="00F36957" w:rsidRDefault="00EF55BD" w:rsidP="00AD3A14">
      <w:pPr>
        <w:tabs>
          <w:tab w:val="left" w:pos="1418"/>
        </w:tabs>
        <w:spacing w:before="240"/>
      </w:pPr>
      <w:r w:rsidRPr="00F36957">
        <w:t xml:space="preserve">The </w:t>
      </w:r>
      <w:r w:rsidRPr="00F36957">
        <w:rPr>
          <w:i/>
          <w:noProof/>
        </w:rPr>
        <w:t>Treasury Laws Amendment (2019</w:t>
      </w:r>
      <w:r w:rsidR="009F793F">
        <w:rPr>
          <w:i/>
          <w:noProof/>
        </w:rPr>
        <w:t> </w:t>
      </w:r>
      <w:r w:rsidRPr="00F36957">
        <w:rPr>
          <w:i/>
          <w:noProof/>
        </w:rPr>
        <w:t>Measures No.</w:t>
      </w:r>
      <w:r w:rsidR="009F793F">
        <w:rPr>
          <w:i/>
          <w:noProof/>
        </w:rPr>
        <w:t> </w:t>
      </w:r>
      <w:r w:rsidRPr="00F36957">
        <w:rPr>
          <w:i/>
          <w:noProof/>
        </w:rPr>
        <w:t>#) Regulations 2019</w:t>
      </w:r>
      <w:r w:rsidRPr="00F36957">
        <w:rPr>
          <w:noProof/>
        </w:rPr>
        <w:t xml:space="preserve"> (the Regulations)</w:t>
      </w:r>
      <w:r w:rsidRPr="00F36957">
        <w:t xml:space="preserve"> </w:t>
      </w:r>
      <w:r w:rsidR="002C23F6" w:rsidRPr="00F36957">
        <w:t xml:space="preserve">amend the </w:t>
      </w:r>
      <w:r w:rsidR="002C23F6" w:rsidRPr="00F36957">
        <w:rPr>
          <w:i/>
          <w:iCs/>
        </w:rPr>
        <w:t>Income Tax Assessment Regulations 1997</w:t>
      </w:r>
      <w:r w:rsidR="002C23F6" w:rsidRPr="00F36957">
        <w:t xml:space="preserve"> (</w:t>
      </w:r>
      <w:r w:rsidRPr="00F36957">
        <w:t xml:space="preserve">the </w:t>
      </w:r>
      <w:r w:rsidR="002C23F6" w:rsidRPr="00F36957">
        <w:t xml:space="preserve">ITAR 1997) to </w:t>
      </w:r>
      <w:r w:rsidR="006C76EA" w:rsidRPr="00F36957">
        <w:t>align the tax treatment of Tier</w:t>
      </w:r>
      <w:r w:rsidR="009F793F">
        <w:t> </w:t>
      </w:r>
      <w:r w:rsidR="006C76EA" w:rsidRPr="00F36957">
        <w:t>2 capital instruments convertible into mutual equity interest</w:t>
      </w:r>
      <w:r w:rsidR="008D6342" w:rsidRPr="00F36957">
        <w:t>s</w:t>
      </w:r>
      <w:r w:rsidR="006C76EA" w:rsidRPr="00F36957">
        <w:t xml:space="preserve"> (MEI) with those convertible into ordinary shares.</w:t>
      </w:r>
      <w:r w:rsidR="0066138C" w:rsidRPr="00F36957">
        <w:t xml:space="preserve"> </w:t>
      </w:r>
      <w:r w:rsidR="002800EC" w:rsidRPr="00F36957">
        <w:rPr>
          <w:szCs w:val="24"/>
        </w:rPr>
        <w:t>The alignment of this treatment aims to remove a barrier</w:t>
      </w:r>
      <w:r w:rsidR="003F11B5">
        <w:rPr>
          <w:szCs w:val="24"/>
        </w:rPr>
        <w:t xml:space="preserve"> to accessing capital</w:t>
      </w:r>
      <w:r w:rsidR="002800EC" w:rsidRPr="00F36957">
        <w:rPr>
          <w:szCs w:val="24"/>
        </w:rPr>
        <w:t xml:space="preserve"> and help to increase competition in the </w:t>
      </w:r>
      <w:r w:rsidR="003F11B5">
        <w:rPr>
          <w:szCs w:val="24"/>
        </w:rPr>
        <w:t xml:space="preserve">banking </w:t>
      </w:r>
      <w:r w:rsidR="002800EC" w:rsidRPr="00F36957">
        <w:rPr>
          <w:szCs w:val="24"/>
        </w:rPr>
        <w:t xml:space="preserve">sector, ultimately providing </w:t>
      </w:r>
      <w:r w:rsidR="00B47704">
        <w:rPr>
          <w:szCs w:val="24"/>
        </w:rPr>
        <w:t>more</w:t>
      </w:r>
      <w:r w:rsidR="00B47704" w:rsidRPr="00F36957">
        <w:rPr>
          <w:szCs w:val="24"/>
        </w:rPr>
        <w:t xml:space="preserve"> </w:t>
      </w:r>
      <w:r w:rsidR="002800EC" w:rsidRPr="00F36957">
        <w:rPr>
          <w:szCs w:val="24"/>
        </w:rPr>
        <w:t>choices for customers.</w:t>
      </w:r>
      <w:r w:rsidR="0066138C" w:rsidRPr="00F36957">
        <w:rPr>
          <w:szCs w:val="24"/>
        </w:rPr>
        <w:t xml:space="preserve"> </w:t>
      </w:r>
    </w:p>
    <w:p w:rsidR="00BE6793" w:rsidRPr="00F36957" w:rsidRDefault="00BE6793" w:rsidP="00AD3A14">
      <w:pPr>
        <w:pStyle w:val="Heading4"/>
        <w:shd w:val="clear" w:color="auto" w:fill="FFFFFF"/>
        <w:spacing w:before="240"/>
        <w:rPr>
          <w:b w:val="0"/>
          <w:kern w:val="0"/>
        </w:rPr>
      </w:pPr>
      <w:r w:rsidRPr="00F36957">
        <w:rPr>
          <w:kern w:val="0"/>
        </w:rPr>
        <w:t xml:space="preserve">Background to the new </w:t>
      </w:r>
      <w:r w:rsidR="00AC5DEB" w:rsidRPr="00F36957">
        <w:rPr>
          <w:kern w:val="0"/>
        </w:rPr>
        <w:t>r</w:t>
      </w:r>
      <w:r w:rsidRPr="00F36957">
        <w:rPr>
          <w:kern w:val="0"/>
        </w:rPr>
        <w:t>egulation</w:t>
      </w:r>
      <w:r w:rsidR="001D532A" w:rsidRPr="00F36957">
        <w:rPr>
          <w:kern w:val="0"/>
        </w:rPr>
        <w:t>s</w:t>
      </w:r>
    </w:p>
    <w:p w:rsidR="00756E65" w:rsidRDefault="00BE6793" w:rsidP="00AD3A14">
      <w:pPr>
        <w:spacing w:before="240"/>
      </w:pPr>
      <w:r>
        <w:t xml:space="preserve">In preparing the </w:t>
      </w:r>
      <w:r w:rsidRPr="00CB6D78">
        <w:rPr>
          <w:i/>
        </w:rPr>
        <w:t xml:space="preserve">Report on Reforms for Cooperatives, </w:t>
      </w:r>
      <w:proofErr w:type="spellStart"/>
      <w:r w:rsidRPr="00CB6D78">
        <w:rPr>
          <w:i/>
        </w:rPr>
        <w:t>Mutuals</w:t>
      </w:r>
      <w:proofErr w:type="spellEnd"/>
      <w:r w:rsidRPr="00CB6D78">
        <w:rPr>
          <w:i/>
        </w:rPr>
        <w:t xml:space="preserve"> and Member-owned Firms</w:t>
      </w:r>
      <w:r>
        <w:t xml:space="preserve"> (July</w:t>
      </w:r>
      <w:r w:rsidR="009F793F">
        <w:t> </w:t>
      </w:r>
      <w:r>
        <w:t>2017)</w:t>
      </w:r>
      <w:r w:rsidR="00EF55BD">
        <w:t xml:space="preserve"> (the</w:t>
      </w:r>
      <w:r w:rsidR="009F793F">
        <w:t> </w:t>
      </w:r>
      <w:r w:rsidR="00EF55BD">
        <w:t>Report)</w:t>
      </w:r>
      <w:r>
        <w:t>, the independent facilitator, Mr</w:t>
      </w:r>
      <w:r w:rsidR="009F793F">
        <w:t> </w:t>
      </w:r>
      <w:r w:rsidRPr="00A3379B">
        <w:t>Greg Hammond</w:t>
      </w:r>
      <w:r w:rsidR="009F793F">
        <w:t> </w:t>
      </w:r>
      <w:r w:rsidRPr="00A3379B">
        <w:t>OAM</w:t>
      </w:r>
      <w:r>
        <w:t xml:space="preserve">, undertook consultations with </w:t>
      </w:r>
      <w:r w:rsidRPr="004A19D3">
        <w:t>stakeholders with significant interests</w:t>
      </w:r>
      <w:r>
        <w:t xml:space="preserve">. </w:t>
      </w:r>
      <w:r w:rsidR="002800EC">
        <w:t xml:space="preserve">A copy of the Report is available on the Publications page of the Treasury website. </w:t>
      </w:r>
      <w:r>
        <w:t>Th</w:t>
      </w:r>
      <w:r w:rsidR="00AB2A02">
        <w:t>e</w:t>
      </w:r>
      <w:r>
        <w:t xml:space="preserve"> Regulation</w:t>
      </w:r>
      <w:r w:rsidR="00AB2A02">
        <w:t>s</w:t>
      </w:r>
      <w:r>
        <w:t xml:space="preserve"> deliver on the </w:t>
      </w:r>
      <w:r w:rsidRPr="003F1798">
        <w:t>Government</w:t>
      </w:r>
      <w:r>
        <w:t>’</w:t>
      </w:r>
      <w:r w:rsidRPr="003F1798">
        <w:t xml:space="preserve">s </w:t>
      </w:r>
      <w:r>
        <w:t>agenda</w:t>
      </w:r>
      <w:r w:rsidRPr="003F1798">
        <w:t xml:space="preserve"> to increase competition in </w:t>
      </w:r>
      <w:r>
        <w:t>Australia’s</w:t>
      </w:r>
      <w:r w:rsidRPr="003F1798">
        <w:t xml:space="preserve"> banking system by </w:t>
      </w:r>
      <w:r>
        <w:t>implementing</w:t>
      </w:r>
      <w:r w:rsidRPr="003F1798">
        <w:t xml:space="preserve"> recommendation</w:t>
      </w:r>
      <w:r w:rsidR="009F793F">
        <w:t> </w:t>
      </w:r>
      <w:r>
        <w:t>7</w:t>
      </w:r>
      <w:r w:rsidR="00EF55BD">
        <w:t xml:space="preserve"> of the Report</w:t>
      </w:r>
      <w:r>
        <w:t xml:space="preserve">, which will rectify </w:t>
      </w:r>
      <w:r w:rsidRPr="002F08F9">
        <w:t xml:space="preserve">the current disadvantage experienced by mutually-owned </w:t>
      </w:r>
      <w:r w:rsidR="00CD3C4B">
        <w:t>authorised deposit</w:t>
      </w:r>
      <w:r w:rsidR="009F793F">
        <w:noBreakHyphen/>
      </w:r>
      <w:r w:rsidR="00CD3C4B">
        <w:t>taking institutions (ADIs)</w:t>
      </w:r>
      <w:r w:rsidRPr="002F08F9">
        <w:t xml:space="preserve"> in comparison to their competitors.</w:t>
      </w:r>
      <w:r w:rsidR="00756E65">
        <w:t xml:space="preserve"> T</w:t>
      </w:r>
      <w:r>
        <w:t xml:space="preserve">his disadvantage is </w:t>
      </w:r>
      <w:r w:rsidR="002800EC">
        <w:t xml:space="preserve">caused by </w:t>
      </w:r>
      <w:r w:rsidR="00B47704">
        <w:t xml:space="preserve">current operation </w:t>
      </w:r>
      <w:r w:rsidR="0031608A">
        <w:t xml:space="preserve">of </w:t>
      </w:r>
      <w:r w:rsidR="002800EC">
        <w:t xml:space="preserve">the </w:t>
      </w:r>
      <w:r w:rsidR="00D83645">
        <w:t>ITAR</w:t>
      </w:r>
      <w:r w:rsidR="009F793F">
        <w:t> </w:t>
      </w:r>
      <w:r w:rsidR="00D83645">
        <w:t xml:space="preserve">1997 </w:t>
      </w:r>
      <w:r w:rsidR="002800EC">
        <w:t>which</w:t>
      </w:r>
      <w:r>
        <w:t xml:space="preserve"> treat</w:t>
      </w:r>
      <w:r w:rsidR="00B47704">
        <w:t>s</w:t>
      </w:r>
      <w:r>
        <w:t xml:space="preserve"> Tier 2 capital instruments convertible into ordinary shares </w:t>
      </w:r>
      <w:r w:rsidR="00B47704">
        <w:t>differently</w:t>
      </w:r>
      <w:r>
        <w:t xml:space="preserve"> to Tier 2 capital instruments convertible into MEI.</w:t>
      </w:r>
      <w:r w:rsidR="00756E65">
        <w:t xml:space="preserve"> </w:t>
      </w:r>
    </w:p>
    <w:p w:rsidR="00BE6793" w:rsidRPr="00E1386F" w:rsidRDefault="00BE6793" w:rsidP="00AD3A14">
      <w:pPr>
        <w:pStyle w:val="Heading4"/>
        <w:shd w:val="clear" w:color="auto" w:fill="FFFFFF"/>
        <w:spacing w:before="240"/>
        <w:rPr>
          <w:kern w:val="0"/>
        </w:rPr>
      </w:pPr>
      <w:r w:rsidRPr="00E1386F">
        <w:rPr>
          <w:kern w:val="0"/>
        </w:rPr>
        <w:t>The prudential capital adequacy requirements</w:t>
      </w:r>
    </w:p>
    <w:p w:rsidR="00BE6793" w:rsidRDefault="00E567A7" w:rsidP="00AD3A14">
      <w:pPr>
        <w:shd w:val="clear" w:color="auto" w:fill="FFFFFF"/>
        <w:spacing w:before="240"/>
      </w:pPr>
      <w:r>
        <w:t xml:space="preserve">To </w:t>
      </w:r>
      <w:r w:rsidR="003D0807">
        <w:t>implement the Basel III capital reforms</w:t>
      </w:r>
      <w:r>
        <w:t>,</w:t>
      </w:r>
      <w:r w:rsidR="003D0807">
        <w:t xml:space="preserve"> the </w:t>
      </w:r>
      <w:r w:rsidR="00BE6793">
        <w:t>Australian Prudential Regulation Authority (APRA)</w:t>
      </w:r>
      <w:r>
        <w:t xml:space="preserve"> required Tier 2 capital instruments issued by ADIs to include a ‘non</w:t>
      </w:r>
      <w:r w:rsidR="009F793F">
        <w:noBreakHyphen/>
      </w:r>
      <w:r>
        <w:t>viability condition’ as a loss-absorption mechanism. The non</w:t>
      </w:r>
      <w:r>
        <w:noBreakHyphen/>
        <w:t xml:space="preserve">viability condition, as it was originally introduced by APRA, required capital instruments to be </w:t>
      </w:r>
      <w:r w:rsidR="00BE6793">
        <w:t>either (</w:t>
      </w:r>
      <w:proofErr w:type="spellStart"/>
      <w:r w:rsidR="00BE6793">
        <w:t>i</w:t>
      </w:r>
      <w:proofErr w:type="spellEnd"/>
      <w:r w:rsidR="00BE6793">
        <w:t>) written off</w:t>
      </w:r>
      <w:r w:rsidR="00AC5DEB">
        <w:t>;</w:t>
      </w:r>
      <w:r w:rsidR="00BE6793">
        <w:t xml:space="preserve"> or (ii) converted to common equity where APRA or a comparable foreign regulator consider</w:t>
      </w:r>
      <w:r>
        <w:t>ed</w:t>
      </w:r>
      <w:r w:rsidR="00BE6793">
        <w:t xml:space="preserve"> the issuer, or its parent, would be non</w:t>
      </w:r>
      <w:r w:rsidR="00BE6793">
        <w:noBreakHyphen/>
        <w:t>viable or require an injection of public sector funding without such a write off or conversion.</w:t>
      </w:r>
    </w:p>
    <w:p w:rsidR="00BE6793" w:rsidRDefault="00BE6793" w:rsidP="00AD3A14">
      <w:pPr>
        <w:shd w:val="clear" w:color="auto" w:fill="FFFFFF"/>
        <w:spacing w:before="240"/>
      </w:pPr>
      <w:r>
        <w:t>As mutually</w:t>
      </w:r>
      <w:r w:rsidR="003D0807">
        <w:noBreakHyphen/>
      </w:r>
      <w:r>
        <w:t xml:space="preserve">owned ADIs (credit unions, building societies and mutual banks) cannot issue ordinary shares, APRA </w:t>
      </w:r>
      <w:r w:rsidR="003D0807">
        <w:t>revised its</w:t>
      </w:r>
      <w:r>
        <w:t xml:space="preserve"> prudential standards </w:t>
      </w:r>
      <w:r w:rsidR="003D0807">
        <w:t>further to</w:t>
      </w:r>
      <w:r>
        <w:t xml:space="preserve"> allow </w:t>
      </w:r>
      <w:r w:rsidR="00E567A7">
        <w:t>these ADIs to</w:t>
      </w:r>
      <w:r>
        <w:t xml:space="preserve"> issue MEI. This was intended to give mutually</w:t>
      </w:r>
      <w:r w:rsidR="003D0807">
        <w:noBreakHyphen/>
      </w:r>
      <w:r>
        <w:t>owned ADIs greater flexibility in their capital management</w:t>
      </w:r>
      <w:r w:rsidR="00E567A7">
        <w:t>. It also meant that</w:t>
      </w:r>
      <w:r>
        <w:t xml:space="preserve"> these entities could comply with the non</w:t>
      </w:r>
      <w:r>
        <w:noBreakHyphen/>
        <w:t xml:space="preserve">viability condition </w:t>
      </w:r>
      <w:r w:rsidR="00E567A7">
        <w:t xml:space="preserve">by either writing off their regulatory capital instruments or converting those instruments </w:t>
      </w:r>
      <w:r>
        <w:t xml:space="preserve">into MEI. </w:t>
      </w:r>
      <w:r w:rsidR="00E567A7">
        <w:t xml:space="preserve">Although APRA’s prudential standards were revised to incorporate MEI, the taxation of MEI has not yet been aligned with that of ordinary shares. </w:t>
      </w:r>
    </w:p>
    <w:p w:rsidR="00BE6793" w:rsidRPr="00E1386F" w:rsidRDefault="00BE6793" w:rsidP="00AD3A14">
      <w:pPr>
        <w:pStyle w:val="Heading4"/>
        <w:shd w:val="clear" w:color="auto" w:fill="FFFFFF"/>
        <w:spacing w:before="240"/>
        <w:rPr>
          <w:kern w:val="0"/>
        </w:rPr>
      </w:pPr>
      <w:r>
        <w:rPr>
          <w:kern w:val="0"/>
        </w:rPr>
        <w:t>Taxation of capital instruments convertible into ordinary shares</w:t>
      </w:r>
    </w:p>
    <w:p w:rsidR="00BE6793" w:rsidRDefault="00BE6793" w:rsidP="00AD3A14">
      <w:pPr>
        <w:shd w:val="clear" w:color="auto" w:fill="FFFFFF"/>
        <w:spacing w:before="240"/>
      </w:pPr>
      <w:r>
        <w:t>Division 974 of the Act provides rules to distinguish between debt and equity for various income tax purposes. One important implication of the debt</w:t>
      </w:r>
      <w:r>
        <w:noBreakHyphen/>
        <w:t xml:space="preserve">equity distinction is that returns on debt interests may be tax deductible but are not frankable, while returns on equity interests may be frankable but are not deductible. </w:t>
      </w:r>
      <w:r w:rsidR="0025018F">
        <w:t>An instrument cannot be concurrently a debt interest and an equity interest for income tax purposes.</w:t>
      </w:r>
    </w:p>
    <w:p w:rsidR="00BE6793" w:rsidRDefault="00BE6793" w:rsidP="00AD3A14">
      <w:pPr>
        <w:shd w:val="clear" w:color="auto" w:fill="FFFFFF"/>
        <w:spacing w:before="240"/>
      </w:pPr>
      <w:r>
        <w:t xml:space="preserve">The characterisation of a capital instrument as a debt interest as opposed to an equity interest broadly </w:t>
      </w:r>
      <w:r w:rsidR="00E567A7">
        <w:t xml:space="preserve">depends on </w:t>
      </w:r>
      <w:r>
        <w:t>whether the issuer has, in substance or effect, a non</w:t>
      </w:r>
      <w:r>
        <w:noBreakHyphen/>
        <w:t>contingent obligation to repay the investment. Paragraphs 974</w:t>
      </w:r>
      <w:r>
        <w:noBreakHyphen/>
        <w:t>135(8)(a) and (b) of the Act provide that regulations may make further provisions relating to what constitutes, and what does not constitute, a non</w:t>
      </w:r>
      <w:r>
        <w:noBreakHyphen/>
        <w:t>contingent obligation for the purposes of section 974</w:t>
      </w:r>
      <w:r>
        <w:noBreakHyphen/>
        <w:t>135 of the Act.</w:t>
      </w:r>
    </w:p>
    <w:p w:rsidR="00BE6793" w:rsidRDefault="00BE6793" w:rsidP="00AD3A14">
      <w:pPr>
        <w:shd w:val="clear" w:color="auto" w:fill="FFFFFF"/>
        <w:spacing w:before="240"/>
      </w:pPr>
      <w:r>
        <w:t>Prior to the insertion of regulation 974</w:t>
      </w:r>
      <w:r>
        <w:noBreakHyphen/>
        <w:t>135F in the ITAR</w:t>
      </w:r>
      <w:r w:rsidR="009F793F">
        <w:t> </w:t>
      </w:r>
      <w:r>
        <w:t>1997, the requirement to include a non</w:t>
      </w:r>
      <w:r>
        <w:noBreakHyphen/>
        <w:t>viability condition would have prevented regulatory capital instruments from being treated as debt for tax purposes</w:t>
      </w:r>
      <w:r w:rsidR="001C3163">
        <w:t>. This is because</w:t>
      </w:r>
      <w:r w:rsidR="0025018F">
        <w:t xml:space="preserve"> the non-viability condition would otherwise create a contingent obligation to repay the investment</w:t>
      </w:r>
      <w:r>
        <w:t xml:space="preserve">. </w:t>
      </w:r>
      <w:r w:rsidRPr="00611FEC">
        <w:t>Regulation</w:t>
      </w:r>
      <w:r w:rsidR="009F793F">
        <w:t> </w:t>
      </w:r>
      <w:r w:rsidRPr="00611FEC">
        <w:t>974</w:t>
      </w:r>
      <w:r w:rsidR="009F793F">
        <w:noBreakHyphen/>
      </w:r>
      <w:r w:rsidRPr="00611FEC">
        <w:t xml:space="preserve">135F, which </w:t>
      </w:r>
      <w:r>
        <w:t>commenced on 12</w:t>
      </w:r>
      <w:r w:rsidR="009F793F">
        <w:t> </w:t>
      </w:r>
      <w:r>
        <w:t>December</w:t>
      </w:r>
      <w:r w:rsidR="009F793F">
        <w:t> </w:t>
      </w:r>
      <w:r>
        <w:t xml:space="preserve">2012, facilitated debt tax treatment of Tier 2 capital instruments by overlooking the </w:t>
      </w:r>
      <w:r w:rsidRPr="0037267F">
        <w:t>contingency that is created by imposing the non</w:t>
      </w:r>
      <w:r w:rsidRPr="0037267F">
        <w:noBreakHyphen/>
        <w:t xml:space="preserve">viability condition on </w:t>
      </w:r>
      <w:r>
        <w:t>these</w:t>
      </w:r>
      <w:r w:rsidRPr="0037267F">
        <w:t xml:space="preserve"> capital instruments. That is, </w:t>
      </w:r>
      <w:r>
        <w:t>Tier 2</w:t>
      </w:r>
      <w:r w:rsidRPr="0037267F">
        <w:t xml:space="preserve"> capital instruments do not cease to be debt interests for income tax purposes merely because they are subject to a non</w:t>
      </w:r>
      <w:r w:rsidRPr="0037267F">
        <w:noBreakHyphen/>
        <w:t xml:space="preserve">viability condition. </w:t>
      </w:r>
      <w:r>
        <w:t>T</w:t>
      </w:r>
      <w:r w:rsidRPr="0037267F">
        <w:t>h</w:t>
      </w:r>
      <w:r>
        <w:t xml:space="preserve">is </w:t>
      </w:r>
      <w:r w:rsidRPr="0037267F">
        <w:t xml:space="preserve">removed uncertainty concerning the tax treatment of </w:t>
      </w:r>
      <w:r>
        <w:t xml:space="preserve">these </w:t>
      </w:r>
      <w:r w:rsidRPr="0037267F">
        <w:t xml:space="preserve">capital instruments </w:t>
      </w:r>
      <w:r>
        <w:t xml:space="preserve">given they resemble characteristics of </w:t>
      </w:r>
      <w:r w:rsidRPr="0037267F">
        <w:t xml:space="preserve">both debt and equity </w:t>
      </w:r>
      <w:r>
        <w:t xml:space="preserve">interests. </w:t>
      </w:r>
    </w:p>
    <w:p w:rsidR="002800EC" w:rsidRDefault="009F793F" w:rsidP="00AD3A14">
      <w:pPr>
        <w:shd w:val="clear" w:color="auto" w:fill="FFFFFF"/>
        <w:spacing w:before="240"/>
        <w:rPr>
          <w:szCs w:val="24"/>
        </w:rPr>
      </w:pPr>
      <w:r w:rsidRPr="00664D79">
        <w:rPr>
          <w:szCs w:val="24"/>
        </w:rPr>
        <w:t>Mutually</w:t>
      </w:r>
      <w:r w:rsidRPr="00664D79">
        <w:rPr>
          <w:szCs w:val="24"/>
        </w:rPr>
        <w:noBreakHyphen/>
        <w:t>owned ADIs have not, however, been able to issue Tier 2</w:t>
      </w:r>
      <w:r>
        <w:rPr>
          <w:szCs w:val="24"/>
        </w:rPr>
        <w:t xml:space="preserve"> capital instruments </w:t>
      </w:r>
      <w:r w:rsidR="008A43F4">
        <w:rPr>
          <w:szCs w:val="24"/>
        </w:rPr>
        <w:t>convertible</w:t>
      </w:r>
      <w:r>
        <w:rPr>
          <w:szCs w:val="24"/>
        </w:rPr>
        <w:t xml:space="preserve"> to</w:t>
      </w:r>
      <w:r w:rsidRPr="00664D79">
        <w:rPr>
          <w:szCs w:val="24"/>
        </w:rPr>
        <w:t xml:space="preserve"> MEI in a cost effective manner as these instruments </w:t>
      </w:r>
      <w:r w:rsidR="002800EC" w:rsidRPr="00664D79">
        <w:rPr>
          <w:szCs w:val="24"/>
        </w:rPr>
        <w:t>are considered as (contingent) equity interests rather than (non</w:t>
      </w:r>
      <w:r w:rsidR="002800EC" w:rsidRPr="00664D79">
        <w:rPr>
          <w:szCs w:val="24"/>
        </w:rPr>
        <w:noBreakHyphen/>
        <w:t>contingent) debt interests for income tax purposes. This is because the commencement of regulation 974</w:t>
      </w:r>
      <w:r w:rsidR="002800EC" w:rsidRPr="00664D79">
        <w:rPr>
          <w:szCs w:val="24"/>
        </w:rPr>
        <w:noBreakHyphen/>
        <w:t>135F predated the introduction of MEI and accordingly only refers to conversion to ordinary shares.</w:t>
      </w:r>
      <w:r w:rsidR="00A912F8">
        <w:rPr>
          <w:szCs w:val="24"/>
        </w:rPr>
        <w:t xml:space="preserve"> </w:t>
      </w:r>
      <w:r w:rsidR="002800EC" w:rsidRPr="00664D79">
        <w:rPr>
          <w:szCs w:val="24"/>
        </w:rPr>
        <w:t>The Regulation</w:t>
      </w:r>
      <w:r w:rsidR="0066138C">
        <w:rPr>
          <w:szCs w:val="24"/>
        </w:rPr>
        <w:t>s</w:t>
      </w:r>
      <w:r w:rsidR="002800EC" w:rsidRPr="00664D79">
        <w:rPr>
          <w:szCs w:val="24"/>
        </w:rPr>
        <w:t xml:space="preserve"> </w:t>
      </w:r>
      <w:r w:rsidR="00A912F8" w:rsidRPr="00664D79">
        <w:rPr>
          <w:szCs w:val="24"/>
        </w:rPr>
        <w:t>rectify</w:t>
      </w:r>
      <w:r w:rsidR="002800EC" w:rsidRPr="00664D79">
        <w:rPr>
          <w:szCs w:val="24"/>
        </w:rPr>
        <w:t xml:space="preserve"> this by amending regulation</w:t>
      </w:r>
      <w:r>
        <w:rPr>
          <w:szCs w:val="24"/>
        </w:rPr>
        <w:t> </w:t>
      </w:r>
      <w:r w:rsidR="002800EC" w:rsidRPr="00664D79">
        <w:rPr>
          <w:szCs w:val="24"/>
        </w:rPr>
        <w:t>974</w:t>
      </w:r>
      <w:r w:rsidR="002800EC" w:rsidRPr="00664D79">
        <w:rPr>
          <w:szCs w:val="24"/>
        </w:rPr>
        <w:noBreakHyphen/>
        <w:t xml:space="preserve">135F so that capital instruments convertible into MEI </w:t>
      </w:r>
      <w:r w:rsidR="00AD3A14">
        <w:rPr>
          <w:szCs w:val="24"/>
        </w:rPr>
        <w:t xml:space="preserve">are treated </w:t>
      </w:r>
      <w:r w:rsidR="002800EC" w:rsidRPr="00664D79">
        <w:rPr>
          <w:szCs w:val="24"/>
        </w:rPr>
        <w:t xml:space="preserve">in the same manner </w:t>
      </w:r>
      <w:r w:rsidR="00AD3A14">
        <w:rPr>
          <w:szCs w:val="24"/>
        </w:rPr>
        <w:t>as</w:t>
      </w:r>
      <w:r w:rsidR="002800EC" w:rsidRPr="00664D79">
        <w:rPr>
          <w:szCs w:val="24"/>
        </w:rPr>
        <w:t xml:space="preserve"> capital instruments</w:t>
      </w:r>
      <w:r w:rsidR="0066138C">
        <w:rPr>
          <w:szCs w:val="24"/>
        </w:rPr>
        <w:t xml:space="preserve"> </w:t>
      </w:r>
      <w:r w:rsidR="002800EC" w:rsidRPr="00664D79">
        <w:rPr>
          <w:szCs w:val="24"/>
        </w:rPr>
        <w:t>convertible into ordinary shares.</w:t>
      </w:r>
    </w:p>
    <w:p w:rsidR="00AE0AAB" w:rsidRDefault="00AE0AAB" w:rsidP="00AD3A14">
      <w:pPr>
        <w:shd w:val="clear" w:color="auto" w:fill="FFFFFF"/>
        <w:spacing w:before="240"/>
      </w:pPr>
      <w:r w:rsidRPr="000C2636">
        <w:rPr>
          <w:szCs w:val="24"/>
        </w:rPr>
        <w:t xml:space="preserve">While facilitating the debt treatment of capital </w:t>
      </w:r>
      <w:r>
        <w:rPr>
          <w:szCs w:val="24"/>
        </w:rPr>
        <w:t>instruments issued by mutually</w:t>
      </w:r>
      <w:r>
        <w:rPr>
          <w:szCs w:val="24"/>
        </w:rPr>
        <w:noBreakHyphen/>
        <w:t>owned ADIs</w:t>
      </w:r>
      <w:r w:rsidRPr="000C2636">
        <w:rPr>
          <w:szCs w:val="24"/>
        </w:rPr>
        <w:t xml:space="preserve">, the </w:t>
      </w:r>
      <w:r>
        <w:t>Regulations do not</w:t>
      </w:r>
      <w:r w:rsidRPr="000C2636">
        <w:rPr>
          <w:szCs w:val="24"/>
        </w:rPr>
        <w:t xml:space="preserve"> deem such </w:t>
      </w:r>
      <w:r>
        <w:rPr>
          <w:szCs w:val="24"/>
        </w:rPr>
        <w:t>instruments</w:t>
      </w:r>
      <w:r w:rsidRPr="000C2636">
        <w:rPr>
          <w:szCs w:val="24"/>
        </w:rPr>
        <w:t xml:space="preserve"> to be debt interests or</w:t>
      </w:r>
      <w:r>
        <w:rPr>
          <w:szCs w:val="24"/>
        </w:rPr>
        <w:t xml:space="preserve"> </w:t>
      </w:r>
      <w:r w:rsidRPr="000C2636">
        <w:rPr>
          <w:szCs w:val="24"/>
        </w:rPr>
        <w:t xml:space="preserve">make returns on the </w:t>
      </w:r>
      <w:r>
        <w:rPr>
          <w:szCs w:val="24"/>
        </w:rPr>
        <w:t>instruments</w:t>
      </w:r>
      <w:r w:rsidRPr="000C2636">
        <w:rPr>
          <w:szCs w:val="24"/>
        </w:rPr>
        <w:t xml:space="preserve"> tax deductible.</w:t>
      </w:r>
    </w:p>
    <w:p w:rsidR="0087473F" w:rsidRPr="00664D79" w:rsidRDefault="0087473F" w:rsidP="0087473F">
      <w:pPr>
        <w:spacing w:before="240"/>
        <w:rPr>
          <w:color w:val="000000" w:themeColor="text1"/>
        </w:rPr>
      </w:pPr>
      <w:r w:rsidRPr="00664D79">
        <w:rPr>
          <w:color w:val="000000" w:themeColor="text1"/>
        </w:rPr>
        <w:t>A short form RIS was completed OBPR reference</w:t>
      </w:r>
      <w:r w:rsidR="009F793F">
        <w:rPr>
          <w:color w:val="000000" w:themeColor="text1"/>
        </w:rPr>
        <w:t> </w:t>
      </w:r>
      <w:r w:rsidRPr="00664D79">
        <w:rPr>
          <w:color w:val="000000" w:themeColor="text1"/>
        </w:rPr>
        <w:t xml:space="preserve">22702. </w:t>
      </w:r>
    </w:p>
    <w:p w:rsidR="00BE6793" w:rsidRDefault="00BE6793" w:rsidP="00AD3A14">
      <w:pPr>
        <w:spacing w:before="240"/>
        <w:rPr>
          <w:szCs w:val="24"/>
        </w:rPr>
      </w:pPr>
      <w:r>
        <w:rPr>
          <w:szCs w:val="24"/>
        </w:rPr>
        <w:t xml:space="preserve">Details of the Regulations are set out in the </w:t>
      </w:r>
      <w:r>
        <w:rPr>
          <w:szCs w:val="24"/>
          <w:u w:val="single"/>
        </w:rPr>
        <w:t>Attachment</w:t>
      </w:r>
      <w:r w:rsidR="009F793F">
        <w:rPr>
          <w:szCs w:val="24"/>
          <w:u w:val="single"/>
        </w:rPr>
        <w:t> </w:t>
      </w:r>
      <w:r>
        <w:rPr>
          <w:szCs w:val="24"/>
          <w:u w:val="single"/>
        </w:rPr>
        <w:t>A</w:t>
      </w:r>
      <w:r>
        <w:rPr>
          <w:szCs w:val="24"/>
        </w:rPr>
        <w:t xml:space="preserve">. </w:t>
      </w:r>
    </w:p>
    <w:p w:rsidR="00BE6793" w:rsidRDefault="00BE6793" w:rsidP="00AD3A14">
      <w:pPr>
        <w:spacing w:before="240"/>
      </w:pPr>
      <w:r w:rsidRPr="00503E44">
        <w:t>The Regulations commence</w:t>
      </w:r>
      <w:r>
        <w:t xml:space="preserve"> on t</w:t>
      </w:r>
      <w:r w:rsidRPr="00AD742D">
        <w:t>he day after this instrument is registered</w:t>
      </w:r>
      <w:r w:rsidR="00404C3E">
        <w:t xml:space="preserve"> on the Federal Register of Legislation</w:t>
      </w:r>
      <w:r>
        <w:t>.</w:t>
      </w:r>
    </w:p>
    <w:p w:rsidR="00DD660D" w:rsidRPr="003A1284" w:rsidRDefault="003A1284" w:rsidP="003A1284">
      <w:pPr>
        <w:spacing w:before="0" w:after="0"/>
      </w:pPr>
      <w:r>
        <w:br w:type="page"/>
      </w:r>
    </w:p>
    <w:p w:rsidR="00DD660D" w:rsidRDefault="00DD660D" w:rsidP="00DD660D">
      <w:pPr>
        <w:spacing w:before="0" w:after="0"/>
        <w:jc w:val="right"/>
        <w:rPr>
          <w:b/>
          <w:u w:val="single"/>
        </w:rPr>
      </w:pPr>
      <w:r w:rsidRPr="00DE02EC">
        <w:rPr>
          <w:b/>
          <w:u w:val="single"/>
        </w:rPr>
        <w:t>Attachment</w:t>
      </w:r>
      <w:r w:rsidR="009F793F">
        <w:rPr>
          <w:b/>
          <w:u w:val="single"/>
        </w:rPr>
        <w:t> </w:t>
      </w:r>
      <w:r>
        <w:rPr>
          <w:b/>
          <w:u w:val="single"/>
        </w:rPr>
        <w:t>A</w:t>
      </w:r>
    </w:p>
    <w:p w:rsidR="00DD660D" w:rsidRPr="00B065D0" w:rsidRDefault="00DD660D" w:rsidP="00AE20E8">
      <w:pPr>
        <w:spacing w:before="240"/>
        <w:ind w:right="-199"/>
        <w:rPr>
          <w:b/>
        </w:rPr>
      </w:pPr>
      <w:r w:rsidRPr="00B065D0">
        <w:rPr>
          <w:b/>
        </w:rPr>
        <w:t xml:space="preserve">Details of the </w:t>
      </w:r>
      <w:r w:rsidRPr="00DD660D">
        <w:rPr>
          <w:b/>
        </w:rPr>
        <w:t>Treasury Laws Amendment (2019 Measures No.</w:t>
      </w:r>
      <w:r w:rsidR="009F793F">
        <w:rPr>
          <w:b/>
        </w:rPr>
        <w:t> </w:t>
      </w:r>
      <w:r w:rsidRPr="00DD660D">
        <w:rPr>
          <w:b/>
        </w:rPr>
        <w:t>#) Regulations</w:t>
      </w:r>
      <w:r w:rsidR="009F793F">
        <w:rPr>
          <w:b/>
        </w:rPr>
        <w:t> </w:t>
      </w:r>
      <w:r w:rsidRPr="00DD660D">
        <w:rPr>
          <w:b/>
        </w:rPr>
        <w:t>2019</w:t>
      </w:r>
    </w:p>
    <w:p w:rsidR="00DD660D" w:rsidRPr="00BA2AEE" w:rsidRDefault="00DD660D" w:rsidP="00DD660D">
      <w:pPr>
        <w:rPr>
          <w:u w:val="single"/>
        </w:rPr>
      </w:pPr>
      <w:r w:rsidRPr="004F022D">
        <w:rPr>
          <w:u w:val="single"/>
        </w:rPr>
        <w:t>Clause</w:t>
      </w:r>
      <w:r w:rsidR="009F793F">
        <w:rPr>
          <w:u w:val="single"/>
        </w:rPr>
        <w:t> </w:t>
      </w:r>
      <w:r w:rsidRPr="004F022D">
        <w:rPr>
          <w:u w:val="single"/>
        </w:rPr>
        <w:t>1</w:t>
      </w:r>
      <w:r w:rsidR="009F793F">
        <w:rPr>
          <w:u w:val="single"/>
        </w:rPr>
        <w:t> </w:t>
      </w:r>
      <w:r w:rsidRPr="00BA2AEE">
        <w:rPr>
          <w:u w:val="single"/>
        </w:rPr>
        <w:t>–</w:t>
      </w:r>
      <w:r w:rsidR="009F793F">
        <w:rPr>
          <w:u w:val="single"/>
        </w:rPr>
        <w:t> </w:t>
      </w:r>
      <w:r w:rsidRPr="00BA2AEE">
        <w:rPr>
          <w:u w:val="single"/>
        </w:rPr>
        <w:t>Name of Regulations</w:t>
      </w:r>
    </w:p>
    <w:p w:rsidR="00DD660D" w:rsidRDefault="00DD660D" w:rsidP="00DD660D">
      <w:r w:rsidRPr="00BA2AEE">
        <w:t xml:space="preserve">This section provides that the title of the Regulations is the </w:t>
      </w:r>
      <w:r w:rsidRPr="00DD660D">
        <w:rPr>
          <w:i/>
        </w:rPr>
        <w:t xml:space="preserve">Treasury Laws Amendment (2019 Measures No. </w:t>
      </w:r>
      <w:proofErr w:type="gramStart"/>
      <w:r w:rsidRPr="00DD660D">
        <w:rPr>
          <w:i/>
        </w:rPr>
        <w:t>#) Regulations 2019</w:t>
      </w:r>
      <w:r w:rsidRPr="004F022D">
        <w:rPr>
          <w:i/>
        </w:rPr>
        <w:t>.</w:t>
      </w:r>
      <w:proofErr w:type="gramEnd"/>
      <w:r>
        <w:t xml:space="preserve"> </w:t>
      </w:r>
    </w:p>
    <w:p w:rsidR="00DD660D" w:rsidRDefault="00DD660D" w:rsidP="00DD660D">
      <w:r>
        <w:rPr>
          <w:u w:val="single"/>
        </w:rPr>
        <w:t>Clause</w:t>
      </w:r>
      <w:r w:rsidR="009F793F">
        <w:rPr>
          <w:u w:val="single"/>
        </w:rPr>
        <w:t> </w:t>
      </w:r>
      <w:r>
        <w:rPr>
          <w:u w:val="single"/>
        </w:rPr>
        <w:t>2</w:t>
      </w:r>
      <w:r w:rsidR="009F793F">
        <w:rPr>
          <w:u w:val="single"/>
        </w:rPr>
        <w:t> </w:t>
      </w:r>
      <w:r>
        <w:rPr>
          <w:u w:val="single"/>
        </w:rPr>
        <w:t>–</w:t>
      </w:r>
      <w:r w:rsidR="009F793F">
        <w:rPr>
          <w:u w:val="single"/>
        </w:rPr>
        <w:t> </w:t>
      </w:r>
      <w:r>
        <w:rPr>
          <w:u w:val="single"/>
        </w:rPr>
        <w:t>Commencement</w:t>
      </w:r>
    </w:p>
    <w:p w:rsidR="00DD660D" w:rsidRDefault="00DD660D" w:rsidP="00DD660D">
      <w:r>
        <w:t xml:space="preserve">This section provides that the Regulations commence on the day after registration. </w:t>
      </w:r>
    </w:p>
    <w:p w:rsidR="00DD660D" w:rsidRDefault="00DD660D" w:rsidP="00DD660D">
      <w:r>
        <w:rPr>
          <w:u w:val="single"/>
        </w:rPr>
        <w:t>Clause</w:t>
      </w:r>
      <w:r w:rsidR="009F793F">
        <w:rPr>
          <w:u w:val="single"/>
        </w:rPr>
        <w:t> </w:t>
      </w:r>
      <w:r>
        <w:rPr>
          <w:u w:val="single"/>
        </w:rPr>
        <w:t>3</w:t>
      </w:r>
      <w:r w:rsidR="009F793F">
        <w:rPr>
          <w:u w:val="single"/>
        </w:rPr>
        <w:t> </w:t>
      </w:r>
      <w:r>
        <w:rPr>
          <w:u w:val="single"/>
        </w:rPr>
        <w:t>–</w:t>
      </w:r>
      <w:r w:rsidR="009F793F">
        <w:rPr>
          <w:u w:val="single"/>
        </w:rPr>
        <w:t> </w:t>
      </w:r>
      <w:r>
        <w:rPr>
          <w:u w:val="single"/>
        </w:rPr>
        <w:t xml:space="preserve">Authority </w:t>
      </w:r>
    </w:p>
    <w:p w:rsidR="00DD660D" w:rsidRDefault="00DD660D" w:rsidP="00DD660D">
      <w:r>
        <w:t xml:space="preserve">This section provides that the Regulations are made under the </w:t>
      </w:r>
      <w:r w:rsidRPr="00AD742D">
        <w:rPr>
          <w:i/>
        </w:rPr>
        <w:t>Income Tax Assessment Act</w:t>
      </w:r>
      <w:r w:rsidR="009F793F">
        <w:rPr>
          <w:i/>
        </w:rPr>
        <w:t> </w:t>
      </w:r>
      <w:r w:rsidRPr="00AD742D">
        <w:rPr>
          <w:i/>
        </w:rPr>
        <w:t>1997</w:t>
      </w:r>
      <w:r>
        <w:rPr>
          <w:szCs w:val="24"/>
        </w:rPr>
        <w:t xml:space="preserve"> (the</w:t>
      </w:r>
      <w:r w:rsidR="009F793F">
        <w:rPr>
          <w:szCs w:val="24"/>
        </w:rPr>
        <w:t> </w:t>
      </w:r>
      <w:r>
        <w:rPr>
          <w:szCs w:val="24"/>
        </w:rPr>
        <w:t xml:space="preserve">Act). </w:t>
      </w:r>
    </w:p>
    <w:p w:rsidR="00DD660D" w:rsidRDefault="00DD660D" w:rsidP="00DD660D">
      <w:r>
        <w:rPr>
          <w:u w:val="single"/>
        </w:rPr>
        <w:t>Clause</w:t>
      </w:r>
      <w:r w:rsidR="009F793F">
        <w:rPr>
          <w:u w:val="single"/>
        </w:rPr>
        <w:t> </w:t>
      </w:r>
      <w:r>
        <w:rPr>
          <w:u w:val="single"/>
        </w:rPr>
        <w:t>4</w:t>
      </w:r>
      <w:r w:rsidR="009F793F">
        <w:rPr>
          <w:u w:val="single"/>
        </w:rPr>
        <w:t> </w:t>
      </w:r>
      <w:r>
        <w:rPr>
          <w:u w:val="single"/>
        </w:rPr>
        <w:t>–</w:t>
      </w:r>
      <w:r w:rsidR="009F793F">
        <w:rPr>
          <w:u w:val="single"/>
        </w:rPr>
        <w:t> </w:t>
      </w:r>
      <w:r>
        <w:rPr>
          <w:u w:val="single"/>
        </w:rPr>
        <w:t xml:space="preserve">Schedules </w:t>
      </w:r>
    </w:p>
    <w:p w:rsidR="00DD660D" w:rsidRDefault="00FD0489" w:rsidP="00FD0489">
      <w:pPr>
        <w:autoSpaceDE w:val="0"/>
        <w:autoSpaceDN w:val="0"/>
        <w:adjustRightInd w:val="0"/>
        <w:spacing w:before="0" w:after="0"/>
      </w:pPr>
      <w:r>
        <w:rPr>
          <w:szCs w:val="24"/>
        </w:rPr>
        <w:t xml:space="preserve">This section provides that the </w:t>
      </w:r>
      <w:r>
        <w:rPr>
          <w:i/>
          <w:iCs/>
          <w:szCs w:val="24"/>
        </w:rPr>
        <w:t>Income Tax Assessment Regulations</w:t>
      </w:r>
      <w:r w:rsidR="009F793F">
        <w:rPr>
          <w:i/>
          <w:iCs/>
          <w:szCs w:val="24"/>
        </w:rPr>
        <w:t> </w:t>
      </w:r>
      <w:r>
        <w:rPr>
          <w:i/>
          <w:iCs/>
          <w:szCs w:val="24"/>
        </w:rPr>
        <w:t xml:space="preserve">1997 </w:t>
      </w:r>
      <w:r>
        <w:rPr>
          <w:szCs w:val="24"/>
        </w:rPr>
        <w:t>(the Principal Regulations) are amended as set out in Schedule</w:t>
      </w:r>
      <w:r w:rsidR="009F793F">
        <w:rPr>
          <w:szCs w:val="24"/>
        </w:rPr>
        <w:t> </w:t>
      </w:r>
      <w:r>
        <w:rPr>
          <w:szCs w:val="24"/>
        </w:rPr>
        <w:t>1.</w:t>
      </w:r>
    </w:p>
    <w:p w:rsidR="00DD660D" w:rsidRDefault="00DD660D" w:rsidP="00DD660D">
      <w:pPr>
        <w:spacing w:before="240"/>
        <w:rPr>
          <w:u w:val="single"/>
        </w:rPr>
      </w:pPr>
      <w:r w:rsidRPr="00E602FF">
        <w:rPr>
          <w:u w:val="single"/>
        </w:rPr>
        <w:t>Schedule</w:t>
      </w:r>
      <w:r w:rsidR="009F793F">
        <w:rPr>
          <w:u w:val="single"/>
        </w:rPr>
        <w:t> </w:t>
      </w:r>
      <w:r w:rsidRPr="00E602FF">
        <w:rPr>
          <w:u w:val="single"/>
        </w:rPr>
        <w:t>1</w:t>
      </w:r>
      <w:r w:rsidR="009F793F">
        <w:rPr>
          <w:u w:val="single"/>
        </w:rPr>
        <w:t> </w:t>
      </w:r>
      <w:r w:rsidR="00FD0489">
        <w:rPr>
          <w:u w:val="single"/>
        </w:rPr>
        <w:t>–</w:t>
      </w:r>
      <w:r w:rsidR="009F793F">
        <w:rPr>
          <w:u w:val="single"/>
        </w:rPr>
        <w:t> </w:t>
      </w:r>
      <w:r w:rsidR="00FD0489">
        <w:rPr>
          <w:u w:val="single"/>
        </w:rPr>
        <w:t>Amendments</w:t>
      </w:r>
    </w:p>
    <w:p w:rsidR="006F12B5" w:rsidRDefault="006F12B5" w:rsidP="00DD660D">
      <w:pPr>
        <w:spacing w:before="240"/>
      </w:pPr>
      <w:r>
        <w:t>Item 1</w:t>
      </w:r>
      <w:r w:rsidR="007329B9">
        <w:t xml:space="preserve"> inserts a new regulation 910</w:t>
      </w:r>
      <w:r w:rsidR="007329B9">
        <w:noBreakHyphen/>
        <w:t xml:space="preserve">1.11 into Part 5 of the </w:t>
      </w:r>
      <w:r w:rsidR="00FD0489">
        <w:t xml:space="preserve">Principal Regulations </w:t>
      </w:r>
      <w:r w:rsidR="007329B9">
        <w:t xml:space="preserve">which confirms that </w:t>
      </w:r>
      <w:r w:rsidR="00FD0489">
        <w:t>the Regulations</w:t>
      </w:r>
      <w:r w:rsidR="007329B9">
        <w:t xml:space="preserve"> only apply to </w:t>
      </w:r>
      <w:r w:rsidRPr="006F12B5">
        <w:t>relevant term cumulative subordinated (Tier</w:t>
      </w:r>
      <w:r w:rsidR="009F793F">
        <w:t> </w:t>
      </w:r>
      <w:r w:rsidRPr="006F12B5">
        <w:t xml:space="preserve">2) notes </w:t>
      </w:r>
      <w:r w:rsidR="007329B9">
        <w:t xml:space="preserve">issued on or after the date </w:t>
      </w:r>
      <w:r w:rsidR="00645DAC">
        <w:t>the Regulations are</w:t>
      </w:r>
      <w:r w:rsidRPr="006F12B5">
        <w:t xml:space="preserve"> registered. That is, </w:t>
      </w:r>
      <w:r w:rsidR="007329B9">
        <w:t>the Regulations do</w:t>
      </w:r>
      <w:r w:rsidRPr="006F12B5">
        <w:t xml:space="preserve"> not </w:t>
      </w:r>
      <w:r w:rsidR="000F2614">
        <w:t>apply to</w:t>
      </w:r>
      <w:r w:rsidR="000F2614" w:rsidRPr="006F12B5">
        <w:t xml:space="preserve"> </w:t>
      </w:r>
      <w:r w:rsidRPr="006F12B5">
        <w:t>any Tier</w:t>
      </w:r>
      <w:r w:rsidR="007329B9">
        <w:t> </w:t>
      </w:r>
      <w:r w:rsidRPr="006F12B5">
        <w:t>2 notes convertible into mutual equity interests already on issue</w:t>
      </w:r>
      <w:r w:rsidR="00BC548A">
        <w:t>.</w:t>
      </w:r>
    </w:p>
    <w:p w:rsidR="00133B97" w:rsidRDefault="006E4960" w:rsidP="00133B97">
      <w:pPr>
        <w:spacing w:before="240"/>
      </w:pPr>
      <w:r>
        <w:t>Item</w:t>
      </w:r>
      <w:r w:rsidR="009F793F">
        <w:t> </w:t>
      </w:r>
      <w:r w:rsidR="006F12B5">
        <w:t>2</w:t>
      </w:r>
      <w:r>
        <w:t xml:space="preserve"> </w:t>
      </w:r>
      <w:r w:rsidR="00FD0489">
        <w:t>replaces</w:t>
      </w:r>
      <w:r>
        <w:t xml:space="preserve"> </w:t>
      </w:r>
      <w:proofErr w:type="spellStart"/>
      <w:r>
        <w:t>s</w:t>
      </w:r>
      <w:r w:rsidR="00E3192F">
        <w:t>ubregulation</w:t>
      </w:r>
      <w:proofErr w:type="spellEnd"/>
      <w:r w:rsidR="009F793F">
        <w:t> </w:t>
      </w:r>
      <w:r w:rsidR="00E3192F">
        <w:t>974</w:t>
      </w:r>
      <w:r w:rsidR="009F793F">
        <w:noBreakHyphen/>
      </w:r>
      <w:proofErr w:type="gramStart"/>
      <w:r w:rsidR="00E3192F">
        <w:t>135F(</w:t>
      </w:r>
      <w:proofErr w:type="gramEnd"/>
      <w:r w:rsidR="00E3192F">
        <w:t>4)</w:t>
      </w:r>
      <w:r w:rsidR="00FD0489">
        <w:t xml:space="preserve"> to expand the definition of </w:t>
      </w:r>
      <w:r w:rsidR="00FD0489">
        <w:rPr>
          <w:b/>
          <w:i/>
        </w:rPr>
        <w:t>non</w:t>
      </w:r>
      <w:r w:rsidR="00FD0489">
        <w:rPr>
          <w:b/>
          <w:i/>
        </w:rPr>
        <w:noBreakHyphen/>
        <w:t>viability condition</w:t>
      </w:r>
      <w:r w:rsidR="00FD0489">
        <w:t>.</w:t>
      </w:r>
      <w:r>
        <w:t xml:space="preserve"> </w:t>
      </w:r>
      <w:r w:rsidR="002E06C0">
        <w:t>Previously, a non</w:t>
      </w:r>
      <w:r w:rsidR="002E06C0">
        <w:noBreakHyphen/>
        <w:t xml:space="preserve">viability </w:t>
      </w:r>
      <w:r w:rsidR="00FD0489">
        <w:t xml:space="preserve">condition was defined </w:t>
      </w:r>
      <w:r w:rsidR="002E06C0">
        <w:t xml:space="preserve">only </w:t>
      </w:r>
      <w:r w:rsidR="00FD0489">
        <w:t xml:space="preserve">by reference </w:t>
      </w:r>
      <w:r w:rsidR="00133B97">
        <w:t xml:space="preserve">to notes being </w:t>
      </w:r>
      <w:r w:rsidR="00FD0489">
        <w:t xml:space="preserve">written off or converted into ordinary shares of the issuer or a parent of the issuer upon the occurrence of a </w:t>
      </w:r>
      <w:r w:rsidR="00FD0489">
        <w:rPr>
          <w:b/>
          <w:i/>
        </w:rPr>
        <w:t>non</w:t>
      </w:r>
      <w:r w:rsidR="00FD0489">
        <w:rPr>
          <w:b/>
          <w:i/>
        </w:rPr>
        <w:noBreakHyphen/>
        <w:t>viability trigger event</w:t>
      </w:r>
      <w:r w:rsidR="002E06C0" w:rsidRPr="002E06C0">
        <w:t xml:space="preserve">, </w:t>
      </w:r>
      <w:r w:rsidR="002E06C0">
        <w:t xml:space="preserve">which is defined in </w:t>
      </w:r>
      <w:proofErr w:type="spellStart"/>
      <w:r w:rsidR="002E06C0">
        <w:t>subregulation</w:t>
      </w:r>
      <w:proofErr w:type="spellEnd"/>
      <w:r w:rsidR="002E06C0">
        <w:t> 974</w:t>
      </w:r>
      <w:r w:rsidR="009F793F">
        <w:noBreakHyphen/>
      </w:r>
      <w:r w:rsidR="002E06C0">
        <w:t>135F(5)</w:t>
      </w:r>
      <w:r w:rsidR="00FD0489">
        <w:t xml:space="preserve">. </w:t>
      </w:r>
    </w:p>
    <w:p w:rsidR="00FD0489" w:rsidRDefault="00FD0489" w:rsidP="00133B97">
      <w:pPr>
        <w:spacing w:before="240"/>
      </w:pPr>
      <w:r>
        <w:t xml:space="preserve">The new </w:t>
      </w:r>
      <w:proofErr w:type="spellStart"/>
      <w:r>
        <w:t>subregulation</w:t>
      </w:r>
      <w:proofErr w:type="spellEnd"/>
      <w:r>
        <w:t> 974</w:t>
      </w:r>
      <w:r>
        <w:noBreakHyphen/>
      </w:r>
      <w:proofErr w:type="gramStart"/>
      <w:r>
        <w:t>135F(</w:t>
      </w:r>
      <w:proofErr w:type="gramEnd"/>
      <w:r>
        <w:t>4)</w:t>
      </w:r>
      <w:r w:rsidR="002E06C0">
        <w:t xml:space="preserve"> </w:t>
      </w:r>
      <w:r w:rsidR="00133B97">
        <w:t xml:space="preserve">includes a third alternative and refers to notes being converted </w:t>
      </w:r>
      <w:r w:rsidR="002E06C0">
        <w:t xml:space="preserve">into </w:t>
      </w:r>
      <w:r w:rsidR="00395493">
        <w:t>MEI</w:t>
      </w:r>
      <w:r w:rsidR="002E06C0">
        <w:t xml:space="preserve"> of the issuer or a parent of the issuer upon the occurrence of a non</w:t>
      </w:r>
      <w:r w:rsidR="002E06C0">
        <w:noBreakHyphen/>
        <w:t xml:space="preserve">viability trigger event. </w:t>
      </w:r>
      <w:r w:rsidR="00133B97">
        <w:t>This takes into account the new prudential standards issued by APRA, which allow mutually</w:t>
      </w:r>
      <w:r w:rsidR="003D0807">
        <w:noBreakHyphen/>
      </w:r>
      <w:r w:rsidR="00133B97">
        <w:t xml:space="preserve">owned ADIs to directly issue mutual equity interests. </w:t>
      </w:r>
    </w:p>
    <w:p w:rsidR="00133B97" w:rsidRDefault="00133B97" w:rsidP="00133B97">
      <w:pPr>
        <w:spacing w:before="240"/>
      </w:pPr>
      <w:r>
        <w:t>Without the expanded definition, the non</w:t>
      </w:r>
      <w:r>
        <w:noBreakHyphen/>
        <w:t xml:space="preserve">viability condition may cause the obligation to </w:t>
      </w:r>
      <w:r w:rsidR="00395493">
        <w:t xml:space="preserve">pay principal or interest under the terms of the note to be considered to be contingent. This would </w:t>
      </w:r>
      <w:r>
        <w:t>preclude notes issued by mutually</w:t>
      </w:r>
      <w:r w:rsidR="003D0807">
        <w:noBreakHyphen/>
      </w:r>
      <w:r>
        <w:t xml:space="preserve">owned ADIs from being a debt interest for taxation purposes. </w:t>
      </w:r>
    </w:p>
    <w:p w:rsidR="00664D79" w:rsidRDefault="006E4960" w:rsidP="00E3192F">
      <w:pPr>
        <w:spacing w:before="240"/>
      </w:pPr>
      <w:r>
        <w:t>Item</w:t>
      </w:r>
      <w:r w:rsidR="00130AEC">
        <w:t> </w:t>
      </w:r>
      <w:r w:rsidR="006F12B5">
        <w:t>3</w:t>
      </w:r>
      <w:r>
        <w:t xml:space="preserve"> inserts a d</w:t>
      </w:r>
      <w:r w:rsidRPr="00DD660D">
        <w:t>efinition</w:t>
      </w:r>
      <w:r>
        <w:t xml:space="preserve"> of MEI at </w:t>
      </w:r>
      <w:proofErr w:type="spellStart"/>
      <w:r>
        <w:t>s</w:t>
      </w:r>
      <w:r w:rsidR="00E3192F">
        <w:t>ubregulation</w:t>
      </w:r>
      <w:proofErr w:type="spellEnd"/>
      <w:r w:rsidR="00130AEC">
        <w:t> </w:t>
      </w:r>
      <w:r w:rsidR="00E3192F">
        <w:t>974</w:t>
      </w:r>
      <w:r w:rsidR="00130AEC">
        <w:noBreakHyphen/>
      </w:r>
      <w:proofErr w:type="gramStart"/>
      <w:r w:rsidR="00E3192F">
        <w:t>135F(</w:t>
      </w:r>
      <w:proofErr w:type="gramEnd"/>
      <w:r w:rsidR="00E3192F">
        <w:t>6)</w:t>
      </w:r>
      <w:r w:rsidR="00071F81">
        <w:t xml:space="preserve"> as having the </w:t>
      </w:r>
      <w:r w:rsidR="00395493">
        <w:t xml:space="preserve">same </w:t>
      </w:r>
      <w:r w:rsidR="00071F81">
        <w:t xml:space="preserve">meaning </w:t>
      </w:r>
      <w:r w:rsidR="00395493">
        <w:t>as in</w:t>
      </w:r>
      <w:r w:rsidR="00071F81">
        <w:t xml:space="preserve"> </w:t>
      </w:r>
      <w:r w:rsidR="004779A5">
        <w:t>s</w:t>
      </w:r>
      <w:r w:rsidR="00071F81">
        <w:t>ection</w:t>
      </w:r>
      <w:r w:rsidR="00130AEC">
        <w:t> </w:t>
      </w:r>
      <w:r w:rsidR="004779A5">
        <w:t xml:space="preserve">11CAA of the </w:t>
      </w:r>
      <w:r w:rsidR="004779A5">
        <w:rPr>
          <w:i/>
          <w:iCs/>
        </w:rPr>
        <w:t>Banking Act 1959</w:t>
      </w:r>
      <w:r>
        <w:t>.</w:t>
      </w:r>
      <w:r w:rsidR="00C4478B">
        <w:t xml:space="preserve"> </w:t>
      </w:r>
      <w:r w:rsidR="00844048">
        <w:t>Section</w:t>
      </w:r>
      <w:r w:rsidR="00130AEC">
        <w:t> </w:t>
      </w:r>
      <w:r w:rsidR="00844048">
        <w:t>11C</w:t>
      </w:r>
      <w:r w:rsidR="009B3AFE">
        <w:t>A</w:t>
      </w:r>
      <w:r w:rsidR="00844048">
        <w:t xml:space="preserve">A provides that MEI has the same meaning as in the prudential standards. </w:t>
      </w:r>
      <w:r w:rsidR="00FA0FBF">
        <w:t>T</w:t>
      </w:r>
      <w:r w:rsidR="00670D06" w:rsidRPr="004056F7">
        <w:t>h</w:t>
      </w:r>
      <w:r w:rsidR="00FA0FBF" w:rsidRPr="004056F7">
        <w:t xml:space="preserve">e relevant standard is </w:t>
      </w:r>
      <w:r w:rsidR="004056F7">
        <w:t xml:space="preserve">the </w:t>
      </w:r>
      <w:r w:rsidR="004056F7" w:rsidRPr="004056F7">
        <w:rPr>
          <w:i/>
        </w:rPr>
        <w:t>Banking (Prudential Standard) Determination No.</w:t>
      </w:r>
      <w:r w:rsidR="00130AEC">
        <w:rPr>
          <w:i/>
        </w:rPr>
        <w:t> </w:t>
      </w:r>
      <w:r w:rsidR="004056F7" w:rsidRPr="004056F7">
        <w:rPr>
          <w:i/>
        </w:rPr>
        <w:t>4 of 2017 - Prudential Standard APS</w:t>
      </w:r>
      <w:r w:rsidR="00130AEC">
        <w:rPr>
          <w:i/>
        </w:rPr>
        <w:t> </w:t>
      </w:r>
      <w:r w:rsidR="004056F7" w:rsidRPr="004056F7">
        <w:rPr>
          <w:i/>
        </w:rPr>
        <w:t>111 Capital Adequacy: Measurement of Capital</w:t>
      </w:r>
      <w:r w:rsidR="00FA0FBF">
        <w:t xml:space="preserve">. </w:t>
      </w:r>
      <w:r w:rsidR="00670D06">
        <w:t xml:space="preserve"> The </w:t>
      </w:r>
      <w:r w:rsidR="00670D06" w:rsidRPr="00AE0AAB">
        <w:rPr>
          <w:i/>
        </w:rPr>
        <w:t>Banking Act</w:t>
      </w:r>
      <w:r w:rsidR="00844048" w:rsidRPr="00AE0AAB">
        <w:rPr>
          <w:i/>
        </w:rPr>
        <w:t xml:space="preserve"> </w:t>
      </w:r>
      <w:r w:rsidR="00670D06" w:rsidRPr="00AE0AAB">
        <w:rPr>
          <w:i/>
        </w:rPr>
        <w:t>1959</w:t>
      </w:r>
      <w:r w:rsidR="00670D06">
        <w:t xml:space="preserve"> </w:t>
      </w:r>
      <w:r w:rsidR="00844048">
        <w:t>incorporate</w:t>
      </w:r>
      <w:r w:rsidR="00670D06">
        <w:t>s</w:t>
      </w:r>
      <w:r w:rsidR="00844048">
        <w:t xml:space="preserve"> this definition by reference to ensure consistency </w:t>
      </w:r>
      <w:r w:rsidR="006915D9">
        <w:t xml:space="preserve">in the application of the definition, and it is appropriate to do so given that the prudential standards are </w:t>
      </w:r>
      <w:r w:rsidR="00670D06">
        <w:t xml:space="preserve">legislative instruments which are </w:t>
      </w:r>
      <w:r w:rsidR="006915D9">
        <w:t xml:space="preserve">freely available to the public and easy to locate on </w:t>
      </w:r>
      <w:r w:rsidR="00AE0AAB">
        <w:t xml:space="preserve">the Federal Register of Legislation </w:t>
      </w:r>
      <w:r w:rsidR="00BF7495">
        <w:t xml:space="preserve">at </w:t>
      </w:r>
      <w:r w:rsidR="00BF7495" w:rsidRPr="00AE20E8">
        <w:rPr>
          <w:u w:val="single"/>
        </w:rPr>
        <w:t>legislation.gov.au</w:t>
      </w:r>
      <w:r w:rsidR="00BF7495">
        <w:t xml:space="preserve"> or</w:t>
      </w:r>
      <w:r w:rsidR="00AE0AAB">
        <w:t xml:space="preserve"> </w:t>
      </w:r>
      <w:r w:rsidR="006915D9">
        <w:t xml:space="preserve">the APRA website. </w:t>
      </w:r>
      <w:r w:rsidR="00C4478B">
        <w:t xml:space="preserve"> </w:t>
      </w:r>
    </w:p>
    <w:p w:rsidR="00AE20E8" w:rsidRDefault="00AE20E8">
      <w:pPr>
        <w:spacing w:before="0" w:after="0"/>
        <w:rPr>
          <w:b/>
          <w:kern w:val="28"/>
          <w:u w:val="single"/>
        </w:rPr>
      </w:pPr>
    </w:p>
    <w:sectPr w:rsidR="00AE20E8" w:rsidSect="00392BBA">
      <w:headerReference w:type="default" r:id="rId14"/>
      <w:footerReference w:type="default" r:id="rId1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DA9" w:rsidRDefault="002D0DA9" w:rsidP="00954679">
      <w:pPr>
        <w:spacing w:before="0" w:after="0"/>
      </w:pPr>
      <w:r>
        <w:separator/>
      </w:r>
    </w:p>
  </w:endnote>
  <w:endnote w:type="continuationSeparator" w:id="0">
    <w:p w:rsidR="002D0DA9" w:rsidRDefault="002D0DA9" w:rsidP="00954679">
      <w:pPr>
        <w:spacing w:before="0" w:after="0"/>
      </w:pPr>
      <w:r>
        <w:continuationSeparator/>
      </w:r>
    </w:p>
  </w:endnote>
  <w:endnote w:type="continuationNotice" w:id="1">
    <w:p w:rsidR="002D0DA9" w:rsidRDefault="002D0DA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D8042A" w:rsidRDefault="00D8042A" w:rsidP="00954679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9D5294">
              <w:rPr>
                <w:bCs/>
                <w:noProof/>
              </w:rPr>
              <w:t>1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9D5294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D8042A" w:rsidRDefault="00D804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DA9" w:rsidRDefault="002D0DA9" w:rsidP="00954679">
      <w:pPr>
        <w:spacing w:before="0" w:after="0"/>
      </w:pPr>
      <w:r>
        <w:separator/>
      </w:r>
    </w:p>
  </w:footnote>
  <w:footnote w:type="continuationSeparator" w:id="0">
    <w:p w:rsidR="002D0DA9" w:rsidRDefault="002D0DA9" w:rsidP="00954679">
      <w:pPr>
        <w:spacing w:before="0" w:after="0"/>
      </w:pPr>
      <w:r>
        <w:continuationSeparator/>
      </w:r>
    </w:p>
  </w:footnote>
  <w:footnote w:type="continuationNotice" w:id="1">
    <w:p w:rsidR="002D0DA9" w:rsidRDefault="002D0DA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D26" w:rsidRDefault="004B2D26" w:rsidP="004B2D26">
    <w:pPr>
      <w:pStyle w:val="Header"/>
      <w:jc w:val="center"/>
    </w:pPr>
    <w:r>
      <w:t>EXPOSURE 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>
    <w:nsid w:val="67A43C0B"/>
    <w:multiLevelType w:val="multilevel"/>
    <w:tmpl w:val="045CA2A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E0"/>
    <w:rsid w:val="00002D3B"/>
    <w:rsid w:val="00014F6A"/>
    <w:rsid w:val="00016EA2"/>
    <w:rsid w:val="00027DE8"/>
    <w:rsid w:val="00071F81"/>
    <w:rsid w:val="00095211"/>
    <w:rsid w:val="000C10DF"/>
    <w:rsid w:val="000C2636"/>
    <w:rsid w:val="000F2614"/>
    <w:rsid w:val="00113B45"/>
    <w:rsid w:val="00130AEC"/>
    <w:rsid w:val="00133B97"/>
    <w:rsid w:val="0017000F"/>
    <w:rsid w:val="00171227"/>
    <w:rsid w:val="001C3163"/>
    <w:rsid w:val="001D4007"/>
    <w:rsid w:val="001D532A"/>
    <w:rsid w:val="001E6A74"/>
    <w:rsid w:val="001F41D0"/>
    <w:rsid w:val="00207356"/>
    <w:rsid w:val="00220F16"/>
    <w:rsid w:val="0025018F"/>
    <w:rsid w:val="00250CC0"/>
    <w:rsid w:val="00254C5B"/>
    <w:rsid w:val="002800EC"/>
    <w:rsid w:val="002B2AD2"/>
    <w:rsid w:val="002C23F6"/>
    <w:rsid w:val="002D0DA9"/>
    <w:rsid w:val="002E06C0"/>
    <w:rsid w:val="002F08F9"/>
    <w:rsid w:val="0031608A"/>
    <w:rsid w:val="00326254"/>
    <w:rsid w:val="003342CD"/>
    <w:rsid w:val="00335042"/>
    <w:rsid w:val="003357A9"/>
    <w:rsid w:val="00362B70"/>
    <w:rsid w:val="00380540"/>
    <w:rsid w:val="00392BBA"/>
    <w:rsid w:val="00395493"/>
    <w:rsid w:val="003954FD"/>
    <w:rsid w:val="003A1284"/>
    <w:rsid w:val="003D0807"/>
    <w:rsid w:val="003E1CE3"/>
    <w:rsid w:val="003F11B5"/>
    <w:rsid w:val="003F1798"/>
    <w:rsid w:val="003F7844"/>
    <w:rsid w:val="00400D38"/>
    <w:rsid w:val="00404C3E"/>
    <w:rsid w:val="004056F7"/>
    <w:rsid w:val="00426828"/>
    <w:rsid w:val="00462095"/>
    <w:rsid w:val="004734CF"/>
    <w:rsid w:val="004779A5"/>
    <w:rsid w:val="004A19D3"/>
    <w:rsid w:val="004B2D26"/>
    <w:rsid w:val="004B3A4C"/>
    <w:rsid w:val="004B3C0F"/>
    <w:rsid w:val="004C05E4"/>
    <w:rsid w:val="004E39E1"/>
    <w:rsid w:val="00503E44"/>
    <w:rsid w:val="005116EF"/>
    <w:rsid w:val="00515283"/>
    <w:rsid w:val="00531165"/>
    <w:rsid w:val="00533926"/>
    <w:rsid w:val="00546353"/>
    <w:rsid w:val="0055675D"/>
    <w:rsid w:val="00566E8F"/>
    <w:rsid w:val="005833BE"/>
    <w:rsid w:val="005923DD"/>
    <w:rsid w:val="005D7D5A"/>
    <w:rsid w:val="005E4BAC"/>
    <w:rsid w:val="005F2A3A"/>
    <w:rsid w:val="0060130D"/>
    <w:rsid w:val="00611FEC"/>
    <w:rsid w:val="0064129F"/>
    <w:rsid w:val="006433AF"/>
    <w:rsid w:val="00645DAC"/>
    <w:rsid w:val="00647BB7"/>
    <w:rsid w:val="00651541"/>
    <w:rsid w:val="0066138C"/>
    <w:rsid w:val="00664D79"/>
    <w:rsid w:val="00670D06"/>
    <w:rsid w:val="006747A4"/>
    <w:rsid w:val="00680297"/>
    <w:rsid w:val="0069035F"/>
    <w:rsid w:val="006915D9"/>
    <w:rsid w:val="006A0786"/>
    <w:rsid w:val="006A5A30"/>
    <w:rsid w:val="006C76EA"/>
    <w:rsid w:val="006E4960"/>
    <w:rsid w:val="006F12B5"/>
    <w:rsid w:val="00716156"/>
    <w:rsid w:val="00727ACC"/>
    <w:rsid w:val="007329B9"/>
    <w:rsid w:val="00736F61"/>
    <w:rsid w:val="00747D59"/>
    <w:rsid w:val="007543D5"/>
    <w:rsid w:val="00756E65"/>
    <w:rsid w:val="0076339A"/>
    <w:rsid w:val="007633B3"/>
    <w:rsid w:val="007662C7"/>
    <w:rsid w:val="00776306"/>
    <w:rsid w:val="00785EB5"/>
    <w:rsid w:val="0079077C"/>
    <w:rsid w:val="007B1F10"/>
    <w:rsid w:val="007E018D"/>
    <w:rsid w:val="007E1CFD"/>
    <w:rsid w:val="007F1B71"/>
    <w:rsid w:val="00807E7D"/>
    <w:rsid w:val="008177E4"/>
    <w:rsid w:val="00831675"/>
    <w:rsid w:val="00844048"/>
    <w:rsid w:val="0087473F"/>
    <w:rsid w:val="0088467C"/>
    <w:rsid w:val="00894579"/>
    <w:rsid w:val="008A43F4"/>
    <w:rsid w:val="008A5B67"/>
    <w:rsid w:val="008B6801"/>
    <w:rsid w:val="008C60B7"/>
    <w:rsid w:val="008D16F7"/>
    <w:rsid w:val="008D6342"/>
    <w:rsid w:val="008E1427"/>
    <w:rsid w:val="009143A0"/>
    <w:rsid w:val="00942C53"/>
    <w:rsid w:val="00954679"/>
    <w:rsid w:val="009B3AFE"/>
    <w:rsid w:val="009D415A"/>
    <w:rsid w:val="009D5294"/>
    <w:rsid w:val="009E2F86"/>
    <w:rsid w:val="009E660E"/>
    <w:rsid w:val="009F793F"/>
    <w:rsid w:val="00A07659"/>
    <w:rsid w:val="00A12209"/>
    <w:rsid w:val="00A3379B"/>
    <w:rsid w:val="00A36DF3"/>
    <w:rsid w:val="00A532DD"/>
    <w:rsid w:val="00A70C14"/>
    <w:rsid w:val="00A80BCF"/>
    <w:rsid w:val="00A8369C"/>
    <w:rsid w:val="00A912F8"/>
    <w:rsid w:val="00AA1689"/>
    <w:rsid w:val="00AA3A32"/>
    <w:rsid w:val="00AB2A02"/>
    <w:rsid w:val="00AC1D15"/>
    <w:rsid w:val="00AC5DEB"/>
    <w:rsid w:val="00AD3A14"/>
    <w:rsid w:val="00AD46D3"/>
    <w:rsid w:val="00AD632E"/>
    <w:rsid w:val="00AE0AAB"/>
    <w:rsid w:val="00AE0D5D"/>
    <w:rsid w:val="00AE20E8"/>
    <w:rsid w:val="00B07B0C"/>
    <w:rsid w:val="00B25563"/>
    <w:rsid w:val="00B26D48"/>
    <w:rsid w:val="00B42EE1"/>
    <w:rsid w:val="00B47704"/>
    <w:rsid w:val="00B92478"/>
    <w:rsid w:val="00BA400F"/>
    <w:rsid w:val="00BB3C04"/>
    <w:rsid w:val="00BC548A"/>
    <w:rsid w:val="00BD61A2"/>
    <w:rsid w:val="00BE484D"/>
    <w:rsid w:val="00BE6793"/>
    <w:rsid w:val="00BF7495"/>
    <w:rsid w:val="00C00DDF"/>
    <w:rsid w:val="00C1069C"/>
    <w:rsid w:val="00C1695C"/>
    <w:rsid w:val="00C2776D"/>
    <w:rsid w:val="00C37E05"/>
    <w:rsid w:val="00C4478B"/>
    <w:rsid w:val="00C50523"/>
    <w:rsid w:val="00C55D29"/>
    <w:rsid w:val="00C90A17"/>
    <w:rsid w:val="00CA0BE9"/>
    <w:rsid w:val="00CA138D"/>
    <w:rsid w:val="00CB6D78"/>
    <w:rsid w:val="00CC7641"/>
    <w:rsid w:val="00CD1BE0"/>
    <w:rsid w:val="00CD3C4B"/>
    <w:rsid w:val="00CF689E"/>
    <w:rsid w:val="00D13794"/>
    <w:rsid w:val="00D24052"/>
    <w:rsid w:val="00D24386"/>
    <w:rsid w:val="00D31575"/>
    <w:rsid w:val="00D34626"/>
    <w:rsid w:val="00D4257A"/>
    <w:rsid w:val="00D460EB"/>
    <w:rsid w:val="00D61782"/>
    <w:rsid w:val="00D62665"/>
    <w:rsid w:val="00D8042A"/>
    <w:rsid w:val="00D83645"/>
    <w:rsid w:val="00D90B2A"/>
    <w:rsid w:val="00D9157E"/>
    <w:rsid w:val="00D97D83"/>
    <w:rsid w:val="00DC0CDE"/>
    <w:rsid w:val="00DC4D72"/>
    <w:rsid w:val="00DD660D"/>
    <w:rsid w:val="00DE6267"/>
    <w:rsid w:val="00E0624D"/>
    <w:rsid w:val="00E1386F"/>
    <w:rsid w:val="00E2140A"/>
    <w:rsid w:val="00E263D3"/>
    <w:rsid w:val="00E3192F"/>
    <w:rsid w:val="00E4438C"/>
    <w:rsid w:val="00E457F3"/>
    <w:rsid w:val="00E567A7"/>
    <w:rsid w:val="00EA2413"/>
    <w:rsid w:val="00EB7E71"/>
    <w:rsid w:val="00EC3BE2"/>
    <w:rsid w:val="00EF0169"/>
    <w:rsid w:val="00EF55BD"/>
    <w:rsid w:val="00F109D4"/>
    <w:rsid w:val="00F1455B"/>
    <w:rsid w:val="00F319E2"/>
    <w:rsid w:val="00F36957"/>
    <w:rsid w:val="00F47585"/>
    <w:rsid w:val="00F810A9"/>
    <w:rsid w:val="00F85E6F"/>
    <w:rsid w:val="00F90B13"/>
    <w:rsid w:val="00FA06A8"/>
    <w:rsid w:val="00FA0FBF"/>
    <w:rsid w:val="00FC0C1A"/>
    <w:rsid w:val="00FD0489"/>
    <w:rsid w:val="00FE04E4"/>
    <w:rsid w:val="00FE73F9"/>
    <w:rsid w:val="00FF1057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F9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character" w:customStyle="1" w:styleId="bulletchar0">
    <w:name w:val="bulletchar"/>
    <w:basedOn w:val="DefaultParagraphFont"/>
    <w:rsid w:val="00D97D83"/>
  </w:style>
  <w:style w:type="paragraph" w:styleId="ListParagraph">
    <w:name w:val="List Paragraph"/>
    <w:basedOn w:val="Normal"/>
    <w:uiPriority w:val="34"/>
    <w:qFormat/>
    <w:rsid w:val="00AD632E"/>
    <w:pPr>
      <w:ind w:left="720"/>
      <w:contextualSpacing/>
    </w:pPr>
  </w:style>
  <w:style w:type="paragraph" w:styleId="Revision">
    <w:name w:val="Revision"/>
    <w:hidden/>
    <w:uiPriority w:val="99"/>
    <w:semiHidden/>
    <w:rsid w:val="005F2A3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character" w:customStyle="1" w:styleId="bulletchar0">
    <w:name w:val="bulletchar"/>
    <w:basedOn w:val="DefaultParagraphFont"/>
    <w:rsid w:val="00D97D83"/>
  </w:style>
  <w:style w:type="paragraph" w:styleId="ListParagraph">
    <w:name w:val="List Paragraph"/>
    <w:basedOn w:val="Normal"/>
    <w:uiPriority w:val="34"/>
    <w:qFormat/>
    <w:rsid w:val="00AD632E"/>
    <w:pPr>
      <w:ind w:left="720"/>
      <w:contextualSpacing/>
    </w:pPr>
  </w:style>
  <w:style w:type="paragraph" w:styleId="Revision">
    <w:name w:val="Revision"/>
    <w:hidden/>
    <w:uiPriority w:val="99"/>
    <w:semiHidden/>
    <w:rsid w:val="005F2A3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0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2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8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7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54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56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842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4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1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2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13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59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2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029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75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571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63589-9cf9-4143-b1eb-fb0534803d38">
      <Value>33</Value>
    </TaxCatchAll>
    <_dlc_DocId xmlns="0f563589-9cf9-4143-b1eb-fb0534803d38">2019RG-771852950-833</_dlc_DocId>
    <_dlc_DocIdUrl xmlns="0f563589-9cf9-4143-b1eb-fb0534803d38">
      <Url>http://tweb/sites/rg/ldp/_layouts/15/DocIdRedir.aspx?ID=2019RG-771852950-833</Url>
      <Description>2019RG-771852950-833</Description>
    </_dlc_DocIdUrl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AE-20316-Destroy 12 years after completion or other termination of contract</TermName>
          <TermId xmlns="http://schemas.microsoft.com/office/infopath/2007/PartnerControls">a887a6ba-db0d-4822-9173-9b103ef12938</TermId>
        </TermInfo>
      </Terms>
    </lb508a4dc5e84436a0fe496b536466a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962DDCDC8E5A754CBFA0F5CBD2482651" ma:contentTypeVersion="17019" ma:contentTypeDescription="" ma:contentTypeScope="" ma:versionID="452488e7f470c5ff8639f8f51e21e615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targetNamespace="http://schemas.microsoft.com/office/2006/metadata/properties" ma:root="true" ma:fieldsID="17785f101349ed9d0b66c91d9d4670d8" ns1:_="" ns2:_="" ns3:_="">
    <xsd:import namespace="http://schemas.microsoft.com/sharepoint/v3"/>
    <xsd:import namespace="0f563589-9cf9-4143-b1eb-fb0534803d38"/>
    <xsd:import namespace="9f7bc583-7cbe-45b9-a2bd-8bbb6543b37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33;#AE-20316-Destroy 12 years after completion or other termination of contract|a887a6ba-db0d-4822-9173-9b103ef12938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78533-3486-40E5-9013-DD26FD164D39}">
  <ds:schemaRefs>
    <ds:schemaRef ds:uri="http://schemas.microsoft.com/office/2006/metadata/properties"/>
    <ds:schemaRef ds:uri="http://schemas.microsoft.com/office/infopath/2007/PartnerControls"/>
    <ds:schemaRef ds:uri="0f563589-9cf9-4143-b1eb-fb0534803d38"/>
    <ds:schemaRef ds:uri="9f7bc583-7cbe-45b9-a2bd-8bbb6543b37e"/>
  </ds:schemaRefs>
</ds:datastoreItem>
</file>

<file path=customXml/itemProps3.xml><?xml version="1.0" encoding="utf-8"?>
<ds:datastoreItem xmlns:ds="http://schemas.openxmlformats.org/officeDocument/2006/customXml" ds:itemID="{70C6791E-DECA-4E99-BFED-72FF30B63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62B9BD-91E9-4141-B46A-99E3855945A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9D365AD-3D4F-4C80-AEEB-786B8A768C91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4BE2A173-BBF5-4563-BC40-CBB74FFE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17</TotalTime>
  <Pages>1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ATO</Company>
  <LinksUpToDate>false</LinksUpToDate>
  <CharactersWithSpaces>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>Fields, Ruth</dc:creator>
  <cp:lastModifiedBy>Stephen Boyle</cp:lastModifiedBy>
  <cp:revision>8</cp:revision>
  <cp:lastPrinted>2016-06-15T23:01:00Z</cp:lastPrinted>
  <dcterms:created xsi:type="dcterms:W3CDTF">2019-01-15T00:56:00Z</dcterms:created>
  <dcterms:modified xsi:type="dcterms:W3CDTF">2019-01-15T01:36:00Z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0x01010036BB8DE7EC542E42A8B2E98CC20CB69700962DDCDC8E5A754CBFA0F5CBD2482651</vt:lpwstr>
  </property>
  <property fmtid="{D5CDD505-2E9C-101B-9397-08002B2CF9AE}" pid="4" name="TSYRecordClass">
    <vt:lpwstr>33;#AE-20316-Destroy 12 years after completion or other termination of contract|a887a6ba-db0d-4822-9173-9b103ef12938</vt:lpwstr>
  </property>
  <property fmtid="{D5CDD505-2E9C-101B-9397-08002B2CF9AE}" pid="5" name="_dlc_DocIdItemGuid">
    <vt:lpwstr>3ebd088e-de43-4c92-aefb-78c8e584cf30</vt:lpwstr>
  </property>
  <property fmtid="{D5CDD505-2E9C-101B-9397-08002B2CF9AE}" pid="6" name="RecordPoint_ActiveItemUniqueId">
    <vt:lpwstr>{3ebd088e-de43-4c92-aefb-78c8e584cf30}</vt:lpwstr>
  </property>
  <property fmtid="{D5CDD505-2E9C-101B-9397-08002B2CF9AE}" pid="7" name="RecordPoint_WorkflowType">
    <vt:lpwstr>ActiveSubmitStub</vt:lpwstr>
  </property>
  <property fmtid="{D5CDD505-2E9C-101B-9397-08002B2CF9AE}" pid="8" name="RecordPoint_ActiveItemSiteId">
    <vt:lpwstr>{5b52b9a5-e5b2-4521-8814-a1e24ca2869d}</vt:lpwstr>
  </property>
  <property fmtid="{D5CDD505-2E9C-101B-9397-08002B2CF9AE}" pid="9" name="RecordPoint_ActiveItemListId">
    <vt:lpwstr>{c924ffc2-a2e8-4b21-94be-273dab156300}</vt:lpwstr>
  </property>
  <property fmtid="{D5CDD505-2E9C-101B-9397-08002B2CF9AE}" pid="10" name="RecordPoint_ActiveItemWebId">
    <vt:lpwstr>{09392e0d-4618-463d-b4d2-50a90b9447cf}</vt:lpwstr>
  </property>
  <property fmtid="{D5CDD505-2E9C-101B-9397-08002B2CF9AE}" pid="11" name="RecordPoint_RecordNumberSubmitted">
    <vt:lpwstr/>
  </property>
  <property fmtid="{D5CDD505-2E9C-101B-9397-08002B2CF9AE}" pid="12" name="RecordPoint_SubmissionCompleted">
    <vt:lpwstr/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Security Classification">
    <vt:lpwstr>67;#SENSITIVE : LEGAL|7f8d21cd-2520-4d5a-a1cd-bc52f2e0b8fe</vt:lpwstr>
  </property>
  <property fmtid="{D5CDD505-2E9C-101B-9397-08002B2CF9AE}" pid="16" name="_AdHocReviewCycleID">
    <vt:i4>1604831787</vt:i4>
  </property>
  <property fmtid="{D5CDD505-2E9C-101B-9397-08002B2CF9AE}" pid="17" name="_EmailSubject">
    <vt:lpwstr>debt equity - draft consult docs for review [DLM=Sensitive:Legal]</vt:lpwstr>
  </property>
  <property fmtid="{D5CDD505-2E9C-101B-9397-08002B2CF9AE}" pid="18" name="_AuthorEmail">
    <vt:lpwstr>Stephen.Boyle@TREASURY.GOV.AU</vt:lpwstr>
  </property>
  <property fmtid="{D5CDD505-2E9C-101B-9397-08002B2CF9AE}" pid="19" name="_AuthorEmailDisplayName">
    <vt:lpwstr>Boyle, Stephen</vt:lpwstr>
  </property>
  <property fmtid="{D5CDD505-2E9C-101B-9397-08002B2CF9AE}" pid="21" name="RecordPoint_SubmissionDate">
    <vt:lpwstr/>
  </property>
  <property fmtid="{D5CDD505-2E9C-101B-9397-08002B2CF9AE}" pid="22" name="RecordPoint_RecordFormat">
    <vt:lpwstr/>
  </property>
  <property fmtid="{D5CDD505-2E9C-101B-9397-08002B2CF9AE}" pid="23" name="RecordPoint_ActiveItemMoved">
    <vt:lpwstr/>
  </property>
  <property fmtid="{D5CDD505-2E9C-101B-9397-08002B2CF9AE}" pid="24" name="_PreviousAdHocReviewCycleID">
    <vt:i4>2064618466</vt:i4>
  </property>
</Properties>
</file>