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FBB22" w14:textId="77777777" w:rsidR="00171B9B" w:rsidRPr="00D67ADC" w:rsidRDefault="00171B9B" w:rsidP="00C25AA2">
      <w:pPr>
        <w:pStyle w:val="Chapterheadingsubdocument"/>
      </w:pPr>
      <w:bookmarkStart w:id="0" w:name="_GoBack"/>
      <w:bookmarkEnd w:id="0"/>
      <w:r w:rsidRPr="00D67ADC">
        <w:t>Glossary</w:t>
      </w:r>
    </w:p>
    <w:p w14:paraId="364AEAEF" w14:textId="77777777" w:rsidR="00171B9B" w:rsidRDefault="00171B9B" w:rsidP="00C25AA2">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763"/>
      </w:tblGrid>
      <w:tr w:rsidR="00171B9B" w:rsidRPr="00123D96" w14:paraId="79B5A3FD" w14:textId="77777777" w:rsidTr="006F552F">
        <w:tc>
          <w:tcPr>
            <w:tcW w:w="1843" w:type="dxa"/>
          </w:tcPr>
          <w:p w14:paraId="732395A8" w14:textId="77777777" w:rsidR="00171B9B" w:rsidRPr="00123D96" w:rsidRDefault="00171B9B" w:rsidP="00C25AA2">
            <w:pPr>
              <w:pStyle w:val="tableheaderwithintable"/>
            </w:pPr>
            <w:r w:rsidRPr="00123D96">
              <w:t>Abbreviation</w:t>
            </w:r>
          </w:p>
        </w:tc>
        <w:tc>
          <w:tcPr>
            <w:tcW w:w="4763" w:type="dxa"/>
          </w:tcPr>
          <w:p w14:paraId="37314F22" w14:textId="77777777" w:rsidR="00171B9B" w:rsidRPr="00123D96" w:rsidRDefault="00171B9B" w:rsidP="00C25AA2">
            <w:pPr>
              <w:pStyle w:val="tableheaderwithintable"/>
            </w:pPr>
            <w:r w:rsidRPr="00123D96">
              <w:t>Definition</w:t>
            </w:r>
          </w:p>
        </w:tc>
      </w:tr>
      <w:tr w:rsidR="00171B9B" w:rsidRPr="002C43E8" w14:paraId="51F0F78F" w14:textId="77777777" w:rsidTr="006F552F">
        <w:tc>
          <w:tcPr>
            <w:tcW w:w="1843" w:type="dxa"/>
          </w:tcPr>
          <w:p w14:paraId="7FA96CCB" w14:textId="7AE86D86" w:rsidR="00171B9B" w:rsidRPr="002C43E8" w:rsidRDefault="00F864E3" w:rsidP="00C25AA2">
            <w:pPr>
              <w:pStyle w:val="Glossarytabletext"/>
              <w:rPr>
                <w:lang w:val="en-US" w:eastAsia="en-US"/>
              </w:rPr>
            </w:pPr>
            <w:r>
              <w:rPr>
                <w:lang w:eastAsia="en-US"/>
              </w:rPr>
              <w:t>ATO</w:t>
            </w:r>
          </w:p>
        </w:tc>
        <w:tc>
          <w:tcPr>
            <w:tcW w:w="4763" w:type="dxa"/>
          </w:tcPr>
          <w:p w14:paraId="21BFB0DE" w14:textId="08EFA5C9" w:rsidR="00171B9B" w:rsidRPr="002C43E8" w:rsidRDefault="00F864E3" w:rsidP="00C25AA2">
            <w:pPr>
              <w:pStyle w:val="Glossarytabletext"/>
              <w:rPr>
                <w:lang w:val="en-US" w:eastAsia="en-US"/>
              </w:rPr>
            </w:pPr>
            <w:r w:rsidRPr="00F864E3">
              <w:rPr>
                <w:lang w:eastAsia="en-US"/>
              </w:rPr>
              <w:t>Australian Tax</w:t>
            </w:r>
            <w:r w:rsidR="00EB1423">
              <w:rPr>
                <w:lang w:eastAsia="en-US"/>
              </w:rPr>
              <w:t>ation</w:t>
            </w:r>
            <w:r w:rsidRPr="00F864E3">
              <w:rPr>
                <w:lang w:eastAsia="en-US"/>
              </w:rPr>
              <w:t xml:space="preserve"> Office</w:t>
            </w:r>
          </w:p>
        </w:tc>
      </w:tr>
      <w:tr w:rsidR="00BD606E" w:rsidRPr="002C43E8" w14:paraId="2CA6EDCA" w14:textId="77777777" w:rsidTr="006F552F">
        <w:tc>
          <w:tcPr>
            <w:tcW w:w="1843" w:type="dxa"/>
          </w:tcPr>
          <w:p w14:paraId="1944B6F5" w14:textId="5C042E62" w:rsidR="00BD606E" w:rsidRPr="00D72322" w:rsidRDefault="003827C6" w:rsidP="00C25AA2">
            <w:pPr>
              <w:pStyle w:val="Glossarytabletext"/>
              <w:rPr>
                <w:lang w:val="en-US" w:eastAsia="en-US"/>
              </w:rPr>
            </w:pPr>
            <w:r w:rsidRPr="00D72322">
              <w:rPr>
                <w:lang w:eastAsia="en-US"/>
              </w:rPr>
              <w:t>CGC Act</w:t>
            </w:r>
          </w:p>
        </w:tc>
        <w:tc>
          <w:tcPr>
            <w:tcW w:w="4763" w:type="dxa"/>
          </w:tcPr>
          <w:p w14:paraId="7C2B8554" w14:textId="12934730" w:rsidR="00BD606E" w:rsidRDefault="003827C6" w:rsidP="00C25AA2">
            <w:pPr>
              <w:pStyle w:val="Glossarytabletext"/>
              <w:rPr>
                <w:i/>
              </w:rPr>
            </w:pPr>
            <w:r w:rsidRPr="003827C6">
              <w:rPr>
                <w:i/>
                <w:iCs/>
              </w:rPr>
              <w:t>Commonwealth Grants Commission Act 1973</w:t>
            </w:r>
          </w:p>
        </w:tc>
      </w:tr>
      <w:tr w:rsidR="00477FAB" w:rsidRPr="002C43E8" w14:paraId="40280FEA" w14:textId="77777777" w:rsidTr="006F552F">
        <w:tc>
          <w:tcPr>
            <w:tcW w:w="1843" w:type="dxa"/>
          </w:tcPr>
          <w:p w14:paraId="6649E34B" w14:textId="03D1FC87" w:rsidR="00477FAB" w:rsidRPr="002C43E8" w:rsidRDefault="00477FAB" w:rsidP="00B06D2C">
            <w:pPr>
              <w:pStyle w:val="Glossarytabletext"/>
              <w:rPr>
                <w:lang w:val="en-US" w:eastAsia="en-US"/>
              </w:rPr>
            </w:pPr>
            <w:r>
              <w:rPr>
                <w:lang w:val="en-US" w:eastAsia="en-US"/>
              </w:rPr>
              <w:t>GST Act</w:t>
            </w:r>
          </w:p>
        </w:tc>
        <w:tc>
          <w:tcPr>
            <w:tcW w:w="4763" w:type="dxa"/>
          </w:tcPr>
          <w:p w14:paraId="3BA19042" w14:textId="5D96F8C1" w:rsidR="00477FAB" w:rsidRPr="002C43E8" w:rsidRDefault="00477FAB" w:rsidP="00B06D2C">
            <w:pPr>
              <w:pStyle w:val="Glossarytabletext"/>
              <w:rPr>
                <w:lang w:val="en-US" w:eastAsia="en-US"/>
              </w:rPr>
            </w:pPr>
            <w:r w:rsidRPr="0003768E">
              <w:rPr>
                <w:i/>
              </w:rPr>
              <w:t>A New Tax System (Goods and Services Tax) Act 1999</w:t>
            </w:r>
          </w:p>
        </w:tc>
      </w:tr>
      <w:tr w:rsidR="00171B9B" w:rsidRPr="002C43E8" w14:paraId="1F034DFF" w14:textId="77777777" w:rsidTr="006F552F">
        <w:tc>
          <w:tcPr>
            <w:tcW w:w="1843" w:type="dxa"/>
          </w:tcPr>
          <w:p w14:paraId="24560AA8" w14:textId="55DCA796" w:rsidR="00171B9B" w:rsidRPr="00477FAB" w:rsidRDefault="001D6A1A" w:rsidP="00C25AA2">
            <w:pPr>
              <w:pStyle w:val="Glossarytabletext"/>
              <w:rPr>
                <w:lang w:val="en-US" w:eastAsia="en-US"/>
              </w:rPr>
            </w:pPr>
            <w:r w:rsidRPr="001D6A1A">
              <w:rPr>
                <w:lang w:eastAsia="en-US"/>
              </w:rPr>
              <w:t>IRDA 1986</w:t>
            </w:r>
          </w:p>
        </w:tc>
        <w:tc>
          <w:tcPr>
            <w:tcW w:w="4763" w:type="dxa"/>
          </w:tcPr>
          <w:p w14:paraId="13E3A37A" w14:textId="72127E04" w:rsidR="00171B9B" w:rsidRPr="002C43E8" w:rsidRDefault="00DC7EDE" w:rsidP="001D6A1A">
            <w:pPr>
              <w:pStyle w:val="Glossarytabletext"/>
              <w:rPr>
                <w:lang w:val="en-US" w:eastAsia="en-US"/>
              </w:rPr>
            </w:pPr>
            <w:r w:rsidRPr="001D6A1A">
              <w:rPr>
                <w:i/>
                <w:lang w:eastAsia="en-US"/>
              </w:rPr>
              <w:t>Industry Research and Development Act 1986</w:t>
            </w:r>
            <w:r w:rsidRPr="001D6A1A">
              <w:rPr>
                <w:lang w:eastAsia="en-US"/>
              </w:rPr>
              <w:t xml:space="preserve"> </w:t>
            </w:r>
          </w:p>
        </w:tc>
      </w:tr>
      <w:tr w:rsidR="00477FAB" w:rsidRPr="002C43E8" w14:paraId="5E7CA72D" w14:textId="77777777" w:rsidTr="006F552F">
        <w:tc>
          <w:tcPr>
            <w:tcW w:w="1843" w:type="dxa"/>
          </w:tcPr>
          <w:p w14:paraId="6B92B641" w14:textId="77777777" w:rsidR="00477FAB" w:rsidRPr="002C43E8" w:rsidRDefault="00477FAB" w:rsidP="00B06D2C">
            <w:pPr>
              <w:pStyle w:val="Glossarytabletext"/>
              <w:rPr>
                <w:lang w:val="en-US" w:eastAsia="en-US"/>
              </w:rPr>
            </w:pPr>
            <w:r>
              <w:rPr>
                <w:lang w:val="en-US" w:eastAsia="en-US"/>
              </w:rPr>
              <w:t>ITAA 1997</w:t>
            </w:r>
          </w:p>
        </w:tc>
        <w:tc>
          <w:tcPr>
            <w:tcW w:w="4763" w:type="dxa"/>
          </w:tcPr>
          <w:p w14:paraId="7666BD64" w14:textId="77777777" w:rsidR="00477FAB" w:rsidRPr="002C43E8" w:rsidRDefault="00477FAB" w:rsidP="00B06D2C">
            <w:pPr>
              <w:pStyle w:val="Glossarytabletext"/>
              <w:rPr>
                <w:lang w:val="en-US" w:eastAsia="en-US"/>
              </w:rPr>
            </w:pPr>
            <w:r>
              <w:rPr>
                <w:i/>
                <w:lang w:val="en-US" w:eastAsia="en-US"/>
              </w:rPr>
              <w:t>Income Tax Assessment Act 1997</w:t>
            </w:r>
          </w:p>
        </w:tc>
      </w:tr>
      <w:tr w:rsidR="00BD606E" w:rsidRPr="002C43E8" w14:paraId="0C465331" w14:textId="77777777" w:rsidTr="006F552F">
        <w:tc>
          <w:tcPr>
            <w:tcW w:w="1843" w:type="dxa"/>
          </w:tcPr>
          <w:p w14:paraId="5CD3FED6" w14:textId="3FE73175" w:rsidR="00BD606E" w:rsidRPr="002C43E8" w:rsidRDefault="00B80C68" w:rsidP="00C25AA2">
            <w:pPr>
              <w:pStyle w:val="Glossarytabletext"/>
              <w:rPr>
                <w:lang w:val="en-US" w:eastAsia="en-US"/>
              </w:rPr>
            </w:pPr>
            <w:r w:rsidRPr="00B80C68">
              <w:rPr>
                <w:lang w:val="en-US" w:eastAsia="en-US"/>
              </w:rPr>
              <w:t>ITAA</w:t>
            </w:r>
            <w:r>
              <w:rPr>
                <w:lang w:val="en-US" w:eastAsia="en-US"/>
              </w:rPr>
              <w:t xml:space="preserve"> 1936</w:t>
            </w:r>
          </w:p>
        </w:tc>
        <w:tc>
          <w:tcPr>
            <w:tcW w:w="4763" w:type="dxa"/>
          </w:tcPr>
          <w:p w14:paraId="4BE4315B" w14:textId="40B452E2" w:rsidR="00BD606E" w:rsidRPr="002C43E8" w:rsidRDefault="00B80C68" w:rsidP="00C25AA2">
            <w:pPr>
              <w:pStyle w:val="Glossarytabletext"/>
              <w:rPr>
                <w:lang w:val="en-US" w:eastAsia="en-US"/>
              </w:rPr>
            </w:pPr>
            <w:r w:rsidRPr="00B80C68">
              <w:rPr>
                <w:i/>
                <w:lang w:val="en-US" w:eastAsia="en-US"/>
              </w:rPr>
              <w:t>Income Tax Assessment Act</w:t>
            </w:r>
            <w:r>
              <w:rPr>
                <w:i/>
                <w:lang w:val="en-US" w:eastAsia="en-US"/>
              </w:rPr>
              <w:t xml:space="preserve"> 1936</w:t>
            </w:r>
          </w:p>
        </w:tc>
      </w:tr>
      <w:tr w:rsidR="00477FAB" w:rsidRPr="002C43E8" w14:paraId="0A20BAF6" w14:textId="77777777" w:rsidTr="006F552F">
        <w:tc>
          <w:tcPr>
            <w:tcW w:w="1843" w:type="dxa"/>
          </w:tcPr>
          <w:p w14:paraId="4501E417" w14:textId="77777777" w:rsidR="00477FAB" w:rsidRPr="002C43E8" w:rsidRDefault="00477FAB" w:rsidP="00B06D2C">
            <w:pPr>
              <w:pStyle w:val="Glossarytabletext"/>
              <w:rPr>
                <w:lang w:val="en-US" w:eastAsia="en-US"/>
              </w:rPr>
            </w:pPr>
            <w:r>
              <w:rPr>
                <w:lang w:val="en-US" w:eastAsia="en-US"/>
              </w:rPr>
              <w:t>TAA 1953</w:t>
            </w:r>
          </w:p>
        </w:tc>
        <w:tc>
          <w:tcPr>
            <w:tcW w:w="4763" w:type="dxa"/>
          </w:tcPr>
          <w:p w14:paraId="749819BF" w14:textId="77777777" w:rsidR="00477FAB" w:rsidRPr="002C43E8" w:rsidRDefault="00477FAB" w:rsidP="00B06D2C">
            <w:pPr>
              <w:pStyle w:val="Glossarytabletext"/>
              <w:rPr>
                <w:lang w:val="en-US" w:eastAsia="en-US"/>
              </w:rPr>
            </w:pPr>
            <w:r>
              <w:rPr>
                <w:i/>
                <w:lang w:val="en-US" w:eastAsia="en-US"/>
              </w:rPr>
              <w:t>Taxation Administration Act 1953</w:t>
            </w:r>
          </w:p>
        </w:tc>
      </w:tr>
    </w:tbl>
    <w:p w14:paraId="175EEBBE" w14:textId="77777777" w:rsidR="00171B9B" w:rsidRDefault="00171B9B" w:rsidP="00C25AA2">
      <w:pPr>
        <w:sectPr w:rsidR="00171B9B" w:rsidSect="00C25AA2">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2466" w:right="2098" w:bottom="2466" w:left="2098" w:header="1559" w:footer="1899" w:gutter="0"/>
          <w:pgNumType w:start="1"/>
          <w:cols w:space="708"/>
          <w:titlePg/>
          <w:docGrid w:linePitch="360"/>
        </w:sectPr>
      </w:pPr>
    </w:p>
    <w:p w14:paraId="593E14B6" w14:textId="1C77FB3C" w:rsidR="00171B9B" w:rsidRPr="00D67ADC" w:rsidRDefault="00171B9B" w:rsidP="00C25AA2">
      <w:pPr>
        <w:pStyle w:val="Chapterheadingsubdocument"/>
      </w:pPr>
      <w:r w:rsidRPr="00D67ADC">
        <w:lastRenderedPageBreak/>
        <w:t>General outline and financial impact</w:t>
      </w:r>
    </w:p>
    <w:p w14:paraId="3DAD799C" w14:textId="77777777" w:rsidR="00171B9B" w:rsidRDefault="00171B9B" w:rsidP="00C25AA2">
      <w:pPr>
        <w:pStyle w:val="Heading2"/>
      </w:pPr>
      <w:r>
        <w:t>Miscellaneous amendments</w:t>
      </w:r>
    </w:p>
    <w:p w14:paraId="431F3A4D" w14:textId="594AA1DC" w:rsidR="00171B9B" w:rsidRDefault="00B814DB" w:rsidP="00C25AA2">
      <w:pPr>
        <w:pStyle w:val="base-text-paragraphnonumbers"/>
      </w:pPr>
      <w:r>
        <w:t xml:space="preserve">Schedule # to </w:t>
      </w:r>
      <w:r w:rsidR="00F148A5">
        <w:t xml:space="preserve">this </w:t>
      </w:r>
      <w:r w:rsidR="00796C62">
        <w:t>Bill</w:t>
      </w:r>
      <w:r w:rsidR="00171B9B">
        <w:t xml:space="preserve"> makes a number of miscellaneous amendments to th</w:t>
      </w:r>
      <w:r w:rsidR="00E15DA9">
        <w:t xml:space="preserve">e taxation, </w:t>
      </w:r>
      <w:r w:rsidR="00171B9B">
        <w:t xml:space="preserve">superannuation </w:t>
      </w:r>
      <w:r w:rsidR="00E15DA9">
        <w:t xml:space="preserve">and other </w:t>
      </w:r>
      <w:r w:rsidR="00171B9B">
        <w:t>laws. These amendments are part of the Government’s commitment to the care and maintenance of the taxation and superannuation systems.</w:t>
      </w:r>
    </w:p>
    <w:p w14:paraId="200C73A4" w14:textId="77777777" w:rsidR="00171B9B" w:rsidRDefault="00171B9B" w:rsidP="00C25AA2">
      <w:pPr>
        <w:pStyle w:val="base-text-paragraphnonumbers"/>
      </w:pPr>
      <w:r>
        <w:t>These amendments include style and formatting changes, the repeal of redundant provisions, the correction of anomalous outcomes and corrections to previous amending Acts.</w:t>
      </w:r>
    </w:p>
    <w:p w14:paraId="18BD21FD" w14:textId="1F304B51" w:rsidR="00171B9B" w:rsidRDefault="00171B9B" w:rsidP="00C25AA2">
      <w:pPr>
        <w:pStyle w:val="base-text-paragraphnonumbers"/>
      </w:pPr>
      <w:r w:rsidRPr="0088195E">
        <w:rPr>
          <w:rStyle w:val="BoldItalic"/>
        </w:rPr>
        <w:t>Date of effect</w:t>
      </w:r>
      <w:r w:rsidRPr="00266048">
        <w:rPr>
          <w:rStyle w:val="base-text-paragraphChar"/>
        </w:rPr>
        <w:t xml:space="preserve">:  </w:t>
      </w:r>
      <w:r>
        <w:t>These amendments have various commencement and application dates</w:t>
      </w:r>
      <w:r w:rsidR="00522E70">
        <w:t xml:space="preserve">. Most amendments commence from the </w:t>
      </w:r>
      <w:r w:rsidR="00FA6B39">
        <w:t xml:space="preserve">day </w:t>
      </w:r>
      <w:r w:rsidR="00F148A5">
        <w:t xml:space="preserve">this </w:t>
      </w:r>
      <w:r w:rsidR="000A0911">
        <w:t>Bill</w:t>
      </w:r>
      <w:r w:rsidR="00522E70">
        <w:t xml:space="preserve"> receives Royal Assent. This explanatory memorandum explains in detail where commencement or application dates differ from Royal Assent</w:t>
      </w:r>
      <w:r>
        <w:t xml:space="preserve">. While some of these amendments have retrospective application, taxpayers </w:t>
      </w:r>
      <w:r w:rsidR="006448E2">
        <w:t xml:space="preserve">will </w:t>
      </w:r>
      <w:r>
        <w:t>not be adversely impacted.</w:t>
      </w:r>
    </w:p>
    <w:p w14:paraId="2ACD9E5C" w14:textId="77777777" w:rsidR="00171B9B" w:rsidRDefault="00171B9B" w:rsidP="00C25AA2">
      <w:pPr>
        <w:pStyle w:val="base-text-paragraphnonumbers"/>
      </w:pPr>
      <w:r w:rsidRPr="0088195E">
        <w:rPr>
          <w:rStyle w:val="BoldItalic"/>
        </w:rPr>
        <w:t>Proposal announced</w:t>
      </w:r>
      <w:r w:rsidRPr="00266048">
        <w:rPr>
          <w:rStyle w:val="base-text-paragraphChar"/>
        </w:rPr>
        <w:t xml:space="preserve">:  </w:t>
      </w:r>
      <w:r>
        <w:t>These amendments have not been previously announced.</w:t>
      </w:r>
    </w:p>
    <w:p w14:paraId="2D40F2C9" w14:textId="25F4FCB2" w:rsidR="00171B9B" w:rsidRDefault="00171B9B" w:rsidP="00C25AA2">
      <w:pPr>
        <w:pStyle w:val="base-text-paragraphnonumbers"/>
      </w:pPr>
      <w:r w:rsidRPr="0088195E">
        <w:rPr>
          <w:rStyle w:val="BoldItalic"/>
        </w:rPr>
        <w:t>Financial impact</w:t>
      </w:r>
      <w:r w:rsidRPr="00266048">
        <w:rPr>
          <w:rStyle w:val="base-text-paragraphChar"/>
        </w:rPr>
        <w:t xml:space="preserve">:  </w:t>
      </w:r>
      <w:r>
        <w:t xml:space="preserve">These amendments are expected to have a nil revenue impact. </w:t>
      </w:r>
    </w:p>
    <w:p w14:paraId="2FAEC7D0" w14:textId="3EBE5402" w:rsidR="00171B9B" w:rsidRDefault="00171B9B" w:rsidP="00C25AA2">
      <w:pPr>
        <w:pStyle w:val="base-text-paragraphnonumbers"/>
      </w:pPr>
      <w:r>
        <w:rPr>
          <w:rStyle w:val="BoldItalic"/>
        </w:rPr>
        <w:t>Human rights implications</w:t>
      </w:r>
      <w:r w:rsidRPr="00D93657">
        <w:t>:</w:t>
      </w:r>
      <w:r>
        <w:t xml:space="preserve">  </w:t>
      </w:r>
      <w:r w:rsidR="00F148A5">
        <w:t>This Schedule</w:t>
      </w:r>
      <w:r w:rsidR="004D4755">
        <w:t xml:space="preserve"> </w:t>
      </w:r>
      <w:r>
        <w:t xml:space="preserve">does not raise </w:t>
      </w:r>
      <w:r w:rsidRPr="00D93657">
        <w:t xml:space="preserve">any human rights issue. See </w:t>
      </w:r>
      <w:r w:rsidRPr="00480C91">
        <w:rPr>
          <w:i/>
        </w:rPr>
        <w:t>Statement of Compatibility with Human Rights</w:t>
      </w:r>
      <w:r>
        <w:t xml:space="preserve"> — Chapter</w:t>
      </w:r>
      <w:r w:rsidR="00520DD8">
        <w:t xml:space="preserve"> 2</w:t>
      </w:r>
      <w:r>
        <w:t xml:space="preserve">, paragraphs </w:t>
      </w:r>
      <w:r w:rsidR="00520DD8">
        <w:t>2.1 to 2.5</w:t>
      </w:r>
      <w:r>
        <w:t>.</w:t>
      </w:r>
    </w:p>
    <w:p w14:paraId="5F343247" w14:textId="77777777" w:rsidR="00171B9B" w:rsidRDefault="00171B9B" w:rsidP="00C25AA2">
      <w:pPr>
        <w:pStyle w:val="base-text-paragraphnonumbers"/>
      </w:pPr>
      <w:r w:rsidRPr="0088195E">
        <w:rPr>
          <w:rStyle w:val="BoldItalic"/>
        </w:rPr>
        <w:t>Compliance cost impact</w:t>
      </w:r>
      <w:r w:rsidRPr="00266048">
        <w:rPr>
          <w:rStyle w:val="base-text-paragraphChar"/>
        </w:rPr>
        <w:t xml:space="preserve">:  </w:t>
      </w:r>
      <w:r w:rsidRPr="00AE2449">
        <w:t>Negligible.</w:t>
      </w:r>
    </w:p>
    <w:p w14:paraId="7079C514" w14:textId="77777777" w:rsidR="00171B9B" w:rsidRDefault="00171B9B" w:rsidP="00C25AA2">
      <w:pPr>
        <w:pStyle w:val="Hiddentext"/>
      </w:pPr>
      <w:r>
        <w:t>Do not remove section break.</w:t>
      </w:r>
    </w:p>
    <w:p w14:paraId="0A8A70B4" w14:textId="77777777" w:rsidR="00171B9B" w:rsidRDefault="00171B9B" w:rsidP="00C25AA2">
      <w:pPr>
        <w:sectPr w:rsidR="00171B9B" w:rsidSect="00C25AA2">
          <w:headerReference w:type="even" r:id="rId15"/>
          <w:headerReference w:type="default" r:id="rId16"/>
          <w:footerReference w:type="even" r:id="rId17"/>
          <w:footerReference w:type="default" r:id="rId18"/>
          <w:footerReference w:type="first" r:id="rId19"/>
          <w:type w:val="oddPage"/>
          <w:pgSz w:w="11906" w:h="16838" w:code="9"/>
          <w:pgMar w:top="2466" w:right="2098" w:bottom="2466" w:left="2098" w:header="1559" w:footer="1899" w:gutter="0"/>
          <w:cols w:space="708"/>
          <w:titlePg/>
          <w:docGrid w:linePitch="360"/>
        </w:sectPr>
      </w:pPr>
    </w:p>
    <w:p w14:paraId="0F7C246B" w14:textId="69FB8E11" w:rsidR="00171B9B" w:rsidRPr="00F51A71" w:rsidRDefault="00171B9B" w:rsidP="00171B9B">
      <w:pPr>
        <w:pStyle w:val="ChapterHeading"/>
        <w:numPr>
          <w:ilvl w:val="0"/>
          <w:numId w:val="0"/>
        </w:numPr>
      </w:pPr>
      <w:r>
        <w:lastRenderedPageBreak/>
        <w:t xml:space="preserve">Chapter </w:t>
      </w:r>
      <w:r w:rsidR="00F5342A">
        <w:t>1</w:t>
      </w:r>
      <w:r w:rsidRPr="00F51A71">
        <w:br/>
      </w:r>
      <w:r>
        <w:t>Miscellaneous amendments</w:t>
      </w:r>
    </w:p>
    <w:p w14:paraId="288DDB23" w14:textId="77777777" w:rsidR="00171B9B" w:rsidRDefault="00171B9B" w:rsidP="00C25AA2">
      <w:pPr>
        <w:pStyle w:val="Heading2"/>
      </w:pPr>
      <w:r>
        <w:t>Outline of chapter</w:t>
      </w:r>
    </w:p>
    <w:p w14:paraId="651CA561" w14:textId="40160DD6" w:rsidR="00171B9B" w:rsidRDefault="00F148A5" w:rsidP="00171B9B">
      <w:pPr>
        <w:pStyle w:val="base-text-paragraph"/>
      </w:pPr>
      <w:r>
        <w:t>This Schedule</w:t>
      </w:r>
      <w:r w:rsidR="00E15DA9">
        <w:t xml:space="preserve"> makes a number of miscellaneous amendments to the taxation, superannuation and other laws. These amendments are part of the Government’s commitment to the care and maintenance of the taxation and superannuation systems.</w:t>
      </w:r>
    </w:p>
    <w:p w14:paraId="17016803" w14:textId="77777777" w:rsidR="00E15DA9" w:rsidRDefault="00E15DA9" w:rsidP="00171B9B">
      <w:pPr>
        <w:pStyle w:val="base-text-paragraph"/>
      </w:pPr>
      <w:r>
        <w:t>These amendments include style and formatting changes, the repeal of redundant provisions, the correction of anomalous outcomes and corrections to previous amending Acts.</w:t>
      </w:r>
    </w:p>
    <w:p w14:paraId="2BFFF28A" w14:textId="77777777" w:rsidR="00171B9B" w:rsidRDefault="00171B9B">
      <w:pPr>
        <w:pStyle w:val="Heading2"/>
      </w:pPr>
      <w:r>
        <w:t>Context of amendments</w:t>
      </w:r>
    </w:p>
    <w:p w14:paraId="15085B7F" w14:textId="0EA4D27E" w:rsidR="00171B9B" w:rsidRDefault="00E15DA9" w:rsidP="00171B9B">
      <w:pPr>
        <w:pStyle w:val="base-text-paragraph"/>
      </w:pPr>
      <w:r>
        <w:t xml:space="preserve">Miscellaneous amendments to the taxation and superannuation laws such as those contained in Schedule </w:t>
      </w:r>
      <w:r w:rsidR="00F66569">
        <w:t>#</w:t>
      </w:r>
      <w:r>
        <w:t xml:space="preserve"> are periodically made to remove anomalies and correct unintended outcomes. </w:t>
      </w:r>
      <w:proofErr w:type="gramStart"/>
      <w:r>
        <w:t>Progressing</w:t>
      </w:r>
      <w:proofErr w:type="gramEnd"/>
      <w:r>
        <w:t xml:space="preserve"> such amendments gives priority to the care and maintenance of the tax system, a process supported by a 2008 recommendation from the Tax Design Review Panel.</w:t>
      </w:r>
    </w:p>
    <w:p w14:paraId="508E567B" w14:textId="77777777" w:rsidR="00171B9B" w:rsidRDefault="00171B9B">
      <w:pPr>
        <w:pStyle w:val="Heading2"/>
      </w:pPr>
      <w:r>
        <w:t>Summary of new law</w:t>
      </w:r>
    </w:p>
    <w:p w14:paraId="7F989B6D" w14:textId="70E3BDF0" w:rsidR="00171B9B" w:rsidRDefault="00E15DA9" w:rsidP="00171B9B">
      <w:pPr>
        <w:pStyle w:val="base-text-paragraph"/>
      </w:pPr>
      <w:r>
        <w:t xml:space="preserve">These miscellaneous amendments address technical deficiencies and legislative uncertainties within </w:t>
      </w:r>
      <w:r w:rsidR="00B0190F">
        <w:t xml:space="preserve">the </w:t>
      </w:r>
      <w:r>
        <w:t xml:space="preserve">taxation, superannuation and other </w:t>
      </w:r>
      <w:r w:rsidR="00B0190F">
        <w:t>laws</w:t>
      </w:r>
      <w:r>
        <w:t>.</w:t>
      </w:r>
    </w:p>
    <w:p w14:paraId="73BCFD20" w14:textId="77777777" w:rsidR="00364B30" w:rsidRDefault="00364B30" w:rsidP="00364B30">
      <w:pPr>
        <w:pStyle w:val="base-text-paragraph"/>
        <w:numPr>
          <w:ilvl w:val="1"/>
          <w:numId w:val="33"/>
        </w:numPr>
      </w:pPr>
      <w:r>
        <w:t>Schedule # contains the following Parts:</w:t>
      </w:r>
    </w:p>
    <w:p w14:paraId="3CFEFA65" w14:textId="6F5B15AC" w:rsidR="00364B30" w:rsidRDefault="00364B30">
      <w:pPr>
        <w:pStyle w:val="dotpoint"/>
      </w:pPr>
      <w:r>
        <w:t>Part 1:</w:t>
      </w:r>
      <w:r w:rsidR="00511671" w:rsidRPr="00511671">
        <w:t xml:space="preserve"> Offshore Information notices</w:t>
      </w:r>
    </w:p>
    <w:p w14:paraId="14C92C80" w14:textId="6FC7446F" w:rsidR="00364B30" w:rsidRDefault="00364B30">
      <w:pPr>
        <w:pStyle w:val="dotpoint"/>
      </w:pPr>
      <w:r>
        <w:t>Part 2:</w:t>
      </w:r>
      <w:r w:rsidR="00511671">
        <w:t xml:space="preserve"> </w:t>
      </w:r>
      <w:r w:rsidR="00511671" w:rsidRPr="00511671">
        <w:t>GST-free care</w:t>
      </w:r>
    </w:p>
    <w:p w14:paraId="629F5DF2" w14:textId="5CFF32EE" w:rsidR="00511671" w:rsidRDefault="00364B30">
      <w:pPr>
        <w:pStyle w:val="dotpoint"/>
      </w:pPr>
      <w:r>
        <w:t>Part 3:</w:t>
      </w:r>
      <w:r w:rsidR="00511671" w:rsidRPr="00511671">
        <w:t xml:space="preserve"> Other amendments of principal Acts</w:t>
      </w:r>
    </w:p>
    <w:p w14:paraId="1C174AD4" w14:textId="377D1B73" w:rsidR="00364B30" w:rsidRDefault="00511671">
      <w:pPr>
        <w:pStyle w:val="dotpoint"/>
      </w:pPr>
      <w:r>
        <w:t>Part 4: Amendments of</w:t>
      </w:r>
      <w:r w:rsidRPr="00511671">
        <w:t xml:space="preserve"> amending Acts</w:t>
      </w:r>
    </w:p>
    <w:p w14:paraId="148E93A4" w14:textId="611230CF" w:rsidR="00511671" w:rsidRDefault="00511671">
      <w:pPr>
        <w:pStyle w:val="dotpoint"/>
      </w:pPr>
      <w:r>
        <w:t>Part 5:</w:t>
      </w:r>
      <w:r w:rsidR="00AB574D">
        <w:t xml:space="preserve"> Repeals</w:t>
      </w:r>
    </w:p>
    <w:p w14:paraId="7FA0B311" w14:textId="77777777" w:rsidR="00171B9B" w:rsidRDefault="00171B9B" w:rsidP="00C25AA2">
      <w:pPr>
        <w:pStyle w:val="Heading2"/>
      </w:pPr>
      <w:r>
        <w:lastRenderedPageBreak/>
        <w:t>Detailed explanation of new law</w:t>
      </w:r>
    </w:p>
    <w:p w14:paraId="08BC0E8C" w14:textId="26FD7674" w:rsidR="002426DD" w:rsidRDefault="002426DD" w:rsidP="002F6A99">
      <w:pPr>
        <w:pStyle w:val="Heading3"/>
      </w:pPr>
      <w:r>
        <w:t>Part 1 – Offshore Information notices</w:t>
      </w:r>
    </w:p>
    <w:p w14:paraId="5C132889" w14:textId="6A3C060F" w:rsidR="00834AF7" w:rsidRPr="004B22D0" w:rsidRDefault="00834AF7" w:rsidP="006F552F">
      <w:pPr>
        <w:pStyle w:val="ActHeading"/>
      </w:pPr>
      <w:r w:rsidRPr="004B1D2E">
        <w:t xml:space="preserve">Rewriting the offshore information notice rules in Schedule 1 </w:t>
      </w:r>
      <w:r w:rsidR="00622F39">
        <w:t>to the TAA</w:t>
      </w:r>
      <w:r w:rsidRPr="004B1D2E">
        <w:t xml:space="preserve"> 1953</w:t>
      </w:r>
    </w:p>
    <w:p w14:paraId="6606F5BF" w14:textId="11D4DFF3" w:rsidR="00834AF7" w:rsidRPr="004B1D2E" w:rsidRDefault="00834AF7" w:rsidP="00834AF7">
      <w:pPr>
        <w:pStyle w:val="base-text-paragraph"/>
      </w:pPr>
      <w:r w:rsidRPr="004B1D2E">
        <w:t xml:space="preserve">Part </w:t>
      </w:r>
      <w:r w:rsidR="001702B5">
        <w:t>1</w:t>
      </w:r>
      <w:r w:rsidRPr="004B1D2E">
        <w:t xml:space="preserve"> of Schedule # rewrites provisions </w:t>
      </w:r>
      <w:r w:rsidR="00EF47D5">
        <w:t xml:space="preserve">regarding offshore information notices </w:t>
      </w:r>
      <w:r w:rsidRPr="004B1D2E">
        <w:t xml:space="preserve">from the </w:t>
      </w:r>
      <w:r w:rsidRPr="004B1D2E">
        <w:rPr>
          <w:i/>
        </w:rPr>
        <w:t>Income Tax Assessment Act 1936</w:t>
      </w:r>
      <w:r w:rsidRPr="004B1D2E">
        <w:t xml:space="preserve"> (</w:t>
      </w:r>
      <w:r w:rsidR="00B701F7" w:rsidRPr="004B1D2E">
        <w:t>ITAA</w:t>
      </w:r>
      <w:r w:rsidR="00B701F7">
        <w:t> </w:t>
      </w:r>
      <w:r w:rsidRPr="004B1D2E">
        <w:t xml:space="preserve">1936) into the </w:t>
      </w:r>
      <w:r w:rsidRPr="004B1D2E">
        <w:rPr>
          <w:i/>
        </w:rPr>
        <w:t>Taxation Administration Act 1953</w:t>
      </w:r>
      <w:r w:rsidRPr="004B1D2E">
        <w:t xml:space="preserve"> (TAA 1953). This is another step towards achieving a single taxation administration Act for Australia.</w:t>
      </w:r>
    </w:p>
    <w:p w14:paraId="340E8265" w14:textId="2EA032AA" w:rsidR="00834AF7" w:rsidRPr="004B1D2E" w:rsidRDefault="00834AF7" w:rsidP="00834AF7">
      <w:pPr>
        <w:pStyle w:val="base-text-paragraph"/>
      </w:pPr>
      <w:r w:rsidRPr="004B1D2E">
        <w:t>The rewritten provisions consolidate</w:t>
      </w:r>
      <w:r w:rsidR="00EF47D5">
        <w:t xml:space="preserve"> into a single set of provisions</w:t>
      </w:r>
      <w:r w:rsidRPr="004B1D2E">
        <w:t xml:space="preserve"> the taxation administration provisions contained </w:t>
      </w:r>
      <w:proofErr w:type="gramStart"/>
      <w:r w:rsidRPr="004B1D2E">
        <w:t>in various taxation</w:t>
      </w:r>
      <w:proofErr w:type="gramEnd"/>
      <w:r w:rsidRPr="004B1D2E">
        <w:t xml:space="preserve"> Acts relating to offshore information notices</w:t>
      </w:r>
      <w:r w:rsidR="00EF47D5">
        <w:t xml:space="preserve"> that may be issued by the Commissioner of Taxation</w:t>
      </w:r>
      <w:r w:rsidRPr="004B1D2E">
        <w:t>.</w:t>
      </w:r>
    </w:p>
    <w:p w14:paraId="2CB06C7F" w14:textId="1BC1559A" w:rsidR="00834AF7" w:rsidRPr="004B22D0" w:rsidRDefault="00073170" w:rsidP="00E571A7">
      <w:pPr>
        <w:pStyle w:val="base-text-paragraph"/>
        <w:numPr>
          <w:ilvl w:val="0"/>
          <w:numId w:val="0"/>
        </w:numPr>
        <w:ind w:left="1134"/>
      </w:pPr>
      <w:r w:rsidRPr="00073170">
        <w:t xml:space="preserve">With one exception, the rewritten provisions make no policy changes. </w:t>
      </w:r>
      <w:r w:rsidR="009C2F8D" w:rsidRPr="00073170">
        <w:t>The</w:t>
      </w:r>
      <w:r w:rsidR="009C2F8D">
        <w:t> </w:t>
      </w:r>
      <w:r w:rsidRPr="00073170">
        <w:t>only policy change is to extend the offshore information notice rules to apply to assessments for all tax-related liabilities rather than merely to income tax and Petroleum Resource Rent Tax. They also include the drafting changes needed to conform to the legislative approach used in Schedule 1 to the TAA 1953, to simplify how the law is expressed, and to remove any ambiguity about the operation of the law.</w:t>
      </w:r>
      <w:r>
        <w:t xml:space="preserve"> </w:t>
      </w:r>
      <w:r w:rsidR="00834AF7" w:rsidRPr="004B22D0">
        <w:t>Context of the rewrite</w:t>
      </w:r>
    </w:p>
    <w:p w14:paraId="073F14D7" w14:textId="0B0D95B7" w:rsidR="00834AF7" w:rsidRPr="004B22D0" w:rsidRDefault="00834AF7" w:rsidP="00834AF7">
      <w:pPr>
        <w:pStyle w:val="base-text-paragraph"/>
      </w:pPr>
      <w:r w:rsidRPr="00B60488">
        <w:t>Section 264A of the ITAA 1936 provides that the Commissioner of Taxation  may, in an “offshore information notice”, request a taxpayer to provide releva</w:t>
      </w:r>
      <w:r w:rsidRPr="004B22D0">
        <w:t xml:space="preserve">nt information or documents </w:t>
      </w:r>
      <w:r w:rsidR="00E21F02">
        <w:t xml:space="preserve">that he or she has </w:t>
      </w:r>
      <w:r w:rsidRPr="004B22D0">
        <w:t>reason to believe are being held outside Australia. Failure by the taxpayer to provide the requested information or documents will not be subject to prosecution or a penalty as such, but could have t</w:t>
      </w:r>
      <w:r w:rsidRPr="00CD35E5">
        <w:t xml:space="preserve">he effect that that information or documents will not be admissible in proceedings before a court or the Administrative Appeals Tribunal in which the taxpayer disputes </w:t>
      </w:r>
      <w:r w:rsidRPr="004B22D0">
        <w:t>an assessment.</w:t>
      </w:r>
    </w:p>
    <w:p w14:paraId="1A0F2146" w14:textId="62FDBADA" w:rsidR="00834AF7" w:rsidRPr="004B1D2E" w:rsidRDefault="00834AF7" w:rsidP="00834AF7">
      <w:pPr>
        <w:pStyle w:val="base-text-paragraph"/>
      </w:pPr>
      <w:r w:rsidRPr="004B22D0">
        <w:t xml:space="preserve">This provision is similar in approach to that taken in the </w:t>
      </w:r>
      <w:r w:rsidR="009C2F8D" w:rsidRPr="004B22D0">
        <w:t>United</w:t>
      </w:r>
      <w:r w:rsidR="009C2F8D">
        <w:t> </w:t>
      </w:r>
      <w:r w:rsidRPr="004B22D0">
        <w:t xml:space="preserve">States of America and Canada and is aimed at ensuring the timely provision of all the information and documents needed by the Commissioner to </w:t>
      </w:r>
      <w:r w:rsidR="003C228D">
        <w:t>obtain a</w:t>
      </w:r>
      <w:r w:rsidRPr="004B22D0">
        <w:t xml:space="preserve"> full and correct picture of the transactions being examined.</w:t>
      </w:r>
    </w:p>
    <w:p w14:paraId="517C3180" w14:textId="77777777" w:rsidR="00834AF7" w:rsidRPr="004B22D0" w:rsidRDefault="00834AF7" w:rsidP="006F552F">
      <w:pPr>
        <w:pStyle w:val="Heading4"/>
      </w:pPr>
      <w:r w:rsidRPr="004B22D0">
        <w:lastRenderedPageBreak/>
        <w:t>Details of the rewrite</w:t>
      </w:r>
    </w:p>
    <w:p w14:paraId="2483E8BF" w14:textId="6B9FED09" w:rsidR="00834AF7" w:rsidRPr="004B1D2E" w:rsidRDefault="00834AF7" w:rsidP="00834AF7">
      <w:pPr>
        <w:pStyle w:val="base-text-paragraph"/>
      </w:pPr>
      <w:r w:rsidRPr="004B1D2E">
        <w:t xml:space="preserve">Part </w:t>
      </w:r>
      <w:r w:rsidR="001702B5">
        <w:t>1</w:t>
      </w:r>
      <w:r w:rsidRPr="004B1D2E">
        <w:t xml:space="preserve"> of Schedule # rewrites section 264A of the ITAA 1936 into the TAA 1953 and repeals associated provisions that apply section 264A to other taxes, such as the Petroleum Resource Rent Tax.</w:t>
      </w:r>
      <w:r>
        <w:t xml:space="preserve"> </w:t>
      </w:r>
      <w:r w:rsidRPr="004B1D2E">
        <w:rPr>
          <w:rStyle w:val="Referencingstyle"/>
        </w:rPr>
        <w:t>[Schedule #, item</w:t>
      </w:r>
      <w:r w:rsidR="00C51ECB">
        <w:rPr>
          <w:rStyle w:val="Referencingstyle"/>
        </w:rPr>
        <w:t>s</w:t>
      </w:r>
      <w:r w:rsidRPr="004B1D2E">
        <w:rPr>
          <w:rStyle w:val="Referencingstyle"/>
        </w:rPr>
        <w:t xml:space="preserve"> </w:t>
      </w:r>
      <w:r w:rsidR="00C51ECB">
        <w:rPr>
          <w:rStyle w:val="Referencingstyle"/>
        </w:rPr>
        <w:t>1</w:t>
      </w:r>
      <w:r w:rsidR="00E52C58">
        <w:rPr>
          <w:rStyle w:val="Referencingstyle"/>
        </w:rPr>
        <w:t xml:space="preserve">, </w:t>
      </w:r>
      <w:r w:rsidR="00C51ECB">
        <w:rPr>
          <w:rStyle w:val="Referencingstyle"/>
        </w:rPr>
        <w:t>3</w:t>
      </w:r>
      <w:r w:rsidR="00E52C58">
        <w:rPr>
          <w:rStyle w:val="Referencingstyle"/>
        </w:rPr>
        <w:t>, 4</w:t>
      </w:r>
      <w:r w:rsidR="00C51ECB">
        <w:rPr>
          <w:rStyle w:val="Referencingstyle"/>
        </w:rPr>
        <w:t xml:space="preserve"> and 8</w:t>
      </w:r>
      <w:r w:rsidRPr="004B1D2E">
        <w:rPr>
          <w:rStyle w:val="Referencingstyle"/>
        </w:rPr>
        <w:t xml:space="preserve">, </w:t>
      </w:r>
      <w:r w:rsidR="0047126A">
        <w:rPr>
          <w:rStyle w:val="Referencingstyle"/>
        </w:rPr>
        <w:t>s</w:t>
      </w:r>
      <w:r w:rsidR="00E52C58">
        <w:rPr>
          <w:rStyle w:val="Referencingstyle"/>
        </w:rPr>
        <w:t xml:space="preserve">ection 264A of the ITAA 1936; </w:t>
      </w:r>
      <w:r w:rsidR="0047126A">
        <w:rPr>
          <w:rStyle w:val="Referencingstyle"/>
        </w:rPr>
        <w:t>s</w:t>
      </w:r>
      <w:r w:rsidR="00E52C58">
        <w:rPr>
          <w:rStyle w:val="Referencingstyle"/>
        </w:rPr>
        <w:t xml:space="preserve">ection 108A of the Petroleum Resource Rent Tax Assessment Act 1987; </w:t>
      </w:r>
      <w:r w:rsidR="0047126A">
        <w:rPr>
          <w:rStyle w:val="Referencingstyle"/>
        </w:rPr>
        <w:t>s</w:t>
      </w:r>
      <w:r w:rsidR="00E52C58">
        <w:rPr>
          <w:rStyle w:val="Referencingstyle"/>
        </w:rPr>
        <w:t xml:space="preserve">ection 33 of the Register of Foreign Ownership of Agricultural Land Act 2015; and </w:t>
      </w:r>
      <w:r w:rsidRPr="004B1D2E">
        <w:rPr>
          <w:rStyle w:val="Referencingstyle"/>
        </w:rPr>
        <w:t>Subdivision 353-B in Schedule</w:t>
      </w:r>
      <w:r w:rsidR="00E52C58">
        <w:rPr>
          <w:rStyle w:val="Referencingstyle"/>
        </w:rPr>
        <w:t> </w:t>
      </w:r>
      <w:r w:rsidRPr="004B1D2E">
        <w:rPr>
          <w:rStyle w:val="Referencingstyle"/>
        </w:rPr>
        <w:t xml:space="preserve">1 </w:t>
      </w:r>
      <w:r w:rsidR="00622F39">
        <w:rPr>
          <w:rStyle w:val="Referencingstyle"/>
        </w:rPr>
        <w:t>to the TAA</w:t>
      </w:r>
      <w:r w:rsidRPr="004B1D2E">
        <w:rPr>
          <w:rStyle w:val="Referencingstyle"/>
        </w:rPr>
        <w:t xml:space="preserve"> 1953]</w:t>
      </w:r>
    </w:p>
    <w:p w14:paraId="7384BAC7" w14:textId="77777777" w:rsidR="00834AF7" w:rsidRPr="004B1D2E" w:rsidRDefault="00834AF7" w:rsidP="00834AF7">
      <w:pPr>
        <w:pStyle w:val="base-text-paragraph"/>
      </w:pPr>
      <w:r w:rsidRPr="004B1D2E">
        <w:t>The rewrite contains newly written guide material and the provision is restructured so as to simplify the language and expression of the provision.</w:t>
      </w:r>
    </w:p>
    <w:p w14:paraId="45FE6ADD" w14:textId="243B421A" w:rsidR="00834AF7" w:rsidRPr="004B1D2E" w:rsidRDefault="00834AF7" w:rsidP="00834AF7">
      <w:pPr>
        <w:pStyle w:val="base-text-paragraph"/>
      </w:pPr>
      <w:r w:rsidRPr="004B1D2E">
        <w:t>The rewrite differs from existing law in</w:t>
      </w:r>
      <w:r w:rsidR="00DF5AEA">
        <w:t xml:space="preserve"> that</w:t>
      </w:r>
      <w:r w:rsidRPr="004B1D2E">
        <w:t xml:space="preserve"> it applies to assessments for all tax-related liabilities rather than merely to income tax and Petroleum Resource Rent Tax.</w:t>
      </w:r>
      <w:r>
        <w:t xml:space="preserve"> </w:t>
      </w:r>
      <w:r w:rsidRPr="004B1D2E">
        <w:rPr>
          <w:rStyle w:val="Referencingstyle"/>
        </w:rPr>
        <w:t xml:space="preserve">[Schedule #, item </w:t>
      </w:r>
      <w:r w:rsidR="00E52C58">
        <w:rPr>
          <w:rStyle w:val="Referencingstyle"/>
        </w:rPr>
        <w:t>8</w:t>
      </w:r>
      <w:r w:rsidRPr="004B1D2E">
        <w:rPr>
          <w:rStyle w:val="Referencingstyle"/>
        </w:rPr>
        <w:t>, subsection 353</w:t>
      </w:r>
      <w:r w:rsidRPr="004B1D2E">
        <w:rPr>
          <w:rStyle w:val="Referencingstyle"/>
        </w:rPr>
        <w:noBreakHyphen/>
        <w:t xml:space="preserve">25(1) in Schedule 1 </w:t>
      </w:r>
      <w:r w:rsidR="00940CF6">
        <w:rPr>
          <w:rStyle w:val="Referencingstyle"/>
        </w:rPr>
        <w:t>to</w:t>
      </w:r>
      <w:r w:rsidRPr="004B1D2E">
        <w:rPr>
          <w:rStyle w:val="Referencingstyle"/>
        </w:rPr>
        <w:t xml:space="preserve"> the TAA 1953]</w:t>
      </w:r>
    </w:p>
    <w:p w14:paraId="4C5682D1" w14:textId="04730E18" w:rsidR="00834AF7" w:rsidRDefault="00834AF7" w:rsidP="00834AF7">
      <w:pPr>
        <w:pStyle w:val="base-text-paragraph"/>
      </w:pPr>
      <w:r w:rsidRPr="004B1D2E">
        <w:t>This change ensures that the administrative provisions available to the Commissioner are standardised and apply broadly to all taxes the Commissioner administers. It will also allow the Commissioner to better administer the other taxes, such as goods and services tax, which are now to be applied to a greater number of foreign taxpayers</w:t>
      </w:r>
      <w:r>
        <w:t xml:space="preserve"> as a result of recent policy decisions.</w:t>
      </w:r>
    </w:p>
    <w:p w14:paraId="2DE5604C" w14:textId="7428ADDD" w:rsidR="00834AF7" w:rsidRDefault="00834AF7" w:rsidP="00834AF7">
      <w:pPr>
        <w:pStyle w:val="base-text-paragraph"/>
      </w:pPr>
      <w:r>
        <w:t>The rewrite is not intended to make any other material policy changes</w:t>
      </w:r>
      <w:r w:rsidR="009C2452">
        <w:t xml:space="preserve">. However, changes are made </w:t>
      </w:r>
      <w:r w:rsidR="001A7079">
        <w:t xml:space="preserve">to </w:t>
      </w:r>
      <w:r w:rsidRPr="00DD48D1">
        <w:t xml:space="preserve">conform to the legislative approach used in Schedule 1 </w:t>
      </w:r>
      <w:r w:rsidR="00622F39">
        <w:t>to the TAA</w:t>
      </w:r>
      <w:r w:rsidRPr="00DD48D1">
        <w:t xml:space="preserve"> 1953, to simplify how the law is expressed, and to remove any ambiguity about the operation of the law</w:t>
      </w:r>
      <w:r>
        <w:t>.</w:t>
      </w:r>
    </w:p>
    <w:p w14:paraId="53AC0B51" w14:textId="2198AC9C" w:rsidR="00834AF7" w:rsidRDefault="00834AF7" w:rsidP="00834AF7">
      <w:pPr>
        <w:pStyle w:val="base-text-paragraph"/>
      </w:pPr>
      <w:r>
        <w:t xml:space="preserve">A number of consequential amendments </w:t>
      </w:r>
      <w:r w:rsidR="009C2452">
        <w:t>are also</w:t>
      </w:r>
      <w:r>
        <w:t xml:space="preserve"> made to reflect the movement of the provisions into the TAA 1953. </w:t>
      </w:r>
      <w:r w:rsidRPr="004B1D2E">
        <w:rPr>
          <w:rStyle w:val="Referencingstyle"/>
        </w:rPr>
        <w:t xml:space="preserve">[Schedule #, items </w:t>
      </w:r>
      <w:r w:rsidR="00E52C58">
        <w:rPr>
          <w:rStyle w:val="Referencingstyle"/>
        </w:rPr>
        <w:t>2, and 5</w:t>
      </w:r>
      <w:r w:rsidRPr="004B1D2E">
        <w:rPr>
          <w:rStyle w:val="Referencingstyle"/>
        </w:rPr>
        <w:t xml:space="preserve"> to </w:t>
      </w:r>
      <w:r w:rsidR="00E52C58">
        <w:rPr>
          <w:rStyle w:val="Referencingstyle"/>
        </w:rPr>
        <w:t>7; subsec</w:t>
      </w:r>
      <w:r w:rsidR="0047126A">
        <w:rPr>
          <w:rStyle w:val="Referencingstyle"/>
        </w:rPr>
        <w:t xml:space="preserve">tion 995-1(1) of the ITAA 1997 and subsection 8j(2) </w:t>
      </w:r>
      <w:r w:rsidR="001A7079">
        <w:rPr>
          <w:rStyle w:val="Referencingstyle"/>
        </w:rPr>
        <w:t>of</w:t>
      </w:r>
      <w:r w:rsidR="00622F39">
        <w:rPr>
          <w:rStyle w:val="Referencingstyle"/>
        </w:rPr>
        <w:t xml:space="preserve"> the TAA</w:t>
      </w:r>
      <w:r w:rsidR="0047126A">
        <w:rPr>
          <w:rStyle w:val="Referencingstyle"/>
        </w:rPr>
        <w:t xml:space="preserve"> 1953</w:t>
      </w:r>
      <w:r w:rsidRPr="004B1D2E">
        <w:rPr>
          <w:rStyle w:val="Referencingstyle"/>
        </w:rPr>
        <w:t>]</w:t>
      </w:r>
    </w:p>
    <w:p w14:paraId="0A3AF5C0" w14:textId="77777777" w:rsidR="00834AF7" w:rsidRDefault="00834AF7" w:rsidP="006F552F">
      <w:pPr>
        <w:pStyle w:val="Heading4"/>
      </w:pPr>
      <w:r>
        <w:t>Legislative history of the provisions</w:t>
      </w:r>
    </w:p>
    <w:p w14:paraId="12F279A1" w14:textId="77777777" w:rsidR="00834AF7" w:rsidRDefault="00834AF7" w:rsidP="00834AF7">
      <w:pPr>
        <w:pStyle w:val="base-text-paragraph"/>
      </w:pPr>
      <w:r>
        <w:t xml:space="preserve">Section 264A was added by </w:t>
      </w:r>
      <w:r w:rsidRPr="004B1D2E">
        <w:rPr>
          <w:i/>
        </w:rPr>
        <w:t>Taxation Laws Amendment (Foreign Income) Act 1980</w:t>
      </w:r>
      <w:r>
        <w:rPr>
          <w:i/>
        </w:rPr>
        <w:t xml:space="preserve"> </w:t>
      </w:r>
      <w:r>
        <w:t>(Act No. 5 of 1991).</w:t>
      </w:r>
    </w:p>
    <w:p w14:paraId="7B30D5C6" w14:textId="77777777" w:rsidR="00834AF7" w:rsidRDefault="00834AF7" w:rsidP="00834AF7">
      <w:pPr>
        <w:pStyle w:val="base-text-paragraph"/>
      </w:pPr>
      <w:r>
        <w:t xml:space="preserve">Section 264A was subsequently amended by the </w:t>
      </w:r>
      <w:r w:rsidRPr="004B1D2E">
        <w:rPr>
          <w:i/>
        </w:rPr>
        <w:t>Acts Interpretation Act 2011</w:t>
      </w:r>
      <w:r>
        <w:t xml:space="preserve"> (Act No. 46 of 2011) and </w:t>
      </w:r>
      <w:r w:rsidRPr="004B1D2E">
        <w:rPr>
          <w:i/>
        </w:rPr>
        <w:t>Treasury Legislation Amendment (Repeal Day) Act 2015</w:t>
      </w:r>
      <w:r>
        <w:t xml:space="preserve"> (Act No. 2 of 2015) to update cross references for changes made to other laws.</w:t>
      </w:r>
    </w:p>
    <w:p w14:paraId="64B6187B" w14:textId="01B774C3" w:rsidR="002426DD" w:rsidRDefault="002426DD" w:rsidP="002F6A99">
      <w:pPr>
        <w:pStyle w:val="Heading3"/>
      </w:pPr>
      <w:r>
        <w:lastRenderedPageBreak/>
        <w:t>Part 2 – GST-free care</w:t>
      </w:r>
    </w:p>
    <w:p w14:paraId="0FCF87D2" w14:textId="14CFC8A9" w:rsidR="002426DD" w:rsidRPr="007C2452" w:rsidRDefault="002426DD" w:rsidP="006F552F">
      <w:pPr>
        <w:pStyle w:val="Heading4"/>
      </w:pPr>
      <w:r>
        <w:t xml:space="preserve">GST </w:t>
      </w:r>
      <w:r w:rsidRPr="009F09AB">
        <w:t>amendments to home care services</w:t>
      </w:r>
    </w:p>
    <w:p w14:paraId="279A477A" w14:textId="5C665297" w:rsidR="002426DD" w:rsidRDefault="002426DD" w:rsidP="002426DD">
      <w:pPr>
        <w:pStyle w:val="base-text-paragraph"/>
      </w:pPr>
      <w:r>
        <w:t xml:space="preserve">Subsection 38-30 of the </w:t>
      </w:r>
      <w:r w:rsidR="0047126A">
        <w:rPr>
          <w:i/>
        </w:rPr>
        <w:t>A New Tax System (Goods and Services Tax)</w:t>
      </w:r>
      <w:r>
        <w:rPr>
          <w:i/>
        </w:rPr>
        <w:t xml:space="preserve"> Act </w:t>
      </w:r>
      <w:r w:rsidR="0047126A" w:rsidRPr="002F6A99">
        <w:t>1999</w:t>
      </w:r>
      <w:r w:rsidR="0047126A">
        <w:t xml:space="preserve"> (</w:t>
      </w:r>
      <w:r w:rsidRPr="0047126A">
        <w:t>GST</w:t>
      </w:r>
      <w:r>
        <w:t xml:space="preserve"> Act</w:t>
      </w:r>
      <w:r w:rsidR="0047126A">
        <w:t>)</w:t>
      </w:r>
      <w:r>
        <w:t xml:space="preserve"> ensures that supplies of care are GST</w:t>
      </w:r>
      <w:r w:rsidR="002318AC">
        <w:noBreakHyphen/>
      </w:r>
      <w:r>
        <w:t>free in a number of circumstances. This typically applies where such services are provided to enable people to continue living in their own homes in the community. Subsection 38-30(2) of the GST Act makes certain supplies GST</w:t>
      </w:r>
      <w:r w:rsidR="002318AC">
        <w:noBreakHyphen/>
      </w:r>
      <w:r>
        <w:t xml:space="preserve">free if a supplier is funded for such supplies under the </w:t>
      </w:r>
      <w:r w:rsidRPr="007C2452">
        <w:rPr>
          <w:i/>
        </w:rPr>
        <w:t>Home and Community Care Act 1985</w:t>
      </w:r>
      <w:r>
        <w:rPr>
          <w:i/>
        </w:rPr>
        <w:t xml:space="preserve">. </w:t>
      </w:r>
      <w:r>
        <w:t xml:space="preserve">However, funding under this legislation ceased a number of years ago. The Bill therefore repeals this redundant provision in the GST Act. </w:t>
      </w:r>
      <w:r w:rsidR="0047126A">
        <w:rPr>
          <w:rStyle w:val="Referencingstyle"/>
        </w:rPr>
        <w:t>[Schedule #, item 9, subsection 38-30(2)</w:t>
      </w:r>
      <w:r w:rsidR="0047126A" w:rsidRPr="00531625">
        <w:rPr>
          <w:rStyle w:val="Referencingstyle"/>
        </w:rPr>
        <w:t xml:space="preserve"> </w:t>
      </w:r>
      <w:r w:rsidR="0047126A">
        <w:rPr>
          <w:rStyle w:val="Referencingstyle"/>
        </w:rPr>
        <w:t>of the GST Act]</w:t>
      </w:r>
    </w:p>
    <w:p w14:paraId="64B4D209" w14:textId="2DF8F822" w:rsidR="002426DD" w:rsidRPr="00732EF7" w:rsidRDefault="002426DD" w:rsidP="002426DD">
      <w:pPr>
        <w:pStyle w:val="base-text-paragraph"/>
        <w:rPr>
          <w:rStyle w:val="Referencingstyle"/>
          <w:b w:val="0"/>
          <w:i w:val="0"/>
          <w:sz w:val="22"/>
        </w:rPr>
      </w:pPr>
      <w:r>
        <w:t>A consequential amendment is also made to paragraph 38</w:t>
      </w:r>
      <w:r>
        <w:noBreakHyphen/>
      </w:r>
      <w:proofErr w:type="gramStart"/>
      <w:r>
        <w:t>30(</w:t>
      </w:r>
      <w:proofErr w:type="gramEnd"/>
      <w:r>
        <w:t>4)(b) of the GST Act as a result of the repeal of subsection 38-30(2) of the GST Act. The amendment ensures that certain supplies of care services made by suppliers that receive funding for such services from the Commonwealth, State</w:t>
      </w:r>
      <w:r w:rsidR="00DB6C4B">
        <w:t>s</w:t>
      </w:r>
      <w:r>
        <w:t xml:space="preserve"> or Territories remain GST</w:t>
      </w:r>
      <w:r w:rsidR="002318AC">
        <w:noBreakHyphen/>
      </w:r>
      <w:r>
        <w:t xml:space="preserve">free despite the repeal of subsection 38-30(2). </w:t>
      </w:r>
      <w:r>
        <w:rPr>
          <w:rStyle w:val="Referencingstyle"/>
        </w:rPr>
        <w:t>[</w:t>
      </w:r>
      <w:r w:rsidR="0047126A">
        <w:rPr>
          <w:rStyle w:val="Referencingstyle"/>
        </w:rPr>
        <w:t>Schedule #, i</w:t>
      </w:r>
      <w:r>
        <w:rPr>
          <w:rStyle w:val="Referencingstyle"/>
        </w:rPr>
        <w:t>tem 10, paragraph 38-30(4)(b)</w:t>
      </w:r>
      <w:r w:rsidRPr="00531625">
        <w:rPr>
          <w:rStyle w:val="Referencingstyle"/>
        </w:rPr>
        <w:t xml:space="preserve"> </w:t>
      </w:r>
      <w:r>
        <w:rPr>
          <w:rStyle w:val="Referencingstyle"/>
        </w:rPr>
        <w:t xml:space="preserve">of the GST Act]  </w:t>
      </w:r>
    </w:p>
    <w:p w14:paraId="07EA7E63" w14:textId="77777777" w:rsidR="002426DD" w:rsidRDefault="002426DD" w:rsidP="006F552F">
      <w:pPr>
        <w:pStyle w:val="Heading4"/>
      </w:pPr>
      <w:r>
        <w:t>Application and transitional provisions</w:t>
      </w:r>
    </w:p>
    <w:p w14:paraId="49FF4AA5" w14:textId="41A118DB" w:rsidR="002426DD" w:rsidRDefault="002426DD" w:rsidP="002426DD">
      <w:pPr>
        <w:pStyle w:val="base-text-paragraph"/>
      </w:pPr>
      <w:r>
        <w:t>The repeal of subsection 38-30(2) and the consequential amendment to paragraph 38-30(4</w:t>
      </w:r>
      <w:proofErr w:type="gramStart"/>
      <w:r>
        <w:t>)(</w:t>
      </w:r>
      <w:proofErr w:type="gramEnd"/>
      <w:r>
        <w:t xml:space="preserve">b) apply in relation to supplies that are made </w:t>
      </w:r>
      <w:r w:rsidR="002318AC">
        <w:t xml:space="preserve">from the day </w:t>
      </w:r>
      <w:r>
        <w:t xml:space="preserve">after Royal Assent. </w:t>
      </w:r>
      <w:r>
        <w:rPr>
          <w:rStyle w:val="Referencingstyle"/>
        </w:rPr>
        <w:t>[</w:t>
      </w:r>
      <w:r w:rsidR="0047126A">
        <w:rPr>
          <w:rStyle w:val="Referencingstyle"/>
        </w:rPr>
        <w:t xml:space="preserve">Schedule #, </w:t>
      </w:r>
      <w:proofErr w:type="spellStart"/>
      <w:r w:rsidR="0047126A">
        <w:rPr>
          <w:rStyle w:val="Referencingstyle"/>
        </w:rPr>
        <w:t>s</w:t>
      </w:r>
      <w:r>
        <w:rPr>
          <w:rStyle w:val="Referencingstyle"/>
        </w:rPr>
        <w:t>ubitem</w:t>
      </w:r>
      <w:proofErr w:type="spellEnd"/>
      <w:r>
        <w:rPr>
          <w:rStyle w:val="Referencingstyle"/>
        </w:rPr>
        <w:t xml:space="preserve"> 11(1)]</w:t>
      </w:r>
    </w:p>
    <w:p w14:paraId="61DF7BFF" w14:textId="7922ACD8" w:rsidR="002426DD" w:rsidRDefault="002426DD" w:rsidP="002426DD">
      <w:pPr>
        <w:pStyle w:val="base-text-paragraph"/>
      </w:pPr>
      <w:r>
        <w:t xml:space="preserve">The </w:t>
      </w:r>
      <w:r w:rsidR="00F56895">
        <w:t>Schedule</w:t>
      </w:r>
      <w:r>
        <w:t xml:space="preserve"> includes a transitional provision to ensure that the consequential amendments to the operation of section 38-30 do not impact on the continuing operation of the </w:t>
      </w:r>
      <w:r w:rsidRPr="004B1D2E">
        <w:rPr>
          <w:i/>
        </w:rPr>
        <w:t>GST</w:t>
      </w:r>
      <w:r>
        <w:rPr>
          <w:i/>
        </w:rPr>
        <w:noBreakHyphen/>
      </w:r>
      <w:r w:rsidRPr="004B1D2E">
        <w:rPr>
          <w:i/>
        </w:rPr>
        <w:t>free Supply (Care) Determination 2000</w:t>
      </w:r>
      <w:r>
        <w:t xml:space="preserve"> that is in force at the time of the amendments. </w:t>
      </w:r>
      <w:r>
        <w:rPr>
          <w:rStyle w:val="Referencingstyle"/>
        </w:rPr>
        <w:t>[</w:t>
      </w:r>
      <w:r w:rsidR="0047126A">
        <w:rPr>
          <w:rStyle w:val="Referencingstyle"/>
        </w:rPr>
        <w:t xml:space="preserve">Schedule #, </w:t>
      </w:r>
      <w:proofErr w:type="spellStart"/>
      <w:r w:rsidR="0047126A">
        <w:rPr>
          <w:rStyle w:val="Referencingstyle"/>
        </w:rPr>
        <w:t>s</w:t>
      </w:r>
      <w:r>
        <w:rPr>
          <w:rStyle w:val="Referencingstyle"/>
        </w:rPr>
        <w:t>ubitem</w:t>
      </w:r>
      <w:proofErr w:type="spellEnd"/>
      <w:r w:rsidR="0047126A">
        <w:rPr>
          <w:rStyle w:val="Referencingstyle"/>
        </w:rPr>
        <w:t> </w:t>
      </w:r>
      <w:r>
        <w:rPr>
          <w:rStyle w:val="Referencingstyle"/>
        </w:rPr>
        <w:t>11(2)]</w:t>
      </w:r>
    </w:p>
    <w:p w14:paraId="501E3C34" w14:textId="371AFCB6" w:rsidR="002426DD" w:rsidRDefault="002426DD" w:rsidP="002F6A99">
      <w:pPr>
        <w:pStyle w:val="Heading3"/>
      </w:pPr>
      <w:r>
        <w:t>Part</w:t>
      </w:r>
      <w:r w:rsidR="00834AF7">
        <w:t>s</w:t>
      </w:r>
      <w:r>
        <w:t xml:space="preserve"> 3</w:t>
      </w:r>
      <w:r w:rsidR="00834AF7">
        <w:t xml:space="preserve"> and 4</w:t>
      </w:r>
      <w:r>
        <w:t xml:space="preserve"> – Other amendments of principal Acts</w:t>
      </w:r>
      <w:r w:rsidR="00834AF7">
        <w:t xml:space="preserve"> and amending Acts</w:t>
      </w:r>
    </w:p>
    <w:p w14:paraId="0C0DDF3A" w14:textId="3C1634E9" w:rsidR="0014351A" w:rsidRDefault="0014351A" w:rsidP="006F552F">
      <w:pPr>
        <w:pStyle w:val="ActHeading"/>
      </w:pPr>
      <w:r w:rsidRPr="00DB21A5">
        <w:t xml:space="preserve">Updating terminology in various provisions </w:t>
      </w:r>
      <w:r w:rsidR="001A7079">
        <w:t>of</w:t>
      </w:r>
      <w:r w:rsidR="00622F39">
        <w:t xml:space="preserve"> the TAA</w:t>
      </w:r>
      <w:r w:rsidRPr="00DB21A5">
        <w:t xml:space="preserve"> 1953, ITAA</w:t>
      </w:r>
      <w:r>
        <w:t xml:space="preserve"> 1997, </w:t>
      </w:r>
      <w:r w:rsidRPr="00DB21A5">
        <w:t xml:space="preserve">ITAA 1936 and </w:t>
      </w:r>
      <w:r w:rsidR="00B53133">
        <w:t xml:space="preserve">the GST </w:t>
      </w:r>
      <w:r w:rsidRPr="00706E12">
        <w:t>Act 1999</w:t>
      </w:r>
      <w:r>
        <w:t xml:space="preserve"> </w:t>
      </w:r>
      <w:r w:rsidRPr="00EB31BF">
        <w:t>to improve clarity in the law</w:t>
      </w:r>
    </w:p>
    <w:p w14:paraId="0B396574" w14:textId="3AF899E0" w:rsidR="0014351A" w:rsidRDefault="0014351A" w:rsidP="0014351A">
      <w:pPr>
        <w:pStyle w:val="base-text-paragraph"/>
      </w:pPr>
      <w:r w:rsidRPr="004B1D2E">
        <w:t xml:space="preserve">Prior to the amendments made by </w:t>
      </w:r>
      <w:r w:rsidR="00F148A5">
        <w:t>this Schedule</w:t>
      </w:r>
      <w:r w:rsidRPr="004B1D2E">
        <w:t>,</w:t>
      </w:r>
      <w:r>
        <w:rPr>
          <w:b/>
          <w:i/>
        </w:rPr>
        <w:t xml:space="preserve"> </w:t>
      </w:r>
      <w:r w:rsidRPr="009D16B2">
        <w:rPr>
          <w:b/>
          <w:i/>
        </w:rPr>
        <w:t>Education Minister</w:t>
      </w:r>
      <w:r>
        <w:t xml:space="preserve"> was defined in subsection 995-1(1) of the ITAA 1997 as the Minister administering the </w:t>
      </w:r>
      <w:r w:rsidRPr="00EA53AA">
        <w:rPr>
          <w:i/>
        </w:rPr>
        <w:t>Student Assistance Act 1973</w:t>
      </w:r>
      <w:r>
        <w:t xml:space="preserve">. </w:t>
      </w:r>
      <w:r w:rsidRPr="009D16B2">
        <w:rPr>
          <w:b/>
          <w:i/>
        </w:rPr>
        <w:t>Education Secretary</w:t>
      </w:r>
      <w:r>
        <w:t xml:space="preserve"> was defined as the Secretary of the Department administered by the Education Minister. </w:t>
      </w:r>
    </w:p>
    <w:p w14:paraId="33F5BB27" w14:textId="03797886" w:rsidR="0014351A" w:rsidRDefault="0014351A" w:rsidP="0014351A">
      <w:pPr>
        <w:pStyle w:val="base-text-paragraph"/>
      </w:pPr>
      <w:r>
        <w:lastRenderedPageBreak/>
        <w:t xml:space="preserve">The term Education </w:t>
      </w:r>
      <w:r w:rsidR="00DB388D">
        <w:t>M</w:t>
      </w:r>
      <w:r>
        <w:t xml:space="preserve">inister was also used in section 177-10 of the </w:t>
      </w:r>
      <w:r w:rsidRPr="004B1D2E">
        <w:t>GST Act</w:t>
      </w:r>
      <w:r w:rsidR="00DB388D">
        <w:t xml:space="preserve">, which </w:t>
      </w:r>
      <w:proofErr w:type="gramStart"/>
      <w:r w:rsidR="00DB388D">
        <w:t>like</w:t>
      </w:r>
      <w:proofErr w:type="gramEnd"/>
      <w:r w:rsidR="00DB388D">
        <w:t xml:space="preserve"> the</w:t>
      </w:r>
      <w:r w:rsidR="00DB388D" w:rsidRPr="00DB388D">
        <w:t xml:space="preserve"> ITAA 1997</w:t>
      </w:r>
      <w:r w:rsidR="00DB388D">
        <w:t xml:space="preserve">, </w:t>
      </w:r>
      <w:r>
        <w:t xml:space="preserve">defined Education Minister by reference to the </w:t>
      </w:r>
      <w:r w:rsidRPr="00EA53AA">
        <w:rPr>
          <w:i/>
        </w:rPr>
        <w:t>Student Assistance Act 1973</w:t>
      </w:r>
      <w:r>
        <w:t>.</w:t>
      </w:r>
    </w:p>
    <w:p w14:paraId="7519A0DB" w14:textId="66114D7F" w:rsidR="0014351A" w:rsidRDefault="0014351A" w:rsidP="0014351A">
      <w:pPr>
        <w:pStyle w:val="base-text-paragraph"/>
      </w:pPr>
      <w:r>
        <w:t xml:space="preserve">The </w:t>
      </w:r>
      <w:r w:rsidRPr="00EA53AA">
        <w:rPr>
          <w:i/>
        </w:rPr>
        <w:t>Student Assistance Act 1973</w:t>
      </w:r>
      <w:r>
        <w:t xml:space="preserve"> is currently being administered by the Minister for Social Services. This means that p</w:t>
      </w:r>
      <w:r w:rsidRPr="00205ED1">
        <w:t xml:space="preserve">rior to the amendments made by this </w:t>
      </w:r>
      <w:r w:rsidR="00156D1C">
        <w:t>Schedule</w:t>
      </w:r>
      <w:r>
        <w:t xml:space="preserve">, the legal meaning of the terms Education Minister and Education Secretary did not accord with their ordinary meaning. </w:t>
      </w:r>
    </w:p>
    <w:p w14:paraId="733CDBA7" w14:textId="10D19582" w:rsidR="0014351A" w:rsidRDefault="0014351A" w:rsidP="0014351A">
      <w:pPr>
        <w:pStyle w:val="base-text-paragraph"/>
      </w:pPr>
      <w:r>
        <w:t xml:space="preserve">Although there was no problem with the operation of the law, to improve clarity in the law, </w:t>
      </w:r>
      <w:r w:rsidRPr="00F67525">
        <w:t>wherever the</w:t>
      </w:r>
      <w:r>
        <w:t xml:space="preserve"> terms</w:t>
      </w:r>
      <w:r w:rsidRPr="00F67525">
        <w:t xml:space="preserve"> appear</w:t>
      </w:r>
      <w:r>
        <w:t>s</w:t>
      </w:r>
      <w:r w:rsidRPr="00F67525">
        <w:t xml:space="preserve"> in the TAA 1953, ITAA 1997, ITAA 1936 and </w:t>
      </w:r>
      <w:r w:rsidRPr="00AB6F4F">
        <w:t>the GST Act</w:t>
      </w:r>
      <w:r>
        <w:t xml:space="preserve">, </w:t>
      </w:r>
      <w:r w:rsidR="00F148A5">
        <w:t>this Schedule</w:t>
      </w:r>
      <w:r>
        <w:t>:</w:t>
      </w:r>
    </w:p>
    <w:p w14:paraId="00C39DAB" w14:textId="77777777" w:rsidR="0014351A" w:rsidRDefault="0014351A" w:rsidP="002F6A99">
      <w:pPr>
        <w:pStyle w:val="dotpoint"/>
      </w:pPr>
      <w:r>
        <w:t xml:space="preserve">replaces </w:t>
      </w:r>
      <w:r w:rsidRPr="00F67525">
        <w:t xml:space="preserve">the </w:t>
      </w:r>
      <w:r>
        <w:t>term</w:t>
      </w:r>
      <w:r w:rsidRPr="00F67525">
        <w:t xml:space="preserve"> ‘Education Minister’ </w:t>
      </w:r>
      <w:r>
        <w:t>with ‘Student Assistance Minister’; and</w:t>
      </w:r>
    </w:p>
    <w:p w14:paraId="6B84504E" w14:textId="77777777" w:rsidR="0014351A" w:rsidRDefault="0014351A" w:rsidP="002F6A99">
      <w:pPr>
        <w:pStyle w:val="dotpoint"/>
      </w:pPr>
      <w:proofErr w:type="gramStart"/>
      <w:r>
        <w:t>repeals</w:t>
      </w:r>
      <w:proofErr w:type="gramEnd"/>
      <w:r>
        <w:t xml:space="preserve"> the definition of ‘Education Secretary’, substituting this with a definition of </w:t>
      </w:r>
      <w:r w:rsidRPr="00D5740A">
        <w:t>‘Student Assistan</w:t>
      </w:r>
      <w:r>
        <w:t xml:space="preserve">ce Secretary’ which refers to the Secretary of the Department administered by the </w:t>
      </w:r>
      <w:r w:rsidRPr="00D5740A">
        <w:t>Student Assistan</w:t>
      </w:r>
      <w:r>
        <w:t>ce</w:t>
      </w:r>
      <w:r w:rsidRPr="00D5740A">
        <w:t xml:space="preserve"> Minister</w:t>
      </w:r>
      <w:r>
        <w:t>.</w:t>
      </w:r>
    </w:p>
    <w:p w14:paraId="4E09C077" w14:textId="46D820B7" w:rsidR="0014351A" w:rsidRPr="00E92325" w:rsidRDefault="0014351A" w:rsidP="0014351A">
      <w:pPr>
        <w:pStyle w:val="base-text-paragraphnonumbers"/>
        <w:rPr>
          <w:rStyle w:val="Referencingstyle"/>
        </w:rPr>
      </w:pPr>
      <w:r w:rsidRPr="006B34EA">
        <w:rPr>
          <w:rStyle w:val="Referencingstyle"/>
        </w:rPr>
        <w:t>[</w:t>
      </w:r>
      <w:r w:rsidR="005B7B5C">
        <w:rPr>
          <w:rStyle w:val="Referencingstyle"/>
        </w:rPr>
        <w:t>Schedule #, i</w:t>
      </w:r>
      <w:r w:rsidRPr="00E92325">
        <w:rPr>
          <w:rStyle w:val="Referencingstyle"/>
        </w:rPr>
        <w:t xml:space="preserve">tems </w:t>
      </w:r>
      <w:r>
        <w:rPr>
          <w:rStyle w:val="Referencingstyle"/>
        </w:rPr>
        <w:t>1</w:t>
      </w:r>
      <w:r w:rsidR="005B7B5C">
        <w:rPr>
          <w:rStyle w:val="Referencingstyle"/>
        </w:rPr>
        <w:t>2</w:t>
      </w:r>
      <w:r>
        <w:rPr>
          <w:rStyle w:val="Referencingstyle"/>
        </w:rPr>
        <w:t xml:space="preserve"> to 2</w:t>
      </w:r>
      <w:r w:rsidR="005B7B5C">
        <w:rPr>
          <w:rStyle w:val="Referencingstyle"/>
        </w:rPr>
        <w:t>1</w:t>
      </w:r>
      <w:r>
        <w:rPr>
          <w:rStyle w:val="Referencingstyle"/>
        </w:rPr>
        <w:t>, 2</w:t>
      </w:r>
      <w:r w:rsidR="005B7B5C">
        <w:rPr>
          <w:rStyle w:val="Referencingstyle"/>
        </w:rPr>
        <w:t>4</w:t>
      </w:r>
      <w:r>
        <w:rPr>
          <w:rStyle w:val="Referencingstyle"/>
        </w:rPr>
        <w:t>, 25, 2</w:t>
      </w:r>
      <w:r w:rsidR="005B7B5C">
        <w:rPr>
          <w:rStyle w:val="Referencingstyle"/>
        </w:rPr>
        <w:t>7</w:t>
      </w:r>
      <w:r>
        <w:rPr>
          <w:rStyle w:val="Referencingstyle"/>
        </w:rPr>
        <w:t>, 3</w:t>
      </w:r>
      <w:r w:rsidR="005B7B5C">
        <w:rPr>
          <w:rStyle w:val="Referencingstyle"/>
        </w:rPr>
        <w:t>0</w:t>
      </w:r>
      <w:r>
        <w:rPr>
          <w:rStyle w:val="Referencingstyle"/>
        </w:rPr>
        <w:t xml:space="preserve"> to 3</w:t>
      </w:r>
      <w:r w:rsidR="005B7B5C">
        <w:rPr>
          <w:rStyle w:val="Referencingstyle"/>
        </w:rPr>
        <w:t>2</w:t>
      </w:r>
      <w:r>
        <w:rPr>
          <w:rStyle w:val="Referencingstyle"/>
        </w:rPr>
        <w:t>, 4</w:t>
      </w:r>
      <w:r w:rsidR="005B7B5C">
        <w:rPr>
          <w:rStyle w:val="Referencingstyle"/>
        </w:rPr>
        <w:t>5</w:t>
      </w:r>
      <w:r w:rsidRPr="00E92325">
        <w:rPr>
          <w:rStyle w:val="Referencingstyle"/>
        </w:rPr>
        <w:t xml:space="preserve">, </w:t>
      </w:r>
      <w:r>
        <w:rPr>
          <w:rStyle w:val="Referencingstyle"/>
        </w:rPr>
        <w:t>74, 78 and 9</w:t>
      </w:r>
      <w:r w:rsidR="005B7B5C">
        <w:rPr>
          <w:rStyle w:val="Referencingstyle"/>
        </w:rPr>
        <w:t>0</w:t>
      </w:r>
      <w:r>
        <w:rPr>
          <w:rStyle w:val="Referencingstyle"/>
        </w:rPr>
        <w:t xml:space="preserve">, </w:t>
      </w:r>
      <w:r w:rsidRPr="006B34EA">
        <w:rPr>
          <w:rStyle w:val="Referencingstyle"/>
        </w:rPr>
        <w:t>s</w:t>
      </w:r>
      <w:r w:rsidRPr="00E92325">
        <w:rPr>
          <w:rStyle w:val="Referencingstyle"/>
        </w:rPr>
        <w:t>ubsections 6(1) and 202CB(6) of the ITAA 1936</w:t>
      </w:r>
      <w:r>
        <w:rPr>
          <w:rStyle w:val="Referencingstyle"/>
        </w:rPr>
        <w:t>;</w:t>
      </w:r>
      <w:r w:rsidRPr="006B34EA">
        <w:rPr>
          <w:rStyle w:val="Referencingstyle"/>
        </w:rPr>
        <w:t xml:space="preserve"> </w:t>
      </w:r>
      <w:r w:rsidR="00A03F94">
        <w:rPr>
          <w:rStyle w:val="Referencingstyle"/>
        </w:rPr>
        <w:t xml:space="preserve">item 2.1.7 in the table in </w:t>
      </w:r>
      <w:r w:rsidRPr="00E92325">
        <w:rPr>
          <w:rStyle w:val="Referencingstyle"/>
        </w:rPr>
        <w:t>subsection 30-25(1)</w:t>
      </w:r>
      <w:r w:rsidRPr="00524FE7">
        <w:rPr>
          <w:rStyle w:val="Referencingstyle"/>
        </w:rPr>
        <w:t>,</w:t>
      </w:r>
      <w:r w:rsidR="00A03F94">
        <w:rPr>
          <w:rStyle w:val="Referencingstyle"/>
        </w:rPr>
        <w:t xml:space="preserve"> subsections</w:t>
      </w:r>
      <w:r w:rsidRPr="006B34EA">
        <w:rPr>
          <w:rStyle w:val="Referencingstyle"/>
        </w:rPr>
        <w:t xml:space="preserve"> 52-131(9) (note</w:t>
      </w:r>
      <w:r w:rsidRPr="00E92325">
        <w:rPr>
          <w:rStyle w:val="Referencingstyle"/>
        </w:rPr>
        <w:t>) and  995-1(1), paragraphs 30-30(1)(c) and 30-30(1)(d</w:t>
      </w:r>
      <w:r w:rsidRPr="00524FE7">
        <w:rPr>
          <w:rStyle w:val="Referencingstyle"/>
        </w:rPr>
        <w:t>)</w:t>
      </w:r>
      <w:r>
        <w:rPr>
          <w:rStyle w:val="Referencingstyle"/>
        </w:rPr>
        <w:t xml:space="preserve"> </w:t>
      </w:r>
      <w:r w:rsidRPr="006B34EA">
        <w:rPr>
          <w:rStyle w:val="Referencingstyle"/>
        </w:rPr>
        <w:t xml:space="preserve">of the </w:t>
      </w:r>
      <w:r w:rsidR="00A03F94" w:rsidRPr="006B34EA">
        <w:rPr>
          <w:rStyle w:val="Referencingstyle"/>
        </w:rPr>
        <w:t>ITAA</w:t>
      </w:r>
      <w:r w:rsidR="00A03F94">
        <w:rPr>
          <w:rStyle w:val="Referencingstyle"/>
        </w:rPr>
        <w:t> </w:t>
      </w:r>
      <w:r w:rsidRPr="006B34EA">
        <w:rPr>
          <w:rStyle w:val="Referencingstyle"/>
        </w:rPr>
        <w:t>1997</w:t>
      </w:r>
      <w:r>
        <w:rPr>
          <w:rStyle w:val="Referencingstyle"/>
        </w:rPr>
        <w:t>;</w:t>
      </w:r>
      <w:r w:rsidRPr="006B34EA">
        <w:rPr>
          <w:rStyle w:val="Referencingstyle"/>
        </w:rPr>
        <w:t xml:space="preserve"> </w:t>
      </w:r>
      <w:r w:rsidR="00112C74">
        <w:rPr>
          <w:rStyle w:val="Referencingstyle"/>
        </w:rPr>
        <w:t xml:space="preserve">items 4 and 5 in the table in </w:t>
      </w:r>
      <w:r w:rsidRPr="00E92325">
        <w:rPr>
          <w:rStyle w:val="Referencingstyle"/>
        </w:rPr>
        <w:t xml:space="preserve">subsection 355-65(2) in Schedule 1 </w:t>
      </w:r>
      <w:r>
        <w:rPr>
          <w:rStyle w:val="Referencingstyle"/>
        </w:rPr>
        <w:t>to</w:t>
      </w:r>
      <w:r w:rsidRPr="006B34EA">
        <w:rPr>
          <w:rStyle w:val="Referencingstyle"/>
        </w:rPr>
        <w:t xml:space="preserve"> the TAA 1953</w:t>
      </w:r>
      <w:r>
        <w:rPr>
          <w:rStyle w:val="Referencingstyle"/>
        </w:rPr>
        <w:t>;</w:t>
      </w:r>
      <w:r w:rsidRPr="006B34EA">
        <w:rPr>
          <w:rStyle w:val="Referencingstyle"/>
        </w:rPr>
        <w:t xml:space="preserve"> </w:t>
      </w:r>
      <w:r w:rsidRPr="00E92325">
        <w:rPr>
          <w:rStyle w:val="Referencingstyle"/>
        </w:rPr>
        <w:t>subsection 177</w:t>
      </w:r>
      <w:r w:rsidR="00112C74">
        <w:rPr>
          <w:rStyle w:val="Referencingstyle"/>
        </w:rPr>
        <w:noBreakHyphen/>
      </w:r>
      <w:r w:rsidRPr="00E92325">
        <w:rPr>
          <w:rStyle w:val="Referencingstyle"/>
        </w:rPr>
        <w:t>10(3)</w:t>
      </w:r>
      <w:r>
        <w:rPr>
          <w:rStyle w:val="Referencingstyle"/>
        </w:rPr>
        <w:t xml:space="preserve"> and</w:t>
      </w:r>
      <w:r w:rsidRPr="006B34EA">
        <w:rPr>
          <w:rStyle w:val="Referencingstyle"/>
        </w:rPr>
        <w:t xml:space="preserve"> </w:t>
      </w:r>
      <w:r w:rsidRPr="00E92325">
        <w:rPr>
          <w:rStyle w:val="Referencingstyle"/>
        </w:rPr>
        <w:t>section 195</w:t>
      </w:r>
      <w:r>
        <w:rPr>
          <w:rStyle w:val="Referencingstyle"/>
        </w:rPr>
        <w:noBreakHyphen/>
      </w:r>
      <w:r w:rsidRPr="006B34EA">
        <w:rPr>
          <w:rStyle w:val="Referencingstyle"/>
        </w:rPr>
        <w:t>1 of the GST Act]</w:t>
      </w:r>
    </w:p>
    <w:p w14:paraId="30C75F1C" w14:textId="6C6BD921" w:rsidR="0014351A" w:rsidRPr="00DB21A5" w:rsidRDefault="0014351A" w:rsidP="006F552F">
      <w:pPr>
        <w:pStyle w:val="ActHeading"/>
      </w:pPr>
      <w:r w:rsidRPr="00DB21A5">
        <w:t>Removing duplicate reference in the Commonwealth Grants Commission Act 1973</w:t>
      </w:r>
    </w:p>
    <w:p w14:paraId="6B986F8A" w14:textId="2957A785" w:rsidR="0014351A" w:rsidRPr="00076686" w:rsidRDefault="0014351A" w:rsidP="0014351A">
      <w:pPr>
        <w:pStyle w:val="base-text-paragraph"/>
      </w:pPr>
      <w:r w:rsidRPr="00076686">
        <w:t xml:space="preserve">Subsection 25(2) of the </w:t>
      </w:r>
      <w:r w:rsidRPr="00076686">
        <w:rPr>
          <w:i/>
        </w:rPr>
        <w:t>Commonwealth Grants Commission Act 1973</w:t>
      </w:r>
      <w:r>
        <w:rPr>
          <w:i/>
        </w:rPr>
        <w:t xml:space="preserve"> (CGC Act) </w:t>
      </w:r>
      <w:r w:rsidRPr="00076686">
        <w:t>concerns reports made by the Commonwealth Grants Commission under certain</w:t>
      </w:r>
      <w:r>
        <w:t xml:space="preserve"> listed</w:t>
      </w:r>
      <w:r w:rsidRPr="00076686">
        <w:t xml:space="preserve"> sections of the</w:t>
      </w:r>
      <w:r w:rsidRPr="002423A0">
        <w:rPr>
          <w:i/>
        </w:rPr>
        <w:t xml:space="preserve"> </w:t>
      </w:r>
      <w:r w:rsidRPr="004B1D2E">
        <w:t>CGC Act</w:t>
      </w:r>
      <w:r>
        <w:rPr>
          <w:i/>
        </w:rPr>
        <w:t xml:space="preserve"> </w:t>
      </w:r>
      <w:r>
        <w:t xml:space="preserve">being laid before Parliament. </w:t>
      </w:r>
      <w:r w:rsidRPr="005F14DD">
        <w:t xml:space="preserve">Prior to the amendments made by </w:t>
      </w:r>
      <w:r w:rsidR="00F148A5">
        <w:t>this Schedule</w:t>
      </w:r>
      <w:r>
        <w:t xml:space="preserve">, section </w:t>
      </w:r>
      <w:r w:rsidRPr="00CF5CF7">
        <w:t xml:space="preserve">16AA </w:t>
      </w:r>
      <w:r>
        <w:t>wa</w:t>
      </w:r>
      <w:r w:rsidRPr="00CF5CF7">
        <w:t xml:space="preserve">s listed twice in subsection 25(2). </w:t>
      </w:r>
      <w:r w:rsidR="00F148A5">
        <w:t>This Schedule</w:t>
      </w:r>
      <w:r>
        <w:t xml:space="preserve"> </w:t>
      </w:r>
      <w:r w:rsidRPr="00CF5CF7">
        <w:t>removes the extra reference to section 16AA.</w:t>
      </w:r>
      <w:r>
        <w:t xml:space="preserve"> </w:t>
      </w:r>
      <w:r w:rsidRPr="00AA6581">
        <w:rPr>
          <w:rStyle w:val="Referencingstyle"/>
        </w:rPr>
        <w:t>[</w:t>
      </w:r>
      <w:r w:rsidR="005B7B5C">
        <w:rPr>
          <w:rStyle w:val="Referencingstyle"/>
        </w:rPr>
        <w:t>Schedule #, i</w:t>
      </w:r>
      <w:r w:rsidRPr="00AA6581">
        <w:rPr>
          <w:rStyle w:val="Referencingstyle"/>
        </w:rPr>
        <w:t xml:space="preserve">tem </w:t>
      </w:r>
      <w:r w:rsidRPr="004F6EC2">
        <w:rPr>
          <w:rStyle w:val="Referencingstyle"/>
        </w:rPr>
        <w:t>2</w:t>
      </w:r>
      <w:r w:rsidR="000B4C3E">
        <w:rPr>
          <w:rStyle w:val="Referencingstyle"/>
        </w:rPr>
        <w:t>2</w:t>
      </w:r>
      <w:r w:rsidRPr="004F6EC2">
        <w:rPr>
          <w:rStyle w:val="Referencingstyle"/>
        </w:rPr>
        <w:t>, subsection 25(2) of the CGC Act]</w:t>
      </w:r>
    </w:p>
    <w:p w14:paraId="0F27F9E4" w14:textId="77777777" w:rsidR="0014351A" w:rsidRPr="00DB21A5" w:rsidRDefault="0014351A" w:rsidP="006F552F">
      <w:pPr>
        <w:pStyle w:val="ActHeading"/>
      </w:pPr>
      <w:r w:rsidRPr="00DB21A5">
        <w:t>Repealing redundant paragraph of the definition of assessment in the ITAA 1936</w:t>
      </w:r>
    </w:p>
    <w:p w14:paraId="0BAA59C0" w14:textId="0ABB4507" w:rsidR="0014351A" w:rsidRDefault="0014351A" w:rsidP="0014351A">
      <w:pPr>
        <w:pStyle w:val="base-text-paragraph"/>
      </w:pPr>
      <w:r w:rsidRPr="00A923CD">
        <w:t xml:space="preserve">Prior to the amendments made by </w:t>
      </w:r>
      <w:r w:rsidR="00F148A5">
        <w:t>this Schedule</w:t>
      </w:r>
      <w:r>
        <w:t xml:space="preserve">, </w:t>
      </w:r>
      <w:r w:rsidRPr="00C62C23">
        <w:t xml:space="preserve">the definition of assessment in section 6(1) of the ITAA 1936 </w:t>
      </w:r>
      <w:r w:rsidR="00DD70B4">
        <w:t xml:space="preserve">included the ascertainment of an amount of additional tax under </w:t>
      </w:r>
      <w:r w:rsidRPr="00C62C23">
        <w:t>section 128TE</w:t>
      </w:r>
      <w:r w:rsidR="00DD70B4">
        <w:t xml:space="preserve"> (section 6(1</w:t>
      </w:r>
      <w:proofErr w:type="gramStart"/>
      <w:r w:rsidR="00DD70B4">
        <w:t>)(</w:t>
      </w:r>
      <w:proofErr w:type="gramEnd"/>
      <w:r w:rsidR="00DD70B4">
        <w:t xml:space="preserve">f)). Section </w:t>
      </w:r>
      <w:r w:rsidR="00DD70B4" w:rsidRPr="00DD70B4">
        <w:t>128TE</w:t>
      </w:r>
      <w:r w:rsidR="00DD70B4">
        <w:t xml:space="preserve"> </w:t>
      </w:r>
      <w:r w:rsidRPr="00C62C23">
        <w:t>has been repealed</w:t>
      </w:r>
      <w:r w:rsidR="00DD70B4">
        <w:t>, therefore this Schedule</w:t>
      </w:r>
      <w:r>
        <w:t xml:space="preserve"> r</w:t>
      </w:r>
      <w:r w:rsidRPr="00DA3BFF">
        <w:t>epeal</w:t>
      </w:r>
      <w:r>
        <w:t>s</w:t>
      </w:r>
      <w:r w:rsidRPr="00DA3BFF">
        <w:t xml:space="preserve"> paragraph (f) </w:t>
      </w:r>
      <w:r>
        <w:t>of the definition of assessment</w:t>
      </w:r>
      <w:r w:rsidR="00DD70B4">
        <w:t xml:space="preserve">. </w:t>
      </w:r>
      <w:r>
        <w:t xml:space="preserve"> </w:t>
      </w:r>
      <w:r w:rsidRPr="00394615">
        <w:rPr>
          <w:rStyle w:val="Referencingstyle"/>
        </w:rPr>
        <w:t>[</w:t>
      </w:r>
      <w:r w:rsidR="000B4C3E">
        <w:rPr>
          <w:rStyle w:val="Referencingstyle"/>
        </w:rPr>
        <w:t>Schedule #, i</w:t>
      </w:r>
      <w:r w:rsidRPr="00394615">
        <w:rPr>
          <w:rStyle w:val="Referencingstyle"/>
        </w:rPr>
        <w:t xml:space="preserve">tem </w:t>
      </w:r>
      <w:r w:rsidR="000B4C3E">
        <w:rPr>
          <w:rStyle w:val="Referencingstyle"/>
        </w:rPr>
        <w:t>23</w:t>
      </w:r>
      <w:r w:rsidRPr="00394615">
        <w:rPr>
          <w:rStyle w:val="Referencingstyle"/>
        </w:rPr>
        <w:t>, subsection 6(1) (paragraph (f) of the definition of assessment) of the ITAA 1936]</w:t>
      </w:r>
    </w:p>
    <w:p w14:paraId="1EDEEC61" w14:textId="3AF62918" w:rsidR="0014351A" w:rsidRPr="00DB21A5" w:rsidRDefault="0014351A" w:rsidP="006F552F">
      <w:pPr>
        <w:pStyle w:val="ActHeading"/>
      </w:pPr>
      <w:r w:rsidRPr="00DB21A5">
        <w:lastRenderedPageBreak/>
        <w:t xml:space="preserve">Updating the definition of securities dealer in the ITAA 1936 and </w:t>
      </w:r>
      <w:r w:rsidR="00CE1D13" w:rsidRPr="00DB21A5">
        <w:t>ITAA</w:t>
      </w:r>
      <w:r w:rsidR="00CE1D13">
        <w:t> </w:t>
      </w:r>
      <w:r w:rsidRPr="00DB21A5">
        <w:t>1997</w:t>
      </w:r>
    </w:p>
    <w:p w14:paraId="691F1675" w14:textId="109346C7" w:rsidR="0014351A" w:rsidRPr="006B5539" w:rsidRDefault="0014351A" w:rsidP="0014351A">
      <w:pPr>
        <w:pStyle w:val="base-text-paragraph"/>
        <w:rPr>
          <w:i/>
        </w:rPr>
      </w:pPr>
      <w:r w:rsidRPr="00001C3C">
        <w:t xml:space="preserve">Section 202A of the ITAA 1936 defines </w:t>
      </w:r>
      <w:r>
        <w:t>‘</w:t>
      </w:r>
      <w:r w:rsidRPr="00001C3C">
        <w:t>securities dealer</w:t>
      </w:r>
      <w:r>
        <w:t>’</w:t>
      </w:r>
      <w:r w:rsidRPr="00001C3C">
        <w:t xml:space="preserve"> by reference to the </w:t>
      </w:r>
      <w:r w:rsidRPr="006B5539">
        <w:rPr>
          <w:i/>
        </w:rPr>
        <w:t>Securities Industry Act 1980</w:t>
      </w:r>
      <w:r w:rsidRPr="00001C3C">
        <w:t xml:space="preserve">. However, the </w:t>
      </w:r>
      <w:r w:rsidRPr="006B5539">
        <w:rPr>
          <w:i/>
        </w:rPr>
        <w:t>Securities Industry Act 1980</w:t>
      </w:r>
      <w:r w:rsidRPr="00001C3C">
        <w:t xml:space="preserve"> was repealed in 2001 with the introduction of the </w:t>
      </w:r>
      <w:r w:rsidRPr="006B5539">
        <w:rPr>
          <w:i/>
        </w:rPr>
        <w:t>Corporations Act 2001</w:t>
      </w:r>
      <w:r w:rsidRPr="00001C3C">
        <w:t xml:space="preserve">. </w:t>
      </w:r>
      <w:r w:rsidRPr="00362EF3">
        <w:t xml:space="preserve">Prior to the amendments made by </w:t>
      </w:r>
      <w:r w:rsidR="00F148A5">
        <w:t>this Schedule</w:t>
      </w:r>
      <w:r>
        <w:t>, t</w:t>
      </w:r>
      <w:r w:rsidRPr="00001C3C">
        <w:t>he ITAA 1997 d</w:t>
      </w:r>
      <w:r>
        <w:t>id</w:t>
      </w:r>
      <w:r w:rsidRPr="00001C3C">
        <w:t xml:space="preserve"> not define securities dealer.</w:t>
      </w:r>
      <w:r>
        <w:t xml:space="preserve"> </w:t>
      </w:r>
      <w:r w:rsidR="00F148A5">
        <w:t>This Schedule</w:t>
      </w:r>
      <w:r>
        <w:t xml:space="preserve"> updates the definition in the</w:t>
      </w:r>
      <w:r w:rsidRPr="00F6022A">
        <w:t xml:space="preserve"> </w:t>
      </w:r>
      <w:r w:rsidRPr="00E571A7">
        <w:t>ITAA 1936</w:t>
      </w:r>
      <w:r w:rsidRPr="006B5539">
        <w:rPr>
          <w:i/>
        </w:rPr>
        <w:t xml:space="preserve"> </w:t>
      </w:r>
      <w:r w:rsidRPr="00F6022A">
        <w:t xml:space="preserve">and </w:t>
      </w:r>
      <w:r w:rsidRPr="00E571A7">
        <w:t>ITAA 1997</w:t>
      </w:r>
      <w:r w:rsidRPr="006B5539">
        <w:rPr>
          <w:i/>
        </w:rPr>
        <w:t xml:space="preserve"> </w:t>
      </w:r>
      <w:r w:rsidRPr="00F6022A">
        <w:t xml:space="preserve">to refer to dealing in securities under the </w:t>
      </w:r>
      <w:r w:rsidRPr="006B5539">
        <w:rPr>
          <w:i/>
        </w:rPr>
        <w:t>Corporations Act 2001</w:t>
      </w:r>
      <w:r>
        <w:t>, drawing on the definitions of ‘deal’ and ‘securities’ in that Act</w:t>
      </w:r>
      <w:r w:rsidRPr="006B5539">
        <w:rPr>
          <w:i/>
        </w:rPr>
        <w:t>.</w:t>
      </w:r>
      <w:r w:rsidRPr="006B5539">
        <w:t xml:space="preserve"> </w:t>
      </w:r>
      <w:r w:rsidR="000B4C3E">
        <w:rPr>
          <w:rStyle w:val="Referencingstyle"/>
        </w:rPr>
        <w:t>[Schedule #, i</w:t>
      </w:r>
      <w:r w:rsidRPr="005B3F5E">
        <w:rPr>
          <w:rStyle w:val="Referencingstyle"/>
        </w:rPr>
        <w:t xml:space="preserve">tems </w:t>
      </w:r>
      <w:r w:rsidR="000B4C3E">
        <w:rPr>
          <w:rStyle w:val="Referencingstyle"/>
        </w:rPr>
        <w:t>26</w:t>
      </w:r>
      <w:r w:rsidRPr="005B3F5E">
        <w:rPr>
          <w:rStyle w:val="Referencingstyle"/>
        </w:rPr>
        <w:t xml:space="preserve"> and </w:t>
      </w:r>
      <w:r w:rsidR="000B4C3E">
        <w:rPr>
          <w:rStyle w:val="Referencingstyle"/>
        </w:rPr>
        <w:t>76</w:t>
      </w:r>
      <w:r w:rsidRPr="005B3F5E">
        <w:rPr>
          <w:rStyle w:val="Referencingstyle"/>
        </w:rPr>
        <w:t>, subsection</w:t>
      </w:r>
      <w:r w:rsidR="009C2F8D">
        <w:rPr>
          <w:rStyle w:val="Referencingstyle"/>
        </w:rPr>
        <w:br/>
      </w:r>
      <w:r w:rsidRPr="005B3F5E">
        <w:rPr>
          <w:rStyle w:val="Referencingstyle"/>
        </w:rPr>
        <w:t>995-1(1) of the ITAA 1997 and section 202A of the ITAA 1936]</w:t>
      </w:r>
    </w:p>
    <w:p w14:paraId="7F67F539" w14:textId="2ED0E4E6" w:rsidR="0014351A" w:rsidRPr="00DB21A5" w:rsidRDefault="0014351A" w:rsidP="006F552F">
      <w:pPr>
        <w:pStyle w:val="ActHeading"/>
      </w:pPr>
      <w:r w:rsidRPr="00DB21A5">
        <w:t xml:space="preserve">Duplication of word ‘the’ in </w:t>
      </w:r>
      <w:r w:rsidR="000B4C3E">
        <w:t xml:space="preserve">the </w:t>
      </w:r>
      <w:r w:rsidRPr="00DB21A5">
        <w:t>ITAA 1997</w:t>
      </w:r>
    </w:p>
    <w:p w14:paraId="52377E6C" w14:textId="7D0EF796" w:rsidR="0014351A" w:rsidRPr="00D97EB4" w:rsidRDefault="0014351A" w:rsidP="0014351A">
      <w:pPr>
        <w:pStyle w:val="base-text-paragraph"/>
      </w:pPr>
      <w:r w:rsidRPr="003D11EB">
        <w:t>Subsection 25</w:t>
      </w:r>
      <w:r w:rsidRPr="003D11EB">
        <w:noBreakHyphen/>
        <w:t xml:space="preserve">25(4) of the ITAA 1997 sets out a method statement for working out how much you can deduct for borrowing expenses in an income year. </w:t>
      </w:r>
      <w:r w:rsidRPr="00AB1DE4">
        <w:t xml:space="preserve">Prior to the amendments made by </w:t>
      </w:r>
      <w:r w:rsidR="00F148A5">
        <w:t>this Schedule</w:t>
      </w:r>
      <w:r>
        <w:t>, t</w:t>
      </w:r>
      <w:r w:rsidRPr="003D11EB">
        <w:t xml:space="preserve">he word 'the' </w:t>
      </w:r>
      <w:r>
        <w:t xml:space="preserve">was erroneously </w:t>
      </w:r>
      <w:r w:rsidR="00E57A55">
        <w:t>duplicat</w:t>
      </w:r>
      <w:r>
        <w:t>ed in step </w:t>
      </w:r>
      <w:r w:rsidRPr="003D11EB">
        <w:t>1 of the method statement.</w:t>
      </w:r>
      <w:r>
        <w:t xml:space="preserve"> </w:t>
      </w:r>
      <w:r w:rsidR="00F148A5">
        <w:t>This Schedule</w:t>
      </w:r>
      <w:r>
        <w:t xml:space="preserve"> corrects the error</w:t>
      </w:r>
      <w:r w:rsidRPr="003D11EB">
        <w:t>.</w:t>
      </w:r>
      <w:r>
        <w:t xml:space="preserve"> </w:t>
      </w:r>
      <w:r w:rsidRPr="004B1D2E">
        <w:rPr>
          <w:rStyle w:val="Referencingstyle"/>
        </w:rPr>
        <w:t xml:space="preserve">[Item </w:t>
      </w:r>
      <w:r w:rsidR="000B4C3E">
        <w:rPr>
          <w:rStyle w:val="Referencingstyle"/>
        </w:rPr>
        <w:t>29</w:t>
      </w:r>
      <w:r w:rsidRPr="004B1D2E">
        <w:rPr>
          <w:rStyle w:val="Referencingstyle"/>
        </w:rPr>
        <w:t>, subsection</w:t>
      </w:r>
      <w:r w:rsidR="009C2F8D">
        <w:rPr>
          <w:rStyle w:val="Referencingstyle"/>
        </w:rPr>
        <w:br/>
      </w:r>
      <w:r w:rsidRPr="004B1D2E">
        <w:rPr>
          <w:rStyle w:val="Referencingstyle"/>
        </w:rPr>
        <w:t>25-25(4)</w:t>
      </w:r>
      <w:r w:rsidRPr="00F92223">
        <w:rPr>
          <w:rStyle w:val="Referencingstyle"/>
        </w:rPr>
        <w:t xml:space="preserve"> of the ITAA 1997]</w:t>
      </w:r>
    </w:p>
    <w:p w14:paraId="17B3122D" w14:textId="77777777" w:rsidR="0014351A" w:rsidRPr="00DB21A5" w:rsidRDefault="0014351A" w:rsidP="006F552F">
      <w:pPr>
        <w:pStyle w:val="ActHeading"/>
      </w:pPr>
      <w:r w:rsidRPr="00DB21A5">
        <w:t>Removing incorrect references to determinations in various provisions of the ITAA 1997</w:t>
      </w:r>
    </w:p>
    <w:p w14:paraId="4BCD19B8" w14:textId="423D37A5" w:rsidR="0014351A" w:rsidRDefault="0014351A" w:rsidP="0014351A">
      <w:pPr>
        <w:pStyle w:val="base-text-paragraph"/>
      </w:pPr>
      <w:r w:rsidRPr="0011677D">
        <w:t>Several provisions and notes in the ITAA 1997 refer to a determination made under subsection 250-150(3)</w:t>
      </w:r>
      <w:r>
        <w:t xml:space="preserve"> of that Act</w:t>
      </w:r>
      <w:r w:rsidRPr="0011677D">
        <w:t>. However, subsection 250-150(3) does not provide for the making of determinations.</w:t>
      </w:r>
      <w:r>
        <w:t xml:space="preserve"> </w:t>
      </w:r>
      <w:r w:rsidR="00F148A5">
        <w:t>This Schedule</w:t>
      </w:r>
      <w:r>
        <w:t xml:space="preserve"> amends the language in these provisions and notes to remove the references to determinations. </w:t>
      </w:r>
      <w:r w:rsidRPr="005B3F5E">
        <w:rPr>
          <w:rStyle w:val="Referencingstyle"/>
        </w:rPr>
        <w:t>[</w:t>
      </w:r>
      <w:r w:rsidR="000B4C3E">
        <w:rPr>
          <w:rStyle w:val="Referencingstyle"/>
        </w:rPr>
        <w:t>Schedule #, i</w:t>
      </w:r>
      <w:r w:rsidRPr="005B3F5E">
        <w:rPr>
          <w:rStyle w:val="Referencingstyle"/>
        </w:rPr>
        <w:t>tems 3</w:t>
      </w:r>
      <w:r w:rsidR="000B4C3E">
        <w:rPr>
          <w:rStyle w:val="Referencingstyle"/>
        </w:rPr>
        <w:t>3</w:t>
      </w:r>
      <w:r w:rsidRPr="005B3F5E">
        <w:rPr>
          <w:rStyle w:val="Referencingstyle"/>
        </w:rPr>
        <w:t>, 3</w:t>
      </w:r>
      <w:r w:rsidR="000B4C3E">
        <w:rPr>
          <w:rStyle w:val="Referencingstyle"/>
        </w:rPr>
        <w:t>6</w:t>
      </w:r>
      <w:r w:rsidRPr="005B3F5E">
        <w:rPr>
          <w:rStyle w:val="Referencingstyle"/>
        </w:rPr>
        <w:t xml:space="preserve"> to 4</w:t>
      </w:r>
      <w:r w:rsidR="000B4C3E">
        <w:rPr>
          <w:rStyle w:val="Referencingstyle"/>
        </w:rPr>
        <w:t>4</w:t>
      </w:r>
      <w:r w:rsidRPr="005B3F5E">
        <w:rPr>
          <w:rStyle w:val="Referencingstyle"/>
        </w:rPr>
        <w:t>, paragraph 40-25(8)(a), subsections 40-525(1), (2), (3) and (4) (paragraph (a) of the note), subsection 40-630(1) (paragraph (a) of the note), subsection 40-730(1) (paragraph (a) of the note), subsection 40-735(1) (paragraph (a) of note 2), subsection 40-750(1) (paragraph (a) of note 2), subsection 40-755(1) (paragraph (a) of the note), section</w:t>
      </w:r>
      <w:r w:rsidR="009C2F8D">
        <w:rPr>
          <w:rStyle w:val="Referencingstyle"/>
        </w:rPr>
        <w:br/>
      </w:r>
      <w:r w:rsidRPr="005B3F5E">
        <w:rPr>
          <w:rStyle w:val="Referencingstyle"/>
        </w:rPr>
        <w:t>40-835 (paragraph (a) of the note), subsection 40-880(1) (paragraph (a) of the note) and subsection 43-140(1) (paragraph (a) of note 2) of the ITAA 1997]</w:t>
      </w:r>
    </w:p>
    <w:p w14:paraId="16C8A6AC" w14:textId="77777777" w:rsidR="0014351A" w:rsidRPr="00DB21A5" w:rsidRDefault="0014351A" w:rsidP="006F552F">
      <w:pPr>
        <w:pStyle w:val="ActHeading"/>
      </w:pPr>
      <w:r w:rsidRPr="00DB21A5">
        <w:t>Incorrect paragraph reference in a note in the ITAA 1997</w:t>
      </w:r>
    </w:p>
    <w:p w14:paraId="2AAECBDC" w14:textId="3CAE7CF0" w:rsidR="0014351A" w:rsidRPr="003D656E" w:rsidRDefault="0014351A" w:rsidP="0014351A">
      <w:pPr>
        <w:pStyle w:val="base-text-paragraph"/>
      </w:pPr>
      <w:r w:rsidRPr="003D656E">
        <w:t xml:space="preserve">The </w:t>
      </w:r>
      <w:r w:rsidRPr="003D656E">
        <w:rPr>
          <w:i/>
        </w:rPr>
        <w:t>Tax and Superannuation Laws Amendment (2015 Measures No. 2) Act 2015</w:t>
      </w:r>
      <w:r w:rsidRPr="003D656E">
        <w:t xml:space="preserve"> inserted a note into subsection 40</w:t>
      </w:r>
      <w:r w:rsidRPr="003D656E">
        <w:noBreakHyphen/>
      </w:r>
      <w:proofErr w:type="gramStart"/>
      <w:r w:rsidRPr="003D656E">
        <w:t>180(</w:t>
      </w:r>
      <w:proofErr w:type="gramEnd"/>
      <w:r w:rsidRPr="003D656E">
        <w:t xml:space="preserve">4) of the ITAA 1997. </w:t>
      </w:r>
      <w:r w:rsidRPr="008529AE">
        <w:t xml:space="preserve">Prior to the amendments made by </w:t>
      </w:r>
      <w:r w:rsidR="00F148A5">
        <w:t>this Schedule</w:t>
      </w:r>
      <w:r>
        <w:t>, t</w:t>
      </w:r>
      <w:r w:rsidRPr="003D656E">
        <w:t>he note refer</w:t>
      </w:r>
      <w:r>
        <w:t>red</w:t>
      </w:r>
      <w:r w:rsidRPr="003D656E">
        <w:t xml:space="preserve"> to reducing the first element of cost under section 40</w:t>
      </w:r>
      <w:r w:rsidRPr="003D656E">
        <w:noBreakHyphen/>
        <w:t xml:space="preserve">1105 </w:t>
      </w:r>
      <w:r w:rsidRPr="00492D7F">
        <w:t xml:space="preserve">of the ITAA </w:t>
      </w:r>
      <w:r w:rsidRPr="003D656E">
        <w:t>to account for exploration benefits received under farm-in farm-out arrangements.</w:t>
      </w:r>
    </w:p>
    <w:p w14:paraId="027046E8" w14:textId="77777777" w:rsidR="009C2F8D" w:rsidRDefault="009C2F8D">
      <w:pPr>
        <w:spacing w:before="0" w:after="0"/>
      </w:pPr>
      <w:r>
        <w:br w:type="page"/>
      </w:r>
    </w:p>
    <w:p w14:paraId="0ECF7351" w14:textId="42BA5C35" w:rsidR="0014351A" w:rsidRDefault="0014351A" w:rsidP="0014351A">
      <w:pPr>
        <w:pStyle w:val="base-text-paragraph"/>
      </w:pPr>
      <w:r w:rsidRPr="003D656E">
        <w:lastRenderedPageBreak/>
        <w:t xml:space="preserve">Section 40-1105, also introduced by the </w:t>
      </w:r>
      <w:r w:rsidRPr="003D656E">
        <w:rPr>
          <w:i/>
        </w:rPr>
        <w:t>Tax and Superannuation Laws Amendment (2015 Measures No. 2) Act 2015</w:t>
      </w:r>
      <w:r w:rsidRPr="003D656E">
        <w:t xml:space="preserve">, relates to reducing the termination value of interests in a mining, quarrying or prospecting right. </w:t>
      </w:r>
    </w:p>
    <w:p w14:paraId="4787AD56" w14:textId="33D9F88C" w:rsidR="0014351A" w:rsidRPr="002348A6" w:rsidRDefault="0014351A" w:rsidP="0014351A">
      <w:pPr>
        <w:pStyle w:val="base-text-paragraph"/>
      </w:pPr>
      <w:r>
        <w:t xml:space="preserve">This </w:t>
      </w:r>
      <w:r w:rsidR="00E57A55">
        <w:t xml:space="preserve">Schedule </w:t>
      </w:r>
      <w:r>
        <w:t xml:space="preserve">amends the note to </w:t>
      </w:r>
      <w:r w:rsidR="00E57A55">
        <w:t xml:space="preserve">refer </w:t>
      </w:r>
      <w:r w:rsidRPr="003D656E">
        <w:t>ins</w:t>
      </w:r>
      <w:r>
        <w:t>tead to section 40</w:t>
      </w:r>
      <w:r>
        <w:noBreakHyphen/>
      </w:r>
      <w:r w:rsidRPr="003D656E">
        <w:t>1130, which relates to reducing the first element of the cost when the taxpayer provides an exploration benefit in relation to the transfer to them of part of another entity's interest in a mining, quarrying or prospecting right.</w:t>
      </w:r>
      <w:r>
        <w:t xml:space="preserve"> This is the correct paragraph reference. </w:t>
      </w:r>
      <w:r w:rsidR="000B4C3E">
        <w:rPr>
          <w:rStyle w:val="Referencingstyle"/>
        </w:rPr>
        <w:t>[Schedule #, i</w:t>
      </w:r>
      <w:r w:rsidRPr="00AA6581">
        <w:rPr>
          <w:rStyle w:val="Referencingstyle"/>
        </w:rPr>
        <w:t xml:space="preserve">tem </w:t>
      </w:r>
      <w:r w:rsidRPr="004F6EC2">
        <w:rPr>
          <w:rStyle w:val="Referencingstyle"/>
        </w:rPr>
        <w:t>3</w:t>
      </w:r>
      <w:r w:rsidR="000B4C3E">
        <w:rPr>
          <w:rStyle w:val="Referencingstyle"/>
        </w:rPr>
        <w:t>4</w:t>
      </w:r>
      <w:r w:rsidRPr="004F6EC2">
        <w:rPr>
          <w:rStyle w:val="Referencingstyle"/>
        </w:rPr>
        <w:t>, subsection 40-180(4) (note) of the ITAA 1997]</w:t>
      </w:r>
    </w:p>
    <w:p w14:paraId="69D84CC2" w14:textId="77777777" w:rsidR="0014351A" w:rsidRPr="00DB21A5" w:rsidRDefault="0014351A" w:rsidP="006F552F">
      <w:pPr>
        <w:pStyle w:val="ActHeading"/>
      </w:pPr>
      <w:r w:rsidRPr="00DB21A5">
        <w:t>Inconsistent use of term ‘</w:t>
      </w:r>
      <w:proofErr w:type="spellStart"/>
      <w:r w:rsidRPr="00DB21A5">
        <w:t>live stock</w:t>
      </w:r>
      <w:proofErr w:type="spellEnd"/>
      <w:r w:rsidRPr="00DB21A5">
        <w:t>’ in the ITAA 1997</w:t>
      </w:r>
    </w:p>
    <w:p w14:paraId="2A059D99" w14:textId="418C7C0C" w:rsidR="0014351A" w:rsidRDefault="0014351A" w:rsidP="0014351A">
      <w:pPr>
        <w:pStyle w:val="base-text-paragraph"/>
      </w:pPr>
      <w:r w:rsidRPr="00555111">
        <w:t xml:space="preserve">Subsection 995-1(1) of the ITAA 1997 includes a definition of </w:t>
      </w:r>
      <w:proofErr w:type="spellStart"/>
      <w:r w:rsidRPr="00EA1362">
        <w:t>live stock</w:t>
      </w:r>
      <w:proofErr w:type="spellEnd"/>
      <w:r w:rsidRPr="00EA1362">
        <w:t>.</w:t>
      </w:r>
      <w:r w:rsidRPr="00555111">
        <w:t xml:space="preserve"> However, </w:t>
      </w:r>
      <w:r>
        <w:t>p</w:t>
      </w:r>
      <w:r w:rsidRPr="00271A70">
        <w:t xml:space="preserve">rior to the amendments made by </w:t>
      </w:r>
      <w:r w:rsidR="00F148A5">
        <w:t>this Schedule</w:t>
      </w:r>
      <w:r>
        <w:t xml:space="preserve">, </w:t>
      </w:r>
      <w:r w:rsidRPr="00555111">
        <w:t xml:space="preserve">the ITAA 1997 </w:t>
      </w:r>
      <w:r>
        <w:t>used ‘</w:t>
      </w:r>
      <w:r w:rsidRPr="00555111">
        <w:t>livestock</w:t>
      </w:r>
      <w:r>
        <w:t>’</w:t>
      </w:r>
      <w:r w:rsidRPr="00555111">
        <w:t xml:space="preserve"> (without a space) in several places instead of </w:t>
      </w:r>
      <w:r>
        <w:t>‘</w:t>
      </w:r>
      <w:proofErr w:type="spellStart"/>
      <w:r>
        <w:t>live stock</w:t>
      </w:r>
      <w:proofErr w:type="spellEnd"/>
      <w:r>
        <w:t>’</w:t>
      </w:r>
      <w:r w:rsidRPr="00555111">
        <w:t>.</w:t>
      </w:r>
      <w:r>
        <w:t xml:space="preserve"> </w:t>
      </w:r>
      <w:r w:rsidR="00F148A5">
        <w:t>This Schedule</w:t>
      </w:r>
      <w:r>
        <w:t xml:space="preserve"> amends v</w:t>
      </w:r>
      <w:r w:rsidRPr="002461FE">
        <w:t>arious provisions of the ITAA 1997</w:t>
      </w:r>
      <w:r>
        <w:t xml:space="preserve"> to change references from ‘livestock’ to ‘</w:t>
      </w:r>
      <w:proofErr w:type="spellStart"/>
      <w:r>
        <w:t>live stock</w:t>
      </w:r>
      <w:proofErr w:type="spellEnd"/>
      <w:r>
        <w:t xml:space="preserve">’ for consistency throughout the Act. </w:t>
      </w:r>
      <w:r w:rsidRPr="00394615">
        <w:rPr>
          <w:rStyle w:val="Referencingstyle"/>
        </w:rPr>
        <w:t>[</w:t>
      </w:r>
      <w:r w:rsidR="00466364">
        <w:rPr>
          <w:rStyle w:val="Referencingstyle"/>
        </w:rPr>
        <w:t>Schedule #, i</w:t>
      </w:r>
      <w:r w:rsidRPr="00394615">
        <w:rPr>
          <w:rStyle w:val="Referencingstyle"/>
        </w:rPr>
        <w:t xml:space="preserve">tems </w:t>
      </w:r>
      <w:r>
        <w:rPr>
          <w:rStyle w:val="Referencingstyle"/>
        </w:rPr>
        <w:t>3</w:t>
      </w:r>
      <w:r w:rsidR="00466364">
        <w:rPr>
          <w:rStyle w:val="Referencingstyle"/>
        </w:rPr>
        <w:t>5</w:t>
      </w:r>
      <w:r>
        <w:rPr>
          <w:rStyle w:val="Referencingstyle"/>
        </w:rPr>
        <w:t>, 4</w:t>
      </w:r>
      <w:r w:rsidR="00466364">
        <w:rPr>
          <w:rStyle w:val="Referencingstyle"/>
        </w:rPr>
        <w:t>7</w:t>
      </w:r>
      <w:r>
        <w:rPr>
          <w:rStyle w:val="Referencingstyle"/>
        </w:rPr>
        <w:t>, 48, 5</w:t>
      </w:r>
      <w:r w:rsidR="00466364">
        <w:rPr>
          <w:rStyle w:val="Referencingstyle"/>
        </w:rPr>
        <w:t>0</w:t>
      </w:r>
      <w:r>
        <w:rPr>
          <w:rStyle w:val="Referencingstyle"/>
        </w:rPr>
        <w:t>, 51, 5</w:t>
      </w:r>
      <w:r w:rsidR="00466364">
        <w:rPr>
          <w:rStyle w:val="Referencingstyle"/>
        </w:rPr>
        <w:t>5</w:t>
      </w:r>
      <w:r>
        <w:rPr>
          <w:rStyle w:val="Referencingstyle"/>
        </w:rPr>
        <w:t xml:space="preserve"> and 69 to 71</w:t>
      </w:r>
      <w:r w:rsidRPr="00394615">
        <w:rPr>
          <w:rStyle w:val="Referencingstyle"/>
        </w:rPr>
        <w:t xml:space="preserve">, </w:t>
      </w:r>
      <w:r w:rsidRPr="001D0DC8">
        <w:rPr>
          <w:rStyle w:val="Referencingstyle"/>
        </w:rPr>
        <w:t>s</w:t>
      </w:r>
      <w:r w:rsidRPr="003A2B21">
        <w:rPr>
          <w:rStyle w:val="Referencingstyle"/>
        </w:rPr>
        <w:t xml:space="preserve">ubsection 40-520(1), </w:t>
      </w:r>
      <w:r w:rsidRPr="00FE4439">
        <w:rPr>
          <w:rStyle w:val="Referencingstyle"/>
        </w:rPr>
        <w:t>subsections 124-784B(2) and 124-784B(2</w:t>
      </w:r>
      <w:r w:rsidRPr="002407F3">
        <w:rPr>
          <w:rStyle w:val="Referencingstyle"/>
        </w:rPr>
        <w:t>),</w:t>
      </w:r>
      <w:r w:rsidRPr="00394615">
        <w:rPr>
          <w:rStyle w:val="Referencingstyle"/>
        </w:rPr>
        <w:t xml:space="preserve"> </w:t>
      </w:r>
      <w:r w:rsidRPr="001D0DC8">
        <w:rPr>
          <w:rStyle w:val="Referencingstyle"/>
        </w:rPr>
        <w:t>p</w:t>
      </w:r>
      <w:r w:rsidRPr="003A2B21">
        <w:rPr>
          <w:rStyle w:val="Referencingstyle"/>
        </w:rPr>
        <w:t>aragraph</w:t>
      </w:r>
      <w:r w:rsidRPr="00FE4439">
        <w:rPr>
          <w:rStyle w:val="Referencingstyle"/>
        </w:rPr>
        <w:t>s 165-60(3)(a),</w:t>
      </w:r>
      <w:r w:rsidR="009C2F8D">
        <w:rPr>
          <w:rStyle w:val="Referencingstyle"/>
        </w:rPr>
        <w:br/>
      </w:r>
      <w:r w:rsidRPr="00FE4439">
        <w:rPr>
          <w:rStyle w:val="Referencingstyle"/>
        </w:rPr>
        <w:t>165-60(3)(b), 701-25(4)(b), 701-35(4)(b), and 705-30(1)(b), and section 328-285 (note 2) of the ITAA 1997]</w:t>
      </w:r>
    </w:p>
    <w:p w14:paraId="6802BA71" w14:textId="77777777" w:rsidR="0014351A" w:rsidRPr="00DB21A5" w:rsidRDefault="0014351A" w:rsidP="006F552F">
      <w:pPr>
        <w:pStyle w:val="ActHeading"/>
      </w:pPr>
      <w:r w:rsidRPr="00DB21A5">
        <w:t>Formatting changes in the ITAA 1997</w:t>
      </w:r>
    </w:p>
    <w:p w14:paraId="4BB777A9" w14:textId="7513B305" w:rsidR="0014351A" w:rsidRDefault="0014351A" w:rsidP="0014351A">
      <w:pPr>
        <w:pStyle w:val="base-text-paragraph"/>
      </w:pPr>
      <w:r w:rsidRPr="001201F2">
        <w:t>Subsection 122</w:t>
      </w:r>
      <w:r w:rsidRPr="001201F2">
        <w:noBreakHyphen/>
      </w:r>
      <w:proofErr w:type="gramStart"/>
      <w:r w:rsidRPr="001201F2">
        <w:t>25(</w:t>
      </w:r>
      <w:proofErr w:type="gramEnd"/>
      <w:r w:rsidRPr="001201F2">
        <w:t xml:space="preserve">3) of the ITAA 1997 includes a definition of </w:t>
      </w:r>
      <w:r>
        <w:t>‘</w:t>
      </w:r>
      <w:r w:rsidRPr="001201F2">
        <w:t>precluded asset</w:t>
      </w:r>
      <w:r>
        <w:t>’</w:t>
      </w:r>
      <w:r w:rsidRPr="001201F2">
        <w:t xml:space="preserve">. </w:t>
      </w:r>
      <w:r w:rsidR="00F148A5">
        <w:t>This Schedule</w:t>
      </w:r>
      <w:r>
        <w:t xml:space="preserve"> amends t</w:t>
      </w:r>
      <w:r w:rsidRPr="001201F2">
        <w:t>he</w:t>
      </w:r>
      <w:r>
        <w:t xml:space="preserve"> subsection to ensure ‘precluded asset’ is </w:t>
      </w:r>
      <w:r w:rsidRPr="001201F2">
        <w:t xml:space="preserve">bolded and italicised in line with </w:t>
      </w:r>
      <w:r>
        <w:t xml:space="preserve">the </w:t>
      </w:r>
      <w:r w:rsidRPr="001201F2">
        <w:t>drafting practice throughout the Act.</w:t>
      </w:r>
      <w:r>
        <w:t xml:space="preserve"> </w:t>
      </w:r>
      <w:r w:rsidRPr="003F75BC">
        <w:rPr>
          <w:rStyle w:val="Referencingstyle"/>
        </w:rPr>
        <w:t>[</w:t>
      </w:r>
      <w:r w:rsidR="00466364">
        <w:rPr>
          <w:rStyle w:val="Referencingstyle"/>
        </w:rPr>
        <w:t>Schedule #, i</w:t>
      </w:r>
      <w:r w:rsidRPr="003F75BC">
        <w:rPr>
          <w:rStyle w:val="Referencingstyle"/>
        </w:rPr>
        <w:t>tem 4</w:t>
      </w:r>
      <w:r w:rsidR="00466364">
        <w:rPr>
          <w:rStyle w:val="Referencingstyle"/>
        </w:rPr>
        <w:t>6</w:t>
      </w:r>
      <w:r w:rsidRPr="003F75BC">
        <w:rPr>
          <w:rStyle w:val="Referencingstyle"/>
        </w:rPr>
        <w:t>, subsection 122-25(3) of the ITAA 1997]</w:t>
      </w:r>
    </w:p>
    <w:p w14:paraId="01F3F6DF" w14:textId="37BFD859" w:rsidR="0014351A" w:rsidRPr="00DB21A5" w:rsidRDefault="0014351A" w:rsidP="006F552F">
      <w:pPr>
        <w:pStyle w:val="ActHeading"/>
      </w:pPr>
      <w:r w:rsidRPr="00DB21A5">
        <w:t>Missi</w:t>
      </w:r>
      <w:r>
        <w:t>ng asterisks for defined phrase</w:t>
      </w:r>
      <w:r w:rsidRPr="00DB21A5">
        <w:t xml:space="preserve"> in the ITAA 1997</w:t>
      </w:r>
    </w:p>
    <w:p w14:paraId="07528AA7" w14:textId="0AC044CB" w:rsidR="0014351A" w:rsidRPr="00CC0281" w:rsidRDefault="0014351A" w:rsidP="0014351A">
      <w:pPr>
        <w:pStyle w:val="base-text-paragraph"/>
        <w:rPr>
          <w:b/>
        </w:rPr>
      </w:pPr>
      <w:r w:rsidRPr="00AB1DE4">
        <w:t xml:space="preserve">Prior to the amendments made by </w:t>
      </w:r>
      <w:r w:rsidR="00F148A5">
        <w:t>this Schedule</w:t>
      </w:r>
      <w:r>
        <w:t>, p</w:t>
      </w:r>
      <w:r w:rsidRPr="00751137">
        <w:t>aragraphs 149</w:t>
      </w:r>
      <w:r w:rsidR="008F6AA8">
        <w:noBreakHyphen/>
      </w:r>
      <w:proofErr w:type="gramStart"/>
      <w:r w:rsidRPr="00751137">
        <w:t>15(</w:t>
      </w:r>
      <w:proofErr w:type="gramEnd"/>
      <w:r w:rsidRPr="00751137">
        <w:t xml:space="preserve">3)(e) and 165-202(1)(c) of the ITAA 1997 use the defined phrase </w:t>
      </w:r>
      <w:r>
        <w:t>‘</w:t>
      </w:r>
      <w:r w:rsidRPr="00751137">
        <w:t>local governing body</w:t>
      </w:r>
      <w:r>
        <w:t>’</w:t>
      </w:r>
      <w:r w:rsidRPr="00751137">
        <w:t xml:space="preserve"> without asterisks. </w:t>
      </w:r>
      <w:r w:rsidR="00F148A5">
        <w:t>This Schedule</w:t>
      </w:r>
      <w:r>
        <w:t xml:space="preserve"> inserts the missing asterisks to make the paragraphs </w:t>
      </w:r>
      <w:r w:rsidRPr="00751137">
        <w:t xml:space="preserve">consistent with </w:t>
      </w:r>
      <w:r>
        <w:t xml:space="preserve">the </w:t>
      </w:r>
      <w:r w:rsidRPr="00751137">
        <w:t>drafting in the rest of the Act.</w:t>
      </w:r>
      <w:r>
        <w:t xml:space="preserve"> </w:t>
      </w:r>
      <w:r w:rsidRPr="001D0DC8">
        <w:rPr>
          <w:rStyle w:val="Referencingstyle"/>
        </w:rPr>
        <w:t>[</w:t>
      </w:r>
      <w:r w:rsidR="00466364">
        <w:rPr>
          <w:rStyle w:val="Referencingstyle"/>
        </w:rPr>
        <w:t>Schedule #, i</w:t>
      </w:r>
      <w:r w:rsidRPr="001D0DC8">
        <w:rPr>
          <w:rStyle w:val="Referencingstyle"/>
        </w:rPr>
        <w:t xml:space="preserve">tems </w:t>
      </w:r>
      <w:r w:rsidR="00466364">
        <w:rPr>
          <w:rStyle w:val="Referencingstyle"/>
        </w:rPr>
        <w:t>49</w:t>
      </w:r>
      <w:r w:rsidRPr="001D0DC8">
        <w:rPr>
          <w:rStyle w:val="Referencingstyle"/>
        </w:rPr>
        <w:t xml:space="preserve"> and 5</w:t>
      </w:r>
      <w:r w:rsidR="00466364">
        <w:rPr>
          <w:rStyle w:val="Referencingstyle"/>
        </w:rPr>
        <w:t>3</w:t>
      </w:r>
      <w:r w:rsidRPr="001D0DC8">
        <w:rPr>
          <w:rStyle w:val="Referencingstyle"/>
        </w:rPr>
        <w:t>, paragraphs 149-15(3)(e) and 165</w:t>
      </w:r>
      <w:r>
        <w:rPr>
          <w:rStyle w:val="Referencingstyle"/>
        </w:rPr>
        <w:noBreakHyphen/>
      </w:r>
      <w:r w:rsidRPr="001D0DC8">
        <w:rPr>
          <w:rStyle w:val="Referencingstyle"/>
        </w:rPr>
        <w:t>202(1)(c) of the ITAA 1997]</w:t>
      </w:r>
    </w:p>
    <w:p w14:paraId="500B0D7A" w14:textId="77777777" w:rsidR="0014351A" w:rsidRPr="00DB21A5" w:rsidRDefault="0014351A" w:rsidP="006F552F">
      <w:pPr>
        <w:pStyle w:val="ActHeading"/>
      </w:pPr>
      <w:r w:rsidRPr="00DB21A5">
        <w:t>Correcting paragraph referencing in the ITAA 1997</w:t>
      </w:r>
    </w:p>
    <w:p w14:paraId="5310DE75" w14:textId="7E525115" w:rsidR="0014351A" w:rsidRPr="00EB0315" w:rsidRDefault="0014351A" w:rsidP="0014351A">
      <w:pPr>
        <w:pStyle w:val="base-text-paragraph"/>
        <w:rPr>
          <w:b/>
        </w:rPr>
      </w:pPr>
      <w:r w:rsidRPr="00CD21B5">
        <w:t>Subsection 165</w:t>
      </w:r>
      <w:r w:rsidRPr="00CD21B5">
        <w:noBreakHyphen/>
      </w:r>
      <w:proofErr w:type="gramStart"/>
      <w:r w:rsidRPr="00CD21B5">
        <w:t>115A(</w:t>
      </w:r>
      <w:proofErr w:type="gramEnd"/>
      <w:r w:rsidRPr="00CD21B5">
        <w:t xml:space="preserve">1A) of the ITAA 1997 refers to paragraph 165-115A(1)(c). </w:t>
      </w:r>
      <w:r w:rsidR="00F148A5">
        <w:t>This Schedule</w:t>
      </w:r>
      <w:r>
        <w:t xml:space="preserve"> corrects the reference</w:t>
      </w:r>
      <w:r w:rsidRPr="003066A5">
        <w:t xml:space="preserve"> </w:t>
      </w:r>
      <w:r w:rsidRPr="00CD21B5">
        <w:t xml:space="preserve">to </w:t>
      </w:r>
      <w:r>
        <w:t>‘</w:t>
      </w:r>
      <w:r w:rsidRPr="00CD21B5">
        <w:t>paragraph (1</w:t>
      </w:r>
      <w:proofErr w:type="gramStart"/>
      <w:r w:rsidRPr="00CD21B5">
        <w:t>)(</w:t>
      </w:r>
      <w:proofErr w:type="gramEnd"/>
      <w:r w:rsidRPr="00CD21B5">
        <w:t>c)</w:t>
      </w:r>
      <w:r>
        <w:t>’</w:t>
      </w:r>
      <w:r w:rsidRPr="00CD21B5">
        <w:t xml:space="preserve"> because the referenced paragraph is in the same section</w:t>
      </w:r>
      <w:r>
        <w:t xml:space="preserve">. </w:t>
      </w:r>
      <w:r w:rsidRPr="005B3F5E">
        <w:rPr>
          <w:rStyle w:val="Referencingstyle"/>
        </w:rPr>
        <w:t>[</w:t>
      </w:r>
      <w:r w:rsidR="00466364">
        <w:rPr>
          <w:rStyle w:val="Referencingstyle"/>
        </w:rPr>
        <w:t>Schedule #, i</w:t>
      </w:r>
      <w:r w:rsidRPr="005B3F5E">
        <w:rPr>
          <w:rStyle w:val="Referencingstyle"/>
        </w:rPr>
        <w:t>tem 5</w:t>
      </w:r>
      <w:r w:rsidR="00466364">
        <w:rPr>
          <w:rStyle w:val="Referencingstyle"/>
        </w:rPr>
        <w:t>2</w:t>
      </w:r>
      <w:r w:rsidRPr="005B3F5E">
        <w:rPr>
          <w:rStyle w:val="Referencingstyle"/>
        </w:rPr>
        <w:t>, subsection 165-115A(1A) of the ITAA 1997]</w:t>
      </w:r>
    </w:p>
    <w:p w14:paraId="62F2E781" w14:textId="77777777" w:rsidR="009C2F8D" w:rsidRDefault="009C2F8D">
      <w:pPr>
        <w:spacing w:before="0" w:after="0"/>
        <w:rPr>
          <w:b/>
          <w:i/>
        </w:rPr>
      </w:pPr>
      <w:r>
        <w:br w:type="page"/>
      </w:r>
    </w:p>
    <w:p w14:paraId="2F2CCEF5" w14:textId="3BA2786E" w:rsidR="0014351A" w:rsidRPr="00DB21A5" w:rsidRDefault="0014351A" w:rsidP="006F552F">
      <w:pPr>
        <w:pStyle w:val="ActHeading"/>
      </w:pPr>
      <w:r w:rsidRPr="00DB21A5">
        <w:lastRenderedPageBreak/>
        <w:t>Missing word in the ITAA 1997</w:t>
      </w:r>
    </w:p>
    <w:p w14:paraId="650C4E57" w14:textId="447AB8A4" w:rsidR="0014351A" w:rsidRPr="00A3670F" w:rsidRDefault="0014351A" w:rsidP="0014351A">
      <w:pPr>
        <w:pStyle w:val="base-text-paragraph"/>
      </w:pPr>
      <w:r w:rsidRPr="00FE3831">
        <w:t>Subsection 307-290(3) of the ITAA 1997</w:t>
      </w:r>
      <w:r w:rsidRPr="00A16830">
        <w:t xml:space="preserve"> sets out a formula used to calculate the taxable component of a superannuation lump sum. </w:t>
      </w:r>
      <w:r w:rsidR="00F148A5">
        <w:t>This Schedule</w:t>
      </w:r>
      <w:r>
        <w:t xml:space="preserve"> adds the missing</w:t>
      </w:r>
      <w:r w:rsidRPr="00A16830">
        <w:t xml:space="preserve"> word </w:t>
      </w:r>
      <w:r w:rsidR="005A6E2D">
        <w:t>‘</w:t>
      </w:r>
      <w:r w:rsidRPr="00A16830">
        <w:t>where</w:t>
      </w:r>
      <w:r w:rsidR="005A6E2D">
        <w:t>’</w:t>
      </w:r>
      <w:r w:rsidRPr="00A16830">
        <w:t xml:space="preserve"> after the formula but before the terms used in the formula are explained.</w:t>
      </w:r>
      <w:r>
        <w:t xml:space="preserve"> </w:t>
      </w:r>
      <w:r w:rsidRPr="005B3F5E">
        <w:rPr>
          <w:rStyle w:val="Referencingstyle"/>
        </w:rPr>
        <w:t>[</w:t>
      </w:r>
      <w:r w:rsidR="00466364">
        <w:rPr>
          <w:rStyle w:val="Referencingstyle"/>
        </w:rPr>
        <w:t>Schedule #, i</w:t>
      </w:r>
      <w:r w:rsidRPr="005B3F5E">
        <w:rPr>
          <w:rStyle w:val="Referencingstyle"/>
        </w:rPr>
        <w:t>tem 5</w:t>
      </w:r>
      <w:r w:rsidR="00466364">
        <w:rPr>
          <w:rStyle w:val="Referencingstyle"/>
        </w:rPr>
        <w:t>4</w:t>
      </w:r>
      <w:r w:rsidRPr="005B3F5E">
        <w:rPr>
          <w:rStyle w:val="Referencingstyle"/>
        </w:rPr>
        <w:t>, subsection 307-290(3) of the ITAA 1997]</w:t>
      </w:r>
    </w:p>
    <w:p w14:paraId="27B42D4C" w14:textId="77777777" w:rsidR="004B4FDC" w:rsidRPr="00DB21A5" w:rsidRDefault="004B4FDC" w:rsidP="006F552F">
      <w:pPr>
        <w:pStyle w:val="ActHeading"/>
      </w:pPr>
      <w:r w:rsidRPr="00DB21A5">
        <w:t>Consequential amendments relating to the standardisation of the definition of Australia across the tax law</w:t>
      </w:r>
      <w:r>
        <w:t xml:space="preserve"> and </w:t>
      </w:r>
      <w:r w:rsidRPr="00B947A2">
        <w:t xml:space="preserve">Norfolk Island </w:t>
      </w:r>
      <w:r>
        <w:t>tax r</w:t>
      </w:r>
      <w:r w:rsidRPr="00B947A2">
        <w:t>eforms</w:t>
      </w:r>
    </w:p>
    <w:p w14:paraId="4FE15480" w14:textId="457FC0A9" w:rsidR="004B4FDC" w:rsidRDefault="004B4FDC" w:rsidP="004B4FDC">
      <w:pPr>
        <w:pStyle w:val="base-text-paragraph"/>
      </w:pPr>
      <w:r w:rsidRPr="00DC7EDE">
        <w:t xml:space="preserve">Schedule 4 to the </w:t>
      </w:r>
      <w:r w:rsidRPr="00B925A3">
        <w:rPr>
          <w:i/>
        </w:rPr>
        <w:t>Treasury Legislation Amendment (Repeal Day) Act 2015</w:t>
      </w:r>
      <w:r w:rsidRPr="00DC7EDE">
        <w:t xml:space="preserve"> made various amendments to the tax law as part of rewriting and standardising the definition of ‘Australia’ for income tax purposes</w:t>
      </w:r>
      <w:r w:rsidR="00970EDF">
        <w:t xml:space="preserve">. </w:t>
      </w:r>
      <w:r w:rsidR="00B925A3">
        <w:t xml:space="preserve">A </w:t>
      </w:r>
      <w:r w:rsidRPr="00DC7EDE">
        <w:t xml:space="preserve">number of consequential amendments to Division 355 of the ITAA 1997 and the </w:t>
      </w:r>
      <w:r w:rsidRPr="00B925A3">
        <w:rPr>
          <w:i/>
        </w:rPr>
        <w:t>Industry Research and Development Act 1986</w:t>
      </w:r>
      <w:r w:rsidRPr="00DC7EDE">
        <w:t xml:space="preserve"> </w:t>
      </w:r>
      <w:r>
        <w:t>(</w:t>
      </w:r>
      <w:r w:rsidR="009C2F8D" w:rsidRPr="00CD48D7">
        <w:t>IRDA</w:t>
      </w:r>
      <w:r w:rsidR="009C2F8D">
        <w:t> </w:t>
      </w:r>
      <w:r w:rsidRPr="00CD48D7">
        <w:t>1986</w:t>
      </w:r>
      <w:r>
        <w:t>)</w:t>
      </w:r>
      <w:r w:rsidR="00B925A3">
        <w:t xml:space="preserve"> were not made </w:t>
      </w:r>
      <w:r w:rsidRPr="00DC7EDE">
        <w:t>to reflect the new terminology.</w:t>
      </w:r>
      <w:r w:rsidRPr="005D5610">
        <w:t xml:space="preserve"> </w:t>
      </w:r>
    </w:p>
    <w:p w14:paraId="12739FD3" w14:textId="510EE73D" w:rsidR="004B4FDC" w:rsidRDefault="004B4FDC" w:rsidP="004B4FDC">
      <w:pPr>
        <w:pStyle w:val="base-text-paragraph"/>
      </w:pPr>
      <w:r w:rsidRPr="005D5610">
        <w:t>Division 355 of the ITAA 1997 (Research and Development) contain</w:t>
      </w:r>
      <w:r>
        <w:t>ed</w:t>
      </w:r>
      <w:r w:rsidRPr="005D5610">
        <w:t xml:space="preserve"> references to ‘Australia or an external Territory’ or ‘Australia and the external Territories’. The definition of ‘Australia’ in the ITAA 1997 already includes the external territories</w:t>
      </w:r>
      <w:r>
        <w:t>,</w:t>
      </w:r>
      <w:r w:rsidRPr="005D5610">
        <w:t xml:space="preserve"> making the additional words unnecessary.</w:t>
      </w:r>
      <w:r>
        <w:t xml:space="preserve"> </w:t>
      </w:r>
      <w:r w:rsidR="00F148A5">
        <w:t>This Schedule</w:t>
      </w:r>
      <w:r>
        <w:t xml:space="preserve"> removes these unnecessary references in </w:t>
      </w:r>
      <w:r w:rsidRPr="0074152B">
        <w:t>Division</w:t>
      </w:r>
      <w:r w:rsidR="005A6E2D">
        <w:t> </w:t>
      </w:r>
      <w:r w:rsidRPr="0074152B">
        <w:t>355 of the ITAA 1997.</w:t>
      </w:r>
      <w:r>
        <w:t xml:space="preserve"> </w:t>
      </w:r>
      <w:r w:rsidRPr="00E55469">
        <w:rPr>
          <w:rStyle w:val="Referencingstyle"/>
        </w:rPr>
        <w:t>[</w:t>
      </w:r>
      <w:r w:rsidR="004820A1">
        <w:rPr>
          <w:rStyle w:val="Referencingstyle"/>
        </w:rPr>
        <w:t>Schedule #, i</w:t>
      </w:r>
      <w:r w:rsidRPr="005975DF">
        <w:rPr>
          <w:rStyle w:val="Referencingstyle"/>
        </w:rPr>
        <w:t xml:space="preserve">tems </w:t>
      </w:r>
      <w:r w:rsidRPr="00E55469">
        <w:rPr>
          <w:rStyle w:val="Referencingstyle"/>
        </w:rPr>
        <w:t>5</w:t>
      </w:r>
      <w:r w:rsidR="004820A1">
        <w:rPr>
          <w:rStyle w:val="Referencingstyle"/>
        </w:rPr>
        <w:t>6</w:t>
      </w:r>
      <w:r w:rsidRPr="00E55469">
        <w:rPr>
          <w:rStyle w:val="Referencingstyle"/>
        </w:rPr>
        <w:t xml:space="preserve"> to 6</w:t>
      </w:r>
      <w:r w:rsidR="004820A1">
        <w:rPr>
          <w:rStyle w:val="Referencingstyle"/>
        </w:rPr>
        <w:t>4</w:t>
      </w:r>
      <w:r w:rsidRPr="00E55469">
        <w:rPr>
          <w:rStyle w:val="Referencingstyle"/>
        </w:rPr>
        <w:t>, s</w:t>
      </w:r>
      <w:r w:rsidRPr="005975DF">
        <w:rPr>
          <w:rStyle w:val="Referencingstyle"/>
        </w:rPr>
        <w:t>ubparagraphs</w:t>
      </w:r>
      <w:r w:rsidR="009C2F8D">
        <w:rPr>
          <w:rStyle w:val="Referencingstyle"/>
        </w:rPr>
        <w:br/>
      </w:r>
      <w:r w:rsidRPr="005975DF">
        <w:rPr>
          <w:rStyle w:val="Referencingstyle"/>
        </w:rPr>
        <w:t>355-210(1)(d)(</w:t>
      </w:r>
      <w:proofErr w:type="spellStart"/>
      <w:r w:rsidRPr="005975DF">
        <w:rPr>
          <w:rStyle w:val="Referencingstyle"/>
        </w:rPr>
        <w:t>i</w:t>
      </w:r>
      <w:proofErr w:type="spellEnd"/>
      <w:r w:rsidRPr="005975DF">
        <w:rPr>
          <w:rStyle w:val="Referencingstyle"/>
        </w:rPr>
        <w:t>), 355-210(1)(e)(</w:t>
      </w:r>
      <w:proofErr w:type="spellStart"/>
      <w:r w:rsidRPr="005975DF">
        <w:rPr>
          <w:rStyle w:val="Referencingstyle"/>
        </w:rPr>
        <w:t>i</w:t>
      </w:r>
      <w:proofErr w:type="spellEnd"/>
      <w:r w:rsidRPr="005975DF">
        <w:rPr>
          <w:rStyle w:val="Referencingstyle"/>
        </w:rPr>
        <w:t>)</w:t>
      </w:r>
      <w:r w:rsidRPr="00AF0D73">
        <w:rPr>
          <w:rStyle w:val="Referencingstyle"/>
        </w:rPr>
        <w:t xml:space="preserve"> and (ii), </w:t>
      </w:r>
      <w:r w:rsidRPr="00E640A9">
        <w:rPr>
          <w:rStyle w:val="Referencingstyle"/>
        </w:rPr>
        <w:t>355-215(b)(</w:t>
      </w:r>
      <w:proofErr w:type="spellStart"/>
      <w:r w:rsidRPr="00E640A9">
        <w:rPr>
          <w:rStyle w:val="Referencingstyle"/>
        </w:rPr>
        <w:t>i</w:t>
      </w:r>
      <w:proofErr w:type="spellEnd"/>
      <w:r w:rsidRPr="00E640A9">
        <w:rPr>
          <w:rStyle w:val="Referencingstyle"/>
        </w:rPr>
        <w:t>) and 355-220(1)(b)(</w:t>
      </w:r>
      <w:proofErr w:type="spellStart"/>
      <w:r w:rsidRPr="00E640A9">
        <w:rPr>
          <w:rStyle w:val="Referencingstyle"/>
        </w:rPr>
        <w:t>i</w:t>
      </w:r>
      <w:proofErr w:type="spellEnd"/>
      <w:r w:rsidRPr="00E640A9">
        <w:rPr>
          <w:rStyle w:val="Referencingstyle"/>
        </w:rPr>
        <w:t>), paragraphs</w:t>
      </w:r>
      <w:r w:rsidR="004820A1">
        <w:rPr>
          <w:rStyle w:val="Referencingstyle"/>
        </w:rPr>
        <w:t xml:space="preserve"> </w:t>
      </w:r>
      <w:r w:rsidRPr="00E640A9">
        <w:rPr>
          <w:rStyle w:val="Referencingstyle"/>
        </w:rPr>
        <w:t>355-210(1)(a), 355</w:t>
      </w:r>
      <w:r w:rsidRPr="00E640A9">
        <w:rPr>
          <w:rStyle w:val="Referencingstyle"/>
        </w:rPr>
        <w:noBreakHyphen/>
        <w:t>215(a) and 355-220(1)(a),</w:t>
      </w:r>
      <w:r w:rsidRPr="00E55469">
        <w:rPr>
          <w:rStyle w:val="Referencingstyle"/>
        </w:rPr>
        <w:t xml:space="preserve"> </w:t>
      </w:r>
      <w:r w:rsidRPr="00E640A9">
        <w:rPr>
          <w:rStyle w:val="Referencingstyle"/>
        </w:rPr>
        <w:t xml:space="preserve">and subsection 355-210(1) (note) </w:t>
      </w:r>
      <w:r w:rsidRPr="00E55469">
        <w:rPr>
          <w:rStyle w:val="Referencingstyle"/>
        </w:rPr>
        <w:t xml:space="preserve"> </w:t>
      </w:r>
      <w:r w:rsidRPr="00E640A9">
        <w:rPr>
          <w:rStyle w:val="Referencingstyle"/>
        </w:rPr>
        <w:t>of the ITAA 1997]</w:t>
      </w:r>
    </w:p>
    <w:p w14:paraId="78C715A6" w14:textId="6D9B37ED" w:rsidR="004B4FDC" w:rsidRPr="00AF0D73" w:rsidRDefault="004B4FDC" w:rsidP="004B4FDC">
      <w:pPr>
        <w:pStyle w:val="base-text-paragraph"/>
      </w:pPr>
      <w:r w:rsidRPr="008F7CB6">
        <w:t xml:space="preserve">Prior to the amendments made by </w:t>
      </w:r>
      <w:r w:rsidR="00F148A5">
        <w:t>this Schedule</w:t>
      </w:r>
      <w:r>
        <w:t>,</w:t>
      </w:r>
      <w:r w:rsidRPr="008F7CB6">
        <w:t xml:space="preserve"> </w:t>
      </w:r>
      <w:r>
        <w:t>t</w:t>
      </w:r>
      <w:r w:rsidRPr="0040574F">
        <w:t xml:space="preserve">he </w:t>
      </w:r>
      <w:r w:rsidRPr="00CD48D7">
        <w:t xml:space="preserve">IRDA 1986 </w:t>
      </w:r>
      <w:r w:rsidRPr="0040574F">
        <w:t>d</w:t>
      </w:r>
      <w:r>
        <w:t>id</w:t>
      </w:r>
      <w:r w:rsidRPr="0040574F">
        <w:t xml:space="preserve"> not use the definition of ‘Australia’ contained in Subdivision 960-T of the ITAA 1997</w:t>
      </w:r>
      <w:r>
        <w:t xml:space="preserve">. </w:t>
      </w:r>
      <w:r w:rsidRPr="008F7CB6">
        <w:t xml:space="preserve">Prior to the amendments made by </w:t>
      </w:r>
      <w:r w:rsidR="00F148A5">
        <w:t>this Schedule</w:t>
      </w:r>
      <w:r>
        <w:t>, s</w:t>
      </w:r>
      <w:r w:rsidRPr="005D3F02">
        <w:t xml:space="preserve">ection 5 of the </w:t>
      </w:r>
      <w:r w:rsidRPr="00CD48D7">
        <w:t xml:space="preserve">IRDA 1986 </w:t>
      </w:r>
      <w:r w:rsidRPr="005D3F02">
        <w:t>extend</w:t>
      </w:r>
      <w:r>
        <w:t>ed</w:t>
      </w:r>
      <w:r w:rsidRPr="005D3F02">
        <w:t xml:space="preserve"> the operation of the Act to all the external Territories, other than Norfolk Island. With the recent Norfolk Island reforms which bring Norfolk Island fully with</w:t>
      </w:r>
      <w:r w:rsidR="005A6E2D">
        <w:t>in</w:t>
      </w:r>
      <w:r w:rsidRPr="005D3F02">
        <w:t xml:space="preserve"> Australia’s income tax system, the </w:t>
      </w:r>
      <w:r w:rsidR="00A621E8">
        <w:t xml:space="preserve">exclusion of </w:t>
      </w:r>
      <w:r w:rsidRPr="005D3F02">
        <w:t xml:space="preserve">Norfolk Island </w:t>
      </w:r>
      <w:r>
        <w:t>wa</w:t>
      </w:r>
      <w:r w:rsidRPr="005D3F02">
        <w:t>s not appropriate</w:t>
      </w:r>
      <w:r>
        <w:t xml:space="preserve"> (see</w:t>
      </w:r>
      <w:r w:rsidRPr="002E79AC">
        <w:rPr>
          <w:i/>
        </w:rPr>
        <w:t xml:space="preserve"> Tax and Superannuation Laws Amendment (Norfolk Island Reforms) Act 2015</w:t>
      </w:r>
      <w:r>
        <w:rPr>
          <w:i/>
        </w:rPr>
        <w:t>)</w:t>
      </w:r>
      <w:r>
        <w:t xml:space="preserve">. </w:t>
      </w:r>
      <w:r w:rsidR="00F148A5">
        <w:t>This Schedule</w:t>
      </w:r>
      <w:r>
        <w:t xml:space="preserve"> extends the</w:t>
      </w:r>
      <w:r w:rsidRPr="00CD48D7">
        <w:t xml:space="preserve"> </w:t>
      </w:r>
      <w:r>
        <w:t>d</w:t>
      </w:r>
      <w:r w:rsidRPr="00CD48D7">
        <w:t>efinition of ‘Australia’ contained in Subdivision 960-T of the ITAA 1997</w:t>
      </w:r>
      <w:r>
        <w:t xml:space="preserve"> to the </w:t>
      </w:r>
      <w:r w:rsidRPr="00CD48D7">
        <w:t>IRDA 1986</w:t>
      </w:r>
      <w:r>
        <w:rPr>
          <w:i/>
        </w:rPr>
        <w:t xml:space="preserve">, </w:t>
      </w:r>
      <w:r w:rsidRPr="004B1D2E">
        <w:t>as the IRDA 1986 is an Act merely supporting Division 355 of the ITAA 1997. This</w:t>
      </w:r>
      <w:r w:rsidRPr="00CD48D7">
        <w:t xml:space="preserve"> </w:t>
      </w:r>
      <w:r w:rsidR="00A621E8">
        <w:t xml:space="preserve">has the effect of extending </w:t>
      </w:r>
      <w:r w:rsidRPr="00CD48D7">
        <w:t>the operation of the IRDA 1986 to the Norfolk Island.</w:t>
      </w:r>
      <w:r>
        <w:t xml:space="preserve"> </w:t>
      </w:r>
      <w:r w:rsidRPr="00AF0D73">
        <w:rPr>
          <w:rStyle w:val="Referencingstyle"/>
        </w:rPr>
        <w:t>[</w:t>
      </w:r>
      <w:r w:rsidR="004820A1">
        <w:rPr>
          <w:rStyle w:val="Referencingstyle"/>
        </w:rPr>
        <w:t>Schedule #, i</w:t>
      </w:r>
      <w:r w:rsidRPr="00AF0D73">
        <w:rPr>
          <w:rStyle w:val="Referencingstyle"/>
        </w:rPr>
        <w:t xml:space="preserve">tems </w:t>
      </w:r>
      <w:r w:rsidRPr="005975DF">
        <w:rPr>
          <w:rStyle w:val="Referencingstyle"/>
        </w:rPr>
        <w:t>79</w:t>
      </w:r>
      <w:r w:rsidRPr="00AF0D73">
        <w:rPr>
          <w:rStyle w:val="Referencingstyle"/>
        </w:rPr>
        <w:t xml:space="preserve"> and 80, subsection 4(1) and section 5 of the IRDA 1986]</w:t>
      </w:r>
    </w:p>
    <w:p w14:paraId="2EE4090B" w14:textId="70E3848A" w:rsidR="0014351A" w:rsidRPr="00452081" w:rsidRDefault="004B4FDC" w:rsidP="002F6A99">
      <w:pPr>
        <w:pStyle w:val="base-text-paragraph"/>
        <w:rPr>
          <w:rStyle w:val="Referencingstyle"/>
          <w:sz w:val="22"/>
        </w:rPr>
      </w:pPr>
      <w:r w:rsidRPr="004B4FDC">
        <w:t xml:space="preserve">Various provisions in the IRDA 1986 contained references to ‘Australia or an external Territory’ or ‘Australia and the external Territories’. </w:t>
      </w:r>
      <w:r w:rsidR="006D5F9A">
        <w:t>T</w:t>
      </w:r>
      <w:r w:rsidRPr="004B4FDC">
        <w:t xml:space="preserve">hese additional words are unnecessary </w:t>
      </w:r>
      <w:r w:rsidR="006D5F9A">
        <w:t xml:space="preserve">since the insertion of the new definition of Australia in the IRDA 1986 (refer paragraph 1.41), as the definition </w:t>
      </w:r>
      <w:r w:rsidRPr="004B4FDC">
        <w:t>a</w:t>
      </w:r>
      <w:r w:rsidRPr="00452081">
        <w:t xml:space="preserve">lready includes the external territories. </w:t>
      </w:r>
      <w:r w:rsidR="00D56935">
        <w:t xml:space="preserve">This Schedule </w:t>
      </w:r>
      <w:r w:rsidR="00D56935">
        <w:lastRenderedPageBreak/>
        <w:t xml:space="preserve">removes these unnecessary additional words. </w:t>
      </w:r>
      <w:r w:rsidRPr="004B4FDC">
        <w:rPr>
          <w:rStyle w:val="Referencingstyle"/>
        </w:rPr>
        <w:t>[</w:t>
      </w:r>
      <w:r w:rsidR="004820A1">
        <w:rPr>
          <w:rStyle w:val="Referencingstyle"/>
        </w:rPr>
        <w:t>Schedule #, i</w:t>
      </w:r>
      <w:r w:rsidRPr="004B4FDC">
        <w:rPr>
          <w:rStyle w:val="Referencingstyle"/>
        </w:rPr>
        <w:t>tems 81 to 8</w:t>
      </w:r>
      <w:r w:rsidR="004820A1">
        <w:rPr>
          <w:rStyle w:val="Referencingstyle"/>
        </w:rPr>
        <w:t>3</w:t>
      </w:r>
      <w:r w:rsidRPr="004B4FDC">
        <w:rPr>
          <w:rStyle w:val="Referencingstyle"/>
        </w:rPr>
        <w:t>, paragraphs 28D(2)(a</w:t>
      </w:r>
      <w:r w:rsidR="004820A1">
        <w:rPr>
          <w:rStyle w:val="Referencingstyle"/>
        </w:rPr>
        <w:t>)</w:t>
      </w:r>
      <w:r w:rsidRPr="004B4FDC">
        <w:rPr>
          <w:rStyle w:val="Referencingstyle"/>
        </w:rPr>
        <w:t xml:space="preserve"> </w:t>
      </w:r>
      <w:r w:rsidR="004820A1">
        <w:rPr>
          <w:rStyle w:val="Referencingstyle"/>
        </w:rPr>
        <w:t xml:space="preserve">and </w:t>
      </w:r>
      <w:r w:rsidRPr="004B4FDC">
        <w:rPr>
          <w:rStyle w:val="Referencingstyle"/>
        </w:rPr>
        <w:t>28D(5)(b) and (d) and subsection 28D(4) of the IRDA 1986]</w:t>
      </w:r>
    </w:p>
    <w:p w14:paraId="30980D8F" w14:textId="77777777" w:rsidR="004B4FDC" w:rsidRPr="00DB21A5" w:rsidRDefault="004B4FDC" w:rsidP="006F552F">
      <w:pPr>
        <w:pStyle w:val="ActHeading"/>
      </w:pPr>
      <w:r w:rsidRPr="00DB21A5">
        <w:t>Ensuring life insurance companies are entitled to an exploration development incentive tax offset in accordance with the policy intent</w:t>
      </w:r>
    </w:p>
    <w:p w14:paraId="544CEEF4" w14:textId="77777777" w:rsidR="004B4FDC" w:rsidRDefault="004B4FDC" w:rsidP="004B4FDC">
      <w:pPr>
        <w:pStyle w:val="base-text-paragraph"/>
      </w:pPr>
      <w:r>
        <w:t xml:space="preserve">Section 418-15 of the ITAA 1997 determines when a life insurance company will be entitled to an exploration development incentive tax offset. </w:t>
      </w:r>
    </w:p>
    <w:p w14:paraId="2677F5D6" w14:textId="77777777" w:rsidR="004B4FDC" w:rsidRDefault="004B4FDC" w:rsidP="004B4FDC">
      <w:pPr>
        <w:pStyle w:val="base-text-paragraph"/>
      </w:pPr>
      <w:r>
        <w:t>Life insurance companies hold assets wholly on behalf on their policy holders rather than for the benefit of their shareholders. These assets are taxed for income tax and imputation purposes consistently with the treatment those assets would receive if they were held in comparable investment arrangements such as superannuation funds or managed investment trusts.</w:t>
      </w:r>
    </w:p>
    <w:p w14:paraId="631EDB7F" w14:textId="77777777" w:rsidR="004B4FDC" w:rsidRDefault="004B4FDC" w:rsidP="004B4FDC">
      <w:pPr>
        <w:pStyle w:val="base-text-paragraph"/>
      </w:pPr>
      <w:r>
        <w:t xml:space="preserve">Section 418-15 is intended to provide that life insurance companies would be eligible to obtain the exploration development incentive tax offset for that portion of exploration credits they receive in respect of investments they hold on behalf of policy-holders, provided the offset is applied wholly for the benefit of policy-holders.  </w:t>
      </w:r>
    </w:p>
    <w:p w14:paraId="264A7ADE" w14:textId="636091A0" w:rsidR="004B4FDC" w:rsidRPr="004B4FDC" w:rsidRDefault="004B4FDC" w:rsidP="002F6A99">
      <w:pPr>
        <w:pStyle w:val="base-text-paragraph"/>
        <w:rPr>
          <w:rStyle w:val="Referencingstyle"/>
          <w:sz w:val="22"/>
        </w:rPr>
      </w:pPr>
      <w:r>
        <w:t>However, prior to these amendments, section 418-15 did not apply to all exploration credits received by life insurance companies in respect of assets they held on behalf of policy holders</w:t>
      </w:r>
      <w:r w:rsidR="003A6761">
        <w:t xml:space="preserve"> because an incorrect cross-reference was included</w:t>
      </w:r>
      <w:r>
        <w:t xml:space="preserve">. </w:t>
      </w:r>
      <w:r w:rsidR="00F148A5">
        <w:t>This Schedule</w:t>
      </w:r>
      <w:r>
        <w:t xml:space="preserve"> makes amendments to ensure that this provision applies in accordance with the policy intent. The amendments apply </w:t>
      </w:r>
      <w:r w:rsidRPr="00360C88">
        <w:t xml:space="preserve">from the commencement date of item 2 of Schedule 6 to the </w:t>
      </w:r>
      <w:r w:rsidRPr="00A55C1C">
        <w:rPr>
          <w:i/>
        </w:rPr>
        <w:t>Tax and Superannuation Laws Amendment (2014 Measures No. 7) Act 2015</w:t>
      </w:r>
      <w:r>
        <w:t xml:space="preserve"> (which alongside the </w:t>
      </w:r>
      <w:r w:rsidRPr="00250896">
        <w:rPr>
          <w:i/>
        </w:rPr>
        <w:t>Excess Exploration Credit Tax Act 2014</w:t>
      </w:r>
      <w:r w:rsidRPr="00360C88">
        <w:t xml:space="preserve"> </w:t>
      </w:r>
      <w:r>
        <w:t>introduced</w:t>
      </w:r>
      <w:r w:rsidRPr="00360C88">
        <w:t xml:space="preserve"> </w:t>
      </w:r>
      <w:r>
        <w:t xml:space="preserve">the </w:t>
      </w:r>
      <w:r w:rsidRPr="00A2261C">
        <w:t>exploration development incentive tax offset</w:t>
      </w:r>
      <w:r>
        <w:t>)</w:t>
      </w:r>
      <w:r w:rsidRPr="00A2261C">
        <w:t>.</w:t>
      </w:r>
      <w:r>
        <w:t xml:space="preserve"> </w:t>
      </w:r>
      <w:r w:rsidRPr="00AA6581">
        <w:rPr>
          <w:rStyle w:val="Referencingstyle"/>
        </w:rPr>
        <w:t>[</w:t>
      </w:r>
      <w:r w:rsidR="00B81602">
        <w:rPr>
          <w:rStyle w:val="Referencingstyle"/>
        </w:rPr>
        <w:t>Schedule #, i</w:t>
      </w:r>
      <w:r w:rsidRPr="00AA6581">
        <w:rPr>
          <w:rStyle w:val="Referencingstyle"/>
        </w:rPr>
        <w:t xml:space="preserve">tem </w:t>
      </w:r>
      <w:r w:rsidRPr="00E640A9">
        <w:rPr>
          <w:rStyle w:val="Referencingstyle"/>
        </w:rPr>
        <w:t>6</w:t>
      </w:r>
      <w:r w:rsidR="00B81602">
        <w:rPr>
          <w:rStyle w:val="Referencingstyle"/>
        </w:rPr>
        <w:t>5</w:t>
      </w:r>
      <w:r w:rsidRPr="00531625">
        <w:rPr>
          <w:rStyle w:val="Referencingstyle"/>
        </w:rPr>
        <w:t>, paragraph 418</w:t>
      </w:r>
      <w:r>
        <w:rPr>
          <w:rStyle w:val="Referencingstyle"/>
        </w:rPr>
        <w:noBreakHyphen/>
      </w:r>
      <w:r w:rsidRPr="00AA6581">
        <w:rPr>
          <w:rStyle w:val="Referencingstyle"/>
        </w:rPr>
        <w:t>15(1)(d) of the ITAA 1997]</w:t>
      </w:r>
    </w:p>
    <w:p w14:paraId="3573AE91" w14:textId="77777777" w:rsidR="004B4FDC" w:rsidRPr="00DB21A5" w:rsidRDefault="004B4FDC" w:rsidP="006F552F">
      <w:pPr>
        <w:pStyle w:val="ActHeading"/>
      </w:pPr>
      <w:r w:rsidRPr="00DB21A5">
        <w:t>Ensuring the correct paragraphs of the ITAA 1997 are repealed</w:t>
      </w:r>
    </w:p>
    <w:p w14:paraId="31FCCF9C" w14:textId="632DD5B2" w:rsidR="004B4FDC" w:rsidRPr="00AA0927" w:rsidRDefault="004B4FDC" w:rsidP="004B4FDC">
      <w:pPr>
        <w:pStyle w:val="base-text-paragraph"/>
      </w:pPr>
      <w:r w:rsidRPr="00832EBD">
        <w:t xml:space="preserve">Item 21 of Schedule 6 to the </w:t>
      </w:r>
      <w:r w:rsidRPr="00AA0927">
        <w:rPr>
          <w:i/>
        </w:rPr>
        <w:t>Tax and Superannuation Laws Amendment (2014 Measures No. 7) Act 2015</w:t>
      </w:r>
      <w:r w:rsidRPr="00832EBD">
        <w:t xml:space="preserve"> </w:t>
      </w:r>
      <w:r w:rsidRPr="00212136">
        <w:t>purported to repeal subparagra</w:t>
      </w:r>
      <w:r>
        <w:t>phs 418-80(2</w:t>
      </w:r>
      <w:proofErr w:type="gramStart"/>
      <w:r>
        <w:t>)(</w:t>
      </w:r>
      <w:proofErr w:type="gramEnd"/>
      <w:r>
        <w:t xml:space="preserve">b)(ii) and (iii) </w:t>
      </w:r>
      <w:r w:rsidRPr="00212136">
        <w:t xml:space="preserve">and </w:t>
      </w:r>
      <w:r w:rsidR="00327A70">
        <w:t xml:space="preserve">to </w:t>
      </w:r>
      <w:r w:rsidRPr="00212136">
        <w:t>substitute</w:t>
      </w:r>
      <w:r>
        <w:t xml:space="preserve"> a new </w:t>
      </w:r>
      <w:r w:rsidRPr="00DF1532">
        <w:t>subparagra</w:t>
      </w:r>
      <w:r>
        <w:t>ph.</w:t>
      </w:r>
      <w:r w:rsidRPr="00DF1532">
        <w:t xml:space="preserve"> </w:t>
      </w:r>
      <w:r w:rsidRPr="00212136">
        <w:t xml:space="preserve">However, those subparagraphs do not exist. </w:t>
      </w:r>
      <w:r w:rsidR="00F148A5">
        <w:t>This Schedule</w:t>
      </w:r>
      <w:r>
        <w:t xml:space="preserve"> </w:t>
      </w:r>
      <w:r w:rsidRPr="001407AD">
        <w:t>repeals the correct subparagraphs, which are subparagraphs 418</w:t>
      </w:r>
      <w:r>
        <w:noBreakHyphen/>
      </w:r>
      <w:proofErr w:type="gramStart"/>
      <w:r w:rsidRPr="001407AD">
        <w:t>80(</w:t>
      </w:r>
      <w:proofErr w:type="gramEnd"/>
      <w:r w:rsidRPr="001407AD">
        <w:t>3)(d)(ii) and (iii) of the ITAA 1997, and substitutes the same words as were originally to be substituted.</w:t>
      </w:r>
      <w:r w:rsidRPr="00AA0927">
        <w:t xml:space="preserve"> </w:t>
      </w:r>
      <w:r w:rsidRPr="005633CD">
        <w:rPr>
          <w:rStyle w:val="Referencingstyle"/>
        </w:rPr>
        <w:t>[</w:t>
      </w:r>
      <w:r w:rsidR="00DC2742">
        <w:rPr>
          <w:rStyle w:val="Referencingstyle"/>
        </w:rPr>
        <w:t>Schedule #, i</w:t>
      </w:r>
      <w:r w:rsidRPr="005633CD">
        <w:rPr>
          <w:rStyle w:val="Referencingstyle"/>
        </w:rPr>
        <w:t>tems 6</w:t>
      </w:r>
      <w:r w:rsidR="00B81602">
        <w:rPr>
          <w:rStyle w:val="Referencingstyle"/>
        </w:rPr>
        <w:t>6</w:t>
      </w:r>
      <w:r>
        <w:rPr>
          <w:rStyle w:val="Referencingstyle"/>
        </w:rPr>
        <w:t>,</w:t>
      </w:r>
      <w:r w:rsidRPr="005633CD">
        <w:rPr>
          <w:rStyle w:val="Referencingstyle"/>
        </w:rPr>
        <w:t xml:space="preserve"> 9</w:t>
      </w:r>
      <w:r w:rsidR="00B81602">
        <w:rPr>
          <w:rStyle w:val="Referencingstyle"/>
        </w:rPr>
        <w:t>4</w:t>
      </w:r>
      <w:r w:rsidRPr="005633CD">
        <w:rPr>
          <w:rStyle w:val="Referencingstyle"/>
        </w:rPr>
        <w:t xml:space="preserve"> and 9</w:t>
      </w:r>
      <w:r w:rsidR="00B81602">
        <w:rPr>
          <w:rStyle w:val="Referencingstyle"/>
        </w:rPr>
        <w:t>5</w:t>
      </w:r>
      <w:r w:rsidRPr="005633CD">
        <w:rPr>
          <w:rStyle w:val="Referencingstyle"/>
        </w:rPr>
        <w:t xml:space="preserve">, subparagraphs 418-80(3)(d)(ii) and (iii) of the ITAA 1997, </w:t>
      </w:r>
      <w:r w:rsidR="00030CD4">
        <w:rPr>
          <w:rStyle w:val="Referencingstyle"/>
        </w:rPr>
        <w:t xml:space="preserve">item 8 in the table in </w:t>
      </w:r>
      <w:r w:rsidR="00030CD4" w:rsidRPr="005633CD">
        <w:rPr>
          <w:rStyle w:val="Referencingstyle"/>
        </w:rPr>
        <w:t>sub</w:t>
      </w:r>
      <w:r w:rsidR="00030CD4">
        <w:rPr>
          <w:rStyle w:val="Referencingstyle"/>
        </w:rPr>
        <w:t>section</w:t>
      </w:r>
      <w:r w:rsidR="00030CD4" w:rsidRPr="005633CD">
        <w:rPr>
          <w:rStyle w:val="Referencingstyle"/>
        </w:rPr>
        <w:t xml:space="preserve"> </w:t>
      </w:r>
      <w:r w:rsidRPr="005633CD">
        <w:rPr>
          <w:rStyle w:val="Referencingstyle"/>
        </w:rPr>
        <w:t>2(1) and item 21 of Schedule 6 to the Tax and Superannuation Laws Amendment (2014 Measures No. 7) Act 2015]</w:t>
      </w:r>
    </w:p>
    <w:p w14:paraId="6C747C97" w14:textId="77777777" w:rsidR="004B4FDC" w:rsidRPr="00DB21A5" w:rsidRDefault="004B4FDC" w:rsidP="006F552F">
      <w:pPr>
        <w:pStyle w:val="ActHeading"/>
      </w:pPr>
      <w:r w:rsidRPr="00DB21A5">
        <w:lastRenderedPageBreak/>
        <w:t>Removing the redundant ‘5 share requirement’ for rollover relief in the ITAA 1997</w:t>
      </w:r>
    </w:p>
    <w:p w14:paraId="4BDC95D4" w14:textId="1CE0CB7B" w:rsidR="004B4FDC" w:rsidRDefault="004B4FDC" w:rsidP="004B4FDC">
      <w:pPr>
        <w:pStyle w:val="base-text-paragraph"/>
      </w:pPr>
      <w:r>
        <w:t xml:space="preserve">Division 615 of the </w:t>
      </w:r>
      <w:r w:rsidRPr="00AA6D8F">
        <w:t>ITAA</w:t>
      </w:r>
      <w:r>
        <w:t> </w:t>
      </w:r>
      <w:r w:rsidRPr="00AA6D8F">
        <w:t>1997</w:t>
      </w:r>
      <w:r>
        <w:t xml:space="preserve"> is intended to provide rollover relief for certain business restructures that involve the introduction of an interposed company.</w:t>
      </w:r>
    </w:p>
    <w:p w14:paraId="686CD249" w14:textId="706BFE5B" w:rsidR="004B4FDC" w:rsidRDefault="004B4FDC" w:rsidP="004B4FDC">
      <w:pPr>
        <w:pStyle w:val="base-text-paragraph"/>
      </w:pPr>
      <w:r>
        <w:t xml:space="preserve">Prior to the amendments made by </w:t>
      </w:r>
      <w:r w:rsidR="00F148A5">
        <w:t>this Schedule</w:t>
      </w:r>
      <w:r w:rsidRPr="00227C2F">
        <w:t>, paragraph</w:t>
      </w:r>
      <w:r>
        <w:t xml:space="preserve"> 615</w:t>
      </w:r>
      <w:r w:rsidR="00CE4590">
        <w:noBreakHyphen/>
      </w:r>
      <w:proofErr w:type="gramStart"/>
      <w:r>
        <w:t>10(</w:t>
      </w:r>
      <w:proofErr w:type="gramEnd"/>
      <w:r>
        <w:t xml:space="preserve">1)(a) </w:t>
      </w:r>
      <w:r w:rsidRPr="00047B69">
        <w:t xml:space="preserve">of the ITAA 1997 </w:t>
      </w:r>
      <w:r>
        <w:t xml:space="preserve">restricted rollover relief in cases where existing interests are cancelled or redeemed to cases where the interposed entity owned no more than five shares in the company before the restructure, </w:t>
      </w:r>
      <w:r w:rsidR="00F829D3">
        <w:t>al</w:t>
      </w:r>
      <w:r>
        <w:t>though subsection 615-10(3) permits the interposed entity to receive additional interests in the course of the redemption or cancellation. T</w:t>
      </w:r>
      <w:r w:rsidRPr="000C1CF9">
        <w:t xml:space="preserve">he requirement for the interposed entity to own no more than </w:t>
      </w:r>
      <w:r>
        <w:t>five</w:t>
      </w:r>
      <w:r w:rsidRPr="000C1CF9">
        <w:t xml:space="preserve"> shares in the company </w:t>
      </w:r>
      <w:r>
        <w:t xml:space="preserve">served no current purpose, being a requirement that </w:t>
      </w:r>
      <w:r w:rsidRPr="00E75D2D">
        <w:t>was retained from the prior versions of these provisions in the</w:t>
      </w:r>
      <w:r w:rsidRPr="003A2DC0">
        <w:rPr>
          <w:i/>
          <w:lang w:val="en-US" w:eastAsia="en-US"/>
        </w:rPr>
        <w:t xml:space="preserve"> </w:t>
      </w:r>
      <w:r w:rsidRPr="003A2DC0">
        <w:t>ITAA 1936</w:t>
      </w:r>
      <w:r w:rsidRPr="00E75D2D">
        <w:t xml:space="preserve">. </w:t>
      </w:r>
    </w:p>
    <w:p w14:paraId="31CC266B" w14:textId="7D5A73FC" w:rsidR="004B4FDC" w:rsidRDefault="00F148A5" w:rsidP="004B4FDC">
      <w:pPr>
        <w:pStyle w:val="base-text-paragraph"/>
      </w:pPr>
      <w:r>
        <w:t>This Schedule</w:t>
      </w:r>
      <w:r w:rsidR="004B4FDC" w:rsidRPr="00047B69">
        <w:t xml:space="preserve"> removes the</w:t>
      </w:r>
      <w:r w:rsidR="004B4FDC">
        <w:t xml:space="preserve"> requirement for the </w:t>
      </w:r>
      <w:r w:rsidR="004B4FDC" w:rsidRPr="00E75D2D">
        <w:t xml:space="preserve">interposed entity </w:t>
      </w:r>
      <w:r w:rsidR="004B4FDC">
        <w:t xml:space="preserve">to </w:t>
      </w:r>
      <w:r w:rsidR="004B4FDC" w:rsidRPr="00E75D2D">
        <w:t xml:space="preserve">own no more than </w:t>
      </w:r>
      <w:r w:rsidR="00CE4590">
        <w:t>five</w:t>
      </w:r>
      <w:r w:rsidR="004B4FDC" w:rsidRPr="00E75D2D">
        <w:t xml:space="preserve"> shares in the company</w:t>
      </w:r>
      <w:r w:rsidR="004B4FDC">
        <w:t xml:space="preserve">, </w:t>
      </w:r>
      <w:r w:rsidR="00F829D3">
        <w:t xml:space="preserve">removing an arbitrary restriction. </w:t>
      </w:r>
      <w:r w:rsidR="004B4FDC" w:rsidRPr="005B3F5E">
        <w:rPr>
          <w:rStyle w:val="Referencingstyle"/>
        </w:rPr>
        <w:t>[</w:t>
      </w:r>
      <w:r w:rsidR="00CE4590">
        <w:rPr>
          <w:rStyle w:val="Referencingstyle"/>
        </w:rPr>
        <w:t>Schedule #, i</w:t>
      </w:r>
      <w:r w:rsidR="004B4FDC" w:rsidRPr="005B3F5E">
        <w:rPr>
          <w:rStyle w:val="Referencingstyle"/>
        </w:rPr>
        <w:t>tem 68, paragraph 615</w:t>
      </w:r>
      <w:r w:rsidR="00CE4590">
        <w:rPr>
          <w:rStyle w:val="Referencingstyle"/>
        </w:rPr>
        <w:noBreakHyphen/>
      </w:r>
      <w:r w:rsidR="004B4FDC" w:rsidRPr="005B3F5E">
        <w:rPr>
          <w:rStyle w:val="Referencingstyle"/>
        </w:rPr>
        <w:t>10(1)(a) of the ITAA 1997]</w:t>
      </w:r>
    </w:p>
    <w:p w14:paraId="60B451E9" w14:textId="77777777" w:rsidR="00DB7102" w:rsidRPr="00DB21A5" w:rsidRDefault="00DB7102" w:rsidP="006F552F">
      <w:pPr>
        <w:pStyle w:val="ActHeading"/>
      </w:pPr>
      <w:r w:rsidRPr="00DB21A5">
        <w:t>Spelling error in heading to Subdivision 716</w:t>
      </w:r>
      <w:r w:rsidRPr="00DB21A5">
        <w:noBreakHyphen/>
        <w:t>S of the ITAA 1997</w:t>
      </w:r>
    </w:p>
    <w:p w14:paraId="00B7445F" w14:textId="43C9F2D1" w:rsidR="00DB7102" w:rsidRDefault="00DB7102" w:rsidP="00DB7102">
      <w:pPr>
        <w:pStyle w:val="base-text-paragraph"/>
      </w:pPr>
      <w:r w:rsidRPr="0066546F">
        <w:t xml:space="preserve">Prior to the amendments made by </w:t>
      </w:r>
      <w:r w:rsidR="00F148A5">
        <w:t>this Schedule</w:t>
      </w:r>
      <w:r>
        <w:t xml:space="preserve">, the heading to </w:t>
      </w:r>
      <w:r w:rsidRPr="00484BB5">
        <w:t>Subdivision 716</w:t>
      </w:r>
      <w:r w:rsidR="002D2D3C">
        <w:noBreakHyphen/>
      </w:r>
      <w:r w:rsidRPr="00484BB5">
        <w:t>S of the ITAA 1997</w:t>
      </w:r>
      <w:r>
        <w:t xml:space="preserve"> contained a spelling error of the word ‘</w:t>
      </w:r>
      <w:r w:rsidRPr="00484BB5">
        <w:t>Miscellaneous</w:t>
      </w:r>
      <w:r>
        <w:t>’.</w:t>
      </w:r>
      <w:r w:rsidRPr="00D85DBB">
        <w:t xml:space="preserve"> </w:t>
      </w:r>
      <w:r w:rsidR="00F148A5">
        <w:t>This Schedule</w:t>
      </w:r>
      <w:r>
        <w:t xml:space="preserve"> corrects the spelling error.</w:t>
      </w:r>
      <w:r w:rsidR="00CE1D13">
        <w:br/>
      </w:r>
      <w:r w:rsidRPr="004B1D2E">
        <w:rPr>
          <w:rStyle w:val="Referencingstyle"/>
        </w:rPr>
        <w:t>[</w:t>
      </w:r>
      <w:r w:rsidR="002D2D3C">
        <w:rPr>
          <w:rStyle w:val="Referencingstyle"/>
        </w:rPr>
        <w:t>Schedule #, i</w:t>
      </w:r>
      <w:r w:rsidRPr="004B1D2E">
        <w:rPr>
          <w:rStyle w:val="Referencingstyle"/>
        </w:rPr>
        <w:t>tem</w:t>
      </w:r>
      <w:r w:rsidR="002D2D3C">
        <w:rPr>
          <w:rStyle w:val="Referencingstyle"/>
        </w:rPr>
        <w:t> </w:t>
      </w:r>
      <w:r w:rsidRPr="004B1D2E">
        <w:rPr>
          <w:rStyle w:val="Referencingstyle"/>
        </w:rPr>
        <w:t>72, Subdivision 716-S (heading) of the ITAA 1997]</w:t>
      </w:r>
    </w:p>
    <w:p w14:paraId="025EC078" w14:textId="77777777" w:rsidR="00DB7102" w:rsidRPr="00DB21A5" w:rsidRDefault="00DB7102" w:rsidP="006F552F">
      <w:pPr>
        <w:pStyle w:val="ActHeading"/>
      </w:pPr>
      <w:r w:rsidRPr="00DB21A5">
        <w:t>Removing reference to a repealed subsection in the ITAA 1997</w:t>
      </w:r>
    </w:p>
    <w:p w14:paraId="080A7751" w14:textId="357505BB" w:rsidR="00DB7102" w:rsidRDefault="00DB7102" w:rsidP="00DB7102">
      <w:pPr>
        <w:pStyle w:val="base-text-paragraph"/>
      </w:pPr>
      <w:r w:rsidRPr="00D22B71">
        <w:t>Prior to the amendments made by this</w:t>
      </w:r>
      <w:r w:rsidR="006C62BA">
        <w:t xml:space="preserve"> Schedule</w:t>
      </w:r>
      <w:r>
        <w:t>, p</w:t>
      </w:r>
      <w:r w:rsidRPr="00635330">
        <w:t>aragraph 770</w:t>
      </w:r>
      <w:r w:rsidR="00CB751A">
        <w:noBreakHyphen/>
      </w:r>
      <w:proofErr w:type="gramStart"/>
      <w:r w:rsidRPr="00635330">
        <w:t>135(</w:t>
      </w:r>
      <w:proofErr w:type="gramEnd"/>
      <w:r w:rsidRPr="00635330">
        <w:t>1)(b) of the ITAA 1997 refer</w:t>
      </w:r>
      <w:r>
        <w:t>red</w:t>
      </w:r>
      <w:r w:rsidRPr="00635330">
        <w:t xml:space="preserve"> to subsection (3), (5) and (6)</w:t>
      </w:r>
      <w:r w:rsidR="00D93F0B">
        <w:t xml:space="preserve"> of that section</w:t>
      </w:r>
      <w:r w:rsidRPr="00635330">
        <w:t xml:space="preserve">. </w:t>
      </w:r>
      <w:r w:rsidR="00F148A5">
        <w:t>This Schedule</w:t>
      </w:r>
      <w:r>
        <w:t xml:space="preserve"> r</w:t>
      </w:r>
      <w:r w:rsidRPr="00635330">
        <w:t>emove</w:t>
      </w:r>
      <w:r>
        <w:t>s</w:t>
      </w:r>
      <w:r w:rsidRPr="00635330">
        <w:t xml:space="preserve"> the reference to subsection </w:t>
      </w:r>
      <w:r>
        <w:t>(6) as s</w:t>
      </w:r>
      <w:r w:rsidRPr="00635330">
        <w:t>ubsection (6) was repealed in 2010.</w:t>
      </w:r>
      <w:r>
        <w:t xml:space="preserve"> </w:t>
      </w:r>
      <w:r w:rsidRPr="00B1474E">
        <w:rPr>
          <w:rStyle w:val="Referencingstyle"/>
        </w:rPr>
        <w:t>[</w:t>
      </w:r>
      <w:r w:rsidR="00CB751A">
        <w:rPr>
          <w:rStyle w:val="Referencingstyle"/>
        </w:rPr>
        <w:t>Schedule #, i</w:t>
      </w:r>
      <w:r w:rsidRPr="00B1474E">
        <w:rPr>
          <w:rStyle w:val="Referencingstyle"/>
        </w:rPr>
        <w:t xml:space="preserve">tem </w:t>
      </w:r>
      <w:r w:rsidRPr="005D20F8">
        <w:rPr>
          <w:rStyle w:val="Referencingstyle"/>
        </w:rPr>
        <w:t>73, paragrap</w:t>
      </w:r>
      <w:r w:rsidR="009C2F8D">
        <w:rPr>
          <w:rStyle w:val="Referencingstyle"/>
        </w:rPr>
        <w:t>h</w:t>
      </w:r>
      <w:r w:rsidR="009C2F8D">
        <w:rPr>
          <w:rStyle w:val="Referencingstyle"/>
        </w:rPr>
        <w:br/>
      </w:r>
      <w:r w:rsidRPr="005D20F8">
        <w:rPr>
          <w:rStyle w:val="Referencingstyle"/>
        </w:rPr>
        <w:t>770-135(1)(b) of the ITAA 1997]</w:t>
      </w:r>
    </w:p>
    <w:p w14:paraId="2278A6A3" w14:textId="1DE6F61F" w:rsidR="00DB7102" w:rsidRDefault="00DB7102" w:rsidP="006F552F">
      <w:pPr>
        <w:pStyle w:val="ActHeading"/>
      </w:pPr>
      <w:r w:rsidRPr="00DB21A5">
        <w:t>Incorrect capitalisation of the words 'government agency' in the ITAA</w:t>
      </w:r>
      <w:r w:rsidR="00CB751A">
        <w:t> </w:t>
      </w:r>
      <w:r w:rsidRPr="001D0DC8">
        <w:t>1997</w:t>
      </w:r>
    </w:p>
    <w:p w14:paraId="099D7A3C" w14:textId="762E2F1A" w:rsidR="00DB7102" w:rsidRPr="00DB2E7F" w:rsidRDefault="00DB7102" w:rsidP="00DB7102">
      <w:pPr>
        <w:pStyle w:val="base-text-paragraph"/>
        <w:rPr>
          <w:b/>
        </w:rPr>
      </w:pPr>
      <w:r w:rsidRPr="00AB1DE4">
        <w:t xml:space="preserve">Prior to the amendments made by </w:t>
      </w:r>
      <w:r w:rsidR="00F148A5">
        <w:t>this Schedule</w:t>
      </w:r>
      <w:r>
        <w:t>, s</w:t>
      </w:r>
      <w:r w:rsidRPr="00343CBE">
        <w:t>ubsection 995</w:t>
      </w:r>
      <w:r w:rsidRPr="00343CBE">
        <w:noBreakHyphen/>
      </w:r>
      <w:proofErr w:type="gramStart"/>
      <w:r w:rsidRPr="00343CBE">
        <w:t>1(</w:t>
      </w:r>
      <w:proofErr w:type="gramEnd"/>
      <w:r w:rsidRPr="00343CBE">
        <w:t>1) of the ITAA 1997</w:t>
      </w:r>
      <w:r>
        <w:t xml:space="preserve"> define</w:t>
      </w:r>
      <w:r w:rsidR="0083414F">
        <w:t>d</w:t>
      </w:r>
      <w:r>
        <w:t xml:space="preserve"> </w:t>
      </w:r>
      <w:r w:rsidRPr="004B1D2E">
        <w:rPr>
          <w:b/>
          <w:i/>
        </w:rPr>
        <w:t>public official</w:t>
      </w:r>
      <w:r w:rsidRPr="000C3308">
        <w:t xml:space="preserve"> as an employee or official of an Australian Government Agency or of a local governing body.</w:t>
      </w:r>
      <w:r>
        <w:t xml:space="preserve"> </w:t>
      </w:r>
      <w:r w:rsidR="00F148A5">
        <w:t>This Schedule</w:t>
      </w:r>
      <w:r w:rsidRPr="00343CBE">
        <w:t xml:space="preserve"> </w:t>
      </w:r>
      <w:r>
        <w:t>r</w:t>
      </w:r>
      <w:r w:rsidRPr="00343CBE">
        <w:t>emove</w:t>
      </w:r>
      <w:r>
        <w:t>s</w:t>
      </w:r>
      <w:r w:rsidRPr="00343CBE">
        <w:t xml:space="preserve"> the </w:t>
      </w:r>
      <w:r>
        <w:t xml:space="preserve">incorrect </w:t>
      </w:r>
      <w:r w:rsidRPr="00343CBE">
        <w:t>capitalisation of the words 'government agency'.</w:t>
      </w:r>
      <w:r>
        <w:t xml:space="preserve"> </w:t>
      </w:r>
      <w:r w:rsidRPr="004B1D2E">
        <w:rPr>
          <w:rStyle w:val="Referencingstyle"/>
        </w:rPr>
        <w:t>[</w:t>
      </w:r>
      <w:r w:rsidR="00CB751A">
        <w:rPr>
          <w:rStyle w:val="Referencingstyle"/>
        </w:rPr>
        <w:t>Schedule #, i</w:t>
      </w:r>
      <w:r w:rsidRPr="004B1D2E">
        <w:rPr>
          <w:rStyle w:val="Referencingstyle"/>
        </w:rPr>
        <w:t>tem 7</w:t>
      </w:r>
      <w:r>
        <w:rPr>
          <w:rStyle w:val="Referencingstyle"/>
        </w:rPr>
        <w:t>5</w:t>
      </w:r>
      <w:r w:rsidRPr="00F92223">
        <w:rPr>
          <w:rStyle w:val="Referencingstyle"/>
        </w:rPr>
        <w:t>, subsection 995-1(1) (definition of public official) of the ITAA</w:t>
      </w:r>
      <w:r w:rsidR="00CB751A">
        <w:rPr>
          <w:rStyle w:val="Referencingstyle"/>
        </w:rPr>
        <w:t> </w:t>
      </w:r>
      <w:r w:rsidRPr="00F92223">
        <w:rPr>
          <w:rStyle w:val="Referencingstyle"/>
        </w:rPr>
        <w:t>1997]</w:t>
      </w:r>
    </w:p>
    <w:p w14:paraId="0EEC8994" w14:textId="77777777" w:rsidR="009C2F8D" w:rsidRDefault="009C2F8D">
      <w:pPr>
        <w:spacing w:before="0" w:after="0"/>
        <w:rPr>
          <w:b/>
          <w:i/>
        </w:rPr>
      </w:pPr>
      <w:r>
        <w:br w:type="page"/>
      </w:r>
    </w:p>
    <w:p w14:paraId="0D59DC44" w14:textId="02804BE7" w:rsidR="00DB7102" w:rsidRPr="00DB21A5" w:rsidRDefault="00DB7102" w:rsidP="006F552F">
      <w:pPr>
        <w:pStyle w:val="ActHeading"/>
      </w:pPr>
      <w:r w:rsidRPr="00DB21A5">
        <w:lastRenderedPageBreak/>
        <w:t>Spelling error in definition of shortfall amount in the ITAA 1997</w:t>
      </w:r>
    </w:p>
    <w:p w14:paraId="4B63D892" w14:textId="64655F42" w:rsidR="00DB7102" w:rsidRPr="00AE4405" w:rsidRDefault="00DB7102" w:rsidP="00DB7102">
      <w:pPr>
        <w:pStyle w:val="base-text-paragraph"/>
      </w:pPr>
      <w:r w:rsidRPr="000C3308">
        <w:t>Subsection 995-1(1) of the ITAA 1997</w:t>
      </w:r>
      <w:r>
        <w:t xml:space="preserve"> defines</w:t>
      </w:r>
      <w:r w:rsidRPr="00AE4405">
        <w:rPr>
          <w:b/>
          <w:i/>
        </w:rPr>
        <w:t xml:space="preserve"> </w:t>
      </w:r>
      <w:r>
        <w:t>‘</w:t>
      </w:r>
      <w:r w:rsidRPr="000C3308">
        <w:t>shortfall amount</w:t>
      </w:r>
      <w:r>
        <w:t>’</w:t>
      </w:r>
      <w:r w:rsidRPr="000C3308">
        <w:t>.</w:t>
      </w:r>
      <w:r w:rsidRPr="00AE4405">
        <w:rPr>
          <w:b/>
          <w:i/>
        </w:rPr>
        <w:t xml:space="preserve"> </w:t>
      </w:r>
      <w:r w:rsidRPr="00AB1DE4">
        <w:t xml:space="preserve">Prior to the amendments made by </w:t>
      </w:r>
      <w:r w:rsidR="00F148A5">
        <w:t>this Schedule</w:t>
      </w:r>
      <w:r>
        <w:t>, t</w:t>
      </w:r>
      <w:r w:rsidRPr="000C3308">
        <w:t>his definition contain</w:t>
      </w:r>
      <w:r>
        <w:t>ed</w:t>
      </w:r>
      <w:r w:rsidRPr="000C3308">
        <w:t xml:space="preserve"> a spelling error.</w:t>
      </w:r>
      <w:r>
        <w:t xml:space="preserve"> By replacing the word</w:t>
      </w:r>
      <w:r w:rsidRPr="005D57A1">
        <w:t xml:space="preserve"> 'give' with 'given'</w:t>
      </w:r>
      <w:r>
        <w:t xml:space="preserve">, </w:t>
      </w:r>
      <w:r w:rsidR="00F148A5">
        <w:t>this Schedule</w:t>
      </w:r>
      <w:r>
        <w:t xml:space="preserve"> corrects the spelling error.</w:t>
      </w:r>
      <w:r w:rsidRPr="00AE4405">
        <w:rPr>
          <w:rFonts w:ascii="Arial" w:hAnsi="Arial"/>
          <w:b/>
          <w:kern w:val="28"/>
          <w:sz w:val="24"/>
        </w:rPr>
        <w:t xml:space="preserve"> </w:t>
      </w:r>
      <w:r w:rsidRPr="004B1D2E">
        <w:rPr>
          <w:rStyle w:val="Referencingstyle"/>
        </w:rPr>
        <w:t>[</w:t>
      </w:r>
      <w:r w:rsidR="00CB751A">
        <w:rPr>
          <w:rStyle w:val="Referencingstyle"/>
        </w:rPr>
        <w:t>Schedule #, i</w:t>
      </w:r>
      <w:r w:rsidRPr="004B1D2E">
        <w:rPr>
          <w:rStyle w:val="Referencingstyle"/>
        </w:rPr>
        <w:t>tem 77, subsection 995-1(1) (definition of shortfall amount) of the ITAA 1997]</w:t>
      </w:r>
    </w:p>
    <w:p w14:paraId="6CA83BA6" w14:textId="77777777" w:rsidR="00DB7102" w:rsidRPr="00DB21A5" w:rsidRDefault="00DB7102" w:rsidP="006F552F">
      <w:pPr>
        <w:pStyle w:val="ActHeading"/>
      </w:pPr>
      <w:r w:rsidRPr="00DB21A5">
        <w:t>Incorrect paragraph reference in the Product Grants and Benefits Administration Act 2000</w:t>
      </w:r>
    </w:p>
    <w:p w14:paraId="0D05361C" w14:textId="6569AD8C" w:rsidR="00DB7102" w:rsidRDefault="00DB7102" w:rsidP="00DB7102">
      <w:pPr>
        <w:pStyle w:val="base-text-paragraph"/>
      </w:pPr>
      <w:r>
        <w:t xml:space="preserve">Section 42 of the </w:t>
      </w:r>
      <w:r w:rsidRPr="00274839">
        <w:rPr>
          <w:i/>
        </w:rPr>
        <w:t>Product Grants and Benefits Administration Act 2000</w:t>
      </w:r>
      <w:r>
        <w:t xml:space="preserve"> was amended by the </w:t>
      </w:r>
      <w:r w:rsidRPr="00274839">
        <w:rPr>
          <w:i/>
        </w:rPr>
        <w:t>Treasury Legislation Amendment (</w:t>
      </w:r>
      <w:r w:rsidR="00CE1D13" w:rsidRPr="00274839">
        <w:rPr>
          <w:i/>
        </w:rPr>
        <w:t>Repeal</w:t>
      </w:r>
      <w:r w:rsidR="00CE1D13">
        <w:rPr>
          <w:i/>
        </w:rPr>
        <w:t> </w:t>
      </w:r>
      <w:r w:rsidRPr="00274839">
        <w:rPr>
          <w:i/>
        </w:rPr>
        <w:t>Day) Act 2015</w:t>
      </w:r>
      <w:r>
        <w:t xml:space="preserve"> as part of the consolidation of administrative provisions</w:t>
      </w:r>
      <w:r w:rsidR="00487C1A">
        <w:t xml:space="preserve"> into Schedule 1 to the TAA 1953</w:t>
      </w:r>
      <w:r>
        <w:t xml:space="preserve">. </w:t>
      </w:r>
      <w:r w:rsidR="00CA6F7E">
        <w:t xml:space="preserve">Section 42 was incorrectly amended to include a reference to </w:t>
      </w:r>
      <w:r>
        <w:t xml:space="preserve">section 350-10 in Schedule 1 </w:t>
      </w:r>
      <w:r w:rsidR="00622F39">
        <w:t>to the TAA</w:t>
      </w:r>
      <w:r>
        <w:t xml:space="preserve"> 1953</w:t>
      </w:r>
      <w:r w:rsidR="00CA6F7E">
        <w:t xml:space="preserve"> (about the evidentiary effect of official tax documents).</w:t>
      </w:r>
      <w:r>
        <w:t xml:space="preserve"> </w:t>
      </w:r>
    </w:p>
    <w:p w14:paraId="1BF98BBE" w14:textId="20D56109" w:rsidR="00DB7102" w:rsidRPr="009333FD" w:rsidRDefault="00F148A5" w:rsidP="00DB7102">
      <w:pPr>
        <w:pStyle w:val="base-text-paragraph"/>
        <w:rPr>
          <w:b/>
        </w:rPr>
      </w:pPr>
      <w:r>
        <w:t>This Schedule</w:t>
      </w:r>
      <w:r w:rsidR="00DB7102">
        <w:t xml:space="preserve"> corrects the reference to section 353-10 in Schedule 1 </w:t>
      </w:r>
      <w:r w:rsidR="00622F39">
        <w:t>to the TAA</w:t>
      </w:r>
      <w:r w:rsidR="00DB7102">
        <w:t xml:space="preserve"> 1953, </w:t>
      </w:r>
      <w:r w:rsidR="00D22D4C">
        <w:t xml:space="preserve">which is </w:t>
      </w:r>
      <w:r w:rsidR="00DB7102">
        <w:t xml:space="preserve">about information gathering. The amendments apply from </w:t>
      </w:r>
      <w:r w:rsidR="00DB7102" w:rsidRPr="00626C88">
        <w:t>25 February 2015</w:t>
      </w:r>
      <w:r w:rsidR="00DB7102">
        <w:t xml:space="preserve">, the commencement of item 6 </w:t>
      </w:r>
      <w:r w:rsidR="00DB7102" w:rsidRPr="00C57DF5">
        <w:t xml:space="preserve">of Schedule 2 to the </w:t>
      </w:r>
      <w:r w:rsidR="00DB7102" w:rsidRPr="00C57DF5">
        <w:rPr>
          <w:i/>
        </w:rPr>
        <w:t>Treasury Legislation Amendment (Repeal Day) Act 2015</w:t>
      </w:r>
      <w:r w:rsidR="00DB7102" w:rsidRPr="00626C88">
        <w:t>.</w:t>
      </w:r>
      <w:r w:rsidR="00DB7102">
        <w:t xml:space="preserve"> </w:t>
      </w:r>
      <w:r w:rsidR="00DB7102" w:rsidRPr="00B1474E">
        <w:rPr>
          <w:rStyle w:val="Referencingstyle"/>
        </w:rPr>
        <w:t>[</w:t>
      </w:r>
      <w:r w:rsidR="00BD20CC">
        <w:rPr>
          <w:rStyle w:val="Referencingstyle"/>
        </w:rPr>
        <w:t>Schedule #, i</w:t>
      </w:r>
      <w:r w:rsidR="00DB7102" w:rsidRPr="00B1474E">
        <w:rPr>
          <w:rStyle w:val="Referencingstyle"/>
        </w:rPr>
        <w:t xml:space="preserve">tem </w:t>
      </w:r>
      <w:r w:rsidR="00DB7102" w:rsidRPr="005D20F8">
        <w:rPr>
          <w:rStyle w:val="Referencingstyle"/>
        </w:rPr>
        <w:t>8</w:t>
      </w:r>
      <w:r w:rsidR="00BD20CC">
        <w:rPr>
          <w:rStyle w:val="Referencingstyle"/>
        </w:rPr>
        <w:t>4</w:t>
      </w:r>
      <w:r w:rsidR="00DB7102" w:rsidRPr="005D20F8">
        <w:rPr>
          <w:rStyle w:val="Referencingstyle"/>
        </w:rPr>
        <w:t>, subsection 42(2A) of the Product Grants and Benefits Administration Act 2000]</w:t>
      </w:r>
    </w:p>
    <w:p w14:paraId="29EA819F" w14:textId="77777777" w:rsidR="00DB7102" w:rsidRPr="00DB21A5" w:rsidRDefault="00DB7102" w:rsidP="006F552F">
      <w:pPr>
        <w:pStyle w:val="ActHeading"/>
      </w:pPr>
      <w:r w:rsidRPr="00DB21A5">
        <w:t>Reference to incorrect Act</w:t>
      </w:r>
    </w:p>
    <w:p w14:paraId="247B6EA8" w14:textId="34F8676B" w:rsidR="00DB7102" w:rsidRPr="00173B1E" w:rsidRDefault="00DB7102" w:rsidP="00DB7102">
      <w:pPr>
        <w:pStyle w:val="base-text-paragraph"/>
      </w:pPr>
      <w:r w:rsidRPr="00025DB0">
        <w:t xml:space="preserve">Prior to the amendments made by </w:t>
      </w:r>
      <w:r w:rsidR="00F148A5">
        <w:t>this Schedule</w:t>
      </w:r>
      <w:r>
        <w:t>, s</w:t>
      </w:r>
      <w:r w:rsidRPr="00173B1E">
        <w:t xml:space="preserve">ection 20N of the </w:t>
      </w:r>
      <w:r w:rsidRPr="00173B1E">
        <w:rPr>
          <w:i/>
          <w:iCs/>
        </w:rPr>
        <w:t>Superannuation (Unclaimed Money and Lost Members) Act 1999</w:t>
      </w:r>
      <w:r w:rsidRPr="00173B1E">
        <w:t xml:space="preserve"> </w:t>
      </w:r>
      <w:r w:rsidRPr="00173B1E">
        <w:rPr>
          <w:iCs/>
        </w:rPr>
        <w:t>refer</w:t>
      </w:r>
      <w:r>
        <w:rPr>
          <w:iCs/>
        </w:rPr>
        <w:t>red</w:t>
      </w:r>
      <w:r w:rsidRPr="00173B1E">
        <w:rPr>
          <w:iCs/>
        </w:rPr>
        <w:t xml:space="preserve"> to the Immigration Secretary (within the meaning of the ITAA 1936). The words ‘Immigration Secretary’ do not appear in the ITAA 1936.</w:t>
      </w:r>
    </w:p>
    <w:p w14:paraId="2E50D7DB" w14:textId="38A442D9" w:rsidR="00DB7102" w:rsidRPr="00656D5B" w:rsidRDefault="00F148A5" w:rsidP="00DB7102">
      <w:pPr>
        <w:pStyle w:val="base-text-paragraph"/>
      </w:pPr>
      <w:r>
        <w:rPr>
          <w:iCs/>
        </w:rPr>
        <w:t>This Schedule</w:t>
      </w:r>
      <w:r w:rsidR="00DB7102" w:rsidRPr="00656D5B">
        <w:rPr>
          <w:iCs/>
        </w:rPr>
        <w:t xml:space="preserve"> amends the section to refer to the Immigration Secretary within the meaning of the ITAA 1997, which is the Act containing the definition of Immigration Secretary. </w:t>
      </w:r>
      <w:r w:rsidR="00DB7102" w:rsidRPr="00B1474E">
        <w:rPr>
          <w:rStyle w:val="Referencingstyle"/>
        </w:rPr>
        <w:t>[</w:t>
      </w:r>
      <w:r w:rsidR="00BD20CC">
        <w:rPr>
          <w:rStyle w:val="Referencingstyle"/>
        </w:rPr>
        <w:t>Schedule #, i</w:t>
      </w:r>
      <w:r w:rsidR="00DB7102" w:rsidRPr="00B1474E">
        <w:rPr>
          <w:rStyle w:val="Referencingstyle"/>
        </w:rPr>
        <w:t xml:space="preserve">tem </w:t>
      </w:r>
      <w:r w:rsidR="00DB7102" w:rsidRPr="005D20F8">
        <w:rPr>
          <w:rStyle w:val="Referencingstyle"/>
        </w:rPr>
        <w:t>8</w:t>
      </w:r>
      <w:r w:rsidR="00BD20CC">
        <w:rPr>
          <w:rStyle w:val="Referencingstyle"/>
        </w:rPr>
        <w:t>5</w:t>
      </w:r>
      <w:r w:rsidR="00DB7102" w:rsidRPr="005D20F8">
        <w:rPr>
          <w:rStyle w:val="Referencingstyle"/>
        </w:rPr>
        <w:t>, paragraph 20N(2)(a) of the Superannuation (Unclaimed Money and Lost Members) Act 1999]</w:t>
      </w:r>
    </w:p>
    <w:p w14:paraId="235E731D" w14:textId="10A5438B" w:rsidR="00171B9B" w:rsidRDefault="00E318AD" w:rsidP="006F552F">
      <w:pPr>
        <w:pStyle w:val="ActHeading"/>
      </w:pPr>
      <w:r>
        <w:t xml:space="preserve">Consequential amendments relating to </w:t>
      </w:r>
      <w:r w:rsidR="006B2146">
        <w:t>the consolidation of</w:t>
      </w:r>
      <w:r w:rsidR="006B2146" w:rsidRPr="006B2146">
        <w:t xml:space="preserve"> </w:t>
      </w:r>
      <w:r w:rsidR="00291D2B">
        <w:t xml:space="preserve">the </w:t>
      </w:r>
      <w:r w:rsidR="00CC2F95">
        <w:t xml:space="preserve">confidentiality of taxpayer information </w:t>
      </w:r>
      <w:r w:rsidR="006B2146" w:rsidRPr="006B2146">
        <w:t xml:space="preserve">provisions </w:t>
      </w:r>
    </w:p>
    <w:p w14:paraId="55E23127" w14:textId="17C582AC" w:rsidR="00F01B60" w:rsidRDefault="002C68E1" w:rsidP="002C68E1">
      <w:pPr>
        <w:pStyle w:val="base-text-paragraph"/>
      </w:pPr>
      <w:r w:rsidRPr="00BE174C">
        <w:rPr>
          <w:i/>
        </w:rPr>
        <w:t>Tax Laws Amendment (Confidentiality of Taxpayer Information) Act 2010</w:t>
      </w:r>
      <w:r w:rsidRPr="002C68E1">
        <w:t xml:space="preserve"> consolidated various secrecy and disclosure provisions that were located throughout various taxation Acts into Division 355 in Schedule 1 </w:t>
      </w:r>
      <w:r w:rsidR="00B17164">
        <w:t>of</w:t>
      </w:r>
      <w:r w:rsidR="00B17164" w:rsidRPr="002C68E1">
        <w:t xml:space="preserve"> </w:t>
      </w:r>
      <w:r w:rsidRPr="002C68E1">
        <w:t xml:space="preserve">the </w:t>
      </w:r>
      <w:r w:rsidRPr="00BE174C">
        <w:rPr>
          <w:i/>
        </w:rPr>
        <w:t>Taxation Administration Act 1953</w:t>
      </w:r>
      <w:r w:rsidRPr="002C68E1">
        <w:t xml:space="preserve"> (TAA 1953). As part of this consolidation section 3D (relating to taxation information given to the Australian Crime Commission) and section 3E (relating to taxation </w:t>
      </w:r>
      <w:r w:rsidRPr="002C68E1">
        <w:lastRenderedPageBreak/>
        <w:t xml:space="preserve">information given to relevant law enforcement agencies and eligible Royal Commissions) </w:t>
      </w:r>
      <w:r w:rsidR="008717AE" w:rsidRPr="002C68E1">
        <w:t>in the TAA 1953</w:t>
      </w:r>
      <w:r w:rsidR="008717AE">
        <w:t xml:space="preserve"> </w:t>
      </w:r>
      <w:r w:rsidRPr="002C68E1">
        <w:t>were repealed</w:t>
      </w:r>
      <w:r w:rsidR="00712391">
        <w:t xml:space="preserve"> because</w:t>
      </w:r>
      <w:r w:rsidR="001B7B93">
        <w:t xml:space="preserve"> </w:t>
      </w:r>
      <w:r w:rsidR="00712391">
        <w:t>t</w:t>
      </w:r>
      <w:r w:rsidRPr="002C68E1">
        <w:t xml:space="preserve">hey </w:t>
      </w:r>
      <w:r w:rsidR="00712391">
        <w:t>became</w:t>
      </w:r>
      <w:r w:rsidRPr="002C68E1">
        <w:t xml:space="preserve"> redundant as the</w:t>
      </w:r>
      <w:r w:rsidR="00712391">
        <w:t>y</w:t>
      </w:r>
      <w:r w:rsidRPr="002C68E1">
        <w:t xml:space="preserve"> were replicated in Division 355. </w:t>
      </w:r>
      <w:r w:rsidR="00712391">
        <w:t xml:space="preserve">However some references to these sections were not removed at this time. </w:t>
      </w:r>
      <w:r w:rsidRPr="000E4451">
        <w:t xml:space="preserve">This </w:t>
      </w:r>
      <w:r w:rsidR="00962137">
        <w:t xml:space="preserve">Schedule </w:t>
      </w:r>
      <w:r>
        <w:t>removes the redundant references to</w:t>
      </w:r>
      <w:r w:rsidRPr="002C68E1">
        <w:t xml:space="preserve"> sections 3D and 3E from </w:t>
      </w:r>
      <w:r w:rsidR="00962137" w:rsidRPr="002C68E1">
        <w:t>subsection</w:t>
      </w:r>
      <w:r w:rsidR="00962137">
        <w:t> </w:t>
      </w:r>
      <w:proofErr w:type="gramStart"/>
      <w:r w:rsidRPr="002C68E1">
        <w:t>3B(</w:t>
      </w:r>
      <w:proofErr w:type="gramEnd"/>
      <w:r w:rsidRPr="002C68E1">
        <w:t>1C)</w:t>
      </w:r>
      <w:r>
        <w:t xml:space="preserve"> of the TAA 1953.</w:t>
      </w:r>
      <w:r w:rsidR="00B94872">
        <w:t xml:space="preserve"> </w:t>
      </w:r>
      <w:r w:rsidR="00B94872" w:rsidRPr="002F6A99">
        <w:rPr>
          <w:rStyle w:val="Referencingstyle"/>
        </w:rPr>
        <w:t>[</w:t>
      </w:r>
      <w:r w:rsidR="00BD20CC">
        <w:rPr>
          <w:rStyle w:val="Referencingstyle"/>
        </w:rPr>
        <w:t>Schedule #, i</w:t>
      </w:r>
      <w:r w:rsidR="00BD20CC" w:rsidRPr="002F6A99">
        <w:rPr>
          <w:rStyle w:val="Referencingstyle"/>
        </w:rPr>
        <w:t>tem 8</w:t>
      </w:r>
      <w:r w:rsidR="00BD20CC">
        <w:rPr>
          <w:rStyle w:val="Referencingstyle"/>
        </w:rPr>
        <w:t>6</w:t>
      </w:r>
      <w:r w:rsidR="00B94872" w:rsidRPr="002F6A99">
        <w:rPr>
          <w:rStyle w:val="Referencingstyle"/>
        </w:rPr>
        <w:t xml:space="preserve">, subsection 3B(1C) </w:t>
      </w:r>
      <w:r w:rsidR="008E0CFA" w:rsidRPr="002F6A99">
        <w:rPr>
          <w:rStyle w:val="Referencingstyle"/>
        </w:rPr>
        <w:t xml:space="preserve">of the </w:t>
      </w:r>
      <w:r w:rsidR="00B94872" w:rsidRPr="002F6A99">
        <w:rPr>
          <w:rStyle w:val="Referencingstyle"/>
        </w:rPr>
        <w:t>TAA</w:t>
      </w:r>
      <w:r w:rsidR="00BD20CC">
        <w:rPr>
          <w:rStyle w:val="Referencingstyle"/>
        </w:rPr>
        <w:t> </w:t>
      </w:r>
      <w:r w:rsidR="00B94872" w:rsidRPr="002F6A99">
        <w:rPr>
          <w:rStyle w:val="Referencingstyle"/>
        </w:rPr>
        <w:t>1953]</w:t>
      </w:r>
    </w:p>
    <w:p w14:paraId="43A74BBD" w14:textId="7E2FAB98" w:rsidR="008717AE" w:rsidRPr="008A310D" w:rsidRDefault="00136C8E" w:rsidP="002C68E1">
      <w:pPr>
        <w:pStyle w:val="base-text-paragraph"/>
      </w:pPr>
      <w:r w:rsidRPr="00A929E6">
        <w:t>Removing the redundant reference to section 3E prevent</w:t>
      </w:r>
      <w:r w:rsidR="008C6CC7">
        <w:t>s</w:t>
      </w:r>
      <w:r w:rsidRPr="00A929E6">
        <w:t xml:space="preserve"> confusion arising from the fact that t</w:t>
      </w:r>
      <w:r w:rsidR="0035079C" w:rsidRPr="00A929E6">
        <w:t>he s</w:t>
      </w:r>
      <w:r w:rsidR="004664FC" w:rsidRPr="00A929E6">
        <w:t>ection number</w:t>
      </w:r>
      <w:r w:rsidR="0035079C" w:rsidRPr="00A929E6">
        <w:t xml:space="preserve"> 3E</w:t>
      </w:r>
      <w:r w:rsidR="004664FC" w:rsidRPr="00A929E6">
        <w:t xml:space="preserve"> ha</w:t>
      </w:r>
      <w:r w:rsidR="0035079C" w:rsidRPr="00A929E6">
        <w:t>s</w:t>
      </w:r>
      <w:r w:rsidR="004664FC" w:rsidRPr="00A929E6">
        <w:t xml:space="preserve"> since been reused</w:t>
      </w:r>
      <w:r w:rsidR="00C25DBD" w:rsidRPr="00A929E6">
        <w:t xml:space="preserve"> for a provision that is unrelated to the repealed section 3E</w:t>
      </w:r>
      <w:r w:rsidR="004664FC" w:rsidRPr="00A929E6">
        <w:t>. The current section 3E require</w:t>
      </w:r>
      <w:r w:rsidR="0035079C" w:rsidRPr="00A929E6">
        <w:t>s</w:t>
      </w:r>
      <w:r w:rsidR="00873BB2" w:rsidRPr="00A929E6">
        <w:t xml:space="preserve"> the Commissioner to publish the final annual amount of an entity’s annual Petroleum Resource Rent Tax payable.</w:t>
      </w:r>
    </w:p>
    <w:p w14:paraId="35E2714A" w14:textId="77777777" w:rsidR="00DB7102" w:rsidRPr="00DB21A5" w:rsidRDefault="00DB7102" w:rsidP="006F552F">
      <w:pPr>
        <w:pStyle w:val="ActHeading"/>
      </w:pPr>
      <w:r w:rsidRPr="00DB21A5">
        <w:t>Repealing redundant definition in the TAA 1953</w:t>
      </w:r>
    </w:p>
    <w:p w14:paraId="4B20FA46" w14:textId="6F79A41A" w:rsidR="00DB7102" w:rsidRDefault="00DB7102" w:rsidP="00DB7102">
      <w:pPr>
        <w:pStyle w:val="base-text-paragraph"/>
      </w:pPr>
      <w:r w:rsidRPr="009660AF">
        <w:t xml:space="preserve">Prior to the amendments made by </w:t>
      </w:r>
      <w:r w:rsidR="00F148A5">
        <w:t>this Schedule</w:t>
      </w:r>
      <w:r>
        <w:t>, s</w:t>
      </w:r>
      <w:r w:rsidRPr="007967F4">
        <w:t xml:space="preserve">ection 14ZQ </w:t>
      </w:r>
      <w:r w:rsidRPr="007967F4" w:rsidDel="00622F39">
        <w:t>of the TAA</w:t>
      </w:r>
      <w:r w:rsidRPr="007967F4">
        <w:t xml:space="preserve"> 1953 include</w:t>
      </w:r>
      <w:r w:rsidR="00C60EFB">
        <w:t>d</w:t>
      </w:r>
      <w:r w:rsidRPr="007967F4">
        <w:t xml:space="preserve"> a definition of starting base assessment. The phrase 'starting base assessment' is not used anywhere in the TAA 1953. The provisions that used that phrase (s</w:t>
      </w:r>
      <w:r>
        <w:t>ections</w:t>
      </w:r>
      <w:r w:rsidRPr="007967F4">
        <w:t xml:space="preserve"> 14ZZK and 14ZZO) have been repealed.</w:t>
      </w:r>
      <w:r>
        <w:t xml:space="preserve"> </w:t>
      </w:r>
      <w:r w:rsidR="00F148A5">
        <w:t>This Schedule</w:t>
      </w:r>
      <w:r>
        <w:t xml:space="preserve"> repeals the </w:t>
      </w:r>
      <w:r w:rsidRPr="007967F4">
        <w:t>redundant definition.</w:t>
      </w:r>
      <w:r>
        <w:t xml:space="preserve"> </w:t>
      </w:r>
      <w:r w:rsidRPr="00B1474E">
        <w:rPr>
          <w:rStyle w:val="Referencingstyle"/>
        </w:rPr>
        <w:t>[</w:t>
      </w:r>
      <w:r w:rsidR="00BD20CC">
        <w:rPr>
          <w:rStyle w:val="Referencingstyle"/>
        </w:rPr>
        <w:t>Schedule #, i</w:t>
      </w:r>
      <w:r w:rsidRPr="00B1474E">
        <w:rPr>
          <w:rStyle w:val="Referencingstyle"/>
        </w:rPr>
        <w:t xml:space="preserve">tem </w:t>
      </w:r>
      <w:r w:rsidRPr="005D20F8">
        <w:rPr>
          <w:rStyle w:val="Referencingstyle"/>
        </w:rPr>
        <w:t>8</w:t>
      </w:r>
      <w:r w:rsidR="00BD20CC">
        <w:rPr>
          <w:rStyle w:val="Referencingstyle"/>
        </w:rPr>
        <w:t>7</w:t>
      </w:r>
      <w:r w:rsidRPr="005D20F8">
        <w:rPr>
          <w:rStyle w:val="Referencingstyle"/>
        </w:rPr>
        <w:t xml:space="preserve">, section 14ZQ (definition of starting base assessment) </w:t>
      </w:r>
      <w:r w:rsidRPr="005D20F8" w:rsidDel="00622F39">
        <w:rPr>
          <w:rStyle w:val="Referencingstyle"/>
        </w:rPr>
        <w:t>of the TAA</w:t>
      </w:r>
      <w:r w:rsidRPr="005D20F8">
        <w:rPr>
          <w:rStyle w:val="Referencingstyle"/>
        </w:rPr>
        <w:t xml:space="preserve"> 1953]</w:t>
      </w:r>
    </w:p>
    <w:p w14:paraId="02832229" w14:textId="1200FA43" w:rsidR="0064745A" w:rsidRPr="00DB21A5" w:rsidRDefault="0064745A" w:rsidP="006F552F">
      <w:pPr>
        <w:pStyle w:val="ActHeading"/>
      </w:pPr>
      <w:r w:rsidRPr="00EE6763">
        <w:t>Consequent</w:t>
      </w:r>
      <w:r w:rsidRPr="00AC70E4">
        <w:t>ial amendments relating to the consolidation of the evidence provisions and the Commissioner's information gathering provisions</w:t>
      </w:r>
    </w:p>
    <w:p w14:paraId="676132C0" w14:textId="58F9FB8B" w:rsidR="00A304FE" w:rsidRPr="00A304FE" w:rsidRDefault="000900E3" w:rsidP="00A304FE">
      <w:pPr>
        <w:pStyle w:val="base-text-paragraph"/>
      </w:pPr>
      <w:r w:rsidRPr="000900E3">
        <w:t xml:space="preserve">As part of the </w:t>
      </w:r>
      <w:r w:rsidRPr="00E35209">
        <w:rPr>
          <w:i/>
        </w:rPr>
        <w:t>Treasury Legislation Amendment (Repeal Day) Act 2015</w:t>
      </w:r>
      <w:r w:rsidR="008D07EA">
        <w:t>, various</w:t>
      </w:r>
      <w:r w:rsidRPr="000900E3">
        <w:t xml:space="preserve"> evidence provisions were consolidated into one set of rules for application across all tax laws.</w:t>
      </w:r>
      <w:r w:rsidR="00C7616A">
        <w:t xml:space="preserve"> </w:t>
      </w:r>
      <w:r w:rsidR="00E35209">
        <w:t>This in</w:t>
      </w:r>
      <w:r w:rsidR="00DA59EE">
        <w:t>volved</w:t>
      </w:r>
      <w:r w:rsidR="00A304FE">
        <w:t xml:space="preserve"> amendments to</w:t>
      </w:r>
      <w:r w:rsidR="00A304FE" w:rsidRPr="002F6A99">
        <w:rPr>
          <w:color w:val="000000"/>
        </w:rPr>
        <w:t xml:space="preserve"> </w:t>
      </w:r>
      <w:r w:rsidR="00761EFB">
        <w:rPr>
          <w:color w:val="000000"/>
        </w:rPr>
        <w:t>item 2 of the table</w:t>
      </w:r>
      <w:r w:rsidR="00A304FE" w:rsidRPr="002F6A99">
        <w:rPr>
          <w:color w:val="000000"/>
        </w:rPr>
        <w:t xml:space="preserve"> </w:t>
      </w:r>
      <w:r w:rsidR="001353C3">
        <w:rPr>
          <w:color w:val="000000"/>
        </w:rPr>
        <w:t>in</w:t>
      </w:r>
      <w:r w:rsidR="00A304FE" w:rsidRPr="002F6A99">
        <w:rPr>
          <w:color w:val="000000"/>
        </w:rPr>
        <w:t xml:space="preserve"> subsection 350-10(1) </w:t>
      </w:r>
      <w:r w:rsidR="005415FF">
        <w:rPr>
          <w:color w:val="000000"/>
        </w:rPr>
        <w:t>in</w:t>
      </w:r>
      <w:r w:rsidR="005415FF" w:rsidRPr="002F6A99">
        <w:rPr>
          <w:color w:val="000000"/>
        </w:rPr>
        <w:t xml:space="preserve"> </w:t>
      </w:r>
      <w:r w:rsidR="00A304FE" w:rsidRPr="00A304FE">
        <w:t xml:space="preserve">Schedule 1 </w:t>
      </w:r>
      <w:r w:rsidR="00622F39">
        <w:t>to the TAA</w:t>
      </w:r>
      <w:r w:rsidR="00A304FE" w:rsidRPr="00A304FE">
        <w:t xml:space="preserve"> 1953</w:t>
      </w:r>
      <w:r w:rsidR="00E35209">
        <w:t xml:space="preserve">, which concerns </w:t>
      </w:r>
      <w:r w:rsidR="00E35209" w:rsidRPr="0051598B">
        <w:t>the evidentiary effect of official tax documents for the purposes of taxation laws</w:t>
      </w:r>
      <w:r w:rsidR="00E35209" w:rsidRPr="00AB0C94">
        <w:t>.</w:t>
      </w:r>
    </w:p>
    <w:p w14:paraId="63B5CAB9" w14:textId="01A19D85" w:rsidR="00AB0C94" w:rsidRPr="00EE6763" w:rsidRDefault="00A304FE" w:rsidP="000900E3">
      <w:pPr>
        <w:pStyle w:val="base-text-paragraph"/>
      </w:pPr>
      <w:r>
        <w:t xml:space="preserve"> </w:t>
      </w:r>
      <w:r w:rsidR="00AB0C94">
        <w:t>I</w:t>
      </w:r>
      <w:r w:rsidR="00AB0C94" w:rsidRPr="00AB0C94">
        <w:t xml:space="preserve">tem 262 </w:t>
      </w:r>
      <w:r w:rsidR="00AB0C94">
        <w:t xml:space="preserve">of </w:t>
      </w:r>
      <w:r w:rsidR="00AB0C94" w:rsidRPr="005B204B">
        <w:t>Schedule 1 of the</w:t>
      </w:r>
      <w:r w:rsidR="00AB0C94" w:rsidRPr="00B778FA">
        <w:rPr>
          <w:i/>
        </w:rPr>
        <w:t xml:space="preserve"> Indirect Tax Laws Amendment (Assessment) Act 2012</w:t>
      </w:r>
      <w:r w:rsidR="00AB0C94" w:rsidRPr="00AB0C94">
        <w:t xml:space="preserve"> </w:t>
      </w:r>
      <w:r w:rsidR="00D810DF">
        <w:t>contains</w:t>
      </w:r>
      <w:r w:rsidR="00AB0C94" w:rsidRPr="00AB0C94">
        <w:t xml:space="preserve"> </w:t>
      </w:r>
      <w:r w:rsidR="00F55692">
        <w:t xml:space="preserve">conflicting </w:t>
      </w:r>
      <w:r w:rsidR="00AB0C94" w:rsidRPr="00AB0C94">
        <w:t>amendments</w:t>
      </w:r>
      <w:r w:rsidR="008717D4">
        <w:t xml:space="preserve"> to</w:t>
      </w:r>
      <w:r w:rsidR="00C41DB4">
        <w:t xml:space="preserve"> item</w:t>
      </w:r>
      <w:r w:rsidR="008717D4">
        <w:t xml:space="preserve"> 2</w:t>
      </w:r>
      <w:r w:rsidR="00761EFB">
        <w:t xml:space="preserve"> of that table</w:t>
      </w:r>
      <w:r w:rsidR="0051598B">
        <w:t>,</w:t>
      </w:r>
      <w:r w:rsidR="00AB0C94" w:rsidRPr="00AB0C94">
        <w:t xml:space="preserve"> </w:t>
      </w:r>
      <w:r w:rsidR="0051598B" w:rsidRPr="00AB0C94">
        <w:t xml:space="preserve">which will commence on </w:t>
      </w:r>
      <w:r w:rsidR="0051598B">
        <w:t>1 </w:t>
      </w:r>
      <w:r w:rsidR="0051598B" w:rsidRPr="00AB0C94">
        <w:t>January 2017</w:t>
      </w:r>
      <w:r w:rsidR="00C41DB4">
        <w:t xml:space="preserve">. </w:t>
      </w:r>
      <w:r w:rsidR="00F148A5">
        <w:t>This Schedule</w:t>
      </w:r>
      <w:r w:rsidR="00D77BB3">
        <w:t xml:space="preserve"> </w:t>
      </w:r>
      <w:r w:rsidR="008F4E1D">
        <w:t>amend</w:t>
      </w:r>
      <w:r w:rsidR="00D77BB3" w:rsidRPr="00D77BB3">
        <w:t xml:space="preserve">s item 262 </w:t>
      </w:r>
      <w:r w:rsidR="00D77BB3">
        <w:t xml:space="preserve">and amends </w:t>
      </w:r>
      <w:r w:rsidR="005717E5">
        <w:t>the table in</w:t>
      </w:r>
      <w:r w:rsidR="00D77BB3" w:rsidRPr="00D77BB3">
        <w:t xml:space="preserve"> subsection 350-10(1) </w:t>
      </w:r>
      <w:r w:rsidR="00194068">
        <w:t>in</w:t>
      </w:r>
      <w:r w:rsidR="00194068" w:rsidRPr="00D77BB3">
        <w:t xml:space="preserve"> </w:t>
      </w:r>
      <w:r w:rsidR="00D77BB3" w:rsidRPr="00D77BB3">
        <w:t xml:space="preserve">Schedule 1 </w:t>
      </w:r>
      <w:r w:rsidR="00622F39">
        <w:t xml:space="preserve">to the </w:t>
      </w:r>
      <w:r w:rsidR="00EC296C">
        <w:t>TAA </w:t>
      </w:r>
      <w:r w:rsidR="00D77BB3" w:rsidRPr="00D77BB3">
        <w:t>1953</w:t>
      </w:r>
      <w:r w:rsidR="00635F96">
        <w:t xml:space="preserve"> to ensure that the amendments purported to be made by </w:t>
      </w:r>
      <w:r w:rsidR="00EC296C" w:rsidRPr="00635F96">
        <w:t>item</w:t>
      </w:r>
      <w:r w:rsidR="00EC296C">
        <w:t> </w:t>
      </w:r>
      <w:r w:rsidR="00635F96" w:rsidRPr="00635F96">
        <w:t>262</w:t>
      </w:r>
      <w:r w:rsidR="00635F96">
        <w:t xml:space="preserve"> are given effect</w:t>
      </w:r>
      <w:r w:rsidR="00E668A7">
        <w:t>,</w:t>
      </w:r>
      <w:r w:rsidR="00635F96">
        <w:t xml:space="preserve"> without </w:t>
      </w:r>
      <w:r w:rsidR="00635F96" w:rsidRPr="00635F96">
        <w:t>undoing the consolidation of the evidence provisions</w:t>
      </w:r>
      <w:r w:rsidR="00A7480A">
        <w:t xml:space="preserve"> (described at paragraph 1.62)</w:t>
      </w:r>
      <w:r w:rsidR="00635F96" w:rsidRPr="005717E5">
        <w:t>.</w:t>
      </w:r>
      <w:r w:rsidR="009C6C01" w:rsidRPr="002F6A99">
        <w:t xml:space="preserve"> </w:t>
      </w:r>
      <w:r w:rsidR="00C156AC" w:rsidRPr="005717E5">
        <w:rPr>
          <w:rStyle w:val="Referencingstyle"/>
        </w:rPr>
        <w:t>[</w:t>
      </w:r>
      <w:r w:rsidR="00BD20CC">
        <w:rPr>
          <w:rStyle w:val="Referencingstyle"/>
        </w:rPr>
        <w:t>Schedule #, i</w:t>
      </w:r>
      <w:r w:rsidR="00BD20CC" w:rsidRPr="005717E5">
        <w:rPr>
          <w:rStyle w:val="Referencingstyle"/>
        </w:rPr>
        <w:t>tems</w:t>
      </w:r>
      <w:r w:rsidR="00BD20CC">
        <w:rPr>
          <w:rStyle w:val="Referencingstyle"/>
        </w:rPr>
        <w:t xml:space="preserve"> </w:t>
      </w:r>
      <w:r w:rsidR="00BD20CC" w:rsidRPr="00364288">
        <w:rPr>
          <w:rStyle w:val="Referencingstyle"/>
        </w:rPr>
        <w:t>8</w:t>
      </w:r>
      <w:r w:rsidR="00BD20CC">
        <w:rPr>
          <w:rStyle w:val="Referencingstyle"/>
        </w:rPr>
        <w:t>8</w:t>
      </w:r>
      <w:r w:rsidR="00020CB2" w:rsidRPr="00EE6763">
        <w:rPr>
          <w:rStyle w:val="Referencingstyle"/>
        </w:rPr>
        <w:t>,</w:t>
      </w:r>
      <w:r w:rsidR="00364288">
        <w:rPr>
          <w:rStyle w:val="Referencingstyle"/>
        </w:rPr>
        <w:t xml:space="preserve"> </w:t>
      </w:r>
      <w:r w:rsidR="00020CB2" w:rsidRPr="00364288">
        <w:rPr>
          <w:rStyle w:val="Referencingstyle"/>
        </w:rPr>
        <w:t>89</w:t>
      </w:r>
      <w:r w:rsidR="00020CB2" w:rsidRPr="00EE6763">
        <w:rPr>
          <w:rStyle w:val="Referencingstyle"/>
        </w:rPr>
        <w:t xml:space="preserve"> and </w:t>
      </w:r>
      <w:r w:rsidR="00BD20CC" w:rsidRPr="00EE6763">
        <w:rPr>
          <w:rStyle w:val="Referencingstyle"/>
        </w:rPr>
        <w:t>9</w:t>
      </w:r>
      <w:r w:rsidR="00BD20CC">
        <w:rPr>
          <w:rStyle w:val="Referencingstyle"/>
        </w:rPr>
        <w:t>3</w:t>
      </w:r>
      <w:r w:rsidR="00B25581" w:rsidRPr="00EE6763">
        <w:rPr>
          <w:rStyle w:val="Referencingstyle"/>
        </w:rPr>
        <w:t xml:space="preserve"> , subsections</w:t>
      </w:r>
      <w:r w:rsidR="00B778FA" w:rsidRPr="00AC70E4">
        <w:rPr>
          <w:rStyle w:val="Referencingstyle"/>
        </w:rPr>
        <w:t xml:space="preserve"> 350</w:t>
      </w:r>
      <w:r w:rsidR="00B778FA" w:rsidRPr="00AC70E4">
        <w:rPr>
          <w:rStyle w:val="Referencingstyle"/>
        </w:rPr>
        <w:noBreakHyphen/>
      </w:r>
      <w:r w:rsidR="00B25581" w:rsidRPr="00AC70E4">
        <w:rPr>
          <w:rStyle w:val="Referencingstyle"/>
        </w:rPr>
        <w:t xml:space="preserve">10(1), and 350-10(2) </w:t>
      </w:r>
      <w:r w:rsidR="006B0F1D" w:rsidRPr="00EE6763">
        <w:rPr>
          <w:rStyle w:val="Referencingstyle"/>
        </w:rPr>
        <w:t>in</w:t>
      </w:r>
      <w:r w:rsidR="00B25581" w:rsidRPr="00AC70E4">
        <w:rPr>
          <w:rStyle w:val="Referencingstyle"/>
        </w:rPr>
        <w:t xml:space="preserve"> Schedule 1</w:t>
      </w:r>
      <w:r w:rsidR="00B778FA" w:rsidRPr="00AF0D73">
        <w:rPr>
          <w:rStyle w:val="Referencingstyle"/>
        </w:rPr>
        <w:t xml:space="preserve"> </w:t>
      </w:r>
      <w:r w:rsidR="00622F39">
        <w:rPr>
          <w:rStyle w:val="Referencingstyle"/>
        </w:rPr>
        <w:t>to the TAA</w:t>
      </w:r>
      <w:r w:rsidR="00B778FA" w:rsidRPr="00AF0D73">
        <w:rPr>
          <w:rStyle w:val="Referencingstyle"/>
        </w:rPr>
        <w:t xml:space="preserve"> 1953 and i</w:t>
      </w:r>
      <w:r w:rsidR="008B58CA" w:rsidRPr="00AF0D73">
        <w:rPr>
          <w:rStyle w:val="Referencingstyle"/>
        </w:rPr>
        <w:t>tem</w:t>
      </w:r>
      <w:r w:rsidR="00BD20CC">
        <w:rPr>
          <w:rStyle w:val="Referencingstyle"/>
        </w:rPr>
        <w:t> </w:t>
      </w:r>
      <w:r w:rsidR="008B58CA" w:rsidRPr="00AF0D73">
        <w:rPr>
          <w:rStyle w:val="Referencingstyle"/>
        </w:rPr>
        <w:t>262 of</w:t>
      </w:r>
      <w:r w:rsidR="00B778FA" w:rsidRPr="00AF0D73">
        <w:rPr>
          <w:rStyle w:val="Referencingstyle"/>
        </w:rPr>
        <w:t xml:space="preserve"> Schedule 1 </w:t>
      </w:r>
      <w:r w:rsidR="00020CB2" w:rsidRPr="00AF0D73">
        <w:rPr>
          <w:rStyle w:val="Referencingstyle"/>
        </w:rPr>
        <w:t xml:space="preserve">to </w:t>
      </w:r>
      <w:r w:rsidR="00B778FA" w:rsidRPr="00AF0D73">
        <w:rPr>
          <w:rStyle w:val="Referencingstyle"/>
        </w:rPr>
        <w:t>the Indirect Tax Laws Amendment (Assessment) Act 2012]</w:t>
      </w:r>
    </w:p>
    <w:p w14:paraId="0641ED55" w14:textId="6E6A34F0" w:rsidR="002032BB" w:rsidRPr="00DB7102" w:rsidRDefault="00B1348B" w:rsidP="002032BB">
      <w:pPr>
        <w:pStyle w:val="base-text-paragraph"/>
        <w:rPr>
          <w:rStyle w:val="Referencingstyle"/>
          <w:i w:val="0"/>
          <w:sz w:val="22"/>
        </w:rPr>
      </w:pPr>
      <w:r>
        <w:t>S</w:t>
      </w:r>
      <w:r w:rsidRPr="00B1348B">
        <w:t xml:space="preserve">ection 271-100 in Schedule 2F to the ITAA 1936 </w:t>
      </w:r>
      <w:bookmarkStart w:id="1" w:name="_Toc432583146"/>
      <w:r w:rsidRPr="00B1348B">
        <w:t xml:space="preserve">concerns the evidentiary effect of </w:t>
      </w:r>
      <w:bookmarkEnd w:id="1"/>
      <w:r w:rsidRPr="00B1348B">
        <w:t>a notice of liability re</w:t>
      </w:r>
      <w:r w:rsidR="003B1264">
        <w:t>lating to</w:t>
      </w:r>
      <w:r w:rsidRPr="00B1348B">
        <w:t xml:space="preserve"> family trust distribution tax</w:t>
      </w:r>
      <w:r>
        <w:t>.</w:t>
      </w:r>
      <w:r w:rsidRPr="00B1348B">
        <w:t xml:space="preserve"> </w:t>
      </w:r>
      <w:r w:rsidR="00CE3FFB">
        <w:t>However, s</w:t>
      </w:r>
      <w:r w:rsidR="00CE3FFB" w:rsidRPr="00CE3FFB">
        <w:t xml:space="preserve">ection 271-100 </w:t>
      </w:r>
      <w:r w:rsidR="00CE3FFB">
        <w:t>was not included in the consolidation of the evidence provisions (</w:t>
      </w:r>
      <w:r w:rsidR="00CE3FFB" w:rsidRPr="00CE3FFB">
        <w:t xml:space="preserve">described at paragraph 1.62). </w:t>
      </w:r>
      <w:r w:rsidR="00F148A5">
        <w:t>This Schedule</w:t>
      </w:r>
      <w:r w:rsidR="00C156AC">
        <w:t xml:space="preserve"> </w:t>
      </w:r>
      <w:r w:rsidR="005B204B" w:rsidRPr="005B204B">
        <w:t>makes amendments to</w:t>
      </w:r>
      <w:r w:rsidR="005B204B" w:rsidRPr="005B204B">
        <w:rPr>
          <w:rFonts w:asciiTheme="minorHAnsi" w:eastAsiaTheme="minorHAnsi" w:hAnsiTheme="minorHAnsi" w:cstheme="minorBidi"/>
          <w:szCs w:val="22"/>
          <w:lang w:eastAsia="en-US"/>
        </w:rPr>
        <w:t xml:space="preserve"> </w:t>
      </w:r>
      <w:r w:rsidR="008717D4">
        <w:t>bring</w:t>
      </w:r>
      <w:r>
        <w:t xml:space="preserve"> s</w:t>
      </w:r>
      <w:r w:rsidRPr="00B1348B">
        <w:t>ection</w:t>
      </w:r>
      <w:r w:rsidR="003B1264">
        <w:t xml:space="preserve"> 271</w:t>
      </w:r>
      <w:r w:rsidR="00EC296C">
        <w:noBreakHyphen/>
      </w:r>
      <w:r w:rsidR="003B1264">
        <w:t>100</w:t>
      </w:r>
      <w:r w:rsidR="008717D4">
        <w:t xml:space="preserve"> into the </w:t>
      </w:r>
      <w:r w:rsidR="008717D4" w:rsidRPr="008717D4">
        <w:lastRenderedPageBreak/>
        <w:t>consolidated framework</w:t>
      </w:r>
      <w:r w:rsidR="008717D4">
        <w:t xml:space="preserve">. </w:t>
      </w:r>
      <w:r w:rsidR="008717D4" w:rsidRPr="00A73825">
        <w:rPr>
          <w:rStyle w:val="Referencingstyle"/>
        </w:rPr>
        <w:t>[</w:t>
      </w:r>
      <w:r w:rsidR="00BD20CC">
        <w:rPr>
          <w:rStyle w:val="Referencingstyle"/>
        </w:rPr>
        <w:t>Schedule #, i</w:t>
      </w:r>
      <w:r w:rsidR="00BD20CC" w:rsidRPr="002407F3">
        <w:rPr>
          <w:rStyle w:val="Referencingstyle"/>
        </w:rPr>
        <w:t>tem</w:t>
      </w:r>
      <w:r w:rsidR="00BD20CC" w:rsidRPr="00A73825">
        <w:rPr>
          <w:rStyle w:val="Referencingstyle"/>
        </w:rPr>
        <w:t>s 2</w:t>
      </w:r>
      <w:r w:rsidR="00BD20CC">
        <w:rPr>
          <w:rStyle w:val="Referencingstyle"/>
        </w:rPr>
        <w:t>8</w:t>
      </w:r>
      <w:r w:rsidR="0033149D" w:rsidRPr="00A73825">
        <w:rPr>
          <w:rStyle w:val="Referencingstyle"/>
        </w:rPr>
        <w:t xml:space="preserve"> and</w:t>
      </w:r>
      <w:r w:rsidR="00AF0CB6" w:rsidRPr="00A73825">
        <w:rPr>
          <w:rStyle w:val="Referencingstyle"/>
        </w:rPr>
        <w:t xml:space="preserve"> </w:t>
      </w:r>
      <w:r w:rsidR="00BD20CC" w:rsidRPr="002407F3">
        <w:rPr>
          <w:rStyle w:val="Referencingstyle"/>
        </w:rPr>
        <w:t>8</w:t>
      </w:r>
      <w:r w:rsidR="00BD20CC">
        <w:rPr>
          <w:rStyle w:val="Referencingstyle"/>
        </w:rPr>
        <w:t>8</w:t>
      </w:r>
      <w:r w:rsidR="00AF0CB6" w:rsidRPr="002407F3">
        <w:rPr>
          <w:rStyle w:val="Referencingstyle"/>
        </w:rPr>
        <w:t xml:space="preserve">, </w:t>
      </w:r>
      <w:r w:rsidR="002032BB" w:rsidRPr="002407F3">
        <w:rPr>
          <w:rStyle w:val="Referencingstyle"/>
        </w:rPr>
        <w:t>section 271</w:t>
      </w:r>
      <w:r w:rsidR="00EC296C">
        <w:rPr>
          <w:rStyle w:val="Referencingstyle"/>
        </w:rPr>
        <w:noBreakHyphen/>
      </w:r>
      <w:r w:rsidR="002032BB" w:rsidRPr="002407F3">
        <w:rPr>
          <w:rStyle w:val="Referencingstyle"/>
        </w:rPr>
        <w:t xml:space="preserve">100 </w:t>
      </w:r>
      <w:r w:rsidR="00CB56B1">
        <w:rPr>
          <w:rStyle w:val="Referencingstyle"/>
        </w:rPr>
        <w:t>in</w:t>
      </w:r>
      <w:r w:rsidR="002032BB" w:rsidRPr="002407F3">
        <w:rPr>
          <w:rStyle w:val="Referencingstyle"/>
        </w:rPr>
        <w:t xml:space="preserve"> </w:t>
      </w:r>
      <w:r w:rsidR="005079D0" w:rsidRPr="002407F3">
        <w:rPr>
          <w:rStyle w:val="Referencingstyle"/>
        </w:rPr>
        <w:t>Schedule</w:t>
      </w:r>
      <w:r w:rsidR="005079D0">
        <w:rPr>
          <w:rStyle w:val="Referencingstyle"/>
        </w:rPr>
        <w:t> </w:t>
      </w:r>
      <w:r w:rsidR="002032BB" w:rsidRPr="002407F3">
        <w:rPr>
          <w:rStyle w:val="Referencingstyle"/>
        </w:rPr>
        <w:t>2F of the ITAA 1936 and subsection 350</w:t>
      </w:r>
      <w:r w:rsidR="002032BB" w:rsidRPr="002407F3">
        <w:rPr>
          <w:rStyle w:val="Referencingstyle"/>
        </w:rPr>
        <w:noBreakHyphen/>
        <w:t xml:space="preserve">10(1) </w:t>
      </w:r>
      <w:r w:rsidR="00EC2791" w:rsidRPr="00A73825">
        <w:rPr>
          <w:rStyle w:val="Referencingstyle"/>
        </w:rPr>
        <w:t>in</w:t>
      </w:r>
      <w:r w:rsidR="002032BB" w:rsidRPr="002407F3">
        <w:rPr>
          <w:rStyle w:val="Referencingstyle"/>
        </w:rPr>
        <w:t xml:space="preserve"> Schedule 1 </w:t>
      </w:r>
      <w:r w:rsidR="00622F39">
        <w:rPr>
          <w:rStyle w:val="Referencingstyle"/>
        </w:rPr>
        <w:t>to the TAA</w:t>
      </w:r>
      <w:r w:rsidR="0033149D" w:rsidRPr="00A73825">
        <w:rPr>
          <w:rStyle w:val="Referencingstyle"/>
        </w:rPr>
        <w:t> </w:t>
      </w:r>
      <w:r w:rsidR="002032BB" w:rsidRPr="00A73825">
        <w:rPr>
          <w:rStyle w:val="Referencingstyle"/>
        </w:rPr>
        <w:t>1953]</w:t>
      </w:r>
    </w:p>
    <w:p w14:paraId="5161F64A" w14:textId="557579BC" w:rsidR="00DB7102" w:rsidRPr="00E731BF" w:rsidRDefault="00DB7102" w:rsidP="006F552F">
      <w:pPr>
        <w:pStyle w:val="ActHeading"/>
      </w:pPr>
      <w:r w:rsidRPr="00E731BF">
        <w:t xml:space="preserve">Update references </w:t>
      </w:r>
      <w:r>
        <w:t>in the exception to</w:t>
      </w:r>
      <w:r w:rsidRPr="00E731BF">
        <w:t xml:space="preserve"> the </w:t>
      </w:r>
      <w:r>
        <w:t>confidentiality of taxpayer information</w:t>
      </w:r>
      <w:r w:rsidRPr="00E731BF">
        <w:t xml:space="preserve"> </w:t>
      </w:r>
      <w:r w:rsidR="00BC3B3D">
        <w:t xml:space="preserve">provisions </w:t>
      </w:r>
      <w:r>
        <w:t>regarding the Trade Support Loans Act</w:t>
      </w:r>
    </w:p>
    <w:p w14:paraId="36325624" w14:textId="2233D32A" w:rsidR="00DB7102" w:rsidRDefault="00DB7102" w:rsidP="00DB7102">
      <w:pPr>
        <w:pStyle w:val="base-text-paragraph"/>
      </w:pPr>
      <w:r w:rsidRPr="00021F7E">
        <w:t xml:space="preserve">Prior to the amendments made by </w:t>
      </w:r>
      <w:r w:rsidR="00F148A5">
        <w:t>this Schedule</w:t>
      </w:r>
      <w:r>
        <w:t>, i</w:t>
      </w:r>
      <w:r w:rsidRPr="00670FFB">
        <w:t xml:space="preserve">tem 5AA of the table in subsection 355-65(2) in Schedule 1 </w:t>
      </w:r>
      <w:r w:rsidR="00622F39">
        <w:t>to the TAA</w:t>
      </w:r>
      <w:r w:rsidRPr="00670FFB">
        <w:t xml:space="preserve"> 1953 create</w:t>
      </w:r>
      <w:r>
        <w:t>d</w:t>
      </w:r>
      <w:r w:rsidRPr="00670FFB">
        <w:t xml:space="preserve"> an exception to the secrecy provisions where a record or disclosure is made to the Industry Secretary for the purpose of administering the </w:t>
      </w:r>
      <w:r w:rsidR="00CE1D13" w:rsidRPr="006A42C9">
        <w:rPr>
          <w:i/>
        </w:rPr>
        <w:t>Trade</w:t>
      </w:r>
      <w:r w:rsidR="00CE1D13">
        <w:rPr>
          <w:i/>
        </w:rPr>
        <w:t> </w:t>
      </w:r>
      <w:r w:rsidRPr="006A42C9">
        <w:rPr>
          <w:i/>
        </w:rPr>
        <w:t>Support Loans Act 2014</w:t>
      </w:r>
      <w:r w:rsidRPr="00670FFB">
        <w:t>.</w:t>
      </w:r>
    </w:p>
    <w:p w14:paraId="441F7413" w14:textId="77777777" w:rsidR="00DB7102" w:rsidRDefault="00DB7102" w:rsidP="00DB7102">
      <w:pPr>
        <w:pStyle w:val="base-text-paragraph"/>
      </w:pPr>
      <w:r>
        <w:t>F</w:t>
      </w:r>
      <w:r w:rsidRPr="00670FFB">
        <w:t>ollowing the Administrativ</w:t>
      </w:r>
      <w:r>
        <w:t>e Arrangements Order made on 23 </w:t>
      </w:r>
      <w:r w:rsidRPr="00392E1C">
        <w:t>December 2014</w:t>
      </w:r>
      <w:r>
        <w:t xml:space="preserve">, </w:t>
      </w:r>
      <w:r w:rsidRPr="0035339E">
        <w:t xml:space="preserve">responsibility for the </w:t>
      </w:r>
      <w:r w:rsidRPr="0035339E">
        <w:rPr>
          <w:i/>
        </w:rPr>
        <w:t>Trade Support Loans Act 2014</w:t>
      </w:r>
      <w:r w:rsidRPr="0035339E">
        <w:t xml:space="preserve"> moved to the Education Minister</w:t>
      </w:r>
      <w:r>
        <w:t>.</w:t>
      </w:r>
    </w:p>
    <w:p w14:paraId="05B4E44F" w14:textId="1C46002E" w:rsidR="00DB7102" w:rsidRPr="004F3CCA" w:rsidRDefault="00F148A5" w:rsidP="00DB7102">
      <w:pPr>
        <w:pStyle w:val="base-text-paragraph"/>
        <w:rPr>
          <w:b/>
        </w:rPr>
      </w:pPr>
      <w:r>
        <w:t>This Schedule</w:t>
      </w:r>
      <w:r w:rsidR="00DB7102">
        <w:t xml:space="preserve"> updates i</w:t>
      </w:r>
      <w:r w:rsidR="00DB7102" w:rsidRPr="00A009C1">
        <w:t>tem 5AA</w:t>
      </w:r>
      <w:r w:rsidR="00DB7102">
        <w:t xml:space="preserve"> of the table to ensure that the Australian Tax Office (ATO) may disclose protected information to the department </w:t>
      </w:r>
      <w:proofErr w:type="spellStart"/>
      <w:r w:rsidR="006D1282">
        <w:t>that</w:t>
      </w:r>
      <w:r w:rsidR="00DB7102">
        <w:t>has</w:t>
      </w:r>
      <w:proofErr w:type="spellEnd"/>
      <w:r w:rsidR="00DB7102">
        <w:t xml:space="preserve"> responsibility for the </w:t>
      </w:r>
      <w:r w:rsidR="00DB7102" w:rsidRPr="00BB0B98">
        <w:rPr>
          <w:i/>
        </w:rPr>
        <w:t>Trade Support Loans Act 2014</w:t>
      </w:r>
      <w:r w:rsidR="00DB7102" w:rsidRPr="00BB0B98">
        <w:t xml:space="preserve"> </w:t>
      </w:r>
      <w:r w:rsidR="00DB7102">
        <w:t xml:space="preserve">(currently the Department of Education and Training). </w:t>
      </w:r>
      <w:r w:rsidR="00DB7102" w:rsidRPr="00A01BA5">
        <w:t>The amendment</w:t>
      </w:r>
      <w:r w:rsidR="00DB7102">
        <w:t xml:space="preserve"> applies in </w:t>
      </w:r>
      <w:r w:rsidR="00DB7102" w:rsidRPr="00A01BA5">
        <w:t>relation to records and disclosures of information made on or after</w:t>
      </w:r>
      <w:r w:rsidR="00DB7102">
        <w:t xml:space="preserve"> </w:t>
      </w:r>
      <w:r w:rsidR="00DB7102" w:rsidRPr="00392E1C">
        <w:t>23 December 2014</w:t>
      </w:r>
      <w:r w:rsidR="00DB7102">
        <w:t xml:space="preserve">, </w:t>
      </w:r>
      <w:r w:rsidR="00DB7102" w:rsidRPr="00A01BA5">
        <w:t>regardless of when the information was acquired</w:t>
      </w:r>
      <w:r w:rsidR="00DB7102">
        <w:t xml:space="preserve">. </w:t>
      </w:r>
      <w:r w:rsidR="00DB7102" w:rsidRPr="00762841">
        <w:rPr>
          <w:rStyle w:val="Referencingstyle"/>
        </w:rPr>
        <w:t>[</w:t>
      </w:r>
      <w:r w:rsidR="00BD20CC">
        <w:rPr>
          <w:rStyle w:val="Referencingstyle"/>
        </w:rPr>
        <w:t>Schedule #, i</w:t>
      </w:r>
      <w:r w:rsidR="00DB7102" w:rsidRPr="00762841">
        <w:rPr>
          <w:rStyle w:val="Referencingstyle"/>
        </w:rPr>
        <w:t xml:space="preserve">tems </w:t>
      </w:r>
      <w:r w:rsidR="00DB7102" w:rsidRPr="00524FE7">
        <w:rPr>
          <w:rStyle w:val="Referencingstyle"/>
        </w:rPr>
        <w:t>9</w:t>
      </w:r>
      <w:r w:rsidR="00BD20CC">
        <w:rPr>
          <w:rStyle w:val="Referencingstyle"/>
        </w:rPr>
        <w:t>1</w:t>
      </w:r>
      <w:r w:rsidR="00DB7102" w:rsidRPr="00524FE7">
        <w:rPr>
          <w:rStyle w:val="Referencingstyle"/>
        </w:rPr>
        <w:t>and</w:t>
      </w:r>
      <w:r w:rsidR="00DB7102" w:rsidRPr="00762841">
        <w:rPr>
          <w:rStyle w:val="Referencingstyle"/>
        </w:rPr>
        <w:t xml:space="preserve"> </w:t>
      </w:r>
      <w:r w:rsidR="00DB7102" w:rsidRPr="00524FE7">
        <w:rPr>
          <w:rStyle w:val="Referencingstyle"/>
        </w:rPr>
        <w:t xml:space="preserve">92, </w:t>
      </w:r>
      <w:r w:rsidR="0002785C">
        <w:rPr>
          <w:rStyle w:val="Referencingstyle"/>
        </w:rPr>
        <w:t xml:space="preserve">item 5AA in the table in </w:t>
      </w:r>
      <w:r w:rsidR="00DB7102" w:rsidRPr="00524FE7">
        <w:rPr>
          <w:rStyle w:val="Referencingstyle"/>
        </w:rPr>
        <w:t xml:space="preserve">subsection 355-65(2) </w:t>
      </w:r>
      <w:r w:rsidR="00DB7102">
        <w:rPr>
          <w:rStyle w:val="Referencingstyle"/>
        </w:rPr>
        <w:t>in</w:t>
      </w:r>
      <w:r w:rsidR="00DB7102" w:rsidRPr="00524FE7">
        <w:rPr>
          <w:rStyle w:val="Referencingstyle"/>
        </w:rPr>
        <w:t xml:space="preserve"> Schedule 1 </w:t>
      </w:r>
      <w:r w:rsidR="00622F39">
        <w:rPr>
          <w:rStyle w:val="Referencingstyle"/>
        </w:rPr>
        <w:t>to the TAA</w:t>
      </w:r>
      <w:r w:rsidR="00DB7102" w:rsidRPr="00524FE7">
        <w:rPr>
          <w:rStyle w:val="Referencingstyle"/>
        </w:rPr>
        <w:t xml:space="preserve"> 1953]</w:t>
      </w:r>
    </w:p>
    <w:p w14:paraId="715284FB" w14:textId="27583CC2" w:rsidR="00DB7102" w:rsidRPr="00DB21A5" w:rsidDel="00DB7102" w:rsidRDefault="00834AF7" w:rsidP="006F552F">
      <w:pPr>
        <w:pStyle w:val="ActHeading"/>
      </w:pPr>
      <w:r w:rsidRPr="00DB21A5">
        <w:t xml:space="preserve">Incorrect commencement dates in </w:t>
      </w:r>
      <w:r w:rsidRPr="00567EF8">
        <w:t>Tax and Superannuation Laws Amen</w:t>
      </w:r>
      <w:r>
        <w:t>dment (2015 Measures No. 1) Act</w:t>
      </w:r>
      <w:r w:rsidRPr="00567EF8">
        <w:t xml:space="preserve"> 2015</w:t>
      </w:r>
      <w:r>
        <w:t xml:space="preserve"> </w:t>
      </w:r>
    </w:p>
    <w:p w14:paraId="336DE9D3" w14:textId="44819723" w:rsidR="00EE7609" w:rsidRPr="00E571A7" w:rsidRDefault="00834AF7" w:rsidP="00834AF7">
      <w:pPr>
        <w:pStyle w:val="base-text-paragraph"/>
        <w:rPr>
          <w:b/>
        </w:rPr>
      </w:pPr>
      <w:r w:rsidRPr="00FF5105">
        <w:t xml:space="preserve">Prior to the amendments made by </w:t>
      </w:r>
      <w:r w:rsidR="00F148A5">
        <w:t>this Schedule</w:t>
      </w:r>
      <w:r>
        <w:t>, t</w:t>
      </w:r>
      <w:r w:rsidRPr="006C1363">
        <w:t xml:space="preserve">he commencement table in section 2 of </w:t>
      </w:r>
      <w:r w:rsidRPr="00567EF8">
        <w:rPr>
          <w:i/>
        </w:rPr>
        <w:t>Tax and Superannuation Laws Amendment (2015 Measures No. 1) Act 2015</w:t>
      </w:r>
      <w:r>
        <w:t xml:space="preserve"> </w:t>
      </w:r>
      <w:r w:rsidRPr="006C1363">
        <w:t xml:space="preserve">incorrectly provided that Schedule 4 commenced on Royal Assent. </w:t>
      </w:r>
    </w:p>
    <w:p w14:paraId="0D3F15B8" w14:textId="77777777" w:rsidR="00EE7609" w:rsidRPr="00E571A7" w:rsidRDefault="00834AF7" w:rsidP="00E571A7">
      <w:pPr>
        <w:pStyle w:val="dotpoint"/>
        <w:rPr>
          <w:b/>
        </w:rPr>
      </w:pPr>
      <w:r w:rsidRPr="006C1363">
        <w:t>Part 1 of that Schedule was meant to commence t</w:t>
      </w:r>
      <w:r>
        <w:t xml:space="preserve">he day after Royal Assent. </w:t>
      </w:r>
    </w:p>
    <w:p w14:paraId="17C7FF39" w14:textId="77777777" w:rsidR="00EE7609" w:rsidRPr="00E571A7" w:rsidRDefault="00834AF7" w:rsidP="00E571A7">
      <w:pPr>
        <w:pStyle w:val="dotpoint"/>
        <w:rPr>
          <w:b/>
        </w:rPr>
      </w:pPr>
      <w:r>
        <w:t>Part </w:t>
      </w:r>
      <w:r w:rsidRPr="006C1363">
        <w:t xml:space="preserve">2 should not commence until 1 July 2021. </w:t>
      </w:r>
    </w:p>
    <w:p w14:paraId="05C48C5F" w14:textId="6CFE51B2" w:rsidR="00834AF7" w:rsidRPr="00674621" w:rsidRDefault="00834AF7" w:rsidP="00E571A7">
      <w:pPr>
        <w:pStyle w:val="base-text-paragraphnonumbers"/>
        <w:rPr>
          <w:b/>
        </w:rPr>
      </w:pPr>
      <w:r w:rsidRPr="006C1363">
        <w:t xml:space="preserve">This is clear from the headings to these </w:t>
      </w:r>
      <w:r>
        <w:t>P</w:t>
      </w:r>
      <w:r w:rsidRPr="006C1363">
        <w:t>arts.</w:t>
      </w:r>
      <w:r w:rsidRPr="00D85DBB">
        <w:t xml:space="preserve"> </w:t>
      </w:r>
      <w:r w:rsidR="00F148A5">
        <w:t>This Schedule</w:t>
      </w:r>
      <w:r>
        <w:t xml:space="preserve"> corrects the </w:t>
      </w:r>
      <w:r w:rsidRPr="006C1363">
        <w:t xml:space="preserve">commencement dates in section 2 of </w:t>
      </w:r>
      <w:r w:rsidRPr="00E571A7">
        <w:rPr>
          <w:i/>
        </w:rPr>
        <w:t>Tax and Superannuation Laws Amendment (2015 Measures No. 1) Act 2015</w:t>
      </w:r>
      <w:r>
        <w:t>.</w:t>
      </w:r>
      <w:r w:rsidRPr="00567EF8">
        <w:t xml:space="preserve"> </w:t>
      </w:r>
      <w:r w:rsidRPr="004B1D2E">
        <w:rPr>
          <w:rStyle w:val="Referencingstyle"/>
        </w:rPr>
        <w:t>[</w:t>
      </w:r>
      <w:r w:rsidR="007B141F">
        <w:rPr>
          <w:rStyle w:val="Referencingstyle"/>
        </w:rPr>
        <w:t>Schedule #, i</w:t>
      </w:r>
      <w:r w:rsidRPr="004B1D2E">
        <w:rPr>
          <w:rStyle w:val="Referencingstyle"/>
        </w:rPr>
        <w:t>tem 9</w:t>
      </w:r>
      <w:r w:rsidR="007B141F">
        <w:rPr>
          <w:rStyle w:val="Referencingstyle"/>
        </w:rPr>
        <w:t>6</w:t>
      </w:r>
      <w:r w:rsidRPr="004B1D2E">
        <w:rPr>
          <w:rStyle w:val="Referencingstyle"/>
        </w:rPr>
        <w:t xml:space="preserve">, </w:t>
      </w:r>
      <w:r w:rsidR="002B675C">
        <w:rPr>
          <w:rStyle w:val="Referencingstyle"/>
        </w:rPr>
        <w:t xml:space="preserve">item 7 in the table in </w:t>
      </w:r>
      <w:r w:rsidRPr="004B1D2E">
        <w:rPr>
          <w:rStyle w:val="Referencingstyle"/>
        </w:rPr>
        <w:t xml:space="preserve">subsection 2(1) </w:t>
      </w:r>
      <w:r w:rsidRPr="00762841">
        <w:rPr>
          <w:rStyle w:val="Referencingstyle"/>
        </w:rPr>
        <w:t xml:space="preserve">of </w:t>
      </w:r>
      <w:r w:rsidR="002B675C">
        <w:rPr>
          <w:rStyle w:val="Referencingstyle"/>
        </w:rPr>
        <w:t xml:space="preserve">the </w:t>
      </w:r>
      <w:r w:rsidRPr="00762841">
        <w:rPr>
          <w:rStyle w:val="Referencingstyle"/>
        </w:rPr>
        <w:t>Tax and Superannuation Laws Amendment (2015 Measures No. 1) Act 2015]</w:t>
      </w:r>
    </w:p>
    <w:p w14:paraId="35BDDC5C" w14:textId="77777777" w:rsidR="00CE1D13" w:rsidRDefault="00CE1D13">
      <w:pPr>
        <w:spacing w:before="0" w:after="0"/>
        <w:rPr>
          <w:b/>
          <w:i/>
        </w:rPr>
      </w:pPr>
      <w:r>
        <w:br w:type="page"/>
      </w:r>
    </w:p>
    <w:p w14:paraId="74DFFA67" w14:textId="4571B1C6" w:rsidR="00B91B5F" w:rsidRPr="00DB21A5" w:rsidRDefault="00F33F24" w:rsidP="006F552F">
      <w:pPr>
        <w:pStyle w:val="ActHeading"/>
      </w:pPr>
      <w:r w:rsidRPr="00DB21A5">
        <w:lastRenderedPageBreak/>
        <w:t>Repeal</w:t>
      </w:r>
      <w:r w:rsidR="00A52E81" w:rsidRPr="00DB21A5" w:rsidDel="00142516">
        <w:t xml:space="preserve"> </w:t>
      </w:r>
      <w:r w:rsidR="00A52E81" w:rsidRPr="00DB21A5">
        <w:t>amendments made by the Treasury Legislation Amendment (Repeal Day) Act 2015</w:t>
      </w:r>
      <w:r w:rsidR="00142516">
        <w:t xml:space="preserve"> that conflicted with </w:t>
      </w:r>
      <w:r w:rsidR="003D65A0">
        <w:t xml:space="preserve">other </w:t>
      </w:r>
      <w:r w:rsidR="00142516">
        <w:t xml:space="preserve">amendments </w:t>
      </w:r>
    </w:p>
    <w:p w14:paraId="2A10B00B" w14:textId="3938BD09" w:rsidR="00E067F5" w:rsidRPr="00E067F5" w:rsidRDefault="007276F6" w:rsidP="00E067F5">
      <w:pPr>
        <w:pStyle w:val="base-text-paragraph"/>
        <w:rPr>
          <w:b/>
        </w:rPr>
      </w:pPr>
      <w:r w:rsidRPr="007276F6">
        <w:t xml:space="preserve">Item 3 of Schedule 2 </w:t>
      </w:r>
      <w:r w:rsidR="00775260">
        <w:t>to</w:t>
      </w:r>
      <w:r w:rsidRPr="007276F6">
        <w:t xml:space="preserve"> the </w:t>
      </w:r>
      <w:r w:rsidRPr="00D85DBB">
        <w:rPr>
          <w:i/>
        </w:rPr>
        <w:t>Treasury Legislation Amendment (Repeal Day) Act 2015</w:t>
      </w:r>
      <w:r w:rsidRPr="007276F6">
        <w:t xml:space="preserve"> amended subsection 102(3) of the </w:t>
      </w:r>
      <w:r w:rsidR="00677001" w:rsidRPr="00677001">
        <w:rPr>
          <w:i/>
          <w:iCs/>
        </w:rPr>
        <w:t>Petroleum Resource Rent Tax Act 1987</w:t>
      </w:r>
      <w:r w:rsidR="00677001" w:rsidRPr="00677001">
        <w:t xml:space="preserve"> </w:t>
      </w:r>
      <w:r w:rsidRPr="007276F6">
        <w:t>on 25 February 2015; this clashed with item</w:t>
      </w:r>
      <w:r w:rsidR="007B141F">
        <w:t> </w:t>
      </w:r>
      <w:r w:rsidRPr="007276F6">
        <w:t>89 of that Schedule, which repealed the whole of Part</w:t>
      </w:r>
      <w:r w:rsidR="00775260">
        <w:t> </w:t>
      </w:r>
      <w:r w:rsidRPr="007276F6">
        <w:t>IX at the same time.</w:t>
      </w:r>
      <w:r w:rsidR="00B26AD4" w:rsidRPr="00B26AD4">
        <w:t xml:space="preserve"> </w:t>
      </w:r>
      <w:r w:rsidR="00B26AD4">
        <w:t>I</w:t>
      </w:r>
      <w:r w:rsidR="00B26AD4" w:rsidRPr="00B26AD4">
        <w:t xml:space="preserve">tem 36 of Schedule 2 </w:t>
      </w:r>
      <w:r w:rsidR="00CB56B1">
        <w:t>to</w:t>
      </w:r>
      <w:r w:rsidR="00B26AD4" w:rsidRPr="00B26AD4">
        <w:t xml:space="preserve"> the </w:t>
      </w:r>
      <w:r w:rsidR="00B26AD4" w:rsidRPr="00D85DBB">
        <w:rPr>
          <w:i/>
        </w:rPr>
        <w:t>Treasury Legislation Amendment (Repeal Day) Act 2015</w:t>
      </w:r>
      <w:r w:rsidR="00B26AD4" w:rsidRPr="00B26AD4">
        <w:t xml:space="preserve"> </w:t>
      </w:r>
      <w:r w:rsidR="00B26AD4">
        <w:t xml:space="preserve">also </w:t>
      </w:r>
      <w:r w:rsidR="00B26AD4" w:rsidRPr="00B26AD4">
        <w:t>purported to amend that subsection on</w:t>
      </w:r>
      <w:r w:rsidR="00CE1D13">
        <w:br/>
      </w:r>
      <w:r w:rsidR="00B26AD4" w:rsidRPr="00B26AD4">
        <w:t xml:space="preserve">1 July 2015, </w:t>
      </w:r>
      <w:r w:rsidR="0086444D">
        <w:t xml:space="preserve">although </w:t>
      </w:r>
      <w:r w:rsidR="00B26AD4" w:rsidRPr="00B26AD4">
        <w:t xml:space="preserve">the provision had already been repealed (by item 89). </w:t>
      </w:r>
      <w:r w:rsidR="00F148A5">
        <w:t>This Schedule</w:t>
      </w:r>
      <w:r w:rsidR="00D85DBB">
        <w:t xml:space="preserve"> r</w:t>
      </w:r>
      <w:r w:rsidR="00D85DBB" w:rsidRPr="00B26AD4">
        <w:t>epeal</w:t>
      </w:r>
      <w:r w:rsidR="00D85DBB">
        <w:t>s items 3 and 36</w:t>
      </w:r>
      <w:r w:rsidR="0086444D">
        <w:t xml:space="preserve"> of the amending Act</w:t>
      </w:r>
      <w:r w:rsidR="00D85DBB">
        <w:t>, as t</w:t>
      </w:r>
      <w:r w:rsidR="00D85DBB" w:rsidRPr="00B26AD4">
        <w:t xml:space="preserve">he amendments made by </w:t>
      </w:r>
      <w:r w:rsidR="00775260">
        <w:t>those</w:t>
      </w:r>
      <w:r w:rsidR="00775260" w:rsidRPr="00B26AD4">
        <w:t xml:space="preserve"> </w:t>
      </w:r>
      <w:r w:rsidR="00D85DBB" w:rsidRPr="00B26AD4">
        <w:t>items were ineffective and</w:t>
      </w:r>
      <w:r w:rsidR="00D85DBB">
        <w:t xml:space="preserve"> unnecessary</w:t>
      </w:r>
      <w:r w:rsidR="00D85DBB" w:rsidRPr="00B26AD4">
        <w:t>.</w:t>
      </w:r>
      <w:r w:rsidR="00B2359C">
        <w:t xml:space="preserve"> </w:t>
      </w:r>
      <w:r w:rsidR="00E067F5" w:rsidRPr="00762841">
        <w:rPr>
          <w:rStyle w:val="Referencingstyle"/>
        </w:rPr>
        <w:t>[</w:t>
      </w:r>
      <w:r w:rsidR="007B141F">
        <w:rPr>
          <w:rStyle w:val="Referencingstyle"/>
        </w:rPr>
        <w:t>Schedule #, i</w:t>
      </w:r>
      <w:r w:rsidR="007B141F" w:rsidRPr="00762841">
        <w:rPr>
          <w:rStyle w:val="Referencingstyle"/>
        </w:rPr>
        <w:t xml:space="preserve">tems </w:t>
      </w:r>
      <w:r w:rsidR="007B141F" w:rsidRPr="00775260">
        <w:rPr>
          <w:rStyle w:val="Referencingstyle"/>
        </w:rPr>
        <w:t>9</w:t>
      </w:r>
      <w:r w:rsidR="007B141F">
        <w:rPr>
          <w:rStyle w:val="Referencingstyle"/>
        </w:rPr>
        <w:t>7</w:t>
      </w:r>
      <w:r w:rsidR="00775260" w:rsidRPr="00775260">
        <w:rPr>
          <w:rStyle w:val="Referencingstyle"/>
        </w:rPr>
        <w:t xml:space="preserve"> and </w:t>
      </w:r>
      <w:r w:rsidR="007B141F" w:rsidRPr="00775260">
        <w:rPr>
          <w:rStyle w:val="Referencingstyle"/>
        </w:rPr>
        <w:t>9</w:t>
      </w:r>
      <w:r w:rsidR="007B141F">
        <w:rPr>
          <w:rStyle w:val="Referencingstyle"/>
        </w:rPr>
        <w:t>8</w:t>
      </w:r>
      <w:r w:rsidR="00E067F5" w:rsidRPr="00775260">
        <w:rPr>
          <w:rStyle w:val="Referencingstyle"/>
        </w:rPr>
        <w:t xml:space="preserve">, items 3 and 36 of Schedule 2 </w:t>
      </w:r>
      <w:r w:rsidR="00CB56B1">
        <w:rPr>
          <w:rStyle w:val="Referencingstyle"/>
        </w:rPr>
        <w:t>to</w:t>
      </w:r>
      <w:r w:rsidR="00E067F5" w:rsidRPr="00775260">
        <w:rPr>
          <w:rStyle w:val="Referencingstyle"/>
        </w:rPr>
        <w:t xml:space="preserve"> the</w:t>
      </w:r>
      <w:bookmarkStart w:id="2" w:name="_Toc435232584"/>
      <w:r w:rsidR="00E067F5" w:rsidRPr="00775260">
        <w:rPr>
          <w:rStyle w:val="Referencingstyle"/>
        </w:rPr>
        <w:t xml:space="preserve"> Treasury</w:t>
      </w:r>
      <w:bookmarkStart w:id="3" w:name="BK_S1P12L1C9"/>
      <w:bookmarkEnd w:id="3"/>
      <w:r w:rsidR="00E067F5" w:rsidRPr="00775260">
        <w:rPr>
          <w:rStyle w:val="Referencingstyle"/>
        </w:rPr>
        <w:t xml:space="preserve"> Legislation Amendment (Repeal Day) Act 2015</w:t>
      </w:r>
      <w:bookmarkEnd w:id="2"/>
      <w:r w:rsidR="00E067F5" w:rsidRPr="00775260">
        <w:rPr>
          <w:rStyle w:val="Referencingstyle"/>
        </w:rPr>
        <w:t>]</w:t>
      </w:r>
    </w:p>
    <w:p w14:paraId="6E35F3C3" w14:textId="3898C7A6" w:rsidR="00775260" w:rsidRPr="00E067F5" w:rsidRDefault="00775260" w:rsidP="00E067F5">
      <w:pPr>
        <w:pStyle w:val="base-text-paragraph"/>
        <w:rPr>
          <w:b/>
        </w:rPr>
      </w:pPr>
      <w:r>
        <w:t>The amendments commence i</w:t>
      </w:r>
      <w:r w:rsidRPr="00B2359C">
        <w:t xml:space="preserve">mmediately after the time specified in the </w:t>
      </w:r>
      <w:r w:rsidRPr="00B2359C">
        <w:rPr>
          <w:i/>
        </w:rPr>
        <w:t>Treasury Legislation Amendment (Repeal Day) Act 2015</w:t>
      </w:r>
      <w:r w:rsidRPr="00B2359C">
        <w:t xml:space="preserve"> for the commencement of</w:t>
      </w:r>
      <w:r>
        <w:t xml:space="preserve"> items 3 and 36. Item 3 will be repealed from 25</w:t>
      </w:r>
      <w:r w:rsidR="00C53625">
        <w:t> </w:t>
      </w:r>
      <w:r>
        <w:t>February 2015 and item 36 from 1 July 2015.</w:t>
      </w:r>
    </w:p>
    <w:p w14:paraId="79772C64" w14:textId="4ECC9FEF" w:rsidR="00834AF7" w:rsidRPr="00674621" w:rsidRDefault="00834AF7" w:rsidP="002F6A99">
      <w:pPr>
        <w:pStyle w:val="Heading3"/>
      </w:pPr>
      <w:r>
        <w:t>Part 5 – Repeals</w:t>
      </w:r>
    </w:p>
    <w:p w14:paraId="1E99FD87" w14:textId="78FD50FA" w:rsidR="009B6548" w:rsidRPr="00DB21A5" w:rsidRDefault="0032244A" w:rsidP="006F552F">
      <w:pPr>
        <w:pStyle w:val="ActHeading"/>
      </w:pPr>
      <w:r w:rsidRPr="00DB21A5">
        <w:t xml:space="preserve">Repeal </w:t>
      </w:r>
      <w:r w:rsidR="005B057A">
        <w:t xml:space="preserve">inoperative </w:t>
      </w:r>
      <w:r w:rsidRPr="00DB21A5">
        <w:t>Act (Income Tax (War</w:t>
      </w:r>
      <w:r w:rsidRPr="00DB21A5">
        <w:noBreakHyphen/>
        <w:t>time Arrangements) Act</w:t>
      </w:r>
      <w:r w:rsidR="007B141F">
        <w:t> </w:t>
      </w:r>
      <w:r w:rsidRPr="00DB21A5">
        <w:t>1942)</w:t>
      </w:r>
    </w:p>
    <w:p w14:paraId="35032411" w14:textId="05BA1D09" w:rsidR="00E731BF" w:rsidRPr="00E731BF" w:rsidRDefault="00F148A5" w:rsidP="00E731BF">
      <w:pPr>
        <w:pStyle w:val="base-text-paragraph"/>
      </w:pPr>
      <w:r>
        <w:t>This Schedule</w:t>
      </w:r>
      <w:r w:rsidR="00E7446E">
        <w:t xml:space="preserve"> </w:t>
      </w:r>
      <w:r w:rsidR="00D85DBB">
        <w:t xml:space="preserve">repeals </w:t>
      </w:r>
      <w:r w:rsidR="00D85DBB" w:rsidRPr="00231E0D">
        <w:t>the</w:t>
      </w:r>
      <w:r w:rsidR="00D85DBB" w:rsidRPr="00231E0D">
        <w:rPr>
          <w:i/>
        </w:rPr>
        <w:t xml:space="preserve"> Income Tax (War</w:t>
      </w:r>
      <w:r w:rsidR="00D85DBB" w:rsidRPr="00231E0D">
        <w:rPr>
          <w:i/>
        </w:rPr>
        <w:noBreakHyphen/>
        <w:t>time Arrangements) Act</w:t>
      </w:r>
      <w:r w:rsidR="007B141F">
        <w:rPr>
          <w:i/>
        </w:rPr>
        <w:t> </w:t>
      </w:r>
      <w:r w:rsidR="00D85DBB" w:rsidRPr="00231E0D">
        <w:rPr>
          <w:i/>
        </w:rPr>
        <w:t>1942</w:t>
      </w:r>
      <w:r w:rsidR="00D85DBB">
        <w:rPr>
          <w:i/>
        </w:rPr>
        <w:t>,</w:t>
      </w:r>
      <w:r w:rsidR="00D85DBB" w:rsidRPr="00231E0D">
        <w:t xml:space="preserve"> as it is inoperative.</w:t>
      </w:r>
      <w:r w:rsidR="00E731BF">
        <w:t xml:space="preserve"> </w:t>
      </w:r>
      <w:r w:rsidR="00E731BF" w:rsidRPr="00762841">
        <w:rPr>
          <w:rStyle w:val="Referencingstyle"/>
        </w:rPr>
        <w:t xml:space="preserve">[Item </w:t>
      </w:r>
      <w:r w:rsidR="007B141F">
        <w:rPr>
          <w:rStyle w:val="Referencingstyle"/>
        </w:rPr>
        <w:t>99</w:t>
      </w:r>
      <w:r w:rsidR="00E731BF" w:rsidRPr="005D20F8">
        <w:rPr>
          <w:rStyle w:val="Referencingstyle"/>
        </w:rPr>
        <w:t>,</w:t>
      </w:r>
      <w:bookmarkStart w:id="4" w:name="_Toc435232586"/>
      <w:r w:rsidR="00E731BF" w:rsidRPr="005D20F8">
        <w:rPr>
          <w:rStyle w:val="Referencingstyle"/>
        </w:rPr>
        <w:t xml:space="preserve"> Income Tax (War-time Arrangements) </w:t>
      </w:r>
      <w:r w:rsidR="00EA0CFB" w:rsidRPr="005D20F8">
        <w:rPr>
          <w:rStyle w:val="Referencingstyle"/>
        </w:rPr>
        <w:t>Act</w:t>
      </w:r>
      <w:r w:rsidR="00EA0CFB">
        <w:rPr>
          <w:rStyle w:val="Referencingstyle"/>
        </w:rPr>
        <w:t> </w:t>
      </w:r>
      <w:r w:rsidR="00E731BF" w:rsidRPr="005D20F8">
        <w:rPr>
          <w:rStyle w:val="Referencingstyle"/>
        </w:rPr>
        <w:t>1942</w:t>
      </w:r>
      <w:bookmarkEnd w:id="4"/>
      <w:r w:rsidR="00E731BF" w:rsidRPr="005D20F8">
        <w:rPr>
          <w:rStyle w:val="Referencingstyle"/>
        </w:rPr>
        <w:t>]</w:t>
      </w:r>
    </w:p>
    <w:p w14:paraId="76071542" w14:textId="77777777" w:rsidR="005717E5" w:rsidRDefault="005717E5" w:rsidP="006F552F">
      <w:pPr>
        <w:pStyle w:val="Heading4"/>
      </w:pPr>
      <w:r>
        <w:t>Finding tables</w:t>
      </w:r>
    </w:p>
    <w:p w14:paraId="08C77C91" w14:textId="0BBB72E9" w:rsidR="005717E5" w:rsidRDefault="005717E5" w:rsidP="005717E5">
      <w:pPr>
        <w:pStyle w:val="base-text-paragraph"/>
      </w:pPr>
      <w:r>
        <w:t xml:space="preserve">This Chapter includes finding tables to assist in identifying which provision in </w:t>
      </w:r>
      <w:r w:rsidR="00F148A5">
        <w:t>this Schedule</w:t>
      </w:r>
      <w:r>
        <w:t xml:space="preserve"> corresponds to a provision in the old law that has been rewritten, and vice versa.</w:t>
      </w:r>
    </w:p>
    <w:p w14:paraId="68028D2E" w14:textId="77777777" w:rsidR="005717E5" w:rsidRDefault="005717E5" w:rsidP="005717E5">
      <w:pPr>
        <w:pStyle w:val="base-text-paragraph"/>
      </w:pPr>
      <w:r>
        <w:t>References to old law in the finding tables are to these provisions in the ITAA 1936.</w:t>
      </w:r>
    </w:p>
    <w:p w14:paraId="44EF1AFE" w14:textId="3134129D" w:rsidR="005717E5" w:rsidRDefault="005717E5" w:rsidP="005717E5">
      <w:pPr>
        <w:pStyle w:val="base-text-paragraph"/>
      </w:pPr>
      <w:r>
        <w:t xml:space="preserve">References to the new law are to provisions </w:t>
      </w:r>
      <w:r w:rsidR="001A7079">
        <w:t>in</w:t>
      </w:r>
      <w:r w:rsidR="00622F39">
        <w:t xml:space="preserve"> the TAA</w:t>
      </w:r>
      <w:r>
        <w:t xml:space="preserve"> 1953, unless otherwise indicated. Also, in the finding tables:</w:t>
      </w:r>
    </w:p>
    <w:p w14:paraId="1D756944" w14:textId="77777777" w:rsidR="005717E5" w:rsidRPr="006F552F" w:rsidRDefault="005717E5" w:rsidP="006F552F">
      <w:pPr>
        <w:pStyle w:val="TableMainHeading"/>
      </w:pPr>
      <w:r w:rsidRPr="006F552F">
        <w:t>Finding table 1 — old law to new law</w:t>
      </w:r>
    </w:p>
    <w:tbl>
      <w:tblPr>
        <w:tblStyle w:val="TableGrid"/>
        <w:tblW w:w="6579" w:type="dxa"/>
        <w:tblInd w:w="1242" w:type="dxa"/>
        <w:tblLook w:val="04A0" w:firstRow="1" w:lastRow="0" w:firstColumn="1" w:lastColumn="0" w:noHBand="0" w:noVBand="1"/>
      </w:tblPr>
      <w:tblGrid>
        <w:gridCol w:w="3119"/>
        <w:gridCol w:w="3460"/>
      </w:tblGrid>
      <w:tr w:rsidR="005717E5" w14:paraId="71E3CE12" w14:textId="77777777" w:rsidTr="006F552F">
        <w:trPr>
          <w:tblHeader/>
        </w:trPr>
        <w:tc>
          <w:tcPr>
            <w:tcW w:w="3119" w:type="dxa"/>
            <w:tcBorders>
              <w:top w:val="single" w:sz="4" w:space="0" w:color="auto"/>
              <w:left w:val="single" w:sz="4" w:space="0" w:color="auto"/>
              <w:bottom w:val="single" w:sz="4" w:space="0" w:color="auto"/>
              <w:right w:val="single" w:sz="4" w:space="0" w:color="auto"/>
            </w:tcBorders>
            <w:hideMark/>
          </w:tcPr>
          <w:p w14:paraId="3C541159" w14:textId="77777777" w:rsidR="005717E5" w:rsidRDefault="005717E5" w:rsidP="00F148A5">
            <w:pPr>
              <w:pStyle w:val="tableheaderwithintable"/>
              <w:keepNext w:val="0"/>
              <w:rPr>
                <w:lang w:eastAsia="en-US"/>
              </w:rPr>
            </w:pPr>
            <w:r>
              <w:t>Old law</w:t>
            </w:r>
          </w:p>
        </w:tc>
        <w:tc>
          <w:tcPr>
            <w:tcW w:w="3460" w:type="dxa"/>
            <w:tcBorders>
              <w:top w:val="single" w:sz="4" w:space="0" w:color="auto"/>
              <w:left w:val="single" w:sz="4" w:space="0" w:color="auto"/>
              <w:bottom w:val="single" w:sz="4" w:space="0" w:color="auto"/>
              <w:right w:val="single" w:sz="4" w:space="0" w:color="auto"/>
            </w:tcBorders>
            <w:hideMark/>
          </w:tcPr>
          <w:p w14:paraId="002A4D4A" w14:textId="77777777" w:rsidR="005717E5" w:rsidRDefault="005717E5" w:rsidP="00F148A5">
            <w:pPr>
              <w:pStyle w:val="tableheaderwithintable"/>
              <w:keepNext w:val="0"/>
              <w:rPr>
                <w:lang w:eastAsia="en-US"/>
              </w:rPr>
            </w:pPr>
            <w:r>
              <w:t>New law</w:t>
            </w:r>
          </w:p>
        </w:tc>
      </w:tr>
      <w:tr w:rsidR="005717E5" w14:paraId="2ED9C0B1" w14:textId="77777777" w:rsidTr="006F552F">
        <w:tc>
          <w:tcPr>
            <w:tcW w:w="3119" w:type="dxa"/>
            <w:tcBorders>
              <w:top w:val="single" w:sz="4" w:space="0" w:color="auto"/>
              <w:left w:val="single" w:sz="4" w:space="0" w:color="auto"/>
              <w:bottom w:val="single" w:sz="4" w:space="0" w:color="auto"/>
              <w:right w:val="single" w:sz="4" w:space="0" w:color="auto"/>
            </w:tcBorders>
          </w:tcPr>
          <w:p w14:paraId="4B657F9A" w14:textId="77777777" w:rsidR="005717E5" w:rsidRDefault="005717E5" w:rsidP="00F148A5">
            <w:pPr>
              <w:pStyle w:val="tabletext"/>
              <w:ind w:left="0"/>
              <w:jc w:val="center"/>
              <w:rPr>
                <w:rFonts w:ascii="Calibri" w:hAnsi="Calibri"/>
                <w:lang w:eastAsia="en-US"/>
              </w:rPr>
            </w:pPr>
            <w:r>
              <w:rPr>
                <w:rFonts w:ascii="Calibri" w:hAnsi="Calibri"/>
                <w:lang w:eastAsia="en-US"/>
              </w:rPr>
              <w:t>264A</w:t>
            </w:r>
          </w:p>
        </w:tc>
        <w:tc>
          <w:tcPr>
            <w:tcW w:w="3460" w:type="dxa"/>
            <w:tcBorders>
              <w:top w:val="single" w:sz="4" w:space="0" w:color="auto"/>
              <w:left w:val="single" w:sz="4" w:space="0" w:color="auto"/>
              <w:bottom w:val="single" w:sz="4" w:space="0" w:color="auto"/>
              <w:right w:val="single" w:sz="4" w:space="0" w:color="auto"/>
            </w:tcBorders>
          </w:tcPr>
          <w:p w14:paraId="0FDD10CA" w14:textId="77777777" w:rsidR="005717E5" w:rsidRDefault="005717E5" w:rsidP="00F148A5">
            <w:pPr>
              <w:pStyle w:val="tabletext"/>
              <w:ind w:left="0"/>
              <w:jc w:val="center"/>
              <w:rPr>
                <w:rFonts w:ascii="Calibri" w:hAnsi="Calibri"/>
                <w:lang w:eastAsia="en-US"/>
              </w:rPr>
            </w:pPr>
            <w:r>
              <w:rPr>
                <w:rFonts w:ascii="Calibri" w:hAnsi="Calibri"/>
                <w:lang w:eastAsia="en-US"/>
              </w:rPr>
              <w:t>353-25 and 353-30 in Schedule 1</w:t>
            </w:r>
          </w:p>
        </w:tc>
      </w:tr>
      <w:tr w:rsidR="005717E5" w14:paraId="786B5C1D" w14:textId="77777777" w:rsidTr="006F552F">
        <w:tc>
          <w:tcPr>
            <w:tcW w:w="3119" w:type="dxa"/>
            <w:tcBorders>
              <w:top w:val="single" w:sz="4" w:space="0" w:color="auto"/>
              <w:left w:val="single" w:sz="4" w:space="0" w:color="auto"/>
              <w:bottom w:val="single" w:sz="4" w:space="0" w:color="auto"/>
              <w:right w:val="single" w:sz="4" w:space="0" w:color="auto"/>
            </w:tcBorders>
          </w:tcPr>
          <w:p w14:paraId="4475F8BD" w14:textId="49B9C509" w:rsidR="005717E5" w:rsidRDefault="005717E5" w:rsidP="002F6A99">
            <w:pPr>
              <w:pStyle w:val="tabletext"/>
              <w:ind w:left="0"/>
              <w:jc w:val="center"/>
              <w:rPr>
                <w:rFonts w:ascii="Calibri" w:hAnsi="Calibri"/>
                <w:lang w:eastAsia="en-US"/>
              </w:rPr>
            </w:pPr>
            <w:r>
              <w:rPr>
                <w:rFonts w:ascii="Calibri" w:hAnsi="Calibri"/>
                <w:lang w:eastAsia="en-US"/>
              </w:rPr>
              <w:t>271-100 in Schedule 2F</w:t>
            </w:r>
          </w:p>
        </w:tc>
        <w:tc>
          <w:tcPr>
            <w:tcW w:w="3460" w:type="dxa"/>
            <w:tcBorders>
              <w:top w:val="single" w:sz="4" w:space="0" w:color="auto"/>
              <w:left w:val="single" w:sz="4" w:space="0" w:color="auto"/>
              <w:bottom w:val="single" w:sz="4" w:space="0" w:color="auto"/>
              <w:right w:val="single" w:sz="4" w:space="0" w:color="auto"/>
            </w:tcBorders>
          </w:tcPr>
          <w:p w14:paraId="7CD4526F" w14:textId="6689C7FF" w:rsidR="005717E5" w:rsidRDefault="005717E5" w:rsidP="002F6A99">
            <w:pPr>
              <w:pStyle w:val="tabletext"/>
              <w:ind w:left="0"/>
              <w:jc w:val="center"/>
              <w:rPr>
                <w:rFonts w:ascii="Calibri" w:hAnsi="Calibri"/>
                <w:lang w:eastAsia="en-US"/>
              </w:rPr>
            </w:pPr>
            <w:r>
              <w:rPr>
                <w:rFonts w:ascii="Calibri" w:hAnsi="Calibri"/>
                <w:lang w:eastAsia="en-US"/>
              </w:rPr>
              <w:t>350-10(1) in Schedule 1</w:t>
            </w:r>
          </w:p>
        </w:tc>
      </w:tr>
    </w:tbl>
    <w:p w14:paraId="72C21FB0" w14:textId="77777777" w:rsidR="005717E5" w:rsidRPr="006F552F" w:rsidRDefault="005717E5" w:rsidP="006F552F">
      <w:pPr>
        <w:pStyle w:val="TableMainHeading"/>
        <w:rPr>
          <w:rFonts w:eastAsiaTheme="minorHAnsi"/>
        </w:rPr>
      </w:pPr>
      <w:r w:rsidRPr="006F552F">
        <w:lastRenderedPageBreak/>
        <w:t>Finding table 2 — new law to old law</w:t>
      </w:r>
    </w:p>
    <w:tbl>
      <w:tblPr>
        <w:tblStyle w:val="TableGrid"/>
        <w:tblW w:w="0" w:type="auto"/>
        <w:tblInd w:w="1242" w:type="dxa"/>
        <w:tblLook w:val="04A0" w:firstRow="1" w:lastRow="0" w:firstColumn="1" w:lastColumn="0" w:noHBand="0" w:noVBand="1"/>
      </w:tblPr>
      <w:tblGrid>
        <w:gridCol w:w="3119"/>
        <w:gridCol w:w="3460"/>
      </w:tblGrid>
      <w:tr w:rsidR="005717E5" w14:paraId="56F61B16" w14:textId="77777777" w:rsidTr="006F552F">
        <w:trPr>
          <w:tblHeader/>
        </w:trPr>
        <w:tc>
          <w:tcPr>
            <w:tcW w:w="3119" w:type="dxa"/>
            <w:tcBorders>
              <w:top w:val="single" w:sz="4" w:space="0" w:color="auto"/>
              <w:left w:val="single" w:sz="4" w:space="0" w:color="auto"/>
              <w:bottom w:val="single" w:sz="4" w:space="0" w:color="auto"/>
              <w:right w:val="single" w:sz="4" w:space="0" w:color="auto"/>
            </w:tcBorders>
            <w:hideMark/>
          </w:tcPr>
          <w:p w14:paraId="1C469787" w14:textId="77777777" w:rsidR="005717E5" w:rsidRDefault="005717E5" w:rsidP="00F148A5">
            <w:pPr>
              <w:pStyle w:val="tableheaderwithintable"/>
              <w:keepLines/>
              <w:rPr>
                <w:lang w:eastAsia="en-US"/>
              </w:rPr>
            </w:pPr>
            <w:r>
              <w:t>New law</w:t>
            </w:r>
          </w:p>
        </w:tc>
        <w:tc>
          <w:tcPr>
            <w:tcW w:w="3460" w:type="dxa"/>
            <w:tcBorders>
              <w:top w:val="single" w:sz="4" w:space="0" w:color="auto"/>
              <w:left w:val="single" w:sz="4" w:space="0" w:color="auto"/>
              <w:bottom w:val="single" w:sz="4" w:space="0" w:color="auto"/>
              <w:right w:val="single" w:sz="4" w:space="0" w:color="auto"/>
            </w:tcBorders>
            <w:hideMark/>
          </w:tcPr>
          <w:p w14:paraId="5B2FE1CB" w14:textId="77777777" w:rsidR="005717E5" w:rsidRDefault="005717E5" w:rsidP="00F148A5">
            <w:pPr>
              <w:pStyle w:val="tableheaderwithintable"/>
              <w:keepLines/>
              <w:rPr>
                <w:lang w:eastAsia="en-US"/>
              </w:rPr>
            </w:pPr>
            <w:r>
              <w:t>Old law</w:t>
            </w:r>
          </w:p>
        </w:tc>
      </w:tr>
      <w:tr w:rsidR="005717E5" w14:paraId="67FB5EC0" w14:textId="77777777" w:rsidTr="006F552F">
        <w:tc>
          <w:tcPr>
            <w:tcW w:w="3119" w:type="dxa"/>
            <w:tcBorders>
              <w:top w:val="single" w:sz="4" w:space="0" w:color="auto"/>
              <w:left w:val="single" w:sz="4" w:space="0" w:color="auto"/>
              <w:bottom w:val="single" w:sz="4" w:space="0" w:color="auto"/>
              <w:right w:val="single" w:sz="4" w:space="0" w:color="auto"/>
            </w:tcBorders>
          </w:tcPr>
          <w:p w14:paraId="65E7249E" w14:textId="13BE63A1" w:rsidR="005717E5" w:rsidRDefault="005717E5" w:rsidP="002F6A99">
            <w:pPr>
              <w:pStyle w:val="tabletext"/>
              <w:ind w:left="0"/>
              <w:jc w:val="center"/>
              <w:rPr>
                <w:rFonts w:ascii="Calibri" w:hAnsi="Calibri"/>
                <w:lang w:eastAsia="en-US"/>
              </w:rPr>
            </w:pPr>
            <w:r>
              <w:rPr>
                <w:rFonts w:ascii="Calibri" w:hAnsi="Calibri"/>
                <w:lang w:eastAsia="en-US"/>
              </w:rPr>
              <w:t>350-10(1) in Schedule 1</w:t>
            </w:r>
          </w:p>
        </w:tc>
        <w:tc>
          <w:tcPr>
            <w:tcW w:w="3460" w:type="dxa"/>
            <w:tcBorders>
              <w:top w:val="single" w:sz="4" w:space="0" w:color="auto"/>
              <w:left w:val="single" w:sz="4" w:space="0" w:color="auto"/>
              <w:bottom w:val="single" w:sz="4" w:space="0" w:color="auto"/>
              <w:right w:val="single" w:sz="4" w:space="0" w:color="auto"/>
            </w:tcBorders>
          </w:tcPr>
          <w:p w14:paraId="6F749EC2" w14:textId="0A00C9A8" w:rsidR="005717E5" w:rsidRDefault="005717E5" w:rsidP="00F148A5">
            <w:pPr>
              <w:pStyle w:val="tabletext"/>
              <w:keepNext/>
              <w:keepLines/>
              <w:ind w:left="12"/>
              <w:jc w:val="center"/>
              <w:rPr>
                <w:rFonts w:ascii="Calibri" w:hAnsi="Calibri"/>
                <w:lang w:eastAsia="en-US"/>
              </w:rPr>
            </w:pPr>
            <w:r>
              <w:rPr>
                <w:rFonts w:ascii="Calibri" w:hAnsi="Calibri"/>
                <w:lang w:eastAsia="en-US"/>
              </w:rPr>
              <w:t>271-100 in Schedule 2F</w:t>
            </w:r>
          </w:p>
        </w:tc>
      </w:tr>
      <w:tr w:rsidR="005717E5" w14:paraId="1B1CEAD6" w14:textId="77777777" w:rsidTr="006F552F">
        <w:tc>
          <w:tcPr>
            <w:tcW w:w="3119" w:type="dxa"/>
            <w:tcBorders>
              <w:top w:val="single" w:sz="4" w:space="0" w:color="auto"/>
              <w:left w:val="single" w:sz="4" w:space="0" w:color="auto"/>
              <w:bottom w:val="single" w:sz="4" w:space="0" w:color="auto"/>
              <w:right w:val="single" w:sz="4" w:space="0" w:color="auto"/>
            </w:tcBorders>
          </w:tcPr>
          <w:p w14:paraId="3A79FBE0" w14:textId="77777777" w:rsidR="005717E5" w:rsidRDefault="005717E5" w:rsidP="00F148A5">
            <w:pPr>
              <w:pStyle w:val="tabletext"/>
              <w:keepNext/>
              <w:keepLines/>
              <w:ind w:left="0"/>
              <w:jc w:val="center"/>
              <w:rPr>
                <w:rFonts w:ascii="Calibri" w:hAnsi="Calibri"/>
                <w:lang w:eastAsia="en-US"/>
              </w:rPr>
            </w:pPr>
            <w:r>
              <w:rPr>
                <w:rFonts w:ascii="Calibri" w:hAnsi="Calibri"/>
                <w:lang w:eastAsia="en-US"/>
              </w:rPr>
              <w:t>353-25 in Schedule 1</w:t>
            </w:r>
          </w:p>
        </w:tc>
        <w:tc>
          <w:tcPr>
            <w:tcW w:w="3460" w:type="dxa"/>
            <w:tcBorders>
              <w:top w:val="single" w:sz="4" w:space="0" w:color="auto"/>
              <w:left w:val="single" w:sz="4" w:space="0" w:color="auto"/>
              <w:bottom w:val="single" w:sz="4" w:space="0" w:color="auto"/>
              <w:right w:val="single" w:sz="4" w:space="0" w:color="auto"/>
            </w:tcBorders>
          </w:tcPr>
          <w:p w14:paraId="74C094E4" w14:textId="77777777" w:rsidR="005717E5" w:rsidRDefault="005717E5" w:rsidP="00F148A5">
            <w:pPr>
              <w:pStyle w:val="tabletext"/>
              <w:keepNext/>
              <w:keepLines/>
              <w:ind w:left="12"/>
              <w:jc w:val="center"/>
              <w:rPr>
                <w:rFonts w:ascii="Calibri" w:hAnsi="Calibri"/>
                <w:lang w:eastAsia="en-US"/>
              </w:rPr>
            </w:pPr>
            <w:r>
              <w:rPr>
                <w:rFonts w:ascii="Calibri" w:hAnsi="Calibri"/>
                <w:lang w:eastAsia="en-US"/>
              </w:rPr>
              <w:t>264A</w:t>
            </w:r>
          </w:p>
        </w:tc>
      </w:tr>
      <w:tr w:rsidR="005717E5" w14:paraId="11A9054C" w14:textId="77777777" w:rsidTr="006F552F">
        <w:tc>
          <w:tcPr>
            <w:tcW w:w="3119" w:type="dxa"/>
            <w:tcBorders>
              <w:top w:val="single" w:sz="4" w:space="0" w:color="auto"/>
              <w:left w:val="single" w:sz="4" w:space="0" w:color="auto"/>
              <w:bottom w:val="single" w:sz="4" w:space="0" w:color="auto"/>
              <w:right w:val="single" w:sz="4" w:space="0" w:color="auto"/>
            </w:tcBorders>
          </w:tcPr>
          <w:p w14:paraId="3F69DEE5" w14:textId="77777777" w:rsidR="005717E5" w:rsidRDefault="005717E5" w:rsidP="00F148A5">
            <w:pPr>
              <w:pStyle w:val="tabletext"/>
              <w:ind w:left="0"/>
              <w:jc w:val="center"/>
              <w:rPr>
                <w:rFonts w:ascii="Calibri" w:hAnsi="Calibri"/>
                <w:lang w:eastAsia="en-US"/>
              </w:rPr>
            </w:pPr>
            <w:r>
              <w:rPr>
                <w:rFonts w:ascii="Calibri" w:hAnsi="Calibri"/>
                <w:lang w:eastAsia="en-US"/>
              </w:rPr>
              <w:t>353-30 in Schedule 1</w:t>
            </w:r>
          </w:p>
        </w:tc>
        <w:tc>
          <w:tcPr>
            <w:tcW w:w="3460" w:type="dxa"/>
            <w:tcBorders>
              <w:top w:val="single" w:sz="4" w:space="0" w:color="auto"/>
              <w:left w:val="single" w:sz="4" w:space="0" w:color="auto"/>
              <w:bottom w:val="single" w:sz="4" w:space="0" w:color="auto"/>
              <w:right w:val="single" w:sz="4" w:space="0" w:color="auto"/>
            </w:tcBorders>
          </w:tcPr>
          <w:p w14:paraId="5B98D826" w14:textId="77777777" w:rsidR="005717E5" w:rsidRDefault="005717E5" w:rsidP="00F148A5">
            <w:pPr>
              <w:pStyle w:val="tabletext"/>
              <w:ind w:left="12"/>
              <w:jc w:val="center"/>
              <w:rPr>
                <w:rFonts w:ascii="Calibri" w:hAnsi="Calibri"/>
                <w:lang w:eastAsia="en-US"/>
              </w:rPr>
            </w:pPr>
            <w:r>
              <w:rPr>
                <w:rFonts w:ascii="Calibri" w:hAnsi="Calibri"/>
                <w:lang w:eastAsia="en-US"/>
              </w:rPr>
              <w:t>264A</w:t>
            </w:r>
          </w:p>
        </w:tc>
      </w:tr>
    </w:tbl>
    <w:p w14:paraId="764894F9" w14:textId="22E28761" w:rsidR="00171B9B" w:rsidRDefault="00171B9B" w:rsidP="002F6A99">
      <w:pPr>
        <w:pStyle w:val="base-text-paragraph"/>
        <w:sectPr w:rsidR="00171B9B" w:rsidSect="00C25AA2">
          <w:headerReference w:type="even" r:id="rId20"/>
          <w:headerReference w:type="default" r:id="rId21"/>
          <w:footerReference w:type="even" r:id="rId22"/>
          <w:footerReference w:type="default" r:id="rId23"/>
          <w:footerReference w:type="first" r:id="rId24"/>
          <w:type w:val="oddPage"/>
          <w:pgSz w:w="11906" w:h="16838" w:code="9"/>
          <w:pgMar w:top="2466" w:right="2098" w:bottom="2466" w:left="2098" w:header="1559" w:footer="1899" w:gutter="0"/>
          <w:cols w:space="708"/>
          <w:titlePg/>
          <w:docGrid w:linePitch="360"/>
        </w:sectPr>
      </w:pPr>
    </w:p>
    <w:p w14:paraId="59880A05" w14:textId="77777777" w:rsidR="00171B9B" w:rsidRDefault="00171B9B" w:rsidP="00C25AA2">
      <w:pPr>
        <w:pStyle w:val="ChapterHeading"/>
      </w:pPr>
      <w:r>
        <w:lastRenderedPageBreak/>
        <w:br/>
        <w:t>Statement of Compatibility with Human Rights</w:t>
      </w:r>
    </w:p>
    <w:p w14:paraId="52F53B81" w14:textId="77777777" w:rsidR="00171B9B" w:rsidRDefault="00171B9B" w:rsidP="00C25AA2">
      <w:pPr>
        <w:pStyle w:val="Heading2"/>
      </w:pPr>
      <w:r>
        <w:t xml:space="preserve">Prepared in accordance with Part 3 of the </w:t>
      </w:r>
      <w:r w:rsidRPr="007439D0">
        <w:rPr>
          <w:i/>
        </w:rPr>
        <w:t>Human Rights (Parliamentary Scrutiny) Act 2011</w:t>
      </w:r>
    </w:p>
    <w:p w14:paraId="24F8ADF7" w14:textId="4820CE67" w:rsidR="00171B9B" w:rsidRPr="00A04A9F" w:rsidRDefault="007F1E75" w:rsidP="00C25AA2">
      <w:pPr>
        <w:pStyle w:val="Heading3"/>
        <w:rPr>
          <w:i/>
        </w:rPr>
      </w:pPr>
      <w:r>
        <w:rPr>
          <w:i/>
        </w:rPr>
        <w:t>Schedule #: Miscellaneous Amendments</w:t>
      </w:r>
    </w:p>
    <w:p w14:paraId="733697FF" w14:textId="5A2CB969" w:rsidR="00171B9B" w:rsidRDefault="00F148A5" w:rsidP="00171B9B">
      <w:pPr>
        <w:pStyle w:val="base-text-paragraph"/>
      </w:pPr>
      <w:r>
        <w:t>This Schedule</w:t>
      </w:r>
      <w:r w:rsidR="00061208">
        <w:t xml:space="preserve"> </w:t>
      </w:r>
      <w:r w:rsidR="00171B9B" w:rsidRPr="002E3A4D">
        <w:t>i</w:t>
      </w:r>
      <w:r w:rsidR="00171B9B">
        <w:t xml:space="preserve">s compatible with the human rights and freedoms recognised or declared in the international instruments listed in section 3 of the </w:t>
      </w:r>
      <w:r w:rsidR="00171B9B" w:rsidRPr="00A04A9F">
        <w:rPr>
          <w:i/>
        </w:rPr>
        <w:t>Human Rights (Parliamentary Scrutiny) Act 2011</w:t>
      </w:r>
      <w:r w:rsidR="00171B9B">
        <w:t>.</w:t>
      </w:r>
    </w:p>
    <w:p w14:paraId="1072057B" w14:textId="77777777" w:rsidR="00171B9B" w:rsidRDefault="00171B9B" w:rsidP="00C25AA2">
      <w:pPr>
        <w:pStyle w:val="Heading3"/>
      </w:pPr>
      <w:r>
        <w:t>Overview</w:t>
      </w:r>
    </w:p>
    <w:p w14:paraId="7174E9EE" w14:textId="0CEEC581" w:rsidR="007F1E75" w:rsidRDefault="00F148A5" w:rsidP="007F1E75">
      <w:pPr>
        <w:pStyle w:val="base-text-paragraph"/>
      </w:pPr>
      <w:r>
        <w:t>This Schedule</w:t>
      </w:r>
      <w:r w:rsidR="007F1E75">
        <w:t xml:space="preserve"> makes a number of miscellaneous amendments to the taxation, superannuation and other laws. These amendments are part of the Government’s commitment to the care and maintenance of the taxation and superannuation systems.</w:t>
      </w:r>
    </w:p>
    <w:p w14:paraId="0148EC1F" w14:textId="2D3F5356" w:rsidR="00171B9B" w:rsidRDefault="007F1E75" w:rsidP="007F1E75">
      <w:pPr>
        <w:pStyle w:val="base-text-paragraph"/>
      </w:pPr>
      <w:r>
        <w:t>These amendments include style and formatting changes, the repeal of redundant provisions, the correction of anomalous outcomes and corrections to previous amending Acts.</w:t>
      </w:r>
    </w:p>
    <w:p w14:paraId="659709B9" w14:textId="77777777" w:rsidR="00171B9B" w:rsidRDefault="00171B9B" w:rsidP="00C25AA2">
      <w:pPr>
        <w:pStyle w:val="Heading3"/>
      </w:pPr>
      <w:r>
        <w:t>Human rights implications</w:t>
      </w:r>
    </w:p>
    <w:p w14:paraId="6E5CDB57" w14:textId="50B8E6BF" w:rsidR="00171B9B" w:rsidRDefault="007F1E75" w:rsidP="00171B9B">
      <w:pPr>
        <w:pStyle w:val="base-text-paragraph"/>
      </w:pPr>
      <w:r w:rsidRPr="00703944">
        <w:t>These amendments make a number of minor and machinery changes to the taxation and superannuation provisions to ensure the provisions are consistent with their original policy intent</w:t>
      </w:r>
      <w:r w:rsidR="0079460B" w:rsidRPr="00703944">
        <w:t xml:space="preserve">. </w:t>
      </w:r>
      <w:r w:rsidRPr="00703944">
        <w:t xml:space="preserve">As such, </w:t>
      </w:r>
      <w:r w:rsidR="00CE1D13" w:rsidRPr="00703944">
        <w:t>this</w:t>
      </w:r>
      <w:r w:rsidR="00CE1D13">
        <w:t> </w:t>
      </w:r>
      <w:r w:rsidRPr="00703944">
        <w:t>Schedule does not engage any of the applicable rights or freedoms.</w:t>
      </w:r>
    </w:p>
    <w:p w14:paraId="7B579BCD" w14:textId="77777777" w:rsidR="00171B9B" w:rsidRDefault="00171B9B" w:rsidP="00C25AA2">
      <w:pPr>
        <w:pStyle w:val="Heading3"/>
      </w:pPr>
      <w:r>
        <w:t>Conclusion</w:t>
      </w:r>
    </w:p>
    <w:p w14:paraId="6B0109C5" w14:textId="226609CE" w:rsidR="00171B9B" w:rsidRDefault="00F148A5" w:rsidP="00171B9B">
      <w:pPr>
        <w:pStyle w:val="base-text-paragraph"/>
      </w:pPr>
      <w:r>
        <w:t>This Schedule</w:t>
      </w:r>
      <w:r w:rsidR="00061208">
        <w:t xml:space="preserve"> </w:t>
      </w:r>
      <w:r w:rsidR="00171B9B">
        <w:t>is compatible with human rights as it does not raise any human rights issues.</w:t>
      </w:r>
    </w:p>
    <w:p w14:paraId="21E0C5FA" w14:textId="77777777" w:rsidR="00171B9B" w:rsidRDefault="00171B9B" w:rsidP="00C25AA2">
      <w:pPr>
        <w:pStyle w:val="Hiddentext"/>
        <w:sectPr w:rsidR="00171B9B" w:rsidSect="00C25AA2">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cols w:space="708"/>
          <w:titlePg/>
          <w:docGrid w:linePitch="360"/>
        </w:sectPr>
      </w:pPr>
      <w:r>
        <w:t>Do not remove section break</w:t>
      </w:r>
    </w:p>
    <w:p w14:paraId="4717C197" w14:textId="77777777" w:rsidR="00171B9B" w:rsidRPr="00FE4340" w:rsidRDefault="00171B9B" w:rsidP="00C25AA2"/>
    <w:p w14:paraId="756A996A" w14:textId="77777777" w:rsidR="001D5436" w:rsidRPr="00200C32" w:rsidRDefault="001D5436" w:rsidP="00200C32"/>
    <w:sectPr w:rsidR="001D5436" w:rsidRPr="00200C32" w:rsidSect="00821379">
      <w:headerReference w:type="even" r:id="rId30"/>
      <w:headerReference w:type="default" r:id="rId31"/>
      <w:footerReference w:type="even" r:id="rId32"/>
      <w:footerReference w:type="default" r:id="rId33"/>
      <w:footerReference w:type="first" r:id="rId34"/>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9C8B5" w14:textId="77777777" w:rsidR="00B0190F" w:rsidRDefault="00B0190F">
      <w:r>
        <w:separator/>
      </w:r>
    </w:p>
  </w:endnote>
  <w:endnote w:type="continuationSeparator" w:id="0">
    <w:p w14:paraId="698B11B2" w14:textId="77777777" w:rsidR="00B0190F" w:rsidRDefault="00B0190F">
      <w:r>
        <w:continuationSeparator/>
      </w:r>
    </w:p>
  </w:endnote>
  <w:endnote w:type="continuationNotice" w:id="1">
    <w:p w14:paraId="0F98C7FA" w14:textId="77777777" w:rsidR="00B0190F" w:rsidRDefault="00B019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9496F" w14:textId="77777777" w:rsidR="00B0190F" w:rsidRDefault="00B0190F" w:rsidP="00C25AA2">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D97B6" w14:textId="77777777" w:rsidR="00B0190F" w:rsidRDefault="00B0190F" w:rsidP="00C25AA2">
    <w:pPr>
      <w:pStyle w:val="leftfooter"/>
    </w:pPr>
    <w:r>
      <w:fldChar w:fldCharType="begin"/>
    </w:r>
    <w:r>
      <w:instrText xml:space="preserve"> PAGE   \* MERGEFORMAT </w:instrText>
    </w:r>
    <w:r>
      <w:fldChar w:fldCharType="separate"/>
    </w:r>
    <w:r>
      <w:rPr>
        <w:noProof/>
      </w:rPr>
      <w:t>6</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BEDD0" w14:textId="77777777" w:rsidR="00B0190F" w:rsidRDefault="00B0190F" w:rsidP="00C25AA2">
    <w:pPr>
      <w:pStyle w:val="rightfooter"/>
    </w:pPr>
    <w:r>
      <w:fldChar w:fldCharType="begin"/>
    </w:r>
    <w:r>
      <w:instrText xml:space="preserve"> PAGE   \* MERGEFORMAT </w:instrText>
    </w:r>
    <w:r>
      <w:fldChar w:fldCharType="separate"/>
    </w:r>
    <w:r>
      <w:rPr>
        <w:noProof/>
      </w:rPr>
      <w:t>7</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2C74" w14:textId="77777777" w:rsidR="00B0190F" w:rsidRDefault="00B0190F" w:rsidP="00C25AA2">
    <w:pPr>
      <w:pStyle w:val="rightfooter"/>
    </w:pPr>
    <w:r>
      <w:fldChar w:fldCharType="begin"/>
    </w:r>
    <w:r>
      <w:instrText xml:space="preserve"> PAGE  \* Arabic  \* MERGEFORMAT </w:instrText>
    </w:r>
    <w:r>
      <w:fldChar w:fldCharType="separate"/>
    </w:r>
    <w:r w:rsidR="00EB44EB">
      <w:rPr>
        <w:noProof/>
      </w:rPr>
      <w:t>21</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0E01A" w14:textId="77777777" w:rsidR="00B0190F" w:rsidRDefault="00B0190F"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3DA9B" w14:textId="77777777" w:rsidR="00B0190F" w:rsidRDefault="00B0190F"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67C49" w14:textId="77777777" w:rsidR="00B0190F" w:rsidRDefault="00B0190F" w:rsidP="005A76CC">
    <w:pPr>
      <w:pStyle w:val="rightfooter"/>
    </w:pPr>
    <w:r>
      <w:fldChar w:fldCharType="begin"/>
    </w:r>
    <w:r>
      <w:instrText xml:space="preserve"> PAGE  \* Arabic  \* MERGEFORMAT </w:instrText>
    </w:r>
    <w:r>
      <w:fldChar w:fldCharType="separate"/>
    </w:r>
    <w:r>
      <w:rPr>
        <w:noProof/>
      </w:rPr>
      <w:t>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41E8C" w14:textId="77777777" w:rsidR="00B0190F" w:rsidRDefault="00B0190F" w:rsidP="00C25AA2">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F1FE1" w14:textId="77777777" w:rsidR="00B0190F" w:rsidRDefault="00B0190F" w:rsidP="00C25AA2">
    <w:pPr>
      <w:pStyle w:val="rightfooter"/>
    </w:pPr>
    <w:r>
      <w:fldChar w:fldCharType="begin"/>
    </w:r>
    <w:r>
      <w:instrText xml:space="preserve"> PAGE  \* Arabic  \* MERGEFORMAT </w:instrText>
    </w:r>
    <w:r>
      <w:fldChar w:fldCharType="separate"/>
    </w:r>
    <w:r w:rsidR="00EB44EB">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7C58D" w14:textId="77777777" w:rsidR="00B0190F" w:rsidRDefault="00B0190F" w:rsidP="00C25AA2">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31053" w14:textId="77777777" w:rsidR="00B0190F" w:rsidRDefault="00B0190F" w:rsidP="00C25AA2">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C9AB3" w14:textId="77777777" w:rsidR="00B0190F" w:rsidRDefault="00B0190F" w:rsidP="00C25AA2">
    <w:pPr>
      <w:pStyle w:val="rightfooter"/>
    </w:pPr>
    <w:r>
      <w:fldChar w:fldCharType="begin"/>
    </w:r>
    <w:r>
      <w:instrText xml:space="preserve"> PAGE  \* Arabic  \* MERGEFORMAT </w:instrText>
    </w:r>
    <w:r>
      <w:fldChar w:fldCharType="separate"/>
    </w:r>
    <w:r w:rsidR="00EB44EB">
      <w:rPr>
        <w:noProof/>
      </w:rPr>
      <w:t>3</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55D74" w14:textId="77777777" w:rsidR="00B0190F" w:rsidRDefault="00B0190F" w:rsidP="00C25AA2">
    <w:pPr>
      <w:pStyle w:val="leftfooter"/>
    </w:pPr>
    <w:r>
      <w:fldChar w:fldCharType="begin"/>
    </w:r>
    <w:r>
      <w:instrText xml:space="preserve"> PAGE   \* MERGEFORMAT </w:instrText>
    </w:r>
    <w:r>
      <w:fldChar w:fldCharType="separate"/>
    </w:r>
    <w:r w:rsidR="00EB44EB">
      <w:rPr>
        <w:noProof/>
      </w:rPr>
      <w:t>18</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1C2BB" w14:textId="77777777" w:rsidR="00B0190F" w:rsidRDefault="00B0190F" w:rsidP="00C25AA2">
    <w:pPr>
      <w:pStyle w:val="rightfooter"/>
    </w:pPr>
    <w:r>
      <w:fldChar w:fldCharType="begin"/>
    </w:r>
    <w:r>
      <w:instrText xml:space="preserve"> PAGE   \* MERGEFORMAT </w:instrText>
    </w:r>
    <w:r>
      <w:fldChar w:fldCharType="separate"/>
    </w:r>
    <w:r w:rsidR="00EB44EB">
      <w:rPr>
        <w:noProof/>
      </w:rPr>
      <w:t>19</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9BCB4" w14:textId="77777777" w:rsidR="00B0190F" w:rsidRDefault="00B0190F" w:rsidP="00C25AA2">
    <w:pPr>
      <w:pStyle w:val="rightfooter"/>
    </w:pPr>
    <w:r>
      <w:fldChar w:fldCharType="begin"/>
    </w:r>
    <w:r>
      <w:instrText xml:space="preserve"> PAGE  \* Arabic  \* MERGEFORMAT </w:instrText>
    </w:r>
    <w:r>
      <w:fldChar w:fldCharType="separate"/>
    </w:r>
    <w:r w:rsidR="00EB44EB">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6496F" w14:textId="77777777" w:rsidR="00B0190F" w:rsidRDefault="00B0190F">
      <w:r>
        <w:separator/>
      </w:r>
    </w:p>
  </w:footnote>
  <w:footnote w:type="continuationSeparator" w:id="0">
    <w:p w14:paraId="44324D71" w14:textId="77777777" w:rsidR="00B0190F" w:rsidRDefault="00B0190F">
      <w:r>
        <w:continuationSeparator/>
      </w:r>
    </w:p>
  </w:footnote>
  <w:footnote w:type="continuationNotice" w:id="1">
    <w:p w14:paraId="023BD72D" w14:textId="77777777" w:rsidR="00B0190F" w:rsidRDefault="00B0190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12273" w14:textId="77777777" w:rsidR="00B0190F" w:rsidRDefault="00B0190F" w:rsidP="00C25AA2">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AF18E" w14:textId="77777777" w:rsidR="00B0190F" w:rsidRDefault="00B0190F" w:rsidP="005A76CC">
    <w:pPr>
      <w:pStyle w:val="leftheader"/>
    </w:pPr>
    <w:r>
      <w:fldChar w:fldCharType="begin"/>
    </w:r>
    <w:r>
      <w:instrText xml:space="preserve"> macrobutton nomacro [Click here and insert the name of the Bill] </w:instrTex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C3D42" w14:textId="77777777" w:rsidR="00B0190F" w:rsidRDefault="00B0190F"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1B0DA" w14:textId="77777777" w:rsidR="00B0190F" w:rsidRDefault="00B0190F" w:rsidP="00C25AA2">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8CAC9" w14:textId="77777777" w:rsidR="008639E4" w:rsidRDefault="008639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7AB4" w14:textId="77777777" w:rsidR="00B0190F" w:rsidRDefault="00B0190F" w:rsidP="00C25AA2">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5B25D" w14:textId="77777777" w:rsidR="00B0190F" w:rsidRDefault="00B0190F" w:rsidP="00C25AA2">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1F78E" w14:textId="03C0D1EA" w:rsidR="00B0190F" w:rsidRDefault="00B0190F" w:rsidP="00C25AA2">
    <w:pPr>
      <w:pStyle w:val="leftheader"/>
    </w:pPr>
    <w:r>
      <w:t>Tax and Superannuation Legislation Amendment Bill (2015 Measures No. 1) Bill 2015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34911" w14:textId="77777777" w:rsidR="00B0190F" w:rsidRDefault="00B0190F" w:rsidP="00C25AA2">
    <w:pPr>
      <w:pStyle w:val="rightheader"/>
    </w:pPr>
    <w:r>
      <w:t>Miscellaneous Amendments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C2848" w14:textId="77777777" w:rsidR="00B0190F" w:rsidRDefault="00B0190F" w:rsidP="00C25AA2">
    <w:pPr>
      <w:pStyle w:val="leftheader"/>
    </w:pPr>
    <w:r>
      <w:fldChar w:fldCharType="begin"/>
    </w:r>
    <w:r>
      <w:instrText xml:space="preserve"> macrobutton nomacro [Click here and insert the name of the Bill]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4B7EB" w14:textId="77777777" w:rsidR="00B0190F" w:rsidRDefault="00B0190F" w:rsidP="00C25AA2">
    <w:pPr>
      <w:pStyle w:val="rightheader"/>
    </w:pPr>
    <w:r>
      <w:fldChar w:fldCharType="begin"/>
    </w:r>
    <w:r>
      <w:instrText xml:space="preserve"> macrobutton nomacro [Click here and enter the name of the Chapter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2836"/>
        </w:tabs>
        <w:ind w:left="1702"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D706BA9E"/>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1633261"/>
    <w:multiLevelType w:val="multilevel"/>
    <w:tmpl w:val="C99024D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FB3E18"/>
    <w:multiLevelType w:val="multilevel"/>
    <w:tmpl w:val="A316FE50"/>
    <w:numStyleLink w:val="ChapterList"/>
  </w:abstractNum>
  <w:abstractNum w:abstractNumId="23">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FBC7E8D"/>
    <w:multiLevelType w:val="singleLevel"/>
    <w:tmpl w:val="FFFCF7D0"/>
    <w:lvl w:ilvl="0">
      <w:start w:val="1"/>
      <w:numFmt w:val="decimal"/>
      <w:lvlRestart w:val="0"/>
      <w:lvlText w:val="%1."/>
      <w:lvlJc w:val="left"/>
      <w:pPr>
        <w:tabs>
          <w:tab w:val="num" w:pos="1984"/>
        </w:tabs>
        <w:ind w:left="1140" w:firstLine="0"/>
      </w:pPr>
      <w:rPr>
        <w:b w:val="0"/>
        <w:i w:val="0"/>
        <w:color w:val="000000"/>
      </w:rPr>
    </w:lvl>
  </w:abstractNum>
  <w:abstractNum w:abstractNumId="26">
    <w:nsid w:val="64281CEB"/>
    <w:multiLevelType w:val="multilevel"/>
    <w:tmpl w:val="A316FE50"/>
    <w:numStyleLink w:val="ChapterList"/>
  </w:abstractNum>
  <w:abstractNum w:abstractNumId="27">
    <w:nsid w:val="65DF6494"/>
    <w:multiLevelType w:val="multilevel"/>
    <w:tmpl w:val="A316FE50"/>
    <w:numStyleLink w:val="ChapterList"/>
  </w:abstractNum>
  <w:abstractNum w:abstractNumId="28">
    <w:nsid w:val="6D302C09"/>
    <w:multiLevelType w:val="multilevel"/>
    <w:tmpl w:val="A316FE50"/>
    <w:numStyleLink w:val="ChapterList"/>
  </w:abstractNum>
  <w:abstractNum w:abstractNumId="29">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9"/>
  </w:num>
  <w:num w:numId="17">
    <w:abstractNumId w:val="30"/>
  </w:num>
  <w:num w:numId="18">
    <w:abstractNumId w:val="10"/>
  </w:num>
  <w:num w:numId="19">
    <w:abstractNumId w:val="18"/>
  </w:num>
  <w:num w:numId="20">
    <w:abstractNumId w:val="23"/>
  </w:num>
  <w:num w:numId="21">
    <w:abstractNumId w:val="24"/>
  </w:num>
  <w:num w:numId="22">
    <w:abstractNumId w:val="13"/>
  </w:num>
  <w:num w:numId="23">
    <w:abstractNumId w:val="15"/>
  </w:num>
  <w:num w:numId="24">
    <w:abstractNumId w:val="28"/>
  </w:num>
  <w:num w:numId="25">
    <w:abstractNumId w:val="31"/>
  </w:num>
  <w:num w:numId="26">
    <w:abstractNumId w:val="26"/>
  </w:num>
  <w:num w:numId="27">
    <w:abstractNumId w:val="11"/>
  </w:num>
  <w:num w:numId="28">
    <w:abstractNumId w:val="22"/>
  </w:num>
  <w:num w:numId="29">
    <w:abstractNumId w:val="12"/>
  </w:num>
  <w:num w:numId="30">
    <w:abstractNumId w:val="27"/>
    <w:lvlOverride w:ilvl="0">
      <w:lvl w:ilvl="0">
        <w:start w:val="1"/>
        <w:numFmt w:val="decimal"/>
        <w:pStyle w:val="ChapterHeading"/>
        <w:lvlText w:val="Chapter %1"/>
        <w:lvlJc w:val="left"/>
        <w:pPr>
          <w:tabs>
            <w:tab w:val="num" w:pos="2836"/>
          </w:tabs>
          <w:ind w:left="1702"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7"/>
  </w:num>
  <w:num w:numId="32">
    <w:abstractNumId w:val="21"/>
  </w:num>
  <w:num w:numId="33">
    <w:abstractNumId w:val="27"/>
    <w:lvlOverride w:ilvl="2">
      <w:lvl w:ilvl="2">
        <w:start w:val="1"/>
        <w:numFmt w:val="decimal"/>
        <w:lvlRestart w:val="1"/>
        <w:pStyle w:val="Diagram"/>
        <w:suff w:val="nothing"/>
        <w:lvlText w:val="Diagram %1.%3"/>
        <w:lvlJc w:val="left"/>
        <w:pPr>
          <w:ind w:left="425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425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4">
    <w:abstractNumId w:val="27"/>
    <w:lvlOverride w:ilvl="2">
      <w:lvl w:ilvl="2">
        <w:start w:val="1"/>
        <w:numFmt w:val="decimal"/>
        <w:lvlRestart w:val="1"/>
        <w:pStyle w:val="Diagram"/>
        <w:suff w:val="nothing"/>
        <w:lvlText w:val="Diagram %1.%3"/>
        <w:lvlJc w:val="left"/>
        <w:pPr>
          <w:ind w:left="425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425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5">
    <w:abstractNumId w:val="27"/>
    <w:lvlOverride w:ilvl="2">
      <w:lvl w:ilvl="2">
        <w:start w:val="1"/>
        <w:numFmt w:val="decimal"/>
        <w:lvlRestart w:val="1"/>
        <w:pStyle w:val="Diagram"/>
        <w:suff w:val="nothing"/>
        <w:lvlText w:val="Diagram %1.%3"/>
        <w:lvlJc w:val="left"/>
        <w:pPr>
          <w:ind w:left="425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425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6">
    <w:abstractNumId w:val="27"/>
    <w:lvlOverride w:ilvl="2">
      <w:lvl w:ilvl="2">
        <w:start w:val="1"/>
        <w:numFmt w:val="decimal"/>
        <w:lvlRestart w:val="1"/>
        <w:pStyle w:val="Diagram"/>
        <w:suff w:val="nothing"/>
        <w:lvlText w:val="Diagram %1.%3"/>
        <w:lvlJc w:val="left"/>
        <w:pPr>
          <w:ind w:left="425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425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7">
    <w:abstractNumId w:val="27"/>
    <w:lvlOverride w:ilvl="2">
      <w:lvl w:ilvl="2">
        <w:start w:val="1"/>
        <w:numFmt w:val="decimal"/>
        <w:lvlRestart w:val="1"/>
        <w:pStyle w:val="Diagram"/>
        <w:suff w:val="nothing"/>
        <w:lvlText w:val="Diagram %1.%3"/>
        <w:lvlJc w:val="left"/>
        <w:pPr>
          <w:ind w:left="425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425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8">
    <w:abstractNumId w:val="27"/>
    <w:lvlOverride w:ilvl="2">
      <w:lvl w:ilvl="2">
        <w:start w:val="1"/>
        <w:numFmt w:val="decimal"/>
        <w:lvlRestart w:val="1"/>
        <w:pStyle w:val="Diagram"/>
        <w:suff w:val="nothing"/>
        <w:lvlText w:val="Diagram %1.%3"/>
        <w:lvlJc w:val="left"/>
        <w:pPr>
          <w:ind w:left="425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425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9">
    <w:abstractNumId w:val="27"/>
    <w:lvlOverride w:ilvl="2">
      <w:lvl w:ilvl="2">
        <w:start w:val="1"/>
        <w:numFmt w:val="decimal"/>
        <w:lvlRestart w:val="1"/>
        <w:pStyle w:val="Diagram"/>
        <w:suff w:val="nothing"/>
        <w:lvlText w:val="Diagram %1.%3"/>
        <w:lvlJc w:val="left"/>
        <w:pPr>
          <w:ind w:left="425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425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abstractNumId w:val="27"/>
    <w:lvlOverride w:ilvl="2">
      <w:lvl w:ilvl="2">
        <w:start w:val="1"/>
        <w:numFmt w:val="decimal"/>
        <w:lvlRestart w:val="1"/>
        <w:pStyle w:val="Diagram"/>
        <w:suff w:val="nothing"/>
        <w:lvlText w:val="Diagram %1.%3"/>
        <w:lvlJc w:val="left"/>
        <w:pPr>
          <w:ind w:left="425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425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1">
    <w:abstractNumId w:val="27"/>
    <w:lvlOverride w:ilvl="2">
      <w:lvl w:ilvl="2">
        <w:start w:val="1"/>
        <w:numFmt w:val="decimal"/>
        <w:lvlRestart w:val="1"/>
        <w:pStyle w:val="Diagram"/>
        <w:suff w:val="nothing"/>
        <w:lvlText w:val="Diagram %1.%3"/>
        <w:lvlJc w:val="left"/>
        <w:pPr>
          <w:ind w:left="425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425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27"/>
    <w:lvlOverride w:ilvl="2">
      <w:lvl w:ilvl="2">
        <w:start w:val="1"/>
        <w:numFmt w:val="decimal"/>
        <w:lvlRestart w:val="1"/>
        <w:pStyle w:val="Diagram"/>
        <w:suff w:val="nothing"/>
        <w:lvlText w:val="Diagram %1.%3"/>
        <w:lvlJc w:val="left"/>
        <w:pPr>
          <w:ind w:left="425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425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3">
    <w:abstractNumId w:val="27"/>
    <w:lvlOverride w:ilvl="2">
      <w:lvl w:ilvl="2">
        <w:start w:val="1"/>
        <w:numFmt w:val="decimal"/>
        <w:lvlRestart w:val="1"/>
        <w:pStyle w:val="Diagram"/>
        <w:suff w:val="nothing"/>
        <w:lvlText w:val="Diagram %1.%3"/>
        <w:lvlJc w:val="left"/>
        <w:pPr>
          <w:ind w:left="425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425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4">
    <w:abstractNumId w:val="27"/>
    <w:lvlOverride w:ilvl="0">
      <w:startOverride w:val="1"/>
      <w:lvl w:ilvl="0">
        <w:start w:val="1"/>
        <w:numFmt w:val="decimal"/>
        <w:pStyle w:val="ChapterHeading"/>
        <w:lvlText w:val="Chapter %1"/>
        <w:lvlJc w:val="left"/>
        <w:pPr>
          <w:tabs>
            <w:tab w:val="num" w:pos="2836"/>
          </w:tabs>
          <w:ind w:left="1702"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5">
    <w:abstractNumId w:val="25"/>
  </w:num>
  <w:num w:numId="46">
    <w:abstractNumId w:val="23"/>
  </w:num>
  <w:num w:numId="47">
    <w:abstractNumId w:val="27"/>
    <w:lvlOverride w:ilvl="0">
      <w:lvl w:ilvl="0">
        <w:start w:val="1"/>
        <w:numFmt w:val="decimal"/>
        <w:pStyle w:val="ChapterHeading"/>
        <w:lvlText w:val="Chapter %1"/>
        <w:lvlJc w:val="left"/>
        <w:pPr>
          <w:tabs>
            <w:tab w:val="num" w:pos="2552"/>
          </w:tabs>
          <w:ind w:left="1418" w:firstLine="0"/>
        </w:pPr>
      </w:lvl>
    </w:lvlOverride>
    <w:lvlOverride w:ilvl="1">
      <w:lvl w:ilvl="1">
        <w:start w:val="1"/>
        <w:numFmt w:val="decimal"/>
        <w:pStyle w:val="base-text-paragraph"/>
        <w:lvlText w:val="%1.%2"/>
        <w:lvlJc w:val="left"/>
        <w:pPr>
          <w:tabs>
            <w:tab w:val="num" w:pos="1985"/>
          </w:tabs>
          <w:ind w:left="1134" w:firstLine="0"/>
        </w:pPr>
      </w:lvl>
    </w:lvlOverride>
    <w:lvlOverride w:ilvl="2">
      <w:lvl w:ilvl="2">
        <w:start w:val="1"/>
        <w:numFmt w:val="decimal"/>
        <w:lvlRestart w:val="1"/>
        <w:pStyle w:val="Diagram"/>
        <w:suff w:val="nothing"/>
        <w:lvlText w:val="Diagram %1.%3"/>
        <w:lvlJc w:val="left"/>
        <w:pPr>
          <w:ind w:left="1134" w:firstLine="0"/>
        </w:pPr>
      </w:lvl>
    </w:lvlOverride>
    <w:lvlOverride w:ilvl="3">
      <w:lvl w:ilvl="3">
        <w:start w:val="1"/>
        <w:numFmt w:val="decimal"/>
        <w:lvlRestart w:val="1"/>
        <w:pStyle w:val="ExampleHeading"/>
        <w:suff w:val="nothing"/>
        <w:lvlText w:val="Example %1.%4"/>
        <w:lvlJc w:val="left"/>
        <w:pPr>
          <w:ind w:left="1134" w:firstLine="0"/>
        </w:pPr>
      </w:lvl>
    </w:lvlOverride>
    <w:lvlOverride w:ilvl="4">
      <w:lvl w:ilvl="4">
        <w:start w:val="1"/>
        <w:numFmt w:val="decimal"/>
        <w:lvlRestart w:val="1"/>
        <w:pStyle w:val="TableHeadingoutsidetable"/>
        <w:suff w:val="nothing"/>
        <w:lvlText w:val="Table %1.%5"/>
        <w:lvlJc w:val="left"/>
        <w:pPr>
          <w:ind w:left="1134" w:firstLine="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evenAndOddHeaders/>
  <w:noPunctuationKerning/>
  <w:characterSpacingControl w:val="doNotCompress"/>
  <w:hdrShapeDefaults>
    <o:shapedefaults v:ext="edit" spidmax="79873"/>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B9B"/>
    <w:rsid w:val="000008E1"/>
    <w:rsid w:val="00001C3C"/>
    <w:rsid w:val="0000376B"/>
    <w:rsid w:val="000100F2"/>
    <w:rsid w:val="000106A7"/>
    <w:rsid w:val="00012F66"/>
    <w:rsid w:val="00020A8F"/>
    <w:rsid w:val="00020CB2"/>
    <w:rsid w:val="00021F7E"/>
    <w:rsid w:val="00025DB0"/>
    <w:rsid w:val="0002785C"/>
    <w:rsid w:val="00030CD4"/>
    <w:rsid w:val="000310CD"/>
    <w:rsid w:val="000327A2"/>
    <w:rsid w:val="0003305A"/>
    <w:rsid w:val="00034BE8"/>
    <w:rsid w:val="0003768E"/>
    <w:rsid w:val="00041575"/>
    <w:rsid w:val="00042CDF"/>
    <w:rsid w:val="00043835"/>
    <w:rsid w:val="00043FBE"/>
    <w:rsid w:val="00044556"/>
    <w:rsid w:val="00046735"/>
    <w:rsid w:val="00046C57"/>
    <w:rsid w:val="00047B69"/>
    <w:rsid w:val="00050170"/>
    <w:rsid w:val="00051F59"/>
    <w:rsid w:val="00054283"/>
    <w:rsid w:val="0005600E"/>
    <w:rsid w:val="000561E5"/>
    <w:rsid w:val="0005662A"/>
    <w:rsid w:val="00056C65"/>
    <w:rsid w:val="000601CE"/>
    <w:rsid w:val="00060758"/>
    <w:rsid w:val="00061208"/>
    <w:rsid w:val="000617EB"/>
    <w:rsid w:val="00062DB0"/>
    <w:rsid w:val="000634DF"/>
    <w:rsid w:val="00066683"/>
    <w:rsid w:val="00066BE7"/>
    <w:rsid w:val="00067E1D"/>
    <w:rsid w:val="000705A5"/>
    <w:rsid w:val="00072149"/>
    <w:rsid w:val="000725C0"/>
    <w:rsid w:val="00073170"/>
    <w:rsid w:val="00073281"/>
    <w:rsid w:val="0007345D"/>
    <w:rsid w:val="000737D2"/>
    <w:rsid w:val="0007524D"/>
    <w:rsid w:val="00075250"/>
    <w:rsid w:val="00076543"/>
    <w:rsid w:val="00076686"/>
    <w:rsid w:val="000773C0"/>
    <w:rsid w:val="00083344"/>
    <w:rsid w:val="000835C7"/>
    <w:rsid w:val="0008395E"/>
    <w:rsid w:val="00085C5D"/>
    <w:rsid w:val="000900E3"/>
    <w:rsid w:val="0009055D"/>
    <w:rsid w:val="000960B7"/>
    <w:rsid w:val="0009716C"/>
    <w:rsid w:val="000A0911"/>
    <w:rsid w:val="000A0AFD"/>
    <w:rsid w:val="000A2094"/>
    <w:rsid w:val="000A341E"/>
    <w:rsid w:val="000A5B26"/>
    <w:rsid w:val="000A6DBE"/>
    <w:rsid w:val="000A7431"/>
    <w:rsid w:val="000A7FC5"/>
    <w:rsid w:val="000B4BDE"/>
    <w:rsid w:val="000B4C3E"/>
    <w:rsid w:val="000B7FBA"/>
    <w:rsid w:val="000C06D9"/>
    <w:rsid w:val="000C1CF9"/>
    <w:rsid w:val="000C1DAA"/>
    <w:rsid w:val="000C28F4"/>
    <w:rsid w:val="000C3191"/>
    <w:rsid w:val="000C3308"/>
    <w:rsid w:val="000C386E"/>
    <w:rsid w:val="000C4968"/>
    <w:rsid w:val="000D00DD"/>
    <w:rsid w:val="000D0150"/>
    <w:rsid w:val="000D382A"/>
    <w:rsid w:val="000D4C3F"/>
    <w:rsid w:val="000D54A6"/>
    <w:rsid w:val="000E089D"/>
    <w:rsid w:val="000E167C"/>
    <w:rsid w:val="000E3C2D"/>
    <w:rsid w:val="000E4451"/>
    <w:rsid w:val="000E54E0"/>
    <w:rsid w:val="000E5B9A"/>
    <w:rsid w:val="000E7530"/>
    <w:rsid w:val="000F0C30"/>
    <w:rsid w:val="000F1CC3"/>
    <w:rsid w:val="000F1D8E"/>
    <w:rsid w:val="000F566D"/>
    <w:rsid w:val="00100DF5"/>
    <w:rsid w:val="00100FCC"/>
    <w:rsid w:val="0010505F"/>
    <w:rsid w:val="001072C5"/>
    <w:rsid w:val="00107D5A"/>
    <w:rsid w:val="001114E6"/>
    <w:rsid w:val="00112601"/>
    <w:rsid w:val="00112C74"/>
    <w:rsid w:val="00113398"/>
    <w:rsid w:val="00113E19"/>
    <w:rsid w:val="001161A5"/>
    <w:rsid w:val="0011677D"/>
    <w:rsid w:val="00117011"/>
    <w:rsid w:val="001201F2"/>
    <w:rsid w:val="00121EB0"/>
    <w:rsid w:val="00123D96"/>
    <w:rsid w:val="0012405D"/>
    <w:rsid w:val="00124E15"/>
    <w:rsid w:val="00124F35"/>
    <w:rsid w:val="001262F1"/>
    <w:rsid w:val="00130575"/>
    <w:rsid w:val="00131925"/>
    <w:rsid w:val="00131A0A"/>
    <w:rsid w:val="00131E0C"/>
    <w:rsid w:val="00132CAD"/>
    <w:rsid w:val="001353C3"/>
    <w:rsid w:val="00135641"/>
    <w:rsid w:val="00136C8E"/>
    <w:rsid w:val="0014062A"/>
    <w:rsid w:val="001406D6"/>
    <w:rsid w:val="001407AD"/>
    <w:rsid w:val="0014197C"/>
    <w:rsid w:val="00142516"/>
    <w:rsid w:val="0014351A"/>
    <w:rsid w:val="00143F6D"/>
    <w:rsid w:val="00147843"/>
    <w:rsid w:val="00150B37"/>
    <w:rsid w:val="001519FA"/>
    <w:rsid w:val="00152337"/>
    <w:rsid w:val="001550CA"/>
    <w:rsid w:val="00156D1C"/>
    <w:rsid w:val="00157477"/>
    <w:rsid w:val="00160D3A"/>
    <w:rsid w:val="001639A4"/>
    <w:rsid w:val="001656FB"/>
    <w:rsid w:val="001671B8"/>
    <w:rsid w:val="001702B5"/>
    <w:rsid w:val="00171B9B"/>
    <w:rsid w:val="00172B00"/>
    <w:rsid w:val="00173B1E"/>
    <w:rsid w:val="00174A29"/>
    <w:rsid w:val="001757E2"/>
    <w:rsid w:val="0017658E"/>
    <w:rsid w:val="00194068"/>
    <w:rsid w:val="00195EF7"/>
    <w:rsid w:val="0019649C"/>
    <w:rsid w:val="001A122B"/>
    <w:rsid w:val="001A551F"/>
    <w:rsid w:val="001A69FE"/>
    <w:rsid w:val="001A7079"/>
    <w:rsid w:val="001A7A18"/>
    <w:rsid w:val="001B0960"/>
    <w:rsid w:val="001B0B4E"/>
    <w:rsid w:val="001B2342"/>
    <w:rsid w:val="001B7B93"/>
    <w:rsid w:val="001C5763"/>
    <w:rsid w:val="001C7FA0"/>
    <w:rsid w:val="001D0DC8"/>
    <w:rsid w:val="001D2786"/>
    <w:rsid w:val="001D3560"/>
    <w:rsid w:val="001D5436"/>
    <w:rsid w:val="001D6A1A"/>
    <w:rsid w:val="001D75B1"/>
    <w:rsid w:val="001E223B"/>
    <w:rsid w:val="001E26BA"/>
    <w:rsid w:val="001E2726"/>
    <w:rsid w:val="001E442F"/>
    <w:rsid w:val="001E5D38"/>
    <w:rsid w:val="001E6545"/>
    <w:rsid w:val="001F0437"/>
    <w:rsid w:val="001F1E73"/>
    <w:rsid w:val="001F22BE"/>
    <w:rsid w:val="001F3FE3"/>
    <w:rsid w:val="001F6C6F"/>
    <w:rsid w:val="00200C32"/>
    <w:rsid w:val="00200E96"/>
    <w:rsid w:val="00201B36"/>
    <w:rsid w:val="002032BB"/>
    <w:rsid w:val="002038D3"/>
    <w:rsid w:val="00205550"/>
    <w:rsid w:val="00205ED1"/>
    <w:rsid w:val="002066D2"/>
    <w:rsid w:val="00207BAA"/>
    <w:rsid w:val="00207DA5"/>
    <w:rsid w:val="00207E04"/>
    <w:rsid w:val="00210C1A"/>
    <w:rsid w:val="00212136"/>
    <w:rsid w:val="002135B1"/>
    <w:rsid w:val="002142AB"/>
    <w:rsid w:val="002145AB"/>
    <w:rsid w:val="00215F23"/>
    <w:rsid w:val="002161F9"/>
    <w:rsid w:val="0021783C"/>
    <w:rsid w:val="0022015D"/>
    <w:rsid w:val="00220325"/>
    <w:rsid w:val="00220D6C"/>
    <w:rsid w:val="00222553"/>
    <w:rsid w:val="00222D57"/>
    <w:rsid w:val="00225741"/>
    <w:rsid w:val="0022768F"/>
    <w:rsid w:val="0022794D"/>
    <w:rsid w:val="00227C2F"/>
    <w:rsid w:val="002311C0"/>
    <w:rsid w:val="002318AC"/>
    <w:rsid w:val="00231CBA"/>
    <w:rsid w:val="00231E0D"/>
    <w:rsid w:val="002348A6"/>
    <w:rsid w:val="00235611"/>
    <w:rsid w:val="00235B70"/>
    <w:rsid w:val="00236A1C"/>
    <w:rsid w:val="002406BB"/>
    <w:rsid w:val="002407F3"/>
    <w:rsid w:val="0024144C"/>
    <w:rsid w:val="00241C3F"/>
    <w:rsid w:val="002423A0"/>
    <w:rsid w:val="002426DD"/>
    <w:rsid w:val="00243237"/>
    <w:rsid w:val="00244378"/>
    <w:rsid w:val="002458A8"/>
    <w:rsid w:val="002461FE"/>
    <w:rsid w:val="00250154"/>
    <w:rsid w:val="00250896"/>
    <w:rsid w:val="00250F13"/>
    <w:rsid w:val="002513F7"/>
    <w:rsid w:val="00251602"/>
    <w:rsid w:val="00253E01"/>
    <w:rsid w:val="0026295C"/>
    <w:rsid w:val="00262C96"/>
    <w:rsid w:val="00263457"/>
    <w:rsid w:val="00265114"/>
    <w:rsid w:val="00266048"/>
    <w:rsid w:val="00266473"/>
    <w:rsid w:val="00271A70"/>
    <w:rsid w:val="00272FD3"/>
    <w:rsid w:val="00274839"/>
    <w:rsid w:val="00276288"/>
    <w:rsid w:val="00276959"/>
    <w:rsid w:val="00282617"/>
    <w:rsid w:val="00284327"/>
    <w:rsid w:val="002857E2"/>
    <w:rsid w:val="002902AB"/>
    <w:rsid w:val="002906A9"/>
    <w:rsid w:val="00291D2B"/>
    <w:rsid w:val="00292049"/>
    <w:rsid w:val="0029411D"/>
    <w:rsid w:val="00294223"/>
    <w:rsid w:val="00294D6E"/>
    <w:rsid w:val="002A4D55"/>
    <w:rsid w:val="002A4F1C"/>
    <w:rsid w:val="002A64A2"/>
    <w:rsid w:val="002B3208"/>
    <w:rsid w:val="002B4114"/>
    <w:rsid w:val="002B675C"/>
    <w:rsid w:val="002C05E8"/>
    <w:rsid w:val="002C175B"/>
    <w:rsid w:val="002C43E8"/>
    <w:rsid w:val="002C68E1"/>
    <w:rsid w:val="002D1A88"/>
    <w:rsid w:val="002D2436"/>
    <w:rsid w:val="002D2D3C"/>
    <w:rsid w:val="002D499B"/>
    <w:rsid w:val="002D551E"/>
    <w:rsid w:val="002D5D23"/>
    <w:rsid w:val="002D6555"/>
    <w:rsid w:val="002E1585"/>
    <w:rsid w:val="002E1DC1"/>
    <w:rsid w:val="002E344B"/>
    <w:rsid w:val="002E3A4D"/>
    <w:rsid w:val="002E5FD3"/>
    <w:rsid w:val="002E79AC"/>
    <w:rsid w:val="002F0B0A"/>
    <w:rsid w:val="002F2244"/>
    <w:rsid w:val="002F3991"/>
    <w:rsid w:val="002F5001"/>
    <w:rsid w:val="002F6A99"/>
    <w:rsid w:val="002F6B1C"/>
    <w:rsid w:val="002F75B0"/>
    <w:rsid w:val="002F7DCF"/>
    <w:rsid w:val="00300C15"/>
    <w:rsid w:val="0030256C"/>
    <w:rsid w:val="00304234"/>
    <w:rsid w:val="003047AC"/>
    <w:rsid w:val="00305D58"/>
    <w:rsid w:val="003066A5"/>
    <w:rsid w:val="00307639"/>
    <w:rsid w:val="0031096D"/>
    <w:rsid w:val="00311045"/>
    <w:rsid w:val="0031326A"/>
    <w:rsid w:val="00313CB8"/>
    <w:rsid w:val="003149D9"/>
    <w:rsid w:val="00314A82"/>
    <w:rsid w:val="00315538"/>
    <w:rsid w:val="00320374"/>
    <w:rsid w:val="00320569"/>
    <w:rsid w:val="0032244A"/>
    <w:rsid w:val="0032298B"/>
    <w:rsid w:val="00322DA0"/>
    <w:rsid w:val="00325BF0"/>
    <w:rsid w:val="003267AA"/>
    <w:rsid w:val="00327A70"/>
    <w:rsid w:val="00331027"/>
    <w:rsid w:val="0033149D"/>
    <w:rsid w:val="00333906"/>
    <w:rsid w:val="0034331E"/>
    <w:rsid w:val="00343CBE"/>
    <w:rsid w:val="00345CCB"/>
    <w:rsid w:val="00346141"/>
    <w:rsid w:val="00346BEB"/>
    <w:rsid w:val="00347A03"/>
    <w:rsid w:val="00350183"/>
    <w:rsid w:val="003501C2"/>
    <w:rsid w:val="003505E3"/>
    <w:rsid w:val="0035079C"/>
    <w:rsid w:val="00350933"/>
    <w:rsid w:val="00351888"/>
    <w:rsid w:val="003525B1"/>
    <w:rsid w:val="003525BA"/>
    <w:rsid w:val="0035339E"/>
    <w:rsid w:val="0036080C"/>
    <w:rsid w:val="00360C88"/>
    <w:rsid w:val="00360D99"/>
    <w:rsid w:val="00361A16"/>
    <w:rsid w:val="003624AF"/>
    <w:rsid w:val="00362604"/>
    <w:rsid w:val="00362A09"/>
    <w:rsid w:val="00362EF3"/>
    <w:rsid w:val="00364288"/>
    <w:rsid w:val="00364B30"/>
    <w:rsid w:val="00365A70"/>
    <w:rsid w:val="00366C9C"/>
    <w:rsid w:val="0036787F"/>
    <w:rsid w:val="00370AD2"/>
    <w:rsid w:val="00370AE1"/>
    <w:rsid w:val="00370CF4"/>
    <w:rsid w:val="003719A4"/>
    <w:rsid w:val="00371CED"/>
    <w:rsid w:val="0037289E"/>
    <w:rsid w:val="00373EE6"/>
    <w:rsid w:val="00374858"/>
    <w:rsid w:val="003751B7"/>
    <w:rsid w:val="00376FAF"/>
    <w:rsid w:val="00377CD4"/>
    <w:rsid w:val="00377FB0"/>
    <w:rsid w:val="003827C6"/>
    <w:rsid w:val="00385FE4"/>
    <w:rsid w:val="003862EE"/>
    <w:rsid w:val="00386A6F"/>
    <w:rsid w:val="00387BAB"/>
    <w:rsid w:val="00390E94"/>
    <w:rsid w:val="00392E1C"/>
    <w:rsid w:val="0039400F"/>
    <w:rsid w:val="00394615"/>
    <w:rsid w:val="00395C92"/>
    <w:rsid w:val="003A1F08"/>
    <w:rsid w:val="003A279C"/>
    <w:rsid w:val="003A2B21"/>
    <w:rsid w:val="003A2DC0"/>
    <w:rsid w:val="003A311E"/>
    <w:rsid w:val="003A4E5F"/>
    <w:rsid w:val="003A5A84"/>
    <w:rsid w:val="003A5D7E"/>
    <w:rsid w:val="003A6761"/>
    <w:rsid w:val="003B1156"/>
    <w:rsid w:val="003B1264"/>
    <w:rsid w:val="003B2C77"/>
    <w:rsid w:val="003B550D"/>
    <w:rsid w:val="003B738B"/>
    <w:rsid w:val="003C1301"/>
    <w:rsid w:val="003C13AA"/>
    <w:rsid w:val="003C228D"/>
    <w:rsid w:val="003C4E32"/>
    <w:rsid w:val="003C5BA3"/>
    <w:rsid w:val="003C70E1"/>
    <w:rsid w:val="003D11EB"/>
    <w:rsid w:val="003D1714"/>
    <w:rsid w:val="003D2AA4"/>
    <w:rsid w:val="003D656E"/>
    <w:rsid w:val="003D65A0"/>
    <w:rsid w:val="003D6FD9"/>
    <w:rsid w:val="003D7F02"/>
    <w:rsid w:val="003E0390"/>
    <w:rsid w:val="003E0794"/>
    <w:rsid w:val="003E1267"/>
    <w:rsid w:val="003E3123"/>
    <w:rsid w:val="003E4A1F"/>
    <w:rsid w:val="003E59A2"/>
    <w:rsid w:val="003E6547"/>
    <w:rsid w:val="003E68F7"/>
    <w:rsid w:val="003E7350"/>
    <w:rsid w:val="003F096C"/>
    <w:rsid w:val="003F2B49"/>
    <w:rsid w:val="003F4BD0"/>
    <w:rsid w:val="003F75BC"/>
    <w:rsid w:val="00400D83"/>
    <w:rsid w:val="0040247F"/>
    <w:rsid w:val="0040574F"/>
    <w:rsid w:val="00406194"/>
    <w:rsid w:val="004073F0"/>
    <w:rsid w:val="00407E93"/>
    <w:rsid w:val="00411A91"/>
    <w:rsid w:val="00412538"/>
    <w:rsid w:val="0042022B"/>
    <w:rsid w:val="004213CB"/>
    <w:rsid w:val="004214BC"/>
    <w:rsid w:val="00421AA3"/>
    <w:rsid w:val="004230C1"/>
    <w:rsid w:val="0042495C"/>
    <w:rsid w:val="00424AAE"/>
    <w:rsid w:val="00424DDD"/>
    <w:rsid w:val="00426C45"/>
    <w:rsid w:val="00426F1B"/>
    <w:rsid w:val="00427F13"/>
    <w:rsid w:val="00431B84"/>
    <w:rsid w:val="0043366C"/>
    <w:rsid w:val="00433B1D"/>
    <w:rsid w:val="00433FD9"/>
    <w:rsid w:val="00434380"/>
    <w:rsid w:val="00435A34"/>
    <w:rsid w:val="00436054"/>
    <w:rsid w:val="004371F5"/>
    <w:rsid w:val="00441D38"/>
    <w:rsid w:val="00442FB9"/>
    <w:rsid w:val="0044391B"/>
    <w:rsid w:val="00445285"/>
    <w:rsid w:val="00447301"/>
    <w:rsid w:val="00450165"/>
    <w:rsid w:val="00450635"/>
    <w:rsid w:val="0045193F"/>
    <w:rsid w:val="00451BB3"/>
    <w:rsid w:val="00452081"/>
    <w:rsid w:val="0045387E"/>
    <w:rsid w:val="004550D2"/>
    <w:rsid w:val="00455B1A"/>
    <w:rsid w:val="00457289"/>
    <w:rsid w:val="00457BC3"/>
    <w:rsid w:val="00460019"/>
    <w:rsid w:val="004613C8"/>
    <w:rsid w:val="00461EEC"/>
    <w:rsid w:val="00464037"/>
    <w:rsid w:val="004642E5"/>
    <w:rsid w:val="00465A34"/>
    <w:rsid w:val="00466364"/>
    <w:rsid w:val="004664FC"/>
    <w:rsid w:val="00467969"/>
    <w:rsid w:val="00470181"/>
    <w:rsid w:val="00470C53"/>
    <w:rsid w:val="004710EB"/>
    <w:rsid w:val="0047126A"/>
    <w:rsid w:val="00471916"/>
    <w:rsid w:val="00474920"/>
    <w:rsid w:val="00474993"/>
    <w:rsid w:val="00474E71"/>
    <w:rsid w:val="00475A28"/>
    <w:rsid w:val="00475D9F"/>
    <w:rsid w:val="00477FAB"/>
    <w:rsid w:val="004800C5"/>
    <w:rsid w:val="00480C91"/>
    <w:rsid w:val="004820A1"/>
    <w:rsid w:val="004826B9"/>
    <w:rsid w:val="004826C8"/>
    <w:rsid w:val="004836D2"/>
    <w:rsid w:val="00483A94"/>
    <w:rsid w:val="00484BB5"/>
    <w:rsid w:val="00487C1A"/>
    <w:rsid w:val="00490E0D"/>
    <w:rsid w:val="00491332"/>
    <w:rsid w:val="00491A05"/>
    <w:rsid w:val="00492D7F"/>
    <w:rsid w:val="00495F3B"/>
    <w:rsid w:val="004971C6"/>
    <w:rsid w:val="00497242"/>
    <w:rsid w:val="004A3C36"/>
    <w:rsid w:val="004A3FEE"/>
    <w:rsid w:val="004A4DCB"/>
    <w:rsid w:val="004A5C9F"/>
    <w:rsid w:val="004B22D0"/>
    <w:rsid w:val="004B2D9B"/>
    <w:rsid w:val="004B4FDC"/>
    <w:rsid w:val="004B526D"/>
    <w:rsid w:val="004B755A"/>
    <w:rsid w:val="004C1468"/>
    <w:rsid w:val="004C333B"/>
    <w:rsid w:val="004C35E2"/>
    <w:rsid w:val="004D00FB"/>
    <w:rsid w:val="004D12D8"/>
    <w:rsid w:val="004D45B5"/>
    <w:rsid w:val="004D4755"/>
    <w:rsid w:val="004D4887"/>
    <w:rsid w:val="004D6B85"/>
    <w:rsid w:val="004D6D71"/>
    <w:rsid w:val="004E01BA"/>
    <w:rsid w:val="004E161F"/>
    <w:rsid w:val="004E42EF"/>
    <w:rsid w:val="004E6082"/>
    <w:rsid w:val="004E779D"/>
    <w:rsid w:val="004F1024"/>
    <w:rsid w:val="004F121A"/>
    <w:rsid w:val="004F3BBA"/>
    <w:rsid w:val="004F3CCA"/>
    <w:rsid w:val="004F3F3A"/>
    <w:rsid w:val="004F40DE"/>
    <w:rsid w:val="004F59AE"/>
    <w:rsid w:val="004F6EC2"/>
    <w:rsid w:val="00501839"/>
    <w:rsid w:val="005019E7"/>
    <w:rsid w:val="00502551"/>
    <w:rsid w:val="005039B4"/>
    <w:rsid w:val="00504D4A"/>
    <w:rsid w:val="005052B0"/>
    <w:rsid w:val="0050652E"/>
    <w:rsid w:val="00506A16"/>
    <w:rsid w:val="005079D0"/>
    <w:rsid w:val="0051078D"/>
    <w:rsid w:val="00511671"/>
    <w:rsid w:val="00512E33"/>
    <w:rsid w:val="0051598B"/>
    <w:rsid w:val="00515E69"/>
    <w:rsid w:val="0051755A"/>
    <w:rsid w:val="005177DF"/>
    <w:rsid w:val="00517B68"/>
    <w:rsid w:val="005204AB"/>
    <w:rsid w:val="00520DD8"/>
    <w:rsid w:val="00520E7E"/>
    <w:rsid w:val="00522E70"/>
    <w:rsid w:val="005231D3"/>
    <w:rsid w:val="00523617"/>
    <w:rsid w:val="00524FE7"/>
    <w:rsid w:val="005251D2"/>
    <w:rsid w:val="005255EA"/>
    <w:rsid w:val="0052668A"/>
    <w:rsid w:val="00526F55"/>
    <w:rsid w:val="00527BFA"/>
    <w:rsid w:val="00531625"/>
    <w:rsid w:val="005347E1"/>
    <w:rsid w:val="00535A7F"/>
    <w:rsid w:val="005364A3"/>
    <w:rsid w:val="005408E6"/>
    <w:rsid w:val="00540FEF"/>
    <w:rsid w:val="005415FF"/>
    <w:rsid w:val="0054284D"/>
    <w:rsid w:val="0054353A"/>
    <w:rsid w:val="005451D3"/>
    <w:rsid w:val="0054584C"/>
    <w:rsid w:val="00545A86"/>
    <w:rsid w:val="00555111"/>
    <w:rsid w:val="00555D38"/>
    <w:rsid w:val="00560C14"/>
    <w:rsid w:val="005633CD"/>
    <w:rsid w:val="00567C9A"/>
    <w:rsid w:val="00567EF8"/>
    <w:rsid w:val="00567FAC"/>
    <w:rsid w:val="005717E5"/>
    <w:rsid w:val="00580C19"/>
    <w:rsid w:val="00581749"/>
    <w:rsid w:val="00581F61"/>
    <w:rsid w:val="00582ADD"/>
    <w:rsid w:val="00584883"/>
    <w:rsid w:val="00584B2D"/>
    <w:rsid w:val="00585AFF"/>
    <w:rsid w:val="00586F71"/>
    <w:rsid w:val="00591488"/>
    <w:rsid w:val="00592BFA"/>
    <w:rsid w:val="00593EAF"/>
    <w:rsid w:val="005943A2"/>
    <w:rsid w:val="00594C87"/>
    <w:rsid w:val="00594E39"/>
    <w:rsid w:val="005975DF"/>
    <w:rsid w:val="005A045D"/>
    <w:rsid w:val="005A1EAD"/>
    <w:rsid w:val="005A2DF3"/>
    <w:rsid w:val="005A2E84"/>
    <w:rsid w:val="005A452D"/>
    <w:rsid w:val="005A5348"/>
    <w:rsid w:val="005A5BB3"/>
    <w:rsid w:val="005A6E2D"/>
    <w:rsid w:val="005A76CC"/>
    <w:rsid w:val="005B057A"/>
    <w:rsid w:val="005B16EA"/>
    <w:rsid w:val="005B204B"/>
    <w:rsid w:val="005B22C7"/>
    <w:rsid w:val="005B2C63"/>
    <w:rsid w:val="005B3F5E"/>
    <w:rsid w:val="005B4E1F"/>
    <w:rsid w:val="005B546F"/>
    <w:rsid w:val="005B61F5"/>
    <w:rsid w:val="005B7B5C"/>
    <w:rsid w:val="005C0475"/>
    <w:rsid w:val="005C2B1A"/>
    <w:rsid w:val="005C31B0"/>
    <w:rsid w:val="005C43DD"/>
    <w:rsid w:val="005C51C2"/>
    <w:rsid w:val="005C6FB4"/>
    <w:rsid w:val="005D0F90"/>
    <w:rsid w:val="005D20F8"/>
    <w:rsid w:val="005D3F02"/>
    <w:rsid w:val="005D4AFF"/>
    <w:rsid w:val="005D5610"/>
    <w:rsid w:val="005D57A1"/>
    <w:rsid w:val="005D6AAE"/>
    <w:rsid w:val="005D6EE0"/>
    <w:rsid w:val="005E741D"/>
    <w:rsid w:val="005E77E1"/>
    <w:rsid w:val="005F14DD"/>
    <w:rsid w:val="005F2AD5"/>
    <w:rsid w:val="005F3E85"/>
    <w:rsid w:val="005F6657"/>
    <w:rsid w:val="00600E54"/>
    <w:rsid w:val="00601EA8"/>
    <w:rsid w:val="0060211C"/>
    <w:rsid w:val="0060342A"/>
    <w:rsid w:val="00605C09"/>
    <w:rsid w:val="006071CA"/>
    <w:rsid w:val="006071E9"/>
    <w:rsid w:val="0061150E"/>
    <w:rsid w:val="00611FCF"/>
    <w:rsid w:val="006120F7"/>
    <w:rsid w:val="00612D69"/>
    <w:rsid w:val="00621923"/>
    <w:rsid w:val="00621C41"/>
    <w:rsid w:val="006228B2"/>
    <w:rsid w:val="00622DF1"/>
    <w:rsid w:val="00622F39"/>
    <w:rsid w:val="0062425E"/>
    <w:rsid w:val="00624C0C"/>
    <w:rsid w:val="006254CB"/>
    <w:rsid w:val="00626C88"/>
    <w:rsid w:val="00631324"/>
    <w:rsid w:val="00635330"/>
    <w:rsid w:val="00635F96"/>
    <w:rsid w:val="00636E2E"/>
    <w:rsid w:val="00640465"/>
    <w:rsid w:val="006412C3"/>
    <w:rsid w:val="00643E3B"/>
    <w:rsid w:val="006448E2"/>
    <w:rsid w:val="00644FD8"/>
    <w:rsid w:val="0064745A"/>
    <w:rsid w:val="00651BEB"/>
    <w:rsid w:val="006524A8"/>
    <w:rsid w:val="00652BBD"/>
    <w:rsid w:val="00653B44"/>
    <w:rsid w:val="00653DA2"/>
    <w:rsid w:val="00655AAC"/>
    <w:rsid w:val="00656D5B"/>
    <w:rsid w:val="006579CE"/>
    <w:rsid w:val="00660B19"/>
    <w:rsid w:val="00664ABC"/>
    <w:rsid w:val="0066546F"/>
    <w:rsid w:val="006655F9"/>
    <w:rsid w:val="00665AA4"/>
    <w:rsid w:val="006666E0"/>
    <w:rsid w:val="00666777"/>
    <w:rsid w:val="006678D6"/>
    <w:rsid w:val="00670FFB"/>
    <w:rsid w:val="006712FD"/>
    <w:rsid w:val="00674621"/>
    <w:rsid w:val="006757E1"/>
    <w:rsid w:val="00676AC8"/>
    <w:rsid w:val="00677001"/>
    <w:rsid w:val="006801A5"/>
    <w:rsid w:val="00680C1D"/>
    <w:rsid w:val="006813F6"/>
    <w:rsid w:val="00681F6A"/>
    <w:rsid w:val="006842F5"/>
    <w:rsid w:val="006857AE"/>
    <w:rsid w:val="006916A8"/>
    <w:rsid w:val="00691DFE"/>
    <w:rsid w:val="00693907"/>
    <w:rsid w:val="00695717"/>
    <w:rsid w:val="00696F10"/>
    <w:rsid w:val="0069736B"/>
    <w:rsid w:val="00697BD9"/>
    <w:rsid w:val="006A323E"/>
    <w:rsid w:val="006A370A"/>
    <w:rsid w:val="006A42C9"/>
    <w:rsid w:val="006A4718"/>
    <w:rsid w:val="006A7042"/>
    <w:rsid w:val="006B0F1D"/>
    <w:rsid w:val="006B2146"/>
    <w:rsid w:val="006B2F48"/>
    <w:rsid w:val="006B34EA"/>
    <w:rsid w:val="006B5539"/>
    <w:rsid w:val="006B6A79"/>
    <w:rsid w:val="006B6BFA"/>
    <w:rsid w:val="006B79CB"/>
    <w:rsid w:val="006C1363"/>
    <w:rsid w:val="006C3CEB"/>
    <w:rsid w:val="006C62BA"/>
    <w:rsid w:val="006D0123"/>
    <w:rsid w:val="006D1282"/>
    <w:rsid w:val="006D397E"/>
    <w:rsid w:val="006D4184"/>
    <w:rsid w:val="006D4221"/>
    <w:rsid w:val="006D46E4"/>
    <w:rsid w:val="006D4CA4"/>
    <w:rsid w:val="006D5F9A"/>
    <w:rsid w:val="006D650A"/>
    <w:rsid w:val="006D737B"/>
    <w:rsid w:val="006D7E18"/>
    <w:rsid w:val="006E01A2"/>
    <w:rsid w:val="006E08FB"/>
    <w:rsid w:val="006E7312"/>
    <w:rsid w:val="006E7462"/>
    <w:rsid w:val="006F0527"/>
    <w:rsid w:val="006F2F8B"/>
    <w:rsid w:val="006F3090"/>
    <w:rsid w:val="006F3AF8"/>
    <w:rsid w:val="006F552F"/>
    <w:rsid w:val="006F585F"/>
    <w:rsid w:val="006F5C3C"/>
    <w:rsid w:val="006F7AFB"/>
    <w:rsid w:val="0070010F"/>
    <w:rsid w:val="007001D0"/>
    <w:rsid w:val="00700F49"/>
    <w:rsid w:val="0070284D"/>
    <w:rsid w:val="00703C25"/>
    <w:rsid w:val="00706E12"/>
    <w:rsid w:val="00707D39"/>
    <w:rsid w:val="00710171"/>
    <w:rsid w:val="00712391"/>
    <w:rsid w:val="007155B4"/>
    <w:rsid w:val="00715780"/>
    <w:rsid w:val="007171CE"/>
    <w:rsid w:val="0071763D"/>
    <w:rsid w:val="00720D7B"/>
    <w:rsid w:val="00721073"/>
    <w:rsid w:val="00721D98"/>
    <w:rsid w:val="0072266A"/>
    <w:rsid w:val="00722736"/>
    <w:rsid w:val="00725B4F"/>
    <w:rsid w:val="007276F6"/>
    <w:rsid w:val="00730021"/>
    <w:rsid w:val="007329C5"/>
    <w:rsid w:val="00732D90"/>
    <w:rsid w:val="00732E67"/>
    <w:rsid w:val="00732EF7"/>
    <w:rsid w:val="00734DF6"/>
    <w:rsid w:val="00735DD6"/>
    <w:rsid w:val="00736240"/>
    <w:rsid w:val="0074152B"/>
    <w:rsid w:val="00741A83"/>
    <w:rsid w:val="007420FD"/>
    <w:rsid w:val="007439D0"/>
    <w:rsid w:val="0074423C"/>
    <w:rsid w:val="00744389"/>
    <w:rsid w:val="00744DBE"/>
    <w:rsid w:val="007454F8"/>
    <w:rsid w:val="007469B3"/>
    <w:rsid w:val="00750F48"/>
    <w:rsid w:val="00751137"/>
    <w:rsid w:val="00753239"/>
    <w:rsid w:val="0075446E"/>
    <w:rsid w:val="00754E3E"/>
    <w:rsid w:val="00761EFB"/>
    <w:rsid w:val="0076258B"/>
    <w:rsid w:val="00762841"/>
    <w:rsid w:val="00762AAE"/>
    <w:rsid w:val="00764F65"/>
    <w:rsid w:val="007652BC"/>
    <w:rsid w:val="00765376"/>
    <w:rsid w:val="00766B32"/>
    <w:rsid w:val="00771A75"/>
    <w:rsid w:val="00773303"/>
    <w:rsid w:val="00774214"/>
    <w:rsid w:val="00775260"/>
    <w:rsid w:val="0077787D"/>
    <w:rsid w:val="007779E0"/>
    <w:rsid w:val="00780198"/>
    <w:rsid w:val="007833C8"/>
    <w:rsid w:val="00784FD6"/>
    <w:rsid w:val="00785963"/>
    <w:rsid w:val="00785DA7"/>
    <w:rsid w:val="0078600E"/>
    <w:rsid w:val="00786E3B"/>
    <w:rsid w:val="007871CD"/>
    <w:rsid w:val="00790795"/>
    <w:rsid w:val="00792564"/>
    <w:rsid w:val="00792ECD"/>
    <w:rsid w:val="00793F3C"/>
    <w:rsid w:val="00793F75"/>
    <w:rsid w:val="0079460B"/>
    <w:rsid w:val="007966EF"/>
    <w:rsid w:val="007967F4"/>
    <w:rsid w:val="00796C62"/>
    <w:rsid w:val="007A1BCB"/>
    <w:rsid w:val="007A2D5F"/>
    <w:rsid w:val="007A4C99"/>
    <w:rsid w:val="007A615B"/>
    <w:rsid w:val="007A7013"/>
    <w:rsid w:val="007B141F"/>
    <w:rsid w:val="007B188B"/>
    <w:rsid w:val="007B23EE"/>
    <w:rsid w:val="007B5E98"/>
    <w:rsid w:val="007B77B4"/>
    <w:rsid w:val="007B79A7"/>
    <w:rsid w:val="007B7ABE"/>
    <w:rsid w:val="007C2452"/>
    <w:rsid w:val="007C532D"/>
    <w:rsid w:val="007D1821"/>
    <w:rsid w:val="007D6BCE"/>
    <w:rsid w:val="007E0170"/>
    <w:rsid w:val="007E03A5"/>
    <w:rsid w:val="007E25E0"/>
    <w:rsid w:val="007E33EA"/>
    <w:rsid w:val="007E3B1F"/>
    <w:rsid w:val="007E3C31"/>
    <w:rsid w:val="007E7AEB"/>
    <w:rsid w:val="007F0BF3"/>
    <w:rsid w:val="007F14CB"/>
    <w:rsid w:val="007F1E75"/>
    <w:rsid w:val="007F254D"/>
    <w:rsid w:val="007F331D"/>
    <w:rsid w:val="007F35C3"/>
    <w:rsid w:val="007F4711"/>
    <w:rsid w:val="007F5B1F"/>
    <w:rsid w:val="007F768D"/>
    <w:rsid w:val="00800B0A"/>
    <w:rsid w:val="00806D49"/>
    <w:rsid w:val="00807CE0"/>
    <w:rsid w:val="00810239"/>
    <w:rsid w:val="00810CE3"/>
    <w:rsid w:val="00813210"/>
    <w:rsid w:val="008147F1"/>
    <w:rsid w:val="008212B5"/>
    <w:rsid w:val="00821379"/>
    <w:rsid w:val="00821AA9"/>
    <w:rsid w:val="00823AE1"/>
    <w:rsid w:val="008249BC"/>
    <w:rsid w:val="00826DB2"/>
    <w:rsid w:val="00827930"/>
    <w:rsid w:val="00830497"/>
    <w:rsid w:val="00830A28"/>
    <w:rsid w:val="00832743"/>
    <w:rsid w:val="00832EBD"/>
    <w:rsid w:val="00832F76"/>
    <w:rsid w:val="0083414F"/>
    <w:rsid w:val="00834AF7"/>
    <w:rsid w:val="00835001"/>
    <w:rsid w:val="008363F9"/>
    <w:rsid w:val="008406E8"/>
    <w:rsid w:val="00841AA3"/>
    <w:rsid w:val="00841FEB"/>
    <w:rsid w:val="00844687"/>
    <w:rsid w:val="00845CB5"/>
    <w:rsid w:val="008529AE"/>
    <w:rsid w:val="00854A08"/>
    <w:rsid w:val="00855D57"/>
    <w:rsid w:val="00856061"/>
    <w:rsid w:val="0086242C"/>
    <w:rsid w:val="00863550"/>
    <w:rsid w:val="008639E4"/>
    <w:rsid w:val="0086444D"/>
    <w:rsid w:val="0086773E"/>
    <w:rsid w:val="00867F0F"/>
    <w:rsid w:val="00870ACA"/>
    <w:rsid w:val="008717AE"/>
    <w:rsid w:val="008717D4"/>
    <w:rsid w:val="00873BB2"/>
    <w:rsid w:val="008752F1"/>
    <w:rsid w:val="008768C9"/>
    <w:rsid w:val="008813F3"/>
    <w:rsid w:val="00881D66"/>
    <w:rsid w:val="008837DF"/>
    <w:rsid w:val="008856E1"/>
    <w:rsid w:val="00885BE8"/>
    <w:rsid w:val="00886116"/>
    <w:rsid w:val="008879EB"/>
    <w:rsid w:val="00890245"/>
    <w:rsid w:val="008923A4"/>
    <w:rsid w:val="00893595"/>
    <w:rsid w:val="008942E1"/>
    <w:rsid w:val="008A310D"/>
    <w:rsid w:val="008B0747"/>
    <w:rsid w:val="008B095D"/>
    <w:rsid w:val="008B1CD0"/>
    <w:rsid w:val="008B31CE"/>
    <w:rsid w:val="008B56B5"/>
    <w:rsid w:val="008B58CA"/>
    <w:rsid w:val="008B5F1E"/>
    <w:rsid w:val="008C031D"/>
    <w:rsid w:val="008C359D"/>
    <w:rsid w:val="008C51F4"/>
    <w:rsid w:val="008C68A9"/>
    <w:rsid w:val="008C68AD"/>
    <w:rsid w:val="008C6CC7"/>
    <w:rsid w:val="008C6DEB"/>
    <w:rsid w:val="008D07EA"/>
    <w:rsid w:val="008D0AE4"/>
    <w:rsid w:val="008D0DD8"/>
    <w:rsid w:val="008D3A9B"/>
    <w:rsid w:val="008D3CEA"/>
    <w:rsid w:val="008D42E2"/>
    <w:rsid w:val="008D4C40"/>
    <w:rsid w:val="008D6F04"/>
    <w:rsid w:val="008D75E9"/>
    <w:rsid w:val="008E0CFA"/>
    <w:rsid w:val="008E399F"/>
    <w:rsid w:val="008E4B51"/>
    <w:rsid w:val="008E600F"/>
    <w:rsid w:val="008E6865"/>
    <w:rsid w:val="008F1A67"/>
    <w:rsid w:val="008F3DF7"/>
    <w:rsid w:val="008F4494"/>
    <w:rsid w:val="008F4E1D"/>
    <w:rsid w:val="008F5868"/>
    <w:rsid w:val="008F6AA8"/>
    <w:rsid w:val="008F726E"/>
    <w:rsid w:val="008F7CB6"/>
    <w:rsid w:val="00900F10"/>
    <w:rsid w:val="00900FE5"/>
    <w:rsid w:val="00901ED2"/>
    <w:rsid w:val="00903F2C"/>
    <w:rsid w:val="009112F9"/>
    <w:rsid w:val="009125BB"/>
    <w:rsid w:val="00912777"/>
    <w:rsid w:val="00915FA5"/>
    <w:rsid w:val="00917DED"/>
    <w:rsid w:val="009218F7"/>
    <w:rsid w:val="00922787"/>
    <w:rsid w:val="00923E03"/>
    <w:rsid w:val="00924E50"/>
    <w:rsid w:val="00926408"/>
    <w:rsid w:val="00926850"/>
    <w:rsid w:val="00926E36"/>
    <w:rsid w:val="00930B42"/>
    <w:rsid w:val="009333FD"/>
    <w:rsid w:val="00935C6B"/>
    <w:rsid w:val="009372A4"/>
    <w:rsid w:val="00937B71"/>
    <w:rsid w:val="00940508"/>
    <w:rsid w:val="00940BFD"/>
    <w:rsid w:val="00940CF6"/>
    <w:rsid w:val="00943A92"/>
    <w:rsid w:val="0094490E"/>
    <w:rsid w:val="00945D8A"/>
    <w:rsid w:val="0094702F"/>
    <w:rsid w:val="00947F6F"/>
    <w:rsid w:val="0095290C"/>
    <w:rsid w:val="009530DE"/>
    <w:rsid w:val="00953EC7"/>
    <w:rsid w:val="00953F17"/>
    <w:rsid w:val="00956526"/>
    <w:rsid w:val="009615B2"/>
    <w:rsid w:val="00962137"/>
    <w:rsid w:val="00963162"/>
    <w:rsid w:val="0096411E"/>
    <w:rsid w:val="009660AF"/>
    <w:rsid w:val="00970EDF"/>
    <w:rsid w:val="00973550"/>
    <w:rsid w:val="009749E0"/>
    <w:rsid w:val="009750D5"/>
    <w:rsid w:val="009759C8"/>
    <w:rsid w:val="00981313"/>
    <w:rsid w:val="009819E4"/>
    <w:rsid w:val="009821AB"/>
    <w:rsid w:val="009827E1"/>
    <w:rsid w:val="009843A2"/>
    <w:rsid w:val="0098652F"/>
    <w:rsid w:val="0098751A"/>
    <w:rsid w:val="00995FED"/>
    <w:rsid w:val="00996224"/>
    <w:rsid w:val="009973BE"/>
    <w:rsid w:val="009977B4"/>
    <w:rsid w:val="00997812"/>
    <w:rsid w:val="009A02CE"/>
    <w:rsid w:val="009A2B11"/>
    <w:rsid w:val="009A4908"/>
    <w:rsid w:val="009A57DC"/>
    <w:rsid w:val="009A6629"/>
    <w:rsid w:val="009B0AB7"/>
    <w:rsid w:val="009B2AD6"/>
    <w:rsid w:val="009B2DAE"/>
    <w:rsid w:val="009B3657"/>
    <w:rsid w:val="009B6548"/>
    <w:rsid w:val="009B7E2F"/>
    <w:rsid w:val="009C22EC"/>
    <w:rsid w:val="009C2452"/>
    <w:rsid w:val="009C2F8D"/>
    <w:rsid w:val="009C380E"/>
    <w:rsid w:val="009C3AD7"/>
    <w:rsid w:val="009C51B4"/>
    <w:rsid w:val="009C6C01"/>
    <w:rsid w:val="009D0A62"/>
    <w:rsid w:val="009D16B2"/>
    <w:rsid w:val="009D3001"/>
    <w:rsid w:val="009D7C69"/>
    <w:rsid w:val="009E0EC3"/>
    <w:rsid w:val="009E171A"/>
    <w:rsid w:val="009E2FA7"/>
    <w:rsid w:val="009E547D"/>
    <w:rsid w:val="009E5ACA"/>
    <w:rsid w:val="009E6BC3"/>
    <w:rsid w:val="009E6C76"/>
    <w:rsid w:val="009E7472"/>
    <w:rsid w:val="009E7484"/>
    <w:rsid w:val="009F07BF"/>
    <w:rsid w:val="009F09AB"/>
    <w:rsid w:val="009F1D6D"/>
    <w:rsid w:val="009F2D41"/>
    <w:rsid w:val="00A009C1"/>
    <w:rsid w:val="00A01492"/>
    <w:rsid w:val="00A01BA5"/>
    <w:rsid w:val="00A02310"/>
    <w:rsid w:val="00A03E30"/>
    <w:rsid w:val="00A03E95"/>
    <w:rsid w:val="00A03F94"/>
    <w:rsid w:val="00A04A9F"/>
    <w:rsid w:val="00A07874"/>
    <w:rsid w:val="00A07DDF"/>
    <w:rsid w:val="00A1128B"/>
    <w:rsid w:val="00A127D1"/>
    <w:rsid w:val="00A13527"/>
    <w:rsid w:val="00A1499B"/>
    <w:rsid w:val="00A16830"/>
    <w:rsid w:val="00A17077"/>
    <w:rsid w:val="00A21A4E"/>
    <w:rsid w:val="00A2261C"/>
    <w:rsid w:val="00A22926"/>
    <w:rsid w:val="00A22C72"/>
    <w:rsid w:val="00A22D30"/>
    <w:rsid w:val="00A24036"/>
    <w:rsid w:val="00A24838"/>
    <w:rsid w:val="00A25404"/>
    <w:rsid w:val="00A258A3"/>
    <w:rsid w:val="00A25AAA"/>
    <w:rsid w:val="00A27B13"/>
    <w:rsid w:val="00A27B94"/>
    <w:rsid w:val="00A304FE"/>
    <w:rsid w:val="00A305ED"/>
    <w:rsid w:val="00A32143"/>
    <w:rsid w:val="00A332EA"/>
    <w:rsid w:val="00A34CE1"/>
    <w:rsid w:val="00A34EA3"/>
    <w:rsid w:val="00A3670F"/>
    <w:rsid w:val="00A37F77"/>
    <w:rsid w:val="00A41A62"/>
    <w:rsid w:val="00A439CC"/>
    <w:rsid w:val="00A44E9C"/>
    <w:rsid w:val="00A46CC3"/>
    <w:rsid w:val="00A507B0"/>
    <w:rsid w:val="00A50846"/>
    <w:rsid w:val="00A516CB"/>
    <w:rsid w:val="00A525EB"/>
    <w:rsid w:val="00A52E81"/>
    <w:rsid w:val="00A53EB2"/>
    <w:rsid w:val="00A54CD3"/>
    <w:rsid w:val="00A55C1C"/>
    <w:rsid w:val="00A5639E"/>
    <w:rsid w:val="00A56E8B"/>
    <w:rsid w:val="00A575AE"/>
    <w:rsid w:val="00A577EC"/>
    <w:rsid w:val="00A57B0C"/>
    <w:rsid w:val="00A60701"/>
    <w:rsid w:val="00A61078"/>
    <w:rsid w:val="00A611AE"/>
    <w:rsid w:val="00A621E8"/>
    <w:rsid w:val="00A62E49"/>
    <w:rsid w:val="00A63A66"/>
    <w:rsid w:val="00A65CDC"/>
    <w:rsid w:val="00A65D09"/>
    <w:rsid w:val="00A6659C"/>
    <w:rsid w:val="00A722B0"/>
    <w:rsid w:val="00A72809"/>
    <w:rsid w:val="00A7281A"/>
    <w:rsid w:val="00A73407"/>
    <w:rsid w:val="00A73825"/>
    <w:rsid w:val="00A73A4C"/>
    <w:rsid w:val="00A7480A"/>
    <w:rsid w:val="00A765EB"/>
    <w:rsid w:val="00A77AC1"/>
    <w:rsid w:val="00A80002"/>
    <w:rsid w:val="00A801DC"/>
    <w:rsid w:val="00A82138"/>
    <w:rsid w:val="00A834B8"/>
    <w:rsid w:val="00A854BC"/>
    <w:rsid w:val="00A8620B"/>
    <w:rsid w:val="00A86F1A"/>
    <w:rsid w:val="00A87394"/>
    <w:rsid w:val="00A90080"/>
    <w:rsid w:val="00A91372"/>
    <w:rsid w:val="00A913D8"/>
    <w:rsid w:val="00A9159F"/>
    <w:rsid w:val="00A923CD"/>
    <w:rsid w:val="00A9258F"/>
    <w:rsid w:val="00A9275F"/>
    <w:rsid w:val="00A929E6"/>
    <w:rsid w:val="00A93921"/>
    <w:rsid w:val="00A93E02"/>
    <w:rsid w:val="00A94867"/>
    <w:rsid w:val="00A96322"/>
    <w:rsid w:val="00A96962"/>
    <w:rsid w:val="00AA0927"/>
    <w:rsid w:val="00AA1AB3"/>
    <w:rsid w:val="00AA1F80"/>
    <w:rsid w:val="00AA20C9"/>
    <w:rsid w:val="00AA2141"/>
    <w:rsid w:val="00AA50C3"/>
    <w:rsid w:val="00AA50D8"/>
    <w:rsid w:val="00AA5524"/>
    <w:rsid w:val="00AA5E21"/>
    <w:rsid w:val="00AA6581"/>
    <w:rsid w:val="00AA6D8F"/>
    <w:rsid w:val="00AA7476"/>
    <w:rsid w:val="00AA7841"/>
    <w:rsid w:val="00AB0C94"/>
    <w:rsid w:val="00AB1DE4"/>
    <w:rsid w:val="00AB2686"/>
    <w:rsid w:val="00AB3260"/>
    <w:rsid w:val="00AB414B"/>
    <w:rsid w:val="00AB574D"/>
    <w:rsid w:val="00AB6255"/>
    <w:rsid w:val="00AB6E3F"/>
    <w:rsid w:val="00AB6F4F"/>
    <w:rsid w:val="00AB7112"/>
    <w:rsid w:val="00AC45EE"/>
    <w:rsid w:val="00AC70E4"/>
    <w:rsid w:val="00AD1AAD"/>
    <w:rsid w:val="00AD3814"/>
    <w:rsid w:val="00AD4ABE"/>
    <w:rsid w:val="00AD687A"/>
    <w:rsid w:val="00AD68FA"/>
    <w:rsid w:val="00AD6DC4"/>
    <w:rsid w:val="00AD6E17"/>
    <w:rsid w:val="00AE0B55"/>
    <w:rsid w:val="00AE14E7"/>
    <w:rsid w:val="00AE23F9"/>
    <w:rsid w:val="00AE2449"/>
    <w:rsid w:val="00AE4405"/>
    <w:rsid w:val="00AE48A9"/>
    <w:rsid w:val="00AE77FF"/>
    <w:rsid w:val="00AF0A9F"/>
    <w:rsid w:val="00AF0CB6"/>
    <w:rsid w:val="00AF0D73"/>
    <w:rsid w:val="00AF0EB2"/>
    <w:rsid w:val="00AF2207"/>
    <w:rsid w:val="00AF22AB"/>
    <w:rsid w:val="00AF3340"/>
    <w:rsid w:val="00B0098C"/>
    <w:rsid w:val="00B00C37"/>
    <w:rsid w:val="00B018A7"/>
    <w:rsid w:val="00B0190F"/>
    <w:rsid w:val="00B0386B"/>
    <w:rsid w:val="00B04B71"/>
    <w:rsid w:val="00B06D2C"/>
    <w:rsid w:val="00B07898"/>
    <w:rsid w:val="00B10564"/>
    <w:rsid w:val="00B10693"/>
    <w:rsid w:val="00B1348B"/>
    <w:rsid w:val="00B1474E"/>
    <w:rsid w:val="00B15AAA"/>
    <w:rsid w:val="00B17164"/>
    <w:rsid w:val="00B206C1"/>
    <w:rsid w:val="00B2359C"/>
    <w:rsid w:val="00B25581"/>
    <w:rsid w:val="00B26AD4"/>
    <w:rsid w:val="00B31641"/>
    <w:rsid w:val="00B31D55"/>
    <w:rsid w:val="00B321BE"/>
    <w:rsid w:val="00B323E2"/>
    <w:rsid w:val="00B32A51"/>
    <w:rsid w:val="00B339AF"/>
    <w:rsid w:val="00B3403E"/>
    <w:rsid w:val="00B35957"/>
    <w:rsid w:val="00B378E9"/>
    <w:rsid w:val="00B37EF6"/>
    <w:rsid w:val="00B40D0C"/>
    <w:rsid w:val="00B42495"/>
    <w:rsid w:val="00B458D3"/>
    <w:rsid w:val="00B50A47"/>
    <w:rsid w:val="00B52146"/>
    <w:rsid w:val="00B52901"/>
    <w:rsid w:val="00B53133"/>
    <w:rsid w:val="00B55C6D"/>
    <w:rsid w:val="00B60488"/>
    <w:rsid w:val="00B62692"/>
    <w:rsid w:val="00B6273D"/>
    <w:rsid w:val="00B62C44"/>
    <w:rsid w:val="00B64794"/>
    <w:rsid w:val="00B654ED"/>
    <w:rsid w:val="00B6629B"/>
    <w:rsid w:val="00B66CC8"/>
    <w:rsid w:val="00B67600"/>
    <w:rsid w:val="00B67A26"/>
    <w:rsid w:val="00B701F7"/>
    <w:rsid w:val="00B725B1"/>
    <w:rsid w:val="00B7388C"/>
    <w:rsid w:val="00B7408F"/>
    <w:rsid w:val="00B75DB6"/>
    <w:rsid w:val="00B778FA"/>
    <w:rsid w:val="00B80286"/>
    <w:rsid w:val="00B80C68"/>
    <w:rsid w:val="00B814DB"/>
    <w:rsid w:val="00B81602"/>
    <w:rsid w:val="00B85137"/>
    <w:rsid w:val="00B857E2"/>
    <w:rsid w:val="00B87A66"/>
    <w:rsid w:val="00B91B5F"/>
    <w:rsid w:val="00B925A3"/>
    <w:rsid w:val="00B93631"/>
    <w:rsid w:val="00B93ED1"/>
    <w:rsid w:val="00B947A2"/>
    <w:rsid w:val="00B94871"/>
    <w:rsid w:val="00B94872"/>
    <w:rsid w:val="00B94FB4"/>
    <w:rsid w:val="00B953F3"/>
    <w:rsid w:val="00BA0799"/>
    <w:rsid w:val="00BA1CA1"/>
    <w:rsid w:val="00BA2235"/>
    <w:rsid w:val="00BA2717"/>
    <w:rsid w:val="00BA2903"/>
    <w:rsid w:val="00BA2FEA"/>
    <w:rsid w:val="00BA4CE7"/>
    <w:rsid w:val="00BA728F"/>
    <w:rsid w:val="00BB09F8"/>
    <w:rsid w:val="00BB0B98"/>
    <w:rsid w:val="00BB1C21"/>
    <w:rsid w:val="00BB24AF"/>
    <w:rsid w:val="00BC0D07"/>
    <w:rsid w:val="00BC33C9"/>
    <w:rsid w:val="00BC387F"/>
    <w:rsid w:val="00BC3B3D"/>
    <w:rsid w:val="00BC3DB1"/>
    <w:rsid w:val="00BD0D8D"/>
    <w:rsid w:val="00BD20CC"/>
    <w:rsid w:val="00BD4513"/>
    <w:rsid w:val="00BD4D2B"/>
    <w:rsid w:val="00BD606E"/>
    <w:rsid w:val="00BE174C"/>
    <w:rsid w:val="00BE5655"/>
    <w:rsid w:val="00BE681A"/>
    <w:rsid w:val="00BE7092"/>
    <w:rsid w:val="00BE797E"/>
    <w:rsid w:val="00BE7A00"/>
    <w:rsid w:val="00BF0780"/>
    <w:rsid w:val="00BF1C59"/>
    <w:rsid w:val="00BF4853"/>
    <w:rsid w:val="00BF53E8"/>
    <w:rsid w:val="00BF6641"/>
    <w:rsid w:val="00C007D9"/>
    <w:rsid w:val="00C01019"/>
    <w:rsid w:val="00C03854"/>
    <w:rsid w:val="00C03AF3"/>
    <w:rsid w:val="00C05595"/>
    <w:rsid w:val="00C06B64"/>
    <w:rsid w:val="00C06D01"/>
    <w:rsid w:val="00C156AC"/>
    <w:rsid w:val="00C1738A"/>
    <w:rsid w:val="00C173A3"/>
    <w:rsid w:val="00C25AA2"/>
    <w:rsid w:val="00C25DBD"/>
    <w:rsid w:val="00C26CB0"/>
    <w:rsid w:val="00C27414"/>
    <w:rsid w:val="00C27D73"/>
    <w:rsid w:val="00C31210"/>
    <w:rsid w:val="00C32240"/>
    <w:rsid w:val="00C345B0"/>
    <w:rsid w:val="00C35A25"/>
    <w:rsid w:val="00C36FCA"/>
    <w:rsid w:val="00C37FD8"/>
    <w:rsid w:val="00C41DB4"/>
    <w:rsid w:val="00C42F64"/>
    <w:rsid w:val="00C44D85"/>
    <w:rsid w:val="00C504C7"/>
    <w:rsid w:val="00C51ECB"/>
    <w:rsid w:val="00C52D99"/>
    <w:rsid w:val="00C53625"/>
    <w:rsid w:val="00C53AFF"/>
    <w:rsid w:val="00C55D39"/>
    <w:rsid w:val="00C55F90"/>
    <w:rsid w:val="00C57564"/>
    <w:rsid w:val="00C57DF5"/>
    <w:rsid w:val="00C606B1"/>
    <w:rsid w:val="00C60EFB"/>
    <w:rsid w:val="00C610EB"/>
    <w:rsid w:val="00C62C23"/>
    <w:rsid w:val="00C6350E"/>
    <w:rsid w:val="00C643DF"/>
    <w:rsid w:val="00C701E8"/>
    <w:rsid w:val="00C704B4"/>
    <w:rsid w:val="00C72BBB"/>
    <w:rsid w:val="00C744BC"/>
    <w:rsid w:val="00C7616A"/>
    <w:rsid w:val="00C76585"/>
    <w:rsid w:val="00C80882"/>
    <w:rsid w:val="00C83C49"/>
    <w:rsid w:val="00C84653"/>
    <w:rsid w:val="00C84F02"/>
    <w:rsid w:val="00C861D6"/>
    <w:rsid w:val="00C8648B"/>
    <w:rsid w:val="00C94593"/>
    <w:rsid w:val="00C947E7"/>
    <w:rsid w:val="00C978EF"/>
    <w:rsid w:val="00C97F63"/>
    <w:rsid w:val="00CA2B12"/>
    <w:rsid w:val="00CA3C26"/>
    <w:rsid w:val="00CA5F63"/>
    <w:rsid w:val="00CA644A"/>
    <w:rsid w:val="00CA6514"/>
    <w:rsid w:val="00CA6F7E"/>
    <w:rsid w:val="00CA7CDA"/>
    <w:rsid w:val="00CB007F"/>
    <w:rsid w:val="00CB30F6"/>
    <w:rsid w:val="00CB4827"/>
    <w:rsid w:val="00CB56B1"/>
    <w:rsid w:val="00CB5E8D"/>
    <w:rsid w:val="00CB6473"/>
    <w:rsid w:val="00CB6815"/>
    <w:rsid w:val="00CB6E03"/>
    <w:rsid w:val="00CB751A"/>
    <w:rsid w:val="00CC0281"/>
    <w:rsid w:val="00CC03DF"/>
    <w:rsid w:val="00CC09C5"/>
    <w:rsid w:val="00CC2F95"/>
    <w:rsid w:val="00CC4C60"/>
    <w:rsid w:val="00CC5488"/>
    <w:rsid w:val="00CC5A10"/>
    <w:rsid w:val="00CD1FA8"/>
    <w:rsid w:val="00CD21B5"/>
    <w:rsid w:val="00CD310A"/>
    <w:rsid w:val="00CD35E5"/>
    <w:rsid w:val="00CD48D7"/>
    <w:rsid w:val="00CD6794"/>
    <w:rsid w:val="00CE0475"/>
    <w:rsid w:val="00CE1CB4"/>
    <w:rsid w:val="00CE1D13"/>
    <w:rsid w:val="00CE3777"/>
    <w:rsid w:val="00CE3FFB"/>
    <w:rsid w:val="00CE4136"/>
    <w:rsid w:val="00CE453E"/>
    <w:rsid w:val="00CE4590"/>
    <w:rsid w:val="00CE5590"/>
    <w:rsid w:val="00CE61C7"/>
    <w:rsid w:val="00CF0DB8"/>
    <w:rsid w:val="00CF2BD7"/>
    <w:rsid w:val="00CF3314"/>
    <w:rsid w:val="00CF3913"/>
    <w:rsid w:val="00CF49A9"/>
    <w:rsid w:val="00CF5226"/>
    <w:rsid w:val="00CF5CF7"/>
    <w:rsid w:val="00CF5EE9"/>
    <w:rsid w:val="00CF66C5"/>
    <w:rsid w:val="00CF670E"/>
    <w:rsid w:val="00D01826"/>
    <w:rsid w:val="00D01E95"/>
    <w:rsid w:val="00D03A1D"/>
    <w:rsid w:val="00D04E41"/>
    <w:rsid w:val="00D11D73"/>
    <w:rsid w:val="00D15430"/>
    <w:rsid w:val="00D17C4E"/>
    <w:rsid w:val="00D20CDB"/>
    <w:rsid w:val="00D21D8B"/>
    <w:rsid w:val="00D2254E"/>
    <w:rsid w:val="00D22699"/>
    <w:rsid w:val="00D22B71"/>
    <w:rsid w:val="00D22D4C"/>
    <w:rsid w:val="00D23395"/>
    <w:rsid w:val="00D23C14"/>
    <w:rsid w:val="00D2448F"/>
    <w:rsid w:val="00D2510C"/>
    <w:rsid w:val="00D276C1"/>
    <w:rsid w:val="00D315E3"/>
    <w:rsid w:val="00D33154"/>
    <w:rsid w:val="00D334C9"/>
    <w:rsid w:val="00D363E1"/>
    <w:rsid w:val="00D372B4"/>
    <w:rsid w:val="00D3751B"/>
    <w:rsid w:val="00D4029F"/>
    <w:rsid w:val="00D42EB7"/>
    <w:rsid w:val="00D42F00"/>
    <w:rsid w:val="00D4366B"/>
    <w:rsid w:val="00D47CC8"/>
    <w:rsid w:val="00D522E9"/>
    <w:rsid w:val="00D52316"/>
    <w:rsid w:val="00D56935"/>
    <w:rsid w:val="00D56992"/>
    <w:rsid w:val="00D5740A"/>
    <w:rsid w:val="00D621AB"/>
    <w:rsid w:val="00D63BDA"/>
    <w:rsid w:val="00D66F0C"/>
    <w:rsid w:val="00D67ADC"/>
    <w:rsid w:val="00D67E7D"/>
    <w:rsid w:val="00D712AE"/>
    <w:rsid w:val="00D72211"/>
    <w:rsid w:val="00D72322"/>
    <w:rsid w:val="00D75FB3"/>
    <w:rsid w:val="00D77BB3"/>
    <w:rsid w:val="00D810DF"/>
    <w:rsid w:val="00D85B38"/>
    <w:rsid w:val="00D85DBB"/>
    <w:rsid w:val="00D90D9C"/>
    <w:rsid w:val="00D9256C"/>
    <w:rsid w:val="00D93172"/>
    <w:rsid w:val="00D93657"/>
    <w:rsid w:val="00D93F0B"/>
    <w:rsid w:val="00D96329"/>
    <w:rsid w:val="00D963F2"/>
    <w:rsid w:val="00D96561"/>
    <w:rsid w:val="00D96AD6"/>
    <w:rsid w:val="00D97EB4"/>
    <w:rsid w:val="00DA3BFF"/>
    <w:rsid w:val="00DA59EE"/>
    <w:rsid w:val="00DA5C79"/>
    <w:rsid w:val="00DA69B3"/>
    <w:rsid w:val="00DA72C6"/>
    <w:rsid w:val="00DA769E"/>
    <w:rsid w:val="00DB1F26"/>
    <w:rsid w:val="00DB21A5"/>
    <w:rsid w:val="00DB2E7F"/>
    <w:rsid w:val="00DB35D2"/>
    <w:rsid w:val="00DB36FF"/>
    <w:rsid w:val="00DB388D"/>
    <w:rsid w:val="00DB4106"/>
    <w:rsid w:val="00DB456C"/>
    <w:rsid w:val="00DB6C4B"/>
    <w:rsid w:val="00DB6D9D"/>
    <w:rsid w:val="00DB7102"/>
    <w:rsid w:val="00DC2742"/>
    <w:rsid w:val="00DC282A"/>
    <w:rsid w:val="00DC34B9"/>
    <w:rsid w:val="00DC394C"/>
    <w:rsid w:val="00DC3E31"/>
    <w:rsid w:val="00DC6818"/>
    <w:rsid w:val="00DC7572"/>
    <w:rsid w:val="00DC7EDE"/>
    <w:rsid w:val="00DD04D3"/>
    <w:rsid w:val="00DD0C7F"/>
    <w:rsid w:val="00DD1164"/>
    <w:rsid w:val="00DD155B"/>
    <w:rsid w:val="00DD1B0A"/>
    <w:rsid w:val="00DD2EC4"/>
    <w:rsid w:val="00DD502E"/>
    <w:rsid w:val="00DD6306"/>
    <w:rsid w:val="00DD70B4"/>
    <w:rsid w:val="00DD715E"/>
    <w:rsid w:val="00DE2E40"/>
    <w:rsid w:val="00DE42B0"/>
    <w:rsid w:val="00DE47A0"/>
    <w:rsid w:val="00DF1532"/>
    <w:rsid w:val="00DF2E94"/>
    <w:rsid w:val="00DF5AEA"/>
    <w:rsid w:val="00DF5E99"/>
    <w:rsid w:val="00E01A29"/>
    <w:rsid w:val="00E02BF1"/>
    <w:rsid w:val="00E06459"/>
    <w:rsid w:val="00E067F5"/>
    <w:rsid w:val="00E07C7B"/>
    <w:rsid w:val="00E10825"/>
    <w:rsid w:val="00E110CD"/>
    <w:rsid w:val="00E110EE"/>
    <w:rsid w:val="00E1242D"/>
    <w:rsid w:val="00E12459"/>
    <w:rsid w:val="00E12489"/>
    <w:rsid w:val="00E150CF"/>
    <w:rsid w:val="00E15DA9"/>
    <w:rsid w:val="00E16A95"/>
    <w:rsid w:val="00E176A1"/>
    <w:rsid w:val="00E205B0"/>
    <w:rsid w:val="00E2061C"/>
    <w:rsid w:val="00E21F02"/>
    <w:rsid w:val="00E25E49"/>
    <w:rsid w:val="00E26D0E"/>
    <w:rsid w:val="00E26DD9"/>
    <w:rsid w:val="00E27E7D"/>
    <w:rsid w:val="00E318AD"/>
    <w:rsid w:val="00E31B34"/>
    <w:rsid w:val="00E3352A"/>
    <w:rsid w:val="00E33716"/>
    <w:rsid w:val="00E33F8A"/>
    <w:rsid w:val="00E35209"/>
    <w:rsid w:val="00E37FC7"/>
    <w:rsid w:val="00E406A6"/>
    <w:rsid w:val="00E406C3"/>
    <w:rsid w:val="00E41EBC"/>
    <w:rsid w:val="00E47DF5"/>
    <w:rsid w:val="00E502DC"/>
    <w:rsid w:val="00E509B6"/>
    <w:rsid w:val="00E52C58"/>
    <w:rsid w:val="00E54185"/>
    <w:rsid w:val="00E545E3"/>
    <w:rsid w:val="00E55469"/>
    <w:rsid w:val="00E561AF"/>
    <w:rsid w:val="00E571A7"/>
    <w:rsid w:val="00E5773A"/>
    <w:rsid w:val="00E57A55"/>
    <w:rsid w:val="00E61078"/>
    <w:rsid w:val="00E61D87"/>
    <w:rsid w:val="00E63CBD"/>
    <w:rsid w:val="00E640A9"/>
    <w:rsid w:val="00E64586"/>
    <w:rsid w:val="00E66414"/>
    <w:rsid w:val="00E668A7"/>
    <w:rsid w:val="00E668BD"/>
    <w:rsid w:val="00E719B5"/>
    <w:rsid w:val="00E731BF"/>
    <w:rsid w:val="00E7365D"/>
    <w:rsid w:val="00E7416B"/>
    <w:rsid w:val="00E7446E"/>
    <w:rsid w:val="00E74BDE"/>
    <w:rsid w:val="00E75D2D"/>
    <w:rsid w:val="00E779EE"/>
    <w:rsid w:val="00E80C57"/>
    <w:rsid w:val="00E81B73"/>
    <w:rsid w:val="00E85785"/>
    <w:rsid w:val="00E85BB4"/>
    <w:rsid w:val="00E86292"/>
    <w:rsid w:val="00E864F6"/>
    <w:rsid w:val="00E8692F"/>
    <w:rsid w:val="00E87196"/>
    <w:rsid w:val="00E87729"/>
    <w:rsid w:val="00E87CC3"/>
    <w:rsid w:val="00E91A7C"/>
    <w:rsid w:val="00E92325"/>
    <w:rsid w:val="00E92A4C"/>
    <w:rsid w:val="00E96910"/>
    <w:rsid w:val="00E978EC"/>
    <w:rsid w:val="00EA0CFB"/>
    <w:rsid w:val="00EA1362"/>
    <w:rsid w:val="00EA53AA"/>
    <w:rsid w:val="00EA6320"/>
    <w:rsid w:val="00EA7F6B"/>
    <w:rsid w:val="00EB0315"/>
    <w:rsid w:val="00EB114F"/>
    <w:rsid w:val="00EB1423"/>
    <w:rsid w:val="00EB24EC"/>
    <w:rsid w:val="00EB31BF"/>
    <w:rsid w:val="00EB44EB"/>
    <w:rsid w:val="00EC1B15"/>
    <w:rsid w:val="00EC2791"/>
    <w:rsid w:val="00EC28B3"/>
    <w:rsid w:val="00EC296C"/>
    <w:rsid w:val="00EC4D9E"/>
    <w:rsid w:val="00EC713A"/>
    <w:rsid w:val="00ED1BCA"/>
    <w:rsid w:val="00ED3824"/>
    <w:rsid w:val="00ED45FA"/>
    <w:rsid w:val="00ED50A3"/>
    <w:rsid w:val="00ED5A3A"/>
    <w:rsid w:val="00ED7660"/>
    <w:rsid w:val="00EE2140"/>
    <w:rsid w:val="00EE358A"/>
    <w:rsid w:val="00EE6763"/>
    <w:rsid w:val="00EE6933"/>
    <w:rsid w:val="00EE72E5"/>
    <w:rsid w:val="00EE735E"/>
    <w:rsid w:val="00EE7609"/>
    <w:rsid w:val="00EE7884"/>
    <w:rsid w:val="00EF3B24"/>
    <w:rsid w:val="00EF47D5"/>
    <w:rsid w:val="00EF521D"/>
    <w:rsid w:val="00EF789C"/>
    <w:rsid w:val="00EF7C13"/>
    <w:rsid w:val="00EF7F1A"/>
    <w:rsid w:val="00F00844"/>
    <w:rsid w:val="00F014F1"/>
    <w:rsid w:val="00F01B60"/>
    <w:rsid w:val="00F038C5"/>
    <w:rsid w:val="00F053A1"/>
    <w:rsid w:val="00F05754"/>
    <w:rsid w:val="00F10817"/>
    <w:rsid w:val="00F11A87"/>
    <w:rsid w:val="00F126B7"/>
    <w:rsid w:val="00F1381F"/>
    <w:rsid w:val="00F14218"/>
    <w:rsid w:val="00F14312"/>
    <w:rsid w:val="00F148A5"/>
    <w:rsid w:val="00F1601D"/>
    <w:rsid w:val="00F20F1E"/>
    <w:rsid w:val="00F225FD"/>
    <w:rsid w:val="00F22BA4"/>
    <w:rsid w:val="00F27877"/>
    <w:rsid w:val="00F33F24"/>
    <w:rsid w:val="00F340A1"/>
    <w:rsid w:val="00F376E3"/>
    <w:rsid w:val="00F37DC8"/>
    <w:rsid w:val="00F44BC7"/>
    <w:rsid w:val="00F45778"/>
    <w:rsid w:val="00F476C2"/>
    <w:rsid w:val="00F51A71"/>
    <w:rsid w:val="00F51D0A"/>
    <w:rsid w:val="00F5342A"/>
    <w:rsid w:val="00F55682"/>
    <w:rsid w:val="00F55692"/>
    <w:rsid w:val="00F55D44"/>
    <w:rsid w:val="00F56895"/>
    <w:rsid w:val="00F568E2"/>
    <w:rsid w:val="00F6022A"/>
    <w:rsid w:val="00F605D2"/>
    <w:rsid w:val="00F60649"/>
    <w:rsid w:val="00F62859"/>
    <w:rsid w:val="00F66569"/>
    <w:rsid w:val="00F67525"/>
    <w:rsid w:val="00F67C14"/>
    <w:rsid w:val="00F713B8"/>
    <w:rsid w:val="00F71BE3"/>
    <w:rsid w:val="00F728EA"/>
    <w:rsid w:val="00F73F9B"/>
    <w:rsid w:val="00F75A3E"/>
    <w:rsid w:val="00F77B50"/>
    <w:rsid w:val="00F80C40"/>
    <w:rsid w:val="00F80E90"/>
    <w:rsid w:val="00F82860"/>
    <w:rsid w:val="00F829D3"/>
    <w:rsid w:val="00F853D1"/>
    <w:rsid w:val="00F864E3"/>
    <w:rsid w:val="00F86732"/>
    <w:rsid w:val="00F86D0F"/>
    <w:rsid w:val="00F87253"/>
    <w:rsid w:val="00F87F97"/>
    <w:rsid w:val="00F91213"/>
    <w:rsid w:val="00F912E7"/>
    <w:rsid w:val="00F918CE"/>
    <w:rsid w:val="00F92223"/>
    <w:rsid w:val="00F92FE2"/>
    <w:rsid w:val="00F93B6B"/>
    <w:rsid w:val="00F9409B"/>
    <w:rsid w:val="00F94DB4"/>
    <w:rsid w:val="00F95B90"/>
    <w:rsid w:val="00FA129E"/>
    <w:rsid w:val="00FA3792"/>
    <w:rsid w:val="00FA3A29"/>
    <w:rsid w:val="00FA4C3C"/>
    <w:rsid w:val="00FA6B39"/>
    <w:rsid w:val="00FB198C"/>
    <w:rsid w:val="00FB224D"/>
    <w:rsid w:val="00FB2B10"/>
    <w:rsid w:val="00FB30D3"/>
    <w:rsid w:val="00FB4855"/>
    <w:rsid w:val="00FB53AE"/>
    <w:rsid w:val="00FB5ECE"/>
    <w:rsid w:val="00FB65C3"/>
    <w:rsid w:val="00FB77B1"/>
    <w:rsid w:val="00FC1516"/>
    <w:rsid w:val="00FC2B58"/>
    <w:rsid w:val="00FC38E7"/>
    <w:rsid w:val="00FC604E"/>
    <w:rsid w:val="00FC7551"/>
    <w:rsid w:val="00FC7E1D"/>
    <w:rsid w:val="00FD4B5C"/>
    <w:rsid w:val="00FD5CCC"/>
    <w:rsid w:val="00FD7131"/>
    <w:rsid w:val="00FE27DB"/>
    <w:rsid w:val="00FE2ED4"/>
    <w:rsid w:val="00FE3831"/>
    <w:rsid w:val="00FE425D"/>
    <w:rsid w:val="00FE4340"/>
    <w:rsid w:val="00FE4439"/>
    <w:rsid w:val="00FF0747"/>
    <w:rsid w:val="00FF0A6C"/>
    <w:rsid w:val="00FF2DEF"/>
    <w:rsid w:val="00FF32A1"/>
    <w:rsid w:val="00FF5105"/>
    <w:rsid w:val="00FF51CA"/>
    <w:rsid w:val="00FF59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488A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tabs>
        <w:tab w:val="clear" w:pos="2836"/>
        <w:tab w:val="num" w:pos="1134"/>
      </w:tabs>
      <w:spacing w:before="240" w:line="260" w:lineRule="atLeast"/>
      <w:ind w:left="0"/>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36787F"/>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36787F"/>
    <w:pPr>
      <w:numPr>
        <w:numId w:val="20"/>
      </w:numPr>
    </w:pPr>
  </w:style>
  <w:style w:type="paragraph" w:customStyle="1" w:styleId="dotpoint2">
    <w:name w:val="dot point 2"/>
    <w:basedOn w:val="Normal"/>
    <w:rsid w:val="0036787F"/>
    <w:pPr>
      <w:numPr>
        <w:ilvl w:val="1"/>
        <w:numId w:val="20"/>
      </w:numPr>
      <w:tabs>
        <w:tab w:val="clear" w:pos="2552"/>
        <w:tab w:val="num" w:pos="360"/>
      </w:tabs>
      <w:ind w:left="0"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customStyle="1" w:styleId="Bullet">
    <w:name w:val="Bullet"/>
    <w:basedOn w:val="Normal"/>
    <w:link w:val="BulletChar"/>
    <w:rsid w:val="00E15DA9"/>
    <w:pPr>
      <w:numPr>
        <w:numId w:val="32"/>
      </w:numPr>
    </w:pPr>
  </w:style>
  <w:style w:type="character" w:customStyle="1" w:styleId="BulletChar">
    <w:name w:val="Bullet Char"/>
    <w:basedOn w:val="base-text-paragraphChar"/>
    <w:link w:val="Bullet"/>
    <w:rsid w:val="00E15DA9"/>
    <w:rPr>
      <w:sz w:val="22"/>
    </w:rPr>
  </w:style>
  <w:style w:type="paragraph" w:customStyle="1" w:styleId="Dash">
    <w:name w:val="Dash"/>
    <w:basedOn w:val="Normal"/>
    <w:link w:val="DashChar"/>
    <w:rsid w:val="00E15DA9"/>
    <w:pPr>
      <w:numPr>
        <w:ilvl w:val="1"/>
        <w:numId w:val="32"/>
      </w:numPr>
    </w:pPr>
  </w:style>
  <w:style w:type="character" w:customStyle="1" w:styleId="DashChar">
    <w:name w:val="Dash Char"/>
    <w:basedOn w:val="base-text-paragraphChar"/>
    <w:link w:val="Dash"/>
    <w:rsid w:val="00E15DA9"/>
    <w:rPr>
      <w:sz w:val="22"/>
    </w:rPr>
  </w:style>
  <w:style w:type="paragraph" w:customStyle="1" w:styleId="DoubleDot">
    <w:name w:val="Double Dot"/>
    <w:basedOn w:val="Normal"/>
    <w:link w:val="DoubleDotChar"/>
    <w:rsid w:val="00E15DA9"/>
    <w:pPr>
      <w:numPr>
        <w:ilvl w:val="2"/>
        <w:numId w:val="32"/>
      </w:numPr>
    </w:pPr>
  </w:style>
  <w:style w:type="character" w:customStyle="1" w:styleId="DoubleDotChar">
    <w:name w:val="Double Dot Char"/>
    <w:basedOn w:val="base-text-paragraphChar"/>
    <w:link w:val="DoubleDot"/>
    <w:rsid w:val="00E15DA9"/>
    <w:rPr>
      <w:sz w:val="22"/>
    </w:rPr>
  </w:style>
  <w:style w:type="character" w:styleId="CommentReference">
    <w:name w:val="annotation reference"/>
    <w:basedOn w:val="DefaultParagraphFont"/>
    <w:rsid w:val="00FA6B39"/>
    <w:rPr>
      <w:sz w:val="16"/>
      <w:szCs w:val="16"/>
    </w:rPr>
  </w:style>
  <w:style w:type="paragraph" w:styleId="CommentText">
    <w:name w:val="annotation text"/>
    <w:basedOn w:val="Normal"/>
    <w:link w:val="CommentTextChar"/>
    <w:rsid w:val="00FA6B39"/>
    <w:rPr>
      <w:sz w:val="20"/>
    </w:rPr>
  </w:style>
  <w:style w:type="character" w:customStyle="1" w:styleId="CommentTextChar">
    <w:name w:val="Comment Text Char"/>
    <w:basedOn w:val="DefaultParagraphFont"/>
    <w:link w:val="CommentText"/>
    <w:rsid w:val="00FA6B39"/>
  </w:style>
  <w:style w:type="paragraph" w:styleId="CommentSubject">
    <w:name w:val="annotation subject"/>
    <w:basedOn w:val="CommentText"/>
    <w:next w:val="CommentText"/>
    <w:link w:val="CommentSubjectChar"/>
    <w:rsid w:val="00FA6B39"/>
    <w:rPr>
      <w:b/>
      <w:bCs/>
    </w:rPr>
  </w:style>
  <w:style w:type="character" w:customStyle="1" w:styleId="CommentSubjectChar">
    <w:name w:val="Comment Subject Char"/>
    <w:basedOn w:val="CommentTextChar"/>
    <w:link w:val="CommentSubject"/>
    <w:rsid w:val="00FA6B39"/>
    <w:rPr>
      <w:b/>
      <w:bCs/>
    </w:rPr>
  </w:style>
  <w:style w:type="paragraph" w:styleId="BalloonText">
    <w:name w:val="Balloon Text"/>
    <w:basedOn w:val="Normal"/>
    <w:link w:val="BalloonTextChar"/>
    <w:rsid w:val="00FA6B39"/>
    <w:pPr>
      <w:spacing w:before="0" w:after="0"/>
    </w:pPr>
    <w:rPr>
      <w:rFonts w:ascii="Tahoma" w:hAnsi="Tahoma" w:cs="Tahoma"/>
      <w:sz w:val="16"/>
      <w:szCs w:val="16"/>
    </w:rPr>
  </w:style>
  <w:style w:type="character" w:customStyle="1" w:styleId="BalloonTextChar">
    <w:name w:val="Balloon Text Char"/>
    <w:basedOn w:val="DefaultParagraphFont"/>
    <w:link w:val="BalloonText"/>
    <w:rsid w:val="00FA6B39"/>
    <w:rPr>
      <w:rFonts w:ascii="Tahoma" w:hAnsi="Tahoma" w:cs="Tahoma"/>
      <w:sz w:val="16"/>
      <w:szCs w:val="16"/>
    </w:rPr>
  </w:style>
  <w:style w:type="paragraph" w:styleId="Revision">
    <w:name w:val="Revision"/>
    <w:hidden/>
    <w:uiPriority w:val="99"/>
    <w:semiHidden/>
    <w:rsid w:val="005A2E84"/>
    <w:rPr>
      <w:sz w:val="22"/>
    </w:rPr>
  </w:style>
  <w:style w:type="paragraph" w:customStyle="1" w:styleId="TableMainHeading">
    <w:name w:val="Table Main Heading"/>
    <w:basedOn w:val="TableHeadingoutsidetable"/>
    <w:rsid w:val="00263457"/>
    <w:pPr>
      <w:numPr>
        <w:ilvl w:val="0"/>
        <w:numId w:val="0"/>
      </w:numPr>
      <w:spacing w:after="40"/>
      <w:ind w:left="1134"/>
      <w:outlineLvl w:val="9"/>
    </w:pPr>
  </w:style>
  <w:style w:type="paragraph" w:customStyle="1" w:styleId="ActHeading">
    <w:name w:val="Act Heading"/>
    <w:basedOn w:val="base-text-paragraph"/>
    <w:rsid w:val="00263457"/>
    <w:pPr>
      <w:numPr>
        <w:ilvl w:val="0"/>
        <w:numId w:val="0"/>
      </w:numPr>
      <w:ind w:left="1134"/>
    </w:pPr>
    <w:rPr>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tabs>
        <w:tab w:val="clear" w:pos="2836"/>
        <w:tab w:val="num" w:pos="1134"/>
      </w:tabs>
      <w:spacing w:before="240" w:line="260" w:lineRule="atLeast"/>
      <w:ind w:left="0"/>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36787F"/>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36787F"/>
    <w:pPr>
      <w:numPr>
        <w:numId w:val="20"/>
      </w:numPr>
    </w:pPr>
  </w:style>
  <w:style w:type="paragraph" w:customStyle="1" w:styleId="dotpoint2">
    <w:name w:val="dot point 2"/>
    <w:basedOn w:val="Normal"/>
    <w:rsid w:val="0036787F"/>
    <w:pPr>
      <w:numPr>
        <w:ilvl w:val="1"/>
        <w:numId w:val="20"/>
      </w:numPr>
      <w:tabs>
        <w:tab w:val="clear" w:pos="2552"/>
        <w:tab w:val="num" w:pos="360"/>
      </w:tabs>
      <w:ind w:left="0"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customStyle="1" w:styleId="Bullet">
    <w:name w:val="Bullet"/>
    <w:basedOn w:val="Normal"/>
    <w:link w:val="BulletChar"/>
    <w:rsid w:val="00E15DA9"/>
    <w:pPr>
      <w:numPr>
        <w:numId w:val="32"/>
      </w:numPr>
    </w:pPr>
  </w:style>
  <w:style w:type="character" w:customStyle="1" w:styleId="BulletChar">
    <w:name w:val="Bullet Char"/>
    <w:basedOn w:val="base-text-paragraphChar"/>
    <w:link w:val="Bullet"/>
    <w:rsid w:val="00E15DA9"/>
    <w:rPr>
      <w:sz w:val="22"/>
    </w:rPr>
  </w:style>
  <w:style w:type="paragraph" w:customStyle="1" w:styleId="Dash">
    <w:name w:val="Dash"/>
    <w:basedOn w:val="Normal"/>
    <w:link w:val="DashChar"/>
    <w:rsid w:val="00E15DA9"/>
    <w:pPr>
      <w:numPr>
        <w:ilvl w:val="1"/>
        <w:numId w:val="32"/>
      </w:numPr>
    </w:pPr>
  </w:style>
  <w:style w:type="character" w:customStyle="1" w:styleId="DashChar">
    <w:name w:val="Dash Char"/>
    <w:basedOn w:val="base-text-paragraphChar"/>
    <w:link w:val="Dash"/>
    <w:rsid w:val="00E15DA9"/>
    <w:rPr>
      <w:sz w:val="22"/>
    </w:rPr>
  </w:style>
  <w:style w:type="paragraph" w:customStyle="1" w:styleId="DoubleDot">
    <w:name w:val="Double Dot"/>
    <w:basedOn w:val="Normal"/>
    <w:link w:val="DoubleDotChar"/>
    <w:rsid w:val="00E15DA9"/>
    <w:pPr>
      <w:numPr>
        <w:ilvl w:val="2"/>
        <w:numId w:val="32"/>
      </w:numPr>
    </w:pPr>
  </w:style>
  <w:style w:type="character" w:customStyle="1" w:styleId="DoubleDotChar">
    <w:name w:val="Double Dot Char"/>
    <w:basedOn w:val="base-text-paragraphChar"/>
    <w:link w:val="DoubleDot"/>
    <w:rsid w:val="00E15DA9"/>
    <w:rPr>
      <w:sz w:val="22"/>
    </w:rPr>
  </w:style>
  <w:style w:type="character" w:styleId="CommentReference">
    <w:name w:val="annotation reference"/>
    <w:basedOn w:val="DefaultParagraphFont"/>
    <w:rsid w:val="00FA6B39"/>
    <w:rPr>
      <w:sz w:val="16"/>
      <w:szCs w:val="16"/>
    </w:rPr>
  </w:style>
  <w:style w:type="paragraph" w:styleId="CommentText">
    <w:name w:val="annotation text"/>
    <w:basedOn w:val="Normal"/>
    <w:link w:val="CommentTextChar"/>
    <w:rsid w:val="00FA6B39"/>
    <w:rPr>
      <w:sz w:val="20"/>
    </w:rPr>
  </w:style>
  <w:style w:type="character" w:customStyle="1" w:styleId="CommentTextChar">
    <w:name w:val="Comment Text Char"/>
    <w:basedOn w:val="DefaultParagraphFont"/>
    <w:link w:val="CommentText"/>
    <w:rsid w:val="00FA6B39"/>
  </w:style>
  <w:style w:type="paragraph" w:styleId="CommentSubject">
    <w:name w:val="annotation subject"/>
    <w:basedOn w:val="CommentText"/>
    <w:next w:val="CommentText"/>
    <w:link w:val="CommentSubjectChar"/>
    <w:rsid w:val="00FA6B39"/>
    <w:rPr>
      <w:b/>
      <w:bCs/>
    </w:rPr>
  </w:style>
  <w:style w:type="character" w:customStyle="1" w:styleId="CommentSubjectChar">
    <w:name w:val="Comment Subject Char"/>
    <w:basedOn w:val="CommentTextChar"/>
    <w:link w:val="CommentSubject"/>
    <w:rsid w:val="00FA6B39"/>
    <w:rPr>
      <w:b/>
      <w:bCs/>
    </w:rPr>
  </w:style>
  <w:style w:type="paragraph" w:styleId="BalloonText">
    <w:name w:val="Balloon Text"/>
    <w:basedOn w:val="Normal"/>
    <w:link w:val="BalloonTextChar"/>
    <w:rsid w:val="00FA6B39"/>
    <w:pPr>
      <w:spacing w:before="0" w:after="0"/>
    </w:pPr>
    <w:rPr>
      <w:rFonts w:ascii="Tahoma" w:hAnsi="Tahoma" w:cs="Tahoma"/>
      <w:sz w:val="16"/>
      <w:szCs w:val="16"/>
    </w:rPr>
  </w:style>
  <w:style w:type="character" w:customStyle="1" w:styleId="BalloonTextChar">
    <w:name w:val="Balloon Text Char"/>
    <w:basedOn w:val="DefaultParagraphFont"/>
    <w:link w:val="BalloonText"/>
    <w:rsid w:val="00FA6B39"/>
    <w:rPr>
      <w:rFonts w:ascii="Tahoma" w:hAnsi="Tahoma" w:cs="Tahoma"/>
      <w:sz w:val="16"/>
      <w:szCs w:val="16"/>
    </w:rPr>
  </w:style>
  <w:style w:type="paragraph" w:styleId="Revision">
    <w:name w:val="Revision"/>
    <w:hidden/>
    <w:uiPriority w:val="99"/>
    <w:semiHidden/>
    <w:rsid w:val="005A2E84"/>
    <w:rPr>
      <w:sz w:val="22"/>
    </w:rPr>
  </w:style>
  <w:style w:type="paragraph" w:customStyle="1" w:styleId="TableMainHeading">
    <w:name w:val="Table Main Heading"/>
    <w:basedOn w:val="TableHeadingoutsidetable"/>
    <w:rsid w:val="00263457"/>
    <w:pPr>
      <w:numPr>
        <w:ilvl w:val="0"/>
        <w:numId w:val="0"/>
      </w:numPr>
      <w:spacing w:after="40"/>
      <w:ind w:left="1134"/>
      <w:outlineLvl w:val="9"/>
    </w:pPr>
  </w:style>
  <w:style w:type="paragraph" w:customStyle="1" w:styleId="ActHeading">
    <w:name w:val="Act Heading"/>
    <w:basedOn w:val="base-text-paragraph"/>
    <w:rsid w:val="00263457"/>
    <w:pPr>
      <w:numPr>
        <w:ilvl w:val="0"/>
        <w:numId w:val="0"/>
      </w:numPr>
      <w:ind w:left="1134"/>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979735">
      <w:bodyDiv w:val="1"/>
      <w:marLeft w:val="0"/>
      <w:marRight w:val="0"/>
      <w:marTop w:val="0"/>
      <w:marBottom w:val="0"/>
      <w:divBdr>
        <w:top w:val="none" w:sz="0" w:space="0" w:color="auto"/>
        <w:left w:val="none" w:sz="0" w:space="0" w:color="auto"/>
        <w:bottom w:val="none" w:sz="0" w:space="0" w:color="auto"/>
        <w:right w:val="none" w:sz="0" w:space="0" w:color="auto"/>
      </w:divBdr>
    </w:div>
    <w:div w:id="127875580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6C295-4E27-4A46-B221-F17172F6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5440</Words>
  <Characters>28706</Characters>
  <Application>Microsoft Office Word</Application>
  <DocSecurity>0</DocSecurity>
  <Lines>926</Lines>
  <Paragraphs>696</Paragraphs>
  <ScaleCrop>false</ScaleCrop>
  <Company/>
  <LinksUpToDate>false</LinksUpToDate>
  <CharactersWithSpaces>33450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Fedenko, Serge</cp:lastModifiedBy>
  <cp:revision>2</cp:revision>
  <dcterms:created xsi:type="dcterms:W3CDTF">2016-01-17T21:49:00Z</dcterms:created>
  <dcterms:modified xsi:type="dcterms:W3CDTF">2016-01-17T21:49:00Z</dcterms:modified>
</cp:coreProperties>
</file>