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995" w:tblpY="-660"/>
        <w:tblW w:w="0" w:type="auto"/>
        <w:tblLayout w:type="fixed"/>
        <w:tblLook w:val="0000" w:firstRow="0" w:lastRow="0" w:firstColumn="0" w:lastColumn="0" w:noHBand="0" w:noVBand="0"/>
      </w:tblPr>
      <w:tblGrid>
        <w:gridCol w:w="2011"/>
        <w:gridCol w:w="2012"/>
        <w:gridCol w:w="2011"/>
        <w:gridCol w:w="1763"/>
      </w:tblGrid>
      <w:tr w:rsidR="009C07A4" w:rsidRPr="00FB2F86" w:rsidTr="009C07A4">
        <w:tc>
          <w:tcPr>
            <w:tcW w:w="2011" w:type="dxa"/>
          </w:tcPr>
          <w:p w:rsidR="009C07A4" w:rsidRPr="00E239EC" w:rsidRDefault="009C07A4" w:rsidP="006075D3">
            <w:pPr>
              <w:pStyle w:val="Header"/>
              <w:ind w:left="142"/>
            </w:pPr>
            <w:bookmarkStart w:id="0" w:name="_GoBack"/>
            <w:bookmarkEnd w:id="0"/>
          </w:p>
        </w:tc>
        <w:tc>
          <w:tcPr>
            <w:tcW w:w="2012" w:type="dxa"/>
          </w:tcPr>
          <w:p w:rsidR="009C07A4" w:rsidRDefault="009C07A4" w:rsidP="006075D3">
            <w:pPr>
              <w:pStyle w:val="Header"/>
              <w:ind w:left="142"/>
            </w:pPr>
          </w:p>
        </w:tc>
        <w:tc>
          <w:tcPr>
            <w:tcW w:w="2011" w:type="dxa"/>
          </w:tcPr>
          <w:p w:rsidR="009C07A4" w:rsidRDefault="009C07A4" w:rsidP="006075D3">
            <w:pPr>
              <w:pStyle w:val="Header"/>
              <w:ind w:left="142"/>
            </w:pPr>
          </w:p>
        </w:tc>
        <w:tc>
          <w:tcPr>
            <w:tcW w:w="1763" w:type="dxa"/>
          </w:tcPr>
          <w:p w:rsidR="009C07A4" w:rsidRPr="00FB2F86" w:rsidRDefault="009C07A4" w:rsidP="006075D3">
            <w:pPr>
              <w:pStyle w:val="Header"/>
              <w:ind w:left="142"/>
              <w:rPr>
                <w:lang w:val="de-DE"/>
              </w:rPr>
            </w:pPr>
          </w:p>
        </w:tc>
      </w:tr>
    </w:tbl>
    <w:tbl>
      <w:tblPr>
        <w:tblpPr w:leftFromText="180" w:rightFromText="180" w:horzAnchor="page" w:tblpX="717" w:tblpY="-687"/>
        <w:tblW w:w="0" w:type="auto"/>
        <w:tblLayout w:type="fixed"/>
        <w:tblLook w:val="0000" w:firstRow="0" w:lastRow="0" w:firstColumn="0" w:lastColumn="0" w:noHBand="0" w:noVBand="0"/>
      </w:tblPr>
      <w:tblGrid>
        <w:gridCol w:w="2011"/>
        <w:gridCol w:w="2012"/>
        <w:gridCol w:w="2011"/>
        <w:gridCol w:w="2012"/>
      </w:tblGrid>
      <w:tr w:rsidR="009C07A4" w:rsidRPr="00FB2F86" w:rsidTr="009C07A4">
        <w:tc>
          <w:tcPr>
            <w:tcW w:w="2011" w:type="dxa"/>
          </w:tcPr>
          <w:p w:rsidR="009C07A4" w:rsidRDefault="005F4928" w:rsidP="006075D3">
            <w:pPr>
              <w:pStyle w:val="Header"/>
              <w:ind w:left="142"/>
            </w:pPr>
            <w:r>
              <w:fldChar w:fldCharType="begin"/>
            </w:r>
            <w:r>
              <w:instrText xml:space="preserve"> DOCPROPERTY "SCompany"  \* MERGEFORMAT </w:instrText>
            </w:r>
            <w:r>
              <w:fldChar w:fldCharType="separate"/>
            </w:r>
            <w:r w:rsidR="009C07A4">
              <w:t>AGL Energy Limited</w:t>
            </w:r>
            <w:r>
              <w:fldChar w:fldCharType="end"/>
            </w:r>
          </w:p>
          <w:p w:rsidR="009C07A4" w:rsidRPr="00E239EC" w:rsidRDefault="005F4928" w:rsidP="006075D3">
            <w:pPr>
              <w:pStyle w:val="Header"/>
              <w:ind w:left="142"/>
            </w:pPr>
            <w:r>
              <w:fldChar w:fldCharType="begin"/>
            </w:r>
            <w:r>
              <w:instrText xml:space="preserve"> DOCPROPERTY "ABN"  \* MERGEFORMAT </w:instrText>
            </w:r>
            <w:r>
              <w:fldChar w:fldCharType="separate"/>
            </w:r>
            <w:r w:rsidR="009C07A4">
              <w:t>ABN: 74 115 061 375</w:t>
            </w:r>
            <w:r>
              <w:fldChar w:fldCharType="end"/>
            </w:r>
          </w:p>
        </w:tc>
        <w:tc>
          <w:tcPr>
            <w:tcW w:w="2012" w:type="dxa"/>
          </w:tcPr>
          <w:p w:rsidR="009C07A4" w:rsidRDefault="005F4928" w:rsidP="006075D3">
            <w:pPr>
              <w:pStyle w:val="Header"/>
              <w:ind w:left="142"/>
            </w:pPr>
            <w:r>
              <w:fldChar w:fldCharType="begin"/>
            </w:r>
            <w:r>
              <w:instrText xml:space="preserve"> DOCPROPERTY  SAddress2  \* MERGEFORMAT </w:instrText>
            </w:r>
            <w:r>
              <w:fldChar w:fldCharType="separate"/>
            </w:r>
            <w:r w:rsidR="009C07A4">
              <w:t>Level 22, 120 Spencer Street</w:t>
            </w:r>
            <w:r>
              <w:fldChar w:fldCharType="end"/>
            </w:r>
          </w:p>
          <w:p w:rsidR="009C07A4" w:rsidRDefault="005F4928" w:rsidP="006075D3">
            <w:pPr>
              <w:pStyle w:val="Header"/>
              <w:ind w:left="142"/>
            </w:pPr>
            <w:r>
              <w:fldChar w:fldCharType="begin"/>
            </w:r>
            <w:r>
              <w:instrText xml:space="preserve"> DOCPROPERTY "SAddressSub"  \* MERGEFORMAT </w:instrText>
            </w:r>
            <w:r>
              <w:fldChar w:fldCharType="separate"/>
            </w:r>
            <w:r w:rsidR="009C07A4">
              <w:t xml:space="preserve">Melbourne VIC 3000 </w:t>
            </w:r>
            <w:r>
              <w:fldChar w:fldCharType="end"/>
            </w:r>
          </w:p>
        </w:tc>
        <w:tc>
          <w:tcPr>
            <w:tcW w:w="2011" w:type="dxa"/>
          </w:tcPr>
          <w:p w:rsidR="009C07A4" w:rsidRDefault="005F4928" w:rsidP="006075D3">
            <w:pPr>
              <w:pStyle w:val="Header"/>
              <w:ind w:left="142"/>
            </w:pPr>
            <w:r>
              <w:fldChar w:fldCharType="begin"/>
            </w:r>
            <w:r>
              <w:instrText xml:space="preserve"> DOCPROPERTY "SPostal"  \* MERGEFORMAT </w:instrText>
            </w:r>
            <w:r>
              <w:fldChar w:fldCharType="separate"/>
            </w:r>
            <w:r w:rsidR="009C07A4">
              <w:t>Locked Bag 14120 MCMC</w:t>
            </w:r>
            <w:r>
              <w:fldChar w:fldCharType="end"/>
            </w:r>
          </w:p>
          <w:p w:rsidR="009C07A4" w:rsidRDefault="005F4928" w:rsidP="006075D3">
            <w:pPr>
              <w:pStyle w:val="Header"/>
              <w:ind w:left="142"/>
            </w:pPr>
            <w:r>
              <w:fldChar w:fldCharType="begin"/>
            </w:r>
            <w:r>
              <w:instrText xml:space="preserve"> DOCPROPERTY "PaddressSub"  \* MERGEFORMAT </w:instrText>
            </w:r>
            <w:r>
              <w:fldChar w:fldCharType="separate"/>
            </w:r>
            <w:r w:rsidR="009C07A4">
              <w:t>Melbourne VIC 8001</w:t>
            </w:r>
            <w:r>
              <w:fldChar w:fldCharType="end"/>
            </w:r>
          </w:p>
        </w:tc>
        <w:tc>
          <w:tcPr>
            <w:tcW w:w="2012" w:type="dxa"/>
          </w:tcPr>
          <w:p w:rsidR="009C07A4" w:rsidRPr="00FB2F86" w:rsidRDefault="009C07A4" w:rsidP="006075D3">
            <w:pPr>
              <w:pStyle w:val="Header"/>
              <w:ind w:left="142"/>
              <w:rPr>
                <w:lang w:val="de-DE"/>
              </w:rPr>
            </w:pPr>
            <w:r w:rsidRPr="00FB2F86">
              <w:rPr>
                <w:lang w:val="de-DE"/>
              </w:rPr>
              <w:t xml:space="preserve">T: </w:t>
            </w:r>
            <w:r w:rsidR="005F4928">
              <w:fldChar w:fldCharType="begin"/>
            </w:r>
            <w:r w:rsidR="005F4928">
              <w:instrText xml:space="preserve"> DOCPROPERTY  STel  \* MERGEFORMAT </w:instrText>
            </w:r>
            <w:r w:rsidR="005F4928">
              <w:fldChar w:fldCharType="separate"/>
            </w:r>
            <w:r w:rsidRPr="001D6B1B">
              <w:rPr>
                <w:lang w:val="de-DE"/>
              </w:rPr>
              <w:t>03 8633 6000</w:t>
            </w:r>
            <w:r w:rsidR="005F4928">
              <w:rPr>
                <w:lang w:val="de-DE"/>
              </w:rPr>
              <w:fldChar w:fldCharType="end"/>
            </w:r>
          </w:p>
          <w:p w:rsidR="009C07A4" w:rsidRPr="00FB2F86" w:rsidRDefault="009C07A4" w:rsidP="006075D3">
            <w:pPr>
              <w:pStyle w:val="Header"/>
              <w:ind w:left="142"/>
              <w:rPr>
                <w:lang w:val="de-DE"/>
              </w:rPr>
            </w:pPr>
            <w:r w:rsidRPr="00FB2F86">
              <w:rPr>
                <w:lang w:val="de-DE"/>
              </w:rPr>
              <w:t xml:space="preserve">F: </w:t>
            </w:r>
            <w:r w:rsidR="005F4928">
              <w:fldChar w:fldCharType="begin"/>
            </w:r>
            <w:r w:rsidR="005F4928">
              <w:instrText xml:space="preserve"> DOCPROPERTY  SFax  \* MERGEFORMAT </w:instrText>
            </w:r>
            <w:r w:rsidR="005F4928">
              <w:fldChar w:fldCharType="separate"/>
            </w:r>
            <w:r w:rsidRPr="001D6B1B">
              <w:rPr>
                <w:lang w:val="de-DE"/>
              </w:rPr>
              <w:t>03 8633 6002</w:t>
            </w:r>
            <w:r w:rsidR="005F4928">
              <w:rPr>
                <w:lang w:val="de-DE"/>
              </w:rPr>
              <w:fldChar w:fldCharType="end"/>
            </w:r>
          </w:p>
          <w:p w:rsidR="009C07A4" w:rsidRPr="00FB2F86" w:rsidRDefault="009C07A4" w:rsidP="006075D3">
            <w:pPr>
              <w:pStyle w:val="Header"/>
              <w:ind w:left="142"/>
              <w:rPr>
                <w:lang w:val="de-DE"/>
              </w:rPr>
            </w:pPr>
            <w:r w:rsidRPr="00FB2F86">
              <w:rPr>
                <w:lang w:val="de-DE"/>
              </w:rPr>
              <w:t>agl.com.au</w:t>
            </w:r>
          </w:p>
        </w:tc>
      </w:tr>
    </w:tbl>
    <w:p w:rsidR="009C07A4" w:rsidRDefault="009C07A4" w:rsidP="006075D3">
      <w:pPr>
        <w:ind w:left="142"/>
      </w:pPr>
      <w:r>
        <w:rPr>
          <w:noProof/>
        </w:rPr>
        <w:drawing>
          <wp:anchor distT="0" distB="0" distL="114300" distR="114300" simplePos="0" relativeHeight="251659264" behindDoc="0" locked="0" layoutInCell="1" allowOverlap="1" wp14:anchorId="00C282C2" wp14:editId="411EF490">
            <wp:simplePos x="0" y="0"/>
            <wp:positionH relativeFrom="column">
              <wp:posOffset>4457761</wp:posOffset>
            </wp:positionH>
            <wp:positionV relativeFrom="paragraph">
              <wp:posOffset>-469592</wp:posOffset>
            </wp:positionV>
            <wp:extent cx="1759585" cy="3037840"/>
            <wp:effectExtent l="0" t="0" r="0" b="0"/>
            <wp:wrapNone/>
            <wp:docPr id="1" name="Picture 12" descr="120328-Kaleidoscope_Template-Letterhead_blank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0328-Kaleidoscope_Template-Letterhead_blank_gre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9585" cy="303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07A4" w:rsidRDefault="009C07A4" w:rsidP="006075D3">
      <w:pPr>
        <w:ind w:left="142"/>
      </w:pPr>
    </w:p>
    <w:p w:rsidR="009C07A4" w:rsidRDefault="009C07A4" w:rsidP="006075D3">
      <w:pPr>
        <w:ind w:left="142"/>
      </w:pPr>
    </w:p>
    <w:p w:rsidR="009C07A4" w:rsidRDefault="009C07A4" w:rsidP="006075D3">
      <w:pPr>
        <w:ind w:left="142"/>
      </w:pPr>
    </w:p>
    <w:p w:rsidR="009C07A4" w:rsidRDefault="009C07A4" w:rsidP="006075D3">
      <w:pPr>
        <w:ind w:left="142"/>
      </w:pPr>
    </w:p>
    <w:p w:rsidR="009C07A4" w:rsidRDefault="009C07A4" w:rsidP="006075D3">
      <w:pPr>
        <w:ind w:left="142"/>
      </w:pPr>
    </w:p>
    <w:p w:rsidR="009C07A4" w:rsidRDefault="009C07A4" w:rsidP="006075D3">
      <w:pPr>
        <w:ind w:left="142"/>
      </w:pPr>
    </w:p>
    <w:p w:rsidR="009C07A4" w:rsidRDefault="009C07A4" w:rsidP="006075D3">
      <w:pPr>
        <w:ind w:left="142"/>
      </w:pPr>
    </w:p>
    <w:p w:rsidR="009C07A4" w:rsidRPr="009C07A4" w:rsidRDefault="006C2161" w:rsidP="006075D3">
      <w:pPr>
        <w:autoSpaceDE w:val="0"/>
        <w:autoSpaceDN w:val="0"/>
        <w:adjustRightInd w:val="0"/>
        <w:spacing w:before="0" w:after="0"/>
        <w:ind w:left="142"/>
        <w:rPr>
          <w:rFonts w:cs="Verdana"/>
          <w:b/>
          <w:bCs/>
          <w:sz w:val="19"/>
          <w:szCs w:val="19"/>
          <w:highlight w:val="yellow"/>
          <w:lang w:eastAsia="en-US"/>
        </w:rPr>
      </w:pPr>
      <w:r w:rsidRPr="00A16B01">
        <w:rPr>
          <w:rFonts w:cs="Verdana"/>
          <w:b/>
          <w:bCs/>
          <w:sz w:val="19"/>
          <w:szCs w:val="19"/>
          <w:lang w:eastAsia="en-US"/>
        </w:rPr>
        <w:t>12</w:t>
      </w:r>
      <w:r w:rsidRPr="006C2161">
        <w:rPr>
          <w:rFonts w:cs="Verdana"/>
          <w:b/>
          <w:bCs/>
          <w:sz w:val="19"/>
          <w:szCs w:val="19"/>
          <w:lang w:eastAsia="en-US"/>
        </w:rPr>
        <w:t xml:space="preserve"> February 2016</w:t>
      </w:r>
      <w:r w:rsidR="009C07A4" w:rsidRPr="006C2161">
        <w:rPr>
          <w:rFonts w:cs="Verdana"/>
          <w:b/>
          <w:bCs/>
          <w:sz w:val="19"/>
          <w:szCs w:val="19"/>
          <w:lang w:eastAsia="en-US"/>
        </w:rPr>
        <w:t xml:space="preserve"> </w:t>
      </w:r>
      <w:r w:rsidR="009C07A4" w:rsidRPr="009C07A4">
        <w:rPr>
          <w:rFonts w:cs="Verdana"/>
          <w:b/>
          <w:bCs/>
          <w:sz w:val="19"/>
          <w:szCs w:val="19"/>
          <w:highlight w:val="yellow"/>
          <w:lang w:eastAsia="en-US"/>
        </w:rPr>
        <w:t xml:space="preserve"> </w:t>
      </w:r>
    </w:p>
    <w:p w:rsidR="009C07A4" w:rsidRPr="009C07A4" w:rsidRDefault="009C07A4" w:rsidP="006075D3">
      <w:pPr>
        <w:autoSpaceDE w:val="0"/>
        <w:autoSpaceDN w:val="0"/>
        <w:adjustRightInd w:val="0"/>
        <w:spacing w:before="0" w:after="0"/>
        <w:ind w:left="142"/>
        <w:rPr>
          <w:rFonts w:cs="Verdana"/>
          <w:sz w:val="19"/>
          <w:szCs w:val="19"/>
          <w:highlight w:val="yellow"/>
          <w:lang w:eastAsia="en-US"/>
        </w:rPr>
      </w:pPr>
    </w:p>
    <w:p w:rsidR="009C07A4" w:rsidRPr="009C07A4" w:rsidRDefault="009C07A4" w:rsidP="006075D3">
      <w:pPr>
        <w:autoSpaceDE w:val="0"/>
        <w:autoSpaceDN w:val="0"/>
        <w:adjustRightInd w:val="0"/>
        <w:spacing w:before="0" w:after="0"/>
        <w:ind w:left="142"/>
        <w:rPr>
          <w:rFonts w:cs="Verdana"/>
          <w:sz w:val="19"/>
          <w:szCs w:val="19"/>
          <w:highlight w:val="yellow"/>
          <w:lang w:eastAsia="en-US"/>
        </w:rPr>
      </w:pPr>
    </w:p>
    <w:p w:rsidR="009C07A4" w:rsidRPr="006C2161" w:rsidRDefault="009C07A4" w:rsidP="006075D3">
      <w:pPr>
        <w:autoSpaceDE w:val="0"/>
        <w:autoSpaceDN w:val="0"/>
        <w:adjustRightInd w:val="0"/>
        <w:spacing w:before="0" w:after="0"/>
        <w:ind w:left="142"/>
        <w:rPr>
          <w:rFonts w:cs="Verdana"/>
          <w:sz w:val="19"/>
          <w:szCs w:val="19"/>
          <w:lang w:eastAsia="en-US"/>
        </w:rPr>
      </w:pPr>
    </w:p>
    <w:p w:rsidR="009C07A4" w:rsidRPr="006C2161" w:rsidRDefault="006C2161" w:rsidP="006075D3">
      <w:pPr>
        <w:autoSpaceDE w:val="0"/>
        <w:autoSpaceDN w:val="0"/>
        <w:adjustRightInd w:val="0"/>
        <w:spacing w:before="0" w:after="0"/>
        <w:ind w:left="142"/>
        <w:rPr>
          <w:rFonts w:cs="Verdana"/>
          <w:sz w:val="19"/>
          <w:szCs w:val="19"/>
          <w:lang w:eastAsia="en-US"/>
        </w:rPr>
      </w:pPr>
      <w:r w:rsidRPr="006C2161">
        <w:rPr>
          <w:rFonts w:cs="Verdana"/>
          <w:sz w:val="19"/>
          <w:szCs w:val="19"/>
          <w:lang w:eastAsia="en-US"/>
        </w:rPr>
        <w:t>Mr Scott Rogers</w:t>
      </w:r>
    </w:p>
    <w:p w:rsidR="006C2161" w:rsidRPr="006C2161" w:rsidRDefault="006C2161" w:rsidP="006075D3">
      <w:pPr>
        <w:autoSpaceDE w:val="0"/>
        <w:autoSpaceDN w:val="0"/>
        <w:adjustRightInd w:val="0"/>
        <w:spacing w:before="0" w:after="0"/>
        <w:ind w:left="142"/>
        <w:rPr>
          <w:rFonts w:cs="Verdana"/>
          <w:sz w:val="19"/>
          <w:szCs w:val="19"/>
          <w:lang w:eastAsia="en-US"/>
        </w:rPr>
      </w:pPr>
      <w:r w:rsidRPr="006C2161">
        <w:rPr>
          <w:rFonts w:cs="Verdana"/>
          <w:sz w:val="19"/>
          <w:szCs w:val="19"/>
          <w:lang w:eastAsia="en-US"/>
        </w:rPr>
        <w:t xml:space="preserve">Manager </w:t>
      </w:r>
    </w:p>
    <w:p w:rsidR="006C2161" w:rsidRPr="006C2161" w:rsidRDefault="006C2161" w:rsidP="006075D3">
      <w:pPr>
        <w:autoSpaceDE w:val="0"/>
        <w:autoSpaceDN w:val="0"/>
        <w:adjustRightInd w:val="0"/>
        <w:spacing w:before="0" w:after="0"/>
        <w:ind w:left="142"/>
        <w:rPr>
          <w:rFonts w:cs="Verdana"/>
          <w:sz w:val="19"/>
          <w:szCs w:val="19"/>
          <w:lang w:eastAsia="en-US"/>
        </w:rPr>
      </w:pPr>
      <w:r w:rsidRPr="006C2161">
        <w:rPr>
          <w:rFonts w:cs="Verdana"/>
          <w:sz w:val="19"/>
          <w:szCs w:val="19"/>
          <w:lang w:eastAsia="en-US"/>
        </w:rPr>
        <w:t>Competition Policy Uni</w:t>
      </w:r>
      <w:r w:rsidR="006075D3">
        <w:rPr>
          <w:rFonts w:cs="Verdana"/>
          <w:sz w:val="19"/>
          <w:szCs w:val="19"/>
          <w:lang w:eastAsia="en-US"/>
        </w:rPr>
        <w:t>t</w:t>
      </w:r>
    </w:p>
    <w:p w:rsidR="009C07A4" w:rsidRPr="006C2161" w:rsidRDefault="009C07A4" w:rsidP="006075D3">
      <w:pPr>
        <w:autoSpaceDE w:val="0"/>
        <w:autoSpaceDN w:val="0"/>
        <w:adjustRightInd w:val="0"/>
        <w:spacing w:before="0" w:after="0"/>
        <w:ind w:left="142"/>
        <w:rPr>
          <w:rFonts w:cs="Verdana"/>
          <w:sz w:val="19"/>
          <w:szCs w:val="19"/>
          <w:lang w:eastAsia="en-US"/>
        </w:rPr>
      </w:pPr>
      <w:r w:rsidRPr="006C2161">
        <w:rPr>
          <w:rFonts w:cs="Verdana"/>
          <w:sz w:val="19"/>
          <w:szCs w:val="19"/>
          <w:lang w:eastAsia="en-US"/>
        </w:rPr>
        <w:t>The Treasury</w:t>
      </w:r>
    </w:p>
    <w:p w:rsidR="009C07A4" w:rsidRPr="006C2161" w:rsidRDefault="009C07A4" w:rsidP="006075D3">
      <w:pPr>
        <w:autoSpaceDE w:val="0"/>
        <w:autoSpaceDN w:val="0"/>
        <w:adjustRightInd w:val="0"/>
        <w:spacing w:before="0" w:after="0"/>
        <w:ind w:left="142"/>
        <w:rPr>
          <w:rFonts w:cs="Verdana"/>
          <w:sz w:val="19"/>
          <w:szCs w:val="19"/>
          <w:lang w:eastAsia="en-US"/>
        </w:rPr>
      </w:pPr>
      <w:r w:rsidRPr="006C2161">
        <w:rPr>
          <w:rFonts w:cs="Verdana"/>
          <w:sz w:val="19"/>
          <w:szCs w:val="19"/>
          <w:lang w:eastAsia="en-US"/>
        </w:rPr>
        <w:t>Langton Crescent</w:t>
      </w:r>
    </w:p>
    <w:p w:rsidR="009C07A4" w:rsidRPr="006C2161" w:rsidRDefault="009C07A4" w:rsidP="006075D3">
      <w:pPr>
        <w:autoSpaceDE w:val="0"/>
        <w:autoSpaceDN w:val="0"/>
        <w:adjustRightInd w:val="0"/>
        <w:spacing w:before="0" w:after="0"/>
        <w:ind w:left="142"/>
        <w:rPr>
          <w:rFonts w:cs="Verdana"/>
          <w:sz w:val="19"/>
          <w:szCs w:val="19"/>
          <w:lang w:eastAsia="en-US"/>
        </w:rPr>
      </w:pPr>
      <w:r w:rsidRPr="006C2161">
        <w:rPr>
          <w:rFonts w:cs="Verdana"/>
          <w:sz w:val="19"/>
          <w:szCs w:val="19"/>
          <w:lang w:eastAsia="en-US"/>
        </w:rPr>
        <w:t xml:space="preserve">PARKES ACT 2600 </w:t>
      </w:r>
    </w:p>
    <w:p w:rsidR="009C07A4" w:rsidRPr="009C07A4" w:rsidRDefault="009C07A4" w:rsidP="006075D3">
      <w:pPr>
        <w:autoSpaceDE w:val="0"/>
        <w:autoSpaceDN w:val="0"/>
        <w:adjustRightInd w:val="0"/>
        <w:spacing w:before="0" w:after="0"/>
        <w:ind w:left="142"/>
        <w:rPr>
          <w:rFonts w:cs="Verdana"/>
          <w:sz w:val="19"/>
          <w:szCs w:val="19"/>
          <w:highlight w:val="yellow"/>
          <w:lang w:eastAsia="en-US"/>
        </w:rPr>
      </w:pPr>
    </w:p>
    <w:p w:rsidR="009C07A4" w:rsidRPr="009C07A4" w:rsidRDefault="009C07A4" w:rsidP="006075D3">
      <w:pPr>
        <w:autoSpaceDE w:val="0"/>
        <w:autoSpaceDN w:val="0"/>
        <w:adjustRightInd w:val="0"/>
        <w:spacing w:before="0" w:after="0"/>
        <w:ind w:left="142"/>
        <w:rPr>
          <w:rFonts w:cs="Verdana"/>
          <w:sz w:val="19"/>
          <w:szCs w:val="19"/>
          <w:highlight w:val="yellow"/>
          <w:lang w:eastAsia="en-US"/>
        </w:rPr>
      </w:pPr>
    </w:p>
    <w:p w:rsidR="009C07A4" w:rsidRPr="009C07A4" w:rsidRDefault="009C07A4" w:rsidP="006075D3">
      <w:pPr>
        <w:autoSpaceDE w:val="0"/>
        <w:autoSpaceDN w:val="0"/>
        <w:adjustRightInd w:val="0"/>
        <w:spacing w:before="0" w:after="0"/>
        <w:ind w:left="142"/>
        <w:rPr>
          <w:rFonts w:cs="Verdana"/>
          <w:sz w:val="19"/>
          <w:szCs w:val="19"/>
          <w:highlight w:val="yellow"/>
          <w:lang w:eastAsia="en-US"/>
        </w:rPr>
      </w:pPr>
    </w:p>
    <w:p w:rsidR="009C07A4" w:rsidRPr="006C2161" w:rsidRDefault="00A16B01" w:rsidP="006075D3">
      <w:pPr>
        <w:autoSpaceDE w:val="0"/>
        <w:autoSpaceDN w:val="0"/>
        <w:adjustRightInd w:val="0"/>
        <w:spacing w:before="0" w:after="0"/>
        <w:ind w:left="142"/>
        <w:rPr>
          <w:rFonts w:cs="Verdana"/>
          <w:b/>
          <w:sz w:val="19"/>
          <w:szCs w:val="19"/>
          <w:lang w:eastAsia="en-US"/>
        </w:rPr>
      </w:pPr>
      <w:r>
        <w:rPr>
          <w:rFonts w:cs="Verdana"/>
          <w:b/>
          <w:sz w:val="19"/>
          <w:szCs w:val="19"/>
          <w:lang w:eastAsia="en-US"/>
        </w:rPr>
        <w:t xml:space="preserve">Submitted online: </w:t>
      </w:r>
      <w:r w:rsidR="006C2161" w:rsidRPr="006C2161">
        <w:rPr>
          <w:rFonts w:cs="Verdana"/>
          <w:b/>
          <w:sz w:val="19"/>
          <w:szCs w:val="19"/>
          <w:lang w:eastAsia="en-US"/>
        </w:rPr>
        <w:t>competition@treasury.gov.au</w:t>
      </w:r>
    </w:p>
    <w:p w:rsidR="009C07A4" w:rsidRPr="009C07A4" w:rsidRDefault="009C07A4" w:rsidP="006075D3">
      <w:pPr>
        <w:autoSpaceDE w:val="0"/>
        <w:autoSpaceDN w:val="0"/>
        <w:adjustRightInd w:val="0"/>
        <w:spacing w:before="0" w:after="0"/>
        <w:ind w:left="142"/>
        <w:rPr>
          <w:rFonts w:cs="Verdana"/>
          <w:sz w:val="19"/>
          <w:szCs w:val="19"/>
          <w:highlight w:val="yellow"/>
          <w:lang w:eastAsia="en-US"/>
        </w:rPr>
      </w:pPr>
    </w:p>
    <w:p w:rsidR="009C07A4" w:rsidRPr="009C07A4" w:rsidRDefault="009C07A4" w:rsidP="006075D3">
      <w:pPr>
        <w:autoSpaceDE w:val="0"/>
        <w:autoSpaceDN w:val="0"/>
        <w:adjustRightInd w:val="0"/>
        <w:spacing w:before="0" w:after="0"/>
        <w:ind w:left="142"/>
        <w:rPr>
          <w:rFonts w:cs="Verdana"/>
          <w:sz w:val="19"/>
          <w:szCs w:val="19"/>
          <w:highlight w:val="yellow"/>
          <w:lang w:eastAsia="en-US"/>
        </w:rPr>
      </w:pPr>
    </w:p>
    <w:p w:rsidR="009C07A4" w:rsidRPr="006C2161" w:rsidRDefault="009C07A4" w:rsidP="006075D3">
      <w:pPr>
        <w:autoSpaceDE w:val="0"/>
        <w:autoSpaceDN w:val="0"/>
        <w:adjustRightInd w:val="0"/>
        <w:spacing w:before="0" w:after="0"/>
        <w:ind w:left="142"/>
        <w:rPr>
          <w:rFonts w:cs="Verdana"/>
          <w:sz w:val="19"/>
          <w:szCs w:val="19"/>
          <w:lang w:eastAsia="en-US"/>
        </w:rPr>
      </w:pPr>
      <w:r w:rsidRPr="006C2161">
        <w:rPr>
          <w:rFonts w:cs="Verdana"/>
          <w:sz w:val="19"/>
          <w:szCs w:val="19"/>
          <w:lang w:eastAsia="en-US"/>
        </w:rPr>
        <w:t xml:space="preserve">Dear </w:t>
      </w:r>
      <w:r w:rsidR="006C2161" w:rsidRPr="006C2161">
        <w:rPr>
          <w:rFonts w:cs="Verdana"/>
          <w:sz w:val="19"/>
          <w:szCs w:val="19"/>
          <w:lang w:eastAsia="en-US"/>
        </w:rPr>
        <w:t>Mr Rogers</w:t>
      </w:r>
    </w:p>
    <w:p w:rsidR="009C07A4" w:rsidRPr="00AE4E2A" w:rsidRDefault="006C2161" w:rsidP="006075D3">
      <w:pPr>
        <w:spacing w:line="276" w:lineRule="auto"/>
        <w:ind w:left="142"/>
        <w:rPr>
          <w:b/>
          <w:sz w:val="20"/>
        </w:rPr>
      </w:pPr>
      <w:r>
        <w:rPr>
          <w:b/>
          <w:sz w:val="20"/>
        </w:rPr>
        <w:t>Treasury Discussion Paper – Options for strengthening misuse of market power laws</w:t>
      </w:r>
    </w:p>
    <w:p w:rsidR="006C2161" w:rsidRPr="00AE4E2A" w:rsidRDefault="009C07A4" w:rsidP="006075D3">
      <w:pPr>
        <w:spacing w:line="276" w:lineRule="auto"/>
        <w:ind w:left="142"/>
        <w:rPr>
          <w:b/>
          <w:sz w:val="20"/>
        </w:rPr>
      </w:pPr>
      <w:r w:rsidRPr="00AE4E2A">
        <w:rPr>
          <w:rFonts w:cs="Verdana"/>
          <w:sz w:val="19"/>
          <w:szCs w:val="19"/>
        </w:rPr>
        <w:t>AGL Energy Limited (</w:t>
      </w:r>
      <w:r w:rsidRPr="00AE4E2A">
        <w:rPr>
          <w:rFonts w:cs="Verdana"/>
          <w:b/>
          <w:sz w:val="19"/>
          <w:szCs w:val="19"/>
        </w:rPr>
        <w:t>AGL</w:t>
      </w:r>
      <w:r w:rsidRPr="00AE4E2A">
        <w:rPr>
          <w:rFonts w:cs="Verdana"/>
          <w:sz w:val="19"/>
          <w:szCs w:val="19"/>
        </w:rPr>
        <w:t xml:space="preserve">) welcomes the opportunity to make a submission on the </w:t>
      </w:r>
      <w:r w:rsidR="006C2161" w:rsidRPr="006C2161">
        <w:rPr>
          <w:sz w:val="20"/>
        </w:rPr>
        <w:t>Treasury Discussion Paper – Options for strengthening misuse of market power laws</w:t>
      </w:r>
      <w:r w:rsidR="006C2161">
        <w:rPr>
          <w:sz w:val="20"/>
        </w:rPr>
        <w:t xml:space="preserve"> (Discussion Paper).</w:t>
      </w:r>
    </w:p>
    <w:p w:rsidR="009C07A4" w:rsidRDefault="009C07A4" w:rsidP="006075D3">
      <w:pPr>
        <w:autoSpaceDE w:val="0"/>
        <w:autoSpaceDN w:val="0"/>
        <w:adjustRightInd w:val="0"/>
        <w:spacing w:before="0" w:after="0"/>
        <w:ind w:left="142"/>
        <w:rPr>
          <w:sz w:val="19"/>
          <w:szCs w:val="19"/>
        </w:rPr>
      </w:pPr>
      <w:r w:rsidRPr="00AE4E2A">
        <w:rPr>
          <w:sz w:val="19"/>
          <w:szCs w:val="19"/>
        </w:rPr>
        <w:t xml:space="preserve">AGL strongly </w:t>
      </w:r>
      <w:r w:rsidR="00220AF7">
        <w:rPr>
          <w:sz w:val="19"/>
          <w:szCs w:val="19"/>
        </w:rPr>
        <w:t xml:space="preserve">supports Option A in the Discussion paper and </w:t>
      </w:r>
      <w:r w:rsidRPr="00AE4E2A">
        <w:rPr>
          <w:sz w:val="19"/>
          <w:szCs w:val="19"/>
        </w:rPr>
        <w:t xml:space="preserve">opposes </w:t>
      </w:r>
      <w:r w:rsidR="00256919">
        <w:rPr>
          <w:sz w:val="19"/>
          <w:szCs w:val="19"/>
        </w:rPr>
        <w:t>Options B, C, D and E</w:t>
      </w:r>
      <w:r w:rsidRPr="00AE4E2A">
        <w:rPr>
          <w:sz w:val="19"/>
          <w:szCs w:val="19"/>
        </w:rPr>
        <w:t xml:space="preserve"> </w:t>
      </w:r>
      <w:r w:rsidR="0070462F">
        <w:rPr>
          <w:sz w:val="19"/>
          <w:szCs w:val="19"/>
        </w:rPr>
        <w:t xml:space="preserve">proposing changes to </w:t>
      </w:r>
      <w:r w:rsidRPr="00AE4E2A">
        <w:rPr>
          <w:sz w:val="19"/>
          <w:szCs w:val="19"/>
        </w:rPr>
        <w:t xml:space="preserve">the misuse of market power test in s 46 of the </w:t>
      </w:r>
      <w:r w:rsidRPr="00AE4E2A">
        <w:rPr>
          <w:i/>
          <w:sz w:val="19"/>
          <w:szCs w:val="19"/>
        </w:rPr>
        <w:t>Competition and Consumer Act 2010</w:t>
      </w:r>
      <w:r w:rsidR="0070462F">
        <w:rPr>
          <w:sz w:val="19"/>
          <w:szCs w:val="19"/>
        </w:rPr>
        <w:t>.</w:t>
      </w:r>
    </w:p>
    <w:p w:rsidR="009C07A4" w:rsidRDefault="009C07A4" w:rsidP="006075D3">
      <w:pPr>
        <w:pStyle w:val="ListParagraph"/>
        <w:ind w:left="142"/>
        <w:rPr>
          <w:sz w:val="19"/>
          <w:szCs w:val="19"/>
        </w:rPr>
      </w:pPr>
    </w:p>
    <w:p w:rsidR="009C07A4" w:rsidRPr="00AE4E2A" w:rsidRDefault="009C07A4" w:rsidP="006075D3">
      <w:pPr>
        <w:autoSpaceDE w:val="0"/>
        <w:autoSpaceDN w:val="0"/>
        <w:adjustRightInd w:val="0"/>
        <w:spacing w:before="0" w:after="0"/>
        <w:ind w:left="142"/>
        <w:rPr>
          <w:sz w:val="19"/>
          <w:szCs w:val="19"/>
        </w:rPr>
      </w:pPr>
      <w:r w:rsidRPr="00AE4E2A">
        <w:rPr>
          <w:sz w:val="19"/>
          <w:szCs w:val="19"/>
        </w:rPr>
        <w:t xml:space="preserve">AGL is well-placed to comment </w:t>
      </w:r>
      <w:r w:rsidR="006C2161">
        <w:rPr>
          <w:sz w:val="19"/>
          <w:szCs w:val="19"/>
        </w:rPr>
        <w:t>on the misuse of market power provisions</w:t>
      </w:r>
      <w:r w:rsidRPr="00AE4E2A">
        <w:rPr>
          <w:sz w:val="19"/>
          <w:szCs w:val="19"/>
        </w:rPr>
        <w:t>.  We are one of the largest energy retailers and generators of electricity in Australia.  We have investments in coal-fired, gas-fired, and renewable electricity generation and upstream gas exploration and production projects.  On the retail side, AGL provides energy to over 3.8 million electricity and gas customers in Victoria, New South Wales, South Australia and Queensland.</w:t>
      </w:r>
    </w:p>
    <w:p w:rsidR="009C07A4" w:rsidRPr="00AE4E2A" w:rsidRDefault="009C07A4" w:rsidP="006075D3">
      <w:pPr>
        <w:autoSpaceDE w:val="0"/>
        <w:autoSpaceDN w:val="0"/>
        <w:adjustRightInd w:val="0"/>
        <w:spacing w:before="0" w:after="0"/>
        <w:ind w:left="142"/>
        <w:rPr>
          <w:sz w:val="19"/>
          <w:szCs w:val="19"/>
        </w:rPr>
      </w:pPr>
    </w:p>
    <w:p w:rsidR="009C07A4" w:rsidRDefault="009C07A4" w:rsidP="006075D3">
      <w:pPr>
        <w:autoSpaceDE w:val="0"/>
        <w:autoSpaceDN w:val="0"/>
        <w:adjustRightInd w:val="0"/>
        <w:spacing w:before="0" w:after="0"/>
        <w:ind w:left="142"/>
        <w:rPr>
          <w:sz w:val="19"/>
          <w:szCs w:val="19"/>
        </w:rPr>
      </w:pPr>
      <w:r w:rsidRPr="00AE4E2A">
        <w:rPr>
          <w:sz w:val="19"/>
          <w:szCs w:val="19"/>
        </w:rPr>
        <w:t xml:space="preserve">AGL believes in and supports vigorous and effective competition across all the markets in which it operates in order to benefit customers and market participants.  Market structures characterised by competition and innovation, alongside efficiency in investment and expenditure, will best deliver these gains. </w:t>
      </w:r>
    </w:p>
    <w:p w:rsidR="009C07A4" w:rsidRDefault="009C07A4" w:rsidP="006075D3">
      <w:pPr>
        <w:autoSpaceDE w:val="0"/>
        <w:autoSpaceDN w:val="0"/>
        <w:adjustRightInd w:val="0"/>
        <w:spacing w:before="0" w:after="0"/>
        <w:ind w:left="142"/>
        <w:rPr>
          <w:sz w:val="19"/>
          <w:szCs w:val="19"/>
        </w:rPr>
      </w:pPr>
    </w:p>
    <w:p w:rsidR="009C07A4" w:rsidRPr="00256919" w:rsidRDefault="009C07A4" w:rsidP="000D50BC">
      <w:pPr>
        <w:autoSpaceDE w:val="0"/>
        <w:autoSpaceDN w:val="0"/>
        <w:adjustRightInd w:val="0"/>
        <w:spacing w:before="0"/>
        <w:ind w:left="142"/>
        <w:rPr>
          <w:sz w:val="19"/>
          <w:szCs w:val="19"/>
        </w:rPr>
      </w:pPr>
      <w:r w:rsidRPr="00256919">
        <w:rPr>
          <w:sz w:val="19"/>
          <w:szCs w:val="19"/>
        </w:rPr>
        <w:t xml:space="preserve">The key requirements for competition policy in the energy industry are: </w:t>
      </w:r>
    </w:p>
    <w:p w:rsidR="009C07A4" w:rsidRDefault="009C07A4" w:rsidP="000D50BC">
      <w:pPr>
        <w:pStyle w:val="ListParagraph"/>
        <w:numPr>
          <w:ilvl w:val="0"/>
          <w:numId w:val="1"/>
        </w:numPr>
        <w:spacing w:after="120"/>
        <w:ind w:left="567"/>
        <w:rPr>
          <w:sz w:val="19"/>
          <w:szCs w:val="19"/>
        </w:rPr>
      </w:pPr>
      <w:r w:rsidRPr="00256919">
        <w:rPr>
          <w:sz w:val="19"/>
          <w:szCs w:val="19"/>
        </w:rPr>
        <w:t>a principled and stable regulatory framework;</w:t>
      </w:r>
    </w:p>
    <w:p w:rsidR="000D50BC" w:rsidRPr="000D50BC" w:rsidRDefault="000D50BC" w:rsidP="000D50BC">
      <w:pPr>
        <w:pStyle w:val="ListParagraph"/>
        <w:ind w:left="567"/>
        <w:rPr>
          <w:sz w:val="16"/>
          <w:szCs w:val="16"/>
        </w:rPr>
      </w:pPr>
    </w:p>
    <w:p w:rsidR="009C07A4" w:rsidRDefault="009C07A4" w:rsidP="000D50BC">
      <w:pPr>
        <w:pStyle w:val="ListParagraph"/>
        <w:numPr>
          <w:ilvl w:val="0"/>
          <w:numId w:val="1"/>
        </w:numPr>
        <w:spacing w:after="120"/>
        <w:ind w:left="567"/>
        <w:rPr>
          <w:sz w:val="19"/>
          <w:szCs w:val="19"/>
        </w:rPr>
      </w:pPr>
      <w:r w:rsidRPr="00256919">
        <w:rPr>
          <w:sz w:val="19"/>
          <w:szCs w:val="19"/>
        </w:rPr>
        <w:t xml:space="preserve">specific and well-targeted regulation with the main purpose of preventing or rectifying sustained market failure; </w:t>
      </w:r>
    </w:p>
    <w:p w:rsidR="000D50BC" w:rsidRPr="000D50BC" w:rsidRDefault="000D50BC" w:rsidP="000D50BC">
      <w:pPr>
        <w:rPr>
          <w:sz w:val="19"/>
          <w:szCs w:val="19"/>
        </w:rPr>
      </w:pPr>
    </w:p>
    <w:p w:rsidR="009C07A4" w:rsidRDefault="009C07A4" w:rsidP="000D50BC">
      <w:pPr>
        <w:pStyle w:val="ListParagraph"/>
        <w:numPr>
          <w:ilvl w:val="0"/>
          <w:numId w:val="1"/>
        </w:numPr>
        <w:ind w:left="567"/>
        <w:rPr>
          <w:sz w:val="19"/>
          <w:szCs w:val="19"/>
        </w:rPr>
      </w:pPr>
      <w:r w:rsidRPr="00256919">
        <w:rPr>
          <w:sz w:val="19"/>
          <w:szCs w:val="19"/>
        </w:rPr>
        <w:lastRenderedPageBreak/>
        <w:t>minimising the regulatory burden by eliminating unnecessary government and regulatory intervention in competitive, commercial processes;</w:t>
      </w:r>
    </w:p>
    <w:p w:rsidR="000D50BC" w:rsidRPr="000D50BC" w:rsidRDefault="000D50BC" w:rsidP="000D50BC">
      <w:pPr>
        <w:spacing w:before="0" w:after="0"/>
        <w:rPr>
          <w:sz w:val="16"/>
          <w:szCs w:val="16"/>
        </w:rPr>
      </w:pPr>
    </w:p>
    <w:p w:rsidR="009C07A4" w:rsidRDefault="009C07A4" w:rsidP="000D50BC">
      <w:pPr>
        <w:pStyle w:val="ListParagraph"/>
        <w:numPr>
          <w:ilvl w:val="0"/>
          <w:numId w:val="1"/>
        </w:numPr>
        <w:ind w:left="567"/>
        <w:rPr>
          <w:sz w:val="19"/>
          <w:szCs w:val="19"/>
        </w:rPr>
      </w:pPr>
      <w:r w:rsidRPr="00256919">
        <w:rPr>
          <w:sz w:val="19"/>
          <w:szCs w:val="19"/>
        </w:rPr>
        <w:t>allowing free and fair market structures to evolve;</w:t>
      </w:r>
    </w:p>
    <w:p w:rsidR="000D50BC" w:rsidRPr="000D50BC" w:rsidRDefault="000D50BC" w:rsidP="000D50BC">
      <w:pPr>
        <w:spacing w:before="0" w:after="0"/>
        <w:rPr>
          <w:sz w:val="16"/>
          <w:szCs w:val="16"/>
        </w:rPr>
      </w:pPr>
    </w:p>
    <w:p w:rsidR="009C07A4" w:rsidRDefault="009C07A4" w:rsidP="000D50BC">
      <w:pPr>
        <w:pStyle w:val="ListParagraph"/>
        <w:numPr>
          <w:ilvl w:val="0"/>
          <w:numId w:val="1"/>
        </w:numPr>
        <w:ind w:left="567"/>
        <w:rPr>
          <w:sz w:val="19"/>
          <w:szCs w:val="19"/>
        </w:rPr>
      </w:pPr>
      <w:r w:rsidRPr="00256919">
        <w:rPr>
          <w:sz w:val="19"/>
          <w:szCs w:val="19"/>
        </w:rPr>
        <w:t>requiring timely and transparent decision-making by regulatory bodies; and</w:t>
      </w:r>
    </w:p>
    <w:p w:rsidR="000D50BC" w:rsidRPr="000D50BC" w:rsidRDefault="000D50BC" w:rsidP="000D50BC">
      <w:pPr>
        <w:spacing w:before="0" w:after="0"/>
        <w:rPr>
          <w:sz w:val="16"/>
          <w:szCs w:val="16"/>
        </w:rPr>
      </w:pPr>
    </w:p>
    <w:p w:rsidR="009C07A4" w:rsidRPr="00256919" w:rsidRDefault="009C07A4" w:rsidP="006075D3">
      <w:pPr>
        <w:pStyle w:val="ListParagraph"/>
        <w:numPr>
          <w:ilvl w:val="0"/>
          <w:numId w:val="1"/>
        </w:numPr>
        <w:spacing w:after="240"/>
        <w:ind w:left="567" w:hanging="357"/>
        <w:rPr>
          <w:sz w:val="19"/>
          <w:szCs w:val="19"/>
        </w:rPr>
      </w:pPr>
      <w:r w:rsidRPr="00256919">
        <w:rPr>
          <w:sz w:val="19"/>
          <w:szCs w:val="19"/>
        </w:rPr>
        <w:t xml:space="preserve">enabling due process for review of government and regulatory decisions. </w:t>
      </w:r>
    </w:p>
    <w:p w:rsidR="00256919" w:rsidRPr="00256919" w:rsidRDefault="00256919" w:rsidP="006075D3">
      <w:pPr>
        <w:spacing w:after="240"/>
        <w:ind w:left="142"/>
        <w:rPr>
          <w:sz w:val="19"/>
          <w:szCs w:val="19"/>
        </w:rPr>
      </w:pPr>
      <w:r w:rsidRPr="006075D3">
        <w:rPr>
          <w:sz w:val="19"/>
          <w:szCs w:val="19"/>
        </w:rPr>
        <w:t>Good regulation should be able to stand on its own, without the need for mandatory considerations for the courts, guidelines for implementation for the regulators and authorisation processes for what must be acknowledged exemptions.  The proposals which require development of these instruments in order to make the regulation workable, would indicate that the proposed changes are not good regulation.</w:t>
      </w:r>
      <w:r w:rsidRPr="00256919">
        <w:rPr>
          <w:sz w:val="19"/>
          <w:szCs w:val="19"/>
        </w:rPr>
        <w:t xml:space="preserve"> </w:t>
      </w:r>
    </w:p>
    <w:p w:rsidR="009C07A4" w:rsidRPr="00AE4E2A" w:rsidRDefault="009C07A4" w:rsidP="006075D3">
      <w:pPr>
        <w:autoSpaceDE w:val="0"/>
        <w:autoSpaceDN w:val="0"/>
        <w:adjustRightInd w:val="0"/>
        <w:spacing w:before="0" w:after="0"/>
        <w:ind w:left="142"/>
        <w:rPr>
          <w:rFonts w:cs="Verdana"/>
          <w:sz w:val="19"/>
          <w:szCs w:val="19"/>
        </w:rPr>
      </w:pPr>
      <w:r w:rsidRPr="00256919">
        <w:rPr>
          <w:rFonts w:cs="Verdana"/>
          <w:sz w:val="19"/>
          <w:szCs w:val="19"/>
        </w:rPr>
        <w:t xml:space="preserve">AGL is happy to provide further information on any issue raised in its submission.  Please contact Kate Stoeckel on </w:t>
      </w:r>
      <w:hyperlink r:id="rId8" w:history="1">
        <w:r w:rsidRPr="00256919">
          <w:rPr>
            <w:rStyle w:val="Hyperlink"/>
            <w:rFonts w:cs="Verdana"/>
            <w:sz w:val="19"/>
            <w:szCs w:val="19"/>
          </w:rPr>
          <w:t>kstoeckel@agl.com.au</w:t>
        </w:r>
      </w:hyperlink>
      <w:r w:rsidRPr="00256919">
        <w:rPr>
          <w:rFonts w:cs="Verdana"/>
          <w:sz w:val="19"/>
          <w:szCs w:val="19"/>
        </w:rPr>
        <w:t xml:space="preserve"> or on (03) 8633 7816 or </w:t>
      </w:r>
      <w:r w:rsidRPr="00256919">
        <w:rPr>
          <w:sz w:val="19"/>
          <w:szCs w:val="19"/>
        </w:rPr>
        <w:t>Angela</w:t>
      </w:r>
      <w:r w:rsidRPr="00256919">
        <w:rPr>
          <w:rFonts w:cs="Verdana"/>
          <w:sz w:val="19"/>
          <w:szCs w:val="19"/>
        </w:rPr>
        <w:t xml:space="preserve"> Gregory on </w:t>
      </w:r>
      <w:hyperlink r:id="rId9" w:history="1">
        <w:r w:rsidRPr="00256919">
          <w:rPr>
            <w:rStyle w:val="Hyperlink"/>
            <w:rFonts w:cs="Verdana"/>
            <w:sz w:val="19"/>
            <w:szCs w:val="19"/>
          </w:rPr>
          <w:t>angela.gregory@agl.com.au</w:t>
        </w:r>
      </w:hyperlink>
      <w:r w:rsidRPr="00256919">
        <w:rPr>
          <w:rFonts w:cs="Verdana"/>
          <w:sz w:val="19"/>
          <w:szCs w:val="19"/>
        </w:rPr>
        <w:t xml:space="preserve"> or on (03) 8633 6817 </w:t>
      </w:r>
      <w:r w:rsidRPr="00256919">
        <w:rPr>
          <w:sz w:val="19"/>
          <w:szCs w:val="19"/>
        </w:rPr>
        <w:t>if you have any questions in relation to AGL’s position on these issues</w:t>
      </w:r>
      <w:r w:rsidRPr="00256919">
        <w:rPr>
          <w:rFonts w:cs="Verdana"/>
          <w:sz w:val="19"/>
          <w:szCs w:val="19"/>
        </w:rPr>
        <w:t>.</w:t>
      </w:r>
    </w:p>
    <w:p w:rsidR="009C07A4" w:rsidRPr="00AE4E2A" w:rsidRDefault="009C07A4" w:rsidP="006075D3">
      <w:pPr>
        <w:autoSpaceDE w:val="0"/>
        <w:autoSpaceDN w:val="0"/>
        <w:adjustRightInd w:val="0"/>
        <w:spacing w:before="0" w:after="0"/>
        <w:ind w:left="142"/>
        <w:rPr>
          <w:sz w:val="19"/>
          <w:szCs w:val="19"/>
        </w:rPr>
      </w:pPr>
    </w:p>
    <w:p w:rsidR="009C07A4" w:rsidRPr="00AE4E2A" w:rsidRDefault="009C07A4" w:rsidP="006075D3">
      <w:pPr>
        <w:ind w:left="142"/>
        <w:rPr>
          <w:sz w:val="19"/>
          <w:szCs w:val="19"/>
        </w:rPr>
      </w:pPr>
      <w:r w:rsidRPr="00AE4E2A">
        <w:rPr>
          <w:sz w:val="19"/>
          <w:szCs w:val="19"/>
        </w:rPr>
        <w:t>Yours sincerely,</w:t>
      </w:r>
    </w:p>
    <w:p w:rsidR="009C07A4" w:rsidRDefault="009C07A4" w:rsidP="006075D3">
      <w:pPr>
        <w:ind w:left="142"/>
      </w:pPr>
    </w:p>
    <w:p w:rsidR="009C07A4" w:rsidRDefault="009C07A4" w:rsidP="006075D3">
      <w:pPr>
        <w:tabs>
          <w:tab w:val="left" w:pos="2340"/>
        </w:tabs>
        <w:ind w:left="142"/>
        <w:rPr>
          <w:noProof/>
        </w:rPr>
      </w:pPr>
      <w:r>
        <w:rPr>
          <w:noProof/>
        </w:rPr>
        <w:drawing>
          <wp:inline distT="0" distB="0" distL="0" distR="0" wp14:anchorId="06B92492" wp14:editId="07BCA718">
            <wp:extent cx="1798320" cy="5524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09479" cy="555850"/>
                    </a:xfrm>
                    <a:prstGeom prst="rect">
                      <a:avLst/>
                    </a:prstGeom>
                    <a:noFill/>
                    <a:ln w="9525">
                      <a:noFill/>
                      <a:miter lim="800000"/>
                      <a:headEnd/>
                      <a:tailEnd/>
                    </a:ln>
                  </pic:spPr>
                </pic:pic>
              </a:graphicData>
            </a:graphic>
          </wp:inline>
        </w:drawing>
      </w:r>
    </w:p>
    <w:p w:rsidR="009C07A4" w:rsidRPr="00566144" w:rsidRDefault="009C07A4" w:rsidP="006075D3">
      <w:pPr>
        <w:tabs>
          <w:tab w:val="left" w:pos="2340"/>
        </w:tabs>
        <w:ind w:left="142"/>
        <w:rPr>
          <w:noProof/>
          <w:sz w:val="20"/>
        </w:rPr>
      </w:pPr>
    </w:p>
    <w:p w:rsidR="009C07A4" w:rsidRPr="00AE4E2A" w:rsidRDefault="009C07A4" w:rsidP="006075D3">
      <w:pPr>
        <w:spacing w:before="0" w:after="0"/>
        <w:ind w:left="142"/>
        <w:rPr>
          <w:sz w:val="19"/>
          <w:szCs w:val="19"/>
        </w:rPr>
      </w:pPr>
      <w:r w:rsidRPr="00AE4E2A">
        <w:rPr>
          <w:sz w:val="19"/>
          <w:szCs w:val="19"/>
        </w:rPr>
        <w:t>Beth Griggs</w:t>
      </w:r>
    </w:p>
    <w:p w:rsidR="009C07A4" w:rsidRPr="00AE4E2A" w:rsidRDefault="009C07A4" w:rsidP="006075D3">
      <w:pPr>
        <w:spacing w:before="0" w:after="0"/>
        <w:ind w:left="142"/>
        <w:rPr>
          <w:sz w:val="19"/>
          <w:szCs w:val="19"/>
        </w:rPr>
      </w:pPr>
      <w:r w:rsidRPr="00AE4E2A">
        <w:rPr>
          <w:sz w:val="19"/>
          <w:szCs w:val="19"/>
        </w:rPr>
        <w:t>Head of Energy Market Regulation</w:t>
      </w:r>
    </w:p>
    <w:p w:rsidR="009C07A4" w:rsidRPr="00AE4E2A" w:rsidRDefault="009C07A4" w:rsidP="006075D3">
      <w:pPr>
        <w:ind w:left="142"/>
        <w:rPr>
          <w:sz w:val="19"/>
          <w:szCs w:val="19"/>
        </w:rPr>
      </w:pPr>
    </w:p>
    <w:p w:rsidR="009C07A4" w:rsidRPr="00AE4E2A" w:rsidRDefault="009C07A4" w:rsidP="006075D3">
      <w:pPr>
        <w:ind w:left="142"/>
        <w:rPr>
          <w:sz w:val="19"/>
          <w:szCs w:val="19"/>
        </w:rPr>
      </w:pPr>
      <w:r w:rsidRPr="00AE4E2A">
        <w:rPr>
          <w:sz w:val="19"/>
          <w:szCs w:val="19"/>
        </w:rPr>
        <w:t>Enclosures: Attachment 1</w:t>
      </w:r>
    </w:p>
    <w:p w:rsidR="009C07A4" w:rsidRPr="00AE4E2A" w:rsidRDefault="009C07A4" w:rsidP="006075D3">
      <w:pPr>
        <w:ind w:left="142"/>
        <w:rPr>
          <w:sz w:val="19"/>
          <w:szCs w:val="19"/>
        </w:rPr>
      </w:pPr>
    </w:p>
    <w:p w:rsidR="009C07A4" w:rsidRPr="00AE4E2A" w:rsidRDefault="009C07A4" w:rsidP="006075D3">
      <w:pPr>
        <w:spacing w:before="0" w:after="0"/>
        <w:ind w:left="142"/>
        <w:rPr>
          <w:sz w:val="19"/>
          <w:szCs w:val="19"/>
        </w:rPr>
      </w:pPr>
      <w:r w:rsidRPr="00AE4E2A">
        <w:rPr>
          <w:sz w:val="19"/>
          <w:szCs w:val="19"/>
        </w:rPr>
        <w:br w:type="page"/>
      </w:r>
    </w:p>
    <w:p w:rsidR="000D50BC" w:rsidRDefault="000D50BC" w:rsidP="006075D3">
      <w:pPr>
        <w:spacing w:before="360" w:line="276" w:lineRule="auto"/>
        <w:ind w:left="142"/>
        <w:rPr>
          <w:b/>
          <w:sz w:val="22"/>
          <w:szCs w:val="22"/>
        </w:rPr>
      </w:pPr>
    </w:p>
    <w:p w:rsidR="009C07A4" w:rsidRPr="000D50BC" w:rsidRDefault="009C07A4" w:rsidP="000D50BC">
      <w:pPr>
        <w:spacing w:before="360" w:line="276" w:lineRule="auto"/>
        <w:ind w:left="142"/>
        <w:rPr>
          <w:b/>
          <w:sz w:val="24"/>
          <w:szCs w:val="24"/>
        </w:rPr>
      </w:pPr>
      <w:r w:rsidRPr="000D50BC">
        <w:rPr>
          <w:b/>
          <w:sz w:val="24"/>
          <w:szCs w:val="24"/>
        </w:rPr>
        <w:t>Attachment 1</w:t>
      </w:r>
    </w:p>
    <w:p w:rsidR="006075D3" w:rsidRDefault="006075D3" w:rsidP="000D50BC">
      <w:pPr>
        <w:spacing w:after="240"/>
        <w:ind w:left="142" w:right="119"/>
        <w:rPr>
          <w:sz w:val="19"/>
          <w:szCs w:val="19"/>
        </w:rPr>
      </w:pPr>
      <w:r>
        <w:rPr>
          <w:sz w:val="19"/>
          <w:szCs w:val="19"/>
        </w:rPr>
        <w:t>AGL strongly supports Option A in the Discussion Paper – that is, making no amendment to the current provision.</w:t>
      </w:r>
    </w:p>
    <w:p w:rsidR="000D50BC" w:rsidRPr="000D50BC" w:rsidRDefault="000D50BC" w:rsidP="000D50BC">
      <w:pPr>
        <w:spacing w:after="240"/>
        <w:ind w:left="142" w:right="119"/>
        <w:rPr>
          <w:b/>
          <w:sz w:val="22"/>
          <w:szCs w:val="22"/>
        </w:rPr>
      </w:pPr>
      <w:r w:rsidRPr="000D50BC">
        <w:rPr>
          <w:b/>
          <w:sz w:val="22"/>
          <w:szCs w:val="22"/>
        </w:rPr>
        <w:t>“Taking advantage”</w:t>
      </w:r>
    </w:p>
    <w:p w:rsidR="000D50BC" w:rsidRDefault="000D50BC" w:rsidP="000D50BC">
      <w:pPr>
        <w:spacing w:after="240"/>
        <w:ind w:left="142" w:right="119"/>
        <w:rPr>
          <w:sz w:val="19"/>
          <w:szCs w:val="19"/>
        </w:rPr>
      </w:pPr>
      <w:r>
        <w:rPr>
          <w:sz w:val="19"/>
          <w:szCs w:val="19"/>
        </w:rPr>
        <w:t xml:space="preserve">The current </w:t>
      </w:r>
      <w:r w:rsidRPr="00FC2168">
        <w:rPr>
          <w:sz w:val="19"/>
          <w:szCs w:val="19"/>
        </w:rPr>
        <w:t>test only prohibits conduct which involves a "taking advantage" of market power – it does not prohibit conduct simply based on the co-existence of conduct that may substantially lessen competition and market power</w:t>
      </w:r>
      <w:r>
        <w:rPr>
          <w:sz w:val="19"/>
          <w:szCs w:val="19"/>
        </w:rPr>
        <w:t xml:space="preserve">.  </w:t>
      </w:r>
    </w:p>
    <w:p w:rsidR="000D50BC" w:rsidRDefault="000D50BC" w:rsidP="000D50BC">
      <w:pPr>
        <w:spacing w:after="240"/>
        <w:ind w:left="142" w:right="119"/>
        <w:rPr>
          <w:sz w:val="19"/>
          <w:szCs w:val="19"/>
        </w:rPr>
      </w:pPr>
      <w:r>
        <w:rPr>
          <w:sz w:val="19"/>
          <w:szCs w:val="19"/>
        </w:rPr>
        <w:t>As the current</w:t>
      </w:r>
      <w:r w:rsidRPr="00FC2168">
        <w:rPr>
          <w:sz w:val="19"/>
          <w:szCs w:val="19"/>
        </w:rPr>
        <w:t xml:space="preserve"> test requires a company with market power to have an anti-competitive purpose directed at a competitor, if conduct is </w:t>
      </w:r>
      <w:r>
        <w:rPr>
          <w:sz w:val="19"/>
          <w:szCs w:val="19"/>
        </w:rPr>
        <w:t xml:space="preserve">therefore </w:t>
      </w:r>
      <w:r w:rsidRPr="00FC2168">
        <w:rPr>
          <w:sz w:val="19"/>
          <w:szCs w:val="19"/>
        </w:rPr>
        <w:t xml:space="preserve">engaged in for valid commercial reasons, and not for anti-competitive reasons, then a corporation is not at risk of contravening the provision.  </w:t>
      </w:r>
    </w:p>
    <w:p w:rsidR="000D50BC" w:rsidRDefault="000D50BC" w:rsidP="000D50BC">
      <w:pPr>
        <w:spacing w:after="240"/>
        <w:ind w:left="142" w:right="119"/>
        <w:rPr>
          <w:sz w:val="19"/>
          <w:szCs w:val="19"/>
        </w:rPr>
      </w:pPr>
      <w:r>
        <w:rPr>
          <w:sz w:val="19"/>
          <w:szCs w:val="19"/>
        </w:rPr>
        <w:t>For this reason, AGL does not agree with Option B in the Discussion Paper.</w:t>
      </w:r>
    </w:p>
    <w:p w:rsidR="000D50BC" w:rsidRPr="000D50BC" w:rsidRDefault="000D50BC" w:rsidP="000D50BC">
      <w:pPr>
        <w:spacing w:after="240"/>
        <w:ind w:left="142" w:right="119"/>
        <w:rPr>
          <w:b/>
          <w:sz w:val="22"/>
          <w:szCs w:val="22"/>
        </w:rPr>
      </w:pPr>
      <w:r w:rsidRPr="000D50BC">
        <w:rPr>
          <w:b/>
          <w:sz w:val="22"/>
          <w:szCs w:val="22"/>
        </w:rPr>
        <w:t>“Effects” test</w:t>
      </w:r>
    </w:p>
    <w:p w:rsidR="009C07A4" w:rsidRPr="00FC2168" w:rsidRDefault="009C07A4" w:rsidP="000D50BC">
      <w:pPr>
        <w:spacing w:after="240"/>
        <w:ind w:left="142" w:right="119"/>
        <w:rPr>
          <w:sz w:val="19"/>
          <w:szCs w:val="19"/>
        </w:rPr>
      </w:pPr>
      <w:r w:rsidRPr="00FC2168">
        <w:rPr>
          <w:sz w:val="19"/>
          <w:szCs w:val="19"/>
        </w:rPr>
        <w:t xml:space="preserve">The </w:t>
      </w:r>
      <w:r w:rsidR="00256919">
        <w:rPr>
          <w:sz w:val="19"/>
          <w:szCs w:val="19"/>
        </w:rPr>
        <w:t>Discussion Paper’s Options C, D and E propose</w:t>
      </w:r>
      <w:r w:rsidRPr="00FC2168">
        <w:rPr>
          <w:sz w:val="19"/>
          <w:szCs w:val="19"/>
        </w:rPr>
        <w:t xml:space="preserve"> to introduce an “effects” test for the prohibition on misuse of market power</w:t>
      </w:r>
      <w:r w:rsidR="00256919">
        <w:rPr>
          <w:sz w:val="19"/>
          <w:szCs w:val="19"/>
        </w:rPr>
        <w:t>.  AGL considers this approach</w:t>
      </w:r>
      <w:r w:rsidRPr="00FC2168">
        <w:rPr>
          <w:sz w:val="19"/>
          <w:szCs w:val="19"/>
        </w:rPr>
        <w:t xml:space="preserve"> is misguided and AGL strongly opposes </w:t>
      </w:r>
      <w:r w:rsidR="00256919">
        <w:rPr>
          <w:sz w:val="19"/>
          <w:szCs w:val="19"/>
        </w:rPr>
        <w:t>any</w:t>
      </w:r>
      <w:r w:rsidRPr="00FC2168">
        <w:rPr>
          <w:sz w:val="19"/>
          <w:szCs w:val="19"/>
        </w:rPr>
        <w:t xml:space="preserve"> proposed amendment</w:t>
      </w:r>
      <w:r w:rsidR="00256919">
        <w:rPr>
          <w:sz w:val="19"/>
          <w:szCs w:val="19"/>
        </w:rPr>
        <w:t xml:space="preserve"> which includes an “effects” test</w:t>
      </w:r>
      <w:r w:rsidRPr="00FC2168">
        <w:rPr>
          <w:sz w:val="19"/>
          <w:szCs w:val="19"/>
        </w:rPr>
        <w:t xml:space="preserve">. </w:t>
      </w:r>
    </w:p>
    <w:p w:rsidR="009C07A4" w:rsidRPr="00FC2168" w:rsidRDefault="00256919" w:rsidP="000D50BC">
      <w:pPr>
        <w:spacing w:after="240"/>
        <w:ind w:left="142" w:right="119"/>
        <w:rPr>
          <w:sz w:val="19"/>
          <w:szCs w:val="19"/>
        </w:rPr>
      </w:pPr>
      <w:r>
        <w:rPr>
          <w:sz w:val="19"/>
          <w:szCs w:val="19"/>
        </w:rPr>
        <w:t xml:space="preserve">Throughout the discussion relating to changing section 46 </w:t>
      </w:r>
      <w:r w:rsidR="006075D3">
        <w:rPr>
          <w:sz w:val="19"/>
          <w:szCs w:val="19"/>
        </w:rPr>
        <w:t>no</w:t>
      </w:r>
      <w:r w:rsidR="009C07A4" w:rsidRPr="00FC2168">
        <w:rPr>
          <w:sz w:val="19"/>
          <w:szCs w:val="19"/>
        </w:rPr>
        <w:t xml:space="preserve"> concrete legal or economic evidence which demonstrates </w:t>
      </w:r>
      <w:r w:rsidR="006075D3">
        <w:rPr>
          <w:sz w:val="19"/>
          <w:szCs w:val="19"/>
        </w:rPr>
        <w:t>a</w:t>
      </w:r>
      <w:r w:rsidR="009C07A4" w:rsidRPr="00FC2168">
        <w:rPr>
          <w:sz w:val="19"/>
          <w:szCs w:val="19"/>
        </w:rPr>
        <w:t xml:space="preserve"> need for </w:t>
      </w:r>
      <w:r>
        <w:rPr>
          <w:sz w:val="19"/>
          <w:szCs w:val="19"/>
        </w:rPr>
        <w:t>the</w:t>
      </w:r>
      <w:r w:rsidR="009C07A4" w:rsidRPr="00FC2168">
        <w:rPr>
          <w:sz w:val="19"/>
          <w:szCs w:val="19"/>
        </w:rPr>
        <w:t xml:space="preserve"> proposed amendments</w:t>
      </w:r>
      <w:r w:rsidR="006075D3">
        <w:rPr>
          <w:sz w:val="19"/>
          <w:szCs w:val="19"/>
        </w:rPr>
        <w:t xml:space="preserve"> has been identified</w:t>
      </w:r>
      <w:r w:rsidR="009C07A4" w:rsidRPr="00FC2168">
        <w:rPr>
          <w:sz w:val="19"/>
          <w:szCs w:val="19"/>
        </w:rPr>
        <w:t xml:space="preserve">.  Despite </w:t>
      </w:r>
      <w:r w:rsidR="006075D3">
        <w:rPr>
          <w:sz w:val="19"/>
          <w:szCs w:val="19"/>
        </w:rPr>
        <w:t xml:space="preserve">the overwhelming majority of </w:t>
      </w:r>
      <w:r w:rsidR="009C07A4" w:rsidRPr="00FC2168">
        <w:rPr>
          <w:sz w:val="19"/>
          <w:szCs w:val="19"/>
        </w:rPr>
        <w:t xml:space="preserve">previous reviews of this issue rejecting an </w:t>
      </w:r>
      <w:r w:rsidR="006075D3">
        <w:rPr>
          <w:sz w:val="19"/>
          <w:szCs w:val="19"/>
        </w:rPr>
        <w:t>“</w:t>
      </w:r>
      <w:r w:rsidR="009C07A4" w:rsidRPr="00FC2168">
        <w:rPr>
          <w:sz w:val="19"/>
          <w:szCs w:val="19"/>
        </w:rPr>
        <w:t>effects</w:t>
      </w:r>
      <w:r w:rsidR="006075D3">
        <w:rPr>
          <w:sz w:val="19"/>
          <w:szCs w:val="19"/>
        </w:rPr>
        <w:t>”</w:t>
      </w:r>
      <w:r w:rsidR="009C07A4" w:rsidRPr="00FC2168">
        <w:rPr>
          <w:sz w:val="19"/>
          <w:szCs w:val="19"/>
        </w:rPr>
        <w:t xml:space="preserve"> test,</w:t>
      </w:r>
      <w:r w:rsidR="009C07A4" w:rsidRPr="00FC2168">
        <w:rPr>
          <w:i/>
          <w:sz w:val="19"/>
          <w:szCs w:val="19"/>
        </w:rPr>
        <w:t xml:space="preserve"> </w:t>
      </w:r>
      <w:r>
        <w:rPr>
          <w:sz w:val="19"/>
          <w:szCs w:val="19"/>
        </w:rPr>
        <w:t>proponents for change have</w:t>
      </w:r>
      <w:r w:rsidR="009C07A4" w:rsidRPr="00FC2168">
        <w:rPr>
          <w:sz w:val="19"/>
          <w:szCs w:val="19"/>
        </w:rPr>
        <w:t xml:space="preserve"> adopted largely theoretical legal arguments in order to make an unjustified and radical case for change</w:t>
      </w:r>
      <w:r w:rsidR="009C07A4" w:rsidRPr="00FC2168">
        <w:rPr>
          <w:i/>
          <w:sz w:val="19"/>
          <w:szCs w:val="19"/>
        </w:rPr>
        <w:t xml:space="preserve">. </w:t>
      </w:r>
      <w:r w:rsidR="009C07A4" w:rsidRPr="00FC2168">
        <w:rPr>
          <w:sz w:val="19"/>
          <w:szCs w:val="19"/>
        </w:rPr>
        <w:t xml:space="preserve">This is not best-practice policy analysis. </w:t>
      </w:r>
    </w:p>
    <w:p w:rsidR="009C07A4" w:rsidRPr="00FC2168" w:rsidRDefault="009C07A4" w:rsidP="000D50BC">
      <w:pPr>
        <w:spacing w:after="240"/>
        <w:ind w:left="142" w:right="119"/>
        <w:rPr>
          <w:sz w:val="19"/>
          <w:szCs w:val="19"/>
        </w:rPr>
      </w:pPr>
      <w:r w:rsidRPr="00FC2168">
        <w:rPr>
          <w:sz w:val="19"/>
          <w:szCs w:val="19"/>
        </w:rPr>
        <w:t xml:space="preserve">The significance of </w:t>
      </w:r>
      <w:r w:rsidR="00256919">
        <w:rPr>
          <w:sz w:val="19"/>
          <w:szCs w:val="19"/>
        </w:rPr>
        <w:t xml:space="preserve">the introduction of an </w:t>
      </w:r>
      <w:r w:rsidR="006075D3">
        <w:rPr>
          <w:sz w:val="19"/>
          <w:szCs w:val="19"/>
        </w:rPr>
        <w:t>“</w:t>
      </w:r>
      <w:r w:rsidR="00256919">
        <w:rPr>
          <w:sz w:val="19"/>
          <w:szCs w:val="19"/>
        </w:rPr>
        <w:t>effects</w:t>
      </w:r>
      <w:r w:rsidR="006075D3">
        <w:rPr>
          <w:sz w:val="19"/>
          <w:szCs w:val="19"/>
        </w:rPr>
        <w:t>”</w:t>
      </w:r>
      <w:r w:rsidR="00256919">
        <w:rPr>
          <w:sz w:val="19"/>
          <w:szCs w:val="19"/>
        </w:rPr>
        <w:t xml:space="preserve"> test</w:t>
      </w:r>
      <w:r w:rsidRPr="00FC2168">
        <w:rPr>
          <w:sz w:val="19"/>
          <w:szCs w:val="19"/>
        </w:rPr>
        <w:t xml:space="preserve"> and its detrimental impact on business cannot be understated.  The proposed reformulation of the test substantially broadens the scope for potential allegations of misuse of market power against large companies, based on the alleged effect on competition of the company’s conduct – </w:t>
      </w:r>
      <w:r w:rsidR="006075D3">
        <w:rPr>
          <w:sz w:val="19"/>
          <w:szCs w:val="19"/>
        </w:rPr>
        <w:t>even where</w:t>
      </w:r>
      <w:r w:rsidRPr="00FC2168">
        <w:rPr>
          <w:sz w:val="19"/>
          <w:szCs w:val="19"/>
        </w:rPr>
        <w:t xml:space="preserve"> the conduct does not have any anti-competitive purpose.  </w:t>
      </w:r>
    </w:p>
    <w:p w:rsidR="006075D3" w:rsidRDefault="009C07A4" w:rsidP="000D50BC">
      <w:pPr>
        <w:ind w:left="142" w:right="119"/>
        <w:rPr>
          <w:sz w:val="19"/>
          <w:szCs w:val="19"/>
        </w:rPr>
      </w:pPr>
      <w:r w:rsidRPr="00FC2168">
        <w:rPr>
          <w:sz w:val="19"/>
          <w:szCs w:val="19"/>
        </w:rPr>
        <w:t xml:space="preserve">The proposed </w:t>
      </w:r>
      <w:r w:rsidR="006075D3">
        <w:rPr>
          <w:sz w:val="19"/>
          <w:szCs w:val="19"/>
        </w:rPr>
        <w:t>“</w:t>
      </w:r>
      <w:r w:rsidR="00256919">
        <w:rPr>
          <w:sz w:val="19"/>
          <w:szCs w:val="19"/>
        </w:rPr>
        <w:t>effects</w:t>
      </w:r>
      <w:r w:rsidR="006075D3">
        <w:rPr>
          <w:sz w:val="19"/>
          <w:szCs w:val="19"/>
        </w:rPr>
        <w:t>”</w:t>
      </w:r>
      <w:r w:rsidR="00256919">
        <w:rPr>
          <w:sz w:val="19"/>
          <w:szCs w:val="19"/>
        </w:rPr>
        <w:t xml:space="preserve"> test</w:t>
      </w:r>
      <w:r w:rsidRPr="00FC2168">
        <w:rPr>
          <w:sz w:val="19"/>
          <w:szCs w:val="19"/>
        </w:rPr>
        <w:t xml:space="preserve"> effectively reverses the onus of proof – any conduct with the ultimate </w:t>
      </w:r>
      <w:r w:rsidRPr="006075D3">
        <w:rPr>
          <w:sz w:val="19"/>
          <w:szCs w:val="19"/>
        </w:rPr>
        <w:t>effect</w:t>
      </w:r>
      <w:r w:rsidRPr="00FC2168">
        <w:rPr>
          <w:sz w:val="19"/>
          <w:szCs w:val="19"/>
        </w:rPr>
        <w:t xml:space="preserve"> of substantially lessening competition would be prohibited unless both limbs of the proposed defence were established.  </w:t>
      </w:r>
      <w:r w:rsidR="006075D3">
        <w:rPr>
          <w:sz w:val="19"/>
          <w:szCs w:val="19"/>
        </w:rPr>
        <w:t>R</w:t>
      </w:r>
      <w:r w:rsidRPr="00FC2168">
        <w:rPr>
          <w:sz w:val="19"/>
          <w:szCs w:val="19"/>
        </w:rPr>
        <w:t xml:space="preserve">ather than precisely identifying the harmful conduct that the </w:t>
      </w:r>
      <w:r w:rsidR="006075D3">
        <w:rPr>
          <w:sz w:val="19"/>
          <w:szCs w:val="19"/>
        </w:rPr>
        <w:t>regulation</w:t>
      </w:r>
      <w:r w:rsidRPr="00FC2168">
        <w:rPr>
          <w:sz w:val="19"/>
          <w:szCs w:val="19"/>
        </w:rPr>
        <w:t xml:space="preserve"> seeks to prohibit, the proposed change prohibits </w:t>
      </w:r>
      <w:r w:rsidRPr="00FC2168">
        <w:rPr>
          <w:i/>
          <w:sz w:val="19"/>
          <w:szCs w:val="19"/>
        </w:rPr>
        <w:t xml:space="preserve">any </w:t>
      </w:r>
      <w:r w:rsidRPr="00FC2168">
        <w:rPr>
          <w:sz w:val="19"/>
          <w:szCs w:val="19"/>
        </w:rPr>
        <w:t xml:space="preserve">conduct by companies that ultimately has the effect of substantially lessening competition, but </w:t>
      </w:r>
      <w:r w:rsidR="006075D3">
        <w:rPr>
          <w:sz w:val="19"/>
          <w:szCs w:val="19"/>
        </w:rPr>
        <w:t>requires</w:t>
      </w:r>
      <w:r w:rsidRPr="00FC2168">
        <w:rPr>
          <w:sz w:val="19"/>
          <w:szCs w:val="19"/>
        </w:rPr>
        <w:t xml:space="preserve"> companies accused of having breached this prohibition to</w:t>
      </w:r>
      <w:r w:rsidR="006075D3" w:rsidRPr="006075D3">
        <w:rPr>
          <w:sz w:val="19"/>
          <w:szCs w:val="19"/>
        </w:rPr>
        <w:t xml:space="preserve"> demonstrate</w:t>
      </w:r>
      <w:r w:rsidR="006075D3">
        <w:rPr>
          <w:sz w:val="19"/>
          <w:szCs w:val="19"/>
        </w:rPr>
        <w:t>:</w:t>
      </w:r>
    </w:p>
    <w:p w:rsidR="000D50BC" w:rsidRPr="000D50BC" w:rsidRDefault="009C07A4" w:rsidP="000D50BC">
      <w:pPr>
        <w:pStyle w:val="ListParagraph"/>
        <w:numPr>
          <w:ilvl w:val="0"/>
          <w:numId w:val="2"/>
        </w:numPr>
        <w:spacing w:before="120" w:after="120"/>
        <w:ind w:left="709" w:right="119"/>
        <w:rPr>
          <w:sz w:val="19"/>
          <w:szCs w:val="19"/>
        </w:rPr>
      </w:pPr>
      <w:r w:rsidRPr="006075D3">
        <w:rPr>
          <w:sz w:val="19"/>
          <w:szCs w:val="19"/>
        </w:rPr>
        <w:t>that their conduct would be a rational business decision or strategy by a corporation that did not have a sub</w:t>
      </w:r>
      <w:r w:rsidR="006075D3">
        <w:rPr>
          <w:sz w:val="19"/>
          <w:szCs w:val="19"/>
        </w:rPr>
        <w:t>stantial degree of market power;</w:t>
      </w:r>
      <w:r w:rsidRPr="006075D3">
        <w:rPr>
          <w:sz w:val="19"/>
          <w:szCs w:val="19"/>
        </w:rPr>
        <w:t xml:space="preserve"> </w:t>
      </w:r>
      <w:r w:rsidRPr="000D50BC">
        <w:rPr>
          <w:sz w:val="19"/>
          <w:szCs w:val="19"/>
        </w:rPr>
        <w:t>and</w:t>
      </w:r>
      <w:r w:rsidRPr="006075D3">
        <w:rPr>
          <w:sz w:val="19"/>
          <w:szCs w:val="19"/>
        </w:rPr>
        <w:t xml:space="preserve"> </w:t>
      </w:r>
    </w:p>
    <w:p w:rsidR="006075D3" w:rsidRDefault="009C07A4" w:rsidP="000D50BC">
      <w:pPr>
        <w:pStyle w:val="ListParagraph"/>
        <w:numPr>
          <w:ilvl w:val="0"/>
          <w:numId w:val="2"/>
        </w:numPr>
        <w:spacing w:before="120" w:after="120"/>
        <w:ind w:left="709" w:right="119"/>
        <w:rPr>
          <w:sz w:val="19"/>
          <w:szCs w:val="19"/>
        </w:rPr>
      </w:pPr>
      <w:r w:rsidRPr="006075D3">
        <w:rPr>
          <w:sz w:val="19"/>
          <w:szCs w:val="19"/>
        </w:rPr>
        <w:t xml:space="preserve">that the likely effect of the conduct was to benefit the long-term interests of consumers.  </w:t>
      </w:r>
    </w:p>
    <w:p w:rsidR="009C07A4" w:rsidRPr="006075D3" w:rsidRDefault="009C07A4" w:rsidP="000D50BC">
      <w:pPr>
        <w:ind w:left="142" w:right="119"/>
        <w:rPr>
          <w:sz w:val="19"/>
          <w:szCs w:val="19"/>
        </w:rPr>
      </w:pPr>
      <w:r w:rsidRPr="006075D3">
        <w:rPr>
          <w:sz w:val="19"/>
          <w:szCs w:val="19"/>
        </w:rPr>
        <w:t>Any company is likely to find it extremely difficult to establish to the required level of proof one, let alone both, of these proposed limbs.</w:t>
      </w:r>
    </w:p>
    <w:p w:rsidR="009C07A4" w:rsidRDefault="009C07A4" w:rsidP="000D50BC">
      <w:pPr>
        <w:ind w:left="142" w:right="119"/>
        <w:rPr>
          <w:sz w:val="19"/>
          <w:szCs w:val="19"/>
        </w:rPr>
      </w:pPr>
      <w:r w:rsidRPr="00FC2168">
        <w:rPr>
          <w:sz w:val="19"/>
          <w:szCs w:val="19"/>
        </w:rPr>
        <w:t xml:space="preserve">The impact of the proposed amendments on large businesses and the broader economy is huge.  On a day-to-day basis, this change would make it much more difficult for AGL to assess its risk of contravening the provision, as having a legitimate commercial purpose will no longer suffice.  Instead, AGL would be required to consider the likely effect of its conduct not only on </w:t>
      </w:r>
      <w:r w:rsidRPr="006075D3">
        <w:rPr>
          <w:sz w:val="19"/>
          <w:szCs w:val="19"/>
        </w:rPr>
        <w:t>competition</w:t>
      </w:r>
      <w:r w:rsidRPr="00FC2168">
        <w:rPr>
          <w:sz w:val="19"/>
          <w:szCs w:val="19"/>
        </w:rPr>
        <w:t xml:space="preserve">, but also on the interests of </w:t>
      </w:r>
      <w:r w:rsidRPr="006075D3">
        <w:rPr>
          <w:sz w:val="19"/>
          <w:szCs w:val="19"/>
        </w:rPr>
        <w:t>consumers</w:t>
      </w:r>
      <w:r w:rsidRPr="00FC2168">
        <w:rPr>
          <w:sz w:val="19"/>
          <w:szCs w:val="19"/>
        </w:rPr>
        <w:t xml:space="preserve">.  In some cases this analysis would be highly artificial, particularly in relation to AGL's upstream or wholesale activities, which are by definition remote from the end "consumers" of gas and electricity.  </w:t>
      </w:r>
    </w:p>
    <w:p w:rsidR="006075D3" w:rsidRDefault="009C07A4" w:rsidP="000D50BC">
      <w:pPr>
        <w:ind w:left="142" w:right="119"/>
        <w:rPr>
          <w:sz w:val="19"/>
          <w:szCs w:val="19"/>
        </w:rPr>
      </w:pPr>
      <w:r w:rsidRPr="00FC2168">
        <w:rPr>
          <w:sz w:val="19"/>
          <w:szCs w:val="19"/>
        </w:rPr>
        <w:t xml:space="preserve">In order to comply with the proposed </w:t>
      </w:r>
      <w:r w:rsidR="006075D3">
        <w:rPr>
          <w:sz w:val="19"/>
          <w:szCs w:val="19"/>
        </w:rPr>
        <w:t>“</w:t>
      </w:r>
      <w:r w:rsidR="00ED5F5B">
        <w:rPr>
          <w:sz w:val="19"/>
          <w:szCs w:val="19"/>
        </w:rPr>
        <w:t>effects</w:t>
      </w:r>
      <w:r w:rsidR="006075D3">
        <w:rPr>
          <w:sz w:val="19"/>
          <w:szCs w:val="19"/>
        </w:rPr>
        <w:t>”</w:t>
      </w:r>
      <w:r w:rsidR="00ED5F5B">
        <w:rPr>
          <w:sz w:val="19"/>
          <w:szCs w:val="19"/>
        </w:rPr>
        <w:t xml:space="preserve"> test </w:t>
      </w:r>
      <w:r w:rsidRPr="00FC2168">
        <w:rPr>
          <w:sz w:val="19"/>
          <w:szCs w:val="19"/>
        </w:rPr>
        <w:t>provision</w:t>
      </w:r>
      <w:r w:rsidR="00ED5F5B">
        <w:rPr>
          <w:sz w:val="19"/>
          <w:szCs w:val="19"/>
        </w:rPr>
        <w:t>s,</w:t>
      </w:r>
      <w:r w:rsidRPr="00FC2168">
        <w:rPr>
          <w:sz w:val="19"/>
          <w:szCs w:val="19"/>
        </w:rPr>
        <w:t xml:space="preserve"> AGL would need to</w:t>
      </w:r>
      <w:r w:rsidR="006075D3">
        <w:rPr>
          <w:sz w:val="19"/>
          <w:szCs w:val="19"/>
        </w:rPr>
        <w:t xml:space="preserve"> either:</w:t>
      </w:r>
    </w:p>
    <w:p w:rsidR="000D50BC" w:rsidRPr="000D50BC" w:rsidRDefault="009C07A4" w:rsidP="000D50BC">
      <w:pPr>
        <w:pStyle w:val="ListParagraph"/>
        <w:numPr>
          <w:ilvl w:val="0"/>
          <w:numId w:val="2"/>
        </w:numPr>
        <w:spacing w:before="120" w:after="120"/>
        <w:ind w:left="709" w:right="119"/>
        <w:rPr>
          <w:sz w:val="19"/>
          <w:szCs w:val="19"/>
        </w:rPr>
      </w:pPr>
      <w:r w:rsidRPr="006075D3">
        <w:rPr>
          <w:sz w:val="19"/>
          <w:szCs w:val="19"/>
        </w:rPr>
        <w:t>undertake detailed and costly analysis of the li</w:t>
      </w:r>
      <w:r w:rsidR="006075D3">
        <w:rPr>
          <w:sz w:val="19"/>
          <w:szCs w:val="19"/>
        </w:rPr>
        <w:t>kely effect of proposed conduct;</w:t>
      </w:r>
      <w:r w:rsidRPr="006075D3">
        <w:rPr>
          <w:sz w:val="19"/>
          <w:szCs w:val="19"/>
        </w:rPr>
        <w:t xml:space="preserve"> or </w:t>
      </w:r>
    </w:p>
    <w:p w:rsidR="006075D3" w:rsidRDefault="009C07A4" w:rsidP="000D50BC">
      <w:pPr>
        <w:pStyle w:val="ListParagraph"/>
        <w:numPr>
          <w:ilvl w:val="0"/>
          <w:numId w:val="2"/>
        </w:numPr>
        <w:spacing w:before="120" w:after="120"/>
        <w:ind w:left="709" w:right="119"/>
        <w:rPr>
          <w:sz w:val="19"/>
          <w:szCs w:val="19"/>
        </w:rPr>
      </w:pPr>
      <w:r w:rsidRPr="006075D3">
        <w:rPr>
          <w:sz w:val="19"/>
          <w:szCs w:val="19"/>
        </w:rPr>
        <w:t>engage only in conduct which clearly</w:t>
      </w:r>
      <w:r w:rsidR="006075D3">
        <w:rPr>
          <w:sz w:val="19"/>
          <w:szCs w:val="19"/>
        </w:rPr>
        <w:t xml:space="preserve"> raises</w:t>
      </w:r>
      <w:r w:rsidRPr="006075D3">
        <w:rPr>
          <w:sz w:val="19"/>
          <w:szCs w:val="19"/>
        </w:rPr>
        <w:t xml:space="preserve"> no prospect of lessening competition.  </w:t>
      </w:r>
    </w:p>
    <w:p w:rsidR="006075D3" w:rsidRDefault="009C07A4" w:rsidP="000D50BC">
      <w:pPr>
        <w:ind w:left="142" w:right="119"/>
        <w:rPr>
          <w:sz w:val="19"/>
          <w:szCs w:val="19"/>
        </w:rPr>
      </w:pPr>
      <w:r w:rsidRPr="006075D3">
        <w:rPr>
          <w:sz w:val="19"/>
          <w:szCs w:val="19"/>
        </w:rPr>
        <w:t>In either case, the impact to AGL’s operations would be profound and widespread, with the likely result being either substantially increased compliance costs, or reduced pro-competitive conduct, including</w:t>
      </w:r>
      <w:r w:rsidR="006075D3">
        <w:rPr>
          <w:sz w:val="19"/>
          <w:szCs w:val="19"/>
        </w:rPr>
        <w:t>:</w:t>
      </w:r>
    </w:p>
    <w:p w:rsidR="000D50BC" w:rsidRPr="000D50BC" w:rsidRDefault="006075D3" w:rsidP="000D50BC">
      <w:pPr>
        <w:pStyle w:val="ListParagraph"/>
        <w:numPr>
          <w:ilvl w:val="0"/>
          <w:numId w:val="2"/>
        </w:numPr>
        <w:spacing w:before="120" w:after="120"/>
        <w:ind w:left="709" w:right="119"/>
        <w:rPr>
          <w:sz w:val="19"/>
          <w:szCs w:val="19"/>
        </w:rPr>
      </w:pPr>
      <w:r>
        <w:rPr>
          <w:sz w:val="19"/>
          <w:szCs w:val="19"/>
        </w:rPr>
        <w:t>reduced investment;</w:t>
      </w:r>
    </w:p>
    <w:p w:rsidR="000D50BC" w:rsidRPr="000D50BC" w:rsidRDefault="009C07A4" w:rsidP="000D50BC">
      <w:pPr>
        <w:pStyle w:val="ListParagraph"/>
        <w:numPr>
          <w:ilvl w:val="0"/>
          <w:numId w:val="2"/>
        </w:numPr>
        <w:spacing w:before="120" w:after="120"/>
        <w:ind w:left="709" w:right="119"/>
        <w:rPr>
          <w:sz w:val="19"/>
          <w:szCs w:val="19"/>
        </w:rPr>
      </w:pPr>
      <w:r w:rsidRPr="006075D3">
        <w:rPr>
          <w:sz w:val="19"/>
          <w:szCs w:val="19"/>
        </w:rPr>
        <w:t>more limited offers for customers (large and smal</w:t>
      </w:r>
      <w:r w:rsidR="006075D3">
        <w:rPr>
          <w:sz w:val="19"/>
          <w:szCs w:val="19"/>
        </w:rPr>
        <w:t>l) with consequent higher costs; and</w:t>
      </w:r>
    </w:p>
    <w:p w:rsidR="006075D3" w:rsidRDefault="009C07A4" w:rsidP="000D50BC">
      <w:pPr>
        <w:pStyle w:val="ListParagraph"/>
        <w:numPr>
          <w:ilvl w:val="0"/>
          <w:numId w:val="2"/>
        </w:numPr>
        <w:spacing w:before="120" w:after="120"/>
        <w:ind w:left="709" w:right="119"/>
        <w:rPr>
          <w:sz w:val="19"/>
          <w:szCs w:val="19"/>
        </w:rPr>
      </w:pPr>
      <w:r w:rsidRPr="006075D3">
        <w:rPr>
          <w:sz w:val="19"/>
          <w:szCs w:val="19"/>
        </w:rPr>
        <w:t xml:space="preserve">significant curtailment of innovation.  </w:t>
      </w:r>
    </w:p>
    <w:p w:rsidR="009C07A4" w:rsidRPr="006075D3" w:rsidRDefault="009C07A4" w:rsidP="000D50BC">
      <w:pPr>
        <w:spacing w:after="240"/>
        <w:ind w:left="142" w:right="119"/>
        <w:rPr>
          <w:sz w:val="19"/>
          <w:szCs w:val="19"/>
        </w:rPr>
      </w:pPr>
      <w:r w:rsidRPr="006075D3">
        <w:rPr>
          <w:sz w:val="19"/>
          <w:szCs w:val="19"/>
        </w:rPr>
        <w:t>These would be industry</w:t>
      </w:r>
      <w:r w:rsidR="000D50BC">
        <w:rPr>
          <w:sz w:val="19"/>
          <w:szCs w:val="19"/>
        </w:rPr>
        <w:t>- and economy-wide consequences,</w:t>
      </w:r>
      <w:r w:rsidRPr="006075D3">
        <w:rPr>
          <w:sz w:val="19"/>
          <w:szCs w:val="19"/>
        </w:rPr>
        <w:t xml:space="preserve"> they would not be unique to AGL.</w:t>
      </w:r>
    </w:p>
    <w:p w:rsidR="009C07A4" w:rsidRDefault="009C07A4" w:rsidP="000D50BC">
      <w:pPr>
        <w:spacing w:after="240"/>
        <w:ind w:left="142" w:right="119"/>
        <w:rPr>
          <w:sz w:val="19"/>
          <w:szCs w:val="19"/>
        </w:rPr>
      </w:pPr>
      <w:r w:rsidRPr="00FC2168">
        <w:rPr>
          <w:sz w:val="19"/>
          <w:szCs w:val="19"/>
        </w:rPr>
        <w:t xml:space="preserve">Under the proposed </w:t>
      </w:r>
      <w:r w:rsidR="006075D3">
        <w:rPr>
          <w:sz w:val="19"/>
          <w:szCs w:val="19"/>
        </w:rPr>
        <w:t>“</w:t>
      </w:r>
      <w:r w:rsidR="00ED5F5B">
        <w:rPr>
          <w:sz w:val="19"/>
          <w:szCs w:val="19"/>
        </w:rPr>
        <w:t>effects</w:t>
      </w:r>
      <w:r w:rsidR="006075D3">
        <w:rPr>
          <w:sz w:val="19"/>
          <w:szCs w:val="19"/>
        </w:rPr>
        <w:t>”</w:t>
      </w:r>
      <w:r w:rsidR="00ED5F5B">
        <w:rPr>
          <w:sz w:val="19"/>
          <w:szCs w:val="19"/>
        </w:rPr>
        <w:t xml:space="preserve"> test </w:t>
      </w:r>
      <w:r w:rsidRPr="00FC2168">
        <w:rPr>
          <w:sz w:val="19"/>
          <w:szCs w:val="19"/>
        </w:rPr>
        <w:t xml:space="preserve">amendments, AGL would also be exposed to a higher risk of investigation and allegation of misuse of market power by the ACCC.  This is because, if the ACCC took the view that AGL might have market power in a particular context, </w:t>
      </w:r>
      <w:r w:rsidRPr="00FC2168">
        <w:rPr>
          <w:i/>
          <w:sz w:val="19"/>
          <w:szCs w:val="19"/>
        </w:rPr>
        <w:t>any</w:t>
      </w:r>
      <w:r w:rsidRPr="00FC2168">
        <w:rPr>
          <w:sz w:val="19"/>
          <w:szCs w:val="19"/>
        </w:rPr>
        <w:t xml:space="preserve"> substantial lessening of competition which might be said to have a connection with AGL's behaviour could be the subject of allegation or investigation.  This is particularly so given that the two limbs of the defence will require complex an</w:t>
      </w:r>
      <w:r w:rsidR="006075D3">
        <w:rPr>
          <w:sz w:val="19"/>
          <w:szCs w:val="19"/>
        </w:rPr>
        <w:t>alysis, and in most</w:t>
      </w:r>
      <w:r w:rsidRPr="00FC2168">
        <w:rPr>
          <w:sz w:val="19"/>
          <w:szCs w:val="19"/>
        </w:rPr>
        <w:t xml:space="preserve"> cases will not be readily observable by the ACCC.  </w:t>
      </w:r>
    </w:p>
    <w:p w:rsidR="000D50BC" w:rsidRDefault="009C07A4" w:rsidP="000D50BC">
      <w:pPr>
        <w:spacing w:after="240"/>
        <w:ind w:left="142" w:right="119"/>
        <w:rPr>
          <w:sz w:val="19"/>
          <w:szCs w:val="19"/>
        </w:rPr>
      </w:pPr>
      <w:r w:rsidRPr="00FC2168">
        <w:rPr>
          <w:sz w:val="19"/>
          <w:szCs w:val="19"/>
        </w:rPr>
        <w:t xml:space="preserve">While the proposed </w:t>
      </w:r>
      <w:r w:rsidR="006075D3">
        <w:rPr>
          <w:sz w:val="19"/>
          <w:szCs w:val="19"/>
        </w:rPr>
        <w:t>“</w:t>
      </w:r>
      <w:r w:rsidRPr="00FC2168">
        <w:rPr>
          <w:sz w:val="19"/>
          <w:szCs w:val="19"/>
        </w:rPr>
        <w:t>effects</w:t>
      </w:r>
      <w:r w:rsidR="006075D3">
        <w:rPr>
          <w:sz w:val="19"/>
          <w:szCs w:val="19"/>
        </w:rPr>
        <w:t>”</w:t>
      </w:r>
      <w:r w:rsidRPr="00FC2168">
        <w:rPr>
          <w:sz w:val="19"/>
          <w:szCs w:val="19"/>
        </w:rPr>
        <w:t xml:space="preserve"> test focuses on the effect on competition rather than on a single competitor, this does not solve AGL's concern, since it is clear from the ACCC’s approach to mergers and other activity in the energy industry that it may well consider that harm to an individual competitor could constitute a substantial lessening of competition.  ACCC investigations based on theoretical concerns that are not substantiated in practice impose unnecessary and significant costs for all parties involved, and can entail unfounded reputational damage for companies along the way.  </w:t>
      </w:r>
    </w:p>
    <w:p w:rsidR="009C07A4" w:rsidRPr="00FC2168" w:rsidRDefault="009C07A4" w:rsidP="000D50BC">
      <w:pPr>
        <w:spacing w:after="240"/>
        <w:ind w:left="142" w:right="119"/>
        <w:rPr>
          <w:sz w:val="19"/>
          <w:szCs w:val="19"/>
        </w:rPr>
      </w:pPr>
      <w:r w:rsidRPr="00FC2168">
        <w:rPr>
          <w:sz w:val="19"/>
          <w:szCs w:val="19"/>
        </w:rPr>
        <w:t>By proposing a prohibition that is unjustifiably broad, and a defence that will be extrem</w:t>
      </w:r>
      <w:r w:rsidR="00C771B6">
        <w:rPr>
          <w:sz w:val="19"/>
          <w:szCs w:val="19"/>
        </w:rPr>
        <w:t xml:space="preserve">ely difficult to establish, a change involving an </w:t>
      </w:r>
      <w:r w:rsidR="006075D3">
        <w:rPr>
          <w:sz w:val="19"/>
          <w:szCs w:val="19"/>
        </w:rPr>
        <w:t>“</w:t>
      </w:r>
      <w:r w:rsidR="00C771B6">
        <w:rPr>
          <w:sz w:val="19"/>
          <w:szCs w:val="19"/>
        </w:rPr>
        <w:t>effects</w:t>
      </w:r>
      <w:r w:rsidR="006075D3">
        <w:rPr>
          <w:sz w:val="19"/>
          <w:szCs w:val="19"/>
        </w:rPr>
        <w:t>”</w:t>
      </w:r>
      <w:r w:rsidR="00C771B6">
        <w:rPr>
          <w:sz w:val="19"/>
          <w:szCs w:val="19"/>
        </w:rPr>
        <w:t xml:space="preserve"> test </w:t>
      </w:r>
      <w:r w:rsidRPr="00FC2168">
        <w:rPr>
          <w:sz w:val="19"/>
          <w:szCs w:val="19"/>
        </w:rPr>
        <w:t>would effectively encourage such investigations.</w:t>
      </w:r>
    </w:p>
    <w:p w:rsidR="009C07A4" w:rsidRDefault="009C07A4" w:rsidP="000D50BC">
      <w:pPr>
        <w:spacing w:after="240"/>
        <w:ind w:left="142" w:right="119"/>
        <w:rPr>
          <w:sz w:val="19"/>
          <w:szCs w:val="19"/>
        </w:rPr>
      </w:pPr>
      <w:r w:rsidRPr="00FC2168">
        <w:rPr>
          <w:sz w:val="19"/>
          <w:szCs w:val="19"/>
        </w:rPr>
        <w:t>The current test provides the day-to-day certainty required for efficient and competitive operations by allowing a business to assess its conduct by considering its purpose in undertaking the conduct, without requiring the business to undertake the complex, contentious and in many cas</w:t>
      </w:r>
      <w:r w:rsidR="00C771B6">
        <w:rPr>
          <w:sz w:val="19"/>
          <w:szCs w:val="19"/>
        </w:rPr>
        <w:t>es artificial analysis that Options B, C, D, or E in the Discussion Paper</w:t>
      </w:r>
      <w:r w:rsidRPr="00FC2168">
        <w:rPr>
          <w:sz w:val="19"/>
          <w:szCs w:val="19"/>
        </w:rPr>
        <w:t xml:space="preserve"> would require.  </w:t>
      </w:r>
    </w:p>
    <w:p w:rsidR="006075D3" w:rsidRPr="00FC2168" w:rsidRDefault="006075D3" w:rsidP="000D50BC">
      <w:pPr>
        <w:ind w:left="142" w:right="119"/>
        <w:rPr>
          <w:sz w:val="19"/>
          <w:szCs w:val="19"/>
        </w:rPr>
      </w:pPr>
      <w:r>
        <w:rPr>
          <w:sz w:val="19"/>
          <w:szCs w:val="19"/>
        </w:rPr>
        <w:t>For the reasons outlined above, AGL rejects Options B, C, D and E in the Discussion Paper and supports Option A.</w:t>
      </w:r>
    </w:p>
    <w:p w:rsidR="00124049" w:rsidRDefault="00124049" w:rsidP="000D50BC">
      <w:pPr>
        <w:ind w:left="142" w:right="119"/>
      </w:pPr>
    </w:p>
    <w:sectPr w:rsidR="00124049" w:rsidSect="006075D3">
      <w:pgSz w:w="11906" w:h="16838"/>
      <w:pgMar w:top="1440" w:right="15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2DC"/>
    <w:multiLevelType w:val="hybridMultilevel"/>
    <w:tmpl w:val="DCEA8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247836"/>
    <w:multiLevelType w:val="hybridMultilevel"/>
    <w:tmpl w:val="27902A6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2">
    <w:nsid w:val="1FEF5C16"/>
    <w:multiLevelType w:val="hybridMultilevel"/>
    <w:tmpl w:val="E580F6C0"/>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
    <w:nsid w:val="3FA9670D"/>
    <w:multiLevelType w:val="hybridMultilevel"/>
    <w:tmpl w:val="3244C4BA"/>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removePersonalInformation/>
  <w:removeDateAndTim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7A4"/>
    <w:rsid w:val="000806EB"/>
    <w:rsid w:val="000D50BC"/>
    <w:rsid w:val="00124049"/>
    <w:rsid w:val="00220AF7"/>
    <w:rsid w:val="00256919"/>
    <w:rsid w:val="005E6463"/>
    <w:rsid w:val="005F4928"/>
    <w:rsid w:val="006075D3"/>
    <w:rsid w:val="006C2161"/>
    <w:rsid w:val="0070462F"/>
    <w:rsid w:val="009C07A4"/>
    <w:rsid w:val="00A16B01"/>
    <w:rsid w:val="00AF3FC9"/>
    <w:rsid w:val="00C5512A"/>
    <w:rsid w:val="00C771B6"/>
    <w:rsid w:val="00ED5F5B"/>
    <w:rsid w:val="00FD3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7A4"/>
    <w:pPr>
      <w:spacing w:before="120" w:after="120" w:line="240" w:lineRule="auto"/>
    </w:pPr>
    <w:rPr>
      <w:rFonts w:ascii="Verdana" w:eastAsia="Times New Roman" w:hAnsi="Verdana" w:cs="Times New Roman"/>
      <w:sz w:val="18"/>
      <w:szCs w:val="20"/>
      <w:lang w:eastAsia="en-AU"/>
    </w:rPr>
  </w:style>
  <w:style w:type="paragraph" w:styleId="Heading5">
    <w:name w:val="heading 5"/>
    <w:basedOn w:val="Normal"/>
    <w:next w:val="Normal"/>
    <w:link w:val="Heading5Char"/>
    <w:qFormat/>
    <w:rsid w:val="009C07A4"/>
    <w:pPr>
      <w:spacing w:before="240" w:after="60"/>
      <w:ind w:left="567"/>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C07A4"/>
    <w:pPr>
      <w:tabs>
        <w:tab w:val="center" w:pos="4153"/>
        <w:tab w:val="right" w:pos="8306"/>
      </w:tabs>
      <w:spacing w:before="20" w:after="20" w:line="240" w:lineRule="auto"/>
    </w:pPr>
    <w:rPr>
      <w:rFonts w:ascii="Verdana" w:eastAsia="Times New Roman" w:hAnsi="Verdana" w:cs="Times New Roman"/>
      <w:sz w:val="12"/>
      <w:szCs w:val="20"/>
      <w:lang w:eastAsia="en-AU"/>
    </w:rPr>
  </w:style>
  <w:style w:type="character" w:customStyle="1" w:styleId="HeaderChar">
    <w:name w:val="Header Char"/>
    <w:basedOn w:val="DefaultParagraphFont"/>
    <w:link w:val="Header"/>
    <w:rsid w:val="009C07A4"/>
    <w:rPr>
      <w:rFonts w:ascii="Verdana" w:eastAsia="Times New Roman" w:hAnsi="Verdana" w:cs="Times New Roman"/>
      <w:sz w:val="12"/>
      <w:szCs w:val="20"/>
      <w:lang w:eastAsia="en-AU"/>
    </w:rPr>
  </w:style>
  <w:style w:type="character" w:customStyle="1" w:styleId="Heading5Char">
    <w:name w:val="Heading 5 Char"/>
    <w:basedOn w:val="DefaultParagraphFont"/>
    <w:link w:val="Heading5"/>
    <w:rsid w:val="009C07A4"/>
    <w:rPr>
      <w:rFonts w:ascii="Verdana" w:eastAsia="Times New Roman" w:hAnsi="Verdana" w:cs="Times New Roman"/>
      <w:b/>
      <w:i/>
      <w:sz w:val="18"/>
      <w:szCs w:val="20"/>
      <w:lang w:eastAsia="en-AU"/>
    </w:rPr>
  </w:style>
  <w:style w:type="paragraph" w:styleId="ListParagraph">
    <w:name w:val="List Paragraph"/>
    <w:basedOn w:val="Normal"/>
    <w:uiPriority w:val="34"/>
    <w:qFormat/>
    <w:rsid w:val="009C07A4"/>
    <w:pPr>
      <w:spacing w:before="0" w:after="0"/>
      <w:ind w:left="720"/>
      <w:contextualSpacing/>
    </w:pPr>
    <w:rPr>
      <w:szCs w:val="24"/>
    </w:rPr>
  </w:style>
  <w:style w:type="character" w:styleId="Hyperlink">
    <w:name w:val="Hyperlink"/>
    <w:basedOn w:val="DefaultParagraphFont"/>
    <w:rsid w:val="009C07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7A4"/>
    <w:pPr>
      <w:spacing w:before="120" w:after="120" w:line="240" w:lineRule="auto"/>
    </w:pPr>
    <w:rPr>
      <w:rFonts w:ascii="Verdana" w:eastAsia="Times New Roman" w:hAnsi="Verdana" w:cs="Times New Roman"/>
      <w:sz w:val="18"/>
      <w:szCs w:val="20"/>
      <w:lang w:eastAsia="en-AU"/>
    </w:rPr>
  </w:style>
  <w:style w:type="paragraph" w:styleId="Heading5">
    <w:name w:val="heading 5"/>
    <w:basedOn w:val="Normal"/>
    <w:next w:val="Normal"/>
    <w:link w:val="Heading5Char"/>
    <w:qFormat/>
    <w:rsid w:val="009C07A4"/>
    <w:pPr>
      <w:spacing w:before="240" w:after="60"/>
      <w:ind w:left="567"/>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9C07A4"/>
    <w:pPr>
      <w:tabs>
        <w:tab w:val="center" w:pos="4153"/>
        <w:tab w:val="right" w:pos="8306"/>
      </w:tabs>
      <w:spacing w:before="20" w:after="20" w:line="240" w:lineRule="auto"/>
    </w:pPr>
    <w:rPr>
      <w:rFonts w:ascii="Verdana" w:eastAsia="Times New Roman" w:hAnsi="Verdana" w:cs="Times New Roman"/>
      <w:sz w:val="12"/>
      <w:szCs w:val="20"/>
      <w:lang w:eastAsia="en-AU"/>
    </w:rPr>
  </w:style>
  <w:style w:type="character" w:customStyle="1" w:styleId="HeaderChar">
    <w:name w:val="Header Char"/>
    <w:basedOn w:val="DefaultParagraphFont"/>
    <w:link w:val="Header"/>
    <w:rsid w:val="009C07A4"/>
    <w:rPr>
      <w:rFonts w:ascii="Verdana" w:eastAsia="Times New Roman" w:hAnsi="Verdana" w:cs="Times New Roman"/>
      <w:sz w:val="12"/>
      <w:szCs w:val="20"/>
      <w:lang w:eastAsia="en-AU"/>
    </w:rPr>
  </w:style>
  <w:style w:type="character" w:customStyle="1" w:styleId="Heading5Char">
    <w:name w:val="Heading 5 Char"/>
    <w:basedOn w:val="DefaultParagraphFont"/>
    <w:link w:val="Heading5"/>
    <w:rsid w:val="009C07A4"/>
    <w:rPr>
      <w:rFonts w:ascii="Verdana" w:eastAsia="Times New Roman" w:hAnsi="Verdana" w:cs="Times New Roman"/>
      <w:b/>
      <w:i/>
      <w:sz w:val="18"/>
      <w:szCs w:val="20"/>
      <w:lang w:eastAsia="en-AU"/>
    </w:rPr>
  </w:style>
  <w:style w:type="paragraph" w:styleId="ListParagraph">
    <w:name w:val="List Paragraph"/>
    <w:basedOn w:val="Normal"/>
    <w:uiPriority w:val="34"/>
    <w:qFormat/>
    <w:rsid w:val="009C07A4"/>
    <w:pPr>
      <w:spacing w:before="0" w:after="0"/>
      <w:ind w:left="720"/>
      <w:contextualSpacing/>
    </w:pPr>
    <w:rPr>
      <w:szCs w:val="24"/>
    </w:rPr>
  </w:style>
  <w:style w:type="character" w:styleId="Hyperlink">
    <w:name w:val="Hyperlink"/>
    <w:basedOn w:val="DefaultParagraphFont"/>
    <w:rsid w:val="009C0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oeckel@agl.com.a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angela.gregory@ag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D497-B6CF-432C-B1BB-3989DE42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1349</Words>
  <Characters>7501</Characters>
  <Application>Microsoft Office Word</Application>
  <DocSecurity>0</DocSecurity>
  <Lines>178</Lines>
  <Paragraphs>64</Paragraphs>
  <ScaleCrop>false</ScaleCrop>
  <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AGL - Discussion Paper: Options to strengthen the misuse of market power law</dc:title>
  <dc:subject/>
  <dc:creator/>
  <cp:keywords/>
  <dc:description/>
  <cp:lastModifiedBy/>
  <cp:revision>1</cp:revision>
  <dcterms:created xsi:type="dcterms:W3CDTF">2016-02-16T00:28:00Z</dcterms:created>
  <dcterms:modified xsi:type="dcterms:W3CDTF">2016-02-16T00:28:00Z</dcterms:modified>
  <dc:language>English</dc:language>
</cp:coreProperties>
</file>