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1A17D" w14:textId="77777777" w:rsidR="00C239C2" w:rsidRPr="00C239C2" w:rsidRDefault="00C239C2" w:rsidP="00C239C2">
      <w:pPr>
        <w:jc w:val="center"/>
        <w:rPr>
          <w:b/>
          <w:sz w:val="32"/>
          <w:szCs w:val="32"/>
        </w:rPr>
      </w:pPr>
      <w:bookmarkStart w:id="0" w:name="_GoBack"/>
      <w:bookmarkEnd w:id="0"/>
      <w:r w:rsidRPr="00C239C2">
        <w:rPr>
          <w:b/>
          <w:sz w:val="32"/>
          <w:szCs w:val="32"/>
        </w:rPr>
        <w:t>C</w:t>
      </w:r>
      <w:r w:rsidRPr="00C239C2">
        <w:rPr>
          <w:b/>
          <w:sz w:val="28"/>
          <w:szCs w:val="28"/>
        </w:rPr>
        <w:t xml:space="preserve">ATTLE </w:t>
      </w:r>
      <w:r w:rsidRPr="00C239C2">
        <w:rPr>
          <w:b/>
          <w:sz w:val="32"/>
          <w:szCs w:val="32"/>
        </w:rPr>
        <w:t>C</w:t>
      </w:r>
      <w:r w:rsidRPr="00C239C2">
        <w:rPr>
          <w:b/>
          <w:sz w:val="28"/>
          <w:szCs w:val="28"/>
        </w:rPr>
        <w:t>OUNCIL</w:t>
      </w:r>
      <w:r w:rsidRPr="00C239C2">
        <w:rPr>
          <w:b/>
          <w:sz w:val="32"/>
          <w:szCs w:val="32"/>
        </w:rPr>
        <w:t xml:space="preserve"> O</w:t>
      </w:r>
      <w:r w:rsidRPr="00C239C2">
        <w:rPr>
          <w:b/>
          <w:sz w:val="28"/>
          <w:szCs w:val="28"/>
        </w:rPr>
        <w:t>F</w:t>
      </w:r>
      <w:r w:rsidRPr="00C239C2">
        <w:rPr>
          <w:b/>
          <w:sz w:val="32"/>
          <w:szCs w:val="32"/>
        </w:rPr>
        <w:t xml:space="preserve"> A</w:t>
      </w:r>
      <w:r w:rsidRPr="00C239C2">
        <w:rPr>
          <w:b/>
          <w:sz w:val="28"/>
          <w:szCs w:val="28"/>
        </w:rPr>
        <w:t>USTRALIA</w:t>
      </w:r>
    </w:p>
    <w:p w14:paraId="7E3D08F4" w14:textId="77777777" w:rsidR="00D61262" w:rsidRPr="00C239C2" w:rsidRDefault="00C239C2" w:rsidP="00C239C2">
      <w:pPr>
        <w:jc w:val="center"/>
      </w:pPr>
      <w:r w:rsidRPr="00C239C2">
        <w:t>OPTIONS TO STRENGTHEN THE MISUSE OF MARKET POWER LAW</w:t>
      </w:r>
    </w:p>
    <w:p w14:paraId="068D82F6" w14:textId="77777777" w:rsidR="00C239C2" w:rsidRDefault="00C239C2"/>
    <w:p w14:paraId="7DE5D6D4" w14:textId="77777777" w:rsidR="00C239C2" w:rsidRDefault="00C239C2" w:rsidP="00C239C2">
      <w:pPr>
        <w:jc w:val="center"/>
      </w:pPr>
      <w:r>
        <w:t>I. INTODUCTION</w:t>
      </w:r>
    </w:p>
    <w:p w14:paraId="756F7D72" w14:textId="72F050CB" w:rsidR="00C239C2" w:rsidRDefault="00B46E67">
      <w:r>
        <w:t xml:space="preserve">The Cattle Council of Australia </w:t>
      </w:r>
      <w:r w:rsidR="0078369C">
        <w:t xml:space="preserve">(CCA) </w:t>
      </w:r>
      <w:r>
        <w:t xml:space="preserve">is the peak industry council for the </w:t>
      </w:r>
      <w:proofErr w:type="spellStart"/>
      <w:r>
        <w:t>grassfed</w:t>
      </w:r>
      <w:proofErr w:type="spellEnd"/>
      <w:r w:rsidR="00A655AD">
        <w:t xml:space="preserve"> beef industry. The Council’s membership consists of State Farming Organisations and also individual producers that have chosen to become direct members. </w:t>
      </w:r>
      <w:r>
        <w:t>The objective of CCA is to represent and progress the interest of Australia</w:t>
      </w:r>
      <w:r w:rsidR="00C33558">
        <w:t>n</w:t>
      </w:r>
      <w:r>
        <w:t xml:space="preserve"> beef cattle producers. </w:t>
      </w:r>
    </w:p>
    <w:p w14:paraId="512C771F" w14:textId="77777777" w:rsidR="00B46E67" w:rsidRDefault="00B46E67"/>
    <w:p w14:paraId="31E2D214" w14:textId="220E90F7" w:rsidR="00B46E67" w:rsidRDefault="00B46E67">
      <w:r>
        <w:t>The Cattle Council greatly appreciates the opportunity to provide further comment on the options available to the</w:t>
      </w:r>
      <w:r w:rsidR="009C50FA">
        <w:t xml:space="preserve"> Australian Government to amend</w:t>
      </w:r>
      <w:r w:rsidR="00A655AD">
        <w:t xml:space="preserve"> the misuse of market power</w:t>
      </w:r>
      <w:r w:rsidR="005E2B9F">
        <w:t xml:space="preserve"> prohibition</w:t>
      </w:r>
      <w:r w:rsidR="00E665F4">
        <w:t xml:space="preserve"> contained with the current competition law framework</w:t>
      </w:r>
      <w:r w:rsidR="005E2B9F">
        <w:t xml:space="preserve">. </w:t>
      </w:r>
      <w:r w:rsidR="000D79EB">
        <w:t xml:space="preserve"> </w:t>
      </w:r>
      <w:r>
        <w:t xml:space="preserve"> </w:t>
      </w:r>
    </w:p>
    <w:p w14:paraId="65A21FBB" w14:textId="77777777" w:rsidR="00C239C2" w:rsidRDefault="00C239C2"/>
    <w:p w14:paraId="017432E6" w14:textId="41F494ED" w:rsidR="00D625E6" w:rsidRDefault="0078369C">
      <w:r>
        <w:t>Cattle Council supports effective competition law and considers</w:t>
      </w:r>
      <w:r w:rsidR="00A655AD">
        <w:t xml:space="preserve"> that </w:t>
      </w:r>
      <w:r w:rsidR="005E2B9F">
        <w:t xml:space="preserve">the Harper Review’s proposed </w:t>
      </w:r>
      <w:r w:rsidR="00A655AD">
        <w:t xml:space="preserve">amendments to the misuse of market power </w:t>
      </w:r>
      <w:r w:rsidR="009C50FA">
        <w:t xml:space="preserve">as the most desirable. </w:t>
      </w:r>
      <w:r w:rsidR="00A655AD">
        <w:t>CCA is supportive of the</w:t>
      </w:r>
      <w:r w:rsidR="009C50FA">
        <w:t xml:space="preserve"> Review’s</w:t>
      </w:r>
      <w:r w:rsidR="00A655AD">
        <w:t xml:space="preserve"> amendments as they seek to protect the competitive process, which </w:t>
      </w:r>
      <w:r>
        <w:t xml:space="preserve">is </w:t>
      </w:r>
      <w:r w:rsidR="006D4AED">
        <w:t>critical</w:t>
      </w:r>
      <w:r>
        <w:t xml:space="preserve"> to delivering effic</w:t>
      </w:r>
      <w:r w:rsidR="006D4AED">
        <w:t xml:space="preserve">ient markets and, sustainable and profitable industries in Australia. </w:t>
      </w:r>
      <w:r w:rsidR="00F74EAC">
        <w:t>The role of the competition law framework</w:t>
      </w:r>
      <w:r w:rsidR="0022304C">
        <w:t xml:space="preserve"> must be to offer an environment in which competition b</w:t>
      </w:r>
      <w:r w:rsidR="00BF4CC2">
        <w:t>etween businesses can occur to drive efficiency</w:t>
      </w:r>
      <w:r w:rsidR="00EC1AD6">
        <w:t xml:space="preserve"> and innovation, for the benefit of consumers.</w:t>
      </w:r>
      <w:r w:rsidR="00CB1AC7">
        <w:t xml:space="preserve"> The revised provision</w:t>
      </w:r>
      <w:r w:rsidR="005E2B9F">
        <w:t xml:space="preserve"> would enable businesses to strive for competitive advantage through innovation and efficiency, whilst ensuring that firms do not engage in </w:t>
      </w:r>
      <w:r w:rsidR="00C33558">
        <w:t xml:space="preserve">prohibited </w:t>
      </w:r>
      <w:r w:rsidR="005E2B9F">
        <w:t xml:space="preserve">anti-competitive practices.  </w:t>
      </w:r>
      <w:r w:rsidR="00EC1AD6">
        <w:t xml:space="preserve"> </w:t>
      </w:r>
    </w:p>
    <w:p w14:paraId="453DA426" w14:textId="77777777" w:rsidR="0001372E" w:rsidRDefault="0001372E"/>
    <w:p w14:paraId="010121EA" w14:textId="55F7A062" w:rsidR="00FC4345" w:rsidRDefault="00751AF3">
      <w:r>
        <w:t xml:space="preserve">The reframing of the prohibition on the misuse of market power is of large importance to the beef industry due to the concentration of power within the industry’s value chain. The current provision has </w:t>
      </w:r>
      <w:r w:rsidR="00CB1AC7">
        <w:t xml:space="preserve">been </w:t>
      </w:r>
      <w:r>
        <w:t>ineffective in exploring when anti-competitive</w:t>
      </w:r>
      <w:r w:rsidR="00CB1AC7">
        <w:t xml:space="preserve"> conduct may have been undertaken. This failing has</w:t>
      </w:r>
      <w:r>
        <w:t xml:space="preserve"> eroded beef producers confidence in </w:t>
      </w:r>
      <w:r w:rsidR="00CB1AC7">
        <w:t xml:space="preserve">the </w:t>
      </w:r>
      <w:r w:rsidR="001673DF">
        <w:t>competition law framework</w:t>
      </w:r>
      <w:r w:rsidR="00CB1AC7">
        <w:t xml:space="preserve"> as a whole</w:t>
      </w:r>
      <w:r w:rsidR="001673DF">
        <w:t>. The amendments proposed to section 46 within the Harper Review off</w:t>
      </w:r>
      <w:r w:rsidR="00CB1AC7">
        <w:t>er</w:t>
      </w:r>
      <w:r w:rsidR="001673DF">
        <w:t xml:space="preserve"> the correct balan</w:t>
      </w:r>
      <w:r w:rsidR="00CB1AC7">
        <w:t>ce, between</w:t>
      </w:r>
      <w:r w:rsidR="00A15D6A">
        <w:t xml:space="preserve"> regulating conduct and</w:t>
      </w:r>
      <w:r w:rsidR="001673DF">
        <w:t xml:space="preserve"> </w:t>
      </w:r>
      <w:r>
        <w:t xml:space="preserve">refocusing the provision </w:t>
      </w:r>
      <w:r w:rsidR="00A15D6A">
        <w:t xml:space="preserve">on the </w:t>
      </w:r>
      <w:r w:rsidR="00C33558">
        <w:t xml:space="preserve">conduct that </w:t>
      </w:r>
      <w:r w:rsidR="006B2C3C">
        <w:t xml:space="preserve">has a negative impact </w:t>
      </w:r>
      <w:r w:rsidR="005E2B9F">
        <w:t xml:space="preserve">on the </w:t>
      </w:r>
      <w:r w:rsidR="00CB1AC7">
        <w:t>competitive process.</w:t>
      </w:r>
    </w:p>
    <w:p w14:paraId="039E8637" w14:textId="77777777" w:rsidR="00B46E67" w:rsidRDefault="00B46E67"/>
    <w:p w14:paraId="738F9EEE" w14:textId="77777777" w:rsidR="00C239C2" w:rsidRDefault="00C239C2" w:rsidP="00C239C2">
      <w:pPr>
        <w:jc w:val="center"/>
      </w:pPr>
      <w:r>
        <w:t>II.  CATTLE COUNCILS POSITION ON SECTION 46</w:t>
      </w:r>
    </w:p>
    <w:p w14:paraId="67D0FE14" w14:textId="0ED5EDF3" w:rsidR="00C239C2" w:rsidRDefault="00D625E6">
      <w:r>
        <w:t>Cattle Council supports the reform</w:t>
      </w:r>
      <w:r w:rsidR="00A7082F">
        <w:t>s</w:t>
      </w:r>
      <w:r>
        <w:t xml:space="preserve"> advocated for within the Harper Review</w:t>
      </w:r>
      <w:r w:rsidR="00A7082F">
        <w:t>,</w:t>
      </w:r>
      <w:r>
        <w:t xml:space="preserve"> as it presents the best protections to the competitive process, the prima</w:t>
      </w:r>
      <w:r w:rsidR="003F0B35">
        <w:t>ry goal of competition law</w:t>
      </w:r>
      <w:r>
        <w:t xml:space="preserve">. </w:t>
      </w:r>
      <w:r w:rsidR="00EC1AD6">
        <w:t xml:space="preserve">Recommendation 30 within the Review advocated for </w:t>
      </w:r>
      <w:r>
        <w:t xml:space="preserve">the primary prohibition to </w:t>
      </w:r>
      <w:r w:rsidR="00502A26">
        <w:t>be reframed to p</w:t>
      </w:r>
      <w:r w:rsidR="000208DB">
        <w:t xml:space="preserve">rohibit a corporation that has a substantial degree of market power from engaging in conduct if the proposed conduct has the purpose, effect or likely effect of substantially lessening competition. </w:t>
      </w:r>
    </w:p>
    <w:p w14:paraId="31EEECB1" w14:textId="77777777" w:rsidR="0001372E" w:rsidRDefault="0001372E"/>
    <w:p w14:paraId="35FB11E0" w14:textId="748F6495" w:rsidR="0001372E" w:rsidRDefault="0001372E">
      <w:r>
        <w:t xml:space="preserve">Cattle Council is supportive of this recommendation being incorporated as it offers </w:t>
      </w:r>
      <w:r w:rsidR="00F91144">
        <w:t>the best protection to the competitive process</w:t>
      </w:r>
      <w:r w:rsidR="00885147">
        <w:t xml:space="preserve"> and uniformity to competition law, both in focus</w:t>
      </w:r>
      <w:r w:rsidR="0054296F">
        <w:t xml:space="preserve"> on the competitive process</w:t>
      </w:r>
      <w:r w:rsidR="00885147">
        <w:t xml:space="preserve"> and</w:t>
      </w:r>
      <w:r w:rsidR="0054296F">
        <w:t xml:space="preserve"> the</w:t>
      </w:r>
      <w:r w:rsidR="00885147">
        <w:t xml:space="preserve"> tests applied</w:t>
      </w:r>
      <w:r w:rsidR="00F91144">
        <w:t xml:space="preserve">. </w:t>
      </w:r>
      <w:r w:rsidR="000E288C">
        <w:t>T</w:t>
      </w:r>
      <w:r w:rsidR="00F91144">
        <w:t xml:space="preserve">he amendment </w:t>
      </w:r>
      <w:r w:rsidR="0054296F">
        <w:t>would</w:t>
      </w:r>
      <w:r w:rsidR="000E288C">
        <w:t xml:space="preserve"> enable suspected anti-competitive conduct to be ex</w:t>
      </w:r>
      <w:r w:rsidR="0054296F">
        <w:t>amined effectively and this would</w:t>
      </w:r>
      <w:r w:rsidR="000E288C">
        <w:t xml:space="preserve"> </w:t>
      </w:r>
      <w:r w:rsidR="00F91144">
        <w:t xml:space="preserve">instil greater confidence from </w:t>
      </w:r>
      <w:r w:rsidR="003F0B35">
        <w:t>complainants that their case had</w:t>
      </w:r>
      <w:r w:rsidR="00F91144">
        <w:t xml:space="preserve"> been tested appropriately. </w:t>
      </w:r>
    </w:p>
    <w:p w14:paraId="48021F2C" w14:textId="1472AC49" w:rsidR="00C239C2" w:rsidRDefault="009C5211">
      <w:r>
        <w:br w:type="page"/>
      </w:r>
    </w:p>
    <w:p w14:paraId="7172FC2D" w14:textId="30E0441C" w:rsidR="00B46E67" w:rsidRDefault="005A0B8D">
      <w:r>
        <w:lastRenderedPageBreak/>
        <w:t xml:space="preserve">1. </w:t>
      </w:r>
      <w:r w:rsidRPr="005A0B8D">
        <w:rPr>
          <w:i/>
        </w:rPr>
        <w:t>Effects Test</w:t>
      </w:r>
    </w:p>
    <w:p w14:paraId="603ED6D0" w14:textId="240EC08B" w:rsidR="00C445F4" w:rsidRDefault="005A0B8D">
      <w:r>
        <w:t xml:space="preserve">Cattle Council </w:t>
      </w:r>
      <w:r w:rsidR="0001372E">
        <w:t xml:space="preserve">is supportive of the inclusion of the </w:t>
      </w:r>
      <w:r w:rsidR="003F0B35">
        <w:t>‘</w:t>
      </w:r>
      <w:r w:rsidR="0001372E">
        <w:t>effects</w:t>
      </w:r>
      <w:r w:rsidR="003F0B35">
        <w:t>’</w:t>
      </w:r>
      <w:r w:rsidR="0001372E">
        <w:t xml:space="preserve"> test into the amended provision as it offers the superior option</w:t>
      </w:r>
      <w:r w:rsidR="00E75A45">
        <w:t>, both in the practical application and also</w:t>
      </w:r>
      <w:r w:rsidR="0001372E">
        <w:t xml:space="preserve"> in protecting the competitive process. </w:t>
      </w:r>
    </w:p>
    <w:p w14:paraId="26B283F9" w14:textId="77777777" w:rsidR="00C445F4" w:rsidRDefault="00C445F4"/>
    <w:p w14:paraId="075DA4E9" w14:textId="5A06DFC0" w:rsidR="00C445F4" w:rsidRDefault="00C4575B">
      <w:r>
        <w:t>The proposed ‘effect</w:t>
      </w:r>
      <w:r w:rsidR="00C445F4">
        <w:t>s</w:t>
      </w:r>
      <w:r>
        <w:t xml:space="preserve">’ test is superior to the current </w:t>
      </w:r>
      <w:r w:rsidR="00C445F4">
        <w:t>‘</w:t>
      </w:r>
      <w:r>
        <w:t>purpose</w:t>
      </w:r>
      <w:r w:rsidR="00C445F4">
        <w:t>’</w:t>
      </w:r>
      <w:r>
        <w:t xml:space="preserve"> test incorporated i</w:t>
      </w:r>
      <w:r w:rsidR="00C445F4">
        <w:t>nto the prohibition, as it</w:t>
      </w:r>
      <w:r>
        <w:t xml:space="preserve"> enable</w:t>
      </w:r>
      <w:r w:rsidR="00C445F4">
        <w:t>s</w:t>
      </w:r>
      <w:r>
        <w:t xml:space="preserve"> the court to assess whether the conduct is harmful to the competitive process. </w:t>
      </w:r>
      <w:r w:rsidR="005E2B9F">
        <w:t>This expansion is necessary</w:t>
      </w:r>
      <w:r w:rsidR="00C445F4">
        <w:t xml:space="preserve"> as the current wording</w:t>
      </w:r>
      <w:r w:rsidR="005E2B9F">
        <w:t xml:space="preserve"> only </w:t>
      </w:r>
      <w:r w:rsidR="00C445F4">
        <w:t>allows the court to examine</w:t>
      </w:r>
      <w:r w:rsidR="005E2B9F">
        <w:t xml:space="preserve"> conduct that has </w:t>
      </w:r>
      <w:r w:rsidR="00C445F4">
        <w:t>a</w:t>
      </w:r>
      <w:r w:rsidR="005E2B9F">
        <w:t xml:space="preserve"> proscri</w:t>
      </w:r>
      <w:r w:rsidR="00C445F4">
        <w:t>bed anti-competitive purpose. The limited scope of the current provisions allows for conduct that is h</w:t>
      </w:r>
      <w:r w:rsidR="003F0B35">
        <w:t>aving an anti-competitive impact on the marketplace</w:t>
      </w:r>
      <w:r w:rsidR="00C445F4">
        <w:t xml:space="preserve"> to go unchecked. Conduct that has an anti-competitive effect needs to within the scope of competition law to ensure that the competitive process is adequately protected. </w:t>
      </w:r>
    </w:p>
    <w:p w14:paraId="6652E050" w14:textId="77777777" w:rsidR="00E75A45" w:rsidRDefault="00E75A45"/>
    <w:p w14:paraId="52BF057F" w14:textId="3FC03CD9" w:rsidR="005A0B8D" w:rsidRDefault="00E75A45">
      <w:r>
        <w:t xml:space="preserve">Cattle Council recognises that this amendment has created concern from a range of stakeholders. CCA is supportive of this amendment as it strikes a good balance between protecting the competitive process whilst ensuring that competitive behaviour </w:t>
      </w:r>
      <w:r w:rsidR="002C1A3E">
        <w:t>and innovation are</w:t>
      </w:r>
      <w:r>
        <w:t xml:space="preserve"> not stifled</w:t>
      </w:r>
      <w:r w:rsidR="007A4765">
        <w:t xml:space="preserve">. </w:t>
      </w:r>
      <w:r w:rsidR="005E2B9F">
        <w:t xml:space="preserve">The practical impact of the amendment will </w:t>
      </w:r>
      <w:r w:rsidR="000B7BFC">
        <w:t>be subtle and would not lead to a large number of cases being brought before the courts</w:t>
      </w:r>
      <w:r w:rsidR="005E2B9F">
        <w:t xml:space="preserve">. </w:t>
      </w:r>
      <w:r w:rsidR="007136DC">
        <w:t xml:space="preserve">The limited practical impact is because the proposed changes do not seek to prohibit </w:t>
      </w:r>
      <w:r w:rsidR="002C1A3E">
        <w:t xml:space="preserve">firms utilising </w:t>
      </w:r>
      <w:r w:rsidR="007136DC">
        <w:t>the</w:t>
      </w:r>
      <w:r w:rsidR="002C1A3E">
        <w:t>ir</w:t>
      </w:r>
      <w:r w:rsidR="007136DC">
        <w:t xml:space="preserve"> market power and in the majority of cases it will still be permissible. Additionally, the ‘substantially lessening of competition’ test remains a relatively high threshold, as it requires a lasting impact. </w:t>
      </w:r>
    </w:p>
    <w:p w14:paraId="2C5000B6" w14:textId="77777777" w:rsidR="005A0B8D" w:rsidRDefault="005A0B8D"/>
    <w:p w14:paraId="6B06F06C" w14:textId="63173813" w:rsidR="005A0B8D" w:rsidRDefault="00A77290">
      <w:r>
        <w:t>2</w:t>
      </w:r>
      <w:r w:rsidR="005A0B8D">
        <w:t xml:space="preserve">. </w:t>
      </w:r>
      <w:r w:rsidR="005A0B8D" w:rsidRPr="005A0B8D">
        <w:rPr>
          <w:i/>
        </w:rPr>
        <w:t>Take Advantage Test</w:t>
      </w:r>
    </w:p>
    <w:p w14:paraId="288D63D7" w14:textId="2B9CC660" w:rsidR="000419BE" w:rsidRDefault="000419BE">
      <w:r>
        <w:t xml:space="preserve">The ‘take advantage’ test has not been effective in identifying anti-competitive conduct and as a result Cattle Council believes that the competition law framework would be improved by its removal. The courts have also struggled </w:t>
      </w:r>
      <w:r w:rsidR="00F33063">
        <w:t>with successful applying the test to activities that are lawful and unlawful busi</w:t>
      </w:r>
      <w:r w:rsidR="00E73DAC">
        <w:t>ness conduct. This is because the</w:t>
      </w:r>
      <w:r w:rsidR="00F33063">
        <w:t xml:space="preserve"> </w:t>
      </w:r>
      <w:r w:rsidR="000F0CE4">
        <w:t>test</w:t>
      </w:r>
      <w:r w:rsidR="00E73DAC">
        <w:t xml:space="preserve"> allows</w:t>
      </w:r>
      <w:r w:rsidR="00F33063">
        <w:t xml:space="preserve"> a firm with substantial market power to be allowed to engage in conduct</w:t>
      </w:r>
      <w:r w:rsidR="00E73DAC">
        <w:t>,</w:t>
      </w:r>
      <w:r w:rsidR="00F33063">
        <w:t xml:space="preserve"> if firms without such power can also engage in the conduct. The problem with this limb of the test is that it fails to </w:t>
      </w:r>
      <w:r w:rsidR="00E57FF4">
        <w:t xml:space="preserve">recognise </w:t>
      </w:r>
      <w:r w:rsidR="00F33063">
        <w:t>that when firms with market power engage in such conduct</w:t>
      </w:r>
      <w:r w:rsidR="00E73DAC">
        <w:t>,</w:t>
      </w:r>
      <w:r w:rsidR="00F33063">
        <w:t xml:space="preserve"> the impact on the competitive process is far more distortive than if eng</w:t>
      </w:r>
      <w:r w:rsidR="00C34E15">
        <w:t>aged in by a smaller firm</w:t>
      </w:r>
      <w:r w:rsidR="00E57FF4">
        <w:t xml:space="preserve">.  Owing to </w:t>
      </w:r>
      <w:r w:rsidR="000F0CE4">
        <w:t>these problems</w:t>
      </w:r>
      <w:r w:rsidR="00F33063">
        <w:t xml:space="preserve"> with the ‘take advantage’ test</w:t>
      </w:r>
      <w:r w:rsidR="000F0CE4">
        <w:t>,</w:t>
      </w:r>
      <w:r w:rsidR="00F33063">
        <w:t xml:space="preserve"> Cattle Council is supportive of its removal. </w:t>
      </w:r>
    </w:p>
    <w:p w14:paraId="143815C5" w14:textId="77777777" w:rsidR="005A0B8D" w:rsidRDefault="005A0B8D"/>
    <w:p w14:paraId="781B5892" w14:textId="01C15FD3" w:rsidR="005A0B8D" w:rsidRDefault="00A77290">
      <w:r>
        <w:t>3</w:t>
      </w:r>
      <w:r w:rsidR="002D38BF">
        <w:rPr>
          <w:i/>
        </w:rPr>
        <w:t>. Mandatory Factors</w:t>
      </w:r>
      <w:r w:rsidR="007A4765">
        <w:rPr>
          <w:i/>
        </w:rPr>
        <w:t xml:space="preserve"> </w:t>
      </w:r>
    </w:p>
    <w:p w14:paraId="634140F5" w14:textId="09203C8D" w:rsidR="00B46E67" w:rsidRDefault="002D38BF">
      <w:r>
        <w:t>Cattle Council is supportive of the inclusion of mandatory fa</w:t>
      </w:r>
      <w:r w:rsidR="00C57471">
        <w:t xml:space="preserve">ctors for the court to consider, </w:t>
      </w:r>
      <w:r w:rsidR="0072350E">
        <w:t>reducing</w:t>
      </w:r>
      <w:r>
        <w:t xml:space="preserve"> uncertainty that these amendments may create. As </w:t>
      </w:r>
      <w:r w:rsidR="00464DB4">
        <w:t>discussed</w:t>
      </w:r>
      <w:r w:rsidR="00E73DAC">
        <w:t xml:space="preserve"> above, the proposed</w:t>
      </w:r>
      <w:r>
        <w:t xml:space="preserve"> amendment</w:t>
      </w:r>
      <w:r w:rsidR="00E73DAC">
        <w:t>s have</w:t>
      </w:r>
      <w:r>
        <w:t xml:space="preserve"> </w:t>
      </w:r>
      <w:r w:rsidR="00C57471">
        <w:t>created</w:t>
      </w:r>
      <w:r>
        <w:t xml:space="preserve"> concern from a variety of stakeholders and </w:t>
      </w:r>
      <w:r w:rsidR="00464DB4">
        <w:t xml:space="preserve">the inclusion of mandatory factors would help illustrate the conduct that may be encapsulated within the new </w:t>
      </w:r>
      <w:r w:rsidR="0072350E">
        <w:t>prohibition</w:t>
      </w:r>
      <w:r w:rsidR="00464DB4">
        <w:t xml:space="preserve">. </w:t>
      </w:r>
    </w:p>
    <w:p w14:paraId="151E8E45" w14:textId="77777777" w:rsidR="00464DB4" w:rsidRDefault="00464DB4"/>
    <w:p w14:paraId="5044A9D5" w14:textId="0CA8D1B8" w:rsidR="00464DB4" w:rsidRDefault="00464DB4">
      <w:r>
        <w:t>The mandatory factors would also assist the court in applying</w:t>
      </w:r>
      <w:r w:rsidR="0022129B">
        <w:t xml:space="preserve"> the new prohibition and mitigate concerns </w:t>
      </w:r>
      <w:r w:rsidR="00E73DAC">
        <w:t xml:space="preserve">that </w:t>
      </w:r>
      <w:r w:rsidR="0022129B">
        <w:t xml:space="preserve">the revised provision </w:t>
      </w:r>
      <w:r w:rsidR="00E73DAC">
        <w:t>will capture</w:t>
      </w:r>
      <w:r w:rsidR="0022129B">
        <w:t xml:space="preserve"> pro-competitive conduct. Recommendation 30 within the Harper Review identified important manda</w:t>
      </w:r>
      <w:r w:rsidR="0071761E">
        <w:t>tory factors for consideration by the court. The Review suggested that the court must consider the extent to which conduct will increase competition and the extent that it will lessen competition. The considerat</w:t>
      </w:r>
      <w:r w:rsidR="00AC0176">
        <w:t>ion of these factors will ensure</w:t>
      </w:r>
      <w:r w:rsidR="0071761E">
        <w:t xml:space="preserve"> that the Section 46 will only </w:t>
      </w:r>
      <w:r w:rsidR="00753FC7">
        <w:t>capture conduct by firms that is anti-competitive.</w:t>
      </w:r>
    </w:p>
    <w:p w14:paraId="099793BC" w14:textId="77777777" w:rsidR="00753FC7" w:rsidRDefault="00753FC7"/>
    <w:p w14:paraId="26CF29CB" w14:textId="6B7F801A" w:rsidR="00753FC7" w:rsidRDefault="00753FC7">
      <w:r>
        <w:t>Add</w:t>
      </w:r>
      <w:r w:rsidR="00C57471">
        <w:t>itionally, to reduce uncertain</w:t>
      </w:r>
      <w:r>
        <w:t xml:space="preserve"> the A</w:t>
      </w:r>
      <w:r w:rsidR="00C57471">
        <w:t>CCC should issue adv</w:t>
      </w:r>
      <w:r w:rsidR="00FB3ED1">
        <w:t>ice about the amended prohibitions</w:t>
      </w:r>
      <w:r>
        <w:t xml:space="preserve"> applicability to</w:t>
      </w:r>
      <w:r w:rsidR="00C57471">
        <w:t xml:space="preserve"> certain conduct</w:t>
      </w:r>
      <w:r>
        <w:t>. A</w:t>
      </w:r>
      <w:r w:rsidR="00E73DAC">
        <w:t>ll of these steps will help businesse</w:t>
      </w:r>
      <w:r>
        <w:t xml:space="preserve">s to </w:t>
      </w:r>
      <w:r w:rsidR="00E73DAC">
        <w:t xml:space="preserve">understand the scope of the changes and </w:t>
      </w:r>
      <w:r>
        <w:t xml:space="preserve">ensure that their conduct aligns with the revised prohibition. </w:t>
      </w:r>
    </w:p>
    <w:p w14:paraId="5965E586" w14:textId="77777777" w:rsidR="00B46E67" w:rsidRDefault="00B46E67"/>
    <w:p w14:paraId="35231C73" w14:textId="3288222B" w:rsidR="00C239C2" w:rsidRDefault="00C239C2" w:rsidP="00C239C2">
      <w:pPr>
        <w:jc w:val="center"/>
      </w:pPr>
    </w:p>
    <w:p w14:paraId="738B6D48" w14:textId="77777777" w:rsidR="00B33654" w:rsidRDefault="00B33654" w:rsidP="00C239C2">
      <w:pPr>
        <w:jc w:val="center"/>
      </w:pPr>
    </w:p>
    <w:p w14:paraId="46EC5592" w14:textId="77777777" w:rsidR="00B33654" w:rsidRDefault="00B33654" w:rsidP="00C239C2">
      <w:pPr>
        <w:jc w:val="center"/>
      </w:pPr>
    </w:p>
    <w:sectPr w:rsidR="00B33654" w:rsidSect="00605B4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removePersonalInformation/>
  <w:removeDateAndTim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9C2"/>
    <w:rsid w:val="0001372E"/>
    <w:rsid w:val="000208DB"/>
    <w:rsid w:val="000419BE"/>
    <w:rsid w:val="000803D5"/>
    <w:rsid w:val="000B7BFC"/>
    <w:rsid w:val="000D79EB"/>
    <w:rsid w:val="000E288C"/>
    <w:rsid w:val="000F0CE4"/>
    <w:rsid w:val="00142AA2"/>
    <w:rsid w:val="001673DF"/>
    <w:rsid w:val="001901D4"/>
    <w:rsid w:val="0022129B"/>
    <w:rsid w:val="0022304C"/>
    <w:rsid w:val="002C1A3E"/>
    <w:rsid w:val="002D38BF"/>
    <w:rsid w:val="003E583A"/>
    <w:rsid w:val="003F0B35"/>
    <w:rsid w:val="00411525"/>
    <w:rsid w:val="00464DB4"/>
    <w:rsid w:val="00476A37"/>
    <w:rsid w:val="00502A26"/>
    <w:rsid w:val="0054296F"/>
    <w:rsid w:val="005A0B8D"/>
    <w:rsid w:val="005D7CE5"/>
    <w:rsid w:val="005E2B9F"/>
    <w:rsid w:val="005F6DF3"/>
    <w:rsid w:val="00605B49"/>
    <w:rsid w:val="006B2C3C"/>
    <w:rsid w:val="006D4AED"/>
    <w:rsid w:val="007136DC"/>
    <w:rsid w:val="0071761E"/>
    <w:rsid w:val="0072350E"/>
    <w:rsid w:val="00735E71"/>
    <w:rsid w:val="00751AF3"/>
    <w:rsid w:val="00753FC7"/>
    <w:rsid w:val="00773313"/>
    <w:rsid w:val="0078369C"/>
    <w:rsid w:val="007A4765"/>
    <w:rsid w:val="00842487"/>
    <w:rsid w:val="00885147"/>
    <w:rsid w:val="009658F0"/>
    <w:rsid w:val="00971437"/>
    <w:rsid w:val="009C50FA"/>
    <w:rsid w:val="009C5211"/>
    <w:rsid w:val="009F3F5D"/>
    <w:rsid w:val="00A15D6A"/>
    <w:rsid w:val="00A41A5F"/>
    <w:rsid w:val="00A655AD"/>
    <w:rsid w:val="00A7082F"/>
    <w:rsid w:val="00A77290"/>
    <w:rsid w:val="00AC0176"/>
    <w:rsid w:val="00AF5643"/>
    <w:rsid w:val="00B33654"/>
    <w:rsid w:val="00B46E67"/>
    <w:rsid w:val="00BF4CC2"/>
    <w:rsid w:val="00C239C2"/>
    <w:rsid w:val="00C33558"/>
    <w:rsid w:val="00C34E15"/>
    <w:rsid w:val="00C445F4"/>
    <w:rsid w:val="00C4575B"/>
    <w:rsid w:val="00C57471"/>
    <w:rsid w:val="00CB1AC7"/>
    <w:rsid w:val="00D568C8"/>
    <w:rsid w:val="00D61262"/>
    <w:rsid w:val="00D625E6"/>
    <w:rsid w:val="00E57FF4"/>
    <w:rsid w:val="00E665F4"/>
    <w:rsid w:val="00E73DAC"/>
    <w:rsid w:val="00E75A45"/>
    <w:rsid w:val="00EC1AD6"/>
    <w:rsid w:val="00F33063"/>
    <w:rsid w:val="00F74EAC"/>
    <w:rsid w:val="00F802CF"/>
    <w:rsid w:val="00F91144"/>
    <w:rsid w:val="00FB3ED1"/>
    <w:rsid w:val="00FC434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A187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HAns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9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HAns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2015MG-133-10918</_dlc_DocId>
    <_dlc_DocIdUrl xmlns="d4dd4adf-ddb3-46a3-8d7c-fab3fb2a6bc7">
      <Url>http://tweb/sites/mg/sbccpd/_layouts/15/DocIdRedir.aspx?ID=2015MG-133-10918</Url>
      <Description>2015MG-133-10918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89095-3A69-4076-BE2C-2240D3934663}">
  <ds:schemaRefs>
    <ds:schemaRef ds:uri="office.server.policy"/>
  </ds:schemaRefs>
</ds:datastoreItem>
</file>

<file path=customXml/itemProps2.xml><?xml version="1.0" encoding="utf-8"?>
<ds:datastoreItem xmlns:ds="http://schemas.openxmlformats.org/officeDocument/2006/customXml" ds:itemID="{68C314EE-9780-4B96-96AF-DDFF5D2238CC}">
  <ds:schemaRefs>
    <ds:schemaRef ds:uri="http://schemas.microsoft.com/sharepoint/events"/>
  </ds:schemaRefs>
</ds:datastoreItem>
</file>

<file path=customXml/itemProps3.xml><?xml version="1.0" encoding="utf-8"?>
<ds:datastoreItem xmlns:ds="http://schemas.openxmlformats.org/officeDocument/2006/customXml" ds:itemID="{83E6FB8E-352B-440F-ADC7-225B32FA2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66C882-3CA3-44B2-A7DB-C8F8B46C94C4}">
  <ds:schemaRefs>
    <ds:schemaRef ds:uri="http://purl.org/dc/elements/1.1/"/>
    <ds:schemaRef ds:uri="http://schemas.microsoft.com/sharepoint/v4"/>
    <ds:schemaRef ds:uri="http://schemas.microsoft.com/office/infopath/2007/PartnerControls"/>
    <ds:schemaRef ds:uri="http://schemas.microsoft.com/sharepoint/v3"/>
    <ds:schemaRef ds:uri="http://schemas.microsoft.com/office/2006/documentManagement/types"/>
    <ds:schemaRef ds:uri="http://www.w3.org/XML/1998/namespace"/>
    <ds:schemaRef ds:uri="d4dd4adf-ddb3-46a3-8d7c-fab3fb2a6bc7"/>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8A354C1B-CB45-4951-BFE1-AB6F79FF5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1010</Words>
  <Characters>5600</Characters>
  <Application>Microsoft Office Word</Application>
  <DocSecurity>0</DocSecurity>
  <Lines>106</Lines>
  <Paragraphs>20</Paragraphs>
  <ScaleCrop>false</ScaleCrop>
  <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Cattle Council of Australia - Discussion Paper: Options to strengthen the misuse of market power law</dc:title>
  <dc:creator/>
  <cp:lastModifiedBy/>
  <cp:revision>1</cp:revision>
  <dcterms:created xsi:type="dcterms:W3CDTF">2016-02-16T00:28:00Z</dcterms:created>
  <dcterms:modified xsi:type="dcterms:W3CDTF">2016-02-16T00:28:00Z</dcterms:modified>
  <dc:language>English</dc:language>
</cp:coreProperties>
</file>