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294D3" w14:textId="5A2B43A5" w:rsidR="00BA25A9" w:rsidRPr="00771883" w:rsidRDefault="00570FB0" w:rsidP="00974F8B">
      <w:pPr>
        <w:pStyle w:val="Title"/>
        <w:rPr>
          <w:sz w:val="32"/>
          <w:szCs w:val="32"/>
        </w:rPr>
      </w:pPr>
      <w:bookmarkStart w:id="0" w:name="_GoBack"/>
      <w:bookmarkEnd w:id="0"/>
      <w:r w:rsidRPr="00771883">
        <w:rPr>
          <w:sz w:val="32"/>
          <w:szCs w:val="32"/>
        </w:rPr>
        <w:t>Options to Strengt</w:t>
      </w:r>
      <w:r w:rsidR="00500680" w:rsidRPr="00771883">
        <w:rPr>
          <w:sz w:val="32"/>
          <w:szCs w:val="32"/>
        </w:rPr>
        <w:t>hen the Law Prohibiting             Misuse of Market Power</w:t>
      </w:r>
    </w:p>
    <w:p w14:paraId="6CBA1246" w14:textId="13FB1147" w:rsidR="00500680" w:rsidRPr="007D708B" w:rsidRDefault="00500680" w:rsidP="00500680">
      <w:pPr>
        <w:jc w:val="center"/>
        <w:rPr>
          <w:sz w:val="24"/>
        </w:rPr>
      </w:pPr>
      <w:r w:rsidRPr="007D708B">
        <w:rPr>
          <w:sz w:val="24"/>
        </w:rPr>
        <w:t>Michael B. Cunningham</w:t>
      </w:r>
      <w:r w:rsidR="00430719">
        <w:rPr>
          <w:rStyle w:val="FootnoteReference"/>
          <w:sz w:val="24"/>
        </w:rPr>
        <w:footnoteReference w:id="1"/>
      </w:r>
    </w:p>
    <w:p w14:paraId="3B944BC7" w14:textId="31005027" w:rsidR="00974F8B" w:rsidRPr="007D708B" w:rsidRDefault="00FF4DB5" w:rsidP="00236280">
      <w:pPr>
        <w:spacing w:after="240"/>
        <w:jc w:val="center"/>
        <w:rPr>
          <w:sz w:val="24"/>
        </w:rPr>
      </w:pPr>
      <w:r>
        <w:rPr>
          <w:sz w:val="24"/>
        </w:rPr>
        <w:t>1</w:t>
      </w:r>
      <w:r w:rsidR="00100EAE">
        <w:rPr>
          <w:sz w:val="24"/>
        </w:rPr>
        <w:t>1</w:t>
      </w:r>
      <w:r w:rsidR="007D708B" w:rsidRPr="007D708B">
        <w:rPr>
          <w:sz w:val="24"/>
        </w:rPr>
        <w:t xml:space="preserve"> February 2016</w:t>
      </w:r>
    </w:p>
    <w:p w14:paraId="432BE510" w14:textId="29AEC4F5" w:rsidR="00974F8B" w:rsidRPr="00771883" w:rsidRDefault="00E24F18" w:rsidP="00236280">
      <w:pPr>
        <w:pStyle w:val="Heading1"/>
        <w:spacing w:before="380"/>
        <w:ind w:left="431" w:hanging="431"/>
        <w:rPr>
          <w:sz w:val="24"/>
          <w:szCs w:val="24"/>
        </w:rPr>
      </w:pPr>
      <w:r w:rsidRPr="00771883">
        <w:rPr>
          <w:sz w:val="24"/>
          <w:szCs w:val="24"/>
        </w:rPr>
        <w:t>Introduction</w:t>
      </w:r>
    </w:p>
    <w:p w14:paraId="4E4E33CE" w14:textId="5E53864F" w:rsidR="00C70E7C" w:rsidRPr="00771883" w:rsidRDefault="00E24F18" w:rsidP="00E24F18">
      <w:pPr>
        <w:rPr>
          <w:szCs w:val="22"/>
        </w:rPr>
      </w:pPr>
      <w:r w:rsidRPr="00771883">
        <w:rPr>
          <w:szCs w:val="22"/>
        </w:rPr>
        <w:t xml:space="preserve">The </w:t>
      </w:r>
      <w:r w:rsidR="007010C6" w:rsidRPr="00771883">
        <w:rPr>
          <w:szCs w:val="22"/>
        </w:rPr>
        <w:t>aim</w:t>
      </w:r>
      <w:r w:rsidRPr="00771883">
        <w:rPr>
          <w:szCs w:val="22"/>
        </w:rPr>
        <w:t xml:space="preserve"> of this submission is to contribut</w:t>
      </w:r>
      <w:r w:rsidR="00500680" w:rsidRPr="00771883">
        <w:rPr>
          <w:szCs w:val="22"/>
        </w:rPr>
        <w:t>e</w:t>
      </w:r>
      <w:r w:rsidRPr="00771883">
        <w:rPr>
          <w:szCs w:val="22"/>
        </w:rPr>
        <w:t xml:space="preserve"> to the </w:t>
      </w:r>
      <w:r w:rsidR="00FE7B60" w:rsidRPr="00771883">
        <w:rPr>
          <w:szCs w:val="22"/>
        </w:rPr>
        <w:t xml:space="preserve">Commonwealth Treasurer’s </w:t>
      </w:r>
      <w:r w:rsidRPr="00771883">
        <w:rPr>
          <w:szCs w:val="22"/>
        </w:rPr>
        <w:t xml:space="preserve">consultation on s46 of the </w:t>
      </w:r>
      <w:r w:rsidRPr="00771883">
        <w:rPr>
          <w:i/>
          <w:szCs w:val="22"/>
        </w:rPr>
        <w:t>Competition and Consumer Act 2010</w:t>
      </w:r>
      <w:r w:rsidRPr="00771883">
        <w:rPr>
          <w:szCs w:val="22"/>
        </w:rPr>
        <w:t xml:space="preserve"> (</w:t>
      </w:r>
      <w:r w:rsidR="00873962" w:rsidRPr="00771883">
        <w:rPr>
          <w:szCs w:val="22"/>
        </w:rPr>
        <w:t>“the Act”</w:t>
      </w:r>
      <w:r w:rsidRPr="00771883">
        <w:rPr>
          <w:szCs w:val="22"/>
        </w:rPr>
        <w:t>), relating to recommendation 30 of the Harper review</w:t>
      </w:r>
      <w:r w:rsidR="00D72836">
        <w:rPr>
          <w:szCs w:val="22"/>
        </w:rPr>
        <w:t>—which in turn aims</w:t>
      </w:r>
      <w:r w:rsidR="00C70E7C" w:rsidRPr="00771883">
        <w:rPr>
          <w:szCs w:val="22"/>
        </w:rPr>
        <w:t xml:space="preserve"> to strengthen the law prohibiting misuse of </w:t>
      </w:r>
      <w:r w:rsidR="00873962" w:rsidRPr="00771883">
        <w:rPr>
          <w:szCs w:val="22"/>
        </w:rPr>
        <w:t>market power, mak</w:t>
      </w:r>
      <w:r w:rsidR="00D72836">
        <w:rPr>
          <w:szCs w:val="22"/>
        </w:rPr>
        <w:t>ing</w:t>
      </w:r>
      <w:r w:rsidR="00873962" w:rsidRPr="00771883">
        <w:rPr>
          <w:szCs w:val="22"/>
        </w:rPr>
        <w:t xml:space="preserve"> it more effective in meeting the object of the Act in s2.</w:t>
      </w:r>
    </w:p>
    <w:p w14:paraId="30C6BE2D" w14:textId="410E7CAF" w:rsidR="00E24F18" w:rsidRPr="00771883" w:rsidRDefault="00E24F18" w:rsidP="00E24F18">
      <w:pPr>
        <w:rPr>
          <w:szCs w:val="22"/>
        </w:rPr>
      </w:pPr>
      <w:r w:rsidRPr="00771883">
        <w:rPr>
          <w:szCs w:val="22"/>
        </w:rPr>
        <w:t xml:space="preserve">This submission argues that </w:t>
      </w:r>
      <w:r w:rsidR="00D72836">
        <w:rPr>
          <w:szCs w:val="22"/>
        </w:rPr>
        <w:t>changes</w:t>
      </w:r>
      <w:r w:rsidR="00103B8A" w:rsidRPr="00771883">
        <w:rPr>
          <w:szCs w:val="22"/>
        </w:rPr>
        <w:t xml:space="preserve"> should be made </w:t>
      </w:r>
      <w:r w:rsidRPr="00771883">
        <w:rPr>
          <w:szCs w:val="22"/>
        </w:rPr>
        <w:t>to s46</w:t>
      </w:r>
      <w:r w:rsidR="00704CE6" w:rsidRPr="00771883">
        <w:rPr>
          <w:szCs w:val="22"/>
        </w:rPr>
        <w:t xml:space="preserve">, but the </w:t>
      </w:r>
      <w:r w:rsidR="00500680" w:rsidRPr="00771883">
        <w:rPr>
          <w:szCs w:val="22"/>
        </w:rPr>
        <w:t xml:space="preserve">specific </w:t>
      </w:r>
      <w:r w:rsidR="00704CE6" w:rsidRPr="00771883">
        <w:rPr>
          <w:szCs w:val="22"/>
        </w:rPr>
        <w:t xml:space="preserve">changes </w:t>
      </w:r>
      <w:r w:rsidR="00103B8A" w:rsidRPr="00771883">
        <w:rPr>
          <w:szCs w:val="22"/>
        </w:rPr>
        <w:t>proposed</w:t>
      </w:r>
      <w:r w:rsidR="00704CE6" w:rsidRPr="00771883">
        <w:rPr>
          <w:szCs w:val="22"/>
        </w:rPr>
        <w:t xml:space="preserve"> by the Harper </w:t>
      </w:r>
      <w:r w:rsidR="00103B8A" w:rsidRPr="00771883">
        <w:rPr>
          <w:szCs w:val="22"/>
        </w:rPr>
        <w:t xml:space="preserve">Panel </w:t>
      </w:r>
      <w:r w:rsidR="0050055C">
        <w:rPr>
          <w:szCs w:val="22"/>
        </w:rPr>
        <w:t xml:space="preserve">(hereafter “HP”) </w:t>
      </w:r>
      <w:r w:rsidR="00103B8A" w:rsidRPr="00771883">
        <w:rPr>
          <w:szCs w:val="22"/>
        </w:rPr>
        <w:t>are inappropriate</w:t>
      </w:r>
      <w:r w:rsidR="00704CE6" w:rsidRPr="00771883">
        <w:rPr>
          <w:szCs w:val="22"/>
        </w:rPr>
        <w:t xml:space="preserve">. </w:t>
      </w:r>
      <w:r w:rsidR="00A80E0B" w:rsidRPr="00771883">
        <w:rPr>
          <w:szCs w:val="22"/>
        </w:rPr>
        <w:t>T</w:t>
      </w:r>
      <w:r w:rsidR="00500680" w:rsidRPr="00771883">
        <w:rPr>
          <w:szCs w:val="22"/>
        </w:rPr>
        <w:t xml:space="preserve">he </w:t>
      </w:r>
      <w:r w:rsidR="0050055C">
        <w:rPr>
          <w:szCs w:val="22"/>
        </w:rPr>
        <w:t>HP</w:t>
      </w:r>
      <w:r w:rsidR="00500680" w:rsidRPr="00771883">
        <w:rPr>
          <w:szCs w:val="22"/>
        </w:rPr>
        <w:t xml:space="preserve"> proposal would likely lead to overreach in the application of s46. </w:t>
      </w:r>
      <w:r w:rsidR="00D72836">
        <w:rPr>
          <w:szCs w:val="22"/>
        </w:rPr>
        <w:t xml:space="preserve">The </w:t>
      </w:r>
      <w:r w:rsidR="00103B8A" w:rsidRPr="00771883">
        <w:rPr>
          <w:szCs w:val="22"/>
        </w:rPr>
        <w:t>comprehensive</w:t>
      </w:r>
      <w:r w:rsidR="00D72836">
        <w:rPr>
          <w:szCs w:val="22"/>
        </w:rPr>
        <w:t>ness</w:t>
      </w:r>
      <w:r w:rsidR="00103B8A" w:rsidRPr="00771883">
        <w:rPr>
          <w:szCs w:val="22"/>
        </w:rPr>
        <w:t xml:space="preserve"> </w:t>
      </w:r>
      <w:r w:rsidR="00D72836">
        <w:rPr>
          <w:szCs w:val="22"/>
        </w:rPr>
        <w:t xml:space="preserve">of the HP </w:t>
      </w:r>
      <w:r w:rsidR="00103B8A" w:rsidRPr="00771883">
        <w:rPr>
          <w:szCs w:val="22"/>
        </w:rPr>
        <w:t>redraft</w:t>
      </w:r>
      <w:r w:rsidR="00D72836">
        <w:rPr>
          <w:szCs w:val="22"/>
        </w:rPr>
        <w:t xml:space="preserve">ing of the provision has an </w:t>
      </w:r>
      <w:r w:rsidR="00103B8A" w:rsidRPr="00771883">
        <w:rPr>
          <w:szCs w:val="22"/>
        </w:rPr>
        <w:t>attendant risk of unexpected consequences</w:t>
      </w:r>
      <w:r w:rsidR="00D72836">
        <w:rPr>
          <w:szCs w:val="22"/>
        </w:rPr>
        <w:t>.</w:t>
      </w:r>
      <w:r w:rsidR="00D72836" w:rsidRPr="00771883">
        <w:rPr>
          <w:szCs w:val="22"/>
        </w:rPr>
        <w:t xml:space="preserve"> </w:t>
      </w:r>
      <w:r w:rsidR="00D72836">
        <w:rPr>
          <w:szCs w:val="22"/>
        </w:rPr>
        <w:t>T</w:t>
      </w:r>
      <w:r w:rsidR="00D72836" w:rsidRPr="00771883">
        <w:rPr>
          <w:szCs w:val="22"/>
        </w:rPr>
        <w:t xml:space="preserve">he approach taken in this submission </w:t>
      </w:r>
      <w:r w:rsidR="00D72836">
        <w:rPr>
          <w:szCs w:val="22"/>
        </w:rPr>
        <w:t>is</w:t>
      </w:r>
      <w:r w:rsidR="00103B8A" w:rsidRPr="00771883">
        <w:rPr>
          <w:szCs w:val="22"/>
        </w:rPr>
        <w:t xml:space="preserve"> to identify </w:t>
      </w:r>
      <w:r w:rsidR="00A80E0B" w:rsidRPr="00771883">
        <w:rPr>
          <w:szCs w:val="22"/>
        </w:rPr>
        <w:t xml:space="preserve">more </w:t>
      </w:r>
      <w:r w:rsidR="00103B8A" w:rsidRPr="00771883">
        <w:rPr>
          <w:szCs w:val="22"/>
        </w:rPr>
        <w:t>precisely the shortcoming</w:t>
      </w:r>
      <w:r w:rsidR="00500680" w:rsidRPr="00771883">
        <w:rPr>
          <w:szCs w:val="22"/>
        </w:rPr>
        <w:t>s of s46 and make only those am</w:t>
      </w:r>
      <w:r w:rsidR="00103B8A" w:rsidRPr="00771883">
        <w:rPr>
          <w:szCs w:val="22"/>
        </w:rPr>
        <w:t>endments needed to remedy them.</w:t>
      </w:r>
      <w:r w:rsidR="00500680" w:rsidRPr="00771883">
        <w:rPr>
          <w:szCs w:val="22"/>
        </w:rPr>
        <w:t xml:space="preserve"> </w:t>
      </w:r>
    </w:p>
    <w:p w14:paraId="17103DB1" w14:textId="5735B145" w:rsidR="008F1B9B" w:rsidRPr="00771883" w:rsidRDefault="00AF38D6" w:rsidP="00500680">
      <w:pPr>
        <w:rPr>
          <w:szCs w:val="22"/>
        </w:rPr>
      </w:pPr>
      <w:r w:rsidRPr="00771883">
        <w:rPr>
          <w:szCs w:val="22"/>
        </w:rPr>
        <w:t xml:space="preserve">The </w:t>
      </w:r>
      <w:r w:rsidR="0050055C">
        <w:rPr>
          <w:szCs w:val="22"/>
        </w:rPr>
        <w:t>HP</w:t>
      </w:r>
      <w:r w:rsidRPr="00771883">
        <w:rPr>
          <w:szCs w:val="22"/>
        </w:rPr>
        <w:t xml:space="preserve"> recommendation that subsections (1AAA) and (1</w:t>
      </w:r>
      <w:r w:rsidR="00500680" w:rsidRPr="00771883">
        <w:rPr>
          <w:szCs w:val="22"/>
        </w:rPr>
        <w:t>A</w:t>
      </w:r>
      <w:r w:rsidR="00831A0B" w:rsidRPr="00771883">
        <w:rPr>
          <w:szCs w:val="22"/>
        </w:rPr>
        <w:t xml:space="preserve">A) of s46 be repealed </w:t>
      </w:r>
      <w:r w:rsidR="00EC63A2">
        <w:rPr>
          <w:szCs w:val="22"/>
        </w:rPr>
        <w:t>is</w:t>
      </w:r>
      <w:r w:rsidR="00EC63A2" w:rsidRPr="00771883">
        <w:rPr>
          <w:szCs w:val="22"/>
        </w:rPr>
        <w:t xml:space="preserve"> </w:t>
      </w:r>
      <w:r w:rsidR="00831A0B" w:rsidRPr="00771883">
        <w:rPr>
          <w:szCs w:val="22"/>
        </w:rPr>
        <w:t xml:space="preserve">not </w:t>
      </w:r>
      <w:r w:rsidR="00A80E0B" w:rsidRPr="00771883">
        <w:rPr>
          <w:szCs w:val="22"/>
        </w:rPr>
        <w:t>raised</w:t>
      </w:r>
      <w:r w:rsidRPr="00771883">
        <w:rPr>
          <w:szCs w:val="22"/>
        </w:rPr>
        <w:t xml:space="preserve"> in the discussion paper</w:t>
      </w:r>
      <w:r w:rsidR="00A80E0B" w:rsidRPr="00771883">
        <w:rPr>
          <w:szCs w:val="22"/>
        </w:rPr>
        <w:t xml:space="preserve"> as </w:t>
      </w:r>
      <w:r w:rsidR="00EC63A2">
        <w:rPr>
          <w:szCs w:val="22"/>
        </w:rPr>
        <w:t xml:space="preserve">a </w:t>
      </w:r>
      <w:r w:rsidR="00A80E0B" w:rsidRPr="00771883">
        <w:rPr>
          <w:szCs w:val="22"/>
        </w:rPr>
        <w:t>matter for consultation</w:t>
      </w:r>
      <w:r w:rsidR="00103B8A" w:rsidRPr="00771883">
        <w:rPr>
          <w:szCs w:val="22"/>
        </w:rPr>
        <w:t xml:space="preserve">, </w:t>
      </w:r>
      <w:r w:rsidR="00831A0B" w:rsidRPr="00771883">
        <w:rPr>
          <w:szCs w:val="22"/>
        </w:rPr>
        <w:t>and</w:t>
      </w:r>
      <w:r w:rsidRPr="00771883">
        <w:rPr>
          <w:szCs w:val="22"/>
        </w:rPr>
        <w:t xml:space="preserve"> it is assumed the Government accepts </w:t>
      </w:r>
      <w:r w:rsidR="00EC63A2" w:rsidRPr="00771883">
        <w:rPr>
          <w:szCs w:val="22"/>
        </w:rPr>
        <w:t>th</w:t>
      </w:r>
      <w:r w:rsidR="00EC63A2">
        <w:rPr>
          <w:szCs w:val="22"/>
        </w:rPr>
        <w:t>at</w:t>
      </w:r>
      <w:r w:rsidR="00EC63A2" w:rsidRPr="00771883">
        <w:rPr>
          <w:szCs w:val="22"/>
        </w:rPr>
        <w:t xml:space="preserve"> </w:t>
      </w:r>
      <w:r w:rsidRPr="00771883">
        <w:rPr>
          <w:szCs w:val="22"/>
        </w:rPr>
        <w:t>aspect of recommendation 30.</w:t>
      </w:r>
      <w:r w:rsidR="00103B8A" w:rsidRPr="00771883">
        <w:rPr>
          <w:szCs w:val="22"/>
        </w:rPr>
        <w:t xml:space="preserve"> </w:t>
      </w:r>
      <w:r w:rsidRPr="00771883">
        <w:rPr>
          <w:szCs w:val="22"/>
        </w:rPr>
        <w:t>This submission supports the repeal of subsections (1AAA) and (1A</w:t>
      </w:r>
      <w:r w:rsidR="008F1B9B">
        <w:rPr>
          <w:szCs w:val="22"/>
        </w:rPr>
        <w:t>A</w:t>
      </w:r>
      <w:r w:rsidRPr="00771883">
        <w:rPr>
          <w:szCs w:val="22"/>
        </w:rPr>
        <w:t xml:space="preserve">), </w:t>
      </w:r>
      <w:r w:rsidR="00103B8A" w:rsidRPr="00771883">
        <w:rPr>
          <w:szCs w:val="22"/>
        </w:rPr>
        <w:t>which</w:t>
      </w:r>
      <w:r w:rsidRPr="00771883">
        <w:rPr>
          <w:szCs w:val="22"/>
        </w:rPr>
        <w:t xml:space="preserve"> are </w:t>
      </w:r>
      <w:r w:rsidR="00103B8A" w:rsidRPr="00771883">
        <w:rPr>
          <w:szCs w:val="22"/>
        </w:rPr>
        <w:t>poorly</w:t>
      </w:r>
      <w:r w:rsidRPr="00771883">
        <w:rPr>
          <w:szCs w:val="22"/>
        </w:rPr>
        <w:t xml:space="preserve"> </w:t>
      </w:r>
      <w:r w:rsidR="00500680" w:rsidRPr="00771883">
        <w:rPr>
          <w:szCs w:val="22"/>
        </w:rPr>
        <w:t>motivated</w:t>
      </w:r>
      <w:r w:rsidR="008B6699" w:rsidRPr="00771883">
        <w:rPr>
          <w:szCs w:val="22"/>
        </w:rPr>
        <w:t xml:space="preserve"> and inconsistent with established competition law standards</w:t>
      </w:r>
      <w:r w:rsidR="00500680" w:rsidRPr="00771883">
        <w:rPr>
          <w:szCs w:val="22"/>
        </w:rPr>
        <w:t>. T</w:t>
      </w:r>
      <w:r w:rsidRPr="00771883">
        <w:rPr>
          <w:szCs w:val="22"/>
        </w:rPr>
        <w:t xml:space="preserve">he </w:t>
      </w:r>
      <w:r w:rsidR="00500680" w:rsidRPr="00771883">
        <w:rPr>
          <w:szCs w:val="22"/>
        </w:rPr>
        <w:t>amended</w:t>
      </w:r>
      <w:r w:rsidRPr="00771883">
        <w:rPr>
          <w:szCs w:val="22"/>
        </w:rPr>
        <w:t xml:space="preserve"> s46 should be appropriately </w:t>
      </w:r>
      <w:r w:rsidR="00103B8A" w:rsidRPr="00771883">
        <w:rPr>
          <w:szCs w:val="22"/>
        </w:rPr>
        <w:t xml:space="preserve">designed to cover </w:t>
      </w:r>
      <w:r w:rsidRPr="00771883">
        <w:rPr>
          <w:szCs w:val="22"/>
        </w:rPr>
        <w:t>predatory pricing</w:t>
      </w:r>
      <w:r w:rsidR="00103B8A" w:rsidRPr="00771883">
        <w:rPr>
          <w:szCs w:val="22"/>
        </w:rPr>
        <w:t xml:space="preserve"> in addition to other forms of unilateral anticompetitive conduct</w:t>
      </w:r>
      <w:r w:rsidR="00A80E0B" w:rsidRPr="00771883">
        <w:rPr>
          <w:szCs w:val="22"/>
        </w:rPr>
        <w:t xml:space="preserve"> that involve misuse of market power</w:t>
      </w:r>
      <w:r w:rsidRPr="00771883">
        <w:rPr>
          <w:szCs w:val="22"/>
        </w:rPr>
        <w:t xml:space="preserve">. </w:t>
      </w:r>
    </w:p>
    <w:p w14:paraId="2E381BC2" w14:textId="71B1F03B" w:rsidR="00AF06F5" w:rsidRPr="00771883" w:rsidRDefault="00E4561F" w:rsidP="00AF06F5">
      <w:pPr>
        <w:pStyle w:val="Heading1"/>
      </w:pPr>
      <w:r w:rsidRPr="00771883">
        <w:t>Rationale of the Harper Panel’s proposal</w:t>
      </w:r>
    </w:p>
    <w:p w14:paraId="2FBE2158" w14:textId="09E973D3" w:rsidR="00AF38D6" w:rsidRPr="00771883" w:rsidRDefault="00AF38D6" w:rsidP="00CD6CD0">
      <w:r w:rsidRPr="00771883">
        <w:t>In its initial submission to the Harper review</w:t>
      </w:r>
      <w:r w:rsidR="00CD6CD0" w:rsidRPr="00771883">
        <w:t>,</w:t>
      </w:r>
      <w:r w:rsidRPr="00771883">
        <w:t xml:space="preserve"> the </w:t>
      </w:r>
      <w:r w:rsidR="0050055C">
        <w:t>Australian Competition and Consumer Commission (</w:t>
      </w:r>
      <w:r w:rsidRPr="00771883">
        <w:t>ACCC</w:t>
      </w:r>
      <w:r w:rsidR="0050055C">
        <w:t>)</w:t>
      </w:r>
      <w:r w:rsidRPr="00771883">
        <w:t xml:space="preserve"> argued that s46 is ineffective in its current form, partly because the courts have interpreted it more narrowly than it would have </w:t>
      </w:r>
      <w:r w:rsidRPr="00771883">
        <w:lastRenderedPageBreak/>
        <w:t>liked.</w:t>
      </w:r>
      <w:r w:rsidR="0050055C">
        <w:rPr>
          <w:rStyle w:val="FootnoteReference"/>
        </w:rPr>
        <w:footnoteReference w:id="2"/>
      </w:r>
      <w:r w:rsidRPr="00771883">
        <w:t xml:space="preserve"> S46(1) has three </w:t>
      </w:r>
      <w:r w:rsidR="00CD6CD0" w:rsidRPr="00771883">
        <w:t xml:space="preserve">main </w:t>
      </w:r>
      <w:r w:rsidRPr="00771883">
        <w:t>tests</w:t>
      </w:r>
      <w:r w:rsidR="00CD6CD0" w:rsidRPr="00771883">
        <w:t>—</w:t>
      </w:r>
      <w:r w:rsidRPr="00771883">
        <w:t>all necessary conditions</w:t>
      </w:r>
      <w:r w:rsidR="00CD6CD0" w:rsidRPr="00771883">
        <w:t>—</w:t>
      </w:r>
      <w:r w:rsidRPr="00771883">
        <w:t xml:space="preserve">to determine whether the conduct of a </w:t>
      </w:r>
      <w:r w:rsidR="00CD6CD0" w:rsidRPr="00771883">
        <w:t>corporation</w:t>
      </w:r>
      <w:r w:rsidRPr="00771883">
        <w:t xml:space="preserve"> is prohibited under that subsection. The </w:t>
      </w:r>
      <w:r w:rsidR="00CD6CD0" w:rsidRPr="00771883">
        <w:t>corporation</w:t>
      </w:r>
      <w:r w:rsidRPr="00771883">
        <w:t xml:space="preserve"> must have:</w:t>
      </w:r>
    </w:p>
    <w:p w14:paraId="2C11F98C" w14:textId="006E6F7A" w:rsidR="00AF38D6" w:rsidRPr="00771883" w:rsidRDefault="00AF38D6" w:rsidP="00B0615F">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771883">
        <w:rPr>
          <w:szCs w:val="22"/>
        </w:rPr>
        <w:t xml:space="preserve">a substantial degree of market power </w:t>
      </w:r>
      <w:r w:rsidR="008B6699" w:rsidRPr="00771883">
        <w:rPr>
          <w:szCs w:val="22"/>
        </w:rPr>
        <w:t>in a market</w:t>
      </w:r>
    </w:p>
    <w:p w14:paraId="489F3BC3" w14:textId="77777777" w:rsidR="00AF38D6" w:rsidRPr="00771883" w:rsidRDefault="00AF38D6" w:rsidP="00B0615F">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771883">
        <w:rPr>
          <w:szCs w:val="22"/>
        </w:rPr>
        <w:t>engaged in conduct with one of the three proscribed purposes, and</w:t>
      </w:r>
    </w:p>
    <w:p w14:paraId="1FC481C2" w14:textId="1814D98D" w:rsidR="00AF38D6" w:rsidRPr="00771883" w:rsidRDefault="00AF38D6" w:rsidP="00B0615F">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771883">
        <w:rPr>
          <w:szCs w:val="22"/>
        </w:rPr>
        <w:t xml:space="preserve">taken advantage of its </w:t>
      </w:r>
      <w:r w:rsidR="008F735F">
        <w:rPr>
          <w:szCs w:val="22"/>
        </w:rPr>
        <w:t xml:space="preserve">market </w:t>
      </w:r>
      <w:r w:rsidRPr="00771883">
        <w:rPr>
          <w:szCs w:val="22"/>
        </w:rPr>
        <w:t>power when doing so.</w:t>
      </w:r>
    </w:p>
    <w:p w14:paraId="50B2A1C1" w14:textId="34B5C5F1" w:rsidR="00AF38D6" w:rsidRPr="00771883" w:rsidRDefault="00AF38D6" w:rsidP="00AF3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771883">
        <w:rPr>
          <w:szCs w:val="22"/>
        </w:rPr>
        <w:t>The ACCC</w:t>
      </w:r>
      <w:r w:rsidR="008B6699" w:rsidRPr="00771883">
        <w:rPr>
          <w:szCs w:val="22"/>
        </w:rPr>
        <w:t xml:space="preserve"> was</w:t>
      </w:r>
      <w:r w:rsidR="00E811B8" w:rsidRPr="00771883">
        <w:rPr>
          <w:szCs w:val="22"/>
        </w:rPr>
        <w:t xml:space="preserve"> primarily concerned about</w:t>
      </w:r>
      <w:r w:rsidRPr="00771883">
        <w:rPr>
          <w:szCs w:val="22"/>
        </w:rPr>
        <w:t xml:space="preserve"> the </w:t>
      </w:r>
      <w:r w:rsidR="00E811B8" w:rsidRPr="00771883">
        <w:rPr>
          <w:szCs w:val="22"/>
        </w:rPr>
        <w:t>‘</w:t>
      </w:r>
      <w:r w:rsidRPr="00771883">
        <w:rPr>
          <w:szCs w:val="22"/>
        </w:rPr>
        <w:t>purpose test</w:t>
      </w:r>
      <w:r w:rsidR="00E811B8" w:rsidRPr="00771883">
        <w:rPr>
          <w:szCs w:val="22"/>
        </w:rPr>
        <w:t>’</w:t>
      </w:r>
      <w:r w:rsidRPr="00771883">
        <w:rPr>
          <w:szCs w:val="22"/>
        </w:rPr>
        <w:t xml:space="preserve"> and the </w:t>
      </w:r>
      <w:r w:rsidR="00E811B8" w:rsidRPr="00771883">
        <w:rPr>
          <w:szCs w:val="22"/>
        </w:rPr>
        <w:t>‘</w:t>
      </w:r>
      <w:r w:rsidRPr="00771883">
        <w:rPr>
          <w:szCs w:val="22"/>
        </w:rPr>
        <w:t>tak</w:t>
      </w:r>
      <w:r w:rsidR="00E811B8" w:rsidRPr="00771883">
        <w:rPr>
          <w:szCs w:val="22"/>
        </w:rPr>
        <w:t>e</w:t>
      </w:r>
      <w:r w:rsidRPr="00771883">
        <w:rPr>
          <w:szCs w:val="22"/>
        </w:rPr>
        <w:t xml:space="preserve"> advantage</w:t>
      </w:r>
      <w:r w:rsidR="00E811B8" w:rsidRPr="00771883">
        <w:rPr>
          <w:szCs w:val="22"/>
        </w:rPr>
        <w:t>’</w:t>
      </w:r>
      <w:r w:rsidRPr="00771883">
        <w:rPr>
          <w:szCs w:val="22"/>
        </w:rPr>
        <w:t xml:space="preserve"> test. Firstly, the requirement to prove a proscribed purpose </w:t>
      </w:r>
      <w:r w:rsidR="00CD6CD0" w:rsidRPr="00771883">
        <w:rPr>
          <w:szCs w:val="22"/>
        </w:rPr>
        <w:t>i</w:t>
      </w:r>
      <w:r w:rsidRPr="00771883">
        <w:rPr>
          <w:szCs w:val="22"/>
        </w:rPr>
        <w:t xml:space="preserve">s </w:t>
      </w:r>
      <w:r w:rsidR="00CD6CD0" w:rsidRPr="00771883">
        <w:rPr>
          <w:szCs w:val="22"/>
        </w:rPr>
        <w:t>regarded by the ACCC</w:t>
      </w:r>
      <w:r w:rsidRPr="00771883">
        <w:rPr>
          <w:szCs w:val="22"/>
        </w:rPr>
        <w:t xml:space="preserve"> as too onerous, and possibly not covering some forms of conduct likely to substantially lessen competition</w:t>
      </w:r>
      <w:r w:rsidR="00CD6CD0" w:rsidRPr="00771883">
        <w:rPr>
          <w:szCs w:val="22"/>
        </w:rPr>
        <w:t xml:space="preserve">, since </w:t>
      </w:r>
      <w:r w:rsidRPr="00771883">
        <w:rPr>
          <w:szCs w:val="22"/>
        </w:rPr>
        <w:t>“economic harm can arise from unilateral conduct which has the effect of substantially lessening competition but is not engaged in for an anti-competitive purpose”.</w:t>
      </w:r>
      <w:r w:rsidR="0050055C">
        <w:rPr>
          <w:rStyle w:val="FootnoteReference"/>
          <w:szCs w:val="22"/>
        </w:rPr>
        <w:footnoteReference w:id="3"/>
      </w:r>
      <w:r w:rsidRPr="00771883">
        <w:rPr>
          <w:szCs w:val="22"/>
        </w:rPr>
        <w:t xml:space="preserve"> It also suggested that lack of an effects test is “inconsistent with trends internationally” and is not internally consistent with related provisions in the CCA. These seem to be the main grounds for its proposal to include an </w:t>
      </w:r>
      <w:r w:rsidR="00E811B8" w:rsidRPr="00771883">
        <w:rPr>
          <w:szCs w:val="22"/>
        </w:rPr>
        <w:t>‘</w:t>
      </w:r>
      <w:r w:rsidRPr="00771883">
        <w:rPr>
          <w:szCs w:val="22"/>
        </w:rPr>
        <w:t>effects test</w:t>
      </w:r>
      <w:r w:rsidR="00E811B8" w:rsidRPr="00771883">
        <w:rPr>
          <w:szCs w:val="22"/>
        </w:rPr>
        <w:t>’</w:t>
      </w:r>
      <w:r w:rsidR="00885E55" w:rsidRPr="00771883">
        <w:rPr>
          <w:szCs w:val="22"/>
        </w:rPr>
        <w:t xml:space="preserve">, which </w:t>
      </w:r>
      <w:r w:rsidRPr="00771883">
        <w:rPr>
          <w:szCs w:val="22"/>
        </w:rPr>
        <w:t xml:space="preserve">means a prohibition of conduct by a </w:t>
      </w:r>
      <w:r w:rsidR="00885E55" w:rsidRPr="00771883">
        <w:rPr>
          <w:szCs w:val="22"/>
        </w:rPr>
        <w:t>corporation</w:t>
      </w:r>
      <w:r w:rsidRPr="00771883">
        <w:rPr>
          <w:szCs w:val="22"/>
        </w:rPr>
        <w:t xml:space="preserve"> with </w:t>
      </w:r>
      <w:r w:rsidR="00885E55" w:rsidRPr="00771883">
        <w:rPr>
          <w:szCs w:val="22"/>
        </w:rPr>
        <w:t xml:space="preserve">a </w:t>
      </w:r>
      <w:r w:rsidRPr="00771883">
        <w:rPr>
          <w:szCs w:val="22"/>
        </w:rPr>
        <w:t xml:space="preserve">substantial </w:t>
      </w:r>
      <w:r w:rsidR="00885E55" w:rsidRPr="00771883">
        <w:rPr>
          <w:szCs w:val="22"/>
        </w:rPr>
        <w:t xml:space="preserve">degree of </w:t>
      </w:r>
      <w:r w:rsidRPr="00771883">
        <w:rPr>
          <w:szCs w:val="22"/>
        </w:rPr>
        <w:t>market power</w:t>
      </w:r>
      <w:r w:rsidR="00885E55" w:rsidRPr="00771883">
        <w:rPr>
          <w:szCs w:val="22"/>
        </w:rPr>
        <w:t xml:space="preserve"> that is likely to have</w:t>
      </w:r>
      <w:r w:rsidRPr="00771883">
        <w:rPr>
          <w:szCs w:val="22"/>
        </w:rPr>
        <w:t xml:space="preserve"> the effect of substantially lessening competition.</w:t>
      </w:r>
    </w:p>
    <w:p w14:paraId="6FF43E61" w14:textId="4964A25E" w:rsidR="00AF38D6" w:rsidRPr="00771883" w:rsidRDefault="00AF38D6" w:rsidP="00885E55">
      <w:pPr>
        <w:rPr>
          <w:szCs w:val="22"/>
        </w:rPr>
      </w:pPr>
      <w:r w:rsidRPr="00771883">
        <w:rPr>
          <w:szCs w:val="22"/>
        </w:rPr>
        <w:t xml:space="preserve">The </w:t>
      </w:r>
      <w:r w:rsidR="00885E55" w:rsidRPr="00771883">
        <w:rPr>
          <w:szCs w:val="22"/>
        </w:rPr>
        <w:t xml:space="preserve">ACCC’s </w:t>
      </w:r>
      <w:r w:rsidRPr="00771883">
        <w:rPr>
          <w:szCs w:val="22"/>
        </w:rPr>
        <w:t xml:space="preserve">second </w:t>
      </w:r>
      <w:r w:rsidR="00885E55" w:rsidRPr="00771883">
        <w:rPr>
          <w:szCs w:val="22"/>
        </w:rPr>
        <w:t xml:space="preserve">main </w:t>
      </w:r>
      <w:r w:rsidRPr="00771883">
        <w:rPr>
          <w:szCs w:val="22"/>
        </w:rPr>
        <w:t>issue relate</w:t>
      </w:r>
      <w:r w:rsidR="00885E55" w:rsidRPr="00771883">
        <w:rPr>
          <w:szCs w:val="22"/>
        </w:rPr>
        <w:t>s</w:t>
      </w:r>
      <w:r w:rsidRPr="00771883">
        <w:rPr>
          <w:szCs w:val="22"/>
        </w:rPr>
        <w:t xml:space="preserve"> to the </w:t>
      </w:r>
      <w:r w:rsidR="00885E55" w:rsidRPr="00771883">
        <w:rPr>
          <w:szCs w:val="22"/>
        </w:rPr>
        <w:t>‘</w:t>
      </w:r>
      <w:r w:rsidRPr="00771883">
        <w:rPr>
          <w:szCs w:val="22"/>
        </w:rPr>
        <w:t>tak</w:t>
      </w:r>
      <w:r w:rsidR="00885E55" w:rsidRPr="00771883">
        <w:rPr>
          <w:szCs w:val="22"/>
        </w:rPr>
        <w:t>e</w:t>
      </w:r>
      <w:r w:rsidRPr="00771883">
        <w:rPr>
          <w:szCs w:val="22"/>
        </w:rPr>
        <w:t xml:space="preserve"> advantage</w:t>
      </w:r>
      <w:r w:rsidR="00885E55" w:rsidRPr="00771883">
        <w:rPr>
          <w:szCs w:val="22"/>
        </w:rPr>
        <w:t>’</w:t>
      </w:r>
      <w:r w:rsidRPr="00771883">
        <w:rPr>
          <w:szCs w:val="22"/>
        </w:rPr>
        <w:t xml:space="preserve"> test</w:t>
      </w:r>
      <w:r w:rsidR="00885E55" w:rsidRPr="00771883">
        <w:rPr>
          <w:szCs w:val="22"/>
        </w:rPr>
        <w:t xml:space="preserve">, which as it </w:t>
      </w:r>
      <w:r w:rsidRPr="00771883">
        <w:rPr>
          <w:szCs w:val="22"/>
        </w:rPr>
        <w:t>rightly point</w:t>
      </w:r>
      <w:r w:rsidR="00885E55" w:rsidRPr="00771883">
        <w:rPr>
          <w:szCs w:val="22"/>
        </w:rPr>
        <w:t>s</w:t>
      </w:r>
      <w:r w:rsidRPr="00771883">
        <w:rPr>
          <w:szCs w:val="22"/>
        </w:rPr>
        <w:t xml:space="preserve"> out</w:t>
      </w:r>
      <w:r w:rsidR="00885E55" w:rsidRPr="00771883">
        <w:rPr>
          <w:szCs w:val="22"/>
        </w:rPr>
        <w:t>,</w:t>
      </w:r>
      <w:r w:rsidRPr="00771883">
        <w:rPr>
          <w:szCs w:val="22"/>
        </w:rPr>
        <w:t xml:space="preserve"> </w:t>
      </w:r>
      <w:r w:rsidR="00885E55" w:rsidRPr="00771883">
        <w:rPr>
          <w:szCs w:val="22"/>
        </w:rPr>
        <w:t>has</w:t>
      </w:r>
      <w:r w:rsidRPr="00771883">
        <w:rPr>
          <w:szCs w:val="22"/>
        </w:rPr>
        <w:t xml:space="preserve"> become “the key filter to distinguish conduct that is pro-competitive (or benign</w:t>
      </w:r>
      <w:r w:rsidR="00AF07AF" w:rsidRPr="00771883">
        <w:rPr>
          <w:szCs w:val="22"/>
        </w:rPr>
        <w:t>) from anti-competitive conduct</w:t>
      </w:r>
      <w:r w:rsidRPr="00771883">
        <w:rPr>
          <w:szCs w:val="22"/>
        </w:rPr>
        <w:t>”.</w:t>
      </w:r>
      <w:r w:rsidR="0050055C">
        <w:rPr>
          <w:rStyle w:val="FootnoteReference"/>
          <w:szCs w:val="22"/>
        </w:rPr>
        <w:footnoteReference w:id="4"/>
      </w:r>
      <w:r w:rsidRPr="00771883">
        <w:rPr>
          <w:szCs w:val="22"/>
        </w:rPr>
        <w:t xml:space="preserve"> The deficiency which the ACCC s</w:t>
      </w:r>
      <w:r w:rsidR="00AF07AF" w:rsidRPr="00771883">
        <w:rPr>
          <w:szCs w:val="22"/>
        </w:rPr>
        <w:t>ees</w:t>
      </w:r>
      <w:r w:rsidRPr="00771883">
        <w:rPr>
          <w:szCs w:val="22"/>
        </w:rPr>
        <w:t xml:space="preserve"> in this test </w:t>
      </w:r>
      <w:r w:rsidR="00AF07AF" w:rsidRPr="00771883">
        <w:rPr>
          <w:szCs w:val="22"/>
        </w:rPr>
        <w:t>i</w:t>
      </w:r>
      <w:r w:rsidRPr="00771883">
        <w:rPr>
          <w:szCs w:val="22"/>
        </w:rPr>
        <w:t>s that “[i]n seeking to distinguish between conduct driven by pro-competitive economic efficiency, and that which is proscribed, the courts have been drawn into complex ‘counterfactual’ analyses …”</w:t>
      </w:r>
      <w:r w:rsidR="00AF07AF" w:rsidRPr="00771883">
        <w:rPr>
          <w:szCs w:val="22"/>
        </w:rPr>
        <w:t>.</w:t>
      </w:r>
      <w:r w:rsidR="0050055C">
        <w:rPr>
          <w:rStyle w:val="FootnoteReference"/>
          <w:szCs w:val="22"/>
        </w:rPr>
        <w:footnoteReference w:id="5"/>
      </w:r>
      <w:r w:rsidR="00AF07AF" w:rsidRPr="00771883">
        <w:rPr>
          <w:szCs w:val="22"/>
        </w:rPr>
        <w:t xml:space="preserve"> A</w:t>
      </w:r>
      <w:r w:rsidRPr="00771883">
        <w:rPr>
          <w:szCs w:val="22"/>
        </w:rPr>
        <w:t xml:space="preserve">s a result, </w:t>
      </w:r>
      <w:r w:rsidR="00AF07AF" w:rsidRPr="00771883">
        <w:rPr>
          <w:szCs w:val="22"/>
        </w:rPr>
        <w:t xml:space="preserve">it has been excessively difficult to successfully prosecute conduct under s46, even </w:t>
      </w:r>
      <w:r w:rsidRPr="00771883">
        <w:rPr>
          <w:szCs w:val="22"/>
        </w:rPr>
        <w:t xml:space="preserve">where </w:t>
      </w:r>
      <w:r w:rsidR="00AF07AF" w:rsidRPr="00771883">
        <w:rPr>
          <w:szCs w:val="22"/>
        </w:rPr>
        <w:t xml:space="preserve">the ACCC feels that </w:t>
      </w:r>
      <w:r w:rsidRPr="00771883">
        <w:rPr>
          <w:szCs w:val="22"/>
        </w:rPr>
        <w:t xml:space="preserve">substantial market power and anti-competitive purpose </w:t>
      </w:r>
      <w:r w:rsidR="00AF07AF" w:rsidRPr="00771883">
        <w:rPr>
          <w:szCs w:val="22"/>
        </w:rPr>
        <w:t>were proved</w:t>
      </w:r>
      <w:r w:rsidRPr="00771883">
        <w:rPr>
          <w:szCs w:val="22"/>
        </w:rPr>
        <w:t>.</w:t>
      </w:r>
    </w:p>
    <w:p w14:paraId="2EA2FA4F" w14:textId="0EE0D91F" w:rsidR="008C193A" w:rsidRPr="00771883" w:rsidRDefault="00AF07AF" w:rsidP="008C193A">
      <w:pPr>
        <w:rPr>
          <w:szCs w:val="22"/>
        </w:rPr>
      </w:pPr>
      <w:r w:rsidRPr="00771883">
        <w:rPr>
          <w:szCs w:val="22"/>
        </w:rPr>
        <w:t xml:space="preserve">The </w:t>
      </w:r>
      <w:r w:rsidR="00A80E0B" w:rsidRPr="00771883">
        <w:rPr>
          <w:szCs w:val="22"/>
        </w:rPr>
        <w:t xml:space="preserve">main aspects of the </w:t>
      </w:r>
      <w:r w:rsidR="0050055C">
        <w:rPr>
          <w:szCs w:val="22"/>
        </w:rPr>
        <w:t>HP</w:t>
      </w:r>
      <w:r w:rsidRPr="00771883">
        <w:rPr>
          <w:szCs w:val="22"/>
        </w:rPr>
        <w:t xml:space="preserve"> recommendation in relation </w:t>
      </w:r>
      <w:r w:rsidR="00A80E0B" w:rsidRPr="00771883">
        <w:rPr>
          <w:szCs w:val="22"/>
        </w:rPr>
        <w:t>to s46 are</w:t>
      </w:r>
      <w:r w:rsidR="008C193A" w:rsidRPr="00771883">
        <w:rPr>
          <w:szCs w:val="22"/>
        </w:rPr>
        <w:t>:</w:t>
      </w:r>
    </w:p>
    <w:p w14:paraId="4500543D" w14:textId="6FABE8AF" w:rsidR="008C193A" w:rsidRPr="00771883" w:rsidRDefault="00A80E0B" w:rsidP="00B0615F">
      <w:pPr>
        <w:pStyle w:val="ListParagraph"/>
        <w:numPr>
          <w:ilvl w:val="0"/>
          <w:numId w:val="7"/>
        </w:numPr>
      </w:pPr>
      <w:r w:rsidRPr="00771883">
        <w:rPr>
          <w:szCs w:val="22"/>
        </w:rPr>
        <w:t xml:space="preserve">in subsection (1), </w:t>
      </w:r>
      <w:r w:rsidR="00D72836">
        <w:rPr>
          <w:szCs w:val="22"/>
        </w:rPr>
        <w:t xml:space="preserve">to </w:t>
      </w:r>
      <w:r w:rsidR="00AF07AF" w:rsidRPr="00771883">
        <w:rPr>
          <w:szCs w:val="22"/>
        </w:rPr>
        <w:t>remove the ‘take advantage test</w:t>
      </w:r>
      <w:r w:rsidR="008C193A" w:rsidRPr="00771883">
        <w:rPr>
          <w:szCs w:val="22"/>
        </w:rPr>
        <w:t xml:space="preserve">’, and the specific proscribed purposes in paragraphs (a) to (c), and replace them with a broad test of whether the conduct of a corporation </w:t>
      </w:r>
      <w:r w:rsidR="00831A0B" w:rsidRPr="00771883">
        <w:rPr>
          <w:szCs w:val="22"/>
        </w:rPr>
        <w:t xml:space="preserve">that has a substantial degree of </w:t>
      </w:r>
      <w:r w:rsidR="00831A0B" w:rsidRPr="00771883">
        <w:rPr>
          <w:szCs w:val="22"/>
        </w:rPr>
        <w:lastRenderedPageBreak/>
        <w:t xml:space="preserve">market power </w:t>
      </w:r>
      <w:r w:rsidR="008C193A" w:rsidRPr="00771883">
        <w:rPr>
          <w:szCs w:val="22"/>
        </w:rPr>
        <w:t>has either the</w:t>
      </w:r>
      <w:r w:rsidR="00AF07AF" w:rsidRPr="00771883">
        <w:rPr>
          <w:szCs w:val="22"/>
        </w:rPr>
        <w:t xml:space="preserve"> purpose </w:t>
      </w:r>
      <w:r w:rsidR="008C193A" w:rsidRPr="00771883">
        <w:rPr>
          <w:szCs w:val="22"/>
        </w:rPr>
        <w:t>or the l</w:t>
      </w:r>
      <w:r w:rsidR="00AF07AF" w:rsidRPr="00771883">
        <w:t>ikely effect of substantially lessening competition in any market</w:t>
      </w:r>
      <w:r w:rsidR="008C193A" w:rsidRPr="00771883">
        <w:t>; and</w:t>
      </w:r>
    </w:p>
    <w:p w14:paraId="125E99C2" w14:textId="310A8141" w:rsidR="008C193A" w:rsidRPr="00771883" w:rsidRDefault="00D72836" w:rsidP="00B0615F">
      <w:pPr>
        <w:pStyle w:val="ListParagraph"/>
        <w:numPr>
          <w:ilvl w:val="0"/>
          <w:numId w:val="7"/>
        </w:numPr>
      </w:pPr>
      <w:r>
        <w:t xml:space="preserve">to </w:t>
      </w:r>
      <w:r w:rsidR="008C193A" w:rsidRPr="00771883">
        <w:t>introduce a new subsection (2) that obligates the courts, when applying the proposed ‘purpose</w:t>
      </w:r>
      <w:r w:rsidR="001B3749" w:rsidRPr="00771883">
        <w:t xml:space="preserve"> or </w:t>
      </w:r>
      <w:r w:rsidR="008C193A" w:rsidRPr="00771883">
        <w:t>effect test’ in s46(1), to balance pro-competitive factors such as “enhancing efficiency, innovation, product quality or price competitiveness in the market”; against anti-competitive factors such as “preventing, restricting or deterring the potential for competitive conduct in the market or new entry into the market”.</w:t>
      </w:r>
    </w:p>
    <w:p w14:paraId="002B5DB6" w14:textId="48BE1CED" w:rsidR="00143485" w:rsidRPr="00771883" w:rsidRDefault="005271EE" w:rsidP="00143485">
      <w:pPr>
        <w:pStyle w:val="Heading1"/>
      </w:pPr>
      <w:r>
        <w:t>Discussion of the HP proposal</w:t>
      </w:r>
    </w:p>
    <w:p w14:paraId="480283E5" w14:textId="60BF273C" w:rsidR="00143485" w:rsidRDefault="00143485" w:rsidP="00143485">
      <w:r w:rsidRPr="00771883">
        <w:t xml:space="preserve">This section </w:t>
      </w:r>
      <w:r w:rsidR="00E93093">
        <w:t>firstly</w:t>
      </w:r>
      <w:r w:rsidR="00616419" w:rsidRPr="00771883">
        <w:t xml:space="preserve"> </w:t>
      </w:r>
      <w:r w:rsidR="00E93093">
        <w:t xml:space="preserve">looks </w:t>
      </w:r>
      <w:r w:rsidR="00616419" w:rsidRPr="00771883">
        <w:t xml:space="preserve">at </w:t>
      </w:r>
      <w:r w:rsidR="005271EE">
        <w:t>whether the test</w:t>
      </w:r>
      <w:r w:rsidR="00E93093">
        <w:t>s</w:t>
      </w:r>
      <w:r w:rsidR="005271EE">
        <w:t xml:space="preserve"> of substantially lessening competition (“SLC test</w:t>
      </w:r>
      <w:r w:rsidR="00E93093">
        <w:t>s</w:t>
      </w:r>
      <w:r w:rsidR="005271EE">
        <w:t>”) that appl</w:t>
      </w:r>
      <w:r w:rsidR="00E93093">
        <w:t>y</w:t>
      </w:r>
      <w:r w:rsidR="005271EE">
        <w:t xml:space="preserve"> in sections 45 and 47 of the Act </w:t>
      </w:r>
      <w:r w:rsidR="00E93093">
        <w:t>are</w:t>
      </w:r>
      <w:r w:rsidR="005271EE">
        <w:t xml:space="preserve"> a useful guide for s46</w:t>
      </w:r>
      <w:r w:rsidR="00E93093">
        <w:t>. Secondly, it examines</w:t>
      </w:r>
      <w:r w:rsidR="005271EE">
        <w:t xml:space="preserve"> </w:t>
      </w:r>
      <w:r w:rsidR="00616419" w:rsidRPr="00771883">
        <w:t xml:space="preserve">whether the </w:t>
      </w:r>
      <w:r w:rsidR="001D2063">
        <w:t>HP</w:t>
      </w:r>
      <w:r w:rsidR="00616419" w:rsidRPr="00771883">
        <w:t xml:space="preserve"> proposal is more consistent with the U.S. law against monopolisation than the existing s46. </w:t>
      </w:r>
      <w:r w:rsidR="00E93093">
        <w:t xml:space="preserve">Thirdly, </w:t>
      </w:r>
      <w:r w:rsidR="00616419" w:rsidRPr="00771883">
        <w:t xml:space="preserve">a hypothetical example </w:t>
      </w:r>
      <w:r w:rsidR="00E93093">
        <w:t xml:space="preserve">is developed </w:t>
      </w:r>
      <w:r w:rsidR="00616419" w:rsidRPr="00771883">
        <w:t>in an attempt to show that the proposal may lead to overreach.</w:t>
      </w:r>
    </w:p>
    <w:p w14:paraId="10A54B83" w14:textId="131AA98D" w:rsidR="00702E55" w:rsidRDefault="001376E6" w:rsidP="001376E6">
      <w:pPr>
        <w:pStyle w:val="Heading2"/>
      </w:pPr>
      <w:r>
        <w:t>Nearby sections in the Act</w:t>
      </w:r>
    </w:p>
    <w:p w14:paraId="304E9770" w14:textId="2EFC088C" w:rsidR="00702E55" w:rsidRDefault="001376E6" w:rsidP="00143485">
      <w:r>
        <w:t xml:space="preserve">The </w:t>
      </w:r>
      <w:r w:rsidR="00506250">
        <w:t xml:space="preserve">ACCC </w:t>
      </w:r>
      <w:r w:rsidR="004D1FC4">
        <w:t xml:space="preserve">has </w:t>
      </w:r>
      <w:r w:rsidR="00506250">
        <w:t>noted that</w:t>
      </w:r>
      <w:r>
        <w:t xml:space="preserve"> s</w:t>
      </w:r>
      <w:r w:rsidRPr="001376E6">
        <w:t xml:space="preserve">45 (anti-competitive arrangements) and </w:t>
      </w:r>
      <w:r>
        <w:t>s</w:t>
      </w:r>
      <w:r w:rsidRPr="001376E6">
        <w:t xml:space="preserve">47 (exclusive dealing) </w:t>
      </w:r>
      <w:r>
        <w:t xml:space="preserve">use a test of whether the </w:t>
      </w:r>
      <w:r w:rsidR="004D1FC4">
        <w:t xml:space="preserve">challenged </w:t>
      </w:r>
      <w:r>
        <w:t xml:space="preserve">conduct has the </w:t>
      </w:r>
      <w:r w:rsidRPr="001376E6">
        <w:t xml:space="preserve">purpose, </w:t>
      </w:r>
      <w:r w:rsidRPr="00710D9E">
        <w:t>effect or likely effect</w:t>
      </w:r>
      <w:r w:rsidRPr="001376E6">
        <w:t xml:space="preserve"> of substantially lessen</w:t>
      </w:r>
      <w:r>
        <w:t>ing</w:t>
      </w:r>
      <w:r w:rsidRPr="001376E6">
        <w:t xml:space="preserve"> competition</w:t>
      </w:r>
      <w:r w:rsidR="00506250">
        <w:t>, and greater internal consistency would be achieved if a similar SLC test were used in s46</w:t>
      </w:r>
      <w:r>
        <w:t>.</w:t>
      </w:r>
      <w:r w:rsidR="004D1FC4">
        <w:rPr>
          <w:rStyle w:val="FootnoteReference"/>
        </w:rPr>
        <w:footnoteReference w:id="6"/>
      </w:r>
      <w:r>
        <w:t xml:space="preserve"> However, </w:t>
      </w:r>
      <w:r w:rsidR="006C4D46">
        <w:t xml:space="preserve">this comparison with the test in s46 is not necessarily pertinent. </w:t>
      </w:r>
      <w:r w:rsidR="00FE2B19">
        <w:t>S</w:t>
      </w:r>
      <w:r w:rsidR="006C4D46">
        <w:t xml:space="preserve">ections 45 and 47 mostly </w:t>
      </w:r>
      <w:r>
        <w:t>in</w:t>
      </w:r>
      <w:r w:rsidR="006C4D46">
        <w:t xml:space="preserve">volve </w:t>
      </w:r>
      <w:r w:rsidR="004D1FC4">
        <w:t>agreements</w:t>
      </w:r>
      <w:r w:rsidR="006C4D46">
        <w:t xml:space="preserve"> between </w:t>
      </w:r>
      <w:r w:rsidR="004D1FC4">
        <w:t>firms</w:t>
      </w:r>
      <w:r w:rsidR="006C4D46">
        <w:t xml:space="preserve">. S45 addresses horizontal agreements to exclude certain firms by preventing or inhibiting the supply of certain goods to them, or purchases of certain goods from them by the parties to the agreement. S47 </w:t>
      </w:r>
      <w:r w:rsidR="00FE2B19">
        <w:t xml:space="preserve">applies to certain vertical restraints, </w:t>
      </w:r>
      <w:r w:rsidR="004D1FC4">
        <w:t>commonly</w:t>
      </w:r>
      <w:r w:rsidR="00FE2B19">
        <w:t xml:space="preserve"> </w:t>
      </w:r>
      <w:r w:rsidR="007D708B">
        <w:t xml:space="preserve">(but not always) </w:t>
      </w:r>
      <w:r w:rsidR="00FE2B19">
        <w:t xml:space="preserve">involving exclusive dealing arrangements between </w:t>
      </w:r>
      <w:r w:rsidR="00194D2E">
        <w:t>producers</w:t>
      </w:r>
      <w:r w:rsidR="00FE2B19">
        <w:t xml:space="preserve"> and wholesalers or wholesalers and retailers.</w:t>
      </w:r>
      <w:r w:rsidR="00FE2B19">
        <w:rPr>
          <w:rStyle w:val="FootnoteReference"/>
        </w:rPr>
        <w:footnoteReference w:id="7"/>
      </w:r>
      <w:r w:rsidR="00FE2B19">
        <w:t xml:space="preserve"> Because the</w:t>
      </w:r>
      <w:r w:rsidR="007D708B">
        <w:t>se provisions usually</w:t>
      </w:r>
      <w:r w:rsidR="00FE2B19">
        <w:t xml:space="preserve"> involve </w:t>
      </w:r>
      <w:r w:rsidR="004D1FC4">
        <w:t>agreements</w:t>
      </w:r>
      <w:r w:rsidR="00FE2B19">
        <w:t xml:space="preserve"> between </w:t>
      </w:r>
      <w:r w:rsidR="004D1FC4">
        <w:t>firms</w:t>
      </w:r>
      <w:r w:rsidR="00FE2B19">
        <w:t xml:space="preserve"> that restrict competition, they are unlike s46, which applies to the unilateral conduct of firms with substantial market power.</w:t>
      </w:r>
    </w:p>
    <w:p w14:paraId="464B04A3" w14:textId="53635A7D" w:rsidR="00FE2B19" w:rsidRDefault="00FE2B19" w:rsidP="00143485">
      <w:r>
        <w:t>As Hovenkamp has observed:</w:t>
      </w:r>
    </w:p>
    <w:p w14:paraId="0E00E524" w14:textId="648AEB3D" w:rsidR="00FE2B19" w:rsidRDefault="00FE2B19" w:rsidP="00FE2B19">
      <w:pPr>
        <w:pStyle w:val="Quote"/>
      </w:pPr>
      <w:r>
        <w:t>Antitrust is more hospitable to unilateral conduct tha</w:t>
      </w:r>
      <w:r w:rsidR="002F5815">
        <w:t>n</w:t>
      </w:r>
      <w:r>
        <w:t xml:space="preserve"> to conduct that results from an agreement between two or more firms. </w:t>
      </w:r>
      <w:r w:rsidR="002F5815">
        <w:t>…</w:t>
      </w:r>
      <w:r>
        <w:t xml:space="preserve"> the difference in attitude is both clear and justified.</w:t>
      </w:r>
      <w:r>
        <w:rPr>
          <w:rStyle w:val="FootnoteReference"/>
        </w:rPr>
        <w:footnoteReference w:id="8"/>
      </w:r>
    </w:p>
    <w:p w14:paraId="39FD6933" w14:textId="28DDA42E" w:rsidR="00FE2B19" w:rsidRPr="00771883" w:rsidRDefault="002F5815" w:rsidP="00143485">
      <w:r>
        <w:t xml:space="preserve">The reason for the difference in attitude is that multilateral agreements between firms represent a much easier way for firms to achieve </w:t>
      </w:r>
      <w:r w:rsidR="00EC63A2">
        <w:t xml:space="preserve">or maintain </w:t>
      </w:r>
      <w:r>
        <w:t xml:space="preserve">dominance and are therefore the greater threat to competition than is unilateral </w:t>
      </w:r>
      <w:r w:rsidR="004D1FC4">
        <w:t xml:space="preserve">anticompetitive </w:t>
      </w:r>
      <w:r>
        <w:t xml:space="preserve">conduct. For this reason, the argument that the test in s46 should be amended to be more similar to the test applied in nearby provisions is not </w:t>
      </w:r>
      <w:r w:rsidR="00084800">
        <w:t>persuasive</w:t>
      </w:r>
      <w:r>
        <w:t>.</w:t>
      </w:r>
    </w:p>
    <w:p w14:paraId="31028420" w14:textId="14E2204F" w:rsidR="00E24F18" w:rsidRPr="00771883" w:rsidRDefault="00EC1764" w:rsidP="00143485">
      <w:pPr>
        <w:pStyle w:val="Heading2"/>
      </w:pPr>
      <w:r w:rsidRPr="00771883">
        <w:t>Prohibition of</w:t>
      </w:r>
      <w:r w:rsidR="00026B54" w:rsidRPr="00771883">
        <w:t xml:space="preserve"> </w:t>
      </w:r>
      <w:r w:rsidR="00E4561F" w:rsidRPr="00771883">
        <w:t>m</w:t>
      </w:r>
      <w:r w:rsidR="00026B54" w:rsidRPr="00771883">
        <w:t>onopolis</w:t>
      </w:r>
      <w:r w:rsidR="00E4561F" w:rsidRPr="00771883">
        <w:t>ation</w:t>
      </w:r>
      <w:r w:rsidRPr="00771883">
        <w:t xml:space="preserve"> in the USA</w:t>
      </w:r>
    </w:p>
    <w:p w14:paraId="22CD2659" w14:textId="2863B40A" w:rsidR="00B90654" w:rsidRDefault="00983830" w:rsidP="00EC1764">
      <w:r>
        <w:t xml:space="preserve">Section </w:t>
      </w:r>
      <w:r w:rsidRPr="00771883">
        <w:t>2 of the Sherman Act in the USA</w:t>
      </w:r>
      <w:r w:rsidRPr="00771883" w:rsidDel="00D72836">
        <w:t xml:space="preserve"> </w:t>
      </w:r>
      <w:r>
        <w:t>is a</w:t>
      </w:r>
      <w:r w:rsidR="00BC5C3F" w:rsidRPr="00771883">
        <w:t xml:space="preserve"> useful </w:t>
      </w:r>
      <w:r w:rsidR="00D72836">
        <w:t>example</w:t>
      </w:r>
      <w:r w:rsidR="00D72836" w:rsidRPr="00771883">
        <w:t xml:space="preserve"> </w:t>
      </w:r>
      <w:r w:rsidR="00D41472" w:rsidRPr="00771883">
        <w:t>against which s46</w:t>
      </w:r>
      <w:r w:rsidR="00BC5C3F" w:rsidRPr="00771883">
        <w:t xml:space="preserve"> and the </w:t>
      </w:r>
      <w:r w:rsidR="00B90654">
        <w:t xml:space="preserve">HP </w:t>
      </w:r>
      <w:r w:rsidR="00BC5C3F" w:rsidRPr="00771883">
        <w:t xml:space="preserve">proposal can be </w:t>
      </w:r>
      <w:r w:rsidR="001B3749" w:rsidRPr="00771883">
        <w:t>compared</w:t>
      </w:r>
      <w:r w:rsidR="00B90654">
        <w:t xml:space="preserve">. </w:t>
      </w:r>
      <w:r>
        <w:t>Although</w:t>
      </w:r>
      <w:r w:rsidR="00B90654">
        <w:t xml:space="preserve"> many have argued that it is far from </w:t>
      </w:r>
      <w:r>
        <w:t>ideal, it is a</w:t>
      </w:r>
      <w:r w:rsidR="008F1B9B">
        <w:t>n</w:t>
      </w:r>
      <w:r>
        <w:t xml:space="preserve"> important comparator because</w:t>
      </w:r>
      <w:r w:rsidR="00B90654">
        <w:t xml:space="preserve"> </w:t>
      </w:r>
      <w:r w:rsidR="00A952FC" w:rsidRPr="00771883">
        <w:t>the USA</w:t>
      </w:r>
      <w:r w:rsidR="001B3749" w:rsidRPr="00771883">
        <w:t xml:space="preserve"> is a common law system</w:t>
      </w:r>
      <w:r w:rsidR="008B6699" w:rsidRPr="00771883">
        <w:t xml:space="preserve"> </w:t>
      </w:r>
      <w:r w:rsidR="001B3749" w:rsidRPr="00771883">
        <w:t xml:space="preserve">like </w:t>
      </w:r>
      <w:r w:rsidR="008B6699" w:rsidRPr="00771883">
        <w:t xml:space="preserve">Australia, </w:t>
      </w:r>
      <w:r w:rsidR="00A952FC" w:rsidRPr="00771883">
        <w:t xml:space="preserve">and </w:t>
      </w:r>
      <w:r w:rsidR="00BC5C3F" w:rsidRPr="00771883">
        <w:t xml:space="preserve">interpretation </w:t>
      </w:r>
      <w:r w:rsidR="00B90654">
        <w:t>of the Sherman Act h</w:t>
      </w:r>
      <w:r w:rsidR="001B3749" w:rsidRPr="00771883">
        <w:t xml:space="preserve">as </w:t>
      </w:r>
      <w:r w:rsidR="00BC5C3F" w:rsidRPr="00771883">
        <w:t xml:space="preserve">developed </w:t>
      </w:r>
      <w:r w:rsidR="001B3749" w:rsidRPr="00771883">
        <w:t xml:space="preserve">in </w:t>
      </w:r>
      <w:r w:rsidR="00BC5C3F" w:rsidRPr="00771883">
        <w:t xml:space="preserve">over a century of case law. </w:t>
      </w:r>
    </w:p>
    <w:p w14:paraId="760B9FF5" w14:textId="28B7EB12" w:rsidR="00BD4304" w:rsidRPr="00771883" w:rsidRDefault="00DB7A38" w:rsidP="00EC1764">
      <w:r w:rsidRPr="00771883">
        <w:t>Sherman Act s2 prohibits monopolis</w:t>
      </w:r>
      <w:r w:rsidR="00BC5C3F" w:rsidRPr="00771883">
        <w:t xml:space="preserve">ing conduct, and </w:t>
      </w:r>
      <w:r w:rsidRPr="00771883">
        <w:t>does not prohibit monopoly that arises from other causes, such as superior efficiency</w:t>
      </w:r>
      <w:r w:rsidR="00A952FC" w:rsidRPr="00771883">
        <w:t xml:space="preserve"> or acumen</w:t>
      </w:r>
      <w:r w:rsidRPr="00771883">
        <w:t>, a superior product, mismanagement by competitors</w:t>
      </w:r>
      <w:r w:rsidR="00A952FC" w:rsidRPr="00771883">
        <w:t>, or chance</w:t>
      </w:r>
      <w:r w:rsidR="00983830">
        <w:t xml:space="preserve"> outcomes of risk-taking</w:t>
      </w:r>
      <w:r w:rsidRPr="00771883">
        <w:t>. No</w:t>
      </w:r>
      <w:r w:rsidR="00EC1764" w:rsidRPr="00771883">
        <w:t>r</w:t>
      </w:r>
      <w:r w:rsidRPr="00771883">
        <w:t xml:space="preserve"> does it prohibit "monopoly pricing" by a firm with a substantial degree of market power. </w:t>
      </w:r>
    </w:p>
    <w:p w14:paraId="7C6BCFE3" w14:textId="2806C871" w:rsidR="00BD4304" w:rsidRPr="00771883" w:rsidRDefault="00DB7A38" w:rsidP="00BD4304">
      <w:pPr>
        <w:pStyle w:val="Quote"/>
      </w:pPr>
      <w:r w:rsidRPr="00771883">
        <w:t>Monopoly profits will result even if the firm's monopoly power is innocently acquired or maintained. However, the Sherman Act does not condemn the mere statu</w:t>
      </w:r>
      <w:r w:rsidR="00EC1764" w:rsidRPr="00771883">
        <w:t>s of monopoly—more is required</w:t>
      </w:r>
      <w:r w:rsidR="00BD4304" w:rsidRPr="00771883">
        <w:t>.</w:t>
      </w:r>
      <w:r w:rsidR="00BD4304" w:rsidRPr="00771883">
        <w:rPr>
          <w:rStyle w:val="FootnoteReference"/>
        </w:rPr>
        <w:footnoteReference w:id="9"/>
      </w:r>
      <w:r w:rsidR="00EC1764" w:rsidRPr="00771883">
        <w:t xml:space="preserve"> </w:t>
      </w:r>
    </w:p>
    <w:p w14:paraId="274467E6" w14:textId="160D613F" w:rsidR="00B90654" w:rsidRDefault="00B90654" w:rsidP="00EC1764">
      <w:r>
        <w:t>And:</w:t>
      </w:r>
    </w:p>
    <w:p w14:paraId="0652BC06" w14:textId="67926589" w:rsidR="00B90654" w:rsidRDefault="00B90654" w:rsidP="00B90654">
      <w:pPr>
        <w:pStyle w:val="Quote"/>
      </w:pPr>
      <w:r>
        <w:t>we do not condemn monopolists for the simple act of reducing output and raising price. Rather, we insist on a showing of unreasonable “exclusionary” conduct.</w:t>
      </w:r>
      <w:r>
        <w:rPr>
          <w:rStyle w:val="FootnoteReference"/>
        </w:rPr>
        <w:footnoteReference w:id="10"/>
      </w:r>
    </w:p>
    <w:p w14:paraId="2E3E5148" w14:textId="11A375FA" w:rsidR="00DB7A38" w:rsidRPr="00771883" w:rsidRDefault="00BD4304" w:rsidP="00EC1764">
      <w:r w:rsidRPr="00771883">
        <w:t>This submission</w:t>
      </w:r>
      <w:r w:rsidR="00EC1764" w:rsidRPr="00771883">
        <w:t xml:space="preserve"> attempt</w:t>
      </w:r>
      <w:r w:rsidRPr="00771883">
        <w:t>s</w:t>
      </w:r>
      <w:r w:rsidR="00EC1764" w:rsidRPr="00771883">
        <w:t xml:space="preserve"> to show</w:t>
      </w:r>
      <w:r w:rsidR="00EC46AF">
        <w:t>, in section 3.</w:t>
      </w:r>
      <w:r w:rsidR="00C2318E">
        <w:t>3</w:t>
      </w:r>
      <w:r w:rsidR="00EC46AF">
        <w:t>,</w:t>
      </w:r>
      <w:r w:rsidR="00EC1764" w:rsidRPr="00771883">
        <w:t xml:space="preserve"> that </w:t>
      </w:r>
      <w:r w:rsidRPr="00771883">
        <w:t xml:space="preserve">the </w:t>
      </w:r>
      <w:r w:rsidR="00EC46AF">
        <w:t xml:space="preserve">HP </w:t>
      </w:r>
      <w:r w:rsidR="00EC1764" w:rsidRPr="00771883">
        <w:t>propos</w:t>
      </w:r>
      <w:r w:rsidR="00EC46AF">
        <w:t xml:space="preserve">al for </w:t>
      </w:r>
      <w:r w:rsidR="00EC1764" w:rsidRPr="00771883">
        <w:t>s46(1) would in some (many?) cases prohibit a firm that innocently possesses market power from earning monopoly profits, which is very</w:t>
      </w:r>
      <w:r w:rsidR="00D41472" w:rsidRPr="00771883">
        <w:t xml:space="preserve"> different to the current s</w:t>
      </w:r>
      <w:r w:rsidR="00EC1764" w:rsidRPr="00771883">
        <w:t>46 and to the corresponding prohibition in the Sherman Act.</w:t>
      </w:r>
    </w:p>
    <w:p w14:paraId="27C10515" w14:textId="41473F8E" w:rsidR="00DB7A38" w:rsidRPr="00771883" w:rsidRDefault="00DB7A38" w:rsidP="00EC1764">
      <w:r w:rsidRPr="00771883">
        <w:t xml:space="preserve">The two main elements of the monopolisation offence </w:t>
      </w:r>
      <w:r w:rsidR="00EC1764" w:rsidRPr="00771883">
        <w:t xml:space="preserve">in the Sherman Act </w:t>
      </w:r>
      <w:r w:rsidRPr="00771883">
        <w:t>are:</w:t>
      </w:r>
    </w:p>
    <w:p w14:paraId="32ECCCDF" w14:textId="77777777" w:rsidR="00DB7A38" w:rsidRPr="00771883" w:rsidRDefault="00DB7A38" w:rsidP="00B0615F">
      <w:pPr>
        <w:pStyle w:val="ListParagraph"/>
        <w:numPr>
          <w:ilvl w:val="0"/>
          <w:numId w:val="5"/>
        </w:numPr>
      </w:pPr>
      <w:r w:rsidRPr="00771883">
        <w:t>possession of monopoly power in a relevant market</w:t>
      </w:r>
    </w:p>
    <w:p w14:paraId="417C6379" w14:textId="35538FF4" w:rsidR="00DB7A38" w:rsidRPr="00771883" w:rsidRDefault="00DB7A38" w:rsidP="00B0615F">
      <w:pPr>
        <w:pStyle w:val="ListParagraph"/>
        <w:numPr>
          <w:ilvl w:val="0"/>
          <w:numId w:val="5"/>
        </w:numPr>
      </w:pPr>
      <w:r w:rsidRPr="00771883">
        <w:t>purposeful and intentional action to acquire or maintain that power</w:t>
      </w:r>
      <w:r w:rsidR="00BD4304" w:rsidRPr="00771883">
        <w:t>.</w:t>
      </w:r>
      <w:r w:rsidR="00BD4304" w:rsidRPr="00771883">
        <w:rPr>
          <w:rStyle w:val="FootnoteReference"/>
        </w:rPr>
        <w:footnoteReference w:id="11"/>
      </w:r>
      <w:r w:rsidR="00EC1764" w:rsidRPr="00771883">
        <w:t xml:space="preserve"> </w:t>
      </w:r>
    </w:p>
    <w:p w14:paraId="75C81919" w14:textId="35597174" w:rsidR="00516700" w:rsidRPr="00771883" w:rsidRDefault="00DB7A38" w:rsidP="00EC1764">
      <w:r w:rsidRPr="00771883">
        <w:t xml:space="preserve">"Monopoly power" in this context has a similar meaning to "a substantial degree of market power" in Australian </w:t>
      </w:r>
      <w:r w:rsidRPr="00C46867">
        <w:t>competition law</w:t>
      </w:r>
      <w:r w:rsidR="00EC1764" w:rsidRPr="00C46867">
        <w:t>.</w:t>
      </w:r>
      <w:r w:rsidR="00C46867" w:rsidRPr="00C46867">
        <w:rPr>
          <w:rStyle w:val="FootnoteReference"/>
        </w:rPr>
        <w:footnoteReference w:id="12"/>
      </w:r>
      <w:r w:rsidRPr="00C46867">
        <w:t xml:space="preserve"> </w:t>
      </w:r>
      <w:r w:rsidR="00EC1764" w:rsidRPr="00C46867">
        <w:t>Thus the Sherman</w:t>
      </w:r>
      <w:r w:rsidR="00EC1764" w:rsidRPr="00771883">
        <w:t xml:space="preserve"> Act s2 has broadly similar elements to the current CCA s46(1)</w:t>
      </w:r>
      <w:r w:rsidR="00C46867">
        <w:t>.</w:t>
      </w:r>
      <w:r w:rsidR="00516700" w:rsidRPr="00771883">
        <w:t xml:space="preserve"> </w:t>
      </w:r>
      <w:r w:rsidR="00D61C7B" w:rsidRPr="00771883">
        <w:t>However, there are several important differences</w:t>
      </w:r>
      <w:r w:rsidR="00D41472" w:rsidRPr="00771883">
        <w:t xml:space="preserve">. </w:t>
      </w:r>
    </w:p>
    <w:p w14:paraId="00FEAEF8" w14:textId="66518475" w:rsidR="00D61C7B" w:rsidRPr="00771883" w:rsidRDefault="00D61C7B" w:rsidP="00EC1764">
      <w:r w:rsidRPr="00771883">
        <w:t xml:space="preserve">Firstly, there is no equivalent to the </w:t>
      </w:r>
      <w:r w:rsidR="00983830">
        <w:t>‘</w:t>
      </w:r>
      <w:r w:rsidR="00983830" w:rsidRPr="00771883">
        <w:t>tak</w:t>
      </w:r>
      <w:r w:rsidR="00983830">
        <w:t>e</w:t>
      </w:r>
      <w:r w:rsidR="00983830" w:rsidRPr="00771883">
        <w:t xml:space="preserve"> </w:t>
      </w:r>
      <w:r w:rsidRPr="00771883">
        <w:t>advantage</w:t>
      </w:r>
      <w:r w:rsidR="00983830">
        <w:t>’</w:t>
      </w:r>
      <w:r w:rsidR="00983830" w:rsidRPr="00771883">
        <w:t xml:space="preserve"> </w:t>
      </w:r>
      <w:r w:rsidRPr="00771883">
        <w:t xml:space="preserve">test. </w:t>
      </w:r>
      <w:r w:rsidR="000B6412" w:rsidRPr="00771883">
        <w:t xml:space="preserve">There is a </w:t>
      </w:r>
      <w:r w:rsidRPr="00771883">
        <w:t xml:space="preserve">necessary </w:t>
      </w:r>
      <w:r w:rsidR="000B6412" w:rsidRPr="00771883">
        <w:t xml:space="preserve">connection between the two </w:t>
      </w:r>
      <w:r w:rsidRPr="00771883">
        <w:t>elements of Sherman Act monopolisation</w:t>
      </w:r>
      <w:r w:rsidR="000B6412" w:rsidRPr="00771883">
        <w:t>, so that t</w:t>
      </w:r>
      <w:r w:rsidR="0078219D">
        <w:t xml:space="preserve">he monopolist is shown to have </w:t>
      </w:r>
      <w:r w:rsidR="000B6412" w:rsidRPr="00771883">
        <w:t xml:space="preserve">exercised </w:t>
      </w:r>
      <w:r w:rsidR="0078219D">
        <w:t>its</w:t>
      </w:r>
      <w:r w:rsidR="000B6412" w:rsidRPr="00771883">
        <w:t xml:space="preserve"> </w:t>
      </w:r>
      <w:r w:rsidR="0078219D">
        <w:t>market</w:t>
      </w:r>
      <w:r w:rsidR="000B6412" w:rsidRPr="00771883">
        <w:t xml:space="preserve"> power to acquire or maintain</w:t>
      </w:r>
      <w:r w:rsidR="0078219D">
        <w:t xml:space="preserve"> the</w:t>
      </w:r>
      <w:r w:rsidR="000B6412" w:rsidRPr="00771883">
        <w:t xml:space="preserve"> market power. </w:t>
      </w:r>
      <w:r w:rsidR="008F1B9B">
        <w:t>However,</w:t>
      </w:r>
      <w:r w:rsidR="008F1B9B" w:rsidRPr="00771883">
        <w:t xml:space="preserve"> </w:t>
      </w:r>
      <w:r w:rsidR="001B3749" w:rsidRPr="00771883">
        <w:rPr>
          <w:i/>
        </w:rPr>
        <w:t>exercising</w:t>
      </w:r>
      <w:r w:rsidR="001B3749" w:rsidRPr="00771883">
        <w:t xml:space="preserve"> </w:t>
      </w:r>
      <w:r w:rsidR="000B6412" w:rsidRPr="00771883">
        <w:t xml:space="preserve">market power </w:t>
      </w:r>
      <w:r w:rsidR="001B3749" w:rsidRPr="00771883">
        <w:t xml:space="preserve">for an anticompetitive purpose is a less stringent test than the </w:t>
      </w:r>
      <w:r w:rsidR="00516700" w:rsidRPr="00771883">
        <w:t>‘</w:t>
      </w:r>
      <w:r w:rsidR="001B3749" w:rsidRPr="00771883">
        <w:t>take advantage</w:t>
      </w:r>
      <w:r w:rsidR="00516700" w:rsidRPr="00771883">
        <w:t>’</w:t>
      </w:r>
      <w:r w:rsidR="001B3749" w:rsidRPr="00771883">
        <w:t xml:space="preserve"> test under s46—which usually requires that the corporation could or would not have engaged in the conduct </w:t>
      </w:r>
      <w:r w:rsidR="00516700" w:rsidRPr="00771883">
        <w:t>absent its substantial market power.</w:t>
      </w:r>
      <w:r w:rsidR="001B3749" w:rsidRPr="00771883">
        <w:t xml:space="preserve"> </w:t>
      </w:r>
    </w:p>
    <w:p w14:paraId="3DE45FED" w14:textId="67B8251C" w:rsidR="00EC1764" w:rsidRPr="00771883" w:rsidRDefault="00D61C7B" w:rsidP="00EC1764">
      <w:r w:rsidRPr="00771883">
        <w:t>Secondly, in t</w:t>
      </w:r>
      <w:r w:rsidR="00FC25CE" w:rsidRPr="00771883">
        <w:t>he Sherman Act, the</w:t>
      </w:r>
      <w:r w:rsidR="000B6412" w:rsidRPr="00771883">
        <w:t xml:space="preserve"> </w:t>
      </w:r>
      <w:r w:rsidRPr="00771883">
        <w:t>‘</w:t>
      </w:r>
      <w:r w:rsidR="000B6412" w:rsidRPr="00771883">
        <w:t>pu</w:t>
      </w:r>
      <w:r w:rsidR="00FC25CE" w:rsidRPr="00771883">
        <w:t>rpose</w:t>
      </w:r>
      <w:r w:rsidR="009A0704" w:rsidRPr="00771883">
        <w:t>’ element</w:t>
      </w:r>
      <w:r w:rsidR="00FC25CE" w:rsidRPr="00771883">
        <w:t xml:space="preserve"> </w:t>
      </w:r>
      <w:r w:rsidR="000F6DD8" w:rsidRPr="00771883">
        <w:t>requires that the monopolist “</w:t>
      </w:r>
      <w:r w:rsidR="000F6DD8" w:rsidRPr="00771883">
        <w:rPr>
          <w:i/>
        </w:rPr>
        <w:t xml:space="preserve">deliberately and purposefully” </w:t>
      </w:r>
      <w:r w:rsidR="000F6DD8" w:rsidRPr="00771883">
        <w:t>used its market power, pre</w:t>
      </w:r>
      <w:r w:rsidR="00FC25CE" w:rsidRPr="00771883">
        <w:t>clud</w:t>
      </w:r>
      <w:r w:rsidR="000F6DD8" w:rsidRPr="00771883">
        <w:t>ing</w:t>
      </w:r>
      <w:r w:rsidR="00FC25CE" w:rsidRPr="00771883">
        <w:t xml:space="preserve"> “inadvertent or accidental conduct”</w:t>
      </w:r>
      <w:r w:rsidR="000F6DD8" w:rsidRPr="00771883">
        <w:t>,</w:t>
      </w:r>
      <w:r w:rsidR="00FC25CE" w:rsidRPr="00771883">
        <w:t xml:space="preserve"> but “a </w:t>
      </w:r>
      <w:r w:rsidR="00FC25CE" w:rsidRPr="00771883">
        <w:rPr>
          <w:i/>
        </w:rPr>
        <w:t>specific intent</w:t>
      </w:r>
      <w:r w:rsidR="00295535" w:rsidRPr="00771883">
        <w:t xml:space="preserve"> to monopolize is not required”</w:t>
      </w:r>
      <w:r w:rsidR="00FC25CE" w:rsidRPr="00771883">
        <w:t>.</w:t>
      </w:r>
      <w:r w:rsidR="00295535" w:rsidRPr="00771883">
        <w:rPr>
          <w:rStyle w:val="FootnoteReference"/>
        </w:rPr>
        <w:footnoteReference w:id="13"/>
      </w:r>
      <w:r w:rsidR="00FC25CE" w:rsidRPr="00771883">
        <w:t xml:space="preserve"> </w:t>
      </w:r>
      <w:r w:rsidR="00F60CE4" w:rsidRPr="00771883">
        <w:t xml:space="preserve">This may be contrasted with </w:t>
      </w:r>
      <w:r w:rsidR="009A0704" w:rsidRPr="00771883">
        <w:t xml:space="preserve">Australian </w:t>
      </w:r>
      <w:r w:rsidR="00DE7877" w:rsidRPr="00771883">
        <w:t xml:space="preserve">competition </w:t>
      </w:r>
      <w:r w:rsidR="009A0704" w:rsidRPr="00771883">
        <w:t>case law</w:t>
      </w:r>
      <w:r w:rsidR="00DE7877" w:rsidRPr="00771883">
        <w:t xml:space="preserve">, </w:t>
      </w:r>
      <w:r w:rsidR="00F60CE4" w:rsidRPr="00771883">
        <w:t xml:space="preserve">where </w:t>
      </w:r>
      <w:r w:rsidR="00DE7877" w:rsidRPr="00771883">
        <w:t>‘purpose’ refers to “a substantial subjective purpose informing the minds of the decision-makers”</w:t>
      </w:r>
      <w:r w:rsidR="00F60CE4" w:rsidRPr="00771883">
        <w:t xml:space="preserve"> of the relevant </w:t>
      </w:r>
      <w:r w:rsidR="002E271B">
        <w:t>business</w:t>
      </w:r>
      <w:r w:rsidR="00F60CE4" w:rsidRPr="00771883">
        <w:t>.</w:t>
      </w:r>
      <w:r w:rsidR="00F60CE4" w:rsidRPr="00771883">
        <w:rPr>
          <w:rStyle w:val="FootnoteReference"/>
        </w:rPr>
        <w:footnoteReference w:id="14"/>
      </w:r>
      <w:r w:rsidR="00DE7877" w:rsidRPr="00771883">
        <w:t xml:space="preserve"> </w:t>
      </w:r>
      <w:r w:rsidR="00D576D2" w:rsidRPr="00771883">
        <w:t>A</w:t>
      </w:r>
      <w:r w:rsidR="00DE7877" w:rsidRPr="00771883">
        <w:t xml:space="preserve"> </w:t>
      </w:r>
      <w:r w:rsidR="00DE7877" w:rsidRPr="002E271B">
        <w:t>motive</w:t>
      </w:r>
      <w:r w:rsidR="00DE7877" w:rsidRPr="00771883">
        <w:t xml:space="preserve"> t</w:t>
      </w:r>
      <w:r w:rsidR="007D708B">
        <w:t>o exclude potential competitors</w:t>
      </w:r>
      <w:r w:rsidR="00D576D2" w:rsidRPr="00771883">
        <w:t xml:space="preserve">, alone, </w:t>
      </w:r>
      <w:r w:rsidR="007D708B">
        <w:t xml:space="preserve">is </w:t>
      </w:r>
      <w:r w:rsidR="00D576D2" w:rsidRPr="00771883">
        <w:t>in</w:t>
      </w:r>
      <w:r w:rsidR="00F60CE4" w:rsidRPr="00771883">
        <w:t>sufficient</w:t>
      </w:r>
      <w:r w:rsidR="00C2318E">
        <w:t>.</w:t>
      </w:r>
      <w:r w:rsidR="00F60CE4" w:rsidRPr="00771883">
        <w:t xml:space="preserve"> </w:t>
      </w:r>
      <w:r w:rsidR="00C2318E">
        <w:t>T</w:t>
      </w:r>
      <w:r w:rsidR="00F60CE4" w:rsidRPr="00771883">
        <w:t xml:space="preserve">he </w:t>
      </w:r>
      <w:r w:rsidR="00C2318E">
        <w:t xml:space="preserve">exclusionary </w:t>
      </w:r>
      <w:r w:rsidR="00F60CE4" w:rsidRPr="00771883">
        <w:t xml:space="preserve">purpose </w:t>
      </w:r>
      <w:r w:rsidR="002E271B">
        <w:t>is</w:t>
      </w:r>
      <w:r w:rsidR="00C2318E">
        <w:t xml:space="preserve"> the specific</w:t>
      </w:r>
      <w:r w:rsidR="00F60CE4" w:rsidRPr="00771883">
        <w:t xml:space="preserve"> ”end sought to be accomplished”</w:t>
      </w:r>
      <w:r w:rsidR="00C2318E">
        <w:t xml:space="preserve"> by the conduct</w:t>
      </w:r>
      <w:r w:rsidR="00F60CE4" w:rsidRPr="00771883">
        <w:t>.</w:t>
      </w:r>
      <w:r w:rsidR="00F60CE4" w:rsidRPr="00771883">
        <w:rPr>
          <w:rStyle w:val="FootnoteReference"/>
        </w:rPr>
        <w:footnoteReference w:id="15"/>
      </w:r>
      <w:r w:rsidR="00983830">
        <w:t xml:space="preserve"> That is, a specific intent to accomplish one of the three proscribed purposes is required.</w:t>
      </w:r>
    </w:p>
    <w:p w14:paraId="5C00F857" w14:textId="71E0DDE1" w:rsidR="00DB7A38" w:rsidRPr="00771883" w:rsidRDefault="00295535" w:rsidP="00EC1764">
      <w:r w:rsidRPr="00771883">
        <w:t xml:space="preserve">Thirdly, </w:t>
      </w:r>
      <w:r w:rsidR="00D41472" w:rsidRPr="00771883">
        <w:t>s</w:t>
      </w:r>
      <w:r w:rsidR="00DB7A38" w:rsidRPr="00771883">
        <w:t xml:space="preserve">2 of the Sherman Act also prohibits </w:t>
      </w:r>
      <w:r w:rsidR="00DB7A38" w:rsidRPr="00771883">
        <w:rPr>
          <w:i/>
        </w:rPr>
        <w:t>attempts</w:t>
      </w:r>
      <w:r w:rsidR="00DB7A38" w:rsidRPr="00771883">
        <w:t xml:space="preserve"> to monopolise, </w:t>
      </w:r>
      <w:r w:rsidR="00983830">
        <w:t>which</w:t>
      </w:r>
      <w:r w:rsidR="00DB7A38" w:rsidRPr="00771883">
        <w:t xml:space="preserve"> "permits some degree of control over exclusionary single-firm conduct in cases where the offending firm does not possess clear monopoly power".</w:t>
      </w:r>
      <w:r w:rsidR="00983830">
        <w:rPr>
          <w:rStyle w:val="FootnoteReference"/>
        </w:rPr>
        <w:footnoteReference w:id="16"/>
      </w:r>
      <w:r w:rsidR="00DB7A38" w:rsidRPr="00771883">
        <w:t xml:space="preserve"> </w:t>
      </w:r>
      <w:r w:rsidR="00983830">
        <w:t xml:space="preserve">In these cases </w:t>
      </w:r>
      <w:r w:rsidR="00DB7A38" w:rsidRPr="00771883">
        <w:t xml:space="preserve">it </w:t>
      </w:r>
      <w:r w:rsidR="00983830">
        <w:t>i</w:t>
      </w:r>
      <w:r w:rsidR="00DB7A38" w:rsidRPr="00771883">
        <w:t xml:space="preserve">s necessary to prove </w:t>
      </w:r>
      <w:r w:rsidR="00983830">
        <w:t>the defendant</w:t>
      </w:r>
      <w:r w:rsidR="00705DA8">
        <w:t xml:space="preserve"> had a specific intent to monopolise</w:t>
      </w:r>
      <w:r w:rsidR="00705DA8" w:rsidRPr="00771883">
        <w:t xml:space="preserve"> </w:t>
      </w:r>
      <w:r w:rsidR="00705DA8">
        <w:t xml:space="preserve">and </w:t>
      </w:r>
      <w:r w:rsidR="00DB7A38" w:rsidRPr="00771883">
        <w:t>"</w:t>
      </w:r>
      <w:r w:rsidR="00DB7A38" w:rsidRPr="00223AF0">
        <w:t>a dangerous probability of achieving monopoly power</w:t>
      </w:r>
      <w:r w:rsidR="00DB7A38" w:rsidRPr="00771883">
        <w:t>"</w:t>
      </w:r>
      <w:r w:rsidR="00BD4304" w:rsidRPr="00771883">
        <w:t>.</w:t>
      </w:r>
      <w:r w:rsidR="00BD4304" w:rsidRPr="00771883">
        <w:rPr>
          <w:rStyle w:val="FootnoteReference"/>
        </w:rPr>
        <w:footnoteReference w:id="17"/>
      </w:r>
      <w:r w:rsidR="005F78FF" w:rsidRPr="00771883">
        <w:t xml:space="preserve"> Neither the current, nor </w:t>
      </w:r>
      <w:r w:rsidR="00D41472" w:rsidRPr="00771883">
        <w:t xml:space="preserve">the </w:t>
      </w:r>
      <w:r w:rsidR="009C6CA8">
        <w:t>HP</w:t>
      </w:r>
      <w:r w:rsidR="005F78FF" w:rsidRPr="00771883">
        <w:t xml:space="preserve"> proposed</w:t>
      </w:r>
      <w:r w:rsidRPr="00771883">
        <w:t xml:space="preserve"> s</w:t>
      </w:r>
      <w:r w:rsidR="005F78FF" w:rsidRPr="00771883">
        <w:t xml:space="preserve">46(1), </w:t>
      </w:r>
      <w:r w:rsidR="00983830">
        <w:t>has</w:t>
      </w:r>
      <w:r w:rsidR="00983830" w:rsidRPr="00771883">
        <w:t xml:space="preserve"> </w:t>
      </w:r>
      <w:r w:rsidR="005F78FF" w:rsidRPr="00771883">
        <w:t>an equivalent prohibition.</w:t>
      </w:r>
    </w:p>
    <w:p w14:paraId="56DA13A0" w14:textId="41DE7FEE" w:rsidR="008F1B9B" w:rsidRDefault="009A0704" w:rsidP="00EC1764">
      <w:r w:rsidRPr="00771883">
        <w:t>Fourth, the kinds of conduct that would satisfy the second element of the Sherman Act monopolisation test</w:t>
      </w:r>
      <w:r w:rsidR="00983830">
        <w:t>—</w:t>
      </w:r>
      <w:r w:rsidRPr="00771883">
        <w:t xml:space="preserve">i.e. </w:t>
      </w:r>
      <w:r w:rsidR="00983830">
        <w:t>the kinds of business behaviour</w:t>
      </w:r>
      <w:r w:rsidRPr="00771883">
        <w:t xml:space="preserve"> </w:t>
      </w:r>
      <w:r w:rsidR="00983830">
        <w:t>characterised as</w:t>
      </w:r>
      <w:r w:rsidRPr="00771883">
        <w:t xml:space="preserve"> anticompetitive conduct</w:t>
      </w:r>
      <w:r w:rsidR="00983830">
        <w:t>—</w:t>
      </w:r>
      <w:r w:rsidRPr="00771883">
        <w:t xml:space="preserve">are not specified, unlike s46(1), which sets out three </w:t>
      </w:r>
      <w:r w:rsidR="00EC63A2">
        <w:t>general</w:t>
      </w:r>
      <w:r w:rsidR="00EC63A2" w:rsidRPr="00771883">
        <w:t xml:space="preserve"> </w:t>
      </w:r>
      <w:r w:rsidRPr="00771883">
        <w:t xml:space="preserve">proscribed purposes. </w:t>
      </w:r>
      <w:r w:rsidR="002E45AC" w:rsidRPr="00771883">
        <w:t>I</w:t>
      </w:r>
      <w:r w:rsidRPr="00771883">
        <w:t>n the USA, the anticompetitive nature of the conduct needs to be argued on a case-by-case basis</w:t>
      </w:r>
      <w:r w:rsidR="00342A3C" w:rsidRPr="00771883">
        <w:t>—a process commonly referred to as the “rule of reason”.</w:t>
      </w:r>
      <w:r w:rsidR="002E45AC" w:rsidRPr="00771883">
        <w:t xml:space="preserve"> </w:t>
      </w:r>
      <w:r w:rsidR="008F1B9B">
        <w:t>As part of this inquiry,</w:t>
      </w:r>
      <w:r w:rsidR="002E45AC" w:rsidRPr="00771883">
        <w:t xml:space="preserve"> </w:t>
      </w:r>
      <w:r w:rsidR="002103D4" w:rsidRPr="00771883">
        <w:t>it is necessary to prove</w:t>
      </w:r>
      <w:r w:rsidR="002E45AC" w:rsidRPr="00771883">
        <w:t xml:space="preserve"> harm to competition</w:t>
      </w:r>
      <w:r w:rsidR="008F1B9B">
        <w:t xml:space="preserve"> resulting or likely to result from the defendant’s conduct</w:t>
      </w:r>
      <w:r w:rsidR="00BC5C3F" w:rsidRPr="00771883">
        <w:t>. H</w:t>
      </w:r>
      <w:r w:rsidR="002103D4" w:rsidRPr="00771883">
        <w:t xml:space="preserve">arm </w:t>
      </w:r>
      <w:r w:rsidR="00BD4304" w:rsidRPr="00771883">
        <w:t xml:space="preserve">to </w:t>
      </w:r>
      <w:r w:rsidR="002E45AC" w:rsidRPr="00771883">
        <w:t>competitors</w:t>
      </w:r>
      <w:r w:rsidR="002103D4" w:rsidRPr="00771883">
        <w:t xml:space="preserve"> is not </w:t>
      </w:r>
      <w:r w:rsidR="008F1B9B">
        <w:t>the same thing</w:t>
      </w:r>
      <w:r w:rsidR="002E45AC" w:rsidRPr="00771883">
        <w:t>.</w:t>
      </w:r>
      <w:r w:rsidR="002103D4" w:rsidRPr="00771883">
        <w:t xml:space="preserve"> Harm to competition is generally regarded as equivalent to harm to consumers.</w:t>
      </w:r>
      <w:r w:rsidR="002103D4" w:rsidRPr="00771883">
        <w:rPr>
          <w:rStyle w:val="FootnoteReference"/>
        </w:rPr>
        <w:footnoteReference w:id="18"/>
      </w:r>
      <w:r w:rsidR="00BC5C3F" w:rsidRPr="00771883">
        <w:t xml:space="preserve"> </w:t>
      </w:r>
    </w:p>
    <w:p w14:paraId="72A7BF66" w14:textId="1360FE9E" w:rsidR="005F78FF" w:rsidRPr="00771883" w:rsidRDefault="008F1B9B" w:rsidP="00EC1764">
      <w:r w:rsidRPr="00B84CE0">
        <w:t xml:space="preserve">To prove </w:t>
      </w:r>
      <w:r w:rsidR="00BC5C3F" w:rsidRPr="00B84CE0">
        <w:t>conduct is anticompetitive, it is necessary to differentiate anticompetitive conduct from competition on the merits.</w:t>
      </w:r>
      <w:r w:rsidR="00D41472" w:rsidRPr="00B84CE0">
        <w:t xml:space="preserve"> </w:t>
      </w:r>
      <w:r w:rsidR="00B84CE0" w:rsidRPr="00B84CE0">
        <w:t>The principle that harm to competition matters, not harm to competitors, is well established</w:t>
      </w:r>
      <w:r w:rsidR="00B84CE0" w:rsidRPr="00B84CE0" w:rsidDel="008F1B9B">
        <w:t xml:space="preserve"> </w:t>
      </w:r>
      <w:r w:rsidR="00B84CE0" w:rsidRPr="00B84CE0">
        <w:t xml:space="preserve">in Australian case law. However, there is no specific element in s46 under which this inquiry would naturally be undertaken. </w:t>
      </w:r>
      <w:r w:rsidR="00B84CE0" w:rsidRPr="001C2ECA">
        <w:t xml:space="preserve">The proscribed purposes do not differentiate between harm to competitors and harm to competition. </w:t>
      </w:r>
      <w:r w:rsidR="00516700" w:rsidRPr="00B84CE0">
        <w:t>T</w:t>
      </w:r>
      <w:r w:rsidR="00D41472" w:rsidRPr="00B84CE0">
        <w:t>he special meaning of “tak</w:t>
      </w:r>
      <w:r w:rsidR="004A5D7F">
        <w:t>e</w:t>
      </w:r>
      <w:r w:rsidR="00D41472" w:rsidRPr="00B84CE0">
        <w:t xml:space="preserve"> advantage” has in part developed to assist the courts to differentiate between anticompetitive conduct and competition on the merits.</w:t>
      </w:r>
      <w:r w:rsidR="00D41472" w:rsidRPr="00771883">
        <w:t xml:space="preserve"> </w:t>
      </w:r>
    </w:p>
    <w:p w14:paraId="3E9A0EE4" w14:textId="77777777" w:rsidR="00236280" w:rsidRDefault="00F574F3" w:rsidP="00EC1764">
      <w:r w:rsidRPr="00771883">
        <w:t xml:space="preserve">The </w:t>
      </w:r>
      <w:r w:rsidR="00705DA8">
        <w:t>HP</w:t>
      </w:r>
      <w:r w:rsidRPr="00771883">
        <w:t xml:space="preserve"> proposal has some similarities to U.S. practice, with </w:t>
      </w:r>
      <w:r w:rsidR="00516700" w:rsidRPr="00771883">
        <w:t xml:space="preserve">regard to </w:t>
      </w:r>
      <w:r w:rsidRPr="00771883">
        <w:t>its emphasis on case-b</w:t>
      </w:r>
      <w:r w:rsidR="003227AA" w:rsidRPr="00771883">
        <w:t>y</w:t>
      </w:r>
      <w:r w:rsidRPr="00771883">
        <w:t xml:space="preserve">-case assessment of whether there is likely to be a substantial lessening of competition. But an important difference is that it would prohibit conduct by a firm with market power if </w:t>
      </w:r>
      <w:r w:rsidRPr="00771883">
        <w:rPr>
          <w:i/>
        </w:rPr>
        <w:t>either</w:t>
      </w:r>
      <w:r w:rsidRPr="00771883">
        <w:t xml:space="preserve"> it has an anticompetitive purpose, </w:t>
      </w:r>
      <w:r w:rsidRPr="00771883">
        <w:rPr>
          <w:i/>
        </w:rPr>
        <w:t>or</w:t>
      </w:r>
      <w:r w:rsidRPr="00771883">
        <w:t xml:space="preserve"> it would substantially lessen competition. By contrast, s2 of the Sherman Act</w:t>
      </w:r>
      <w:r w:rsidR="00516700" w:rsidRPr="00771883">
        <w:t>, as given effect by the courts,</w:t>
      </w:r>
      <w:r w:rsidRPr="00771883">
        <w:t xml:space="preserve"> </w:t>
      </w:r>
      <w:r w:rsidR="00705DA8">
        <w:t xml:space="preserve">usually </w:t>
      </w:r>
      <w:r w:rsidRPr="00771883">
        <w:t xml:space="preserve">requires </w:t>
      </w:r>
      <w:r w:rsidRPr="00771883">
        <w:rPr>
          <w:i/>
        </w:rPr>
        <w:t>both</w:t>
      </w:r>
      <w:r w:rsidRPr="00771883">
        <w:t xml:space="preserve"> a purpose (although not necessarily a specific intent to monopolize) </w:t>
      </w:r>
      <w:r w:rsidRPr="00771883">
        <w:rPr>
          <w:i/>
        </w:rPr>
        <w:t>and</w:t>
      </w:r>
      <w:r w:rsidRPr="00771883">
        <w:t xml:space="preserve"> an anticompetitive effect</w:t>
      </w:r>
      <w:r w:rsidR="00705DA8">
        <w:t>, with the latter given particular emphasis (see section 4)</w:t>
      </w:r>
      <w:r w:rsidRPr="00771883">
        <w:t xml:space="preserve">. Furthermore, the Harper proposal has no requirement that the defendant’s market power be used in carrying out the anticompetitive conduct, unlike the USA. For these reasons, there </w:t>
      </w:r>
      <w:r w:rsidR="00705DA8">
        <w:t>remains a substantial difference</w:t>
      </w:r>
      <w:r w:rsidR="009F182D" w:rsidRPr="00771883">
        <w:t xml:space="preserve"> between and the </w:t>
      </w:r>
      <w:r w:rsidR="00705DA8">
        <w:t>HP</w:t>
      </w:r>
      <w:r w:rsidR="009F182D" w:rsidRPr="00771883">
        <w:t xml:space="preserve"> proposal for s46</w:t>
      </w:r>
      <w:r w:rsidRPr="00771883">
        <w:t xml:space="preserve"> </w:t>
      </w:r>
      <w:r w:rsidR="00705DA8">
        <w:t xml:space="preserve">and relevant international practice as exemplified by </w:t>
      </w:r>
      <w:r w:rsidR="00705DA8" w:rsidRPr="00771883">
        <w:t xml:space="preserve">U.S. </w:t>
      </w:r>
      <w:r w:rsidR="00705DA8">
        <w:t xml:space="preserve">antitrust </w:t>
      </w:r>
      <w:r w:rsidR="00705DA8" w:rsidRPr="00771883">
        <w:t>law</w:t>
      </w:r>
      <w:r w:rsidR="00705DA8">
        <w:t>.</w:t>
      </w:r>
    </w:p>
    <w:p w14:paraId="32BDA0AE" w14:textId="373A1772" w:rsidR="007D708B" w:rsidRDefault="00F574F3" w:rsidP="00EC1764">
      <w:r w:rsidRPr="00771883">
        <w:t xml:space="preserve">The following table sets out the elements the </w:t>
      </w:r>
      <w:r w:rsidR="00705DA8">
        <w:t>HP</w:t>
      </w:r>
      <w:r w:rsidRPr="00771883">
        <w:t xml:space="preserve"> </w:t>
      </w:r>
      <w:r w:rsidR="00705DA8" w:rsidRPr="00771883">
        <w:t>propos</w:t>
      </w:r>
      <w:r w:rsidR="00705DA8">
        <w:t>al</w:t>
      </w:r>
      <w:r w:rsidRPr="00771883">
        <w:t xml:space="preserve"> against the current s46 and against s2 of the Sherman Act.</w:t>
      </w:r>
    </w:p>
    <w:p w14:paraId="436E5EF8" w14:textId="40689A92" w:rsidR="005127A3" w:rsidRPr="00771883" w:rsidRDefault="00F42752" w:rsidP="00FF4DB5">
      <w:pPr>
        <w:spacing w:before="360"/>
        <w:rPr>
          <w:b/>
          <w:sz w:val="24"/>
        </w:rPr>
      </w:pPr>
      <w:r>
        <w:rPr>
          <w:b/>
          <w:sz w:val="24"/>
        </w:rPr>
        <w:t xml:space="preserve">Table: </w:t>
      </w:r>
      <w:r w:rsidR="003227AA" w:rsidRPr="00771883">
        <w:rPr>
          <w:b/>
          <w:sz w:val="24"/>
        </w:rPr>
        <w:t>Elements of s46 (actual &amp; proposed) compared with Sherman Act s2</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59"/>
        <w:gridCol w:w="1560"/>
        <w:gridCol w:w="1559"/>
      </w:tblGrid>
      <w:tr w:rsidR="005F78FF" w:rsidRPr="00771883" w14:paraId="3A3AA9CB" w14:textId="77777777" w:rsidTr="005127A3">
        <w:tc>
          <w:tcPr>
            <w:tcW w:w="4219" w:type="dxa"/>
            <w:tcBorders>
              <w:top w:val="single" w:sz="4" w:space="0" w:color="auto"/>
              <w:bottom w:val="single" w:sz="4" w:space="0" w:color="auto"/>
            </w:tcBorders>
            <w:shd w:val="clear" w:color="auto" w:fill="E6E6E6"/>
          </w:tcPr>
          <w:p w14:paraId="0C68971A" w14:textId="0D1640C4" w:rsidR="005F78FF" w:rsidRPr="00771883" w:rsidRDefault="00213C20" w:rsidP="005F78FF">
            <w:pPr>
              <w:rPr>
                <w:b/>
                <w:i/>
                <w:sz w:val="20"/>
                <w:szCs w:val="20"/>
              </w:rPr>
            </w:pPr>
            <w:r w:rsidRPr="00771883">
              <w:rPr>
                <w:b/>
                <w:i/>
                <w:sz w:val="20"/>
                <w:szCs w:val="20"/>
              </w:rPr>
              <w:t>Elements</w:t>
            </w:r>
          </w:p>
        </w:tc>
        <w:tc>
          <w:tcPr>
            <w:tcW w:w="1559" w:type="dxa"/>
            <w:tcBorders>
              <w:top w:val="single" w:sz="4" w:space="0" w:color="auto"/>
              <w:bottom w:val="single" w:sz="4" w:space="0" w:color="auto"/>
            </w:tcBorders>
            <w:shd w:val="clear" w:color="auto" w:fill="E6E6E6"/>
          </w:tcPr>
          <w:p w14:paraId="237983A8" w14:textId="2E2C1588" w:rsidR="005F78FF" w:rsidRPr="00771883" w:rsidRDefault="00213C20" w:rsidP="00EB2CF1">
            <w:pPr>
              <w:jc w:val="center"/>
              <w:rPr>
                <w:b/>
                <w:i/>
                <w:sz w:val="20"/>
                <w:szCs w:val="20"/>
              </w:rPr>
            </w:pPr>
            <w:r w:rsidRPr="00771883">
              <w:rPr>
                <w:b/>
                <w:i/>
                <w:sz w:val="20"/>
                <w:szCs w:val="20"/>
              </w:rPr>
              <w:t>C</w:t>
            </w:r>
            <w:r w:rsidR="005F78FF" w:rsidRPr="00771883">
              <w:rPr>
                <w:b/>
                <w:i/>
                <w:sz w:val="20"/>
                <w:szCs w:val="20"/>
              </w:rPr>
              <w:t>urrent s46(1)</w:t>
            </w:r>
          </w:p>
        </w:tc>
        <w:tc>
          <w:tcPr>
            <w:tcW w:w="1560" w:type="dxa"/>
            <w:tcBorders>
              <w:top w:val="single" w:sz="4" w:space="0" w:color="auto"/>
              <w:bottom w:val="single" w:sz="4" w:space="0" w:color="auto"/>
            </w:tcBorders>
            <w:shd w:val="clear" w:color="auto" w:fill="E6E6E6"/>
          </w:tcPr>
          <w:p w14:paraId="07BC9B40" w14:textId="6AECFFE7" w:rsidR="005F78FF" w:rsidRPr="00771883" w:rsidRDefault="005F78FF" w:rsidP="00EB2CF1">
            <w:pPr>
              <w:jc w:val="center"/>
              <w:rPr>
                <w:b/>
                <w:i/>
                <w:sz w:val="20"/>
                <w:szCs w:val="20"/>
              </w:rPr>
            </w:pPr>
            <w:r w:rsidRPr="00771883">
              <w:rPr>
                <w:b/>
                <w:i/>
                <w:sz w:val="20"/>
                <w:szCs w:val="20"/>
              </w:rPr>
              <w:t>Sherman s2</w:t>
            </w:r>
          </w:p>
        </w:tc>
        <w:tc>
          <w:tcPr>
            <w:tcW w:w="1559" w:type="dxa"/>
            <w:tcBorders>
              <w:top w:val="single" w:sz="4" w:space="0" w:color="auto"/>
              <w:bottom w:val="single" w:sz="4" w:space="0" w:color="auto"/>
            </w:tcBorders>
            <w:shd w:val="clear" w:color="auto" w:fill="E6E6E6"/>
          </w:tcPr>
          <w:p w14:paraId="699CAA35" w14:textId="0F15D890" w:rsidR="005F78FF" w:rsidRPr="00771883" w:rsidRDefault="00213C20" w:rsidP="00EB2CF1">
            <w:pPr>
              <w:jc w:val="center"/>
              <w:rPr>
                <w:b/>
                <w:i/>
                <w:sz w:val="20"/>
                <w:szCs w:val="20"/>
              </w:rPr>
            </w:pPr>
            <w:r w:rsidRPr="00771883">
              <w:rPr>
                <w:b/>
                <w:i/>
                <w:sz w:val="20"/>
                <w:szCs w:val="20"/>
              </w:rPr>
              <w:t>Harper’s</w:t>
            </w:r>
            <w:r w:rsidR="005F78FF" w:rsidRPr="00771883">
              <w:rPr>
                <w:b/>
                <w:i/>
                <w:sz w:val="20"/>
                <w:szCs w:val="20"/>
              </w:rPr>
              <w:t xml:space="preserve"> s46(1)</w:t>
            </w:r>
          </w:p>
        </w:tc>
      </w:tr>
      <w:tr w:rsidR="005F78FF" w:rsidRPr="00771883" w14:paraId="147C5BC3" w14:textId="77777777" w:rsidTr="005127A3">
        <w:tc>
          <w:tcPr>
            <w:tcW w:w="4219" w:type="dxa"/>
            <w:tcBorders>
              <w:top w:val="single" w:sz="4" w:space="0" w:color="auto"/>
            </w:tcBorders>
          </w:tcPr>
          <w:p w14:paraId="779091DB" w14:textId="46A8D887" w:rsidR="005F78FF" w:rsidRPr="00771883" w:rsidRDefault="005F78FF" w:rsidP="00524B2D">
            <w:pPr>
              <w:spacing w:before="40"/>
              <w:rPr>
                <w:rFonts w:eastAsiaTheme="majorEastAsia" w:cstheme="majorBidi"/>
                <w:color w:val="404040" w:themeColor="text1" w:themeTint="BF"/>
                <w:sz w:val="20"/>
                <w:szCs w:val="20"/>
              </w:rPr>
            </w:pPr>
            <w:r w:rsidRPr="00771883">
              <w:rPr>
                <w:sz w:val="20"/>
                <w:szCs w:val="20"/>
              </w:rPr>
              <w:t>Market power test:</w:t>
            </w:r>
          </w:p>
        </w:tc>
        <w:tc>
          <w:tcPr>
            <w:tcW w:w="1559" w:type="dxa"/>
            <w:tcBorders>
              <w:top w:val="single" w:sz="4" w:space="0" w:color="auto"/>
            </w:tcBorders>
          </w:tcPr>
          <w:p w14:paraId="003878D9" w14:textId="77777777" w:rsidR="005F78FF" w:rsidRPr="00771883" w:rsidRDefault="005F78FF" w:rsidP="00524B2D">
            <w:pPr>
              <w:spacing w:before="40"/>
              <w:rPr>
                <w:sz w:val="20"/>
                <w:szCs w:val="20"/>
              </w:rPr>
            </w:pPr>
          </w:p>
        </w:tc>
        <w:tc>
          <w:tcPr>
            <w:tcW w:w="1560" w:type="dxa"/>
            <w:tcBorders>
              <w:top w:val="single" w:sz="4" w:space="0" w:color="auto"/>
            </w:tcBorders>
          </w:tcPr>
          <w:p w14:paraId="1180BABB" w14:textId="77777777" w:rsidR="005F78FF" w:rsidRPr="00771883" w:rsidRDefault="005F78FF" w:rsidP="00524B2D">
            <w:pPr>
              <w:spacing w:before="40"/>
              <w:rPr>
                <w:sz w:val="20"/>
                <w:szCs w:val="20"/>
              </w:rPr>
            </w:pPr>
          </w:p>
        </w:tc>
        <w:tc>
          <w:tcPr>
            <w:tcW w:w="1559" w:type="dxa"/>
            <w:tcBorders>
              <w:top w:val="single" w:sz="4" w:space="0" w:color="auto"/>
            </w:tcBorders>
          </w:tcPr>
          <w:p w14:paraId="12885D9F" w14:textId="77777777" w:rsidR="005F78FF" w:rsidRPr="00771883" w:rsidRDefault="005F78FF" w:rsidP="00524B2D">
            <w:pPr>
              <w:spacing w:before="40"/>
              <w:rPr>
                <w:sz w:val="20"/>
                <w:szCs w:val="20"/>
              </w:rPr>
            </w:pPr>
          </w:p>
        </w:tc>
      </w:tr>
      <w:tr w:rsidR="005F78FF" w:rsidRPr="00771883" w14:paraId="64B5C87A" w14:textId="77777777" w:rsidTr="005127A3">
        <w:tc>
          <w:tcPr>
            <w:tcW w:w="4219" w:type="dxa"/>
          </w:tcPr>
          <w:p w14:paraId="01D8F9F4" w14:textId="2F374103" w:rsidR="005F78FF" w:rsidRPr="00771883" w:rsidRDefault="005F78FF" w:rsidP="00B0615F">
            <w:pPr>
              <w:pStyle w:val="ListParagraph"/>
              <w:numPr>
                <w:ilvl w:val="0"/>
                <w:numId w:val="6"/>
              </w:numPr>
              <w:spacing w:before="40"/>
              <w:ind w:left="284" w:hanging="284"/>
              <w:jc w:val="left"/>
              <w:rPr>
                <w:rFonts w:eastAsiaTheme="majorEastAsia" w:cstheme="majorBidi"/>
                <w:i/>
                <w:iCs/>
                <w:color w:val="404040" w:themeColor="text1" w:themeTint="BF"/>
                <w:sz w:val="20"/>
                <w:szCs w:val="20"/>
              </w:rPr>
            </w:pPr>
            <w:r w:rsidRPr="00771883">
              <w:rPr>
                <w:sz w:val="20"/>
                <w:szCs w:val="20"/>
              </w:rPr>
              <w:t>possesses ‘monopoly power’ or a ‘substantial degree of power’ in a market</w:t>
            </w:r>
          </w:p>
        </w:tc>
        <w:tc>
          <w:tcPr>
            <w:tcW w:w="1559" w:type="dxa"/>
          </w:tcPr>
          <w:p w14:paraId="7BF9AE74" w14:textId="3E22AF2D" w:rsidR="005F78FF" w:rsidRPr="00771883" w:rsidRDefault="005F78FF" w:rsidP="00524B2D">
            <w:pPr>
              <w:spacing w:before="40"/>
              <w:jc w:val="center"/>
              <w:rPr>
                <w:rFonts w:eastAsiaTheme="majorEastAsia" w:cstheme="majorBidi"/>
                <w:i/>
                <w:iCs/>
                <w:color w:val="404040" w:themeColor="text1" w:themeTint="BF"/>
                <w:sz w:val="20"/>
                <w:szCs w:val="20"/>
              </w:rPr>
            </w:pPr>
            <w:r w:rsidRPr="00771883">
              <w:rPr>
                <w:sz w:val="20"/>
                <w:szCs w:val="20"/>
              </w:rPr>
              <w:t>Yes</w:t>
            </w:r>
          </w:p>
        </w:tc>
        <w:tc>
          <w:tcPr>
            <w:tcW w:w="1560" w:type="dxa"/>
          </w:tcPr>
          <w:p w14:paraId="34A69FF8" w14:textId="53A7239E" w:rsidR="005F78FF" w:rsidRPr="00771883" w:rsidRDefault="005F78FF" w:rsidP="00524B2D">
            <w:pPr>
              <w:spacing w:before="40"/>
              <w:jc w:val="center"/>
              <w:rPr>
                <w:rFonts w:eastAsiaTheme="majorEastAsia" w:cstheme="majorBidi"/>
                <w:i/>
                <w:iCs/>
                <w:color w:val="404040" w:themeColor="text1" w:themeTint="BF"/>
                <w:sz w:val="20"/>
                <w:szCs w:val="20"/>
              </w:rPr>
            </w:pPr>
            <w:r w:rsidRPr="00771883">
              <w:rPr>
                <w:sz w:val="20"/>
                <w:szCs w:val="20"/>
              </w:rPr>
              <w:t>Yes</w:t>
            </w:r>
          </w:p>
        </w:tc>
        <w:tc>
          <w:tcPr>
            <w:tcW w:w="1559" w:type="dxa"/>
          </w:tcPr>
          <w:p w14:paraId="7753CB93" w14:textId="4E0E4F2C" w:rsidR="005F78FF" w:rsidRPr="00771883" w:rsidRDefault="005F78FF" w:rsidP="00524B2D">
            <w:pPr>
              <w:spacing w:before="40"/>
              <w:jc w:val="center"/>
              <w:rPr>
                <w:rFonts w:eastAsiaTheme="majorEastAsia" w:cstheme="majorBidi"/>
                <w:i/>
                <w:iCs/>
                <w:color w:val="404040" w:themeColor="text1" w:themeTint="BF"/>
                <w:sz w:val="20"/>
                <w:szCs w:val="20"/>
              </w:rPr>
            </w:pPr>
            <w:r w:rsidRPr="00771883">
              <w:rPr>
                <w:sz w:val="20"/>
                <w:szCs w:val="20"/>
              </w:rPr>
              <w:t>Yes</w:t>
            </w:r>
          </w:p>
        </w:tc>
      </w:tr>
      <w:tr w:rsidR="005F78FF" w:rsidRPr="00771883" w14:paraId="01D52F2A" w14:textId="77777777" w:rsidTr="005127A3">
        <w:tc>
          <w:tcPr>
            <w:tcW w:w="4219" w:type="dxa"/>
            <w:tcBorders>
              <w:bottom w:val="single" w:sz="4" w:space="0" w:color="auto"/>
            </w:tcBorders>
          </w:tcPr>
          <w:p w14:paraId="2CD8D6C0" w14:textId="096A9AB1" w:rsidR="005F78FF" w:rsidRPr="00771883" w:rsidRDefault="00342A3C" w:rsidP="00B0615F">
            <w:pPr>
              <w:pStyle w:val="ListParagraph"/>
              <w:numPr>
                <w:ilvl w:val="0"/>
                <w:numId w:val="6"/>
              </w:numPr>
              <w:spacing w:before="40"/>
              <w:ind w:left="284" w:hanging="284"/>
              <w:jc w:val="left"/>
              <w:rPr>
                <w:rFonts w:eastAsiaTheme="majorEastAsia" w:cstheme="majorBidi"/>
                <w:i/>
                <w:iCs/>
                <w:color w:val="404040" w:themeColor="text1" w:themeTint="BF"/>
                <w:sz w:val="20"/>
                <w:szCs w:val="20"/>
              </w:rPr>
            </w:pPr>
            <w:r w:rsidRPr="00771883">
              <w:rPr>
                <w:b/>
                <w:i/>
                <w:sz w:val="20"/>
                <w:szCs w:val="20"/>
              </w:rPr>
              <w:t>or</w:t>
            </w:r>
            <w:r w:rsidRPr="00771883">
              <w:rPr>
                <w:sz w:val="20"/>
                <w:szCs w:val="20"/>
              </w:rPr>
              <w:t xml:space="preserve">, </w:t>
            </w:r>
            <w:r w:rsidR="005F78FF" w:rsidRPr="00771883">
              <w:rPr>
                <w:sz w:val="20"/>
                <w:szCs w:val="20"/>
              </w:rPr>
              <w:t>a dangerous probability of achieving monopoly power</w:t>
            </w:r>
            <w:r w:rsidRPr="00771883">
              <w:rPr>
                <w:sz w:val="20"/>
                <w:szCs w:val="20"/>
              </w:rPr>
              <w:t xml:space="preserve"> (attempting)</w:t>
            </w:r>
          </w:p>
        </w:tc>
        <w:tc>
          <w:tcPr>
            <w:tcW w:w="1559" w:type="dxa"/>
            <w:tcBorders>
              <w:bottom w:val="single" w:sz="4" w:space="0" w:color="auto"/>
            </w:tcBorders>
          </w:tcPr>
          <w:p w14:paraId="15B342D8" w14:textId="16001E9B" w:rsidR="005F78FF" w:rsidRPr="00771883" w:rsidRDefault="005F78FF" w:rsidP="00524B2D">
            <w:pPr>
              <w:spacing w:before="40"/>
              <w:jc w:val="center"/>
              <w:rPr>
                <w:rFonts w:eastAsiaTheme="majorEastAsia" w:cstheme="majorBidi"/>
                <w:i/>
                <w:iCs/>
                <w:color w:val="404040" w:themeColor="text1" w:themeTint="BF"/>
                <w:sz w:val="20"/>
                <w:szCs w:val="20"/>
              </w:rPr>
            </w:pPr>
            <w:r w:rsidRPr="00771883">
              <w:rPr>
                <w:sz w:val="20"/>
                <w:szCs w:val="20"/>
              </w:rPr>
              <w:t>No</w:t>
            </w:r>
          </w:p>
        </w:tc>
        <w:tc>
          <w:tcPr>
            <w:tcW w:w="1560" w:type="dxa"/>
            <w:tcBorders>
              <w:bottom w:val="single" w:sz="4" w:space="0" w:color="auto"/>
            </w:tcBorders>
          </w:tcPr>
          <w:p w14:paraId="191809B3" w14:textId="1DA2EF10" w:rsidR="005F78FF" w:rsidRPr="00771883" w:rsidRDefault="005F78FF" w:rsidP="00524B2D">
            <w:pPr>
              <w:spacing w:before="40"/>
              <w:jc w:val="center"/>
              <w:rPr>
                <w:rFonts w:eastAsiaTheme="majorEastAsia" w:cstheme="majorBidi"/>
                <w:i/>
                <w:iCs/>
                <w:color w:val="404040" w:themeColor="text1" w:themeTint="BF"/>
                <w:sz w:val="20"/>
                <w:szCs w:val="20"/>
              </w:rPr>
            </w:pPr>
            <w:r w:rsidRPr="00771883">
              <w:rPr>
                <w:sz w:val="20"/>
                <w:szCs w:val="20"/>
              </w:rPr>
              <w:t>Yes</w:t>
            </w:r>
          </w:p>
        </w:tc>
        <w:tc>
          <w:tcPr>
            <w:tcW w:w="1559" w:type="dxa"/>
            <w:tcBorders>
              <w:bottom w:val="single" w:sz="4" w:space="0" w:color="auto"/>
            </w:tcBorders>
          </w:tcPr>
          <w:p w14:paraId="4A38D877" w14:textId="0EB9E89F" w:rsidR="005F78FF" w:rsidRPr="00771883" w:rsidRDefault="005F78FF" w:rsidP="00524B2D">
            <w:pPr>
              <w:spacing w:before="40"/>
              <w:jc w:val="center"/>
              <w:rPr>
                <w:rFonts w:eastAsiaTheme="majorEastAsia" w:cstheme="majorBidi"/>
                <w:i/>
                <w:iCs/>
                <w:color w:val="404040" w:themeColor="text1" w:themeTint="BF"/>
                <w:sz w:val="20"/>
                <w:szCs w:val="20"/>
              </w:rPr>
            </w:pPr>
            <w:r w:rsidRPr="00771883">
              <w:rPr>
                <w:sz w:val="20"/>
                <w:szCs w:val="20"/>
              </w:rPr>
              <w:t>No</w:t>
            </w:r>
          </w:p>
        </w:tc>
      </w:tr>
      <w:tr w:rsidR="005F78FF" w:rsidRPr="00771883" w14:paraId="02338F01" w14:textId="77777777" w:rsidTr="005127A3">
        <w:tc>
          <w:tcPr>
            <w:tcW w:w="4219" w:type="dxa"/>
            <w:tcBorders>
              <w:top w:val="single" w:sz="4" w:space="0" w:color="auto"/>
            </w:tcBorders>
          </w:tcPr>
          <w:p w14:paraId="6A7F213E" w14:textId="77FB67DA" w:rsidR="005F78FF" w:rsidRPr="00771883" w:rsidRDefault="00EB2CF1" w:rsidP="00524B2D">
            <w:pPr>
              <w:spacing w:before="40"/>
              <w:rPr>
                <w:rFonts w:eastAsiaTheme="majorEastAsia" w:cstheme="majorBidi"/>
                <w:color w:val="404040" w:themeColor="text1" w:themeTint="BF"/>
                <w:sz w:val="20"/>
                <w:szCs w:val="20"/>
              </w:rPr>
            </w:pPr>
            <w:r w:rsidRPr="00771883">
              <w:rPr>
                <w:sz w:val="20"/>
                <w:szCs w:val="20"/>
              </w:rPr>
              <w:t xml:space="preserve">Use or </w:t>
            </w:r>
            <w:r w:rsidR="005F78FF" w:rsidRPr="00771883">
              <w:rPr>
                <w:sz w:val="20"/>
                <w:szCs w:val="20"/>
              </w:rPr>
              <w:t>“</w:t>
            </w:r>
            <w:r w:rsidRPr="00771883">
              <w:rPr>
                <w:sz w:val="20"/>
                <w:szCs w:val="20"/>
              </w:rPr>
              <w:t>t</w:t>
            </w:r>
            <w:r w:rsidR="005F78FF" w:rsidRPr="00771883">
              <w:rPr>
                <w:sz w:val="20"/>
                <w:szCs w:val="20"/>
              </w:rPr>
              <w:t>ak</w:t>
            </w:r>
            <w:r w:rsidR="000F6DD8" w:rsidRPr="00771883">
              <w:rPr>
                <w:sz w:val="20"/>
                <w:szCs w:val="20"/>
              </w:rPr>
              <w:t>e</w:t>
            </w:r>
            <w:r w:rsidR="005F78FF" w:rsidRPr="00771883">
              <w:rPr>
                <w:sz w:val="20"/>
                <w:szCs w:val="20"/>
              </w:rPr>
              <w:t xml:space="preserve"> advantage” </w:t>
            </w:r>
            <w:r w:rsidRPr="00771883">
              <w:rPr>
                <w:sz w:val="20"/>
                <w:szCs w:val="20"/>
              </w:rPr>
              <w:t>of market power</w:t>
            </w:r>
            <w:r w:rsidR="005127A3" w:rsidRPr="00771883">
              <w:rPr>
                <w:sz w:val="20"/>
                <w:szCs w:val="20"/>
              </w:rPr>
              <w:t>:</w:t>
            </w:r>
          </w:p>
        </w:tc>
        <w:tc>
          <w:tcPr>
            <w:tcW w:w="1559" w:type="dxa"/>
            <w:tcBorders>
              <w:top w:val="single" w:sz="4" w:space="0" w:color="auto"/>
            </w:tcBorders>
          </w:tcPr>
          <w:p w14:paraId="2A2B3034" w14:textId="22AA2DBE" w:rsidR="005F78FF" w:rsidRPr="00771883" w:rsidRDefault="005F78FF" w:rsidP="00524B2D">
            <w:pPr>
              <w:spacing w:before="40"/>
              <w:jc w:val="center"/>
              <w:rPr>
                <w:sz w:val="20"/>
                <w:szCs w:val="20"/>
              </w:rPr>
            </w:pPr>
          </w:p>
        </w:tc>
        <w:tc>
          <w:tcPr>
            <w:tcW w:w="1560" w:type="dxa"/>
            <w:tcBorders>
              <w:top w:val="single" w:sz="4" w:space="0" w:color="auto"/>
            </w:tcBorders>
          </w:tcPr>
          <w:p w14:paraId="55E4FBDA" w14:textId="5E634DBD" w:rsidR="005F78FF" w:rsidRPr="00771883" w:rsidRDefault="005F78FF" w:rsidP="00524B2D">
            <w:pPr>
              <w:spacing w:before="40"/>
              <w:jc w:val="center"/>
              <w:rPr>
                <w:sz w:val="20"/>
                <w:szCs w:val="20"/>
              </w:rPr>
            </w:pPr>
          </w:p>
        </w:tc>
        <w:tc>
          <w:tcPr>
            <w:tcW w:w="1559" w:type="dxa"/>
            <w:tcBorders>
              <w:top w:val="single" w:sz="4" w:space="0" w:color="auto"/>
            </w:tcBorders>
          </w:tcPr>
          <w:p w14:paraId="4C9EC68B" w14:textId="74A7A49F" w:rsidR="005F78FF" w:rsidRPr="00771883" w:rsidRDefault="005F78FF" w:rsidP="00524B2D">
            <w:pPr>
              <w:spacing w:before="40"/>
              <w:jc w:val="center"/>
              <w:rPr>
                <w:sz w:val="20"/>
                <w:szCs w:val="20"/>
              </w:rPr>
            </w:pPr>
          </w:p>
        </w:tc>
      </w:tr>
      <w:tr w:rsidR="00EB2CF1" w:rsidRPr="00771883" w14:paraId="6BA5AADA" w14:textId="77777777" w:rsidTr="005127A3">
        <w:tc>
          <w:tcPr>
            <w:tcW w:w="4219" w:type="dxa"/>
          </w:tcPr>
          <w:p w14:paraId="4BBDEE7C" w14:textId="403C1676" w:rsidR="00EB2CF1" w:rsidRPr="00771883" w:rsidRDefault="00EB2CF1" w:rsidP="00B0615F">
            <w:pPr>
              <w:pStyle w:val="ListParagraph"/>
              <w:numPr>
                <w:ilvl w:val="0"/>
                <w:numId w:val="6"/>
              </w:numPr>
              <w:spacing w:before="40"/>
              <w:ind w:left="284" w:hanging="284"/>
              <w:jc w:val="left"/>
              <w:rPr>
                <w:rFonts w:eastAsiaTheme="majorEastAsia" w:cstheme="majorBidi"/>
                <w:i/>
                <w:iCs/>
                <w:color w:val="404040" w:themeColor="text1" w:themeTint="BF"/>
                <w:sz w:val="20"/>
                <w:szCs w:val="20"/>
              </w:rPr>
            </w:pPr>
            <w:r w:rsidRPr="00771883">
              <w:rPr>
                <w:sz w:val="20"/>
                <w:szCs w:val="20"/>
              </w:rPr>
              <w:t>use</w:t>
            </w:r>
          </w:p>
        </w:tc>
        <w:tc>
          <w:tcPr>
            <w:tcW w:w="1559" w:type="dxa"/>
          </w:tcPr>
          <w:p w14:paraId="5072F046" w14:textId="415678B0" w:rsidR="00EB2CF1"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Yes</w:t>
            </w:r>
          </w:p>
        </w:tc>
        <w:tc>
          <w:tcPr>
            <w:tcW w:w="1560" w:type="dxa"/>
          </w:tcPr>
          <w:p w14:paraId="6478967A" w14:textId="7BF000AA" w:rsidR="00EB2CF1"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Yes</w:t>
            </w:r>
          </w:p>
        </w:tc>
        <w:tc>
          <w:tcPr>
            <w:tcW w:w="1559" w:type="dxa"/>
          </w:tcPr>
          <w:p w14:paraId="0131B97D" w14:textId="1EE9D8AC" w:rsidR="00EB2CF1" w:rsidRPr="00771883" w:rsidRDefault="0022034D" w:rsidP="00524B2D">
            <w:pPr>
              <w:spacing w:before="40"/>
              <w:jc w:val="center"/>
              <w:rPr>
                <w:rFonts w:eastAsiaTheme="majorEastAsia" w:cstheme="majorBidi"/>
                <w:i/>
                <w:iCs/>
                <w:color w:val="404040" w:themeColor="text1" w:themeTint="BF"/>
                <w:sz w:val="20"/>
                <w:szCs w:val="20"/>
              </w:rPr>
            </w:pPr>
            <w:r w:rsidRPr="00771883">
              <w:rPr>
                <w:sz w:val="20"/>
                <w:szCs w:val="20"/>
              </w:rPr>
              <w:t>No</w:t>
            </w:r>
          </w:p>
        </w:tc>
      </w:tr>
      <w:tr w:rsidR="00EB2CF1" w:rsidRPr="00771883" w14:paraId="7EEC87B2" w14:textId="77777777" w:rsidTr="005127A3">
        <w:tc>
          <w:tcPr>
            <w:tcW w:w="4219" w:type="dxa"/>
            <w:tcBorders>
              <w:bottom w:val="single" w:sz="4" w:space="0" w:color="auto"/>
            </w:tcBorders>
          </w:tcPr>
          <w:p w14:paraId="7DB43FE2" w14:textId="44623DD1" w:rsidR="00EB2CF1" w:rsidRPr="00771883" w:rsidRDefault="00EB2CF1" w:rsidP="00B0615F">
            <w:pPr>
              <w:pStyle w:val="ListParagraph"/>
              <w:numPr>
                <w:ilvl w:val="0"/>
                <w:numId w:val="6"/>
              </w:numPr>
              <w:spacing w:before="40"/>
              <w:ind w:left="284" w:hanging="284"/>
              <w:jc w:val="left"/>
              <w:rPr>
                <w:rFonts w:eastAsiaTheme="majorEastAsia" w:cstheme="majorBidi"/>
                <w:i/>
                <w:iCs/>
                <w:color w:val="404040" w:themeColor="text1" w:themeTint="BF"/>
                <w:sz w:val="20"/>
                <w:szCs w:val="20"/>
              </w:rPr>
            </w:pPr>
            <w:r w:rsidRPr="00771883">
              <w:rPr>
                <w:sz w:val="20"/>
                <w:szCs w:val="20"/>
              </w:rPr>
              <w:t>“take advantage”</w:t>
            </w:r>
          </w:p>
        </w:tc>
        <w:tc>
          <w:tcPr>
            <w:tcW w:w="1559" w:type="dxa"/>
            <w:tcBorders>
              <w:bottom w:val="single" w:sz="4" w:space="0" w:color="auto"/>
            </w:tcBorders>
          </w:tcPr>
          <w:p w14:paraId="0703ADFA" w14:textId="75A9A2F1" w:rsidR="00EB2CF1"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Yes</w:t>
            </w:r>
          </w:p>
        </w:tc>
        <w:tc>
          <w:tcPr>
            <w:tcW w:w="1560" w:type="dxa"/>
            <w:tcBorders>
              <w:bottom w:val="single" w:sz="4" w:space="0" w:color="auto"/>
            </w:tcBorders>
          </w:tcPr>
          <w:p w14:paraId="33360073" w14:textId="07DCFE5A" w:rsidR="00EB2CF1"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No</w:t>
            </w:r>
          </w:p>
        </w:tc>
        <w:tc>
          <w:tcPr>
            <w:tcW w:w="1559" w:type="dxa"/>
            <w:tcBorders>
              <w:bottom w:val="single" w:sz="4" w:space="0" w:color="auto"/>
            </w:tcBorders>
          </w:tcPr>
          <w:p w14:paraId="39BC1132" w14:textId="44166D7B" w:rsidR="00EB2CF1"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No</w:t>
            </w:r>
          </w:p>
        </w:tc>
      </w:tr>
      <w:tr w:rsidR="005F78FF" w:rsidRPr="00771883" w14:paraId="4DBD4FB5" w14:textId="77777777" w:rsidTr="005127A3">
        <w:tc>
          <w:tcPr>
            <w:tcW w:w="4219" w:type="dxa"/>
            <w:tcBorders>
              <w:top w:val="single" w:sz="4" w:space="0" w:color="auto"/>
            </w:tcBorders>
          </w:tcPr>
          <w:p w14:paraId="0F01B7F0" w14:textId="7AF8B23B" w:rsidR="005F78FF" w:rsidRPr="00771883" w:rsidRDefault="005F78FF" w:rsidP="00524B2D">
            <w:pPr>
              <w:spacing w:before="40"/>
              <w:rPr>
                <w:rFonts w:eastAsiaTheme="majorEastAsia" w:cstheme="majorBidi"/>
                <w:color w:val="404040" w:themeColor="text1" w:themeTint="BF"/>
                <w:sz w:val="20"/>
                <w:szCs w:val="20"/>
              </w:rPr>
            </w:pPr>
            <w:r w:rsidRPr="00771883">
              <w:rPr>
                <w:sz w:val="20"/>
                <w:szCs w:val="20"/>
              </w:rPr>
              <w:t>Purpose Test</w:t>
            </w:r>
            <w:r w:rsidR="00EB2CF1" w:rsidRPr="00771883">
              <w:rPr>
                <w:sz w:val="20"/>
                <w:szCs w:val="20"/>
              </w:rPr>
              <w:t>:</w:t>
            </w:r>
          </w:p>
        </w:tc>
        <w:tc>
          <w:tcPr>
            <w:tcW w:w="1559" w:type="dxa"/>
            <w:tcBorders>
              <w:top w:val="single" w:sz="4" w:space="0" w:color="auto"/>
            </w:tcBorders>
          </w:tcPr>
          <w:p w14:paraId="4FFA29DC" w14:textId="5A8F8363" w:rsidR="005F78FF" w:rsidRPr="00771883" w:rsidRDefault="005F78FF" w:rsidP="00524B2D">
            <w:pPr>
              <w:spacing w:before="40"/>
              <w:jc w:val="center"/>
              <w:rPr>
                <w:sz w:val="20"/>
                <w:szCs w:val="20"/>
              </w:rPr>
            </w:pPr>
          </w:p>
        </w:tc>
        <w:tc>
          <w:tcPr>
            <w:tcW w:w="1560" w:type="dxa"/>
            <w:tcBorders>
              <w:top w:val="single" w:sz="4" w:space="0" w:color="auto"/>
            </w:tcBorders>
          </w:tcPr>
          <w:p w14:paraId="4B24CC31" w14:textId="4EB05E68" w:rsidR="005F78FF" w:rsidRPr="00771883" w:rsidRDefault="005F78FF" w:rsidP="00524B2D">
            <w:pPr>
              <w:spacing w:before="40"/>
              <w:jc w:val="center"/>
              <w:rPr>
                <w:sz w:val="20"/>
                <w:szCs w:val="20"/>
              </w:rPr>
            </w:pPr>
          </w:p>
        </w:tc>
        <w:tc>
          <w:tcPr>
            <w:tcW w:w="1559" w:type="dxa"/>
            <w:tcBorders>
              <w:top w:val="single" w:sz="4" w:space="0" w:color="auto"/>
            </w:tcBorders>
          </w:tcPr>
          <w:p w14:paraId="5DBA4386" w14:textId="5F2295C5" w:rsidR="005F78FF" w:rsidRPr="00771883" w:rsidRDefault="005F78FF" w:rsidP="00524B2D">
            <w:pPr>
              <w:spacing w:before="40"/>
              <w:jc w:val="center"/>
              <w:rPr>
                <w:sz w:val="20"/>
                <w:szCs w:val="20"/>
              </w:rPr>
            </w:pPr>
          </w:p>
        </w:tc>
      </w:tr>
      <w:tr w:rsidR="005F78FF" w:rsidRPr="00771883" w14:paraId="4F261411" w14:textId="77777777" w:rsidTr="005127A3">
        <w:tc>
          <w:tcPr>
            <w:tcW w:w="4219" w:type="dxa"/>
          </w:tcPr>
          <w:p w14:paraId="5FBCC677" w14:textId="7F4D6A23" w:rsidR="005F78FF" w:rsidRPr="00771883" w:rsidRDefault="0022034D" w:rsidP="00B0615F">
            <w:pPr>
              <w:pStyle w:val="ListParagraph"/>
              <w:numPr>
                <w:ilvl w:val="0"/>
                <w:numId w:val="6"/>
              </w:numPr>
              <w:spacing w:before="40"/>
              <w:ind w:left="284" w:hanging="284"/>
              <w:jc w:val="left"/>
              <w:rPr>
                <w:rFonts w:eastAsiaTheme="majorEastAsia" w:cstheme="majorBidi"/>
                <w:i/>
                <w:iCs/>
                <w:color w:val="404040" w:themeColor="text1" w:themeTint="BF"/>
                <w:sz w:val="20"/>
                <w:szCs w:val="20"/>
              </w:rPr>
            </w:pPr>
            <w:r w:rsidRPr="00771883">
              <w:rPr>
                <w:sz w:val="20"/>
                <w:szCs w:val="20"/>
              </w:rPr>
              <w:t xml:space="preserve">conduct is </w:t>
            </w:r>
            <w:r w:rsidR="00EB2CF1" w:rsidRPr="00771883">
              <w:rPr>
                <w:sz w:val="20"/>
                <w:szCs w:val="20"/>
              </w:rPr>
              <w:t>anticompetitive</w:t>
            </w:r>
          </w:p>
        </w:tc>
        <w:tc>
          <w:tcPr>
            <w:tcW w:w="1559" w:type="dxa"/>
          </w:tcPr>
          <w:p w14:paraId="5BC9C14F" w14:textId="1779445C" w:rsidR="005F78FF"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Yes</w:t>
            </w:r>
            <w:r w:rsidR="003233C5" w:rsidRPr="00771883">
              <w:rPr>
                <w:sz w:val="20"/>
                <w:szCs w:val="20"/>
              </w:rPr>
              <w:t>*</w:t>
            </w:r>
          </w:p>
          <w:p w14:paraId="6816A59C" w14:textId="608C36B9" w:rsidR="00EB2CF1"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(3 statutory purposes)</w:t>
            </w:r>
          </w:p>
        </w:tc>
        <w:tc>
          <w:tcPr>
            <w:tcW w:w="1560" w:type="dxa"/>
          </w:tcPr>
          <w:p w14:paraId="09AA86C0" w14:textId="77777777" w:rsidR="005F78FF" w:rsidRPr="00771883" w:rsidRDefault="00342A3C" w:rsidP="00524B2D">
            <w:pPr>
              <w:spacing w:before="40"/>
              <w:jc w:val="center"/>
              <w:rPr>
                <w:rFonts w:eastAsiaTheme="majorEastAsia" w:cstheme="majorBidi"/>
                <w:i/>
                <w:iCs/>
                <w:color w:val="404040" w:themeColor="text1" w:themeTint="BF"/>
                <w:sz w:val="20"/>
                <w:szCs w:val="20"/>
              </w:rPr>
            </w:pPr>
            <w:r w:rsidRPr="00771883">
              <w:rPr>
                <w:sz w:val="20"/>
                <w:szCs w:val="20"/>
              </w:rPr>
              <w:t>Yes</w:t>
            </w:r>
          </w:p>
          <w:p w14:paraId="47DC3E78" w14:textId="40D9313D" w:rsidR="00EB2CF1" w:rsidRPr="00771883" w:rsidRDefault="005127A3" w:rsidP="00524B2D">
            <w:pPr>
              <w:spacing w:before="40"/>
              <w:jc w:val="center"/>
              <w:rPr>
                <w:rFonts w:eastAsiaTheme="majorEastAsia" w:cstheme="majorBidi"/>
                <w:i/>
                <w:iCs/>
                <w:color w:val="404040" w:themeColor="text1" w:themeTint="BF"/>
                <w:sz w:val="20"/>
                <w:szCs w:val="20"/>
              </w:rPr>
            </w:pPr>
            <w:r w:rsidRPr="00771883">
              <w:rPr>
                <w:sz w:val="20"/>
                <w:szCs w:val="20"/>
              </w:rPr>
              <w:t>(R</w:t>
            </w:r>
            <w:r w:rsidR="00EB2CF1" w:rsidRPr="00771883">
              <w:rPr>
                <w:sz w:val="20"/>
                <w:szCs w:val="20"/>
              </w:rPr>
              <w:t>ule of reason)</w:t>
            </w:r>
          </w:p>
        </w:tc>
        <w:tc>
          <w:tcPr>
            <w:tcW w:w="1559" w:type="dxa"/>
          </w:tcPr>
          <w:p w14:paraId="0800B704" w14:textId="5E365721" w:rsidR="005F78FF" w:rsidRPr="00771883" w:rsidRDefault="00342A3C" w:rsidP="00524B2D">
            <w:pPr>
              <w:spacing w:before="40"/>
              <w:jc w:val="center"/>
              <w:rPr>
                <w:rFonts w:eastAsiaTheme="majorEastAsia" w:cstheme="majorBidi"/>
                <w:i/>
                <w:iCs/>
                <w:color w:val="404040" w:themeColor="text1" w:themeTint="BF"/>
                <w:sz w:val="20"/>
                <w:szCs w:val="20"/>
              </w:rPr>
            </w:pPr>
            <w:r w:rsidRPr="00771883">
              <w:rPr>
                <w:sz w:val="20"/>
                <w:szCs w:val="20"/>
              </w:rPr>
              <w:t>Yes</w:t>
            </w:r>
            <w:r w:rsidR="003233C5" w:rsidRPr="00771883">
              <w:rPr>
                <w:sz w:val="20"/>
                <w:szCs w:val="20"/>
              </w:rPr>
              <w:t>*</w:t>
            </w:r>
            <w:r w:rsidR="0022034D" w:rsidRPr="00771883">
              <w:rPr>
                <w:sz w:val="20"/>
                <w:szCs w:val="20"/>
              </w:rPr>
              <w:t>*</w:t>
            </w:r>
          </w:p>
          <w:p w14:paraId="6755518A" w14:textId="3F6DF8DA" w:rsidR="00EB2CF1" w:rsidRPr="00771883" w:rsidRDefault="00EB2CF1" w:rsidP="00524B2D">
            <w:pPr>
              <w:spacing w:before="40"/>
              <w:jc w:val="center"/>
              <w:rPr>
                <w:rFonts w:eastAsiaTheme="majorEastAsia" w:cstheme="majorBidi"/>
                <w:i/>
                <w:iCs/>
                <w:color w:val="404040" w:themeColor="text1" w:themeTint="BF"/>
                <w:sz w:val="20"/>
                <w:szCs w:val="20"/>
              </w:rPr>
            </w:pPr>
            <w:r w:rsidRPr="00771883">
              <w:rPr>
                <w:sz w:val="20"/>
                <w:szCs w:val="20"/>
              </w:rPr>
              <w:t>(SLC test)</w:t>
            </w:r>
          </w:p>
        </w:tc>
      </w:tr>
      <w:tr w:rsidR="005127A3" w:rsidRPr="00771883" w14:paraId="3B0A3C70" w14:textId="77777777" w:rsidTr="005127A3">
        <w:tc>
          <w:tcPr>
            <w:tcW w:w="4219" w:type="dxa"/>
            <w:tcBorders>
              <w:bottom w:val="single" w:sz="4" w:space="0" w:color="auto"/>
            </w:tcBorders>
          </w:tcPr>
          <w:p w14:paraId="648F26A8" w14:textId="2A631D65" w:rsidR="005127A3" w:rsidRPr="00771883" w:rsidRDefault="005127A3" w:rsidP="00B0615F">
            <w:pPr>
              <w:pStyle w:val="ListParagraph"/>
              <w:numPr>
                <w:ilvl w:val="0"/>
                <w:numId w:val="6"/>
              </w:numPr>
              <w:spacing w:before="40"/>
              <w:ind w:left="284" w:hanging="284"/>
              <w:jc w:val="left"/>
              <w:rPr>
                <w:rFonts w:eastAsiaTheme="majorEastAsia" w:cstheme="majorBidi"/>
                <w:i/>
                <w:iCs/>
                <w:color w:val="404040" w:themeColor="text1" w:themeTint="BF"/>
                <w:sz w:val="20"/>
                <w:szCs w:val="20"/>
              </w:rPr>
            </w:pPr>
            <w:r w:rsidRPr="00771883">
              <w:rPr>
                <w:sz w:val="20"/>
                <w:szCs w:val="20"/>
              </w:rPr>
              <w:t>purpose or intent</w:t>
            </w:r>
          </w:p>
        </w:tc>
        <w:tc>
          <w:tcPr>
            <w:tcW w:w="1559" w:type="dxa"/>
            <w:tcBorders>
              <w:bottom w:val="single" w:sz="4" w:space="0" w:color="auto"/>
            </w:tcBorders>
          </w:tcPr>
          <w:p w14:paraId="62CAECB2" w14:textId="376B7EDD" w:rsidR="005127A3" w:rsidRPr="00771883" w:rsidRDefault="005127A3" w:rsidP="00524B2D">
            <w:pPr>
              <w:spacing w:before="40"/>
              <w:jc w:val="center"/>
              <w:rPr>
                <w:rFonts w:eastAsiaTheme="majorEastAsia" w:cstheme="majorBidi"/>
                <w:i/>
                <w:iCs/>
                <w:color w:val="404040" w:themeColor="text1" w:themeTint="BF"/>
                <w:sz w:val="20"/>
                <w:szCs w:val="20"/>
              </w:rPr>
            </w:pPr>
            <w:r w:rsidRPr="00771883">
              <w:rPr>
                <w:sz w:val="20"/>
                <w:szCs w:val="20"/>
              </w:rPr>
              <w:t>Yes       (specific purpose)</w:t>
            </w:r>
          </w:p>
        </w:tc>
        <w:tc>
          <w:tcPr>
            <w:tcW w:w="1560" w:type="dxa"/>
            <w:tcBorders>
              <w:bottom w:val="single" w:sz="4" w:space="0" w:color="auto"/>
            </w:tcBorders>
          </w:tcPr>
          <w:p w14:paraId="1DE7578F" w14:textId="78A3A254" w:rsidR="005127A3" w:rsidRPr="00771883" w:rsidRDefault="005127A3" w:rsidP="000209F1">
            <w:pPr>
              <w:spacing w:before="40"/>
              <w:jc w:val="center"/>
              <w:rPr>
                <w:rFonts w:eastAsiaTheme="majorEastAsia" w:cstheme="majorBidi"/>
                <w:i/>
                <w:iCs/>
                <w:color w:val="404040" w:themeColor="text1" w:themeTint="BF"/>
                <w:sz w:val="20"/>
                <w:szCs w:val="20"/>
              </w:rPr>
            </w:pPr>
            <w:r w:rsidRPr="00771883">
              <w:rPr>
                <w:sz w:val="20"/>
                <w:szCs w:val="20"/>
              </w:rPr>
              <w:t>Yes             (</w:t>
            </w:r>
            <w:r w:rsidR="000209F1">
              <w:rPr>
                <w:sz w:val="20"/>
                <w:szCs w:val="20"/>
              </w:rPr>
              <w:t>general</w:t>
            </w:r>
            <w:r w:rsidRPr="00771883">
              <w:rPr>
                <w:sz w:val="20"/>
                <w:szCs w:val="20"/>
              </w:rPr>
              <w:t xml:space="preserve"> purpose)</w:t>
            </w:r>
          </w:p>
        </w:tc>
        <w:tc>
          <w:tcPr>
            <w:tcW w:w="1559" w:type="dxa"/>
            <w:tcBorders>
              <w:bottom w:val="single" w:sz="4" w:space="0" w:color="auto"/>
            </w:tcBorders>
          </w:tcPr>
          <w:p w14:paraId="4F16DC32" w14:textId="65B9798F" w:rsidR="005127A3" w:rsidRPr="00771883" w:rsidRDefault="0022034D" w:rsidP="00524B2D">
            <w:pPr>
              <w:spacing w:before="40"/>
              <w:jc w:val="center"/>
              <w:rPr>
                <w:rFonts w:eastAsiaTheme="majorEastAsia" w:cstheme="majorBidi"/>
                <w:i/>
                <w:iCs/>
                <w:color w:val="404040" w:themeColor="text1" w:themeTint="BF"/>
                <w:sz w:val="20"/>
                <w:szCs w:val="20"/>
              </w:rPr>
            </w:pPr>
            <w:r w:rsidRPr="00771883">
              <w:rPr>
                <w:sz w:val="20"/>
                <w:szCs w:val="20"/>
              </w:rPr>
              <w:t>Yes</w:t>
            </w:r>
            <w:r w:rsidR="003233C5" w:rsidRPr="00771883">
              <w:rPr>
                <w:sz w:val="20"/>
                <w:szCs w:val="20"/>
              </w:rPr>
              <w:t>*</w:t>
            </w:r>
            <w:r w:rsidRPr="00771883">
              <w:rPr>
                <w:sz w:val="20"/>
                <w:szCs w:val="20"/>
              </w:rPr>
              <w:t>*</w:t>
            </w:r>
          </w:p>
        </w:tc>
      </w:tr>
    </w:tbl>
    <w:p w14:paraId="1E9FF141" w14:textId="6C1A2BBC" w:rsidR="00E4561F" w:rsidRPr="00771883" w:rsidRDefault="00E4561F" w:rsidP="00FF4DB5">
      <w:pPr>
        <w:spacing w:before="0" w:after="240" w:line="276" w:lineRule="auto"/>
        <w:rPr>
          <w:sz w:val="20"/>
          <w:szCs w:val="20"/>
        </w:rPr>
      </w:pPr>
      <w:r w:rsidRPr="00771883">
        <w:rPr>
          <w:sz w:val="18"/>
          <w:szCs w:val="18"/>
        </w:rPr>
        <w:t xml:space="preserve">* </w:t>
      </w:r>
      <w:r w:rsidR="003233C5" w:rsidRPr="00771883">
        <w:rPr>
          <w:sz w:val="18"/>
          <w:szCs w:val="18"/>
        </w:rPr>
        <w:t xml:space="preserve">The three proscribed purposes in the current s46(1) do not differentiate between conduct that harms competition and conduct that harms competitors, but relevant precedent focuses only on the former; </w:t>
      </w:r>
      <w:r w:rsidR="00B84CE0">
        <w:rPr>
          <w:sz w:val="18"/>
          <w:szCs w:val="18"/>
        </w:rPr>
        <w:t xml:space="preserve">   </w:t>
      </w:r>
      <w:r w:rsidR="003233C5" w:rsidRPr="00771883">
        <w:rPr>
          <w:sz w:val="18"/>
          <w:szCs w:val="18"/>
        </w:rPr>
        <w:t>*</w:t>
      </w:r>
      <w:r w:rsidR="0022034D" w:rsidRPr="00771883">
        <w:rPr>
          <w:sz w:val="18"/>
          <w:szCs w:val="18"/>
        </w:rPr>
        <w:t xml:space="preserve">* In </w:t>
      </w:r>
      <w:r w:rsidR="00B84CE0">
        <w:rPr>
          <w:sz w:val="18"/>
          <w:szCs w:val="18"/>
        </w:rPr>
        <w:t>the HP</w:t>
      </w:r>
      <w:r w:rsidR="00B84CE0" w:rsidRPr="00771883">
        <w:rPr>
          <w:sz w:val="18"/>
          <w:szCs w:val="18"/>
        </w:rPr>
        <w:t xml:space="preserve"> </w:t>
      </w:r>
      <w:r w:rsidR="0022034D" w:rsidRPr="00771883">
        <w:rPr>
          <w:sz w:val="18"/>
          <w:szCs w:val="18"/>
        </w:rPr>
        <w:t xml:space="preserve">proposal only one of the two elements listed </w:t>
      </w:r>
      <w:r w:rsidR="003233C5" w:rsidRPr="00771883">
        <w:rPr>
          <w:sz w:val="18"/>
          <w:szCs w:val="18"/>
        </w:rPr>
        <w:t xml:space="preserve">here </w:t>
      </w:r>
      <w:r w:rsidR="0022034D" w:rsidRPr="00771883">
        <w:rPr>
          <w:sz w:val="18"/>
          <w:szCs w:val="18"/>
        </w:rPr>
        <w:t>under heading Purpose Test is required. That is, either the conduct is anticompetitive or there is purpose or intent.</w:t>
      </w:r>
    </w:p>
    <w:p w14:paraId="333FB46D" w14:textId="50DEDE0A" w:rsidR="00143485" w:rsidRPr="00771883" w:rsidRDefault="001376E6" w:rsidP="005271EE">
      <w:pPr>
        <w:pStyle w:val="Heading2"/>
      </w:pPr>
      <w:r>
        <w:t>An example of p</w:t>
      </w:r>
      <w:r w:rsidR="00616419" w:rsidRPr="00771883">
        <w:t>ossible overreach</w:t>
      </w:r>
      <w:r>
        <w:t xml:space="preserve"> </w:t>
      </w:r>
    </w:p>
    <w:p w14:paraId="2DF97BE9" w14:textId="77777777" w:rsidR="00143485" w:rsidRPr="00771883" w:rsidRDefault="00143485" w:rsidP="00143485">
      <w:r w:rsidRPr="00771883">
        <w:t xml:space="preserve">This section is relevant especially to question 2: </w:t>
      </w:r>
      <w:r w:rsidRPr="00771883">
        <w:rPr>
          <w:i/>
        </w:rPr>
        <w:t>What are examples of conduct that may be pro-competitive that could be captured under the Harper Panel’s proposed provision?</w:t>
      </w:r>
    </w:p>
    <w:p w14:paraId="48F25BE6" w14:textId="00B5E920" w:rsidR="003F6805" w:rsidRDefault="00E35B33" w:rsidP="00143485">
      <w:r>
        <w:t xml:space="preserve">As previously observed, a business that acquires market power through legitimate ‘competition on the merits’ and engages in monopoly pricing (i.e. sets prices significantly above the competitive level) is not condemned in </w:t>
      </w:r>
      <w:r w:rsidR="003F6805">
        <w:t xml:space="preserve">U.S. </w:t>
      </w:r>
      <w:r>
        <w:t>antitrust law.</w:t>
      </w:r>
      <w:r w:rsidR="003F6805">
        <w:t xml:space="preserve"> In</w:t>
      </w:r>
      <w:r w:rsidR="003F6805" w:rsidRPr="00771883">
        <w:t xml:space="preserve"> the EC</w:t>
      </w:r>
      <w:r w:rsidR="00EC63A2">
        <w:t>,</w:t>
      </w:r>
      <w:r w:rsidR="003F6805" w:rsidRPr="00771883">
        <w:t xml:space="preserve"> monopoly pricing can, in principle, represent an abuse of dominance</w:t>
      </w:r>
      <w:r w:rsidR="003F6805">
        <w:t>, h</w:t>
      </w:r>
      <w:r w:rsidR="003F6805" w:rsidRPr="00771883">
        <w:t>owever, Gal argues that th</w:t>
      </w:r>
      <w:r w:rsidR="003F6805">
        <w:t>e</w:t>
      </w:r>
      <w:r w:rsidR="003F6805" w:rsidRPr="00771883">
        <w:t xml:space="preserve"> “rule against excessive pricing … has very little practical value in Community institutions.”</w:t>
      </w:r>
      <w:r w:rsidR="003F6805" w:rsidRPr="00771883">
        <w:rPr>
          <w:rStyle w:val="FootnoteReference"/>
        </w:rPr>
        <w:footnoteReference w:id="19"/>
      </w:r>
    </w:p>
    <w:p w14:paraId="48B3C3BD" w14:textId="0FDE9B77" w:rsidR="003F6805" w:rsidRDefault="003F6805" w:rsidP="00143485">
      <w:r>
        <w:t xml:space="preserve">Competition law recognises that </w:t>
      </w:r>
      <w:r w:rsidR="00E35B33">
        <w:t xml:space="preserve">the pursuit of high returns </w:t>
      </w:r>
      <w:r>
        <w:t xml:space="preserve">through the </w:t>
      </w:r>
      <w:r w:rsidR="00EC63A2">
        <w:t xml:space="preserve">attainment </w:t>
      </w:r>
      <w:r>
        <w:t xml:space="preserve">of market power </w:t>
      </w:r>
      <w:r w:rsidR="00E35B33">
        <w:t xml:space="preserve">is </w:t>
      </w:r>
      <w:r>
        <w:t>a legitimate goal of firms competing on the merits and a</w:t>
      </w:r>
      <w:r w:rsidR="00E35B33">
        <w:t xml:space="preserve"> key driver of competitive activity </w:t>
      </w:r>
      <w:r w:rsidR="00E35B33" w:rsidRPr="007167C4">
        <w:t xml:space="preserve">which competition law seeks to foster. </w:t>
      </w:r>
    </w:p>
    <w:p w14:paraId="11A21103" w14:textId="77777777" w:rsidR="003F6805" w:rsidRPr="00771883" w:rsidRDefault="003F6805" w:rsidP="003F6805">
      <w:pPr>
        <w:pStyle w:val="Quote"/>
      </w:pPr>
      <w:r w:rsidRPr="00771883">
        <w:t>Monopoly pricing creates incentives for firms to compete and invest in cost-reducing or welfare-enhancing products, services or processes that might enable them to gain a comparative advantage and achieve a monopoly position to enjoy its fruits. Limiting the profitability of monopolists that achieved their position solely by fair competition distorts the incentives of firms to become more efficient. The effect might be impaired innovative performances, low levels of research and development, and productive inefficiency. The question is, of course, how significant this disincentive effect is likely to be.</w:t>
      </w:r>
      <w:r w:rsidRPr="00771883">
        <w:rPr>
          <w:rStyle w:val="FootnoteReference"/>
        </w:rPr>
        <w:footnoteReference w:id="20"/>
      </w:r>
    </w:p>
    <w:p w14:paraId="67C32466" w14:textId="3368F4BD" w:rsidR="001433A8" w:rsidRPr="007167C4" w:rsidRDefault="00E35B33" w:rsidP="00143485">
      <w:r w:rsidRPr="007167C4">
        <w:t xml:space="preserve">It is </w:t>
      </w:r>
      <w:r w:rsidR="001433A8" w:rsidRPr="007167C4">
        <w:t>also recognised that antitrust law is not intended to place courts in</w:t>
      </w:r>
      <w:r w:rsidRPr="007167C4">
        <w:t xml:space="preserve"> the role of </w:t>
      </w:r>
      <w:r w:rsidR="001433A8" w:rsidRPr="007167C4">
        <w:t xml:space="preserve">regulatory agencies with respect to </w:t>
      </w:r>
      <w:r w:rsidRPr="007167C4">
        <w:t>the pric</w:t>
      </w:r>
      <w:r w:rsidR="001433A8" w:rsidRPr="007167C4">
        <w:t>es</w:t>
      </w:r>
      <w:r w:rsidRPr="007167C4">
        <w:t xml:space="preserve"> of firms with market power</w:t>
      </w:r>
      <w:r w:rsidR="001433A8" w:rsidRPr="007167C4">
        <w:t>, as Hovenkamp has emphasised:</w:t>
      </w:r>
    </w:p>
    <w:p w14:paraId="0EC50A35" w14:textId="3D3C699B" w:rsidR="001433A8" w:rsidRPr="007167C4" w:rsidRDefault="001433A8" w:rsidP="007167C4">
      <w:pPr>
        <w:pStyle w:val="Quote"/>
      </w:pPr>
      <w:r w:rsidRPr="007167C4">
        <w:t xml:space="preserve">A government agency regulating a public utility, such as an electric power company, might supervise the firm’s prices or its decisions to enter into new markets or develop new technologies. But antitrust views firms as “regulated” mainly by the market. Failure to preserve this distinction between regulation and competition has explained many of the failures of </w:t>
      </w:r>
      <w:r w:rsidR="007167C4" w:rsidRPr="007167C4">
        <w:t>§2 policy.</w:t>
      </w:r>
      <w:r w:rsidR="007167C4" w:rsidRPr="007167C4">
        <w:rPr>
          <w:rStyle w:val="FootnoteReference"/>
        </w:rPr>
        <w:footnoteReference w:id="21"/>
      </w:r>
      <w:r w:rsidRPr="007167C4">
        <w:t xml:space="preserve"> </w:t>
      </w:r>
    </w:p>
    <w:p w14:paraId="53C3702F" w14:textId="54465F40" w:rsidR="00E35B33" w:rsidRDefault="00583918" w:rsidP="00143485">
      <w:r>
        <w:t>Inconsistently with this established competition law policy</w:t>
      </w:r>
      <w:r w:rsidR="00E35B33">
        <w:t>, under the HP proposal, monopoly pricing would appear be prohibited if it substantially lessens competition in a related market.</w:t>
      </w:r>
    </w:p>
    <w:p w14:paraId="571369F7" w14:textId="5C3EECAD" w:rsidR="00143485" w:rsidRPr="00771883" w:rsidRDefault="00143485" w:rsidP="00143485">
      <w:r w:rsidRPr="00771883">
        <w:t xml:space="preserve">Consider </w:t>
      </w:r>
      <w:r w:rsidR="00EC1940">
        <w:t>the following</w:t>
      </w:r>
      <w:r w:rsidR="00EC1940" w:rsidRPr="00771883">
        <w:t xml:space="preserve"> </w:t>
      </w:r>
      <w:r w:rsidRPr="00771883">
        <w:t xml:space="preserve">example of a firm that establishes a new product in a market, and </w:t>
      </w:r>
      <w:r w:rsidR="00E35B33">
        <w:t xml:space="preserve">ultimately </w:t>
      </w:r>
      <w:r w:rsidRPr="00771883">
        <w:t>gains a substantial degree of market power through superior product or acumen, that is, it acquires market power</w:t>
      </w:r>
      <w:r w:rsidR="00E35B33">
        <w:t xml:space="preserve"> legitimately</w:t>
      </w:r>
      <w:r w:rsidRPr="00771883">
        <w:t xml:space="preserve">. </w:t>
      </w:r>
      <w:r w:rsidR="007167C4">
        <w:t>Consider a</w:t>
      </w:r>
      <w:r w:rsidRPr="00771883">
        <w:t xml:space="preserve"> corporation </w:t>
      </w:r>
      <w:r w:rsidR="007167C4">
        <w:t xml:space="preserve">that </w:t>
      </w:r>
      <w:r w:rsidRPr="00771883">
        <w:t xml:space="preserve">establishes a new private hospital in a region previously without a local hospital, where residents previously travelled a long distance for hospital services. The new product is unambiguously welfare enhancing, because consumers can still make their previous choices, so none are worse off, but some are better off because they prefer to use the local hospital. At some stage, </w:t>
      </w:r>
      <w:r w:rsidR="00616419" w:rsidRPr="007167C4">
        <w:rPr>
          <w:i/>
        </w:rPr>
        <w:t>several years</w:t>
      </w:r>
      <w:r w:rsidRPr="007167C4">
        <w:rPr>
          <w:i/>
        </w:rPr>
        <w:t xml:space="preserve"> later</w:t>
      </w:r>
      <w:r w:rsidRPr="00771883">
        <w:t xml:space="preserve">, </w:t>
      </w:r>
      <w:r w:rsidR="000467FB">
        <w:t xml:space="preserve">demand conditions are such that </w:t>
      </w:r>
      <w:r w:rsidRPr="00771883">
        <w:t>the hospital corporation finds it has market power</w:t>
      </w:r>
      <w:r w:rsidR="000467FB">
        <w:t xml:space="preserve"> and</w:t>
      </w:r>
      <w:r w:rsidRPr="00771883">
        <w:t xml:space="preserve"> can raise price above its minimum supply price (i.e., the price it would charge if the local market were effectively competitive). Although some customers </w:t>
      </w:r>
      <w:r w:rsidR="007167C4">
        <w:t xml:space="preserve">may </w:t>
      </w:r>
      <w:r w:rsidRPr="00771883">
        <w:t>switch to using the services of more distant hospitals, demand is sufficiently inelastic that the local hospital prices can be profitably increased above the competitive level.</w:t>
      </w:r>
    </w:p>
    <w:p w14:paraId="1ED51E25" w14:textId="0A2CF0E8" w:rsidR="00143485" w:rsidRPr="00771883" w:rsidRDefault="007167C4" w:rsidP="00143485">
      <w:r>
        <w:t xml:space="preserve">For the purposes of this example, there is </w:t>
      </w:r>
      <w:r w:rsidR="00F42752">
        <w:t>a</w:t>
      </w:r>
      <w:r w:rsidR="00143485" w:rsidRPr="00771883">
        <w:t xml:space="preserve"> local industry </w:t>
      </w:r>
      <w:r>
        <w:t xml:space="preserve">that </w:t>
      </w:r>
      <w:r w:rsidR="00143485" w:rsidRPr="00771883">
        <w:t>supplies inputs to the hospital, for example, industrial scale laundry services</w:t>
      </w:r>
      <w:r w:rsidR="00F42752">
        <w:t xml:space="preserve">, and these input suppliers have </w:t>
      </w:r>
      <w:r w:rsidR="00143485" w:rsidRPr="00771883">
        <w:t xml:space="preserve">no other </w:t>
      </w:r>
      <w:r>
        <w:t xml:space="preserve">significant </w:t>
      </w:r>
      <w:r w:rsidR="00143485" w:rsidRPr="00771883">
        <w:t>local customers. When the hospital raises its prices</w:t>
      </w:r>
      <w:r w:rsidR="00F42752">
        <w:t xml:space="preserve"> to maximise its profits</w:t>
      </w:r>
      <w:r w:rsidR="00143485" w:rsidRPr="00771883">
        <w:t xml:space="preserve">, and the demand for its services reduces, this decreases the demand for the input. </w:t>
      </w:r>
    </w:p>
    <w:p w14:paraId="70F23D1E" w14:textId="1D11F910" w:rsidR="00143485" w:rsidRPr="00771883" w:rsidRDefault="00143485" w:rsidP="00143485">
      <w:r w:rsidRPr="00771883">
        <w:t>The market for the upstream input is shown in the following diagram, under certain assumptions. The suppliers of bulk laundry services are assumed to have differing degrees of efficiency—a common assumption in empirical analysis.</w:t>
      </w:r>
      <w:r w:rsidRPr="00771883">
        <w:rPr>
          <w:rStyle w:val="FootnoteReference"/>
        </w:rPr>
        <w:footnoteReference w:id="22"/>
      </w:r>
      <w:r w:rsidRPr="00771883">
        <w:t xml:space="preserve"> Here the differences in efficiency are shown as differences in the intercepts of their individual supply curves. Otherwise, the supply functions are assumed to be linear with equal slope. The diagram shows the aggregation over individual suppliers to derive the aggregate supply function</w:t>
      </w:r>
      <w:r w:rsidR="002143B1">
        <w:t xml:space="preserve"> for the input</w:t>
      </w:r>
      <w:r w:rsidRPr="00771883">
        <w:t xml:space="preserve">. </w:t>
      </w:r>
    </w:p>
    <w:p w14:paraId="3DFF602B" w14:textId="4FF848B0" w:rsidR="00F42752" w:rsidRDefault="00F42752">
      <w:pPr>
        <w:spacing w:before="0" w:line="240" w:lineRule="auto"/>
        <w:jc w:val="left"/>
        <w:rPr>
          <w:b/>
          <w:szCs w:val="22"/>
        </w:rPr>
      </w:pPr>
    </w:p>
    <w:p w14:paraId="0E61A326" w14:textId="0596B9A3" w:rsidR="00143485" w:rsidRPr="00771883" w:rsidRDefault="00C41606"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r w:rsidRPr="00771883">
        <w:rPr>
          <w:noProof/>
          <w:szCs w:val="22"/>
          <w:lang w:eastAsia="en-AU"/>
        </w:rPr>
        <w:drawing>
          <wp:anchor distT="0" distB="0" distL="114300" distR="114300" simplePos="0" relativeHeight="251658240" behindDoc="0" locked="0" layoutInCell="1" allowOverlap="1" wp14:anchorId="67E41820" wp14:editId="2ABF27F1">
            <wp:simplePos x="0" y="0"/>
            <wp:positionH relativeFrom="column">
              <wp:posOffset>-342900</wp:posOffset>
            </wp:positionH>
            <wp:positionV relativeFrom="paragraph">
              <wp:posOffset>334010</wp:posOffset>
            </wp:positionV>
            <wp:extent cx="5727700" cy="4127500"/>
            <wp:effectExtent l="0" t="0" r="12700" b="127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chart-6.pdf"/>
                    <pic:cNvPicPr/>
                  </pic:nvPicPr>
                  <pic:blipFill rotWithShape="1">
                    <a:blip r:embed="rId13">
                      <a:extLst>
                        <a:ext uri="{28A0092B-C50C-407E-A947-70E740481C1C}">
                          <a14:useLocalDpi xmlns:a14="http://schemas.microsoft.com/office/drawing/2010/main" val="0"/>
                        </a:ext>
                      </a:extLst>
                    </a:blip>
                    <a:srcRect l="1711" t="3704" r="1923" b="3702"/>
                    <a:stretch/>
                  </pic:blipFill>
                  <pic:spPr bwMode="auto">
                    <a:xfrm>
                      <a:off x="0" y="0"/>
                      <a:ext cx="5727700" cy="412750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2752">
        <w:rPr>
          <w:b/>
          <w:szCs w:val="22"/>
        </w:rPr>
        <w:t xml:space="preserve">        Figure: </w:t>
      </w:r>
      <w:r w:rsidR="00143485" w:rsidRPr="00771883">
        <w:rPr>
          <w:b/>
          <w:szCs w:val="22"/>
        </w:rPr>
        <w:t xml:space="preserve">Effect of Monopoly Pricing on Concentration in Input Market </w:t>
      </w:r>
    </w:p>
    <w:p w14:paraId="52BC9D8E" w14:textId="7A22013F" w:rsidR="00143485" w:rsidRDefault="00143485"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50B8598C"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282A5FE5"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7CADA842"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2D1CE48A"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48783FA6"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4B502008" w14:textId="788C3AE5"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5BE9BA61"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30A01586"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086679F1"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0494CC51"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5B6EE843" w14:textId="77777777" w:rsidR="00B779A1" w:rsidRDefault="00B779A1"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59ED7322" w14:textId="77777777" w:rsidR="00C41606" w:rsidRPr="00771883" w:rsidRDefault="00C41606"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rPr>
          <w:szCs w:val="22"/>
        </w:rPr>
      </w:pPr>
    </w:p>
    <w:p w14:paraId="1060FCFD" w14:textId="2D8D8E04" w:rsidR="00583918" w:rsidRDefault="00583918" w:rsidP="005839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771883">
        <w:t>The diagram shows the demand function</w:t>
      </w:r>
      <w:r>
        <w:t xml:space="preserve"> for the input when </w:t>
      </w:r>
      <w:r w:rsidRPr="00771883">
        <w:t xml:space="preserve">the hospital </w:t>
      </w:r>
      <w:r>
        <w:t>set the price of its services</w:t>
      </w:r>
      <w:r w:rsidRPr="00771883">
        <w:t xml:space="preserve"> above the competitive price, </w:t>
      </w:r>
      <w:r>
        <w:t xml:space="preserve">D(A), </w:t>
      </w:r>
      <w:r w:rsidRPr="00771883">
        <w:t xml:space="preserve">and </w:t>
      </w:r>
      <w:r>
        <w:t xml:space="preserve">in </w:t>
      </w:r>
      <w:r w:rsidRPr="00771883">
        <w:t>the counterfactual case</w:t>
      </w:r>
      <w:r>
        <w:t xml:space="preserve"> </w:t>
      </w:r>
      <w:r w:rsidRPr="00771883">
        <w:t>whe</w:t>
      </w:r>
      <w:r>
        <w:t>re</w:t>
      </w:r>
      <w:r w:rsidRPr="00771883">
        <w:t xml:space="preserve"> the hospital charges the competitive price, D(CF). </w:t>
      </w:r>
      <w:r>
        <w:t xml:space="preserve">In the “actual” scenario, with downstream monopolistic pricing, </w:t>
      </w:r>
      <w:r w:rsidR="00EC63A2">
        <w:t xml:space="preserve">there is a higher degree of concentration in the input market, partly because </w:t>
      </w:r>
      <w:r>
        <w:t>t</w:t>
      </w:r>
      <w:r w:rsidRPr="00771883">
        <w:t xml:space="preserve">here are </w:t>
      </w:r>
      <w:r>
        <w:t xml:space="preserve">fewer </w:t>
      </w:r>
      <w:r w:rsidRPr="00771883">
        <w:t xml:space="preserve">suppliers </w:t>
      </w:r>
      <w:r>
        <w:t>than i</w:t>
      </w:r>
      <w:r w:rsidRPr="00771883">
        <w:t>n the counterfactual case</w:t>
      </w:r>
      <w:r>
        <w:t xml:space="preserve">, and </w:t>
      </w:r>
      <w:r w:rsidR="00EC63A2">
        <w:t>partly</w:t>
      </w:r>
      <w:r>
        <w:t xml:space="preserve"> because, w</w:t>
      </w:r>
      <w:r w:rsidRPr="00771883">
        <w:t>hen demand contracts the less efficient suppliers incur a greater proportion of the contraction</w:t>
      </w:r>
      <w:r w:rsidR="00EC63A2">
        <w:t xml:space="preserve">, and </w:t>
      </w:r>
      <w:r w:rsidRPr="00771883">
        <w:t>the most efficient supplier is relatively less affected</w:t>
      </w:r>
      <w:r w:rsidR="00100EAE">
        <w:t xml:space="preserve">, </w:t>
      </w:r>
      <w:r w:rsidR="00EC63A2">
        <w:t xml:space="preserve">causing </w:t>
      </w:r>
      <w:r w:rsidR="00100EAE">
        <w:t>more disparity in market shares</w:t>
      </w:r>
      <w:r w:rsidRPr="00771883">
        <w:t xml:space="preserve">. </w:t>
      </w:r>
      <w:r>
        <w:t xml:space="preserve">In this hypothetical example, when the hospital engages in monopoly pricing, it results in greater concentration and </w:t>
      </w:r>
      <w:r w:rsidR="00EC63A2">
        <w:t xml:space="preserve">arguably </w:t>
      </w:r>
      <w:r>
        <w:t>a lessening of competition in the upstream bulk laundry services market</w:t>
      </w:r>
      <w:r w:rsidRPr="00771883">
        <w:t>.</w:t>
      </w:r>
      <w:r w:rsidRPr="00771883" w:rsidDel="00520618">
        <w:t xml:space="preserve"> </w:t>
      </w:r>
    </w:p>
    <w:p w14:paraId="28F525A2" w14:textId="3CCABE39" w:rsidR="00143485" w:rsidRPr="00771883" w:rsidRDefault="00143485"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771883">
        <w:rPr>
          <w:szCs w:val="22"/>
        </w:rPr>
        <w:t xml:space="preserve">This example shows that even though the hospital corporation’s market power was </w:t>
      </w:r>
      <w:r w:rsidR="00F42752">
        <w:rPr>
          <w:szCs w:val="22"/>
        </w:rPr>
        <w:t>legitimately</w:t>
      </w:r>
      <w:r w:rsidR="00F42752" w:rsidRPr="00771883">
        <w:rPr>
          <w:szCs w:val="22"/>
        </w:rPr>
        <w:t xml:space="preserve"> </w:t>
      </w:r>
      <w:r w:rsidRPr="00771883">
        <w:rPr>
          <w:szCs w:val="22"/>
        </w:rPr>
        <w:t xml:space="preserve">acquired, the exercise of its market power to charge a higher price than it would under effective competition may have the effect of substantially lessening competition in a related market. It would seem to be in breach of the </w:t>
      </w:r>
      <w:r w:rsidR="00F42752">
        <w:rPr>
          <w:szCs w:val="22"/>
        </w:rPr>
        <w:t>HP</w:t>
      </w:r>
      <w:r w:rsidRPr="00771883">
        <w:rPr>
          <w:szCs w:val="22"/>
        </w:rPr>
        <w:t>’s proposed s46, because it has a substantial degree of market power, and it has engaged in conduct that substantially lessens competition in a market, compared to the counterfactual case of competitive pricing. However, as previously shown, it would not have liability under U.S. law because it has not engaged in monopolisation. Nor would it have liability under the current s46 because it has not acted with a proscribed purpose.</w:t>
      </w:r>
    </w:p>
    <w:p w14:paraId="5FB1718B" w14:textId="7B4B9AA8" w:rsidR="00143485" w:rsidRPr="00771883" w:rsidRDefault="00143485" w:rsidP="001434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771883">
        <w:rPr>
          <w:szCs w:val="22"/>
        </w:rPr>
        <w:t xml:space="preserve">This example seeks to show that the </w:t>
      </w:r>
      <w:r w:rsidR="005A5A09">
        <w:rPr>
          <w:szCs w:val="22"/>
        </w:rPr>
        <w:t>HP proposal</w:t>
      </w:r>
      <w:r w:rsidRPr="00771883">
        <w:rPr>
          <w:szCs w:val="22"/>
        </w:rPr>
        <w:t xml:space="preserve"> for s46 is likely to be broader in its application that the comparable U.S. law, and this aspect of the proposal </w:t>
      </w:r>
      <w:r w:rsidR="002143B1">
        <w:rPr>
          <w:szCs w:val="22"/>
        </w:rPr>
        <w:t xml:space="preserve">would have </w:t>
      </w:r>
      <w:r w:rsidRPr="00771883">
        <w:rPr>
          <w:szCs w:val="22"/>
        </w:rPr>
        <w:t xml:space="preserve">the potential to stifle competitive </w:t>
      </w:r>
      <w:r w:rsidR="005A5A09">
        <w:rPr>
          <w:szCs w:val="22"/>
        </w:rPr>
        <w:t xml:space="preserve">and innovative </w:t>
      </w:r>
      <w:r w:rsidRPr="00771883">
        <w:rPr>
          <w:szCs w:val="22"/>
        </w:rPr>
        <w:t>activity.</w:t>
      </w:r>
    </w:p>
    <w:p w14:paraId="09A56450" w14:textId="03867F66" w:rsidR="00E4561F" w:rsidRPr="00771883" w:rsidRDefault="00E4561F" w:rsidP="00E4561F">
      <w:pPr>
        <w:pStyle w:val="Heading1"/>
      </w:pPr>
      <w:r w:rsidRPr="00771883">
        <w:t>Discussion of the elements of s46</w:t>
      </w:r>
    </w:p>
    <w:p w14:paraId="2288B5DD" w14:textId="76AF7EE6" w:rsidR="00663BBF" w:rsidRPr="002143B1" w:rsidRDefault="0056179E" w:rsidP="00075CAC">
      <w:r>
        <w:t>This section discusses the elements of s46 and identifies specific shortcomings and amendments to remedy them. Since t</w:t>
      </w:r>
      <w:r w:rsidR="00075CAC" w:rsidRPr="00771883">
        <w:t xml:space="preserve">he </w:t>
      </w:r>
      <w:r>
        <w:t>HP</w:t>
      </w:r>
      <w:r w:rsidR="00075CAC" w:rsidRPr="00771883">
        <w:t xml:space="preserve"> and the ACCC did not propose any change to the requirement that a corporation must have a substantial degree of market power in a market before it comes within the scope of s46</w:t>
      </w:r>
      <w:r>
        <w:t xml:space="preserve">, this aspect isn’t in </w:t>
      </w:r>
      <w:r w:rsidRPr="002143B1">
        <w:t>contention and therefore not</w:t>
      </w:r>
      <w:r w:rsidR="00075CAC" w:rsidRPr="002143B1">
        <w:t xml:space="preserve"> discussed. This section discusses </w:t>
      </w:r>
      <w:r w:rsidR="00663BBF" w:rsidRPr="002143B1">
        <w:t>the following topics:</w:t>
      </w:r>
    </w:p>
    <w:p w14:paraId="58F94FBE" w14:textId="6210BF11" w:rsidR="0056179E" w:rsidRPr="002143B1" w:rsidRDefault="0056179E" w:rsidP="00B0615F">
      <w:pPr>
        <w:pStyle w:val="ListParagraph"/>
        <w:numPr>
          <w:ilvl w:val="0"/>
          <w:numId w:val="10"/>
        </w:numPr>
      </w:pPr>
      <w:r w:rsidRPr="002143B1">
        <w:t>Section 4.1 considers whether a</w:t>
      </w:r>
      <w:r w:rsidR="00EC63A2">
        <w:t>n SLC test</w:t>
      </w:r>
      <w:r w:rsidRPr="002143B1">
        <w:t xml:space="preserve"> is needed</w:t>
      </w:r>
      <w:r w:rsidR="00EC63A2">
        <w:t xml:space="preserve"> in s46. It also considers whether some</w:t>
      </w:r>
      <w:r w:rsidR="002143B1" w:rsidRPr="002143B1">
        <w:t xml:space="preserve"> form of effects test</w:t>
      </w:r>
      <w:r w:rsidR="00EC63A2">
        <w:t xml:space="preserve"> is needed</w:t>
      </w:r>
      <w:r w:rsidR="002143B1" w:rsidRPr="002143B1">
        <w:t>,</w:t>
      </w:r>
      <w:r w:rsidRPr="002143B1">
        <w:t xml:space="preserve"> without </w:t>
      </w:r>
      <w:r w:rsidR="002143B1" w:rsidRPr="002143B1">
        <w:t>addressing the specific form of the</w:t>
      </w:r>
      <w:r w:rsidRPr="002143B1">
        <w:t xml:space="preserve"> effect</w:t>
      </w:r>
      <w:r w:rsidR="002143B1" w:rsidRPr="002143B1">
        <w:t>s test</w:t>
      </w:r>
      <w:r w:rsidRPr="002143B1">
        <w:t>.</w:t>
      </w:r>
    </w:p>
    <w:p w14:paraId="4B643591" w14:textId="0D657380" w:rsidR="0056179E" w:rsidRPr="00403854" w:rsidRDefault="0056179E" w:rsidP="00B0615F">
      <w:pPr>
        <w:pStyle w:val="ListParagraph"/>
        <w:numPr>
          <w:ilvl w:val="0"/>
          <w:numId w:val="10"/>
        </w:numPr>
      </w:pPr>
      <w:r w:rsidRPr="00223AF0">
        <w:t>Section 4.2 discusses the ‘take advantage’ element.</w:t>
      </w:r>
    </w:p>
    <w:p w14:paraId="464B84D8" w14:textId="33D95F83" w:rsidR="00663BBF" w:rsidRPr="00403854" w:rsidRDefault="00663BBF" w:rsidP="00B0615F">
      <w:pPr>
        <w:pStyle w:val="ListParagraph"/>
        <w:numPr>
          <w:ilvl w:val="0"/>
          <w:numId w:val="10"/>
        </w:numPr>
      </w:pPr>
      <w:r w:rsidRPr="00223AF0">
        <w:t>Section 4.</w:t>
      </w:r>
      <w:r w:rsidR="0056179E" w:rsidRPr="00223AF0">
        <w:t xml:space="preserve">3 </w:t>
      </w:r>
      <w:r w:rsidR="00403854">
        <w:t>addresses</w:t>
      </w:r>
      <w:r w:rsidR="00403854" w:rsidRPr="00223AF0">
        <w:t xml:space="preserve"> </w:t>
      </w:r>
      <w:r w:rsidR="00075CAC" w:rsidRPr="00223AF0">
        <w:t>the ‘purpose’ element</w:t>
      </w:r>
      <w:r w:rsidR="0056179E" w:rsidRPr="00403854">
        <w:t xml:space="preserve">, including whether it </w:t>
      </w:r>
      <w:r w:rsidR="00075CAC" w:rsidRPr="00223AF0">
        <w:t xml:space="preserve">should </w:t>
      </w:r>
      <w:r w:rsidR="0056179E" w:rsidRPr="00403854">
        <w:t>be</w:t>
      </w:r>
      <w:r w:rsidR="00403854" w:rsidRPr="00403854">
        <w:t xml:space="preserve"> broadened to more clearly encompass objective purpose as well as subjective purpose.</w:t>
      </w:r>
      <w:r w:rsidR="0056179E" w:rsidRPr="00223AF0">
        <w:t xml:space="preserve"> </w:t>
      </w:r>
    </w:p>
    <w:p w14:paraId="209267FA" w14:textId="531F445B" w:rsidR="00403854" w:rsidRPr="00223AF0" w:rsidRDefault="00403854" w:rsidP="00B0615F">
      <w:pPr>
        <w:pStyle w:val="ListParagraph"/>
        <w:numPr>
          <w:ilvl w:val="0"/>
          <w:numId w:val="10"/>
        </w:numPr>
      </w:pPr>
      <w:r w:rsidRPr="00223AF0">
        <w:t>Section 4.4 discusses the HP proposal to remove the proscribed purposes in paragraphs (a), (b) and (c) of s46(1).</w:t>
      </w:r>
    </w:p>
    <w:p w14:paraId="40F8B707" w14:textId="02C635E2" w:rsidR="00403854" w:rsidRPr="00403854" w:rsidRDefault="00403854" w:rsidP="00B0615F">
      <w:pPr>
        <w:pStyle w:val="ListParagraph"/>
        <w:numPr>
          <w:ilvl w:val="0"/>
          <w:numId w:val="10"/>
        </w:numPr>
      </w:pPr>
      <w:r w:rsidRPr="00403854">
        <w:t xml:space="preserve">Section 4.5 considers the </w:t>
      </w:r>
      <w:r w:rsidR="00C06C32">
        <w:t>alternative ways in which an</w:t>
      </w:r>
      <w:r w:rsidRPr="00403854">
        <w:t xml:space="preserve"> effects test</w:t>
      </w:r>
      <w:r w:rsidR="00C06C32">
        <w:t xml:space="preserve"> could be introduced</w:t>
      </w:r>
      <w:r w:rsidRPr="00403854">
        <w:t xml:space="preserve">, including: whether </w:t>
      </w:r>
      <w:r w:rsidRPr="00223AF0">
        <w:t>the purpose element should be retained on its own</w:t>
      </w:r>
      <w:r w:rsidR="00677F9D">
        <w:t xml:space="preserve"> (more clearly encompassing objective purpose)</w:t>
      </w:r>
      <w:r w:rsidRPr="00223AF0">
        <w:t xml:space="preserve">; whether </w:t>
      </w:r>
      <w:r w:rsidRPr="00403854">
        <w:t xml:space="preserve">the purpose and effect elements should both be necessary elements for the misuse of market power; or whether, as the HP proposes, they should be alternatives.  </w:t>
      </w:r>
    </w:p>
    <w:p w14:paraId="680AA675" w14:textId="13F329A4" w:rsidR="00403854" w:rsidRPr="00403854" w:rsidRDefault="00403854" w:rsidP="00B0615F">
      <w:pPr>
        <w:pStyle w:val="ListParagraph"/>
        <w:numPr>
          <w:ilvl w:val="0"/>
          <w:numId w:val="10"/>
        </w:numPr>
      </w:pPr>
      <w:r w:rsidRPr="00403854">
        <w:t>Section 4.6 addresses the HP’s proposed s46(2).</w:t>
      </w:r>
    </w:p>
    <w:p w14:paraId="6062D2B4" w14:textId="0A7DCDAB" w:rsidR="00075CAC" w:rsidRPr="00223AF0" w:rsidRDefault="00403854" w:rsidP="00B0615F">
      <w:pPr>
        <w:pStyle w:val="ListParagraph"/>
        <w:numPr>
          <w:ilvl w:val="0"/>
          <w:numId w:val="10"/>
        </w:numPr>
      </w:pPr>
      <w:r w:rsidRPr="00403854">
        <w:t>Section 4.7 discusses whether any amendment to s46 is needed to address “attempting” to monopolise—i.e., anticompetitive conduct by firms that have not yet obtained a substantial degree of market power, but have a dangerous likelihood of attaining it as a result of the anticompetitive conduct.</w:t>
      </w:r>
    </w:p>
    <w:p w14:paraId="1B8EBCC5" w14:textId="2005AABF" w:rsidR="005444CA" w:rsidRPr="00403854" w:rsidRDefault="00403854">
      <w:pPr>
        <w:pStyle w:val="Heading2"/>
      </w:pPr>
      <w:r w:rsidRPr="00223AF0" w:rsidDel="00403854">
        <w:t xml:space="preserve"> </w:t>
      </w:r>
      <w:r w:rsidR="005444CA" w:rsidRPr="00403854">
        <w:t xml:space="preserve">Is “substantially lessening of competition” needed? </w:t>
      </w:r>
    </w:p>
    <w:p w14:paraId="4DEC8A36" w14:textId="6D7261E6" w:rsidR="005444CA" w:rsidRPr="00771883" w:rsidRDefault="005444CA" w:rsidP="005444CA">
      <w:pPr>
        <w:rPr>
          <w:i/>
        </w:rPr>
      </w:pPr>
      <w:r w:rsidRPr="00771883">
        <w:t xml:space="preserve">This section is relevant to question 8: </w:t>
      </w:r>
      <w:r w:rsidRPr="00771883">
        <w:rPr>
          <w:i/>
        </w:rPr>
        <w:t xml:space="preserve">Given the understanding of the term ‘substantially lessening competition’ that has developed from case law, would this better focus the provision on conduct that is anti-competitive rather than using specific behaviour, and therefore avoid restricting genuinely pro-competitive conduct? </w:t>
      </w:r>
    </w:p>
    <w:p w14:paraId="067F1FC0" w14:textId="377EE497" w:rsidR="005444CA" w:rsidRPr="00771883" w:rsidRDefault="005444CA" w:rsidP="005444CA">
      <w:pPr>
        <w:rPr>
          <w:szCs w:val="22"/>
        </w:rPr>
      </w:pPr>
      <w:r w:rsidRPr="00771883">
        <w:rPr>
          <w:szCs w:val="22"/>
        </w:rPr>
        <w:t xml:space="preserve">The Harper Panel’s proposal to include the terms “substantially lessening competition” in s46 </w:t>
      </w:r>
      <w:r w:rsidR="007010C6" w:rsidRPr="00771883">
        <w:rPr>
          <w:szCs w:val="22"/>
        </w:rPr>
        <w:t>applies</w:t>
      </w:r>
      <w:r w:rsidRPr="00771883">
        <w:rPr>
          <w:szCs w:val="22"/>
        </w:rPr>
        <w:t xml:space="preserve"> to </w:t>
      </w:r>
      <w:r w:rsidR="007010C6" w:rsidRPr="00771883">
        <w:rPr>
          <w:szCs w:val="22"/>
        </w:rPr>
        <w:t>both</w:t>
      </w:r>
      <w:r w:rsidRPr="00771883">
        <w:rPr>
          <w:szCs w:val="22"/>
        </w:rPr>
        <w:t xml:space="preserve"> the purpose or effects elements</w:t>
      </w:r>
      <w:r w:rsidR="00D00B22">
        <w:rPr>
          <w:szCs w:val="22"/>
        </w:rPr>
        <w:t xml:space="preserve">, and as such it can be considered independently of </w:t>
      </w:r>
      <w:r w:rsidR="0064780A">
        <w:rPr>
          <w:szCs w:val="22"/>
        </w:rPr>
        <w:t>the proposal to</w:t>
      </w:r>
      <w:r w:rsidR="007010C6" w:rsidRPr="00771883">
        <w:rPr>
          <w:szCs w:val="22"/>
        </w:rPr>
        <w:t xml:space="preserve"> include</w:t>
      </w:r>
      <w:r w:rsidR="0064780A">
        <w:rPr>
          <w:szCs w:val="22"/>
        </w:rPr>
        <w:t xml:space="preserve"> an effects test as an </w:t>
      </w:r>
      <w:r w:rsidR="00D00B22">
        <w:rPr>
          <w:szCs w:val="22"/>
        </w:rPr>
        <w:t>alternative to the purpose element</w:t>
      </w:r>
      <w:r w:rsidR="007010C6" w:rsidRPr="00771883">
        <w:rPr>
          <w:szCs w:val="22"/>
        </w:rPr>
        <w:t xml:space="preserve">. </w:t>
      </w:r>
      <w:r w:rsidRPr="00771883">
        <w:rPr>
          <w:szCs w:val="22"/>
        </w:rPr>
        <w:t xml:space="preserve">This section considers whether </w:t>
      </w:r>
      <w:r w:rsidR="0064780A">
        <w:rPr>
          <w:szCs w:val="22"/>
        </w:rPr>
        <w:t>a</w:t>
      </w:r>
      <w:r w:rsidR="007010C6" w:rsidRPr="00771883">
        <w:rPr>
          <w:szCs w:val="22"/>
        </w:rPr>
        <w:t xml:space="preserve"> </w:t>
      </w:r>
      <w:r w:rsidRPr="00771883">
        <w:rPr>
          <w:szCs w:val="22"/>
        </w:rPr>
        <w:t xml:space="preserve">“substantially lessening competition” </w:t>
      </w:r>
      <w:r w:rsidR="0064780A">
        <w:rPr>
          <w:szCs w:val="22"/>
        </w:rPr>
        <w:t xml:space="preserve">requirement </w:t>
      </w:r>
      <w:r w:rsidRPr="00771883">
        <w:rPr>
          <w:szCs w:val="22"/>
        </w:rPr>
        <w:t>should be introduced into s46(1</w:t>
      </w:r>
      <w:r w:rsidR="00D00B22" w:rsidRPr="00771883">
        <w:rPr>
          <w:szCs w:val="22"/>
        </w:rPr>
        <w:t>)</w:t>
      </w:r>
      <w:r w:rsidR="00D00B22">
        <w:rPr>
          <w:szCs w:val="22"/>
        </w:rPr>
        <w:t>,</w:t>
      </w:r>
      <w:r w:rsidR="00D00B22" w:rsidRPr="00771883">
        <w:rPr>
          <w:szCs w:val="22"/>
        </w:rPr>
        <w:t xml:space="preserve"> </w:t>
      </w:r>
      <w:r w:rsidR="0064780A">
        <w:rPr>
          <w:szCs w:val="22"/>
        </w:rPr>
        <w:t xml:space="preserve">and whether </w:t>
      </w:r>
      <w:r w:rsidR="00677F9D">
        <w:rPr>
          <w:szCs w:val="22"/>
        </w:rPr>
        <w:t xml:space="preserve">in principle </w:t>
      </w:r>
      <w:r w:rsidR="0064780A">
        <w:rPr>
          <w:szCs w:val="22"/>
        </w:rPr>
        <w:t>there should be some form of effects test</w:t>
      </w:r>
      <w:r w:rsidR="00677F9D">
        <w:rPr>
          <w:szCs w:val="22"/>
        </w:rPr>
        <w:t>. H</w:t>
      </w:r>
      <w:r w:rsidR="0064780A">
        <w:rPr>
          <w:szCs w:val="22"/>
        </w:rPr>
        <w:t xml:space="preserve">owever, the options for introducing an effects test are considered </w:t>
      </w:r>
      <w:r w:rsidR="00D00B22">
        <w:rPr>
          <w:szCs w:val="22"/>
        </w:rPr>
        <w:t xml:space="preserve">in </w:t>
      </w:r>
      <w:r w:rsidR="0064780A">
        <w:rPr>
          <w:szCs w:val="22"/>
        </w:rPr>
        <w:t>a later section</w:t>
      </w:r>
      <w:r w:rsidRPr="00771883">
        <w:rPr>
          <w:szCs w:val="22"/>
        </w:rPr>
        <w:t xml:space="preserve">. </w:t>
      </w:r>
    </w:p>
    <w:p w14:paraId="55F1ABF7" w14:textId="13E407C7" w:rsidR="005444CA" w:rsidRPr="00771883" w:rsidRDefault="005444CA" w:rsidP="005444CA">
      <w:pPr>
        <w:rPr>
          <w:szCs w:val="22"/>
        </w:rPr>
      </w:pPr>
      <w:r w:rsidRPr="00771883">
        <w:rPr>
          <w:szCs w:val="22"/>
        </w:rPr>
        <w:t>According to Stewart, the issues that have primarily “vexed legislators, courts and commentators” about s46 are the complexity of the economic concepts and the “difficulty in distinguishing anticompetitive conduct from competitive conduct”.</w:t>
      </w:r>
      <w:r w:rsidRPr="00771883">
        <w:rPr>
          <w:rStyle w:val="FootnoteReference"/>
          <w:szCs w:val="22"/>
        </w:rPr>
        <w:footnoteReference w:id="23"/>
      </w:r>
      <w:r w:rsidRPr="00771883">
        <w:rPr>
          <w:szCs w:val="22"/>
        </w:rPr>
        <w:t xml:space="preserve"> </w:t>
      </w:r>
      <w:r w:rsidR="007010C6" w:rsidRPr="00771883">
        <w:rPr>
          <w:szCs w:val="22"/>
        </w:rPr>
        <w:t>Bruce observes that “it is not an easy task to distinguish between aggressive but legal conduct that has the effect of damaging or even eliminating a competitor, and illegal anti-competitive uses of market power to achieve the same goal.”</w:t>
      </w:r>
      <w:r w:rsidR="00771883" w:rsidRPr="00771883">
        <w:rPr>
          <w:rStyle w:val="FootnoteReference"/>
          <w:szCs w:val="22"/>
        </w:rPr>
        <w:footnoteReference w:id="24"/>
      </w:r>
    </w:p>
    <w:p w14:paraId="335F0ACF" w14:textId="643A70F3" w:rsidR="005444CA" w:rsidRPr="00771883" w:rsidRDefault="005444CA" w:rsidP="005444CA">
      <w:pPr>
        <w:rPr>
          <w:szCs w:val="22"/>
        </w:rPr>
      </w:pPr>
      <w:r w:rsidRPr="00771883">
        <w:rPr>
          <w:szCs w:val="22"/>
        </w:rPr>
        <w:t xml:space="preserve">The elements of s46 only make this distinction in part. The prohibition only applies to conduct with one of the proscribed purposes carried out by a firm with a substantial degree of market power that </w:t>
      </w:r>
      <w:r w:rsidR="002B32D9">
        <w:rPr>
          <w:iCs/>
          <w:szCs w:val="22"/>
        </w:rPr>
        <w:t>relies on</w:t>
      </w:r>
      <w:r w:rsidRPr="00771883">
        <w:rPr>
          <w:szCs w:val="22"/>
        </w:rPr>
        <w:t xml:space="preserve"> its </w:t>
      </w:r>
      <w:r w:rsidR="002B32D9">
        <w:rPr>
          <w:szCs w:val="22"/>
        </w:rPr>
        <w:t xml:space="preserve">market </w:t>
      </w:r>
      <w:r w:rsidRPr="00771883">
        <w:rPr>
          <w:szCs w:val="22"/>
        </w:rPr>
        <w:t xml:space="preserve">power when engaging in the conduct. This set of requirements reflects the premise that conduct with such a purpose carried out by </w:t>
      </w:r>
      <w:r w:rsidR="00771883" w:rsidRPr="00771883">
        <w:rPr>
          <w:szCs w:val="22"/>
        </w:rPr>
        <w:t>a firm</w:t>
      </w:r>
      <w:r w:rsidRPr="00771883">
        <w:rPr>
          <w:szCs w:val="22"/>
        </w:rPr>
        <w:t xml:space="preserve"> without market power, or without using market power, is unlikely to be detrimental to competition. </w:t>
      </w:r>
      <w:r w:rsidRPr="00771883">
        <w:t xml:space="preserve">Only if a firm uses market power could the impugned conduct have the effect of harming competition. </w:t>
      </w:r>
      <w:r w:rsidRPr="00771883">
        <w:rPr>
          <w:szCs w:val="22"/>
        </w:rPr>
        <w:t>Otherwise the conduct would be categorized as ordinary competition, which is by nature ruthless. The Act aims to protect such competition as being in the interests of consumers.</w:t>
      </w:r>
      <w:r w:rsidRPr="00771883">
        <w:rPr>
          <w:rStyle w:val="FootnoteReference"/>
          <w:szCs w:val="22"/>
        </w:rPr>
        <w:footnoteReference w:id="25"/>
      </w:r>
      <w:r w:rsidRPr="00771883">
        <w:rPr>
          <w:szCs w:val="22"/>
        </w:rPr>
        <w:t xml:space="preserve"> </w:t>
      </w:r>
    </w:p>
    <w:p w14:paraId="5FF2B057" w14:textId="4644266B" w:rsidR="00771883" w:rsidRDefault="005444CA" w:rsidP="005444CA">
      <w:pPr>
        <w:rPr>
          <w:szCs w:val="22"/>
        </w:rPr>
      </w:pPr>
      <w:r w:rsidRPr="00771883">
        <w:rPr>
          <w:szCs w:val="22"/>
        </w:rPr>
        <w:t xml:space="preserve">However, this leaves </w:t>
      </w:r>
      <w:r w:rsidR="00771883" w:rsidRPr="00771883">
        <w:rPr>
          <w:szCs w:val="22"/>
        </w:rPr>
        <w:t>a</w:t>
      </w:r>
      <w:r w:rsidRPr="00771883">
        <w:rPr>
          <w:szCs w:val="22"/>
        </w:rPr>
        <w:t xml:space="preserve"> question </w:t>
      </w:r>
      <w:r w:rsidR="00453DDB">
        <w:rPr>
          <w:szCs w:val="22"/>
        </w:rPr>
        <w:t>regarding</w:t>
      </w:r>
      <w:r w:rsidRPr="00771883">
        <w:rPr>
          <w:szCs w:val="22"/>
        </w:rPr>
        <w:t xml:space="preserve"> whether all conduct with a proscribed purpose, engaged in by a firm </w:t>
      </w:r>
      <w:r w:rsidR="00D00B22">
        <w:rPr>
          <w:szCs w:val="22"/>
        </w:rPr>
        <w:t>with</w:t>
      </w:r>
      <w:r w:rsidRPr="00771883">
        <w:rPr>
          <w:szCs w:val="22"/>
        </w:rPr>
        <w:t xml:space="preserve"> a substantial degree of market power, and using that power, </w:t>
      </w:r>
      <w:r w:rsidR="00771883">
        <w:rPr>
          <w:szCs w:val="22"/>
        </w:rPr>
        <w:t>is</w:t>
      </w:r>
      <w:r w:rsidRPr="00771883">
        <w:rPr>
          <w:szCs w:val="22"/>
        </w:rPr>
        <w:t xml:space="preserve"> necessarily anticompetitive. This is not entirely clear. </w:t>
      </w:r>
      <w:r w:rsidR="00771883">
        <w:rPr>
          <w:szCs w:val="22"/>
        </w:rPr>
        <w:t>F</w:t>
      </w:r>
      <w:r w:rsidR="00771883" w:rsidRPr="00771883">
        <w:rPr>
          <w:szCs w:val="22"/>
        </w:rPr>
        <w:t xml:space="preserve">or instance, </w:t>
      </w:r>
      <w:r w:rsidR="00771883">
        <w:rPr>
          <w:szCs w:val="22"/>
        </w:rPr>
        <w:t xml:space="preserve">Salop </w:t>
      </w:r>
      <w:r w:rsidR="00771883" w:rsidRPr="00771883">
        <w:rPr>
          <w:szCs w:val="22"/>
        </w:rPr>
        <w:t xml:space="preserve">has </w:t>
      </w:r>
      <w:r w:rsidR="00771883">
        <w:rPr>
          <w:szCs w:val="22"/>
        </w:rPr>
        <w:t>criticiz</w:t>
      </w:r>
      <w:r w:rsidR="00771883" w:rsidRPr="00771883">
        <w:rPr>
          <w:szCs w:val="22"/>
        </w:rPr>
        <w:t>ed the use</w:t>
      </w:r>
      <w:r w:rsidR="00771883">
        <w:rPr>
          <w:szCs w:val="22"/>
        </w:rPr>
        <w:t xml:space="preserve"> of market power proxies as indicators of the likelihood of anticompetitive effects.</w:t>
      </w:r>
      <w:r w:rsidR="00771883">
        <w:rPr>
          <w:rStyle w:val="FootnoteReference"/>
          <w:szCs w:val="22"/>
        </w:rPr>
        <w:footnoteReference w:id="26"/>
      </w:r>
      <w:r w:rsidR="00771883">
        <w:rPr>
          <w:szCs w:val="22"/>
        </w:rPr>
        <w:t xml:space="preserve"> </w:t>
      </w:r>
      <w:r w:rsidR="0069009A">
        <w:rPr>
          <w:szCs w:val="22"/>
        </w:rPr>
        <w:t>He argues:</w:t>
      </w:r>
      <w:r w:rsidR="00771883">
        <w:rPr>
          <w:szCs w:val="22"/>
        </w:rPr>
        <w:t xml:space="preserve"> </w:t>
      </w:r>
    </w:p>
    <w:p w14:paraId="3F337F84" w14:textId="4F8AFF59" w:rsidR="00453DDB" w:rsidRDefault="00453DDB" w:rsidP="008872F1">
      <w:pPr>
        <w:pStyle w:val="Quote"/>
      </w:pPr>
      <w:r>
        <w:t xml:space="preserve">In a first principles economic analysis of exclusionary conduct, proof of anticompetitive effect generally involves proof of </w:t>
      </w:r>
      <w:r w:rsidRPr="008872F1">
        <w:rPr>
          <w:i/>
        </w:rPr>
        <w:t>both</w:t>
      </w:r>
      <w:r>
        <w:t xml:space="preserve"> injury to competitors (“p</w:t>
      </w:r>
      <w:r w:rsidR="008872F1">
        <w:t>o</w:t>
      </w:r>
      <w:r>
        <w:t>wer to exclude competitors” or “raising rivals’ costs”) and injury to consumers (“power over price”)</w:t>
      </w:r>
      <w:r w:rsidR="008872F1">
        <w:t>.</w:t>
      </w:r>
      <w:r w:rsidR="008872F1">
        <w:rPr>
          <w:rStyle w:val="FootnoteReference"/>
        </w:rPr>
        <w:footnoteReference w:id="27"/>
      </w:r>
    </w:p>
    <w:p w14:paraId="729AEF52" w14:textId="11132B48" w:rsidR="00453DDB" w:rsidRDefault="008872F1" w:rsidP="005444CA">
      <w:pPr>
        <w:rPr>
          <w:szCs w:val="22"/>
        </w:rPr>
      </w:pPr>
      <w:r>
        <w:rPr>
          <w:szCs w:val="22"/>
        </w:rPr>
        <w:t>Both questions relate to market power. The first question requires proof that the defendant “had the power to exclude competitors” and used that power to do so</w:t>
      </w:r>
      <w:r w:rsidR="00D00B22">
        <w:rPr>
          <w:szCs w:val="22"/>
        </w:rPr>
        <w:t>, and t</w:t>
      </w:r>
      <w:r>
        <w:rPr>
          <w:szCs w:val="22"/>
        </w:rPr>
        <w:t>he second question requires proof that consumers were injured.</w:t>
      </w:r>
      <w:r>
        <w:rPr>
          <w:rStyle w:val="FootnoteReference"/>
          <w:szCs w:val="22"/>
        </w:rPr>
        <w:footnoteReference w:id="28"/>
      </w:r>
      <w:r>
        <w:rPr>
          <w:szCs w:val="22"/>
        </w:rPr>
        <w:t xml:space="preserve"> S46 appears to involve only the first of these two inquiries. </w:t>
      </w:r>
      <w:r w:rsidR="00D00B22">
        <w:rPr>
          <w:szCs w:val="22"/>
        </w:rPr>
        <w:t>T</w:t>
      </w:r>
      <w:r>
        <w:rPr>
          <w:szCs w:val="22"/>
        </w:rPr>
        <w:t>he second inquiry</w:t>
      </w:r>
      <w:r w:rsidR="00677F9D">
        <w:rPr>
          <w:szCs w:val="22"/>
        </w:rPr>
        <w:t xml:space="preserve">, </w:t>
      </w:r>
      <w:r>
        <w:rPr>
          <w:szCs w:val="22"/>
        </w:rPr>
        <w:t>namely whether consumers were injured</w:t>
      </w:r>
      <w:r w:rsidR="00677F9D">
        <w:rPr>
          <w:szCs w:val="22"/>
        </w:rPr>
        <w:t xml:space="preserve"> (</w:t>
      </w:r>
      <w:r>
        <w:rPr>
          <w:szCs w:val="22"/>
        </w:rPr>
        <w:t xml:space="preserve">which is generally taken to be </w:t>
      </w:r>
      <w:r w:rsidR="0069009A">
        <w:rPr>
          <w:szCs w:val="22"/>
        </w:rPr>
        <w:t>synonymous</w:t>
      </w:r>
      <w:r>
        <w:rPr>
          <w:szCs w:val="22"/>
        </w:rPr>
        <w:t xml:space="preserve"> with </w:t>
      </w:r>
      <w:r w:rsidR="0069009A">
        <w:rPr>
          <w:szCs w:val="22"/>
        </w:rPr>
        <w:t>whether competition has been harmed</w:t>
      </w:r>
      <w:r w:rsidR="00677F9D">
        <w:rPr>
          <w:szCs w:val="22"/>
        </w:rPr>
        <w:t>), is lacking, at least in a formal sense</w:t>
      </w:r>
      <w:r w:rsidR="0069009A">
        <w:rPr>
          <w:szCs w:val="22"/>
        </w:rPr>
        <w:t>.</w:t>
      </w:r>
    </w:p>
    <w:p w14:paraId="602E6623" w14:textId="5FF7D6AF" w:rsidR="005444CA" w:rsidRPr="00771883" w:rsidRDefault="00840A7E" w:rsidP="005444CA">
      <w:r>
        <w:rPr>
          <w:szCs w:val="22"/>
        </w:rPr>
        <w:t>Australian courts have not always found the elements of s46 to be fully sufficient to separate anticompetitive conduct from legitimate competition.</w:t>
      </w:r>
      <w:r>
        <w:rPr>
          <w:rStyle w:val="FootnoteReference"/>
          <w:szCs w:val="22"/>
        </w:rPr>
        <w:footnoteReference w:id="29"/>
      </w:r>
      <w:r>
        <w:rPr>
          <w:szCs w:val="22"/>
        </w:rPr>
        <w:t xml:space="preserve"> </w:t>
      </w:r>
      <w:r>
        <w:t>For example in relation to predatory pricing</w:t>
      </w:r>
      <w:r w:rsidR="005444CA" w:rsidRPr="00771883">
        <w:t xml:space="preserve">, </w:t>
      </w:r>
      <w:r w:rsidRPr="00771883">
        <w:t xml:space="preserve">McHugh J asked </w:t>
      </w:r>
      <w:r w:rsidR="005444CA" w:rsidRPr="00771883">
        <w:t xml:space="preserve">in </w:t>
      </w:r>
      <w:r w:rsidR="005444CA" w:rsidRPr="00771883">
        <w:rPr>
          <w:i/>
          <w:szCs w:val="22"/>
        </w:rPr>
        <w:t xml:space="preserve">Boral Besser Masonry Ltd v </w:t>
      </w:r>
      <w:r w:rsidR="005444CA" w:rsidRPr="00771883">
        <w:rPr>
          <w:i/>
        </w:rPr>
        <w:t>ACCC</w:t>
      </w:r>
      <w:r w:rsidR="005444CA" w:rsidRPr="00771883">
        <w:rPr>
          <w:szCs w:val="22"/>
        </w:rPr>
        <w:t xml:space="preserve"> </w:t>
      </w:r>
      <w:r w:rsidR="005444CA" w:rsidRPr="00771883">
        <w:t>(hereafter “</w:t>
      </w:r>
      <w:r w:rsidR="005444CA" w:rsidRPr="00771883">
        <w:rPr>
          <w:i/>
        </w:rPr>
        <w:t>Boral</w:t>
      </w:r>
      <w:r w:rsidR="007D708B">
        <w:t>”)</w:t>
      </w:r>
      <w:r w:rsidR="005444CA" w:rsidRPr="00771883">
        <w:t>:</w:t>
      </w:r>
    </w:p>
    <w:p w14:paraId="6F113CBB" w14:textId="7B2B4038" w:rsidR="005444CA" w:rsidRPr="00771883" w:rsidRDefault="005444CA" w:rsidP="005444CA">
      <w:pPr>
        <w:pStyle w:val="Quote"/>
      </w:pPr>
      <w:r w:rsidRPr="00771883">
        <w:t>Does s46 of the Act distinguish between vigorous competition through pricing and anti-competitive pricing? If so, on what basis does s46 distinguish between the two types of conduct?</w:t>
      </w:r>
      <w:r w:rsidR="007D708B">
        <w:rPr>
          <w:rStyle w:val="FootnoteReference"/>
        </w:rPr>
        <w:footnoteReference w:id="30"/>
      </w:r>
      <w:r w:rsidRPr="00771883">
        <w:t xml:space="preserve"> </w:t>
      </w:r>
    </w:p>
    <w:p w14:paraId="0353C0FB" w14:textId="7FD90900" w:rsidR="005444CA" w:rsidRPr="00771883" w:rsidRDefault="00840A7E" w:rsidP="005444CA">
      <w:r>
        <w:t>I</w:t>
      </w:r>
      <w:r w:rsidR="005444CA" w:rsidRPr="00771883">
        <w:t xml:space="preserve">n </w:t>
      </w:r>
      <w:r w:rsidR="005444CA" w:rsidRPr="00771883">
        <w:rPr>
          <w:i/>
        </w:rPr>
        <w:t>ACCC v Pfizer Australia Pty Ltd</w:t>
      </w:r>
      <w:r w:rsidR="007D708B">
        <w:t>, the court noted</w:t>
      </w:r>
      <w:r w:rsidR="005444CA" w:rsidRPr="00771883">
        <w:t>:</w:t>
      </w:r>
    </w:p>
    <w:p w14:paraId="3F1F1827" w14:textId="290EE2AA" w:rsidR="005444CA" w:rsidRPr="00771883" w:rsidRDefault="005444CA" w:rsidP="005444CA">
      <w:pPr>
        <w:pStyle w:val="Quote"/>
      </w:pPr>
      <w:r w:rsidRPr="00771883">
        <w:t>One of the central difficulties inherent in s 46 is well recognised, namely the tension between pursuing conduct for the legitimate commercial objective of being competitive as opposed to the proscribed objectives.</w:t>
      </w:r>
      <w:r w:rsidR="007D708B">
        <w:rPr>
          <w:rStyle w:val="FootnoteReference"/>
        </w:rPr>
        <w:footnoteReference w:id="31"/>
      </w:r>
      <w:r w:rsidRPr="00771883">
        <w:t xml:space="preserve"> </w:t>
      </w:r>
    </w:p>
    <w:p w14:paraId="26EE6823" w14:textId="219234D6" w:rsidR="005444CA" w:rsidRPr="00771883" w:rsidRDefault="005444CA" w:rsidP="005444CA">
      <w:r w:rsidRPr="00771883">
        <w:t>It is well established, from the overall object of the Act, that s46 has the purpose of protecting competition and not competitors. However, the proscribed purposes in paragraphs (a) to (c), while assisting to delineate the types of conduct that are prohibited, do not appear to be sufficient to distinguish betwe</w:t>
      </w:r>
      <w:r w:rsidR="00840A7E">
        <w:t>en anticompetitive conduct and competition on the merits</w:t>
      </w:r>
      <w:r w:rsidRPr="00771883">
        <w:t xml:space="preserve">, in part because they </w:t>
      </w:r>
      <w:r w:rsidR="0069009A">
        <w:t>are limited to addressing the effects on</w:t>
      </w:r>
      <w:r w:rsidRPr="00771883">
        <w:t xml:space="preserve"> competitors</w:t>
      </w:r>
      <w:r w:rsidR="0069009A">
        <w:t>, without also addressing the effects on competition.</w:t>
      </w:r>
      <w:r w:rsidRPr="00771883">
        <w:t xml:space="preserve"> Consequently, the courts have needed to over-rely on the ‘take advantage’ element, which does not appear to be well designed to distinguish between legitimate forms of competition and anticompetitive practices. This </w:t>
      </w:r>
      <w:r w:rsidR="0069009A">
        <w:t xml:space="preserve">last </w:t>
      </w:r>
      <w:r w:rsidRPr="00771883">
        <w:t>point is developed further in the next section.</w:t>
      </w:r>
    </w:p>
    <w:p w14:paraId="1E0CAC95" w14:textId="36905582" w:rsidR="002C032E" w:rsidRDefault="002C032E" w:rsidP="002C032E">
      <w:r>
        <w:t>S</w:t>
      </w:r>
      <w:r w:rsidR="005444CA" w:rsidRPr="00771883">
        <w:t xml:space="preserve">46 </w:t>
      </w:r>
      <w:r>
        <w:t xml:space="preserve">is </w:t>
      </w:r>
      <w:r w:rsidR="008E2771">
        <w:t>essentially</w:t>
      </w:r>
      <w:r w:rsidR="005444CA" w:rsidRPr="00771883">
        <w:t xml:space="preserve"> a </w:t>
      </w:r>
      <w:r w:rsidR="005444CA" w:rsidRPr="00771883">
        <w:rPr>
          <w:i/>
        </w:rPr>
        <w:t>per se</w:t>
      </w:r>
      <w:r w:rsidR="005444CA" w:rsidRPr="00771883">
        <w:t xml:space="preserve"> prohibition,</w:t>
      </w:r>
      <w:r w:rsidR="00840A7E">
        <w:rPr>
          <w:rStyle w:val="FootnoteReference"/>
        </w:rPr>
        <w:footnoteReference w:id="32"/>
      </w:r>
      <w:r w:rsidR="005444CA" w:rsidRPr="00771883">
        <w:t xml:space="preserve"> </w:t>
      </w:r>
      <w:r w:rsidR="0069009A">
        <w:t xml:space="preserve">i.e. </w:t>
      </w:r>
      <w:r w:rsidR="005444CA" w:rsidRPr="00771883">
        <w:t xml:space="preserve">based on the form of the conduct without necessary regard to the effects on competition. As we have seen, this is inconsistent with the USA practice. </w:t>
      </w:r>
      <w:r>
        <w:t>T</w:t>
      </w:r>
      <w:r w:rsidRPr="00771883">
        <w:t>he OECD has noted</w:t>
      </w:r>
      <w:r w:rsidR="002B32D9">
        <w:t xml:space="preserve"> in relation to the enforcement of competition laws against the abuse of dominance,</w:t>
      </w:r>
      <w:r w:rsidRPr="00771883">
        <w:t xml:space="preserve"> </w:t>
      </w:r>
      <w:r w:rsidR="00BF529F">
        <w:t xml:space="preserve">that </w:t>
      </w:r>
      <w:r w:rsidRPr="00771883">
        <w:t xml:space="preserve">international experience suggests form-based and effects-based approaches each have strengths and weaknesses, </w:t>
      </w:r>
      <w:r w:rsidR="00BF529F">
        <w:t>however, the OECD argues</w:t>
      </w:r>
      <w:r w:rsidRPr="00771883">
        <w:t xml:space="preserve"> that it is better to avoid pure form-based or pure effects-based approach</w:t>
      </w:r>
      <w:r>
        <w:t>es</w:t>
      </w:r>
      <w:r w:rsidRPr="00771883">
        <w:t xml:space="preserve"> because “[e]ither approach, driven to excess, produces unattractive results”.</w:t>
      </w:r>
      <w:r w:rsidRPr="00771883">
        <w:rPr>
          <w:rStyle w:val="FootnoteReference"/>
        </w:rPr>
        <w:footnoteReference w:id="33"/>
      </w:r>
      <w:r w:rsidRPr="00771883">
        <w:t xml:space="preserve"> It would be better to combine elements of the two approaches. </w:t>
      </w:r>
    </w:p>
    <w:p w14:paraId="231DDAA3" w14:textId="519F222A" w:rsidR="005444CA" w:rsidRDefault="005444CA" w:rsidP="005444CA">
      <w:r w:rsidRPr="00771883">
        <w:t>If s46 is to adequately distinguish between anticompetitive conduct and competition on the merits it needs to be supplemented with a requirement for the courts to evaluate whether the conduct in question is likely to harm competition. That is, it should be supplemented with the criterion of substantially lessening competition.</w:t>
      </w:r>
      <w:r w:rsidR="002C032E">
        <w:t xml:space="preserve"> It also suggests that the effects of conduct on competition are relevant considerations, in addition to purposes.</w:t>
      </w:r>
    </w:p>
    <w:p w14:paraId="170C50A9" w14:textId="4E7F1658" w:rsidR="0069009A" w:rsidRPr="00771883" w:rsidRDefault="0069009A" w:rsidP="0069009A">
      <w:pPr>
        <w:pStyle w:val="Heading4"/>
        <w:numPr>
          <w:ilvl w:val="0"/>
          <w:numId w:val="0"/>
        </w:numPr>
        <w:ind w:left="862" w:hanging="862"/>
      </w:pPr>
      <w:r>
        <w:t>Conclusion</w:t>
      </w:r>
    </w:p>
    <w:p w14:paraId="4B596379" w14:textId="395CC14A" w:rsidR="005444CA" w:rsidRPr="00771883" w:rsidRDefault="0069009A" w:rsidP="005444CA">
      <w:pPr>
        <w:rPr>
          <w:szCs w:val="22"/>
        </w:rPr>
      </w:pPr>
      <w:r>
        <w:rPr>
          <w:szCs w:val="22"/>
        </w:rPr>
        <w:t>T</w:t>
      </w:r>
      <w:r w:rsidR="005444CA" w:rsidRPr="00771883">
        <w:rPr>
          <w:szCs w:val="22"/>
        </w:rPr>
        <w:t xml:space="preserve">he terms “substantially lessening competition” </w:t>
      </w:r>
      <w:r w:rsidR="005444CA" w:rsidRPr="00840A7E">
        <w:rPr>
          <w:i/>
          <w:szCs w:val="22"/>
        </w:rPr>
        <w:t>should</w:t>
      </w:r>
      <w:r w:rsidR="005444CA" w:rsidRPr="00771883">
        <w:rPr>
          <w:szCs w:val="22"/>
        </w:rPr>
        <w:t xml:space="preserve"> be incorporated into s46</w:t>
      </w:r>
      <w:r w:rsidR="002C032E">
        <w:rPr>
          <w:szCs w:val="22"/>
        </w:rPr>
        <w:t>(1)</w:t>
      </w:r>
      <w:r w:rsidR="005444CA" w:rsidRPr="00771883">
        <w:rPr>
          <w:szCs w:val="22"/>
        </w:rPr>
        <w:t xml:space="preserve"> to </w:t>
      </w:r>
      <w:r>
        <w:rPr>
          <w:szCs w:val="22"/>
        </w:rPr>
        <w:t xml:space="preserve">effectively require that </w:t>
      </w:r>
      <w:r w:rsidR="005444CA" w:rsidRPr="00771883">
        <w:rPr>
          <w:szCs w:val="22"/>
        </w:rPr>
        <w:t>conduct</w:t>
      </w:r>
      <w:r>
        <w:rPr>
          <w:szCs w:val="22"/>
        </w:rPr>
        <w:t xml:space="preserve"> with a proscribed purpose must</w:t>
      </w:r>
      <w:r w:rsidR="005444CA" w:rsidRPr="00771883">
        <w:rPr>
          <w:szCs w:val="22"/>
        </w:rPr>
        <w:t xml:space="preserve"> </w:t>
      </w:r>
      <w:r>
        <w:rPr>
          <w:szCs w:val="22"/>
        </w:rPr>
        <w:t xml:space="preserve">also </w:t>
      </w:r>
      <w:r w:rsidR="005444CA" w:rsidRPr="00771883">
        <w:rPr>
          <w:szCs w:val="22"/>
        </w:rPr>
        <w:t>be anti</w:t>
      </w:r>
      <w:r w:rsidR="00C46867">
        <w:rPr>
          <w:szCs w:val="22"/>
        </w:rPr>
        <w:t>-</w:t>
      </w:r>
      <w:r w:rsidR="005444CA" w:rsidRPr="00771883">
        <w:rPr>
          <w:szCs w:val="22"/>
        </w:rPr>
        <w:t>competitive conduct</w:t>
      </w:r>
      <w:r w:rsidR="00C46867">
        <w:rPr>
          <w:szCs w:val="22"/>
        </w:rPr>
        <w:t>—i.e. it</w:t>
      </w:r>
      <w:r>
        <w:rPr>
          <w:szCs w:val="22"/>
        </w:rPr>
        <w:t xml:space="preserve"> harms consumers</w:t>
      </w:r>
      <w:r w:rsidR="008E2771">
        <w:rPr>
          <w:szCs w:val="22"/>
        </w:rPr>
        <w:t xml:space="preserve"> in the long run</w:t>
      </w:r>
      <w:r>
        <w:rPr>
          <w:szCs w:val="22"/>
        </w:rPr>
        <w:t>. This would assist the courts to ensure that only anticompetitive conduct is captured and</w:t>
      </w:r>
      <w:r w:rsidR="005444CA" w:rsidRPr="00771883">
        <w:rPr>
          <w:szCs w:val="22"/>
        </w:rPr>
        <w:t xml:space="preserve"> </w:t>
      </w:r>
      <w:r>
        <w:rPr>
          <w:szCs w:val="22"/>
        </w:rPr>
        <w:t xml:space="preserve">not </w:t>
      </w:r>
      <w:r w:rsidR="008E2771">
        <w:rPr>
          <w:szCs w:val="22"/>
        </w:rPr>
        <w:t xml:space="preserve">legitimate </w:t>
      </w:r>
      <w:r w:rsidR="005444CA" w:rsidRPr="00771883">
        <w:rPr>
          <w:szCs w:val="22"/>
        </w:rPr>
        <w:t xml:space="preserve">competition. </w:t>
      </w:r>
      <w:r w:rsidR="00363086">
        <w:rPr>
          <w:szCs w:val="22"/>
        </w:rPr>
        <w:t xml:space="preserve">Furthermore, </w:t>
      </w:r>
      <w:r w:rsidR="00561837">
        <w:rPr>
          <w:szCs w:val="22"/>
        </w:rPr>
        <w:t>some</w:t>
      </w:r>
      <w:r w:rsidR="00363086">
        <w:rPr>
          <w:szCs w:val="22"/>
        </w:rPr>
        <w:t xml:space="preserve"> test of whether the </w:t>
      </w:r>
      <w:r w:rsidR="002C032E">
        <w:rPr>
          <w:szCs w:val="22"/>
        </w:rPr>
        <w:t>effects</w:t>
      </w:r>
      <w:r w:rsidR="00363086">
        <w:rPr>
          <w:szCs w:val="22"/>
        </w:rPr>
        <w:t xml:space="preserve"> of the conduct are likely to be anticompetitive</w:t>
      </w:r>
      <w:r w:rsidR="002C032E">
        <w:rPr>
          <w:szCs w:val="22"/>
        </w:rPr>
        <w:t xml:space="preserve"> should also be included, to ensure that a combination of form-based and effects-based considerations </w:t>
      </w:r>
      <w:r w:rsidR="00561837">
        <w:rPr>
          <w:szCs w:val="22"/>
        </w:rPr>
        <w:t>are</w:t>
      </w:r>
      <w:r w:rsidR="002C032E">
        <w:rPr>
          <w:szCs w:val="22"/>
        </w:rPr>
        <w:t xml:space="preserve"> adequately taken into account.</w:t>
      </w:r>
    </w:p>
    <w:p w14:paraId="4B16B177" w14:textId="224CA967" w:rsidR="009C7CBC" w:rsidRPr="00771883" w:rsidRDefault="00151921" w:rsidP="009C7CBC">
      <w:pPr>
        <w:pStyle w:val="Heading2"/>
      </w:pPr>
      <w:r w:rsidRPr="00771883">
        <w:t>Tak</w:t>
      </w:r>
      <w:r>
        <w:t>e</w:t>
      </w:r>
      <w:r w:rsidRPr="00771883">
        <w:t xml:space="preserve"> </w:t>
      </w:r>
      <w:r w:rsidR="009C7CBC" w:rsidRPr="00771883">
        <w:t>advantage</w:t>
      </w:r>
    </w:p>
    <w:p w14:paraId="40A2FEB1" w14:textId="24855003" w:rsidR="009C7CBC" w:rsidRPr="00771883" w:rsidRDefault="009C7CBC" w:rsidP="009C7CBC">
      <w:pPr>
        <w:rPr>
          <w:i/>
        </w:rPr>
      </w:pPr>
      <w:r w:rsidRPr="001C2ECA">
        <w:t xml:space="preserve">This section </w:t>
      </w:r>
      <w:r w:rsidR="0021434C" w:rsidRPr="001C2ECA">
        <w:t>addresses</w:t>
      </w:r>
      <w:r w:rsidRPr="001C2ECA">
        <w:t xml:space="preserve"> questions </w:t>
      </w:r>
      <w:r w:rsidR="008E2771" w:rsidRPr="001C2ECA">
        <w:t xml:space="preserve">3, </w:t>
      </w:r>
      <w:r w:rsidRPr="001C2ECA">
        <w:t>5 and 12:</w:t>
      </w:r>
      <w:r w:rsidRPr="00771883">
        <w:rPr>
          <w:i/>
        </w:rPr>
        <w:t xml:space="preserve"> </w:t>
      </w:r>
      <w:r w:rsidR="008E2771">
        <w:rPr>
          <w:i/>
        </w:rPr>
        <w:t xml:space="preserve">Would removing the take advantage limb from the provision improve the ability of the law to restrict behaviour by firms that would be economically damaging to competition? </w:t>
      </w:r>
      <w:r w:rsidRPr="00771883">
        <w:rPr>
          <w:i/>
        </w:rPr>
        <w:t>Are there alternatives to removing the take advantage limb that would better restrict economically damaging behaviour without restricting economically beneficial behaviour? If mandatory factors were adopted, what should those factors be?</w:t>
      </w:r>
    </w:p>
    <w:p w14:paraId="4811ABAF" w14:textId="4109FB1C" w:rsidR="009C7CBC" w:rsidRPr="00771883" w:rsidRDefault="00092752" w:rsidP="009C7CBC">
      <w:r>
        <w:t>A key concern of the</w:t>
      </w:r>
      <w:r w:rsidR="005444CA" w:rsidRPr="00771883">
        <w:t xml:space="preserve"> ACCC</w:t>
      </w:r>
      <w:r>
        <w:t xml:space="preserve"> is with </w:t>
      </w:r>
      <w:r w:rsidR="00850BF3">
        <w:t xml:space="preserve">the </w:t>
      </w:r>
      <w:r w:rsidR="005444CA" w:rsidRPr="00771883">
        <w:t xml:space="preserve">take advantage element. </w:t>
      </w:r>
      <w:r w:rsidR="00850BF3">
        <w:t>However, t</w:t>
      </w:r>
      <w:r w:rsidR="005444CA" w:rsidRPr="00771883">
        <w:t>his element</w:t>
      </w:r>
      <w:r w:rsidR="009C7CBC" w:rsidRPr="00771883">
        <w:t xml:space="preserve"> </w:t>
      </w:r>
      <w:r w:rsidR="001C447E" w:rsidRPr="00771883">
        <w:t xml:space="preserve">can </w:t>
      </w:r>
      <w:r w:rsidR="009C7CBC" w:rsidRPr="00771883">
        <w:t>assist</w:t>
      </w:r>
      <w:r w:rsidR="001C447E" w:rsidRPr="00771883">
        <w:t xml:space="preserve"> the courts</w:t>
      </w:r>
      <w:r w:rsidR="009C7CBC" w:rsidRPr="00771883">
        <w:t xml:space="preserve"> to differentiate between legitimate competitive conduct, which </w:t>
      </w:r>
      <w:r w:rsidR="001C447E" w:rsidRPr="00771883">
        <w:t>may be aggressive</w:t>
      </w:r>
      <w:r w:rsidR="0005709F">
        <w:t>,</w:t>
      </w:r>
      <w:r w:rsidR="009C7CBC" w:rsidRPr="00771883">
        <w:t xml:space="preserve"> </w:t>
      </w:r>
      <w:r w:rsidR="001C447E" w:rsidRPr="00771883">
        <w:t>but</w:t>
      </w:r>
      <w:r w:rsidR="009C7CBC" w:rsidRPr="00771883">
        <w:t xml:space="preserve"> is in the </w:t>
      </w:r>
      <w:r w:rsidR="001C447E" w:rsidRPr="00771883">
        <w:t xml:space="preserve">wider </w:t>
      </w:r>
      <w:r w:rsidR="009C7CBC" w:rsidRPr="00771883">
        <w:t xml:space="preserve">interest of consumers, from conduct that inhibits or weakens competition. </w:t>
      </w:r>
      <w:r w:rsidR="0005709F">
        <w:t>Nevertheless</w:t>
      </w:r>
      <w:r w:rsidR="001C447E" w:rsidRPr="00771883">
        <w:t>, the interpretation of ‘take advantage’ by the courts, and related to this, the interpretive subsection (6A), have shortcomings at present.</w:t>
      </w:r>
    </w:p>
    <w:p w14:paraId="68F43B2D" w14:textId="27E2AB93" w:rsidR="009C7CBC" w:rsidRPr="00771883" w:rsidRDefault="009C7CBC" w:rsidP="009C7CBC">
      <w:r w:rsidRPr="00771883">
        <w:t xml:space="preserve">In </w:t>
      </w:r>
      <w:r w:rsidRPr="00771883">
        <w:rPr>
          <w:i/>
          <w:iCs/>
        </w:rPr>
        <w:t>Queensland Wire Industries</w:t>
      </w:r>
      <w:r w:rsidR="00C56133">
        <w:rPr>
          <w:i/>
          <w:iCs/>
        </w:rPr>
        <w:t xml:space="preserve"> </w:t>
      </w:r>
      <w:r w:rsidR="00C56133" w:rsidRPr="00C56133">
        <w:rPr>
          <w:i/>
          <w:iCs/>
          <w:lang w:val="en-US"/>
        </w:rPr>
        <w:t>Pty Ltd v Broken Hill Proprietary Co Ltd</w:t>
      </w:r>
      <w:r w:rsidRPr="00771883">
        <w:rPr>
          <w:i/>
          <w:iCs/>
        </w:rPr>
        <w:t xml:space="preserve"> </w:t>
      </w:r>
      <w:r w:rsidR="005C163F">
        <w:rPr>
          <w:iCs/>
        </w:rPr>
        <w:t>(</w:t>
      </w:r>
      <w:r w:rsidR="009465F3">
        <w:rPr>
          <w:iCs/>
        </w:rPr>
        <w:t>hereafter “</w:t>
      </w:r>
      <w:r w:rsidR="005C163F" w:rsidRPr="005C163F">
        <w:rPr>
          <w:i/>
          <w:iCs/>
        </w:rPr>
        <w:t>QWI</w:t>
      </w:r>
      <w:r w:rsidR="009465F3">
        <w:rPr>
          <w:i/>
          <w:iCs/>
        </w:rPr>
        <w:t>”</w:t>
      </w:r>
      <w:r w:rsidR="005C163F">
        <w:rPr>
          <w:iCs/>
        </w:rPr>
        <w:t xml:space="preserve">) </w:t>
      </w:r>
      <w:r w:rsidRPr="00771883">
        <w:t xml:space="preserve">the High Court said the “phrase ‘take advantage’ </w:t>
      </w:r>
      <w:r w:rsidR="002C11A5">
        <w:t xml:space="preserve">in s.46(1) </w:t>
      </w:r>
      <w:r w:rsidRPr="00771883">
        <w:t>does not require a hostile intent inquiry” and does not mean that the use of the market power must be “morally or socially undesirable”.</w:t>
      </w:r>
      <w:r w:rsidRPr="00771883">
        <w:rPr>
          <w:rStyle w:val="FootnoteReference"/>
        </w:rPr>
        <w:footnoteReference w:id="34"/>
      </w:r>
      <w:r w:rsidRPr="00771883">
        <w:t xml:space="preserve"> </w:t>
      </w:r>
      <w:r w:rsidR="0005709F">
        <w:t>I</w:t>
      </w:r>
      <w:r w:rsidRPr="00771883">
        <w:t xml:space="preserve">n </w:t>
      </w:r>
      <w:r w:rsidRPr="00771883">
        <w:rPr>
          <w:i/>
          <w:iCs/>
        </w:rPr>
        <w:t>Melway Publishing Pty</w:t>
      </w:r>
      <w:r w:rsidRPr="00771883">
        <w:t xml:space="preserve"> </w:t>
      </w:r>
      <w:r w:rsidR="005C163F" w:rsidRPr="005C163F">
        <w:rPr>
          <w:i/>
        </w:rPr>
        <w:t>Ltd</w:t>
      </w:r>
      <w:r w:rsidR="005C163F">
        <w:t xml:space="preserve"> </w:t>
      </w:r>
      <w:r w:rsidR="0001775A" w:rsidRPr="0001775A">
        <w:rPr>
          <w:i/>
        </w:rPr>
        <w:t>v Robert Hicks Pty Ltd</w:t>
      </w:r>
      <w:r w:rsidR="0001775A" w:rsidRPr="0001775A">
        <w:t xml:space="preserve"> </w:t>
      </w:r>
      <w:r w:rsidR="009465F3">
        <w:t>(hereafter “</w:t>
      </w:r>
      <w:r w:rsidR="009465F3" w:rsidRPr="009465F3">
        <w:rPr>
          <w:i/>
        </w:rPr>
        <w:t>Melway</w:t>
      </w:r>
      <w:r w:rsidR="009465F3">
        <w:t xml:space="preserve">”) </w:t>
      </w:r>
      <w:r w:rsidRPr="00771883">
        <w:t xml:space="preserve">the </w:t>
      </w:r>
      <w:r w:rsidR="0001775A">
        <w:t>C</w:t>
      </w:r>
      <w:r w:rsidR="00151921" w:rsidRPr="00771883">
        <w:t xml:space="preserve">ourt </w:t>
      </w:r>
      <w:r w:rsidRPr="00771883">
        <w:t>said s46 “requires, not merely the co-existence of market power, conduct and proscribed purpose, but a connection such that the firm whose conduct in question can be said to be taking advantage of its market power.”</w:t>
      </w:r>
      <w:r w:rsidRPr="00771883">
        <w:rPr>
          <w:rStyle w:val="FootnoteReference"/>
        </w:rPr>
        <w:footnoteReference w:id="35"/>
      </w:r>
      <w:r w:rsidRPr="00771883">
        <w:t xml:space="preserve"> There must be a “sufficiency of the connection between the market power and the conduct complained of” and usually “a causal connection is required”.</w:t>
      </w:r>
      <w:r w:rsidRPr="00771883">
        <w:rPr>
          <w:rStyle w:val="FootnoteReference"/>
        </w:rPr>
        <w:footnoteReference w:id="36"/>
      </w:r>
      <w:r w:rsidRPr="00771883">
        <w:t xml:space="preserve"> In </w:t>
      </w:r>
      <w:r w:rsidRPr="00771883">
        <w:rPr>
          <w:i/>
          <w:iCs/>
        </w:rPr>
        <w:t xml:space="preserve">Natwest Australia Bank Ltd </w:t>
      </w:r>
      <w:r w:rsidR="00C56133" w:rsidRPr="00C56133">
        <w:rPr>
          <w:i/>
          <w:iCs/>
        </w:rPr>
        <w:t>v Boral Gerrard Strapping Systems Pty Ltd</w:t>
      </w:r>
      <w:r w:rsidR="00C56133" w:rsidRPr="00C56133">
        <w:rPr>
          <w:iCs/>
        </w:rPr>
        <w:t xml:space="preserve"> </w:t>
      </w:r>
      <w:r w:rsidRPr="00771883">
        <w:t>the court observed that “[t]here must be a causal connection between the conduct alleged and the market power pleaded such that it can be said that the conduct is a use of that power”.</w:t>
      </w:r>
      <w:r w:rsidRPr="00771883">
        <w:rPr>
          <w:rStyle w:val="FootnoteReference"/>
        </w:rPr>
        <w:footnoteReference w:id="37"/>
      </w:r>
    </w:p>
    <w:p w14:paraId="7C8F2F0C" w14:textId="180D2E05" w:rsidR="009C7CBC" w:rsidRPr="00771883" w:rsidRDefault="001C447E" w:rsidP="009C7CBC">
      <w:r w:rsidRPr="00771883">
        <w:t>Within these interpretations</w:t>
      </w:r>
      <w:r w:rsidR="009C7CBC" w:rsidRPr="00771883">
        <w:t xml:space="preserve"> there has been a tension </w:t>
      </w:r>
      <w:r w:rsidRPr="00771883">
        <w:t>in relation to</w:t>
      </w:r>
      <w:r w:rsidR="009C7CBC" w:rsidRPr="00771883">
        <w:t xml:space="preserve"> the required nexus between market power and the impugned conduct. In </w:t>
      </w:r>
      <w:r w:rsidR="005C163F">
        <w:rPr>
          <w:i/>
        </w:rPr>
        <w:t>QWI</w:t>
      </w:r>
      <w:r w:rsidR="009C7CBC" w:rsidRPr="00771883">
        <w:t xml:space="preserve"> the High Court effectively introduced a ‘counterfactual approach’, which involves testing whether the defendant </w:t>
      </w:r>
      <w:r w:rsidR="009C7CBC" w:rsidRPr="00771883">
        <w:rPr>
          <w:i/>
          <w:iCs/>
        </w:rPr>
        <w:t>could</w:t>
      </w:r>
      <w:r w:rsidR="009C7CBC" w:rsidRPr="00771883">
        <w:t xml:space="preserve"> have engaged in the alleged anticompetitive conduct without its substantial market power. And similarly, in </w:t>
      </w:r>
      <w:r w:rsidR="009C7CBC" w:rsidRPr="00771883">
        <w:rPr>
          <w:i/>
          <w:iCs/>
        </w:rPr>
        <w:t>Rural Press Ltd v ACCC</w:t>
      </w:r>
      <w:r w:rsidR="009C7CBC" w:rsidRPr="00771883">
        <w:t xml:space="preserve"> (2003) ATPR 41-965; [2003] HCA 75 the High Court adopted the same test.</w:t>
      </w:r>
      <w:r w:rsidR="00151921">
        <w:rPr>
          <w:rStyle w:val="FootnoteReference"/>
        </w:rPr>
        <w:footnoteReference w:id="38"/>
      </w:r>
      <w:r w:rsidR="009C7CBC" w:rsidRPr="00771883">
        <w:t xml:space="preserve"> Here ‘take advantage’ is interpreted to mean that a substantial degree of market power is a necessary condition for the conduct even to take place. On the other hand, in </w:t>
      </w:r>
      <w:r w:rsidR="009C7CBC" w:rsidRPr="00771883">
        <w:rPr>
          <w:i/>
          <w:iCs/>
        </w:rPr>
        <w:t xml:space="preserve">Melway </w:t>
      </w:r>
      <w:r w:rsidR="009C7CBC" w:rsidRPr="00771883">
        <w:t xml:space="preserve">the Court suggested a less demanding test could be employed: </w:t>
      </w:r>
    </w:p>
    <w:p w14:paraId="1C0CC94F" w14:textId="60C9CE6E" w:rsidR="009C7CBC" w:rsidRPr="00771883" w:rsidRDefault="009C7CBC" w:rsidP="009C7CBC">
      <w:pPr>
        <w:pStyle w:val="Quote"/>
      </w:pPr>
      <w:r w:rsidRPr="00771883">
        <w:t>in a given case, it may be proper to conclude that a firm is taking advantage of market power where it does something that is materially facilitated by the existence of the power, even though it may not have been absolutely impossible without the power. … S 46 would be contravened if the market power which a corporation had made it easier for the corporation to act for the proscribed purpose than otherwise would have been the case.</w:t>
      </w:r>
      <w:r w:rsidR="0001775A">
        <w:rPr>
          <w:rStyle w:val="FootnoteReference"/>
        </w:rPr>
        <w:footnoteReference w:id="39"/>
      </w:r>
    </w:p>
    <w:p w14:paraId="3193AF8C" w14:textId="44D36C29" w:rsidR="009C7CBC" w:rsidRPr="00771883" w:rsidRDefault="0001775A" w:rsidP="009C7CBC">
      <w:r>
        <w:t>Various interpretations of ‘take advantage’</w:t>
      </w:r>
      <w:r w:rsidR="009C7CBC" w:rsidRPr="00771883">
        <w:t xml:space="preserve"> </w:t>
      </w:r>
      <w:r>
        <w:t>are reflected in subsection</w:t>
      </w:r>
      <w:r w:rsidR="009C7CBC" w:rsidRPr="00771883">
        <w:t xml:space="preserve"> (6A)</w:t>
      </w:r>
      <w:r>
        <w:t xml:space="preserve">, </w:t>
      </w:r>
      <w:r w:rsidRPr="00771883">
        <w:t xml:space="preserve">enacted </w:t>
      </w:r>
      <w:r w:rsidR="009C7CBC" w:rsidRPr="00771883">
        <w:t>in 2008. This subsection states that it “does not limit the matters to which the court may have regard” but indicates that:</w:t>
      </w:r>
    </w:p>
    <w:p w14:paraId="09C24B28" w14:textId="77777777" w:rsidR="009C7CBC" w:rsidRPr="00771883" w:rsidRDefault="009C7CBC" w:rsidP="009C7CBC">
      <w:pPr>
        <w:pStyle w:val="Quote"/>
        <w:rPr>
          <w:sz w:val="20"/>
          <w:szCs w:val="20"/>
        </w:rPr>
      </w:pPr>
      <w:r w:rsidRPr="00771883">
        <w:rPr>
          <w:sz w:val="20"/>
          <w:szCs w:val="20"/>
        </w:rPr>
        <w:t xml:space="preserve"> … the court may have regard to any or all of the following:</w:t>
      </w:r>
    </w:p>
    <w:p w14:paraId="7DC9E0F8" w14:textId="77777777" w:rsidR="009C7CBC" w:rsidRPr="00771883" w:rsidRDefault="009C7CBC" w:rsidP="009C7CBC">
      <w:pPr>
        <w:pStyle w:val="Quote"/>
        <w:ind w:left="851" w:hanging="454"/>
        <w:rPr>
          <w:sz w:val="20"/>
          <w:szCs w:val="20"/>
        </w:rPr>
      </w:pPr>
      <w:r w:rsidRPr="00771883">
        <w:rPr>
          <w:sz w:val="20"/>
          <w:szCs w:val="20"/>
        </w:rPr>
        <w:t>(a)</w:t>
      </w:r>
      <w:r w:rsidRPr="00771883">
        <w:rPr>
          <w:sz w:val="20"/>
          <w:szCs w:val="20"/>
        </w:rPr>
        <w:tab/>
        <w:t>whether the conduct was materially facilitated by the corporation's substantial degree of power in the market;</w:t>
      </w:r>
    </w:p>
    <w:p w14:paraId="44C88713" w14:textId="77777777" w:rsidR="009C7CBC" w:rsidRPr="00771883" w:rsidRDefault="009C7CBC" w:rsidP="009C7CBC">
      <w:pPr>
        <w:pStyle w:val="Quote"/>
        <w:ind w:left="851" w:hanging="454"/>
        <w:rPr>
          <w:sz w:val="20"/>
          <w:szCs w:val="20"/>
        </w:rPr>
      </w:pPr>
      <w:r w:rsidRPr="00771883">
        <w:rPr>
          <w:sz w:val="20"/>
          <w:szCs w:val="20"/>
        </w:rPr>
        <w:t>(b)</w:t>
      </w:r>
      <w:r w:rsidRPr="00771883">
        <w:rPr>
          <w:sz w:val="20"/>
          <w:szCs w:val="20"/>
        </w:rPr>
        <w:tab/>
        <w:t>whether the corporation engaged in the conduct in reliance on its substantial degree of power in the market;</w:t>
      </w:r>
    </w:p>
    <w:p w14:paraId="5BF2BCD7" w14:textId="77777777" w:rsidR="009C7CBC" w:rsidRPr="00771883" w:rsidRDefault="009C7CBC" w:rsidP="009C7CBC">
      <w:pPr>
        <w:pStyle w:val="Quote"/>
        <w:ind w:left="851" w:hanging="454"/>
        <w:rPr>
          <w:sz w:val="20"/>
          <w:szCs w:val="20"/>
        </w:rPr>
      </w:pPr>
      <w:r w:rsidRPr="00771883">
        <w:rPr>
          <w:sz w:val="20"/>
          <w:szCs w:val="20"/>
        </w:rPr>
        <w:t>(c)</w:t>
      </w:r>
      <w:r w:rsidRPr="00771883">
        <w:rPr>
          <w:sz w:val="20"/>
          <w:szCs w:val="20"/>
        </w:rPr>
        <w:tab/>
        <w:t>whether it is likely that the corporation would have engaged in the conduct if it did not have a substantial degree of power in the market;</w:t>
      </w:r>
    </w:p>
    <w:p w14:paraId="0A437540" w14:textId="77777777" w:rsidR="009C7CBC" w:rsidRPr="00771883" w:rsidRDefault="009C7CBC" w:rsidP="009C7CBC">
      <w:pPr>
        <w:pStyle w:val="Quote"/>
        <w:ind w:left="851" w:hanging="454"/>
        <w:rPr>
          <w:sz w:val="20"/>
          <w:szCs w:val="20"/>
        </w:rPr>
      </w:pPr>
      <w:r w:rsidRPr="00771883">
        <w:rPr>
          <w:sz w:val="20"/>
          <w:szCs w:val="20"/>
        </w:rPr>
        <w:t>(d)</w:t>
      </w:r>
      <w:r w:rsidRPr="00771883">
        <w:rPr>
          <w:sz w:val="20"/>
          <w:szCs w:val="20"/>
        </w:rPr>
        <w:tab/>
        <w:t xml:space="preserve"> whether the conduct is otherwise related to the corporation's substantial degree of power in the market.</w:t>
      </w:r>
    </w:p>
    <w:p w14:paraId="390130F9" w14:textId="277022A1" w:rsidR="0001775A" w:rsidRDefault="009C7CBC" w:rsidP="009C7CBC">
      <w:r w:rsidRPr="00771883">
        <w:t xml:space="preserve">Paragraph (c) reflects the ‘counterfactual approach’; items (a) and (b) codify the other tests of ‘take advantage’ previously suggested by the </w:t>
      </w:r>
      <w:r w:rsidR="0001775A">
        <w:t>c</w:t>
      </w:r>
      <w:r w:rsidRPr="00771883">
        <w:t>ourt</w:t>
      </w:r>
      <w:r w:rsidR="0001775A">
        <w:t>s</w:t>
      </w:r>
      <w:r w:rsidRPr="00771883">
        <w:t xml:space="preserve">; while item (d) was entirely new and quite vague. </w:t>
      </w:r>
      <w:r w:rsidR="0001775A" w:rsidRPr="00771883">
        <w:t xml:space="preserve">Bruce has commented that the ‘counterfactual approach’ </w:t>
      </w:r>
      <w:r w:rsidR="0001775A">
        <w:t xml:space="preserve">in item (c) </w:t>
      </w:r>
      <w:r w:rsidR="0001775A" w:rsidRPr="00771883">
        <w:t>imposes “a very high threshold” to establish that conduct takes advantage of market power.</w:t>
      </w:r>
      <w:r w:rsidR="0001775A" w:rsidRPr="00771883">
        <w:rPr>
          <w:rStyle w:val="FootnoteReference"/>
        </w:rPr>
        <w:footnoteReference w:id="40"/>
      </w:r>
    </w:p>
    <w:p w14:paraId="6A2D9DE0" w14:textId="13ED3A2E" w:rsidR="009C7CBC" w:rsidRPr="00771883" w:rsidRDefault="009C7CBC" w:rsidP="009C7CBC">
      <w:r w:rsidRPr="00771883">
        <w:t xml:space="preserve">The enactment of (6A) did nothing to reconcile the different, and potentially inconsistent, </w:t>
      </w:r>
      <w:r w:rsidR="001C447E" w:rsidRPr="00771883">
        <w:t>principles</w:t>
      </w:r>
      <w:r w:rsidRPr="00771883">
        <w:t xml:space="preserve"> or settle on a preferred appro</w:t>
      </w:r>
      <w:r w:rsidR="000F1764">
        <w:t>ach to testing whether conduct takes advantage</w:t>
      </w:r>
      <w:r w:rsidRPr="00771883">
        <w:t xml:space="preserve"> of market power. Perhaps for this reason the enactment of s46(6A) seems to have had little influence on the interpretation of ‘take advantage’ by the courts. For example, although the interpretation of ‘take advantage’ was considered in detail in </w:t>
      </w:r>
      <w:r w:rsidR="000F1764">
        <w:rPr>
          <w:i/>
          <w:iCs/>
        </w:rPr>
        <w:t>ACCC</w:t>
      </w:r>
      <w:r w:rsidRPr="00771883">
        <w:rPr>
          <w:i/>
          <w:iCs/>
        </w:rPr>
        <w:t xml:space="preserve"> v Cement Australia Pty Ltd</w:t>
      </w:r>
      <w:r w:rsidRPr="00771883">
        <w:t xml:space="preserve">, there is no reference at all to subsection (6A) in that judgment. The court adopted the ‘counterfactual test’ based on previous High Court cases: </w:t>
      </w:r>
    </w:p>
    <w:p w14:paraId="730E9062" w14:textId="0EDDB953" w:rsidR="009C7CBC" w:rsidRPr="00771883" w:rsidRDefault="009C7CBC" w:rsidP="009C7CBC">
      <w:pPr>
        <w:pStyle w:val="Quote"/>
      </w:pPr>
      <w:r w:rsidRPr="00771883">
        <w:t xml:space="preserve">In examining the evidence, I ask whether a profit maximising firm operating in a workably competitive market could in a commercial sense profitably engage in the conduct in question having regard to the business reasons … </w:t>
      </w:r>
      <w:r w:rsidR="00677F9D">
        <w:rPr>
          <w:rStyle w:val="FootnoteReference"/>
        </w:rPr>
        <w:footnoteReference w:id="41"/>
      </w:r>
      <w:r w:rsidR="00677F9D" w:rsidRPr="00771883" w:rsidDel="00677F9D">
        <w:t xml:space="preserve"> </w:t>
      </w:r>
      <w:r w:rsidRPr="00771883">
        <w:t xml:space="preserve"> </w:t>
      </w:r>
    </w:p>
    <w:p w14:paraId="10C60307" w14:textId="72E9633C" w:rsidR="009C7CBC" w:rsidRPr="00771883" w:rsidRDefault="009C7CBC" w:rsidP="009C7CBC">
      <w:r w:rsidRPr="00771883">
        <w:t xml:space="preserve">In </w:t>
      </w:r>
      <w:r w:rsidR="000F1764">
        <w:rPr>
          <w:i/>
          <w:iCs/>
        </w:rPr>
        <w:t>ACCC</w:t>
      </w:r>
      <w:r w:rsidRPr="00771883">
        <w:rPr>
          <w:i/>
          <w:iCs/>
        </w:rPr>
        <w:t xml:space="preserve"> v Pfizer Australia Pty Ltd</w:t>
      </w:r>
      <w:r w:rsidRPr="00771883">
        <w:t xml:space="preserve"> [2015] FCA 113, the court adopted </w:t>
      </w:r>
      <w:r w:rsidR="003A52BF" w:rsidRPr="00771883">
        <w:t>the same</w:t>
      </w:r>
      <w:r w:rsidRPr="00771883">
        <w:t xml:space="preserve"> principle, namely “whether the corporation would have engaged in the conduct under scrutiny if it did not have that power”,</w:t>
      </w:r>
      <w:r w:rsidR="003A52BF" w:rsidRPr="00771883">
        <w:rPr>
          <w:rStyle w:val="FootnoteReference"/>
        </w:rPr>
        <w:footnoteReference w:id="42"/>
      </w:r>
      <w:r w:rsidRPr="00771883">
        <w:t xml:space="preserve"> which is consistent with paragraph (c) of subsection (6A). </w:t>
      </w:r>
    </w:p>
    <w:p w14:paraId="7BDF122F" w14:textId="70B18754" w:rsidR="003A0BF1" w:rsidRDefault="009C7CBC" w:rsidP="009C7CBC">
      <w:r w:rsidRPr="00771883">
        <w:t xml:space="preserve">S46(6A) has </w:t>
      </w:r>
      <w:r w:rsidR="003A0BF1">
        <w:t>several</w:t>
      </w:r>
      <w:r w:rsidRPr="00771883">
        <w:t xml:space="preserve"> important shortcomings. </w:t>
      </w:r>
      <w:r w:rsidR="0067125F" w:rsidRPr="00771883">
        <w:t>First</w:t>
      </w:r>
      <w:r w:rsidR="000F1764">
        <w:t>ly</w:t>
      </w:r>
      <w:r w:rsidR="003A0BF1">
        <w:t xml:space="preserve">, </w:t>
      </w:r>
      <w:r w:rsidR="000F1764">
        <w:t>in regard to</w:t>
      </w:r>
      <w:r w:rsidR="003A0BF1">
        <w:t xml:space="preserve"> the ‘counterfactual test’ in </w:t>
      </w:r>
      <w:r w:rsidR="000F1764">
        <w:t>paragraph (c),</w:t>
      </w:r>
      <w:r w:rsidRPr="00771883">
        <w:t xml:space="preserve"> Bruce has observed</w:t>
      </w:r>
      <w:r w:rsidR="003A0BF1">
        <w:t>:</w:t>
      </w:r>
    </w:p>
    <w:p w14:paraId="4C53AC66" w14:textId="6F61D755" w:rsidR="003A0BF1" w:rsidRDefault="003A0BF1" w:rsidP="00223AF0">
      <w:pPr>
        <w:pStyle w:val="Quote"/>
      </w:pPr>
      <w:r>
        <w:t>T</w:t>
      </w:r>
      <w:r w:rsidR="009C7CBC" w:rsidRPr="00771883">
        <w:t xml:space="preserve">his version of the counterfactual test involves a </w:t>
      </w:r>
      <w:r w:rsidR="009C7CBC" w:rsidRPr="00771883">
        <w:rPr>
          <w:i/>
        </w:rPr>
        <w:t>very high threshold</w:t>
      </w:r>
      <w:r w:rsidR="009C7CBC" w:rsidRPr="00771883">
        <w:t xml:space="preserve">. It effectively means finding that the conduct alleged to breach the Act is </w:t>
      </w:r>
      <w:r w:rsidR="009C7CBC" w:rsidRPr="00771883">
        <w:rPr>
          <w:i/>
        </w:rPr>
        <w:t xml:space="preserve">only possible </w:t>
      </w:r>
      <w:r w:rsidR="009C7CBC" w:rsidRPr="00771883">
        <w:t>because of a corporation’s substantial degree of market power.</w:t>
      </w:r>
      <w:r w:rsidR="009C7CBC" w:rsidRPr="00771883">
        <w:rPr>
          <w:rStyle w:val="FootnoteReference"/>
          <w:szCs w:val="22"/>
        </w:rPr>
        <w:footnoteReference w:id="43"/>
      </w:r>
      <w:r w:rsidR="009C7CBC" w:rsidRPr="00771883">
        <w:t xml:space="preserve"> </w:t>
      </w:r>
    </w:p>
    <w:p w14:paraId="5F613B89" w14:textId="08DFEAC1" w:rsidR="003A0BF1" w:rsidRDefault="009C7CBC" w:rsidP="009C7CBC">
      <w:r w:rsidRPr="00771883">
        <w:rPr>
          <w:szCs w:val="22"/>
        </w:rPr>
        <w:t>It may be added that</w:t>
      </w:r>
      <w:r w:rsidRPr="00771883">
        <w:t xml:space="preserve"> an inquiry into whether it is </w:t>
      </w:r>
      <w:r w:rsidRPr="00771883">
        <w:rPr>
          <w:i/>
          <w:iCs/>
        </w:rPr>
        <w:t>possible</w:t>
      </w:r>
      <w:r w:rsidRPr="00771883">
        <w:t xml:space="preserve"> for a corporation without a substantial degree of market power to engage in the same conduct is not necessarily equivalent to an inquiry as to whether the conduct is anticompetitive or </w:t>
      </w:r>
      <w:r w:rsidR="003A0BF1">
        <w:t>represents</w:t>
      </w:r>
      <w:r w:rsidRPr="00771883">
        <w:t xml:space="preserve"> genuine competition. </w:t>
      </w:r>
    </w:p>
    <w:p w14:paraId="176EEE19" w14:textId="740FC633" w:rsidR="009C7CBC" w:rsidRPr="00771883" w:rsidRDefault="000F1764" w:rsidP="009C7CBC">
      <w:r>
        <w:t>A second shortcoming is the inclusion of</w:t>
      </w:r>
      <w:r w:rsidR="009C7CBC" w:rsidRPr="00771883">
        <w:t xml:space="preserve"> paragraph (d)</w:t>
      </w:r>
      <w:r w:rsidR="003A52BF" w:rsidRPr="00771883">
        <w:t>,</w:t>
      </w:r>
      <w:r w:rsidR="009C7CBC" w:rsidRPr="00771883">
        <w:t xml:space="preserve"> </w:t>
      </w:r>
      <w:r>
        <w:t xml:space="preserve">which </w:t>
      </w:r>
      <w:r w:rsidR="009C7CBC" w:rsidRPr="00771883">
        <w:t xml:space="preserve">as Stewart observes, </w:t>
      </w:r>
      <w:r w:rsidR="003A0BF1">
        <w:t>is</w:t>
      </w:r>
      <w:r w:rsidR="003A0BF1" w:rsidRPr="00771883">
        <w:t xml:space="preserve"> </w:t>
      </w:r>
      <w:r w:rsidR="003A0BF1">
        <w:t>an</w:t>
      </w:r>
      <w:r w:rsidR="003A0BF1" w:rsidRPr="00771883">
        <w:t xml:space="preserve"> </w:t>
      </w:r>
      <w:r w:rsidR="009C7CBC" w:rsidRPr="00771883">
        <w:t>“anomalous and intermediate test of whether conduct is related to market power, without specifying whether a causal connection between the two is necessary”.</w:t>
      </w:r>
      <w:r w:rsidR="009C7CBC" w:rsidRPr="00771883">
        <w:rPr>
          <w:rStyle w:val="FootnoteReference"/>
        </w:rPr>
        <w:footnoteReference w:id="44"/>
      </w:r>
      <w:r w:rsidR="009C7CBC" w:rsidRPr="00771883">
        <w:t xml:space="preserve"> </w:t>
      </w:r>
      <w:r w:rsidR="003A0BF1">
        <w:t xml:space="preserve">A third shortcoming is that the </w:t>
      </w:r>
      <w:r>
        <w:t>function</w:t>
      </w:r>
      <w:r w:rsidR="003A0BF1">
        <w:t xml:space="preserve"> and status of section (6A) is unclear because</w:t>
      </w:r>
      <w:r w:rsidR="00B20241">
        <w:t xml:space="preserve"> a court can have regard to any or all of its elements, or none of them, and is not limited in adopting different considerations.</w:t>
      </w:r>
      <w:r w:rsidR="003A0BF1">
        <w:t xml:space="preserve"> </w:t>
      </w:r>
    </w:p>
    <w:p w14:paraId="15B104A9" w14:textId="77777777" w:rsidR="009C7CBC" w:rsidRPr="00771883" w:rsidRDefault="009C7CBC" w:rsidP="006B20D3">
      <w:pPr>
        <w:pStyle w:val="Heading4"/>
        <w:numPr>
          <w:ilvl w:val="0"/>
          <w:numId w:val="0"/>
        </w:numPr>
        <w:ind w:left="862" w:hanging="862"/>
      </w:pPr>
      <w:r w:rsidRPr="00771883">
        <w:t>Conclusion</w:t>
      </w:r>
    </w:p>
    <w:p w14:paraId="354F1200" w14:textId="7AF55200" w:rsidR="00FE2E9C" w:rsidRPr="00771883" w:rsidRDefault="00B20241" w:rsidP="009C7CBC">
      <w:r>
        <w:t>T</w:t>
      </w:r>
      <w:r w:rsidR="00FE2E9C" w:rsidRPr="00771883">
        <w:t>he ‘</w:t>
      </w:r>
      <w:r w:rsidR="009C7CBC" w:rsidRPr="00771883">
        <w:t xml:space="preserve">take advantage’ test </w:t>
      </w:r>
      <w:r w:rsidR="00FE2E9C" w:rsidRPr="00771883">
        <w:t xml:space="preserve">should be retained, as it </w:t>
      </w:r>
      <w:r w:rsidR="00FE1D9F">
        <w:t>assists</w:t>
      </w:r>
      <w:r w:rsidR="009C7CBC" w:rsidRPr="00771883">
        <w:t xml:space="preserve"> the court</w:t>
      </w:r>
      <w:r w:rsidR="00FE1D9F">
        <w:t>s</w:t>
      </w:r>
      <w:r w:rsidR="009C7CBC" w:rsidRPr="00771883">
        <w:t xml:space="preserve"> </w:t>
      </w:r>
      <w:r w:rsidR="00FE1D9F">
        <w:t>with</w:t>
      </w:r>
      <w:r>
        <w:t xml:space="preserve"> the difficult task of</w:t>
      </w:r>
      <w:r w:rsidR="009C7CBC" w:rsidRPr="00771883">
        <w:t xml:space="preserve"> distinguish</w:t>
      </w:r>
      <w:r>
        <w:t>ing</w:t>
      </w:r>
      <w:r w:rsidR="009C7CBC" w:rsidRPr="00771883">
        <w:t xml:space="preserve"> between anticompetitive conduct and genuine comp</w:t>
      </w:r>
      <w:r w:rsidR="00FE2E9C" w:rsidRPr="00771883">
        <w:t xml:space="preserve">etition. </w:t>
      </w:r>
      <w:r>
        <w:t>It is also consistent with the U.S. practice that, for conduct to be proscribed, the firm must be exercising market power when it engages in the anticompetitive conduct. However, the ‘take advantage’ element</w:t>
      </w:r>
      <w:r w:rsidR="009C7CBC" w:rsidRPr="00771883">
        <w:t xml:space="preserve"> should not be relied on as the </w:t>
      </w:r>
      <w:r w:rsidR="00FE2E9C" w:rsidRPr="00771883">
        <w:t xml:space="preserve">only, or </w:t>
      </w:r>
      <w:r w:rsidR="009C7CBC" w:rsidRPr="00771883">
        <w:t>primary</w:t>
      </w:r>
      <w:r w:rsidR="00FE2E9C" w:rsidRPr="00771883">
        <w:t>,</w:t>
      </w:r>
      <w:r w:rsidR="009C7CBC" w:rsidRPr="00771883">
        <w:t xml:space="preserve"> means of </w:t>
      </w:r>
      <w:r w:rsidRPr="00771883">
        <w:t>distinguish</w:t>
      </w:r>
      <w:r>
        <w:t>ing</w:t>
      </w:r>
      <w:r w:rsidRPr="00771883">
        <w:t xml:space="preserve"> between anticompetitive conduct and </w:t>
      </w:r>
      <w:r>
        <w:t>legitimate</w:t>
      </w:r>
      <w:r w:rsidRPr="00771883">
        <w:t xml:space="preserve"> competition.</w:t>
      </w:r>
      <w:r w:rsidR="009C7CBC" w:rsidRPr="00771883">
        <w:t xml:space="preserve"> </w:t>
      </w:r>
      <w:r w:rsidR="00FE2E9C" w:rsidRPr="00771883">
        <w:t>As concluded in the previous section, an amendment to s46 is warranted to clarify that conduct with a proscribed purpose should be of a nature that</w:t>
      </w:r>
      <w:r w:rsidR="00FE2E9C" w:rsidRPr="00771883">
        <w:rPr>
          <w:szCs w:val="22"/>
        </w:rPr>
        <w:t xml:space="preserve"> substantially lessens competition. </w:t>
      </w:r>
    </w:p>
    <w:p w14:paraId="5042D526" w14:textId="3F2D37AF" w:rsidR="009C7CBC" w:rsidRPr="00771883" w:rsidRDefault="00FE2E9C" w:rsidP="009C7CBC">
      <w:r w:rsidRPr="00771883">
        <w:t xml:space="preserve">Given such a change, </w:t>
      </w:r>
      <w:r w:rsidR="009C7CBC" w:rsidRPr="00771883">
        <w:t>a less stringent standard should be used for the take advantage test. To implement the change to the take advantage test, subsection (6A) should be amended to:</w:t>
      </w:r>
    </w:p>
    <w:p w14:paraId="2EF7FA6F" w14:textId="3057B41A" w:rsidR="009C7CBC" w:rsidRPr="00771883" w:rsidRDefault="009C7CBC" w:rsidP="00B0615F">
      <w:pPr>
        <w:pStyle w:val="ListParagraph"/>
        <w:numPr>
          <w:ilvl w:val="0"/>
          <w:numId w:val="8"/>
        </w:numPr>
      </w:pPr>
      <w:r w:rsidRPr="00771883">
        <w:t>remove paragraph (c), because it reflects a very high threshold</w:t>
      </w:r>
      <w:r w:rsidR="00FE1D9F">
        <w:t>,</w:t>
      </w:r>
      <w:r w:rsidRPr="00771883">
        <w:t xml:space="preserve"> and </w:t>
      </w:r>
      <w:r w:rsidR="00107F61">
        <w:t xml:space="preserve">instead rely on </w:t>
      </w:r>
      <w:r w:rsidRPr="00771883">
        <w:t>paragraphs (a) and (b)</w:t>
      </w:r>
    </w:p>
    <w:p w14:paraId="7A4F2FD0" w14:textId="44BE1262" w:rsidR="009C7CBC" w:rsidRPr="00771883" w:rsidRDefault="009C7CBC" w:rsidP="00B0615F">
      <w:pPr>
        <w:pStyle w:val="ListParagraph"/>
        <w:numPr>
          <w:ilvl w:val="0"/>
          <w:numId w:val="8"/>
        </w:numPr>
      </w:pPr>
      <w:r w:rsidRPr="00771883">
        <w:t>remove the anomalous paragraph (d)</w:t>
      </w:r>
      <w:r w:rsidR="00FE2E9C" w:rsidRPr="00771883">
        <w:t>, and</w:t>
      </w:r>
    </w:p>
    <w:p w14:paraId="4AEA474E" w14:textId="68B2ADF4" w:rsidR="009C7CBC" w:rsidRPr="00771883" w:rsidRDefault="009C7CBC" w:rsidP="00B0615F">
      <w:pPr>
        <w:pStyle w:val="ListParagraph"/>
        <w:numPr>
          <w:ilvl w:val="0"/>
          <w:numId w:val="8"/>
        </w:numPr>
      </w:pPr>
      <w:r w:rsidRPr="00771883">
        <w:t>clarify the status of the criteria in paragraphs (a) and (b)</w:t>
      </w:r>
      <w:r w:rsidR="00FE2E9C" w:rsidRPr="00771883">
        <w:t>. Rather than being matters that the court can, if it chooses, have regard to,</w:t>
      </w:r>
      <w:r w:rsidRPr="00771883">
        <w:t xml:space="preserve"> it should be </w:t>
      </w:r>
      <w:r w:rsidR="00FE1D9F">
        <w:t>necessary</w:t>
      </w:r>
      <w:r w:rsidRPr="00771883">
        <w:t xml:space="preserve"> that at least one of the criteria is met. </w:t>
      </w:r>
    </w:p>
    <w:p w14:paraId="43F639BE" w14:textId="7B575441" w:rsidR="00263DD7" w:rsidRPr="00771883" w:rsidRDefault="00D00C09" w:rsidP="00B72CFF">
      <w:pPr>
        <w:pStyle w:val="Heading2"/>
      </w:pPr>
      <w:r w:rsidRPr="00771883">
        <w:t>Purpose</w:t>
      </w:r>
    </w:p>
    <w:p w14:paraId="7168151B" w14:textId="62F9740A" w:rsidR="006B20D3" w:rsidRPr="00771883" w:rsidRDefault="007B2810" w:rsidP="006B20D3">
      <w:pPr>
        <w:rPr>
          <w:i/>
        </w:rPr>
      </w:pPr>
      <w:r w:rsidRPr="001C2ECA">
        <w:t xml:space="preserve">This section </w:t>
      </w:r>
      <w:r w:rsidR="0021434C" w:rsidRPr="001C2ECA">
        <w:t>addresses</w:t>
      </w:r>
      <w:r w:rsidR="00831A0B" w:rsidRPr="001C2ECA">
        <w:t xml:space="preserve"> question 6</w:t>
      </w:r>
      <w:r w:rsidR="00107F61" w:rsidRPr="001C2ECA">
        <w:t xml:space="preserve"> in part</w:t>
      </w:r>
      <w:r w:rsidR="00831A0B" w:rsidRPr="001C2ECA">
        <w:t>:</w:t>
      </w:r>
      <w:r w:rsidR="00831A0B" w:rsidRPr="00771883">
        <w:t xml:space="preserve"> </w:t>
      </w:r>
      <w:r w:rsidR="00831A0B" w:rsidRPr="00771883">
        <w:rPr>
          <w:i/>
        </w:rPr>
        <w:t>Would including ‘purpose, effect or likely effect’ in the provision better target behaviour that causes significant consumer detriment?</w:t>
      </w:r>
    </w:p>
    <w:p w14:paraId="7E5E8D5D" w14:textId="5FF051D7" w:rsidR="00107F61" w:rsidRDefault="006F7CC8" w:rsidP="00223AF0">
      <w:pPr>
        <w:rPr>
          <w:szCs w:val="22"/>
        </w:rPr>
      </w:pPr>
      <w:r w:rsidRPr="00223AF0">
        <w:t xml:space="preserve">The ACCC argued that ‘purpose’ is difficult to prove, </w:t>
      </w:r>
      <w:r w:rsidR="00561837">
        <w:t>although</w:t>
      </w:r>
      <w:r w:rsidRPr="00223AF0">
        <w:t xml:space="preserve"> Stewart observes that: “[t]he purpose element usually involves little difficulty in s 46, compared to the vexing issues of market power and taking advantage.”</w:t>
      </w:r>
      <w:r w:rsidRPr="00223AF0">
        <w:rPr>
          <w:rStyle w:val="FootnoteReference"/>
        </w:rPr>
        <w:footnoteReference w:id="45"/>
      </w:r>
      <w:r w:rsidRPr="00223AF0">
        <w:t xml:space="preserve"> In the HP proposal, </w:t>
      </w:r>
      <w:r w:rsidR="00561837">
        <w:t xml:space="preserve">proving anticompetitive </w:t>
      </w:r>
      <w:r w:rsidRPr="00223AF0">
        <w:t xml:space="preserve">‘purpose’ </w:t>
      </w:r>
      <w:r w:rsidR="00561837">
        <w:t xml:space="preserve">would </w:t>
      </w:r>
      <w:r w:rsidRPr="00223AF0">
        <w:t xml:space="preserve">remain as an alternative to proving anticompetitive effects. </w:t>
      </w:r>
      <w:r w:rsidR="00107F61" w:rsidRPr="00223AF0">
        <w:rPr>
          <w:szCs w:val="22"/>
        </w:rPr>
        <w:t xml:space="preserve">This section examines whether the purpose element should be retained </w:t>
      </w:r>
      <w:r w:rsidRPr="00223AF0">
        <w:rPr>
          <w:szCs w:val="22"/>
        </w:rPr>
        <w:t>in</w:t>
      </w:r>
      <w:r w:rsidR="00107F61" w:rsidRPr="00223AF0">
        <w:rPr>
          <w:szCs w:val="22"/>
        </w:rPr>
        <w:t xml:space="preserve"> s46</w:t>
      </w:r>
      <w:r w:rsidRPr="00223AF0">
        <w:rPr>
          <w:szCs w:val="22"/>
        </w:rPr>
        <w:t>, as an essential or optional element</w:t>
      </w:r>
      <w:r w:rsidR="00107F61" w:rsidRPr="00223AF0">
        <w:rPr>
          <w:szCs w:val="22"/>
        </w:rPr>
        <w:t>, and whether the ‘purpose’ should refer primarily to subjective purpose or also explicitly encompass objective purpose. Again, U.S. antitrust law is used as a guide.</w:t>
      </w:r>
    </w:p>
    <w:p w14:paraId="1A5580B3" w14:textId="7A0A1311" w:rsidR="00BC6C91" w:rsidRPr="00223AF0" w:rsidRDefault="00677F9D" w:rsidP="00223AF0">
      <w:pPr>
        <w:pStyle w:val="Heading4"/>
        <w:numPr>
          <w:ilvl w:val="0"/>
          <w:numId w:val="0"/>
        </w:numPr>
        <w:ind w:left="862" w:hanging="862"/>
      </w:pPr>
      <w:r>
        <w:t xml:space="preserve">The </w:t>
      </w:r>
      <w:r w:rsidR="00BC6C91">
        <w:t>USA’s Rule of Reason</w:t>
      </w:r>
    </w:p>
    <w:p w14:paraId="334D15B2" w14:textId="1EBF605F" w:rsidR="007B2810" w:rsidRPr="00771883" w:rsidRDefault="00107F61" w:rsidP="007B2810">
      <w:pPr>
        <w:rPr>
          <w:szCs w:val="22"/>
        </w:rPr>
      </w:pPr>
      <w:r>
        <w:rPr>
          <w:szCs w:val="22"/>
        </w:rPr>
        <w:t>T</w:t>
      </w:r>
      <w:r w:rsidR="0072326F" w:rsidRPr="00771883">
        <w:rPr>
          <w:szCs w:val="22"/>
        </w:rPr>
        <w:t xml:space="preserve">he USA’s “rule of reason” test has its classic statement in </w:t>
      </w:r>
      <w:r w:rsidR="0072326F" w:rsidRPr="00771883">
        <w:rPr>
          <w:i/>
          <w:szCs w:val="22"/>
        </w:rPr>
        <w:t>Chicago Board of Trade</w:t>
      </w:r>
      <w:r w:rsidR="0072326F" w:rsidRPr="00771883">
        <w:rPr>
          <w:szCs w:val="22"/>
        </w:rPr>
        <w:t xml:space="preserve"> (1918):</w:t>
      </w:r>
    </w:p>
    <w:p w14:paraId="49B60F8B" w14:textId="03DF7455" w:rsidR="0072326F" w:rsidRPr="00223AF0" w:rsidRDefault="0072326F" w:rsidP="0072326F">
      <w:pPr>
        <w:pStyle w:val="Quote"/>
        <w:rPr>
          <w:szCs w:val="22"/>
        </w:rPr>
      </w:pPr>
      <w:r w:rsidRPr="00223AF0">
        <w:t>The true test of legality is whether the restraint imposed is such as merely regulates and perhaps thereby promotes competition or whether it is such as may suppress or even destroy competition. To determine that question the court must ordinarily consider the facts peculiar to the business to which the restraint is applied; its condition before and after the restraint was imposed; the nature of the restraint, the evil believed to exist, the reason for adopting the particular remedy, the purpose or end sought to be attained, are all relevant facts. This is not because a good intention will save an otherwise objectionable regulation or the reverse; but because knowledge of intent may help the court interpret facts and to predict consequences.</w:t>
      </w:r>
      <w:r w:rsidRPr="00223AF0">
        <w:rPr>
          <w:vertAlign w:val="superscript"/>
        </w:rPr>
        <w:footnoteReference w:id="46"/>
      </w:r>
    </w:p>
    <w:p w14:paraId="17028794" w14:textId="16625B86" w:rsidR="00FE1448" w:rsidRDefault="00FE1448" w:rsidP="00FE1448">
      <w:pPr>
        <w:rPr>
          <w:szCs w:val="22"/>
        </w:rPr>
      </w:pPr>
      <w:r>
        <w:rPr>
          <w:szCs w:val="22"/>
        </w:rPr>
        <w:t>However, the scope of rule of the reason investigation has been strongly criticised by Hovenkamp:</w:t>
      </w:r>
    </w:p>
    <w:p w14:paraId="571804E4" w14:textId="77777777" w:rsidR="00FE1448" w:rsidRDefault="00FE1448" w:rsidP="00FE1448">
      <w:pPr>
        <w:pStyle w:val="Quote"/>
      </w:pPr>
      <w:r>
        <w:t>Justice Brandeis’s version of the rule of reason created one of the most costly procedures in antitrust practice. Under it courts have engaged in unfocused wide-ranging expeditions into practically everything about the business of large firms in order to determine whether a challenged practice is unlawful.</w:t>
      </w:r>
      <w:r>
        <w:rPr>
          <w:rStyle w:val="FootnoteReference"/>
        </w:rPr>
        <w:footnoteReference w:id="47"/>
      </w:r>
    </w:p>
    <w:p w14:paraId="2F4620E9" w14:textId="7124FF9D" w:rsidR="007B2810" w:rsidRDefault="00FE1448" w:rsidP="007B2810">
      <w:pPr>
        <w:rPr>
          <w:szCs w:val="22"/>
        </w:rPr>
      </w:pPr>
      <w:r>
        <w:rPr>
          <w:szCs w:val="22"/>
        </w:rPr>
        <w:t xml:space="preserve">Although there is a </w:t>
      </w:r>
      <w:r w:rsidR="007B48FE">
        <w:rPr>
          <w:szCs w:val="22"/>
        </w:rPr>
        <w:t xml:space="preserve">real </w:t>
      </w:r>
      <w:r>
        <w:rPr>
          <w:szCs w:val="22"/>
        </w:rPr>
        <w:t xml:space="preserve">risk of casting </w:t>
      </w:r>
      <w:r w:rsidR="007B48FE">
        <w:rPr>
          <w:szCs w:val="22"/>
        </w:rPr>
        <w:t xml:space="preserve">the net </w:t>
      </w:r>
      <w:r>
        <w:rPr>
          <w:szCs w:val="22"/>
        </w:rPr>
        <w:t>too</w:t>
      </w:r>
      <w:r w:rsidR="008E6EFB">
        <w:rPr>
          <w:szCs w:val="22"/>
        </w:rPr>
        <w:t xml:space="preserve"> wide in a rule-of-reason analysis, it is important for the present purpose that it </w:t>
      </w:r>
      <w:r w:rsidR="00107F61">
        <w:rPr>
          <w:szCs w:val="22"/>
        </w:rPr>
        <w:t xml:space="preserve">encompasses an appraisal of </w:t>
      </w:r>
      <w:r w:rsidR="00107F61" w:rsidRPr="00223AF0">
        <w:rPr>
          <w:i/>
          <w:szCs w:val="22"/>
        </w:rPr>
        <w:t>both</w:t>
      </w:r>
      <w:r w:rsidR="00107F61">
        <w:rPr>
          <w:szCs w:val="22"/>
        </w:rPr>
        <w:t xml:space="preserve"> the effects and purpose</w:t>
      </w:r>
      <w:r w:rsidR="007769CB">
        <w:rPr>
          <w:szCs w:val="22"/>
        </w:rPr>
        <w:t>s</w:t>
      </w:r>
      <w:r w:rsidR="00107F61">
        <w:rPr>
          <w:szCs w:val="22"/>
        </w:rPr>
        <w:t xml:space="preserve"> of the conduct. </w:t>
      </w:r>
      <w:r w:rsidR="007769CB">
        <w:rPr>
          <w:szCs w:val="22"/>
        </w:rPr>
        <w:t>T</w:t>
      </w:r>
      <w:r w:rsidR="00B50F02" w:rsidRPr="00771883">
        <w:rPr>
          <w:szCs w:val="22"/>
        </w:rPr>
        <w:t>he</w:t>
      </w:r>
      <w:r w:rsidR="0072326F" w:rsidRPr="00771883">
        <w:rPr>
          <w:szCs w:val="22"/>
        </w:rPr>
        <w:t xml:space="preserve"> purpose of the conduct is not sufficient in itself to determine </w:t>
      </w:r>
      <w:r w:rsidR="00132E4A" w:rsidRPr="00771883">
        <w:rPr>
          <w:szCs w:val="22"/>
        </w:rPr>
        <w:t xml:space="preserve">the legality or </w:t>
      </w:r>
      <w:r w:rsidR="0072326F" w:rsidRPr="00771883">
        <w:rPr>
          <w:szCs w:val="22"/>
        </w:rPr>
        <w:t>illegality</w:t>
      </w:r>
      <w:r w:rsidR="00132E4A" w:rsidRPr="00771883">
        <w:rPr>
          <w:szCs w:val="22"/>
        </w:rPr>
        <w:t xml:space="preserve"> of the conduct</w:t>
      </w:r>
      <w:r w:rsidR="0072326F" w:rsidRPr="00771883">
        <w:rPr>
          <w:szCs w:val="22"/>
        </w:rPr>
        <w:t xml:space="preserve">, </w:t>
      </w:r>
      <w:r w:rsidR="00132E4A" w:rsidRPr="00771883">
        <w:rPr>
          <w:szCs w:val="22"/>
        </w:rPr>
        <w:t>but</w:t>
      </w:r>
      <w:r w:rsidR="0072326F" w:rsidRPr="00771883">
        <w:rPr>
          <w:szCs w:val="22"/>
        </w:rPr>
        <w:t xml:space="preserve"> nor </w:t>
      </w:r>
      <w:r w:rsidR="00132E4A" w:rsidRPr="00771883">
        <w:rPr>
          <w:szCs w:val="22"/>
        </w:rPr>
        <w:t xml:space="preserve">can an assessment of whether the conduct has an </w:t>
      </w:r>
      <w:r w:rsidR="0072326F" w:rsidRPr="00771883">
        <w:rPr>
          <w:szCs w:val="22"/>
        </w:rPr>
        <w:t>anticompetitive effect</w:t>
      </w:r>
      <w:r w:rsidR="00132E4A" w:rsidRPr="00771883">
        <w:rPr>
          <w:szCs w:val="22"/>
        </w:rPr>
        <w:t xml:space="preserve"> be entirely divorced from the purpose of the conduct</w:t>
      </w:r>
      <w:r w:rsidR="0072326F" w:rsidRPr="00771883">
        <w:rPr>
          <w:szCs w:val="22"/>
        </w:rPr>
        <w:t xml:space="preserve">. It is necessary to understand </w:t>
      </w:r>
      <w:r w:rsidR="0072326F" w:rsidRPr="00223AF0">
        <w:rPr>
          <w:szCs w:val="22"/>
        </w:rPr>
        <w:t xml:space="preserve">both </w:t>
      </w:r>
      <w:r w:rsidR="0072326F" w:rsidRPr="00771883">
        <w:rPr>
          <w:szCs w:val="22"/>
        </w:rPr>
        <w:t xml:space="preserve">the effects of the conduct on competition and the intent of the corporation </w:t>
      </w:r>
      <w:r w:rsidR="00132E4A" w:rsidRPr="00771883">
        <w:rPr>
          <w:szCs w:val="22"/>
        </w:rPr>
        <w:t>when determining whether the conduct is anticompetitive</w:t>
      </w:r>
      <w:r w:rsidR="0072326F" w:rsidRPr="00771883">
        <w:rPr>
          <w:szCs w:val="22"/>
        </w:rPr>
        <w:t>.</w:t>
      </w:r>
    </w:p>
    <w:p w14:paraId="6EADBAE4" w14:textId="6B1B6AFC" w:rsidR="00022879" w:rsidRDefault="007769CB" w:rsidP="007769CB">
      <w:r w:rsidRPr="00771883">
        <w:t xml:space="preserve">There is </w:t>
      </w:r>
      <w:r w:rsidR="008E6EFB">
        <w:t>contrasting</w:t>
      </w:r>
      <w:r w:rsidRPr="00771883">
        <w:t xml:space="preserve"> view that subjective intent </w:t>
      </w:r>
      <w:r w:rsidR="008E6EFB">
        <w:t xml:space="preserve">evidence </w:t>
      </w:r>
      <w:r w:rsidRPr="00771883">
        <w:t>is irrelevant in competition law cases</w:t>
      </w:r>
      <w:r w:rsidR="00FE1448">
        <w:t xml:space="preserve">—a view especially associated with </w:t>
      </w:r>
      <w:r w:rsidRPr="00771883">
        <w:t xml:space="preserve">the Chicago School in the USA who regard intent evidence as virtually devoid of probative value in separating anticompetitive conduct from competition on the merits, and </w:t>
      </w:r>
      <w:r w:rsidR="00FE1448">
        <w:t>consider</w:t>
      </w:r>
      <w:r w:rsidRPr="00771883">
        <w:t xml:space="preserve"> only effects </w:t>
      </w:r>
      <w:r w:rsidR="00FE1448">
        <w:t xml:space="preserve">evidence as </w:t>
      </w:r>
      <w:r w:rsidRPr="00771883">
        <w:t>relevant.</w:t>
      </w:r>
      <w:r w:rsidRPr="00771883">
        <w:rPr>
          <w:rStyle w:val="FootnoteReference"/>
        </w:rPr>
        <w:footnoteReference w:id="48"/>
      </w:r>
      <w:r w:rsidRPr="00771883">
        <w:t xml:space="preserve"> </w:t>
      </w:r>
      <w:r w:rsidR="00FE1448">
        <w:t xml:space="preserve">In a jury system </w:t>
      </w:r>
      <w:r w:rsidR="00677F9D">
        <w:t xml:space="preserve">for civil law disputes, </w:t>
      </w:r>
      <w:r w:rsidR="00FE1448">
        <w:t xml:space="preserve">such as the USA, subjective intent evidence can easily be </w:t>
      </w:r>
      <w:r w:rsidRPr="00771883">
        <w:t>misinterpret</w:t>
      </w:r>
      <w:r w:rsidR="00FE1448">
        <w:t>ed or given undue weight.</w:t>
      </w:r>
      <w:r w:rsidRPr="00771883">
        <w:t xml:space="preserve"> </w:t>
      </w:r>
      <w:r w:rsidR="008E6EFB">
        <w:t xml:space="preserve">Notwithstanding this view, </w:t>
      </w:r>
      <w:r w:rsidR="00FE1448" w:rsidRPr="00771883">
        <w:t>intent</w:t>
      </w:r>
      <w:r w:rsidR="008E6EFB">
        <w:t xml:space="preserve"> evidence remains </w:t>
      </w:r>
      <w:r w:rsidR="00FE1448" w:rsidRPr="00771883">
        <w:t xml:space="preserve">legally relevant in </w:t>
      </w:r>
      <w:r w:rsidR="008E6EFB">
        <w:t xml:space="preserve">U.S. </w:t>
      </w:r>
      <w:r w:rsidR="00FE1448" w:rsidRPr="00771883">
        <w:t>antitrust cases</w:t>
      </w:r>
      <w:r w:rsidR="008E6EFB">
        <w:t>,</w:t>
      </w:r>
      <w:r w:rsidR="00FE1448">
        <w:t xml:space="preserve"> and </w:t>
      </w:r>
      <w:r w:rsidR="00677F9D">
        <w:t xml:space="preserve">properly evaluated can be </w:t>
      </w:r>
      <w:r w:rsidR="00FE1448">
        <w:t>useful for interpreting facts and predicting outcomes.</w:t>
      </w:r>
      <w:r w:rsidR="00FE1448" w:rsidRPr="00771883">
        <w:rPr>
          <w:rStyle w:val="FootnoteReference"/>
        </w:rPr>
        <w:footnoteReference w:id="49"/>
      </w:r>
    </w:p>
    <w:p w14:paraId="42489288" w14:textId="29C0AE9B" w:rsidR="00561837" w:rsidRDefault="007769CB" w:rsidP="007769CB">
      <w:r w:rsidRPr="00771883">
        <w:t>The</w:t>
      </w:r>
      <w:r w:rsidR="008E6EFB">
        <w:t xml:space="preserve"> Chicago School </w:t>
      </w:r>
      <w:r w:rsidRPr="00771883">
        <w:t>view correctly identif</w:t>
      </w:r>
      <w:r w:rsidR="008E6EFB">
        <w:t>ies</w:t>
      </w:r>
      <w:r w:rsidRPr="00771883">
        <w:t xml:space="preserve"> an inherent weakness of subjective intent evidence in competition law cases</w:t>
      </w:r>
      <w:r w:rsidR="00561837">
        <w:t>. As Hylton observed:</w:t>
      </w:r>
      <w:r w:rsidRPr="00771883">
        <w:t xml:space="preserve"> </w:t>
      </w:r>
    </w:p>
    <w:p w14:paraId="71FA1032" w14:textId="2A50E95A" w:rsidR="00561837" w:rsidRDefault="00561837" w:rsidP="00561837">
      <w:pPr>
        <w:pStyle w:val="Quote"/>
      </w:pPr>
      <w:r>
        <w:t>Under the subjective approach to specific intent, courts analyze the statements of corporate officers and internal corporate memoranda for evidence of a desire to suppress competition. This sort of evidence is unreliable.</w:t>
      </w:r>
      <w:r>
        <w:rPr>
          <w:rStyle w:val="FootnoteReference"/>
        </w:rPr>
        <w:footnoteReference w:id="50"/>
      </w:r>
    </w:p>
    <w:p w14:paraId="5ACBB579" w14:textId="0EA89C7C" w:rsidR="007769CB" w:rsidRPr="00771883" w:rsidRDefault="00A90EFE" w:rsidP="007769CB">
      <w:r>
        <w:t>Although</w:t>
      </w:r>
      <w:r w:rsidR="00561837">
        <w:t xml:space="preserve"> </w:t>
      </w:r>
      <w:r>
        <w:t xml:space="preserve">intent evidence only has a secondary role in </w:t>
      </w:r>
      <w:r w:rsidR="00561837">
        <w:t>s2 cases</w:t>
      </w:r>
      <w:r>
        <w:t>,</w:t>
      </w:r>
      <w:r w:rsidR="00561837">
        <w:t xml:space="preserve"> </w:t>
      </w:r>
      <w:r>
        <w:t xml:space="preserve">which </w:t>
      </w:r>
      <w:r w:rsidR="00561837">
        <w:t xml:space="preserve">only </w:t>
      </w:r>
      <w:r>
        <w:t xml:space="preserve">require evidence of </w:t>
      </w:r>
      <w:r w:rsidR="00561837">
        <w:t>‘</w:t>
      </w:r>
      <w:r w:rsidR="009F6511">
        <w:t>wilful</w:t>
      </w:r>
      <w:r w:rsidR="00561837">
        <w:t xml:space="preserve">’ acquisition of power, </w:t>
      </w:r>
      <w:r w:rsidR="009F6511">
        <w:t>and</w:t>
      </w:r>
      <w:r w:rsidR="007769CB" w:rsidRPr="00771883">
        <w:t xml:space="preserve"> </w:t>
      </w:r>
      <w:r w:rsidR="00401718">
        <w:t>give primary attention to the likely anticompetitive effects of challenged conduct</w:t>
      </w:r>
      <w:r>
        <w:t>,</w:t>
      </w:r>
      <w:r w:rsidR="00401718">
        <w:t xml:space="preserve"> </w:t>
      </w:r>
      <w:r w:rsidR="007769CB" w:rsidRPr="00771883">
        <w:t xml:space="preserve">the U.S. courts </w:t>
      </w:r>
      <w:r>
        <w:t xml:space="preserve">also </w:t>
      </w:r>
      <w:r w:rsidR="007769CB" w:rsidRPr="00771883">
        <w:t xml:space="preserve">tend to give weight to objective </w:t>
      </w:r>
      <w:r w:rsidR="00AC46E3">
        <w:t>intent</w:t>
      </w:r>
      <w:r w:rsidR="007769CB" w:rsidRPr="00771883">
        <w:t xml:space="preserve">: </w:t>
      </w:r>
    </w:p>
    <w:p w14:paraId="53FDCC88" w14:textId="77777777" w:rsidR="007769CB" w:rsidRPr="00771883" w:rsidRDefault="007769CB" w:rsidP="007769CB">
      <w:pPr>
        <w:pStyle w:val="Quote"/>
      </w:pPr>
      <w:r w:rsidRPr="00771883">
        <w:t>When the behavior is predictably anticompetitive, the courts typically infer improper intent from the conduct itself. … the more blatantly anticompetitive the conduct, the more likely the court infers the requisite anticompetitive intent from the conduct itself.</w:t>
      </w:r>
      <w:r w:rsidRPr="00771883">
        <w:rPr>
          <w:rStyle w:val="FootnoteReference"/>
        </w:rPr>
        <w:footnoteReference w:id="51"/>
      </w:r>
    </w:p>
    <w:p w14:paraId="1ADD4CE9" w14:textId="094CFCD1" w:rsidR="007769CB" w:rsidRDefault="009F6511" w:rsidP="007769CB">
      <w:r w:rsidRPr="00144D24">
        <w:t xml:space="preserve">Hylton argues that </w:t>
      </w:r>
      <w:r w:rsidR="00144D24" w:rsidRPr="00144D24">
        <w:rPr>
          <w:i/>
        </w:rPr>
        <w:t>objective</w:t>
      </w:r>
      <w:r w:rsidR="00144D24" w:rsidRPr="00144D24">
        <w:t xml:space="preserve"> evidence of intent to damage competition </w:t>
      </w:r>
      <w:r w:rsidRPr="00144D24">
        <w:t xml:space="preserve">reduces the </w:t>
      </w:r>
      <w:r w:rsidR="00144D24" w:rsidRPr="00144D24">
        <w:t>probability</w:t>
      </w:r>
      <w:r w:rsidRPr="00144D24">
        <w:t xml:space="preserve"> of false </w:t>
      </w:r>
      <w:r w:rsidR="00144D24" w:rsidRPr="00144D24">
        <w:t>convictions for monopolisation.</w:t>
      </w:r>
      <w:r w:rsidR="00702E55">
        <w:rPr>
          <w:rStyle w:val="FootnoteReference"/>
        </w:rPr>
        <w:footnoteReference w:id="52"/>
      </w:r>
      <w:r w:rsidR="00144D24">
        <w:t xml:space="preserve"> </w:t>
      </w:r>
      <w:r w:rsidR="00702E55">
        <w:t>Under this standard, a</w:t>
      </w:r>
      <w:r w:rsidR="00144D24">
        <w:t xml:space="preserve"> greater onus is placed on the defendant to </w:t>
      </w:r>
      <w:r w:rsidR="00702E55">
        <w:t>demonstrate the economic efficiency of the challenged conduct.</w:t>
      </w:r>
      <w:r w:rsidR="00144D24">
        <w:t xml:space="preserve"> </w:t>
      </w:r>
      <w:r w:rsidR="007B48FE">
        <w:t>The same author</w:t>
      </w:r>
      <w:r w:rsidR="008E6EFB">
        <w:t xml:space="preserve"> also </w:t>
      </w:r>
      <w:r w:rsidR="00A90EFE">
        <w:t xml:space="preserve">argues that modern U.S. case law </w:t>
      </w:r>
      <w:r w:rsidR="00AC46E3">
        <w:t>has moved</w:t>
      </w:r>
      <w:r w:rsidR="00A90EFE">
        <w:t xml:space="preserve"> toward</w:t>
      </w:r>
      <w:r w:rsidR="00AC46E3">
        <w:t>s</w:t>
      </w:r>
      <w:r w:rsidR="00A90EFE">
        <w:t xml:space="preserve"> requiring proof of specific objective intent to monopolise.</w:t>
      </w:r>
      <w:r w:rsidR="00AC46E3">
        <w:rPr>
          <w:rStyle w:val="FootnoteReference"/>
        </w:rPr>
        <w:footnoteReference w:id="53"/>
      </w:r>
    </w:p>
    <w:p w14:paraId="75720893" w14:textId="02E96D7C" w:rsidR="00D52A85" w:rsidRPr="00771883" w:rsidRDefault="00D00C09" w:rsidP="006B20D3">
      <w:pPr>
        <w:pStyle w:val="Heading4"/>
        <w:numPr>
          <w:ilvl w:val="0"/>
          <w:numId w:val="0"/>
        </w:numPr>
        <w:ind w:left="862" w:hanging="862"/>
      </w:pPr>
      <w:r w:rsidRPr="00771883">
        <w:t>Subjective and objective purpose</w:t>
      </w:r>
    </w:p>
    <w:p w14:paraId="5DBC1111" w14:textId="07AFF04E" w:rsidR="00BA4052" w:rsidRPr="00771883" w:rsidRDefault="00AC46E3" w:rsidP="00FD33E4">
      <w:pPr>
        <w:rPr>
          <w:color w:val="0000FF"/>
        </w:rPr>
      </w:pPr>
      <w:r w:rsidRPr="00AC46E3">
        <w:t>In s</w:t>
      </w:r>
      <w:r w:rsidR="00132E4A" w:rsidRPr="00AC46E3">
        <w:t>46</w:t>
      </w:r>
      <w:r w:rsidRPr="00AC46E3">
        <w:t>,</w:t>
      </w:r>
      <w:r w:rsidR="00FD33E4" w:rsidRPr="00AC46E3">
        <w:t xml:space="preserve"> </w:t>
      </w:r>
      <w:r w:rsidR="00BA4052" w:rsidRPr="00AC46E3">
        <w:t>‘</w:t>
      </w:r>
      <w:r w:rsidRPr="00AC46E3">
        <w:t>p</w:t>
      </w:r>
      <w:r w:rsidR="00BA4052" w:rsidRPr="00AC46E3">
        <w:t xml:space="preserve">urpose’ </w:t>
      </w:r>
      <w:r w:rsidR="005868B8" w:rsidRPr="00AC46E3">
        <w:t>has been</w:t>
      </w:r>
      <w:r w:rsidR="005868B8" w:rsidRPr="00771883">
        <w:t xml:space="preserve"> defined in </w:t>
      </w:r>
      <w:r w:rsidR="005868B8" w:rsidRPr="00771883">
        <w:rPr>
          <w:i/>
        </w:rPr>
        <w:t>QWI</w:t>
      </w:r>
      <w:r w:rsidR="003A7511" w:rsidRPr="00771883">
        <w:t xml:space="preserve"> </w:t>
      </w:r>
      <w:r w:rsidR="005868B8" w:rsidRPr="00771883">
        <w:t>as “an intent to achieve the result spoken of in each of the paragraphs in s 46(1).”</w:t>
      </w:r>
      <w:r w:rsidR="001C0EA1" w:rsidRPr="00771883">
        <w:rPr>
          <w:rStyle w:val="FootnoteReference"/>
        </w:rPr>
        <w:footnoteReference w:id="54"/>
      </w:r>
      <w:r w:rsidR="005868B8" w:rsidRPr="00771883">
        <w:t xml:space="preserve"> </w:t>
      </w:r>
      <w:r w:rsidR="00FD33E4" w:rsidRPr="00771883">
        <w:t>Here</w:t>
      </w:r>
      <w:r w:rsidR="00BA4052" w:rsidRPr="00771883">
        <w:t xml:space="preserve"> intent refers to </w:t>
      </w:r>
      <w:r w:rsidR="00FD33E4" w:rsidRPr="00771883">
        <w:t xml:space="preserve">the </w:t>
      </w:r>
      <w:r w:rsidR="00BA4052" w:rsidRPr="00771883">
        <w:t xml:space="preserve">subjective thinking </w:t>
      </w:r>
      <w:r w:rsidR="00FD33E4" w:rsidRPr="00771883">
        <w:t xml:space="preserve">or state of mind </w:t>
      </w:r>
      <w:r w:rsidR="00EE46E6">
        <w:t xml:space="preserve">of a </w:t>
      </w:r>
      <w:r w:rsidR="00EE46E6" w:rsidRPr="00EE46E6">
        <w:t xml:space="preserve">director, employee or agent </w:t>
      </w:r>
      <w:r w:rsidR="00EE46E6">
        <w:t>of the corporation engaging in the</w:t>
      </w:r>
      <w:r w:rsidR="00FD33E4" w:rsidRPr="00771883">
        <w:t xml:space="preserve"> conduct</w:t>
      </w:r>
      <w:r w:rsidR="003C55A8">
        <w:t xml:space="preserve"> </w:t>
      </w:r>
      <w:r w:rsidR="00EE46E6">
        <w:t>(</w:t>
      </w:r>
      <w:r w:rsidR="00FD33E4" w:rsidRPr="00771883">
        <w:t>s84(1)</w:t>
      </w:r>
      <w:r w:rsidR="00EE46E6">
        <w:t xml:space="preserve"> of the Act). </w:t>
      </w:r>
      <w:r w:rsidR="00FD33E4" w:rsidRPr="00771883">
        <w:t>That said, s46(</w:t>
      </w:r>
      <w:r w:rsidR="00BF241A" w:rsidRPr="00771883">
        <w:t>7</w:t>
      </w:r>
      <w:r w:rsidR="00FD33E4" w:rsidRPr="00771883">
        <w:t xml:space="preserve">) permits the court to infer the purpose from other attendant circumstances and </w:t>
      </w:r>
      <w:r w:rsidR="00BF241A" w:rsidRPr="00771883">
        <w:t>courts have sometimes found it more useful to analyse the relevant facts of the case and infer from them the likely purpose of the conduct.</w:t>
      </w:r>
      <w:r w:rsidR="00BF241A" w:rsidRPr="00771883">
        <w:rPr>
          <w:rStyle w:val="FootnoteReference"/>
        </w:rPr>
        <w:footnoteReference w:id="55"/>
      </w:r>
    </w:p>
    <w:p w14:paraId="4A32E501" w14:textId="7937B671" w:rsidR="005868B8" w:rsidRPr="00771883" w:rsidRDefault="00BF241A" w:rsidP="005868B8">
      <w:r w:rsidRPr="00771883">
        <w:t xml:space="preserve">The courts have </w:t>
      </w:r>
      <w:r w:rsidR="0070241B" w:rsidRPr="00771883">
        <w:t xml:space="preserve">observed the serious limitations to the usefulness of </w:t>
      </w:r>
      <w:r w:rsidR="005868B8" w:rsidRPr="00771883">
        <w:t xml:space="preserve">subjective intent </w:t>
      </w:r>
      <w:r w:rsidR="0070241B" w:rsidRPr="00771883">
        <w:t xml:space="preserve">evidence </w:t>
      </w:r>
      <w:r w:rsidR="005868B8" w:rsidRPr="00771883">
        <w:t xml:space="preserve">when </w:t>
      </w:r>
      <w:r w:rsidR="0070241B" w:rsidRPr="00771883">
        <w:t>seeking to differentiate anticompetitive conduct from legitimate competition</w:t>
      </w:r>
      <w:r w:rsidR="005868B8" w:rsidRPr="00771883">
        <w:t xml:space="preserve">. For example, in </w:t>
      </w:r>
      <w:r w:rsidR="005868B8" w:rsidRPr="00771883">
        <w:rPr>
          <w:i/>
        </w:rPr>
        <w:t xml:space="preserve">Boral </w:t>
      </w:r>
      <w:r w:rsidR="005868B8" w:rsidRPr="00771883">
        <w:t>the Court approvingly noted the opinion of Judge Easterbrook in the USA that in predatory pricing cases under the Sherman Act:</w:t>
      </w:r>
    </w:p>
    <w:p w14:paraId="1D882CC9" w14:textId="1638FC05" w:rsidR="005868B8" w:rsidRPr="00771883" w:rsidRDefault="005868B8" w:rsidP="005868B8">
      <w:pPr>
        <w:pStyle w:val="Quote"/>
      </w:pPr>
      <w:r w:rsidRPr="00771883">
        <w:t>… to fix upon intent does not assist in separating beneficial aggressive competition (where prices are set by reference to the market) from attempted monopolisation, that it invites juries to penalise hard competition, and that a "greed-driven desire to succeed" over rival firms is neither a basis of liability nor a ground for the inferring of the existence of such a basis.</w:t>
      </w:r>
      <w:r w:rsidR="008565AC" w:rsidRPr="00771883">
        <w:rPr>
          <w:rStyle w:val="FootnoteReference"/>
        </w:rPr>
        <w:footnoteReference w:id="56"/>
      </w:r>
    </w:p>
    <w:p w14:paraId="3301BC07" w14:textId="48AC9DEB" w:rsidR="0065631C" w:rsidRPr="00771883" w:rsidRDefault="001C0EA1" w:rsidP="00132E4A">
      <w:r w:rsidRPr="00771883">
        <w:t xml:space="preserve">Since evidence of </w:t>
      </w:r>
      <w:r w:rsidR="007D03A8" w:rsidRPr="00771883">
        <w:t xml:space="preserve">subjective </w:t>
      </w:r>
      <w:r w:rsidRPr="00771883">
        <w:t>purpose</w:t>
      </w:r>
      <w:r w:rsidR="007D03A8" w:rsidRPr="00771883">
        <w:t>,</w:t>
      </w:r>
      <w:r w:rsidRPr="00771883">
        <w:t xml:space="preserve"> alone</w:t>
      </w:r>
      <w:r w:rsidR="007D03A8" w:rsidRPr="00771883">
        <w:t>,</w:t>
      </w:r>
      <w:r w:rsidRPr="00771883">
        <w:t xml:space="preserve"> </w:t>
      </w:r>
      <w:r w:rsidR="007D03A8" w:rsidRPr="00771883">
        <w:t>does not provide</w:t>
      </w:r>
      <w:r w:rsidRPr="00771883">
        <w:t xml:space="preserve"> a reliable basis for </w:t>
      </w:r>
      <w:r w:rsidR="007D03A8" w:rsidRPr="00771883">
        <w:t xml:space="preserve">concluding that conduct is </w:t>
      </w:r>
      <w:r w:rsidRPr="00771883">
        <w:t xml:space="preserve">anticompetitive, s46 cannot be fully effective </w:t>
      </w:r>
      <w:r w:rsidR="0065631C" w:rsidRPr="00771883">
        <w:t xml:space="preserve">without </w:t>
      </w:r>
      <w:r w:rsidR="007D03A8" w:rsidRPr="00771883">
        <w:t xml:space="preserve">either modifying </w:t>
      </w:r>
      <w:r w:rsidR="0065631C" w:rsidRPr="00771883">
        <w:t xml:space="preserve">the purpose element to better identify anticompetitive purpose, or augmenting </w:t>
      </w:r>
      <w:r w:rsidR="007D03A8" w:rsidRPr="00771883">
        <w:t xml:space="preserve">it </w:t>
      </w:r>
      <w:r w:rsidR="0065631C" w:rsidRPr="00771883">
        <w:t>with an assessment of effects, or both</w:t>
      </w:r>
      <w:r w:rsidRPr="00771883">
        <w:t xml:space="preserve">. </w:t>
      </w:r>
    </w:p>
    <w:p w14:paraId="3615ACF6" w14:textId="77777777" w:rsidR="00677F9D" w:rsidRDefault="007D03A8" w:rsidP="007D03A8">
      <w:r w:rsidRPr="00771883">
        <w:t xml:space="preserve">One way of approaching this </w:t>
      </w:r>
      <w:r w:rsidR="00BC6C91">
        <w:t xml:space="preserve">problem </w:t>
      </w:r>
      <w:r w:rsidRPr="00771883">
        <w:t xml:space="preserve">is to give greater weight to the notion of objective purpose. </w:t>
      </w:r>
      <w:r w:rsidR="00132E4A" w:rsidRPr="00771883">
        <w:t xml:space="preserve">Bruce </w:t>
      </w:r>
      <w:r w:rsidR="005868B8" w:rsidRPr="00771883">
        <w:t xml:space="preserve">has </w:t>
      </w:r>
      <w:r w:rsidR="00132E4A" w:rsidRPr="00771883">
        <w:t>observe</w:t>
      </w:r>
      <w:r w:rsidR="005868B8" w:rsidRPr="00771883">
        <w:t>d</w:t>
      </w:r>
      <w:r w:rsidR="00132E4A" w:rsidRPr="00771883">
        <w:t xml:space="preserve"> that</w:t>
      </w:r>
      <w:r w:rsidR="00677F9D">
        <w:t>:</w:t>
      </w:r>
    </w:p>
    <w:p w14:paraId="69FC444A" w14:textId="6D3E5792" w:rsidR="00677F9D" w:rsidRDefault="00132E4A" w:rsidP="00410D2F">
      <w:pPr>
        <w:pStyle w:val="Quote"/>
      </w:pPr>
      <w:r w:rsidRPr="00771883">
        <w:t xml:space="preserve">while it is the corporation’s subjective purpose to bring about one of the results in s 46(1) that must be established, that subjective purpose can be inferred from an </w:t>
      </w:r>
      <w:r w:rsidRPr="00771883">
        <w:rPr>
          <w:i/>
        </w:rPr>
        <w:t>objective</w:t>
      </w:r>
      <w:r w:rsidRPr="00771883">
        <w:t xml:space="preserve"> examination of the conduct itself and the way in which it was implemented. …  It is rare that direct evidence in the form of internal corporate communications that directly disclose the subjective intent of that corporation is found. In most cases, the court is invited to infer the existence of the purpose from an objective consideration of the circumstances of the corporation’s conduct.</w:t>
      </w:r>
      <w:r w:rsidR="001C0EA1" w:rsidRPr="00771883">
        <w:rPr>
          <w:rStyle w:val="FootnoteReference"/>
        </w:rPr>
        <w:footnoteReference w:id="57"/>
      </w:r>
      <w:r w:rsidR="007D03A8" w:rsidRPr="00771883">
        <w:t xml:space="preserve"> </w:t>
      </w:r>
    </w:p>
    <w:p w14:paraId="75FB0C6A" w14:textId="0DD4C1A6" w:rsidR="007D03A8" w:rsidRDefault="007D03A8" w:rsidP="007D03A8">
      <w:r w:rsidRPr="00771883">
        <w:t xml:space="preserve">The notion of </w:t>
      </w:r>
      <w:r w:rsidRPr="008A2BE2">
        <w:rPr>
          <w:i/>
        </w:rPr>
        <w:t>objective purpose</w:t>
      </w:r>
      <w:r w:rsidRPr="00771883">
        <w:t xml:space="preserve"> is to focus, not on the state of mind or subjective intent of the party, but on what a reasonable person, given all of the circumstances, would think the intention of the party was. This approach to purpose could usefully be given a much greater role in s46.</w:t>
      </w:r>
    </w:p>
    <w:p w14:paraId="750D6BB5" w14:textId="77777777" w:rsidR="00BC6C91" w:rsidRPr="00771883" w:rsidRDefault="00BC6C91" w:rsidP="00BC6C91">
      <w:pPr>
        <w:pStyle w:val="Heading4"/>
        <w:numPr>
          <w:ilvl w:val="0"/>
          <w:numId w:val="0"/>
        </w:numPr>
        <w:ind w:left="862" w:hanging="862"/>
      </w:pPr>
      <w:r w:rsidRPr="00771883">
        <w:t>Conclusion</w:t>
      </w:r>
    </w:p>
    <w:p w14:paraId="62D4CED5" w14:textId="4CF22461" w:rsidR="008B6699" w:rsidRDefault="003F0F97" w:rsidP="00372DE5">
      <w:r w:rsidRPr="00771883">
        <w:t xml:space="preserve">At present the purpose element of s46(1) means the subjective purpose of the parties, but the notion of objective purpose could usefully be given a much greater role in s46. This would </w:t>
      </w:r>
      <w:r w:rsidR="00677F9D">
        <w:t xml:space="preserve">involve </w:t>
      </w:r>
      <w:r w:rsidRPr="00771883">
        <w:t>direct</w:t>
      </w:r>
      <w:r w:rsidR="00677F9D">
        <w:t>ing</w:t>
      </w:r>
      <w:r w:rsidRPr="00771883">
        <w:t xml:space="preserve"> the court to consider the effects of the conduct as part of the assessment of the objective purpose of the conduct.</w:t>
      </w:r>
      <w:r>
        <w:t xml:space="preserve"> </w:t>
      </w:r>
      <w:r w:rsidR="00A52312" w:rsidRPr="00771883">
        <w:t>A greater focus in objective purpose rather than subjective purpose should ameliorate some of the ACCC’s concerns relating to the ‘purpose’ element. It would be less reliant on assembling evidence of the state of mind of the defendant, and would permit a greater focus on the effects that would reasonably be anticipated from the conduct.</w:t>
      </w:r>
    </w:p>
    <w:p w14:paraId="6920F728" w14:textId="4437F850" w:rsidR="003F0F97" w:rsidRDefault="003F0F97" w:rsidP="00372DE5">
      <w:r>
        <w:t xml:space="preserve">To give effect to this suggestion, it is proposed that s46(7) be retained and amended to allow the purpose of a corporation to be inferred </w:t>
      </w:r>
      <w:r w:rsidR="008D2438">
        <w:t xml:space="preserve">from </w:t>
      </w:r>
      <w:r w:rsidRPr="003F0F97">
        <w:t>the consequences</w:t>
      </w:r>
      <w:r w:rsidR="005E7A97" w:rsidRPr="005E7A97">
        <w:t xml:space="preserve">, including the effects or likely effects on competition, </w:t>
      </w:r>
      <w:r w:rsidRPr="005E7A97">
        <w:t>th</w:t>
      </w:r>
      <w:r w:rsidRPr="003F0F97">
        <w:t>at would reasonably be anticipated from the conduct which is found to t</w:t>
      </w:r>
      <w:r w:rsidR="005E7A97">
        <w:t>ake advantage the corporation’s</w:t>
      </w:r>
      <w:r w:rsidRPr="003F0F97">
        <w:t xml:space="preserve"> substantial degree of </w:t>
      </w:r>
      <w:r w:rsidR="005E7A97">
        <w:t xml:space="preserve">market </w:t>
      </w:r>
      <w:r w:rsidRPr="003F0F97">
        <w:t>power</w:t>
      </w:r>
      <w:r>
        <w:t xml:space="preserve">. Other drafting amendments may be needed to simplify </w:t>
      </w:r>
      <w:r w:rsidR="00677F9D">
        <w:t xml:space="preserve">and clarify </w:t>
      </w:r>
      <w:r>
        <w:t>subsection (7) as detailed in section 5.</w:t>
      </w:r>
    </w:p>
    <w:p w14:paraId="7D62012C" w14:textId="0FA15EB4" w:rsidR="00A242CE" w:rsidRPr="00771883" w:rsidRDefault="006B20D3" w:rsidP="00BA5293">
      <w:pPr>
        <w:pStyle w:val="Heading2"/>
      </w:pPr>
      <w:r w:rsidRPr="00771883">
        <w:t>Specific proscribed purposes</w:t>
      </w:r>
    </w:p>
    <w:p w14:paraId="56B6567D" w14:textId="576860F1" w:rsidR="006B20D3" w:rsidRPr="00771883" w:rsidRDefault="006B20D3" w:rsidP="006B20D3">
      <w:r w:rsidRPr="001C2ECA">
        <w:t xml:space="preserve">This section addresses question </w:t>
      </w:r>
      <w:r w:rsidR="00B84CE0">
        <w:t>9</w:t>
      </w:r>
      <w:r w:rsidRPr="001C2ECA">
        <w:t>:</w:t>
      </w:r>
      <w:r w:rsidRPr="00771883">
        <w:rPr>
          <w:i/>
        </w:rPr>
        <w:t xml:space="preserve"> Should specific examples of prohibited behaviours or conduct be retained or included?</w:t>
      </w:r>
    </w:p>
    <w:p w14:paraId="3EEF3549" w14:textId="4483F0CE" w:rsidR="00A952FC" w:rsidRPr="00771883" w:rsidRDefault="003F0F97" w:rsidP="00A952FC">
      <w:r>
        <w:t>As previously stressed</w:t>
      </w:r>
      <w:r w:rsidR="00583918">
        <w:t xml:space="preserve"> (see section 3.3)</w:t>
      </w:r>
      <w:r>
        <w:t xml:space="preserve">, in </w:t>
      </w:r>
      <w:r w:rsidR="00A952FC" w:rsidRPr="00771883">
        <w:t xml:space="preserve">U.S. antitrust law, attaining a monopoly through superior </w:t>
      </w:r>
      <w:r>
        <w:t xml:space="preserve">acumen, </w:t>
      </w:r>
      <w:r w:rsidR="00A952FC" w:rsidRPr="00771883">
        <w:t>efficiency, innovation</w:t>
      </w:r>
      <w:r>
        <w:t>,</w:t>
      </w:r>
      <w:r w:rsidR="00A952FC" w:rsidRPr="00771883">
        <w:t xml:space="preserve"> </w:t>
      </w:r>
      <w:r>
        <w:t>and so on,</w:t>
      </w:r>
      <w:r w:rsidR="00A952FC" w:rsidRPr="00771883">
        <w:t xml:space="preserve"> is not prohibited, and nor is monopoly pricing by a firm that acquires market power in such ways. In part this reflects the roots of the Sherman Act in the common law,</w:t>
      </w:r>
      <w:r w:rsidR="00A952FC" w:rsidRPr="00771883">
        <w:rPr>
          <w:rStyle w:val="FootnoteReference"/>
        </w:rPr>
        <w:footnoteReference w:id="58"/>
      </w:r>
      <w:r w:rsidR="00A952FC" w:rsidRPr="00771883">
        <w:t xml:space="preserve"> and it also reflects recognition that the attainment of market power is a legitimate goal of businesses that are competing on the merits</w:t>
      </w:r>
      <w:r w:rsidR="00583918">
        <w:t xml:space="preserve">. </w:t>
      </w:r>
      <w:r w:rsidR="00D00C09" w:rsidRPr="00771883">
        <w:t xml:space="preserve">Another reason </w:t>
      </w:r>
      <w:r w:rsidR="00583918">
        <w:t xml:space="preserve">for this policy </w:t>
      </w:r>
      <w:r w:rsidR="00D00C09" w:rsidRPr="00771883">
        <w:t>is</w:t>
      </w:r>
      <w:r w:rsidR="00A952FC" w:rsidRPr="00771883">
        <w:t xml:space="preserve"> the high cost and impracticality of courts regulating monopoly prices </w:t>
      </w:r>
      <w:r w:rsidR="00D00C09" w:rsidRPr="00771883">
        <w:t>in a way analogous to</w:t>
      </w:r>
      <w:r w:rsidR="00A952FC" w:rsidRPr="00771883">
        <w:t xml:space="preserve"> a public utility regulator.</w:t>
      </w:r>
      <w:r w:rsidR="00A952FC" w:rsidRPr="00771883">
        <w:rPr>
          <w:rStyle w:val="FootnoteReference"/>
        </w:rPr>
        <w:footnoteReference w:id="59"/>
      </w:r>
      <w:r w:rsidR="00A952FC" w:rsidRPr="00771883">
        <w:t xml:space="preserve"> </w:t>
      </w:r>
    </w:p>
    <w:p w14:paraId="3930B660" w14:textId="66CDD8E1" w:rsidR="00BE01E5" w:rsidRDefault="00D00C09" w:rsidP="00223AF0">
      <w:r w:rsidRPr="00771883">
        <w:t>In section 3.</w:t>
      </w:r>
      <w:r w:rsidR="00583918">
        <w:t>3</w:t>
      </w:r>
      <w:r w:rsidR="00583918" w:rsidRPr="00771883">
        <w:t xml:space="preserve"> </w:t>
      </w:r>
      <w:r w:rsidRPr="00771883">
        <w:t xml:space="preserve">it was argued that the Harper Panel’s proposal has the potential </w:t>
      </w:r>
      <w:r w:rsidR="00677F9D">
        <w:t xml:space="preserve">to </w:t>
      </w:r>
      <w:r w:rsidR="00A952FC" w:rsidRPr="00771883">
        <w:t>significant</w:t>
      </w:r>
      <w:r w:rsidRPr="00771883">
        <w:t>ly</w:t>
      </w:r>
      <w:r w:rsidR="00A952FC" w:rsidRPr="00771883">
        <w:t xml:space="preserve"> broaden of the scope of the s46</w:t>
      </w:r>
      <w:r w:rsidRPr="00771883">
        <w:t xml:space="preserve">, because it would not contain any distinction between anticompetitive </w:t>
      </w:r>
      <w:r w:rsidR="005E7A97">
        <w:t xml:space="preserve">exclusionary </w:t>
      </w:r>
      <w:r w:rsidRPr="00771883">
        <w:t>conduct</w:t>
      </w:r>
      <w:r w:rsidR="005E7A97">
        <w:t>,</w:t>
      </w:r>
      <w:r w:rsidRPr="00771883">
        <w:t xml:space="preserve"> and </w:t>
      </w:r>
      <w:r w:rsidR="00A952FC" w:rsidRPr="00771883">
        <w:t xml:space="preserve">monopoly pricing by firms that have acquired market power </w:t>
      </w:r>
      <w:r w:rsidR="007F4E1E">
        <w:t>legitimately</w:t>
      </w:r>
      <w:r w:rsidRPr="00771883">
        <w:t>. Th</w:t>
      </w:r>
      <w:r w:rsidR="005E7A97">
        <w:t>is</w:t>
      </w:r>
      <w:r w:rsidR="00A952FC" w:rsidRPr="00771883">
        <w:t xml:space="preserve"> </w:t>
      </w:r>
      <w:r w:rsidR="00677F9D">
        <w:t xml:space="preserve">potential for </w:t>
      </w:r>
      <w:r w:rsidR="007F4E1E">
        <w:t>overreach</w:t>
      </w:r>
      <w:r w:rsidR="007F4E1E" w:rsidRPr="00771883">
        <w:t xml:space="preserve"> </w:t>
      </w:r>
      <w:r w:rsidR="005E7A97">
        <w:t xml:space="preserve">is </w:t>
      </w:r>
      <w:r w:rsidRPr="00771883">
        <w:t>relate</w:t>
      </w:r>
      <w:r w:rsidR="005E7A97">
        <w:t>d</w:t>
      </w:r>
      <w:r w:rsidRPr="00771883">
        <w:t xml:space="preserve"> to the proposed</w:t>
      </w:r>
      <w:r w:rsidR="00A952FC" w:rsidRPr="00771883">
        <w:t xml:space="preserve"> removal of subparagraphs (a), (b) and (c), which limit the types of conduct that may give rise to liability.</w:t>
      </w:r>
      <w:r w:rsidRPr="00771883">
        <w:t xml:space="preserve"> The proposal to prohibit any </w:t>
      </w:r>
      <w:r w:rsidR="00BE01E5" w:rsidRPr="00771883">
        <w:t xml:space="preserve">conduct </w:t>
      </w:r>
      <w:r w:rsidRPr="00771883">
        <w:t xml:space="preserve">of a firm with market power </w:t>
      </w:r>
      <w:r w:rsidR="00BE01E5" w:rsidRPr="00771883">
        <w:t xml:space="preserve">that has the effect </w:t>
      </w:r>
      <w:r w:rsidRPr="00771883">
        <w:t xml:space="preserve">(or purpose) </w:t>
      </w:r>
      <w:r w:rsidR="00BE01E5" w:rsidRPr="00771883">
        <w:t>of substantially lessening competition is too generic, and carries with it the risk of encompassing conduct that should not be prohibited. Monopolisation is a more specific activity than lessening competition</w:t>
      </w:r>
      <w:r w:rsidR="00677F9D">
        <w:t xml:space="preserve"> in a market</w:t>
      </w:r>
      <w:r w:rsidR="00BE01E5" w:rsidRPr="00771883">
        <w:t xml:space="preserve">. Genuine competitive activity can affect competition in other markets, and could even cause other markets to disappear. In short, the </w:t>
      </w:r>
      <w:r w:rsidR="007F4E1E">
        <w:t>HP</w:t>
      </w:r>
      <w:r w:rsidR="00BE01E5" w:rsidRPr="00771883">
        <w:t xml:space="preserve"> proposal lacks a focus on the kinds of conduct that are likely to be anticompetitive.</w:t>
      </w:r>
    </w:p>
    <w:p w14:paraId="6C2E9937" w14:textId="52B8BD4E" w:rsidR="007F4E1E" w:rsidRPr="00771883" w:rsidRDefault="007F4E1E" w:rsidP="00223AF0">
      <w:pPr>
        <w:pStyle w:val="Heading4"/>
        <w:numPr>
          <w:ilvl w:val="0"/>
          <w:numId w:val="0"/>
        </w:numPr>
        <w:ind w:left="862" w:hanging="862"/>
      </w:pPr>
      <w:r>
        <w:t>Conclusion</w:t>
      </w:r>
    </w:p>
    <w:p w14:paraId="1B299CFE" w14:textId="0A308140" w:rsidR="00A952FC" w:rsidRPr="00771883" w:rsidRDefault="007F4E1E" w:rsidP="00A952FC">
      <w:r>
        <w:t>P</w:t>
      </w:r>
      <w:r w:rsidR="00A952FC" w:rsidRPr="00771883">
        <w:t xml:space="preserve">aragraphs (a), (b) and (c) should </w:t>
      </w:r>
      <w:r w:rsidR="00D00C09" w:rsidRPr="00771883">
        <w:t>be retained</w:t>
      </w:r>
      <w:r w:rsidR="00A952FC" w:rsidRPr="00771883">
        <w:t xml:space="preserve"> because:</w:t>
      </w:r>
    </w:p>
    <w:p w14:paraId="26788D6C" w14:textId="77777777" w:rsidR="00A952FC" w:rsidRPr="00771883" w:rsidRDefault="00A952FC" w:rsidP="00B0615F">
      <w:pPr>
        <w:pStyle w:val="ListParagraph"/>
        <w:numPr>
          <w:ilvl w:val="0"/>
          <w:numId w:val="6"/>
        </w:numPr>
        <w:ind w:left="567" w:hanging="425"/>
      </w:pPr>
      <w:r w:rsidRPr="00771883">
        <w:t xml:space="preserve">although insufficient in themselves to differentiate between anticompetitive conduct and competition on the merits, they assist to delineate the kinds of conduct that s46 seeks to prevent </w:t>
      </w:r>
    </w:p>
    <w:p w14:paraId="79D63735" w14:textId="77777777" w:rsidR="00A952FC" w:rsidRPr="00771883" w:rsidRDefault="00A952FC" w:rsidP="00B0615F">
      <w:pPr>
        <w:pStyle w:val="ListParagraph"/>
        <w:numPr>
          <w:ilvl w:val="0"/>
          <w:numId w:val="6"/>
        </w:numPr>
        <w:ind w:left="567" w:hanging="425"/>
      </w:pPr>
      <w:r w:rsidRPr="00771883">
        <w:t xml:space="preserve">they provide greater certainty to businesses about the scope of the section, and </w:t>
      </w:r>
    </w:p>
    <w:p w14:paraId="2A10D754" w14:textId="77777777" w:rsidR="00A952FC" w:rsidRPr="00771883" w:rsidRDefault="00A952FC" w:rsidP="00B0615F">
      <w:pPr>
        <w:pStyle w:val="ListParagraph"/>
        <w:numPr>
          <w:ilvl w:val="0"/>
          <w:numId w:val="6"/>
        </w:numPr>
        <w:ind w:left="567" w:hanging="425"/>
      </w:pPr>
      <w:r w:rsidRPr="00771883">
        <w:t>may assist to better focus issues in litigation.</w:t>
      </w:r>
    </w:p>
    <w:p w14:paraId="6DCBA1B2" w14:textId="0695F433" w:rsidR="00A952FC" w:rsidRPr="00771883" w:rsidRDefault="00A952FC" w:rsidP="00E24F18">
      <w:r w:rsidRPr="00771883">
        <w:t>Unless subparagraphs (a), (b) and (c) are shown to be too narrow, they do not need to be amended.</w:t>
      </w:r>
    </w:p>
    <w:p w14:paraId="380727FE" w14:textId="3CD15BCD" w:rsidR="00A952FC" w:rsidRPr="00771883" w:rsidRDefault="0083792C" w:rsidP="00BA5293">
      <w:pPr>
        <w:pStyle w:val="Heading2"/>
      </w:pPr>
      <w:r w:rsidRPr="00771883">
        <w:t xml:space="preserve">Options </w:t>
      </w:r>
      <w:r w:rsidR="007478F6">
        <w:t>for taking effects into account</w:t>
      </w:r>
    </w:p>
    <w:p w14:paraId="1DF42ED2" w14:textId="516D06C6" w:rsidR="0021434C" w:rsidRPr="00771883" w:rsidRDefault="0021434C" w:rsidP="0021434C">
      <w:r w:rsidRPr="001C2ECA">
        <w:t xml:space="preserve">This section addresses questions </w:t>
      </w:r>
      <w:r w:rsidR="00436F9E" w:rsidRPr="001C2ECA">
        <w:t xml:space="preserve">10 </w:t>
      </w:r>
      <w:r w:rsidRPr="001C2ECA">
        <w:t xml:space="preserve">and </w:t>
      </w:r>
      <w:r w:rsidR="00436F9E" w:rsidRPr="001C2ECA">
        <w:t>7:</w:t>
      </w:r>
      <w:r w:rsidR="00436F9E" w:rsidRPr="00771883">
        <w:rPr>
          <w:i/>
        </w:rPr>
        <w:t xml:space="preserve"> </w:t>
      </w:r>
      <w:r w:rsidRPr="00771883">
        <w:rPr>
          <w:i/>
        </w:rPr>
        <w:t>An alternative to applying a ‘purpose, effect or likely effect’ test could be to limit the test to ‘purpose of substantial lessening competition’. What would be the advantages and disadvantages of such an approach? … could retaining ‘purpose’ alone while amending other elements of the provision be a sufficient test to achieve the policy objectives of reform outlined by the Harper Panel?</w:t>
      </w:r>
    </w:p>
    <w:p w14:paraId="54279C3D" w14:textId="1558197F" w:rsidR="005E7A97" w:rsidRDefault="005E7A97" w:rsidP="00E24F18">
      <w:r>
        <w:t xml:space="preserve">Section 4.1 concluded that “substantially lessening competition” should be included in s46(1) as a qualification to </w:t>
      </w:r>
      <w:r w:rsidRPr="00771883">
        <w:t>subparagraphs (a), (b) and (c)</w:t>
      </w:r>
      <w:r>
        <w:t>, and also that some form of effects assessment is needed. This section considers three alternative formulations of the “effects test”:</w:t>
      </w:r>
    </w:p>
    <w:p w14:paraId="506A33F5" w14:textId="48F482C7" w:rsidR="005E7A97" w:rsidRDefault="005E7A97" w:rsidP="00B0615F">
      <w:pPr>
        <w:pStyle w:val="ListParagraph"/>
        <w:numPr>
          <w:ilvl w:val="0"/>
          <w:numId w:val="11"/>
        </w:numPr>
      </w:pPr>
      <w:r>
        <w:t xml:space="preserve">As proposed by the HP, including terms such as: “has the purpose, </w:t>
      </w:r>
      <w:r w:rsidRPr="006C2664">
        <w:t>or</w:t>
      </w:r>
      <w:r>
        <w:t xml:space="preserve"> would have or be likely to have the effect, of substantially lessening competition”</w:t>
      </w:r>
      <w:r w:rsidR="00CF637F">
        <w:t>.</w:t>
      </w:r>
      <w:r w:rsidR="006C2664" w:rsidRPr="006C2664">
        <w:rPr>
          <w:vertAlign w:val="superscript"/>
        </w:rPr>
        <w:footnoteReference w:id="60"/>
      </w:r>
      <w:r>
        <w:t xml:space="preserve"> </w:t>
      </w:r>
    </w:p>
    <w:p w14:paraId="600749EC" w14:textId="396F4AC6" w:rsidR="006C2664" w:rsidRDefault="006C2664" w:rsidP="00B0615F">
      <w:pPr>
        <w:pStyle w:val="ListParagraph"/>
        <w:numPr>
          <w:ilvl w:val="0"/>
          <w:numId w:val="11"/>
        </w:numPr>
      </w:pPr>
      <w:r>
        <w:t xml:space="preserve">To require both the purpose </w:t>
      </w:r>
      <w:r w:rsidRPr="001C2ECA">
        <w:rPr>
          <w:i/>
        </w:rPr>
        <w:t>and</w:t>
      </w:r>
      <w:r>
        <w:t xml:space="preserve"> effects elements to be proved. That is, to refer to “purpose, </w:t>
      </w:r>
      <w:r w:rsidRPr="006C2664">
        <w:rPr>
          <w:i/>
        </w:rPr>
        <w:t>and</w:t>
      </w:r>
      <w:r>
        <w:t xml:space="preserve"> … effect”</w:t>
      </w:r>
      <w:r w:rsidRPr="00771883">
        <w:t>.</w:t>
      </w:r>
    </w:p>
    <w:p w14:paraId="412164F4" w14:textId="3C2B65F5" w:rsidR="006C2664" w:rsidRDefault="006C2664" w:rsidP="00B0615F">
      <w:pPr>
        <w:pStyle w:val="ListParagraph"/>
        <w:numPr>
          <w:ilvl w:val="0"/>
          <w:numId w:val="11"/>
        </w:numPr>
      </w:pPr>
      <w:r w:rsidRPr="001C2ECA">
        <w:t>To rely on the purpose element</w:t>
      </w:r>
      <w:r>
        <w:t xml:space="preserve"> alone</w:t>
      </w:r>
      <w:r w:rsidRPr="001C2ECA">
        <w:t xml:space="preserve">, </w:t>
      </w:r>
      <w:r>
        <w:t xml:space="preserve">but to provide greater clarity that it can refer to </w:t>
      </w:r>
      <w:r w:rsidRPr="001C2ECA">
        <w:t xml:space="preserve">the objective </w:t>
      </w:r>
      <w:r>
        <w:t xml:space="preserve">or subjective </w:t>
      </w:r>
      <w:r w:rsidRPr="001C2ECA">
        <w:t>purpose of the conduct.</w:t>
      </w:r>
      <w:r w:rsidRPr="001C2ECA">
        <w:rPr>
          <w:sz w:val="20"/>
          <w:szCs w:val="20"/>
        </w:rPr>
        <w:t xml:space="preserve"> </w:t>
      </w:r>
    </w:p>
    <w:p w14:paraId="2AB3462F" w14:textId="5DE30B46" w:rsidR="006C2664" w:rsidRDefault="006C2664" w:rsidP="00E24F18">
      <w:r>
        <w:t xml:space="preserve">These alternatives </w:t>
      </w:r>
      <w:r w:rsidR="00CF637F">
        <w:t>need to be</w:t>
      </w:r>
      <w:r w:rsidR="00B35B72">
        <w:t xml:space="preserve"> consider</w:t>
      </w:r>
      <w:r>
        <w:t>ed within</w:t>
      </w:r>
      <w:r w:rsidR="00B35B72">
        <w:t xml:space="preserve"> the overall balance of the </w:t>
      </w:r>
      <w:r>
        <w:t xml:space="preserve">other changes </w:t>
      </w:r>
      <w:r w:rsidR="00B35B72">
        <w:t xml:space="preserve">proposed </w:t>
      </w:r>
      <w:r w:rsidR="00CF637F">
        <w:t>to s46</w:t>
      </w:r>
      <w:r>
        <w:t>.</w:t>
      </w:r>
    </w:p>
    <w:p w14:paraId="694D5FF6" w14:textId="0BB2604C" w:rsidR="000234BC" w:rsidRDefault="00B35B72" w:rsidP="00B35B72">
      <w:pPr>
        <w:rPr>
          <w:szCs w:val="22"/>
        </w:rPr>
      </w:pPr>
      <w:r w:rsidRPr="00683BA6">
        <w:rPr>
          <w:szCs w:val="22"/>
        </w:rPr>
        <w:t xml:space="preserve">Under the HP proposal, if the plaintiff’s case is based on </w:t>
      </w:r>
      <w:r w:rsidR="00CF637F">
        <w:rPr>
          <w:szCs w:val="22"/>
        </w:rPr>
        <w:t xml:space="preserve">proving </w:t>
      </w:r>
      <w:r w:rsidRPr="00683BA6">
        <w:rPr>
          <w:szCs w:val="22"/>
        </w:rPr>
        <w:t xml:space="preserve">anticompetitive effects, then evidence of anticompetitive purpose would </w:t>
      </w:r>
      <w:r w:rsidR="00063CCC">
        <w:rPr>
          <w:szCs w:val="22"/>
        </w:rPr>
        <w:t xml:space="preserve">be </w:t>
      </w:r>
      <w:r w:rsidRPr="00683BA6">
        <w:rPr>
          <w:szCs w:val="22"/>
        </w:rPr>
        <w:t xml:space="preserve">unnecessary, and defences based on lack of </w:t>
      </w:r>
      <w:r>
        <w:rPr>
          <w:szCs w:val="22"/>
        </w:rPr>
        <w:t xml:space="preserve">anticompetitive </w:t>
      </w:r>
      <w:r w:rsidRPr="00683BA6">
        <w:rPr>
          <w:szCs w:val="22"/>
        </w:rPr>
        <w:t>purpose</w:t>
      </w:r>
      <w:r w:rsidR="000234BC">
        <w:rPr>
          <w:szCs w:val="22"/>
        </w:rPr>
        <w:t xml:space="preserve"> would not be relevant. Although defences based on an alternative efficiency purpose may be weighed within the overall effects,</w:t>
      </w:r>
      <w:r w:rsidRPr="00683BA6">
        <w:rPr>
          <w:szCs w:val="22"/>
        </w:rPr>
        <w:t xml:space="preserve"> </w:t>
      </w:r>
      <w:r w:rsidR="000234BC">
        <w:rPr>
          <w:szCs w:val="22"/>
        </w:rPr>
        <w:t xml:space="preserve">the fact that an efficiency goal was being pursued rather than an anticompetitive purpose would only matter if </w:t>
      </w:r>
      <w:r w:rsidR="00CF637F">
        <w:rPr>
          <w:szCs w:val="22"/>
        </w:rPr>
        <w:t xml:space="preserve">those </w:t>
      </w:r>
      <w:r w:rsidR="000234BC">
        <w:rPr>
          <w:szCs w:val="22"/>
        </w:rPr>
        <w:t>efficiencies outweigh</w:t>
      </w:r>
      <w:r w:rsidR="00CF637F">
        <w:rPr>
          <w:szCs w:val="22"/>
        </w:rPr>
        <w:t>ed</w:t>
      </w:r>
      <w:r w:rsidR="000234BC">
        <w:rPr>
          <w:szCs w:val="22"/>
        </w:rPr>
        <w:t xml:space="preserve"> </w:t>
      </w:r>
      <w:r w:rsidR="00063CCC">
        <w:rPr>
          <w:szCs w:val="22"/>
        </w:rPr>
        <w:t xml:space="preserve">any </w:t>
      </w:r>
      <w:r w:rsidR="000234BC">
        <w:rPr>
          <w:szCs w:val="22"/>
        </w:rPr>
        <w:t>harm to competition and consumers. While in some respects this may seem desirable, there are important risks of:</w:t>
      </w:r>
    </w:p>
    <w:p w14:paraId="6D0C628E" w14:textId="77777777" w:rsidR="000234BC" w:rsidRPr="000234BC" w:rsidRDefault="00B35B72" w:rsidP="00B0615F">
      <w:pPr>
        <w:pStyle w:val="ListParagraph"/>
        <w:numPr>
          <w:ilvl w:val="0"/>
          <w:numId w:val="12"/>
        </w:numPr>
        <w:rPr>
          <w:szCs w:val="22"/>
        </w:rPr>
      </w:pPr>
      <w:r w:rsidRPr="00683BA6">
        <w:t>imposing liability for conduct that has an inadvertent or accidental anticompetitive effect</w:t>
      </w:r>
      <w:r>
        <w:t xml:space="preserve">, which could not reasonably </w:t>
      </w:r>
      <w:r w:rsidR="00363086">
        <w:t xml:space="preserve">have </w:t>
      </w:r>
      <w:r>
        <w:t>be</w:t>
      </w:r>
      <w:r w:rsidR="00363086">
        <w:t>en</w:t>
      </w:r>
      <w:r>
        <w:t xml:space="preserve"> foreseen</w:t>
      </w:r>
    </w:p>
    <w:p w14:paraId="55D8BF36" w14:textId="60EDBAC0" w:rsidR="00B35B72" w:rsidRPr="000234BC" w:rsidRDefault="000234BC" w:rsidP="00B0615F">
      <w:pPr>
        <w:pStyle w:val="ListParagraph"/>
        <w:numPr>
          <w:ilvl w:val="0"/>
          <w:numId w:val="12"/>
        </w:numPr>
        <w:rPr>
          <w:szCs w:val="22"/>
        </w:rPr>
      </w:pPr>
      <w:r>
        <w:t xml:space="preserve">errors due to excessively relying on effects assessments that may be subject to considerable </w:t>
      </w:r>
      <w:r w:rsidR="00251E22">
        <w:t xml:space="preserve">estimation </w:t>
      </w:r>
      <w:r>
        <w:t>error</w:t>
      </w:r>
      <w:r w:rsidR="006D1316">
        <w:t>, especially when those effects are in the future and need to be forecast</w:t>
      </w:r>
      <w:r w:rsidR="00B35B72" w:rsidRPr="00683BA6">
        <w:t>.</w:t>
      </w:r>
      <w:r w:rsidR="00CF637F">
        <w:t xml:space="preserve"> </w:t>
      </w:r>
    </w:p>
    <w:p w14:paraId="5FC6DFBF" w14:textId="4EE4F2D6" w:rsidR="007478F6" w:rsidRDefault="007478F6" w:rsidP="00D74308">
      <w:r w:rsidRPr="00D74308">
        <w:t xml:space="preserve">The risk of litigation that is heavily focussed on effects assessments that are complex and subject to uncertainty and potential </w:t>
      </w:r>
      <w:r w:rsidR="00D74308">
        <w:t xml:space="preserve">for </w:t>
      </w:r>
      <w:r w:rsidRPr="00D74308">
        <w:t xml:space="preserve">error </w:t>
      </w:r>
      <w:r w:rsidR="00D74308" w:rsidRPr="00D74308">
        <w:t>could conceivably give rise to a source of</w:t>
      </w:r>
      <w:r w:rsidRPr="00D74308">
        <w:t xml:space="preserve"> uncertainty for businesses, and might thereby deter vigorous competition on the merits. </w:t>
      </w:r>
      <w:r w:rsidR="00D74308" w:rsidRPr="00D74308">
        <w:t>If so, this would not be consistent with</w:t>
      </w:r>
      <w:r w:rsidRPr="00D74308">
        <w:t xml:space="preserve"> the obj</w:t>
      </w:r>
      <w:r w:rsidR="00D74308">
        <w:t>ect</w:t>
      </w:r>
      <w:r w:rsidRPr="00D74308">
        <w:t xml:space="preserve"> of the legislation.</w:t>
      </w:r>
      <w:r w:rsidR="00CF637F">
        <w:t xml:space="preserve"> </w:t>
      </w:r>
      <w:r w:rsidR="00545877">
        <w:t>O</w:t>
      </w:r>
      <w:r w:rsidR="00CF637F">
        <w:t xml:space="preserve">n the other hand, the risks associated with </w:t>
      </w:r>
      <w:r w:rsidR="00545877">
        <w:t>excessive reli</w:t>
      </w:r>
      <w:r w:rsidR="00236280">
        <w:t>ance on effects estimates alone</w:t>
      </w:r>
      <w:r w:rsidR="00545877">
        <w:t xml:space="preserve"> may cause</w:t>
      </w:r>
      <w:r w:rsidR="00CF637F">
        <w:t xml:space="preserve"> the courts to require very high </w:t>
      </w:r>
      <w:r w:rsidR="00545877">
        <w:t>levels of</w:t>
      </w:r>
      <w:r w:rsidR="00CF637F">
        <w:t xml:space="preserve"> confidence for effects analysis, </w:t>
      </w:r>
      <w:r w:rsidR="00545877">
        <w:t>which</w:t>
      </w:r>
      <w:r w:rsidR="00CF637F">
        <w:t xml:space="preserve"> may be difficult to meet</w:t>
      </w:r>
      <w:r w:rsidR="00545877">
        <w:t>, particularly</w:t>
      </w:r>
      <w:r w:rsidR="00CF637F">
        <w:t xml:space="preserve"> </w:t>
      </w:r>
      <w:r w:rsidR="00545877">
        <w:t>when estimating future effects, and if so,</w:t>
      </w:r>
      <w:r w:rsidR="00CF637F">
        <w:t xml:space="preserve"> little w</w:t>
      </w:r>
      <w:r w:rsidR="00545877">
        <w:t>ould</w:t>
      </w:r>
      <w:r w:rsidR="00CF637F">
        <w:t xml:space="preserve"> </w:t>
      </w:r>
      <w:r w:rsidR="003428BE">
        <w:t>be</w:t>
      </w:r>
      <w:r w:rsidR="00CF637F">
        <w:t xml:space="preserve"> achieved by the amendment.</w:t>
      </w:r>
    </w:p>
    <w:p w14:paraId="5948D21F" w14:textId="218EB2D3" w:rsidR="00251E22" w:rsidRPr="001C2ECA" w:rsidRDefault="000234BC" w:rsidP="00251E22">
      <w:r>
        <w:t xml:space="preserve">The second option, (b), would require </w:t>
      </w:r>
      <w:r w:rsidR="001F35B7" w:rsidRPr="001C2ECA">
        <w:t xml:space="preserve">both purpose and effect </w:t>
      </w:r>
      <w:r>
        <w:t xml:space="preserve">to be assessed, which would assist to deal with </w:t>
      </w:r>
      <w:r w:rsidR="003428BE">
        <w:t xml:space="preserve">the first </w:t>
      </w:r>
      <w:r>
        <w:t>of the foregoing problems</w:t>
      </w:r>
      <w:r w:rsidR="003428BE">
        <w:t xml:space="preserve"> because, as</w:t>
      </w:r>
      <w:r>
        <w:t xml:space="preserve"> previously observed</w:t>
      </w:r>
      <w:r w:rsidR="003428BE">
        <w:t>,</w:t>
      </w:r>
      <w:r>
        <w:t xml:space="preserve"> evidence of</w:t>
      </w:r>
      <w:r w:rsidRPr="00144D24">
        <w:t xml:space="preserve"> </w:t>
      </w:r>
      <w:r w:rsidRPr="000234BC">
        <w:t>objective</w:t>
      </w:r>
      <w:r w:rsidRPr="00144D24">
        <w:t xml:space="preserve"> intent to damage competition </w:t>
      </w:r>
      <w:r w:rsidR="00251E22">
        <w:t xml:space="preserve">tends to </w:t>
      </w:r>
      <w:r w:rsidRPr="00144D24">
        <w:t xml:space="preserve">reduce the </w:t>
      </w:r>
      <w:r w:rsidR="00251E22">
        <w:t xml:space="preserve">chance of false convictions. However, option (b) adds an additional mandatory element into s46(1), which may impose a greater burden on parties and the court in terms of the amount of evidence that needs to be submitted and evaluated in a typical s46 case. </w:t>
      </w:r>
      <w:r w:rsidR="003428BE">
        <w:t>Since th</w:t>
      </w:r>
      <w:r w:rsidR="00442D5A">
        <w:t>e relative amounts of evidence on intent and on the likely effects of</w:t>
      </w:r>
      <w:r w:rsidR="003428BE">
        <w:t xml:space="preserve"> conduct will vary from case to case, a requirement to prove both of those elements may significantly increase the difficulty of achieving convictions.</w:t>
      </w:r>
      <w:r w:rsidR="00251E22">
        <w:t xml:space="preserve"> It</w:t>
      </w:r>
      <w:r w:rsidR="00251E22" w:rsidRPr="001C2ECA">
        <w:t xml:space="preserve"> </w:t>
      </w:r>
      <w:r w:rsidR="003428BE">
        <w:t>may also</w:t>
      </w:r>
      <w:r w:rsidR="003428BE" w:rsidRPr="001C2ECA">
        <w:t xml:space="preserve"> </w:t>
      </w:r>
      <w:r w:rsidR="00251E22" w:rsidRPr="001C2ECA">
        <w:t>increase the cost and delays of litigation.</w:t>
      </w:r>
      <w:r w:rsidR="00251E22">
        <w:t xml:space="preserve"> Recall Hovenkamp’s concerns, quoted earlier, about the costliness of “</w:t>
      </w:r>
      <w:r w:rsidR="00251E22" w:rsidRPr="00271002">
        <w:t>unfocused wide-ranging expeditions into practically everything</w:t>
      </w:r>
      <w:r w:rsidR="00251E22">
        <w:t xml:space="preserve">” under the rule of reason. </w:t>
      </w:r>
      <w:r w:rsidR="003428BE">
        <w:t xml:space="preserve">Although the costliness of trials should be balanced against the considerable potential costs of errors in judicial outcomes, this potential for greater cost and complexity is nevertheless </w:t>
      </w:r>
      <w:r w:rsidR="00D74308">
        <w:t xml:space="preserve">an important issue for consideration. </w:t>
      </w:r>
    </w:p>
    <w:p w14:paraId="46675A9C" w14:textId="5524F895" w:rsidR="00CA63C6" w:rsidRDefault="00240359" w:rsidP="000234BC">
      <w:r>
        <w:t>Under option (c) the effects of the conduct on competition would need to be considered within the assessment of the purpose of the conduct. This op</w:t>
      </w:r>
      <w:r w:rsidR="00DA3046">
        <w:t xml:space="preserve">tion has some similarities to option (a), </w:t>
      </w:r>
      <w:r w:rsidR="00CA63C6">
        <w:t>since in any specific case more or less attention may be given to intent or objective purpose (i.e. the effects reasonably anticipated), however</w:t>
      </w:r>
      <w:r w:rsidR="00DA3046">
        <w:t xml:space="preserve"> both subjective and objective purpose elements would always remain relevant to discovering the ‘purpose’ of the challenged conduct. </w:t>
      </w:r>
      <w:r>
        <w:t>In this respect it is more like option (b)</w:t>
      </w:r>
      <w:r w:rsidR="00CA63C6">
        <w:t>, although with much more flexibility in te</w:t>
      </w:r>
      <w:r w:rsidR="00063CCC">
        <w:t>r</w:t>
      </w:r>
      <w:r w:rsidR="00CA63C6">
        <w:t>ms of the importance that each of those two elements may take on in any given case</w:t>
      </w:r>
      <w:r>
        <w:t xml:space="preserve">. </w:t>
      </w:r>
    </w:p>
    <w:p w14:paraId="423A1337" w14:textId="33E1E189" w:rsidR="00CA63C6" w:rsidRDefault="00CA63C6" w:rsidP="000234BC">
      <w:r>
        <w:t>Option (c) has the following advantages:</w:t>
      </w:r>
    </w:p>
    <w:p w14:paraId="4D8E7846" w14:textId="2522E9D3" w:rsidR="00CA63C6" w:rsidRDefault="00CA63C6" w:rsidP="00FF4DB5">
      <w:pPr>
        <w:pStyle w:val="ListParagraph"/>
        <w:numPr>
          <w:ilvl w:val="0"/>
          <w:numId w:val="15"/>
        </w:numPr>
      </w:pPr>
      <w:r>
        <w:t>B</w:t>
      </w:r>
      <w:r w:rsidR="00D74308">
        <w:t>y combining the assessment of purposes and effects, this approach also has the potential to reduce the risk of penalising conduct with anticompetitive effects that were not, and could not have reaso</w:t>
      </w:r>
      <w:r w:rsidR="0077681B">
        <w:t>nably been, anticipated</w:t>
      </w:r>
      <w:r>
        <w:t>—an advantage relative to option (a)</w:t>
      </w:r>
      <w:r w:rsidR="0077681B">
        <w:t xml:space="preserve">. </w:t>
      </w:r>
      <w:r w:rsidR="006D1316">
        <w:t>This submission has quoted several opinions that suggest both effects and purpose are relevant considerations that should be taken into account in a unilateral monopolisation case. The HP proposal, option (a), may be lacking in this respect, since only one of these elements is required in any given dispute.</w:t>
      </w:r>
    </w:p>
    <w:p w14:paraId="4F0D55D3" w14:textId="281D4D18" w:rsidR="00251E22" w:rsidRDefault="00CA63C6" w:rsidP="00FF4DB5">
      <w:pPr>
        <w:pStyle w:val="ListParagraph"/>
        <w:numPr>
          <w:ilvl w:val="0"/>
          <w:numId w:val="15"/>
        </w:numPr>
      </w:pPr>
      <w:r>
        <w:t>I</w:t>
      </w:r>
      <w:r w:rsidR="0077681B">
        <w:t>t would not be as reliant on effects assessments as wo</w:t>
      </w:r>
      <w:r w:rsidR="00442D5A">
        <w:t>uld litigation under option (a)</w:t>
      </w:r>
      <w:r w:rsidR="0077681B">
        <w:t xml:space="preserve"> </w:t>
      </w:r>
      <w:r w:rsidR="00DA3046">
        <w:t xml:space="preserve">in cases pleaded only on the </w:t>
      </w:r>
      <w:r w:rsidR="0077681B">
        <w:t>effects or likely effects of the conduct</w:t>
      </w:r>
      <w:r w:rsidR="00442D5A">
        <w:t xml:space="preserve">. This may be </w:t>
      </w:r>
      <w:r w:rsidR="00063CCC">
        <w:t xml:space="preserve">an advantage </w:t>
      </w:r>
      <w:r>
        <w:t>when there is corroborative intent evidence</w:t>
      </w:r>
      <w:r w:rsidR="0077681B">
        <w:t xml:space="preserve">. </w:t>
      </w:r>
      <w:r>
        <w:t xml:space="preserve">More generally, </w:t>
      </w:r>
      <w:r w:rsidR="006D1316">
        <w:t>option (c)</w:t>
      </w:r>
      <w:r w:rsidR="0077681B">
        <w:t xml:space="preserve"> may reduce the burden of proof relative to option (a)</w:t>
      </w:r>
      <w:r>
        <w:t>,</w:t>
      </w:r>
      <w:r w:rsidR="0077681B">
        <w:t xml:space="preserve"> because under option (a) it </w:t>
      </w:r>
      <w:r>
        <w:t xml:space="preserve">would be </w:t>
      </w:r>
      <w:r w:rsidR="0077681B">
        <w:t xml:space="preserve">necessary either </w:t>
      </w:r>
      <w:r w:rsidR="00240359">
        <w:t xml:space="preserve">to </w:t>
      </w:r>
      <w:r w:rsidR="0077681B">
        <w:t xml:space="preserve">prove the purpose, or to prove the likely effect, </w:t>
      </w:r>
      <w:r w:rsidR="006D1316">
        <w:t xml:space="preserve">since </w:t>
      </w:r>
      <w:r w:rsidR="0077681B">
        <w:t xml:space="preserve">both are separate arms. Under option (c) the evidence of purpose and effect </w:t>
      </w:r>
      <w:r w:rsidR="006D1316">
        <w:t>w</w:t>
      </w:r>
      <w:r>
        <w:t xml:space="preserve">ould </w:t>
      </w:r>
      <w:r w:rsidR="0077681B">
        <w:t xml:space="preserve">be taken together to form an overall assessment </w:t>
      </w:r>
      <w:r w:rsidR="00DA3046">
        <w:t>of the objective purpose of the conduct</w:t>
      </w:r>
      <w:r w:rsidR="0077681B">
        <w:t>.</w:t>
      </w:r>
      <w:r w:rsidR="00DA3046">
        <w:t xml:space="preserve"> </w:t>
      </w:r>
    </w:p>
    <w:p w14:paraId="51976DB4" w14:textId="29D19497" w:rsidR="006D1316" w:rsidRDefault="006D1316" w:rsidP="00FF4DB5">
      <w:pPr>
        <w:pStyle w:val="ListParagraph"/>
        <w:numPr>
          <w:ilvl w:val="0"/>
          <w:numId w:val="15"/>
        </w:numPr>
      </w:pPr>
      <w:r>
        <w:t>Option (c) represents a more incremental change to s46 compared to the other options.</w:t>
      </w:r>
      <w:r w:rsidR="00D83124" w:rsidRPr="00D83124">
        <w:t xml:space="preserve"> </w:t>
      </w:r>
      <w:r w:rsidR="00D83124">
        <w:t>When policy options are complex and outcomes are uncertain with potentially large costs of errors,</w:t>
      </w:r>
      <w:r w:rsidR="00284CA1">
        <w:t xml:space="preserve"> there is much to be said for making smaller changes and taking a </w:t>
      </w:r>
      <w:r w:rsidR="008C0DCF">
        <w:t>stepwise</w:t>
      </w:r>
      <w:r w:rsidR="00F905AC">
        <w:t xml:space="preserve"> approach</w:t>
      </w:r>
      <w:r w:rsidR="008C0DCF">
        <w:t xml:space="preserve"> to policy change</w:t>
      </w:r>
      <w:r w:rsidR="00D83124" w:rsidRPr="00D83124">
        <w:t>.</w:t>
      </w:r>
      <w:r w:rsidR="00F905AC">
        <w:rPr>
          <w:rStyle w:val="FootnoteReference"/>
        </w:rPr>
        <w:footnoteReference w:id="61"/>
      </w:r>
    </w:p>
    <w:p w14:paraId="3AADCB9F" w14:textId="795EF03C" w:rsidR="00B0615F" w:rsidRDefault="008C0DCF" w:rsidP="00D8144B">
      <w:r>
        <w:t xml:space="preserve">Although option (c) has several benefits relative to the other options, </w:t>
      </w:r>
      <w:r w:rsidR="00D8144B">
        <w:t>it d</w:t>
      </w:r>
      <w:r w:rsidR="00276065">
        <w:t>o</w:t>
      </w:r>
      <w:r w:rsidR="00D8144B">
        <w:t xml:space="preserve">es rely on the courts giving due attention to the </w:t>
      </w:r>
      <w:r w:rsidR="00276065">
        <w:t xml:space="preserve">effects of challenged conduct within an inquiry into </w:t>
      </w:r>
      <w:r>
        <w:t xml:space="preserve">the </w:t>
      </w:r>
      <w:r w:rsidR="00D8144B">
        <w:t>objective purpose</w:t>
      </w:r>
      <w:r>
        <w:t xml:space="preserve"> of that conduct</w:t>
      </w:r>
      <w:r w:rsidR="00D8144B">
        <w:t>.</w:t>
      </w:r>
    </w:p>
    <w:p w14:paraId="7F978491" w14:textId="050348EE" w:rsidR="00B0615F" w:rsidRDefault="00E41E8B" w:rsidP="00E41E8B">
      <w:pPr>
        <w:pStyle w:val="Heading4"/>
        <w:numPr>
          <w:ilvl w:val="0"/>
          <w:numId w:val="0"/>
        </w:numPr>
        <w:ind w:left="862" w:hanging="862"/>
      </w:pPr>
      <w:r w:rsidRPr="00E41E8B">
        <w:t>Conclusion</w:t>
      </w:r>
    </w:p>
    <w:p w14:paraId="7317B00E" w14:textId="5DA71BFC" w:rsidR="003414F8" w:rsidRPr="00240359" w:rsidRDefault="00E41E8B" w:rsidP="00E24F18">
      <w:r>
        <w:t xml:space="preserve">How some </w:t>
      </w:r>
      <w:r w:rsidR="003414F8">
        <w:t>kind</w:t>
      </w:r>
      <w:r>
        <w:t xml:space="preserve"> of effects test should be implemented in s46 is a difficult question.</w:t>
      </w:r>
      <w:r w:rsidR="00240359">
        <w:t xml:space="preserve"> </w:t>
      </w:r>
      <w:r>
        <w:t xml:space="preserve">Here an alternative to the HP proposal has been formulated </w:t>
      </w:r>
      <w:r w:rsidR="003414F8">
        <w:t>which</w:t>
      </w:r>
      <w:r>
        <w:t xml:space="preserve"> would</w:t>
      </w:r>
      <w:r w:rsidRPr="00E41E8B">
        <w:t xml:space="preserve"> rely on the purpose element alone, but </w:t>
      </w:r>
      <w:r>
        <w:t>would</w:t>
      </w:r>
      <w:r w:rsidRPr="00E41E8B">
        <w:t xml:space="preserve"> provide greater clarity that </w:t>
      </w:r>
      <w:r>
        <w:t>‘purpose’</w:t>
      </w:r>
      <w:r w:rsidRPr="00E41E8B">
        <w:t xml:space="preserve"> can refer to the objective purpose of the conduct</w:t>
      </w:r>
      <w:r>
        <w:t xml:space="preserve">. Under this alternative option, subsection (7) would be amended to </w:t>
      </w:r>
      <w:r w:rsidR="003414F8">
        <w:t>include an explicit</w:t>
      </w:r>
      <w:r>
        <w:t xml:space="preserve"> objective purpose test </w:t>
      </w:r>
      <w:r w:rsidR="003414F8">
        <w:t>incorporating a consideration of the reasonably anticipated effects or likely effects of the conduct on competition</w:t>
      </w:r>
      <w:r w:rsidRPr="00E41E8B">
        <w:t>.</w:t>
      </w:r>
      <w:r w:rsidR="003414F8">
        <w:t xml:space="preserve"> The courts would retain flexibility in evaluating the purpose of the conduct from subjective and objective evidence. In the remainder of this submission, this option for incorporating an effects test is put forward as the proposed option.</w:t>
      </w:r>
    </w:p>
    <w:p w14:paraId="1AC821CD" w14:textId="474EBA9D" w:rsidR="009C7CBC" w:rsidRPr="00771883" w:rsidRDefault="009C7CBC" w:rsidP="009C7CBC">
      <w:pPr>
        <w:pStyle w:val="Heading2"/>
      </w:pPr>
      <w:r w:rsidRPr="00771883">
        <w:t>Proposed subsection 46(2)</w:t>
      </w:r>
      <w:r w:rsidR="00276065">
        <w:t xml:space="preserve"> </w:t>
      </w:r>
    </w:p>
    <w:p w14:paraId="7A3D731A" w14:textId="5EA9B9C4" w:rsidR="0021434C" w:rsidRPr="00771883" w:rsidRDefault="0021434C" w:rsidP="00E24F18">
      <w:pPr>
        <w:rPr>
          <w:i/>
        </w:rPr>
      </w:pPr>
      <w:r w:rsidRPr="00442D5A">
        <w:t xml:space="preserve">This section addresses question </w:t>
      </w:r>
      <w:r w:rsidR="00436F9E" w:rsidRPr="00442D5A">
        <w:t>12 in part:</w:t>
      </w:r>
      <w:r w:rsidR="00436F9E" w:rsidRPr="00771883">
        <w:rPr>
          <w:i/>
        </w:rPr>
        <w:t xml:space="preserve"> </w:t>
      </w:r>
      <w:r w:rsidRPr="00771883">
        <w:rPr>
          <w:i/>
        </w:rPr>
        <w:t>Would establishing mandatory factors the courts must consider (such as the pro- and anti-competitive effects of the conduct) reduce uncertainty for business?</w:t>
      </w:r>
    </w:p>
    <w:p w14:paraId="0D1CCE2F" w14:textId="3468B60A" w:rsidR="00042F59" w:rsidRDefault="009C7CBC" w:rsidP="00E24F18">
      <w:r w:rsidRPr="00771883">
        <w:t xml:space="preserve">The Harper Panel’s proposed s46(2) requires courts, when assessing whether specific conduct has the purpose or the effect or likely effect of substantially lessening competition </w:t>
      </w:r>
      <w:r w:rsidR="00042F59">
        <w:t xml:space="preserve">(SLC) </w:t>
      </w:r>
      <w:r w:rsidR="006B20D3" w:rsidRPr="00771883">
        <w:t xml:space="preserve">under s46 </w:t>
      </w:r>
      <w:r w:rsidRPr="00771883">
        <w:t xml:space="preserve">to have </w:t>
      </w:r>
      <w:r w:rsidR="00436F9E">
        <w:t xml:space="preserve">explicit </w:t>
      </w:r>
      <w:r w:rsidRPr="00771883">
        <w:t xml:space="preserve">regard to the balance of pro-competitive and anti-competitive effects. </w:t>
      </w:r>
      <w:r w:rsidR="00436F9E">
        <w:t xml:space="preserve">This proposed provision </w:t>
      </w:r>
      <w:r w:rsidR="0021434C" w:rsidRPr="00771883">
        <w:t xml:space="preserve">would be helpful to </w:t>
      </w:r>
      <w:r w:rsidR="006B20D3" w:rsidRPr="00771883">
        <w:t xml:space="preserve">the courts </w:t>
      </w:r>
      <w:r w:rsidR="0021434C" w:rsidRPr="00771883">
        <w:t xml:space="preserve">and to litigants </w:t>
      </w:r>
      <w:r w:rsidR="006B20D3" w:rsidRPr="00771883">
        <w:t>by</w:t>
      </w:r>
      <w:r w:rsidRPr="00771883">
        <w:t xml:space="preserve"> elaborat</w:t>
      </w:r>
      <w:r w:rsidR="006B20D3" w:rsidRPr="00771883">
        <w:t>ing</w:t>
      </w:r>
      <w:r w:rsidRPr="00771883">
        <w:t xml:space="preserve"> on what is required as part of </w:t>
      </w:r>
      <w:r w:rsidR="006B20D3" w:rsidRPr="00771883">
        <w:t>a ‘substantially lessening competition test’</w:t>
      </w:r>
      <w:r w:rsidRPr="00771883">
        <w:t xml:space="preserve">. </w:t>
      </w:r>
      <w:r w:rsidR="00042F59">
        <w:t>It is also broadly consistent with the U.S. rule of reason test.</w:t>
      </w:r>
    </w:p>
    <w:p w14:paraId="05FC084C" w14:textId="5450207C" w:rsidR="00276065" w:rsidRDefault="00276065" w:rsidP="00E24F18">
      <w:r>
        <w:t>That said, there remains ambiguity in the substantially lessening competition test. There are two different counterfactuals that could potentially be used in the test:</w:t>
      </w:r>
    </w:p>
    <w:p w14:paraId="433B4844" w14:textId="23699D91" w:rsidR="00276065" w:rsidRDefault="00276065" w:rsidP="00276065">
      <w:pPr>
        <w:pStyle w:val="ListParagraph"/>
        <w:numPr>
          <w:ilvl w:val="0"/>
          <w:numId w:val="14"/>
        </w:numPr>
      </w:pPr>
      <w:r>
        <w:t>the state of competition immediately before the conduct occurred, or</w:t>
      </w:r>
    </w:p>
    <w:p w14:paraId="1FCD4266" w14:textId="44008C11" w:rsidR="00276065" w:rsidRDefault="00276065" w:rsidP="00276065">
      <w:pPr>
        <w:pStyle w:val="ListParagraph"/>
        <w:numPr>
          <w:ilvl w:val="0"/>
          <w:numId w:val="14"/>
        </w:numPr>
      </w:pPr>
      <w:r>
        <w:t>the state of competition that would likely have prevailed in the absence of the conduct.</w:t>
      </w:r>
    </w:p>
    <w:p w14:paraId="722E8322" w14:textId="053CB50B" w:rsidR="00436F9E" w:rsidRDefault="00276065" w:rsidP="00E24F18">
      <w:r>
        <w:t xml:space="preserve">The first of these two counterfactuals </w:t>
      </w:r>
      <w:r w:rsidR="00063CCC">
        <w:t>would be</w:t>
      </w:r>
      <w:r>
        <w:t xml:space="preserve"> inadequate in the context of a monopolisation provision, because conduct aimed at maintaining market power, for example by preventing competitive entry, would not lessen competition compared to the situation before the conduct occurred. The second counterfactual is the one that should be applied. However, this is not sufficiently clear in the HP proposal. If the courts were to adopt the first counterfactual, this would have the unintended consequence of greatly narrowing the application of s46. To avoid this risk, it </w:t>
      </w:r>
      <w:r w:rsidR="00063CCC">
        <w:t>may be preferable</w:t>
      </w:r>
      <w:r>
        <w:t xml:space="preserve"> to clarify the counterfactual against which the substantial lessening of competition is to be assessed. </w:t>
      </w:r>
    </w:p>
    <w:p w14:paraId="5B91C01F" w14:textId="77777777" w:rsidR="00436F9E" w:rsidRDefault="00436F9E" w:rsidP="00223AF0">
      <w:pPr>
        <w:pStyle w:val="Heading4"/>
        <w:numPr>
          <w:ilvl w:val="0"/>
          <w:numId w:val="0"/>
        </w:numPr>
        <w:ind w:left="862" w:hanging="862"/>
      </w:pPr>
      <w:r>
        <w:t>Conclusion</w:t>
      </w:r>
    </w:p>
    <w:p w14:paraId="6B24BAA7" w14:textId="6D086711" w:rsidR="00A952FC" w:rsidRDefault="00436F9E" w:rsidP="00E24F18">
      <w:r>
        <w:t>The proposed s46(2)</w:t>
      </w:r>
      <w:r w:rsidR="00042F59">
        <w:t>, which provides guidance in relation to carrying out SLC tests,</w:t>
      </w:r>
      <w:r>
        <w:t xml:space="preserve"> </w:t>
      </w:r>
      <w:r w:rsidR="008F1B9B">
        <w:t xml:space="preserve">is supported. However, </w:t>
      </w:r>
      <w:r w:rsidR="00E41E8B">
        <w:t xml:space="preserve">it should be revised to clarify that a substantial lessening of competition is to be determined by comparing </w:t>
      </w:r>
      <w:r w:rsidR="00E41E8B" w:rsidRPr="00E41E8B">
        <w:t xml:space="preserve">the likely state of competition following the conduct </w:t>
      </w:r>
      <w:r w:rsidR="00E41E8B">
        <w:t>against</w:t>
      </w:r>
      <w:r w:rsidR="00E41E8B" w:rsidRPr="00E41E8B">
        <w:t xml:space="preserve"> the likely state of competition absent the conduct.</w:t>
      </w:r>
      <w:r w:rsidR="009C7CBC" w:rsidRPr="00771883">
        <w:t xml:space="preserve"> </w:t>
      </w:r>
    </w:p>
    <w:p w14:paraId="03BB9782" w14:textId="5FD263B7" w:rsidR="000F5B1B" w:rsidRDefault="000F5B1B" w:rsidP="000F5B1B">
      <w:pPr>
        <w:pStyle w:val="Heading2"/>
      </w:pPr>
      <w:r>
        <w:t>Attempt</w:t>
      </w:r>
      <w:r w:rsidR="00065F27">
        <w:t>ing</w:t>
      </w:r>
      <w:r>
        <w:t xml:space="preserve"> to Monopolise</w:t>
      </w:r>
    </w:p>
    <w:p w14:paraId="59A56372" w14:textId="11534A92" w:rsidR="00EC3BB0" w:rsidRDefault="000F5B1B" w:rsidP="00E24F18">
      <w:r w:rsidRPr="00923EF9">
        <w:t xml:space="preserve">Unlike its U.S. counterpart, s46 </w:t>
      </w:r>
      <w:r w:rsidR="00EC3BB0">
        <w:t>may</w:t>
      </w:r>
      <w:r w:rsidRPr="00923EF9">
        <w:t xml:space="preserve"> not </w:t>
      </w:r>
      <w:r w:rsidR="00EC3BB0">
        <w:t>necessarily</w:t>
      </w:r>
      <w:r w:rsidRPr="00923EF9">
        <w:t xml:space="preserve"> appl</w:t>
      </w:r>
      <w:r w:rsidR="00EC3BB0">
        <w:t>y</w:t>
      </w:r>
      <w:r w:rsidR="00A57487">
        <w:t xml:space="preserve"> to anti</w:t>
      </w:r>
      <w:r w:rsidRPr="00923EF9">
        <w:t>competitive conduct designed to confer market power</w:t>
      </w:r>
      <w:r w:rsidR="00063CCC">
        <w:t>,</w:t>
      </w:r>
      <w:r w:rsidR="00436F9E">
        <w:t xml:space="preserve"> </w:t>
      </w:r>
      <w:r w:rsidR="00923EF9">
        <w:t xml:space="preserve">engaged in </w:t>
      </w:r>
      <w:r w:rsidRPr="00923EF9">
        <w:t xml:space="preserve">by a firm not initially </w:t>
      </w:r>
      <w:r w:rsidR="00436F9E">
        <w:t>possessing</w:t>
      </w:r>
      <w:r w:rsidRPr="00923EF9">
        <w:t xml:space="preserve"> a substantial degree of market power</w:t>
      </w:r>
      <w:r w:rsidR="00065F27">
        <w:t>—or at least no an ability to raise prices above the competitive level</w:t>
      </w:r>
      <w:r w:rsidRPr="00923EF9">
        <w:t>.</w:t>
      </w:r>
      <w:r w:rsidR="00923EF9">
        <w:t xml:space="preserve"> In the U.S., such conduct is classed as attempting to monopolise, and is </w:t>
      </w:r>
      <w:r w:rsidR="00EC3BB0">
        <w:t>prohibited</w:t>
      </w:r>
      <w:r w:rsidR="00923EF9">
        <w:t xml:space="preserve"> if there is a specific purpose to monopolise and a dangerous probability of acquiring substantial market power.</w:t>
      </w:r>
      <w:r w:rsidR="00EC3BB0">
        <w:t xml:space="preserve"> </w:t>
      </w:r>
      <w:r w:rsidR="00436F9E">
        <w:t>It</w:t>
      </w:r>
      <w:r w:rsidR="00AB7C52" w:rsidRPr="00AB7C52">
        <w:t xml:space="preserve"> is at least conceivable that</w:t>
      </w:r>
      <w:r w:rsidRPr="00AB7C52">
        <w:t xml:space="preserve"> anticompetitive conduct </w:t>
      </w:r>
      <w:r w:rsidR="00AB7C52" w:rsidRPr="00AB7C52">
        <w:t>could</w:t>
      </w:r>
      <w:r w:rsidRPr="00AB7C52">
        <w:t xml:space="preserve"> be carried ou</w:t>
      </w:r>
      <w:r w:rsidR="00EC3BB0">
        <w:t>t</w:t>
      </w:r>
      <w:r w:rsidRPr="00AB7C52">
        <w:t xml:space="preserve"> by a firm not </w:t>
      </w:r>
      <w:r w:rsidR="00EC3BB0">
        <w:t>initially possessing</w:t>
      </w:r>
      <w:r w:rsidR="00AB7C52" w:rsidRPr="00AB7C52">
        <w:t xml:space="preserve"> substantial market power</w:t>
      </w:r>
      <w:r w:rsidR="00065F27">
        <w:t>—at least in terms of pricing—b</w:t>
      </w:r>
      <w:r w:rsidR="00EC3BB0">
        <w:t xml:space="preserve">ut gaining </w:t>
      </w:r>
      <w:r w:rsidR="00065F27">
        <w:t xml:space="preserve">power </w:t>
      </w:r>
      <w:r w:rsidR="00EC3BB0">
        <w:t>as a result of the conduct.</w:t>
      </w:r>
    </w:p>
    <w:p w14:paraId="2F926AC0" w14:textId="333D3D27" w:rsidR="00AB7C52" w:rsidRPr="00AB7C52" w:rsidRDefault="00EC3BB0" w:rsidP="00E24F18">
      <w:r>
        <w:t>It is uncertain whether s46 extends to such circumstances. For example, i</w:t>
      </w:r>
      <w:r w:rsidR="00AB7C52">
        <w:t xml:space="preserve">n </w:t>
      </w:r>
      <w:r w:rsidR="00AB7C52" w:rsidRPr="00AB7C52">
        <w:rPr>
          <w:i/>
        </w:rPr>
        <w:t>Boral</w:t>
      </w:r>
      <w:r w:rsidR="00AB7C52">
        <w:t>, McHugh J observed:</w:t>
      </w:r>
    </w:p>
    <w:p w14:paraId="2F838A7C" w14:textId="67C63E0C" w:rsidR="00AB7C52" w:rsidRDefault="00AB7C52" w:rsidP="00AB7C52">
      <w:pPr>
        <w:pStyle w:val="Quote"/>
      </w:pPr>
      <w:r w:rsidRPr="00AB7C52">
        <w:t>Conduct that is</w:t>
      </w:r>
      <w:r>
        <w:t xml:space="preserve"> </w:t>
      </w:r>
      <w:r w:rsidRPr="00AB7C52">
        <w:t>predatory in economic terms and anti-competitive may not be captured by s46 simply because the predator does not</w:t>
      </w:r>
      <w:r>
        <w:t xml:space="preserve"> </w:t>
      </w:r>
      <w:r w:rsidRPr="00AB7C52">
        <w:t>have substantial market power when it sets out on its course to deter or injure competitors</w:t>
      </w:r>
      <w:r>
        <w:t>.</w:t>
      </w:r>
      <w:r w:rsidR="00647A56">
        <w:rPr>
          <w:rStyle w:val="FootnoteReference"/>
        </w:rPr>
        <w:footnoteReference w:id="62"/>
      </w:r>
      <w:r>
        <w:t xml:space="preserve"> </w:t>
      </w:r>
    </w:p>
    <w:p w14:paraId="40B8A064" w14:textId="022AD85B" w:rsidR="00F01761" w:rsidRDefault="00EC3BB0" w:rsidP="00F01761">
      <w:r>
        <w:t>On the other hand, i</w:t>
      </w:r>
      <w:r w:rsidR="00F01761">
        <w:t xml:space="preserve">n </w:t>
      </w:r>
      <w:r w:rsidR="00F01761" w:rsidRPr="00F01761">
        <w:rPr>
          <w:i/>
        </w:rPr>
        <w:t xml:space="preserve">QWI </w:t>
      </w:r>
      <w:r w:rsidR="00F01761">
        <w:t>the High Court noted that an ability to anti-competitively exclude competitors m</w:t>
      </w:r>
      <w:r w:rsidR="00647A56">
        <w:t>ight</w:t>
      </w:r>
      <w:r w:rsidR="00F01761">
        <w:t xml:space="preserve"> itself be indicative of market power:</w:t>
      </w:r>
    </w:p>
    <w:p w14:paraId="05EDF499" w14:textId="44F0DB91" w:rsidR="00F01761" w:rsidRDefault="00F01761" w:rsidP="00F01761">
      <w:pPr>
        <w:pStyle w:val="Quote"/>
      </w:pPr>
      <w:r>
        <w:t>The term ‘market power’ is ordinarily taken to be a reference to the power to raise price by restricting output in a sustainable manner … But market power has aspects other than influence upon the market price. It may be manifested by practices directed at excluding competition such as exclusive dealing, tying arrangements, predatory pricing or refusal to deal … The ability to engage persistently in these practices may be as indicative of market power as the ability to influence prices …</w:t>
      </w:r>
      <w:r w:rsidR="00EC3BB0">
        <w:t xml:space="preserve"> </w:t>
      </w:r>
      <w:r w:rsidR="00647A56">
        <w:rPr>
          <w:rStyle w:val="FootnoteReference"/>
        </w:rPr>
        <w:footnoteReference w:id="63"/>
      </w:r>
    </w:p>
    <w:p w14:paraId="0ED6A175" w14:textId="2BDEC509" w:rsidR="00F01761" w:rsidRDefault="00065F27" w:rsidP="00F01761">
      <w:r>
        <w:t>I</w:t>
      </w:r>
      <w:r w:rsidR="00F01761">
        <w:t xml:space="preserve">n </w:t>
      </w:r>
      <w:r w:rsidR="00F01761" w:rsidRPr="00F01761">
        <w:rPr>
          <w:i/>
        </w:rPr>
        <w:t>Boral</w:t>
      </w:r>
      <w:r w:rsidR="001B7B1F">
        <w:t>,</w:t>
      </w:r>
      <w:r w:rsidR="00F01761">
        <w:t xml:space="preserve"> </w:t>
      </w:r>
      <w:r w:rsidR="001B7B1F" w:rsidRPr="001B7B1F">
        <w:t>Gleeson CJ and Callinan J</w:t>
      </w:r>
      <w:r w:rsidR="001B7B1F">
        <w:t xml:space="preserve"> observed</w:t>
      </w:r>
      <w:r w:rsidR="00F01761">
        <w:t xml:space="preserve"> that the success of the anticompetitive conduct, in terms of attaining the ability to raise prices, </w:t>
      </w:r>
      <w:r w:rsidR="00436F9E">
        <w:t xml:space="preserve">can </w:t>
      </w:r>
      <w:r w:rsidR="00F01761">
        <w:t xml:space="preserve">also be indicative of market power. Specifically, </w:t>
      </w:r>
      <w:r w:rsidR="00436F9E">
        <w:t xml:space="preserve">they </w:t>
      </w:r>
      <w:r w:rsidR="00F01761">
        <w:t>observed</w:t>
      </w:r>
      <w:r w:rsidR="00436F9E">
        <w:t>,</w:t>
      </w:r>
      <w:r w:rsidR="00F01761">
        <w:t xml:space="preserve"> in the predatory pricing context, </w:t>
      </w:r>
      <w:r w:rsidR="00436F9E">
        <w:t xml:space="preserve">that </w:t>
      </w:r>
      <w:r w:rsidR="00F01761">
        <w:t>the possibility of recoupment “may be of factual importance” to market power in a given case. For example:</w:t>
      </w:r>
    </w:p>
    <w:p w14:paraId="08B47401" w14:textId="184E1BF8" w:rsidR="00F01761" w:rsidRDefault="00F01761" w:rsidP="00F01761">
      <w:pPr>
        <w:pStyle w:val="Quote"/>
      </w:pPr>
      <w:r w:rsidRPr="00F01761">
        <w:t>A finding that [the defendant] expected to be in a position, at the end of the price war, to recoup its losses by charging prices above a competitive level may have assisted a conclusion that it had a substantial degree of market power, depending on the other evidence.</w:t>
      </w:r>
      <w:r w:rsidR="00647A56">
        <w:rPr>
          <w:rStyle w:val="FootnoteReference"/>
        </w:rPr>
        <w:footnoteReference w:id="64"/>
      </w:r>
    </w:p>
    <w:p w14:paraId="75776F36" w14:textId="5AF6AC43" w:rsidR="00F01761" w:rsidRDefault="00F01761" w:rsidP="00E24F18">
      <w:r>
        <w:t xml:space="preserve">The same </w:t>
      </w:r>
      <w:r w:rsidR="008F1B9B">
        <w:t xml:space="preserve">principle </w:t>
      </w:r>
      <w:r w:rsidR="00436F9E">
        <w:t>may</w:t>
      </w:r>
      <w:r>
        <w:t xml:space="preserve"> apply to other forms of exclusionary conduct that, once successful in removing rivals, enabled the corporation responsible for that conduct to engage in </w:t>
      </w:r>
      <w:r w:rsidR="00436F9E">
        <w:t xml:space="preserve">monopoly </w:t>
      </w:r>
      <w:r>
        <w:t xml:space="preserve">pricing. </w:t>
      </w:r>
      <w:r w:rsidR="008F1B9B">
        <w:t>This</w:t>
      </w:r>
      <w:r>
        <w:t xml:space="preserve"> </w:t>
      </w:r>
      <w:r w:rsidR="00436F9E">
        <w:t>raise</w:t>
      </w:r>
      <w:r w:rsidR="008F1B9B">
        <w:t>s</w:t>
      </w:r>
      <w:r w:rsidR="00436F9E">
        <w:t xml:space="preserve"> the possibility</w:t>
      </w:r>
      <w:r>
        <w:t xml:space="preserve"> that market power, for the purposes of s46, need not necessarily be confined to the power of the corporation p</w:t>
      </w:r>
      <w:r w:rsidR="00A57487">
        <w:t>rior to engaging in the conduct. T</w:t>
      </w:r>
      <w:r>
        <w:t xml:space="preserve">he ability to undertake exclusionary conduct and its success </w:t>
      </w:r>
      <w:r w:rsidR="00244D46">
        <w:t xml:space="preserve">or prospective success </w:t>
      </w:r>
      <w:r>
        <w:t>in reducing the firm’s pricing constraints, may also be relevant to an assessment of market power.</w:t>
      </w:r>
    </w:p>
    <w:p w14:paraId="596F86EA" w14:textId="2697ACB4" w:rsidR="00436F9E" w:rsidRDefault="00436F9E" w:rsidP="00223AF0">
      <w:pPr>
        <w:pStyle w:val="Heading4"/>
        <w:numPr>
          <w:ilvl w:val="0"/>
          <w:numId w:val="0"/>
        </w:numPr>
        <w:ind w:left="862" w:hanging="862"/>
      </w:pPr>
      <w:r>
        <w:t>Conclusion</w:t>
      </w:r>
    </w:p>
    <w:p w14:paraId="1E070850" w14:textId="196CE612" w:rsidR="00F01761" w:rsidRPr="00AB7C52" w:rsidRDefault="00436F9E" w:rsidP="00E24F18">
      <w:r>
        <w:t>I</w:t>
      </w:r>
      <w:r w:rsidR="001B7B1F">
        <w:t xml:space="preserve">t is not certain at this stage that s46 would </w:t>
      </w:r>
      <w:r>
        <w:t>not apply</w:t>
      </w:r>
      <w:r w:rsidR="00065F27">
        <w:t xml:space="preserve"> to conduct with proscribed purposes that would give rise </w:t>
      </w:r>
      <w:r w:rsidR="00EC3BB0" w:rsidRPr="000D32FF">
        <w:t xml:space="preserve">a dangerous likelihood that </w:t>
      </w:r>
      <w:r w:rsidR="00065F27">
        <w:t xml:space="preserve">the party engaging in the conduct would acquire </w:t>
      </w:r>
      <w:r>
        <w:t xml:space="preserve">the </w:t>
      </w:r>
      <w:r w:rsidR="00065F27">
        <w:t xml:space="preserve">ability to engage in </w:t>
      </w:r>
      <w:r>
        <w:t xml:space="preserve">monopoly </w:t>
      </w:r>
      <w:r w:rsidR="00065F27">
        <w:t>pricing</w:t>
      </w:r>
      <w:r>
        <w:t xml:space="preserve"> afterwards</w:t>
      </w:r>
      <w:r w:rsidR="00EC3BB0" w:rsidRPr="000D32FF">
        <w:t>.</w:t>
      </w:r>
      <w:r w:rsidR="00065F27">
        <w:t xml:space="preserve"> </w:t>
      </w:r>
      <w:r>
        <w:t xml:space="preserve">In light of this uncertainty, there does not appear to be a compelling basis for making amendments to s46 to address the issue of “attempting” to monopolise. </w:t>
      </w:r>
    </w:p>
    <w:p w14:paraId="11563E50" w14:textId="01C2FC69" w:rsidR="00984632" w:rsidRPr="00771883" w:rsidRDefault="00436F9E" w:rsidP="00A242CE">
      <w:pPr>
        <w:pStyle w:val="Heading1"/>
      </w:pPr>
      <w:r>
        <w:t>Summary of Recommended</w:t>
      </w:r>
      <w:r w:rsidRPr="00771883">
        <w:t xml:space="preserve"> </w:t>
      </w:r>
      <w:r w:rsidR="00A242CE" w:rsidRPr="00771883">
        <w:t>Amendment</w:t>
      </w:r>
      <w:r w:rsidR="00FD7934">
        <w:t>s</w:t>
      </w:r>
    </w:p>
    <w:p w14:paraId="34A14CA5" w14:textId="1385EAD1" w:rsidR="00984632" w:rsidRDefault="007B2810" w:rsidP="007B2810">
      <w:pPr>
        <w:rPr>
          <w:i/>
        </w:rPr>
      </w:pPr>
      <w:r w:rsidRPr="00771883">
        <w:t xml:space="preserve">This section addresses question 15. </w:t>
      </w:r>
      <w:r w:rsidRPr="00771883">
        <w:rPr>
          <w:i/>
        </w:rPr>
        <w:t>Are there any other alternative amendments to the Harper Panel’s proposed provision that would be more effective than those canvassed in the Panel’s proposal?</w:t>
      </w:r>
    </w:p>
    <w:p w14:paraId="654879DD" w14:textId="2878040E" w:rsidR="005A034E" w:rsidRPr="00223AF0" w:rsidRDefault="005A034E" w:rsidP="007B2810">
      <w:r>
        <w:t>This section summarises the conclusions of the previous sections in terms of specific drafting suggestions.</w:t>
      </w:r>
    </w:p>
    <w:p w14:paraId="16DDEDBD" w14:textId="1F404EBA" w:rsidR="007D1858" w:rsidRDefault="00436F9E" w:rsidP="00B0615F">
      <w:pPr>
        <w:pStyle w:val="ListParagraph"/>
        <w:numPr>
          <w:ilvl w:val="0"/>
          <w:numId w:val="9"/>
        </w:numPr>
        <w:spacing w:before="170"/>
        <w:ind w:left="714" w:hanging="357"/>
      </w:pPr>
      <w:r>
        <w:t>In relation to s46(1):</w:t>
      </w:r>
    </w:p>
    <w:p w14:paraId="3F721993" w14:textId="01D21BEE" w:rsidR="006D6227" w:rsidRDefault="006D6227" w:rsidP="00B0615F">
      <w:pPr>
        <w:pStyle w:val="ListParagraph"/>
        <w:numPr>
          <w:ilvl w:val="1"/>
          <w:numId w:val="9"/>
        </w:numPr>
        <w:spacing w:before="170"/>
      </w:pPr>
      <w:r>
        <w:t>the words “</w:t>
      </w:r>
      <w:r w:rsidRPr="00C924EB">
        <w:t>substantially lessening competition</w:t>
      </w:r>
      <w:r>
        <w:t xml:space="preserve">” </w:t>
      </w:r>
      <w:r w:rsidRPr="00223AF0">
        <w:t>should be inserted</w:t>
      </w:r>
    </w:p>
    <w:p w14:paraId="798ADA67" w14:textId="59732622" w:rsidR="006D6227" w:rsidRDefault="006D6227" w:rsidP="00B0615F">
      <w:pPr>
        <w:pStyle w:val="ListParagraph"/>
        <w:numPr>
          <w:ilvl w:val="1"/>
          <w:numId w:val="9"/>
        </w:numPr>
        <w:spacing w:before="170"/>
      </w:pPr>
      <w:r>
        <w:t xml:space="preserve">the term “take advantage” should be retained </w:t>
      </w:r>
    </w:p>
    <w:p w14:paraId="2A708270" w14:textId="77777777" w:rsidR="006D6227" w:rsidRDefault="006D6227" w:rsidP="00B0615F">
      <w:pPr>
        <w:pStyle w:val="ListParagraph"/>
        <w:numPr>
          <w:ilvl w:val="1"/>
          <w:numId w:val="9"/>
        </w:numPr>
        <w:spacing w:before="170"/>
      </w:pPr>
      <w:r>
        <w:t>p</w:t>
      </w:r>
      <w:r w:rsidRPr="00456124">
        <w:t xml:space="preserve">aragraphs (a), (b) and (c) should </w:t>
      </w:r>
      <w:r>
        <w:t xml:space="preserve">be retained. </w:t>
      </w:r>
    </w:p>
    <w:p w14:paraId="2C2D7168" w14:textId="77777777" w:rsidR="005A034E" w:rsidRPr="00223AF0" w:rsidRDefault="005A034E" w:rsidP="00223AF0">
      <w:pPr>
        <w:spacing w:before="0"/>
        <w:rPr>
          <w:sz w:val="16"/>
          <w:szCs w:val="16"/>
        </w:rPr>
      </w:pPr>
    </w:p>
    <w:tbl>
      <w:tblPr>
        <w:tblStyle w:val="TableGrid"/>
        <w:tblW w:w="0" w:type="auto"/>
        <w:tblLook w:val="04A0" w:firstRow="1" w:lastRow="0" w:firstColumn="1" w:lastColumn="0" w:noHBand="0" w:noVBand="1"/>
      </w:tblPr>
      <w:tblGrid>
        <w:gridCol w:w="8516"/>
      </w:tblGrid>
      <w:tr w:rsidR="006D6227" w14:paraId="6508BAB7" w14:textId="77777777" w:rsidTr="006D6227">
        <w:tc>
          <w:tcPr>
            <w:tcW w:w="8516" w:type="dxa"/>
          </w:tcPr>
          <w:p w14:paraId="74F27752" w14:textId="459E08D5" w:rsidR="006D6227" w:rsidRPr="0052127E" w:rsidRDefault="006D6227" w:rsidP="00223AF0">
            <w:pPr>
              <w:rPr>
                <w:sz w:val="20"/>
                <w:szCs w:val="20"/>
              </w:rPr>
            </w:pPr>
            <w:r w:rsidRPr="0052127E">
              <w:rPr>
                <w:sz w:val="20"/>
                <w:szCs w:val="20"/>
              </w:rPr>
              <w:t>(1) A corporation that has a substantial degree of power in a market shall not take advantage of that power for the purpose</w:t>
            </w:r>
            <w:r w:rsidR="00CE0730" w:rsidRPr="0052127E">
              <w:rPr>
                <w:sz w:val="20"/>
                <w:szCs w:val="20"/>
              </w:rPr>
              <w:t xml:space="preserve"> </w:t>
            </w:r>
            <w:r w:rsidRPr="0052127E">
              <w:rPr>
                <w:sz w:val="20"/>
                <w:szCs w:val="20"/>
              </w:rPr>
              <w:t xml:space="preserve">of </w:t>
            </w:r>
            <w:r w:rsidRPr="0052127E">
              <w:rPr>
                <w:sz w:val="20"/>
                <w:szCs w:val="20"/>
                <w:u w:val="single"/>
              </w:rPr>
              <w:t>substantially lessening competition by</w:t>
            </w:r>
            <w:r w:rsidRPr="0052127E">
              <w:rPr>
                <w:sz w:val="20"/>
                <w:szCs w:val="20"/>
              </w:rPr>
              <w:t xml:space="preserve">:  </w:t>
            </w:r>
          </w:p>
          <w:p w14:paraId="19870D51" w14:textId="69FDECC2" w:rsidR="006D6227" w:rsidRPr="0052127E" w:rsidRDefault="006D6227" w:rsidP="00223AF0">
            <w:pPr>
              <w:rPr>
                <w:sz w:val="20"/>
                <w:szCs w:val="20"/>
              </w:rPr>
            </w:pPr>
            <w:r w:rsidRPr="0052127E">
              <w:rPr>
                <w:sz w:val="20"/>
                <w:szCs w:val="20"/>
              </w:rPr>
              <w:t>(a)  eliminating or substantially damaging a competitor of the corporation or of a body corporate that is related to the corporation in that or any other market;</w:t>
            </w:r>
          </w:p>
          <w:p w14:paraId="19195A5F" w14:textId="79F54F0E" w:rsidR="006D6227" w:rsidRPr="0052127E" w:rsidRDefault="006D6227" w:rsidP="00223AF0">
            <w:pPr>
              <w:rPr>
                <w:sz w:val="20"/>
                <w:szCs w:val="20"/>
              </w:rPr>
            </w:pPr>
            <w:r w:rsidRPr="0052127E">
              <w:rPr>
                <w:sz w:val="20"/>
                <w:szCs w:val="20"/>
              </w:rPr>
              <w:t>(b)  preventing the entry of a person into that or any other market; or</w:t>
            </w:r>
          </w:p>
          <w:p w14:paraId="4738B1C5" w14:textId="79C25570" w:rsidR="006D6227" w:rsidRPr="00223AF0" w:rsidRDefault="006D6227" w:rsidP="007060D4">
            <w:r w:rsidRPr="0052127E">
              <w:rPr>
                <w:sz w:val="20"/>
                <w:szCs w:val="20"/>
              </w:rPr>
              <w:t>(c)  deterring or preventing a person from engaging in competitive conduct in that or any other market.</w:t>
            </w:r>
          </w:p>
        </w:tc>
      </w:tr>
    </w:tbl>
    <w:p w14:paraId="6EE2D3C3" w14:textId="093E0C7D" w:rsidR="006D6227" w:rsidRDefault="006D6227" w:rsidP="0040699B">
      <w:pPr>
        <w:pStyle w:val="ListParagraph"/>
        <w:numPr>
          <w:ilvl w:val="0"/>
          <w:numId w:val="9"/>
        </w:numPr>
        <w:spacing w:before="360" w:after="240"/>
        <w:ind w:left="714" w:hanging="357"/>
      </w:pPr>
      <w:r>
        <w:t>An implication of retaining p</w:t>
      </w:r>
      <w:r w:rsidRPr="00456124">
        <w:t xml:space="preserve">aragraphs (a), (b) and (c) </w:t>
      </w:r>
      <w:r>
        <w:t>in subsection (1) is that</w:t>
      </w:r>
      <w:r w:rsidRPr="00456124">
        <w:t xml:space="preserve"> s</w:t>
      </w:r>
      <w:r>
        <w:t>ubs</w:t>
      </w:r>
      <w:r w:rsidRPr="00456124">
        <w:t>ection (1A) should also be retained</w:t>
      </w:r>
      <w:r w:rsidR="00063CCC">
        <w:t>, with needed amendments</w:t>
      </w:r>
      <w:r>
        <w:t xml:space="preserve">. </w:t>
      </w:r>
    </w:p>
    <w:tbl>
      <w:tblPr>
        <w:tblStyle w:val="TableGrid"/>
        <w:tblW w:w="0" w:type="auto"/>
        <w:tblInd w:w="-34" w:type="dxa"/>
        <w:tblLook w:val="04A0" w:firstRow="1" w:lastRow="0" w:firstColumn="1" w:lastColumn="0" w:noHBand="0" w:noVBand="1"/>
      </w:tblPr>
      <w:tblGrid>
        <w:gridCol w:w="8550"/>
      </w:tblGrid>
      <w:tr w:rsidR="006D6227" w14:paraId="082873CD" w14:textId="77777777" w:rsidTr="006D6227">
        <w:tc>
          <w:tcPr>
            <w:tcW w:w="8550" w:type="dxa"/>
          </w:tcPr>
          <w:p w14:paraId="0EE2DA20" w14:textId="77777777" w:rsidR="006D6227" w:rsidRPr="00771883" w:rsidRDefault="006D6227" w:rsidP="006D6227">
            <w:pPr>
              <w:jc w:val="left"/>
              <w:rPr>
                <w:sz w:val="20"/>
                <w:szCs w:val="20"/>
              </w:rPr>
            </w:pPr>
            <w:r w:rsidRPr="00771883">
              <w:rPr>
                <w:sz w:val="20"/>
                <w:szCs w:val="20"/>
              </w:rPr>
              <w:t>(1A)  For the purposes of subsection</w:t>
            </w:r>
            <w:r w:rsidRPr="00771883">
              <w:rPr>
                <w:strike/>
                <w:sz w:val="20"/>
                <w:szCs w:val="20"/>
              </w:rPr>
              <w:t>s</w:t>
            </w:r>
            <w:r w:rsidRPr="00771883">
              <w:rPr>
                <w:sz w:val="20"/>
                <w:szCs w:val="20"/>
              </w:rPr>
              <w:t xml:space="preserve"> (1) </w:t>
            </w:r>
            <w:r w:rsidRPr="00771883">
              <w:rPr>
                <w:strike/>
                <w:sz w:val="20"/>
                <w:szCs w:val="20"/>
              </w:rPr>
              <w:t>and (1AA)</w:t>
            </w:r>
            <w:r w:rsidRPr="00771883">
              <w:rPr>
                <w:sz w:val="20"/>
                <w:szCs w:val="20"/>
              </w:rPr>
              <w:t>:</w:t>
            </w:r>
          </w:p>
          <w:p w14:paraId="2FD6C1E3" w14:textId="77777777" w:rsidR="006D6227" w:rsidRPr="00771883" w:rsidRDefault="006D6227" w:rsidP="006D6227">
            <w:pPr>
              <w:ind w:left="567" w:hanging="425"/>
              <w:jc w:val="left"/>
              <w:rPr>
                <w:sz w:val="20"/>
                <w:szCs w:val="20"/>
              </w:rPr>
            </w:pPr>
            <w:r w:rsidRPr="00771883">
              <w:rPr>
                <w:sz w:val="20"/>
                <w:szCs w:val="20"/>
              </w:rPr>
              <w:t xml:space="preserve"> (a)  the reference in paragraphs (1)(a) </w:t>
            </w:r>
            <w:r w:rsidRPr="00771883">
              <w:rPr>
                <w:strike/>
                <w:sz w:val="20"/>
                <w:szCs w:val="20"/>
              </w:rPr>
              <w:t>and (1AA)(a)</w:t>
            </w:r>
            <w:r w:rsidRPr="00771883">
              <w:rPr>
                <w:sz w:val="20"/>
                <w:szCs w:val="20"/>
              </w:rPr>
              <w:t xml:space="preserve"> to a competitor includes a reference to competitors generally, or to a particular class or classes of competitors; and</w:t>
            </w:r>
          </w:p>
          <w:p w14:paraId="5CD8E726" w14:textId="77777777" w:rsidR="006D6227" w:rsidRDefault="006D6227" w:rsidP="006D6227">
            <w:pPr>
              <w:spacing w:after="120"/>
              <w:ind w:left="567" w:hanging="425"/>
              <w:jc w:val="left"/>
            </w:pPr>
            <w:r w:rsidRPr="00771883">
              <w:rPr>
                <w:sz w:val="20"/>
                <w:szCs w:val="20"/>
              </w:rPr>
              <w:t xml:space="preserve"> (b)  the reference in paragraphs (1)(b) and (c) </w:t>
            </w:r>
            <w:r w:rsidRPr="00771883">
              <w:rPr>
                <w:strike/>
                <w:sz w:val="20"/>
                <w:szCs w:val="20"/>
              </w:rPr>
              <w:t>and (1AA)(b) and (c)</w:t>
            </w:r>
            <w:r w:rsidRPr="00771883">
              <w:rPr>
                <w:sz w:val="20"/>
                <w:szCs w:val="20"/>
              </w:rPr>
              <w:t xml:space="preserve"> to a person includes a reference to persons generally, or to a particular class or classes of persons.</w:t>
            </w:r>
          </w:p>
        </w:tc>
      </w:tr>
    </w:tbl>
    <w:p w14:paraId="1BDF1DF0" w14:textId="77777777" w:rsidR="00063CCC" w:rsidRDefault="00063CCC" w:rsidP="00410D2F">
      <w:pPr>
        <w:pStyle w:val="ListParagraph"/>
        <w:numPr>
          <w:ilvl w:val="0"/>
          <w:numId w:val="0"/>
        </w:numPr>
        <w:spacing w:before="360"/>
        <w:ind w:left="714"/>
      </w:pPr>
    </w:p>
    <w:p w14:paraId="2D027320" w14:textId="3F4FA304" w:rsidR="007D1858" w:rsidRDefault="005A034E" w:rsidP="00A57487">
      <w:pPr>
        <w:pStyle w:val="ListParagraph"/>
        <w:numPr>
          <w:ilvl w:val="0"/>
          <w:numId w:val="9"/>
        </w:numPr>
        <w:spacing w:before="170" w:after="240"/>
        <w:ind w:left="714" w:hanging="357"/>
      </w:pPr>
      <w:r>
        <w:t>S</w:t>
      </w:r>
      <w:r w:rsidR="007D1858">
        <w:t xml:space="preserve">ection (6A) should be </w:t>
      </w:r>
      <w:r w:rsidR="0040699B">
        <w:t xml:space="preserve">retained and </w:t>
      </w:r>
      <w:r w:rsidR="007D1858">
        <w:t>amended</w:t>
      </w:r>
      <w:r w:rsidR="00456124">
        <w:t xml:space="preserve"> to</w:t>
      </w:r>
      <w:r w:rsidR="00A57487">
        <w:t xml:space="preserve"> </w:t>
      </w:r>
      <w:r w:rsidR="00456124">
        <w:t xml:space="preserve">remove the ‘counterfactual </w:t>
      </w:r>
      <w:r w:rsidR="00A7278F">
        <w:t>approach</w:t>
      </w:r>
      <w:r w:rsidR="00456124">
        <w:t>’</w:t>
      </w:r>
      <w:r w:rsidR="00A7278F">
        <w:t xml:space="preserve"> in paragraph (c) and the anomalous paragraph (d)</w:t>
      </w:r>
      <w:r w:rsidR="00A57487">
        <w:t xml:space="preserve">, and to </w:t>
      </w:r>
      <w:r w:rsidR="00A7278F">
        <w:t xml:space="preserve">clarify the status of </w:t>
      </w:r>
      <w:r w:rsidR="00063CCC">
        <w:t xml:space="preserve">the remaining </w:t>
      </w:r>
      <w:r w:rsidR="00A7278F">
        <w:t xml:space="preserve">criteria </w:t>
      </w:r>
      <w:r>
        <w:t>such that one of the criteria must be met</w:t>
      </w:r>
      <w:r w:rsidR="00A7278F">
        <w:t>.</w:t>
      </w:r>
    </w:p>
    <w:tbl>
      <w:tblPr>
        <w:tblStyle w:val="TableGrid"/>
        <w:tblW w:w="0" w:type="auto"/>
        <w:tblLook w:val="04A0" w:firstRow="1" w:lastRow="0" w:firstColumn="1" w:lastColumn="0" w:noHBand="0" w:noVBand="1"/>
      </w:tblPr>
      <w:tblGrid>
        <w:gridCol w:w="8516"/>
      </w:tblGrid>
      <w:tr w:rsidR="00A7278F" w14:paraId="0CC72016" w14:textId="77777777" w:rsidTr="00A7278F">
        <w:tc>
          <w:tcPr>
            <w:tcW w:w="8516" w:type="dxa"/>
          </w:tcPr>
          <w:p w14:paraId="636D9518" w14:textId="77777777" w:rsidR="00A7278F" w:rsidRPr="00771883" w:rsidRDefault="00A7278F" w:rsidP="00A7278F">
            <w:pPr>
              <w:rPr>
                <w:sz w:val="20"/>
                <w:szCs w:val="20"/>
              </w:rPr>
            </w:pPr>
            <w:r w:rsidRPr="00771883">
              <w:rPr>
                <w:sz w:val="20"/>
                <w:szCs w:val="20"/>
              </w:rPr>
              <w:t xml:space="preserve">(6A)  In determining for the purposes of this section whether, by engaging in conduct, a corporation has taken advantage of its substantial degree of power in a market, the court </w:t>
            </w:r>
            <w:r w:rsidRPr="00771883">
              <w:rPr>
                <w:strike/>
                <w:sz w:val="20"/>
                <w:szCs w:val="20"/>
              </w:rPr>
              <w:t>may</w:t>
            </w:r>
            <w:r w:rsidRPr="00771883">
              <w:rPr>
                <w:sz w:val="20"/>
                <w:szCs w:val="20"/>
              </w:rPr>
              <w:t xml:space="preserve"> </w:t>
            </w:r>
            <w:r w:rsidRPr="00771883">
              <w:rPr>
                <w:sz w:val="20"/>
                <w:szCs w:val="20"/>
                <w:u w:val="single"/>
              </w:rPr>
              <w:t>must</w:t>
            </w:r>
            <w:r w:rsidRPr="00771883">
              <w:rPr>
                <w:sz w:val="20"/>
                <w:szCs w:val="20"/>
              </w:rPr>
              <w:t xml:space="preserve"> </w:t>
            </w:r>
            <w:r w:rsidRPr="00771883">
              <w:rPr>
                <w:sz w:val="20"/>
                <w:szCs w:val="20"/>
                <w:u w:val="single"/>
              </w:rPr>
              <w:t>be satisfied that</w:t>
            </w:r>
            <w:r w:rsidRPr="00771883">
              <w:rPr>
                <w:sz w:val="20"/>
                <w:szCs w:val="20"/>
              </w:rPr>
              <w:t xml:space="preserve"> </w:t>
            </w:r>
            <w:r w:rsidRPr="00771883">
              <w:rPr>
                <w:strike/>
                <w:sz w:val="20"/>
                <w:szCs w:val="20"/>
              </w:rPr>
              <w:t>have regard to any or all of the following</w:t>
            </w:r>
            <w:r w:rsidRPr="00771883">
              <w:rPr>
                <w:sz w:val="20"/>
                <w:szCs w:val="20"/>
              </w:rPr>
              <w:t>:</w:t>
            </w:r>
          </w:p>
          <w:p w14:paraId="7DFD9F2B" w14:textId="77777777" w:rsidR="00A7278F" w:rsidRPr="00771883" w:rsidRDefault="00A7278F" w:rsidP="00A7278F">
            <w:pPr>
              <w:ind w:left="851" w:hanging="425"/>
              <w:rPr>
                <w:sz w:val="20"/>
                <w:szCs w:val="20"/>
              </w:rPr>
            </w:pPr>
            <w:r w:rsidRPr="00771883">
              <w:rPr>
                <w:sz w:val="20"/>
                <w:szCs w:val="20"/>
              </w:rPr>
              <w:t xml:space="preserve"> (a)  </w:t>
            </w:r>
            <w:r w:rsidRPr="00771883">
              <w:rPr>
                <w:strike/>
                <w:sz w:val="20"/>
                <w:szCs w:val="20"/>
              </w:rPr>
              <w:t xml:space="preserve">whether </w:t>
            </w:r>
            <w:r w:rsidRPr="00771883">
              <w:rPr>
                <w:sz w:val="20"/>
                <w:szCs w:val="20"/>
              </w:rPr>
              <w:t xml:space="preserve">the conduct was materially facilitated by the corporation's substantial degree of power in the market; </w:t>
            </w:r>
            <w:r w:rsidRPr="00771883">
              <w:rPr>
                <w:sz w:val="20"/>
                <w:szCs w:val="20"/>
                <w:u w:val="single"/>
              </w:rPr>
              <w:t>or</w:t>
            </w:r>
          </w:p>
          <w:p w14:paraId="05D03294" w14:textId="77777777" w:rsidR="00A7278F" w:rsidRPr="00771883" w:rsidRDefault="00A7278F" w:rsidP="00A7278F">
            <w:pPr>
              <w:ind w:left="851" w:hanging="425"/>
              <w:rPr>
                <w:sz w:val="20"/>
                <w:szCs w:val="20"/>
              </w:rPr>
            </w:pPr>
            <w:r w:rsidRPr="00771883">
              <w:rPr>
                <w:sz w:val="20"/>
                <w:szCs w:val="20"/>
              </w:rPr>
              <w:t xml:space="preserve"> (b)  </w:t>
            </w:r>
            <w:r w:rsidRPr="00771883">
              <w:rPr>
                <w:strike/>
                <w:sz w:val="20"/>
                <w:szCs w:val="20"/>
              </w:rPr>
              <w:t xml:space="preserve">whether </w:t>
            </w:r>
            <w:r w:rsidRPr="00771883">
              <w:rPr>
                <w:sz w:val="20"/>
                <w:szCs w:val="20"/>
              </w:rPr>
              <w:t>the corporation engaged in the conduct in reliance on its substantial degree of power in the market</w:t>
            </w:r>
            <w:r w:rsidRPr="00771883">
              <w:rPr>
                <w:sz w:val="20"/>
                <w:szCs w:val="20"/>
                <w:u w:val="single"/>
              </w:rPr>
              <w:t>.</w:t>
            </w:r>
            <w:r w:rsidRPr="00771883">
              <w:rPr>
                <w:strike/>
                <w:sz w:val="20"/>
                <w:szCs w:val="20"/>
              </w:rPr>
              <w:t>;</w:t>
            </w:r>
            <w:r w:rsidRPr="00771883">
              <w:rPr>
                <w:sz w:val="20"/>
                <w:szCs w:val="20"/>
              </w:rPr>
              <w:t xml:space="preserve"> </w:t>
            </w:r>
          </w:p>
          <w:p w14:paraId="1F311848" w14:textId="77777777" w:rsidR="00A7278F" w:rsidRPr="00771883" w:rsidRDefault="00A7278F" w:rsidP="00A7278F">
            <w:pPr>
              <w:ind w:left="851" w:hanging="425"/>
              <w:rPr>
                <w:strike/>
                <w:sz w:val="20"/>
                <w:szCs w:val="20"/>
              </w:rPr>
            </w:pPr>
            <w:r w:rsidRPr="00771883">
              <w:rPr>
                <w:sz w:val="20"/>
                <w:szCs w:val="20"/>
              </w:rPr>
              <w:t xml:space="preserve"> </w:t>
            </w:r>
            <w:r w:rsidRPr="00771883">
              <w:rPr>
                <w:strike/>
                <w:sz w:val="20"/>
                <w:szCs w:val="20"/>
              </w:rPr>
              <w:t>(c)  whether it is likely that the corporation would have engaged in the conduct if it did not have a substantial degree of power in the market;</w:t>
            </w:r>
          </w:p>
          <w:p w14:paraId="3D08919E" w14:textId="15C11F88" w:rsidR="00A7278F" w:rsidRDefault="00A7278F" w:rsidP="0040699B">
            <w:pPr>
              <w:spacing w:after="120"/>
              <w:ind w:left="850" w:hanging="425"/>
            </w:pPr>
            <w:r w:rsidRPr="00771883">
              <w:rPr>
                <w:strike/>
                <w:sz w:val="20"/>
                <w:szCs w:val="20"/>
              </w:rPr>
              <w:t xml:space="preserve"> (d)  whether the conduct is otherwise related to the corporation's substantial degree of power in the market.</w:t>
            </w:r>
          </w:p>
        </w:tc>
      </w:tr>
    </w:tbl>
    <w:p w14:paraId="35271CF8" w14:textId="77777777" w:rsidR="005A034E" w:rsidRPr="00223AF0" w:rsidRDefault="005A034E" w:rsidP="00223AF0">
      <w:pPr>
        <w:spacing w:before="0"/>
        <w:rPr>
          <w:sz w:val="16"/>
          <w:szCs w:val="16"/>
        </w:rPr>
      </w:pPr>
    </w:p>
    <w:p w14:paraId="279FE81D" w14:textId="22ACAD38" w:rsidR="007D1858" w:rsidRDefault="00456124" w:rsidP="0040699B">
      <w:pPr>
        <w:pStyle w:val="ListParagraph"/>
        <w:numPr>
          <w:ilvl w:val="0"/>
          <w:numId w:val="9"/>
        </w:numPr>
        <w:spacing w:before="170" w:after="240"/>
        <w:ind w:left="714" w:hanging="357"/>
      </w:pPr>
      <w:r>
        <w:t xml:space="preserve">Subsection (7) should be </w:t>
      </w:r>
      <w:r w:rsidR="0040699B">
        <w:t xml:space="preserve">retained and </w:t>
      </w:r>
      <w:r>
        <w:t>amended to make it clearer that the term ‘purpose’ in subsection (1) may be the objective purpose of the conduct. The following amendments are suggested.</w:t>
      </w:r>
    </w:p>
    <w:tbl>
      <w:tblPr>
        <w:tblStyle w:val="TableGrid"/>
        <w:tblW w:w="8506" w:type="dxa"/>
        <w:tblInd w:w="-34" w:type="dxa"/>
        <w:tblLook w:val="04A0" w:firstRow="1" w:lastRow="0" w:firstColumn="1" w:lastColumn="0" w:noHBand="0" w:noVBand="1"/>
      </w:tblPr>
      <w:tblGrid>
        <w:gridCol w:w="8506"/>
      </w:tblGrid>
      <w:tr w:rsidR="00456124" w14:paraId="4B4B58F6" w14:textId="77777777" w:rsidTr="00A7278F">
        <w:tc>
          <w:tcPr>
            <w:tcW w:w="8506" w:type="dxa"/>
          </w:tcPr>
          <w:p w14:paraId="78603000" w14:textId="6B5E866B" w:rsidR="00456124" w:rsidRPr="00771883" w:rsidRDefault="00456124" w:rsidP="00456124">
            <w:pPr>
              <w:jc w:val="left"/>
              <w:rPr>
                <w:sz w:val="20"/>
                <w:szCs w:val="20"/>
                <w:u w:val="single"/>
              </w:rPr>
            </w:pPr>
            <w:r w:rsidRPr="00771883">
              <w:rPr>
                <w:sz w:val="20"/>
                <w:szCs w:val="20"/>
              </w:rPr>
              <w:t xml:space="preserve">(7)  Without </w:t>
            </w:r>
            <w:r w:rsidRPr="007060D4">
              <w:rPr>
                <w:strike/>
                <w:sz w:val="20"/>
                <w:szCs w:val="20"/>
              </w:rPr>
              <w:t>in any way</w:t>
            </w:r>
            <w:r w:rsidRPr="00771883">
              <w:rPr>
                <w:sz w:val="20"/>
                <w:szCs w:val="20"/>
              </w:rPr>
              <w:t xml:space="preserve"> limiting the manner in which the purpose of a person may be established for the purposes of </w:t>
            </w:r>
            <w:r w:rsidRPr="007060D4">
              <w:rPr>
                <w:sz w:val="20"/>
                <w:szCs w:val="20"/>
                <w:u w:val="single"/>
              </w:rPr>
              <w:t>this or</w:t>
            </w:r>
            <w:r w:rsidRPr="00771883">
              <w:rPr>
                <w:sz w:val="20"/>
                <w:szCs w:val="20"/>
              </w:rPr>
              <w:t xml:space="preserve"> any other provision of this Act, </w:t>
            </w:r>
            <w:r w:rsidRPr="00771883">
              <w:rPr>
                <w:sz w:val="20"/>
                <w:szCs w:val="20"/>
                <w:u w:val="single"/>
              </w:rPr>
              <w:t>the purpose of</w:t>
            </w:r>
            <w:r w:rsidRPr="00771883">
              <w:rPr>
                <w:sz w:val="20"/>
                <w:szCs w:val="20"/>
              </w:rPr>
              <w:t xml:space="preserve"> a corporation </w:t>
            </w:r>
            <w:r w:rsidRPr="00771883">
              <w:rPr>
                <w:strike/>
                <w:sz w:val="20"/>
                <w:szCs w:val="20"/>
              </w:rPr>
              <w:t>may be taken to have taken advantage of its power for a purpose</w:t>
            </w:r>
            <w:r w:rsidRPr="00771883">
              <w:rPr>
                <w:sz w:val="20"/>
                <w:szCs w:val="20"/>
              </w:rPr>
              <w:t xml:space="preserve"> referred to in subsection</w:t>
            </w:r>
            <w:r w:rsidR="00063CCC" w:rsidRPr="00410D2F">
              <w:rPr>
                <w:sz w:val="20"/>
                <w:szCs w:val="20"/>
                <w:u w:val="single"/>
              </w:rPr>
              <w:t>s</w:t>
            </w:r>
            <w:r w:rsidRPr="00771883">
              <w:rPr>
                <w:sz w:val="20"/>
                <w:szCs w:val="20"/>
              </w:rPr>
              <w:t xml:space="preserve"> (1) </w:t>
            </w:r>
            <w:r w:rsidR="00063CCC" w:rsidRPr="00410D2F">
              <w:rPr>
                <w:sz w:val="20"/>
                <w:szCs w:val="20"/>
                <w:u w:val="single"/>
              </w:rPr>
              <w:t>and (2)</w:t>
            </w:r>
            <w:r w:rsidR="00063CCC">
              <w:rPr>
                <w:sz w:val="20"/>
                <w:szCs w:val="20"/>
              </w:rPr>
              <w:t xml:space="preserve"> </w:t>
            </w:r>
            <w:r w:rsidRPr="00771883">
              <w:rPr>
                <w:strike/>
                <w:sz w:val="20"/>
                <w:szCs w:val="20"/>
              </w:rPr>
              <w:t>notwithstanding that, after all the evidence has been considered, the existence of that purpose is ascertainable only by inference</w:t>
            </w:r>
            <w:r w:rsidRPr="00771883">
              <w:rPr>
                <w:sz w:val="20"/>
                <w:szCs w:val="20"/>
              </w:rPr>
              <w:t xml:space="preserve"> </w:t>
            </w:r>
            <w:r w:rsidRPr="00771883">
              <w:rPr>
                <w:sz w:val="20"/>
                <w:szCs w:val="20"/>
                <w:u w:val="single"/>
              </w:rPr>
              <w:t>may be inferred</w:t>
            </w:r>
            <w:r w:rsidRPr="00771883">
              <w:rPr>
                <w:sz w:val="20"/>
                <w:szCs w:val="20"/>
              </w:rPr>
              <w:t xml:space="preserve"> from</w:t>
            </w:r>
            <w:r w:rsidRPr="00771883">
              <w:rPr>
                <w:sz w:val="20"/>
                <w:szCs w:val="20"/>
                <w:u w:val="single"/>
              </w:rPr>
              <w:t>:</w:t>
            </w:r>
          </w:p>
          <w:p w14:paraId="1D1E6E68" w14:textId="77777777" w:rsidR="00456124" w:rsidRPr="00771883" w:rsidRDefault="00456124" w:rsidP="00456124">
            <w:pPr>
              <w:ind w:left="851" w:hanging="425"/>
              <w:jc w:val="left"/>
              <w:rPr>
                <w:sz w:val="20"/>
                <w:szCs w:val="20"/>
              </w:rPr>
            </w:pPr>
            <w:r w:rsidRPr="00771883">
              <w:rPr>
                <w:sz w:val="20"/>
                <w:szCs w:val="20"/>
                <w:u w:val="single"/>
              </w:rPr>
              <w:t xml:space="preserve">(a) </w:t>
            </w:r>
            <w:r w:rsidRPr="00771883">
              <w:rPr>
                <w:sz w:val="20"/>
                <w:szCs w:val="20"/>
                <w:u w:val="single"/>
              </w:rPr>
              <w:tab/>
            </w:r>
            <w:r w:rsidRPr="00771883">
              <w:rPr>
                <w:sz w:val="20"/>
                <w:szCs w:val="20"/>
              </w:rPr>
              <w:t>the conduct of the corporation or of any other person or from other relevant circumstances</w:t>
            </w:r>
            <w:r w:rsidRPr="00771883">
              <w:rPr>
                <w:sz w:val="20"/>
                <w:szCs w:val="20"/>
                <w:u w:val="single"/>
              </w:rPr>
              <w:t>; or</w:t>
            </w:r>
          </w:p>
          <w:p w14:paraId="72192FCA" w14:textId="24866369" w:rsidR="00456124" w:rsidRDefault="00456124" w:rsidP="00A7278F">
            <w:pPr>
              <w:spacing w:after="120"/>
              <w:ind w:left="850" w:hanging="425"/>
              <w:jc w:val="left"/>
              <w:rPr>
                <w:sz w:val="20"/>
                <w:szCs w:val="20"/>
              </w:rPr>
            </w:pPr>
            <w:r w:rsidRPr="00771883">
              <w:rPr>
                <w:sz w:val="20"/>
                <w:szCs w:val="20"/>
                <w:u w:val="single"/>
              </w:rPr>
              <w:t xml:space="preserve">(b) </w:t>
            </w:r>
            <w:r w:rsidRPr="00771883">
              <w:rPr>
                <w:sz w:val="20"/>
                <w:szCs w:val="20"/>
                <w:u w:val="single"/>
              </w:rPr>
              <w:tab/>
              <w:t>the consequences</w:t>
            </w:r>
            <w:r w:rsidR="00702E55">
              <w:rPr>
                <w:sz w:val="20"/>
                <w:szCs w:val="20"/>
                <w:u w:val="single"/>
              </w:rPr>
              <w:t>, including the effects or likely effects on competition,</w:t>
            </w:r>
            <w:r w:rsidRPr="00771883">
              <w:rPr>
                <w:sz w:val="20"/>
                <w:szCs w:val="20"/>
                <w:u w:val="single"/>
              </w:rPr>
              <w:t xml:space="preserve"> that would reasonably be anticipated </w:t>
            </w:r>
            <w:r w:rsidR="00D505C1">
              <w:rPr>
                <w:sz w:val="20"/>
                <w:szCs w:val="20"/>
                <w:u w:val="single"/>
              </w:rPr>
              <w:t xml:space="preserve">to follow </w:t>
            </w:r>
            <w:r w:rsidRPr="00771883">
              <w:rPr>
                <w:sz w:val="20"/>
                <w:szCs w:val="20"/>
                <w:u w:val="single"/>
              </w:rPr>
              <w:t xml:space="preserve">from the conduct which is found to take advantage </w:t>
            </w:r>
            <w:r w:rsidR="00D505C1">
              <w:rPr>
                <w:sz w:val="20"/>
                <w:szCs w:val="20"/>
                <w:u w:val="single"/>
              </w:rPr>
              <w:t xml:space="preserve">of </w:t>
            </w:r>
            <w:r w:rsidRPr="00771883">
              <w:rPr>
                <w:sz w:val="20"/>
                <w:szCs w:val="20"/>
                <w:u w:val="single"/>
              </w:rPr>
              <w:t xml:space="preserve">the corporation’s  substantial degree of </w:t>
            </w:r>
            <w:r w:rsidR="00D505C1">
              <w:rPr>
                <w:sz w:val="20"/>
                <w:szCs w:val="20"/>
                <w:u w:val="single"/>
              </w:rPr>
              <w:t xml:space="preserve">market </w:t>
            </w:r>
            <w:r w:rsidRPr="00771883">
              <w:rPr>
                <w:sz w:val="20"/>
                <w:szCs w:val="20"/>
                <w:u w:val="single"/>
              </w:rPr>
              <w:t>power</w:t>
            </w:r>
            <w:r w:rsidRPr="00771883">
              <w:rPr>
                <w:sz w:val="20"/>
                <w:szCs w:val="20"/>
              </w:rPr>
              <w:t>.</w:t>
            </w:r>
          </w:p>
        </w:tc>
      </w:tr>
    </w:tbl>
    <w:p w14:paraId="3C024E54" w14:textId="77777777" w:rsidR="00042F59" w:rsidRDefault="00042F59" w:rsidP="0040699B">
      <w:pPr>
        <w:pStyle w:val="ListParagraph"/>
        <w:numPr>
          <w:ilvl w:val="0"/>
          <w:numId w:val="9"/>
        </w:numPr>
        <w:spacing w:before="360"/>
        <w:ind w:left="714" w:hanging="357"/>
      </w:pPr>
      <w:r>
        <w:t>The following HP recommendations are supported:</w:t>
      </w:r>
    </w:p>
    <w:p w14:paraId="43686491" w14:textId="44523C54" w:rsidR="00042F59" w:rsidRDefault="00042F59" w:rsidP="00A57487">
      <w:pPr>
        <w:pStyle w:val="ListParagraph"/>
        <w:numPr>
          <w:ilvl w:val="1"/>
          <w:numId w:val="9"/>
        </w:numPr>
        <w:ind w:left="1434" w:hanging="357"/>
      </w:pPr>
      <w:r>
        <w:t>Removing s</w:t>
      </w:r>
      <w:r w:rsidR="00A7278F" w:rsidRPr="00A7278F">
        <w:t>ubsections (1AAA), (1AA</w:t>
      </w:r>
      <w:r w:rsidRPr="00A7278F">
        <w:t>)</w:t>
      </w:r>
      <w:r>
        <w:t xml:space="preserve"> and</w:t>
      </w:r>
      <w:r w:rsidRPr="00A7278F">
        <w:t xml:space="preserve"> </w:t>
      </w:r>
      <w:r w:rsidR="00A7278F" w:rsidRPr="00A7278F">
        <w:t>(1AB)</w:t>
      </w:r>
    </w:p>
    <w:p w14:paraId="1F6B2A1A" w14:textId="77777777" w:rsidR="00042F59" w:rsidRDefault="00042F59" w:rsidP="00A57487">
      <w:pPr>
        <w:pStyle w:val="ListParagraph"/>
        <w:numPr>
          <w:ilvl w:val="1"/>
          <w:numId w:val="9"/>
        </w:numPr>
        <w:ind w:left="1434" w:hanging="357"/>
      </w:pPr>
      <w:r>
        <w:t>Minor amendments to (3A) and (3C)</w:t>
      </w:r>
    </w:p>
    <w:p w14:paraId="1F933462" w14:textId="77777777" w:rsidR="00042F59" w:rsidRDefault="00042F59" w:rsidP="00A57487">
      <w:pPr>
        <w:pStyle w:val="ListParagraph"/>
        <w:numPr>
          <w:ilvl w:val="1"/>
          <w:numId w:val="9"/>
        </w:numPr>
        <w:ind w:left="1434" w:hanging="357"/>
      </w:pPr>
      <w:r>
        <w:t>Removing subsections (3D), (4A), (5) and (6).</w:t>
      </w:r>
    </w:p>
    <w:p w14:paraId="659AA817" w14:textId="1CF73A29" w:rsidR="00E41E8B" w:rsidRDefault="00E41E8B" w:rsidP="0040699B">
      <w:pPr>
        <w:pStyle w:val="ListParagraph"/>
        <w:numPr>
          <w:ilvl w:val="0"/>
          <w:numId w:val="9"/>
        </w:numPr>
        <w:spacing w:before="240" w:after="240"/>
        <w:ind w:left="714" w:hanging="357"/>
      </w:pPr>
      <w:r>
        <w:t>The HP’s proposed s46(2) is supported subject to the following revisions:</w:t>
      </w:r>
    </w:p>
    <w:tbl>
      <w:tblPr>
        <w:tblStyle w:val="TableGrid"/>
        <w:tblW w:w="0" w:type="auto"/>
        <w:tblLook w:val="04A0" w:firstRow="1" w:lastRow="0" w:firstColumn="1" w:lastColumn="0" w:noHBand="0" w:noVBand="1"/>
      </w:tblPr>
      <w:tblGrid>
        <w:gridCol w:w="8516"/>
      </w:tblGrid>
      <w:tr w:rsidR="0052127E" w14:paraId="5ECC07B8" w14:textId="77777777" w:rsidTr="0052127E">
        <w:tc>
          <w:tcPr>
            <w:tcW w:w="8516" w:type="dxa"/>
          </w:tcPr>
          <w:p w14:paraId="05F0C9AD" w14:textId="4B95B8C5" w:rsidR="0052127E" w:rsidRPr="0052127E" w:rsidRDefault="0052127E" w:rsidP="0052127E">
            <w:pPr>
              <w:rPr>
                <w:sz w:val="20"/>
                <w:szCs w:val="20"/>
              </w:rPr>
            </w:pPr>
            <w:r w:rsidRPr="0052127E">
              <w:rPr>
                <w:sz w:val="20"/>
                <w:szCs w:val="20"/>
              </w:rPr>
              <w:t>(2) Without limiting the matters that may be taken into account for</w:t>
            </w:r>
            <w:r>
              <w:rPr>
                <w:sz w:val="20"/>
                <w:szCs w:val="20"/>
              </w:rPr>
              <w:t xml:space="preserve"> </w:t>
            </w:r>
            <w:r w:rsidRPr="0052127E">
              <w:rPr>
                <w:sz w:val="20"/>
                <w:szCs w:val="20"/>
              </w:rPr>
              <w:t>the purposes of subsection (1), in determining whether conduct</w:t>
            </w:r>
            <w:r>
              <w:rPr>
                <w:sz w:val="20"/>
                <w:szCs w:val="20"/>
              </w:rPr>
              <w:t xml:space="preserve"> </w:t>
            </w:r>
            <w:r w:rsidRPr="0052127E">
              <w:rPr>
                <w:sz w:val="20"/>
                <w:szCs w:val="20"/>
              </w:rPr>
              <w:t>has the purpose</w:t>
            </w:r>
            <w:r w:rsidRPr="0052127E">
              <w:rPr>
                <w:strike/>
                <w:sz w:val="20"/>
                <w:szCs w:val="20"/>
              </w:rPr>
              <w:t>, or would have or be likely to have the effect,</w:t>
            </w:r>
            <w:r w:rsidRPr="0052127E">
              <w:rPr>
                <w:sz w:val="20"/>
                <w:szCs w:val="20"/>
              </w:rPr>
              <w:t xml:space="preserve"> of</w:t>
            </w:r>
            <w:r>
              <w:rPr>
                <w:sz w:val="20"/>
                <w:szCs w:val="20"/>
              </w:rPr>
              <w:t xml:space="preserve"> </w:t>
            </w:r>
            <w:r w:rsidRPr="0052127E">
              <w:rPr>
                <w:sz w:val="20"/>
                <w:szCs w:val="20"/>
              </w:rPr>
              <w:t>substantially lessening competition in a market, the court must</w:t>
            </w:r>
            <w:r>
              <w:rPr>
                <w:sz w:val="20"/>
                <w:szCs w:val="20"/>
              </w:rPr>
              <w:t xml:space="preserve"> </w:t>
            </w:r>
            <w:r w:rsidRPr="0052127E">
              <w:rPr>
                <w:sz w:val="20"/>
                <w:szCs w:val="20"/>
              </w:rPr>
              <w:t>have regard to:</w:t>
            </w:r>
          </w:p>
          <w:p w14:paraId="0175A8C6" w14:textId="77777777" w:rsidR="0052127E" w:rsidRPr="0052127E" w:rsidRDefault="0052127E" w:rsidP="0052127E">
            <w:pPr>
              <w:rPr>
                <w:sz w:val="20"/>
                <w:szCs w:val="20"/>
              </w:rPr>
            </w:pPr>
            <w:r w:rsidRPr="0052127E">
              <w:rPr>
                <w:sz w:val="20"/>
                <w:szCs w:val="20"/>
              </w:rPr>
              <w:t>(a) the extent to which the conduct has the purpose</w:t>
            </w:r>
            <w:r w:rsidRPr="0052127E">
              <w:rPr>
                <w:strike/>
                <w:sz w:val="20"/>
                <w:szCs w:val="20"/>
              </w:rPr>
              <w:t>,</w:t>
            </w:r>
            <w:r w:rsidRPr="0052127E">
              <w:rPr>
                <w:sz w:val="20"/>
                <w:szCs w:val="20"/>
              </w:rPr>
              <w:t xml:space="preserve"> </w:t>
            </w:r>
            <w:r w:rsidRPr="0052127E">
              <w:rPr>
                <w:strike/>
                <w:sz w:val="20"/>
                <w:szCs w:val="20"/>
              </w:rPr>
              <w:t xml:space="preserve">or would have or be likely to have the effect, </w:t>
            </w:r>
            <w:r w:rsidRPr="0052127E">
              <w:rPr>
                <w:sz w:val="20"/>
                <w:szCs w:val="20"/>
              </w:rPr>
              <w:t>of increasing</w:t>
            </w:r>
            <w:r>
              <w:rPr>
                <w:sz w:val="20"/>
                <w:szCs w:val="20"/>
              </w:rPr>
              <w:t xml:space="preserve"> </w:t>
            </w:r>
            <w:r w:rsidRPr="0052127E">
              <w:rPr>
                <w:sz w:val="20"/>
                <w:szCs w:val="20"/>
              </w:rPr>
              <w:t>competition in the market including by enhancing efficiency, innovation, product quality or price</w:t>
            </w:r>
            <w:r>
              <w:rPr>
                <w:sz w:val="20"/>
                <w:szCs w:val="20"/>
              </w:rPr>
              <w:t xml:space="preserve"> </w:t>
            </w:r>
            <w:r w:rsidRPr="0052127E">
              <w:rPr>
                <w:sz w:val="20"/>
                <w:szCs w:val="20"/>
              </w:rPr>
              <w:t>competitiveness in the market; and</w:t>
            </w:r>
          </w:p>
          <w:p w14:paraId="19D86CE1" w14:textId="5A5BE793" w:rsidR="0052127E" w:rsidRDefault="0052127E" w:rsidP="0052127E">
            <w:pPr>
              <w:rPr>
                <w:sz w:val="20"/>
                <w:szCs w:val="20"/>
              </w:rPr>
            </w:pPr>
            <w:r w:rsidRPr="0052127E">
              <w:rPr>
                <w:sz w:val="20"/>
                <w:szCs w:val="20"/>
              </w:rPr>
              <w:t>(b) the extent to which the conduct has the purpose</w:t>
            </w:r>
            <w:r w:rsidRPr="0052127E">
              <w:rPr>
                <w:strike/>
                <w:sz w:val="20"/>
                <w:szCs w:val="20"/>
              </w:rPr>
              <w:t>,</w:t>
            </w:r>
            <w:r w:rsidRPr="0052127E">
              <w:rPr>
                <w:sz w:val="20"/>
                <w:szCs w:val="20"/>
              </w:rPr>
              <w:t xml:space="preserve"> </w:t>
            </w:r>
            <w:r w:rsidRPr="0052127E">
              <w:rPr>
                <w:strike/>
                <w:sz w:val="20"/>
                <w:szCs w:val="20"/>
              </w:rPr>
              <w:t xml:space="preserve">or would have or be likely to have the effect, </w:t>
            </w:r>
            <w:r w:rsidRPr="0052127E">
              <w:rPr>
                <w:sz w:val="20"/>
                <w:szCs w:val="20"/>
              </w:rPr>
              <w:t>of lessening</w:t>
            </w:r>
            <w:r>
              <w:rPr>
                <w:sz w:val="20"/>
                <w:szCs w:val="20"/>
              </w:rPr>
              <w:t xml:space="preserve"> </w:t>
            </w:r>
            <w:r w:rsidRPr="0052127E">
              <w:rPr>
                <w:sz w:val="20"/>
                <w:szCs w:val="20"/>
              </w:rPr>
              <w:t>competition in the market including by preventing,</w:t>
            </w:r>
            <w:r>
              <w:rPr>
                <w:sz w:val="20"/>
                <w:szCs w:val="20"/>
              </w:rPr>
              <w:t xml:space="preserve"> </w:t>
            </w:r>
            <w:r w:rsidRPr="0052127E">
              <w:rPr>
                <w:sz w:val="20"/>
                <w:szCs w:val="20"/>
              </w:rPr>
              <w:t>restricting or deterring the potential for competitive</w:t>
            </w:r>
            <w:r>
              <w:rPr>
                <w:sz w:val="20"/>
                <w:szCs w:val="20"/>
              </w:rPr>
              <w:t xml:space="preserve"> </w:t>
            </w:r>
            <w:r w:rsidRPr="0052127E">
              <w:rPr>
                <w:sz w:val="20"/>
                <w:szCs w:val="20"/>
              </w:rPr>
              <w:t>conduct in the mark</w:t>
            </w:r>
            <w:r w:rsidR="00D8144B">
              <w:rPr>
                <w:sz w:val="20"/>
                <w:szCs w:val="20"/>
              </w:rPr>
              <w:t>et or new entry into the market</w:t>
            </w:r>
            <w:r w:rsidR="00D8144B" w:rsidRPr="00D8144B">
              <w:rPr>
                <w:sz w:val="20"/>
                <w:szCs w:val="20"/>
                <w:u w:val="single"/>
              </w:rPr>
              <w:t>; and</w:t>
            </w:r>
          </w:p>
          <w:p w14:paraId="3B7A52EC" w14:textId="0A227E77" w:rsidR="0052127E" w:rsidRDefault="00D8144B" w:rsidP="00CB59AE">
            <w:pPr>
              <w:spacing w:after="120"/>
            </w:pPr>
            <w:r w:rsidRPr="00D8144B">
              <w:rPr>
                <w:sz w:val="20"/>
                <w:szCs w:val="20"/>
                <w:u w:val="single"/>
              </w:rPr>
              <w:t>(c) in each case the state of competition</w:t>
            </w:r>
            <w:r w:rsidR="00CB59AE">
              <w:rPr>
                <w:sz w:val="20"/>
                <w:szCs w:val="20"/>
                <w:u w:val="single"/>
              </w:rPr>
              <w:t>, or</w:t>
            </w:r>
            <w:r w:rsidR="00CB59AE" w:rsidRPr="00D8144B">
              <w:rPr>
                <w:sz w:val="20"/>
                <w:szCs w:val="20"/>
                <w:u w:val="single"/>
              </w:rPr>
              <w:t xml:space="preserve"> likely state of competition</w:t>
            </w:r>
            <w:r w:rsidR="00CB59AE">
              <w:rPr>
                <w:sz w:val="20"/>
                <w:szCs w:val="20"/>
                <w:u w:val="single"/>
              </w:rPr>
              <w:t>,</w:t>
            </w:r>
            <w:r w:rsidR="00CB59AE" w:rsidRPr="00D8144B">
              <w:rPr>
                <w:sz w:val="20"/>
                <w:szCs w:val="20"/>
                <w:u w:val="single"/>
              </w:rPr>
              <w:t xml:space="preserve"> </w:t>
            </w:r>
            <w:r w:rsidRPr="00D8144B">
              <w:rPr>
                <w:sz w:val="20"/>
                <w:szCs w:val="20"/>
                <w:u w:val="single"/>
              </w:rPr>
              <w:t xml:space="preserve">following the conduct is to be compared </w:t>
            </w:r>
            <w:r w:rsidR="00E41E8B">
              <w:rPr>
                <w:sz w:val="20"/>
                <w:szCs w:val="20"/>
                <w:u w:val="single"/>
              </w:rPr>
              <w:t>against</w:t>
            </w:r>
            <w:r w:rsidRPr="00D8144B">
              <w:rPr>
                <w:sz w:val="20"/>
                <w:szCs w:val="20"/>
                <w:u w:val="single"/>
              </w:rPr>
              <w:t xml:space="preserve"> the likely state of competition absent the conduct.</w:t>
            </w:r>
          </w:p>
        </w:tc>
      </w:tr>
    </w:tbl>
    <w:p w14:paraId="634FA221" w14:textId="77777777" w:rsidR="0052127E" w:rsidRPr="003414F8" w:rsidRDefault="0052127E" w:rsidP="001C2ECA">
      <w:pPr>
        <w:spacing w:before="0" w:line="240" w:lineRule="auto"/>
        <w:rPr>
          <w:sz w:val="16"/>
          <w:szCs w:val="16"/>
        </w:rPr>
      </w:pPr>
    </w:p>
    <w:p w14:paraId="4ACB8AB2" w14:textId="60D72633" w:rsidR="003E4758" w:rsidRDefault="00D02911" w:rsidP="00D02911">
      <w:pPr>
        <w:pStyle w:val="Heading1"/>
      </w:pPr>
      <w:r>
        <w:t>Conclusion</w:t>
      </w:r>
    </w:p>
    <w:p w14:paraId="5BE7D5A2" w14:textId="5601D69D" w:rsidR="005A034E" w:rsidRDefault="005A034E" w:rsidP="005A034E">
      <w:r>
        <w:t xml:space="preserve">This submission has sought to formulate an alternative option for amending </w:t>
      </w:r>
      <w:r w:rsidR="00EE46E6">
        <w:t xml:space="preserve">the law relating to </w:t>
      </w:r>
      <w:r>
        <w:t>misuse of market power</w:t>
      </w:r>
      <w:r w:rsidR="00EE46E6">
        <w:t>, with the aim of</w:t>
      </w:r>
      <w:r>
        <w:t xml:space="preserve"> better balanc</w:t>
      </w:r>
      <w:r w:rsidR="00EE46E6">
        <w:t>ing</w:t>
      </w:r>
      <w:r>
        <w:t xml:space="preserve"> the risks of overreach (i.e. </w:t>
      </w:r>
      <w:r w:rsidR="00042F59">
        <w:t xml:space="preserve">too great a risk of </w:t>
      </w:r>
      <w:r>
        <w:t xml:space="preserve">“false positives”) against the possible shortcoming of ineffectiveness (i.e. </w:t>
      </w:r>
      <w:r w:rsidR="00042F59">
        <w:t xml:space="preserve">too great a risk of </w:t>
      </w:r>
      <w:r>
        <w:t>“false negatives”).</w:t>
      </w:r>
    </w:p>
    <w:p w14:paraId="278EC510" w14:textId="0D2B6924" w:rsidR="00737B19" w:rsidRPr="00771883" w:rsidRDefault="002D11CE" w:rsidP="0056523C">
      <w:r>
        <w:t xml:space="preserve">The </w:t>
      </w:r>
      <w:r w:rsidR="00EE46E6">
        <w:t>Harper</w:t>
      </w:r>
      <w:r>
        <w:t xml:space="preserve"> review of Australia’s competition policy sets out an important policy agenda</w:t>
      </w:r>
      <w:r w:rsidR="00EE46E6">
        <w:t>,</w:t>
      </w:r>
      <w:r>
        <w:t xml:space="preserve"> which </w:t>
      </w:r>
      <w:r w:rsidR="00EE46E6">
        <w:t xml:space="preserve">includes </w:t>
      </w:r>
      <w:r>
        <w:t xml:space="preserve">the recommendations relating to Part IV of the CCA. The last major inquiry into Part IV was the Dawson Review in 2003. </w:t>
      </w:r>
      <w:r w:rsidR="00D02911">
        <w:t>It is appropriate that the CCA should continue to be periodically reviewed, and indeed, clause 5</w:t>
      </w:r>
      <w:r w:rsidR="00D02911" w:rsidRPr="00D02911">
        <w:t xml:space="preserve">(6) </w:t>
      </w:r>
      <w:r w:rsidR="00D02911">
        <w:t xml:space="preserve">of the </w:t>
      </w:r>
      <w:r w:rsidR="00D02911" w:rsidRPr="00D02911">
        <w:rPr>
          <w:i/>
        </w:rPr>
        <w:t>Competition Principles Agreement</w:t>
      </w:r>
      <w:r w:rsidR="00D02911">
        <w:t xml:space="preserve"> (1995) </w:t>
      </w:r>
      <w:r>
        <w:t>indicates</w:t>
      </w:r>
      <w:r w:rsidR="00D02911">
        <w:t xml:space="preserve"> that</w:t>
      </w:r>
      <w:r w:rsidR="00D02911" w:rsidRPr="00D02911">
        <w:t xml:space="preserve"> legislation that restricts competition </w:t>
      </w:r>
      <w:r w:rsidR="00D02911">
        <w:t>should be</w:t>
      </w:r>
      <w:r w:rsidR="00D02911" w:rsidRPr="00D02911">
        <w:t xml:space="preserve"> systematically review</w:t>
      </w:r>
      <w:r w:rsidR="00D02911">
        <w:t>ed</w:t>
      </w:r>
      <w:r w:rsidR="00D02911" w:rsidRPr="00D02911">
        <w:t xml:space="preserve"> </w:t>
      </w:r>
      <w:r w:rsidR="00D02911" w:rsidRPr="002D11CE">
        <w:rPr>
          <w:i/>
        </w:rPr>
        <w:t>at least once every ten years</w:t>
      </w:r>
      <w:r w:rsidR="00D02911" w:rsidRPr="00D02911">
        <w:t>.</w:t>
      </w:r>
      <w:r w:rsidR="00EE46E6">
        <w:rPr>
          <w:rStyle w:val="FootnoteReference"/>
        </w:rPr>
        <w:footnoteReference w:id="65"/>
      </w:r>
      <w:r w:rsidR="00D02911">
        <w:t xml:space="preserve"> Some legislation incorporates within it</w:t>
      </w:r>
      <w:r w:rsidR="00F11B42">
        <w:t>self a</w:t>
      </w:r>
      <w:r w:rsidR="00D02911">
        <w:t xml:space="preserve"> requirement for periodic review, </w:t>
      </w:r>
      <w:r w:rsidR="00F11B42">
        <w:t>which</w:t>
      </w:r>
      <w:r w:rsidR="00D02911">
        <w:t xml:space="preserve"> is something that could be considered </w:t>
      </w:r>
      <w:r w:rsidR="00F11B42">
        <w:t>f</w:t>
      </w:r>
      <w:r w:rsidR="00D02911">
        <w:t>or the CCA.</w:t>
      </w:r>
      <w:r w:rsidR="00F11B42">
        <w:t xml:space="preserve"> In any case, a period of five years </w:t>
      </w:r>
      <w:r w:rsidR="00911EDB">
        <w:t xml:space="preserve">after implementation </w:t>
      </w:r>
      <w:r w:rsidR="00EE46E6">
        <w:t xml:space="preserve">of the substantial amendments to Part IV following from the Harper review </w:t>
      </w:r>
      <w:r w:rsidR="00790039">
        <w:t>may</w:t>
      </w:r>
      <w:r w:rsidR="00F11B42">
        <w:t xml:space="preserve"> be a suitable timeframe</w:t>
      </w:r>
      <w:r w:rsidR="0086000F">
        <w:t xml:space="preserve"> to review the effectiveness of those changes</w:t>
      </w:r>
      <w:r w:rsidR="00911EDB">
        <w:t>.</w:t>
      </w:r>
      <w:r w:rsidR="00F905AC">
        <w:rPr>
          <w:lang w:val="en-US"/>
        </w:rPr>
        <w:fldChar w:fldCharType="begin"/>
      </w:r>
      <w:r w:rsidR="00F905AC">
        <w:instrText xml:space="preserve"> ADDIN EN.REFLIST </w:instrText>
      </w:r>
      <w:r w:rsidR="00F905AC">
        <w:rPr>
          <w:lang w:val="en-US"/>
        </w:rPr>
        <w:fldChar w:fldCharType="end"/>
      </w:r>
    </w:p>
    <w:sectPr w:rsidR="00737B19" w:rsidRPr="00771883" w:rsidSect="00BA25A9">
      <w:footerReference w:type="even"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E3A90" w14:textId="77777777" w:rsidR="00A57487" w:rsidRDefault="00A57487" w:rsidP="00032129">
      <w:pPr>
        <w:spacing w:before="0" w:line="240" w:lineRule="auto"/>
      </w:pPr>
      <w:r>
        <w:separator/>
      </w:r>
    </w:p>
  </w:endnote>
  <w:endnote w:type="continuationSeparator" w:id="0">
    <w:p w14:paraId="269D8E7B" w14:textId="77777777" w:rsidR="00A57487" w:rsidRDefault="00A57487" w:rsidP="0003212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C4F38" w14:textId="77777777" w:rsidR="00A57487" w:rsidRDefault="00A57487" w:rsidP="000F6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56B26" w14:textId="77777777" w:rsidR="00A57487" w:rsidRDefault="00A57487" w:rsidP="000F6D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08E9D" w14:textId="77777777" w:rsidR="00A57487" w:rsidRDefault="00A57487" w:rsidP="000F6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80C">
      <w:rPr>
        <w:rStyle w:val="PageNumber"/>
        <w:noProof/>
      </w:rPr>
      <w:t>1</w:t>
    </w:r>
    <w:r>
      <w:rPr>
        <w:rStyle w:val="PageNumber"/>
      </w:rPr>
      <w:fldChar w:fldCharType="end"/>
    </w:r>
  </w:p>
  <w:p w14:paraId="6CAFB571" w14:textId="77777777" w:rsidR="00A57487" w:rsidRDefault="00A57487" w:rsidP="000F6DD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43E6D" w14:textId="77777777" w:rsidR="00A57487" w:rsidRDefault="00A57487" w:rsidP="00032129">
      <w:pPr>
        <w:spacing w:before="0" w:line="240" w:lineRule="auto"/>
      </w:pPr>
      <w:r>
        <w:separator/>
      </w:r>
    </w:p>
  </w:footnote>
  <w:footnote w:type="continuationSeparator" w:id="0">
    <w:p w14:paraId="3B96A1C5" w14:textId="77777777" w:rsidR="00A57487" w:rsidRDefault="00A57487" w:rsidP="00032129">
      <w:pPr>
        <w:spacing w:before="0" w:line="240" w:lineRule="auto"/>
      </w:pPr>
      <w:r>
        <w:continuationSeparator/>
      </w:r>
    </w:p>
  </w:footnote>
  <w:footnote w:id="1">
    <w:p w14:paraId="21D28279" w14:textId="205CAFC3" w:rsidR="00A57487" w:rsidRPr="00FF4DB5" w:rsidRDefault="00A57487" w:rsidP="00430719">
      <w:pPr>
        <w:pStyle w:val="FootnoteText"/>
        <w:rPr>
          <w:szCs w:val="19"/>
        </w:rPr>
      </w:pPr>
      <w:r w:rsidRPr="00F905AC">
        <w:rPr>
          <w:rStyle w:val="FootnoteReference"/>
          <w:szCs w:val="19"/>
        </w:rPr>
        <w:footnoteRef/>
      </w:r>
      <w:r w:rsidRPr="00F905AC">
        <w:rPr>
          <w:szCs w:val="19"/>
        </w:rPr>
        <w:t xml:space="preserve">  The author is a student at the University of Melbourne and an associate of Economic Insights Pty Ltd. The views expressed in this paper are the personal views of the author and are not the views of the organisations he is affiliated with.</w:t>
      </w:r>
    </w:p>
  </w:footnote>
  <w:footnote w:id="2">
    <w:p w14:paraId="6C39EB31" w14:textId="01291A38" w:rsidR="00A57487" w:rsidRPr="00FF4DB5" w:rsidRDefault="00A57487">
      <w:pPr>
        <w:pStyle w:val="FootnoteText"/>
        <w:rPr>
          <w:szCs w:val="19"/>
        </w:rPr>
      </w:pPr>
      <w:r w:rsidRPr="00F905AC">
        <w:rPr>
          <w:rStyle w:val="FootnoteReference"/>
          <w:szCs w:val="19"/>
        </w:rPr>
        <w:footnoteRef/>
      </w:r>
      <w:r w:rsidRPr="00F905AC">
        <w:rPr>
          <w:szCs w:val="19"/>
        </w:rPr>
        <w:t xml:space="preserve"> ACCC, 'Reinvigorating Australia’s Competition Policy: Australian Competition &amp; Consumer Commission Submission to the Competition Policy Review' (25 June 2014).</w:t>
      </w:r>
    </w:p>
  </w:footnote>
  <w:footnote w:id="3">
    <w:p w14:paraId="3723F798" w14:textId="0C8EAFF3" w:rsidR="00A57487" w:rsidRPr="00FF4DB5" w:rsidRDefault="00A57487">
      <w:pPr>
        <w:pStyle w:val="FootnoteText"/>
        <w:rPr>
          <w:szCs w:val="19"/>
        </w:rPr>
      </w:pPr>
      <w:r w:rsidRPr="00F905AC">
        <w:rPr>
          <w:rStyle w:val="FootnoteReference"/>
          <w:szCs w:val="19"/>
        </w:rPr>
        <w:footnoteRef/>
      </w:r>
      <w:r w:rsidRPr="00F905AC">
        <w:rPr>
          <w:szCs w:val="19"/>
        </w:rPr>
        <w:t xml:space="preserve"> Ibid p.77.</w:t>
      </w:r>
    </w:p>
  </w:footnote>
  <w:footnote w:id="4">
    <w:p w14:paraId="17EEB598" w14:textId="0C78178B" w:rsidR="00A57487" w:rsidRPr="00FF4DB5" w:rsidRDefault="00A57487">
      <w:pPr>
        <w:pStyle w:val="FootnoteText"/>
        <w:rPr>
          <w:szCs w:val="19"/>
        </w:rPr>
      </w:pPr>
      <w:r w:rsidRPr="00F905AC">
        <w:rPr>
          <w:rStyle w:val="FootnoteReference"/>
          <w:szCs w:val="19"/>
        </w:rPr>
        <w:footnoteRef/>
      </w:r>
      <w:r w:rsidRPr="00F905AC">
        <w:rPr>
          <w:szCs w:val="19"/>
        </w:rPr>
        <w:t xml:space="preserve"> Ibid p.78.</w:t>
      </w:r>
    </w:p>
  </w:footnote>
  <w:footnote w:id="5">
    <w:p w14:paraId="7F97ABEF" w14:textId="0FA05A40" w:rsidR="00A57487" w:rsidRPr="00FF4DB5" w:rsidRDefault="00A57487">
      <w:pPr>
        <w:pStyle w:val="FootnoteText"/>
        <w:rPr>
          <w:szCs w:val="19"/>
        </w:rPr>
      </w:pPr>
      <w:r w:rsidRPr="00F905AC">
        <w:rPr>
          <w:rStyle w:val="FootnoteReference"/>
          <w:szCs w:val="19"/>
        </w:rPr>
        <w:footnoteRef/>
      </w:r>
      <w:r w:rsidRPr="00F905AC">
        <w:rPr>
          <w:szCs w:val="19"/>
        </w:rPr>
        <w:t xml:space="preserve"> Ibid p.79.</w:t>
      </w:r>
    </w:p>
  </w:footnote>
  <w:footnote w:id="6">
    <w:p w14:paraId="5B71FF33" w14:textId="15926B04" w:rsidR="00A57487" w:rsidRPr="00FF4DB5" w:rsidRDefault="00A57487">
      <w:pPr>
        <w:pStyle w:val="FootnoteText"/>
        <w:rPr>
          <w:szCs w:val="19"/>
        </w:rPr>
      </w:pPr>
      <w:r w:rsidRPr="00F905AC">
        <w:rPr>
          <w:rStyle w:val="FootnoteReference"/>
          <w:szCs w:val="19"/>
        </w:rPr>
        <w:footnoteRef/>
      </w:r>
      <w:r w:rsidRPr="00F905AC">
        <w:rPr>
          <w:szCs w:val="19"/>
        </w:rPr>
        <w:t xml:space="preserve"> Ibid p.78.</w:t>
      </w:r>
    </w:p>
  </w:footnote>
  <w:footnote w:id="7">
    <w:p w14:paraId="684D6886" w14:textId="35FC13B4" w:rsidR="00A57487" w:rsidRPr="00FF4DB5" w:rsidRDefault="00A57487">
      <w:pPr>
        <w:pStyle w:val="FootnoteText"/>
        <w:rPr>
          <w:szCs w:val="19"/>
        </w:rPr>
      </w:pPr>
      <w:r w:rsidRPr="00F905AC">
        <w:rPr>
          <w:rStyle w:val="FootnoteReference"/>
          <w:szCs w:val="19"/>
        </w:rPr>
        <w:footnoteRef/>
      </w:r>
      <w:r w:rsidRPr="00F905AC">
        <w:rPr>
          <w:szCs w:val="19"/>
        </w:rPr>
        <w:t xml:space="preserve"> Alex Bruce, </w:t>
      </w:r>
      <w:r w:rsidRPr="00F905AC">
        <w:rPr>
          <w:i/>
          <w:szCs w:val="19"/>
        </w:rPr>
        <w:t>Restrictive Trade Practices Law in Australia</w:t>
      </w:r>
      <w:r w:rsidRPr="00F905AC">
        <w:rPr>
          <w:szCs w:val="19"/>
        </w:rPr>
        <w:t xml:space="preserve"> (LexisNexis Butterworths, 2010), p.133.</w:t>
      </w:r>
    </w:p>
  </w:footnote>
  <w:footnote w:id="8">
    <w:p w14:paraId="7AD8F6FE" w14:textId="0BEB0DD8" w:rsidR="00A57487" w:rsidRPr="00FF4DB5" w:rsidRDefault="00A57487">
      <w:pPr>
        <w:pStyle w:val="FootnoteText"/>
        <w:rPr>
          <w:szCs w:val="19"/>
        </w:rPr>
      </w:pPr>
      <w:r w:rsidRPr="00F905AC">
        <w:rPr>
          <w:rStyle w:val="FootnoteReference"/>
          <w:szCs w:val="19"/>
        </w:rPr>
        <w:footnoteRef/>
      </w:r>
      <w:r w:rsidRPr="00F905AC">
        <w:rPr>
          <w:szCs w:val="19"/>
        </w:rPr>
        <w:t xml:space="preserve"> Herbert Hovenkamp, </w:t>
      </w:r>
      <w:r w:rsidRPr="00F905AC">
        <w:rPr>
          <w:i/>
          <w:szCs w:val="19"/>
        </w:rPr>
        <w:t>The Antitrust Enterprise: Principle and Execution</w:t>
      </w:r>
      <w:r w:rsidRPr="00F905AC">
        <w:rPr>
          <w:szCs w:val="19"/>
        </w:rPr>
        <w:t xml:space="preserve"> (Harvard University Press, 2008), p.108.</w:t>
      </w:r>
    </w:p>
  </w:footnote>
  <w:footnote w:id="9">
    <w:p w14:paraId="614BFAAF" w14:textId="60970502" w:rsidR="00A57487" w:rsidRPr="00FF4DB5" w:rsidRDefault="00A57487" w:rsidP="00AF38D6">
      <w:pPr>
        <w:pStyle w:val="FootnoteText"/>
        <w:rPr>
          <w:szCs w:val="19"/>
        </w:rPr>
      </w:pPr>
      <w:r w:rsidRPr="00F905AC">
        <w:rPr>
          <w:rStyle w:val="FootnoteReference"/>
          <w:szCs w:val="19"/>
        </w:rPr>
        <w:footnoteRef/>
      </w:r>
      <w:r w:rsidRPr="00F905AC">
        <w:rPr>
          <w:szCs w:val="19"/>
        </w:rPr>
        <w:t xml:space="preserve"> M.A. Lemley &amp; C. Leslie, </w:t>
      </w:r>
      <w:r w:rsidRPr="00F905AC">
        <w:rPr>
          <w:i/>
          <w:szCs w:val="19"/>
        </w:rPr>
        <w:t>Antitrust</w:t>
      </w:r>
      <w:r w:rsidRPr="00F905AC">
        <w:rPr>
          <w:szCs w:val="19"/>
        </w:rPr>
        <w:t>, (Thomson BarBri, 10th edn, 2004), p.37.</w:t>
      </w:r>
    </w:p>
  </w:footnote>
  <w:footnote w:id="10">
    <w:p w14:paraId="764E3153" w14:textId="7B1F3E31" w:rsidR="00A57487" w:rsidRPr="00FF4DB5" w:rsidRDefault="00A57487">
      <w:pPr>
        <w:pStyle w:val="FootnoteText"/>
        <w:rPr>
          <w:szCs w:val="19"/>
        </w:rPr>
      </w:pPr>
      <w:r w:rsidRPr="00F905AC">
        <w:rPr>
          <w:rStyle w:val="FootnoteReference"/>
          <w:szCs w:val="19"/>
        </w:rPr>
        <w:footnoteRef/>
      </w:r>
      <w:r w:rsidRPr="00F905AC">
        <w:rPr>
          <w:szCs w:val="19"/>
        </w:rPr>
        <w:t xml:space="preserve"> Hovenkamp, above n 8, p.112.</w:t>
      </w:r>
    </w:p>
  </w:footnote>
  <w:footnote w:id="11">
    <w:p w14:paraId="0B4CABC7" w14:textId="76E42AD5" w:rsidR="00A57487" w:rsidRPr="00FF4DB5" w:rsidRDefault="00A57487" w:rsidP="00AF38D6">
      <w:pPr>
        <w:pStyle w:val="FootnoteText"/>
        <w:rPr>
          <w:szCs w:val="19"/>
        </w:rPr>
      </w:pPr>
      <w:r w:rsidRPr="00F905AC">
        <w:rPr>
          <w:rStyle w:val="FootnoteReference"/>
          <w:szCs w:val="19"/>
        </w:rPr>
        <w:footnoteRef/>
      </w:r>
      <w:r w:rsidRPr="00F905AC">
        <w:rPr>
          <w:szCs w:val="19"/>
        </w:rPr>
        <w:t xml:space="preserve"> Lemley &amp; Leslie, above n 9.</w:t>
      </w:r>
    </w:p>
  </w:footnote>
  <w:footnote w:id="12">
    <w:p w14:paraId="43503A4A" w14:textId="7FE0CDCE" w:rsidR="00A57487" w:rsidRPr="00FF4DB5" w:rsidRDefault="00A57487">
      <w:pPr>
        <w:pStyle w:val="FootnoteText"/>
        <w:rPr>
          <w:szCs w:val="19"/>
        </w:rPr>
      </w:pPr>
      <w:r w:rsidRPr="00F905AC">
        <w:rPr>
          <w:rStyle w:val="FootnoteReference"/>
          <w:szCs w:val="19"/>
        </w:rPr>
        <w:footnoteRef/>
      </w:r>
      <w:r w:rsidRPr="00F905AC">
        <w:rPr>
          <w:szCs w:val="19"/>
        </w:rPr>
        <w:t xml:space="preserve"> George Hay &amp; Rhonda Smith, ''Why Can't a Woman be More Like a Man?' - American and Australian Approaches to Exclusionary Conduct' (2007) 31(3) </w:t>
      </w:r>
      <w:r w:rsidRPr="00F905AC">
        <w:rPr>
          <w:i/>
          <w:szCs w:val="19"/>
        </w:rPr>
        <w:t>Melbourne University Law Review</w:t>
      </w:r>
      <w:r w:rsidRPr="00F905AC">
        <w:rPr>
          <w:szCs w:val="19"/>
        </w:rPr>
        <w:t xml:space="preserve"> 1099.</w:t>
      </w:r>
    </w:p>
  </w:footnote>
  <w:footnote w:id="13">
    <w:p w14:paraId="32BE88D1" w14:textId="6C2FBBB3" w:rsidR="00A57487" w:rsidRPr="00FF4DB5" w:rsidRDefault="00A57487" w:rsidP="00AF38D6">
      <w:pPr>
        <w:pStyle w:val="FootnoteText"/>
        <w:rPr>
          <w:szCs w:val="19"/>
        </w:rPr>
      </w:pPr>
      <w:r w:rsidRPr="00F905AC">
        <w:rPr>
          <w:rStyle w:val="FootnoteReference"/>
          <w:szCs w:val="19"/>
        </w:rPr>
        <w:footnoteRef/>
      </w:r>
      <w:r w:rsidRPr="00F905AC">
        <w:rPr>
          <w:szCs w:val="19"/>
        </w:rPr>
        <w:t xml:space="preserve"> Lemley &amp; Leslie, above n 9, p. 46.</w:t>
      </w:r>
    </w:p>
  </w:footnote>
  <w:footnote w:id="14">
    <w:p w14:paraId="114D2952" w14:textId="7F59ACFE"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ACCC v Cement Australia Pty Ltd</w:t>
      </w:r>
      <w:r w:rsidRPr="00F905AC">
        <w:rPr>
          <w:szCs w:val="19"/>
        </w:rPr>
        <w:t xml:space="preserve"> [2013] FCA 909, at [2997].</w:t>
      </w:r>
    </w:p>
  </w:footnote>
  <w:footnote w:id="15">
    <w:p w14:paraId="23034722" w14:textId="5B12E7F6" w:rsidR="00A57487" w:rsidRPr="00FF4DB5" w:rsidRDefault="00A57487">
      <w:pPr>
        <w:pStyle w:val="FootnoteText"/>
        <w:rPr>
          <w:szCs w:val="19"/>
        </w:rPr>
      </w:pPr>
      <w:r w:rsidRPr="00F905AC">
        <w:rPr>
          <w:rStyle w:val="FootnoteReference"/>
          <w:szCs w:val="19"/>
        </w:rPr>
        <w:footnoteRef/>
      </w:r>
      <w:r w:rsidRPr="00F905AC">
        <w:rPr>
          <w:szCs w:val="19"/>
        </w:rPr>
        <w:t xml:space="preserve"> Ibid at [3005].</w:t>
      </w:r>
    </w:p>
  </w:footnote>
  <w:footnote w:id="16">
    <w:p w14:paraId="369F46CC" w14:textId="3B86B4E5" w:rsidR="00A57487" w:rsidRPr="00FF4DB5" w:rsidRDefault="00A57487">
      <w:pPr>
        <w:pStyle w:val="FootnoteText"/>
        <w:rPr>
          <w:szCs w:val="19"/>
        </w:rPr>
      </w:pPr>
      <w:r w:rsidRPr="00F905AC">
        <w:rPr>
          <w:rStyle w:val="FootnoteReference"/>
          <w:szCs w:val="19"/>
        </w:rPr>
        <w:footnoteRef/>
      </w:r>
      <w:r w:rsidRPr="00F905AC">
        <w:rPr>
          <w:szCs w:val="19"/>
        </w:rPr>
        <w:t xml:space="preserve"> Lemley &amp; Leslie, above n 9, pp. 52, 54.</w:t>
      </w:r>
    </w:p>
  </w:footnote>
  <w:footnote w:id="17">
    <w:p w14:paraId="56E371F0" w14:textId="32AB8514" w:rsidR="00A57487" w:rsidRPr="00FF4DB5" w:rsidRDefault="00A57487" w:rsidP="00AF38D6">
      <w:pPr>
        <w:pStyle w:val="FootnoteText"/>
        <w:rPr>
          <w:szCs w:val="19"/>
        </w:rPr>
      </w:pPr>
      <w:r w:rsidRPr="00F905AC">
        <w:rPr>
          <w:rStyle w:val="FootnoteReference"/>
          <w:szCs w:val="19"/>
        </w:rPr>
        <w:footnoteRef/>
      </w:r>
      <w:r w:rsidRPr="00F905AC">
        <w:rPr>
          <w:szCs w:val="19"/>
        </w:rPr>
        <w:t xml:space="preserve"> Ibid p. 54.</w:t>
      </w:r>
    </w:p>
  </w:footnote>
  <w:footnote w:id="18">
    <w:p w14:paraId="5FFC7F20" w14:textId="7BAE3F40" w:rsidR="00A57487" w:rsidRPr="00FF4DB5" w:rsidRDefault="00A57487" w:rsidP="00AF38D6">
      <w:pPr>
        <w:pStyle w:val="FootnoteText"/>
        <w:rPr>
          <w:szCs w:val="19"/>
        </w:rPr>
      </w:pPr>
      <w:r w:rsidRPr="00F905AC">
        <w:rPr>
          <w:rStyle w:val="FootnoteReference"/>
          <w:szCs w:val="19"/>
        </w:rPr>
        <w:footnoteRef/>
      </w:r>
      <w:r w:rsidRPr="00F905AC">
        <w:rPr>
          <w:szCs w:val="19"/>
        </w:rPr>
        <w:t xml:space="preserve">  J.D. Wright, 'Dissenting Statement of Commissioner Joshua D. Wright in the Matter of McWane Inc. et. al.; Docket No. 9351' (Federal Trade Commission, 2014).</w:t>
      </w:r>
    </w:p>
  </w:footnote>
  <w:footnote w:id="19">
    <w:p w14:paraId="2908C5C1" w14:textId="78D2A63F" w:rsidR="00A57487" w:rsidRPr="00FF4DB5" w:rsidRDefault="00A57487" w:rsidP="003F6805">
      <w:pPr>
        <w:pStyle w:val="FootnoteText"/>
        <w:rPr>
          <w:szCs w:val="19"/>
        </w:rPr>
      </w:pPr>
      <w:r w:rsidRPr="00F905AC">
        <w:rPr>
          <w:rStyle w:val="FootnoteReference"/>
          <w:szCs w:val="19"/>
        </w:rPr>
        <w:footnoteRef/>
      </w:r>
      <w:r w:rsidRPr="00F905AC">
        <w:rPr>
          <w:szCs w:val="19"/>
        </w:rPr>
        <w:t xml:space="preserve"> Michal Gal, 'Monopoly pricing as an antitrust offense in the U.S. and the EC: Two systems of belief about monopoly?' (2004) </w:t>
      </w:r>
      <w:r w:rsidRPr="00F905AC">
        <w:rPr>
          <w:i/>
          <w:szCs w:val="19"/>
        </w:rPr>
        <w:t>Antitrust Bulletin</w:t>
      </w:r>
      <w:r w:rsidRPr="00F905AC">
        <w:rPr>
          <w:szCs w:val="19"/>
        </w:rPr>
        <w:t>, pp. 20-21.</w:t>
      </w:r>
    </w:p>
  </w:footnote>
  <w:footnote w:id="20">
    <w:p w14:paraId="11734FD3" w14:textId="37A00125" w:rsidR="00A57487" w:rsidRPr="00FF4DB5" w:rsidRDefault="00A57487" w:rsidP="003F6805">
      <w:pPr>
        <w:pStyle w:val="FootnoteText"/>
        <w:rPr>
          <w:szCs w:val="19"/>
        </w:rPr>
      </w:pPr>
      <w:r w:rsidRPr="00F905AC">
        <w:rPr>
          <w:rStyle w:val="FootnoteReference"/>
          <w:szCs w:val="19"/>
        </w:rPr>
        <w:footnoteRef/>
      </w:r>
      <w:r w:rsidRPr="00F905AC">
        <w:rPr>
          <w:szCs w:val="19"/>
        </w:rPr>
        <w:t xml:space="preserve"> Ibid p.13.</w:t>
      </w:r>
    </w:p>
  </w:footnote>
  <w:footnote w:id="21">
    <w:p w14:paraId="51AC2E48" w14:textId="28419C42" w:rsidR="00A57487" w:rsidRPr="00FF4DB5" w:rsidRDefault="00A57487">
      <w:pPr>
        <w:pStyle w:val="FootnoteText"/>
        <w:rPr>
          <w:szCs w:val="19"/>
        </w:rPr>
      </w:pPr>
      <w:r w:rsidRPr="00F905AC">
        <w:rPr>
          <w:rStyle w:val="FootnoteReference"/>
          <w:szCs w:val="19"/>
        </w:rPr>
        <w:footnoteRef/>
      </w:r>
      <w:r w:rsidRPr="00F905AC">
        <w:rPr>
          <w:szCs w:val="19"/>
        </w:rPr>
        <w:t xml:space="preserve"> Hovenkamp, above n 8, p. 151.</w:t>
      </w:r>
    </w:p>
  </w:footnote>
  <w:footnote w:id="22">
    <w:p w14:paraId="4877F512" w14:textId="49E62D21" w:rsidR="00A57487" w:rsidRPr="00FF4DB5" w:rsidRDefault="00A57487" w:rsidP="00143485">
      <w:pPr>
        <w:pStyle w:val="FootnoteText"/>
        <w:rPr>
          <w:szCs w:val="19"/>
        </w:rPr>
      </w:pPr>
      <w:r w:rsidRPr="00F905AC">
        <w:rPr>
          <w:rStyle w:val="FootnoteReference"/>
          <w:szCs w:val="19"/>
        </w:rPr>
        <w:footnoteRef/>
      </w:r>
      <w:r w:rsidRPr="00F905AC">
        <w:rPr>
          <w:szCs w:val="19"/>
        </w:rPr>
        <w:t xml:space="preserve"> Peter Davis &amp; Eliana Garces, </w:t>
      </w:r>
      <w:r w:rsidRPr="00F905AC">
        <w:rPr>
          <w:i/>
          <w:szCs w:val="19"/>
        </w:rPr>
        <w:t>Quantitative Techniques for Competition and Antitrust Analysis</w:t>
      </w:r>
      <w:r w:rsidRPr="00F905AC">
        <w:rPr>
          <w:szCs w:val="19"/>
        </w:rPr>
        <w:t xml:space="preserve"> (Princeton University Press, 2010), pp. 19-21.</w:t>
      </w:r>
    </w:p>
  </w:footnote>
  <w:footnote w:id="23">
    <w:p w14:paraId="15AECE5C" w14:textId="474870EE" w:rsidR="00A57487" w:rsidRPr="00FF4DB5" w:rsidRDefault="00A57487" w:rsidP="005444CA">
      <w:pPr>
        <w:pStyle w:val="FootnoteText"/>
        <w:rPr>
          <w:szCs w:val="19"/>
        </w:rPr>
      </w:pPr>
      <w:r w:rsidRPr="00F905AC">
        <w:rPr>
          <w:rStyle w:val="FootnoteReference"/>
          <w:szCs w:val="19"/>
        </w:rPr>
        <w:footnoteRef/>
      </w:r>
      <w:r w:rsidRPr="00F905AC">
        <w:rPr>
          <w:szCs w:val="19"/>
        </w:rPr>
        <w:t xml:space="preserve"> Ian B. Stewart, </w:t>
      </w:r>
      <w:r w:rsidRPr="00F905AC">
        <w:rPr>
          <w:i/>
          <w:szCs w:val="19"/>
        </w:rPr>
        <w:t>The Misuse of Market Power in Australia</w:t>
      </w:r>
      <w:r w:rsidRPr="00F905AC">
        <w:rPr>
          <w:szCs w:val="19"/>
        </w:rPr>
        <w:t xml:space="preserve"> (Kindle, 2013), preface.</w:t>
      </w:r>
    </w:p>
  </w:footnote>
  <w:footnote w:id="24">
    <w:p w14:paraId="2E0B0FF2" w14:textId="2F7BFB31" w:rsidR="00A57487" w:rsidRPr="00FF4DB5" w:rsidRDefault="00A57487">
      <w:pPr>
        <w:pStyle w:val="FootnoteText"/>
        <w:rPr>
          <w:szCs w:val="19"/>
        </w:rPr>
      </w:pPr>
      <w:r w:rsidRPr="00F905AC">
        <w:rPr>
          <w:rStyle w:val="FootnoteReference"/>
          <w:szCs w:val="19"/>
        </w:rPr>
        <w:footnoteRef/>
      </w:r>
      <w:r w:rsidRPr="00F905AC">
        <w:rPr>
          <w:szCs w:val="19"/>
        </w:rPr>
        <w:t xml:space="preserve"> Bruce, above n 7, p.105.</w:t>
      </w:r>
    </w:p>
  </w:footnote>
  <w:footnote w:id="25">
    <w:p w14:paraId="6E2F4E79" w14:textId="043B31A0" w:rsidR="00A57487" w:rsidRPr="00FF4DB5" w:rsidRDefault="00A57487" w:rsidP="005444CA">
      <w:pPr>
        <w:pStyle w:val="FootnoteText"/>
        <w:rPr>
          <w:szCs w:val="19"/>
        </w:rPr>
      </w:pPr>
      <w:r w:rsidRPr="00F905AC">
        <w:rPr>
          <w:rStyle w:val="FootnoteReference"/>
          <w:szCs w:val="19"/>
        </w:rPr>
        <w:footnoteRef/>
      </w:r>
      <w:r w:rsidRPr="00F905AC">
        <w:rPr>
          <w:szCs w:val="19"/>
        </w:rPr>
        <w:t xml:space="preserve"> Stewart, above n 2</w:t>
      </w:r>
      <w:r>
        <w:rPr>
          <w:szCs w:val="19"/>
        </w:rPr>
        <w:t>3</w:t>
      </w:r>
      <w:r w:rsidRPr="00F905AC">
        <w:rPr>
          <w:szCs w:val="19"/>
        </w:rPr>
        <w:t>.</w:t>
      </w:r>
    </w:p>
  </w:footnote>
  <w:footnote w:id="26">
    <w:p w14:paraId="1D8F422F" w14:textId="6DE8D917" w:rsidR="00A57487" w:rsidRPr="00FF4DB5" w:rsidRDefault="00A57487">
      <w:pPr>
        <w:pStyle w:val="FootnoteText"/>
        <w:rPr>
          <w:szCs w:val="19"/>
        </w:rPr>
      </w:pPr>
      <w:r w:rsidRPr="00F905AC">
        <w:rPr>
          <w:rStyle w:val="FootnoteReference"/>
          <w:szCs w:val="19"/>
        </w:rPr>
        <w:footnoteRef/>
      </w:r>
      <w:r w:rsidRPr="00F905AC">
        <w:rPr>
          <w:szCs w:val="19"/>
        </w:rPr>
        <w:t xml:space="preserve"> Stephen Salop, 'The First Principles Approach to Antitrust, Kodak, and Antitrust at the Millennium' (2000) 68(1) </w:t>
      </w:r>
      <w:r w:rsidRPr="00F905AC">
        <w:rPr>
          <w:i/>
          <w:szCs w:val="19"/>
        </w:rPr>
        <w:t>Antitrust Law Journal</w:t>
      </w:r>
      <w:r w:rsidRPr="00F905AC">
        <w:rPr>
          <w:szCs w:val="19"/>
        </w:rPr>
        <w:t xml:space="preserve"> 187, p.192. </w:t>
      </w:r>
    </w:p>
  </w:footnote>
  <w:footnote w:id="27">
    <w:p w14:paraId="2272EB13" w14:textId="15E0518E" w:rsidR="00A57487" w:rsidRPr="00FF4DB5" w:rsidRDefault="00A57487">
      <w:pPr>
        <w:pStyle w:val="FootnoteText"/>
        <w:rPr>
          <w:szCs w:val="19"/>
        </w:rPr>
      </w:pPr>
      <w:r w:rsidRPr="00F905AC">
        <w:rPr>
          <w:rStyle w:val="FootnoteReference"/>
          <w:szCs w:val="19"/>
        </w:rPr>
        <w:footnoteRef/>
      </w:r>
      <w:r w:rsidRPr="00F905AC">
        <w:rPr>
          <w:szCs w:val="19"/>
        </w:rPr>
        <w:t xml:space="preserve"> Ibid p.192 (italics added).</w:t>
      </w:r>
    </w:p>
  </w:footnote>
  <w:footnote w:id="28">
    <w:p w14:paraId="3E9EDBC5" w14:textId="1F13AE03" w:rsidR="00A57487" w:rsidRPr="00FF4DB5" w:rsidRDefault="00A57487">
      <w:pPr>
        <w:pStyle w:val="FootnoteText"/>
        <w:rPr>
          <w:szCs w:val="19"/>
        </w:rPr>
      </w:pPr>
      <w:r w:rsidRPr="00F905AC">
        <w:rPr>
          <w:rStyle w:val="FootnoteReference"/>
          <w:szCs w:val="19"/>
        </w:rPr>
        <w:footnoteRef/>
      </w:r>
      <w:r w:rsidRPr="00F905AC">
        <w:rPr>
          <w:szCs w:val="19"/>
        </w:rPr>
        <w:t xml:space="preserve"> Ibid pp. 187-202.</w:t>
      </w:r>
    </w:p>
  </w:footnote>
  <w:footnote w:id="29">
    <w:p w14:paraId="54D93E49" w14:textId="6C12FE12" w:rsidR="00A57487" w:rsidRPr="00FF4DB5" w:rsidRDefault="00A57487">
      <w:pPr>
        <w:pStyle w:val="FootnoteText"/>
        <w:rPr>
          <w:szCs w:val="19"/>
        </w:rPr>
      </w:pPr>
      <w:r w:rsidRPr="00F905AC">
        <w:rPr>
          <w:rStyle w:val="FootnoteReference"/>
          <w:szCs w:val="19"/>
        </w:rPr>
        <w:footnoteRef/>
      </w:r>
      <w:r w:rsidRPr="00F905AC">
        <w:rPr>
          <w:szCs w:val="19"/>
        </w:rPr>
        <w:t xml:space="preserve"> In this submission the terms “legitimate competition” and “competition on the merits” are used interchangeably.</w:t>
      </w:r>
    </w:p>
  </w:footnote>
  <w:footnote w:id="30">
    <w:p w14:paraId="454B9DCD" w14:textId="56F9CCBB"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Boral Besser Masonry Ltd v ACCC</w:t>
      </w:r>
      <w:r w:rsidRPr="00F905AC">
        <w:rPr>
          <w:szCs w:val="19"/>
        </w:rPr>
        <w:t xml:space="preserve"> [2003] HCA 5; 195 ALR 609, at [204].</w:t>
      </w:r>
    </w:p>
  </w:footnote>
  <w:footnote w:id="31">
    <w:p w14:paraId="3B1A637B" w14:textId="451ED4CF"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ACCC v Pfizer Australia Pty Ltd</w:t>
      </w:r>
      <w:r w:rsidRPr="00F905AC">
        <w:rPr>
          <w:szCs w:val="19"/>
        </w:rPr>
        <w:t xml:space="preserve"> [2015] FCA 113, at [57].</w:t>
      </w:r>
    </w:p>
  </w:footnote>
  <w:footnote w:id="32">
    <w:p w14:paraId="424B676F" w14:textId="0B41EF2E" w:rsidR="00A57487" w:rsidRPr="00FF4DB5" w:rsidRDefault="00A57487">
      <w:pPr>
        <w:pStyle w:val="FootnoteText"/>
        <w:rPr>
          <w:szCs w:val="19"/>
        </w:rPr>
      </w:pPr>
      <w:r w:rsidRPr="00F905AC">
        <w:rPr>
          <w:rStyle w:val="FootnoteReference"/>
          <w:szCs w:val="19"/>
        </w:rPr>
        <w:footnoteRef/>
      </w:r>
      <w:r w:rsidRPr="00F905AC">
        <w:rPr>
          <w:szCs w:val="19"/>
        </w:rPr>
        <w:t xml:space="preserve"> Bruce, above n 7, p.106.</w:t>
      </w:r>
    </w:p>
  </w:footnote>
  <w:footnote w:id="33">
    <w:p w14:paraId="6745A159" w14:textId="4244D27F" w:rsidR="00A57487" w:rsidRPr="00FF4DB5" w:rsidRDefault="00A57487" w:rsidP="002C032E">
      <w:pPr>
        <w:pStyle w:val="FootnoteText"/>
        <w:rPr>
          <w:szCs w:val="19"/>
        </w:rPr>
      </w:pPr>
      <w:r w:rsidRPr="00F905AC">
        <w:rPr>
          <w:rStyle w:val="FootnoteReference"/>
          <w:szCs w:val="19"/>
        </w:rPr>
        <w:footnoteRef/>
      </w:r>
      <w:r w:rsidRPr="00F905AC">
        <w:rPr>
          <w:szCs w:val="19"/>
        </w:rPr>
        <w:t xml:space="preserve"> OECD, 'Competition on the Merits' (Policy Roundtables, DAF/COMP(2005)27, 2005), p.10. The “form-based” approach here essentially means that certain forms of conduct are prohibited, whereas an effects–based approach relies on a case-by-case assessment of the effects of the conduct to determine its illegality.</w:t>
      </w:r>
    </w:p>
  </w:footnote>
  <w:footnote w:id="34">
    <w:p w14:paraId="18BE6836" w14:textId="0F823386" w:rsidR="00A57487" w:rsidRPr="00FF4DB5" w:rsidRDefault="00A57487" w:rsidP="009C7CBC">
      <w:pPr>
        <w:pStyle w:val="FootnoteText"/>
        <w:rPr>
          <w:szCs w:val="19"/>
        </w:rPr>
      </w:pPr>
      <w:r w:rsidRPr="00F905AC">
        <w:rPr>
          <w:rStyle w:val="FootnoteReference"/>
          <w:szCs w:val="19"/>
        </w:rPr>
        <w:footnoteRef/>
      </w:r>
      <w:r w:rsidRPr="00F905AC">
        <w:rPr>
          <w:szCs w:val="19"/>
        </w:rPr>
        <w:t xml:space="preserve"> </w:t>
      </w:r>
      <w:r w:rsidRPr="00FF4DB5">
        <w:rPr>
          <w:i/>
          <w:iCs/>
          <w:szCs w:val="19"/>
        </w:rPr>
        <w:t>Queensland Wire Industries Pty Ltd v Broken Hill Proprietary Co Ltd</w:t>
      </w:r>
      <w:r w:rsidRPr="00FF4DB5">
        <w:rPr>
          <w:szCs w:val="19"/>
        </w:rPr>
        <w:t xml:space="preserve"> [1989] HCA 6; (1989) 83 ALR 577; ALR pp. 584 &amp; 587.</w:t>
      </w:r>
    </w:p>
  </w:footnote>
  <w:footnote w:id="35">
    <w:p w14:paraId="5BB0902B" w14:textId="654C1FD6" w:rsidR="00A57487" w:rsidRPr="00FF4DB5" w:rsidRDefault="00A57487" w:rsidP="009C7CBC">
      <w:pPr>
        <w:pStyle w:val="FootnoteText"/>
        <w:rPr>
          <w:szCs w:val="19"/>
        </w:rPr>
      </w:pPr>
      <w:r w:rsidRPr="00F905AC">
        <w:rPr>
          <w:rStyle w:val="FootnoteReference"/>
          <w:szCs w:val="19"/>
        </w:rPr>
        <w:footnoteRef/>
      </w:r>
      <w:r w:rsidRPr="00F905AC">
        <w:rPr>
          <w:szCs w:val="19"/>
        </w:rPr>
        <w:t xml:space="preserve"> </w:t>
      </w:r>
      <w:r w:rsidRPr="00F905AC">
        <w:rPr>
          <w:i/>
          <w:szCs w:val="19"/>
        </w:rPr>
        <w:t>Melway Publishing Pty Ltd v Robert Hicks Pty Ltd</w:t>
      </w:r>
      <w:r w:rsidRPr="00F905AC">
        <w:rPr>
          <w:szCs w:val="19"/>
        </w:rPr>
        <w:t xml:space="preserve"> (2001) ATPR 41-805; [2001] HCA 13; 178 ALR 253; at [44].</w:t>
      </w:r>
    </w:p>
  </w:footnote>
  <w:footnote w:id="36">
    <w:p w14:paraId="1F97B670" w14:textId="0411A3E1" w:rsidR="00A57487" w:rsidRPr="00FF4DB5" w:rsidRDefault="00A57487" w:rsidP="009C7CBC">
      <w:pPr>
        <w:pStyle w:val="FootnoteText"/>
        <w:rPr>
          <w:szCs w:val="19"/>
        </w:rPr>
      </w:pPr>
      <w:r w:rsidRPr="00F905AC">
        <w:rPr>
          <w:rStyle w:val="FootnoteReference"/>
          <w:szCs w:val="19"/>
        </w:rPr>
        <w:footnoteRef/>
      </w:r>
      <w:r w:rsidRPr="00F905AC">
        <w:rPr>
          <w:szCs w:val="19"/>
        </w:rPr>
        <w:t xml:space="preserve"> Bruce, above n 7,  p.119, quoting Jacobsen J in </w:t>
      </w:r>
      <w:r w:rsidRPr="00FF4DB5">
        <w:rPr>
          <w:i/>
          <w:iCs/>
          <w:szCs w:val="19"/>
        </w:rPr>
        <w:t>Pacific National (ACT) Ltd v Queensland Rail</w:t>
      </w:r>
      <w:r w:rsidRPr="00FF4DB5">
        <w:rPr>
          <w:szCs w:val="19"/>
        </w:rPr>
        <w:t xml:space="preserve"> (2006) ATPR (Digest) 46-268; [2006] FCA 91 at [1024].</w:t>
      </w:r>
    </w:p>
  </w:footnote>
  <w:footnote w:id="37">
    <w:p w14:paraId="1A3EA0FC" w14:textId="1DBC2FC4" w:rsidR="00A57487" w:rsidRPr="00FF4DB5" w:rsidRDefault="00A57487" w:rsidP="009C7CBC">
      <w:pPr>
        <w:pStyle w:val="FootnoteText"/>
        <w:rPr>
          <w:szCs w:val="19"/>
        </w:rPr>
      </w:pPr>
      <w:r w:rsidRPr="00F905AC">
        <w:rPr>
          <w:rStyle w:val="FootnoteReference"/>
          <w:szCs w:val="19"/>
        </w:rPr>
        <w:footnoteRef/>
      </w:r>
      <w:r w:rsidRPr="00F905AC">
        <w:rPr>
          <w:szCs w:val="19"/>
        </w:rPr>
        <w:t xml:space="preserve"> </w:t>
      </w:r>
      <w:r w:rsidRPr="00F905AC">
        <w:rPr>
          <w:i/>
          <w:szCs w:val="19"/>
        </w:rPr>
        <w:t>Natwest Australia Bank Ltd v Boral Gerrard Strapping Systems Pty Ltd</w:t>
      </w:r>
      <w:r w:rsidRPr="00F905AC">
        <w:rPr>
          <w:szCs w:val="19"/>
        </w:rPr>
        <w:t xml:space="preserve"> (1992) ATPR 41-196; 111 ALR 631; ALR p.631.</w:t>
      </w:r>
    </w:p>
  </w:footnote>
  <w:footnote w:id="38">
    <w:p w14:paraId="4CAB3009" w14:textId="6DEB6851"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Rural Press Ltd v ACCC</w:t>
      </w:r>
      <w:r w:rsidRPr="00F905AC">
        <w:rPr>
          <w:szCs w:val="19"/>
        </w:rPr>
        <w:t xml:space="preserve"> [2003] HCA 75; (2003) ATPR 41-965. Stewart observes, in this context, that the “courts have used either could or would, without distinction in meaning”; Stewart, above n 2</w:t>
      </w:r>
      <w:r>
        <w:rPr>
          <w:szCs w:val="19"/>
        </w:rPr>
        <w:t>3</w:t>
      </w:r>
      <w:r w:rsidRPr="00F905AC">
        <w:rPr>
          <w:szCs w:val="19"/>
        </w:rPr>
        <w:t>, ch.17.</w:t>
      </w:r>
    </w:p>
  </w:footnote>
  <w:footnote w:id="39">
    <w:p w14:paraId="4DCD9397" w14:textId="7B0DD72B"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Melway</w:t>
      </w:r>
      <w:r w:rsidRPr="00F905AC">
        <w:rPr>
          <w:szCs w:val="19"/>
        </w:rPr>
        <w:t>, above n 3</w:t>
      </w:r>
      <w:r>
        <w:rPr>
          <w:szCs w:val="19"/>
        </w:rPr>
        <w:t>5</w:t>
      </w:r>
      <w:r w:rsidRPr="00F905AC">
        <w:rPr>
          <w:szCs w:val="19"/>
        </w:rPr>
        <w:t>, at [53].</w:t>
      </w:r>
    </w:p>
  </w:footnote>
  <w:footnote w:id="40">
    <w:p w14:paraId="077519B8" w14:textId="027CC3AF" w:rsidR="00A57487" w:rsidRPr="00FF4DB5" w:rsidRDefault="00A57487" w:rsidP="0001775A">
      <w:pPr>
        <w:pStyle w:val="FootnoteText"/>
        <w:rPr>
          <w:szCs w:val="19"/>
        </w:rPr>
      </w:pPr>
      <w:r w:rsidRPr="00F905AC">
        <w:rPr>
          <w:rStyle w:val="FootnoteReference"/>
          <w:szCs w:val="19"/>
        </w:rPr>
        <w:footnoteRef/>
      </w:r>
      <w:r w:rsidRPr="00F905AC">
        <w:rPr>
          <w:szCs w:val="19"/>
        </w:rPr>
        <w:t xml:space="preserve"> Bruce, above n 7, pp. 111-112.</w:t>
      </w:r>
    </w:p>
  </w:footnote>
  <w:footnote w:id="41">
    <w:p w14:paraId="6E4B7E66" w14:textId="77777777" w:rsidR="00A57487" w:rsidRPr="00FF4DB5" w:rsidRDefault="00A57487" w:rsidP="00677F9D">
      <w:pPr>
        <w:pStyle w:val="FootnoteText"/>
        <w:rPr>
          <w:szCs w:val="19"/>
        </w:rPr>
      </w:pPr>
      <w:r w:rsidRPr="00F905AC">
        <w:rPr>
          <w:rStyle w:val="FootnoteReference"/>
          <w:szCs w:val="19"/>
        </w:rPr>
        <w:footnoteRef/>
      </w:r>
      <w:r w:rsidRPr="00F905AC">
        <w:rPr>
          <w:szCs w:val="19"/>
        </w:rPr>
        <w:t xml:space="preserve"> </w:t>
      </w:r>
      <w:r w:rsidRPr="00F905AC">
        <w:rPr>
          <w:i/>
          <w:szCs w:val="19"/>
        </w:rPr>
        <w:t>ACCC v Cement Australia Pty Ltd</w:t>
      </w:r>
      <w:r w:rsidRPr="00F905AC">
        <w:rPr>
          <w:szCs w:val="19"/>
        </w:rPr>
        <w:t>, above n 14</w:t>
      </w:r>
      <w:r>
        <w:rPr>
          <w:szCs w:val="19"/>
        </w:rPr>
        <w:t>, at [1899]</w:t>
      </w:r>
      <w:r w:rsidRPr="00F905AC">
        <w:rPr>
          <w:szCs w:val="19"/>
        </w:rPr>
        <w:t>.</w:t>
      </w:r>
    </w:p>
  </w:footnote>
  <w:footnote w:id="42">
    <w:p w14:paraId="60461A4F" w14:textId="5D04949D"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ACCC v Pfizer Australia Pty Ltd</w:t>
      </w:r>
      <w:r w:rsidRPr="00F905AC">
        <w:rPr>
          <w:szCs w:val="19"/>
        </w:rPr>
        <w:t xml:space="preserve">, above n </w:t>
      </w:r>
      <w:r>
        <w:rPr>
          <w:szCs w:val="19"/>
        </w:rPr>
        <w:t>31</w:t>
      </w:r>
      <w:r w:rsidRPr="00F905AC">
        <w:rPr>
          <w:szCs w:val="19"/>
        </w:rPr>
        <w:t xml:space="preserve">, at [315]. </w:t>
      </w:r>
    </w:p>
  </w:footnote>
  <w:footnote w:id="43">
    <w:p w14:paraId="332A3DE7" w14:textId="61912794" w:rsidR="00A57487" w:rsidRPr="00FF4DB5" w:rsidRDefault="00A57487" w:rsidP="009C7CBC">
      <w:pPr>
        <w:pStyle w:val="FootnoteText"/>
        <w:rPr>
          <w:szCs w:val="19"/>
        </w:rPr>
      </w:pPr>
      <w:r w:rsidRPr="00F905AC">
        <w:rPr>
          <w:rStyle w:val="FootnoteReference"/>
          <w:szCs w:val="19"/>
        </w:rPr>
        <w:footnoteRef/>
      </w:r>
      <w:r w:rsidRPr="00F905AC">
        <w:rPr>
          <w:szCs w:val="19"/>
        </w:rPr>
        <w:t xml:space="preserve"> Bruce, above n 7, p.113.</w:t>
      </w:r>
    </w:p>
  </w:footnote>
  <w:footnote w:id="44">
    <w:p w14:paraId="769590DF" w14:textId="13C63EF4" w:rsidR="00A57487" w:rsidRPr="00FF4DB5" w:rsidRDefault="00A57487" w:rsidP="009C7CBC">
      <w:pPr>
        <w:pStyle w:val="FootnoteText"/>
        <w:rPr>
          <w:szCs w:val="19"/>
        </w:rPr>
      </w:pPr>
      <w:r w:rsidRPr="00F905AC">
        <w:rPr>
          <w:rStyle w:val="FootnoteReference"/>
          <w:szCs w:val="19"/>
        </w:rPr>
        <w:footnoteRef/>
      </w:r>
      <w:r w:rsidRPr="00F905AC">
        <w:rPr>
          <w:szCs w:val="19"/>
        </w:rPr>
        <w:t xml:space="preserve"> Stewart, above n 2</w:t>
      </w:r>
      <w:r>
        <w:rPr>
          <w:szCs w:val="19"/>
        </w:rPr>
        <w:t>3</w:t>
      </w:r>
      <w:r w:rsidRPr="00F905AC">
        <w:rPr>
          <w:szCs w:val="19"/>
        </w:rPr>
        <w:t>, Preface.</w:t>
      </w:r>
    </w:p>
  </w:footnote>
  <w:footnote w:id="45">
    <w:p w14:paraId="6CC76988" w14:textId="3769CA0B" w:rsidR="00A57487" w:rsidRPr="00FF4DB5" w:rsidRDefault="00A57487" w:rsidP="006F7CC8">
      <w:pPr>
        <w:pStyle w:val="FootnoteText"/>
        <w:rPr>
          <w:szCs w:val="19"/>
        </w:rPr>
      </w:pPr>
      <w:r w:rsidRPr="00F905AC">
        <w:rPr>
          <w:rStyle w:val="FootnoteReference"/>
          <w:szCs w:val="19"/>
        </w:rPr>
        <w:footnoteRef/>
      </w:r>
      <w:r w:rsidRPr="00F905AC">
        <w:rPr>
          <w:szCs w:val="19"/>
        </w:rPr>
        <w:t xml:space="preserve"> Stewart, above n 2</w:t>
      </w:r>
      <w:r>
        <w:rPr>
          <w:szCs w:val="19"/>
        </w:rPr>
        <w:t>3</w:t>
      </w:r>
      <w:r w:rsidRPr="00F905AC">
        <w:rPr>
          <w:szCs w:val="19"/>
        </w:rPr>
        <w:t>, ch.21 para. 3.</w:t>
      </w:r>
    </w:p>
  </w:footnote>
  <w:footnote w:id="46">
    <w:p w14:paraId="58149F88" w14:textId="37CE7A4A" w:rsidR="00A57487" w:rsidRPr="00F905AC" w:rsidRDefault="00A57487" w:rsidP="0072326F">
      <w:pPr>
        <w:rPr>
          <w:sz w:val="19"/>
          <w:szCs w:val="19"/>
        </w:rPr>
      </w:pPr>
      <w:r w:rsidRPr="00F905AC">
        <w:rPr>
          <w:sz w:val="19"/>
          <w:szCs w:val="19"/>
          <w:vertAlign w:val="superscript"/>
        </w:rPr>
        <w:footnoteRef/>
      </w:r>
      <w:r w:rsidRPr="00F905AC">
        <w:rPr>
          <w:sz w:val="19"/>
          <w:szCs w:val="19"/>
        </w:rPr>
        <w:t xml:space="preserve"> </w:t>
      </w:r>
      <w:r w:rsidRPr="00F905AC">
        <w:rPr>
          <w:rStyle w:val="FootnoteTextChar"/>
          <w:i/>
          <w:szCs w:val="19"/>
        </w:rPr>
        <w:t>Chicago Board of Trade v United States</w:t>
      </w:r>
      <w:r w:rsidRPr="00F905AC">
        <w:rPr>
          <w:rStyle w:val="FootnoteTextChar"/>
          <w:szCs w:val="19"/>
        </w:rPr>
        <w:t>, 246 U.S. 231 (1918), at 238.</w:t>
      </w:r>
    </w:p>
  </w:footnote>
  <w:footnote w:id="47">
    <w:p w14:paraId="4F808DA5" w14:textId="50071EB2" w:rsidR="00A57487" w:rsidRPr="00FF4DB5" w:rsidRDefault="00A57487" w:rsidP="00FE1448">
      <w:pPr>
        <w:pStyle w:val="FootnoteText"/>
        <w:rPr>
          <w:szCs w:val="19"/>
        </w:rPr>
      </w:pPr>
      <w:r w:rsidRPr="00F905AC">
        <w:rPr>
          <w:rStyle w:val="FootnoteReference"/>
          <w:szCs w:val="19"/>
        </w:rPr>
        <w:footnoteRef/>
      </w:r>
      <w:r w:rsidRPr="00F905AC">
        <w:rPr>
          <w:szCs w:val="19"/>
        </w:rPr>
        <w:t xml:space="preserve"> Hovenkamp, above n 8, p.105.</w:t>
      </w:r>
    </w:p>
  </w:footnote>
  <w:footnote w:id="48">
    <w:p w14:paraId="6A674215" w14:textId="7BB0F87D" w:rsidR="00A57487" w:rsidRPr="00FF4DB5" w:rsidRDefault="00A57487" w:rsidP="007769CB">
      <w:pPr>
        <w:pStyle w:val="FootnoteText"/>
        <w:rPr>
          <w:szCs w:val="19"/>
        </w:rPr>
      </w:pPr>
      <w:r w:rsidRPr="00F905AC">
        <w:rPr>
          <w:rStyle w:val="FootnoteReference"/>
          <w:szCs w:val="19"/>
        </w:rPr>
        <w:footnoteRef/>
      </w:r>
      <w:r w:rsidRPr="00F905AC">
        <w:rPr>
          <w:szCs w:val="19"/>
        </w:rPr>
        <w:t xml:space="preserve"> Maurice Stucke, 'Is Intent Relevant?' (2012) 8(4) </w:t>
      </w:r>
      <w:r w:rsidRPr="00F905AC">
        <w:rPr>
          <w:i/>
          <w:szCs w:val="19"/>
        </w:rPr>
        <w:t>Journal of Law, Economics &amp; Policy</w:t>
      </w:r>
      <w:r w:rsidRPr="00F905AC">
        <w:rPr>
          <w:szCs w:val="19"/>
        </w:rPr>
        <w:t xml:space="preserve"> 801, p. 807.</w:t>
      </w:r>
    </w:p>
  </w:footnote>
  <w:footnote w:id="49">
    <w:p w14:paraId="2BD95F09" w14:textId="77025097" w:rsidR="00A57487" w:rsidRPr="00FF4DB5" w:rsidRDefault="00A57487" w:rsidP="00FE1448">
      <w:pPr>
        <w:pStyle w:val="FootnoteText"/>
        <w:rPr>
          <w:szCs w:val="19"/>
        </w:rPr>
      </w:pPr>
      <w:r w:rsidRPr="00F905AC">
        <w:rPr>
          <w:rStyle w:val="FootnoteReference"/>
          <w:szCs w:val="19"/>
        </w:rPr>
        <w:footnoteRef/>
      </w:r>
      <w:r w:rsidRPr="00F905AC">
        <w:rPr>
          <w:szCs w:val="19"/>
        </w:rPr>
        <w:t xml:space="preserve"> Ibid pp. 815, 857.</w:t>
      </w:r>
    </w:p>
  </w:footnote>
  <w:footnote w:id="50">
    <w:p w14:paraId="7D14F935" w14:textId="539CEA16" w:rsidR="00A57487" w:rsidRPr="00FF4DB5" w:rsidRDefault="00A57487">
      <w:pPr>
        <w:pStyle w:val="FootnoteText"/>
        <w:rPr>
          <w:szCs w:val="19"/>
        </w:rPr>
      </w:pPr>
      <w:r w:rsidRPr="00F905AC">
        <w:rPr>
          <w:rStyle w:val="FootnoteReference"/>
          <w:szCs w:val="19"/>
        </w:rPr>
        <w:footnoteRef/>
      </w:r>
      <w:r w:rsidRPr="00F905AC">
        <w:rPr>
          <w:szCs w:val="19"/>
        </w:rPr>
        <w:t xml:space="preserve"> Keith Hylton, </w:t>
      </w:r>
      <w:r w:rsidRPr="00F905AC">
        <w:rPr>
          <w:i/>
          <w:szCs w:val="19"/>
        </w:rPr>
        <w:t>Antitrust Law: Economic Theory and Common Law Evolution</w:t>
      </w:r>
      <w:r w:rsidRPr="00F905AC">
        <w:rPr>
          <w:szCs w:val="19"/>
        </w:rPr>
        <w:t xml:space="preserve"> (Cambridge University Press, 2003), p.192.</w:t>
      </w:r>
    </w:p>
  </w:footnote>
  <w:footnote w:id="51">
    <w:p w14:paraId="58E230BC" w14:textId="7078D2B2" w:rsidR="00A57487" w:rsidRPr="00FF4DB5" w:rsidRDefault="00A57487" w:rsidP="007769CB">
      <w:pPr>
        <w:pStyle w:val="FootnoteText"/>
        <w:rPr>
          <w:szCs w:val="19"/>
        </w:rPr>
      </w:pPr>
      <w:r w:rsidRPr="00F905AC">
        <w:rPr>
          <w:rStyle w:val="FootnoteReference"/>
          <w:szCs w:val="19"/>
        </w:rPr>
        <w:footnoteRef/>
      </w:r>
      <w:r w:rsidRPr="00F905AC">
        <w:rPr>
          <w:szCs w:val="19"/>
        </w:rPr>
        <w:t xml:space="preserve"> Stucke, above n 4</w:t>
      </w:r>
      <w:r>
        <w:rPr>
          <w:szCs w:val="19"/>
        </w:rPr>
        <w:t>8</w:t>
      </w:r>
      <w:r w:rsidRPr="00F905AC">
        <w:rPr>
          <w:szCs w:val="19"/>
        </w:rPr>
        <w:t>, p. 856.</w:t>
      </w:r>
    </w:p>
  </w:footnote>
  <w:footnote w:id="52">
    <w:p w14:paraId="7D2CCA0F" w14:textId="6637FA89" w:rsidR="00A57487" w:rsidRPr="00FF4DB5" w:rsidRDefault="00A57487">
      <w:pPr>
        <w:pStyle w:val="FootnoteText"/>
        <w:rPr>
          <w:szCs w:val="19"/>
        </w:rPr>
      </w:pPr>
      <w:r w:rsidRPr="00F905AC">
        <w:rPr>
          <w:rStyle w:val="FootnoteReference"/>
          <w:szCs w:val="19"/>
        </w:rPr>
        <w:footnoteRef/>
      </w:r>
      <w:r w:rsidRPr="00F905AC">
        <w:rPr>
          <w:szCs w:val="19"/>
        </w:rPr>
        <w:t xml:space="preserve"> Hylton, above n </w:t>
      </w:r>
      <w:r>
        <w:rPr>
          <w:szCs w:val="19"/>
        </w:rPr>
        <w:t>50</w:t>
      </w:r>
      <w:r w:rsidRPr="00F905AC">
        <w:rPr>
          <w:szCs w:val="19"/>
        </w:rPr>
        <w:t>, p.192.</w:t>
      </w:r>
    </w:p>
  </w:footnote>
  <w:footnote w:id="53">
    <w:p w14:paraId="24DA6741" w14:textId="645B41EB" w:rsidR="00A57487" w:rsidRPr="00FF4DB5" w:rsidRDefault="00A57487">
      <w:pPr>
        <w:pStyle w:val="FootnoteText"/>
        <w:rPr>
          <w:szCs w:val="19"/>
        </w:rPr>
      </w:pPr>
      <w:r w:rsidRPr="00F905AC">
        <w:rPr>
          <w:rStyle w:val="FootnoteReference"/>
          <w:szCs w:val="19"/>
        </w:rPr>
        <w:footnoteRef/>
      </w:r>
      <w:r w:rsidRPr="00F905AC">
        <w:rPr>
          <w:szCs w:val="19"/>
        </w:rPr>
        <w:t xml:space="preserve"> Ibid p.202</w:t>
      </w:r>
    </w:p>
  </w:footnote>
  <w:footnote w:id="54">
    <w:p w14:paraId="08FAFDD1" w14:textId="0C934DFD"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QWI</w:t>
      </w:r>
      <w:r w:rsidRPr="00F905AC">
        <w:rPr>
          <w:szCs w:val="19"/>
        </w:rPr>
        <w:t>, above n 3</w:t>
      </w:r>
      <w:r>
        <w:rPr>
          <w:szCs w:val="19"/>
        </w:rPr>
        <w:t>4</w:t>
      </w:r>
      <w:r w:rsidRPr="00F905AC">
        <w:rPr>
          <w:szCs w:val="19"/>
        </w:rPr>
        <w:t>, ALR p. 602.</w:t>
      </w:r>
    </w:p>
  </w:footnote>
  <w:footnote w:id="55">
    <w:p w14:paraId="7D0F1976" w14:textId="0C3ABB81"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ACCC v Australian Safeway Stores Pty Ltd</w:t>
      </w:r>
      <w:r w:rsidRPr="00F905AC">
        <w:rPr>
          <w:szCs w:val="19"/>
        </w:rPr>
        <w:t xml:space="preserve"> [2003] FCAFC 149; 198 ALR 657</w:t>
      </w:r>
      <w:r>
        <w:rPr>
          <w:szCs w:val="19"/>
        </w:rPr>
        <w:t>, at [341]</w:t>
      </w:r>
      <w:r w:rsidRPr="00F905AC">
        <w:rPr>
          <w:szCs w:val="19"/>
        </w:rPr>
        <w:t>.</w:t>
      </w:r>
    </w:p>
  </w:footnote>
  <w:footnote w:id="56">
    <w:p w14:paraId="78DAF74D" w14:textId="0A238BD3"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Boral</w:t>
      </w:r>
      <w:r w:rsidRPr="00F905AC">
        <w:rPr>
          <w:szCs w:val="19"/>
        </w:rPr>
        <w:t xml:space="preserve">, above n </w:t>
      </w:r>
      <w:r>
        <w:rPr>
          <w:szCs w:val="19"/>
        </w:rPr>
        <w:t>30</w:t>
      </w:r>
      <w:r w:rsidRPr="00F905AC">
        <w:rPr>
          <w:szCs w:val="19"/>
        </w:rPr>
        <w:t>, at [195] per Gaudron, Gummow &amp; Hayne JJ.</w:t>
      </w:r>
    </w:p>
  </w:footnote>
  <w:footnote w:id="57">
    <w:p w14:paraId="32E10E56" w14:textId="4FDB3367" w:rsidR="00A57487" w:rsidRPr="00FF4DB5" w:rsidRDefault="00A57487">
      <w:pPr>
        <w:pStyle w:val="FootnoteText"/>
        <w:rPr>
          <w:szCs w:val="19"/>
        </w:rPr>
      </w:pPr>
      <w:r w:rsidRPr="00F905AC">
        <w:rPr>
          <w:rStyle w:val="FootnoteReference"/>
          <w:szCs w:val="19"/>
        </w:rPr>
        <w:footnoteRef/>
      </w:r>
      <w:r w:rsidRPr="00F905AC">
        <w:rPr>
          <w:szCs w:val="19"/>
        </w:rPr>
        <w:t xml:space="preserve"> Bruce, above n 7, pp. 120-1.</w:t>
      </w:r>
    </w:p>
  </w:footnote>
  <w:footnote w:id="58">
    <w:p w14:paraId="6F2DED12" w14:textId="0DB4A9E2" w:rsidR="00A57487" w:rsidRPr="00FF4DB5" w:rsidRDefault="00A57487" w:rsidP="00A952FC">
      <w:pPr>
        <w:pStyle w:val="FootnoteText"/>
        <w:rPr>
          <w:szCs w:val="19"/>
        </w:rPr>
      </w:pPr>
      <w:r w:rsidRPr="00F905AC">
        <w:rPr>
          <w:rStyle w:val="FootnoteReference"/>
          <w:szCs w:val="19"/>
        </w:rPr>
        <w:footnoteRef/>
      </w:r>
      <w:r w:rsidRPr="00F905AC">
        <w:rPr>
          <w:szCs w:val="19"/>
        </w:rPr>
        <w:t xml:space="preserve"> Andreas Papandreou &amp; John Wheeler, </w:t>
      </w:r>
      <w:r w:rsidRPr="00F905AC">
        <w:rPr>
          <w:i/>
          <w:szCs w:val="19"/>
        </w:rPr>
        <w:t>Competition and its Regulation</w:t>
      </w:r>
      <w:r w:rsidRPr="00F905AC">
        <w:rPr>
          <w:szCs w:val="19"/>
        </w:rPr>
        <w:t xml:space="preserve"> (Prentice Hall, 1954).</w:t>
      </w:r>
    </w:p>
  </w:footnote>
  <w:footnote w:id="59">
    <w:p w14:paraId="499BF1D8" w14:textId="0E1D6432" w:rsidR="00A57487" w:rsidRPr="00FF4DB5" w:rsidRDefault="00A57487" w:rsidP="00A952FC">
      <w:pPr>
        <w:pStyle w:val="FootnoteText"/>
        <w:rPr>
          <w:szCs w:val="19"/>
        </w:rPr>
      </w:pPr>
      <w:r w:rsidRPr="00F905AC">
        <w:rPr>
          <w:rStyle w:val="FootnoteReference"/>
          <w:szCs w:val="19"/>
        </w:rPr>
        <w:footnoteRef/>
      </w:r>
      <w:r w:rsidRPr="00F905AC">
        <w:rPr>
          <w:szCs w:val="19"/>
        </w:rPr>
        <w:t xml:space="preserve"> Gal, above n 19, pp. 18-19.</w:t>
      </w:r>
    </w:p>
  </w:footnote>
  <w:footnote w:id="60">
    <w:p w14:paraId="2B565B33" w14:textId="569C1719" w:rsidR="00A57487" w:rsidRPr="00FF4DB5" w:rsidRDefault="00A57487">
      <w:pPr>
        <w:pStyle w:val="FootnoteText"/>
        <w:rPr>
          <w:szCs w:val="19"/>
        </w:rPr>
      </w:pPr>
      <w:r w:rsidRPr="00F905AC">
        <w:rPr>
          <w:rStyle w:val="FootnoteReference"/>
          <w:szCs w:val="19"/>
        </w:rPr>
        <w:footnoteRef/>
      </w:r>
      <w:r w:rsidRPr="00F905AC">
        <w:rPr>
          <w:szCs w:val="19"/>
        </w:rPr>
        <w:t xml:space="preserve"> I. Harper, P. Anderson, S. McCluskey &amp; M. O’Bryan 'Competition Policy Review: Final Report', (Australian Government, March 2015), p.513. </w:t>
      </w:r>
    </w:p>
  </w:footnote>
  <w:footnote w:id="61">
    <w:p w14:paraId="26C7EA7A" w14:textId="5A6E0B66" w:rsidR="00A57487" w:rsidRPr="00F905AC" w:rsidRDefault="00A57487">
      <w:pPr>
        <w:pStyle w:val="FootnoteText"/>
      </w:pPr>
      <w:r w:rsidRPr="00F905AC">
        <w:rPr>
          <w:rStyle w:val="FootnoteReference"/>
        </w:rPr>
        <w:footnoteRef/>
      </w:r>
      <w:r w:rsidRPr="00F905AC">
        <w:t xml:space="preserve"> </w:t>
      </w:r>
      <w:r>
        <w:t xml:space="preserve">See: </w:t>
      </w:r>
      <w:r w:rsidRPr="00295754">
        <w:t>Edward Woodhouse &amp; David Collingridge, 'Incrementalism, Intelligent Trial-and-Error, and the Future of Political Decision Theory', in</w:t>
      </w:r>
      <w:r>
        <w:t xml:space="preserve"> </w:t>
      </w:r>
      <w:r w:rsidRPr="00295754">
        <w:t>H. Redner</w:t>
      </w:r>
      <w:r>
        <w:t xml:space="preserve"> (ed)</w:t>
      </w:r>
      <w:r w:rsidRPr="00295754">
        <w:t xml:space="preserve"> </w:t>
      </w:r>
      <w:r w:rsidRPr="00295754">
        <w:rPr>
          <w:i/>
        </w:rPr>
        <w:t>An Heretical Heir of the Enlightenment: Politics, Policy, and Science in the Work of Charles E. Lindblom</w:t>
      </w:r>
      <w:r w:rsidRPr="00295754">
        <w:t xml:space="preserve"> </w:t>
      </w:r>
      <w:r>
        <w:t>(</w:t>
      </w:r>
      <w:r w:rsidRPr="00295754">
        <w:t xml:space="preserve">Westview Pr, </w:t>
      </w:r>
      <w:r>
        <w:t>1993)</w:t>
      </w:r>
      <w:r w:rsidRPr="00295754">
        <w:t>.</w:t>
      </w:r>
    </w:p>
  </w:footnote>
  <w:footnote w:id="62">
    <w:p w14:paraId="169D2ECF" w14:textId="10B7D7E0"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Boral</w:t>
      </w:r>
      <w:r w:rsidRPr="00F905AC">
        <w:rPr>
          <w:szCs w:val="19"/>
        </w:rPr>
        <w:t xml:space="preserve">, above n </w:t>
      </w:r>
      <w:r>
        <w:rPr>
          <w:szCs w:val="19"/>
        </w:rPr>
        <w:t>30</w:t>
      </w:r>
      <w:r w:rsidRPr="00F905AC">
        <w:rPr>
          <w:szCs w:val="19"/>
        </w:rPr>
        <w:t>, at [269].</w:t>
      </w:r>
    </w:p>
  </w:footnote>
  <w:footnote w:id="63">
    <w:p w14:paraId="314E8358" w14:textId="1CED56F2"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QWI</w:t>
      </w:r>
      <w:r w:rsidRPr="00F905AC">
        <w:rPr>
          <w:szCs w:val="19"/>
        </w:rPr>
        <w:t>, above n 3</w:t>
      </w:r>
      <w:r>
        <w:rPr>
          <w:szCs w:val="19"/>
        </w:rPr>
        <w:t>4</w:t>
      </w:r>
      <w:r w:rsidRPr="00F905AC">
        <w:rPr>
          <w:szCs w:val="19"/>
        </w:rPr>
        <w:t>, ALR p.591.</w:t>
      </w:r>
    </w:p>
  </w:footnote>
  <w:footnote w:id="64">
    <w:p w14:paraId="530F5DBC" w14:textId="582D4B91" w:rsidR="00A57487" w:rsidRPr="00FF4DB5" w:rsidRDefault="00A57487">
      <w:pPr>
        <w:pStyle w:val="FootnoteText"/>
        <w:rPr>
          <w:szCs w:val="19"/>
        </w:rPr>
      </w:pPr>
      <w:r w:rsidRPr="00F905AC">
        <w:rPr>
          <w:rStyle w:val="FootnoteReference"/>
          <w:szCs w:val="19"/>
        </w:rPr>
        <w:footnoteRef/>
      </w:r>
      <w:r w:rsidRPr="00F905AC">
        <w:rPr>
          <w:szCs w:val="19"/>
        </w:rPr>
        <w:t xml:space="preserve"> </w:t>
      </w:r>
      <w:r w:rsidRPr="00F905AC">
        <w:rPr>
          <w:i/>
          <w:szCs w:val="19"/>
        </w:rPr>
        <w:t>Boral</w:t>
      </w:r>
      <w:r w:rsidRPr="00F905AC">
        <w:rPr>
          <w:szCs w:val="19"/>
        </w:rPr>
        <w:t xml:space="preserve">, above n </w:t>
      </w:r>
      <w:r>
        <w:rPr>
          <w:szCs w:val="19"/>
        </w:rPr>
        <w:t>30</w:t>
      </w:r>
      <w:r w:rsidRPr="00F905AC">
        <w:rPr>
          <w:szCs w:val="19"/>
        </w:rPr>
        <w:t>, at [130].</w:t>
      </w:r>
    </w:p>
  </w:footnote>
  <w:footnote w:id="65">
    <w:p w14:paraId="09B48919" w14:textId="52C37E24" w:rsidR="00A57487" w:rsidRPr="00084800" w:rsidRDefault="00A57487">
      <w:pPr>
        <w:pStyle w:val="FootnoteText"/>
        <w:rPr>
          <w:szCs w:val="19"/>
        </w:rPr>
      </w:pPr>
      <w:r w:rsidRPr="00F905AC">
        <w:rPr>
          <w:rStyle w:val="FootnoteReference"/>
          <w:szCs w:val="19"/>
        </w:rPr>
        <w:footnoteRef/>
      </w:r>
      <w:r w:rsidRPr="00F905AC">
        <w:rPr>
          <w:szCs w:val="19"/>
        </w:rPr>
        <w:t xml:space="preserve"> Although the Act has the objective of promoting competition, Part IV regulates competitive conduct by restricting certain behavio</w:t>
      </w:r>
      <w:r>
        <w:rPr>
          <w:szCs w:val="19"/>
        </w:rPr>
        <w:t>u</w:t>
      </w:r>
      <w:r w:rsidRPr="00F905AC">
        <w:rPr>
          <w:szCs w:val="19"/>
        </w:rPr>
        <w:t>r that is harmful to competition.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F64BEA"/>
    <w:multiLevelType w:val="hybridMultilevel"/>
    <w:tmpl w:val="1AE4DDA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nsid w:val="1A597F6D"/>
    <w:multiLevelType w:val="hybridMultilevel"/>
    <w:tmpl w:val="BCB0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A5A87"/>
    <w:multiLevelType w:val="hybridMultilevel"/>
    <w:tmpl w:val="69E6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8503E"/>
    <w:multiLevelType w:val="hybridMultilevel"/>
    <w:tmpl w:val="5D0E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A2395"/>
    <w:multiLevelType w:val="hybridMultilevel"/>
    <w:tmpl w:val="D744ED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3D1A5CE3"/>
    <w:multiLevelType w:val="hybridMultilevel"/>
    <w:tmpl w:val="61DC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215D7"/>
    <w:multiLevelType w:val="hybridMultilevel"/>
    <w:tmpl w:val="3E501416"/>
    <w:lvl w:ilvl="0" w:tplc="CB7CF8CE">
      <w:start w:val="1"/>
      <w:numFmt w:val="decimal"/>
      <w:pStyle w:val="Num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70D75"/>
    <w:multiLevelType w:val="hybridMultilevel"/>
    <w:tmpl w:val="05247D9A"/>
    <w:lvl w:ilvl="0" w:tplc="1AB63A4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47D06"/>
    <w:multiLevelType w:val="multilevel"/>
    <w:tmpl w:val="88BAE2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5A8B61B3"/>
    <w:multiLevelType w:val="hybridMultilevel"/>
    <w:tmpl w:val="AC68B364"/>
    <w:lvl w:ilvl="0" w:tplc="0409000F">
      <w:start w:val="1"/>
      <w:numFmt w:val="decimal"/>
      <w:lvlText w:val="%1."/>
      <w:lvlJc w:val="left"/>
      <w:pPr>
        <w:ind w:left="720" w:hanging="360"/>
      </w:pPr>
      <w:rPr>
        <w:rFonts w:hint="default"/>
        <w:b w:val="0"/>
        <w:bCs w:val="0"/>
        <w:i w:val="0"/>
        <w:iCs w:val="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DB0417"/>
    <w:multiLevelType w:val="hybridMultilevel"/>
    <w:tmpl w:val="36CC79F4"/>
    <w:lvl w:ilvl="0" w:tplc="2C369F7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43058D"/>
    <w:multiLevelType w:val="hybridMultilevel"/>
    <w:tmpl w:val="579C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0B0997"/>
    <w:multiLevelType w:val="hybridMultilevel"/>
    <w:tmpl w:val="84682B82"/>
    <w:lvl w:ilvl="0" w:tplc="F96AF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9546AB"/>
    <w:multiLevelType w:val="hybridMultilevel"/>
    <w:tmpl w:val="7EE4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0"/>
  </w:num>
  <w:num w:numId="5">
    <w:abstractNumId w:val="4"/>
  </w:num>
  <w:num w:numId="6">
    <w:abstractNumId w:val="5"/>
  </w:num>
  <w:num w:numId="7">
    <w:abstractNumId w:val="12"/>
  </w:num>
  <w:num w:numId="8">
    <w:abstractNumId w:val="2"/>
  </w:num>
  <w:num w:numId="9">
    <w:abstractNumId w:val="10"/>
  </w:num>
  <w:num w:numId="10">
    <w:abstractNumId w:val="13"/>
  </w:num>
  <w:num w:numId="11">
    <w:abstractNumId w:val="8"/>
  </w:num>
  <w:num w:numId="12">
    <w:abstractNumId w:val="6"/>
  </w:num>
  <w:num w:numId="13">
    <w:abstractNumId w:val="1"/>
  </w:num>
  <w:num w:numId="14">
    <w:abstractNumId w:val="3"/>
  </w:num>
  <w:num w:numId="15">
    <w:abstractNumId w:val="14"/>
  </w:num>
  <w:num w:numId="16">
    <w:abstractNumId w:val="11"/>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IMO 6th&lt;/Style&gt;&lt;LeftDelim&gt;{&lt;/LeftDelim&gt;&lt;RightDelim&gt;}&lt;/RightDelim&gt;&lt;FontName&gt;Palatino Linotype&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pv2w05wssafueeeavx0ztyrpvtxdxtd0z9&quot;&gt;Mike_EndNote_20151129&lt;record-ids&gt;&lt;item&gt;4136&lt;/item&gt;&lt;/record-ids&gt;&lt;/item&gt;&lt;/Libraries&gt;"/>
  </w:docVars>
  <w:rsids>
    <w:rsidRoot w:val="00570FB0"/>
    <w:rsid w:val="0001340A"/>
    <w:rsid w:val="00016569"/>
    <w:rsid w:val="0001775A"/>
    <w:rsid w:val="000209F1"/>
    <w:rsid w:val="00022879"/>
    <w:rsid w:val="000234BC"/>
    <w:rsid w:val="00026B54"/>
    <w:rsid w:val="00032129"/>
    <w:rsid w:val="0003580C"/>
    <w:rsid w:val="00042F59"/>
    <w:rsid w:val="000467FB"/>
    <w:rsid w:val="000534E7"/>
    <w:rsid w:val="0005709F"/>
    <w:rsid w:val="00063CCC"/>
    <w:rsid w:val="00065F27"/>
    <w:rsid w:val="00075718"/>
    <w:rsid w:val="00075CAC"/>
    <w:rsid w:val="000833A8"/>
    <w:rsid w:val="00084800"/>
    <w:rsid w:val="00092752"/>
    <w:rsid w:val="00096A20"/>
    <w:rsid w:val="000B13F7"/>
    <w:rsid w:val="000B6412"/>
    <w:rsid w:val="000C4A88"/>
    <w:rsid w:val="000C75C7"/>
    <w:rsid w:val="000D32FF"/>
    <w:rsid w:val="000D36EE"/>
    <w:rsid w:val="000F1764"/>
    <w:rsid w:val="000F5B1B"/>
    <w:rsid w:val="000F6DD8"/>
    <w:rsid w:val="00100EAE"/>
    <w:rsid w:val="00103B8A"/>
    <w:rsid w:val="0010637B"/>
    <w:rsid w:val="00107F61"/>
    <w:rsid w:val="00115146"/>
    <w:rsid w:val="0011560B"/>
    <w:rsid w:val="00132E4A"/>
    <w:rsid w:val="001376E6"/>
    <w:rsid w:val="00140278"/>
    <w:rsid w:val="001433A8"/>
    <w:rsid w:val="00143485"/>
    <w:rsid w:val="00144CB5"/>
    <w:rsid w:val="00144D24"/>
    <w:rsid w:val="00150869"/>
    <w:rsid w:val="00151921"/>
    <w:rsid w:val="0015443F"/>
    <w:rsid w:val="0016557F"/>
    <w:rsid w:val="001715CC"/>
    <w:rsid w:val="00180729"/>
    <w:rsid w:val="001927BD"/>
    <w:rsid w:val="00194D2E"/>
    <w:rsid w:val="001A1E76"/>
    <w:rsid w:val="001A4F36"/>
    <w:rsid w:val="001B3749"/>
    <w:rsid w:val="001B6EEC"/>
    <w:rsid w:val="001B7B1F"/>
    <w:rsid w:val="001C0EA1"/>
    <w:rsid w:val="001C2ECA"/>
    <w:rsid w:val="001C447E"/>
    <w:rsid w:val="001D2063"/>
    <w:rsid w:val="001E7922"/>
    <w:rsid w:val="001F35B7"/>
    <w:rsid w:val="001F4C49"/>
    <w:rsid w:val="001F6AE6"/>
    <w:rsid w:val="002103D4"/>
    <w:rsid w:val="00213C20"/>
    <w:rsid w:val="0021434C"/>
    <w:rsid w:val="002143B1"/>
    <w:rsid w:val="00216E41"/>
    <w:rsid w:val="0022034D"/>
    <w:rsid w:val="00223572"/>
    <w:rsid w:val="00223AF0"/>
    <w:rsid w:val="00226201"/>
    <w:rsid w:val="0022623A"/>
    <w:rsid w:val="002272C0"/>
    <w:rsid w:val="00236280"/>
    <w:rsid w:val="00236EF0"/>
    <w:rsid w:val="00240359"/>
    <w:rsid w:val="00244D46"/>
    <w:rsid w:val="00251E22"/>
    <w:rsid w:val="00263DD7"/>
    <w:rsid w:val="00271002"/>
    <w:rsid w:val="00274C69"/>
    <w:rsid w:val="00276065"/>
    <w:rsid w:val="00276B58"/>
    <w:rsid w:val="00282B73"/>
    <w:rsid w:val="00284CA1"/>
    <w:rsid w:val="00295535"/>
    <w:rsid w:val="002B32D9"/>
    <w:rsid w:val="002C032E"/>
    <w:rsid w:val="002C11A5"/>
    <w:rsid w:val="002D11CE"/>
    <w:rsid w:val="002D13D7"/>
    <w:rsid w:val="002E271B"/>
    <w:rsid w:val="002E45AC"/>
    <w:rsid w:val="002F5332"/>
    <w:rsid w:val="002F5815"/>
    <w:rsid w:val="003013B5"/>
    <w:rsid w:val="003207DB"/>
    <w:rsid w:val="003227AA"/>
    <w:rsid w:val="003233C5"/>
    <w:rsid w:val="00334828"/>
    <w:rsid w:val="003414F8"/>
    <w:rsid w:val="003428BE"/>
    <w:rsid w:val="00342A3C"/>
    <w:rsid w:val="00357E99"/>
    <w:rsid w:val="00363086"/>
    <w:rsid w:val="00372DE5"/>
    <w:rsid w:val="003A0BF1"/>
    <w:rsid w:val="003A52BF"/>
    <w:rsid w:val="003A7511"/>
    <w:rsid w:val="003B048D"/>
    <w:rsid w:val="003C55A8"/>
    <w:rsid w:val="003C7FEA"/>
    <w:rsid w:val="003D0DDD"/>
    <w:rsid w:val="003E4758"/>
    <w:rsid w:val="003F0F97"/>
    <w:rsid w:val="003F6805"/>
    <w:rsid w:val="003F7AE9"/>
    <w:rsid w:val="00401718"/>
    <w:rsid w:val="00403854"/>
    <w:rsid w:val="0040699B"/>
    <w:rsid w:val="00410D2F"/>
    <w:rsid w:val="00412AFA"/>
    <w:rsid w:val="00423D6A"/>
    <w:rsid w:val="00430719"/>
    <w:rsid w:val="00431B75"/>
    <w:rsid w:val="00436F9E"/>
    <w:rsid w:val="00442D5A"/>
    <w:rsid w:val="00453DDB"/>
    <w:rsid w:val="00454CF6"/>
    <w:rsid w:val="00456124"/>
    <w:rsid w:val="004705A6"/>
    <w:rsid w:val="0048707C"/>
    <w:rsid w:val="004A584A"/>
    <w:rsid w:val="004A5D7F"/>
    <w:rsid w:val="004B4B4E"/>
    <w:rsid w:val="004D054A"/>
    <w:rsid w:val="004D1FC4"/>
    <w:rsid w:val="004F346E"/>
    <w:rsid w:val="0050055C"/>
    <w:rsid w:val="00500680"/>
    <w:rsid w:val="00506250"/>
    <w:rsid w:val="005127A3"/>
    <w:rsid w:val="00516700"/>
    <w:rsid w:val="00520618"/>
    <w:rsid w:val="0052127E"/>
    <w:rsid w:val="00523CC5"/>
    <w:rsid w:val="00524B2D"/>
    <w:rsid w:val="005271EE"/>
    <w:rsid w:val="005307C7"/>
    <w:rsid w:val="00540763"/>
    <w:rsid w:val="005444CA"/>
    <w:rsid w:val="00545877"/>
    <w:rsid w:val="00545ECB"/>
    <w:rsid w:val="005511F8"/>
    <w:rsid w:val="0056179E"/>
    <w:rsid w:val="00561837"/>
    <w:rsid w:val="0056523C"/>
    <w:rsid w:val="00566F30"/>
    <w:rsid w:val="00570FB0"/>
    <w:rsid w:val="00574DB0"/>
    <w:rsid w:val="00581BF3"/>
    <w:rsid w:val="00583918"/>
    <w:rsid w:val="0058554E"/>
    <w:rsid w:val="005868B8"/>
    <w:rsid w:val="005A034E"/>
    <w:rsid w:val="005A5A09"/>
    <w:rsid w:val="005B4242"/>
    <w:rsid w:val="005B4E95"/>
    <w:rsid w:val="005B7AF4"/>
    <w:rsid w:val="005C163F"/>
    <w:rsid w:val="005D1F35"/>
    <w:rsid w:val="005D2C1D"/>
    <w:rsid w:val="005D54AB"/>
    <w:rsid w:val="005E7A97"/>
    <w:rsid w:val="005F78FF"/>
    <w:rsid w:val="00604C1C"/>
    <w:rsid w:val="00610B0F"/>
    <w:rsid w:val="00616419"/>
    <w:rsid w:val="00640DEE"/>
    <w:rsid w:val="0064780A"/>
    <w:rsid w:val="00647A56"/>
    <w:rsid w:val="0065631C"/>
    <w:rsid w:val="00663BBF"/>
    <w:rsid w:val="00665530"/>
    <w:rsid w:val="0067125F"/>
    <w:rsid w:val="00673ECC"/>
    <w:rsid w:val="00677F9D"/>
    <w:rsid w:val="006825A9"/>
    <w:rsid w:val="0069009A"/>
    <w:rsid w:val="00693BF7"/>
    <w:rsid w:val="006964FD"/>
    <w:rsid w:val="006A6243"/>
    <w:rsid w:val="006B1DDE"/>
    <w:rsid w:val="006B20D3"/>
    <w:rsid w:val="006C2664"/>
    <w:rsid w:val="006C4D46"/>
    <w:rsid w:val="006D0BE2"/>
    <w:rsid w:val="006D1316"/>
    <w:rsid w:val="006D4B8F"/>
    <w:rsid w:val="006D6227"/>
    <w:rsid w:val="006F7CC8"/>
    <w:rsid w:val="007010C6"/>
    <w:rsid w:val="0070241B"/>
    <w:rsid w:val="007025A3"/>
    <w:rsid w:val="00702E55"/>
    <w:rsid w:val="00704CE6"/>
    <w:rsid w:val="00705DA8"/>
    <w:rsid w:val="007060D4"/>
    <w:rsid w:val="00710D9E"/>
    <w:rsid w:val="007163B1"/>
    <w:rsid w:val="007167C4"/>
    <w:rsid w:val="0072326F"/>
    <w:rsid w:val="00726579"/>
    <w:rsid w:val="00731DEB"/>
    <w:rsid w:val="00737B19"/>
    <w:rsid w:val="007478F6"/>
    <w:rsid w:val="0076093D"/>
    <w:rsid w:val="007659E1"/>
    <w:rsid w:val="00771883"/>
    <w:rsid w:val="00775EAC"/>
    <w:rsid w:val="0077681B"/>
    <w:rsid w:val="007769CB"/>
    <w:rsid w:val="0078219D"/>
    <w:rsid w:val="007844FA"/>
    <w:rsid w:val="00790039"/>
    <w:rsid w:val="00795D6C"/>
    <w:rsid w:val="007A2F7C"/>
    <w:rsid w:val="007A6745"/>
    <w:rsid w:val="007B0446"/>
    <w:rsid w:val="007B2810"/>
    <w:rsid w:val="007B48FE"/>
    <w:rsid w:val="007D03A8"/>
    <w:rsid w:val="007D1858"/>
    <w:rsid w:val="007D708B"/>
    <w:rsid w:val="007E422A"/>
    <w:rsid w:val="007E7D4E"/>
    <w:rsid w:val="007F0819"/>
    <w:rsid w:val="007F4E1E"/>
    <w:rsid w:val="00814369"/>
    <w:rsid w:val="008251AF"/>
    <w:rsid w:val="00827E9B"/>
    <w:rsid w:val="00830DD8"/>
    <w:rsid w:val="00831A0B"/>
    <w:rsid w:val="0083792C"/>
    <w:rsid w:val="00840A7E"/>
    <w:rsid w:val="00850BF3"/>
    <w:rsid w:val="008565AC"/>
    <w:rsid w:val="0086000F"/>
    <w:rsid w:val="0086448B"/>
    <w:rsid w:val="00873962"/>
    <w:rsid w:val="00885E55"/>
    <w:rsid w:val="008872F1"/>
    <w:rsid w:val="0089491C"/>
    <w:rsid w:val="008A267B"/>
    <w:rsid w:val="008A2BE2"/>
    <w:rsid w:val="008B4C11"/>
    <w:rsid w:val="008B6699"/>
    <w:rsid w:val="008C0DCF"/>
    <w:rsid w:val="008C193A"/>
    <w:rsid w:val="008D2438"/>
    <w:rsid w:val="008E2771"/>
    <w:rsid w:val="008E6EFB"/>
    <w:rsid w:val="008F1B9B"/>
    <w:rsid w:val="008F735F"/>
    <w:rsid w:val="009009F5"/>
    <w:rsid w:val="00911EDB"/>
    <w:rsid w:val="00916743"/>
    <w:rsid w:val="00922410"/>
    <w:rsid w:val="00923EF9"/>
    <w:rsid w:val="00927C9B"/>
    <w:rsid w:val="00933BF8"/>
    <w:rsid w:val="00935144"/>
    <w:rsid w:val="009465F3"/>
    <w:rsid w:val="009509D4"/>
    <w:rsid w:val="00954CDA"/>
    <w:rsid w:val="009651C6"/>
    <w:rsid w:val="009657C6"/>
    <w:rsid w:val="00970C0A"/>
    <w:rsid w:val="00974F8B"/>
    <w:rsid w:val="00983830"/>
    <w:rsid w:val="00984632"/>
    <w:rsid w:val="009A0704"/>
    <w:rsid w:val="009B4FD2"/>
    <w:rsid w:val="009C6CA8"/>
    <w:rsid w:val="009C7CBC"/>
    <w:rsid w:val="009E6251"/>
    <w:rsid w:val="009F182D"/>
    <w:rsid w:val="009F6511"/>
    <w:rsid w:val="009F6F2A"/>
    <w:rsid w:val="009F7089"/>
    <w:rsid w:val="00A07836"/>
    <w:rsid w:val="00A242CE"/>
    <w:rsid w:val="00A36337"/>
    <w:rsid w:val="00A40E75"/>
    <w:rsid w:val="00A52312"/>
    <w:rsid w:val="00A530DD"/>
    <w:rsid w:val="00A57487"/>
    <w:rsid w:val="00A67A52"/>
    <w:rsid w:val="00A71A65"/>
    <w:rsid w:val="00A7278F"/>
    <w:rsid w:val="00A80E0B"/>
    <w:rsid w:val="00A82001"/>
    <w:rsid w:val="00A843C6"/>
    <w:rsid w:val="00A90EFE"/>
    <w:rsid w:val="00A952FC"/>
    <w:rsid w:val="00AA1280"/>
    <w:rsid w:val="00AA26C5"/>
    <w:rsid w:val="00AB20C4"/>
    <w:rsid w:val="00AB7C52"/>
    <w:rsid w:val="00AC46E3"/>
    <w:rsid w:val="00AF0410"/>
    <w:rsid w:val="00AF06F5"/>
    <w:rsid w:val="00AF07AF"/>
    <w:rsid w:val="00AF38D6"/>
    <w:rsid w:val="00B0615F"/>
    <w:rsid w:val="00B20241"/>
    <w:rsid w:val="00B334EB"/>
    <w:rsid w:val="00B35B72"/>
    <w:rsid w:val="00B37C76"/>
    <w:rsid w:val="00B50F02"/>
    <w:rsid w:val="00B530EF"/>
    <w:rsid w:val="00B63F68"/>
    <w:rsid w:val="00B72CFF"/>
    <w:rsid w:val="00B779A1"/>
    <w:rsid w:val="00B833AD"/>
    <w:rsid w:val="00B84CE0"/>
    <w:rsid w:val="00B85B4D"/>
    <w:rsid w:val="00B90654"/>
    <w:rsid w:val="00B91CA8"/>
    <w:rsid w:val="00B9292E"/>
    <w:rsid w:val="00B94462"/>
    <w:rsid w:val="00B950A4"/>
    <w:rsid w:val="00BA1BB1"/>
    <w:rsid w:val="00BA25A9"/>
    <w:rsid w:val="00BA3C8C"/>
    <w:rsid w:val="00BA4052"/>
    <w:rsid w:val="00BA5293"/>
    <w:rsid w:val="00BB50C5"/>
    <w:rsid w:val="00BC5C3F"/>
    <w:rsid w:val="00BC6C91"/>
    <w:rsid w:val="00BD4304"/>
    <w:rsid w:val="00BE01E5"/>
    <w:rsid w:val="00BE7D47"/>
    <w:rsid w:val="00BF050E"/>
    <w:rsid w:val="00BF241A"/>
    <w:rsid w:val="00BF529F"/>
    <w:rsid w:val="00C00262"/>
    <w:rsid w:val="00C05722"/>
    <w:rsid w:val="00C06C32"/>
    <w:rsid w:val="00C12875"/>
    <w:rsid w:val="00C22B94"/>
    <w:rsid w:val="00C2318E"/>
    <w:rsid w:val="00C30E9D"/>
    <w:rsid w:val="00C41606"/>
    <w:rsid w:val="00C46867"/>
    <w:rsid w:val="00C51A13"/>
    <w:rsid w:val="00C56133"/>
    <w:rsid w:val="00C62232"/>
    <w:rsid w:val="00C70E7C"/>
    <w:rsid w:val="00C72044"/>
    <w:rsid w:val="00C830BA"/>
    <w:rsid w:val="00C833AD"/>
    <w:rsid w:val="00C84726"/>
    <w:rsid w:val="00C924EB"/>
    <w:rsid w:val="00CA63C6"/>
    <w:rsid w:val="00CB59AE"/>
    <w:rsid w:val="00CD1F44"/>
    <w:rsid w:val="00CD6CD0"/>
    <w:rsid w:val="00CE0730"/>
    <w:rsid w:val="00CF41B1"/>
    <w:rsid w:val="00CF637F"/>
    <w:rsid w:val="00D00442"/>
    <w:rsid w:val="00D00B22"/>
    <w:rsid w:val="00D00C09"/>
    <w:rsid w:val="00D01456"/>
    <w:rsid w:val="00D02911"/>
    <w:rsid w:val="00D17425"/>
    <w:rsid w:val="00D41472"/>
    <w:rsid w:val="00D45858"/>
    <w:rsid w:val="00D505C1"/>
    <w:rsid w:val="00D52A85"/>
    <w:rsid w:val="00D576D2"/>
    <w:rsid w:val="00D61C7B"/>
    <w:rsid w:val="00D703E3"/>
    <w:rsid w:val="00D704FB"/>
    <w:rsid w:val="00D72836"/>
    <w:rsid w:val="00D74308"/>
    <w:rsid w:val="00D8144B"/>
    <w:rsid w:val="00D83124"/>
    <w:rsid w:val="00DA2F6D"/>
    <w:rsid w:val="00DA3046"/>
    <w:rsid w:val="00DB37A1"/>
    <w:rsid w:val="00DB7A38"/>
    <w:rsid w:val="00DC0B30"/>
    <w:rsid w:val="00DC7237"/>
    <w:rsid w:val="00DD0905"/>
    <w:rsid w:val="00DD3406"/>
    <w:rsid w:val="00DE7877"/>
    <w:rsid w:val="00E06FAE"/>
    <w:rsid w:val="00E20445"/>
    <w:rsid w:val="00E24F18"/>
    <w:rsid w:val="00E2510E"/>
    <w:rsid w:val="00E35B33"/>
    <w:rsid w:val="00E41E8B"/>
    <w:rsid w:val="00E4561F"/>
    <w:rsid w:val="00E645D5"/>
    <w:rsid w:val="00E77578"/>
    <w:rsid w:val="00E811B8"/>
    <w:rsid w:val="00E93093"/>
    <w:rsid w:val="00EA6BE7"/>
    <w:rsid w:val="00EB2CF1"/>
    <w:rsid w:val="00EC0E60"/>
    <w:rsid w:val="00EC1764"/>
    <w:rsid w:val="00EC1940"/>
    <w:rsid w:val="00EC3BB0"/>
    <w:rsid w:val="00EC46AF"/>
    <w:rsid w:val="00EC63A2"/>
    <w:rsid w:val="00EE46E6"/>
    <w:rsid w:val="00EF3B60"/>
    <w:rsid w:val="00F01761"/>
    <w:rsid w:val="00F04F53"/>
    <w:rsid w:val="00F11B42"/>
    <w:rsid w:val="00F36138"/>
    <w:rsid w:val="00F42752"/>
    <w:rsid w:val="00F508C9"/>
    <w:rsid w:val="00F574F3"/>
    <w:rsid w:val="00F60CE4"/>
    <w:rsid w:val="00F617B7"/>
    <w:rsid w:val="00F80BAA"/>
    <w:rsid w:val="00F905AC"/>
    <w:rsid w:val="00F95CC2"/>
    <w:rsid w:val="00FA2AD3"/>
    <w:rsid w:val="00FB5B1A"/>
    <w:rsid w:val="00FC25CE"/>
    <w:rsid w:val="00FC4540"/>
    <w:rsid w:val="00FD33E4"/>
    <w:rsid w:val="00FD5235"/>
    <w:rsid w:val="00FD7934"/>
    <w:rsid w:val="00FE1448"/>
    <w:rsid w:val="00FE1D9F"/>
    <w:rsid w:val="00FE2B19"/>
    <w:rsid w:val="00FE2E9C"/>
    <w:rsid w:val="00FE351D"/>
    <w:rsid w:val="00FE7B60"/>
    <w:rsid w:val="00FF2B00"/>
    <w:rsid w:val="00FF4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BF1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D0"/>
    <w:pPr>
      <w:spacing w:before="170" w:line="300" w:lineRule="auto"/>
      <w:jc w:val="both"/>
    </w:pPr>
    <w:rPr>
      <w:rFonts w:ascii="Palatino Linotype" w:hAnsi="Palatino Linotype"/>
      <w:sz w:val="22"/>
      <w:lang w:val="en-AU"/>
    </w:rPr>
  </w:style>
  <w:style w:type="paragraph" w:styleId="Heading1">
    <w:name w:val="heading 1"/>
    <w:basedOn w:val="Normal"/>
    <w:next w:val="Normal"/>
    <w:link w:val="Heading1Char"/>
    <w:uiPriority w:val="9"/>
    <w:qFormat/>
    <w:rsid w:val="00032129"/>
    <w:pPr>
      <w:keepNext/>
      <w:keepLines/>
      <w:numPr>
        <w:numId w:val="1"/>
      </w:numPr>
      <w:spacing w:before="360" w:after="120"/>
      <w:jc w:val="left"/>
      <w:outlineLvl w:val="0"/>
    </w:pPr>
    <w:rPr>
      <w:rFonts w:eastAsiaTheme="majorEastAsia" w:cstheme="majorBidi"/>
      <w:b/>
      <w:bCs/>
      <w:sz w:val="26"/>
      <w:szCs w:val="32"/>
    </w:rPr>
  </w:style>
  <w:style w:type="paragraph" w:styleId="Heading2">
    <w:name w:val="heading 2"/>
    <w:basedOn w:val="Normal"/>
    <w:next w:val="Normal"/>
    <w:link w:val="Heading2Char"/>
    <w:uiPriority w:val="9"/>
    <w:unhideWhenUsed/>
    <w:qFormat/>
    <w:rsid w:val="00032129"/>
    <w:pPr>
      <w:keepNext/>
      <w:keepLines/>
      <w:numPr>
        <w:ilvl w:val="1"/>
        <w:numId w:val="1"/>
      </w:numPr>
      <w:spacing w:before="200" w:after="120"/>
      <w:jc w:val="left"/>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032129"/>
    <w:pPr>
      <w:keepNext/>
      <w:keepLines/>
      <w:numPr>
        <w:ilvl w:val="2"/>
        <w:numId w:val="1"/>
      </w:numPr>
      <w:spacing w:before="200" w:after="120"/>
      <w:jc w:val="left"/>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032129"/>
    <w:pPr>
      <w:keepNext/>
      <w:keepLines/>
      <w:numPr>
        <w:ilvl w:val="3"/>
        <w:numId w:val="1"/>
      </w:numPr>
      <w:spacing w:before="200"/>
      <w:ind w:left="862" w:hanging="862"/>
      <w:jc w:val="left"/>
      <w:outlineLvl w:val="3"/>
    </w:pPr>
    <w:rPr>
      <w:rFonts w:eastAsiaTheme="majorEastAsia" w:cstheme="majorBidi"/>
      <w:bCs/>
      <w:i/>
      <w:iCs/>
    </w:rPr>
  </w:style>
  <w:style w:type="paragraph" w:styleId="Heading5">
    <w:name w:val="heading 5"/>
    <w:basedOn w:val="Normal"/>
    <w:next w:val="Normal"/>
    <w:link w:val="Heading5Char"/>
    <w:uiPriority w:val="9"/>
    <w:unhideWhenUsed/>
    <w:rsid w:val="0003212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212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212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212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212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4F8B"/>
    <w:pPr>
      <w:jc w:val="both"/>
    </w:pPr>
    <w:rPr>
      <w:rFonts w:ascii="Palatino Linotype" w:hAnsi="Palatino Linotype"/>
      <w:sz w:val="22"/>
      <w:lang w:val="en-AU"/>
    </w:rPr>
  </w:style>
  <w:style w:type="character" w:customStyle="1" w:styleId="Heading1Char">
    <w:name w:val="Heading 1 Char"/>
    <w:basedOn w:val="DefaultParagraphFont"/>
    <w:link w:val="Heading1"/>
    <w:uiPriority w:val="9"/>
    <w:rsid w:val="00032129"/>
    <w:rPr>
      <w:rFonts w:ascii="Palatino Linotype" w:eastAsiaTheme="majorEastAsia" w:hAnsi="Palatino Linotype" w:cstheme="majorBidi"/>
      <w:b/>
      <w:bCs/>
      <w:sz w:val="26"/>
      <w:szCs w:val="32"/>
      <w:lang w:val="en-AU"/>
    </w:rPr>
  </w:style>
  <w:style w:type="character" w:customStyle="1" w:styleId="Heading2Char">
    <w:name w:val="Heading 2 Char"/>
    <w:basedOn w:val="DefaultParagraphFont"/>
    <w:link w:val="Heading2"/>
    <w:uiPriority w:val="9"/>
    <w:rsid w:val="00032129"/>
    <w:rPr>
      <w:rFonts w:ascii="Palatino Linotype" w:eastAsiaTheme="majorEastAsia" w:hAnsi="Palatino Linotype" w:cstheme="majorBidi"/>
      <w:b/>
      <w:bCs/>
      <w:szCs w:val="26"/>
      <w:lang w:val="en-AU"/>
    </w:rPr>
  </w:style>
  <w:style w:type="character" w:customStyle="1" w:styleId="Heading3Char">
    <w:name w:val="Heading 3 Char"/>
    <w:basedOn w:val="DefaultParagraphFont"/>
    <w:link w:val="Heading3"/>
    <w:uiPriority w:val="9"/>
    <w:rsid w:val="00032129"/>
    <w:rPr>
      <w:rFonts w:ascii="Palatino Linotype" w:eastAsiaTheme="majorEastAsia" w:hAnsi="Palatino Linotype" w:cstheme="majorBidi"/>
      <w:b/>
      <w:bCs/>
      <w:i/>
      <w:sz w:val="22"/>
      <w:lang w:val="en-AU"/>
    </w:rPr>
  </w:style>
  <w:style w:type="character" w:customStyle="1" w:styleId="Heading4Char">
    <w:name w:val="Heading 4 Char"/>
    <w:basedOn w:val="DefaultParagraphFont"/>
    <w:link w:val="Heading4"/>
    <w:uiPriority w:val="9"/>
    <w:rsid w:val="00032129"/>
    <w:rPr>
      <w:rFonts w:ascii="Palatino Linotype" w:eastAsiaTheme="majorEastAsia" w:hAnsi="Palatino Linotype" w:cstheme="majorBidi"/>
      <w:bCs/>
      <w:i/>
      <w:iCs/>
      <w:sz w:val="22"/>
      <w:lang w:val="en-AU"/>
    </w:rPr>
  </w:style>
  <w:style w:type="character" w:customStyle="1" w:styleId="Heading5Char">
    <w:name w:val="Heading 5 Char"/>
    <w:basedOn w:val="DefaultParagraphFont"/>
    <w:link w:val="Heading5"/>
    <w:uiPriority w:val="9"/>
    <w:rsid w:val="00032129"/>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032129"/>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032129"/>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032129"/>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032129"/>
    <w:rPr>
      <w:rFonts w:asciiTheme="majorHAnsi" w:eastAsiaTheme="majorEastAsia" w:hAnsiTheme="majorHAnsi" w:cstheme="majorBidi"/>
      <w:i/>
      <w:iCs/>
      <w:color w:val="404040" w:themeColor="text1" w:themeTint="BF"/>
      <w:sz w:val="20"/>
      <w:szCs w:val="20"/>
      <w:lang w:val="en-AU"/>
    </w:rPr>
  </w:style>
  <w:style w:type="paragraph" w:styleId="Title">
    <w:name w:val="Title"/>
    <w:basedOn w:val="Normal"/>
    <w:next w:val="Normal"/>
    <w:link w:val="TitleChar"/>
    <w:uiPriority w:val="10"/>
    <w:qFormat/>
    <w:rsid w:val="00974F8B"/>
    <w:pPr>
      <w:spacing w:before="0" w:after="300" w:line="240" w:lineRule="auto"/>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974F8B"/>
    <w:rPr>
      <w:rFonts w:ascii="Palatino Linotype" w:eastAsiaTheme="majorEastAsia" w:hAnsi="Palatino Linotype" w:cstheme="majorBidi"/>
      <w:spacing w:val="5"/>
      <w:kern w:val="28"/>
      <w:sz w:val="40"/>
      <w:szCs w:val="52"/>
      <w:lang w:val="en-AU"/>
    </w:rPr>
  </w:style>
  <w:style w:type="paragraph" w:styleId="FootnoteText">
    <w:name w:val="footnote text"/>
    <w:basedOn w:val="Normal"/>
    <w:link w:val="FootnoteTextChar"/>
    <w:uiPriority w:val="99"/>
    <w:unhideWhenUsed/>
    <w:qFormat/>
    <w:rsid w:val="007E7D4E"/>
    <w:pPr>
      <w:spacing w:before="40" w:line="240" w:lineRule="auto"/>
    </w:pPr>
    <w:rPr>
      <w:sz w:val="19"/>
    </w:rPr>
  </w:style>
  <w:style w:type="character" w:customStyle="1" w:styleId="FootnoteTextChar">
    <w:name w:val="Footnote Text Char"/>
    <w:basedOn w:val="DefaultParagraphFont"/>
    <w:link w:val="FootnoteText"/>
    <w:uiPriority w:val="99"/>
    <w:rsid w:val="007E7D4E"/>
    <w:rPr>
      <w:rFonts w:ascii="Palatino Linotype" w:hAnsi="Palatino Linotype"/>
      <w:sz w:val="19"/>
      <w:lang w:val="en-AU"/>
    </w:rPr>
  </w:style>
  <w:style w:type="character" w:styleId="FootnoteReference">
    <w:name w:val="footnote reference"/>
    <w:basedOn w:val="DefaultParagraphFont"/>
    <w:uiPriority w:val="99"/>
    <w:unhideWhenUsed/>
    <w:rsid w:val="00032129"/>
    <w:rPr>
      <w:vertAlign w:val="superscript"/>
    </w:rPr>
  </w:style>
  <w:style w:type="paragraph" w:styleId="Quote">
    <w:name w:val="Quote"/>
    <w:basedOn w:val="Normal"/>
    <w:next w:val="Normal"/>
    <w:link w:val="QuoteChar"/>
    <w:uiPriority w:val="29"/>
    <w:qFormat/>
    <w:rsid w:val="007E7D4E"/>
    <w:pPr>
      <w:spacing w:before="90"/>
      <w:ind w:left="397" w:right="397"/>
    </w:pPr>
    <w:rPr>
      <w:iCs/>
      <w:sz w:val="21"/>
    </w:rPr>
  </w:style>
  <w:style w:type="character" w:customStyle="1" w:styleId="QuoteChar">
    <w:name w:val="Quote Char"/>
    <w:basedOn w:val="DefaultParagraphFont"/>
    <w:link w:val="Quote"/>
    <w:uiPriority w:val="29"/>
    <w:rsid w:val="007E7D4E"/>
    <w:rPr>
      <w:rFonts w:ascii="Palatino Linotype" w:hAnsi="Palatino Linotype"/>
      <w:iCs/>
      <w:sz w:val="21"/>
      <w:lang w:val="en-AU"/>
    </w:rPr>
  </w:style>
  <w:style w:type="paragraph" w:styleId="ListParagraph">
    <w:name w:val="List Paragraph"/>
    <w:basedOn w:val="Normal"/>
    <w:uiPriority w:val="34"/>
    <w:qFormat/>
    <w:rsid w:val="00032129"/>
    <w:pPr>
      <w:numPr>
        <w:numId w:val="2"/>
      </w:numPr>
      <w:spacing w:before="90"/>
    </w:pPr>
  </w:style>
  <w:style w:type="paragraph" w:customStyle="1" w:styleId="Numlist">
    <w:name w:val="Numlist"/>
    <w:basedOn w:val="Normal"/>
    <w:next w:val="Normal"/>
    <w:qFormat/>
    <w:rsid w:val="00032129"/>
    <w:pPr>
      <w:numPr>
        <w:numId w:val="3"/>
      </w:numPr>
    </w:pPr>
  </w:style>
  <w:style w:type="paragraph" w:styleId="DocumentMap">
    <w:name w:val="Document Map"/>
    <w:basedOn w:val="Normal"/>
    <w:link w:val="DocumentMapChar"/>
    <w:uiPriority w:val="99"/>
    <w:semiHidden/>
    <w:unhideWhenUsed/>
    <w:rsid w:val="007E7D4E"/>
    <w:pPr>
      <w:spacing w:before="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7E7D4E"/>
    <w:rPr>
      <w:rFonts w:ascii="Lucida Grande" w:hAnsi="Lucida Grande" w:cs="Lucida Grande"/>
      <w:lang w:val="en-AU"/>
    </w:rPr>
  </w:style>
  <w:style w:type="paragraph" w:styleId="BalloonText">
    <w:name w:val="Balloon Text"/>
    <w:basedOn w:val="Normal"/>
    <w:link w:val="BalloonTextChar"/>
    <w:uiPriority w:val="99"/>
    <w:semiHidden/>
    <w:unhideWhenUsed/>
    <w:rsid w:val="007E7D4E"/>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D4E"/>
    <w:rPr>
      <w:rFonts w:ascii="Lucida Grande" w:hAnsi="Lucida Grande" w:cs="Lucida Grande"/>
      <w:sz w:val="18"/>
      <w:szCs w:val="18"/>
      <w:lang w:val="en-AU"/>
    </w:rPr>
  </w:style>
  <w:style w:type="paragraph" w:customStyle="1" w:styleId="EndNoteBibliographyTitle">
    <w:name w:val="EndNote Bibliography Title"/>
    <w:basedOn w:val="Normal"/>
    <w:rsid w:val="00E24F18"/>
    <w:pPr>
      <w:jc w:val="center"/>
    </w:pPr>
    <w:rPr>
      <w:lang w:val="en-US"/>
    </w:rPr>
  </w:style>
  <w:style w:type="paragraph" w:customStyle="1" w:styleId="EndNoteBibliography">
    <w:name w:val="EndNote Bibliography"/>
    <w:basedOn w:val="Normal"/>
    <w:rsid w:val="00E24F18"/>
    <w:pPr>
      <w:spacing w:line="240" w:lineRule="auto"/>
    </w:pPr>
    <w:rPr>
      <w:lang w:val="en-US"/>
    </w:rPr>
  </w:style>
  <w:style w:type="table" w:styleId="TableGrid">
    <w:name w:val="Table Grid"/>
    <w:basedOn w:val="TableNormal"/>
    <w:uiPriority w:val="59"/>
    <w:rsid w:val="005F7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6DD8"/>
    <w:pPr>
      <w:tabs>
        <w:tab w:val="center" w:pos="4320"/>
        <w:tab w:val="right" w:pos="8640"/>
      </w:tabs>
      <w:spacing w:before="0" w:line="240" w:lineRule="auto"/>
    </w:pPr>
  </w:style>
  <w:style w:type="character" w:customStyle="1" w:styleId="FooterChar">
    <w:name w:val="Footer Char"/>
    <w:basedOn w:val="DefaultParagraphFont"/>
    <w:link w:val="Footer"/>
    <w:uiPriority w:val="99"/>
    <w:rsid w:val="000F6DD8"/>
    <w:rPr>
      <w:rFonts w:ascii="Palatino Linotype" w:hAnsi="Palatino Linotype"/>
      <w:sz w:val="23"/>
      <w:lang w:val="en-AU"/>
    </w:rPr>
  </w:style>
  <w:style w:type="character" w:styleId="PageNumber">
    <w:name w:val="page number"/>
    <w:basedOn w:val="DefaultParagraphFont"/>
    <w:uiPriority w:val="99"/>
    <w:semiHidden/>
    <w:unhideWhenUsed/>
    <w:rsid w:val="000F6DD8"/>
  </w:style>
  <w:style w:type="character" w:styleId="CommentReference">
    <w:name w:val="annotation reference"/>
    <w:basedOn w:val="DefaultParagraphFont"/>
    <w:uiPriority w:val="99"/>
    <w:semiHidden/>
    <w:unhideWhenUsed/>
    <w:rsid w:val="005307C7"/>
    <w:rPr>
      <w:sz w:val="18"/>
      <w:szCs w:val="18"/>
    </w:rPr>
  </w:style>
  <w:style w:type="paragraph" w:styleId="CommentText">
    <w:name w:val="annotation text"/>
    <w:basedOn w:val="Normal"/>
    <w:link w:val="CommentTextChar"/>
    <w:uiPriority w:val="99"/>
    <w:semiHidden/>
    <w:unhideWhenUsed/>
    <w:rsid w:val="005307C7"/>
    <w:pPr>
      <w:spacing w:line="240" w:lineRule="auto"/>
    </w:pPr>
    <w:rPr>
      <w:sz w:val="24"/>
    </w:rPr>
  </w:style>
  <w:style w:type="character" w:customStyle="1" w:styleId="CommentTextChar">
    <w:name w:val="Comment Text Char"/>
    <w:basedOn w:val="DefaultParagraphFont"/>
    <w:link w:val="CommentText"/>
    <w:uiPriority w:val="99"/>
    <w:semiHidden/>
    <w:rsid w:val="005307C7"/>
    <w:rPr>
      <w:rFonts w:ascii="Palatino Linotype" w:hAnsi="Palatino Linotype"/>
      <w:lang w:val="en-AU"/>
    </w:rPr>
  </w:style>
  <w:style w:type="paragraph" w:styleId="CommentSubject">
    <w:name w:val="annotation subject"/>
    <w:basedOn w:val="CommentText"/>
    <w:next w:val="CommentText"/>
    <w:link w:val="CommentSubjectChar"/>
    <w:uiPriority w:val="99"/>
    <w:semiHidden/>
    <w:unhideWhenUsed/>
    <w:rsid w:val="005307C7"/>
    <w:rPr>
      <w:b/>
      <w:bCs/>
      <w:sz w:val="20"/>
      <w:szCs w:val="20"/>
    </w:rPr>
  </w:style>
  <w:style w:type="character" w:customStyle="1" w:styleId="CommentSubjectChar">
    <w:name w:val="Comment Subject Char"/>
    <w:basedOn w:val="CommentTextChar"/>
    <w:link w:val="CommentSubject"/>
    <w:uiPriority w:val="99"/>
    <w:semiHidden/>
    <w:rsid w:val="005307C7"/>
    <w:rPr>
      <w:rFonts w:ascii="Palatino Linotype" w:hAnsi="Palatino Linotype"/>
      <w:b/>
      <w:bCs/>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D0"/>
    <w:pPr>
      <w:spacing w:before="170" w:line="300" w:lineRule="auto"/>
      <w:jc w:val="both"/>
    </w:pPr>
    <w:rPr>
      <w:rFonts w:ascii="Palatino Linotype" w:hAnsi="Palatino Linotype"/>
      <w:sz w:val="22"/>
      <w:lang w:val="en-AU"/>
    </w:rPr>
  </w:style>
  <w:style w:type="paragraph" w:styleId="Heading1">
    <w:name w:val="heading 1"/>
    <w:basedOn w:val="Normal"/>
    <w:next w:val="Normal"/>
    <w:link w:val="Heading1Char"/>
    <w:uiPriority w:val="9"/>
    <w:qFormat/>
    <w:rsid w:val="00032129"/>
    <w:pPr>
      <w:keepNext/>
      <w:keepLines/>
      <w:numPr>
        <w:numId w:val="1"/>
      </w:numPr>
      <w:spacing w:before="360" w:after="120"/>
      <w:jc w:val="left"/>
      <w:outlineLvl w:val="0"/>
    </w:pPr>
    <w:rPr>
      <w:rFonts w:eastAsiaTheme="majorEastAsia" w:cstheme="majorBidi"/>
      <w:b/>
      <w:bCs/>
      <w:sz w:val="26"/>
      <w:szCs w:val="32"/>
    </w:rPr>
  </w:style>
  <w:style w:type="paragraph" w:styleId="Heading2">
    <w:name w:val="heading 2"/>
    <w:basedOn w:val="Normal"/>
    <w:next w:val="Normal"/>
    <w:link w:val="Heading2Char"/>
    <w:uiPriority w:val="9"/>
    <w:unhideWhenUsed/>
    <w:qFormat/>
    <w:rsid w:val="00032129"/>
    <w:pPr>
      <w:keepNext/>
      <w:keepLines/>
      <w:numPr>
        <w:ilvl w:val="1"/>
        <w:numId w:val="1"/>
      </w:numPr>
      <w:spacing w:before="200" w:after="120"/>
      <w:jc w:val="left"/>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032129"/>
    <w:pPr>
      <w:keepNext/>
      <w:keepLines/>
      <w:numPr>
        <w:ilvl w:val="2"/>
        <w:numId w:val="1"/>
      </w:numPr>
      <w:spacing w:before="200" w:after="120"/>
      <w:jc w:val="left"/>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032129"/>
    <w:pPr>
      <w:keepNext/>
      <w:keepLines/>
      <w:numPr>
        <w:ilvl w:val="3"/>
        <w:numId w:val="1"/>
      </w:numPr>
      <w:spacing w:before="200"/>
      <w:ind w:left="862" w:hanging="862"/>
      <w:jc w:val="left"/>
      <w:outlineLvl w:val="3"/>
    </w:pPr>
    <w:rPr>
      <w:rFonts w:eastAsiaTheme="majorEastAsia" w:cstheme="majorBidi"/>
      <w:bCs/>
      <w:i/>
      <w:iCs/>
    </w:rPr>
  </w:style>
  <w:style w:type="paragraph" w:styleId="Heading5">
    <w:name w:val="heading 5"/>
    <w:basedOn w:val="Normal"/>
    <w:next w:val="Normal"/>
    <w:link w:val="Heading5Char"/>
    <w:uiPriority w:val="9"/>
    <w:unhideWhenUsed/>
    <w:rsid w:val="00032129"/>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212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212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212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212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4F8B"/>
    <w:pPr>
      <w:jc w:val="both"/>
    </w:pPr>
    <w:rPr>
      <w:rFonts w:ascii="Palatino Linotype" w:hAnsi="Palatino Linotype"/>
      <w:sz w:val="22"/>
      <w:lang w:val="en-AU"/>
    </w:rPr>
  </w:style>
  <w:style w:type="character" w:customStyle="1" w:styleId="Heading1Char">
    <w:name w:val="Heading 1 Char"/>
    <w:basedOn w:val="DefaultParagraphFont"/>
    <w:link w:val="Heading1"/>
    <w:uiPriority w:val="9"/>
    <w:rsid w:val="00032129"/>
    <w:rPr>
      <w:rFonts w:ascii="Palatino Linotype" w:eastAsiaTheme="majorEastAsia" w:hAnsi="Palatino Linotype" w:cstheme="majorBidi"/>
      <w:b/>
      <w:bCs/>
      <w:sz w:val="26"/>
      <w:szCs w:val="32"/>
      <w:lang w:val="en-AU"/>
    </w:rPr>
  </w:style>
  <w:style w:type="character" w:customStyle="1" w:styleId="Heading2Char">
    <w:name w:val="Heading 2 Char"/>
    <w:basedOn w:val="DefaultParagraphFont"/>
    <w:link w:val="Heading2"/>
    <w:uiPriority w:val="9"/>
    <w:rsid w:val="00032129"/>
    <w:rPr>
      <w:rFonts w:ascii="Palatino Linotype" w:eastAsiaTheme="majorEastAsia" w:hAnsi="Palatino Linotype" w:cstheme="majorBidi"/>
      <w:b/>
      <w:bCs/>
      <w:szCs w:val="26"/>
      <w:lang w:val="en-AU"/>
    </w:rPr>
  </w:style>
  <w:style w:type="character" w:customStyle="1" w:styleId="Heading3Char">
    <w:name w:val="Heading 3 Char"/>
    <w:basedOn w:val="DefaultParagraphFont"/>
    <w:link w:val="Heading3"/>
    <w:uiPriority w:val="9"/>
    <w:rsid w:val="00032129"/>
    <w:rPr>
      <w:rFonts w:ascii="Palatino Linotype" w:eastAsiaTheme="majorEastAsia" w:hAnsi="Palatino Linotype" w:cstheme="majorBidi"/>
      <w:b/>
      <w:bCs/>
      <w:i/>
      <w:sz w:val="22"/>
      <w:lang w:val="en-AU"/>
    </w:rPr>
  </w:style>
  <w:style w:type="character" w:customStyle="1" w:styleId="Heading4Char">
    <w:name w:val="Heading 4 Char"/>
    <w:basedOn w:val="DefaultParagraphFont"/>
    <w:link w:val="Heading4"/>
    <w:uiPriority w:val="9"/>
    <w:rsid w:val="00032129"/>
    <w:rPr>
      <w:rFonts w:ascii="Palatino Linotype" w:eastAsiaTheme="majorEastAsia" w:hAnsi="Palatino Linotype" w:cstheme="majorBidi"/>
      <w:bCs/>
      <w:i/>
      <w:iCs/>
      <w:sz w:val="22"/>
      <w:lang w:val="en-AU"/>
    </w:rPr>
  </w:style>
  <w:style w:type="character" w:customStyle="1" w:styleId="Heading5Char">
    <w:name w:val="Heading 5 Char"/>
    <w:basedOn w:val="DefaultParagraphFont"/>
    <w:link w:val="Heading5"/>
    <w:uiPriority w:val="9"/>
    <w:rsid w:val="00032129"/>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032129"/>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032129"/>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032129"/>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032129"/>
    <w:rPr>
      <w:rFonts w:asciiTheme="majorHAnsi" w:eastAsiaTheme="majorEastAsia" w:hAnsiTheme="majorHAnsi" w:cstheme="majorBidi"/>
      <w:i/>
      <w:iCs/>
      <w:color w:val="404040" w:themeColor="text1" w:themeTint="BF"/>
      <w:sz w:val="20"/>
      <w:szCs w:val="20"/>
      <w:lang w:val="en-AU"/>
    </w:rPr>
  </w:style>
  <w:style w:type="paragraph" w:styleId="Title">
    <w:name w:val="Title"/>
    <w:basedOn w:val="Normal"/>
    <w:next w:val="Normal"/>
    <w:link w:val="TitleChar"/>
    <w:uiPriority w:val="10"/>
    <w:qFormat/>
    <w:rsid w:val="00974F8B"/>
    <w:pPr>
      <w:spacing w:before="0" w:after="300" w:line="240" w:lineRule="auto"/>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974F8B"/>
    <w:rPr>
      <w:rFonts w:ascii="Palatino Linotype" w:eastAsiaTheme="majorEastAsia" w:hAnsi="Palatino Linotype" w:cstheme="majorBidi"/>
      <w:spacing w:val="5"/>
      <w:kern w:val="28"/>
      <w:sz w:val="40"/>
      <w:szCs w:val="52"/>
      <w:lang w:val="en-AU"/>
    </w:rPr>
  </w:style>
  <w:style w:type="paragraph" w:styleId="FootnoteText">
    <w:name w:val="footnote text"/>
    <w:basedOn w:val="Normal"/>
    <w:link w:val="FootnoteTextChar"/>
    <w:uiPriority w:val="99"/>
    <w:unhideWhenUsed/>
    <w:qFormat/>
    <w:rsid w:val="007E7D4E"/>
    <w:pPr>
      <w:spacing w:before="40" w:line="240" w:lineRule="auto"/>
    </w:pPr>
    <w:rPr>
      <w:sz w:val="19"/>
    </w:rPr>
  </w:style>
  <w:style w:type="character" w:customStyle="1" w:styleId="FootnoteTextChar">
    <w:name w:val="Footnote Text Char"/>
    <w:basedOn w:val="DefaultParagraphFont"/>
    <w:link w:val="FootnoteText"/>
    <w:uiPriority w:val="99"/>
    <w:rsid w:val="007E7D4E"/>
    <w:rPr>
      <w:rFonts w:ascii="Palatino Linotype" w:hAnsi="Palatino Linotype"/>
      <w:sz w:val="19"/>
      <w:lang w:val="en-AU"/>
    </w:rPr>
  </w:style>
  <w:style w:type="character" w:styleId="FootnoteReference">
    <w:name w:val="footnote reference"/>
    <w:basedOn w:val="DefaultParagraphFont"/>
    <w:uiPriority w:val="99"/>
    <w:unhideWhenUsed/>
    <w:rsid w:val="00032129"/>
    <w:rPr>
      <w:vertAlign w:val="superscript"/>
    </w:rPr>
  </w:style>
  <w:style w:type="paragraph" w:styleId="Quote">
    <w:name w:val="Quote"/>
    <w:basedOn w:val="Normal"/>
    <w:next w:val="Normal"/>
    <w:link w:val="QuoteChar"/>
    <w:uiPriority w:val="29"/>
    <w:qFormat/>
    <w:rsid w:val="007E7D4E"/>
    <w:pPr>
      <w:spacing w:before="90"/>
      <w:ind w:left="397" w:right="397"/>
    </w:pPr>
    <w:rPr>
      <w:iCs/>
      <w:sz w:val="21"/>
    </w:rPr>
  </w:style>
  <w:style w:type="character" w:customStyle="1" w:styleId="QuoteChar">
    <w:name w:val="Quote Char"/>
    <w:basedOn w:val="DefaultParagraphFont"/>
    <w:link w:val="Quote"/>
    <w:uiPriority w:val="29"/>
    <w:rsid w:val="007E7D4E"/>
    <w:rPr>
      <w:rFonts w:ascii="Palatino Linotype" w:hAnsi="Palatino Linotype"/>
      <w:iCs/>
      <w:sz w:val="21"/>
      <w:lang w:val="en-AU"/>
    </w:rPr>
  </w:style>
  <w:style w:type="paragraph" w:styleId="ListParagraph">
    <w:name w:val="List Paragraph"/>
    <w:basedOn w:val="Normal"/>
    <w:uiPriority w:val="34"/>
    <w:qFormat/>
    <w:rsid w:val="00032129"/>
    <w:pPr>
      <w:numPr>
        <w:numId w:val="2"/>
      </w:numPr>
      <w:spacing w:before="90"/>
    </w:pPr>
  </w:style>
  <w:style w:type="paragraph" w:customStyle="1" w:styleId="Numlist">
    <w:name w:val="Numlist"/>
    <w:basedOn w:val="Normal"/>
    <w:next w:val="Normal"/>
    <w:qFormat/>
    <w:rsid w:val="00032129"/>
    <w:pPr>
      <w:numPr>
        <w:numId w:val="3"/>
      </w:numPr>
    </w:pPr>
  </w:style>
  <w:style w:type="paragraph" w:styleId="DocumentMap">
    <w:name w:val="Document Map"/>
    <w:basedOn w:val="Normal"/>
    <w:link w:val="DocumentMapChar"/>
    <w:uiPriority w:val="99"/>
    <w:semiHidden/>
    <w:unhideWhenUsed/>
    <w:rsid w:val="007E7D4E"/>
    <w:pPr>
      <w:spacing w:before="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7E7D4E"/>
    <w:rPr>
      <w:rFonts w:ascii="Lucida Grande" w:hAnsi="Lucida Grande" w:cs="Lucida Grande"/>
      <w:lang w:val="en-AU"/>
    </w:rPr>
  </w:style>
  <w:style w:type="paragraph" w:styleId="BalloonText">
    <w:name w:val="Balloon Text"/>
    <w:basedOn w:val="Normal"/>
    <w:link w:val="BalloonTextChar"/>
    <w:uiPriority w:val="99"/>
    <w:semiHidden/>
    <w:unhideWhenUsed/>
    <w:rsid w:val="007E7D4E"/>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7D4E"/>
    <w:rPr>
      <w:rFonts w:ascii="Lucida Grande" w:hAnsi="Lucida Grande" w:cs="Lucida Grande"/>
      <w:sz w:val="18"/>
      <w:szCs w:val="18"/>
      <w:lang w:val="en-AU"/>
    </w:rPr>
  </w:style>
  <w:style w:type="paragraph" w:customStyle="1" w:styleId="EndNoteBibliographyTitle">
    <w:name w:val="EndNote Bibliography Title"/>
    <w:basedOn w:val="Normal"/>
    <w:rsid w:val="00E24F18"/>
    <w:pPr>
      <w:jc w:val="center"/>
    </w:pPr>
    <w:rPr>
      <w:lang w:val="en-US"/>
    </w:rPr>
  </w:style>
  <w:style w:type="paragraph" w:customStyle="1" w:styleId="EndNoteBibliography">
    <w:name w:val="EndNote Bibliography"/>
    <w:basedOn w:val="Normal"/>
    <w:rsid w:val="00E24F18"/>
    <w:pPr>
      <w:spacing w:line="240" w:lineRule="auto"/>
    </w:pPr>
    <w:rPr>
      <w:lang w:val="en-US"/>
    </w:rPr>
  </w:style>
  <w:style w:type="table" w:styleId="TableGrid">
    <w:name w:val="Table Grid"/>
    <w:basedOn w:val="TableNormal"/>
    <w:uiPriority w:val="59"/>
    <w:rsid w:val="005F7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6DD8"/>
    <w:pPr>
      <w:tabs>
        <w:tab w:val="center" w:pos="4320"/>
        <w:tab w:val="right" w:pos="8640"/>
      </w:tabs>
      <w:spacing w:before="0" w:line="240" w:lineRule="auto"/>
    </w:pPr>
  </w:style>
  <w:style w:type="character" w:customStyle="1" w:styleId="FooterChar">
    <w:name w:val="Footer Char"/>
    <w:basedOn w:val="DefaultParagraphFont"/>
    <w:link w:val="Footer"/>
    <w:uiPriority w:val="99"/>
    <w:rsid w:val="000F6DD8"/>
    <w:rPr>
      <w:rFonts w:ascii="Palatino Linotype" w:hAnsi="Palatino Linotype"/>
      <w:sz w:val="23"/>
      <w:lang w:val="en-AU"/>
    </w:rPr>
  </w:style>
  <w:style w:type="character" w:styleId="PageNumber">
    <w:name w:val="page number"/>
    <w:basedOn w:val="DefaultParagraphFont"/>
    <w:uiPriority w:val="99"/>
    <w:semiHidden/>
    <w:unhideWhenUsed/>
    <w:rsid w:val="000F6DD8"/>
  </w:style>
  <w:style w:type="character" w:styleId="CommentReference">
    <w:name w:val="annotation reference"/>
    <w:basedOn w:val="DefaultParagraphFont"/>
    <w:uiPriority w:val="99"/>
    <w:semiHidden/>
    <w:unhideWhenUsed/>
    <w:rsid w:val="005307C7"/>
    <w:rPr>
      <w:sz w:val="18"/>
      <w:szCs w:val="18"/>
    </w:rPr>
  </w:style>
  <w:style w:type="paragraph" w:styleId="CommentText">
    <w:name w:val="annotation text"/>
    <w:basedOn w:val="Normal"/>
    <w:link w:val="CommentTextChar"/>
    <w:uiPriority w:val="99"/>
    <w:semiHidden/>
    <w:unhideWhenUsed/>
    <w:rsid w:val="005307C7"/>
    <w:pPr>
      <w:spacing w:line="240" w:lineRule="auto"/>
    </w:pPr>
    <w:rPr>
      <w:sz w:val="24"/>
    </w:rPr>
  </w:style>
  <w:style w:type="character" w:customStyle="1" w:styleId="CommentTextChar">
    <w:name w:val="Comment Text Char"/>
    <w:basedOn w:val="DefaultParagraphFont"/>
    <w:link w:val="CommentText"/>
    <w:uiPriority w:val="99"/>
    <w:semiHidden/>
    <w:rsid w:val="005307C7"/>
    <w:rPr>
      <w:rFonts w:ascii="Palatino Linotype" w:hAnsi="Palatino Linotype"/>
      <w:lang w:val="en-AU"/>
    </w:rPr>
  </w:style>
  <w:style w:type="paragraph" w:styleId="CommentSubject">
    <w:name w:val="annotation subject"/>
    <w:basedOn w:val="CommentText"/>
    <w:next w:val="CommentText"/>
    <w:link w:val="CommentSubjectChar"/>
    <w:uiPriority w:val="99"/>
    <w:semiHidden/>
    <w:unhideWhenUsed/>
    <w:rsid w:val="005307C7"/>
    <w:rPr>
      <w:b/>
      <w:bCs/>
      <w:sz w:val="20"/>
      <w:szCs w:val="20"/>
    </w:rPr>
  </w:style>
  <w:style w:type="character" w:customStyle="1" w:styleId="CommentSubjectChar">
    <w:name w:val="Comment Subject Char"/>
    <w:basedOn w:val="CommentTextChar"/>
    <w:link w:val="CommentSubject"/>
    <w:uiPriority w:val="99"/>
    <w:semiHidden/>
    <w:rsid w:val="005307C7"/>
    <w:rPr>
      <w:rFonts w:ascii="Palatino Linotype" w:hAnsi="Palatino Linotype"/>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2015MG-133-11448</_dlc_DocId>
    <TaxCatchAll xmlns="d4dd4adf-ddb3-46a3-8d7c-fab3fb2a6bc7">
      <Value>2</Value>
    </TaxCatchAll>
    <_dlc_DocIdUrl xmlns="d4dd4adf-ddb3-46a3-8d7c-fab3fb2a6bc7">
      <Url>http://tweb/sites/mg/sbccpd/_layouts/15/DocIdRedir.aspx?ID=2015MG-133-11448</Url>
      <Description>2015MG-133-11448</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CC92B700-F94A-4708-B2D1-E7155842EA51}">
  <ds:schemaRefs>
    <ds:schemaRef ds:uri="http://schemas.microsoft.com/sharepoint/events"/>
  </ds:schemaRefs>
</ds:datastoreItem>
</file>

<file path=customXml/itemProps2.xml><?xml version="1.0" encoding="utf-8"?>
<ds:datastoreItem xmlns:ds="http://schemas.openxmlformats.org/officeDocument/2006/customXml" ds:itemID="{2D03E2C3-3166-41C1-925E-E4C7A4073223}">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sharepoint/v3"/>
    <ds:schemaRef ds:uri="http://schemas.microsoft.com/office/infopath/2007/PartnerControls"/>
    <ds:schemaRef ds:uri="http://schemas.microsoft.com/sharepoint/v4"/>
    <ds:schemaRef ds:uri="d4dd4adf-ddb3-46a3-8d7c-fab3fb2a6bc7"/>
    <ds:schemaRef ds:uri="http://schemas.microsoft.com/office/2006/metadata/properties"/>
  </ds:schemaRefs>
</ds:datastoreItem>
</file>

<file path=customXml/itemProps3.xml><?xml version="1.0" encoding="utf-8"?>
<ds:datastoreItem xmlns:ds="http://schemas.openxmlformats.org/officeDocument/2006/customXml" ds:itemID="{0FB1FFFC-83A3-4C5E-ABC3-DD8A09A97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C2073-DB62-406B-A4DB-6263EB823034}">
  <ds:schemaRefs>
    <ds:schemaRef ds:uri="http://schemas.microsoft.com/sharepoint/v3/contenttype/forms"/>
  </ds:schemaRefs>
</ds:datastoreItem>
</file>

<file path=customXml/itemProps5.xml><?xml version="1.0" encoding="utf-8"?>
<ds:datastoreItem xmlns:ds="http://schemas.openxmlformats.org/officeDocument/2006/customXml" ds:itemID="{879DF7B6-49D3-44BA-B75F-1A2FB80A779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10138</Words>
  <Characters>54063</Characters>
  <Application>Microsoft Office Word</Application>
  <DocSecurity>0</DocSecurity>
  <Lines>950</Lines>
  <Paragraphs>258</Paragraphs>
  <ScaleCrop>false</ScaleCrop>
  <Company/>
  <LinksUpToDate>false</LinksUpToDate>
  <CharactersWithSpaces>64083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Cunningham, Michael - Discussion paper: Options to strengthen the misuse of market power law</dc:title>
  <dc:subject/>
  <dc:creator/>
  <cp:keywords/>
  <dc:description/>
  <cp:lastModifiedBy/>
  <cp:revision>1</cp:revision>
  <dcterms:created xsi:type="dcterms:W3CDTF">2016-02-22T05:57:00Z</dcterms:created>
  <dcterms:modified xsi:type="dcterms:W3CDTF">2016-02-22T05:57:00Z</dcterms:modified>
  <dc:language>English</dc:language>
</cp:coreProperties>
</file>