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794" w:rsidRDefault="008A72A4" w:rsidP="008A72A4">
      <w:pPr>
        <w:jc w:val="center"/>
        <w:rPr>
          <w:b/>
        </w:rPr>
      </w:pPr>
      <w:bookmarkStart w:id="0" w:name="_GoBack"/>
      <w:bookmarkEnd w:id="0"/>
      <w:r w:rsidRPr="008A72A4">
        <w:rPr>
          <w:b/>
        </w:rPr>
        <w:t>SUBMISSION IN RESPONSE</w:t>
      </w:r>
      <w:r>
        <w:rPr>
          <w:b/>
        </w:rPr>
        <w:br/>
      </w:r>
      <w:r w:rsidRPr="008A72A4">
        <w:rPr>
          <w:b/>
        </w:rPr>
        <w:t xml:space="preserve"> TO </w:t>
      </w:r>
      <w:r w:rsidRPr="008A72A4">
        <w:rPr>
          <w:b/>
        </w:rPr>
        <w:br/>
        <w:t xml:space="preserve">AUSTRALIAN GOVERNMENT’S DISCUSSION PAPER </w:t>
      </w:r>
      <w:r w:rsidRPr="008A72A4">
        <w:rPr>
          <w:b/>
        </w:rPr>
        <w:br/>
        <w:t>“OPTIONS TO STRENGTHEN THE MISUSE OF MARKET POWER LAW”</w:t>
      </w:r>
    </w:p>
    <w:p w:rsidR="00F42A96" w:rsidRDefault="00F42A96" w:rsidP="007E060F">
      <w:pPr>
        <w:pStyle w:val="Heading2"/>
        <w:numPr>
          <w:ilvl w:val="0"/>
          <w:numId w:val="41"/>
        </w:numPr>
        <w:jc w:val="both"/>
      </w:pPr>
      <w:r>
        <w:t>Introduction</w:t>
      </w:r>
    </w:p>
    <w:p w:rsidR="00C543D6" w:rsidRDefault="00F27CAB" w:rsidP="007E060F">
      <w:pPr>
        <w:pStyle w:val="BodyText"/>
        <w:jc w:val="both"/>
      </w:pPr>
      <w:r>
        <w:t>I welcome</w:t>
      </w:r>
      <w:r w:rsidR="00B1149B">
        <w:t xml:space="preserve"> the opportunity to make a submission in re</w:t>
      </w:r>
      <w:r w:rsidR="00C543D6">
        <w:t xml:space="preserve">lation to the potential reform of section 46, as </w:t>
      </w:r>
      <w:r>
        <w:t xml:space="preserve">I have acted </w:t>
      </w:r>
      <w:r w:rsidR="00C543D6">
        <w:t xml:space="preserve">for many corporations which are </w:t>
      </w:r>
      <w:r w:rsidR="00895A51">
        <w:t xml:space="preserve">subject to and need to comply with </w:t>
      </w:r>
      <w:r w:rsidR="00C543D6">
        <w:t xml:space="preserve"> Australia’s competition laws.</w:t>
      </w:r>
    </w:p>
    <w:p w:rsidR="00B1149B" w:rsidRPr="00B1149B" w:rsidRDefault="00C543D6" w:rsidP="007E060F">
      <w:pPr>
        <w:pStyle w:val="Heading2"/>
        <w:numPr>
          <w:ilvl w:val="0"/>
          <w:numId w:val="41"/>
        </w:numPr>
        <w:jc w:val="both"/>
      </w:pPr>
      <w:r>
        <w:t>The challenge</w:t>
      </w:r>
    </w:p>
    <w:p w:rsidR="00C32EE7" w:rsidRDefault="00F42A96" w:rsidP="007E060F">
      <w:pPr>
        <w:pStyle w:val="BodyText"/>
        <w:jc w:val="both"/>
      </w:pPr>
      <w:r>
        <w:t xml:space="preserve">It is </w:t>
      </w:r>
      <w:r w:rsidR="004F462C">
        <w:t xml:space="preserve">important </w:t>
      </w:r>
      <w:r>
        <w:t>that Australia</w:t>
      </w:r>
      <w:r w:rsidR="004F462C">
        <w:t xml:space="preserve">’s competition law contains </w:t>
      </w:r>
      <w:r>
        <w:t xml:space="preserve">an effective prohibition against misuse of </w:t>
      </w:r>
      <w:r w:rsidR="00481A42">
        <w:t xml:space="preserve">market power.  As the Discussion Paper acknowledges, the challenge is to frame the prohibition so as to capture anti-competitive </w:t>
      </w:r>
      <w:r w:rsidR="00C32EE7">
        <w:t xml:space="preserve">unilateral behaviour without constraining </w:t>
      </w:r>
      <w:r w:rsidR="004F462C">
        <w:t>vigorous competitive conduct</w:t>
      </w:r>
      <w:r w:rsidR="00C32EE7">
        <w:t xml:space="preserve"> and to adopt a legal test that can be reliably applied by the Courts and the business community to distinguish between competitive and anti-competitive conduct.</w:t>
      </w:r>
    </w:p>
    <w:p w:rsidR="00F42A96" w:rsidRDefault="00C543D6" w:rsidP="007E060F">
      <w:pPr>
        <w:pStyle w:val="Heading2"/>
        <w:jc w:val="both"/>
      </w:pPr>
      <w:r>
        <w:t>3</w:t>
      </w:r>
      <w:r w:rsidR="00C32EE7">
        <w:t>.</w:t>
      </w:r>
      <w:r w:rsidR="00C32EE7">
        <w:tab/>
      </w:r>
      <w:r w:rsidR="00113A51">
        <w:t xml:space="preserve">The threshold issue: </w:t>
      </w:r>
      <w:r>
        <w:t xml:space="preserve">the </w:t>
      </w:r>
      <w:r w:rsidR="00B1149B">
        <w:t xml:space="preserve">level of </w:t>
      </w:r>
      <w:r w:rsidR="00113A51">
        <w:t>market power</w:t>
      </w:r>
    </w:p>
    <w:p w:rsidR="00C87AAB" w:rsidRDefault="00895A51" w:rsidP="005858C6">
      <w:pPr>
        <w:pStyle w:val="BodyText"/>
        <w:jc w:val="both"/>
      </w:pPr>
      <w:r>
        <w:t>From an economic perspective, competition can be said to be effective when no firm, either acting individually or in concert, is able to exercise substantial market power.</w:t>
      </w:r>
      <w:r w:rsidR="00AE7A73">
        <w:t xml:space="preserve"> </w:t>
      </w:r>
      <w:r w:rsidR="00C87AAB">
        <w:t>Where</w:t>
      </w:r>
      <w:r w:rsidR="002838A2">
        <w:t xml:space="preserve"> </w:t>
      </w:r>
      <w:r w:rsidR="00AE7A73">
        <w:t xml:space="preserve">a firm </w:t>
      </w:r>
      <w:r w:rsidR="00C87AAB">
        <w:t xml:space="preserve">has </w:t>
      </w:r>
      <w:r w:rsidR="00AE7A73">
        <w:t>substantial market power</w:t>
      </w:r>
      <w:r w:rsidR="00C87AAB">
        <w:t>, it</w:t>
      </w:r>
      <w:r w:rsidR="002838A2">
        <w:t xml:space="preserve"> could </w:t>
      </w:r>
      <w:r w:rsidR="00AE7A73">
        <w:t xml:space="preserve">act unilaterally to foreclose competition, which </w:t>
      </w:r>
      <w:r w:rsidR="00A5583A">
        <w:t xml:space="preserve">would be likely </w:t>
      </w:r>
      <w:r w:rsidR="00814BAD">
        <w:t xml:space="preserve">over time </w:t>
      </w:r>
      <w:r w:rsidR="00A5583A">
        <w:t xml:space="preserve">to </w:t>
      </w:r>
      <w:r w:rsidR="00AE7A73">
        <w:t xml:space="preserve">reduce consumer welfare in the form of higher prices, </w:t>
      </w:r>
      <w:r w:rsidR="00814BAD">
        <w:t xml:space="preserve">less variety, </w:t>
      </w:r>
      <w:r w:rsidR="00AE7A73">
        <w:t xml:space="preserve">lower quality </w:t>
      </w:r>
      <w:r w:rsidR="00814BAD">
        <w:t>or</w:t>
      </w:r>
      <w:r w:rsidR="00AE7A73">
        <w:t xml:space="preserve"> less innovation.</w:t>
      </w:r>
      <w:r w:rsidR="00C87AAB">
        <w:t xml:space="preserve">  Accordingly, t</w:t>
      </w:r>
      <w:r w:rsidR="00814BAD">
        <w:t xml:space="preserve">he economic justification for a </w:t>
      </w:r>
      <w:r w:rsidR="00113A51">
        <w:t xml:space="preserve">prohibition against misuse of </w:t>
      </w:r>
      <w:r w:rsidR="00C87AAB">
        <w:t xml:space="preserve">substantial </w:t>
      </w:r>
      <w:r w:rsidR="00113A51">
        <w:t xml:space="preserve">market power </w:t>
      </w:r>
      <w:r w:rsidR="00814BAD">
        <w:t xml:space="preserve">is well accepted.  </w:t>
      </w:r>
    </w:p>
    <w:p w:rsidR="00C87AAB" w:rsidRDefault="00C87AAB" w:rsidP="00C87AAB">
      <w:pPr>
        <w:pStyle w:val="BodyText"/>
        <w:jc w:val="both"/>
      </w:pPr>
      <w:r>
        <w:t>In framing the prohibition against misuse of market power, the threshold issue is what level of market power should a firm possess before its decision making should be constrained by the prohibition?</w:t>
      </w:r>
    </w:p>
    <w:p w:rsidR="005858C6" w:rsidRDefault="00C87AAB" w:rsidP="005858C6">
      <w:pPr>
        <w:pStyle w:val="BodyText"/>
        <w:jc w:val="both"/>
      </w:pPr>
      <w:r>
        <w:t>I</w:t>
      </w:r>
      <w:r w:rsidR="009F54BB">
        <w:t xml:space="preserve">t is </w:t>
      </w:r>
      <w:r w:rsidR="00814BAD">
        <w:t xml:space="preserve">important </w:t>
      </w:r>
      <w:r w:rsidR="005858C6">
        <w:t>that the prohibition be framed so as to apply only to those firms which possess substantial market power</w:t>
      </w:r>
      <w:r w:rsidR="00814BAD">
        <w:t xml:space="preserve">, because it is only those firms </w:t>
      </w:r>
      <w:r w:rsidR="005858C6">
        <w:t xml:space="preserve">which are able to act independently of their competitors and therefore pose a potential threat to the efficient operation of the competitive process.  It is only </w:t>
      </w:r>
      <w:r w:rsidR="00814BAD">
        <w:t xml:space="preserve">those </w:t>
      </w:r>
      <w:r w:rsidR="005858C6">
        <w:t>firms with substantial market power wh</w:t>
      </w:r>
      <w:r w:rsidR="00814BAD">
        <w:t xml:space="preserve">ich have the potential by </w:t>
      </w:r>
      <w:r w:rsidR="005858C6">
        <w:t>unilateral conduct to foreclose or otherwise distort competition.</w:t>
      </w:r>
    </w:p>
    <w:p w:rsidR="005858C6" w:rsidRDefault="00313E6E" w:rsidP="007E060F">
      <w:pPr>
        <w:pStyle w:val="BodyText"/>
        <w:jc w:val="both"/>
      </w:pPr>
      <w:r>
        <w:t>Other</w:t>
      </w:r>
      <w:r w:rsidR="005858C6">
        <w:t xml:space="preserve"> firms which</w:t>
      </w:r>
      <w:r w:rsidR="00490DC4">
        <w:t xml:space="preserve"> lack </w:t>
      </w:r>
      <w:r>
        <w:t xml:space="preserve">substantial </w:t>
      </w:r>
      <w:r w:rsidR="00490DC4">
        <w:t xml:space="preserve">market power </w:t>
      </w:r>
      <w:r>
        <w:t xml:space="preserve">should not be </w:t>
      </w:r>
      <w:r w:rsidR="00814BAD">
        <w:t xml:space="preserve">caught by this prohibition, as they do not </w:t>
      </w:r>
      <w:r w:rsidR="00490DC4">
        <w:t xml:space="preserve">have the ability or propensity to engage in </w:t>
      </w:r>
      <w:r w:rsidR="00C543D6">
        <w:t xml:space="preserve">unilateral </w:t>
      </w:r>
      <w:r w:rsidR="00490DC4">
        <w:t xml:space="preserve">conduct which </w:t>
      </w:r>
      <w:r w:rsidR="005858C6">
        <w:t xml:space="preserve">would be </w:t>
      </w:r>
      <w:r w:rsidR="00C543D6">
        <w:t xml:space="preserve">materially </w:t>
      </w:r>
      <w:r w:rsidR="00B1149B">
        <w:t>harmful to competition</w:t>
      </w:r>
      <w:r w:rsidR="005858C6">
        <w:t>.  The behaviour of these smaller firms is likely to be constrained by their competitors</w:t>
      </w:r>
      <w:r w:rsidR="00B1149B">
        <w:t xml:space="preserve">.  </w:t>
      </w:r>
      <w:r w:rsidR="005858C6">
        <w:t xml:space="preserve">As the competitive pressure of the market exercises sufficient discipline over these </w:t>
      </w:r>
      <w:r w:rsidR="00895A51">
        <w:t xml:space="preserve">smaller </w:t>
      </w:r>
      <w:r w:rsidR="005858C6">
        <w:t xml:space="preserve">firms, there is no need to impose this statutory prohibition upon them. </w:t>
      </w:r>
    </w:p>
    <w:p w:rsidR="00CC6044" w:rsidRDefault="00CC6044" w:rsidP="00CC6044">
      <w:pPr>
        <w:pStyle w:val="BodyText"/>
        <w:jc w:val="both"/>
      </w:pPr>
      <w:r>
        <w:t>It is not surprising that this element of section 46 did not attract much attention during the Harper Competition Policy Review, because most stakeholders focused upon the foreshadowed introduction of an “effects test”, which is directed to the substantive test, not the market power threshold which activates the test.</w:t>
      </w:r>
    </w:p>
    <w:p w:rsidR="00F30EF5" w:rsidRDefault="00113A51" w:rsidP="00DC456D">
      <w:pPr>
        <w:pStyle w:val="BodyText"/>
        <w:jc w:val="both"/>
      </w:pPr>
      <w:r>
        <w:t xml:space="preserve">At present, section 46 </w:t>
      </w:r>
      <w:r w:rsidR="00895A51">
        <w:t xml:space="preserve">is expressed to apply </w:t>
      </w:r>
      <w:r>
        <w:t xml:space="preserve">to any firm </w:t>
      </w:r>
      <w:r w:rsidR="00895A51">
        <w:t xml:space="preserve">which </w:t>
      </w:r>
      <w:r>
        <w:t xml:space="preserve">has </w:t>
      </w:r>
      <w:r w:rsidR="00313E6E">
        <w:t>“</w:t>
      </w:r>
      <w:r w:rsidRPr="00313E6E">
        <w:rPr>
          <w:i/>
        </w:rPr>
        <w:t>a substantial degree of power</w:t>
      </w:r>
      <w:r w:rsidR="00313E6E" w:rsidRPr="00313E6E">
        <w:rPr>
          <w:i/>
        </w:rPr>
        <w:t xml:space="preserve"> in a market</w:t>
      </w:r>
      <w:r w:rsidR="00313E6E">
        <w:t>”</w:t>
      </w:r>
      <w:r>
        <w:t xml:space="preserve">.  </w:t>
      </w:r>
      <w:r w:rsidR="00DC456D">
        <w:t>It would be more consistent with economic theory if this language was simplified to apply to any firm which has “</w:t>
      </w:r>
      <w:r w:rsidR="00DC456D" w:rsidRPr="00313E6E">
        <w:rPr>
          <w:i/>
        </w:rPr>
        <w:t>substantial power in a market</w:t>
      </w:r>
      <w:r w:rsidR="00DC456D">
        <w:t xml:space="preserve">”.  The </w:t>
      </w:r>
      <w:r w:rsidR="00F30EF5">
        <w:t>reference to “degree” is unhelpful as it distracts attention from the fundamental requirement that this prohibition should not apply to any firm without substantial market power.  This is important because without this clarification, there is a risk that Australia’s market power threshold will be lower than the threshold set by other leading economies</w:t>
      </w:r>
      <w:r w:rsidR="00F27CAB">
        <w:t>, causing distortions in the global economy</w:t>
      </w:r>
      <w:r w:rsidR="00F30EF5">
        <w:t>.</w:t>
      </w:r>
    </w:p>
    <w:p w:rsidR="00E1476B" w:rsidRDefault="00E1476B" w:rsidP="00E1476B">
      <w:pPr>
        <w:pStyle w:val="BodyText"/>
        <w:jc w:val="both"/>
      </w:pPr>
      <w:r>
        <w:lastRenderedPageBreak/>
        <w:t>It needs to be recalled that when section 46 was first enacted in 1974, it was titled “</w:t>
      </w:r>
      <w:r w:rsidRPr="006245F0">
        <w:rPr>
          <w:i/>
        </w:rPr>
        <w:t>Monopolisation</w:t>
      </w:r>
      <w:r>
        <w:t xml:space="preserve">” and was expressed to apply to </w:t>
      </w:r>
      <w:r w:rsidRPr="006245F0">
        <w:t>a corporation that was in</w:t>
      </w:r>
      <w:r w:rsidRPr="006245F0">
        <w:rPr>
          <w:i/>
        </w:rPr>
        <w:t xml:space="preserve"> </w:t>
      </w:r>
      <w:r>
        <w:rPr>
          <w:i/>
        </w:rPr>
        <w:t>“</w:t>
      </w:r>
      <w:r w:rsidRPr="006245F0">
        <w:rPr>
          <w:i/>
        </w:rPr>
        <w:t>a position substantially to control a market</w:t>
      </w:r>
      <w:r>
        <w:t>”.</w:t>
      </w:r>
      <w:r>
        <w:rPr>
          <w:rStyle w:val="FootnoteReference"/>
        </w:rPr>
        <w:footnoteReference w:id="1"/>
      </w:r>
      <w:r>
        <w:t xml:space="preserve"> Following the Blunt Review in 1979 and a Green Paper in 1984, the market power threshold of “</w:t>
      </w:r>
      <w:r w:rsidRPr="00E1476B">
        <w:rPr>
          <w:i/>
        </w:rPr>
        <w:t>control</w:t>
      </w:r>
      <w:r>
        <w:t>” was lowered in 1986 to the present threshold of a corporation having a “</w:t>
      </w:r>
      <w:r w:rsidRPr="00F25AD0">
        <w:rPr>
          <w:i/>
        </w:rPr>
        <w:t>substantial degree of power in a market</w:t>
      </w:r>
      <w:r>
        <w:t>”.</w:t>
      </w:r>
      <w:r>
        <w:rPr>
          <w:rStyle w:val="FootnoteReference"/>
        </w:rPr>
        <w:footnoteReference w:id="2"/>
      </w:r>
      <w:r>
        <w:t xml:space="preserve">  At the time, the Attorney General, Mr Lionel Bowen stated that the lowering of the threshold would make it clear that </w:t>
      </w:r>
      <w:r w:rsidR="00F27CAB">
        <w:t xml:space="preserve">the </w:t>
      </w:r>
      <w:r>
        <w:t>section would apply to “</w:t>
      </w:r>
      <w:r w:rsidRPr="00F25AD0">
        <w:rPr>
          <w:i/>
        </w:rPr>
        <w:t>major participants in an oligopolistic market and in some cases, to a leading firm in a less concentrated market</w:t>
      </w:r>
      <w:r>
        <w:t>”, as well as monopolists.</w:t>
      </w:r>
      <w:r>
        <w:rPr>
          <w:rStyle w:val="FootnoteReference"/>
        </w:rPr>
        <w:footnoteReference w:id="3"/>
      </w:r>
      <w:r>
        <w:t xml:space="preserve">  </w:t>
      </w:r>
    </w:p>
    <w:p w:rsidR="00E1476B" w:rsidRDefault="00E1476B" w:rsidP="00E1476B">
      <w:pPr>
        <w:pStyle w:val="BodyText"/>
        <w:jc w:val="both"/>
      </w:pPr>
      <w:r>
        <w:t>By contrast to Australia, most of the developed world has set a higher market power threshold to attract the misuse of market power prohibition.  For example, in the United States, under section 2 of the Sherman Act, the Court’s focus is upon “</w:t>
      </w:r>
      <w:r w:rsidRPr="00654C14">
        <w:rPr>
          <w:i/>
        </w:rPr>
        <w:t xml:space="preserve">evidence of </w:t>
      </w:r>
      <w:r w:rsidRPr="001C766B">
        <w:rPr>
          <w:i/>
          <w:u w:val="single"/>
        </w:rPr>
        <w:t>monopoly</w:t>
      </w:r>
      <w:r w:rsidRPr="00654C14">
        <w:rPr>
          <w:i/>
        </w:rPr>
        <w:t xml:space="preserve"> power and proof of exclusionary conduct</w:t>
      </w:r>
      <w:r>
        <w:t>” (our emphasis)</w:t>
      </w:r>
      <w:r>
        <w:rPr>
          <w:rStyle w:val="FootnoteReference"/>
        </w:rPr>
        <w:footnoteReference w:id="4"/>
      </w:r>
      <w:r>
        <w:t>.  In Canada, section 79 of the Competition Act focuses only upon anti-competitive conduct by a “</w:t>
      </w:r>
      <w:r w:rsidRPr="00B75AD2">
        <w:rPr>
          <w:i/>
        </w:rPr>
        <w:t>dominant firm</w:t>
      </w:r>
      <w:r>
        <w:t>”.  In the European Union, Article 102 of the TFEU only seeks to regulate undertakings which hold a dominant position in the relevant market.</w:t>
      </w:r>
    </w:p>
    <w:p w:rsidR="00E1476B" w:rsidRDefault="00E1476B" w:rsidP="00E1476B">
      <w:pPr>
        <w:pStyle w:val="BodyText"/>
        <w:jc w:val="both"/>
      </w:pPr>
      <w:r>
        <w:t xml:space="preserve">In light of </w:t>
      </w:r>
      <w:r w:rsidR="00F27CAB">
        <w:t xml:space="preserve">Australia’s earlier </w:t>
      </w:r>
      <w:r>
        <w:t xml:space="preserve">lowering of the market power threshold, there is a risk that Australia has adopted a threshold which is lower than </w:t>
      </w:r>
      <w:r w:rsidR="0088033F">
        <w:t xml:space="preserve">that used </w:t>
      </w:r>
      <w:r>
        <w:t xml:space="preserve">in </w:t>
      </w:r>
      <w:r w:rsidR="0088033F">
        <w:t xml:space="preserve">many other </w:t>
      </w:r>
      <w:r>
        <w:t>developed economies.</w:t>
      </w:r>
      <w:r w:rsidR="0088033F">
        <w:t xml:space="preserve">  In the face of this risk, there is no place in the statute for any language which might suggest that anything less than “</w:t>
      </w:r>
      <w:r w:rsidR="0088033F" w:rsidRPr="0088033F">
        <w:rPr>
          <w:i/>
        </w:rPr>
        <w:t>substantial market power</w:t>
      </w:r>
      <w:r w:rsidR="0088033F">
        <w:t>” should trigger the application of our misuse of market power prohibition.</w:t>
      </w:r>
      <w:r w:rsidR="00F27CAB">
        <w:t xml:space="preserve">  This refinement of the market power threshold should be introduced </w:t>
      </w:r>
      <w:r w:rsidR="009D1AEC">
        <w:t xml:space="preserve">to </w:t>
      </w:r>
      <w:r w:rsidR="00F27CAB">
        <w:t>section 46</w:t>
      </w:r>
    </w:p>
    <w:p w:rsidR="00884126" w:rsidRDefault="007E060F" w:rsidP="007E060F">
      <w:pPr>
        <w:pStyle w:val="Heading2"/>
      </w:pPr>
      <w:r>
        <w:t>4.</w:t>
      </w:r>
      <w:r>
        <w:tab/>
      </w:r>
      <w:r w:rsidR="00884126">
        <w:t>The importance of a safe harbour</w:t>
      </w:r>
    </w:p>
    <w:p w:rsidR="00884126" w:rsidRDefault="00884126" w:rsidP="007E060F">
      <w:pPr>
        <w:pStyle w:val="Heading2"/>
      </w:pPr>
    </w:p>
    <w:p w:rsidR="0088033F" w:rsidRDefault="0088033F" w:rsidP="0088033F">
      <w:pPr>
        <w:pStyle w:val="BodyText"/>
        <w:jc w:val="both"/>
      </w:pPr>
      <w:r>
        <w:t>Whether the market power threshold is expressed to require “</w:t>
      </w:r>
      <w:r w:rsidRPr="0088033F">
        <w:rPr>
          <w:i/>
        </w:rPr>
        <w:t>substantial market power</w:t>
      </w:r>
      <w:r>
        <w:t>” or “</w:t>
      </w:r>
      <w:r>
        <w:rPr>
          <w:i/>
        </w:rPr>
        <w:t xml:space="preserve">a </w:t>
      </w:r>
      <w:r w:rsidRPr="00F25AD0">
        <w:rPr>
          <w:i/>
        </w:rPr>
        <w:t xml:space="preserve">substantial degree of </w:t>
      </w:r>
      <w:r>
        <w:rPr>
          <w:i/>
        </w:rPr>
        <w:t xml:space="preserve">market </w:t>
      </w:r>
      <w:r w:rsidRPr="00F25AD0">
        <w:rPr>
          <w:i/>
        </w:rPr>
        <w:t>power</w:t>
      </w:r>
      <w:r>
        <w:rPr>
          <w:i/>
        </w:rPr>
        <w:t xml:space="preserve">”, </w:t>
      </w:r>
      <w:r w:rsidRPr="0088033F">
        <w:t>its meaning will remain uncl</w:t>
      </w:r>
      <w:r w:rsidR="00CC6044">
        <w:t xml:space="preserve">ear to the business community. It would be unfortunate if any reforms created </w:t>
      </w:r>
      <w:r>
        <w:t xml:space="preserve">ongoing uncertainty as to which firms in Australia are subject to the constraints imposed by the prohibition.  </w:t>
      </w:r>
    </w:p>
    <w:p w:rsidR="0088033F" w:rsidRDefault="00CC6044" w:rsidP="0088033F">
      <w:pPr>
        <w:pStyle w:val="BodyText"/>
        <w:jc w:val="both"/>
      </w:pPr>
      <w:r>
        <w:t xml:space="preserve">It is therefore </w:t>
      </w:r>
      <w:r w:rsidR="0088033F">
        <w:t xml:space="preserve">important that the Australian Government take steps to ensure that the Australian business community is provided with a clear understanding as to who is subject to the constraints imposed by the prohibition and, equally important, who may conduct their business without reference to those constraints, as the constraints are real and have a significant impact upon the robustness of business decision making.  </w:t>
      </w:r>
    </w:p>
    <w:p w:rsidR="00CF5ECB" w:rsidRDefault="0088033F" w:rsidP="0088033F">
      <w:pPr>
        <w:pStyle w:val="BodyText"/>
        <w:jc w:val="both"/>
      </w:pPr>
      <w:r>
        <w:t xml:space="preserve">The vitality and growth of the economy is as much secured by an effective prohibition, as it is by clear delineation as to who is not subject to the prohibition. </w:t>
      </w:r>
    </w:p>
    <w:p w:rsidR="0088033F" w:rsidRDefault="00CF5ECB" w:rsidP="0088033F">
      <w:pPr>
        <w:pStyle w:val="BodyText"/>
        <w:jc w:val="both"/>
      </w:pPr>
      <w:r>
        <w:t xml:space="preserve">To provide greater </w:t>
      </w:r>
      <w:r w:rsidR="00CC6044">
        <w:t>certainty</w:t>
      </w:r>
      <w:r w:rsidR="0088033F">
        <w:t xml:space="preserve">, it is essential that the Australian Government </w:t>
      </w:r>
      <w:r>
        <w:t xml:space="preserve">direct the ACCC to </w:t>
      </w:r>
      <w:r w:rsidR="0088033F">
        <w:t xml:space="preserve">provide clear guidance as to which firms are subject to the prohibition.  Unlike elsewhere in the world, the business community in Australia has long suffered from uncertainty as to whether or not the prohibition </w:t>
      </w:r>
      <w:r w:rsidR="009D1AEC">
        <w:t>is applicable</w:t>
      </w:r>
      <w:r w:rsidR="0088033F">
        <w:t xml:space="preserve">.  By contrast, in Europe, a dominant position has been defined </w:t>
      </w:r>
      <w:r w:rsidR="00514BD4">
        <w:t xml:space="preserve">under EU law </w:t>
      </w:r>
      <w:r w:rsidR="0088033F">
        <w:t>to mean “</w:t>
      </w:r>
      <w:r w:rsidR="0088033F" w:rsidRPr="00B75AD2">
        <w:rPr>
          <w:i/>
        </w:rPr>
        <w:t>a position of economic strength enjoyed by an undertaking</w:t>
      </w:r>
      <w:r w:rsidR="00514BD4">
        <w:rPr>
          <w:i/>
        </w:rPr>
        <w:t>,</w:t>
      </w:r>
      <w:r w:rsidR="0088033F" w:rsidRPr="00B75AD2">
        <w:rPr>
          <w:i/>
        </w:rPr>
        <w:t xml:space="preserve"> which enables it to prevent effective competition being maintained on </w:t>
      </w:r>
      <w:r w:rsidR="00514BD4">
        <w:rPr>
          <w:i/>
        </w:rPr>
        <w:t xml:space="preserve">the </w:t>
      </w:r>
      <w:r w:rsidR="0088033F" w:rsidRPr="00B75AD2">
        <w:rPr>
          <w:i/>
        </w:rPr>
        <w:t xml:space="preserve"> relevant market by </w:t>
      </w:r>
      <w:r w:rsidR="00514BD4">
        <w:rPr>
          <w:i/>
        </w:rPr>
        <w:t xml:space="preserve">affording </w:t>
      </w:r>
      <w:r w:rsidR="0088033F" w:rsidRPr="00B75AD2">
        <w:rPr>
          <w:i/>
        </w:rPr>
        <w:t>it the power to behave to an appreciable extent independently of its competitors, customers and ultimately of consumers</w:t>
      </w:r>
      <w:r w:rsidR="0088033F">
        <w:t>”</w:t>
      </w:r>
      <w:r w:rsidR="0088033F">
        <w:rPr>
          <w:rStyle w:val="FootnoteReference"/>
        </w:rPr>
        <w:footnoteReference w:id="5"/>
      </w:r>
      <w:r w:rsidR="0088033F">
        <w:t xml:space="preserve">. Importantly, regulatory </w:t>
      </w:r>
      <w:r w:rsidR="0088033F">
        <w:lastRenderedPageBreak/>
        <w:t>guidance has been published in Europe which creates a safe harbour by stating that dominance is not likely if the market share of the firm is below 40%.</w:t>
      </w:r>
      <w:r w:rsidR="0088033F">
        <w:rPr>
          <w:rStyle w:val="FootnoteReference"/>
        </w:rPr>
        <w:footnoteReference w:id="6"/>
      </w:r>
    </w:p>
    <w:p w:rsidR="0088033F" w:rsidRDefault="0088033F" w:rsidP="0088033F">
      <w:pPr>
        <w:pStyle w:val="BodyText"/>
        <w:jc w:val="both"/>
      </w:pPr>
      <w:r>
        <w:t>Similarly, the Canadian Competition Bureau’s guidance is that it will not generally examine a firm with a market share of less than 35% and will only examine a firm with a 35-50% market share if the firm is likely to increase its market share through the alleged anti-competitive conduct</w:t>
      </w:r>
      <w:r>
        <w:rPr>
          <w:rStyle w:val="FootnoteReference"/>
        </w:rPr>
        <w:footnoteReference w:id="7"/>
      </w:r>
      <w:r>
        <w:t xml:space="preserve">.  </w:t>
      </w:r>
    </w:p>
    <w:p w:rsidR="0088033F" w:rsidRDefault="0088033F" w:rsidP="0088033F">
      <w:pPr>
        <w:pStyle w:val="BodyText"/>
        <w:jc w:val="both"/>
      </w:pPr>
      <w:r>
        <w:t xml:space="preserve">Given the globalisation of business and the interconnected nature of modern markets, it </w:t>
      </w:r>
      <w:r w:rsidR="009D1AEC">
        <w:t xml:space="preserve">is </w:t>
      </w:r>
      <w:r>
        <w:t xml:space="preserve"> important that the Australian Government takes this opportunity to clarify that its market power threshold is aligned with other major economies of the world.  It is equally important to ensure that guidance is available to clarify that the prohibition is limited to those firms which are able to act independently of their competitors, and not to those firms which have a market share less than 40%, particularly if the Australian Government is proposing to strengthen the substantive misuse of market power test.</w:t>
      </w:r>
    </w:p>
    <w:p w:rsidR="009D1AEC" w:rsidRDefault="009D1AEC" w:rsidP="0088033F">
      <w:pPr>
        <w:pStyle w:val="BodyText"/>
        <w:jc w:val="both"/>
      </w:pPr>
      <w:r>
        <w:t>12 February 2016</w:t>
      </w:r>
    </w:p>
    <w:p w:rsidR="009D1AEC" w:rsidRPr="009D1AEC" w:rsidRDefault="009D1AEC" w:rsidP="009D1AEC">
      <w:pPr>
        <w:pStyle w:val="BodyText"/>
        <w:rPr>
          <w:b/>
        </w:rPr>
      </w:pPr>
      <w:r w:rsidRPr="009D1AEC">
        <w:rPr>
          <w:b/>
        </w:rPr>
        <w:t>Murray Deakin</w:t>
      </w:r>
      <w:r w:rsidRPr="009D1AEC">
        <w:rPr>
          <w:b/>
        </w:rPr>
        <w:br/>
      </w:r>
      <w:r w:rsidRPr="009D1AEC">
        <w:rPr>
          <w:b/>
        </w:rPr>
        <w:br/>
      </w:r>
    </w:p>
    <w:p w:rsidR="009D1AEC" w:rsidRDefault="009D1AEC" w:rsidP="0088033F">
      <w:pPr>
        <w:pStyle w:val="BodyText"/>
        <w:jc w:val="both"/>
      </w:pPr>
    </w:p>
    <w:p w:rsidR="00CC607E" w:rsidRPr="00CC607E" w:rsidRDefault="00CC607E" w:rsidP="00884126">
      <w:pPr>
        <w:pStyle w:val="Heading2"/>
      </w:pPr>
    </w:p>
    <w:sectPr w:rsidR="00CC607E" w:rsidRPr="00CC607E" w:rsidSect="006735F2">
      <w:headerReference w:type="even" r:id="rId14"/>
      <w:headerReference w:type="default" r:id="rId15"/>
      <w:headerReference w:type="first" r:id="rId16"/>
      <w:pgSz w:w="11906" w:h="16838" w:code="9"/>
      <w:pgMar w:top="1474" w:right="1843" w:bottom="1474" w:left="184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2A4" w:rsidRDefault="008A72A4">
      <w:pPr>
        <w:spacing w:after="0" w:line="240" w:lineRule="auto"/>
      </w:pPr>
      <w:r>
        <w:separator/>
      </w:r>
    </w:p>
  </w:endnote>
  <w:endnote w:type="continuationSeparator" w:id="0">
    <w:p w:rsidR="008A72A4" w:rsidRDefault="008A7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2A4" w:rsidRDefault="008A72A4">
      <w:pPr>
        <w:spacing w:after="0" w:line="240" w:lineRule="auto"/>
      </w:pPr>
      <w:r>
        <w:separator/>
      </w:r>
    </w:p>
  </w:footnote>
  <w:footnote w:type="continuationSeparator" w:id="0">
    <w:p w:rsidR="008A72A4" w:rsidRDefault="008A72A4">
      <w:pPr>
        <w:spacing w:after="0" w:line="240" w:lineRule="auto"/>
      </w:pPr>
      <w:r>
        <w:continuationSeparator/>
      </w:r>
    </w:p>
  </w:footnote>
  <w:footnote w:id="1">
    <w:p w:rsidR="00E1476B" w:rsidRPr="006245F0" w:rsidRDefault="00E1476B" w:rsidP="00E1476B">
      <w:pPr>
        <w:pStyle w:val="FootnoteText"/>
        <w:rPr>
          <w:sz w:val="16"/>
          <w:szCs w:val="16"/>
          <w:lang w:val="en-AU"/>
        </w:rPr>
      </w:pPr>
      <w:r>
        <w:rPr>
          <w:rStyle w:val="FootnoteReference"/>
        </w:rPr>
        <w:footnoteRef/>
      </w:r>
      <w:r>
        <w:t xml:space="preserve"> </w:t>
      </w:r>
      <w:r w:rsidRPr="006245F0">
        <w:rPr>
          <w:sz w:val="16"/>
          <w:szCs w:val="16"/>
          <w:lang w:val="en-AU"/>
        </w:rPr>
        <w:t>Trade Practices Act, 1974</w:t>
      </w:r>
    </w:p>
  </w:footnote>
  <w:footnote w:id="2">
    <w:p w:rsidR="00E1476B" w:rsidRPr="00F25AD0" w:rsidRDefault="00E1476B" w:rsidP="00E1476B">
      <w:pPr>
        <w:pStyle w:val="FootnoteText"/>
        <w:rPr>
          <w:sz w:val="16"/>
          <w:szCs w:val="16"/>
          <w:lang w:val="en-AU"/>
        </w:rPr>
      </w:pPr>
      <w:r>
        <w:rPr>
          <w:rStyle w:val="FootnoteReference"/>
        </w:rPr>
        <w:footnoteRef/>
      </w:r>
      <w:r>
        <w:t xml:space="preserve"> </w:t>
      </w:r>
      <w:r>
        <w:rPr>
          <w:sz w:val="16"/>
          <w:szCs w:val="16"/>
          <w:lang w:val="en-AU"/>
        </w:rPr>
        <w:t>Trade Practices Revision Act 1986.</w:t>
      </w:r>
    </w:p>
  </w:footnote>
  <w:footnote w:id="3">
    <w:p w:rsidR="00E1476B" w:rsidRPr="00F25AD0" w:rsidRDefault="00E1476B" w:rsidP="00E1476B">
      <w:pPr>
        <w:pStyle w:val="FootnoteText"/>
        <w:rPr>
          <w:sz w:val="16"/>
          <w:szCs w:val="16"/>
          <w:lang w:val="en-AU"/>
        </w:rPr>
      </w:pPr>
      <w:r>
        <w:rPr>
          <w:rStyle w:val="FootnoteReference"/>
        </w:rPr>
        <w:footnoteRef/>
      </w:r>
      <w:r>
        <w:t xml:space="preserve"> </w:t>
      </w:r>
      <w:r>
        <w:rPr>
          <w:sz w:val="16"/>
          <w:szCs w:val="16"/>
          <w:lang w:val="en-AU"/>
        </w:rPr>
        <w:t>Second Reading Speech, when introducing the Trade Practices Revision Act 1986.</w:t>
      </w:r>
    </w:p>
  </w:footnote>
  <w:footnote w:id="4">
    <w:p w:rsidR="00E1476B" w:rsidRPr="007E060F" w:rsidRDefault="00E1476B" w:rsidP="00E1476B">
      <w:pPr>
        <w:pStyle w:val="FootnoteText"/>
        <w:rPr>
          <w:sz w:val="16"/>
          <w:szCs w:val="16"/>
          <w:lang w:val="en-AU"/>
        </w:rPr>
      </w:pPr>
      <w:r>
        <w:rPr>
          <w:rStyle w:val="FootnoteReference"/>
        </w:rPr>
        <w:footnoteRef/>
      </w:r>
      <w:r>
        <w:t xml:space="preserve"> </w:t>
      </w:r>
      <w:r w:rsidRPr="007E060F">
        <w:rPr>
          <w:sz w:val="16"/>
          <w:szCs w:val="16"/>
          <w:lang w:val="en-AU"/>
        </w:rPr>
        <w:t>American Bar Association submission, at page 7.</w:t>
      </w:r>
    </w:p>
  </w:footnote>
  <w:footnote w:id="5">
    <w:p w:rsidR="0088033F" w:rsidRPr="00B75AD2" w:rsidRDefault="0088033F" w:rsidP="0088033F">
      <w:pPr>
        <w:shd w:val="clear" w:color="auto" w:fill="FFFFFF"/>
        <w:spacing w:after="0" w:line="270" w:lineRule="atLeast"/>
        <w:rPr>
          <w:lang w:val="en-AU"/>
        </w:rPr>
      </w:pPr>
      <w:r w:rsidRPr="000D080C">
        <w:rPr>
          <w:rStyle w:val="FootnoteReference"/>
        </w:rPr>
        <w:footnoteRef/>
      </w:r>
      <w:r w:rsidRPr="000D080C">
        <w:t xml:space="preserve"> </w:t>
      </w:r>
      <w:r w:rsidRPr="007E060F">
        <w:rPr>
          <w:i/>
          <w:sz w:val="16"/>
          <w:szCs w:val="16"/>
        </w:rPr>
        <w:t xml:space="preserve">Case 27/76, United Brands </w:t>
      </w:r>
      <w:r w:rsidR="00514BD4">
        <w:rPr>
          <w:i/>
          <w:sz w:val="16"/>
          <w:szCs w:val="16"/>
        </w:rPr>
        <w:t xml:space="preserve">Company </w:t>
      </w:r>
      <w:r w:rsidRPr="007E060F">
        <w:rPr>
          <w:i/>
          <w:sz w:val="16"/>
          <w:szCs w:val="16"/>
        </w:rPr>
        <w:t>v Commission</w:t>
      </w:r>
      <w:r w:rsidR="00514BD4">
        <w:rPr>
          <w:i/>
          <w:sz w:val="16"/>
          <w:szCs w:val="16"/>
        </w:rPr>
        <w:t xml:space="preserve"> </w:t>
      </w:r>
      <w:r w:rsidR="00514BD4" w:rsidRPr="00514BD4">
        <w:rPr>
          <w:sz w:val="16"/>
          <w:szCs w:val="16"/>
        </w:rPr>
        <w:t>[1978] ECR 207, paragraph 65</w:t>
      </w:r>
      <w:r w:rsidR="00514BD4">
        <w:rPr>
          <w:rFonts w:ascii="Verdana" w:eastAsia="Times New Roman" w:hAnsi="Verdana" w:cs="Times New Roman"/>
          <w:color w:val="000000"/>
          <w:sz w:val="18"/>
          <w:szCs w:val="18"/>
          <w:lang w:eastAsia="en-AU"/>
        </w:rPr>
        <w:t xml:space="preserve">. </w:t>
      </w:r>
      <w:r w:rsidR="00514BD4">
        <w:rPr>
          <w:rFonts w:eastAsia="Times New Roman" w:cs="Times New Roman"/>
          <w:color w:val="000000"/>
          <w:sz w:val="16"/>
          <w:szCs w:val="16"/>
          <w:lang w:eastAsia="en-AU"/>
        </w:rPr>
        <w:t xml:space="preserve">This definition was adopted by the European Commission in its 2009 guidance regarding Article 82 of the EC Treaty, the predecessor to Article 102 of the TFEU. </w:t>
      </w:r>
      <w:r w:rsidR="00514BD4">
        <w:rPr>
          <w:rFonts w:ascii="Verdana" w:eastAsia="Times New Roman" w:hAnsi="Verdana" w:cs="Times New Roman"/>
          <w:color w:val="000000"/>
          <w:sz w:val="18"/>
          <w:szCs w:val="18"/>
          <w:lang w:eastAsia="en-AU"/>
        </w:rPr>
        <w:t xml:space="preserve"> </w:t>
      </w:r>
    </w:p>
  </w:footnote>
  <w:footnote w:id="6">
    <w:p w:rsidR="00514BD4" w:rsidRPr="00514BD4" w:rsidRDefault="0088033F" w:rsidP="0088033F">
      <w:pPr>
        <w:pStyle w:val="FootnoteText"/>
        <w:rPr>
          <w:rStyle w:val="Hyperlink"/>
          <w:rFonts w:ascii="Georgia" w:eastAsia="Times New Roman" w:hAnsi="Georgia" w:cs="Times New Roman"/>
          <w:bCs/>
          <w:i/>
          <w:color w:val="auto"/>
          <w:sz w:val="16"/>
          <w:szCs w:val="16"/>
          <w:u w:val="none"/>
          <w:lang w:eastAsia="en-AU"/>
        </w:rPr>
      </w:pPr>
      <w:r>
        <w:rPr>
          <w:rStyle w:val="FootnoteReference"/>
        </w:rPr>
        <w:footnoteRef/>
      </w:r>
      <w:r>
        <w:t xml:space="preserve"> </w:t>
      </w:r>
      <w:r w:rsidRPr="000D080C">
        <w:rPr>
          <w:sz w:val="16"/>
          <w:szCs w:val="16"/>
        </w:rPr>
        <w:t xml:space="preserve">The </w:t>
      </w:r>
      <w:r w:rsidR="00514BD4" w:rsidRPr="00514BD4">
        <w:fldChar w:fldCharType="begin"/>
      </w:r>
      <w:r w:rsidR="00514BD4" w:rsidRPr="00514BD4">
        <w:rPr>
          <w:i/>
        </w:rPr>
        <w:instrText xml:space="preserve"> HYPERLINK "http://eur-lex.europa.eu/legal-content/EN/TXT/PDF/?uri=CELEX:52009XC0224(01)&amp;from=EN" </w:instrText>
      </w:r>
      <w:r w:rsidR="00514BD4" w:rsidRPr="00514BD4">
        <w:fldChar w:fldCharType="separate"/>
      </w:r>
      <w:r w:rsidRPr="00514BD4">
        <w:rPr>
          <w:rStyle w:val="Hyperlink"/>
          <w:rFonts w:ascii="Georgia" w:eastAsia="Times New Roman" w:hAnsi="Georgia" w:cs="Times New Roman"/>
          <w:bCs/>
          <w:i/>
          <w:color w:val="auto"/>
          <w:sz w:val="16"/>
          <w:szCs w:val="16"/>
          <w:u w:val="none"/>
          <w:lang w:eastAsia="en-AU"/>
        </w:rPr>
        <w:t>European Commission</w:t>
      </w:r>
      <w:r w:rsidR="00514BD4" w:rsidRPr="00514BD4">
        <w:rPr>
          <w:rStyle w:val="Hyperlink"/>
          <w:rFonts w:ascii="Georgia" w:eastAsia="Times New Roman" w:hAnsi="Georgia" w:cs="Times New Roman"/>
          <w:bCs/>
          <w:i/>
          <w:color w:val="auto"/>
          <w:sz w:val="16"/>
          <w:szCs w:val="16"/>
          <w:u w:val="none"/>
          <w:lang w:eastAsia="en-AU"/>
        </w:rPr>
        <w:t>’s</w:t>
      </w:r>
      <w:r w:rsidRPr="00514BD4">
        <w:rPr>
          <w:rStyle w:val="Hyperlink"/>
          <w:rFonts w:ascii="Georgia" w:eastAsia="Times New Roman" w:hAnsi="Georgia" w:cs="Times New Roman"/>
          <w:bCs/>
          <w:i/>
          <w:color w:val="auto"/>
          <w:sz w:val="16"/>
          <w:szCs w:val="16"/>
          <w:u w:val="none"/>
          <w:lang w:eastAsia="en-AU"/>
        </w:rPr>
        <w:t xml:space="preserve"> Guidance</w:t>
      </w:r>
      <w:r w:rsidR="00514BD4" w:rsidRPr="00514BD4">
        <w:rPr>
          <w:rStyle w:val="Hyperlink"/>
          <w:rFonts w:ascii="Georgia" w:eastAsia="Times New Roman" w:hAnsi="Georgia" w:cs="Times New Roman"/>
          <w:bCs/>
          <w:i/>
          <w:color w:val="auto"/>
          <w:sz w:val="16"/>
          <w:szCs w:val="16"/>
          <w:u w:val="none"/>
          <w:lang w:eastAsia="en-AU"/>
        </w:rPr>
        <w:t xml:space="preserve"> on the Commission’s enforcement priorities in applying Article 82 of the EC Treaty to abusive exclusionary conduct by dominant undertakings, Official Journal of the European Union (2009/C45/09 at paragraph 14.</w:t>
      </w:r>
    </w:p>
    <w:p w:rsidR="0088033F" w:rsidRPr="000D080C" w:rsidRDefault="0088033F" w:rsidP="0088033F">
      <w:pPr>
        <w:pStyle w:val="FootnoteText"/>
        <w:rPr>
          <w:lang w:val="en-AU"/>
        </w:rPr>
      </w:pPr>
      <w:r w:rsidRPr="00514BD4">
        <w:rPr>
          <w:rStyle w:val="Hyperlink"/>
          <w:rFonts w:ascii="Georgia" w:eastAsia="Times New Roman" w:hAnsi="Georgia" w:cs="Times New Roman"/>
          <w:bCs/>
          <w:i/>
          <w:color w:val="auto"/>
          <w:sz w:val="16"/>
          <w:szCs w:val="16"/>
          <w:u w:val="none"/>
          <w:lang w:eastAsia="en-AU"/>
        </w:rPr>
        <w:t xml:space="preserve"> </w:t>
      </w:r>
      <w:r w:rsidR="00514BD4" w:rsidRPr="00514BD4">
        <w:rPr>
          <w:rStyle w:val="Hyperlink"/>
          <w:rFonts w:ascii="Georgia" w:eastAsia="Times New Roman" w:hAnsi="Georgia" w:cs="Times New Roman"/>
          <w:bCs/>
          <w:i/>
          <w:color w:val="auto"/>
          <w:sz w:val="16"/>
          <w:szCs w:val="16"/>
          <w:u w:val="none"/>
          <w:lang w:eastAsia="en-AU"/>
        </w:rPr>
        <w:fldChar w:fldCharType="end"/>
      </w:r>
    </w:p>
  </w:footnote>
  <w:footnote w:id="7">
    <w:p w:rsidR="0088033F" w:rsidRPr="007E060F" w:rsidRDefault="0088033F" w:rsidP="0088033F">
      <w:pPr>
        <w:pStyle w:val="FootnoteText"/>
        <w:rPr>
          <w:sz w:val="16"/>
          <w:szCs w:val="16"/>
          <w:lang w:val="en-AU"/>
        </w:rPr>
      </w:pPr>
      <w:r w:rsidRPr="007E060F">
        <w:rPr>
          <w:rStyle w:val="FootnoteReference"/>
          <w:sz w:val="16"/>
          <w:szCs w:val="16"/>
        </w:rPr>
        <w:footnoteRef/>
      </w:r>
      <w:r w:rsidRPr="007E060F">
        <w:rPr>
          <w:sz w:val="16"/>
          <w:szCs w:val="16"/>
        </w:rPr>
        <w:t xml:space="preserve"> </w:t>
      </w:r>
      <w:r w:rsidRPr="007E060F">
        <w:rPr>
          <w:sz w:val="16"/>
          <w:szCs w:val="16"/>
          <w:lang w:val="en-AU"/>
        </w:rPr>
        <w:t>Competition Bureau Enforcement Guidelines, September 20, 2012, at paragraph 2.3.1.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9B" w:rsidRDefault="001321E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31066" o:spid="_x0000_s4104" type="#_x0000_t136" style="position:absolute;margin-left:0;margin-top:0;width:412.4pt;height:247.45pt;rotation:315;z-index:-251649024;mso-position-horizontal:center;mso-position-horizontal-relative:margin;mso-position-vertical:center;mso-position-vertical-relative:margin" o:allowincell="f" fillcolor="#d8d8d8" stroked="f">
          <v:textpath style="font-family:&quot;Calibri&quot;;font-size:1pt" string="DRAFT"/>
          <w10:wrap anchorx="margin" anchory="margin"/>
        </v:shape>
      </w:pict>
    </w:r>
    <w:r>
      <w:rPr>
        <w:noProof/>
        <w:lang w:val="en-US" w:eastAsia="zh-TW"/>
      </w:rPr>
      <w:pict>
        <v:shape id="_x0000_s4102"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228844212"/>
      <w:docPartObj>
        <w:docPartGallery w:val="Page Numbers (Top of Page)"/>
        <w:docPartUnique/>
      </w:docPartObj>
    </w:sdtPr>
    <w:sdtEndPr>
      <w:rPr>
        <w:b/>
        <w:bCs/>
        <w:noProof/>
        <w:color w:val="auto"/>
        <w:spacing w:val="0"/>
      </w:rPr>
    </w:sdtEndPr>
    <w:sdtContent>
      <w:p w:rsidR="007E060F" w:rsidRDefault="007E060F">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001321EB" w:rsidRPr="001321EB">
          <w:rPr>
            <w:b/>
            <w:bCs/>
            <w:noProof/>
          </w:rPr>
          <w:t>1</w:t>
        </w:r>
        <w:r>
          <w:rPr>
            <w:b/>
            <w:bCs/>
            <w:noProof/>
          </w:rPr>
          <w:fldChar w:fldCharType="end"/>
        </w:r>
      </w:p>
    </w:sdtContent>
  </w:sdt>
  <w:p w:rsidR="00B1149B" w:rsidRDefault="00B1149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49B" w:rsidRDefault="001321EB">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31065" o:spid="_x0000_s4103" type="#_x0000_t136" style="position:absolute;margin-left:0;margin-top:0;width:412.4pt;height:247.45pt;rotation:315;z-index:-251651072;mso-position-horizontal:center;mso-position-horizontal-relative:margin;mso-position-vertical:center;mso-position-vertical-relative:margin" o:allowincell="f" fillcolor="#d8d8d8" stroked="f">
          <v:textpath style="font-family:&quot;Calibri&quot;;font-size:1pt" string="DRAFT"/>
          <w10:wrap anchorx="margin" anchory="margin"/>
        </v:shape>
      </w:pict>
    </w:r>
    <w:r>
      <w:rPr>
        <w:noProof/>
        <w:lang w:val="en-US" w:eastAsia="zh-TW"/>
      </w:rPr>
      <w:pict>
        <v:shape id="_x0000_s4101"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0C045A"/>
    <w:lvl w:ilvl="0">
      <w:start w:val="1"/>
      <w:numFmt w:val="decimal"/>
      <w:lvlText w:val="%1."/>
      <w:lvlJc w:val="left"/>
      <w:pPr>
        <w:tabs>
          <w:tab w:val="num" w:pos="1492"/>
        </w:tabs>
        <w:ind w:left="1492" w:hanging="360"/>
      </w:pPr>
    </w:lvl>
  </w:abstractNum>
  <w:abstractNum w:abstractNumId="1">
    <w:nsid w:val="FFFFFF7D"/>
    <w:multiLevelType w:val="singleLevel"/>
    <w:tmpl w:val="BBA8CDD6"/>
    <w:lvl w:ilvl="0">
      <w:start w:val="1"/>
      <w:numFmt w:val="decimal"/>
      <w:lvlText w:val="%1."/>
      <w:lvlJc w:val="left"/>
      <w:pPr>
        <w:tabs>
          <w:tab w:val="num" w:pos="1209"/>
        </w:tabs>
        <w:ind w:left="1209" w:hanging="360"/>
      </w:pPr>
    </w:lvl>
  </w:abstractNum>
  <w:abstractNum w:abstractNumId="2">
    <w:nsid w:val="FFFFFF7E"/>
    <w:multiLevelType w:val="singleLevel"/>
    <w:tmpl w:val="08E81040"/>
    <w:lvl w:ilvl="0">
      <w:start w:val="1"/>
      <w:numFmt w:val="decimal"/>
      <w:lvlText w:val="%1."/>
      <w:lvlJc w:val="left"/>
      <w:pPr>
        <w:tabs>
          <w:tab w:val="num" w:pos="926"/>
        </w:tabs>
        <w:ind w:left="926" w:hanging="360"/>
      </w:pPr>
    </w:lvl>
  </w:abstractNum>
  <w:abstractNum w:abstractNumId="3">
    <w:nsid w:val="FFFFFF7F"/>
    <w:multiLevelType w:val="singleLevel"/>
    <w:tmpl w:val="15FCDCBE"/>
    <w:lvl w:ilvl="0">
      <w:start w:val="1"/>
      <w:numFmt w:val="decimal"/>
      <w:lvlText w:val="%1."/>
      <w:lvlJc w:val="left"/>
      <w:pPr>
        <w:tabs>
          <w:tab w:val="num" w:pos="643"/>
        </w:tabs>
        <w:ind w:left="643" w:hanging="360"/>
      </w:pPr>
    </w:lvl>
  </w:abstractNum>
  <w:abstractNum w:abstractNumId="4">
    <w:nsid w:val="FFFFFF80"/>
    <w:multiLevelType w:val="singleLevel"/>
    <w:tmpl w:val="93EE7E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C00FD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3D28B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B46994C"/>
    <w:lvl w:ilvl="0">
      <w:start w:val="1"/>
      <w:numFmt w:val="decimal"/>
      <w:lvlText w:val="%1."/>
      <w:lvlJc w:val="left"/>
      <w:pPr>
        <w:tabs>
          <w:tab w:val="num" w:pos="360"/>
        </w:tabs>
        <w:ind w:left="360" w:hanging="360"/>
      </w:pPr>
    </w:lvl>
  </w:abstractNum>
  <w:abstractNum w:abstractNumId="9">
    <w:nsid w:val="FFFFFF89"/>
    <w:multiLevelType w:val="singleLevel"/>
    <w:tmpl w:val="524ED894"/>
    <w:lvl w:ilvl="0">
      <w:start w:val="1"/>
      <w:numFmt w:val="bullet"/>
      <w:lvlText w:val=""/>
      <w:lvlJc w:val="left"/>
      <w:pPr>
        <w:tabs>
          <w:tab w:val="num" w:pos="360"/>
        </w:tabs>
        <w:ind w:left="360" w:hanging="360"/>
      </w:pPr>
      <w:rPr>
        <w:rFonts w:ascii="Symbol" w:hAnsi="Symbol" w:hint="default"/>
      </w:rPr>
    </w:lvl>
  </w:abstractNum>
  <w:abstractNum w:abstractNumId="10">
    <w:nsid w:val="0984408E"/>
    <w:multiLevelType w:val="multilevel"/>
    <w:tmpl w:val="EE3860A0"/>
    <w:styleLink w:val="PwCListNumbers1"/>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pStyle w:val="ListNumber3"/>
      <w:lvlText w:val="%3."/>
      <w:lvlJc w:val="left"/>
      <w:pPr>
        <w:tabs>
          <w:tab w:val="num" w:pos="1701"/>
        </w:tabs>
        <w:ind w:left="1701" w:hanging="567"/>
      </w:pPr>
      <w:rPr>
        <w:rFonts w:hint="default"/>
      </w:rPr>
    </w:lvl>
    <w:lvl w:ilvl="3">
      <w:start w:val="1"/>
      <w:numFmt w:val="decimal"/>
      <w:pStyle w:val="ListNumber4"/>
      <w:lvlText w:val="%4."/>
      <w:lvlJc w:val="left"/>
      <w:pPr>
        <w:tabs>
          <w:tab w:val="num" w:pos="2268"/>
        </w:tabs>
        <w:ind w:left="2268" w:hanging="567"/>
      </w:pPr>
      <w:rPr>
        <w:rFonts w:hint="default"/>
      </w:rPr>
    </w:lvl>
    <w:lvl w:ilvl="4">
      <w:start w:val="1"/>
      <w:numFmt w:val="lowerLetter"/>
      <w:pStyle w:val="ListNumber5"/>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nsid w:val="166849C4"/>
    <w:multiLevelType w:val="multilevel"/>
    <w:tmpl w:val="CD4C98AE"/>
    <w:name w:val="PwCListBullets12"/>
    <w:numStyleLink w:val="PwCListBullets1"/>
  </w:abstractNum>
  <w:abstractNum w:abstractNumId="12">
    <w:nsid w:val="1E0849F5"/>
    <w:multiLevelType w:val="multilevel"/>
    <w:tmpl w:val="EE3860A0"/>
    <w:name w:val="PwCListNumbers12"/>
    <w:numStyleLink w:val="PwCListNumbers1"/>
  </w:abstractNum>
  <w:abstractNum w:abstractNumId="13">
    <w:nsid w:val="28905486"/>
    <w:multiLevelType w:val="multilevel"/>
    <w:tmpl w:val="CD4C98AE"/>
    <w:numStyleLink w:val="PwCListBullets1"/>
  </w:abstractNum>
  <w:abstractNum w:abstractNumId="14">
    <w:nsid w:val="2CDF2E95"/>
    <w:multiLevelType w:val="hybridMultilevel"/>
    <w:tmpl w:val="CEAA0D82"/>
    <w:lvl w:ilvl="0" w:tplc="6D48CC9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3A57486E"/>
    <w:multiLevelType w:val="multilevel"/>
    <w:tmpl w:val="EE3860A0"/>
    <w:numStyleLink w:val="PwCListNumbers1"/>
  </w:abstractNum>
  <w:abstractNum w:abstractNumId="16">
    <w:nsid w:val="613E57F0"/>
    <w:multiLevelType w:val="hybridMultilevel"/>
    <w:tmpl w:val="002002A6"/>
    <w:lvl w:ilvl="0" w:tplc="56A093B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7092733A"/>
    <w:multiLevelType w:val="hybridMultilevel"/>
    <w:tmpl w:val="3B048662"/>
    <w:lvl w:ilvl="0" w:tplc="04F222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72591CA9"/>
    <w:multiLevelType w:val="multilevel"/>
    <w:tmpl w:val="CD4C98AE"/>
    <w:styleLink w:val="PwCListBullets1"/>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1134"/>
        </w:tabs>
        <w:ind w:left="1134" w:hanging="567"/>
      </w:pPr>
      <w:rPr>
        <w:rFonts w:ascii="Symbol" w:hAnsi="Symbol" w:hint="default"/>
      </w:rPr>
    </w:lvl>
    <w:lvl w:ilvl="2">
      <w:start w:val="1"/>
      <w:numFmt w:val="bullet"/>
      <w:pStyle w:val="ListBullet3"/>
      <w:lvlText w:val="◦"/>
      <w:lvlJc w:val="left"/>
      <w:pPr>
        <w:tabs>
          <w:tab w:val="num" w:pos="1701"/>
        </w:tabs>
        <w:ind w:left="1701" w:hanging="567"/>
      </w:pPr>
      <w:rPr>
        <w:rFonts w:ascii="Georgia" w:hAnsi="Georgia" w:hint="default"/>
        <w:b/>
      </w:rPr>
    </w:lvl>
    <w:lvl w:ilvl="3">
      <w:start w:val="1"/>
      <w:numFmt w:val="bullet"/>
      <w:pStyle w:val="ListBullet4"/>
      <w:lvlText w:val=""/>
      <w:lvlJc w:val="left"/>
      <w:pPr>
        <w:tabs>
          <w:tab w:val="num" w:pos="2268"/>
        </w:tabs>
        <w:ind w:left="2268" w:hanging="567"/>
      </w:pPr>
      <w:rPr>
        <w:rFonts w:ascii="Symbol" w:hAnsi="Symbol" w:hint="default"/>
      </w:rPr>
    </w:lvl>
    <w:lvl w:ilvl="4">
      <w:start w:val="1"/>
      <w:numFmt w:val="bullet"/>
      <w:pStyle w:val="ListBullet5"/>
      <w:lvlText w:val="~"/>
      <w:lvlJc w:val="left"/>
      <w:pPr>
        <w:tabs>
          <w:tab w:val="num" w:pos="2835"/>
        </w:tabs>
        <w:ind w:left="2835" w:hanging="567"/>
      </w:pPr>
      <w:rPr>
        <w:rFonts w:ascii="Georgia" w:hAnsi="Georgia"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1"/>
  </w:num>
  <w:num w:numId="14">
    <w:abstractNumId w:val="12"/>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8"/>
  </w:num>
  <w:num w:numId="18">
    <w:abstractNumId w:val="18"/>
  </w:num>
  <w:num w:numId="19">
    <w:abstractNumId w:val="18"/>
  </w:num>
  <w:num w:numId="20">
    <w:abstractNumId w:val="18"/>
  </w:num>
  <w:num w:numId="21">
    <w:abstractNumId w:val="18"/>
  </w:num>
  <w:num w:numId="22">
    <w:abstractNumId w:val="15"/>
  </w:num>
  <w:num w:numId="23">
    <w:abstractNumId w:val="15"/>
  </w:num>
  <w:num w:numId="24">
    <w:abstractNumId w:val="15"/>
  </w:num>
  <w:num w:numId="25">
    <w:abstractNumId w:val="15"/>
  </w:num>
  <w:num w:numId="26">
    <w:abstractNumId w:val="15"/>
  </w:num>
  <w:num w:numId="27">
    <w:abstractNumId w:val="18"/>
  </w:num>
  <w:num w:numId="28">
    <w:abstractNumId w:val="10"/>
  </w:num>
  <w:num w:numId="29">
    <w:abstractNumId w:val="13"/>
  </w:num>
  <w:num w:numId="30">
    <w:abstractNumId w:val="13"/>
  </w:num>
  <w:num w:numId="31">
    <w:abstractNumId w:val="13"/>
  </w:num>
  <w:num w:numId="32">
    <w:abstractNumId w:val="13"/>
  </w:num>
  <w:num w:numId="33">
    <w:abstractNumId w:val="13"/>
  </w:num>
  <w:num w:numId="34">
    <w:abstractNumId w:val="15"/>
  </w:num>
  <w:num w:numId="35">
    <w:abstractNumId w:val="15"/>
  </w:num>
  <w:num w:numId="36">
    <w:abstractNumId w:val="15"/>
  </w:num>
  <w:num w:numId="37">
    <w:abstractNumId w:val="15"/>
  </w:num>
  <w:num w:numId="38">
    <w:abstractNumId w:val="15"/>
  </w:num>
  <w:num w:numId="39">
    <w:abstractNumId w:val="18"/>
  </w:num>
  <w:num w:numId="40">
    <w:abstractNumId w:val="10"/>
  </w:num>
  <w:num w:numId="41">
    <w:abstractNumId w:val="16"/>
  </w:num>
  <w:num w:numId="42">
    <w:abstractNumId w:val="17"/>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proofState w:spelling="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A4"/>
    <w:rsid w:val="000135C3"/>
    <w:rsid w:val="000172A9"/>
    <w:rsid w:val="000D080C"/>
    <w:rsid w:val="00113A51"/>
    <w:rsid w:val="001321EB"/>
    <w:rsid w:val="00182AE7"/>
    <w:rsid w:val="001C619E"/>
    <w:rsid w:val="001C766B"/>
    <w:rsid w:val="00200022"/>
    <w:rsid w:val="002838A2"/>
    <w:rsid w:val="002955F6"/>
    <w:rsid w:val="00313475"/>
    <w:rsid w:val="00313E6E"/>
    <w:rsid w:val="00481A42"/>
    <w:rsid w:val="00490DC4"/>
    <w:rsid w:val="004F462C"/>
    <w:rsid w:val="00514BD4"/>
    <w:rsid w:val="00572CFD"/>
    <w:rsid w:val="005858C6"/>
    <w:rsid w:val="00591986"/>
    <w:rsid w:val="005C3756"/>
    <w:rsid w:val="006245F0"/>
    <w:rsid w:val="00654C14"/>
    <w:rsid w:val="006735F2"/>
    <w:rsid w:val="006D48E0"/>
    <w:rsid w:val="006F7E25"/>
    <w:rsid w:val="007E060F"/>
    <w:rsid w:val="00814BAD"/>
    <w:rsid w:val="0088033F"/>
    <w:rsid w:val="00884126"/>
    <w:rsid w:val="00895A51"/>
    <w:rsid w:val="008A72A4"/>
    <w:rsid w:val="009D1AEC"/>
    <w:rsid w:val="009D3B7C"/>
    <w:rsid w:val="009F54BB"/>
    <w:rsid w:val="00A5583A"/>
    <w:rsid w:val="00A93D6A"/>
    <w:rsid w:val="00AE7A73"/>
    <w:rsid w:val="00B1149B"/>
    <w:rsid w:val="00B37AF9"/>
    <w:rsid w:val="00B531AC"/>
    <w:rsid w:val="00B75AD2"/>
    <w:rsid w:val="00C32EE7"/>
    <w:rsid w:val="00C543D6"/>
    <w:rsid w:val="00C71F09"/>
    <w:rsid w:val="00C85794"/>
    <w:rsid w:val="00C87AAB"/>
    <w:rsid w:val="00C950BD"/>
    <w:rsid w:val="00CC6044"/>
    <w:rsid w:val="00CC607E"/>
    <w:rsid w:val="00CF5ECB"/>
    <w:rsid w:val="00DC456D"/>
    <w:rsid w:val="00E1476B"/>
    <w:rsid w:val="00EC40C9"/>
    <w:rsid w:val="00ED62A6"/>
    <w:rsid w:val="00F25AD0"/>
    <w:rsid w:val="00F27CAB"/>
    <w:rsid w:val="00F30EF5"/>
    <w:rsid w:val="00F42A96"/>
    <w:rsid w:val="00F754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1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99"/>
    <w:qFormat/>
    <w:rsid w:val="002955F6"/>
    <w:rPr>
      <w:rFonts w:asciiTheme="minorHAnsi" w:hAnsiTheme="minorHAnsi"/>
    </w:rPr>
  </w:style>
  <w:style w:type="paragraph" w:styleId="Heading1">
    <w:name w:val="heading 1"/>
    <w:basedOn w:val="Normal"/>
    <w:next w:val="BodyText"/>
    <w:link w:val="Heading1Char"/>
    <w:uiPriority w:val="9"/>
    <w:qFormat/>
    <w:rsid w:val="00C85794"/>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C85794"/>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C85794"/>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C85794"/>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C85794"/>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85794"/>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C85794"/>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C85794"/>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85794"/>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172A9"/>
  </w:style>
  <w:style w:type="character" w:customStyle="1" w:styleId="BodyTextChar">
    <w:name w:val="Body Text Char"/>
    <w:basedOn w:val="DefaultParagraphFont"/>
    <w:link w:val="BodyText"/>
    <w:rsid w:val="000172A9"/>
  </w:style>
  <w:style w:type="paragraph" w:customStyle="1" w:styleId="BodySingle">
    <w:name w:val="Body Single"/>
    <w:basedOn w:val="BodyText"/>
    <w:link w:val="BodySingleChar"/>
    <w:uiPriority w:val="1"/>
    <w:qFormat/>
    <w:rsid w:val="00C85794"/>
    <w:pPr>
      <w:spacing w:after="0"/>
    </w:pPr>
  </w:style>
  <w:style w:type="paragraph" w:styleId="Header">
    <w:name w:val="header"/>
    <w:basedOn w:val="Normal"/>
    <w:link w:val="HeaderChar"/>
    <w:uiPriority w:val="99"/>
    <w:unhideWhenUsed/>
    <w:rsid w:val="00C85794"/>
    <w:pPr>
      <w:spacing w:after="0" w:line="240" w:lineRule="auto"/>
    </w:pPr>
    <w:rPr>
      <w:sz w:val="19"/>
    </w:rPr>
  </w:style>
  <w:style w:type="character" w:customStyle="1" w:styleId="BodySingleChar">
    <w:name w:val="Body Single Char"/>
    <w:basedOn w:val="BodyTextChar"/>
    <w:link w:val="BodySingle"/>
    <w:uiPriority w:val="1"/>
    <w:rsid w:val="00C85794"/>
  </w:style>
  <w:style w:type="character" w:customStyle="1" w:styleId="HeaderChar">
    <w:name w:val="Header Char"/>
    <w:basedOn w:val="DefaultParagraphFont"/>
    <w:link w:val="Header"/>
    <w:uiPriority w:val="99"/>
    <w:rsid w:val="00C85794"/>
    <w:rPr>
      <w:rFonts w:asciiTheme="minorHAnsi" w:hAnsiTheme="minorHAnsi"/>
      <w:sz w:val="19"/>
    </w:rPr>
  </w:style>
  <w:style w:type="paragraph" w:styleId="Footer">
    <w:name w:val="footer"/>
    <w:basedOn w:val="Normal"/>
    <w:link w:val="FooterChar"/>
    <w:uiPriority w:val="99"/>
    <w:unhideWhenUsed/>
    <w:rsid w:val="00C85794"/>
    <w:pPr>
      <w:spacing w:after="0" w:line="240" w:lineRule="auto"/>
    </w:pPr>
    <w:rPr>
      <w:sz w:val="19"/>
    </w:rPr>
  </w:style>
  <w:style w:type="character" w:customStyle="1" w:styleId="FooterChar">
    <w:name w:val="Footer Char"/>
    <w:basedOn w:val="DefaultParagraphFont"/>
    <w:link w:val="Footer"/>
    <w:uiPriority w:val="99"/>
    <w:rsid w:val="00C85794"/>
    <w:rPr>
      <w:sz w:val="19"/>
    </w:rPr>
  </w:style>
  <w:style w:type="character" w:customStyle="1" w:styleId="Heading1Char">
    <w:name w:val="Heading 1 Char"/>
    <w:basedOn w:val="DefaultParagraphFont"/>
    <w:link w:val="Heading1"/>
    <w:uiPriority w:val="9"/>
    <w:rsid w:val="00C85794"/>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C85794"/>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C85794"/>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C85794"/>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C85794"/>
    <w:rPr>
      <w:rFonts w:asciiTheme="majorHAnsi" w:eastAsiaTheme="majorEastAsia" w:hAnsiTheme="majorHAnsi" w:cstheme="majorBidi"/>
    </w:rPr>
  </w:style>
  <w:style w:type="paragraph" w:styleId="TOCHeading">
    <w:name w:val="TOC Heading"/>
    <w:basedOn w:val="Heading1"/>
    <w:next w:val="BodyText"/>
    <w:uiPriority w:val="39"/>
    <w:unhideWhenUsed/>
    <w:qFormat/>
    <w:rsid w:val="00C85794"/>
    <w:pPr>
      <w:spacing w:before="480"/>
      <w:outlineLvl w:val="9"/>
    </w:pPr>
    <w:rPr>
      <w:lang w:val="en-US"/>
    </w:rPr>
  </w:style>
  <w:style w:type="paragraph" w:styleId="TOC1">
    <w:name w:val="toc 1"/>
    <w:basedOn w:val="Normal"/>
    <w:next w:val="Normal"/>
    <w:autoRedefine/>
    <w:uiPriority w:val="39"/>
    <w:unhideWhenUsed/>
    <w:rsid w:val="00C85794"/>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rsid w:val="00C85794"/>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rsid w:val="00C85794"/>
    <w:pPr>
      <w:spacing w:before="120" w:after="120"/>
      <w:ind w:left="568" w:hanging="284"/>
    </w:pPr>
  </w:style>
  <w:style w:type="character" w:styleId="Hyperlink">
    <w:name w:val="Hyperlink"/>
    <w:basedOn w:val="DefaultParagraphFont"/>
    <w:uiPriority w:val="99"/>
    <w:unhideWhenUsed/>
    <w:rsid w:val="00C85794"/>
    <w:rPr>
      <w:color w:val="968C6D" w:themeColor="hyperlink"/>
      <w:u w:val="single"/>
    </w:rPr>
  </w:style>
  <w:style w:type="paragraph" w:styleId="BalloonText">
    <w:name w:val="Balloon Text"/>
    <w:basedOn w:val="Normal"/>
    <w:link w:val="BalloonTextChar"/>
    <w:uiPriority w:val="99"/>
    <w:semiHidden/>
    <w:unhideWhenUsed/>
    <w:rsid w:val="00C8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94"/>
    <w:rPr>
      <w:rFonts w:ascii="Tahoma" w:hAnsi="Tahoma" w:cs="Tahoma"/>
      <w:sz w:val="16"/>
      <w:szCs w:val="16"/>
    </w:rPr>
  </w:style>
  <w:style w:type="paragraph" w:styleId="ListBullet">
    <w:name w:val="List Bullet"/>
    <w:basedOn w:val="Normal"/>
    <w:uiPriority w:val="13"/>
    <w:unhideWhenUsed/>
    <w:qFormat/>
    <w:rsid w:val="00C85794"/>
    <w:pPr>
      <w:numPr>
        <w:numId w:val="39"/>
      </w:numPr>
      <w:contextualSpacing/>
    </w:pPr>
  </w:style>
  <w:style w:type="numbering" w:customStyle="1" w:styleId="PwCListBullets1">
    <w:name w:val="PwC List Bullets 1"/>
    <w:uiPriority w:val="99"/>
    <w:rsid w:val="00C85794"/>
    <w:pPr>
      <w:numPr>
        <w:numId w:val="11"/>
      </w:numPr>
    </w:pPr>
  </w:style>
  <w:style w:type="numbering" w:customStyle="1" w:styleId="PwCListNumbers1">
    <w:name w:val="PwC List Numbers 1"/>
    <w:uiPriority w:val="99"/>
    <w:rsid w:val="00C85794"/>
    <w:pPr>
      <w:numPr>
        <w:numId w:val="12"/>
      </w:numPr>
    </w:pPr>
  </w:style>
  <w:style w:type="paragraph" w:styleId="ListNumber">
    <w:name w:val="List Number"/>
    <w:basedOn w:val="Normal"/>
    <w:uiPriority w:val="13"/>
    <w:unhideWhenUsed/>
    <w:qFormat/>
    <w:rsid w:val="00C85794"/>
    <w:pPr>
      <w:numPr>
        <w:numId w:val="40"/>
      </w:numPr>
      <w:contextualSpacing/>
    </w:pPr>
  </w:style>
  <w:style w:type="paragraph" w:styleId="ListBullet2">
    <w:name w:val="List Bullet 2"/>
    <w:basedOn w:val="Normal"/>
    <w:uiPriority w:val="13"/>
    <w:unhideWhenUsed/>
    <w:qFormat/>
    <w:rsid w:val="00C85794"/>
    <w:pPr>
      <w:numPr>
        <w:ilvl w:val="1"/>
        <w:numId w:val="39"/>
      </w:numPr>
      <w:contextualSpacing/>
    </w:pPr>
  </w:style>
  <w:style w:type="paragraph" w:styleId="ListBullet3">
    <w:name w:val="List Bullet 3"/>
    <w:basedOn w:val="Normal"/>
    <w:uiPriority w:val="13"/>
    <w:unhideWhenUsed/>
    <w:qFormat/>
    <w:rsid w:val="00C85794"/>
    <w:pPr>
      <w:numPr>
        <w:ilvl w:val="2"/>
        <w:numId w:val="39"/>
      </w:numPr>
      <w:contextualSpacing/>
    </w:pPr>
  </w:style>
  <w:style w:type="paragraph" w:styleId="ListBullet4">
    <w:name w:val="List Bullet 4"/>
    <w:basedOn w:val="Normal"/>
    <w:uiPriority w:val="13"/>
    <w:unhideWhenUsed/>
    <w:rsid w:val="00C85794"/>
    <w:pPr>
      <w:numPr>
        <w:ilvl w:val="3"/>
        <w:numId w:val="39"/>
      </w:numPr>
      <w:contextualSpacing/>
    </w:pPr>
  </w:style>
  <w:style w:type="paragraph" w:styleId="ListBullet5">
    <w:name w:val="List Bullet 5"/>
    <w:basedOn w:val="Normal"/>
    <w:uiPriority w:val="13"/>
    <w:unhideWhenUsed/>
    <w:rsid w:val="00C85794"/>
    <w:pPr>
      <w:numPr>
        <w:ilvl w:val="4"/>
        <w:numId w:val="39"/>
      </w:numPr>
      <w:contextualSpacing/>
    </w:pPr>
  </w:style>
  <w:style w:type="paragraph" w:styleId="ListNumber2">
    <w:name w:val="List Number 2"/>
    <w:basedOn w:val="Normal"/>
    <w:uiPriority w:val="13"/>
    <w:unhideWhenUsed/>
    <w:qFormat/>
    <w:rsid w:val="00C85794"/>
    <w:pPr>
      <w:numPr>
        <w:ilvl w:val="1"/>
        <w:numId w:val="40"/>
      </w:numPr>
      <w:contextualSpacing/>
    </w:pPr>
  </w:style>
  <w:style w:type="paragraph" w:styleId="ListNumber3">
    <w:name w:val="List Number 3"/>
    <w:basedOn w:val="Normal"/>
    <w:uiPriority w:val="13"/>
    <w:unhideWhenUsed/>
    <w:qFormat/>
    <w:rsid w:val="00C85794"/>
    <w:pPr>
      <w:numPr>
        <w:ilvl w:val="2"/>
        <w:numId w:val="40"/>
      </w:numPr>
      <w:contextualSpacing/>
    </w:pPr>
  </w:style>
  <w:style w:type="paragraph" w:styleId="ListNumber4">
    <w:name w:val="List Number 4"/>
    <w:basedOn w:val="Normal"/>
    <w:uiPriority w:val="13"/>
    <w:unhideWhenUsed/>
    <w:rsid w:val="00C85794"/>
    <w:pPr>
      <w:numPr>
        <w:ilvl w:val="3"/>
        <w:numId w:val="40"/>
      </w:numPr>
      <w:contextualSpacing/>
    </w:pPr>
  </w:style>
  <w:style w:type="paragraph" w:styleId="ListNumber5">
    <w:name w:val="List Number 5"/>
    <w:basedOn w:val="Normal"/>
    <w:uiPriority w:val="13"/>
    <w:unhideWhenUsed/>
    <w:rsid w:val="00C85794"/>
    <w:pPr>
      <w:numPr>
        <w:ilvl w:val="4"/>
        <w:numId w:val="40"/>
      </w:numPr>
      <w:contextualSpacing/>
    </w:pPr>
  </w:style>
  <w:style w:type="paragraph" w:styleId="List">
    <w:name w:val="List"/>
    <w:basedOn w:val="Normal"/>
    <w:uiPriority w:val="99"/>
    <w:semiHidden/>
    <w:unhideWhenUsed/>
    <w:rsid w:val="00C85794"/>
    <w:pPr>
      <w:ind w:left="567" w:hanging="567"/>
      <w:contextualSpacing/>
    </w:pPr>
  </w:style>
  <w:style w:type="paragraph" w:styleId="List2">
    <w:name w:val="List 2"/>
    <w:basedOn w:val="Normal"/>
    <w:uiPriority w:val="99"/>
    <w:semiHidden/>
    <w:unhideWhenUsed/>
    <w:rsid w:val="00C85794"/>
    <w:pPr>
      <w:ind w:left="1134" w:hanging="567"/>
      <w:contextualSpacing/>
    </w:pPr>
  </w:style>
  <w:style w:type="paragraph" w:styleId="ListContinue4">
    <w:name w:val="List Continue 4"/>
    <w:basedOn w:val="Normal"/>
    <w:uiPriority w:val="14"/>
    <w:semiHidden/>
    <w:unhideWhenUsed/>
    <w:rsid w:val="00C85794"/>
    <w:pPr>
      <w:spacing w:after="120"/>
      <w:ind w:left="2268"/>
      <w:contextualSpacing/>
    </w:pPr>
  </w:style>
  <w:style w:type="paragraph" w:styleId="ListContinue5">
    <w:name w:val="List Continue 5"/>
    <w:basedOn w:val="Normal"/>
    <w:uiPriority w:val="14"/>
    <w:semiHidden/>
    <w:unhideWhenUsed/>
    <w:rsid w:val="00C85794"/>
    <w:pPr>
      <w:spacing w:after="120"/>
      <w:ind w:left="2835"/>
      <w:contextualSpacing/>
    </w:pPr>
  </w:style>
  <w:style w:type="paragraph" w:styleId="List3">
    <w:name w:val="List 3"/>
    <w:basedOn w:val="Normal"/>
    <w:uiPriority w:val="99"/>
    <w:semiHidden/>
    <w:unhideWhenUsed/>
    <w:rsid w:val="00C85794"/>
    <w:pPr>
      <w:ind w:left="1701" w:hanging="567"/>
      <w:contextualSpacing/>
    </w:pPr>
  </w:style>
  <w:style w:type="paragraph" w:styleId="List4">
    <w:name w:val="List 4"/>
    <w:basedOn w:val="Normal"/>
    <w:uiPriority w:val="99"/>
    <w:semiHidden/>
    <w:unhideWhenUsed/>
    <w:rsid w:val="00C85794"/>
    <w:pPr>
      <w:ind w:left="2268" w:hanging="567"/>
      <w:contextualSpacing/>
    </w:pPr>
  </w:style>
  <w:style w:type="paragraph" w:styleId="List5">
    <w:name w:val="List 5"/>
    <w:basedOn w:val="Normal"/>
    <w:uiPriority w:val="99"/>
    <w:semiHidden/>
    <w:unhideWhenUsed/>
    <w:rsid w:val="00C85794"/>
    <w:pPr>
      <w:ind w:left="2835" w:hanging="567"/>
      <w:contextualSpacing/>
    </w:pPr>
  </w:style>
  <w:style w:type="table" w:styleId="TableGrid">
    <w:name w:val="Table Grid"/>
    <w:basedOn w:val="TableNormal"/>
    <w:rsid w:val="00C857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C85794"/>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C8579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C8579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C8579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C85794"/>
    <w:rPr>
      <w:rFonts w:asciiTheme="majorHAnsi" w:eastAsiaTheme="majorEastAsia" w:hAnsiTheme="majorHAnsi" w:cstheme="majorBidi"/>
      <w:iCs/>
    </w:rPr>
  </w:style>
  <w:style w:type="table" w:styleId="MediumShading2-Accent3">
    <w:name w:val="Medium Shading 2 Accent 3"/>
    <w:basedOn w:val="TableNormal"/>
    <w:uiPriority w:val="64"/>
    <w:rsid w:val="00C857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C85794"/>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rsid w:val="00C85794"/>
    <w:pPr>
      <w:spacing w:after="0" w:line="140" w:lineRule="atLeast"/>
    </w:pPr>
    <w:rPr>
      <w:rFonts w:cs="Arial"/>
      <w:noProof/>
      <w:sz w:val="12"/>
      <w:szCs w:val="22"/>
      <w:lang w:eastAsia="en-GB"/>
    </w:rPr>
  </w:style>
  <w:style w:type="character" w:customStyle="1" w:styleId="DisclaimerChar">
    <w:name w:val="Disclaimer Char"/>
    <w:basedOn w:val="DefaultParagraphFont"/>
    <w:link w:val="Disclaimer"/>
    <w:rsid w:val="00C85794"/>
    <w:rPr>
      <w:rFonts w:asciiTheme="minorHAnsi" w:hAnsiTheme="minorHAnsi" w:cs="Arial"/>
      <w:noProof/>
      <w:sz w:val="12"/>
      <w:szCs w:val="22"/>
      <w:lang w:eastAsia="en-GB"/>
    </w:rPr>
  </w:style>
  <w:style w:type="paragraph" w:customStyle="1" w:styleId="Address">
    <w:name w:val="Address"/>
    <w:basedOn w:val="Normal"/>
    <w:link w:val="AddressChar"/>
    <w:qFormat/>
    <w:rsid w:val="00C85794"/>
    <w:pPr>
      <w:spacing w:after="0" w:line="200" w:lineRule="atLeast"/>
    </w:pPr>
    <w:rPr>
      <w:i/>
      <w:noProof/>
      <w:sz w:val="18"/>
      <w:szCs w:val="22"/>
      <w:lang w:eastAsia="en-GB"/>
    </w:rPr>
  </w:style>
  <w:style w:type="character" w:customStyle="1" w:styleId="AddressChar">
    <w:name w:val="Address Char"/>
    <w:basedOn w:val="DefaultParagraphFont"/>
    <w:link w:val="Address"/>
    <w:rsid w:val="00C85794"/>
    <w:rPr>
      <w:i/>
      <w:noProof/>
      <w:sz w:val="18"/>
      <w:szCs w:val="22"/>
      <w:lang w:eastAsia="en-GB"/>
    </w:rPr>
  </w:style>
  <w:style w:type="paragraph" w:styleId="BlockText">
    <w:name w:val="Block Text"/>
    <w:basedOn w:val="Normal"/>
    <w:uiPriority w:val="99"/>
    <w:unhideWhenUsed/>
    <w:qFormat/>
    <w:rsid w:val="00C85794"/>
    <w:pPr>
      <w:spacing w:line="240" w:lineRule="auto"/>
    </w:pPr>
    <w:rPr>
      <w:b/>
      <w:i/>
      <w:color w:val="968C6D" w:themeColor="text2"/>
      <w:sz w:val="48"/>
      <w:szCs w:val="48"/>
    </w:rPr>
  </w:style>
  <w:style w:type="paragraph" w:styleId="BodyText3">
    <w:name w:val="Body Text 3"/>
    <w:basedOn w:val="Normal"/>
    <w:link w:val="BodyText3Char"/>
    <w:uiPriority w:val="99"/>
    <w:semiHidden/>
    <w:unhideWhenUsed/>
    <w:rsid w:val="00C85794"/>
    <w:pPr>
      <w:spacing w:after="120"/>
    </w:pPr>
    <w:rPr>
      <w:sz w:val="16"/>
      <w:szCs w:val="16"/>
    </w:rPr>
  </w:style>
  <w:style w:type="character" w:customStyle="1" w:styleId="BodyText3Char">
    <w:name w:val="Body Text 3 Char"/>
    <w:basedOn w:val="DefaultParagraphFont"/>
    <w:link w:val="BodyText3"/>
    <w:uiPriority w:val="99"/>
    <w:semiHidden/>
    <w:rsid w:val="00C85794"/>
    <w:rPr>
      <w:sz w:val="16"/>
      <w:szCs w:val="16"/>
    </w:rPr>
  </w:style>
  <w:style w:type="paragraph" w:customStyle="1" w:styleId="BlockText2">
    <w:name w:val="Block Text 2"/>
    <w:basedOn w:val="Normal"/>
    <w:uiPriority w:val="99"/>
    <w:qFormat/>
    <w:rsid w:val="00C85794"/>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rsid w:val="00C85794"/>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table" w:customStyle="1" w:styleId="PwCTableFigures">
    <w:name w:val="PwC Table Figures"/>
    <w:basedOn w:val="TableNormal"/>
    <w:uiPriority w:val="99"/>
    <w:qFormat/>
    <w:rsid w:val="00C85794"/>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sid w:val="00C85794"/>
    <w:rPr>
      <w:i/>
      <w:iCs/>
      <w:color w:val="000000" w:themeColor="text1"/>
    </w:rPr>
  </w:style>
  <w:style w:type="character" w:customStyle="1" w:styleId="QuoteChar">
    <w:name w:val="Quote Char"/>
    <w:basedOn w:val="DefaultParagraphFont"/>
    <w:link w:val="Quote"/>
    <w:uiPriority w:val="29"/>
    <w:rsid w:val="00C85794"/>
    <w:rPr>
      <w:i/>
      <w:iCs/>
      <w:color w:val="000000" w:themeColor="text1"/>
    </w:rPr>
  </w:style>
  <w:style w:type="paragraph" w:styleId="TOC4">
    <w:name w:val="toc 4"/>
    <w:basedOn w:val="Normal"/>
    <w:next w:val="Normal"/>
    <w:autoRedefine/>
    <w:uiPriority w:val="39"/>
    <w:unhideWhenUsed/>
    <w:rsid w:val="00C85794"/>
    <w:pPr>
      <w:spacing w:after="120"/>
      <w:ind w:left="851" w:hanging="284"/>
    </w:pPr>
  </w:style>
  <w:style w:type="paragraph" w:styleId="TOC5">
    <w:name w:val="toc 5"/>
    <w:basedOn w:val="Normal"/>
    <w:next w:val="Normal"/>
    <w:autoRedefine/>
    <w:uiPriority w:val="39"/>
    <w:unhideWhenUsed/>
    <w:rsid w:val="00C85794"/>
    <w:pPr>
      <w:spacing w:after="120"/>
      <w:ind w:left="1135" w:hanging="284"/>
    </w:pPr>
  </w:style>
  <w:style w:type="paragraph" w:styleId="TOC6">
    <w:name w:val="toc 6"/>
    <w:basedOn w:val="Normal"/>
    <w:next w:val="Normal"/>
    <w:autoRedefine/>
    <w:uiPriority w:val="39"/>
    <w:semiHidden/>
    <w:unhideWhenUsed/>
    <w:rsid w:val="00C85794"/>
    <w:pPr>
      <w:spacing w:after="120"/>
      <w:ind w:left="1418" w:hanging="284"/>
    </w:pPr>
  </w:style>
  <w:style w:type="paragraph" w:styleId="TOC7">
    <w:name w:val="toc 7"/>
    <w:basedOn w:val="Normal"/>
    <w:next w:val="Normal"/>
    <w:autoRedefine/>
    <w:uiPriority w:val="39"/>
    <w:semiHidden/>
    <w:unhideWhenUsed/>
    <w:rsid w:val="00C85794"/>
    <w:pPr>
      <w:spacing w:after="120"/>
      <w:ind w:left="1702" w:hanging="284"/>
    </w:pPr>
  </w:style>
  <w:style w:type="paragraph" w:styleId="TOC8">
    <w:name w:val="toc 8"/>
    <w:basedOn w:val="Normal"/>
    <w:next w:val="Normal"/>
    <w:autoRedefine/>
    <w:uiPriority w:val="39"/>
    <w:semiHidden/>
    <w:unhideWhenUsed/>
    <w:rsid w:val="00C85794"/>
    <w:pPr>
      <w:spacing w:after="120"/>
      <w:ind w:left="1985" w:hanging="284"/>
    </w:pPr>
  </w:style>
  <w:style w:type="paragraph" w:styleId="TOC9">
    <w:name w:val="toc 9"/>
    <w:basedOn w:val="Normal"/>
    <w:next w:val="Normal"/>
    <w:autoRedefine/>
    <w:uiPriority w:val="39"/>
    <w:semiHidden/>
    <w:unhideWhenUsed/>
    <w:rsid w:val="00C85794"/>
    <w:pPr>
      <w:spacing w:after="120"/>
      <w:ind w:left="2269" w:hanging="284"/>
    </w:pPr>
  </w:style>
  <w:style w:type="paragraph" w:styleId="FootnoteText">
    <w:name w:val="footnote text"/>
    <w:basedOn w:val="Normal"/>
    <w:link w:val="FootnoteTextChar"/>
    <w:uiPriority w:val="99"/>
    <w:semiHidden/>
    <w:unhideWhenUsed/>
    <w:rsid w:val="00654C14"/>
    <w:pPr>
      <w:spacing w:after="0" w:line="240" w:lineRule="auto"/>
    </w:pPr>
  </w:style>
  <w:style w:type="character" w:customStyle="1" w:styleId="FootnoteTextChar">
    <w:name w:val="Footnote Text Char"/>
    <w:basedOn w:val="DefaultParagraphFont"/>
    <w:link w:val="FootnoteText"/>
    <w:uiPriority w:val="99"/>
    <w:semiHidden/>
    <w:rsid w:val="00654C14"/>
    <w:rPr>
      <w:rFonts w:asciiTheme="minorHAnsi" w:hAnsiTheme="minorHAnsi"/>
    </w:rPr>
  </w:style>
  <w:style w:type="character" w:styleId="FootnoteReference">
    <w:name w:val="footnote reference"/>
    <w:basedOn w:val="DefaultParagraphFont"/>
    <w:uiPriority w:val="99"/>
    <w:semiHidden/>
    <w:unhideWhenUsed/>
    <w:rsid w:val="00654C1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lang w:val="en-GB" w:eastAsia="en-US" w:bidi="ar-SA"/>
      </w:rPr>
    </w:rPrDefault>
    <w:pPrDefault>
      <w:pPr>
        <w:spacing w:after="240" w:line="240" w:lineRule="atLeast"/>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3" w:qFormat="1"/>
    <w:lsdException w:name="List Number" w:uiPriority="13" w:qFormat="1"/>
    <w:lsdException w:name="List Bullet 2" w:uiPriority="13" w:qFormat="1"/>
    <w:lsdException w:name="List Bullet 3" w:uiPriority="13" w:qFormat="1"/>
    <w:lsdException w:name="List Bullet 4" w:uiPriority="13"/>
    <w:lsdException w:name="List Bullet 5" w:uiPriority="13"/>
    <w:lsdException w:name="List Number 2" w:uiPriority="13" w:qFormat="1"/>
    <w:lsdException w:name="List Number 3" w:uiPriority="13" w:qFormat="1"/>
    <w:lsdException w:name="List Number 4" w:uiPriority="13"/>
    <w:lsdException w:name="List Number 5" w:uiPriority="13"/>
    <w:lsdException w:name="Title" w:semiHidden="0" w:uiPriority="10" w:unhideWhenUsed="0" w:qFormat="1"/>
    <w:lsdException w:name="Default Paragraph Font" w:uiPriority="1"/>
    <w:lsdException w:name="Body Text" w:uiPriority="0" w:qFormat="1"/>
    <w:lsdException w:name="List Continue" w:uiPriority="14" w:qFormat="1"/>
    <w:lsdException w:name="List Continue 2" w:uiPriority="14" w:qFormat="1"/>
    <w:lsdException w:name="List Continue 3" w:uiPriority="14" w:qFormat="1"/>
    <w:lsdException w:name="List Continue 4" w:uiPriority="14"/>
    <w:lsdException w:name="List Continue 5" w:uiPriority="14"/>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99"/>
    <w:qFormat/>
    <w:rsid w:val="002955F6"/>
    <w:rPr>
      <w:rFonts w:asciiTheme="minorHAnsi" w:hAnsiTheme="minorHAnsi"/>
    </w:rPr>
  </w:style>
  <w:style w:type="paragraph" w:styleId="Heading1">
    <w:name w:val="heading 1"/>
    <w:basedOn w:val="Normal"/>
    <w:next w:val="BodyText"/>
    <w:link w:val="Heading1Char"/>
    <w:uiPriority w:val="9"/>
    <w:qFormat/>
    <w:rsid w:val="00C85794"/>
    <w:pPr>
      <w:keepNext/>
      <w:keepLines/>
      <w:spacing w:after="40" w:line="240" w:lineRule="auto"/>
      <w:outlineLvl w:val="0"/>
    </w:pPr>
    <w:rPr>
      <w:rFonts w:asciiTheme="majorHAnsi" w:eastAsiaTheme="majorEastAsia" w:hAnsiTheme="majorHAnsi" w:cstheme="majorBidi"/>
      <w:b/>
      <w:bCs/>
      <w:i/>
      <w:sz w:val="32"/>
      <w:szCs w:val="28"/>
    </w:rPr>
  </w:style>
  <w:style w:type="paragraph" w:styleId="Heading2">
    <w:name w:val="heading 2"/>
    <w:basedOn w:val="Normal"/>
    <w:next w:val="BodyText"/>
    <w:link w:val="Heading2Char"/>
    <w:uiPriority w:val="9"/>
    <w:unhideWhenUsed/>
    <w:qFormat/>
    <w:rsid w:val="00C85794"/>
    <w:pPr>
      <w:keepNext/>
      <w:keepLines/>
      <w:spacing w:after="40" w:line="240" w:lineRule="auto"/>
      <w:outlineLvl w:val="1"/>
    </w:pPr>
    <w:rPr>
      <w:rFonts w:asciiTheme="majorHAnsi" w:eastAsiaTheme="majorEastAsia" w:hAnsiTheme="majorHAnsi" w:cstheme="majorBidi"/>
      <w:b/>
      <w:bCs/>
      <w:i/>
      <w:sz w:val="24"/>
      <w:szCs w:val="26"/>
    </w:rPr>
  </w:style>
  <w:style w:type="paragraph" w:styleId="Heading3">
    <w:name w:val="heading 3"/>
    <w:basedOn w:val="Normal"/>
    <w:next w:val="BodyText"/>
    <w:link w:val="Heading3Char"/>
    <w:uiPriority w:val="9"/>
    <w:unhideWhenUsed/>
    <w:qFormat/>
    <w:rsid w:val="00C85794"/>
    <w:pPr>
      <w:keepNext/>
      <w:keepLines/>
      <w:spacing w:after="40" w:line="240" w:lineRule="auto"/>
      <w:outlineLvl w:val="2"/>
    </w:pPr>
    <w:rPr>
      <w:rFonts w:asciiTheme="majorHAnsi" w:eastAsiaTheme="majorEastAsia" w:hAnsiTheme="majorHAnsi" w:cstheme="majorBidi"/>
      <w:bCs/>
      <w:i/>
      <w:sz w:val="24"/>
    </w:rPr>
  </w:style>
  <w:style w:type="paragraph" w:styleId="Heading4">
    <w:name w:val="heading 4"/>
    <w:basedOn w:val="Normal"/>
    <w:next w:val="BodyText"/>
    <w:link w:val="Heading4Char"/>
    <w:uiPriority w:val="9"/>
    <w:unhideWhenUsed/>
    <w:qFormat/>
    <w:rsid w:val="00C85794"/>
    <w:pPr>
      <w:keepNext/>
      <w:keepLines/>
      <w:spacing w:after="40" w:line="240" w:lineRule="auto"/>
      <w:outlineLvl w:val="3"/>
    </w:pPr>
    <w:rPr>
      <w:rFonts w:asciiTheme="majorHAnsi" w:eastAsiaTheme="majorEastAsia" w:hAnsiTheme="majorHAnsi" w:cstheme="majorBidi"/>
      <w:bCs/>
      <w:i/>
      <w:iCs/>
    </w:rPr>
  </w:style>
  <w:style w:type="paragraph" w:styleId="Heading5">
    <w:name w:val="heading 5"/>
    <w:basedOn w:val="Normal"/>
    <w:next w:val="BodyText"/>
    <w:link w:val="Heading5Char"/>
    <w:uiPriority w:val="9"/>
    <w:unhideWhenUsed/>
    <w:qFormat/>
    <w:rsid w:val="00C85794"/>
    <w:pPr>
      <w:keepNext/>
      <w:keepLines/>
      <w:spacing w:after="40" w:line="240" w:lineRule="auto"/>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C85794"/>
    <w:pPr>
      <w:keepNext/>
      <w:keepLines/>
      <w:spacing w:after="40" w:line="240" w:lineRule="auto"/>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unhideWhenUsed/>
    <w:qFormat/>
    <w:rsid w:val="00C85794"/>
    <w:pPr>
      <w:keepNext/>
      <w:keepLines/>
      <w:spacing w:after="40" w:line="240" w:lineRule="auto"/>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unhideWhenUsed/>
    <w:qFormat/>
    <w:rsid w:val="00C85794"/>
    <w:pPr>
      <w:keepNext/>
      <w:keepLines/>
      <w:spacing w:after="40"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C85794"/>
    <w:pPr>
      <w:keepNext/>
      <w:keepLines/>
      <w:spacing w:after="40" w:line="240" w:lineRule="auto"/>
      <w:outlineLvl w:val="8"/>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172A9"/>
  </w:style>
  <w:style w:type="character" w:customStyle="1" w:styleId="BodyTextChar">
    <w:name w:val="Body Text Char"/>
    <w:basedOn w:val="DefaultParagraphFont"/>
    <w:link w:val="BodyText"/>
    <w:rsid w:val="000172A9"/>
  </w:style>
  <w:style w:type="paragraph" w:customStyle="1" w:styleId="BodySingle">
    <w:name w:val="Body Single"/>
    <w:basedOn w:val="BodyText"/>
    <w:link w:val="BodySingleChar"/>
    <w:uiPriority w:val="1"/>
    <w:qFormat/>
    <w:rsid w:val="00C85794"/>
    <w:pPr>
      <w:spacing w:after="0"/>
    </w:pPr>
  </w:style>
  <w:style w:type="paragraph" w:styleId="Header">
    <w:name w:val="header"/>
    <w:basedOn w:val="Normal"/>
    <w:link w:val="HeaderChar"/>
    <w:uiPriority w:val="99"/>
    <w:unhideWhenUsed/>
    <w:rsid w:val="00C85794"/>
    <w:pPr>
      <w:spacing w:after="0" w:line="240" w:lineRule="auto"/>
    </w:pPr>
    <w:rPr>
      <w:sz w:val="19"/>
    </w:rPr>
  </w:style>
  <w:style w:type="character" w:customStyle="1" w:styleId="BodySingleChar">
    <w:name w:val="Body Single Char"/>
    <w:basedOn w:val="BodyTextChar"/>
    <w:link w:val="BodySingle"/>
    <w:uiPriority w:val="1"/>
    <w:rsid w:val="00C85794"/>
  </w:style>
  <w:style w:type="character" w:customStyle="1" w:styleId="HeaderChar">
    <w:name w:val="Header Char"/>
    <w:basedOn w:val="DefaultParagraphFont"/>
    <w:link w:val="Header"/>
    <w:uiPriority w:val="99"/>
    <w:rsid w:val="00C85794"/>
    <w:rPr>
      <w:rFonts w:asciiTheme="minorHAnsi" w:hAnsiTheme="minorHAnsi"/>
      <w:sz w:val="19"/>
    </w:rPr>
  </w:style>
  <w:style w:type="paragraph" w:styleId="Footer">
    <w:name w:val="footer"/>
    <w:basedOn w:val="Normal"/>
    <w:link w:val="FooterChar"/>
    <w:uiPriority w:val="99"/>
    <w:unhideWhenUsed/>
    <w:rsid w:val="00C85794"/>
    <w:pPr>
      <w:spacing w:after="0" w:line="240" w:lineRule="auto"/>
    </w:pPr>
    <w:rPr>
      <w:sz w:val="19"/>
    </w:rPr>
  </w:style>
  <w:style w:type="character" w:customStyle="1" w:styleId="FooterChar">
    <w:name w:val="Footer Char"/>
    <w:basedOn w:val="DefaultParagraphFont"/>
    <w:link w:val="Footer"/>
    <w:uiPriority w:val="99"/>
    <w:rsid w:val="00C85794"/>
    <w:rPr>
      <w:sz w:val="19"/>
    </w:rPr>
  </w:style>
  <w:style w:type="character" w:customStyle="1" w:styleId="Heading1Char">
    <w:name w:val="Heading 1 Char"/>
    <w:basedOn w:val="DefaultParagraphFont"/>
    <w:link w:val="Heading1"/>
    <w:uiPriority w:val="9"/>
    <w:rsid w:val="00C85794"/>
    <w:rPr>
      <w:rFonts w:asciiTheme="majorHAnsi" w:eastAsiaTheme="majorEastAsia" w:hAnsiTheme="majorHAnsi" w:cstheme="majorBidi"/>
      <w:b/>
      <w:bCs/>
      <w:i/>
      <w:sz w:val="32"/>
      <w:szCs w:val="28"/>
    </w:rPr>
  </w:style>
  <w:style w:type="character" w:customStyle="1" w:styleId="Heading2Char">
    <w:name w:val="Heading 2 Char"/>
    <w:basedOn w:val="DefaultParagraphFont"/>
    <w:link w:val="Heading2"/>
    <w:uiPriority w:val="9"/>
    <w:rsid w:val="00C85794"/>
    <w:rPr>
      <w:rFonts w:asciiTheme="majorHAnsi" w:eastAsiaTheme="majorEastAsia" w:hAnsiTheme="majorHAnsi" w:cstheme="majorBidi"/>
      <w:b/>
      <w:bCs/>
      <w:i/>
      <w:sz w:val="24"/>
      <w:szCs w:val="26"/>
    </w:rPr>
  </w:style>
  <w:style w:type="character" w:customStyle="1" w:styleId="Heading3Char">
    <w:name w:val="Heading 3 Char"/>
    <w:basedOn w:val="DefaultParagraphFont"/>
    <w:link w:val="Heading3"/>
    <w:uiPriority w:val="9"/>
    <w:rsid w:val="00C85794"/>
    <w:rPr>
      <w:rFonts w:asciiTheme="majorHAnsi" w:eastAsiaTheme="majorEastAsia" w:hAnsiTheme="majorHAnsi" w:cstheme="majorBidi"/>
      <w:bCs/>
      <w:i/>
      <w:sz w:val="24"/>
    </w:rPr>
  </w:style>
  <w:style w:type="character" w:customStyle="1" w:styleId="Heading4Char">
    <w:name w:val="Heading 4 Char"/>
    <w:basedOn w:val="DefaultParagraphFont"/>
    <w:link w:val="Heading4"/>
    <w:uiPriority w:val="9"/>
    <w:rsid w:val="00C85794"/>
    <w:rPr>
      <w:rFonts w:asciiTheme="majorHAnsi" w:eastAsiaTheme="majorEastAsia" w:hAnsiTheme="majorHAnsi" w:cstheme="majorBidi"/>
      <w:bCs/>
      <w:i/>
      <w:iCs/>
    </w:rPr>
  </w:style>
  <w:style w:type="character" w:customStyle="1" w:styleId="Heading5Char">
    <w:name w:val="Heading 5 Char"/>
    <w:basedOn w:val="DefaultParagraphFont"/>
    <w:link w:val="Heading5"/>
    <w:uiPriority w:val="9"/>
    <w:rsid w:val="00C85794"/>
    <w:rPr>
      <w:rFonts w:asciiTheme="majorHAnsi" w:eastAsiaTheme="majorEastAsia" w:hAnsiTheme="majorHAnsi" w:cstheme="majorBidi"/>
    </w:rPr>
  </w:style>
  <w:style w:type="paragraph" w:styleId="TOCHeading">
    <w:name w:val="TOC Heading"/>
    <w:basedOn w:val="Heading1"/>
    <w:next w:val="BodyText"/>
    <w:uiPriority w:val="39"/>
    <w:unhideWhenUsed/>
    <w:qFormat/>
    <w:rsid w:val="00C85794"/>
    <w:pPr>
      <w:spacing w:before="480"/>
      <w:outlineLvl w:val="9"/>
    </w:pPr>
    <w:rPr>
      <w:lang w:val="en-US"/>
    </w:rPr>
  </w:style>
  <w:style w:type="paragraph" w:styleId="TOC1">
    <w:name w:val="toc 1"/>
    <w:basedOn w:val="Normal"/>
    <w:next w:val="Normal"/>
    <w:autoRedefine/>
    <w:uiPriority w:val="39"/>
    <w:unhideWhenUsed/>
    <w:rsid w:val="00C85794"/>
    <w:pPr>
      <w:pBdr>
        <w:top w:val="single" w:sz="8" w:space="4" w:color="968C6D" w:themeColor="text2"/>
      </w:pBdr>
      <w:spacing w:before="120" w:after="120"/>
      <w:ind w:left="284" w:hanging="284"/>
    </w:pPr>
  </w:style>
  <w:style w:type="paragraph" w:styleId="TOC2">
    <w:name w:val="toc 2"/>
    <w:basedOn w:val="Normal"/>
    <w:next w:val="Normal"/>
    <w:autoRedefine/>
    <w:uiPriority w:val="39"/>
    <w:unhideWhenUsed/>
    <w:rsid w:val="00C85794"/>
    <w:pPr>
      <w:pBdr>
        <w:top w:val="dotted" w:sz="8" w:space="4" w:color="968C6D" w:themeColor="text2"/>
      </w:pBdr>
      <w:spacing w:before="120" w:after="120"/>
      <w:ind w:left="284" w:hanging="284"/>
    </w:pPr>
  </w:style>
  <w:style w:type="paragraph" w:styleId="TOC3">
    <w:name w:val="toc 3"/>
    <w:basedOn w:val="Normal"/>
    <w:next w:val="Normal"/>
    <w:autoRedefine/>
    <w:uiPriority w:val="39"/>
    <w:unhideWhenUsed/>
    <w:rsid w:val="00C85794"/>
    <w:pPr>
      <w:spacing w:before="120" w:after="120"/>
      <w:ind w:left="568" w:hanging="284"/>
    </w:pPr>
  </w:style>
  <w:style w:type="character" w:styleId="Hyperlink">
    <w:name w:val="Hyperlink"/>
    <w:basedOn w:val="DefaultParagraphFont"/>
    <w:uiPriority w:val="99"/>
    <w:unhideWhenUsed/>
    <w:rsid w:val="00C85794"/>
    <w:rPr>
      <w:color w:val="968C6D" w:themeColor="hyperlink"/>
      <w:u w:val="single"/>
    </w:rPr>
  </w:style>
  <w:style w:type="paragraph" w:styleId="BalloonText">
    <w:name w:val="Balloon Text"/>
    <w:basedOn w:val="Normal"/>
    <w:link w:val="BalloonTextChar"/>
    <w:uiPriority w:val="99"/>
    <w:semiHidden/>
    <w:unhideWhenUsed/>
    <w:rsid w:val="00C8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794"/>
    <w:rPr>
      <w:rFonts w:ascii="Tahoma" w:hAnsi="Tahoma" w:cs="Tahoma"/>
      <w:sz w:val="16"/>
      <w:szCs w:val="16"/>
    </w:rPr>
  </w:style>
  <w:style w:type="paragraph" w:styleId="ListBullet">
    <w:name w:val="List Bullet"/>
    <w:basedOn w:val="Normal"/>
    <w:uiPriority w:val="13"/>
    <w:unhideWhenUsed/>
    <w:qFormat/>
    <w:rsid w:val="00C85794"/>
    <w:pPr>
      <w:numPr>
        <w:numId w:val="39"/>
      </w:numPr>
      <w:contextualSpacing/>
    </w:pPr>
  </w:style>
  <w:style w:type="numbering" w:customStyle="1" w:styleId="PwCListBullets1">
    <w:name w:val="PwC List Bullets 1"/>
    <w:uiPriority w:val="99"/>
    <w:rsid w:val="00C85794"/>
    <w:pPr>
      <w:numPr>
        <w:numId w:val="11"/>
      </w:numPr>
    </w:pPr>
  </w:style>
  <w:style w:type="numbering" w:customStyle="1" w:styleId="PwCListNumbers1">
    <w:name w:val="PwC List Numbers 1"/>
    <w:uiPriority w:val="99"/>
    <w:rsid w:val="00C85794"/>
    <w:pPr>
      <w:numPr>
        <w:numId w:val="12"/>
      </w:numPr>
    </w:pPr>
  </w:style>
  <w:style w:type="paragraph" w:styleId="ListNumber">
    <w:name w:val="List Number"/>
    <w:basedOn w:val="Normal"/>
    <w:uiPriority w:val="13"/>
    <w:unhideWhenUsed/>
    <w:qFormat/>
    <w:rsid w:val="00C85794"/>
    <w:pPr>
      <w:numPr>
        <w:numId w:val="40"/>
      </w:numPr>
      <w:contextualSpacing/>
    </w:pPr>
  </w:style>
  <w:style w:type="paragraph" w:styleId="ListBullet2">
    <w:name w:val="List Bullet 2"/>
    <w:basedOn w:val="Normal"/>
    <w:uiPriority w:val="13"/>
    <w:unhideWhenUsed/>
    <w:qFormat/>
    <w:rsid w:val="00C85794"/>
    <w:pPr>
      <w:numPr>
        <w:ilvl w:val="1"/>
        <w:numId w:val="39"/>
      </w:numPr>
      <w:contextualSpacing/>
    </w:pPr>
  </w:style>
  <w:style w:type="paragraph" w:styleId="ListBullet3">
    <w:name w:val="List Bullet 3"/>
    <w:basedOn w:val="Normal"/>
    <w:uiPriority w:val="13"/>
    <w:unhideWhenUsed/>
    <w:qFormat/>
    <w:rsid w:val="00C85794"/>
    <w:pPr>
      <w:numPr>
        <w:ilvl w:val="2"/>
        <w:numId w:val="39"/>
      </w:numPr>
      <w:contextualSpacing/>
    </w:pPr>
  </w:style>
  <w:style w:type="paragraph" w:styleId="ListBullet4">
    <w:name w:val="List Bullet 4"/>
    <w:basedOn w:val="Normal"/>
    <w:uiPriority w:val="13"/>
    <w:unhideWhenUsed/>
    <w:rsid w:val="00C85794"/>
    <w:pPr>
      <w:numPr>
        <w:ilvl w:val="3"/>
        <w:numId w:val="39"/>
      </w:numPr>
      <w:contextualSpacing/>
    </w:pPr>
  </w:style>
  <w:style w:type="paragraph" w:styleId="ListBullet5">
    <w:name w:val="List Bullet 5"/>
    <w:basedOn w:val="Normal"/>
    <w:uiPriority w:val="13"/>
    <w:unhideWhenUsed/>
    <w:rsid w:val="00C85794"/>
    <w:pPr>
      <w:numPr>
        <w:ilvl w:val="4"/>
        <w:numId w:val="39"/>
      </w:numPr>
      <w:contextualSpacing/>
    </w:pPr>
  </w:style>
  <w:style w:type="paragraph" w:styleId="ListNumber2">
    <w:name w:val="List Number 2"/>
    <w:basedOn w:val="Normal"/>
    <w:uiPriority w:val="13"/>
    <w:unhideWhenUsed/>
    <w:qFormat/>
    <w:rsid w:val="00C85794"/>
    <w:pPr>
      <w:numPr>
        <w:ilvl w:val="1"/>
        <w:numId w:val="40"/>
      </w:numPr>
      <w:contextualSpacing/>
    </w:pPr>
  </w:style>
  <w:style w:type="paragraph" w:styleId="ListNumber3">
    <w:name w:val="List Number 3"/>
    <w:basedOn w:val="Normal"/>
    <w:uiPriority w:val="13"/>
    <w:unhideWhenUsed/>
    <w:qFormat/>
    <w:rsid w:val="00C85794"/>
    <w:pPr>
      <w:numPr>
        <w:ilvl w:val="2"/>
        <w:numId w:val="40"/>
      </w:numPr>
      <w:contextualSpacing/>
    </w:pPr>
  </w:style>
  <w:style w:type="paragraph" w:styleId="ListNumber4">
    <w:name w:val="List Number 4"/>
    <w:basedOn w:val="Normal"/>
    <w:uiPriority w:val="13"/>
    <w:unhideWhenUsed/>
    <w:rsid w:val="00C85794"/>
    <w:pPr>
      <w:numPr>
        <w:ilvl w:val="3"/>
        <w:numId w:val="40"/>
      </w:numPr>
      <w:contextualSpacing/>
    </w:pPr>
  </w:style>
  <w:style w:type="paragraph" w:styleId="ListNumber5">
    <w:name w:val="List Number 5"/>
    <w:basedOn w:val="Normal"/>
    <w:uiPriority w:val="13"/>
    <w:unhideWhenUsed/>
    <w:rsid w:val="00C85794"/>
    <w:pPr>
      <w:numPr>
        <w:ilvl w:val="4"/>
        <w:numId w:val="40"/>
      </w:numPr>
      <w:contextualSpacing/>
    </w:pPr>
  </w:style>
  <w:style w:type="paragraph" w:styleId="List">
    <w:name w:val="List"/>
    <w:basedOn w:val="Normal"/>
    <w:uiPriority w:val="99"/>
    <w:semiHidden/>
    <w:unhideWhenUsed/>
    <w:rsid w:val="00C85794"/>
    <w:pPr>
      <w:ind w:left="567" w:hanging="567"/>
      <w:contextualSpacing/>
    </w:pPr>
  </w:style>
  <w:style w:type="paragraph" w:styleId="List2">
    <w:name w:val="List 2"/>
    <w:basedOn w:val="Normal"/>
    <w:uiPriority w:val="99"/>
    <w:semiHidden/>
    <w:unhideWhenUsed/>
    <w:rsid w:val="00C85794"/>
    <w:pPr>
      <w:ind w:left="1134" w:hanging="567"/>
      <w:contextualSpacing/>
    </w:pPr>
  </w:style>
  <w:style w:type="paragraph" w:styleId="ListContinue4">
    <w:name w:val="List Continue 4"/>
    <w:basedOn w:val="Normal"/>
    <w:uiPriority w:val="14"/>
    <w:semiHidden/>
    <w:unhideWhenUsed/>
    <w:rsid w:val="00C85794"/>
    <w:pPr>
      <w:spacing w:after="120"/>
      <w:ind w:left="2268"/>
      <w:contextualSpacing/>
    </w:pPr>
  </w:style>
  <w:style w:type="paragraph" w:styleId="ListContinue5">
    <w:name w:val="List Continue 5"/>
    <w:basedOn w:val="Normal"/>
    <w:uiPriority w:val="14"/>
    <w:semiHidden/>
    <w:unhideWhenUsed/>
    <w:rsid w:val="00C85794"/>
    <w:pPr>
      <w:spacing w:after="120"/>
      <w:ind w:left="2835"/>
      <w:contextualSpacing/>
    </w:pPr>
  </w:style>
  <w:style w:type="paragraph" w:styleId="List3">
    <w:name w:val="List 3"/>
    <w:basedOn w:val="Normal"/>
    <w:uiPriority w:val="99"/>
    <w:semiHidden/>
    <w:unhideWhenUsed/>
    <w:rsid w:val="00C85794"/>
    <w:pPr>
      <w:ind w:left="1701" w:hanging="567"/>
      <w:contextualSpacing/>
    </w:pPr>
  </w:style>
  <w:style w:type="paragraph" w:styleId="List4">
    <w:name w:val="List 4"/>
    <w:basedOn w:val="Normal"/>
    <w:uiPriority w:val="99"/>
    <w:semiHidden/>
    <w:unhideWhenUsed/>
    <w:rsid w:val="00C85794"/>
    <w:pPr>
      <w:ind w:left="2268" w:hanging="567"/>
      <w:contextualSpacing/>
    </w:pPr>
  </w:style>
  <w:style w:type="paragraph" w:styleId="List5">
    <w:name w:val="List 5"/>
    <w:basedOn w:val="Normal"/>
    <w:uiPriority w:val="99"/>
    <w:semiHidden/>
    <w:unhideWhenUsed/>
    <w:rsid w:val="00C85794"/>
    <w:pPr>
      <w:ind w:left="2835" w:hanging="567"/>
      <w:contextualSpacing/>
    </w:pPr>
  </w:style>
  <w:style w:type="table" w:styleId="TableGrid">
    <w:name w:val="Table Grid"/>
    <w:basedOn w:val="TableNormal"/>
    <w:rsid w:val="00C857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PwCTableText">
    <w:name w:val="PwC Table Text"/>
    <w:basedOn w:val="TableNormal"/>
    <w:uiPriority w:val="99"/>
    <w:qFormat/>
    <w:rsid w:val="00C85794"/>
    <w:pPr>
      <w:spacing w:before="60" w:after="60" w:line="240" w:lineRule="auto"/>
    </w:pPr>
    <w:tblPr>
      <w:tblStyleRowBandSize w:val="1"/>
      <w:tblBorders>
        <w:insideH w:val="dotted" w:sz="4" w:space="0" w:color="968C6D" w:themeColor="text2"/>
      </w:tblBorders>
    </w:tblPr>
    <w:tblStylePr w:type="firstRow">
      <w:rPr>
        <w:b/>
      </w:rPr>
      <w:tblPr/>
      <w:tcPr>
        <w:tcBorders>
          <w:top w:val="single" w:sz="6" w:space="0" w:color="968C6D" w:themeColor="text2"/>
          <w:bottom w:val="single" w:sz="6" w:space="0" w:color="968C6D" w:themeColor="text2"/>
        </w:tcBorders>
      </w:tcPr>
    </w:tblStylePr>
    <w:tblStylePr w:type="lastRow">
      <w:rPr>
        <w:b/>
      </w:rPr>
      <w:tblPr/>
      <w:tcPr>
        <w:tcBorders>
          <w:top w:val="single" w:sz="6" w:space="0" w:color="968C6D" w:themeColor="text2"/>
          <w:bottom w:val="single" w:sz="6" w:space="0" w:color="968C6D" w:themeColor="text2"/>
        </w:tcBorders>
      </w:tcPr>
    </w:tblStylePr>
    <w:tblStylePr w:type="band1Horz">
      <w:tblPr/>
      <w:tcPr>
        <w:tcBorders>
          <w:bottom w:val="nil"/>
        </w:tcBorders>
      </w:tcPr>
    </w:tblStylePr>
  </w:style>
  <w:style w:type="character" w:customStyle="1" w:styleId="Heading6Char">
    <w:name w:val="Heading 6 Char"/>
    <w:basedOn w:val="DefaultParagraphFont"/>
    <w:link w:val="Heading6"/>
    <w:uiPriority w:val="9"/>
    <w:semiHidden/>
    <w:rsid w:val="00C8579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C8579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C85794"/>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C85794"/>
    <w:rPr>
      <w:rFonts w:asciiTheme="majorHAnsi" w:eastAsiaTheme="majorEastAsia" w:hAnsiTheme="majorHAnsi" w:cstheme="majorBidi"/>
      <w:iCs/>
    </w:rPr>
  </w:style>
  <w:style w:type="table" w:styleId="MediumShading2-Accent3">
    <w:name w:val="Medium Shading 2 Accent 3"/>
    <w:basedOn w:val="TableNormal"/>
    <w:uiPriority w:val="64"/>
    <w:rsid w:val="00C8579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232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02320" w:themeFill="accent3"/>
      </w:tcPr>
    </w:tblStylePr>
    <w:tblStylePr w:type="lastCol">
      <w:rPr>
        <w:b/>
        <w:bCs/>
        <w:color w:val="FFFFFF" w:themeColor="background1"/>
      </w:rPr>
      <w:tblPr/>
      <w:tcPr>
        <w:tcBorders>
          <w:left w:val="nil"/>
          <w:right w:val="nil"/>
          <w:insideH w:val="nil"/>
          <w:insideV w:val="nil"/>
        </w:tcBorders>
        <w:shd w:val="clear" w:color="auto" w:fill="60232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6">
    <w:name w:val="Light List Accent 6"/>
    <w:basedOn w:val="TableNormal"/>
    <w:uiPriority w:val="61"/>
    <w:rsid w:val="00C85794"/>
    <w:pPr>
      <w:spacing w:after="0" w:line="240" w:lineRule="auto"/>
    </w:pPr>
    <w:tblPr>
      <w:tblStyleRowBandSize w:val="1"/>
      <w:tblStyleColBandSize w:val="1"/>
      <w:tblBorders>
        <w:top w:val="single" w:sz="8" w:space="0" w:color="E0301E" w:themeColor="accent6"/>
        <w:left w:val="single" w:sz="8" w:space="0" w:color="E0301E" w:themeColor="accent6"/>
        <w:bottom w:val="single" w:sz="8" w:space="0" w:color="E0301E" w:themeColor="accent6"/>
        <w:right w:val="single" w:sz="8" w:space="0" w:color="E0301E" w:themeColor="accent6"/>
      </w:tblBorders>
    </w:tblPr>
    <w:tblStylePr w:type="firstRow">
      <w:pPr>
        <w:spacing w:before="0" w:after="0" w:line="240" w:lineRule="auto"/>
      </w:pPr>
      <w:rPr>
        <w:b/>
        <w:bCs/>
        <w:color w:val="FFFFFF" w:themeColor="background1"/>
      </w:rPr>
      <w:tblPr/>
      <w:tcPr>
        <w:shd w:val="clear" w:color="auto" w:fill="E0301E" w:themeFill="accent6"/>
      </w:tcPr>
    </w:tblStylePr>
    <w:tblStylePr w:type="lastRow">
      <w:pPr>
        <w:spacing w:before="0" w:after="0" w:line="240" w:lineRule="auto"/>
      </w:pPr>
      <w:rPr>
        <w:b/>
        <w:bCs/>
      </w:rPr>
      <w:tblPr/>
      <w:tcPr>
        <w:tcBorders>
          <w:top w:val="double" w:sz="6" w:space="0" w:color="E0301E" w:themeColor="accent6"/>
          <w:left w:val="single" w:sz="8" w:space="0" w:color="E0301E" w:themeColor="accent6"/>
          <w:bottom w:val="single" w:sz="8" w:space="0" w:color="E0301E" w:themeColor="accent6"/>
          <w:right w:val="single" w:sz="8" w:space="0" w:color="E0301E" w:themeColor="accent6"/>
        </w:tcBorders>
      </w:tcPr>
    </w:tblStylePr>
    <w:tblStylePr w:type="firstCol">
      <w:rPr>
        <w:b/>
        <w:bCs/>
      </w:rPr>
    </w:tblStylePr>
    <w:tblStylePr w:type="lastCol">
      <w:rPr>
        <w:b/>
        <w:bCs/>
      </w:rPr>
    </w:tblStylePr>
    <w:tblStylePr w:type="band1Vert">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tblStylePr w:type="band1Horz">
      <w:tblPr/>
      <w:tcPr>
        <w:tcBorders>
          <w:top w:val="single" w:sz="8" w:space="0" w:color="E0301E" w:themeColor="accent6"/>
          <w:left w:val="single" w:sz="8" w:space="0" w:color="E0301E" w:themeColor="accent6"/>
          <w:bottom w:val="single" w:sz="8" w:space="0" w:color="E0301E" w:themeColor="accent6"/>
          <w:right w:val="single" w:sz="8" w:space="0" w:color="E0301E" w:themeColor="accent6"/>
        </w:tcBorders>
      </w:tcPr>
    </w:tblStylePr>
  </w:style>
  <w:style w:type="paragraph" w:customStyle="1" w:styleId="Disclaimer">
    <w:name w:val="Disclaimer"/>
    <w:basedOn w:val="Normal"/>
    <w:link w:val="DisclaimerChar"/>
    <w:qFormat/>
    <w:rsid w:val="00C85794"/>
    <w:pPr>
      <w:spacing w:after="0" w:line="140" w:lineRule="atLeast"/>
    </w:pPr>
    <w:rPr>
      <w:rFonts w:cs="Arial"/>
      <w:noProof/>
      <w:sz w:val="12"/>
      <w:szCs w:val="22"/>
      <w:lang w:eastAsia="en-GB"/>
    </w:rPr>
  </w:style>
  <w:style w:type="character" w:customStyle="1" w:styleId="DisclaimerChar">
    <w:name w:val="Disclaimer Char"/>
    <w:basedOn w:val="DefaultParagraphFont"/>
    <w:link w:val="Disclaimer"/>
    <w:rsid w:val="00C85794"/>
    <w:rPr>
      <w:rFonts w:asciiTheme="minorHAnsi" w:hAnsiTheme="minorHAnsi" w:cs="Arial"/>
      <w:noProof/>
      <w:sz w:val="12"/>
      <w:szCs w:val="22"/>
      <w:lang w:eastAsia="en-GB"/>
    </w:rPr>
  </w:style>
  <w:style w:type="paragraph" w:customStyle="1" w:styleId="Address">
    <w:name w:val="Address"/>
    <w:basedOn w:val="Normal"/>
    <w:link w:val="AddressChar"/>
    <w:qFormat/>
    <w:rsid w:val="00C85794"/>
    <w:pPr>
      <w:spacing w:after="0" w:line="200" w:lineRule="atLeast"/>
    </w:pPr>
    <w:rPr>
      <w:i/>
      <w:noProof/>
      <w:sz w:val="18"/>
      <w:szCs w:val="22"/>
      <w:lang w:eastAsia="en-GB"/>
    </w:rPr>
  </w:style>
  <w:style w:type="character" w:customStyle="1" w:styleId="AddressChar">
    <w:name w:val="Address Char"/>
    <w:basedOn w:val="DefaultParagraphFont"/>
    <w:link w:val="Address"/>
    <w:rsid w:val="00C85794"/>
    <w:rPr>
      <w:i/>
      <w:noProof/>
      <w:sz w:val="18"/>
      <w:szCs w:val="22"/>
      <w:lang w:eastAsia="en-GB"/>
    </w:rPr>
  </w:style>
  <w:style w:type="paragraph" w:styleId="BlockText">
    <w:name w:val="Block Text"/>
    <w:basedOn w:val="Normal"/>
    <w:uiPriority w:val="99"/>
    <w:unhideWhenUsed/>
    <w:qFormat/>
    <w:rsid w:val="00C85794"/>
    <w:pPr>
      <w:spacing w:line="240" w:lineRule="auto"/>
    </w:pPr>
    <w:rPr>
      <w:b/>
      <w:i/>
      <w:color w:val="968C6D" w:themeColor="text2"/>
      <w:sz w:val="48"/>
      <w:szCs w:val="48"/>
    </w:rPr>
  </w:style>
  <w:style w:type="paragraph" w:styleId="BodyText3">
    <w:name w:val="Body Text 3"/>
    <w:basedOn w:val="Normal"/>
    <w:link w:val="BodyText3Char"/>
    <w:uiPriority w:val="99"/>
    <w:semiHidden/>
    <w:unhideWhenUsed/>
    <w:rsid w:val="00C85794"/>
    <w:pPr>
      <w:spacing w:after="120"/>
    </w:pPr>
    <w:rPr>
      <w:sz w:val="16"/>
      <w:szCs w:val="16"/>
    </w:rPr>
  </w:style>
  <w:style w:type="character" w:customStyle="1" w:styleId="BodyText3Char">
    <w:name w:val="Body Text 3 Char"/>
    <w:basedOn w:val="DefaultParagraphFont"/>
    <w:link w:val="BodyText3"/>
    <w:uiPriority w:val="99"/>
    <w:semiHidden/>
    <w:rsid w:val="00C85794"/>
    <w:rPr>
      <w:sz w:val="16"/>
      <w:szCs w:val="16"/>
    </w:rPr>
  </w:style>
  <w:style w:type="paragraph" w:customStyle="1" w:styleId="BlockText2">
    <w:name w:val="Block Text 2"/>
    <w:basedOn w:val="Normal"/>
    <w:uiPriority w:val="99"/>
    <w:qFormat/>
    <w:rsid w:val="00C85794"/>
    <w:pPr>
      <w:pBdr>
        <w:top w:val="single" w:sz="2" w:space="10" w:color="968C6D" w:themeColor="text2"/>
        <w:left w:val="single" w:sz="2" w:space="10" w:color="968C6D" w:themeColor="text2"/>
        <w:bottom w:val="single" w:sz="2" w:space="10" w:color="968C6D" w:themeColor="text2"/>
        <w:right w:val="single" w:sz="2" w:space="10" w:color="968C6D" w:themeColor="text2"/>
      </w:pBdr>
      <w:shd w:val="clear" w:color="auto" w:fill="968C6D" w:themeFill="text2"/>
      <w:spacing w:line="240" w:lineRule="auto"/>
      <w:ind w:left="227" w:right="227"/>
    </w:pPr>
    <w:rPr>
      <w:i/>
      <w:color w:val="FFFFFF" w:themeColor="background2"/>
      <w:sz w:val="48"/>
      <w:szCs w:val="48"/>
    </w:rPr>
  </w:style>
  <w:style w:type="paragraph" w:customStyle="1" w:styleId="BlockText3">
    <w:name w:val="Block Text 3"/>
    <w:basedOn w:val="BlockText"/>
    <w:uiPriority w:val="99"/>
    <w:qFormat/>
    <w:rsid w:val="00C85794"/>
    <w:pPr>
      <w:pBdr>
        <w:top w:val="single" w:sz="8" w:space="10" w:color="F2F2F2" w:themeColor="background2" w:themeShade="F2"/>
        <w:left w:val="single" w:sz="8" w:space="10" w:color="F2F2F2" w:themeColor="background2" w:themeShade="F2"/>
        <w:bottom w:val="single" w:sz="8" w:space="10" w:color="F2F2F2" w:themeColor="background2" w:themeShade="F2"/>
        <w:right w:val="single" w:sz="8" w:space="10" w:color="F2F2F2" w:themeColor="background2" w:themeShade="F2"/>
      </w:pBdr>
      <w:shd w:val="clear" w:color="auto" w:fill="F2F2F2" w:themeFill="background2" w:themeFillShade="F2"/>
      <w:ind w:left="227" w:right="227"/>
    </w:pPr>
    <w:rPr>
      <w:rFonts w:eastAsiaTheme="minorEastAsia"/>
      <w:iCs/>
      <w:color w:val="968C6D" w:themeColor="accent1"/>
      <w:sz w:val="96"/>
      <w:szCs w:val="20"/>
    </w:rPr>
  </w:style>
  <w:style w:type="table" w:customStyle="1" w:styleId="PwCTableFigures">
    <w:name w:val="PwC Table Figures"/>
    <w:basedOn w:val="TableNormal"/>
    <w:uiPriority w:val="99"/>
    <w:qFormat/>
    <w:rsid w:val="00C85794"/>
    <w:pPr>
      <w:tabs>
        <w:tab w:val="decimal" w:pos="1134"/>
      </w:tabs>
      <w:spacing w:before="60" w:after="60" w:line="240" w:lineRule="auto"/>
    </w:pPr>
    <w:rPr>
      <w:rFonts w:asciiTheme="minorHAnsi" w:hAnsiTheme="minorHAnsi"/>
    </w:rPr>
    <w:tblPr>
      <w:tblBorders>
        <w:insideH w:val="dotted" w:sz="4" w:space="0" w:color="968C6D" w:themeColor="text2"/>
      </w:tblBorders>
    </w:tblPr>
    <w:tblStylePr w:type="firstRow">
      <w:rPr>
        <w:b/>
      </w:rPr>
      <w:tblPr/>
      <w:tcPr>
        <w:tcBorders>
          <w:top w:val="single" w:sz="6" w:space="0" w:color="968C6D" w:themeColor="text2"/>
          <w:left w:val="nil"/>
          <w:bottom w:val="single" w:sz="6" w:space="0" w:color="968C6D" w:themeColor="text2"/>
          <w:right w:val="nil"/>
          <w:insideH w:val="nil"/>
          <w:insideV w:val="nil"/>
          <w:tl2br w:val="nil"/>
          <w:tr2bl w:val="nil"/>
        </w:tcBorders>
      </w:tcPr>
    </w:tblStylePr>
    <w:tblStylePr w:type="lastRow">
      <w:rPr>
        <w:rFonts w:asciiTheme="minorHAnsi" w:hAnsiTheme="minorHAnsi"/>
        <w:b/>
        <w:i w:val="0"/>
        <w:color w:val="auto"/>
        <w:sz w:val="20"/>
      </w:rPr>
      <w:tblPr/>
      <w:tcPr>
        <w:tcBorders>
          <w:top w:val="single" w:sz="6" w:space="0" w:color="968C6D" w:themeColor="text2"/>
          <w:left w:val="nil"/>
          <w:bottom w:val="single" w:sz="6" w:space="0" w:color="968C6D" w:themeColor="text2"/>
          <w:right w:val="nil"/>
          <w:insideH w:val="nil"/>
          <w:insideV w:val="nil"/>
          <w:tl2br w:val="nil"/>
          <w:tr2bl w:val="nil"/>
        </w:tcBorders>
      </w:tcPr>
    </w:tblStylePr>
  </w:style>
  <w:style w:type="paragraph" w:styleId="Quote">
    <w:name w:val="Quote"/>
    <w:basedOn w:val="Normal"/>
    <w:next w:val="Normal"/>
    <w:link w:val="QuoteChar"/>
    <w:uiPriority w:val="29"/>
    <w:qFormat/>
    <w:rsid w:val="00C85794"/>
    <w:rPr>
      <w:i/>
      <w:iCs/>
      <w:color w:val="000000" w:themeColor="text1"/>
    </w:rPr>
  </w:style>
  <w:style w:type="character" w:customStyle="1" w:styleId="QuoteChar">
    <w:name w:val="Quote Char"/>
    <w:basedOn w:val="DefaultParagraphFont"/>
    <w:link w:val="Quote"/>
    <w:uiPriority w:val="29"/>
    <w:rsid w:val="00C85794"/>
    <w:rPr>
      <w:i/>
      <w:iCs/>
      <w:color w:val="000000" w:themeColor="text1"/>
    </w:rPr>
  </w:style>
  <w:style w:type="paragraph" w:styleId="TOC4">
    <w:name w:val="toc 4"/>
    <w:basedOn w:val="Normal"/>
    <w:next w:val="Normal"/>
    <w:autoRedefine/>
    <w:uiPriority w:val="39"/>
    <w:unhideWhenUsed/>
    <w:rsid w:val="00C85794"/>
    <w:pPr>
      <w:spacing w:after="120"/>
      <w:ind w:left="851" w:hanging="284"/>
    </w:pPr>
  </w:style>
  <w:style w:type="paragraph" w:styleId="TOC5">
    <w:name w:val="toc 5"/>
    <w:basedOn w:val="Normal"/>
    <w:next w:val="Normal"/>
    <w:autoRedefine/>
    <w:uiPriority w:val="39"/>
    <w:unhideWhenUsed/>
    <w:rsid w:val="00C85794"/>
    <w:pPr>
      <w:spacing w:after="120"/>
      <w:ind w:left="1135" w:hanging="284"/>
    </w:pPr>
  </w:style>
  <w:style w:type="paragraph" w:styleId="TOC6">
    <w:name w:val="toc 6"/>
    <w:basedOn w:val="Normal"/>
    <w:next w:val="Normal"/>
    <w:autoRedefine/>
    <w:uiPriority w:val="39"/>
    <w:semiHidden/>
    <w:unhideWhenUsed/>
    <w:rsid w:val="00C85794"/>
    <w:pPr>
      <w:spacing w:after="120"/>
      <w:ind w:left="1418" w:hanging="284"/>
    </w:pPr>
  </w:style>
  <w:style w:type="paragraph" w:styleId="TOC7">
    <w:name w:val="toc 7"/>
    <w:basedOn w:val="Normal"/>
    <w:next w:val="Normal"/>
    <w:autoRedefine/>
    <w:uiPriority w:val="39"/>
    <w:semiHidden/>
    <w:unhideWhenUsed/>
    <w:rsid w:val="00C85794"/>
    <w:pPr>
      <w:spacing w:after="120"/>
      <w:ind w:left="1702" w:hanging="284"/>
    </w:pPr>
  </w:style>
  <w:style w:type="paragraph" w:styleId="TOC8">
    <w:name w:val="toc 8"/>
    <w:basedOn w:val="Normal"/>
    <w:next w:val="Normal"/>
    <w:autoRedefine/>
    <w:uiPriority w:val="39"/>
    <w:semiHidden/>
    <w:unhideWhenUsed/>
    <w:rsid w:val="00C85794"/>
    <w:pPr>
      <w:spacing w:after="120"/>
      <w:ind w:left="1985" w:hanging="284"/>
    </w:pPr>
  </w:style>
  <w:style w:type="paragraph" w:styleId="TOC9">
    <w:name w:val="toc 9"/>
    <w:basedOn w:val="Normal"/>
    <w:next w:val="Normal"/>
    <w:autoRedefine/>
    <w:uiPriority w:val="39"/>
    <w:semiHidden/>
    <w:unhideWhenUsed/>
    <w:rsid w:val="00C85794"/>
    <w:pPr>
      <w:spacing w:after="120"/>
      <w:ind w:left="2269" w:hanging="284"/>
    </w:pPr>
  </w:style>
  <w:style w:type="paragraph" w:styleId="FootnoteText">
    <w:name w:val="footnote text"/>
    <w:basedOn w:val="Normal"/>
    <w:link w:val="FootnoteTextChar"/>
    <w:uiPriority w:val="99"/>
    <w:semiHidden/>
    <w:unhideWhenUsed/>
    <w:rsid w:val="00654C14"/>
    <w:pPr>
      <w:spacing w:after="0" w:line="240" w:lineRule="auto"/>
    </w:pPr>
  </w:style>
  <w:style w:type="character" w:customStyle="1" w:styleId="FootnoteTextChar">
    <w:name w:val="Footnote Text Char"/>
    <w:basedOn w:val="DefaultParagraphFont"/>
    <w:link w:val="FootnoteText"/>
    <w:uiPriority w:val="99"/>
    <w:semiHidden/>
    <w:rsid w:val="00654C14"/>
    <w:rPr>
      <w:rFonts w:asciiTheme="minorHAnsi" w:hAnsiTheme="minorHAnsi"/>
    </w:rPr>
  </w:style>
  <w:style w:type="character" w:styleId="FootnoteReference">
    <w:name w:val="footnote reference"/>
    <w:basedOn w:val="DefaultParagraphFont"/>
    <w:uiPriority w:val="99"/>
    <w:semiHidden/>
    <w:unhideWhenUsed/>
    <w:rsid w:val="00654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ray%20deakin\AppData\Roaming\Microsoft\Templates\PwC_Blank%20Georgia.dotx" TargetMode="External"/></Relationships>
</file>

<file path=word/theme/theme1.xml><?xml version="1.0" encoding="utf-8"?>
<a:theme xmlns:a="http://schemas.openxmlformats.org/drawingml/2006/main" name="PwC">
  <a:themeElements>
    <a:clrScheme name="PwC Grey">
      <a:dk1>
        <a:srgbClr val="000000"/>
      </a:dk1>
      <a:lt1>
        <a:srgbClr val="FFFFFF"/>
      </a:lt1>
      <a:dk2>
        <a:srgbClr val="968C6D"/>
      </a:dk2>
      <a:lt2>
        <a:srgbClr val="FFFFFF"/>
      </a:lt2>
      <a:accent1>
        <a:srgbClr val="968C6D"/>
      </a:accent1>
      <a:accent2>
        <a:srgbClr val="D5D1C5"/>
      </a:accent2>
      <a:accent3>
        <a:srgbClr val="602320"/>
      </a:accent3>
      <a:accent4>
        <a:srgbClr val="DB536A"/>
      </a:accent4>
      <a:accent5>
        <a:srgbClr val="A32020"/>
      </a:accent5>
      <a:accent6>
        <a:srgbClr val="E0301E"/>
      </a:accent6>
      <a:hlink>
        <a:srgbClr val="968C6D"/>
      </a:hlink>
      <a:folHlink>
        <a:srgbClr val="968C6D"/>
      </a:folHlink>
    </a:clrScheme>
    <a:fontScheme name="Pw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lnSpc>
            <a:spcPts val="2400"/>
          </a:lnSpc>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6" ma:contentTypeDescription="" ma:contentTypeScope="" ma:versionID="601e91c2fe2e15d73230f7826fe5c55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909fbc57f3bd2a41427d943de09719e"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2015MG-133-11452</_dlc_DocId>
    <TaxCatchAll xmlns="d4dd4adf-ddb3-46a3-8d7c-fab3fb2a6bc7">
      <Value>2</Value>
    </TaxCatchAll>
    <_dlc_DocIdUrl xmlns="d4dd4adf-ddb3-46a3-8d7c-fab3fb2a6bc7">
      <Url>http://tweb/sites/mg/sbccpd/_layouts/15/DocIdRedir.aspx?ID=2015MG-133-11452</Url>
      <Description>2015MG-133-11452</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1757814118" UniqueId="a9d72903-fc04-4f75-b3ff-49d8bb0ce94d">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63045-D4D4-471B-AD67-01B9E827EEF7}">
  <ds:schemaRefs>
    <ds:schemaRef ds:uri="http://schemas.microsoft.com/sharepoint/events"/>
  </ds:schemaRefs>
</ds:datastoreItem>
</file>

<file path=customXml/itemProps2.xml><?xml version="1.0" encoding="utf-8"?>
<ds:datastoreItem xmlns:ds="http://schemas.openxmlformats.org/officeDocument/2006/customXml" ds:itemID="{8F07A50E-617B-406B-8001-CDB8AC796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37705-0458-458A-8B03-A7AD0FBC450F}">
  <ds:schemaRefs>
    <ds:schemaRef ds:uri="http://schemas.openxmlformats.org/package/2006/metadata/core-properties"/>
    <ds:schemaRef ds:uri="http://schemas.microsoft.com/sharepoint/v4"/>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http://schemas.microsoft.com/office/infopath/2007/PartnerControls"/>
    <ds:schemaRef ds:uri="d4dd4adf-ddb3-46a3-8d7c-fab3fb2a6bc7"/>
    <ds:schemaRef ds:uri="http://schemas.microsoft.com/sharepoint/v3"/>
    <ds:schemaRef ds:uri="http://purl.org/dc/dcmitype/"/>
  </ds:schemaRefs>
</ds:datastoreItem>
</file>

<file path=customXml/itemProps4.xml><?xml version="1.0" encoding="utf-8"?>
<ds:datastoreItem xmlns:ds="http://schemas.openxmlformats.org/officeDocument/2006/customXml" ds:itemID="{4D7442FC-C66F-4ECF-9304-606EB503A0DA}">
  <ds:schemaRefs>
    <ds:schemaRef ds:uri="http://schemas.microsoft.com/sharepoint/v3/contenttype/forms"/>
  </ds:schemaRefs>
</ds:datastoreItem>
</file>

<file path=customXml/itemProps5.xml><?xml version="1.0" encoding="utf-8"?>
<ds:datastoreItem xmlns:ds="http://schemas.openxmlformats.org/officeDocument/2006/customXml" ds:itemID="{71650B0D-58B8-40FE-8E2A-7167DBAA9AD6}">
  <ds:schemaRefs>
    <ds:schemaRef ds:uri="office.server.policy"/>
  </ds:schemaRefs>
</ds:datastoreItem>
</file>

<file path=customXml/itemProps6.xml><?xml version="1.0" encoding="utf-8"?>
<ds:datastoreItem xmlns:ds="http://schemas.openxmlformats.org/officeDocument/2006/customXml" ds:itemID="{9461C0DC-2EBD-47D2-B8DA-B5E3B0690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PwC_Blank Georgia.dotx</Template>
  <TotalTime>0</TotalTime>
  <Pages>3</Pages>
  <Words>1289</Words>
  <Characters>6750</Characters>
  <Application>Microsoft Office Word</Application>
  <DocSecurity>0</DocSecurity>
  <Lines>108</Lines>
  <Paragraphs>24</Paragraphs>
  <ScaleCrop>false</ScaleCrop>
  <Company/>
  <LinksUpToDate>false</LinksUpToDate>
  <CharactersWithSpaces>8049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Deakin, Murray - Discussion paper: Options to strengthen the misuse of market power law</dc:title>
  <dc:creator/>
  <cp:lastModifiedBy/>
  <cp:revision>1</cp:revision>
  <dcterms:created xsi:type="dcterms:W3CDTF">2016-02-22T05:57:00Z</dcterms:created>
  <dcterms:modified xsi:type="dcterms:W3CDTF">2016-02-22T05:57:00Z</dcterms:modified>
  <dc:language>English</dc:language>
</cp:coreProperties>
</file>