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BC" w:rsidRDefault="00685EBC" w:rsidP="00685EBC">
      <w:pPr>
        <w:jc w:val="center"/>
        <w:rPr>
          <w:b/>
          <w:sz w:val="28"/>
          <w:lang w:val="en-AU"/>
        </w:rPr>
      </w:pPr>
      <w:bookmarkStart w:id="0" w:name="_GoBack"/>
      <w:bookmarkEnd w:id="0"/>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r>
        <w:rPr>
          <w:b/>
          <w:sz w:val="28"/>
          <w:lang w:val="en-AU"/>
        </w:rPr>
        <w:t>“Options to strengthen the misuse of market power law”</w:t>
      </w:r>
    </w:p>
    <w:p w:rsidR="00685EBC" w:rsidRDefault="00685EBC" w:rsidP="00685EBC">
      <w:pPr>
        <w:jc w:val="center"/>
        <w:rPr>
          <w:b/>
          <w:sz w:val="28"/>
          <w:lang w:val="en-AU"/>
        </w:rPr>
      </w:pPr>
      <w:r>
        <w:rPr>
          <w:b/>
          <w:sz w:val="28"/>
          <w:lang w:val="en-AU"/>
        </w:rPr>
        <w:t xml:space="preserve"> Discussion Paper </w:t>
      </w:r>
    </w:p>
    <w:p w:rsidR="00685EBC" w:rsidRDefault="00685EBC" w:rsidP="00685EBC">
      <w:pPr>
        <w:jc w:val="center"/>
        <w:rPr>
          <w:b/>
          <w:sz w:val="28"/>
          <w:lang w:val="en-AU"/>
        </w:rPr>
      </w:pPr>
      <w:r>
        <w:rPr>
          <w:b/>
          <w:sz w:val="28"/>
          <w:lang w:val="en-AU"/>
        </w:rPr>
        <w:t xml:space="preserve"> 12</w:t>
      </w:r>
      <w:r w:rsidRPr="00685EBC">
        <w:rPr>
          <w:b/>
          <w:sz w:val="28"/>
          <w:vertAlign w:val="superscript"/>
          <w:lang w:val="en-AU"/>
        </w:rPr>
        <w:t>th</w:t>
      </w:r>
      <w:r>
        <w:rPr>
          <w:b/>
          <w:sz w:val="28"/>
          <w:lang w:val="en-AU"/>
        </w:rPr>
        <w:t xml:space="preserve"> February 2016</w:t>
      </w:r>
    </w:p>
    <w:p w:rsidR="00685EBC" w:rsidRDefault="00685EBC" w:rsidP="00685EBC">
      <w:pPr>
        <w:jc w:val="center"/>
        <w:rPr>
          <w:b/>
          <w:sz w:val="28"/>
          <w:lang w:val="en-AU"/>
        </w:rPr>
      </w:pPr>
    </w:p>
    <w:p w:rsidR="00685EBC" w:rsidRDefault="00685EBC" w:rsidP="00685EBC">
      <w:pPr>
        <w:jc w:val="center"/>
        <w:rPr>
          <w:b/>
          <w:sz w:val="28"/>
          <w:lang w:val="en-AU"/>
        </w:rPr>
      </w:pPr>
      <w:r>
        <w:rPr>
          <w:b/>
          <w:sz w:val="28"/>
          <w:lang w:val="en-AU"/>
        </w:rPr>
        <w:t xml:space="preserve"> Submission by Master Grocers Australia</w:t>
      </w: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p>
    <w:p w:rsidR="00685EBC" w:rsidRDefault="00685EBC" w:rsidP="00685EBC">
      <w:pPr>
        <w:jc w:val="center"/>
        <w:rPr>
          <w:b/>
          <w:sz w:val="28"/>
          <w:lang w:val="en-AU"/>
        </w:rPr>
      </w:pPr>
      <w:r>
        <w:rPr>
          <w:b/>
          <w:sz w:val="28"/>
          <w:lang w:val="en-AU"/>
        </w:rPr>
        <w:lastRenderedPageBreak/>
        <w:t>“Options to strengthen the misuse of market power law”</w:t>
      </w:r>
    </w:p>
    <w:p w:rsidR="00685EBC" w:rsidRDefault="00685EBC" w:rsidP="00685EBC">
      <w:pPr>
        <w:jc w:val="center"/>
        <w:rPr>
          <w:b/>
          <w:sz w:val="28"/>
          <w:lang w:val="en-AU"/>
        </w:rPr>
      </w:pPr>
    </w:p>
    <w:p w:rsidR="00685EBC" w:rsidRDefault="00685EBC" w:rsidP="00685EBC">
      <w:pPr>
        <w:spacing w:line="360" w:lineRule="auto"/>
        <w:rPr>
          <w:rFonts w:ascii="Times New Roman" w:hAnsi="Times New Roman"/>
          <w:b/>
          <w:sz w:val="28"/>
          <w:szCs w:val="28"/>
          <w:lang w:val="en-AU"/>
        </w:rPr>
      </w:pPr>
      <w:r>
        <w:rPr>
          <w:rFonts w:ascii="Times New Roman" w:hAnsi="Times New Roman"/>
          <w:b/>
          <w:sz w:val="28"/>
          <w:szCs w:val="28"/>
          <w:lang w:val="en-AU"/>
        </w:rPr>
        <w:t xml:space="preserve">A. Introduction </w:t>
      </w:r>
    </w:p>
    <w:p w:rsidR="00685EBC" w:rsidRPr="00BE2FB4" w:rsidRDefault="00685EBC" w:rsidP="00685EBC">
      <w:pPr>
        <w:spacing w:line="360" w:lineRule="auto"/>
        <w:jc w:val="both"/>
        <w:rPr>
          <w:rFonts w:ascii="Times New Roman" w:hAnsi="Times New Roman"/>
          <w:szCs w:val="22"/>
          <w:lang w:val="en-AU"/>
        </w:rPr>
      </w:pPr>
      <w:r w:rsidRPr="004218AF">
        <w:rPr>
          <w:rFonts w:ascii="Times New Roman" w:hAnsi="Times New Roman"/>
        </w:rPr>
        <w:t>Master Grocers Australia (</w:t>
      </w:r>
      <w:r>
        <w:rPr>
          <w:rFonts w:ascii="Times New Roman" w:hAnsi="Times New Roman"/>
        </w:rPr>
        <w:t xml:space="preserve">MGA) </w:t>
      </w:r>
      <w:r w:rsidRPr="004218AF">
        <w:rPr>
          <w:rFonts w:ascii="Times New Roman" w:hAnsi="Times New Roman"/>
        </w:rPr>
        <w:t xml:space="preserve">welcomes the </w:t>
      </w:r>
      <w:r>
        <w:rPr>
          <w:rFonts w:ascii="Times New Roman" w:hAnsi="Times New Roman"/>
        </w:rPr>
        <w:t xml:space="preserve">opportunity to comment on the </w:t>
      </w:r>
      <w:r w:rsidRPr="00153410">
        <w:rPr>
          <w:rFonts w:ascii="Times New Roman" w:hAnsi="Times New Roman"/>
          <w:szCs w:val="22"/>
          <w:lang w:val="en-AU"/>
        </w:rPr>
        <w:t>“O</w:t>
      </w:r>
      <w:r>
        <w:rPr>
          <w:rFonts w:ascii="Times New Roman" w:hAnsi="Times New Roman"/>
          <w:szCs w:val="22"/>
          <w:lang w:val="en-AU"/>
        </w:rPr>
        <w:t xml:space="preserve">ptions to strengthen the Misuse </w:t>
      </w:r>
      <w:r w:rsidRPr="00153410">
        <w:rPr>
          <w:rFonts w:ascii="Times New Roman" w:hAnsi="Times New Roman"/>
          <w:szCs w:val="22"/>
          <w:lang w:val="en-AU"/>
        </w:rPr>
        <w:t>of market power law</w:t>
      </w:r>
      <w:r>
        <w:rPr>
          <w:rFonts w:ascii="Times New Roman" w:hAnsi="Times New Roman"/>
          <w:szCs w:val="22"/>
          <w:lang w:val="en-AU"/>
        </w:rPr>
        <w:t>.</w:t>
      </w:r>
      <w:r w:rsidRPr="00153410">
        <w:rPr>
          <w:rFonts w:ascii="Times New Roman" w:hAnsi="Times New Roman"/>
          <w:szCs w:val="22"/>
          <w:lang w:val="en-AU"/>
        </w:rPr>
        <w:t>”</w:t>
      </w:r>
      <w:r>
        <w:rPr>
          <w:rFonts w:ascii="Times New Roman" w:hAnsi="Times New Roman"/>
          <w:szCs w:val="22"/>
          <w:lang w:val="en-AU"/>
        </w:rPr>
        <w:t xml:space="preserve"> (Options Paper) </w:t>
      </w:r>
      <w:r>
        <w:rPr>
          <w:rFonts w:ascii="Times New Roman" w:hAnsi="Times New Roman"/>
        </w:rPr>
        <w:t>MGA</w:t>
      </w:r>
      <w:r w:rsidRPr="004218AF">
        <w:rPr>
          <w:rFonts w:ascii="Times New Roman" w:hAnsi="Times New Roman"/>
        </w:rPr>
        <w:t xml:space="preserve"> would like to thank the Minist</w:t>
      </w:r>
      <w:r>
        <w:rPr>
          <w:rFonts w:ascii="Times New Roman" w:hAnsi="Times New Roman"/>
        </w:rPr>
        <w:t xml:space="preserve">er for Small Business, the Honorable Kelly O’ Dwyer </w:t>
      </w:r>
      <w:r w:rsidRPr="004218AF">
        <w:rPr>
          <w:rFonts w:ascii="Times New Roman" w:hAnsi="Times New Roman"/>
        </w:rPr>
        <w:t>MP</w:t>
      </w:r>
      <w:r>
        <w:rPr>
          <w:rFonts w:ascii="Times New Roman" w:hAnsi="Times New Roman"/>
        </w:rPr>
        <w:t>,</w:t>
      </w:r>
      <w:r w:rsidRPr="004218AF">
        <w:rPr>
          <w:rFonts w:ascii="Times New Roman" w:hAnsi="Times New Roman"/>
        </w:rPr>
        <w:t xml:space="preserve"> for the opportunity to comment on the </w:t>
      </w:r>
      <w:r>
        <w:rPr>
          <w:rFonts w:ascii="Times New Roman" w:hAnsi="Times New Roman"/>
        </w:rPr>
        <w:t>Options Paper.</w:t>
      </w:r>
      <w:r w:rsidRPr="004218AF">
        <w:rPr>
          <w:rFonts w:ascii="Times New Roman" w:hAnsi="Times New Roman"/>
        </w:rPr>
        <w:t xml:space="preserve">  </w:t>
      </w:r>
    </w:p>
    <w:p w:rsidR="00685EBC" w:rsidRDefault="00685EBC" w:rsidP="00685EBC">
      <w:pPr>
        <w:spacing w:line="360" w:lineRule="auto"/>
        <w:jc w:val="both"/>
        <w:rPr>
          <w:rFonts w:ascii="Times New Roman" w:hAnsi="Times New Roman"/>
          <w:szCs w:val="22"/>
          <w:lang w:val="en-AU"/>
        </w:rPr>
      </w:pPr>
      <w:r w:rsidRPr="004218AF">
        <w:rPr>
          <w:rFonts w:ascii="Times New Roman" w:hAnsi="Times New Roman"/>
        </w:rPr>
        <w:t>As a</w:t>
      </w:r>
      <w:r>
        <w:rPr>
          <w:rFonts w:ascii="Times New Roman" w:hAnsi="Times New Roman"/>
        </w:rPr>
        <w:t xml:space="preserve"> national industry organiz</w:t>
      </w:r>
      <w:r w:rsidRPr="004218AF">
        <w:rPr>
          <w:rFonts w:ascii="Times New Roman" w:hAnsi="Times New Roman"/>
        </w:rPr>
        <w:t xml:space="preserve">ation </w:t>
      </w:r>
      <w:r>
        <w:rPr>
          <w:rFonts w:ascii="Times New Roman" w:hAnsi="Times New Roman"/>
        </w:rPr>
        <w:t>MGA</w:t>
      </w:r>
      <w:r w:rsidRPr="004218AF">
        <w:rPr>
          <w:rFonts w:ascii="Times New Roman" w:hAnsi="Times New Roman"/>
        </w:rPr>
        <w:t xml:space="preserve"> represents the interests of small businesses, partic</w:t>
      </w:r>
      <w:r>
        <w:rPr>
          <w:rFonts w:ascii="Times New Roman" w:hAnsi="Times New Roman"/>
        </w:rPr>
        <w:t xml:space="preserve">ularly independent supermarkets, </w:t>
      </w:r>
      <w:r w:rsidRPr="004218AF">
        <w:rPr>
          <w:rFonts w:ascii="Times New Roman" w:hAnsi="Times New Roman"/>
        </w:rPr>
        <w:t xml:space="preserve">small liquor retailers </w:t>
      </w:r>
      <w:r>
        <w:rPr>
          <w:rFonts w:ascii="Times New Roman" w:hAnsi="Times New Roman"/>
        </w:rPr>
        <w:t xml:space="preserve">and hardware outlets </w:t>
      </w:r>
      <w:r w:rsidRPr="004218AF">
        <w:rPr>
          <w:rFonts w:ascii="Times New Roman" w:hAnsi="Times New Roman"/>
        </w:rPr>
        <w:t xml:space="preserve">across Australia. </w:t>
      </w:r>
      <w:r>
        <w:rPr>
          <w:rFonts w:ascii="Times New Roman" w:hAnsi="Times New Roman"/>
        </w:rPr>
        <w:t>MGA</w:t>
      </w:r>
      <w:r w:rsidRPr="004218AF">
        <w:rPr>
          <w:rFonts w:ascii="Times New Roman" w:hAnsi="Times New Roman"/>
        </w:rPr>
        <w:t xml:space="preserve"> has been a keen advocate of the need for competition law reform over many years and has long sought amendments to the Competition and Consumer Act 2010 (CCA)</w:t>
      </w:r>
      <w:r>
        <w:rPr>
          <w:rFonts w:ascii="Times New Roman" w:hAnsi="Times New Roman"/>
        </w:rPr>
        <w:t>,</w:t>
      </w:r>
      <w:r w:rsidRPr="004218AF">
        <w:rPr>
          <w:rFonts w:ascii="Times New Roman" w:hAnsi="Times New Roman"/>
        </w:rPr>
        <w:t xml:space="preserve"> in order to maintain </w:t>
      </w:r>
      <w:r>
        <w:rPr>
          <w:rFonts w:ascii="Times New Roman" w:hAnsi="Times New Roman"/>
        </w:rPr>
        <w:t xml:space="preserve">the sustainability of </w:t>
      </w:r>
      <w:r w:rsidRPr="004218AF">
        <w:rPr>
          <w:rFonts w:ascii="Times New Roman" w:hAnsi="Times New Roman"/>
        </w:rPr>
        <w:t xml:space="preserve">Australian small </w:t>
      </w:r>
      <w:r>
        <w:rPr>
          <w:rFonts w:ascii="Times New Roman" w:hAnsi="Times New Roman"/>
        </w:rPr>
        <w:t xml:space="preserve">independent </w:t>
      </w:r>
      <w:r w:rsidRPr="004218AF">
        <w:rPr>
          <w:rFonts w:ascii="Times New Roman" w:hAnsi="Times New Roman"/>
        </w:rPr>
        <w:t xml:space="preserve">businesses </w:t>
      </w:r>
      <w:r>
        <w:rPr>
          <w:rFonts w:ascii="Times New Roman" w:hAnsi="Times New Roman"/>
        </w:rPr>
        <w:t xml:space="preserve">in the retail industry </w:t>
      </w:r>
      <w:r w:rsidRPr="004218AF">
        <w:rPr>
          <w:rFonts w:ascii="Times New Roman" w:hAnsi="Times New Roman"/>
        </w:rPr>
        <w:t xml:space="preserve">and provide for their growth. </w:t>
      </w:r>
      <w:r>
        <w:rPr>
          <w:rFonts w:ascii="Times New Roman" w:hAnsi="Times New Roman"/>
        </w:rPr>
        <w:t>MGA</w:t>
      </w:r>
      <w:r w:rsidRPr="004218AF">
        <w:rPr>
          <w:rFonts w:ascii="Times New Roman" w:hAnsi="Times New Roman"/>
        </w:rPr>
        <w:t xml:space="preserve"> appreciates </w:t>
      </w:r>
      <w:r>
        <w:rPr>
          <w:rFonts w:ascii="Times New Roman" w:hAnsi="Times New Roman"/>
        </w:rPr>
        <w:t>the</w:t>
      </w:r>
      <w:r w:rsidRPr="004218AF">
        <w:rPr>
          <w:rFonts w:ascii="Times New Roman" w:hAnsi="Times New Roman"/>
        </w:rPr>
        <w:t xml:space="preserve"> </w:t>
      </w:r>
      <w:r>
        <w:rPr>
          <w:rFonts w:ascii="Times New Roman" w:hAnsi="Times New Roman"/>
        </w:rPr>
        <w:t xml:space="preserve">extent of the </w:t>
      </w:r>
      <w:r w:rsidRPr="004218AF">
        <w:rPr>
          <w:rFonts w:ascii="Times New Roman" w:hAnsi="Times New Roman"/>
        </w:rPr>
        <w:t xml:space="preserve">review of current Australian competition law </w:t>
      </w:r>
      <w:r>
        <w:rPr>
          <w:rFonts w:ascii="Times New Roman" w:hAnsi="Times New Roman"/>
        </w:rPr>
        <w:t xml:space="preserve">and recognizes the </w:t>
      </w:r>
      <w:r w:rsidRPr="004218AF">
        <w:rPr>
          <w:rFonts w:ascii="Times New Roman" w:hAnsi="Times New Roman"/>
        </w:rPr>
        <w:t xml:space="preserve">massive and challenging undertaking by the </w:t>
      </w:r>
      <w:r>
        <w:rPr>
          <w:rFonts w:ascii="Times New Roman" w:hAnsi="Times New Roman"/>
        </w:rPr>
        <w:t>Harper Review Panel (Harper Review</w:t>
      </w:r>
      <w:r w:rsidRPr="004218AF">
        <w:rPr>
          <w:rFonts w:ascii="Times New Roman" w:hAnsi="Times New Roman"/>
        </w:rPr>
        <w:t>)</w:t>
      </w:r>
      <w:r>
        <w:rPr>
          <w:rFonts w:ascii="Times New Roman" w:hAnsi="Times New Roman"/>
        </w:rPr>
        <w:t>,</w:t>
      </w:r>
      <w:r w:rsidRPr="004218AF">
        <w:rPr>
          <w:rFonts w:ascii="Times New Roman" w:hAnsi="Times New Roman"/>
        </w:rPr>
        <w:t xml:space="preserve"> together with the support of the Treasury Department in the Australian Government. </w:t>
      </w:r>
      <w:r>
        <w:rPr>
          <w:rFonts w:ascii="Times New Roman" w:hAnsi="Times New Roman"/>
        </w:rPr>
        <w:t>MGA</w:t>
      </w:r>
      <w:r w:rsidRPr="004218AF">
        <w:rPr>
          <w:rFonts w:ascii="Times New Roman" w:hAnsi="Times New Roman"/>
        </w:rPr>
        <w:t xml:space="preserve"> welcomes the opportunity to comment on </w:t>
      </w:r>
      <w:r w:rsidRPr="00153410">
        <w:rPr>
          <w:rFonts w:ascii="Times New Roman" w:hAnsi="Times New Roman"/>
          <w:szCs w:val="22"/>
          <w:lang w:val="en-AU"/>
        </w:rPr>
        <w:t>“O</w:t>
      </w:r>
      <w:r>
        <w:rPr>
          <w:rFonts w:ascii="Times New Roman" w:hAnsi="Times New Roman"/>
          <w:szCs w:val="22"/>
          <w:lang w:val="en-AU"/>
        </w:rPr>
        <w:t xml:space="preserve">ptions to strengthen the misuse </w:t>
      </w:r>
      <w:r w:rsidRPr="00153410">
        <w:rPr>
          <w:rFonts w:ascii="Times New Roman" w:hAnsi="Times New Roman"/>
          <w:szCs w:val="22"/>
          <w:lang w:val="en-AU"/>
        </w:rPr>
        <w:t>of market power law”</w:t>
      </w:r>
      <w:r>
        <w:rPr>
          <w:rFonts w:ascii="Times New Roman" w:hAnsi="Times New Roman"/>
          <w:szCs w:val="22"/>
          <w:lang w:val="en-AU"/>
        </w:rPr>
        <w:t xml:space="preserve"> and in particular proposed amendments to Section 46 of the CCA.</w:t>
      </w:r>
    </w:p>
    <w:p w:rsidR="00685EBC" w:rsidRPr="006A533A" w:rsidRDefault="00685EBC" w:rsidP="00685EBC">
      <w:pPr>
        <w:spacing w:line="360" w:lineRule="auto"/>
        <w:jc w:val="both"/>
        <w:rPr>
          <w:rFonts w:ascii="Times New Roman" w:hAnsi="Times New Roman"/>
          <w:szCs w:val="22"/>
          <w:lang w:val="en-AU"/>
        </w:rPr>
      </w:pPr>
      <w:r w:rsidRPr="00667F4F">
        <w:rPr>
          <w:rFonts w:ascii="Times New Roman" w:hAnsi="Times New Roman"/>
          <w:szCs w:val="22"/>
          <w:lang w:val="en-AU"/>
        </w:rPr>
        <w:t xml:space="preserve">MGA thanks the Treasury Department of the Federal Government for providing the opportunity to comment on the </w:t>
      </w:r>
      <w:r>
        <w:rPr>
          <w:rFonts w:ascii="Times New Roman" w:hAnsi="Times New Roman"/>
          <w:szCs w:val="22"/>
          <w:lang w:val="en-AU"/>
        </w:rPr>
        <w:t>Options Paper.</w:t>
      </w:r>
    </w:p>
    <w:p w:rsidR="00685EBC" w:rsidRPr="00153410" w:rsidRDefault="00685EBC" w:rsidP="00685EBC">
      <w:pPr>
        <w:tabs>
          <w:tab w:val="left" w:pos="7950"/>
        </w:tabs>
        <w:spacing w:line="360" w:lineRule="auto"/>
        <w:jc w:val="both"/>
        <w:rPr>
          <w:rFonts w:ascii="Times New Roman" w:hAnsi="Times New Roman"/>
          <w:b/>
        </w:rPr>
      </w:pPr>
      <w:r w:rsidRPr="00153410">
        <w:rPr>
          <w:rFonts w:ascii="Times New Roman" w:hAnsi="Times New Roman"/>
          <w:b/>
        </w:rPr>
        <w:t xml:space="preserve">About </w:t>
      </w:r>
      <w:r>
        <w:rPr>
          <w:rFonts w:ascii="Times New Roman" w:hAnsi="Times New Roman"/>
          <w:b/>
        </w:rPr>
        <w:t>MGA</w:t>
      </w:r>
      <w:r w:rsidRPr="00153410">
        <w:rPr>
          <w:rFonts w:ascii="Times New Roman" w:hAnsi="Times New Roman"/>
          <w:b/>
        </w:rPr>
        <w:t xml:space="preserve"> </w:t>
      </w:r>
      <w:r w:rsidRPr="00153410">
        <w:rPr>
          <w:rFonts w:ascii="Times New Roman" w:hAnsi="Times New Roman"/>
          <w:b/>
        </w:rPr>
        <w:tab/>
      </w:r>
    </w:p>
    <w:p w:rsidR="00685EBC" w:rsidRPr="00E0404D" w:rsidRDefault="00685EBC" w:rsidP="00685EBC">
      <w:pPr>
        <w:spacing w:line="360" w:lineRule="auto"/>
        <w:jc w:val="both"/>
        <w:rPr>
          <w:rFonts w:ascii="Times New Roman" w:hAnsi="Times New Roman"/>
          <w:b/>
          <w:bCs/>
        </w:rPr>
      </w:pPr>
      <w:r>
        <w:rPr>
          <w:rFonts w:ascii="Times New Roman" w:hAnsi="Times New Roman"/>
        </w:rPr>
        <w:t>MGA</w:t>
      </w:r>
      <w:r w:rsidRPr="00E0404D">
        <w:rPr>
          <w:rFonts w:ascii="Times New Roman" w:hAnsi="Times New Roman"/>
        </w:rPr>
        <w:t xml:space="preserve"> is a National Employer Industry Organization representing independent grocery and liquor stores in all States and Territories of Australia. These businesses range in size from small, to medium and large, and make a significant contribution to the retail industry, employing 115,000 people and accounting for approximately $15 billion in retail sales.</w:t>
      </w:r>
    </w:p>
    <w:p w:rsidR="00685EBC" w:rsidRDefault="00685EBC" w:rsidP="00685EBC">
      <w:pPr>
        <w:spacing w:line="360" w:lineRule="auto"/>
        <w:jc w:val="both"/>
        <w:rPr>
          <w:rFonts w:ascii="Times New Roman" w:hAnsi="Times New Roman"/>
        </w:rPr>
      </w:pPr>
      <w:r w:rsidRPr="00E0404D">
        <w:rPr>
          <w:rFonts w:ascii="Times New Roman" w:hAnsi="Times New Roman"/>
        </w:rPr>
        <w:t>There are 2,700 branded independent grocery stores, trading under brand names such as, FoodWorks, Foodland, Friendly Grocers, SPAR</w:t>
      </w:r>
      <w:r>
        <w:rPr>
          <w:rFonts w:ascii="Times New Roman" w:hAnsi="Times New Roman"/>
        </w:rPr>
        <w:t xml:space="preserve">, Supa IGA, IGA and IGA Express </w:t>
      </w:r>
      <w:r w:rsidRPr="00E0404D">
        <w:rPr>
          <w:rFonts w:ascii="Times New Roman" w:hAnsi="Times New Roman"/>
        </w:rPr>
        <w:t>and with a further approximately 1,300 independent supermarkets trading under their own local brand names. In addition, there are numerous independent liquor stores operating throughout Australia, trading unde</w:t>
      </w:r>
      <w:r>
        <w:rPr>
          <w:rFonts w:ascii="Times New Roman" w:hAnsi="Times New Roman"/>
        </w:rPr>
        <w:t xml:space="preserve">r names such as Cellarbrations, </w:t>
      </w:r>
      <w:r w:rsidRPr="00E0404D">
        <w:rPr>
          <w:rFonts w:ascii="Times New Roman" w:hAnsi="Times New Roman"/>
        </w:rPr>
        <w:t xml:space="preserve">The Bottle O, Bottlemart, Duncans, Liquor Legends and Local Liquor, which are either single or multi-store owners. These stores are comparatively much smaller when juxtaposed against the larger supermarket chains such as Coles and Woolworths, which combined, represent approximately </w:t>
      </w:r>
      <w:r>
        <w:rPr>
          <w:rFonts w:ascii="Times New Roman" w:hAnsi="Times New Roman"/>
        </w:rPr>
        <w:t xml:space="preserve">75 </w:t>
      </w:r>
      <w:r w:rsidRPr="00E0404D">
        <w:rPr>
          <w:rFonts w:ascii="Times New Roman" w:hAnsi="Times New Roman"/>
        </w:rPr>
        <w:t>per cent of the retail supermarket industry.</w:t>
      </w:r>
    </w:p>
    <w:p w:rsidR="00685EBC" w:rsidRDefault="00685EBC" w:rsidP="00685EBC">
      <w:pPr>
        <w:spacing w:line="360" w:lineRule="auto"/>
        <w:jc w:val="both"/>
        <w:rPr>
          <w:rFonts w:ascii="Times New Roman" w:hAnsi="Times New Roman"/>
        </w:rPr>
      </w:pPr>
    </w:p>
    <w:p w:rsidR="00685EBC" w:rsidRPr="004564B5" w:rsidRDefault="00685EBC" w:rsidP="00685EBC">
      <w:pPr>
        <w:spacing w:line="360" w:lineRule="auto"/>
        <w:jc w:val="both"/>
        <w:rPr>
          <w:rFonts w:ascii="Times New Roman" w:hAnsi="Times New Roman"/>
          <w:b/>
          <w:sz w:val="28"/>
          <w:szCs w:val="28"/>
          <w:lang w:val="en-AU"/>
        </w:rPr>
      </w:pPr>
      <w:r>
        <w:rPr>
          <w:rFonts w:ascii="Times New Roman" w:hAnsi="Times New Roman"/>
          <w:b/>
          <w:sz w:val="28"/>
          <w:szCs w:val="28"/>
          <w:lang w:val="en-AU"/>
        </w:rPr>
        <w:lastRenderedPageBreak/>
        <w:t xml:space="preserve">B. </w:t>
      </w:r>
      <w:r w:rsidRPr="004564B5">
        <w:rPr>
          <w:rFonts w:ascii="Times New Roman" w:hAnsi="Times New Roman"/>
          <w:b/>
          <w:sz w:val="28"/>
          <w:szCs w:val="28"/>
          <w:lang w:val="en-AU"/>
        </w:rPr>
        <w:t xml:space="preserve">Executive Summary </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Pr>
          <w:rFonts w:ascii="Times New Roman" w:hAnsi="Times New Roman"/>
          <w:szCs w:val="22"/>
          <w:lang w:val="en-AU"/>
        </w:rPr>
        <w:t>MGA</w:t>
      </w:r>
      <w:r w:rsidRPr="008F653C">
        <w:rPr>
          <w:rFonts w:ascii="Times New Roman" w:hAnsi="Times New Roman"/>
          <w:szCs w:val="22"/>
          <w:lang w:val="en-AU"/>
        </w:rPr>
        <w:t xml:space="preserve"> has been a propon</w:t>
      </w:r>
      <w:r>
        <w:rPr>
          <w:rFonts w:ascii="Times New Roman" w:hAnsi="Times New Roman"/>
          <w:szCs w:val="22"/>
          <w:lang w:val="en-AU"/>
        </w:rPr>
        <w:t>ent of compe</w:t>
      </w:r>
      <w:r w:rsidRPr="008F653C">
        <w:rPr>
          <w:rFonts w:ascii="Times New Roman" w:hAnsi="Times New Roman"/>
          <w:szCs w:val="22"/>
          <w:lang w:val="en-AU"/>
        </w:rPr>
        <w:t xml:space="preserve">tition law reform in Australia for many years. This enthusiasm for reform has been buoyed by the disparate growth of particular sectors within the retail industry which has also exacerbated the need for changes to the law in order to provide for a fair, competitive process that will stimulate economic growth. Whilst it is of particular relevance to MGA to see competition law changes that will benefit the supermarket retail industry, past litigation indicates that changes to Section 46 of </w:t>
      </w:r>
      <w:r>
        <w:rPr>
          <w:rFonts w:ascii="Times New Roman" w:hAnsi="Times New Roman"/>
          <w:szCs w:val="22"/>
          <w:lang w:val="en-AU"/>
        </w:rPr>
        <w:t>the CCA</w:t>
      </w:r>
      <w:r w:rsidRPr="008F653C">
        <w:rPr>
          <w:rFonts w:ascii="Times New Roman" w:hAnsi="Times New Roman"/>
          <w:szCs w:val="22"/>
          <w:lang w:val="en-AU"/>
        </w:rPr>
        <w:t xml:space="preserve"> would </w:t>
      </w:r>
      <w:r>
        <w:rPr>
          <w:rFonts w:ascii="Times New Roman" w:hAnsi="Times New Roman"/>
          <w:szCs w:val="22"/>
          <w:lang w:val="en-AU"/>
        </w:rPr>
        <w:t xml:space="preserve">also </w:t>
      </w:r>
      <w:r w:rsidRPr="008F653C">
        <w:rPr>
          <w:rFonts w:ascii="Times New Roman" w:hAnsi="Times New Roman"/>
          <w:szCs w:val="22"/>
          <w:lang w:val="en-AU"/>
        </w:rPr>
        <w:t>be beneficial to many other industry sectors</w:t>
      </w:r>
      <w:r>
        <w:rPr>
          <w:rFonts w:ascii="Times New Roman" w:hAnsi="Times New Roman"/>
          <w:szCs w:val="22"/>
          <w:lang w:val="en-AU"/>
        </w:rPr>
        <w:t>.</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sidRPr="008F653C">
        <w:rPr>
          <w:rFonts w:ascii="Times New Roman" w:hAnsi="Times New Roman"/>
          <w:szCs w:val="22"/>
          <w:lang w:val="en-AU"/>
        </w:rPr>
        <w:t xml:space="preserve">MGA vigorously supported the initiative of the Federal Government to </w:t>
      </w:r>
      <w:r>
        <w:rPr>
          <w:rFonts w:ascii="Times New Roman" w:hAnsi="Times New Roman"/>
          <w:szCs w:val="22"/>
          <w:lang w:val="en-AU"/>
        </w:rPr>
        <w:t xml:space="preserve">instigate </w:t>
      </w:r>
      <w:r w:rsidRPr="008F653C">
        <w:rPr>
          <w:rFonts w:ascii="Times New Roman" w:hAnsi="Times New Roman"/>
          <w:szCs w:val="22"/>
          <w:lang w:val="en-AU"/>
        </w:rPr>
        <w:t>a “root and branch review” of the CCA in 2014 and welcomed the release of the Competition Policy Review Final Report in March 2015(the Harper Review), undertaken by a panel comprising Professor Ian Harper, Ms. Su Mc Cluskey, Mr. Michael O’Brien and Mr. Peter Anderson (the Panel)</w:t>
      </w:r>
    </w:p>
    <w:p w:rsidR="00685EBC" w:rsidRPr="000D2161" w:rsidRDefault="00685EBC" w:rsidP="00685EBC">
      <w:pPr>
        <w:pStyle w:val="ListParagraph"/>
        <w:numPr>
          <w:ilvl w:val="0"/>
          <w:numId w:val="20"/>
        </w:numPr>
        <w:spacing w:line="360" w:lineRule="auto"/>
        <w:jc w:val="both"/>
        <w:rPr>
          <w:rFonts w:ascii="Times New Roman" w:hAnsi="Times New Roman"/>
          <w:szCs w:val="22"/>
          <w:lang w:val="en-AU"/>
        </w:rPr>
      </w:pPr>
      <w:r w:rsidRPr="000D2161">
        <w:rPr>
          <w:rFonts w:ascii="Times New Roman" w:hAnsi="Times New Roman"/>
          <w:szCs w:val="22"/>
          <w:lang w:val="en-AU"/>
        </w:rPr>
        <w:t xml:space="preserve">MGA commends the work of the Panel in producing the comprehensive recommendations contained in the Harper Review which </w:t>
      </w:r>
      <w:r>
        <w:rPr>
          <w:rFonts w:ascii="Times New Roman" w:hAnsi="Times New Roman"/>
          <w:szCs w:val="22"/>
          <w:lang w:val="en-AU"/>
        </w:rPr>
        <w:t xml:space="preserve">are </w:t>
      </w:r>
      <w:r w:rsidRPr="000D2161">
        <w:rPr>
          <w:rFonts w:ascii="Times New Roman" w:hAnsi="Times New Roman"/>
          <w:szCs w:val="22"/>
          <w:lang w:val="en-AU"/>
        </w:rPr>
        <w:t xml:space="preserve">directed at reform of Australian competition laws. When the Harper Review was released MGA welcomed the following views made by the Panel, in particular that, </w:t>
      </w:r>
    </w:p>
    <w:p w:rsidR="00685EBC" w:rsidRPr="004B6ED1" w:rsidRDefault="00685EBC" w:rsidP="00685EBC">
      <w:pPr>
        <w:spacing w:line="360" w:lineRule="auto"/>
        <w:ind w:left="720"/>
        <w:jc w:val="both"/>
        <w:rPr>
          <w:b/>
          <w:szCs w:val="22"/>
          <w:lang w:val="en-AU"/>
        </w:rPr>
      </w:pPr>
      <w:r w:rsidRPr="004B6ED1">
        <w:rPr>
          <w:rFonts w:ascii="Times New Roman" w:hAnsi="Times New Roman"/>
          <w:i/>
          <w:szCs w:val="22"/>
          <w:lang w:val="en-AU"/>
        </w:rPr>
        <w:t>“The Panel considers that Section 46 is deficient in its current form. The ‘take advantage’ limb of Section 46 is not a useful test by which to distinguish competitive from anti- competitive unilateral conduct. The ‘purpose limb’ that prohibits conduct if it has the purpose of harming competitors , is misdirected as a matter of policy and out of step with equivalent international approaches.</w:t>
      </w:r>
      <w:r w:rsidRPr="004B6ED1">
        <w:rPr>
          <w:b/>
          <w:szCs w:val="22"/>
          <w:lang w:val="en-AU"/>
        </w:rPr>
        <w:t xml:space="preserve">  </w:t>
      </w:r>
    </w:p>
    <w:p w:rsidR="00685EBC" w:rsidRDefault="00685EBC" w:rsidP="00685EBC">
      <w:pPr>
        <w:spacing w:line="360" w:lineRule="auto"/>
        <w:ind w:left="720"/>
        <w:jc w:val="both"/>
        <w:rPr>
          <w:rFonts w:ascii="Times New Roman" w:hAnsi="Times New Roman"/>
          <w:i/>
          <w:szCs w:val="22"/>
          <w:lang w:val="en-AU"/>
        </w:rPr>
      </w:pPr>
      <w:r w:rsidRPr="004B6ED1">
        <w:rPr>
          <w:rFonts w:ascii="Times New Roman" w:hAnsi="Times New Roman"/>
          <w:i/>
          <w:szCs w:val="22"/>
          <w:lang w:val="en-AU"/>
        </w:rPr>
        <w:t>The provision should be directed to conduct that has the purpose, or would have or be l</w:t>
      </w:r>
      <w:r>
        <w:rPr>
          <w:rFonts w:ascii="Times New Roman" w:hAnsi="Times New Roman"/>
          <w:i/>
          <w:szCs w:val="22"/>
          <w:lang w:val="en-AU"/>
        </w:rPr>
        <w:t>ikely to have the effect</w:t>
      </w:r>
      <w:r w:rsidRPr="004B6ED1">
        <w:rPr>
          <w:rFonts w:ascii="Times New Roman" w:hAnsi="Times New Roman"/>
          <w:i/>
          <w:szCs w:val="22"/>
          <w:lang w:val="en-AU"/>
        </w:rPr>
        <w:t>, of substantially lessening of competition in a similar manner to the prohibitions in Sections 45, 47 and 50. The provision should also include legislative guidance directing courts and firms to weigh the procompetitive and anti-</w:t>
      </w:r>
      <w:r>
        <w:rPr>
          <w:rFonts w:ascii="Times New Roman" w:hAnsi="Times New Roman"/>
          <w:i/>
          <w:szCs w:val="22"/>
          <w:lang w:val="en-AU"/>
        </w:rPr>
        <w:t xml:space="preserve"> competitive impact of conduct……</w:t>
      </w:r>
    </w:p>
    <w:p w:rsidR="00685EBC" w:rsidRDefault="00685EBC" w:rsidP="00685EBC">
      <w:pPr>
        <w:spacing w:line="360" w:lineRule="auto"/>
        <w:ind w:left="720"/>
        <w:jc w:val="both"/>
        <w:rPr>
          <w:rFonts w:ascii="Times New Roman" w:hAnsi="Times New Roman"/>
          <w:i/>
          <w:szCs w:val="22"/>
          <w:lang w:val="en-AU"/>
        </w:rPr>
      </w:pPr>
      <w:r>
        <w:rPr>
          <w:rFonts w:ascii="Times New Roman" w:hAnsi="Times New Roman"/>
          <w:i/>
          <w:szCs w:val="22"/>
          <w:lang w:val="en-AU"/>
        </w:rPr>
        <w:t xml:space="preserve">As with any change to the law amending section 46 will involve some uncertainty, but the proposal adopts the long standing expressions “substantial degree of power in the market and substantial lessening of competition.  </w:t>
      </w:r>
    </w:p>
    <w:p w:rsidR="00685EBC" w:rsidRDefault="00685EBC" w:rsidP="00685EBC">
      <w:pPr>
        <w:spacing w:line="360" w:lineRule="auto"/>
        <w:ind w:left="720"/>
        <w:jc w:val="both"/>
        <w:rPr>
          <w:rFonts w:ascii="Times New Roman" w:hAnsi="Times New Roman"/>
          <w:i/>
          <w:szCs w:val="22"/>
          <w:lang w:val="en-AU"/>
        </w:rPr>
      </w:pPr>
      <w:r>
        <w:rPr>
          <w:rFonts w:ascii="Times New Roman" w:hAnsi="Times New Roman"/>
          <w:i/>
          <w:szCs w:val="22"/>
          <w:lang w:val="en-AU"/>
        </w:rPr>
        <w:t>Although uncertainty may lead to some cost, the panel considers this is outweighed by the benefit of a more effective prohibition on unilateral anti-competitive conduct.”</w:t>
      </w:r>
      <w:r>
        <w:rPr>
          <w:rStyle w:val="FootnoteReference"/>
          <w:rFonts w:ascii="Times New Roman" w:hAnsi="Times New Roman"/>
          <w:i/>
          <w:szCs w:val="22"/>
          <w:lang w:val="en-AU"/>
        </w:rPr>
        <w:footnoteReference w:id="1"/>
      </w:r>
    </w:p>
    <w:p w:rsidR="00685EBC" w:rsidRPr="004C53E7" w:rsidRDefault="00685EBC" w:rsidP="00685EBC">
      <w:pPr>
        <w:pStyle w:val="ListParagraph"/>
        <w:numPr>
          <w:ilvl w:val="0"/>
          <w:numId w:val="20"/>
        </w:numPr>
        <w:spacing w:line="360" w:lineRule="auto"/>
        <w:jc w:val="both"/>
        <w:rPr>
          <w:rFonts w:ascii="Times New Roman" w:hAnsi="Times New Roman"/>
          <w:szCs w:val="22"/>
          <w:lang w:val="en-AU"/>
        </w:rPr>
      </w:pPr>
      <w:r w:rsidRPr="004C53E7">
        <w:rPr>
          <w:rFonts w:ascii="Times New Roman" w:hAnsi="Times New Roman"/>
          <w:szCs w:val="22"/>
          <w:lang w:val="en-AU"/>
        </w:rPr>
        <w:t xml:space="preserve">MGA is firmly of the view that the current S. 46 </w:t>
      </w:r>
      <w:r w:rsidRPr="00D343AE">
        <w:rPr>
          <w:rFonts w:ascii="Times New Roman" w:hAnsi="Times New Roman"/>
          <w:szCs w:val="22"/>
          <w:u w:val="single"/>
          <w:lang w:val="en-AU"/>
        </w:rPr>
        <w:t>is not fit for purpose and is no longer regarded as good public policy.</w:t>
      </w:r>
      <w:r w:rsidRPr="004C53E7">
        <w:rPr>
          <w:rFonts w:ascii="Times New Roman" w:hAnsi="Times New Roman"/>
          <w:szCs w:val="22"/>
          <w:lang w:val="en-AU"/>
        </w:rPr>
        <w:t xml:space="preserve"> The world of business has changed in Australia </w:t>
      </w:r>
      <w:r>
        <w:rPr>
          <w:rFonts w:ascii="Times New Roman" w:hAnsi="Times New Roman"/>
          <w:szCs w:val="22"/>
          <w:lang w:val="en-AU"/>
        </w:rPr>
        <w:t xml:space="preserve">in the last decade </w:t>
      </w:r>
      <w:r w:rsidRPr="004C53E7">
        <w:rPr>
          <w:rFonts w:ascii="Times New Roman" w:hAnsi="Times New Roman"/>
          <w:szCs w:val="22"/>
          <w:lang w:val="en-AU"/>
        </w:rPr>
        <w:t>to t</w:t>
      </w:r>
      <w:r>
        <w:rPr>
          <w:rFonts w:ascii="Times New Roman" w:hAnsi="Times New Roman"/>
          <w:szCs w:val="22"/>
          <w:lang w:val="en-AU"/>
        </w:rPr>
        <w:t>he point where there are</w:t>
      </w:r>
      <w:r w:rsidRPr="004C53E7">
        <w:rPr>
          <w:rFonts w:ascii="Times New Roman" w:hAnsi="Times New Roman"/>
          <w:szCs w:val="22"/>
          <w:lang w:val="en-AU"/>
        </w:rPr>
        <w:t xml:space="preserve"> a few </w:t>
      </w:r>
      <w:r w:rsidRPr="004C53E7">
        <w:rPr>
          <w:rFonts w:ascii="Times New Roman" w:hAnsi="Times New Roman"/>
          <w:szCs w:val="22"/>
          <w:lang w:val="en-AU"/>
        </w:rPr>
        <w:lastRenderedPageBreak/>
        <w:t xml:space="preserve">larger businesses who hold positions of </w:t>
      </w:r>
      <w:r>
        <w:rPr>
          <w:rFonts w:ascii="Times New Roman" w:hAnsi="Times New Roman"/>
          <w:szCs w:val="22"/>
          <w:lang w:val="en-AU"/>
        </w:rPr>
        <w:t xml:space="preserve">market </w:t>
      </w:r>
      <w:r w:rsidRPr="004C53E7">
        <w:rPr>
          <w:rFonts w:ascii="Times New Roman" w:hAnsi="Times New Roman"/>
          <w:szCs w:val="22"/>
          <w:lang w:val="en-AU"/>
        </w:rPr>
        <w:t xml:space="preserve">dominance and </w:t>
      </w:r>
      <w:r>
        <w:rPr>
          <w:rFonts w:ascii="Times New Roman" w:hAnsi="Times New Roman"/>
          <w:szCs w:val="22"/>
          <w:lang w:val="en-AU"/>
        </w:rPr>
        <w:t>an increased number of small to medium sized businesses that vie which each other for business. In itself this is the way competition should be but unfortunately our competition laws are no longer fit for the purpose and require amendment in order to provide for a level playing field. The</w:t>
      </w:r>
      <w:r w:rsidRPr="004C53E7">
        <w:rPr>
          <w:rFonts w:ascii="Times New Roman" w:hAnsi="Times New Roman"/>
          <w:szCs w:val="22"/>
          <w:lang w:val="en-AU"/>
        </w:rPr>
        <w:t xml:space="preserve"> competi</w:t>
      </w:r>
      <w:r>
        <w:rPr>
          <w:rFonts w:ascii="Times New Roman" w:hAnsi="Times New Roman"/>
          <w:szCs w:val="22"/>
          <w:lang w:val="en-AU"/>
        </w:rPr>
        <w:t>tive process is being threatened and unless it is changed this will lead to the domination by a powerful few and the annihilation of competitors.</w:t>
      </w:r>
    </w:p>
    <w:p w:rsidR="00685EBC" w:rsidRPr="004C53E7" w:rsidRDefault="00685EBC" w:rsidP="00685EBC">
      <w:pPr>
        <w:pStyle w:val="ListParagraph"/>
        <w:numPr>
          <w:ilvl w:val="0"/>
          <w:numId w:val="20"/>
        </w:numPr>
        <w:spacing w:line="360" w:lineRule="auto"/>
        <w:jc w:val="both"/>
        <w:rPr>
          <w:rFonts w:ascii="Times New Roman" w:hAnsi="Times New Roman"/>
          <w:szCs w:val="22"/>
          <w:lang w:val="en-AU"/>
        </w:rPr>
      </w:pPr>
      <w:r w:rsidRPr="004C53E7">
        <w:rPr>
          <w:rFonts w:ascii="Times New Roman" w:hAnsi="Times New Roman"/>
          <w:szCs w:val="22"/>
          <w:lang w:val="en-AU"/>
        </w:rPr>
        <w:t xml:space="preserve"> It is not in the public interest to allow exclusionary conduct to continue because it freezes out competitors.</w:t>
      </w:r>
      <w:r w:rsidRPr="004C53E7">
        <w:rPr>
          <w:rFonts w:cs="Arial"/>
          <w:szCs w:val="22"/>
        </w:rPr>
        <w:t xml:space="preserve"> </w:t>
      </w:r>
      <w:r w:rsidRPr="004C53E7">
        <w:rPr>
          <w:rFonts w:ascii="Times New Roman" w:hAnsi="Times New Roman"/>
          <w:szCs w:val="22"/>
        </w:rPr>
        <w:t>In the best interests of good public policy, improving economic performance and productivity, increasing employment, stimulating innovation and investment, Section 46 must be changed in order to foster greater engagement by all businesses in the competitive process.</w:t>
      </w:r>
    </w:p>
    <w:p w:rsidR="00685EBC" w:rsidRPr="004C53E7" w:rsidRDefault="00685EBC" w:rsidP="00685EBC">
      <w:pPr>
        <w:pStyle w:val="ListParagraph"/>
        <w:numPr>
          <w:ilvl w:val="0"/>
          <w:numId w:val="20"/>
        </w:numPr>
        <w:spacing w:line="360" w:lineRule="auto"/>
        <w:ind w:left="357" w:hanging="357"/>
        <w:jc w:val="both"/>
        <w:rPr>
          <w:rFonts w:ascii="Times New Roman" w:hAnsi="Times New Roman"/>
          <w:szCs w:val="22"/>
        </w:rPr>
      </w:pPr>
      <w:r w:rsidRPr="004C53E7">
        <w:rPr>
          <w:rFonts w:ascii="Times New Roman" w:hAnsi="Times New Roman"/>
          <w:szCs w:val="22"/>
          <w:lang w:val="en-AU"/>
        </w:rPr>
        <w:t>MGA supports the removal of the words, ‘take advantage’ from Section 46(1)</w:t>
      </w:r>
      <w:r>
        <w:rPr>
          <w:rFonts w:ascii="Times New Roman" w:hAnsi="Times New Roman"/>
          <w:szCs w:val="22"/>
          <w:lang w:val="en-AU"/>
        </w:rPr>
        <w:t>of the CCA.</w:t>
      </w:r>
      <w:r w:rsidRPr="004C53E7">
        <w:rPr>
          <w:rFonts w:ascii="Times New Roman" w:hAnsi="Times New Roman"/>
          <w:szCs w:val="22"/>
          <w:lang w:val="en-AU"/>
        </w:rPr>
        <w:t xml:space="preserve"> </w:t>
      </w:r>
      <w:r w:rsidRPr="004C53E7">
        <w:rPr>
          <w:rFonts w:ascii="Times New Roman" w:hAnsi="Times New Roman"/>
          <w:szCs w:val="22"/>
        </w:rPr>
        <w:t>The current law permits a business that has clearly taken advantage of a competitor not to have breached the law if the competitor could have taken the same action as the business that is in breach.</w:t>
      </w:r>
      <w:r>
        <w:rPr>
          <w:rFonts w:ascii="Times New Roman" w:hAnsi="Times New Roman"/>
          <w:szCs w:val="22"/>
        </w:rPr>
        <w:t xml:space="preserve"> </w:t>
      </w:r>
      <w:r w:rsidRPr="004C53E7">
        <w:rPr>
          <w:rFonts w:ascii="Times New Roman" w:hAnsi="Times New Roman"/>
          <w:szCs w:val="22"/>
        </w:rPr>
        <w:t xml:space="preserve">The words “take advantage” must be removed as this would remedy a deficiency in the current Act and help to eliminate uncertainty and confusion. </w:t>
      </w:r>
    </w:p>
    <w:p w:rsidR="00685EBC" w:rsidRPr="00C751D9" w:rsidRDefault="00685EBC" w:rsidP="00685EBC">
      <w:pPr>
        <w:pStyle w:val="ListParagraph"/>
        <w:numPr>
          <w:ilvl w:val="0"/>
          <w:numId w:val="20"/>
        </w:numPr>
        <w:spacing w:line="360" w:lineRule="auto"/>
        <w:jc w:val="both"/>
        <w:rPr>
          <w:rFonts w:ascii="Times New Roman" w:hAnsi="Times New Roman"/>
          <w:szCs w:val="22"/>
        </w:rPr>
      </w:pPr>
      <w:r w:rsidRPr="00C751D9">
        <w:rPr>
          <w:rFonts w:ascii="Times New Roman" w:hAnsi="Times New Roman"/>
          <w:szCs w:val="22"/>
        </w:rPr>
        <w:t xml:space="preserve">The </w:t>
      </w:r>
      <w:r>
        <w:rPr>
          <w:rFonts w:ascii="Times New Roman" w:hAnsi="Times New Roman"/>
          <w:szCs w:val="22"/>
        </w:rPr>
        <w:t>retention of the word,</w:t>
      </w:r>
      <w:r w:rsidRPr="00C751D9">
        <w:rPr>
          <w:rFonts w:ascii="Times New Roman" w:hAnsi="Times New Roman"/>
          <w:szCs w:val="22"/>
        </w:rPr>
        <w:t xml:space="preserve"> </w:t>
      </w:r>
      <w:r>
        <w:rPr>
          <w:rFonts w:ascii="Times New Roman" w:hAnsi="Times New Roman"/>
          <w:szCs w:val="22"/>
        </w:rPr>
        <w:t>‘p</w:t>
      </w:r>
      <w:r w:rsidRPr="00C751D9">
        <w:rPr>
          <w:rFonts w:ascii="Times New Roman" w:hAnsi="Times New Roman"/>
          <w:szCs w:val="22"/>
        </w:rPr>
        <w:t xml:space="preserve">urpose </w:t>
      </w:r>
      <w:r>
        <w:rPr>
          <w:rFonts w:ascii="Times New Roman" w:hAnsi="Times New Roman"/>
          <w:szCs w:val="22"/>
        </w:rPr>
        <w:t xml:space="preserve">‘in the </w:t>
      </w:r>
      <w:r w:rsidRPr="00C751D9">
        <w:rPr>
          <w:rFonts w:ascii="Times New Roman" w:hAnsi="Times New Roman"/>
          <w:szCs w:val="22"/>
        </w:rPr>
        <w:t xml:space="preserve">current section 46 is also onerous. Proving that the purpose of a business </w:t>
      </w:r>
      <w:r>
        <w:rPr>
          <w:rFonts w:ascii="Times New Roman" w:hAnsi="Times New Roman"/>
          <w:szCs w:val="22"/>
        </w:rPr>
        <w:t xml:space="preserve">activity </w:t>
      </w:r>
      <w:r w:rsidRPr="00C751D9">
        <w:rPr>
          <w:rFonts w:ascii="Times New Roman" w:hAnsi="Times New Roman"/>
          <w:szCs w:val="22"/>
        </w:rPr>
        <w:t xml:space="preserve">was to substantially lessen competition and is likely to harm the competitive process is very difficult. </w:t>
      </w:r>
      <w:r>
        <w:rPr>
          <w:rFonts w:ascii="Times New Roman" w:hAnsi="Times New Roman"/>
        </w:rPr>
        <w:t>Many forms of anti- competitive conduct are under the current law allowed to continue because it is necessary to prove that the purpose of the anti- competitive conduct was specifically aimed at eliminating or damaging a competitor, MGA therefore supports the retention of the word purpose but that it is directed at protecting the competitive process.</w:t>
      </w:r>
    </w:p>
    <w:p w:rsidR="00685EBC" w:rsidRPr="00E6666C" w:rsidRDefault="00685EBC" w:rsidP="00685EBC">
      <w:pPr>
        <w:pStyle w:val="ListParagraph"/>
        <w:numPr>
          <w:ilvl w:val="0"/>
          <w:numId w:val="20"/>
        </w:numPr>
        <w:spacing w:line="360" w:lineRule="auto"/>
        <w:jc w:val="both"/>
        <w:rPr>
          <w:rFonts w:ascii="Times New Roman" w:hAnsi="Times New Roman"/>
          <w:szCs w:val="22"/>
        </w:rPr>
      </w:pPr>
      <w:r w:rsidRPr="00C751D9">
        <w:rPr>
          <w:rFonts w:ascii="Times New Roman" w:hAnsi="Times New Roman"/>
          <w:szCs w:val="22"/>
          <w:lang w:val="en-AU"/>
        </w:rPr>
        <w:t>MGA is strongly of the view that that new la</w:t>
      </w:r>
      <w:r>
        <w:rPr>
          <w:rFonts w:ascii="Times New Roman" w:hAnsi="Times New Roman"/>
          <w:szCs w:val="22"/>
          <w:lang w:val="en-AU"/>
        </w:rPr>
        <w:t xml:space="preserve">ws will prevent the continued </w:t>
      </w:r>
      <w:r w:rsidRPr="00C751D9">
        <w:rPr>
          <w:rFonts w:ascii="Times New Roman" w:hAnsi="Times New Roman"/>
          <w:szCs w:val="22"/>
          <w:lang w:val="en-AU"/>
        </w:rPr>
        <w:t xml:space="preserve">occurrence of exclusionary conduct </w:t>
      </w:r>
      <w:r>
        <w:rPr>
          <w:rFonts w:ascii="Times New Roman" w:hAnsi="Times New Roman"/>
          <w:szCs w:val="22"/>
          <w:lang w:val="en-AU"/>
        </w:rPr>
        <w:t xml:space="preserve">in the market </w:t>
      </w:r>
      <w:r w:rsidRPr="00C751D9">
        <w:rPr>
          <w:rFonts w:ascii="Times New Roman" w:hAnsi="Times New Roman"/>
          <w:szCs w:val="22"/>
          <w:lang w:val="en-AU"/>
        </w:rPr>
        <w:t xml:space="preserve">such as </w:t>
      </w:r>
      <w:r>
        <w:rPr>
          <w:rFonts w:ascii="Times New Roman" w:hAnsi="Times New Roman"/>
          <w:szCs w:val="22"/>
        </w:rPr>
        <w:t>l</w:t>
      </w:r>
      <w:r w:rsidRPr="00E6666C">
        <w:rPr>
          <w:rFonts w:ascii="Times New Roman" w:hAnsi="Times New Roman"/>
          <w:szCs w:val="22"/>
        </w:rPr>
        <w:t xml:space="preserve">and banking, </w:t>
      </w:r>
      <w:r>
        <w:rPr>
          <w:rFonts w:ascii="Times New Roman" w:hAnsi="Times New Roman"/>
          <w:szCs w:val="22"/>
        </w:rPr>
        <w:t>b</w:t>
      </w:r>
      <w:r w:rsidRPr="00E6666C">
        <w:rPr>
          <w:rFonts w:ascii="Times New Roman" w:hAnsi="Times New Roman"/>
          <w:szCs w:val="22"/>
        </w:rPr>
        <w:t xml:space="preserve">undling and </w:t>
      </w:r>
      <w:r>
        <w:rPr>
          <w:rFonts w:ascii="Times New Roman" w:hAnsi="Times New Roman"/>
          <w:szCs w:val="22"/>
        </w:rPr>
        <w:t>a</w:t>
      </w:r>
      <w:r w:rsidRPr="00E6666C">
        <w:rPr>
          <w:rFonts w:ascii="Times New Roman" w:hAnsi="Times New Roman"/>
          <w:szCs w:val="22"/>
        </w:rPr>
        <w:t>nti</w:t>
      </w:r>
      <w:r>
        <w:rPr>
          <w:rFonts w:ascii="Times New Roman" w:hAnsi="Times New Roman"/>
          <w:szCs w:val="22"/>
        </w:rPr>
        <w:t>-</w:t>
      </w:r>
      <w:r w:rsidRPr="00E6666C">
        <w:rPr>
          <w:rFonts w:ascii="Times New Roman" w:hAnsi="Times New Roman"/>
          <w:szCs w:val="22"/>
        </w:rPr>
        <w:t xml:space="preserve"> competitive price discrimination and any other conduct that stops, blocks or freezes a competitor out of business.</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sidRPr="000D2161">
        <w:rPr>
          <w:rFonts w:ascii="Times New Roman" w:hAnsi="Times New Roman"/>
          <w:szCs w:val="22"/>
          <w:lang w:val="en-AU"/>
        </w:rPr>
        <w:t>MGA appreciates that there is scepticism in respect to the efficacy of change to competition laws, but after a comprehensive assessment of the need for significant change</w:t>
      </w:r>
      <w:r>
        <w:rPr>
          <w:rFonts w:ascii="Times New Roman" w:hAnsi="Times New Roman"/>
          <w:szCs w:val="22"/>
          <w:lang w:val="en-AU"/>
        </w:rPr>
        <w:t>,</w:t>
      </w:r>
      <w:r w:rsidRPr="000D2161">
        <w:rPr>
          <w:rFonts w:ascii="Times New Roman" w:hAnsi="Times New Roman"/>
          <w:szCs w:val="22"/>
          <w:lang w:val="en-AU"/>
        </w:rPr>
        <w:t xml:space="preserve"> remains firmly of the view that there is a need to implement amendments to the current section 46 in order to eliminate uncertainty and provide an opportunity to stimulate our economy. MGA therefore supports changes to Section 46 </w:t>
      </w:r>
      <w:r>
        <w:rPr>
          <w:rFonts w:ascii="Times New Roman" w:hAnsi="Times New Roman"/>
          <w:szCs w:val="22"/>
          <w:lang w:val="en-AU"/>
        </w:rPr>
        <w:t xml:space="preserve">(1) </w:t>
      </w:r>
      <w:r w:rsidRPr="000D2161">
        <w:rPr>
          <w:rFonts w:ascii="Times New Roman" w:hAnsi="Times New Roman"/>
          <w:szCs w:val="22"/>
          <w:lang w:val="en-AU"/>
        </w:rPr>
        <w:t xml:space="preserve">as recommended by the Panel and in this submission we have reviewed the options that have been presented in the Discussion Paper. </w:t>
      </w:r>
    </w:p>
    <w:p w:rsidR="00685EBC" w:rsidRPr="00BE2CE9" w:rsidRDefault="00685EBC" w:rsidP="00685EBC">
      <w:pPr>
        <w:spacing w:line="360" w:lineRule="auto"/>
        <w:jc w:val="both"/>
        <w:rPr>
          <w:rFonts w:ascii="Times New Roman" w:hAnsi="Times New Roman"/>
          <w:b/>
          <w:sz w:val="28"/>
          <w:szCs w:val="28"/>
          <w:lang w:val="en-AU"/>
        </w:rPr>
      </w:pPr>
      <w:r w:rsidRPr="00BE2CE9">
        <w:rPr>
          <w:rFonts w:ascii="Times New Roman" w:hAnsi="Times New Roman"/>
          <w:b/>
          <w:sz w:val="28"/>
          <w:szCs w:val="28"/>
          <w:lang w:val="en-AU"/>
        </w:rPr>
        <w:t>C. Discussion issues</w:t>
      </w:r>
    </w:p>
    <w:p w:rsidR="00685EBC" w:rsidRPr="00EC7765" w:rsidRDefault="00685EBC" w:rsidP="00685EBC">
      <w:pPr>
        <w:pStyle w:val="ListParagraph"/>
        <w:numPr>
          <w:ilvl w:val="0"/>
          <w:numId w:val="20"/>
        </w:numPr>
        <w:spacing w:line="360" w:lineRule="auto"/>
        <w:jc w:val="both"/>
        <w:rPr>
          <w:rFonts w:ascii="Times New Roman" w:hAnsi="Times New Roman"/>
          <w:szCs w:val="22"/>
          <w:lang w:val="en-AU"/>
        </w:rPr>
      </w:pPr>
      <w:r w:rsidRPr="00BE2CE9">
        <w:rPr>
          <w:rFonts w:ascii="Times New Roman" w:hAnsi="Times New Roman"/>
          <w:szCs w:val="22"/>
          <w:lang w:val="en-AU"/>
        </w:rPr>
        <w:t xml:space="preserve">It is noted that in order to fully appreciate the views of the various parties who have a vested interest in competition law reform Treasury has sought responses to a number of specific questions and has also proposed various options to the amendment of Section 46 (1) of the CCA as proposed by the Harper Review, </w:t>
      </w:r>
      <w:r>
        <w:rPr>
          <w:rFonts w:ascii="Times New Roman" w:hAnsi="Times New Roman"/>
          <w:szCs w:val="22"/>
          <w:lang w:val="en-AU"/>
        </w:rPr>
        <w:t xml:space="preserve">including </w:t>
      </w:r>
      <w:r w:rsidRPr="00BE2CE9">
        <w:rPr>
          <w:rFonts w:ascii="Times New Roman" w:hAnsi="Times New Roman"/>
          <w:szCs w:val="22"/>
          <w:lang w:val="en-AU"/>
        </w:rPr>
        <w:t>the option to leave S.46</w:t>
      </w:r>
      <w:r>
        <w:rPr>
          <w:rFonts w:ascii="Times New Roman" w:hAnsi="Times New Roman"/>
          <w:szCs w:val="22"/>
          <w:lang w:val="en-AU"/>
        </w:rPr>
        <w:t>(1)</w:t>
      </w:r>
      <w:r w:rsidRPr="00BE2CE9">
        <w:rPr>
          <w:rFonts w:ascii="Times New Roman" w:hAnsi="Times New Roman"/>
          <w:szCs w:val="22"/>
          <w:lang w:val="en-AU"/>
        </w:rPr>
        <w:t>as it currently stands in the statute or agree to the amendments to S. 46</w:t>
      </w:r>
      <w:r>
        <w:rPr>
          <w:rFonts w:ascii="Times New Roman" w:hAnsi="Times New Roman"/>
          <w:szCs w:val="22"/>
          <w:lang w:val="en-AU"/>
        </w:rPr>
        <w:t xml:space="preserve"> </w:t>
      </w:r>
      <w:r w:rsidRPr="00BE2CE9">
        <w:rPr>
          <w:rFonts w:ascii="Times New Roman" w:hAnsi="Times New Roman"/>
          <w:szCs w:val="22"/>
          <w:lang w:val="en-AU"/>
        </w:rPr>
        <w:t>as proposed by the Harper Review in its entirety. In this submission MGA has provided responses to a number of the questions asked by Treasury and will also provide reasons for our views as to why MGA recommends our</w:t>
      </w:r>
      <w:r>
        <w:rPr>
          <w:rFonts w:ascii="Times New Roman" w:hAnsi="Times New Roman"/>
          <w:szCs w:val="22"/>
          <w:lang w:val="en-AU"/>
        </w:rPr>
        <w:t xml:space="preserve"> chosen</w:t>
      </w:r>
      <w:r w:rsidRPr="00BE2CE9">
        <w:rPr>
          <w:rFonts w:ascii="Times New Roman" w:hAnsi="Times New Roman"/>
          <w:szCs w:val="22"/>
          <w:lang w:val="en-AU"/>
        </w:rPr>
        <w:t xml:space="preserve"> option.   </w:t>
      </w:r>
    </w:p>
    <w:p w:rsidR="00685EBC" w:rsidRPr="00A2387B" w:rsidRDefault="00685EBC" w:rsidP="00685EBC">
      <w:pPr>
        <w:spacing w:line="360" w:lineRule="auto"/>
        <w:jc w:val="both"/>
        <w:rPr>
          <w:rFonts w:ascii="Times New Roman" w:hAnsi="Times New Roman"/>
          <w:szCs w:val="22"/>
          <w:lang w:val="en-AU"/>
        </w:rPr>
      </w:pPr>
      <w:r w:rsidRPr="00A2387B">
        <w:rPr>
          <w:rFonts w:ascii="Times New Roman" w:hAnsi="Times New Roman"/>
          <w:b/>
          <w:i/>
          <w:szCs w:val="22"/>
          <w:lang w:val="en-AU"/>
        </w:rPr>
        <w:t>Question 1</w:t>
      </w:r>
      <w:r w:rsidRPr="00A2387B">
        <w:rPr>
          <w:rFonts w:ascii="Times New Roman" w:hAnsi="Times New Roman"/>
          <w:szCs w:val="22"/>
          <w:lang w:val="en-AU"/>
        </w:rPr>
        <w:t xml:space="preserve"> </w:t>
      </w:r>
    </w:p>
    <w:p w:rsidR="00685EBC" w:rsidRPr="00A2387B" w:rsidRDefault="00685EBC" w:rsidP="00685EBC">
      <w:pPr>
        <w:spacing w:line="360" w:lineRule="auto"/>
        <w:jc w:val="both"/>
        <w:rPr>
          <w:rFonts w:ascii="Times New Roman" w:hAnsi="Times New Roman"/>
          <w:b/>
          <w:i/>
          <w:sz w:val="20"/>
          <w:szCs w:val="20"/>
          <w:lang w:val="en-AU"/>
        </w:rPr>
      </w:pPr>
      <w:r w:rsidRPr="00A2387B">
        <w:rPr>
          <w:rFonts w:ascii="Times New Roman" w:hAnsi="Times New Roman"/>
          <w:b/>
          <w:i/>
          <w:sz w:val="20"/>
          <w:szCs w:val="20"/>
          <w:lang w:val="en-AU"/>
        </w:rPr>
        <w:t>What are examples of business conduct that would be detrimental and economically damaging to competition as opposed to competitors that would be difficult to bring action against under the current provision?</w:t>
      </w:r>
    </w:p>
    <w:p w:rsidR="00685EBC" w:rsidRPr="008373D1" w:rsidRDefault="00685EBC" w:rsidP="00685EBC">
      <w:pPr>
        <w:pStyle w:val="ListParagraph"/>
        <w:numPr>
          <w:ilvl w:val="0"/>
          <w:numId w:val="20"/>
        </w:numPr>
        <w:spacing w:line="360" w:lineRule="auto"/>
        <w:jc w:val="both"/>
        <w:rPr>
          <w:rFonts w:ascii="Times New Roman" w:hAnsi="Times New Roman"/>
          <w:szCs w:val="22"/>
          <w:lang w:val="en-AU"/>
        </w:rPr>
      </w:pPr>
      <w:r w:rsidRPr="008373D1">
        <w:rPr>
          <w:rFonts w:ascii="Times New Roman" w:hAnsi="Times New Roman"/>
          <w:szCs w:val="22"/>
          <w:lang w:val="en-AU"/>
        </w:rPr>
        <w:t xml:space="preserve">MGA submits that in previous submissions </w:t>
      </w:r>
      <w:r>
        <w:rPr>
          <w:rFonts w:ascii="Times New Roman" w:hAnsi="Times New Roman"/>
          <w:szCs w:val="22"/>
          <w:lang w:val="en-AU"/>
        </w:rPr>
        <w:t>we have</w:t>
      </w:r>
      <w:r w:rsidRPr="008373D1">
        <w:rPr>
          <w:rFonts w:ascii="Times New Roman" w:hAnsi="Times New Roman"/>
          <w:szCs w:val="22"/>
          <w:lang w:val="en-AU"/>
        </w:rPr>
        <w:t xml:space="preserve"> demonstrated that the supermarket </w:t>
      </w:r>
      <w:r>
        <w:rPr>
          <w:rFonts w:ascii="Times New Roman" w:hAnsi="Times New Roman"/>
          <w:szCs w:val="22"/>
          <w:lang w:val="en-AU"/>
        </w:rPr>
        <w:t xml:space="preserve">and liquor </w:t>
      </w:r>
      <w:r w:rsidRPr="008373D1">
        <w:rPr>
          <w:rFonts w:ascii="Times New Roman" w:hAnsi="Times New Roman"/>
          <w:szCs w:val="22"/>
          <w:lang w:val="en-AU"/>
        </w:rPr>
        <w:t xml:space="preserve">industry is dominated by a duopoly that has significant </w:t>
      </w:r>
      <w:r>
        <w:rPr>
          <w:rFonts w:ascii="Times New Roman" w:hAnsi="Times New Roman"/>
          <w:szCs w:val="22"/>
          <w:lang w:val="en-AU"/>
        </w:rPr>
        <w:t xml:space="preserve">market </w:t>
      </w:r>
      <w:r w:rsidRPr="008373D1">
        <w:rPr>
          <w:rFonts w:ascii="Times New Roman" w:hAnsi="Times New Roman"/>
          <w:szCs w:val="22"/>
          <w:lang w:val="en-AU"/>
        </w:rPr>
        <w:t xml:space="preserve">power due to its sheer size and ability to </w:t>
      </w:r>
      <w:r>
        <w:rPr>
          <w:rFonts w:ascii="Times New Roman" w:hAnsi="Times New Roman"/>
          <w:szCs w:val="22"/>
          <w:lang w:val="en-AU"/>
        </w:rPr>
        <w:t xml:space="preserve">engage in exclusionary conduct and therefore </w:t>
      </w:r>
      <w:r w:rsidRPr="008373D1">
        <w:rPr>
          <w:rFonts w:ascii="Times New Roman" w:hAnsi="Times New Roman"/>
          <w:szCs w:val="22"/>
          <w:lang w:val="en-AU"/>
        </w:rPr>
        <w:t>exert its strength to the point that it will eventually eliminate its rivals</w:t>
      </w:r>
      <w:r>
        <w:rPr>
          <w:rFonts w:ascii="Times New Roman" w:hAnsi="Times New Roman"/>
          <w:szCs w:val="22"/>
          <w:lang w:val="en-AU"/>
        </w:rPr>
        <w:t xml:space="preserve"> unless changes to competition laws are implemented.</w:t>
      </w:r>
      <w:r w:rsidRPr="008373D1">
        <w:rPr>
          <w:rFonts w:ascii="Times New Roman" w:hAnsi="Times New Roman"/>
          <w:szCs w:val="22"/>
          <w:lang w:val="en-AU"/>
        </w:rPr>
        <w:t xml:space="preserve">. </w:t>
      </w:r>
    </w:p>
    <w:p w:rsidR="00685EBC" w:rsidRPr="004F56CB"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There is demonstrable evidence of smaller rivals being damaged as a result of an exertion of market power </w:t>
      </w:r>
      <w:r>
        <w:rPr>
          <w:rFonts w:ascii="Times New Roman" w:hAnsi="Times New Roman"/>
          <w:szCs w:val="22"/>
          <w:lang w:val="en-AU"/>
        </w:rPr>
        <w:t>by larger businesses</w:t>
      </w:r>
      <w:r>
        <w:rPr>
          <w:rStyle w:val="FootnoteReference"/>
          <w:rFonts w:ascii="Times New Roman" w:hAnsi="Times New Roman"/>
          <w:szCs w:val="22"/>
          <w:lang w:val="en-AU"/>
        </w:rPr>
        <w:footnoteReference w:id="2"/>
      </w:r>
      <w:r>
        <w:rPr>
          <w:rFonts w:ascii="Times New Roman" w:hAnsi="Times New Roman"/>
          <w:szCs w:val="22"/>
          <w:lang w:val="en-AU"/>
        </w:rPr>
        <w:t xml:space="preserve">. </w:t>
      </w:r>
      <w:r w:rsidRPr="000D2161">
        <w:rPr>
          <w:rFonts w:ascii="Times New Roman" w:hAnsi="Times New Roman"/>
          <w:szCs w:val="22"/>
          <w:lang w:val="en-AU"/>
        </w:rPr>
        <w:t xml:space="preserve">It is this superior </w:t>
      </w:r>
      <w:r>
        <w:rPr>
          <w:rFonts w:ascii="Times New Roman" w:hAnsi="Times New Roman"/>
          <w:szCs w:val="22"/>
          <w:lang w:val="en-AU"/>
        </w:rPr>
        <w:t xml:space="preserve">and dominant </w:t>
      </w:r>
      <w:r w:rsidRPr="000D2161">
        <w:rPr>
          <w:rFonts w:ascii="Times New Roman" w:hAnsi="Times New Roman"/>
          <w:szCs w:val="22"/>
          <w:lang w:val="en-AU"/>
        </w:rPr>
        <w:t>control of the market</w:t>
      </w:r>
      <w:r>
        <w:rPr>
          <w:rStyle w:val="FootnoteReference"/>
          <w:rFonts w:ascii="Times New Roman" w:hAnsi="Times New Roman"/>
          <w:szCs w:val="22"/>
          <w:lang w:val="en-AU"/>
        </w:rPr>
        <w:footnoteReference w:id="3"/>
      </w:r>
      <w:r w:rsidRPr="000D2161">
        <w:rPr>
          <w:rFonts w:ascii="Times New Roman" w:hAnsi="Times New Roman"/>
          <w:szCs w:val="22"/>
          <w:lang w:val="en-AU"/>
        </w:rPr>
        <w:t xml:space="preserve"> that MGA submits is both detrimental and economically damaging </w:t>
      </w:r>
      <w:r>
        <w:rPr>
          <w:rFonts w:ascii="Times New Roman" w:hAnsi="Times New Roman"/>
          <w:szCs w:val="22"/>
          <w:lang w:val="en-AU"/>
        </w:rPr>
        <w:t xml:space="preserve">and is increasingly jeopardising </w:t>
      </w:r>
      <w:r w:rsidRPr="000D2161">
        <w:rPr>
          <w:rFonts w:ascii="Times New Roman" w:hAnsi="Times New Roman"/>
          <w:szCs w:val="22"/>
          <w:lang w:val="en-AU"/>
        </w:rPr>
        <w:t xml:space="preserve">competition in the retail industry. Either, or both, of the two major retailers </w:t>
      </w:r>
      <w:r>
        <w:rPr>
          <w:rFonts w:ascii="Times New Roman" w:hAnsi="Times New Roman"/>
          <w:szCs w:val="22"/>
          <w:lang w:val="en-AU"/>
        </w:rPr>
        <w:t xml:space="preserve">in Australia </w:t>
      </w:r>
      <w:r w:rsidRPr="000D2161">
        <w:rPr>
          <w:rFonts w:ascii="Times New Roman" w:hAnsi="Times New Roman"/>
          <w:szCs w:val="22"/>
          <w:lang w:val="en-AU"/>
        </w:rPr>
        <w:t xml:space="preserve">has at some stage in the last decade engaged in some form of </w:t>
      </w:r>
      <w:r>
        <w:rPr>
          <w:rFonts w:ascii="Times New Roman" w:hAnsi="Times New Roman"/>
          <w:szCs w:val="22"/>
          <w:lang w:val="en-AU"/>
        </w:rPr>
        <w:t>exclusionary conduct and this will continue under the current law.</w:t>
      </w:r>
    </w:p>
    <w:p w:rsidR="00685EBC" w:rsidRPr="00EA38EA" w:rsidRDefault="00685EBC" w:rsidP="00685EBC">
      <w:pPr>
        <w:pStyle w:val="ListParagraph"/>
        <w:numPr>
          <w:ilvl w:val="0"/>
          <w:numId w:val="20"/>
        </w:numPr>
        <w:spacing w:line="360" w:lineRule="auto"/>
        <w:jc w:val="both"/>
        <w:rPr>
          <w:rFonts w:ascii="Times New Roman" w:hAnsi="Times New Roman"/>
          <w:b/>
          <w:i/>
          <w:sz w:val="20"/>
          <w:szCs w:val="20"/>
          <w:lang w:val="en-AU"/>
        </w:rPr>
      </w:pPr>
      <w:r>
        <w:rPr>
          <w:rFonts w:ascii="Times New Roman" w:hAnsi="Times New Roman"/>
          <w:szCs w:val="22"/>
          <w:lang w:val="en-AU"/>
        </w:rPr>
        <w:t>E</w:t>
      </w:r>
      <w:r w:rsidRPr="00EA38EA">
        <w:rPr>
          <w:rFonts w:ascii="Times New Roman" w:hAnsi="Times New Roman"/>
          <w:szCs w:val="22"/>
          <w:lang w:val="en-AU"/>
        </w:rPr>
        <w:t xml:space="preserve">xamples of bigger retailers </w:t>
      </w:r>
      <w:r>
        <w:rPr>
          <w:rFonts w:ascii="Times New Roman" w:hAnsi="Times New Roman"/>
          <w:szCs w:val="22"/>
          <w:lang w:val="en-AU"/>
        </w:rPr>
        <w:t xml:space="preserve">engaging in conduct </w:t>
      </w:r>
      <w:r w:rsidRPr="00EA38EA">
        <w:rPr>
          <w:rFonts w:ascii="Times New Roman" w:hAnsi="Times New Roman"/>
          <w:szCs w:val="22"/>
          <w:lang w:val="en-AU"/>
        </w:rPr>
        <w:t>such as building loss making stores and cross subsidising them until there is surrounding increased population growth. There are examples of suppliers being controlled and squeezed by the larger supermarkets and lower prices being introduced at the cost of other retailers being denied access to supplies. Price reductions on certain items that may seem beneficial to the consumers initially but are economically damaging when other prices are increased for other commodities in their stores. There is also the consequent effect on the suppliers of the goods. Over extensive periods of time the two large chains have been able to persuade farmers into contractual relationships where they have supplied exclusively to one retailer. It has only surfaced in the last few years that exertion had been placed on supplier</w:t>
      </w:r>
      <w:r>
        <w:rPr>
          <w:rFonts w:ascii="Times New Roman" w:hAnsi="Times New Roman"/>
          <w:szCs w:val="22"/>
          <w:lang w:val="en-AU"/>
        </w:rPr>
        <w:t>s to enter into such contracts. Such activities must impact on the sustainability of the other less powerful retailers who are legally able to challenge such actions but the current law does not provide hope for a successful outcome.</w:t>
      </w:r>
    </w:p>
    <w:p w:rsidR="00685EBC" w:rsidRPr="00EA38EA" w:rsidRDefault="00685EBC" w:rsidP="00685EBC">
      <w:pPr>
        <w:pStyle w:val="ListParagraph"/>
        <w:numPr>
          <w:ilvl w:val="0"/>
          <w:numId w:val="20"/>
        </w:numPr>
        <w:spacing w:line="360" w:lineRule="auto"/>
        <w:jc w:val="both"/>
        <w:rPr>
          <w:rFonts w:ascii="Times New Roman" w:hAnsi="Times New Roman"/>
          <w:b/>
          <w:i/>
          <w:sz w:val="20"/>
          <w:szCs w:val="20"/>
          <w:lang w:val="en-AU"/>
        </w:rPr>
      </w:pPr>
      <w:r w:rsidRPr="00EA38EA">
        <w:rPr>
          <w:rFonts w:ascii="Times New Roman" w:hAnsi="Times New Roman"/>
          <w:szCs w:val="22"/>
          <w:lang w:val="en-AU"/>
        </w:rPr>
        <w:t xml:space="preserve">Land banking is another example of detrimental and economically damaging activity. This has regularly happened in country towns where tracts of land have been purchased with the clear intention of preventing expansion of smaller stores. This, and other activities, that foster the growth of one dominant company in the market place distorts the market and stifles genuine competition. </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sidRPr="000D2161">
        <w:rPr>
          <w:rFonts w:ascii="Times New Roman" w:hAnsi="Times New Roman"/>
          <w:szCs w:val="22"/>
          <w:lang w:val="en-AU"/>
        </w:rPr>
        <w:t>Section 46 in i</w:t>
      </w:r>
      <w:r>
        <w:rPr>
          <w:rFonts w:ascii="Times New Roman" w:hAnsi="Times New Roman"/>
          <w:szCs w:val="22"/>
          <w:lang w:val="en-AU"/>
        </w:rPr>
        <w:t>ts current form is inadequate in</w:t>
      </w:r>
      <w:r w:rsidRPr="000D2161">
        <w:rPr>
          <w:rFonts w:ascii="Times New Roman" w:hAnsi="Times New Roman"/>
          <w:szCs w:val="22"/>
          <w:lang w:val="en-AU"/>
        </w:rPr>
        <w:t xml:space="preserve"> protect</w:t>
      </w:r>
      <w:r>
        <w:rPr>
          <w:rFonts w:ascii="Times New Roman" w:hAnsi="Times New Roman"/>
          <w:szCs w:val="22"/>
          <w:lang w:val="en-AU"/>
        </w:rPr>
        <w:t>ing</w:t>
      </w:r>
      <w:r w:rsidRPr="000D2161">
        <w:rPr>
          <w:rFonts w:ascii="Times New Roman" w:hAnsi="Times New Roman"/>
          <w:szCs w:val="22"/>
          <w:lang w:val="en-AU"/>
        </w:rPr>
        <w:t xml:space="preserve"> the </w:t>
      </w:r>
      <w:r>
        <w:rPr>
          <w:rFonts w:ascii="Times New Roman" w:hAnsi="Times New Roman"/>
          <w:szCs w:val="22"/>
          <w:lang w:val="en-AU"/>
        </w:rPr>
        <w:t>competitive process</w:t>
      </w:r>
      <w:r w:rsidRPr="000D2161">
        <w:rPr>
          <w:rFonts w:ascii="Times New Roman" w:hAnsi="Times New Roman"/>
          <w:szCs w:val="22"/>
          <w:lang w:val="en-AU"/>
        </w:rPr>
        <w:t>. Judicial decisions demonstrate that</w:t>
      </w:r>
      <w:r>
        <w:rPr>
          <w:rFonts w:ascii="Times New Roman" w:hAnsi="Times New Roman"/>
          <w:szCs w:val="22"/>
          <w:lang w:val="en-AU"/>
        </w:rPr>
        <w:t xml:space="preserve"> it is </w:t>
      </w:r>
      <w:r w:rsidRPr="000D2161">
        <w:rPr>
          <w:rFonts w:ascii="Times New Roman" w:hAnsi="Times New Roman"/>
          <w:szCs w:val="22"/>
          <w:lang w:val="en-AU"/>
        </w:rPr>
        <w:t>extremely difficult to prove that a firm with a substantial degree of market power</w:t>
      </w:r>
      <w:r>
        <w:rPr>
          <w:rFonts w:ascii="Times New Roman" w:hAnsi="Times New Roman"/>
          <w:szCs w:val="22"/>
          <w:lang w:val="en-AU"/>
        </w:rPr>
        <w:t xml:space="preserve">, that has the ability to engage in these activities, </w:t>
      </w:r>
      <w:r w:rsidRPr="000D2161">
        <w:rPr>
          <w:rFonts w:ascii="Times New Roman" w:hAnsi="Times New Roman"/>
          <w:szCs w:val="22"/>
          <w:lang w:val="en-AU"/>
        </w:rPr>
        <w:t xml:space="preserve">has taken advantage of </w:t>
      </w:r>
      <w:r>
        <w:rPr>
          <w:rFonts w:ascii="Times New Roman" w:hAnsi="Times New Roman"/>
          <w:szCs w:val="22"/>
          <w:lang w:val="en-AU"/>
        </w:rPr>
        <w:t>its</w:t>
      </w:r>
      <w:r w:rsidRPr="000D2161">
        <w:rPr>
          <w:rFonts w:ascii="Times New Roman" w:hAnsi="Times New Roman"/>
          <w:szCs w:val="22"/>
          <w:lang w:val="en-AU"/>
        </w:rPr>
        <w:t xml:space="preserve"> power in the market. Courts have consistently held that the law in its current form does not prevent a firm from flexing its market power muscle to the detriment of its weaker rivals</w:t>
      </w:r>
      <w:r>
        <w:rPr>
          <w:rStyle w:val="FootnoteReference"/>
          <w:rFonts w:ascii="Times New Roman" w:hAnsi="Times New Roman"/>
          <w:szCs w:val="22"/>
          <w:lang w:val="en-AU"/>
        </w:rPr>
        <w:footnoteReference w:id="4"/>
      </w:r>
      <w:r w:rsidRPr="000D2161">
        <w:rPr>
          <w:rFonts w:ascii="Times New Roman" w:hAnsi="Times New Roman"/>
          <w:szCs w:val="22"/>
          <w:lang w:val="en-AU"/>
        </w:rPr>
        <w:t xml:space="preserve">. Under the current law </w:t>
      </w:r>
      <w:r>
        <w:rPr>
          <w:rFonts w:ascii="Times New Roman" w:hAnsi="Times New Roman"/>
          <w:szCs w:val="22"/>
          <w:lang w:val="en-AU"/>
        </w:rPr>
        <w:t>a powerful market participant is</w:t>
      </w:r>
      <w:r w:rsidRPr="000D2161">
        <w:rPr>
          <w:rFonts w:ascii="Times New Roman" w:hAnsi="Times New Roman"/>
          <w:szCs w:val="22"/>
          <w:lang w:val="en-AU"/>
        </w:rPr>
        <w:t xml:space="preserve"> </w:t>
      </w:r>
      <w:r>
        <w:rPr>
          <w:rFonts w:ascii="Times New Roman" w:hAnsi="Times New Roman"/>
          <w:szCs w:val="22"/>
          <w:lang w:val="en-AU"/>
        </w:rPr>
        <w:t>justified in exerting</w:t>
      </w:r>
      <w:r w:rsidRPr="000D2161">
        <w:rPr>
          <w:rFonts w:ascii="Times New Roman" w:hAnsi="Times New Roman"/>
          <w:szCs w:val="22"/>
          <w:lang w:val="en-AU"/>
        </w:rPr>
        <w:t xml:space="preserve"> its strength </w:t>
      </w:r>
      <w:r>
        <w:rPr>
          <w:rFonts w:ascii="Times New Roman" w:hAnsi="Times New Roman"/>
          <w:szCs w:val="22"/>
          <w:lang w:val="en-AU"/>
        </w:rPr>
        <w:t xml:space="preserve">and if </w:t>
      </w:r>
      <w:r w:rsidRPr="000D2161">
        <w:rPr>
          <w:rFonts w:ascii="Times New Roman" w:hAnsi="Times New Roman"/>
          <w:szCs w:val="22"/>
          <w:lang w:val="en-AU"/>
        </w:rPr>
        <w:t xml:space="preserve">the smaller </w:t>
      </w:r>
      <w:r>
        <w:rPr>
          <w:rFonts w:ascii="Times New Roman" w:hAnsi="Times New Roman"/>
          <w:szCs w:val="22"/>
          <w:lang w:val="en-AU"/>
        </w:rPr>
        <w:t xml:space="preserve">( or any) </w:t>
      </w:r>
      <w:r w:rsidRPr="000D2161">
        <w:rPr>
          <w:rFonts w:ascii="Times New Roman" w:hAnsi="Times New Roman"/>
          <w:szCs w:val="22"/>
          <w:lang w:val="en-AU"/>
        </w:rPr>
        <w:t xml:space="preserve">competitor </w:t>
      </w:r>
      <w:r>
        <w:rPr>
          <w:rFonts w:ascii="Times New Roman" w:hAnsi="Times New Roman"/>
          <w:szCs w:val="22"/>
          <w:lang w:val="en-AU"/>
        </w:rPr>
        <w:t>is</w:t>
      </w:r>
      <w:r w:rsidRPr="000D2161">
        <w:rPr>
          <w:rFonts w:ascii="Times New Roman" w:hAnsi="Times New Roman"/>
          <w:szCs w:val="22"/>
          <w:lang w:val="en-AU"/>
        </w:rPr>
        <w:t xml:space="preserve"> </w:t>
      </w:r>
      <w:r>
        <w:rPr>
          <w:rFonts w:ascii="Times New Roman" w:hAnsi="Times New Roman"/>
          <w:szCs w:val="22"/>
          <w:lang w:val="en-AU"/>
        </w:rPr>
        <w:t xml:space="preserve">not prevented from doing the same then the </w:t>
      </w:r>
      <w:r w:rsidRPr="000D2161">
        <w:rPr>
          <w:rFonts w:ascii="Times New Roman" w:hAnsi="Times New Roman"/>
          <w:szCs w:val="22"/>
          <w:lang w:val="en-AU"/>
        </w:rPr>
        <w:t xml:space="preserve">bigger rival </w:t>
      </w:r>
      <w:r>
        <w:rPr>
          <w:rFonts w:ascii="Times New Roman" w:hAnsi="Times New Roman"/>
          <w:szCs w:val="22"/>
          <w:lang w:val="en-AU"/>
        </w:rPr>
        <w:t xml:space="preserve">is said not </w:t>
      </w:r>
      <w:r w:rsidRPr="000D2161">
        <w:rPr>
          <w:rFonts w:ascii="Times New Roman" w:hAnsi="Times New Roman"/>
          <w:szCs w:val="22"/>
          <w:lang w:val="en-AU"/>
        </w:rPr>
        <w:t xml:space="preserve"> </w:t>
      </w:r>
      <w:r>
        <w:rPr>
          <w:rFonts w:ascii="Times New Roman" w:hAnsi="Times New Roman"/>
          <w:szCs w:val="22"/>
          <w:lang w:val="en-AU"/>
        </w:rPr>
        <w:t xml:space="preserve">to have </w:t>
      </w:r>
      <w:r w:rsidRPr="000D2161">
        <w:rPr>
          <w:rFonts w:ascii="Times New Roman" w:hAnsi="Times New Roman"/>
          <w:szCs w:val="22"/>
          <w:lang w:val="en-AU"/>
        </w:rPr>
        <w:t xml:space="preserve">taken advantage of its </w:t>
      </w:r>
      <w:r>
        <w:rPr>
          <w:rFonts w:ascii="Times New Roman" w:hAnsi="Times New Roman"/>
          <w:szCs w:val="22"/>
          <w:lang w:val="en-AU"/>
        </w:rPr>
        <w:t>market power.</w:t>
      </w:r>
      <w:r w:rsidRPr="000D2161">
        <w:rPr>
          <w:rFonts w:ascii="Times New Roman" w:hAnsi="Times New Roman"/>
          <w:szCs w:val="22"/>
          <w:lang w:val="en-AU"/>
        </w:rPr>
        <w:t xml:space="preserve"> </w:t>
      </w:r>
      <w:r>
        <w:rPr>
          <w:rFonts w:ascii="Times New Roman" w:hAnsi="Times New Roman"/>
          <w:szCs w:val="22"/>
          <w:lang w:val="en-AU"/>
        </w:rPr>
        <w:t>If the law in its current form is allowed to remain then the damaging economic fallout will continue and will lead to complete duopolistic power in the supermarket industry.</w:t>
      </w:r>
    </w:p>
    <w:p w:rsidR="00685EBC" w:rsidRPr="000D2161" w:rsidRDefault="00685EBC" w:rsidP="00685EBC">
      <w:pPr>
        <w:pStyle w:val="ListParagraph"/>
        <w:numPr>
          <w:ilvl w:val="0"/>
          <w:numId w:val="20"/>
        </w:numPr>
        <w:spacing w:line="360" w:lineRule="auto"/>
        <w:jc w:val="both"/>
        <w:rPr>
          <w:rFonts w:ascii="Times New Roman" w:hAnsi="Times New Roman"/>
          <w:szCs w:val="22"/>
          <w:lang w:val="en-AU"/>
        </w:rPr>
      </w:pPr>
      <w:r>
        <w:rPr>
          <w:rFonts w:ascii="Times New Roman" w:hAnsi="Times New Roman"/>
          <w:szCs w:val="22"/>
          <w:lang w:val="en-AU"/>
        </w:rPr>
        <w:t xml:space="preserve">MGA believes in and supports rigorous and robust competition and understands that all businesses, large and small have to compete vigorously on their merits to survive and prosper. However, that outcome can only be achieved by providing that exclusionary activities are disallowed if they substantially lessen competition. </w:t>
      </w:r>
    </w:p>
    <w:p w:rsidR="00685EBC" w:rsidRPr="00ED4129" w:rsidRDefault="00685EBC" w:rsidP="00685EBC">
      <w:pPr>
        <w:spacing w:line="360" w:lineRule="auto"/>
        <w:jc w:val="both"/>
        <w:rPr>
          <w:rFonts w:ascii="Times New Roman" w:hAnsi="Times New Roman"/>
          <w:b/>
          <w:i/>
          <w:szCs w:val="22"/>
          <w:lang w:val="en-AU"/>
        </w:rPr>
      </w:pPr>
      <w:r w:rsidRPr="00ED4129">
        <w:rPr>
          <w:rFonts w:ascii="Times New Roman" w:hAnsi="Times New Roman"/>
          <w:b/>
          <w:i/>
          <w:szCs w:val="22"/>
          <w:lang w:val="en-AU"/>
        </w:rPr>
        <w:t>Question 2.</w:t>
      </w:r>
    </w:p>
    <w:p w:rsidR="00685EBC" w:rsidRPr="00A2387B" w:rsidRDefault="00685EBC" w:rsidP="00685EBC">
      <w:pPr>
        <w:spacing w:line="360" w:lineRule="auto"/>
        <w:jc w:val="both"/>
        <w:rPr>
          <w:rFonts w:ascii="Times New Roman" w:hAnsi="Times New Roman"/>
          <w:b/>
          <w:i/>
          <w:sz w:val="20"/>
          <w:szCs w:val="20"/>
          <w:lang w:val="en-AU"/>
        </w:rPr>
      </w:pPr>
      <w:r w:rsidRPr="00A2387B">
        <w:rPr>
          <w:rFonts w:ascii="Times New Roman" w:hAnsi="Times New Roman"/>
          <w:b/>
          <w:i/>
          <w:sz w:val="20"/>
          <w:szCs w:val="20"/>
          <w:lang w:val="en-AU"/>
        </w:rPr>
        <w:t>What are examples of conduct that may be procompetitive that could be captured under the Harper panel’s proposals?</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sidRPr="000D2161">
        <w:rPr>
          <w:rFonts w:ascii="Times New Roman" w:hAnsi="Times New Roman"/>
          <w:szCs w:val="22"/>
          <w:lang w:val="en-AU"/>
        </w:rPr>
        <w:t xml:space="preserve">At no time </w:t>
      </w:r>
      <w:r>
        <w:rPr>
          <w:rFonts w:ascii="Times New Roman" w:hAnsi="Times New Roman"/>
          <w:szCs w:val="22"/>
          <w:lang w:val="en-AU"/>
        </w:rPr>
        <w:t>has</w:t>
      </w:r>
      <w:r w:rsidRPr="000D2161">
        <w:rPr>
          <w:rFonts w:ascii="Times New Roman" w:hAnsi="Times New Roman"/>
          <w:szCs w:val="22"/>
          <w:lang w:val="en-AU"/>
        </w:rPr>
        <w:t xml:space="preserve"> MGA disagree</w:t>
      </w:r>
      <w:r>
        <w:rPr>
          <w:rFonts w:ascii="Times New Roman" w:hAnsi="Times New Roman"/>
          <w:szCs w:val="22"/>
          <w:lang w:val="en-AU"/>
        </w:rPr>
        <w:t>d</w:t>
      </w:r>
      <w:r w:rsidRPr="000D2161">
        <w:rPr>
          <w:rFonts w:ascii="Times New Roman" w:hAnsi="Times New Roman"/>
          <w:szCs w:val="22"/>
          <w:lang w:val="en-AU"/>
        </w:rPr>
        <w:t xml:space="preserve"> with the right of a business to grow on its merits. We recognise that all competition involves participants engaging in the need to be ruthless where necessary, as part of a combative, competitive process. Small businesses want to be part of that process. However, MGA is seeking that the competitive process for large or small businesses is fair at all times.</w:t>
      </w:r>
    </w:p>
    <w:p w:rsidR="00685EBC" w:rsidRDefault="00685EBC" w:rsidP="00685EBC">
      <w:pPr>
        <w:pStyle w:val="ListParagraph"/>
        <w:numPr>
          <w:ilvl w:val="0"/>
          <w:numId w:val="20"/>
        </w:numPr>
        <w:spacing w:line="360" w:lineRule="auto"/>
        <w:ind w:left="426" w:hanging="426"/>
        <w:jc w:val="both"/>
        <w:rPr>
          <w:rFonts w:ascii="Times New Roman" w:hAnsi="Times New Roman"/>
          <w:szCs w:val="22"/>
          <w:lang w:val="en-AU"/>
        </w:rPr>
      </w:pPr>
      <w:r w:rsidRPr="000D2161">
        <w:rPr>
          <w:rFonts w:ascii="Times New Roman" w:hAnsi="Times New Roman"/>
          <w:szCs w:val="22"/>
          <w:lang w:val="en-AU"/>
        </w:rPr>
        <w:t xml:space="preserve">The proposed changes to the legislation by the Harper Panel will not mean that </w:t>
      </w:r>
      <w:r>
        <w:rPr>
          <w:rFonts w:ascii="Times New Roman" w:hAnsi="Times New Roman"/>
          <w:szCs w:val="22"/>
          <w:lang w:val="en-AU"/>
        </w:rPr>
        <w:t>Wesfarmers or</w:t>
      </w:r>
      <w:r w:rsidRPr="000D2161">
        <w:rPr>
          <w:rFonts w:ascii="Times New Roman" w:hAnsi="Times New Roman"/>
          <w:szCs w:val="22"/>
          <w:lang w:val="en-AU"/>
        </w:rPr>
        <w:t xml:space="preserve"> Woolworths could not continue to engage in competition by opening new stores or reducing their prices or adopting any other competitive measure that they believe is appropriate for their business growth. However, the legislative changes would mean that their actions, just like any other business, would be considered in the light of whether the larger competitor had the purpose or intent to use their strength that could effectively damage the competitive process and the rights of consumers.</w:t>
      </w:r>
    </w:p>
    <w:p w:rsidR="00685EBC" w:rsidRDefault="00685EBC" w:rsidP="00685EBC">
      <w:pPr>
        <w:pStyle w:val="ListParagraph"/>
        <w:numPr>
          <w:ilvl w:val="0"/>
          <w:numId w:val="20"/>
        </w:numPr>
        <w:spacing w:line="360" w:lineRule="auto"/>
        <w:ind w:left="426"/>
        <w:jc w:val="both"/>
        <w:rPr>
          <w:rFonts w:ascii="Times New Roman" w:hAnsi="Times New Roman"/>
          <w:szCs w:val="22"/>
          <w:lang w:val="en-AU"/>
        </w:rPr>
      </w:pPr>
      <w:r w:rsidRPr="000D2161">
        <w:rPr>
          <w:rFonts w:ascii="Times New Roman" w:hAnsi="Times New Roman"/>
          <w:szCs w:val="22"/>
          <w:lang w:val="en-AU"/>
        </w:rPr>
        <w:t xml:space="preserve">The supermarket duopoly will undoubtedly wish to continue its growth and is entitled to do so but it is submitted that new laws, if implemented, are more likely to temper that growth because there would be a more competitive environment. The supermarket duopoly has a substantial degree of market power already but if it engages in cross subsidization, or land banking or building oversize supermarkets in towns that already have more than adequate food outlets, which have a purpose or are likely to have the effect of lessening competition, then the proposed law is far more likely to enable these </w:t>
      </w:r>
      <w:r>
        <w:rPr>
          <w:rFonts w:ascii="Times New Roman" w:hAnsi="Times New Roman"/>
          <w:szCs w:val="22"/>
          <w:lang w:val="en-AU"/>
        </w:rPr>
        <w:t xml:space="preserve">exclusionary </w:t>
      </w:r>
      <w:r w:rsidRPr="000D2161">
        <w:rPr>
          <w:rFonts w:ascii="Times New Roman" w:hAnsi="Times New Roman"/>
          <w:szCs w:val="22"/>
          <w:lang w:val="en-AU"/>
        </w:rPr>
        <w:t xml:space="preserve">practices to be </w:t>
      </w:r>
      <w:r>
        <w:rPr>
          <w:rFonts w:ascii="Times New Roman" w:hAnsi="Times New Roman"/>
          <w:szCs w:val="22"/>
          <w:lang w:val="en-AU"/>
        </w:rPr>
        <w:t>considered as anti-competitive</w:t>
      </w:r>
      <w:r w:rsidRPr="000D2161">
        <w:rPr>
          <w:rFonts w:ascii="Times New Roman" w:hAnsi="Times New Roman"/>
          <w:szCs w:val="22"/>
          <w:lang w:val="en-AU"/>
        </w:rPr>
        <w:t xml:space="preserve">. </w:t>
      </w:r>
    </w:p>
    <w:p w:rsidR="00685EBC" w:rsidRDefault="00685EBC" w:rsidP="00685EBC">
      <w:pPr>
        <w:pStyle w:val="ListParagraph"/>
        <w:numPr>
          <w:ilvl w:val="0"/>
          <w:numId w:val="20"/>
        </w:numPr>
        <w:spacing w:line="360" w:lineRule="auto"/>
        <w:ind w:left="426"/>
        <w:jc w:val="both"/>
        <w:rPr>
          <w:rFonts w:ascii="Times New Roman" w:hAnsi="Times New Roman"/>
          <w:szCs w:val="22"/>
          <w:lang w:val="en-AU"/>
        </w:rPr>
      </w:pPr>
      <w:r w:rsidRPr="000D2161">
        <w:rPr>
          <w:rFonts w:ascii="Times New Roman" w:hAnsi="Times New Roman"/>
          <w:szCs w:val="22"/>
          <w:lang w:val="en-AU"/>
        </w:rPr>
        <w:t xml:space="preserve">Proponents of leaving the current law as it currently stands are well aware of the plethora of legal decisions on the current Section 46. The result of those decisions </w:t>
      </w:r>
      <w:r>
        <w:rPr>
          <w:rFonts w:ascii="Times New Roman" w:hAnsi="Times New Roman"/>
          <w:szCs w:val="22"/>
          <w:lang w:val="en-AU"/>
        </w:rPr>
        <w:t xml:space="preserve">is to leave a business that knows that it is plagued by an unfair competitive process and therefore does not have any alternative but to fold. This </w:t>
      </w:r>
      <w:r w:rsidRPr="000D2161">
        <w:rPr>
          <w:rFonts w:ascii="Times New Roman" w:hAnsi="Times New Roman"/>
          <w:szCs w:val="22"/>
          <w:lang w:val="en-AU"/>
        </w:rPr>
        <w:t xml:space="preserve">raises the question as to why we should leave the law as it is and allow this lack of </w:t>
      </w:r>
      <w:r>
        <w:rPr>
          <w:rFonts w:ascii="Times New Roman" w:hAnsi="Times New Roman"/>
          <w:szCs w:val="22"/>
          <w:lang w:val="en-AU"/>
        </w:rPr>
        <w:t>ability to challenge a powerful competitor</w:t>
      </w:r>
      <w:r w:rsidRPr="000D2161">
        <w:rPr>
          <w:rFonts w:ascii="Times New Roman" w:hAnsi="Times New Roman"/>
          <w:szCs w:val="22"/>
          <w:lang w:val="en-AU"/>
        </w:rPr>
        <w:t xml:space="preserve"> to persist?</w:t>
      </w:r>
      <w:r>
        <w:rPr>
          <w:rFonts w:ascii="Times New Roman" w:hAnsi="Times New Roman"/>
          <w:szCs w:val="22"/>
          <w:lang w:val="en-AU"/>
        </w:rPr>
        <w:t xml:space="preserve"> </w:t>
      </w:r>
      <w:r w:rsidRPr="000D2161">
        <w:rPr>
          <w:rFonts w:ascii="Times New Roman" w:hAnsi="Times New Roman"/>
          <w:szCs w:val="22"/>
          <w:lang w:val="en-AU"/>
        </w:rPr>
        <w:t>The proposed amendment</w:t>
      </w:r>
      <w:r>
        <w:rPr>
          <w:rFonts w:ascii="Times New Roman" w:hAnsi="Times New Roman"/>
          <w:szCs w:val="22"/>
          <w:lang w:val="en-AU"/>
        </w:rPr>
        <w:t>s to S.</w:t>
      </w:r>
      <w:r w:rsidRPr="000D2161">
        <w:rPr>
          <w:rFonts w:ascii="Times New Roman" w:hAnsi="Times New Roman"/>
          <w:szCs w:val="22"/>
          <w:lang w:val="en-AU"/>
        </w:rPr>
        <w:t xml:space="preserve">46 which include the removal of the ‘take advantage’ limb and introduce an effects test are not new proposals, they have been debated in Senate enquiries on numerous occasions and they </w:t>
      </w:r>
      <w:r>
        <w:rPr>
          <w:rFonts w:ascii="Times New Roman" w:hAnsi="Times New Roman"/>
          <w:szCs w:val="22"/>
          <w:lang w:val="en-AU"/>
        </w:rPr>
        <w:t>have</w:t>
      </w:r>
      <w:r w:rsidRPr="000D2161">
        <w:rPr>
          <w:rFonts w:ascii="Times New Roman" w:hAnsi="Times New Roman"/>
          <w:szCs w:val="22"/>
          <w:lang w:val="en-AU"/>
        </w:rPr>
        <w:t xml:space="preserve"> been in existence in other jurisdictions around the world for years, which makes the proposals for reform a high priority if we are to provide for a more prosperous economy and a fairer competitive environment. </w:t>
      </w:r>
    </w:p>
    <w:p w:rsidR="00685EBC" w:rsidRDefault="00685EBC" w:rsidP="00685EBC">
      <w:pPr>
        <w:pStyle w:val="ListParagraph"/>
        <w:spacing w:line="360" w:lineRule="auto"/>
        <w:ind w:left="360"/>
        <w:jc w:val="both"/>
        <w:rPr>
          <w:rFonts w:ascii="Times New Roman" w:hAnsi="Times New Roman"/>
          <w:szCs w:val="22"/>
          <w:lang w:val="en-AU"/>
        </w:rPr>
      </w:pPr>
    </w:p>
    <w:p w:rsidR="00685EBC" w:rsidRPr="000D2161" w:rsidRDefault="00685EBC" w:rsidP="00685EBC">
      <w:pPr>
        <w:spacing w:line="360" w:lineRule="auto"/>
        <w:jc w:val="both"/>
        <w:rPr>
          <w:rFonts w:ascii="Times New Roman" w:hAnsi="Times New Roman"/>
          <w:b/>
          <w:szCs w:val="22"/>
          <w:u w:val="single"/>
          <w:lang w:val="en-AU"/>
        </w:rPr>
      </w:pPr>
      <w:r w:rsidRPr="000D2161">
        <w:rPr>
          <w:rFonts w:ascii="Times New Roman" w:hAnsi="Times New Roman"/>
          <w:b/>
          <w:szCs w:val="22"/>
          <w:u w:val="single"/>
          <w:lang w:val="en-AU"/>
        </w:rPr>
        <w:t>Take Advantage</w:t>
      </w:r>
    </w:p>
    <w:p w:rsidR="00685EBC" w:rsidRPr="00A2387B" w:rsidRDefault="00685EBC" w:rsidP="00685EBC">
      <w:pPr>
        <w:spacing w:line="360" w:lineRule="auto"/>
        <w:jc w:val="both"/>
        <w:rPr>
          <w:rFonts w:ascii="Times New Roman" w:hAnsi="Times New Roman"/>
          <w:b/>
          <w:i/>
          <w:szCs w:val="22"/>
          <w:lang w:val="en-AU"/>
        </w:rPr>
      </w:pPr>
      <w:r w:rsidRPr="00A2387B">
        <w:rPr>
          <w:rFonts w:ascii="Times New Roman" w:hAnsi="Times New Roman"/>
          <w:b/>
          <w:i/>
          <w:szCs w:val="22"/>
          <w:lang w:val="en-AU"/>
        </w:rPr>
        <w:t>Questions 3/4/5</w:t>
      </w:r>
    </w:p>
    <w:p w:rsidR="00685EBC" w:rsidRPr="00A2387B" w:rsidRDefault="00685EBC" w:rsidP="00685EBC">
      <w:pPr>
        <w:spacing w:line="360" w:lineRule="auto"/>
        <w:jc w:val="both"/>
        <w:rPr>
          <w:rFonts w:ascii="Times New Roman" w:hAnsi="Times New Roman"/>
          <w:b/>
          <w:i/>
          <w:sz w:val="24"/>
          <w:lang w:val="en-AU"/>
        </w:rPr>
      </w:pPr>
      <w:r w:rsidRPr="00A2387B">
        <w:rPr>
          <w:rFonts w:ascii="Times New Roman" w:hAnsi="Times New Roman"/>
          <w:b/>
          <w:i/>
          <w:sz w:val="24"/>
          <w:lang w:val="en-AU"/>
        </w:rPr>
        <w:t xml:space="preserve">Question 3. Would removing the ‘take advantage’ limb from the provision improve the ability of the law to restrict behaviour by firms that would be economically damaging to competition? </w:t>
      </w:r>
    </w:p>
    <w:p w:rsidR="00685EBC" w:rsidRPr="000D2161" w:rsidRDefault="00685EBC" w:rsidP="00685EBC">
      <w:pPr>
        <w:pStyle w:val="ListParagraph"/>
        <w:numPr>
          <w:ilvl w:val="0"/>
          <w:numId w:val="20"/>
        </w:numPr>
        <w:spacing w:line="360" w:lineRule="auto"/>
        <w:jc w:val="both"/>
        <w:rPr>
          <w:rFonts w:ascii="Times New Roman" w:hAnsi="Times New Roman"/>
          <w:szCs w:val="22"/>
          <w:lang w:val="en-AU"/>
        </w:rPr>
      </w:pPr>
      <w:r w:rsidRPr="000D2161">
        <w:rPr>
          <w:rFonts w:ascii="Times New Roman" w:hAnsi="Times New Roman"/>
          <w:szCs w:val="22"/>
          <w:lang w:val="en-AU"/>
        </w:rPr>
        <w:t xml:space="preserve">MGA agrees with the proposal by the Harper Review to remove the words ‘take advantage’ from the current Section 46 in order to restrict behaviour that could otherwise be damaging to </w:t>
      </w:r>
      <w:r>
        <w:rPr>
          <w:rFonts w:ascii="Times New Roman" w:hAnsi="Times New Roman"/>
          <w:szCs w:val="22"/>
          <w:lang w:val="en-AU"/>
        </w:rPr>
        <w:t xml:space="preserve">competitive process and </w:t>
      </w:r>
      <w:r w:rsidRPr="000D2161">
        <w:rPr>
          <w:rFonts w:ascii="Times New Roman" w:hAnsi="Times New Roman"/>
          <w:szCs w:val="22"/>
          <w:lang w:val="en-AU"/>
        </w:rPr>
        <w:t>the Australian economy.</w:t>
      </w:r>
    </w:p>
    <w:p w:rsidR="00685EBC" w:rsidRPr="000D2161"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Currently for a prosecution to succeed where a firm has allegedly taken advantage of its market power there needs to be a causal connection between the market power of the firm and the particular conduct. However, proving that the firm with market power has </w:t>
      </w:r>
      <w:r w:rsidRPr="000D2161">
        <w:rPr>
          <w:rFonts w:ascii="Times New Roman" w:hAnsi="Times New Roman"/>
          <w:szCs w:val="22"/>
          <w:u w:val="single"/>
          <w:lang w:val="en-AU"/>
        </w:rPr>
        <w:t>actually used that</w:t>
      </w:r>
      <w:r w:rsidRPr="000D2161">
        <w:rPr>
          <w:rFonts w:ascii="Times New Roman" w:hAnsi="Times New Roman"/>
          <w:szCs w:val="22"/>
          <w:lang w:val="en-AU"/>
        </w:rPr>
        <w:t xml:space="preserve"> market power to the detriment of the firm that is without market power is difficult and has been the subject of much scrutiny by the Courts. There have been numerous examples of exclusionary behaviour including predatory pricing and land banking in the supermarket retail</w:t>
      </w:r>
      <w:r>
        <w:rPr>
          <w:rFonts w:ascii="Times New Roman" w:hAnsi="Times New Roman"/>
          <w:szCs w:val="22"/>
          <w:lang w:val="en-AU"/>
        </w:rPr>
        <w:t>, liquor and hardware</w:t>
      </w:r>
      <w:r w:rsidRPr="000D2161">
        <w:rPr>
          <w:rFonts w:ascii="Times New Roman" w:hAnsi="Times New Roman"/>
          <w:szCs w:val="22"/>
          <w:lang w:val="en-AU"/>
        </w:rPr>
        <w:t xml:space="preserve"> industr</w:t>
      </w:r>
      <w:r>
        <w:rPr>
          <w:rFonts w:ascii="Times New Roman" w:hAnsi="Times New Roman"/>
          <w:szCs w:val="22"/>
          <w:lang w:val="en-AU"/>
        </w:rPr>
        <w:t>ies</w:t>
      </w:r>
      <w:r w:rsidRPr="000D2161">
        <w:rPr>
          <w:rFonts w:ascii="Times New Roman" w:hAnsi="Times New Roman"/>
          <w:szCs w:val="22"/>
          <w:lang w:val="en-AU"/>
        </w:rPr>
        <w:t xml:space="preserve"> that have clearly been used with the intention of excluding businesses from the market</w:t>
      </w:r>
      <w:r>
        <w:rPr>
          <w:rFonts w:ascii="Times New Roman" w:hAnsi="Times New Roman"/>
          <w:szCs w:val="22"/>
          <w:lang w:val="en-AU"/>
        </w:rPr>
        <w:t>.</w:t>
      </w:r>
      <w:r w:rsidRPr="000D2161">
        <w:rPr>
          <w:rFonts w:ascii="Times New Roman" w:hAnsi="Times New Roman"/>
          <w:szCs w:val="22"/>
          <w:lang w:val="en-AU"/>
        </w:rPr>
        <w:t xml:space="preserve"> </w:t>
      </w:r>
      <w:r>
        <w:rPr>
          <w:rFonts w:ascii="Times New Roman" w:hAnsi="Times New Roman"/>
          <w:szCs w:val="22"/>
          <w:lang w:val="en-AU"/>
        </w:rPr>
        <w:t>Proving</w:t>
      </w:r>
      <w:r w:rsidRPr="000D2161">
        <w:rPr>
          <w:rFonts w:ascii="Times New Roman" w:hAnsi="Times New Roman"/>
          <w:szCs w:val="22"/>
          <w:lang w:val="en-AU"/>
        </w:rPr>
        <w:t xml:space="preserve"> that a business “took advantage “of </w:t>
      </w:r>
      <w:r>
        <w:rPr>
          <w:rFonts w:ascii="Times New Roman" w:hAnsi="Times New Roman"/>
          <w:szCs w:val="22"/>
          <w:lang w:val="en-AU"/>
        </w:rPr>
        <w:t xml:space="preserve">its </w:t>
      </w:r>
      <w:r w:rsidRPr="000D2161">
        <w:rPr>
          <w:rFonts w:ascii="Times New Roman" w:hAnsi="Times New Roman"/>
          <w:szCs w:val="22"/>
          <w:lang w:val="en-AU"/>
        </w:rPr>
        <w:t>market power to achieve that particular objective has been demonstrably problematic. The courts have concluded that if a firm with market power can perform what appears to be an aggressive act against its weaker rival and</w:t>
      </w:r>
      <w:r>
        <w:rPr>
          <w:rFonts w:ascii="Times New Roman" w:hAnsi="Times New Roman"/>
          <w:szCs w:val="22"/>
          <w:lang w:val="en-AU"/>
        </w:rPr>
        <w:t>,</w:t>
      </w:r>
      <w:r w:rsidRPr="000D2161">
        <w:rPr>
          <w:rFonts w:ascii="Times New Roman" w:hAnsi="Times New Roman"/>
          <w:szCs w:val="22"/>
          <w:lang w:val="en-AU"/>
        </w:rPr>
        <w:t xml:space="preserve"> on the face of it the aggrieved weaker firm was not prevented from taking the same action</w:t>
      </w:r>
      <w:r>
        <w:rPr>
          <w:rFonts w:ascii="Times New Roman" w:hAnsi="Times New Roman"/>
          <w:szCs w:val="22"/>
          <w:lang w:val="en-AU"/>
        </w:rPr>
        <w:t>,</w:t>
      </w:r>
      <w:r w:rsidRPr="000D2161">
        <w:rPr>
          <w:rFonts w:ascii="Times New Roman" w:hAnsi="Times New Roman"/>
          <w:szCs w:val="22"/>
          <w:lang w:val="en-AU"/>
        </w:rPr>
        <w:t xml:space="preserve"> then there is no assertion of </w:t>
      </w:r>
      <w:r>
        <w:rPr>
          <w:rFonts w:ascii="Times New Roman" w:hAnsi="Times New Roman"/>
          <w:szCs w:val="22"/>
          <w:lang w:val="en-AU"/>
        </w:rPr>
        <w:t>‘taking advantage’.</w:t>
      </w:r>
    </w:p>
    <w:p w:rsidR="00685EBC" w:rsidRPr="000D2161"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The case law</w:t>
      </w:r>
      <w:r>
        <w:rPr>
          <w:rStyle w:val="FootnoteReference"/>
          <w:rFonts w:ascii="Times New Roman" w:hAnsi="Times New Roman"/>
          <w:szCs w:val="22"/>
          <w:lang w:val="en-AU"/>
        </w:rPr>
        <w:footnoteReference w:id="5"/>
      </w:r>
      <w:r w:rsidRPr="000D2161">
        <w:rPr>
          <w:rFonts w:ascii="Times New Roman" w:hAnsi="Times New Roman"/>
          <w:szCs w:val="22"/>
          <w:lang w:val="en-AU"/>
        </w:rPr>
        <w:t xml:space="preserve"> that exists in relation to the </w:t>
      </w:r>
      <w:r>
        <w:rPr>
          <w:rFonts w:ascii="Times New Roman" w:hAnsi="Times New Roman"/>
          <w:szCs w:val="22"/>
          <w:lang w:val="en-AU"/>
        </w:rPr>
        <w:t xml:space="preserve">use </w:t>
      </w:r>
      <w:r w:rsidRPr="000D2161">
        <w:rPr>
          <w:rFonts w:ascii="Times New Roman" w:hAnsi="Times New Roman"/>
          <w:szCs w:val="22"/>
          <w:lang w:val="en-AU"/>
        </w:rPr>
        <w:t xml:space="preserve">of the words ‘take advantage’ </w:t>
      </w:r>
      <w:r>
        <w:rPr>
          <w:rFonts w:ascii="Times New Roman" w:hAnsi="Times New Roman"/>
          <w:szCs w:val="22"/>
          <w:lang w:val="en-AU"/>
        </w:rPr>
        <w:t>in S 46 were analysed in the Harper R</w:t>
      </w:r>
      <w:r w:rsidRPr="000D2161">
        <w:rPr>
          <w:rFonts w:ascii="Times New Roman" w:hAnsi="Times New Roman"/>
          <w:szCs w:val="22"/>
          <w:lang w:val="en-AU"/>
        </w:rPr>
        <w:t>eview</w:t>
      </w:r>
      <w:r>
        <w:rPr>
          <w:rFonts w:ascii="Times New Roman" w:hAnsi="Times New Roman"/>
          <w:szCs w:val="22"/>
          <w:lang w:val="en-AU"/>
        </w:rPr>
        <w:t>.</w:t>
      </w:r>
      <w:r w:rsidRPr="000D2161">
        <w:rPr>
          <w:rFonts w:ascii="Times New Roman" w:hAnsi="Times New Roman"/>
          <w:szCs w:val="22"/>
          <w:lang w:val="en-AU"/>
        </w:rPr>
        <w:t xml:space="preserve"> The </w:t>
      </w:r>
      <w:r>
        <w:rPr>
          <w:rFonts w:ascii="Times New Roman" w:hAnsi="Times New Roman"/>
          <w:szCs w:val="22"/>
          <w:lang w:val="en-AU"/>
        </w:rPr>
        <w:t>law</w:t>
      </w:r>
      <w:r w:rsidRPr="000D2161">
        <w:rPr>
          <w:rFonts w:ascii="Times New Roman" w:hAnsi="Times New Roman"/>
          <w:szCs w:val="22"/>
          <w:lang w:val="en-AU"/>
        </w:rPr>
        <w:t xml:space="preserve"> </w:t>
      </w:r>
      <w:r>
        <w:rPr>
          <w:rFonts w:ascii="Times New Roman" w:hAnsi="Times New Roman"/>
          <w:szCs w:val="22"/>
          <w:lang w:val="en-AU"/>
        </w:rPr>
        <w:t>does not</w:t>
      </w:r>
      <w:r w:rsidRPr="000D2161">
        <w:rPr>
          <w:rFonts w:ascii="Times New Roman" w:hAnsi="Times New Roman"/>
          <w:szCs w:val="22"/>
          <w:lang w:val="en-AU"/>
        </w:rPr>
        <w:t xml:space="preserve"> make </w:t>
      </w:r>
      <w:r>
        <w:rPr>
          <w:rFonts w:ascii="Times New Roman" w:hAnsi="Times New Roman"/>
          <w:szCs w:val="22"/>
          <w:lang w:val="en-AU"/>
        </w:rPr>
        <w:t xml:space="preserve">any </w:t>
      </w:r>
      <w:r w:rsidRPr="000D2161">
        <w:rPr>
          <w:rFonts w:ascii="Times New Roman" w:hAnsi="Times New Roman"/>
          <w:szCs w:val="22"/>
          <w:lang w:val="en-AU"/>
        </w:rPr>
        <w:t xml:space="preserve">distinction </w:t>
      </w:r>
      <w:r>
        <w:rPr>
          <w:rFonts w:ascii="Times New Roman" w:hAnsi="Times New Roman"/>
          <w:szCs w:val="22"/>
          <w:lang w:val="en-AU"/>
        </w:rPr>
        <w:t xml:space="preserve">between the levels of market power of the competitors </w:t>
      </w:r>
      <w:r w:rsidRPr="000D2161">
        <w:rPr>
          <w:rFonts w:ascii="Times New Roman" w:hAnsi="Times New Roman"/>
          <w:szCs w:val="22"/>
          <w:lang w:val="en-AU"/>
        </w:rPr>
        <w:t>and th</w:t>
      </w:r>
      <w:r>
        <w:rPr>
          <w:rFonts w:ascii="Times New Roman" w:hAnsi="Times New Roman"/>
          <w:szCs w:val="22"/>
          <w:lang w:val="en-AU"/>
        </w:rPr>
        <w:t xml:space="preserve">e decisions </w:t>
      </w:r>
      <w:r w:rsidRPr="000D2161">
        <w:rPr>
          <w:rFonts w:ascii="Times New Roman" w:hAnsi="Times New Roman"/>
          <w:szCs w:val="22"/>
          <w:lang w:val="en-AU"/>
        </w:rPr>
        <w:t>ha</w:t>
      </w:r>
      <w:r>
        <w:rPr>
          <w:rFonts w:ascii="Times New Roman" w:hAnsi="Times New Roman"/>
          <w:szCs w:val="22"/>
          <w:lang w:val="en-AU"/>
        </w:rPr>
        <w:t xml:space="preserve">ve </w:t>
      </w:r>
      <w:r w:rsidRPr="000D2161">
        <w:rPr>
          <w:rFonts w:ascii="Times New Roman" w:hAnsi="Times New Roman"/>
          <w:szCs w:val="22"/>
          <w:lang w:val="en-AU"/>
        </w:rPr>
        <w:t xml:space="preserve">led to </w:t>
      </w:r>
      <w:r>
        <w:rPr>
          <w:rFonts w:ascii="Times New Roman" w:hAnsi="Times New Roman"/>
          <w:szCs w:val="22"/>
          <w:lang w:val="en-AU"/>
        </w:rPr>
        <w:t xml:space="preserve">distortions in the market </w:t>
      </w:r>
      <w:r w:rsidRPr="000D2161">
        <w:rPr>
          <w:rFonts w:ascii="Times New Roman" w:hAnsi="Times New Roman"/>
          <w:szCs w:val="22"/>
          <w:lang w:val="en-AU"/>
        </w:rPr>
        <w:t>and demonstrate</w:t>
      </w:r>
      <w:r>
        <w:rPr>
          <w:rFonts w:ascii="Times New Roman" w:hAnsi="Times New Roman"/>
          <w:szCs w:val="22"/>
          <w:lang w:val="en-AU"/>
        </w:rPr>
        <w:t>s</w:t>
      </w:r>
      <w:r w:rsidRPr="000D2161">
        <w:rPr>
          <w:rFonts w:ascii="Times New Roman" w:hAnsi="Times New Roman"/>
          <w:szCs w:val="22"/>
          <w:lang w:val="en-AU"/>
        </w:rPr>
        <w:t xml:space="preserve"> that there is a flaw in the current legal framework that needs to be </w:t>
      </w:r>
      <w:r>
        <w:rPr>
          <w:rFonts w:ascii="Times New Roman" w:hAnsi="Times New Roman"/>
          <w:szCs w:val="22"/>
          <w:lang w:val="en-AU"/>
        </w:rPr>
        <w:t>remedied</w:t>
      </w:r>
      <w:r w:rsidRPr="000D2161">
        <w:rPr>
          <w:rFonts w:ascii="Times New Roman" w:hAnsi="Times New Roman"/>
          <w:szCs w:val="22"/>
          <w:lang w:val="en-AU"/>
        </w:rPr>
        <w:t xml:space="preserve">. </w:t>
      </w:r>
      <w:r>
        <w:rPr>
          <w:rFonts w:ascii="Times New Roman" w:hAnsi="Times New Roman"/>
          <w:szCs w:val="22"/>
          <w:lang w:val="en-AU"/>
        </w:rPr>
        <w:t xml:space="preserve">It is inevitable that the larger businesses will just get bigger because they are legally not ‘taking advantage’ of their power but they are legally destroying the competitive process to the point that current competitors will be crowded out and new entry proponents will not be prepared to enter the market resulting in there being no competitors at all. Is this what Australia needs or wants? </w:t>
      </w:r>
    </w:p>
    <w:p w:rsidR="00685EBC" w:rsidRPr="000D2161"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Many of the decided cases have </w:t>
      </w:r>
      <w:r>
        <w:rPr>
          <w:rFonts w:ascii="Times New Roman" w:hAnsi="Times New Roman"/>
          <w:szCs w:val="22"/>
          <w:lang w:val="en-AU"/>
        </w:rPr>
        <w:t xml:space="preserve">raised concerns </w:t>
      </w:r>
      <w:r w:rsidRPr="000D2161">
        <w:rPr>
          <w:rFonts w:ascii="Times New Roman" w:hAnsi="Times New Roman"/>
          <w:szCs w:val="22"/>
          <w:lang w:val="en-AU"/>
        </w:rPr>
        <w:t>in respect of how actions by businesses should be interpreted in the future. The case of ACCC v. Cement Australia</w:t>
      </w:r>
      <w:r>
        <w:rPr>
          <w:rStyle w:val="FootnoteReference"/>
          <w:rFonts w:ascii="Times New Roman" w:hAnsi="Times New Roman"/>
          <w:szCs w:val="22"/>
          <w:lang w:val="en-AU"/>
        </w:rPr>
        <w:footnoteReference w:id="6"/>
      </w:r>
      <w:r w:rsidRPr="000D2161">
        <w:rPr>
          <w:rFonts w:ascii="Times New Roman" w:hAnsi="Times New Roman"/>
          <w:szCs w:val="22"/>
          <w:lang w:val="en-AU"/>
        </w:rPr>
        <w:t xml:space="preserve"> particularly demonstrates the difficulties associated with the continued use of the words, ‘take advantage’ in the </w:t>
      </w:r>
      <w:r>
        <w:rPr>
          <w:rFonts w:ascii="Times New Roman" w:hAnsi="Times New Roman"/>
          <w:szCs w:val="22"/>
          <w:lang w:val="en-AU"/>
        </w:rPr>
        <w:t>legislation.</w:t>
      </w:r>
      <w:r w:rsidRPr="000D2161">
        <w:rPr>
          <w:rFonts w:ascii="Times New Roman" w:hAnsi="Times New Roman"/>
          <w:szCs w:val="22"/>
          <w:lang w:val="en-AU"/>
        </w:rPr>
        <w:t xml:space="preserve"> </w:t>
      </w:r>
      <w:r>
        <w:rPr>
          <w:rFonts w:ascii="Times New Roman" w:hAnsi="Times New Roman"/>
          <w:szCs w:val="22"/>
          <w:lang w:val="en-AU"/>
        </w:rPr>
        <w:t>A</w:t>
      </w:r>
      <w:r w:rsidRPr="000D2161">
        <w:rPr>
          <w:rFonts w:ascii="Times New Roman" w:hAnsi="Times New Roman"/>
          <w:szCs w:val="22"/>
          <w:lang w:val="en-AU"/>
        </w:rPr>
        <w:t xml:space="preserve">lthough the Court found </w:t>
      </w:r>
      <w:r>
        <w:rPr>
          <w:rFonts w:ascii="Times New Roman" w:hAnsi="Times New Roman"/>
          <w:szCs w:val="22"/>
          <w:lang w:val="en-AU"/>
        </w:rPr>
        <w:t xml:space="preserve">in that case </w:t>
      </w:r>
      <w:r w:rsidRPr="000D2161">
        <w:rPr>
          <w:rFonts w:ascii="Times New Roman" w:hAnsi="Times New Roman"/>
          <w:szCs w:val="22"/>
          <w:lang w:val="en-AU"/>
        </w:rPr>
        <w:t xml:space="preserve">that the Company had engaged in an anti- competitive </w:t>
      </w:r>
      <w:r>
        <w:rPr>
          <w:rFonts w:ascii="Times New Roman" w:hAnsi="Times New Roman"/>
          <w:szCs w:val="22"/>
          <w:lang w:val="en-AU"/>
        </w:rPr>
        <w:t>conduct</w:t>
      </w:r>
      <w:r w:rsidRPr="000D2161">
        <w:rPr>
          <w:rFonts w:ascii="Times New Roman" w:hAnsi="Times New Roman"/>
          <w:szCs w:val="22"/>
          <w:lang w:val="en-AU"/>
        </w:rPr>
        <w:t xml:space="preserve"> and had thereby lessened competition, it had not taken advantage of its market power.</w:t>
      </w:r>
    </w:p>
    <w:p w:rsidR="00685EBC" w:rsidRPr="000D2161"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The fear of change should be dissipated. If a firm is not misusing its power to eliminate the competition then there should not be any issue. It has never been suggested that simply because a business is bigger and better than its competitors</w:t>
      </w:r>
      <w:r>
        <w:rPr>
          <w:rFonts w:ascii="Times New Roman" w:hAnsi="Times New Roman"/>
          <w:szCs w:val="22"/>
          <w:lang w:val="en-AU"/>
        </w:rPr>
        <w:t>,</w:t>
      </w:r>
      <w:r w:rsidRPr="000D2161">
        <w:rPr>
          <w:rFonts w:ascii="Times New Roman" w:hAnsi="Times New Roman"/>
          <w:szCs w:val="22"/>
          <w:lang w:val="en-AU"/>
        </w:rPr>
        <w:t xml:space="preserve"> that it should be castigated for exerting its initiative or entrepreneurship. Attempting to narrow ‘exclusionary conduct’ </w:t>
      </w:r>
      <w:r w:rsidRPr="000D2161">
        <w:rPr>
          <w:rFonts w:ascii="Times New Roman" w:hAnsi="Times New Roman"/>
          <w:b/>
          <w:i/>
          <w:szCs w:val="22"/>
          <w:lang w:val="en-AU"/>
        </w:rPr>
        <w:t>(Question 4)</w:t>
      </w:r>
      <w:r>
        <w:rPr>
          <w:rFonts w:ascii="Times New Roman" w:hAnsi="Times New Roman"/>
          <w:b/>
          <w:i/>
          <w:szCs w:val="22"/>
          <w:lang w:val="en-AU"/>
        </w:rPr>
        <w:t xml:space="preserve"> </w:t>
      </w:r>
      <w:r w:rsidRPr="0003135D">
        <w:rPr>
          <w:rFonts w:ascii="Times New Roman" w:hAnsi="Times New Roman"/>
          <w:szCs w:val="22"/>
          <w:lang w:val="en-AU"/>
        </w:rPr>
        <w:t>would</w:t>
      </w:r>
      <w:r>
        <w:rPr>
          <w:rFonts w:ascii="Times New Roman" w:hAnsi="Times New Roman"/>
          <w:b/>
          <w:i/>
          <w:szCs w:val="22"/>
          <w:lang w:val="en-AU"/>
        </w:rPr>
        <w:t xml:space="preserve"> </w:t>
      </w:r>
      <w:r>
        <w:rPr>
          <w:rFonts w:ascii="Times New Roman" w:hAnsi="Times New Roman"/>
          <w:szCs w:val="22"/>
          <w:lang w:val="en-AU"/>
        </w:rPr>
        <w:t xml:space="preserve">present </w:t>
      </w:r>
      <w:r w:rsidRPr="000D2161">
        <w:rPr>
          <w:rFonts w:ascii="Times New Roman" w:hAnsi="Times New Roman"/>
          <w:szCs w:val="22"/>
          <w:lang w:val="en-AU"/>
        </w:rPr>
        <w:t xml:space="preserve">a challenge as it would be necessary to </w:t>
      </w:r>
      <w:r>
        <w:rPr>
          <w:rFonts w:ascii="Times New Roman" w:hAnsi="Times New Roman"/>
          <w:szCs w:val="22"/>
          <w:lang w:val="en-AU"/>
        </w:rPr>
        <w:t xml:space="preserve">define types of behaviour and this could cause complications and only exacerbate interpretation of meaning.  </w:t>
      </w:r>
      <w:r w:rsidRPr="000D2161">
        <w:rPr>
          <w:rFonts w:ascii="Times New Roman" w:hAnsi="Times New Roman"/>
          <w:szCs w:val="22"/>
          <w:lang w:val="en-AU"/>
        </w:rPr>
        <w:t xml:space="preserve"> There does not appear to be any real economic benefit to be gained by ‘narrowing exclusionary conduct’ as this is likely to add to further uncertainty rather than overcoming a problem that has clearly existed for some considerable time.</w:t>
      </w:r>
    </w:p>
    <w:p w:rsidR="00685EBC" w:rsidRPr="00A171D2"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It has been argued that t</w:t>
      </w:r>
      <w:r w:rsidRPr="00A171D2">
        <w:rPr>
          <w:rFonts w:ascii="Times New Roman" w:hAnsi="Times New Roman"/>
          <w:szCs w:val="22"/>
        </w:rPr>
        <w:t xml:space="preserve">he removal of </w:t>
      </w:r>
      <w:r>
        <w:rPr>
          <w:rFonts w:ascii="Times New Roman" w:hAnsi="Times New Roman"/>
          <w:szCs w:val="22"/>
        </w:rPr>
        <w:t xml:space="preserve">the words </w:t>
      </w:r>
      <w:r w:rsidRPr="00A171D2">
        <w:rPr>
          <w:rFonts w:ascii="Times New Roman" w:hAnsi="Times New Roman"/>
          <w:szCs w:val="22"/>
        </w:rPr>
        <w:t xml:space="preserve">‘take advantage’ will </w:t>
      </w:r>
      <w:r>
        <w:rPr>
          <w:rFonts w:ascii="Times New Roman" w:hAnsi="Times New Roman"/>
          <w:szCs w:val="22"/>
        </w:rPr>
        <w:t>alleviate</w:t>
      </w:r>
      <w:r w:rsidRPr="00A171D2">
        <w:rPr>
          <w:rFonts w:ascii="Times New Roman" w:hAnsi="Times New Roman"/>
          <w:szCs w:val="22"/>
        </w:rPr>
        <w:t xml:space="preserve"> a great deal of </w:t>
      </w:r>
      <w:r>
        <w:rPr>
          <w:rFonts w:ascii="Times New Roman" w:hAnsi="Times New Roman"/>
          <w:szCs w:val="22"/>
        </w:rPr>
        <w:t xml:space="preserve">the </w:t>
      </w:r>
      <w:r w:rsidRPr="00A171D2">
        <w:rPr>
          <w:rFonts w:ascii="Times New Roman" w:hAnsi="Times New Roman"/>
          <w:szCs w:val="22"/>
        </w:rPr>
        <w:t xml:space="preserve">problems that have pervaded the decisions of the Courts in relation to S. 46. </w:t>
      </w:r>
      <w:r>
        <w:rPr>
          <w:rFonts w:ascii="Times New Roman" w:hAnsi="Times New Roman"/>
          <w:szCs w:val="22"/>
        </w:rPr>
        <w:t>Although the current interpretation of the words ‘take advantage’ in Section 46(1) is a correct one, it is submitted they are not suited to the economy of the 21</w:t>
      </w:r>
      <w:r w:rsidRPr="00C34D53">
        <w:rPr>
          <w:rFonts w:ascii="Times New Roman" w:hAnsi="Times New Roman"/>
          <w:szCs w:val="22"/>
          <w:vertAlign w:val="superscript"/>
        </w:rPr>
        <w:t>st</w:t>
      </w:r>
      <w:r>
        <w:rPr>
          <w:rFonts w:ascii="Times New Roman" w:hAnsi="Times New Roman"/>
          <w:szCs w:val="22"/>
        </w:rPr>
        <w:t xml:space="preserve"> century and reinforces the view that the section is today not fit for purpose. </w:t>
      </w:r>
      <w:r w:rsidRPr="00A171D2">
        <w:rPr>
          <w:rFonts w:ascii="Times New Roman" w:hAnsi="Times New Roman"/>
          <w:szCs w:val="22"/>
        </w:rPr>
        <w:t>A. Duke</w:t>
      </w:r>
      <w:r>
        <w:rPr>
          <w:rFonts w:ascii="Times New Roman" w:hAnsi="Times New Roman"/>
          <w:szCs w:val="22"/>
        </w:rPr>
        <w:t>,</w:t>
      </w:r>
      <w:r w:rsidRPr="00A171D2">
        <w:rPr>
          <w:rFonts w:ascii="Times New Roman" w:hAnsi="Times New Roman"/>
          <w:szCs w:val="22"/>
        </w:rPr>
        <w:t xml:space="preserve"> </w:t>
      </w:r>
      <w:r>
        <w:rPr>
          <w:rFonts w:ascii="Times New Roman" w:hAnsi="Times New Roman"/>
          <w:szCs w:val="22"/>
        </w:rPr>
        <w:t>i</w:t>
      </w:r>
      <w:r w:rsidRPr="00A171D2">
        <w:rPr>
          <w:rFonts w:ascii="Times New Roman" w:hAnsi="Times New Roman"/>
          <w:szCs w:val="22"/>
        </w:rPr>
        <w:t xml:space="preserve">n his paper, </w:t>
      </w:r>
      <w:r>
        <w:rPr>
          <w:rFonts w:ascii="Times New Roman" w:hAnsi="Times New Roman"/>
          <w:szCs w:val="22"/>
        </w:rPr>
        <w:t>“T</w:t>
      </w:r>
      <w:r w:rsidRPr="00A171D2">
        <w:rPr>
          <w:rFonts w:ascii="Times New Roman" w:hAnsi="Times New Roman"/>
          <w:szCs w:val="22"/>
        </w:rPr>
        <w:t>he need to close the “Take Advantage’ gap in the regulation of unilateral anti-competitive conduct”</w:t>
      </w:r>
      <w:r>
        <w:rPr>
          <w:rStyle w:val="FootnoteReference"/>
          <w:rFonts w:ascii="Times New Roman" w:hAnsi="Times New Roman"/>
          <w:szCs w:val="22"/>
        </w:rPr>
        <w:footnoteReference w:id="7"/>
      </w:r>
      <w:r w:rsidRPr="00A171D2">
        <w:rPr>
          <w:rFonts w:ascii="Times New Roman" w:hAnsi="Times New Roman"/>
          <w:szCs w:val="22"/>
        </w:rPr>
        <w:t xml:space="preserve"> referred to the Trade Practices Revision Bill 1986 Explan</w:t>
      </w:r>
      <w:r>
        <w:rPr>
          <w:rFonts w:ascii="Times New Roman" w:hAnsi="Times New Roman"/>
          <w:szCs w:val="22"/>
        </w:rPr>
        <w:t>atory Memorandum which he said,</w:t>
      </w:r>
      <w:r w:rsidRPr="00A171D2">
        <w:rPr>
          <w:rFonts w:ascii="Times New Roman" w:hAnsi="Times New Roman"/>
          <w:szCs w:val="22"/>
        </w:rPr>
        <w:t xml:space="preserve"> </w:t>
      </w:r>
      <w:r>
        <w:rPr>
          <w:rFonts w:ascii="Times New Roman" w:hAnsi="Times New Roman"/>
          <w:szCs w:val="22"/>
        </w:rPr>
        <w:t>“</w:t>
      </w:r>
      <w:r w:rsidRPr="00A171D2">
        <w:rPr>
          <w:rFonts w:ascii="Times New Roman" w:hAnsi="Times New Roman"/>
          <w:szCs w:val="22"/>
        </w:rPr>
        <w:t>lends further support to the argument that the High Court’s narrow interpretation of the phrase is mandated by the legislative wording:</w:t>
      </w:r>
    </w:p>
    <w:p w:rsidR="00685EBC" w:rsidRPr="009C6BD7" w:rsidRDefault="00685EBC" w:rsidP="00685EBC">
      <w:pPr>
        <w:pStyle w:val="ListParagraph"/>
        <w:spacing w:line="360" w:lineRule="auto"/>
        <w:jc w:val="both"/>
        <w:rPr>
          <w:rFonts w:ascii="Times New Roman" w:hAnsi="Times New Roman"/>
          <w:i/>
          <w:szCs w:val="22"/>
        </w:rPr>
      </w:pPr>
      <w:r w:rsidRPr="009C6BD7">
        <w:rPr>
          <w:rFonts w:ascii="Times New Roman" w:hAnsi="Times New Roman"/>
          <w:i/>
          <w:szCs w:val="22"/>
        </w:rPr>
        <w:t xml:space="preserve">“The corporation having the requisite degree of market power is not prohibited from engaging in any conduct directed to one or other of the objectives set out in paras 46(1(a), (b) or (c).  Such a prohibition would unduly inhibit competitive activity in the market place….. The term take advantage in this context indicates that the corporation is able by reason of its market power to engage more readily and effectively in conduct directed to one or other of the objectives in paragraphs (a) (b) and (c). It is able, by reason of its market power, to engage in that conduct. Its market power gives it leverage which it is able to exploit and this power is deployed so as to ‘take advantage’ of the relative weaknesses of other participants or potential participants in the market” </w:t>
      </w:r>
      <w:r w:rsidRPr="009C6BD7">
        <w:rPr>
          <w:rStyle w:val="FootnoteReference"/>
          <w:rFonts w:ascii="Times New Roman" w:hAnsi="Times New Roman"/>
          <w:i/>
          <w:szCs w:val="22"/>
        </w:rPr>
        <w:footnoteReference w:id="8"/>
      </w:r>
      <w:r w:rsidRPr="009C6BD7">
        <w:rPr>
          <w:rFonts w:ascii="Times New Roman" w:hAnsi="Times New Roman"/>
          <w:i/>
          <w:szCs w:val="22"/>
        </w:rPr>
        <w:t xml:space="preserve"> The inclusion of the words ’take advantage’ in the Act and the interpretation that has been given to them in the decisions before the High Court indicate, as reinforced by Duke</w:t>
      </w:r>
      <w:r w:rsidRPr="009C6BD7">
        <w:rPr>
          <w:rStyle w:val="FootnoteReference"/>
          <w:rFonts w:ascii="Times New Roman" w:hAnsi="Times New Roman"/>
          <w:i/>
          <w:szCs w:val="22"/>
        </w:rPr>
        <w:footnoteReference w:id="9"/>
      </w:r>
      <w:r w:rsidRPr="009C6BD7">
        <w:rPr>
          <w:rFonts w:ascii="Times New Roman" w:hAnsi="Times New Roman"/>
          <w:i/>
          <w:szCs w:val="22"/>
        </w:rPr>
        <w:t xml:space="preserve"> that the lawmakers were fully aware of the limitation that these words would make in any interpretation of section 46</w:t>
      </w:r>
      <w:r>
        <w:rPr>
          <w:rFonts w:ascii="Times New Roman" w:hAnsi="Times New Roman"/>
          <w:i/>
          <w:szCs w:val="22"/>
        </w:rPr>
        <w:t>”</w:t>
      </w:r>
      <w:r w:rsidRPr="009C6BD7">
        <w:rPr>
          <w:rFonts w:ascii="Times New Roman" w:hAnsi="Times New Roman"/>
          <w:i/>
          <w:szCs w:val="22"/>
        </w:rPr>
        <w:t xml:space="preserve">. </w:t>
      </w:r>
    </w:p>
    <w:p w:rsidR="00685EBC" w:rsidRPr="00EC0805"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 xml:space="preserve">MGA submits that the ‘take advantage’ limb of Section 46 is not fit for purpose and should be removed as it is unsuited to the changed economic environment in Australia . </w:t>
      </w:r>
    </w:p>
    <w:p w:rsidR="00685EBC" w:rsidRPr="000D2161"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The retention of the words “take advantage” will continue to lack clarity into the future unless there is change. If the “take advantage” limb is removed it would more readily open up the opportunity for a small business without market power to challenge a business that </w:t>
      </w:r>
      <w:r>
        <w:rPr>
          <w:rFonts w:ascii="Times New Roman" w:hAnsi="Times New Roman"/>
          <w:szCs w:val="22"/>
          <w:lang w:val="en-AU"/>
        </w:rPr>
        <w:t xml:space="preserve">is allegedly misusing </w:t>
      </w:r>
      <w:r w:rsidRPr="000D2161">
        <w:rPr>
          <w:rFonts w:ascii="Times New Roman" w:hAnsi="Times New Roman"/>
          <w:szCs w:val="22"/>
          <w:lang w:val="en-AU"/>
        </w:rPr>
        <w:t>its market power  for example, where a large firm engages in deliberate predatory pricing with the intention of squeezing its competitor out of the market. The smaller firm would not have to prove that the firm was taking advantage of its power but that the firm has used a substantial degree of power to achieve its objective</w:t>
      </w:r>
      <w:r>
        <w:rPr>
          <w:rFonts w:ascii="Times New Roman" w:hAnsi="Times New Roman"/>
          <w:szCs w:val="22"/>
          <w:lang w:val="en-AU"/>
        </w:rPr>
        <w:t xml:space="preserve"> and is therefore lessening competition.</w:t>
      </w:r>
    </w:p>
    <w:p w:rsidR="00685EBC" w:rsidRPr="00A67F22"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Searching for a middle road by importing  alternative words into s. 46 to restrict what is described as ‘economically damaging behaviour’ is better achieved by simply taking the step of removing the phrase ‘take advantage’ in the best interests of clarity. All businesses would benefit because contrary to the view that this amendment will ‘çhill competition’ it is more likely to diminish ambiguity and focus more effectively on  potential </w:t>
      </w:r>
      <w:r>
        <w:rPr>
          <w:rFonts w:ascii="Times New Roman" w:hAnsi="Times New Roman"/>
          <w:szCs w:val="22"/>
          <w:lang w:val="en-AU"/>
        </w:rPr>
        <w:t xml:space="preserve">exclusionary </w:t>
      </w:r>
      <w:r w:rsidRPr="000D2161">
        <w:rPr>
          <w:rFonts w:ascii="Times New Roman" w:hAnsi="Times New Roman"/>
          <w:szCs w:val="22"/>
          <w:lang w:val="en-AU"/>
        </w:rPr>
        <w:t>anti- competitive conduct</w:t>
      </w:r>
      <w:r>
        <w:rPr>
          <w:rFonts w:ascii="Times New Roman" w:hAnsi="Times New Roman"/>
          <w:szCs w:val="22"/>
          <w:lang w:val="en-AU"/>
        </w:rPr>
        <w:t>.</w:t>
      </w:r>
      <w:r w:rsidRPr="000D2161">
        <w:rPr>
          <w:rFonts w:ascii="Times New Roman" w:hAnsi="Times New Roman"/>
          <w:szCs w:val="22"/>
          <w:lang w:val="en-AU"/>
        </w:rPr>
        <w:t xml:space="preserve"> </w:t>
      </w:r>
    </w:p>
    <w:p w:rsidR="00685EBC" w:rsidRPr="000D2161"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It is acknowledged that the Parliament previously saw fit to amend Section 46 by adding S 46(6A) which may be helpful but it is the submission of MGA that it would be advantageous to the competitive process to remove the ‘take advantage provision’ as it currently applies because its retention is not helpful in distinguishing genuine competitive conduct from </w:t>
      </w:r>
      <w:r>
        <w:rPr>
          <w:rFonts w:ascii="Times New Roman" w:hAnsi="Times New Roman"/>
          <w:szCs w:val="22"/>
          <w:lang w:val="en-AU"/>
        </w:rPr>
        <w:t xml:space="preserve">exclusionary </w:t>
      </w:r>
      <w:r w:rsidRPr="000D2161">
        <w:rPr>
          <w:rFonts w:ascii="Times New Roman" w:hAnsi="Times New Roman"/>
          <w:szCs w:val="22"/>
          <w:lang w:val="en-AU"/>
        </w:rPr>
        <w:t>anti- competitive conduct.</w:t>
      </w:r>
    </w:p>
    <w:p w:rsidR="00685EBC" w:rsidRPr="00BA0FF6" w:rsidRDefault="00685EBC" w:rsidP="00685EBC">
      <w:pPr>
        <w:pStyle w:val="ListParagraph"/>
        <w:numPr>
          <w:ilvl w:val="0"/>
          <w:numId w:val="20"/>
        </w:numPr>
        <w:spacing w:line="360" w:lineRule="auto"/>
        <w:jc w:val="both"/>
        <w:rPr>
          <w:rFonts w:ascii="Times New Roman" w:hAnsi="Times New Roman"/>
          <w:b/>
          <w:i/>
          <w:sz w:val="20"/>
          <w:szCs w:val="20"/>
          <w:lang w:val="en-AU"/>
        </w:rPr>
      </w:pPr>
      <w:r w:rsidRPr="000D2161">
        <w:rPr>
          <w:rFonts w:ascii="Times New Roman" w:hAnsi="Times New Roman"/>
          <w:szCs w:val="22"/>
          <w:lang w:val="en-AU"/>
        </w:rPr>
        <w:t xml:space="preserve"> Seeking out alternatives are likely to add to the complexities of the past and advancing with the removal of the words ‘take advantage’ would be far more progressive and beneficial to the competitive process.</w:t>
      </w:r>
    </w:p>
    <w:p w:rsidR="00685EBC" w:rsidRPr="009C6BD7" w:rsidRDefault="00685EBC" w:rsidP="00685EBC">
      <w:pPr>
        <w:pStyle w:val="ListParagraph"/>
        <w:numPr>
          <w:ilvl w:val="0"/>
          <w:numId w:val="20"/>
        </w:numPr>
        <w:spacing w:line="360" w:lineRule="auto"/>
        <w:jc w:val="both"/>
        <w:rPr>
          <w:rFonts w:ascii="Times New Roman" w:hAnsi="Times New Roman"/>
          <w:b/>
          <w:sz w:val="24"/>
          <w:lang w:val="en-AU"/>
        </w:rPr>
      </w:pPr>
      <w:r w:rsidRPr="009C6BD7">
        <w:rPr>
          <w:rFonts w:ascii="Times New Roman" w:hAnsi="Times New Roman"/>
          <w:szCs w:val="22"/>
          <w:lang w:val="en-AU"/>
        </w:rPr>
        <w:t xml:space="preserve">There are many examples of the misuse of market power where the dominant power holder takes advantage by limiting a supplier’s ability to supply goods to a competitor or deliberately lowering the price of goods with the intention of putting </w:t>
      </w:r>
      <w:r>
        <w:rPr>
          <w:rFonts w:ascii="Times New Roman" w:hAnsi="Times New Roman"/>
          <w:szCs w:val="22"/>
          <w:lang w:val="en-AU"/>
        </w:rPr>
        <w:t>the opposition out of business.</w:t>
      </w:r>
      <w:r w:rsidRPr="009C6BD7">
        <w:rPr>
          <w:rFonts w:ascii="Times New Roman" w:hAnsi="Times New Roman"/>
          <w:szCs w:val="22"/>
          <w:lang w:val="en-AU"/>
        </w:rPr>
        <w:t xml:space="preserve">These actions amount to taking advantage of holding a powerful position in the market but the current law is not able to prevent such actions.   </w:t>
      </w:r>
    </w:p>
    <w:p w:rsidR="00685EBC" w:rsidRPr="009C6BD7" w:rsidRDefault="00685EBC" w:rsidP="00685EBC">
      <w:pPr>
        <w:pStyle w:val="ListParagraph"/>
        <w:spacing w:line="360" w:lineRule="auto"/>
        <w:ind w:left="360"/>
        <w:jc w:val="both"/>
        <w:rPr>
          <w:rFonts w:ascii="Times New Roman" w:hAnsi="Times New Roman"/>
          <w:b/>
          <w:sz w:val="24"/>
          <w:lang w:val="en-AU"/>
        </w:rPr>
      </w:pPr>
      <w:r w:rsidRPr="009C6BD7">
        <w:rPr>
          <w:rFonts w:ascii="Times New Roman" w:hAnsi="Times New Roman"/>
          <w:b/>
          <w:sz w:val="24"/>
          <w:lang w:val="en-AU"/>
        </w:rPr>
        <w:t>Purpose and/or effect</w:t>
      </w:r>
    </w:p>
    <w:p w:rsidR="00685EBC" w:rsidRPr="006A533A" w:rsidRDefault="00685EBC" w:rsidP="00685EBC">
      <w:pPr>
        <w:spacing w:line="360" w:lineRule="auto"/>
        <w:jc w:val="both"/>
        <w:rPr>
          <w:rFonts w:ascii="Times New Roman" w:hAnsi="Times New Roman"/>
          <w:b/>
          <w:sz w:val="24"/>
          <w:lang w:val="en-AU"/>
        </w:rPr>
      </w:pPr>
      <w:r w:rsidRPr="000434DA">
        <w:rPr>
          <w:rFonts w:ascii="Times New Roman" w:hAnsi="Times New Roman"/>
          <w:b/>
          <w:i/>
          <w:sz w:val="24"/>
          <w:lang w:val="en-AU"/>
        </w:rPr>
        <w:t xml:space="preserve"> </w:t>
      </w:r>
      <w:r w:rsidRPr="000434DA">
        <w:rPr>
          <w:rFonts w:ascii="Times New Roman" w:hAnsi="Times New Roman"/>
          <w:b/>
          <w:i/>
          <w:szCs w:val="22"/>
          <w:lang w:val="en-AU"/>
        </w:rPr>
        <w:t>Questions 6/7</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Pr>
          <w:rFonts w:ascii="Times New Roman" w:hAnsi="Times New Roman"/>
          <w:szCs w:val="22"/>
          <w:lang w:val="en-AU"/>
        </w:rPr>
        <w:t>Generally t</w:t>
      </w:r>
      <w:r w:rsidRPr="000D2161">
        <w:rPr>
          <w:rFonts w:ascii="Times New Roman" w:hAnsi="Times New Roman"/>
          <w:szCs w:val="22"/>
          <w:lang w:val="en-AU"/>
        </w:rPr>
        <w:t>he objectives of competition law are</w:t>
      </w:r>
      <w:r>
        <w:rPr>
          <w:rFonts w:ascii="Times New Roman" w:hAnsi="Times New Roman"/>
          <w:szCs w:val="22"/>
          <w:lang w:val="en-AU"/>
        </w:rPr>
        <w:t>,</w:t>
      </w:r>
      <w:r w:rsidRPr="000D2161">
        <w:rPr>
          <w:rFonts w:ascii="Times New Roman" w:hAnsi="Times New Roman"/>
          <w:szCs w:val="22"/>
          <w:lang w:val="en-AU"/>
        </w:rPr>
        <w:t xml:space="preserve"> inter alia</w:t>
      </w:r>
      <w:r>
        <w:rPr>
          <w:rFonts w:ascii="Times New Roman" w:hAnsi="Times New Roman"/>
          <w:szCs w:val="22"/>
          <w:lang w:val="en-AU"/>
        </w:rPr>
        <w:t>,</w:t>
      </w:r>
      <w:r w:rsidRPr="000D2161">
        <w:rPr>
          <w:rFonts w:ascii="Times New Roman" w:hAnsi="Times New Roman"/>
          <w:szCs w:val="22"/>
          <w:lang w:val="en-AU"/>
        </w:rPr>
        <w:t xml:space="preserve"> to ensure that a healthy competitive business environment exists in Australia and </w:t>
      </w:r>
      <w:r>
        <w:rPr>
          <w:rFonts w:ascii="Times New Roman" w:hAnsi="Times New Roman"/>
          <w:szCs w:val="22"/>
          <w:lang w:val="en-AU"/>
        </w:rPr>
        <w:t xml:space="preserve">that it </w:t>
      </w:r>
      <w:r w:rsidRPr="000D2161">
        <w:rPr>
          <w:rFonts w:ascii="Times New Roman" w:hAnsi="Times New Roman"/>
          <w:szCs w:val="22"/>
          <w:lang w:val="en-AU"/>
        </w:rPr>
        <w:t xml:space="preserve">provides protection and benefits to consumers. Our competition laws need to be such that there is opportunity for fairness for all businesses and if our laws prove to be inadequate to allow for each business to grow, and survive, on its merits then adjustments need to be made to </w:t>
      </w:r>
      <w:r>
        <w:rPr>
          <w:rFonts w:ascii="Times New Roman" w:hAnsi="Times New Roman"/>
          <w:szCs w:val="22"/>
          <w:lang w:val="en-AU"/>
        </w:rPr>
        <w:t xml:space="preserve">overcome any deficiencies that prevent business growth. </w:t>
      </w:r>
      <w:r w:rsidRPr="000D2161">
        <w:rPr>
          <w:rFonts w:ascii="Times New Roman" w:hAnsi="Times New Roman"/>
          <w:szCs w:val="22"/>
          <w:lang w:val="en-AU"/>
        </w:rPr>
        <w:t>The retention of the word ‘purpose’ in the proposed amended legislation is supported by MGA</w:t>
      </w:r>
      <w:r>
        <w:rPr>
          <w:rFonts w:ascii="Times New Roman" w:hAnsi="Times New Roman"/>
          <w:szCs w:val="22"/>
          <w:lang w:val="en-AU"/>
        </w:rPr>
        <w:t>,</w:t>
      </w:r>
      <w:r w:rsidRPr="000D2161">
        <w:rPr>
          <w:rFonts w:ascii="Times New Roman" w:hAnsi="Times New Roman"/>
          <w:szCs w:val="22"/>
          <w:lang w:val="en-AU"/>
        </w:rPr>
        <w:t xml:space="preserve"> subject to its being used with</w:t>
      </w:r>
      <w:r>
        <w:rPr>
          <w:rFonts w:ascii="Times New Roman" w:hAnsi="Times New Roman"/>
          <w:szCs w:val="22"/>
          <w:lang w:val="en-AU"/>
        </w:rPr>
        <w:t xml:space="preserve"> </w:t>
      </w:r>
      <w:r w:rsidRPr="000D2161">
        <w:rPr>
          <w:rFonts w:ascii="Times New Roman" w:hAnsi="Times New Roman"/>
          <w:szCs w:val="22"/>
          <w:lang w:val="en-AU"/>
        </w:rPr>
        <w:t xml:space="preserve">the words “would have or be likely to have the effect of substantially lessening competition in that or any other market.” </w:t>
      </w:r>
    </w:p>
    <w:p w:rsidR="00685EBC" w:rsidRPr="008F653C" w:rsidRDefault="00685EBC" w:rsidP="00685EBC">
      <w:pPr>
        <w:spacing w:line="360" w:lineRule="auto"/>
        <w:jc w:val="both"/>
        <w:rPr>
          <w:rFonts w:ascii="Times New Roman" w:hAnsi="Times New Roman"/>
          <w:b/>
          <w:i/>
          <w:szCs w:val="22"/>
          <w:lang w:val="en-AU"/>
        </w:rPr>
      </w:pPr>
      <w:r w:rsidRPr="008F653C">
        <w:rPr>
          <w:rFonts w:ascii="Times New Roman" w:hAnsi="Times New Roman"/>
          <w:b/>
          <w:i/>
          <w:iCs/>
          <w:szCs w:val="22"/>
        </w:rPr>
        <w:t xml:space="preserve">Question 6 </w:t>
      </w:r>
      <w:r w:rsidRPr="008F653C">
        <w:rPr>
          <w:rFonts w:ascii="Times New Roman" w:hAnsi="Times New Roman"/>
          <w:b/>
          <w:i/>
          <w:szCs w:val="22"/>
        </w:rPr>
        <w:t>as posed by Treasury asks, “whether the addition of the ‘effects’ test together with the ‘purpose test’ would better target behavior that causes significant consumer detriment?</w:t>
      </w:r>
    </w:p>
    <w:p w:rsidR="00685EBC" w:rsidRDefault="00685EBC" w:rsidP="00685EBC">
      <w:pPr>
        <w:pStyle w:val="ListParagraph"/>
        <w:numPr>
          <w:ilvl w:val="0"/>
          <w:numId w:val="20"/>
        </w:numPr>
        <w:spacing w:line="360" w:lineRule="auto"/>
        <w:jc w:val="both"/>
        <w:rPr>
          <w:rFonts w:ascii="Times New Roman" w:hAnsi="Times New Roman"/>
        </w:rPr>
      </w:pPr>
      <w:r w:rsidRPr="00204B91">
        <w:rPr>
          <w:rFonts w:ascii="Times New Roman" w:hAnsi="Times New Roman"/>
        </w:rPr>
        <w:t xml:space="preserve">Under the Harper </w:t>
      </w:r>
      <w:r>
        <w:rPr>
          <w:rFonts w:ascii="Times New Roman" w:hAnsi="Times New Roman"/>
        </w:rPr>
        <w:t xml:space="preserve">Review </w:t>
      </w:r>
      <w:r w:rsidRPr="00204B91">
        <w:rPr>
          <w:rFonts w:ascii="Times New Roman" w:hAnsi="Times New Roman"/>
        </w:rPr>
        <w:t xml:space="preserve">proposal an effects test will be directed at a company with market power, that acts in a manner that has the purpose or effect (or likely effect) of substantially lessening competition and this would alter the focus of the section to the avoidance of harm to the competitive process rather than individual competitors, The current focus </w:t>
      </w:r>
      <w:r>
        <w:rPr>
          <w:rFonts w:ascii="Times New Roman" w:hAnsi="Times New Roman"/>
        </w:rPr>
        <w:t xml:space="preserve">of ‘purpose’ </w:t>
      </w:r>
      <w:r w:rsidRPr="00204B91">
        <w:rPr>
          <w:rFonts w:ascii="Times New Roman" w:hAnsi="Times New Roman"/>
        </w:rPr>
        <w:t xml:space="preserve">on the prevention of harm to a competitor is inconsistent with the objectives of the CCA and with international law. It is conceded that other countries have had the benefit of developing jurisprudence on this issue for </w:t>
      </w:r>
      <w:r>
        <w:rPr>
          <w:rFonts w:ascii="Times New Roman" w:hAnsi="Times New Roman"/>
        </w:rPr>
        <w:t>many years. It has been argued t</w:t>
      </w:r>
      <w:r w:rsidRPr="00204B91">
        <w:rPr>
          <w:rFonts w:ascii="Times New Roman" w:hAnsi="Times New Roman"/>
        </w:rPr>
        <w:t xml:space="preserve">hat Australia will be commencing a new line of reasoning which will inevitably lead to many </w:t>
      </w:r>
      <w:r>
        <w:rPr>
          <w:rFonts w:ascii="Times New Roman" w:hAnsi="Times New Roman"/>
        </w:rPr>
        <w:t xml:space="preserve">legal </w:t>
      </w:r>
      <w:r w:rsidRPr="00204B91">
        <w:rPr>
          <w:rFonts w:ascii="Times New Roman" w:hAnsi="Times New Roman"/>
        </w:rPr>
        <w:t xml:space="preserve">challenges and therefore a new body of precedents will </w:t>
      </w:r>
      <w:r>
        <w:rPr>
          <w:rFonts w:ascii="Times New Roman" w:hAnsi="Times New Roman"/>
        </w:rPr>
        <w:t xml:space="preserve">need to </w:t>
      </w:r>
      <w:r w:rsidRPr="00204B91">
        <w:rPr>
          <w:rFonts w:ascii="Times New Roman" w:hAnsi="Times New Roman"/>
        </w:rPr>
        <w:t>be established over a period of time. It is questionable that this justifies hesitancy</w:t>
      </w:r>
      <w:r>
        <w:rPr>
          <w:rFonts w:ascii="Times New Roman" w:hAnsi="Times New Roman"/>
        </w:rPr>
        <w:t>. If the law in its current form is no longer suited to our economic climate then change</w:t>
      </w:r>
      <w:r w:rsidRPr="00204B91">
        <w:rPr>
          <w:rFonts w:ascii="Times New Roman" w:hAnsi="Times New Roman"/>
        </w:rPr>
        <w:t xml:space="preserve"> </w:t>
      </w:r>
      <w:r>
        <w:rPr>
          <w:rFonts w:ascii="Times New Roman" w:hAnsi="Times New Roman"/>
        </w:rPr>
        <w:t>is necessary and ‘</w:t>
      </w:r>
      <w:r w:rsidRPr="00204B91">
        <w:rPr>
          <w:rFonts w:ascii="Times New Roman" w:hAnsi="Times New Roman"/>
        </w:rPr>
        <w:t>challenges</w:t>
      </w:r>
      <w:r>
        <w:rPr>
          <w:rFonts w:ascii="Times New Roman" w:hAnsi="Times New Roman"/>
        </w:rPr>
        <w:t>’</w:t>
      </w:r>
      <w:r w:rsidRPr="00204B91">
        <w:rPr>
          <w:rFonts w:ascii="Times New Roman" w:hAnsi="Times New Roman"/>
        </w:rPr>
        <w:t xml:space="preserve"> </w:t>
      </w:r>
      <w:r>
        <w:rPr>
          <w:rFonts w:ascii="Times New Roman" w:hAnsi="Times New Roman"/>
        </w:rPr>
        <w:t>are the</w:t>
      </w:r>
      <w:r w:rsidRPr="00204B91">
        <w:rPr>
          <w:rFonts w:ascii="Times New Roman" w:hAnsi="Times New Roman"/>
        </w:rPr>
        <w:t xml:space="preserve"> inevitable consequence</w:t>
      </w:r>
      <w:r>
        <w:rPr>
          <w:rFonts w:ascii="Times New Roman" w:hAnsi="Times New Roman"/>
        </w:rPr>
        <w:t>s</w:t>
      </w:r>
      <w:r w:rsidRPr="00204B91">
        <w:rPr>
          <w:rFonts w:ascii="Times New Roman" w:hAnsi="Times New Roman"/>
        </w:rPr>
        <w:t xml:space="preserve"> of that change.  In the USA and in the EU where exclusionary conduct by dominant companies that</w:t>
      </w:r>
      <w:r>
        <w:rPr>
          <w:rFonts w:ascii="Times New Roman" w:hAnsi="Times New Roman"/>
        </w:rPr>
        <w:t>,</w:t>
      </w:r>
      <w:r w:rsidRPr="00204B91">
        <w:rPr>
          <w:rFonts w:ascii="Times New Roman" w:hAnsi="Times New Roman"/>
        </w:rPr>
        <w:t xml:space="preserve"> on evidence is deemed subjective</w:t>
      </w:r>
      <w:r>
        <w:rPr>
          <w:rFonts w:ascii="Times New Roman" w:hAnsi="Times New Roman"/>
        </w:rPr>
        <w:t>,</w:t>
      </w:r>
      <w:r w:rsidRPr="00204B91">
        <w:rPr>
          <w:rFonts w:ascii="Times New Roman" w:hAnsi="Times New Roman"/>
        </w:rPr>
        <w:t xml:space="preserve"> is prohibited. The addition of the effects test will provide the ability to determine </w:t>
      </w:r>
      <w:r>
        <w:rPr>
          <w:rFonts w:ascii="Times New Roman" w:hAnsi="Times New Roman"/>
        </w:rPr>
        <w:t xml:space="preserve">from the outcomes </w:t>
      </w:r>
      <w:r w:rsidRPr="00204B91">
        <w:rPr>
          <w:rFonts w:ascii="Times New Roman" w:hAnsi="Times New Roman"/>
        </w:rPr>
        <w:t xml:space="preserve">whether </w:t>
      </w:r>
      <w:r>
        <w:rPr>
          <w:rFonts w:ascii="Times New Roman" w:hAnsi="Times New Roman"/>
        </w:rPr>
        <w:t xml:space="preserve">the </w:t>
      </w:r>
      <w:r w:rsidRPr="00204B91">
        <w:rPr>
          <w:rFonts w:ascii="Times New Roman" w:hAnsi="Times New Roman"/>
        </w:rPr>
        <w:t xml:space="preserve">activity </w:t>
      </w:r>
      <w:r>
        <w:rPr>
          <w:rFonts w:ascii="Times New Roman" w:hAnsi="Times New Roman"/>
        </w:rPr>
        <w:t xml:space="preserve">engaged in </w:t>
      </w:r>
      <w:r w:rsidRPr="00204B91">
        <w:rPr>
          <w:rFonts w:ascii="Times New Roman" w:hAnsi="Times New Roman"/>
        </w:rPr>
        <w:t xml:space="preserve">by a powerful firm is such that the interests of consumers </w:t>
      </w:r>
      <w:r>
        <w:rPr>
          <w:rFonts w:ascii="Times New Roman" w:hAnsi="Times New Roman"/>
        </w:rPr>
        <w:t xml:space="preserve">have been </w:t>
      </w:r>
      <w:r w:rsidRPr="00204B91">
        <w:rPr>
          <w:rFonts w:ascii="Times New Roman" w:hAnsi="Times New Roman"/>
        </w:rPr>
        <w:t>damaged</w:t>
      </w:r>
      <w:r>
        <w:rPr>
          <w:rFonts w:ascii="Times New Roman" w:hAnsi="Times New Roman"/>
        </w:rPr>
        <w:t xml:space="preserve"> and whether the effects demonstrate that competition has been lessened. Amendment to S. 46(1) will provide this opportunity.</w:t>
      </w:r>
    </w:p>
    <w:p w:rsidR="00685EBC" w:rsidRDefault="00685EBC" w:rsidP="00685EBC">
      <w:pPr>
        <w:pStyle w:val="ListParagraph"/>
        <w:numPr>
          <w:ilvl w:val="0"/>
          <w:numId w:val="20"/>
        </w:numPr>
        <w:spacing w:line="360" w:lineRule="auto"/>
        <w:jc w:val="both"/>
        <w:rPr>
          <w:rFonts w:ascii="Times New Roman" w:hAnsi="Times New Roman"/>
        </w:rPr>
      </w:pPr>
      <w:r w:rsidRPr="00717345">
        <w:rPr>
          <w:rFonts w:ascii="Times New Roman" w:hAnsi="Times New Roman"/>
        </w:rPr>
        <w:t xml:space="preserve">Conduct such as anti-competitive price discrimination, ‘store saturation,’ or store cross subsidization would </w:t>
      </w:r>
      <w:r>
        <w:rPr>
          <w:rFonts w:ascii="Times New Roman" w:hAnsi="Times New Roman"/>
        </w:rPr>
        <w:t xml:space="preserve">be </w:t>
      </w:r>
      <w:r w:rsidRPr="00717345">
        <w:rPr>
          <w:rFonts w:ascii="Times New Roman" w:hAnsi="Times New Roman"/>
        </w:rPr>
        <w:t>easier to determine</w:t>
      </w:r>
      <w:r>
        <w:rPr>
          <w:rFonts w:ascii="Times New Roman" w:hAnsi="Times New Roman"/>
        </w:rPr>
        <w:t xml:space="preserve"> and prosecute, </w:t>
      </w:r>
      <w:r w:rsidRPr="00717345">
        <w:rPr>
          <w:rFonts w:ascii="Times New Roman" w:hAnsi="Times New Roman"/>
        </w:rPr>
        <w:t>if the effects of the conduct are considered together with the purpose of what was intended. Purpose alone is open to conjecture and could be detrimental in determining intended</w:t>
      </w:r>
      <w:r>
        <w:rPr>
          <w:rFonts w:ascii="Times New Roman" w:hAnsi="Times New Roman"/>
        </w:rPr>
        <w:t xml:space="preserve"> consequences which may then lead to uncertainty. It would be beneficial therefore to include an effects test with the purpose test in order to enable a more conclusive decision is reached in determining whether conduct could be anti- competitive or not. </w:t>
      </w:r>
    </w:p>
    <w:p w:rsidR="00685EBC" w:rsidRDefault="00685EBC" w:rsidP="00685EBC">
      <w:pPr>
        <w:pStyle w:val="ListParagraph"/>
        <w:numPr>
          <w:ilvl w:val="0"/>
          <w:numId w:val="20"/>
        </w:numPr>
        <w:spacing w:line="360" w:lineRule="auto"/>
        <w:jc w:val="both"/>
        <w:rPr>
          <w:rFonts w:ascii="Times New Roman" w:hAnsi="Times New Roman"/>
        </w:rPr>
      </w:pPr>
      <w:r>
        <w:rPr>
          <w:rFonts w:ascii="Times New Roman" w:hAnsi="Times New Roman"/>
        </w:rPr>
        <w:t xml:space="preserve">Many forms of anti- competitive conduct are, under the current law, allowed to continue because it is necessary to prove that the purpose of the anti- competitive conduct was specifically aimed at eliminating or damaging a competitor, such as preventing a competitor entering the market or deterring a competitor from engaging in competitive conduct. It is proving the ‘purpose’ behind the action that is the problem because it is difficult to know what was in the mind of the person exercising the actions in the first place. It would be much easier to prove the purpose if it is linked to the effect. </w:t>
      </w:r>
    </w:p>
    <w:p w:rsidR="00685EBC" w:rsidRPr="00667F4F" w:rsidRDefault="00685EBC" w:rsidP="00685EBC">
      <w:pPr>
        <w:pStyle w:val="ListParagraph"/>
        <w:numPr>
          <w:ilvl w:val="0"/>
          <w:numId w:val="20"/>
        </w:numPr>
        <w:spacing w:line="360" w:lineRule="auto"/>
        <w:jc w:val="both"/>
        <w:rPr>
          <w:rFonts w:ascii="Times New Roman" w:hAnsi="Times New Roman"/>
        </w:rPr>
      </w:pPr>
      <w:r w:rsidRPr="00717345">
        <w:rPr>
          <w:rFonts w:ascii="Times New Roman" w:hAnsi="Times New Roman"/>
        </w:rPr>
        <w:t>Due to the continued uncertainty that exists in section 46 it is essential that a change is implemented. The change is necessary to meet the economic needs of the future</w:t>
      </w:r>
      <w:r>
        <w:rPr>
          <w:rFonts w:ascii="Times New Roman" w:hAnsi="Times New Roman"/>
        </w:rPr>
        <w:t xml:space="preserve"> and to provide consumers with choices</w:t>
      </w:r>
      <w:r w:rsidRPr="00717345">
        <w:rPr>
          <w:rFonts w:ascii="Times New Roman" w:hAnsi="Times New Roman"/>
        </w:rPr>
        <w:t>.</w:t>
      </w:r>
    </w:p>
    <w:p w:rsidR="00685EBC" w:rsidRPr="009C6BD7" w:rsidRDefault="00685EBC" w:rsidP="00685EBC">
      <w:pPr>
        <w:spacing w:line="360" w:lineRule="auto"/>
        <w:jc w:val="both"/>
        <w:rPr>
          <w:rFonts w:ascii="Times New Roman" w:hAnsi="Times New Roman"/>
          <w:b/>
          <w:i/>
          <w:szCs w:val="22"/>
          <w:lang w:val="en-AU"/>
        </w:rPr>
      </w:pPr>
      <w:r w:rsidRPr="009C6BD7">
        <w:rPr>
          <w:rFonts w:ascii="Times New Roman" w:hAnsi="Times New Roman"/>
          <w:b/>
          <w:i/>
          <w:szCs w:val="22"/>
        </w:rPr>
        <w:t>Question 7 “Whether retaining purpose test alone while amending other elements of the provision would be a sufficient test to achieve the objectives of the</w:t>
      </w:r>
      <w:r w:rsidRPr="009C6BD7">
        <w:rPr>
          <w:rFonts w:ascii="Times New Roman" w:hAnsi="Times New Roman"/>
          <w:i/>
          <w:szCs w:val="22"/>
        </w:rPr>
        <w:t xml:space="preserve"> </w:t>
      </w:r>
      <w:r w:rsidRPr="009C6BD7">
        <w:rPr>
          <w:rFonts w:ascii="Times New Roman" w:hAnsi="Times New Roman"/>
          <w:b/>
          <w:i/>
          <w:szCs w:val="22"/>
        </w:rPr>
        <w:t>Harper Panel Review?</w:t>
      </w:r>
    </w:p>
    <w:p w:rsidR="00685EBC" w:rsidRPr="00D12ED3" w:rsidRDefault="00685EBC" w:rsidP="00685EBC">
      <w:pPr>
        <w:pStyle w:val="ListParagraph"/>
        <w:numPr>
          <w:ilvl w:val="0"/>
          <w:numId w:val="20"/>
        </w:numPr>
        <w:spacing w:line="360" w:lineRule="auto"/>
        <w:jc w:val="both"/>
        <w:rPr>
          <w:rFonts w:ascii="Times New Roman" w:hAnsi="Times New Roman"/>
          <w:b/>
          <w:i/>
          <w:sz w:val="20"/>
          <w:szCs w:val="20"/>
          <w:lang w:val="en-AU"/>
        </w:rPr>
      </w:pPr>
      <w:r w:rsidRPr="00D12ED3">
        <w:rPr>
          <w:rFonts w:ascii="Times New Roman" w:hAnsi="Times New Roman"/>
          <w:szCs w:val="22"/>
        </w:rPr>
        <w:t xml:space="preserve">The Harper Review made it quite clear that in its current form the ‘purpose test’ protects the individual competitor not the competitive process and it is the protection and promotion of the competitive process that should be the objective of the law.  </w:t>
      </w:r>
      <w:r>
        <w:rPr>
          <w:rFonts w:ascii="Times New Roman" w:hAnsi="Times New Roman"/>
          <w:szCs w:val="22"/>
        </w:rPr>
        <w:t xml:space="preserve">It is our submission that ‘purpose’ alone is insufficient. Proving that there is an intention of a firm to misuse its market power is problematic in that unless there is a consequence then the test will remain a subjective one. </w:t>
      </w:r>
    </w:p>
    <w:p w:rsidR="00685EBC" w:rsidRPr="00EF0F7C" w:rsidRDefault="00685EBC" w:rsidP="00685EBC">
      <w:pPr>
        <w:pStyle w:val="ListParagraph"/>
        <w:numPr>
          <w:ilvl w:val="0"/>
          <w:numId w:val="20"/>
        </w:numPr>
        <w:spacing w:line="360" w:lineRule="auto"/>
        <w:jc w:val="both"/>
        <w:rPr>
          <w:rFonts w:ascii="Times New Roman" w:hAnsi="Times New Roman"/>
          <w:b/>
          <w:i/>
          <w:sz w:val="20"/>
          <w:szCs w:val="20"/>
          <w:lang w:val="en-AU"/>
        </w:rPr>
      </w:pPr>
      <w:r w:rsidRPr="00D12ED3">
        <w:rPr>
          <w:rFonts w:ascii="Times New Roman" w:hAnsi="Times New Roman"/>
          <w:szCs w:val="22"/>
        </w:rPr>
        <w:t xml:space="preserve">The Harper Review rightly cited the comparisons in international law, </w:t>
      </w:r>
      <w:r>
        <w:rPr>
          <w:rFonts w:ascii="Times New Roman" w:hAnsi="Times New Roman"/>
          <w:szCs w:val="22"/>
        </w:rPr>
        <w:t>particularly</w:t>
      </w:r>
      <w:r w:rsidRPr="00D12ED3">
        <w:rPr>
          <w:rFonts w:ascii="Times New Roman" w:hAnsi="Times New Roman"/>
          <w:szCs w:val="22"/>
        </w:rPr>
        <w:t xml:space="preserve"> the USA and Canada,</w:t>
      </w:r>
      <w:r>
        <w:rPr>
          <w:rStyle w:val="FootnoteReference"/>
          <w:rFonts w:ascii="Times New Roman" w:hAnsi="Times New Roman"/>
          <w:szCs w:val="22"/>
        </w:rPr>
        <w:footnoteReference w:id="10"/>
      </w:r>
      <w:r w:rsidRPr="00D12ED3">
        <w:rPr>
          <w:rFonts w:ascii="Times New Roman" w:hAnsi="Times New Roman"/>
          <w:szCs w:val="22"/>
        </w:rPr>
        <w:t xml:space="preserve"> </w:t>
      </w:r>
      <w:r>
        <w:rPr>
          <w:rFonts w:ascii="Times New Roman" w:hAnsi="Times New Roman"/>
          <w:szCs w:val="22"/>
        </w:rPr>
        <w:t>where it is shown</w:t>
      </w:r>
      <w:r w:rsidRPr="00D12ED3">
        <w:rPr>
          <w:rFonts w:ascii="Times New Roman" w:hAnsi="Times New Roman"/>
          <w:szCs w:val="22"/>
        </w:rPr>
        <w:t xml:space="preserve"> in these jurisdictions </w:t>
      </w:r>
      <w:r>
        <w:rPr>
          <w:rFonts w:ascii="Times New Roman" w:hAnsi="Times New Roman"/>
          <w:szCs w:val="22"/>
        </w:rPr>
        <w:t xml:space="preserve">that </w:t>
      </w:r>
      <w:r w:rsidRPr="00D12ED3">
        <w:rPr>
          <w:rFonts w:ascii="Times New Roman" w:hAnsi="Times New Roman"/>
          <w:szCs w:val="22"/>
        </w:rPr>
        <w:t>there is benefit in having a combination of the intent and the resultant effect, which can be inferred from the action</w:t>
      </w:r>
      <w:r>
        <w:rPr>
          <w:rFonts w:ascii="Times New Roman" w:hAnsi="Times New Roman"/>
          <w:szCs w:val="22"/>
        </w:rPr>
        <w:t>s</w:t>
      </w:r>
      <w:r w:rsidRPr="00D12ED3">
        <w:rPr>
          <w:rFonts w:ascii="Times New Roman" w:hAnsi="Times New Roman"/>
          <w:szCs w:val="22"/>
        </w:rPr>
        <w:t xml:space="preserve"> of a firm,. The purpose alone </w:t>
      </w:r>
      <w:r>
        <w:rPr>
          <w:rFonts w:ascii="Times New Roman" w:hAnsi="Times New Roman"/>
          <w:szCs w:val="22"/>
        </w:rPr>
        <w:t xml:space="preserve">is an </w:t>
      </w:r>
      <w:r w:rsidRPr="00D12ED3">
        <w:rPr>
          <w:rFonts w:ascii="Times New Roman" w:hAnsi="Times New Roman"/>
          <w:szCs w:val="22"/>
        </w:rPr>
        <w:t>insufficient subjective test</w:t>
      </w:r>
      <w:r>
        <w:rPr>
          <w:rFonts w:ascii="Times New Roman" w:hAnsi="Times New Roman"/>
          <w:szCs w:val="22"/>
        </w:rPr>
        <w:t xml:space="preserve"> and is concerned more with motivation, which may also be influenced by further conduct, making the purpose a continuing one. </w:t>
      </w:r>
    </w:p>
    <w:p w:rsidR="00685EBC" w:rsidRPr="00667F4F" w:rsidRDefault="00685EBC" w:rsidP="00685EBC">
      <w:pPr>
        <w:pStyle w:val="ListParagraph"/>
        <w:numPr>
          <w:ilvl w:val="0"/>
          <w:numId w:val="20"/>
        </w:numPr>
        <w:spacing w:line="360" w:lineRule="auto"/>
        <w:jc w:val="both"/>
        <w:rPr>
          <w:rFonts w:ascii="Times New Roman" w:hAnsi="Times New Roman"/>
          <w:b/>
          <w:i/>
          <w:sz w:val="20"/>
          <w:szCs w:val="20"/>
          <w:lang w:val="en-AU"/>
        </w:rPr>
      </w:pPr>
      <w:r>
        <w:rPr>
          <w:rFonts w:ascii="Times New Roman" w:hAnsi="Times New Roman"/>
          <w:szCs w:val="22"/>
        </w:rPr>
        <w:t>The restructure of S 46 would be more effective with the additional element of the effects test to lessen market power.</w:t>
      </w:r>
    </w:p>
    <w:p w:rsidR="00685EBC" w:rsidRPr="005A07E5" w:rsidRDefault="00685EBC" w:rsidP="00685EBC">
      <w:pPr>
        <w:spacing w:line="360" w:lineRule="auto"/>
        <w:jc w:val="both"/>
        <w:rPr>
          <w:rFonts w:ascii="Times New Roman" w:hAnsi="Times New Roman"/>
          <w:b/>
          <w:i/>
          <w:szCs w:val="22"/>
          <w:lang w:val="en-AU"/>
        </w:rPr>
      </w:pPr>
      <w:r w:rsidRPr="005A07E5">
        <w:rPr>
          <w:rFonts w:ascii="Times New Roman" w:hAnsi="Times New Roman"/>
          <w:b/>
          <w:i/>
          <w:szCs w:val="22"/>
        </w:rPr>
        <w:t>Substantially lessening competition</w:t>
      </w:r>
    </w:p>
    <w:p w:rsidR="00685EBC" w:rsidRPr="000844AF" w:rsidRDefault="00685EBC" w:rsidP="00685EBC">
      <w:pPr>
        <w:spacing w:line="360" w:lineRule="auto"/>
        <w:jc w:val="both"/>
        <w:rPr>
          <w:rFonts w:ascii="Times New Roman" w:hAnsi="Times New Roman"/>
          <w:b/>
          <w:i/>
          <w:szCs w:val="22"/>
        </w:rPr>
      </w:pPr>
      <w:r w:rsidRPr="005A07E5">
        <w:rPr>
          <w:rFonts w:ascii="Times New Roman" w:hAnsi="Times New Roman"/>
          <w:b/>
          <w:i/>
          <w:szCs w:val="22"/>
        </w:rPr>
        <w:t xml:space="preserve">Question 8 “Given the understanding of the term ‘substantially lessening competition” that has developed from case law, would this better focus the provision on conduct that is </w:t>
      </w:r>
      <w:r w:rsidRPr="005A07E5">
        <w:rPr>
          <w:rFonts w:ascii="Times New Roman" w:hAnsi="Times New Roman"/>
          <w:b/>
          <w:i/>
          <w:szCs w:val="22"/>
          <w:u w:val="single"/>
        </w:rPr>
        <w:t>anti –competitive rather</w:t>
      </w:r>
      <w:r w:rsidRPr="005A07E5">
        <w:rPr>
          <w:rFonts w:ascii="Times New Roman" w:hAnsi="Times New Roman"/>
          <w:b/>
          <w:i/>
          <w:szCs w:val="22"/>
        </w:rPr>
        <w:t xml:space="preserve"> than using </w:t>
      </w:r>
      <w:r w:rsidRPr="005A07E5">
        <w:rPr>
          <w:rFonts w:ascii="Times New Roman" w:hAnsi="Times New Roman"/>
          <w:b/>
          <w:i/>
          <w:szCs w:val="22"/>
          <w:u w:val="single"/>
        </w:rPr>
        <w:t>specific behavior</w:t>
      </w:r>
      <w:r w:rsidRPr="005A07E5">
        <w:rPr>
          <w:rFonts w:ascii="Times New Roman" w:hAnsi="Times New Roman"/>
          <w:b/>
          <w:i/>
          <w:szCs w:val="22"/>
        </w:rPr>
        <w:t xml:space="preserve"> and therefore avoid </w:t>
      </w:r>
      <w:r w:rsidRPr="005A07E5">
        <w:rPr>
          <w:rFonts w:ascii="Times New Roman" w:hAnsi="Times New Roman"/>
          <w:b/>
          <w:i/>
          <w:szCs w:val="22"/>
          <w:u w:val="single"/>
        </w:rPr>
        <w:t>restricting genuinely pro</w:t>
      </w:r>
      <w:r>
        <w:rPr>
          <w:rFonts w:ascii="Times New Roman" w:hAnsi="Times New Roman"/>
          <w:b/>
          <w:i/>
          <w:szCs w:val="22"/>
          <w:u w:val="single"/>
        </w:rPr>
        <w:t>-</w:t>
      </w:r>
      <w:r w:rsidRPr="005A07E5">
        <w:rPr>
          <w:rFonts w:ascii="Times New Roman" w:hAnsi="Times New Roman"/>
          <w:b/>
          <w:i/>
          <w:szCs w:val="22"/>
          <w:u w:val="single"/>
        </w:rPr>
        <w:t>competitive conduct’</w:t>
      </w:r>
      <w:r w:rsidRPr="005A07E5">
        <w:rPr>
          <w:rFonts w:ascii="Times New Roman" w:hAnsi="Times New Roman"/>
          <w:b/>
          <w:i/>
          <w:szCs w:val="22"/>
        </w:rPr>
        <w:t xml:space="preserve">?  </w:t>
      </w:r>
    </w:p>
    <w:p w:rsidR="00685EBC" w:rsidRPr="009F521C" w:rsidRDefault="00685EBC" w:rsidP="00685EBC">
      <w:pPr>
        <w:pStyle w:val="ListParagraph"/>
        <w:numPr>
          <w:ilvl w:val="0"/>
          <w:numId w:val="20"/>
        </w:numPr>
        <w:spacing w:line="360" w:lineRule="auto"/>
        <w:jc w:val="both"/>
        <w:rPr>
          <w:rFonts w:ascii="Times New Roman" w:hAnsi="Times New Roman"/>
          <w:b/>
          <w:i/>
          <w:szCs w:val="22"/>
          <w:lang w:val="en-AU"/>
        </w:rPr>
      </w:pPr>
      <w:r w:rsidRPr="009F521C">
        <w:rPr>
          <w:rFonts w:ascii="Times New Roman" w:hAnsi="Times New Roman"/>
          <w:szCs w:val="22"/>
        </w:rPr>
        <w:t xml:space="preserve">The Harper Review stated throughout the report that the main objective of any new laws should be the promotion and protection of competition, the main focus of which is on the competitive process. </w:t>
      </w:r>
    </w:p>
    <w:p w:rsidR="00685EBC" w:rsidRPr="00A727D9"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There have been concerns raised that the proposed expansion of the substantially lessening of competition test in S. 46 will be a deterrent to those who plan to engage in pro competitive activities and this has raised fears that such activities will be stifled for fear of breaching the law. T</w:t>
      </w:r>
      <w:r w:rsidRPr="00A727D9">
        <w:rPr>
          <w:rFonts w:ascii="Times New Roman" w:hAnsi="Times New Roman"/>
          <w:szCs w:val="22"/>
        </w:rPr>
        <w:t xml:space="preserve">he Harper Review </w:t>
      </w:r>
      <w:r>
        <w:rPr>
          <w:rFonts w:ascii="Times New Roman" w:hAnsi="Times New Roman"/>
          <w:szCs w:val="22"/>
        </w:rPr>
        <w:t xml:space="preserve">responded to these concerns </w:t>
      </w:r>
      <w:r w:rsidRPr="00A727D9">
        <w:rPr>
          <w:rFonts w:ascii="Times New Roman" w:hAnsi="Times New Roman"/>
          <w:szCs w:val="22"/>
        </w:rPr>
        <w:t>when the</w:t>
      </w:r>
      <w:r>
        <w:rPr>
          <w:rFonts w:ascii="Times New Roman" w:hAnsi="Times New Roman"/>
          <w:szCs w:val="22"/>
        </w:rPr>
        <w:t xml:space="preserve">y </w:t>
      </w:r>
      <w:r w:rsidRPr="00A727D9">
        <w:rPr>
          <w:rFonts w:ascii="Times New Roman" w:hAnsi="Times New Roman"/>
          <w:szCs w:val="22"/>
        </w:rPr>
        <w:t xml:space="preserve">were raised </w:t>
      </w:r>
      <w:r>
        <w:rPr>
          <w:rFonts w:ascii="Times New Roman" w:hAnsi="Times New Roman"/>
          <w:szCs w:val="22"/>
        </w:rPr>
        <w:t xml:space="preserve">and it was pointed out that </w:t>
      </w:r>
      <w:r w:rsidRPr="00A727D9">
        <w:rPr>
          <w:rFonts w:ascii="Times New Roman" w:hAnsi="Times New Roman"/>
          <w:szCs w:val="22"/>
        </w:rPr>
        <w:t>the “proposed test of ‘substantially lessening competition’ is the same as that found in sections</w:t>
      </w:r>
      <w:r>
        <w:rPr>
          <w:rFonts w:ascii="Times New Roman" w:hAnsi="Times New Roman"/>
          <w:szCs w:val="22"/>
        </w:rPr>
        <w:t xml:space="preserve"> 45</w:t>
      </w:r>
      <w:r w:rsidRPr="00A727D9">
        <w:rPr>
          <w:rFonts w:ascii="Times New Roman" w:hAnsi="Times New Roman"/>
          <w:szCs w:val="22"/>
        </w:rPr>
        <w:t>, 47, and 50 and the test is well accepted within those sections. As explained by the former Trade Practices Tribunal in QCMA</w:t>
      </w:r>
      <w:r w:rsidRPr="00A727D9">
        <w:rPr>
          <w:rStyle w:val="FootnoteReference"/>
          <w:rFonts w:ascii="Times New Roman" w:hAnsi="Times New Roman"/>
          <w:szCs w:val="22"/>
        </w:rPr>
        <w:footnoteReference w:id="11"/>
      </w:r>
      <w:r w:rsidRPr="00A727D9">
        <w:rPr>
          <w:rFonts w:ascii="Times New Roman" w:hAnsi="Times New Roman"/>
          <w:szCs w:val="22"/>
        </w:rPr>
        <w:t xml:space="preserve"> </w:t>
      </w:r>
      <w:r>
        <w:rPr>
          <w:rFonts w:ascii="Times New Roman" w:hAnsi="Times New Roman"/>
          <w:szCs w:val="22"/>
        </w:rPr>
        <w:t>“</w:t>
      </w:r>
      <w:r w:rsidRPr="00A727D9">
        <w:rPr>
          <w:rFonts w:ascii="Times New Roman" w:hAnsi="Times New Roman"/>
          <w:szCs w:val="22"/>
        </w:rPr>
        <w:t xml:space="preserve">competition expresses itself as rivalrous market behavior and is a process rather than a situation.” </w:t>
      </w:r>
    </w:p>
    <w:p w:rsidR="00685EBC" w:rsidRPr="00257A1B"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 A business would of necessity need to assess whether any proposed activities are likely to be anti- competitive or pro- competitive and determining the purpose and effect behind its actions should not be unduly burdensome.   </w:t>
      </w:r>
      <w:r w:rsidRPr="00A727D9">
        <w:rPr>
          <w:rFonts w:ascii="Times New Roman" w:hAnsi="Times New Roman"/>
          <w:szCs w:val="22"/>
        </w:rPr>
        <w:t xml:space="preserve">MGA submits that the comparisons that have been drawn between the proposed change to Section 46 and legislation in overseas jurisdictions </w:t>
      </w:r>
      <w:r w:rsidRPr="00257A1B">
        <w:rPr>
          <w:rFonts w:ascii="Times New Roman" w:hAnsi="Times New Roman"/>
          <w:szCs w:val="22"/>
        </w:rPr>
        <w:t>provides strong evidence that giving consideration to the assessment of pro-competitive conduct as opposed to anti- competitive conduct is common and beneficial.</w:t>
      </w:r>
    </w:p>
    <w:p w:rsidR="00685EBC" w:rsidRPr="00A871CE"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In the supermarket industry there have </w:t>
      </w:r>
      <w:r w:rsidRPr="00A727D9">
        <w:rPr>
          <w:rFonts w:ascii="Times New Roman" w:hAnsi="Times New Roman"/>
          <w:szCs w:val="22"/>
        </w:rPr>
        <w:t xml:space="preserve">been </w:t>
      </w:r>
      <w:r>
        <w:rPr>
          <w:rFonts w:ascii="Times New Roman" w:hAnsi="Times New Roman"/>
          <w:szCs w:val="22"/>
        </w:rPr>
        <w:t xml:space="preserve">suggestions </w:t>
      </w:r>
      <w:r w:rsidRPr="00A727D9">
        <w:rPr>
          <w:rFonts w:ascii="Times New Roman" w:hAnsi="Times New Roman"/>
          <w:szCs w:val="22"/>
        </w:rPr>
        <w:t xml:space="preserve">that consumers are </w:t>
      </w:r>
      <w:r>
        <w:rPr>
          <w:rFonts w:ascii="Times New Roman" w:hAnsi="Times New Roman"/>
          <w:szCs w:val="22"/>
        </w:rPr>
        <w:t xml:space="preserve">less </w:t>
      </w:r>
      <w:r w:rsidRPr="00A727D9">
        <w:rPr>
          <w:rFonts w:ascii="Times New Roman" w:hAnsi="Times New Roman"/>
          <w:szCs w:val="22"/>
        </w:rPr>
        <w:t xml:space="preserve">likely </w:t>
      </w:r>
      <w:r>
        <w:rPr>
          <w:rFonts w:ascii="Times New Roman" w:hAnsi="Times New Roman"/>
          <w:szCs w:val="22"/>
        </w:rPr>
        <w:t>to find</w:t>
      </w:r>
      <w:r w:rsidRPr="00A727D9">
        <w:rPr>
          <w:rFonts w:ascii="Times New Roman" w:hAnsi="Times New Roman"/>
          <w:szCs w:val="22"/>
        </w:rPr>
        <w:t xml:space="preserve"> </w:t>
      </w:r>
      <w:r>
        <w:rPr>
          <w:rFonts w:ascii="Times New Roman" w:hAnsi="Times New Roman"/>
          <w:szCs w:val="22"/>
        </w:rPr>
        <w:t xml:space="preserve">large or many </w:t>
      </w:r>
      <w:r w:rsidRPr="00A727D9">
        <w:rPr>
          <w:rFonts w:ascii="Times New Roman" w:hAnsi="Times New Roman"/>
          <w:szCs w:val="22"/>
        </w:rPr>
        <w:t xml:space="preserve">reductions in </w:t>
      </w:r>
      <w:r>
        <w:rPr>
          <w:rFonts w:ascii="Times New Roman" w:hAnsi="Times New Roman"/>
          <w:szCs w:val="22"/>
        </w:rPr>
        <w:t>food prices</w:t>
      </w:r>
      <w:r w:rsidRPr="00A727D9">
        <w:rPr>
          <w:rFonts w:ascii="Times New Roman" w:hAnsi="Times New Roman"/>
          <w:szCs w:val="22"/>
        </w:rPr>
        <w:t xml:space="preserve"> because</w:t>
      </w:r>
      <w:r>
        <w:rPr>
          <w:rFonts w:ascii="Times New Roman" w:hAnsi="Times New Roman"/>
          <w:szCs w:val="22"/>
        </w:rPr>
        <w:t>,</w:t>
      </w:r>
      <w:r w:rsidRPr="00A727D9">
        <w:rPr>
          <w:rFonts w:ascii="Times New Roman" w:hAnsi="Times New Roman"/>
          <w:szCs w:val="22"/>
        </w:rPr>
        <w:t xml:space="preserve"> </w:t>
      </w:r>
      <w:r>
        <w:rPr>
          <w:rFonts w:ascii="Times New Roman" w:hAnsi="Times New Roman"/>
          <w:szCs w:val="22"/>
        </w:rPr>
        <w:t xml:space="preserve">by engaging in such an activity </w:t>
      </w:r>
      <w:r w:rsidRPr="00A727D9">
        <w:rPr>
          <w:rFonts w:ascii="Times New Roman" w:hAnsi="Times New Roman"/>
          <w:szCs w:val="22"/>
        </w:rPr>
        <w:t xml:space="preserve">big businesses will fear that they may be breaching the law. The introduction of </w:t>
      </w:r>
      <w:r>
        <w:rPr>
          <w:rFonts w:ascii="Times New Roman" w:hAnsi="Times New Roman"/>
          <w:szCs w:val="22"/>
        </w:rPr>
        <w:t xml:space="preserve">new </w:t>
      </w:r>
      <w:r w:rsidRPr="00A727D9">
        <w:rPr>
          <w:rFonts w:ascii="Times New Roman" w:hAnsi="Times New Roman"/>
          <w:szCs w:val="22"/>
        </w:rPr>
        <w:t xml:space="preserve">laws </w:t>
      </w:r>
      <w:r>
        <w:rPr>
          <w:rFonts w:ascii="Times New Roman" w:hAnsi="Times New Roman"/>
          <w:szCs w:val="22"/>
        </w:rPr>
        <w:t>will not prevent robust competition, such as in this example, or any other form of competition from happening. O</w:t>
      </w:r>
      <w:r w:rsidRPr="00A727D9">
        <w:rPr>
          <w:rFonts w:ascii="Times New Roman" w:hAnsi="Times New Roman"/>
          <w:szCs w:val="22"/>
        </w:rPr>
        <w:t xml:space="preserve">n the contrary </w:t>
      </w:r>
      <w:r>
        <w:rPr>
          <w:rFonts w:ascii="Times New Roman" w:hAnsi="Times New Roman"/>
          <w:szCs w:val="22"/>
        </w:rPr>
        <w:t xml:space="preserve">the intention is to have all competitors examine the purpose of their competitive initiatives and to carefully consider the consequences of their actions and their impact on the competitive process generally. Any business that engages in improving, developing or innovating in order to promote a business may require its personnel to scrutinize their proposed actions but it is disputed that this would be a costly or time consuming exercise. </w:t>
      </w:r>
    </w:p>
    <w:p w:rsidR="00685EBC" w:rsidRPr="00215B06"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The proposed S.46(1) is likely to prevent anti- competitive conduct such as deterring entry into a saturated   market or pricing goods at levels that will eventually force a competitor out of the market and then restoring them to a  higher price once the elimination is complete.</w:t>
      </w:r>
      <w:r w:rsidRPr="00215B06">
        <w:rPr>
          <w:rFonts w:ascii="Times New Roman" w:hAnsi="Times New Roman"/>
          <w:szCs w:val="22"/>
        </w:rPr>
        <w:t xml:space="preserve"> </w:t>
      </w:r>
    </w:p>
    <w:p w:rsidR="00685EBC" w:rsidRDefault="00685EBC" w:rsidP="00685EBC">
      <w:pPr>
        <w:pStyle w:val="ListParagraph"/>
        <w:numPr>
          <w:ilvl w:val="0"/>
          <w:numId w:val="20"/>
        </w:numPr>
        <w:spacing w:line="360" w:lineRule="auto"/>
        <w:jc w:val="both"/>
        <w:rPr>
          <w:rFonts w:ascii="Times New Roman" w:hAnsi="Times New Roman"/>
          <w:szCs w:val="22"/>
          <w:lang w:val="en-AU"/>
        </w:rPr>
      </w:pPr>
      <w:r w:rsidRPr="001823F1">
        <w:rPr>
          <w:rFonts w:ascii="Times New Roman" w:hAnsi="Times New Roman"/>
          <w:szCs w:val="22"/>
          <w:lang w:val="en-AU"/>
        </w:rPr>
        <w:t xml:space="preserve">Nevertheless, there remains a fear that procompetitive conduct could be overlooked </w:t>
      </w:r>
      <w:r>
        <w:rPr>
          <w:rFonts w:ascii="Times New Roman" w:hAnsi="Times New Roman"/>
          <w:szCs w:val="22"/>
          <w:lang w:val="en-AU"/>
        </w:rPr>
        <w:t xml:space="preserve">if new laws are introduced. Any amendment to the Act to ensure that businesses are not being anti-competitive will not stifle innovation or new ideas but if there are concerns that such a situation existed then the </w:t>
      </w:r>
      <w:r w:rsidRPr="001823F1">
        <w:rPr>
          <w:rFonts w:ascii="Times New Roman" w:hAnsi="Times New Roman"/>
          <w:szCs w:val="22"/>
          <w:lang w:val="en-AU"/>
        </w:rPr>
        <w:t>assistance</w:t>
      </w:r>
      <w:r>
        <w:rPr>
          <w:rFonts w:ascii="Times New Roman" w:hAnsi="Times New Roman"/>
          <w:szCs w:val="22"/>
          <w:lang w:val="en-AU"/>
        </w:rPr>
        <w:t xml:space="preserve"> of </w:t>
      </w:r>
      <w:r w:rsidRPr="001823F1">
        <w:rPr>
          <w:rFonts w:ascii="Times New Roman" w:hAnsi="Times New Roman"/>
          <w:szCs w:val="22"/>
          <w:lang w:val="en-AU"/>
        </w:rPr>
        <w:t>the ACCC</w:t>
      </w:r>
      <w:r>
        <w:rPr>
          <w:rFonts w:ascii="Times New Roman" w:hAnsi="Times New Roman"/>
          <w:szCs w:val="22"/>
          <w:lang w:val="en-AU"/>
        </w:rPr>
        <w:t xml:space="preserve"> should be available </w:t>
      </w:r>
      <w:r w:rsidRPr="001823F1">
        <w:rPr>
          <w:rFonts w:ascii="Times New Roman" w:hAnsi="Times New Roman"/>
          <w:szCs w:val="22"/>
          <w:lang w:val="en-AU"/>
        </w:rPr>
        <w:t>where there is doubt</w:t>
      </w:r>
      <w:r>
        <w:rPr>
          <w:rFonts w:ascii="Times New Roman" w:hAnsi="Times New Roman"/>
          <w:szCs w:val="22"/>
          <w:lang w:val="en-AU"/>
        </w:rPr>
        <w:t>.</w:t>
      </w:r>
      <w:r w:rsidRPr="001823F1">
        <w:rPr>
          <w:rFonts w:ascii="Times New Roman" w:hAnsi="Times New Roman"/>
          <w:szCs w:val="22"/>
          <w:lang w:val="en-AU"/>
        </w:rPr>
        <w:t xml:space="preserve"> </w:t>
      </w:r>
      <w:r>
        <w:rPr>
          <w:rFonts w:ascii="Times New Roman" w:hAnsi="Times New Roman"/>
          <w:szCs w:val="22"/>
          <w:lang w:val="en-AU"/>
        </w:rPr>
        <w:t>The availability of a</w:t>
      </w:r>
      <w:r w:rsidRPr="001823F1">
        <w:rPr>
          <w:rFonts w:ascii="Times New Roman" w:hAnsi="Times New Roman"/>
          <w:szCs w:val="22"/>
          <w:lang w:val="en-AU"/>
        </w:rPr>
        <w:t xml:space="preserve">uthorisations by the ACCC may assist in overcoming </w:t>
      </w:r>
      <w:r>
        <w:rPr>
          <w:rFonts w:ascii="Times New Roman" w:hAnsi="Times New Roman"/>
          <w:szCs w:val="22"/>
          <w:lang w:val="en-AU"/>
        </w:rPr>
        <w:t xml:space="preserve">any </w:t>
      </w:r>
      <w:r w:rsidRPr="001823F1">
        <w:rPr>
          <w:rFonts w:ascii="Times New Roman" w:hAnsi="Times New Roman"/>
          <w:szCs w:val="22"/>
          <w:lang w:val="en-AU"/>
        </w:rPr>
        <w:t xml:space="preserve">concerns that might exist and </w:t>
      </w:r>
      <w:r>
        <w:rPr>
          <w:rFonts w:ascii="Times New Roman" w:hAnsi="Times New Roman"/>
          <w:szCs w:val="22"/>
          <w:lang w:val="en-AU"/>
        </w:rPr>
        <w:t>is suggested that S46 should provide this opportunity.</w:t>
      </w:r>
    </w:p>
    <w:p w:rsidR="00685EBC" w:rsidRPr="00BB2963" w:rsidRDefault="00685EBC" w:rsidP="00685EBC">
      <w:pPr>
        <w:pStyle w:val="ListParagraph"/>
        <w:numPr>
          <w:ilvl w:val="0"/>
          <w:numId w:val="20"/>
        </w:numPr>
        <w:spacing w:line="360" w:lineRule="auto"/>
        <w:jc w:val="both"/>
        <w:rPr>
          <w:rFonts w:ascii="Times New Roman" w:hAnsi="Times New Roman"/>
          <w:szCs w:val="22"/>
          <w:lang w:val="en-AU"/>
        </w:rPr>
      </w:pPr>
      <w:r w:rsidRPr="001823F1">
        <w:rPr>
          <w:rFonts w:ascii="Times New Roman" w:hAnsi="Times New Roman"/>
          <w:szCs w:val="22"/>
        </w:rPr>
        <w:t xml:space="preserve">It is surely in the public interest to ensure that the law is compatible with the growth of the changed business environment in which </w:t>
      </w:r>
      <w:r>
        <w:rPr>
          <w:rFonts w:ascii="Times New Roman" w:hAnsi="Times New Roman"/>
          <w:szCs w:val="22"/>
        </w:rPr>
        <w:t xml:space="preserve">the emergence of </w:t>
      </w:r>
      <w:r w:rsidRPr="001823F1">
        <w:rPr>
          <w:rFonts w:ascii="Times New Roman" w:hAnsi="Times New Roman"/>
          <w:szCs w:val="22"/>
        </w:rPr>
        <w:t xml:space="preserve">thousands of small businesses have </w:t>
      </w:r>
      <w:r>
        <w:rPr>
          <w:rFonts w:ascii="Times New Roman" w:hAnsi="Times New Roman"/>
          <w:szCs w:val="22"/>
        </w:rPr>
        <w:t xml:space="preserve">changed the economic landscape </w:t>
      </w:r>
      <w:r w:rsidRPr="00BB2963">
        <w:rPr>
          <w:rFonts w:ascii="Times New Roman" w:hAnsi="Times New Roman"/>
          <w:szCs w:val="22"/>
        </w:rPr>
        <w:t xml:space="preserve">and are able to contribute to Australian economic growth. Unfortunately our laws are inhibiting diversity in the economy and our laws need to focus more on preventing </w:t>
      </w:r>
      <w:r>
        <w:rPr>
          <w:rFonts w:ascii="Times New Roman" w:hAnsi="Times New Roman"/>
          <w:szCs w:val="22"/>
        </w:rPr>
        <w:t xml:space="preserve">the </w:t>
      </w:r>
      <w:r w:rsidRPr="00BB2963">
        <w:rPr>
          <w:rFonts w:ascii="Times New Roman" w:hAnsi="Times New Roman"/>
          <w:szCs w:val="22"/>
        </w:rPr>
        <w:t>anti- competitive exclusionary behavior of the past</w:t>
      </w:r>
      <w:r>
        <w:rPr>
          <w:rFonts w:ascii="Times New Roman" w:hAnsi="Times New Roman"/>
          <w:szCs w:val="22"/>
        </w:rPr>
        <w:t>. A</w:t>
      </w:r>
      <w:r w:rsidRPr="00BB2963">
        <w:rPr>
          <w:rFonts w:ascii="Times New Roman" w:hAnsi="Times New Roman"/>
          <w:szCs w:val="22"/>
        </w:rPr>
        <w:t xml:space="preserve">dopting the recommendations of the Harper Review is an opportunity to achieve </w:t>
      </w:r>
      <w:r>
        <w:rPr>
          <w:rFonts w:ascii="Times New Roman" w:hAnsi="Times New Roman"/>
          <w:szCs w:val="22"/>
        </w:rPr>
        <w:t xml:space="preserve">the elimination of anti- competitive exclusionary behavior and encourage businesses to examine their pro- competitive behavior closely. </w:t>
      </w:r>
    </w:p>
    <w:p w:rsidR="00685EBC" w:rsidRPr="00F072A4" w:rsidRDefault="00685EBC" w:rsidP="00685EBC">
      <w:pPr>
        <w:pStyle w:val="ListParagraph"/>
        <w:numPr>
          <w:ilvl w:val="0"/>
          <w:numId w:val="20"/>
        </w:numPr>
        <w:spacing w:line="360" w:lineRule="auto"/>
        <w:jc w:val="both"/>
        <w:rPr>
          <w:rFonts w:ascii="Times New Roman" w:hAnsi="Times New Roman"/>
          <w:szCs w:val="22"/>
          <w:lang w:val="en-AU"/>
        </w:rPr>
      </w:pPr>
      <w:r>
        <w:rPr>
          <w:rFonts w:ascii="Times New Roman" w:hAnsi="Times New Roman"/>
          <w:szCs w:val="22"/>
        </w:rPr>
        <w:t xml:space="preserve">MGA does not oppose any activities that genuinely benefit the competitive process. However, the ‘substantially lessening of competition test’ should be able to determine a pro- competitive activity from an anti- competitive activity. The proposed legislative guidance recommended by the Harper Review in S 46(2) was obviously aimed at overcoming this concern. However, such an amendment could have the effect of raising issues of interpretation and therefore MGA supports guidance by the ACCC Regulator could be more effective and result in fewer delays that could result from a more litigious process. </w:t>
      </w:r>
    </w:p>
    <w:p w:rsidR="00685EBC" w:rsidRDefault="00685EBC" w:rsidP="00685EBC">
      <w:pPr>
        <w:spacing w:line="360" w:lineRule="auto"/>
        <w:jc w:val="both"/>
        <w:rPr>
          <w:rFonts w:ascii="Times New Roman" w:hAnsi="Times New Roman"/>
          <w:szCs w:val="22"/>
          <w:lang w:val="en-AU"/>
        </w:rPr>
      </w:pPr>
    </w:p>
    <w:p w:rsidR="00685EBC" w:rsidRPr="00F072A4" w:rsidRDefault="00685EBC" w:rsidP="00685EBC">
      <w:pPr>
        <w:spacing w:line="360" w:lineRule="auto"/>
        <w:jc w:val="both"/>
        <w:rPr>
          <w:rFonts w:ascii="Times New Roman" w:hAnsi="Times New Roman"/>
          <w:szCs w:val="22"/>
          <w:lang w:val="en-AU"/>
        </w:rPr>
      </w:pPr>
    </w:p>
    <w:p w:rsidR="00685EBC" w:rsidRPr="001823F1" w:rsidRDefault="00685EBC" w:rsidP="00685EBC">
      <w:pPr>
        <w:pStyle w:val="ListParagraph"/>
        <w:spacing w:line="360" w:lineRule="auto"/>
        <w:ind w:left="426"/>
        <w:jc w:val="both"/>
        <w:rPr>
          <w:rFonts w:ascii="Times New Roman" w:hAnsi="Times New Roman"/>
          <w:b/>
          <w:i/>
          <w:szCs w:val="22"/>
        </w:rPr>
      </w:pPr>
      <w:r w:rsidRPr="001823F1">
        <w:rPr>
          <w:rFonts w:ascii="Times New Roman" w:hAnsi="Times New Roman"/>
          <w:b/>
          <w:i/>
          <w:szCs w:val="22"/>
        </w:rPr>
        <w:t>Question 11 Would establishing mandatory factors the courts must consider reduce uncertainty for business?</w:t>
      </w:r>
    </w:p>
    <w:p w:rsidR="00685EBC" w:rsidRPr="00EC2475" w:rsidRDefault="00685EBC" w:rsidP="00685EBC">
      <w:pPr>
        <w:spacing w:line="360" w:lineRule="auto"/>
        <w:ind w:left="426"/>
        <w:jc w:val="both"/>
        <w:rPr>
          <w:rFonts w:ascii="Times New Roman" w:hAnsi="Times New Roman"/>
          <w:b/>
          <w:i/>
          <w:szCs w:val="22"/>
          <w:lang w:val="en-AU"/>
        </w:rPr>
      </w:pPr>
      <w:r>
        <w:rPr>
          <w:rFonts w:ascii="Times New Roman" w:hAnsi="Times New Roman"/>
          <w:b/>
          <w:i/>
          <w:szCs w:val="22"/>
        </w:rPr>
        <w:t xml:space="preserve">and Question 12 if adopted what should they be? </w:t>
      </w:r>
    </w:p>
    <w:p w:rsidR="00685EBC" w:rsidRPr="00941696" w:rsidRDefault="00685EBC" w:rsidP="00685EBC">
      <w:pPr>
        <w:pStyle w:val="ListParagraph"/>
        <w:numPr>
          <w:ilvl w:val="0"/>
          <w:numId w:val="20"/>
        </w:numPr>
        <w:spacing w:line="360" w:lineRule="auto"/>
        <w:jc w:val="both"/>
        <w:rPr>
          <w:rFonts w:ascii="Times New Roman" w:hAnsi="Times New Roman"/>
          <w:b/>
          <w:i/>
          <w:szCs w:val="22"/>
          <w:lang w:val="en-AU"/>
        </w:rPr>
      </w:pPr>
      <w:r w:rsidRPr="00941696">
        <w:rPr>
          <w:rFonts w:ascii="Times New Roman" w:hAnsi="Times New Roman"/>
          <w:szCs w:val="22"/>
        </w:rPr>
        <w:t xml:space="preserve">After consideration of submissions on the issue of providing for defence provisions in Section 46 it was decided to recommend the inclusion of </w:t>
      </w:r>
      <w:r>
        <w:rPr>
          <w:rFonts w:ascii="Times New Roman" w:hAnsi="Times New Roman"/>
          <w:szCs w:val="22"/>
        </w:rPr>
        <w:t xml:space="preserve">mandatory </w:t>
      </w:r>
      <w:r w:rsidRPr="00941696">
        <w:rPr>
          <w:rFonts w:ascii="Times New Roman" w:hAnsi="Times New Roman"/>
          <w:szCs w:val="22"/>
        </w:rPr>
        <w:t xml:space="preserve">court guidance. The Harper Panel considered a number of submissions in reaching this decision and felt that the adoption of the </w:t>
      </w:r>
      <w:r>
        <w:rPr>
          <w:rFonts w:ascii="Times New Roman" w:hAnsi="Times New Roman"/>
          <w:szCs w:val="22"/>
        </w:rPr>
        <w:t xml:space="preserve">legislative </w:t>
      </w:r>
      <w:r w:rsidRPr="00941696">
        <w:rPr>
          <w:rFonts w:ascii="Times New Roman" w:hAnsi="Times New Roman"/>
          <w:szCs w:val="22"/>
        </w:rPr>
        <w:t xml:space="preserve">guidance </w:t>
      </w:r>
      <w:r>
        <w:rPr>
          <w:rFonts w:ascii="Times New Roman" w:hAnsi="Times New Roman"/>
          <w:szCs w:val="22"/>
        </w:rPr>
        <w:t xml:space="preserve">would be beneficial, </w:t>
      </w:r>
      <w:r w:rsidRPr="00941696">
        <w:rPr>
          <w:rFonts w:ascii="Times New Roman" w:hAnsi="Times New Roman"/>
          <w:szCs w:val="22"/>
        </w:rPr>
        <w:t>similar to arrangements in other sections of the Act and in other jurisdictions.</w:t>
      </w:r>
    </w:p>
    <w:p w:rsidR="00685EBC" w:rsidRPr="002F5657" w:rsidRDefault="00685EBC" w:rsidP="00685EBC">
      <w:pPr>
        <w:pStyle w:val="ListParagraph"/>
        <w:numPr>
          <w:ilvl w:val="0"/>
          <w:numId w:val="20"/>
        </w:numPr>
        <w:spacing w:line="360" w:lineRule="auto"/>
        <w:jc w:val="both"/>
        <w:rPr>
          <w:rFonts w:ascii="Times New Roman" w:hAnsi="Times New Roman"/>
          <w:b/>
          <w:i/>
          <w:szCs w:val="22"/>
          <w:lang w:val="en-AU"/>
        </w:rPr>
      </w:pPr>
      <w:r w:rsidRPr="00091111">
        <w:rPr>
          <w:rFonts w:ascii="Times New Roman" w:hAnsi="Times New Roman"/>
          <w:szCs w:val="22"/>
        </w:rPr>
        <w:t xml:space="preserve">The proposed recommendation does provide specific </w:t>
      </w:r>
      <w:r>
        <w:rPr>
          <w:rFonts w:ascii="Times New Roman" w:hAnsi="Times New Roman"/>
          <w:szCs w:val="22"/>
        </w:rPr>
        <w:t xml:space="preserve">parameters </w:t>
      </w:r>
      <w:r w:rsidRPr="00091111">
        <w:rPr>
          <w:rFonts w:ascii="Times New Roman" w:hAnsi="Times New Roman"/>
          <w:szCs w:val="22"/>
        </w:rPr>
        <w:t xml:space="preserve">which the courts must take into consideration when determining whether conduct that has a purpose or would have be likely to have the effect of substantially lessening competition.  Such provisions that provide for an understanding of whether there is a decrease or </w:t>
      </w:r>
      <w:r>
        <w:rPr>
          <w:rFonts w:ascii="Times New Roman" w:hAnsi="Times New Roman"/>
          <w:szCs w:val="22"/>
        </w:rPr>
        <w:t xml:space="preserve"> </w:t>
      </w:r>
      <w:r w:rsidRPr="00091111">
        <w:rPr>
          <w:rFonts w:ascii="Times New Roman" w:hAnsi="Times New Roman"/>
          <w:szCs w:val="22"/>
        </w:rPr>
        <w:t xml:space="preserve">increase in efficiency, innovation, product quality or price competitiveness do on face value appear to be preferable to the defenses that were previously proposed. They also appear to be consistent with overseas authorities. However, this guidance may cause difficulties in prosecuting </w:t>
      </w:r>
      <w:r>
        <w:rPr>
          <w:rFonts w:ascii="Times New Roman" w:hAnsi="Times New Roman"/>
          <w:szCs w:val="22"/>
        </w:rPr>
        <w:t xml:space="preserve">or defending </w:t>
      </w:r>
      <w:r w:rsidRPr="00091111">
        <w:rPr>
          <w:rFonts w:ascii="Times New Roman" w:hAnsi="Times New Roman"/>
          <w:szCs w:val="22"/>
        </w:rPr>
        <w:t>this section</w:t>
      </w:r>
      <w:r>
        <w:rPr>
          <w:rFonts w:ascii="Times New Roman" w:hAnsi="Times New Roman"/>
          <w:szCs w:val="22"/>
        </w:rPr>
        <w:t xml:space="preserve"> before a Court</w:t>
      </w:r>
      <w:r w:rsidRPr="00091111">
        <w:rPr>
          <w:rFonts w:ascii="Times New Roman" w:hAnsi="Times New Roman"/>
          <w:szCs w:val="22"/>
        </w:rPr>
        <w:t xml:space="preserve">. Attempting to prove or disprove any of the listed mandated guidelines (which is a non – exhaustive list) could have negative results </w:t>
      </w:r>
      <w:r>
        <w:rPr>
          <w:rFonts w:ascii="Times New Roman" w:hAnsi="Times New Roman"/>
          <w:szCs w:val="22"/>
        </w:rPr>
        <w:t xml:space="preserve">as this has the potential to be restrictive and become a distraction rather than a useful guide. It is unclear whether directing the Court to assess specific evidence would be a useful tool. Whilst there may be merit in providing guidelines at the judicial level it could lead to issues of interpretation which can lead to protracted litigation. </w:t>
      </w:r>
    </w:p>
    <w:p w:rsidR="00685EBC" w:rsidRPr="00E2374F" w:rsidRDefault="00685EBC" w:rsidP="00685EBC">
      <w:pPr>
        <w:spacing w:line="360" w:lineRule="auto"/>
        <w:jc w:val="both"/>
        <w:rPr>
          <w:rFonts w:ascii="Times New Roman" w:hAnsi="Times New Roman"/>
          <w:b/>
          <w:i/>
          <w:szCs w:val="22"/>
          <w:lang w:val="en-AU"/>
        </w:rPr>
      </w:pPr>
      <w:r w:rsidRPr="00E2374F">
        <w:rPr>
          <w:rFonts w:ascii="Times New Roman" w:hAnsi="Times New Roman"/>
          <w:b/>
          <w:i/>
          <w:szCs w:val="22"/>
          <w:u w:val="single"/>
        </w:rPr>
        <w:t>Authorizations</w:t>
      </w:r>
    </w:p>
    <w:p w:rsidR="00685EBC" w:rsidRPr="002F5657" w:rsidRDefault="00685EBC" w:rsidP="00685EBC">
      <w:pPr>
        <w:pStyle w:val="ListParagraph"/>
        <w:numPr>
          <w:ilvl w:val="0"/>
          <w:numId w:val="20"/>
        </w:numPr>
        <w:spacing w:line="360" w:lineRule="auto"/>
        <w:jc w:val="both"/>
        <w:rPr>
          <w:rFonts w:ascii="Times New Roman" w:hAnsi="Times New Roman"/>
          <w:b/>
          <w:i/>
          <w:szCs w:val="22"/>
          <w:lang w:val="en-AU"/>
        </w:rPr>
      </w:pPr>
      <w:r w:rsidRPr="002F5657">
        <w:rPr>
          <w:rFonts w:ascii="Times New Roman" w:hAnsi="Times New Roman"/>
          <w:b/>
          <w:i/>
          <w:szCs w:val="22"/>
        </w:rPr>
        <w:t xml:space="preserve">Question 13 </w:t>
      </w:r>
      <w:r>
        <w:rPr>
          <w:rFonts w:ascii="Times New Roman" w:hAnsi="Times New Roman"/>
          <w:b/>
          <w:i/>
          <w:szCs w:val="22"/>
        </w:rPr>
        <w:t>“</w:t>
      </w:r>
      <w:r w:rsidRPr="002F5657">
        <w:rPr>
          <w:rFonts w:ascii="Times New Roman" w:hAnsi="Times New Roman"/>
          <w:b/>
          <w:i/>
          <w:szCs w:val="22"/>
        </w:rPr>
        <w:t>Should authorization be available for conduct that might otherwise be captured by S. 46?</w:t>
      </w:r>
      <w:r>
        <w:rPr>
          <w:rFonts w:ascii="Times New Roman" w:hAnsi="Times New Roman"/>
          <w:b/>
          <w:i/>
          <w:szCs w:val="22"/>
        </w:rPr>
        <w:t>”</w:t>
      </w:r>
    </w:p>
    <w:p w:rsidR="00685EBC" w:rsidRPr="007D6972" w:rsidRDefault="00685EBC" w:rsidP="00685EBC">
      <w:pPr>
        <w:spacing w:line="360" w:lineRule="auto"/>
        <w:ind w:left="360"/>
        <w:jc w:val="both"/>
        <w:rPr>
          <w:rFonts w:ascii="Times New Roman" w:hAnsi="Times New Roman"/>
          <w:szCs w:val="22"/>
          <w:lang w:val="en-AU"/>
        </w:rPr>
      </w:pPr>
      <w:r w:rsidRPr="00E2374F">
        <w:rPr>
          <w:rFonts w:ascii="Times New Roman" w:hAnsi="Times New Roman"/>
          <w:szCs w:val="22"/>
        </w:rPr>
        <w:t xml:space="preserve">MGA supports the inclusion of supplementary measures including ACCC authorizations on the grounds that if it can be demonstrated to the satisfaction of the ACCC that it is in the best interests of the public to permit </w:t>
      </w:r>
      <w:r w:rsidRPr="00E2374F">
        <w:rPr>
          <w:rFonts w:ascii="Times New Roman" w:hAnsi="Times New Roman"/>
          <w:szCs w:val="22"/>
          <w:lang w:val="en-AU"/>
        </w:rPr>
        <w:t xml:space="preserve">a particular activity to proceed. Authorizations would allow for clarification before adopting a particular position and reduce uncertainty. This process has been successfully used for other areas of the legislation and the adoption of this process would </w:t>
      </w:r>
      <w:r w:rsidRPr="007D6972">
        <w:rPr>
          <w:rFonts w:ascii="Times New Roman" w:hAnsi="Times New Roman"/>
          <w:szCs w:val="22"/>
          <w:lang w:val="en-AU"/>
        </w:rPr>
        <w:t xml:space="preserve">assist in avoiding expensive litigation.  </w:t>
      </w:r>
    </w:p>
    <w:p w:rsidR="00685EBC" w:rsidRPr="007D6972" w:rsidRDefault="00685EBC" w:rsidP="00685EBC">
      <w:pPr>
        <w:spacing w:line="360" w:lineRule="auto"/>
        <w:jc w:val="both"/>
        <w:rPr>
          <w:rFonts w:ascii="Times New Roman" w:hAnsi="Times New Roman"/>
          <w:b/>
          <w:sz w:val="28"/>
          <w:szCs w:val="28"/>
        </w:rPr>
      </w:pPr>
      <w:r w:rsidRPr="007D6972">
        <w:rPr>
          <w:rFonts w:ascii="Times New Roman" w:hAnsi="Times New Roman"/>
          <w:b/>
          <w:sz w:val="28"/>
          <w:szCs w:val="28"/>
        </w:rPr>
        <w:t>D. Specific Options</w:t>
      </w:r>
    </w:p>
    <w:p w:rsidR="00685EBC" w:rsidRDefault="00685EBC" w:rsidP="00685EBC">
      <w:pPr>
        <w:spacing w:line="360" w:lineRule="auto"/>
        <w:jc w:val="both"/>
        <w:rPr>
          <w:rFonts w:ascii="Times New Roman" w:hAnsi="Times New Roman"/>
          <w:b/>
          <w:i/>
          <w:szCs w:val="22"/>
        </w:rPr>
      </w:pPr>
      <w:r w:rsidRPr="00A727D9">
        <w:rPr>
          <w:rFonts w:ascii="Times New Roman" w:hAnsi="Times New Roman"/>
          <w:b/>
          <w:i/>
          <w:szCs w:val="22"/>
        </w:rPr>
        <w:t xml:space="preserve">      Option A </w:t>
      </w:r>
    </w:p>
    <w:p w:rsidR="00685EBC" w:rsidRPr="00A727D9" w:rsidRDefault="00685EBC" w:rsidP="00685EBC">
      <w:pPr>
        <w:spacing w:line="360" w:lineRule="auto"/>
        <w:jc w:val="both"/>
        <w:rPr>
          <w:rFonts w:ascii="Times New Roman" w:hAnsi="Times New Roman"/>
          <w:b/>
          <w:i/>
          <w:szCs w:val="22"/>
          <w:lang w:val="en-AU"/>
        </w:rPr>
      </w:pPr>
      <w:r w:rsidRPr="00A727D9">
        <w:rPr>
          <w:rFonts w:ascii="Times New Roman" w:hAnsi="Times New Roman"/>
          <w:b/>
          <w:i/>
          <w:szCs w:val="22"/>
        </w:rPr>
        <w:t>Retain S.46 in its current form (no amendment)</w:t>
      </w:r>
    </w:p>
    <w:p w:rsidR="00685EBC" w:rsidRPr="007D6972"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 xml:space="preserve">MGA opposes the retention of Section 46 in its current form. MGA is strongly of the opinion that currently Section 46 of the CCA is deficient. </w:t>
      </w:r>
    </w:p>
    <w:p w:rsidR="00685EBC" w:rsidRPr="007D6972"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 xml:space="preserve">The current law disallows a company that has a substantial degree of market power from “taking advantage” of its power if it has as its purpose the elimination of damaging a competitor. </w:t>
      </w:r>
      <w:r>
        <w:rPr>
          <w:rFonts w:ascii="Times New Roman" w:hAnsi="Times New Roman"/>
          <w:szCs w:val="22"/>
        </w:rPr>
        <w:t xml:space="preserve">The intention behind the wording of the section is to protect competition but the results of decisions in recent years have shown that the wording is demonstrably flawed and unsuited to the current economic environment. </w:t>
      </w:r>
    </w:p>
    <w:p w:rsidR="00685EBC" w:rsidRPr="00A727D9"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 xml:space="preserve"> The argument has been </w:t>
      </w:r>
      <w:r>
        <w:rPr>
          <w:rFonts w:ascii="Times New Roman" w:hAnsi="Times New Roman"/>
          <w:szCs w:val="22"/>
        </w:rPr>
        <w:t xml:space="preserve">successfully made </w:t>
      </w:r>
      <w:r w:rsidRPr="00A727D9">
        <w:rPr>
          <w:rFonts w:ascii="Times New Roman" w:hAnsi="Times New Roman"/>
          <w:szCs w:val="22"/>
        </w:rPr>
        <w:t xml:space="preserve">that if a firm without market power could take the same action as a firm with market power then </w:t>
      </w:r>
      <w:r>
        <w:rPr>
          <w:rFonts w:ascii="Times New Roman" w:hAnsi="Times New Roman"/>
          <w:szCs w:val="22"/>
        </w:rPr>
        <w:t xml:space="preserve">there is no breach of the law. </w:t>
      </w:r>
      <w:r w:rsidRPr="00A727D9">
        <w:rPr>
          <w:rFonts w:ascii="Times New Roman" w:hAnsi="Times New Roman"/>
          <w:szCs w:val="22"/>
        </w:rPr>
        <w:t>On the face of it the section afford</w:t>
      </w:r>
      <w:r>
        <w:rPr>
          <w:rFonts w:ascii="Times New Roman" w:hAnsi="Times New Roman"/>
          <w:szCs w:val="22"/>
        </w:rPr>
        <w:t>s</w:t>
      </w:r>
      <w:r w:rsidRPr="00A727D9">
        <w:rPr>
          <w:rFonts w:ascii="Times New Roman" w:hAnsi="Times New Roman"/>
          <w:szCs w:val="22"/>
        </w:rPr>
        <w:t xml:space="preserve"> protection to all business</w:t>
      </w:r>
      <w:r>
        <w:rPr>
          <w:rFonts w:ascii="Times New Roman" w:hAnsi="Times New Roman"/>
          <w:szCs w:val="22"/>
        </w:rPr>
        <w:t xml:space="preserve">es however, the reality is </w:t>
      </w:r>
      <w:r w:rsidRPr="00A727D9">
        <w:rPr>
          <w:rFonts w:ascii="Times New Roman" w:hAnsi="Times New Roman"/>
          <w:szCs w:val="22"/>
        </w:rPr>
        <w:t xml:space="preserve">that there is </w:t>
      </w:r>
      <w:r>
        <w:rPr>
          <w:rFonts w:ascii="Times New Roman" w:hAnsi="Times New Roman"/>
          <w:szCs w:val="22"/>
        </w:rPr>
        <w:t xml:space="preserve">often </w:t>
      </w:r>
      <w:r w:rsidRPr="00A727D9">
        <w:rPr>
          <w:rFonts w:ascii="Times New Roman" w:hAnsi="Times New Roman"/>
          <w:szCs w:val="22"/>
        </w:rPr>
        <w:t xml:space="preserve">a nexus between </w:t>
      </w:r>
      <w:r>
        <w:rPr>
          <w:rFonts w:ascii="Times New Roman" w:hAnsi="Times New Roman"/>
          <w:szCs w:val="22"/>
        </w:rPr>
        <w:t xml:space="preserve">the exercise of </w:t>
      </w:r>
      <w:r w:rsidRPr="00A727D9">
        <w:rPr>
          <w:rFonts w:ascii="Times New Roman" w:hAnsi="Times New Roman"/>
          <w:szCs w:val="22"/>
        </w:rPr>
        <w:t>market power and anti –competitive conduct</w:t>
      </w:r>
      <w:r>
        <w:rPr>
          <w:rFonts w:ascii="Times New Roman" w:hAnsi="Times New Roman"/>
          <w:szCs w:val="22"/>
        </w:rPr>
        <w:t xml:space="preserve"> but</w:t>
      </w:r>
      <w:r w:rsidRPr="00A727D9">
        <w:rPr>
          <w:rFonts w:ascii="Times New Roman" w:hAnsi="Times New Roman"/>
          <w:szCs w:val="22"/>
        </w:rPr>
        <w:t xml:space="preserve">, </w:t>
      </w:r>
      <w:r>
        <w:rPr>
          <w:rFonts w:ascii="Times New Roman" w:hAnsi="Times New Roman"/>
          <w:szCs w:val="22"/>
        </w:rPr>
        <w:t xml:space="preserve">due to the framing of the current Section 46(1) </w:t>
      </w:r>
      <w:r w:rsidRPr="00A727D9">
        <w:rPr>
          <w:rFonts w:ascii="Times New Roman" w:hAnsi="Times New Roman"/>
          <w:szCs w:val="22"/>
        </w:rPr>
        <w:t xml:space="preserve">proving that nexus exists has been </w:t>
      </w:r>
      <w:r>
        <w:rPr>
          <w:rFonts w:ascii="Times New Roman" w:hAnsi="Times New Roman"/>
          <w:szCs w:val="22"/>
        </w:rPr>
        <w:t>impossible because the law is clearly intended to be interpreted otherwise</w:t>
      </w:r>
    </w:p>
    <w:p w:rsidR="00685EBC" w:rsidRPr="007D6972"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The content of the current S 46 has been scrutinized and reasons have been presented as to why it should remain unchanged</w:t>
      </w:r>
      <w:r>
        <w:rPr>
          <w:rFonts w:ascii="Times New Roman" w:hAnsi="Times New Roman"/>
          <w:szCs w:val="22"/>
        </w:rPr>
        <w:t>. T</w:t>
      </w:r>
      <w:r w:rsidRPr="00A727D9">
        <w:rPr>
          <w:rFonts w:ascii="Times New Roman" w:hAnsi="Times New Roman"/>
          <w:szCs w:val="22"/>
        </w:rPr>
        <w:t>here is a strong school of thought that it should be retained in its current form</w:t>
      </w:r>
      <w:r>
        <w:rPr>
          <w:rFonts w:ascii="Times New Roman" w:hAnsi="Times New Roman"/>
          <w:szCs w:val="22"/>
        </w:rPr>
        <w:t xml:space="preserve"> because if it is changed then it will damage innovation in the market and big businesses will be skeptical and nervous about initiating new competitive measures.. </w:t>
      </w:r>
    </w:p>
    <w:p w:rsidR="00685EBC" w:rsidRPr="005A07E5"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L</w:t>
      </w:r>
      <w:r w:rsidRPr="00A727D9">
        <w:rPr>
          <w:rFonts w:ascii="Times New Roman" w:hAnsi="Times New Roman"/>
          <w:szCs w:val="22"/>
        </w:rPr>
        <w:t>arger businesses have strongly promulgated their case</w:t>
      </w:r>
      <w:r>
        <w:rPr>
          <w:rFonts w:ascii="Times New Roman" w:hAnsi="Times New Roman"/>
          <w:szCs w:val="22"/>
        </w:rPr>
        <w:t xml:space="preserve"> and believe the change with ‘çhill competition’</w:t>
      </w:r>
      <w:r w:rsidRPr="00A727D9">
        <w:rPr>
          <w:rFonts w:ascii="Times New Roman" w:hAnsi="Times New Roman"/>
          <w:szCs w:val="22"/>
        </w:rPr>
        <w:t>. There h</w:t>
      </w:r>
      <w:r>
        <w:rPr>
          <w:rFonts w:ascii="Times New Roman" w:hAnsi="Times New Roman"/>
          <w:szCs w:val="22"/>
        </w:rPr>
        <w:t>as</w:t>
      </w:r>
      <w:r w:rsidRPr="00A727D9">
        <w:rPr>
          <w:rFonts w:ascii="Times New Roman" w:hAnsi="Times New Roman"/>
          <w:szCs w:val="22"/>
        </w:rPr>
        <w:t xml:space="preserve"> certainly been </w:t>
      </w:r>
      <w:r>
        <w:rPr>
          <w:rFonts w:ascii="Times New Roman" w:hAnsi="Times New Roman"/>
          <w:szCs w:val="22"/>
        </w:rPr>
        <w:t xml:space="preserve">consideration given to proposed </w:t>
      </w:r>
      <w:r w:rsidRPr="00A727D9">
        <w:rPr>
          <w:rFonts w:ascii="Times New Roman" w:hAnsi="Times New Roman"/>
          <w:szCs w:val="22"/>
        </w:rPr>
        <w:t>changes to Section 46</w:t>
      </w:r>
      <w:r>
        <w:rPr>
          <w:rFonts w:ascii="Times New Roman" w:hAnsi="Times New Roman"/>
          <w:szCs w:val="22"/>
        </w:rPr>
        <w:t xml:space="preserve"> in the past</w:t>
      </w:r>
      <w:r w:rsidRPr="00A727D9">
        <w:rPr>
          <w:rFonts w:ascii="Times New Roman" w:hAnsi="Times New Roman"/>
          <w:szCs w:val="22"/>
        </w:rPr>
        <w:t>, notably the Dawson Review</w:t>
      </w:r>
      <w:r>
        <w:rPr>
          <w:rFonts w:ascii="Times New Roman" w:hAnsi="Times New Roman"/>
          <w:szCs w:val="22"/>
        </w:rPr>
        <w:t xml:space="preserve"> in 1993 </w:t>
      </w:r>
      <w:r w:rsidRPr="00A727D9">
        <w:rPr>
          <w:rFonts w:ascii="Times New Roman" w:hAnsi="Times New Roman"/>
          <w:szCs w:val="22"/>
        </w:rPr>
        <w:t>and the Hilmer Review</w:t>
      </w:r>
      <w:r>
        <w:rPr>
          <w:rFonts w:ascii="Times New Roman" w:hAnsi="Times New Roman"/>
          <w:szCs w:val="22"/>
        </w:rPr>
        <w:t xml:space="preserve"> in 2003</w:t>
      </w:r>
      <w:r w:rsidRPr="00A727D9">
        <w:rPr>
          <w:rFonts w:ascii="Times New Roman" w:hAnsi="Times New Roman"/>
          <w:szCs w:val="22"/>
        </w:rPr>
        <w:t xml:space="preserve">, </w:t>
      </w:r>
      <w:r>
        <w:rPr>
          <w:rFonts w:ascii="Times New Roman" w:hAnsi="Times New Roman"/>
          <w:szCs w:val="22"/>
        </w:rPr>
        <w:t xml:space="preserve">but </w:t>
      </w:r>
      <w:r w:rsidRPr="00A727D9">
        <w:rPr>
          <w:rFonts w:ascii="Times New Roman" w:hAnsi="Times New Roman"/>
          <w:szCs w:val="22"/>
        </w:rPr>
        <w:t xml:space="preserve">none of </w:t>
      </w:r>
      <w:r>
        <w:rPr>
          <w:rFonts w:ascii="Times New Roman" w:hAnsi="Times New Roman"/>
          <w:szCs w:val="22"/>
        </w:rPr>
        <w:t>the discussed amendments were implemented. C</w:t>
      </w:r>
      <w:r w:rsidRPr="00A727D9">
        <w:rPr>
          <w:rFonts w:ascii="Times New Roman" w:hAnsi="Times New Roman"/>
          <w:szCs w:val="22"/>
        </w:rPr>
        <w:t>onsequently</w:t>
      </w:r>
      <w:r>
        <w:rPr>
          <w:rFonts w:ascii="Times New Roman" w:hAnsi="Times New Roman"/>
          <w:szCs w:val="22"/>
        </w:rPr>
        <w:t>,</w:t>
      </w:r>
      <w:r w:rsidRPr="00A727D9">
        <w:rPr>
          <w:rFonts w:ascii="Times New Roman" w:hAnsi="Times New Roman"/>
          <w:szCs w:val="22"/>
        </w:rPr>
        <w:t xml:space="preserve"> there is today a greater demand for reform as smaller businesses have become </w:t>
      </w:r>
      <w:r>
        <w:rPr>
          <w:rFonts w:ascii="Times New Roman" w:hAnsi="Times New Roman"/>
          <w:szCs w:val="22"/>
        </w:rPr>
        <w:t xml:space="preserve">more highly </w:t>
      </w:r>
      <w:r w:rsidRPr="00A727D9">
        <w:rPr>
          <w:rFonts w:ascii="Times New Roman" w:hAnsi="Times New Roman"/>
          <w:szCs w:val="22"/>
        </w:rPr>
        <w:t xml:space="preserve">concentrated in </w:t>
      </w:r>
      <w:r>
        <w:rPr>
          <w:rFonts w:ascii="Times New Roman" w:hAnsi="Times New Roman"/>
          <w:szCs w:val="22"/>
        </w:rPr>
        <w:t xml:space="preserve">wider </w:t>
      </w:r>
      <w:r w:rsidRPr="00A727D9">
        <w:rPr>
          <w:rFonts w:ascii="Times New Roman" w:hAnsi="Times New Roman"/>
          <w:szCs w:val="22"/>
        </w:rPr>
        <w:t>areas of the economy and are now able to voice stronger views about the need for change</w:t>
      </w:r>
      <w:r>
        <w:rPr>
          <w:rFonts w:ascii="Times New Roman" w:hAnsi="Times New Roman"/>
          <w:szCs w:val="22"/>
        </w:rPr>
        <w:t xml:space="preserve"> </w:t>
      </w:r>
      <w:r w:rsidRPr="00A727D9">
        <w:rPr>
          <w:rFonts w:ascii="Times New Roman" w:hAnsi="Times New Roman"/>
          <w:szCs w:val="22"/>
        </w:rPr>
        <w:t xml:space="preserve">that will provide </w:t>
      </w:r>
      <w:r>
        <w:rPr>
          <w:rFonts w:ascii="Times New Roman" w:hAnsi="Times New Roman"/>
          <w:szCs w:val="22"/>
        </w:rPr>
        <w:t xml:space="preserve">them with </w:t>
      </w:r>
      <w:r w:rsidRPr="00A727D9">
        <w:rPr>
          <w:rFonts w:ascii="Times New Roman" w:hAnsi="Times New Roman"/>
          <w:szCs w:val="22"/>
        </w:rPr>
        <w:t>greater clarity and certainty into the future. There is therefore a strong voice for the reform of Section 46</w:t>
      </w:r>
      <w:r>
        <w:rPr>
          <w:rFonts w:ascii="Times New Roman" w:hAnsi="Times New Roman"/>
          <w:szCs w:val="22"/>
        </w:rPr>
        <w:t xml:space="preserve"> which includes the removal of the words ’take advantage’ that would overcome the continued potential for market distortion.</w:t>
      </w:r>
    </w:p>
    <w:p w:rsidR="00685EBC" w:rsidRPr="00DC7A7F"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There is also a need to review the use of the word purpose in Section 46(1) because it is only concerned with competitors and not the competitive process. </w:t>
      </w:r>
    </w:p>
    <w:p w:rsidR="00685EBC" w:rsidRPr="00DC7A7F" w:rsidRDefault="00685EBC" w:rsidP="00685EBC">
      <w:pPr>
        <w:pStyle w:val="ListParagraph"/>
        <w:numPr>
          <w:ilvl w:val="0"/>
          <w:numId w:val="20"/>
        </w:numPr>
        <w:spacing w:line="360" w:lineRule="auto"/>
        <w:jc w:val="both"/>
        <w:rPr>
          <w:rFonts w:ascii="Times New Roman" w:hAnsi="Times New Roman"/>
          <w:b/>
          <w:i/>
          <w:szCs w:val="22"/>
          <w:lang w:val="en-AU"/>
        </w:rPr>
      </w:pPr>
      <w:r w:rsidRPr="00DC7A7F">
        <w:rPr>
          <w:rFonts w:ascii="Times New Roman" w:hAnsi="Times New Roman"/>
          <w:szCs w:val="22"/>
        </w:rPr>
        <w:t xml:space="preserve">MGA strongly supports the inclusion of the effects test in Section 46 which would make it easier to determine whether market power has been misused. </w:t>
      </w:r>
      <w:r>
        <w:rPr>
          <w:rFonts w:ascii="Times New Roman" w:hAnsi="Times New Roman"/>
          <w:szCs w:val="22"/>
        </w:rPr>
        <w:t xml:space="preserve">The need to include an effects test would bring the section into line with </w:t>
      </w:r>
      <w:r w:rsidRPr="00DC7A7F">
        <w:rPr>
          <w:rFonts w:ascii="Times New Roman" w:hAnsi="Times New Roman"/>
        </w:rPr>
        <w:t xml:space="preserve">other international jurisdictions which have similar prohibitions. The Sherman Act in the USA supports an objective intent based on conduct </w:t>
      </w:r>
      <w:r w:rsidRPr="00DC7A7F">
        <w:rPr>
          <w:rFonts w:ascii="Times New Roman" w:hAnsi="Times New Roman"/>
          <w:u w:val="single"/>
        </w:rPr>
        <w:t>and</w:t>
      </w:r>
      <w:r w:rsidRPr="00DC7A7F">
        <w:rPr>
          <w:rFonts w:ascii="Times New Roman" w:hAnsi="Times New Roman"/>
        </w:rPr>
        <w:t xml:space="preserve"> effect. In Canada there is a focus on conduct that has the effect or likely effect of substantially lessening competition and many European jurisdictions have moved towards a focus on how certain conduct of businesses can have an adverse effect on competition thereby damaging the competitive process. </w:t>
      </w:r>
    </w:p>
    <w:p w:rsidR="00685EBC" w:rsidRPr="000E1E82" w:rsidRDefault="00685EBC" w:rsidP="00685EBC">
      <w:pPr>
        <w:pStyle w:val="ListParagraph"/>
        <w:numPr>
          <w:ilvl w:val="0"/>
          <w:numId w:val="20"/>
        </w:numPr>
        <w:spacing w:line="360" w:lineRule="auto"/>
        <w:jc w:val="both"/>
        <w:rPr>
          <w:rFonts w:ascii="Times New Roman" w:hAnsi="Times New Roman"/>
          <w:b/>
          <w:i/>
          <w:szCs w:val="22"/>
          <w:lang w:val="en-AU"/>
        </w:rPr>
      </w:pPr>
      <w:r w:rsidRPr="00DC7A7F">
        <w:rPr>
          <w:rFonts w:ascii="Times New Roman" w:hAnsi="Times New Roman"/>
          <w:szCs w:val="22"/>
        </w:rPr>
        <w:t>Section 46 is no longer fit for purpose and the Harper Review</w:t>
      </w:r>
      <w:r w:rsidRPr="00DC7A7F">
        <w:rPr>
          <w:rFonts w:ascii="Times New Roman" w:hAnsi="Times New Roman"/>
        </w:rPr>
        <w:t xml:space="preserve"> proposal that Section 46 should prohibit conduct that has </w:t>
      </w:r>
      <w:r w:rsidRPr="00DC7A7F">
        <w:rPr>
          <w:rFonts w:ascii="Times New Roman" w:hAnsi="Times New Roman"/>
          <w:u w:val="single"/>
        </w:rPr>
        <w:t>purpose or likely effect</w:t>
      </w:r>
      <w:r w:rsidRPr="00DC7A7F">
        <w:rPr>
          <w:rFonts w:ascii="Times New Roman" w:hAnsi="Times New Roman"/>
        </w:rPr>
        <w:t xml:space="preserve"> of substantially lessening competition in the marketplace. </w:t>
      </w:r>
      <w:r>
        <w:rPr>
          <w:rFonts w:ascii="Times New Roman" w:hAnsi="Times New Roman"/>
        </w:rPr>
        <w:t xml:space="preserve">Is strongly supported by MGA </w:t>
      </w:r>
    </w:p>
    <w:p w:rsidR="00685EBC" w:rsidRPr="000E1E82" w:rsidRDefault="00685EBC" w:rsidP="00685EBC">
      <w:pPr>
        <w:pStyle w:val="ListParagraph"/>
        <w:spacing w:line="360" w:lineRule="auto"/>
        <w:ind w:left="360"/>
        <w:jc w:val="both"/>
        <w:rPr>
          <w:rFonts w:ascii="Times New Roman" w:hAnsi="Times New Roman"/>
          <w:b/>
          <w:i/>
          <w:szCs w:val="22"/>
          <w:lang w:val="en-AU"/>
        </w:rPr>
      </w:pPr>
    </w:p>
    <w:p w:rsidR="00685EBC" w:rsidRPr="000E1E82" w:rsidRDefault="00685EBC" w:rsidP="00685EBC">
      <w:pPr>
        <w:spacing w:line="360" w:lineRule="auto"/>
        <w:ind w:left="360"/>
        <w:jc w:val="both"/>
        <w:rPr>
          <w:rFonts w:ascii="Times New Roman" w:hAnsi="Times New Roman"/>
          <w:b/>
          <w:i/>
          <w:szCs w:val="22"/>
          <w:lang w:val="en-AU"/>
        </w:rPr>
      </w:pPr>
      <w:r w:rsidRPr="00A727D9">
        <w:rPr>
          <w:rFonts w:ascii="Times New Roman" w:hAnsi="Times New Roman"/>
          <w:b/>
          <w:i/>
          <w:szCs w:val="22"/>
        </w:rPr>
        <w:t>Option B. Remove the words ‘take advantage’</w:t>
      </w:r>
    </w:p>
    <w:p w:rsidR="00685EBC" w:rsidRPr="00B12561" w:rsidRDefault="00685EBC" w:rsidP="00685EBC">
      <w:pPr>
        <w:pStyle w:val="ListParagraph"/>
        <w:numPr>
          <w:ilvl w:val="0"/>
          <w:numId w:val="20"/>
        </w:numPr>
        <w:spacing w:line="360" w:lineRule="auto"/>
        <w:jc w:val="both"/>
        <w:rPr>
          <w:rFonts w:ascii="Times New Roman" w:hAnsi="Times New Roman"/>
          <w:szCs w:val="22"/>
          <w:lang w:val="en-AU"/>
        </w:rPr>
      </w:pPr>
      <w:r w:rsidRPr="000E1E82">
        <w:rPr>
          <w:rFonts w:ascii="Times New Roman" w:hAnsi="Times New Roman"/>
          <w:szCs w:val="22"/>
          <w:lang w:val="en-AU"/>
        </w:rPr>
        <w:t xml:space="preserve">MGA supports the removal of the words, ‘take advantage’ </w:t>
      </w:r>
      <w:r>
        <w:rPr>
          <w:rFonts w:ascii="Times New Roman" w:hAnsi="Times New Roman"/>
          <w:szCs w:val="22"/>
          <w:lang w:val="en-AU"/>
        </w:rPr>
        <w:t xml:space="preserve">but </w:t>
      </w:r>
      <w:r w:rsidRPr="000E1E82">
        <w:rPr>
          <w:rFonts w:ascii="Times New Roman" w:hAnsi="Times New Roman"/>
          <w:szCs w:val="22"/>
          <w:lang w:val="en-AU"/>
        </w:rPr>
        <w:t>it</w:t>
      </w:r>
      <w:r>
        <w:rPr>
          <w:rFonts w:ascii="Times New Roman" w:hAnsi="Times New Roman"/>
          <w:szCs w:val="22"/>
          <w:lang w:val="en-AU"/>
        </w:rPr>
        <w:t>s</w:t>
      </w:r>
      <w:r w:rsidRPr="000E1E82">
        <w:rPr>
          <w:rFonts w:ascii="Times New Roman" w:hAnsi="Times New Roman"/>
          <w:szCs w:val="22"/>
          <w:lang w:val="en-AU"/>
        </w:rPr>
        <w:t xml:space="preserve"> removal must be in conjunction with </w:t>
      </w:r>
      <w:r>
        <w:rPr>
          <w:rFonts w:ascii="Times New Roman" w:hAnsi="Times New Roman"/>
          <w:szCs w:val="22"/>
          <w:lang w:val="en-AU"/>
        </w:rPr>
        <w:t xml:space="preserve">other </w:t>
      </w:r>
      <w:r w:rsidRPr="000E1E82">
        <w:rPr>
          <w:rFonts w:ascii="Times New Roman" w:hAnsi="Times New Roman"/>
          <w:szCs w:val="22"/>
          <w:lang w:val="en-AU"/>
        </w:rPr>
        <w:t xml:space="preserve">amendments to Section 46 in respect of </w:t>
      </w:r>
      <w:r>
        <w:rPr>
          <w:rFonts w:ascii="Times New Roman" w:hAnsi="Times New Roman"/>
          <w:szCs w:val="22"/>
          <w:lang w:val="en-AU"/>
        </w:rPr>
        <w:t>‘</w:t>
      </w:r>
      <w:r w:rsidRPr="000E1E82">
        <w:rPr>
          <w:rFonts w:ascii="Times New Roman" w:hAnsi="Times New Roman"/>
          <w:szCs w:val="22"/>
          <w:lang w:val="en-AU"/>
        </w:rPr>
        <w:t>purpose</w:t>
      </w:r>
      <w:r>
        <w:rPr>
          <w:rFonts w:ascii="Times New Roman" w:hAnsi="Times New Roman"/>
          <w:szCs w:val="22"/>
          <w:lang w:val="en-AU"/>
        </w:rPr>
        <w:t>’</w:t>
      </w:r>
      <w:r w:rsidRPr="000E1E82">
        <w:rPr>
          <w:rFonts w:ascii="Times New Roman" w:hAnsi="Times New Roman"/>
          <w:szCs w:val="22"/>
          <w:lang w:val="en-AU"/>
        </w:rPr>
        <w:t xml:space="preserve"> and the inclusion of an effects test.</w:t>
      </w:r>
      <w:r>
        <w:rPr>
          <w:rFonts w:ascii="Times New Roman" w:hAnsi="Times New Roman"/>
          <w:szCs w:val="22"/>
          <w:lang w:val="en-AU"/>
        </w:rPr>
        <w:t xml:space="preserve"> MGA does not support an option that consists solely of the removal of the words, ‘take advantage.’</w:t>
      </w:r>
      <w:r w:rsidRPr="000E1E82">
        <w:rPr>
          <w:rFonts w:ascii="Times New Roman" w:hAnsi="Times New Roman"/>
          <w:szCs w:val="22"/>
          <w:lang w:val="en-AU"/>
        </w:rPr>
        <w:t xml:space="preserve"> </w:t>
      </w:r>
    </w:p>
    <w:p w:rsidR="00685EBC" w:rsidRPr="00DC7A7F"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The words ‘take advantage’ in S 46 has been described as “the filter for disting</w:t>
      </w:r>
      <w:r>
        <w:rPr>
          <w:rFonts w:ascii="Times New Roman" w:hAnsi="Times New Roman"/>
          <w:szCs w:val="22"/>
        </w:rPr>
        <w:t xml:space="preserve">uishing between pro-competitive </w:t>
      </w:r>
      <w:r w:rsidRPr="00A727D9">
        <w:rPr>
          <w:rFonts w:ascii="Times New Roman" w:hAnsi="Times New Roman"/>
          <w:szCs w:val="22"/>
        </w:rPr>
        <w:t>conduct and anti- competitive conduct”</w:t>
      </w:r>
      <w:r w:rsidRPr="00A727D9">
        <w:rPr>
          <w:rStyle w:val="FootnoteReference"/>
          <w:rFonts w:ascii="Times New Roman" w:hAnsi="Times New Roman"/>
          <w:szCs w:val="22"/>
        </w:rPr>
        <w:footnoteReference w:id="12"/>
      </w:r>
      <w:r w:rsidRPr="00A727D9">
        <w:rPr>
          <w:rFonts w:ascii="Times New Roman" w:hAnsi="Times New Roman"/>
          <w:szCs w:val="22"/>
        </w:rPr>
        <w:t xml:space="preserve"> but it is not a useful filter. The words have given rise to interpretative problems and confusing outcomes. The decisions on the use of the words, ’take advantage’ are problematic. It is difficult to reconcile why a company with market power can engage in unilateral anti-competitive conduct but is untouchable by the law because of the inability to prove that the company’s actions were the outcome of its market power. As has previously been stated if a business that has market power </w:t>
      </w:r>
      <w:r w:rsidRPr="00A727D9">
        <w:rPr>
          <w:rFonts w:ascii="Times New Roman" w:hAnsi="Times New Roman"/>
          <w:szCs w:val="22"/>
          <w:lang w:val="en-AU"/>
        </w:rPr>
        <w:t xml:space="preserve">engages in an anti- competitive purpose and has thereby lessened competition, it has been concluded that the company may not necessarily taken advantage of its market power. Furthermore, if a company that does not have market power could have acted in the same way as the one with market power then there is no breach of section 46. </w:t>
      </w:r>
      <w:r>
        <w:rPr>
          <w:rFonts w:ascii="Times New Roman" w:hAnsi="Times New Roman"/>
          <w:szCs w:val="22"/>
        </w:rPr>
        <w:t>W</w:t>
      </w:r>
      <w:r w:rsidRPr="00A727D9">
        <w:rPr>
          <w:rFonts w:ascii="Times New Roman" w:hAnsi="Times New Roman"/>
          <w:szCs w:val="22"/>
        </w:rPr>
        <w:t>hile MGA supports the removal of these words it is submitted that their removal from S 46 should be accompanied by other proposed amendments to the section as prescribed by the Harper Review.</w:t>
      </w:r>
    </w:p>
    <w:p w:rsidR="00685EBC" w:rsidRDefault="00685EBC" w:rsidP="00685EBC">
      <w:pPr>
        <w:pStyle w:val="ListParagraph"/>
        <w:numPr>
          <w:ilvl w:val="0"/>
          <w:numId w:val="20"/>
        </w:numPr>
        <w:spacing w:line="360" w:lineRule="auto"/>
        <w:jc w:val="both"/>
        <w:rPr>
          <w:rFonts w:ascii="Times New Roman" w:hAnsi="Times New Roman"/>
        </w:rPr>
      </w:pPr>
      <w:r w:rsidRPr="00DC7A7F">
        <w:rPr>
          <w:rFonts w:ascii="Times New Roman" w:hAnsi="Times New Roman"/>
        </w:rPr>
        <w:t>In its review the Panel rightly points out that the use of the words, “take advantage” in section 46 have caused considerable difficulties of interpretation, in particular the decisions in various cases have resulted in making it difficult to distinguish between anti- competitive and pro- competitive conduct. The lack of clarity and uncertainty surrounding the retention of the phrase , “take advantage“ has therefore influenced the Panel to conclude it is not a useful test within section 46 and should be removed.</w:t>
      </w:r>
    </w:p>
    <w:p w:rsidR="00685EBC" w:rsidRPr="00DC7A7F" w:rsidRDefault="00685EBC" w:rsidP="00685EBC">
      <w:pPr>
        <w:pStyle w:val="ListParagraph"/>
        <w:numPr>
          <w:ilvl w:val="0"/>
          <w:numId w:val="20"/>
        </w:numPr>
        <w:spacing w:line="360" w:lineRule="auto"/>
        <w:jc w:val="both"/>
        <w:rPr>
          <w:rFonts w:ascii="Times New Roman" w:hAnsi="Times New Roman"/>
        </w:rPr>
      </w:pPr>
      <w:r>
        <w:rPr>
          <w:rFonts w:ascii="Times New Roman" w:hAnsi="Times New Roman"/>
        </w:rPr>
        <w:t>T</w:t>
      </w:r>
      <w:r w:rsidRPr="00DC7A7F">
        <w:rPr>
          <w:rFonts w:ascii="Times New Roman" w:hAnsi="Times New Roman"/>
        </w:rPr>
        <w:t>he Courts have grappled with the interpretation of the words, ”take advantage” and the difficulties that have arisen with the continuance of these words in the section is evident. In the Melway case</w:t>
      </w:r>
      <w:r w:rsidRPr="004218AF">
        <w:rPr>
          <w:rStyle w:val="FootnoteReference"/>
          <w:rFonts w:ascii="Times New Roman" w:hAnsi="Times New Roman"/>
        </w:rPr>
        <w:footnoteReference w:id="13"/>
      </w:r>
      <w:r w:rsidRPr="00DC7A7F">
        <w:rPr>
          <w:rFonts w:ascii="Times New Roman" w:hAnsi="Times New Roman"/>
        </w:rPr>
        <w:t xml:space="preserve"> the High Court stated that, “it may be proper to conclude that a firm is taking advantage of market power where it does something that is materially facilitated by the exercise of the power even though it might not have been absolutely impossible without the market power.” </w:t>
      </w:r>
    </w:p>
    <w:p w:rsidR="00685EBC" w:rsidRPr="00DC7A7F" w:rsidRDefault="00685EBC" w:rsidP="00685EBC">
      <w:pPr>
        <w:pStyle w:val="ListParagraph"/>
        <w:numPr>
          <w:ilvl w:val="0"/>
          <w:numId w:val="20"/>
        </w:numPr>
        <w:spacing w:line="360" w:lineRule="auto"/>
        <w:jc w:val="both"/>
        <w:rPr>
          <w:rFonts w:ascii="Times New Roman" w:hAnsi="Times New Roman"/>
        </w:rPr>
      </w:pPr>
      <w:r w:rsidRPr="00DC7A7F">
        <w:rPr>
          <w:rFonts w:ascii="Times New Roman" w:hAnsi="Times New Roman"/>
        </w:rPr>
        <w:t>Subsequent to the decision in Rural Press Limited v. ACCC</w:t>
      </w:r>
      <w:r w:rsidRPr="004218AF">
        <w:rPr>
          <w:rStyle w:val="FootnoteReference"/>
          <w:rFonts w:ascii="Times New Roman" w:hAnsi="Times New Roman"/>
        </w:rPr>
        <w:footnoteReference w:id="14"/>
      </w:r>
      <w:r w:rsidRPr="00DC7A7F">
        <w:rPr>
          <w:rFonts w:ascii="Times New Roman" w:hAnsi="Times New Roman"/>
        </w:rPr>
        <w:t>, Section 46 was amended in an attempt to clarify the meaning of “taking advantage.” Despite the addition of subsection 6(a) to Section 46 in the Competition and Consumer Act, difficulties of interpretation with the words “take advantage” continued to prevail. Again in Rural Press and ACCC v. Cement Australia</w:t>
      </w:r>
      <w:r w:rsidRPr="004218AF">
        <w:rPr>
          <w:rStyle w:val="FootnoteReference"/>
          <w:rFonts w:ascii="Times New Roman" w:hAnsi="Times New Roman"/>
        </w:rPr>
        <w:footnoteReference w:id="15"/>
      </w:r>
      <w:r w:rsidRPr="00DC7A7F">
        <w:rPr>
          <w:rFonts w:ascii="Times New Roman" w:hAnsi="Times New Roman"/>
        </w:rPr>
        <w:t xml:space="preserve"> the Courts faced problems of interpretation in respect of the “take advantage” phrase. It is not the outcomes of these cases that is important but the degree of confusion and uncertainty that has been created by the retention of the words, “take advantage.” The confusion and lack of certainty as a result of retaining the phrase in the legislation, justifiably persuaded the Panel to conclude that the test has had the effect of, “undermining confidence in the effectiveness of the law.”</w:t>
      </w:r>
      <w:r w:rsidRPr="004218AF">
        <w:rPr>
          <w:rStyle w:val="FootnoteReference"/>
          <w:rFonts w:ascii="Times New Roman" w:hAnsi="Times New Roman"/>
        </w:rPr>
        <w:footnoteReference w:id="16"/>
      </w:r>
      <w:r w:rsidRPr="00DC7A7F">
        <w:rPr>
          <w:rFonts w:ascii="Times New Roman" w:hAnsi="Times New Roman"/>
        </w:rPr>
        <w:t xml:space="preserve"> </w:t>
      </w:r>
    </w:p>
    <w:p w:rsidR="00685EBC" w:rsidRPr="00DA77E5" w:rsidRDefault="00685EBC" w:rsidP="00685EBC">
      <w:pPr>
        <w:pStyle w:val="ListParagraph"/>
        <w:numPr>
          <w:ilvl w:val="0"/>
          <w:numId w:val="20"/>
        </w:numPr>
        <w:spacing w:line="360" w:lineRule="auto"/>
        <w:jc w:val="both"/>
        <w:rPr>
          <w:rFonts w:ascii="Times New Roman" w:hAnsi="Times New Roman"/>
        </w:rPr>
      </w:pPr>
      <w:r w:rsidRPr="00DC7A7F">
        <w:rPr>
          <w:rFonts w:ascii="Times New Roman" w:hAnsi="Times New Roman"/>
        </w:rPr>
        <w:t>The most appropriate course of action in the interests of promoting the competitive process therefore is to remove the dis</w:t>
      </w:r>
      <w:r>
        <w:rPr>
          <w:rFonts w:ascii="Times New Roman" w:hAnsi="Times New Roman"/>
        </w:rPr>
        <w:t>advantage test from section 46.</w:t>
      </w:r>
      <w:r w:rsidRPr="00DC7A7F">
        <w:rPr>
          <w:rFonts w:ascii="Times New Roman" w:hAnsi="Times New Roman"/>
        </w:rPr>
        <w:t xml:space="preserve"> </w:t>
      </w:r>
    </w:p>
    <w:p w:rsidR="00685EBC" w:rsidRPr="005A07E5" w:rsidRDefault="00685EBC" w:rsidP="00685EBC">
      <w:pPr>
        <w:spacing w:line="360" w:lineRule="auto"/>
        <w:jc w:val="both"/>
        <w:rPr>
          <w:rFonts w:ascii="Times New Roman" w:hAnsi="Times New Roman"/>
          <w:b/>
          <w:i/>
          <w:szCs w:val="22"/>
          <w:lang w:val="en-AU"/>
        </w:rPr>
      </w:pPr>
      <w:r w:rsidRPr="005A07E5">
        <w:rPr>
          <w:rFonts w:ascii="Times New Roman" w:hAnsi="Times New Roman"/>
          <w:b/>
          <w:i/>
          <w:szCs w:val="22"/>
        </w:rPr>
        <w:t xml:space="preserve">Option C Remove the words ‘take advantage, include a substantially lessening of competition test , make authorizations  available and ACCC guidelines regarding the approach to the provision. </w:t>
      </w:r>
    </w:p>
    <w:p w:rsidR="00685EBC" w:rsidRPr="000E1E82"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MGA does not support Option C as its preferred option. </w:t>
      </w:r>
    </w:p>
    <w:p w:rsidR="00685EBC" w:rsidRPr="008F1CE5"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 xml:space="preserve">As referred to above MGA supports the removal of the words ‘take advantage’ as this would remove the link between exercising market power and the potential to engage in anti- competitive practices. </w:t>
      </w:r>
      <w:r>
        <w:rPr>
          <w:rFonts w:ascii="Times New Roman" w:hAnsi="Times New Roman"/>
          <w:szCs w:val="22"/>
        </w:rPr>
        <w:t>A ‘</w:t>
      </w:r>
      <w:r w:rsidRPr="00A727D9">
        <w:rPr>
          <w:rFonts w:ascii="Times New Roman" w:hAnsi="Times New Roman"/>
          <w:szCs w:val="22"/>
        </w:rPr>
        <w:t>substantially lessening of competition test’ require</w:t>
      </w:r>
      <w:r>
        <w:rPr>
          <w:rFonts w:ascii="Times New Roman" w:hAnsi="Times New Roman"/>
          <w:szCs w:val="22"/>
        </w:rPr>
        <w:t>s</w:t>
      </w:r>
      <w:r w:rsidRPr="00A727D9">
        <w:rPr>
          <w:rFonts w:ascii="Times New Roman" w:hAnsi="Times New Roman"/>
          <w:szCs w:val="22"/>
        </w:rPr>
        <w:t xml:space="preserve"> a determination of what actions, reasons or circumstances might cause such a result. </w:t>
      </w:r>
      <w:r>
        <w:rPr>
          <w:rFonts w:ascii="Times New Roman" w:hAnsi="Times New Roman"/>
          <w:szCs w:val="22"/>
        </w:rPr>
        <w:t xml:space="preserve">In the opinion of MGA </w:t>
      </w:r>
      <w:r w:rsidRPr="00D343AE">
        <w:rPr>
          <w:rFonts w:ascii="Times New Roman" w:hAnsi="Times New Roman"/>
          <w:szCs w:val="22"/>
          <w:u w:val="single"/>
        </w:rPr>
        <w:t>including the purpose and effects test assists in measuring of the SLC test.</w:t>
      </w:r>
      <w:r>
        <w:rPr>
          <w:rFonts w:ascii="Times New Roman" w:hAnsi="Times New Roman"/>
          <w:szCs w:val="22"/>
        </w:rPr>
        <w:t xml:space="preserve"> The inclusion of</w:t>
      </w:r>
      <w:r w:rsidRPr="00A727D9">
        <w:rPr>
          <w:rFonts w:ascii="Times New Roman" w:hAnsi="Times New Roman"/>
          <w:szCs w:val="22"/>
        </w:rPr>
        <w:t xml:space="preserve"> authorizations </w:t>
      </w:r>
      <w:r>
        <w:rPr>
          <w:rFonts w:ascii="Times New Roman" w:hAnsi="Times New Roman"/>
          <w:szCs w:val="22"/>
        </w:rPr>
        <w:t xml:space="preserve">would assist in the provision of </w:t>
      </w:r>
      <w:r w:rsidRPr="00A727D9">
        <w:rPr>
          <w:rFonts w:ascii="Times New Roman" w:hAnsi="Times New Roman"/>
          <w:szCs w:val="22"/>
        </w:rPr>
        <w:t>c</w:t>
      </w:r>
      <w:r>
        <w:rPr>
          <w:rFonts w:ascii="Times New Roman" w:hAnsi="Times New Roman"/>
          <w:szCs w:val="22"/>
        </w:rPr>
        <w:t>ompliance</w:t>
      </w:r>
      <w:r w:rsidRPr="00A727D9">
        <w:rPr>
          <w:rFonts w:ascii="Times New Roman" w:hAnsi="Times New Roman"/>
          <w:szCs w:val="22"/>
        </w:rPr>
        <w:t xml:space="preserve"> </w:t>
      </w:r>
      <w:r>
        <w:rPr>
          <w:rFonts w:ascii="Times New Roman" w:hAnsi="Times New Roman"/>
          <w:szCs w:val="22"/>
        </w:rPr>
        <w:t xml:space="preserve">guidelines </w:t>
      </w:r>
      <w:r w:rsidRPr="00A727D9">
        <w:rPr>
          <w:rFonts w:ascii="Times New Roman" w:hAnsi="Times New Roman"/>
          <w:szCs w:val="22"/>
        </w:rPr>
        <w:t xml:space="preserve">as to how the lessening of competition might </w:t>
      </w:r>
      <w:r>
        <w:rPr>
          <w:rFonts w:ascii="Times New Roman" w:hAnsi="Times New Roman"/>
          <w:szCs w:val="22"/>
        </w:rPr>
        <w:t xml:space="preserve">or might not </w:t>
      </w:r>
      <w:r w:rsidRPr="00A727D9">
        <w:rPr>
          <w:rFonts w:ascii="Times New Roman" w:hAnsi="Times New Roman"/>
          <w:szCs w:val="22"/>
        </w:rPr>
        <w:t xml:space="preserve">occur and providing guidelines could </w:t>
      </w:r>
      <w:r>
        <w:rPr>
          <w:rFonts w:ascii="Times New Roman" w:hAnsi="Times New Roman"/>
          <w:szCs w:val="22"/>
        </w:rPr>
        <w:t>also be of assistance</w:t>
      </w:r>
      <w:r w:rsidRPr="00A727D9">
        <w:rPr>
          <w:rFonts w:ascii="Times New Roman" w:hAnsi="Times New Roman"/>
          <w:szCs w:val="22"/>
        </w:rPr>
        <w:t xml:space="preserve">. </w:t>
      </w:r>
      <w:r>
        <w:rPr>
          <w:rFonts w:ascii="Times New Roman" w:hAnsi="Times New Roman"/>
          <w:szCs w:val="22"/>
        </w:rPr>
        <w:t>However, without the effects test and the inclusion of purpose, the section would not go far enough to assist small business. MGA does not support this option as it is too limiting in its content.</w:t>
      </w:r>
    </w:p>
    <w:p w:rsidR="00685EBC" w:rsidRPr="008F1CE5" w:rsidRDefault="00685EBC" w:rsidP="00685EBC">
      <w:pPr>
        <w:spacing w:line="360" w:lineRule="auto"/>
        <w:jc w:val="both"/>
        <w:rPr>
          <w:rFonts w:ascii="Times New Roman" w:hAnsi="Times New Roman"/>
          <w:b/>
          <w:i/>
          <w:szCs w:val="22"/>
        </w:rPr>
      </w:pPr>
      <w:r w:rsidRPr="008F1CE5">
        <w:rPr>
          <w:rFonts w:ascii="Times New Roman" w:hAnsi="Times New Roman"/>
          <w:b/>
          <w:i/>
          <w:szCs w:val="22"/>
        </w:rPr>
        <w:t>Option D Remove the words ‘take advantage’ include purpose of substantially lessening competition test , including mandatory factors, make authorizations available and the ACCC issuing guidelines regarding its approach to the provision.</w:t>
      </w:r>
    </w:p>
    <w:p w:rsidR="00685EBC" w:rsidRPr="00B12561"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MGA does not support Option D as a preferred option. </w:t>
      </w:r>
    </w:p>
    <w:p w:rsidR="00685EBC" w:rsidRPr="008F1CE5"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MGA does support the removal of the words, ‘take advantage’.  We support the inclusion of the SLC test, the effects test and authorizations and ACCC guidelines. We do not support the mandatory factors as proposed by the Harper Review. </w:t>
      </w:r>
    </w:p>
    <w:p w:rsidR="00685EBC" w:rsidRPr="008F1CE5" w:rsidRDefault="00685EBC" w:rsidP="00685EBC">
      <w:pPr>
        <w:pStyle w:val="ListParagraph"/>
        <w:numPr>
          <w:ilvl w:val="0"/>
          <w:numId w:val="20"/>
        </w:numPr>
        <w:spacing w:line="360" w:lineRule="auto"/>
        <w:jc w:val="both"/>
        <w:rPr>
          <w:rFonts w:ascii="Times New Roman" w:hAnsi="Times New Roman"/>
          <w:b/>
          <w:i/>
          <w:szCs w:val="22"/>
          <w:lang w:val="en-AU"/>
        </w:rPr>
      </w:pPr>
      <w:r w:rsidRPr="00A727D9">
        <w:rPr>
          <w:rFonts w:ascii="Times New Roman" w:hAnsi="Times New Roman"/>
          <w:szCs w:val="22"/>
        </w:rPr>
        <w:t>As referred to above MGA supports the removal of the words ‘take advantage’ as this would remove the link between exercising market power and the potential to engage in anti- competitive practices.</w:t>
      </w:r>
      <w:r>
        <w:rPr>
          <w:rFonts w:ascii="Times New Roman" w:hAnsi="Times New Roman"/>
          <w:szCs w:val="22"/>
        </w:rPr>
        <w:t xml:space="preserve"> MGA is of the opinion that the ‘</w:t>
      </w:r>
      <w:r w:rsidRPr="00A727D9">
        <w:rPr>
          <w:rFonts w:ascii="Times New Roman" w:hAnsi="Times New Roman"/>
          <w:szCs w:val="22"/>
        </w:rPr>
        <w:t xml:space="preserve">substantially lessening of competition test’ </w:t>
      </w:r>
      <w:r>
        <w:rPr>
          <w:rFonts w:ascii="Times New Roman" w:hAnsi="Times New Roman"/>
          <w:szCs w:val="22"/>
        </w:rPr>
        <w:t xml:space="preserve">which </w:t>
      </w:r>
      <w:r w:rsidRPr="00A727D9">
        <w:rPr>
          <w:rFonts w:ascii="Times New Roman" w:hAnsi="Times New Roman"/>
          <w:szCs w:val="22"/>
        </w:rPr>
        <w:t>require</w:t>
      </w:r>
      <w:r>
        <w:rPr>
          <w:rFonts w:ascii="Times New Roman" w:hAnsi="Times New Roman"/>
          <w:szCs w:val="22"/>
        </w:rPr>
        <w:t>s</w:t>
      </w:r>
      <w:r w:rsidRPr="00A727D9">
        <w:rPr>
          <w:rFonts w:ascii="Times New Roman" w:hAnsi="Times New Roman"/>
          <w:szCs w:val="22"/>
        </w:rPr>
        <w:t xml:space="preserve"> a determination of what actions, reasons or circumstances might cause such a result. </w:t>
      </w:r>
      <w:r>
        <w:rPr>
          <w:rFonts w:ascii="Times New Roman" w:hAnsi="Times New Roman"/>
          <w:szCs w:val="22"/>
        </w:rPr>
        <w:t>The inclusion of the purpose and effects test is essential to the measuring of the SLC test and MGA does not support an option that does not include these proposals. MGA does not support the inclusion of the mandatory factors as proposed by the Harper Review Panel as these are likely to be burdensome due to the many factors that might could impact a particular situation and which could become difficult to prove or disprove. If the legislation is amended as proposed by the Harper Review Panel then they would not be necessary.</w:t>
      </w:r>
    </w:p>
    <w:p w:rsidR="00685EBC" w:rsidRPr="008F1CE5" w:rsidRDefault="00685EBC" w:rsidP="00685EBC">
      <w:pPr>
        <w:pStyle w:val="ListParagraph"/>
        <w:spacing w:line="360" w:lineRule="auto"/>
        <w:ind w:left="360"/>
        <w:jc w:val="both"/>
        <w:rPr>
          <w:rFonts w:ascii="Times New Roman" w:hAnsi="Times New Roman"/>
          <w:b/>
          <w:i/>
          <w:szCs w:val="22"/>
          <w:lang w:val="en-AU"/>
        </w:rPr>
      </w:pPr>
      <w:r w:rsidRPr="008F1CE5">
        <w:rPr>
          <w:rFonts w:ascii="Times New Roman" w:hAnsi="Times New Roman"/>
          <w:b/>
          <w:i/>
          <w:szCs w:val="22"/>
        </w:rPr>
        <w:t xml:space="preserve">Option E Remove the words ‘take advantage’ include a purpose, effect or likely effect of substantially lessening of competition, make authorization available and ACCC guidelines available regarding its approach to the provision. </w:t>
      </w:r>
    </w:p>
    <w:p w:rsidR="00685EBC" w:rsidRPr="00ED5BC1"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MGA supports the adoption of Option E and that Section 46(1) would be amended to </w:t>
      </w:r>
    </w:p>
    <w:p w:rsidR="00685EBC" w:rsidRPr="00D77A52" w:rsidRDefault="00685EBC" w:rsidP="00685EBC">
      <w:pPr>
        <w:pStyle w:val="ListParagraph"/>
        <w:spacing w:line="360" w:lineRule="auto"/>
        <w:ind w:left="360"/>
        <w:jc w:val="both"/>
        <w:rPr>
          <w:rFonts w:ascii="Times New Roman" w:hAnsi="Times New Roman"/>
          <w:b/>
          <w:i/>
          <w:szCs w:val="22"/>
          <w:lang w:val="en-AU"/>
        </w:rPr>
      </w:pPr>
      <w:r w:rsidRPr="004218AF">
        <w:rPr>
          <w:rStyle w:val="Emphasis"/>
          <w:rFonts w:ascii="Times New Roman" w:hAnsi="Times New Roman"/>
        </w:rPr>
        <w:t>“prohibit a corporation that has a substantial degree of power in a market from engaging in conduct, if the proposed conduct has the purpose, or would have or be likely to have the effect, of substantially lessening competition in that or any other market”.</w:t>
      </w:r>
    </w:p>
    <w:p w:rsidR="00685EBC" w:rsidRDefault="00685EBC" w:rsidP="00685EBC">
      <w:pPr>
        <w:pStyle w:val="ListParagraph"/>
        <w:numPr>
          <w:ilvl w:val="0"/>
          <w:numId w:val="20"/>
        </w:numPr>
        <w:spacing w:line="360" w:lineRule="auto"/>
        <w:jc w:val="both"/>
        <w:rPr>
          <w:rFonts w:ascii="Times New Roman" w:hAnsi="Times New Roman"/>
          <w:szCs w:val="22"/>
        </w:rPr>
      </w:pPr>
      <w:r w:rsidRPr="007852C4">
        <w:rPr>
          <w:rFonts w:ascii="Times New Roman" w:hAnsi="Times New Roman"/>
          <w:szCs w:val="22"/>
        </w:rPr>
        <w:t>There have been copious arguments forwarded</w:t>
      </w:r>
      <w:r>
        <w:rPr>
          <w:rFonts w:ascii="Times New Roman" w:hAnsi="Times New Roman"/>
          <w:szCs w:val="22"/>
        </w:rPr>
        <w:t>,</w:t>
      </w:r>
      <w:r w:rsidRPr="007852C4">
        <w:rPr>
          <w:rFonts w:ascii="Times New Roman" w:hAnsi="Times New Roman"/>
          <w:szCs w:val="22"/>
        </w:rPr>
        <w:t xml:space="preserve"> and numerous articles written </w:t>
      </w:r>
      <w:r>
        <w:rPr>
          <w:rFonts w:ascii="Times New Roman" w:hAnsi="Times New Roman"/>
          <w:szCs w:val="22"/>
        </w:rPr>
        <w:t xml:space="preserve">by MGA and others </w:t>
      </w:r>
      <w:r w:rsidRPr="007852C4">
        <w:rPr>
          <w:rFonts w:ascii="Times New Roman" w:hAnsi="Times New Roman"/>
          <w:szCs w:val="22"/>
        </w:rPr>
        <w:t xml:space="preserve">as to why the Government should accept the recommendations of the Harper Review Panel in respect of amendments to S. 46. It is </w:t>
      </w:r>
      <w:r>
        <w:rPr>
          <w:rFonts w:ascii="Times New Roman" w:hAnsi="Times New Roman"/>
          <w:szCs w:val="22"/>
        </w:rPr>
        <w:t xml:space="preserve">not </w:t>
      </w:r>
      <w:r w:rsidRPr="007852C4">
        <w:rPr>
          <w:rFonts w:ascii="Times New Roman" w:hAnsi="Times New Roman"/>
          <w:szCs w:val="22"/>
        </w:rPr>
        <w:t xml:space="preserve">the intention of MGA in this paper to reiterate in great detail the reasons why we strongly believe that the adoption </w:t>
      </w:r>
      <w:r>
        <w:rPr>
          <w:rFonts w:ascii="Times New Roman" w:hAnsi="Times New Roman"/>
          <w:szCs w:val="22"/>
        </w:rPr>
        <w:t xml:space="preserve">of changes to Section 46(1) as proposed by the Harper Review </w:t>
      </w:r>
      <w:r w:rsidRPr="007852C4">
        <w:rPr>
          <w:rFonts w:ascii="Times New Roman" w:hAnsi="Times New Roman"/>
          <w:szCs w:val="22"/>
        </w:rPr>
        <w:t>is the appropriate course to follow</w:t>
      </w:r>
      <w:r>
        <w:rPr>
          <w:rFonts w:ascii="Times New Roman" w:hAnsi="Times New Roman"/>
          <w:szCs w:val="22"/>
        </w:rPr>
        <w:t xml:space="preserve">. </w:t>
      </w:r>
    </w:p>
    <w:p w:rsidR="00685EBC"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However, the summary of reasons why MGA strongly supports the Harper Panel recommendations for Section 46(1) include that:</w:t>
      </w:r>
    </w:p>
    <w:p w:rsidR="00685EBC" w:rsidRDefault="00685EBC" w:rsidP="00685EBC">
      <w:pPr>
        <w:pStyle w:val="ListParagraph"/>
        <w:spacing w:line="360" w:lineRule="auto"/>
        <w:ind w:left="360"/>
        <w:jc w:val="both"/>
        <w:rPr>
          <w:rFonts w:ascii="Times New Roman" w:hAnsi="Times New Roman"/>
          <w:szCs w:val="22"/>
        </w:rPr>
      </w:pPr>
      <w:r>
        <w:rPr>
          <w:rFonts w:ascii="Times New Roman" w:hAnsi="Times New Roman"/>
          <w:szCs w:val="22"/>
        </w:rPr>
        <w:t xml:space="preserve"> The economic landscape in Australia has changed over recent years. When the law in its current form was drafted the business landscape was far different from today. Big businesses in the retail supermarket, liquor and hardware industry have grown to enormous proportions and small businesses have grown in their thousands, to the point where changes are necessary to competition laws so as to provide for a more equitable, competitive environment. The law as it stands today is in need of reform. MGA strongly supports the three major areas of change to Section 46 of the CCA. Firstly, MGA supports the removal of the words, ’take advantage,’ secondly, changing the direction of the word  ‘purpose’ to focus on the avoidance of harm to the competitive process together with the inclusion of the words ‘effect or likely effect’ and thirdly the link between the use of these words and a  ‘substantially lessening competition test.’</w:t>
      </w:r>
    </w:p>
    <w:p w:rsidR="00685EBC" w:rsidRPr="009F6C0F" w:rsidRDefault="00685EBC" w:rsidP="00685EBC">
      <w:pPr>
        <w:pStyle w:val="ListParagraph"/>
        <w:numPr>
          <w:ilvl w:val="0"/>
          <w:numId w:val="20"/>
        </w:numPr>
        <w:spacing w:line="360" w:lineRule="auto"/>
        <w:jc w:val="both"/>
        <w:rPr>
          <w:rFonts w:ascii="Times New Roman" w:hAnsi="Times New Roman"/>
          <w:szCs w:val="22"/>
        </w:rPr>
      </w:pPr>
      <w:r w:rsidRPr="00A171D2">
        <w:rPr>
          <w:rFonts w:ascii="Times New Roman" w:hAnsi="Times New Roman"/>
          <w:szCs w:val="22"/>
        </w:rPr>
        <w:t xml:space="preserve">The removal of ‘take advantage’ will </w:t>
      </w:r>
      <w:r>
        <w:rPr>
          <w:rFonts w:ascii="Times New Roman" w:hAnsi="Times New Roman"/>
          <w:szCs w:val="22"/>
        </w:rPr>
        <w:t>alleviate</w:t>
      </w:r>
      <w:r w:rsidRPr="00A171D2">
        <w:rPr>
          <w:rFonts w:ascii="Times New Roman" w:hAnsi="Times New Roman"/>
          <w:szCs w:val="22"/>
        </w:rPr>
        <w:t xml:space="preserve"> a great deal of the uncertainty and the subsequent problems that have pervaded the decisions of the Courts in relation to S. 46. </w:t>
      </w:r>
      <w:r>
        <w:rPr>
          <w:rFonts w:ascii="Times New Roman" w:hAnsi="Times New Roman"/>
          <w:szCs w:val="22"/>
        </w:rPr>
        <w:t>It is clear that the reason big businesses are complaining about the removal of the word ‘take advantage’ from Section 46(1) is because they are bigger and stronger than their weaker smaller rivals. As Professor Stephen Corones stated in his submission to the Harper Review, “….conduct engaged in by a firm with substantial market power will have a much greater propensity to have market – distorting foreclosure effects, than the same conduct engaged in by a firm without substantial market power. The need to examine the conduct of major business more closely than those without market power has been recognized in both the United States and the EU”.</w:t>
      </w:r>
      <w:r>
        <w:rPr>
          <w:rStyle w:val="FootnoteReference"/>
          <w:rFonts w:ascii="Times New Roman" w:hAnsi="Times New Roman"/>
          <w:szCs w:val="22"/>
        </w:rPr>
        <w:footnoteReference w:id="17"/>
      </w:r>
    </w:p>
    <w:p w:rsidR="00685EBC"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 xml:space="preserve">There is a need for the use of the word ‘purpose’ as discussed in the Harper Review to be focused on the competitive process rather than the way it is currently presented in the legislation, which refers specifically to individual competitors. As has been discussed in other areas this would direct the focus of the section on the competitive process and away from ‘competitors’ and be more in line with international standards. </w:t>
      </w:r>
    </w:p>
    <w:p w:rsidR="00685EBC"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 xml:space="preserve">The effects test must be included as an essential component of the proposed amendment to the CCA. We are in need of law that will protect against anti-competitive practices. If a company engages in exclusionary conduct, such as land banking, and because they have the financial ability they are able to leave the land dormant then a small business can suffer seriously damaging consequences. This is undoubtedly an exertion of a firm’s market power and if it has the effect of substantially lessening competition then under the proposed Harper amendments it will be prohibited. Surely this will provide for a healthier competitive environment. If a business engages in conduct that has the likely effect of substantially lessening competition then the ACCC should be able to examine the activity to examine the purpose of the action determine the likely effect. If this is unlikely to happen then the issue of an authorization would assist in averting the consequences.  </w:t>
      </w:r>
    </w:p>
    <w:p w:rsidR="00685EBC" w:rsidRPr="006A533A" w:rsidRDefault="00685EBC" w:rsidP="00685EBC">
      <w:pPr>
        <w:pStyle w:val="ListParagraph"/>
        <w:numPr>
          <w:ilvl w:val="0"/>
          <w:numId w:val="20"/>
        </w:numPr>
        <w:spacing w:line="360" w:lineRule="auto"/>
        <w:jc w:val="both"/>
        <w:rPr>
          <w:rFonts w:ascii="Times New Roman" w:hAnsi="Times New Roman"/>
          <w:b/>
          <w:i/>
          <w:szCs w:val="22"/>
          <w:lang w:val="en-AU"/>
        </w:rPr>
      </w:pPr>
      <w:r>
        <w:rPr>
          <w:rFonts w:ascii="Times New Roman" w:hAnsi="Times New Roman"/>
          <w:szCs w:val="22"/>
        </w:rPr>
        <w:t xml:space="preserve">MGA does not support the inclusion of the mandatory factors as proposed by the Harper Review Panel as these are likely to be burdensome due to the many factors that might could impact a particular situation and which could become difficult to prove or disprove. MGA submits that the inclusion of mandatory factors runs the risk of causing delays and problems for the courts when the issues could be detected at the regulatory level rather than the litigious level. However, MGA does support the availability of authorizations and the availability of guidance from the ACCC for inclusion in Section 46.  MGA is of the opinion that access to such advice and guidance would be helpful in directing a business as to a proper course of action and would assist in avoiding litigation. </w:t>
      </w:r>
    </w:p>
    <w:p w:rsidR="00685EBC" w:rsidRPr="009F6C0F"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The abuse of mar</w:t>
      </w:r>
      <w:r w:rsidRPr="00FE1F9B">
        <w:rPr>
          <w:rFonts w:ascii="Times New Roman" w:hAnsi="Times New Roman"/>
          <w:szCs w:val="22"/>
        </w:rPr>
        <w:t>ket power by larger businesses must be stopped and an amended section 46</w:t>
      </w:r>
      <w:r>
        <w:rPr>
          <w:rFonts w:ascii="Times New Roman" w:hAnsi="Times New Roman"/>
          <w:szCs w:val="22"/>
        </w:rPr>
        <w:t xml:space="preserve"> </w:t>
      </w:r>
      <w:r w:rsidRPr="00FE1F9B">
        <w:rPr>
          <w:rFonts w:ascii="Times New Roman" w:hAnsi="Times New Roman"/>
          <w:szCs w:val="22"/>
          <w:u w:val="single"/>
        </w:rPr>
        <w:t>is in the best interests</w:t>
      </w:r>
      <w:r>
        <w:rPr>
          <w:rFonts w:ascii="Times New Roman" w:hAnsi="Times New Roman"/>
          <w:szCs w:val="22"/>
        </w:rPr>
        <w:t xml:space="preserve"> </w:t>
      </w:r>
      <w:r w:rsidRPr="00FE1F9B">
        <w:rPr>
          <w:rFonts w:ascii="Times New Roman" w:hAnsi="Times New Roman"/>
          <w:szCs w:val="22"/>
          <w:u w:val="single"/>
        </w:rPr>
        <w:t>of public policy</w:t>
      </w:r>
      <w:r>
        <w:rPr>
          <w:rFonts w:ascii="Times New Roman" w:hAnsi="Times New Roman"/>
          <w:szCs w:val="22"/>
        </w:rPr>
        <w:t xml:space="preserve">. Consumers will benefit from improvements in competition where large and small industries can benefit for the common good.  The use of authorizations by the ACCC would provide a valuable tool for businesses where a proposed arrangement might appear to be anti- competitive but on examination by the ACCC if it provides a public benefit then the weight of the ACCC could be useful. </w:t>
      </w:r>
    </w:p>
    <w:p w:rsidR="00685EBC" w:rsidRPr="006B1E65" w:rsidRDefault="00685EBC" w:rsidP="00685EBC">
      <w:pPr>
        <w:spacing w:line="360" w:lineRule="auto"/>
        <w:jc w:val="both"/>
        <w:rPr>
          <w:rFonts w:ascii="Times New Roman" w:hAnsi="Times New Roman"/>
          <w:b/>
          <w:i/>
          <w:szCs w:val="22"/>
        </w:rPr>
      </w:pPr>
      <w:r w:rsidRPr="006B1E65">
        <w:rPr>
          <w:rFonts w:ascii="Times New Roman" w:hAnsi="Times New Roman"/>
          <w:b/>
          <w:i/>
          <w:szCs w:val="22"/>
        </w:rPr>
        <w:t xml:space="preserve">Option F- </w:t>
      </w:r>
      <w:r>
        <w:rPr>
          <w:rFonts w:ascii="Times New Roman" w:hAnsi="Times New Roman"/>
          <w:b/>
          <w:i/>
          <w:szCs w:val="22"/>
        </w:rPr>
        <w:t>A</w:t>
      </w:r>
      <w:r w:rsidRPr="006B1E65">
        <w:rPr>
          <w:rFonts w:ascii="Times New Roman" w:hAnsi="Times New Roman"/>
          <w:b/>
          <w:i/>
          <w:szCs w:val="22"/>
        </w:rPr>
        <w:t>dopt the full set of changes recommended by the Harper Panel?</w:t>
      </w:r>
    </w:p>
    <w:p w:rsidR="00685EBC" w:rsidRPr="00ED5BC1"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lang w:val="en-AU"/>
        </w:rPr>
        <w:t>MGA prefers the adoption of Option E rather than Option F</w:t>
      </w:r>
    </w:p>
    <w:p w:rsidR="00685EBC" w:rsidRPr="00DA77E5" w:rsidRDefault="00685EBC" w:rsidP="00685EBC">
      <w:pPr>
        <w:pStyle w:val="ListParagraph"/>
        <w:numPr>
          <w:ilvl w:val="0"/>
          <w:numId w:val="20"/>
        </w:numPr>
        <w:spacing w:line="360" w:lineRule="auto"/>
        <w:jc w:val="both"/>
        <w:rPr>
          <w:rFonts w:ascii="Times New Roman" w:hAnsi="Times New Roman"/>
          <w:szCs w:val="22"/>
        </w:rPr>
      </w:pPr>
      <w:r>
        <w:rPr>
          <w:rFonts w:ascii="Times New Roman" w:hAnsi="Times New Roman"/>
          <w:szCs w:val="22"/>
        </w:rPr>
        <w:t xml:space="preserve">MGA supports amendments to Section 46(1). We are particularly of the opinion that to avoid any uncertainty that might emanate from the inclusion of mandatory factors that the Courts would need to take into account when making a decision, could lead to protracted litigation and to avoid consequent cost and delay it is proposed that the mandatory factors be omitted. MGA does support the adoption of assistance from the ACCC as referred to in our support for Option E. </w:t>
      </w:r>
    </w:p>
    <w:p w:rsidR="00685EBC" w:rsidRPr="008B158B" w:rsidRDefault="00685EBC" w:rsidP="00685EBC">
      <w:pPr>
        <w:spacing w:line="360" w:lineRule="auto"/>
        <w:jc w:val="both"/>
        <w:rPr>
          <w:rFonts w:ascii="Times New Roman" w:hAnsi="Times New Roman"/>
          <w:b/>
          <w:sz w:val="28"/>
          <w:szCs w:val="28"/>
        </w:rPr>
      </w:pPr>
      <w:r w:rsidRPr="008B158B">
        <w:rPr>
          <w:rFonts w:ascii="Times New Roman" w:hAnsi="Times New Roman"/>
          <w:b/>
          <w:sz w:val="28"/>
          <w:szCs w:val="28"/>
        </w:rPr>
        <w:t xml:space="preserve">E Conclusion </w:t>
      </w:r>
    </w:p>
    <w:p w:rsidR="00685EBC" w:rsidRDefault="00685EBC" w:rsidP="00685EBC">
      <w:pPr>
        <w:spacing w:line="360" w:lineRule="auto"/>
        <w:jc w:val="both"/>
        <w:rPr>
          <w:rFonts w:ascii="Times New Roman" w:hAnsi="Times New Roman"/>
          <w:color w:val="000000"/>
          <w:lang w:eastAsia="en-AU"/>
        </w:rPr>
      </w:pPr>
      <w:r>
        <w:rPr>
          <w:rFonts w:ascii="Times New Roman" w:hAnsi="Times New Roman"/>
          <w:color w:val="000000"/>
          <w:lang w:eastAsia="en-AU"/>
        </w:rPr>
        <w:t>The independent retail sector is fully aware that healthy and robust competition is a vital part of delivering excellent consumer outcomes.  However, we have now reached the stage that in order to deliver the competition that consumers deserve we need laws that are fit for the purpose. The imbalance in the competitive process has led us to the point that fairness is being eliminated from competition in Australia.</w:t>
      </w:r>
    </w:p>
    <w:p w:rsidR="00685EBC" w:rsidRDefault="00685EBC" w:rsidP="00685EBC">
      <w:pPr>
        <w:spacing w:line="360" w:lineRule="auto"/>
        <w:jc w:val="both"/>
        <w:rPr>
          <w:rFonts w:ascii="Times New Roman" w:hAnsi="Times New Roman"/>
          <w:color w:val="000000"/>
          <w:lang w:eastAsia="en-AU"/>
        </w:rPr>
      </w:pPr>
      <w:r>
        <w:rPr>
          <w:rFonts w:ascii="Times New Roman" w:hAnsi="Times New Roman"/>
          <w:color w:val="000000"/>
          <w:lang w:eastAsia="en-AU"/>
        </w:rPr>
        <w:t xml:space="preserve">Amending the law will not destroy competition, it will enhance competition. What is there to be afraid of by changing the law? There is ample evidence of exclusionary behavior such as anti-discrimination price discrimination, land banking and bundling from which it must be concluded that the CCA laws need to be amended. </w:t>
      </w:r>
    </w:p>
    <w:p w:rsidR="00685EBC" w:rsidRDefault="00685EBC" w:rsidP="00685EBC">
      <w:pPr>
        <w:spacing w:line="360" w:lineRule="auto"/>
        <w:jc w:val="both"/>
        <w:rPr>
          <w:rFonts w:ascii="Times New Roman" w:hAnsi="Times New Roman"/>
          <w:color w:val="000000"/>
          <w:lang w:eastAsia="en-AU"/>
        </w:rPr>
      </w:pPr>
      <w:r>
        <w:rPr>
          <w:rFonts w:ascii="Times New Roman" w:hAnsi="Times New Roman"/>
          <w:color w:val="000000"/>
          <w:lang w:eastAsia="en-AU"/>
        </w:rPr>
        <w:t xml:space="preserve"> MGA members are very clear in their opinions, they respect the competitive spirit of those who engage in fair play and they admire any business that succeeds in a difficult and demanding business environment. There will always be those businesses at any level that will do better than others due to their particular brand of business acumen and their creativity. This is to be encouraged and they deserve to succeed. However, if all the players operate on a level playing field then each competitor has a chance of success, no matter what the level of achievement. </w:t>
      </w:r>
    </w:p>
    <w:p w:rsidR="00685EBC" w:rsidRDefault="00685EBC" w:rsidP="00685EBC">
      <w:pPr>
        <w:spacing w:line="360" w:lineRule="auto"/>
        <w:jc w:val="both"/>
        <w:rPr>
          <w:rFonts w:ascii="Times New Roman" w:hAnsi="Times New Roman"/>
          <w:color w:val="000000"/>
          <w:lang w:eastAsia="en-AU"/>
        </w:rPr>
      </w:pPr>
      <w:r>
        <w:rPr>
          <w:rFonts w:ascii="Times New Roman" w:hAnsi="Times New Roman"/>
          <w:color w:val="000000"/>
          <w:lang w:eastAsia="en-AU"/>
        </w:rPr>
        <w:t xml:space="preserve">The Harper Review has delivered excellent recommendations for a range of changes to competition law but obviously none with greater significance for the independent grocery, liquor and hardware sector than Section 46. It is hoped that any amendments to the CCA that emerge, following this inquiry by Treasury, will provide an equal competitive opportunity for all businesses, large and small, and that the competitive process, which has been so strongly promoted by the Harper Review, consisting of an eminently qualified panel, will provide the opportunities for all parties to achieve success in the Australian economy on their merit, and not just on their power.   </w:t>
      </w:r>
    </w:p>
    <w:p w:rsidR="00685EBC" w:rsidRDefault="00685EBC" w:rsidP="00685EBC">
      <w:pPr>
        <w:spacing w:line="360" w:lineRule="auto"/>
        <w:jc w:val="both"/>
        <w:rPr>
          <w:rFonts w:ascii="Times New Roman" w:hAnsi="Times New Roman"/>
          <w:color w:val="000000"/>
          <w:lang w:eastAsia="en-AU"/>
        </w:rPr>
      </w:pPr>
      <w:r>
        <w:rPr>
          <w:rFonts w:ascii="Times New Roman" w:hAnsi="Times New Roman"/>
          <w:color w:val="000000"/>
          <w:lang w:eastAsia="en-AU"/>
        </w:rPr>
        <w:t>We thank the Minister and Treasury again for the opportunity to respond to the “Options to strengthen the misuse of market power law.”</w:t>
      </w:r>
    </w:p>
    <w:p w:rsidR="00685EBC" w:rsidRDefault="00685EBC" w:rsidP="00685EBC">
      <w:pPr>
        <w:spacing w:after="0" w:line="360" w:lineRule="auto"/>
        <w:jc w:val="both"/>
        <w:rPr>
          <w:rFonts w:ascii="Times New Roman" w:hAnsi="Times New Roman"/>
          <w:color w:val="000000"/>
          <w:lang w:eastAsia="en-AU"/>
        </w:rPr>
      </w:pPr>
      <w:r>
        <w:rPr>
          <w:rFonts w:ascii="Times New Roman" w:hAnsi="Times New Roman"/>
          <w:noProof/>
          <w:color w:val="000000"/>
          <w:lang w:val="en-AU" w:eastAsia="en-AU"/>
        </w:rPr>
        <w:drawing>
          <wp:inline distT="0" distB="0" distL="0" distR="0" wp14:anchorId="5CCD68EE" wp14:editId="4F3F5F42">
            <wp:extent cx="1118265" cy="704508"/>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6697" cy="722420"/>
                    </a:xfrm>
                    <a:prstGeom prst="rect">
                      <a:avLst/>
                    </a:prstGeom>
                    <a:noFill/>
                  </pic:spPr>
                </pic:pic>
              </a:graphicData>
            </a:graphic>
          </wp:inline>
        </w:drawing>
      </w:r>
    </w:p>
    <w:p w:rsidR="00685EBC" w:rsidRDefault="00685EBC" w:rsidP="00685EBC">
      <w:pPr>
        <w:spacing w:after="0" w:line="360" w:lineRule="auto"/>
        <w:jc w:val="both"/>
        <w:rPr>
          <w:rFonts w:ascii="Times New Roman" w:hAnsi="Times New Roman"/>
          <w:color w:val="000000"/>
          <w:lang w:eastAsia="en-AU"/>
        </w:rPr>
      </w:pPr>
      <w:r>
        <w:rPr>
          <w:rFonts w:ascii="Times New Roman" w:hAnsi="Times New Roman"/>
          <w:color w:val="000000"/>
          <w:lang w:eastAsia="en-AU"/>
        </w:rPr>
        <w:t>Jos de Bruin</w:t>
      </w:r>
    </w:p>
    <w:p w:rsidR="00566B38" w:rsidRDefault="00566B38" w:rsidP="00685EBC">
      <w:pPr>
        <w:spacing w:after="0" w:line="360" w:lineRule="auto"/>
        <w:jc w:val="both"/>
        <w:rPr>
          <w:rFonts w:ascii="Times New Roman" w:hAnsi="Times New Roman"/>
          <w:color w:val="000000"/>
          <w:lang w:eastAsia="en-AU"/>
        </w:rPr>
      </w:pPr>
      <w:r>
        <w:rPr>
          <w:rFonts w:ascii="Times New Roman" w:hAnsi="Times New Roman"/>
          <w:color w:val="000000"/>
          <w:lang w:eastAsia="en-AU"/>
        </w:rPr>
        <w:t xml:space="preserve">CEO MGA Independent Retailers </w:t>
      </w:r>
    </w:p>
    <w:p w:rsidR="00685EBC" w:rsidRDefault="00685EBC" w:rsidP="00685EBC">
      <w:pPr>
        <w:spacing w:line="360" w:lineRule="auto"/>
        <w:jc w:val="both"/>
        <w:rPr>
          <w:rFonts w:ascii="Times New Roman" w:hAnsi="Times New Roman"/>
          <w:szCs w:val="22"/>
        </w:rPr>
      </w:pPr>
      <w:r>
        <w:rPr>
          <w:rFonts w:ascii="Times New Roman" w:hAnsi="Times New Roman"/>
          <w:szCs w:val="22"/>
        </w:rPr>
        <w:t>12</w:t>
      </w:r>
      <w:r w:rsidRPr="003D6601">
        <w:rPr>
          <w:rFonts w:ascii="Times New Roman" w:hAnsi="Times New Roman"/>
          <w:szCs w:val="22"/>
          <w:vertAlign w:val="superscript"/>
        </w:rPr>
        <w:t>th</w:t>
      </w:r>
      <w:r>
        <w:rPr>
          <w:rFonts w:ascii="Times New Roman" w:hAnsi="Times New Roman"/>
          <w:szCs w:val="22"/>
        </w:rPr>
        <w:t xml:space="preserve"> February 2016.</w:t>
      </w:r>
    </w:p>
    <w:p w:rsidR="00DA70AE" w:rsidRPr="0063736D" w:rsidRDefault="00DA70AE" w:rsidP="000D7742">
      <w:pPr>
        <w:rPr>
          <w:rFonts w:asciiTheme="minorHAnsi" w:hAnsiTheme="minorHAnsi"/>
          <w:sz w:val="24"/>
        </w:rPr>
      </w:pPr>
    </w:p>
    <w:p w:rsidR="000D7742" w:rsidRPr="00DA70AE" w:rsidRDefault="000D7742" w:rsidP="00DA70AE">
      <w:pPr>
        <w:pStyle w:val="Style2"/>
        <w:numPr>
          <w:ilvl w:val="0"/>
          <w:numId w:val="0"/>
        </w:numPr>
        <w:rPr>
          <w:rFonts w:asciiTheme="minorHAnsi" w:hAnsiTheme="minorHAnsi"/>
          <w:color w:val="auto"/>
          <w:sz w:val="22"/>
        </w:rPr>
      </w:pPr>
    </w:p>
    <w:sectPr w:rsidR="000D7742" w:rsidRPr="00DA70AE" w:rsidSect="006F0604">
      <w:headerReference w:type="default" r:id="rId15"/>
      <w:footerReference w:type="default" r:id="rId16"/>
      <w:headerReference w:type="first" r:id="rId17"/>
      <w:footerReference w:type="first" r:id="rId18"/>
      <w:pgSz w:w="11907" w:h="16840" w:code="9"/>
      <w:pgMar w:top="2268" w:right="851" w:bottom="851" w:left="851"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68" w:rsidRDefault="00414368">
      <w:r>
        <w:separator/>
      </w:r>
    </w:p>
  </w:endnote>
  <w:endnote w:type="continuationSeparator" w:id="0">
    <w:p w:rsidR="00414368" w:rsidRDefault="004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081145"/>
      <w:docPartObj>
        <w:docPartGallery w:val="Page Numbers (Bottom of Page)"/>
        <w:docPartUnique/>
      </w:docPartObj>
    </w:sdtPr>
    <w:sdtEndPr>
      <w:rPr>
        <w:sz w:val="20"/>
      </w:rPr>
    </w:sdtEndPr>
    <w:sdtContent>
      <w:sdt>
        <w:sdtPr>
          <w:id w:val="860082579"/>
          <w:docPartObj>
            <w:docPartGallery w:val="Page Numbers (Top of Page)"/>
            <w:docPartUnique/>
          </w:docPartObj>
        </w:sdtPr>
        <w:sdtEndPr>
          <w:rPr>
            <w:sz w:val="20"/>
          </w:rPr>
        </w:sdtEndPr>
        <w:sdtContent>
          <w:p w:rsidR="006F0604" w:rsidRDefault="006F0604" w:rsidP="006F0604">
            <w:pPr>
              <w:pStyle w:val="Footer"/>
              <w:tabs>
                <w:tab w:val="clear" w:pos="8640"/>
                <w:tab w:val="right" w:pos="10206"/>
              </w:tabs>
              <w:spacing w:before="120" w:after="40"/>
              <w:jc w:val="right"/>
            </w:pPr>
            <w:r>
              <w:rPr>
                <w:rFonts w:cs="Arial"/>
                <w:b/>
                <w:i/>
                <w:noProof/>
                <w:color w:val="FF0000"/>
                <w:sz w:val="18"/>
                <w:szCs w:val="18"/>
                <w:lang w:val="en-AU" w:eastAsia="en-AU"/>
              </w:rPr>
              <mc:AlternateContent>
                <mc:Choice Requires="wps">
                  <w:drawing>
                    <wp:anchor distT="0" distB="0" distL="114300" distR="114300" simplePos="0" relativeHeight="251671552" behindDoc="0" locked="0" layoutInCell="1" allowOverlap="1" wp14:anchorId="07E8EBDA" wp14:editId="0DACD0B5">
                      <wp:simplePos x="0" y="0"/>
                      <wp:positionH relativeFrom="column">
                        <wp:posOffset>-1905</wp:posOffset>
                      </wp:positionH>
                      <wp:positionV relativeFrom="paragraph">
                        <wp:posOffset>162658</wp:posOffset>
                      </wp:positionV>
                      <wp:extent cx="6470650" cy="0"/>
                      <wp:effectExtent l="0" t="19050" r="63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65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F37A1" id="Line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8pt" to="50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" strokecolor="red" strokeweight="3pt"/>
                  </w:pict>
                </mc:Fallback>
              </mc:AlternateContent>
            </w:r>
          </w:p>
          <w:p w:rsidR="00AD575A" w:rsidRPr="006F0604" w:rsidRDefault="006F0604" w:rsidP="006F0604">
            <w:pPr>
              <w:pStyle w:val="Footer"/>
              <w:tabs>
                <w:tab w:val="clear" w:pos="8640"/>
                <w:tab w:val="right" w:pos="10206"/>
              </w:tabs>
              <w:spacing w:before="120" w:after="40"/>
              <w:jc w:val="right"/>
              <w:rPr>
                <w:rFonts w:ascii="Calibri" w:hAnsi="Calibri" w:cs="Calibri"/>
                <w:color w:val="808080" w:themeColor="background1" w:themeShade="80"/>
                <w:sz w:val="20"/>
                <w:szCs w:val="16"/>
                <w:lang w:val="en-AU" w:eastAsia="en-AU"/>
              </w:rPr>
            </w:pPr>
            <w:r>
              <w:rPr>
                <w:rFonts w:asciiTheme="minorHAnsi" w:hAnsiTheme="minorHAnsi" w:cs="Arial"/>
                <w:color w:val="808080" w:themeColor="background1" w:themeShade="80"/>
                <w:sz w:val="20"/>
                <w:szCs w:val="16"/>
              </w:rPr>
              <w:tab/>
            </w:r>
            <w:r w:rsidRPr="00DA70AE">
              <w:rPr>
                <w:rFonts w:asciiTheme="minorHAnsi" w:hAnsiTheme="minorHAnsi" w:cs="Arial"/>
                <w:color w:val="808080" w:themeColor="background1" w:themeShade="80"/>
                <w:sz w:val="24"/>
                <w:szCs w:val="16"/>
              </w:rPr>
              <w:t xml:space="preserve">                      </w:t>
            </w:r>
          </w:p>
          <w:p w:rsidR="00AD575A" w:rsidRPr="006F0604" w:rsidRDefault="00850275" w:rsidP="00850275">
            <w:pPr>
              <w:pStyle w:val="Footer"/>
              <w:tabs>
                <w:tab w:val="clear" w:pos="8640"/>
                <w:tab w:val="right" w:pos="9072"/>
              </w:tabs>
              <w:rPr>
                <w:sz w:val="20"/>
              </w:rPr>
            </w:pPr>
            <w:r w:rsidRPr="00C55892">
              <w:rPr>
                <w:rFonts w:asciiTheme="minorHAnsi" w:hAnsiTheme="minorHAnsi"/>
                <w:i/>
                <w:color w:val="808080" w:themeColor="background1" w:themeShade="80"/>
                <w:sz w:val="20"/>
              </w:rPr>
              <w:t>© Master Grocers Australia Limite</w:t>
            </w:r>
            <w:r>
              <w:rPr>
                <w:rFonts w:asciiTheme="minorHAnsi" w:hAnsiTheme="minorHAnsi"/>
                <w:i/>
                <w:color w:val="808080" w:themeColor="background1" w:themeShade="80"/>
                <w:sz w:val="20"/>
              </w:rPr>
              <w:t>d</w:t>
            </w:r>
            <w:r w:rsidR="006F0604">
              <w:rPr>
                <w:rFonts w:asciiTheme="minorHAnsi" w:hAnsiTheme="minorHAnsi"/>
                <w:color w:val="808080" w:themeColor="background1" w:themeShade="80"/>
                <w:sz w:val="20"/>
              </w:rPr>
              <w:tab/>
            </w:r>
            <w:r w:rsidR="006F0604">
              <w:rPr>
                <w:rFonts w:asciiTheme="minorHAnsi" w:hAnsiTheme="minorHAnsi"/>
                <w:color w:val="808080" w:themeColor="background1" w:themeShade="80"/>
                <w:sz w:val="20"/>
              </w:rPr>
              <w:tab/>
            </w:r>
            <w:r w:rsidR="006F0604">
              <w:rPr>
                <w:rFonts w:asciiTheme="minorHAnsi" w:hAnsiTheme="minorHAnsi"/>
                <w:color w:val="808080" w:themeColor="background1" w:themeShade="80"/>
                <w:sz w:val="20"/>
              </w:rPr>
              <w:tab/>
              <w:t xml:space="preserve">     </w:t>
            </w:r>
            <w:r w:rsidR="00AD575A" w:rsidRPr="006F0604">
              <w:rPr>
                <w:rFonts w:asciiTheme="minorHAnsi" w:hAnsiTheme="minorHAnsi"/>
                <w:color w:val="808080" w:themeColor="background1" w:themeShade="80"/>
                <w:sz w:val="20"/>
              </w:rPr>
              <w:t xml:space="preserve">Page </w:t>
            </w:r>
            <w:r w:rsidR="00AD575A" w:rsidRPr="006F0604">
              <w:rPr>
                <w:rFonts w:asciiTheme="minorHAnsi" w:hAnsiTheme="minorHAnsi"/>
                <w:b/>
                <w:bCs/>
                <w:color w:val="808080" w:themeColor="background1" w:themeShade="80"/>
              </w:rPr>
              <w:fldChar w:fldCharType="begin"/>
            </w:r>
            <w:r w:rsidR="00AD575A" w:rsidRPr="006F0604">
              <w:rPr>
                <w:rFonts w:asciiTheme="minorHAnsi" w:hAnsiTheme="minorHAnsi"/>
                <w:b/>
                <w:bCs/>
                <w:color w:val="808080" w:themeColor="background1" w:themeShade="80"/>
                <w:sz w:val="20"/>
              </w:rPr>
              <w:instrText xml:space="preserve"> PAGE </w:instrText>
            </w:r>
            <w:r w:rsidR="00AD575A" w:rsidRPr="006F0604">
              <w:rPr>
                <w:rFonts w:asciiTheme="minorHAnsi" w:hAnsiTheme="minorHAnsi"/>
                <w:b/>
                <w:bCs/>
                <w:color w:val="808080" w:themeColor="background1" w:themeShade="80"/>
              </w:rPr>
              <w:fldChar w:fldCharType="separate"/>
            </w:r>
            <w:r w:rsidR="00252C51">
              <w:rPr>
                <w:rFonts w:asciiTheme="minorHAnsi" w:hAnsiTheme="minorHAnsi"/>
                <w:b/>
                <w:bCs/>
                <w:noProof/>
                <w:color w:val="808080" w:themeColor="background1" w:themeShade="80"/>
                <w:sz w:val="20"/>
              </w:rPr>
              <w:t>2</w:t>
            </w:r>
            <w:r w:rsidR="00AD575A" w:rsidRPr="006F0604">
              <w:rPr>
                <w:rFonts w:asciiTheme="minorHAnsi" w:hAnsiTheme="minorHAnsi"/>
                <w:b/>
                <w:bCs/>
                <w:color w:val="808080" w:themeColor="background1" w:themeShade="80"/>
              </w:rPr>
              <w:fldChar w:fldCharType="end"/>
            </w:r>
            <w:r w:rsidR="00AD575A" w:rsidRPr="006F0604">
              <w:rPr>
                <w:rFonts w:asciiTheme="minorHAnsi" w:hAnsiTheme="minorHAnsi"/>
                <w:color w:val="808080" w:themeColor="background1" w:themeShade="80"/>
                <w:sz w:val="20"/>
              </w:rPr>
              <w:t xml:space="preserve"> of </w:t>
            </w:r>
            <w:r w:rsidR="00AD575A" w:rsidRPr="006F0604">
              <w:rPr>
                <w:rFonts w:asciiTheme="minorHAnsi" w:hAnsiTheme="minorHAnsi"/>
                <w:b/>
                <w:bCs/>
                <w:color w:val="808080" w:themeColor="background1" w:themeShade="80"/>
              </w:rPr>
              <w:fldChar w:fldCharType="begin"/>
            </w:r>
            <w:r w:rsidR="00AD575A" w:rsidRPr="006F0604">
              <w:rPr>
                <w:rFonts w:asciiTheme="minorHAnsi" w:hAnsiTheme="minorHAnsi"/>
                <w:b/>
                <w:bCs/>
                <w:color w:val="808080" w:themeColor="background1" w:themeShade="80"/>
                <w:sz w:val="20"/>
              </w:rPr>
              <w:instrText xml:space="preserve"> NUMPAGES  </w:instrText>
            </w:r>
            <w:r w:rsidR="00AD575A" w:rsidRPr="006F0604">
              <w:rPr>
                <w:rFonts w:asciiTheme="minorHAnsi" w:hAnsiTheme="minorHAnsi"/>
                <w:b/>
                <w:bCs/>
                <w:color w:val="808080" w:themeColor="background1" w:themeShade="80"/>
              </w:rPr>
              <w:fldChar w:fldCharType="separate"/>
            </w:r>
            <w:r w:rsidR="00252C51">
              <w:rPr>
                <w:rFonts w:asciiTheme="minorHAnsi" w:hAnsiTheme="minorHAnsi"/>
                <w:b/>
                <w:bCs/>
                <w:noProof/>
                <w:color w:val="808080" w:themeColor="background1" w:themeShade="80"/>
                <w:sz w:val="20"/>
              </w:rPr>
              <w:t>4</w:t>
            </w:r>
            <w:r w:rsidR="00AD575A" w:rsidRPr="006F0604">
              <w:rPr>
                <w:rFonts w:asciiTheme="minorHAnsi" w:hAnsiTheme="minorHAnsi"/>
                <w:b/>
                <w:bCs/>
                <w:color w:val="808080" w:themeColor="background1" w:themeShade="8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D" w:rsidRPr="000926DA" w:rsidRDefault="00E40EE5" w:rsidP="0063736D">
    <w:pPr>
      <w:pStyle w:val="Footer"/>
      <w:spacing w:before="100" w:after="0"/>
      <w:ind w:left="6566" w:hanging="6566"/>
      <w:rPr>
        <w:rFonts w:cs="Arial"/>
        <w:color w:val="C0C0C0"/>
        <w:sz w:val="16"/>
        <w:szCs w:val="16"/>
      </w:rPr>
    </w:pPr>
    <w:r>
      <w:rPr>
        <w:rFonts w:cs="Arial"/>
        <w:b/>
        <w:i/>
        <w:noProof/>
        <w:color w:val="FF0000"/>
        <w:sz w:val="18"/>
        <w:szCs w:val="18"/>
        <w:lang w:val="en-AU" w:eastAsia="en-AU"/>
      </w:rPr>
      <mc:AlternateContent>
        <mc:Choice Requires="wps">
          <w:drawing>
            <wp:anchor distT="0" distB="0" distL="114300" distR="114300" simplePos="0" relativeHeight="251660288" behindDoc="0" locked="0" layoutInCell="1" allowOverlap="1" wp14:anchorId="1746D960" wp14:editId="140DEE20">
              <wp:simplePos x="0" y="0"/>
              <wp:positionH relativeFrom="column">
                <wp:posOffset>-12847</wp:posOffset>
              </wp:positionH>
              <wp:positionV relativeFrom="paragraph">
                <wp:posOffset>102333</wp:posOffset>
              </wp:positionV>
              <wp:extent cx="6391813" cy="0"/>
              <wp:effectExtent l="0" t="19050" r="95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813"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EB973B"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05pt" to="50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y6FA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" strokecolor="red" strokeweight="3pt"/>
          </w:pict>
        </mc:Fallback>
      </mc:AlternateContent>
    </w:r>
    <w:r>
      <w:rPr>
        <w:rFonts w:cs="Arial"/>
        <w:color w:val="FF0000"/>
        <w:sz w:val="16"/>
        <w:szCs w:val="16"/>
      </w:rPr>
      <w:tab/>
    </w:r>
    <w:r w:rsidRPr="00C92502">
      <w:rPr>
        <w:rFonts w:cs="Arial"/>
        <w:color w:val="FF0000"/>
        <w:sz w:val="16"/>
        <w:szCs w:val="16"/>
      </w:rPr>
      <w:tab/>
    </w:r>
  </w:p>
  <w:p w:rsidR="00AD575A" w:rsidRDefault="0063736D" w:rsidP="000E4112">
    <w:pPr>
      <w:pStyle w:val="Footer"/>
      <w:tabs>
        <w:tab w:val="clear" w:pos="8640"/>
        <w:tab w:val="right" w:pos="9923"/>
      </w:tabs>
      <w:spacing w:before="120" w:after="40"/>
      <w:rPr>
        <w:rFonts w:ascii="Calibri" w:hAnsi="Calibri" w:cs="Calibri"/>
        <w:color w:val="808080" w:themeColor="background1" w:themeShade="80"/>
        <w:sz w:val="20"/>
        <w:szCs w:val="16"/>
        <w:lang w:val="en-AU" w:eastAsia="en-AU"/>
      </w:rPr>
    </w:pPr>
    <w:r w:rsidRPr="0063736D">
      <w:rPr>
        <w:rFonts w:asciiTheme="minorHAnsi" w:hAnsiTheme="minorHAnsi" w:cs="Arial"/>
        <w:color w:val="808080" w:themeColor="background1" w:themeShade="80"/>
        <w:sz w:val="20"/>
        <w:szCs w:val="16"/>
      </w:rPr>
      <w:fldChar w:fldCharType="begin"/>
    </w:r>
    <w:r w:rsidRPr="0063736D">
      <w:rPr>
        <w:rFonts w:asciiTheme="minorHAnsi" w:hAnsiTheme="minorHAnsi" w:cs="Arial"/>
        <w:color w:val="808080" w:themeColor="background1" w:themeShade="80"/>
        <w:sz w:val="20"/>
        <w:szCs w:val="16"/>
      </w:rPr>
      <w:instrText xml:space="preserve"> FILENAME \p </w:instrText>
    </w:r>
    <w:r w:rsidRPr="0063736D">
      <w:rPr>
        <w:rFonts w:asciiTheme="minorHAnsi" w:hAnsiTheme="minorHAnsi" w:cs="Arial"/>
        <w:color w:val="808080" w:themeColor="background1" w:themeShade="80"/>
        <w:sz w:val="20"/>
        <w:szCs w:val="16"/>
      </w:rPr>
      <w:fldChar w:fldCharType="separate"/>
    </w:r>
    <w:r w:rsidR="003C0B6E">
      <w:rPr>
        <w:rFonts w:asciiTheme="minorHAnsi" w:hAnsiTheme="minorHAnsi" w:cs="Arial"/>
        <w:noProof/>
        <w:color w:val="808080" w:themeColor="background1" w:themeShade="80"/>
        <w:sz w:val="20"/>
        <w:szCs w:val="16"/>
      </w:rPr>
      <w:t>Q:\Web Content Submissions\S46 additional submissions\MGA.docx</w:t>
    </w:r>
    <w:r w:rsidRPr="0063736D">
      <w:rPr>
        <w:rFonts w:asciiTheme="minorHAnsi" w:hAnsiTheme="minorHAnsi" w:cs="Arial"/>
        <w:color w:val="808080" w:themeColor="background1" w:themeShade="80"/>
        <w:sz w:val="20"/>
        <w:szCs w:val="16"/>
      </w:rPr>
      <w:fldChar w:fldCharType="end"/>
    </w:r>
    <w:r w:rsidR="000E4112">
      <w:rPr>
        <w:rFonts w:asciiTheme="minorHAnsi" w:hAnsiTheme="minorHAnsi" w:cs="Arial"/>
        <w:color w:val="808080" w:themeColor="background1" w:themeShade="80"/>
        <w:sz w:val="20"/>
        <w:szCs w:val="16"/>
      </w:rPr>
      <w:t xml:space="preserve"> </w:t>
    </w:r>
    <w:r w:rsidR="000E4112">
      <w:rPr>
        <w:rFonts w:asciiTheme="minorHAnsi" w:hAnsiTheme="minorHAnsi" w:cs="Arial"/>
        <w:color w:val="808080" w:themeColor="background1" w:themeShade="80"/>
        <w:sz w:val="20"/>
        <w:szCs w:val="16"/>
      </w:rPr>
      <w:tab/>
      <w:t xml:space="preserve">                      </w:t>
    </w:r>
    <w:r w:rsidR="000E4112" w:rsidRPr="000E4112">
      <w:rPr>
        <w:rFonts w:ascii="Calibri" w:hAnsi="Calibri" w:cs="Calibri"/>
        <w:color w:val="808080" w:themeColor="background1" w:themeShade="80"/>
        <w:sz w:val="20"/>
        <w:szCs w:val="16"/>
        <w:lang w:val="en-AU" w:eastAsia="en-AU"/>
      </w:rPr>
      <w:t xml:space="preserve">TR102P118 Ver </w:t>
    </w:r>
    <w:r w:rsidR="000E4112">
      <w:rPr>
        <w:rFonts w:ascii="Calibri" w:hAnsi="Calibri" w:cs="Calibri"/>
        <w:color w:val="808080" w:themeColor="background1" w:themeShade="80"/>
        <w:sz w:val="20"/>
        <w:szCs w:val="16"/>
        <w:lang w:val="en-AU" w:eastAsia="en-AU"/>
      </w:rPr>
      <w:t>6</w:t>
    </w:r>
  </w:p>
  <w:p w:rsidR="00AD575A" w:rsidRPr="00AD575A" w:rsidRDefault="00AD575A" w:rsidP="000E4112">
    <w:pPr>
      <w:pStyle w:val="Footer"/>
      <w:tabs>
        <w:tab w:val="clear" w:pos="8640"/>
        <w:tab w:val="right" w:pos="9923"/>
      </w:tabs>
      <w:spacing w:before="120" w:after="40"/>
      <w:rPr>
        <w:rFonts w:ascii="Calibri" w:hAnsi="Calibri" w:cs="Calibri"/>
        <w:color w:val="808080" w:themeColor="background1" w:themeShade="80"/>
        <w:sz w:val="20"/>
        <w:szCs w:val="16"/>
        <w:lang w:val="en-AU" w:eastAsia="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68" w:rsidRDefault="00414368">
      <w:r>
        <w:separator/>
      </w:r>
    </w:p>
  </w:footnote>
  <w:footnote w:type="continuationSeparator" w:id="0">
    <w:p w:rsidR="00414368" w:rsidRDefault="00414368">
      <w:r>
        <w:continuationSeparator/>
      </w:r>
    </w:p>
  </w:footnote>
  <w:footnote w:id="1">
    <w:p w:rsidR="00685EBC" w:rsidRPr="004B6ED1" w:rsidRDefault="00685EBC" w:rsidP="00685EBC">
      <w:pPr>
        <w:pStyle w:val="FootnoteText"/>
        <w:rPr>
          <w:sz w:val="16"/>
          <w:szCs w:val="16"/>
          <w:lang w:val="en-AU"/>
        </w:rPr>
      </w:pPr>
      <w:r w:rsidRPr="004B6ED1">
        <w:rPr>
          <w:rStyle w:val="FootnoteReference"/>
          <w:sz w:val="16"/>
          <w:szCs w:val="16"/>
        </w:rPr>
        <w:footnoteRef/>
      </w:r>
      <w:r w:rsidRPr="004B6ED1">
        <w:rPr>
          <w:sz w:val="16"/>
          <w:szCs w:val="16"/>
        </w:rPr>
        <w:t xml:space="preserve"> </w:t>
      </w:r>
      <w:r w:rsidRPr="004B6ED1">
        <w:rPr>
          <w:sz w:val="16"/>
          <w:szCs w:val="16"/>
          <w:lang w:val="en-AU"/>
        </w:rPr>
        <w:t xml:space="preserve">The Panels View page 347 Competition Policy Review Final Report March 2015 </w:t>
      </w:r>
    </w:p>
  </w:footnote>
  <w:footnote w:id="2">
    <w:p w:rsidR="00685EBC" w:rsidRPr="00BE2CE9" w:rsidRDefault="00685EBC" w:rsidP="00685EBC">
      <w:pPr>
        <w:pStyle w:val="FootnoteText"/>
        <w:rPr>
          <w:rFonts w:ascii="Times New Roman" w:hAnsi="Times New Roman"/>
          <w:sz w:val="16"/>
          <w:szCs w:val="16"/>
          <w:lang w:val="en-AU"/>
        </w:rPr>
      </w:pPr>
      <w:r w:rsidRPr="00BE2CE9">
        <w:rPr>
          <w:rStyle w:val="FootnoteReference"/>
          <w:rFonts w:ascii="Times New Roman" w:hAnsi="Times New Roman"/>
          <w:sz w:val="16"/>
          <w:szCs w:val="16"/>
        </w:rPr>
        <w:footnoteRef/>
      </w:r>
      <w:r w:rsidRPr="00BE2CE9">
        <w:rPr>
          <w:rFonts w:ascii="Times New Roman" w:hAnsi="Times New Roman"/>
          <w:sz w:val="16"/>
          <w:szCs w:val="16"/>
        </w:rPr>
        <w:t xml:space="preserve"> </w:t>
      </w:r>
      <w:r w:rsidRPr="00BE2CE9">
        <w:rPr>
          <w:rFonts w:ascii="Times New Roman" w:hAnsi="Times New Roman"/>
          <w:sz w:val="16"/>
          <w:szCs w:val="16"/>
          <w:lang w:val="en-AU"/>
        </w:rPr>
        <w:t>Let</w:t>
      </w:r>
      <w:r>
        <w:rPr>
          <w:rFonts w:ascii="Times New Roman" w:hAnsi="Times New Roman"/>
          <w:sz w:val="16"/>
          <w:szCs w:val="16"/>
          <w:lang w:val="en-AU"/>
        </w:rPr>
        <w:t>’</w:t>
      </w:r>
      <w:r w:rsidRPr="00BE2CE9">
        <w:rPr>
          <w:rFonts w:ascii="Times New Roman" w:hAnsi="Times New Roman"/>
          <w:sz w:val="16"/>
          <w:szCs w:val="16"/>
          <w:lang w:val="en-AU"/>
        </w:rPr>
        <w:t>s Have Fair Competition- Master Grocers Australia August 2013 pp 35-41</w:t>
      </w:r>
    </w:p>
  </w:footnote>
  <w:footnote w:id="3">
    <w:p w:rsidR="00685EBC" w:rsidRPr="00BE2CE9" w:rsidRDefault="00685EBC" w:rsidP="00685EBC">
      <w:pPr>
        <w:pStyle w:val="FootnoteText"/>
        <w:rPr>
          <w:rFonts w:ascii="Times New Roman" w:hAnsi="Times New Roman"/>
          <w:sz w:val="16"/>
          <w:szCs w:val="16"/>
          <w:lang w:val="en-AU"/>
        </w:rPr>
      </w:pPr>
      <w:r w:rsidRPr="00BE2CE9">
        <w:rPr>
          <w:rStyle w:val="FootnoteReference"/>
          <w:rFonts w:ascii="Times New Roman" w:hAnsi="Times New Roman"/>
          <w:sz w:val="16"/>
          <w:szCs w:val="16"/>
        </w:rPr>
        <w:footnoteRef/>
      </w:r>
      <w:r w:rsidRPr="00BE2CE9">
        <w:rPr>
          <w:rFonts w:ascii="Times New Roman" w:hAnsi="Times New Roman"/>
          <w:sz w:val="16"/>
          <w:szCs w:val="16"/>
        </w:rPr>
        <w:t xml:space="preserve"> </w:t>
      </w:r>
      <w:r w:rsidRPr="00BE2CE9">
        <w:rPr>
          <w:rFonts w:ascii="Times New Roman" w:hAnsi="Times New Roman"/>
          <w:sz w:val="16"/>
          <w:szCs w:val="16"/>
          <w:lang w:val="en-AU"/>
        </w:rPr>
        <w:t xml:space="preserve">Accenture Australia </w:t>
      </w:r>
      <w:r>
        <w:rPr>
          <w:rFonts w:ascii="Times New Roman" w:hAnsi="Times New Roman"/>
          <w:sz w:val="16"/>
          <w:szCs w:val="16"/>
          <w:lang w:val="en-AU"/>
        </w:rPr>
        <w:t>-</w:t>
      </w:r>
      <w:r w:rsidRPr="00BE2CE9">
        <w:rPr>
          <w:rFonts w:ascii="Times New Roman" w:hAnsi="Times New Roman"/>
          <w:sz w:val="16"/>
          <w:szCs w:val="16"/>
          <w:lang w:val="en-AU"/>
        </w:rPr>
        <w:t xml:space="preserve">The Challenge to feed a growing nation, November 2010. Page 27 </w:t>
      </w:r>
    </w:p>
  </w:footnote>
  <w:footnote w:id="4">
    <w:p w:rsidR="00685EBC" w:rsidRPr="00EA38EA" w:rsidRDefault="00685EBC" w:rsidP="00685EBC">
      <w:pPr>
        <w:pStyle w:val="FootnoteText"/>
        <w:rPr>
          <w:rFonts w:ascii="Times New Roman" w:hAnsi="Times New Roman"/>
          <w:sz w:val="16"/>
          <w:szCs w:val="16"/>
          <w:lang w:val="en-AU"/>
        </w:rPr>
      </w:pPr>
      <w:r w:rsidRPr="00EA38EA">
        <w:rPr>
          <w:rStyle w:val="FootnoteReference"/>
          <w:rFonts w:ascii="Times New Roman" w:hAnsi="Times New Roman"/>
          <w:sz w:val="16"/>
          <w:szCs w:val="16"/>
        </w:rPr>
        <w:footnoteRef/>
      </w:r>
      <w:r w:rsidRPr="00EA38EA">
        <w:rPr>
          <w:rFonts w:ascii="Times New Roman" w:hAnsi="Times New Roman"/>
          <w:sz w:val="16"/>
          <w:szCs w:val="16"/>
        </w:rPr>
        <w:t xml:space="preserve"> </w:t>
      </w:r>
      <w:r w:rsidRPr="00EA38EA">
        <w:rPr>
          <w:rFonts w:ascii="Times New Roman" w:hAnsi="Times New Roman"/>
          <w:sz w:val="16"/>
          <w:szCs w:val="16"/>
          <w:lang w:val="en-AU"/>
        </w:rPr>
        <w:t>ACCC v. Cement Australia (2013 FCA ) 909</w:t>
      </w:r>
    </w:p>
  </w:footnote>
  <w:footnote w:id="5">
    <w:p w:rsidR="00685EBC" w:rsidRDefault="00685EBC" w:rsidP="00685EBC">
      <w:pPr>
        <w:pStyle w:val="FootnoteText"/>
        <w:rPr>
          <w:sz w:val="16"/>
          <w:szCs w:val="16"/>
          <w:lang w:val="en-AU"/>
        </w:rPr>
      </w:pPr>
      <w:r>
        <w:rPr>
          <w:rStyle w:val="FootnoteReference"/>
        </w:rPr>
        <w:footnoteRef/>
      </w:r>
      <w:r>
        <w:t xml:space="preserve"> </w:t>
      </w:r>
      <w:r w:rsidRPr="00F0350D">
        <w:rPr>
          <w:sz w:val="16"/>
          <w:szCs w:val="16"/>
          <w:lang w:val="en-AU"/>
        </w:rPr>
        <w:t>Melway Publishing Pty Ltd v. BHP</w:t>
      </w:r>
      <w:r>
        <w:rPr>
          <w:sz w:val="16"/>
          <w:szCs w:val="16"/>
          <w:lang w:val="en-AU"/>
        </w:rPr>
        <w:t xml:space="preserve"> </w:t>
      </w:r>
      <w:r w:rsidRPr="00F0350D">
        <w:rPr>
          <w:sz w:val="16"/>
          <w:szCs w:val="16"/>
          <w:lang w:val="en-AU"/>
        </w:rPr>
        <w:t>(1989 ) 167 CLR 177: Boral Besser masonry ltd v. R Hicks (2003) 215 CLR 374: Rural Press Ltd v. ACCC(2003) HCA 75; ACCC v. Cement Australia ( 2013 FCA 909</w:t>
      </w:r>
      <w:r>
        <w:rPr>
          <w:sz w:val="16"/>
          <w:szCs w:val="16"/>
          <w:lang w:val="en-AU"/>
        </w:rPr>
        <w:t>. (</w:t>
      </w:r>
      <w:r w:rsidRPr="004B6ED1">
        <w:rPr>
          <w:sz w:val="16"/>
          <w:szCs w:val="16"/>
          <w:lang w:val="en-AU"/>
        </w:rPr>
        <w:t xml:space="preserve">Competition Policy Review Final Report March 2015 </w:t>
      </w:r>
      <w:r>
        <w:rPr>
          <w:sz w:val="16"/>
          <w:szCs w:val="16"/>
          <w:lang w:val="en-AU"/>
        </w:rPr>
        <w:t xml:space="preserve"> pages 337-338)</w:t>
      </w:r>
    </w:p>
    <w:p w:rsidR="00685EBC" w:rsidRPr="00F0350D" w:rsidRDefault="00685EBC" w:rsidP="00685EBC">
      <w:pPr>
        <w:pStyle w:val="FootnoteText"/>
        <w:rPr>
          <w:sz w:val="16"/>
          <w:szCs w:val="16"/>
          <w:lang w:val="en-AU"/>
        </w:rPr>
      </w:pPr>
      <w:r>
        <w:rPr>
          <w:sz w:val="16"/>
          <w:szCs w:val="16"/>
          <w:lang w:val="en-AU"/>
        </w:rPr>
        <w:t xml:space="preserve"> </w:t>
      </w:r>
    </w:p>
  </w:footnote>
  <w:footnote w:id="6">
    <w:p w:rsidR="00685EBC" w:rsidRDefault="00685EBC" w:rsidP="00685EBC">
      <w:pPr>
        <w:pStyle w:val="FootnoteText"/>
        <w:rPr>
          <w:rFonts w:ascii="Times New Roman" w:hAnsi="Times New Roman"/>
          <w:sz w:val="16"/>
          <w:szCs w:val="16"/>
          <w:lang w:val="en-AU"/>
        </w:rPr>
      </w:pPr>
      <w:r>
        <w:rPr>
          <w:rStyle w:val="FootnoteReference"/>
        </w:rPr>
        <w:footnoteRef/>
      </w:r>
      <w:r>
        <w:t xml:space="preserve"> </w:t>
      </w:r>
      <w:r w:rsidRPr="00C34D53">
        <w:rPr>
          <w:rFonts w:ascii="Times New Roman" w:hAnsi="Times New Roman"/>
          <w:sz w:val="16"/>
          <w:szCs w:val="16"/>
        </w:rPr>
        <w:t xml:space="preserve">Supra </w:t>
      </w:r>
      <w:r>
        <w:rPr>
          <w:rFonts w:ascii="Times New Roman" w:hAnsi="Times New Roman"/>
          <w:sz w:val="16"/>
          <w:szCs w:val="16"/>
        </w:rPr>
        <w:t>page 6 (</w:t>
      </w:r>
      <w:r w:rsidRPr="00C34D53">
        <w:rPr>
          <w:rFonts w:ascii="Times New Roman" w:hAnsi="Times New Roman"/>
          <w:sz w:val="16"/>
          <w:szCs w:val="16"/>
          <w:lang w:val="en-AU"/>
        </w:rPr>
        <w:t>2</w:t>
      </w:r>
      <w:r w:rsidRPr="00B015A7">
        <w:rPr>
          <w:rFonts w:ascii="Times New Roman" w:hAnsi="Times New Roman"/>
          <w:sz w:val="16"/>
          <w:szCs w:val="16"/>
          <w:lang w:val="en-AU"/>
        </w:rPr>
        <w:t>013 FC 909</w:t>
      </w:r>
      <w:r>
        <w:rPr>
          <w:rFonts w:ascii="Times New Roman" w:hAnsi="Times New Roman"/>
          <w:sz w:val="16"/>
          <w:szCs w:val="16"/>
          <w:lang w:val="en-AU"/>
        </w:rPr>
        <w:t>)</w:t>
      </w:r>
    </w:p>
    <w:p w:rsidR="00685EBC" w:rsidRPr="005F5D3E" w:rsidRDefault="00685EBC" w:rsidP="00685EBC">
      <w:pPr>
        <w:pStyle w:val="FootnoteText"/>
        <w:rPr>
          <w:sz w:val="16"/>
          <w:szCs w:val="16"/>
          <w:lang w:val="en-AU"/>
        </w:rPr>
      </w:pPr>
      <w:r w:rsidRPr="005F5D3E">
        <w:rPr>
          <w:rFonts w:ascii="Times New Roman" w:hAnsi="Times New Roman"/>
          <w:sz w:val="16"/>
          <w:szCs w:val="16"/>
          <w:lang w:val="en-AU"/>
        </w:rPr>
        <w:t>7 Duke A “</w:t>
      </w:r>
      <w:r w:rsidRPr="005F5D3E">
        <w:rPr>
          <w:rFonts w:ascii="Times New Roman" w:hAnsi="Times New Roman"/>
          <w:sz w:val="16"/>
          <w:szCs w:val="16"/>
        </w:rPr>
        <w:t xml:space="preserve">The need to close the “Take Advantage’ gap in the regulation of unilateral anti-competitive conduct”[2008]U </w:t>
      </w:r>
      <w:r>
        <w:rPr>
          <w:rFonts w:ascii="Times New Roman" w:hAnsi="Times New Roman"/>
          <w:sz w:val="16"/>
          <w:szCs w:val="16"/>
        </w:rPr>
        <w:t>Melb</w:t>
      </w:r>
      <w:r w:rsidRPr="005F5D3E">
        <w:rPr>
          <w:rFonts w:ascii="Times New Roman" w:hAnsi="Times New Roman"/>
          <w:sz w:val="16"/>
          <w:szCs w:val="16"/>
        </w:rPr>
        <w:t xml:space="preserve">LRS6 ( updated  2009) </w:t>
      </w:r>
      <w:hyperlink r:id="rId1" w:history="1">
        <w:r w:rsidRPr="005F5D3E">
          <w:rPr>
            <w:rStyle w:val="Hyperlink"/>
            <w:rFonts w:ascii="Times New Roman" w:hAnsi="Times New Roman"/>
            <w:sz w:val="16"/>
            <w:szCs w:val="16"/>
          </w:rPr>
          <w:t>http://www.austlii.edu./au/journals/U</w:t>
        </w:r>
      </w:hyperlink>
      <w:r w:rsidRPr="005F5D3E">
        <w:rPr>
          <w:rFonts w:ascii="Times New Roman" w:hAnsi="Times New Roman"/>
          <w:sz w:val="16"/>
          <w:szCs w:val="16"/>
        </w:rPr>
        <w:t xml:space="preserve"> Melb LRS /2008/6</w:t>
      </w:r>
    </w:p>
  </w:footnote>
  <w:footnote w:id="7">
    <w:p w:rsidR="00685EBC" w:rsidRPr="005F5D3E" w:rsidRDefault="00685EBC" w:rsidP="00685EBC">
      <w:pPr>
        <w:pStyle w:val="FootnoteText"/>
        <w:rPr>
          <w:sz w:val="16"/>
          <w:szCs w:val="16"/>
          <w:lang w:val="en-AU"/>
        </w:rPr>
      </w:pPr>
      <w:r w:rsidRPr="005F5D3E">
        <w:rPr>
          <w:sz w:val="16"/>
          <w:szCs w:val="16"/>
        </w:rPr>
        <w:t xml:space="preserve"> </w:t>
      </w:r>
    </w:p>
  </w:footnote>
  <w:footnote w:id="8">
    <w:p w:rsidR="00685EBC" w:rsidRPr="00386D07" w:rsidRDefault="00685EBC" w:rsidP="00685EBC">
      <w:pPr>
        <w:pStyle w:val="FootnoteText"/>
        <w:rPr>
          <w:rFonts w:ascii="Times New Roman" w:hAnsi="Times New Roman"/>
          <w:sz w:val="16"/>
          <w:szCs w:val="16"/>
          <w:lang w:val="en-AU"/>
        </w:rPr>
      </w:pPr>
      <w:r w:rsidRPr="00386D07">
        <w:rPr>
          <w:rStyle w:val="FootnoteReference"/>
          <w:rFonts w:ascii="Times New Roman" w:hAnsi="Times New Roman"/>
          <w:sz w:val="16"/>
          <w:szCs w:val="16"/>
        </w:rPr>
        <w:footnoteRef/>
      </w:r>
      <w:r w:rsidRPr="00386D07">
        <w:rPr>
          <w:rFonts w:ascii="Times New Roman" w:hAnsi="Times New Roman"/>
          <w:sz w:val="16"/>
          <w:szCs w:val="16"/>
        </w:rPr>
        <w:t xml:space="preserve"> Explanatory Memorandum Trade Practices Revision Bill 1986 (Cth13)</w:t>
      </w:r>
    </w:p>
  </w:footnote>
  <w:footnote w:id="9">
    <w:p w:rsidR="00685EBC" w:rsidRPr="00386D07" w:rsidRDefault="00685EBC" w:rsidP="00685EBC">
      <w:pPr>
        <w:pStyle w:val="FootnoteText"/>
        <w:rPr>
          <w:rFonts w:ascii="Times New Roman" w:hAnsi="Times New Roman"/>
          <w:sz w:val="16"/>
          <w:szCs w:val="16"/>
          <w:lang w:val="en-AU"/>
        </w:rPr>
      </w:pPr>
      <w:r w:rsidRPr="00386D07">
        <w:rPr>
          <w:rStyle w:val="FootnoteReference"/>
          <w:rFonts w:ascii="Times New Roman" w:hAnsi="Times New Roman"/>
          <w:sz w:val="16"/>
          <w:szCs w:val="16"/>
        </w:rPr>
        <w:footnoteRef/>
      </w:r>
      <w:r w:rsidRPr="00386D07">
        <w:rPr>
          <w:rFonts w:ascii="Times New Roman" w:hAnsi="Times New Roman"/>
          <w:sz w:val="16"/>
          <w:szCs w:val="16"/>
        </w:rPr>
        <w:t xml:space="preserve"> </w:t>
      </w:r>
      <w:r>
        <w:rPr>
          <w:rFonts w:ascii="Times New Roman" w:hAnsi="Times New Roman"/>
          <w:sz w:val="16"/>
          <w:szCs w:val="16"/>
          <w:lang w:val="en-AU"/>
        </w:rPr>
        <w:t xml:space="preserve">Supra reference 7  </w:t>
      </w:r>
    </w:p>
  </w:footnote>
  <w:footnote w:id="10">
    <w:p w:rsidR="00685EBC" w:rsidRPr="00D526B8" w:rsidRDefault="00685EBC" w:rsidP="00685EBC">
      <w:pPr>
        <w:pStyle w:val="FootnoteText"/>
        <w:rPr>
          <w:sz w:val="16"/>
          <w:szCs w:val="16"/>
          <w:lang w:val="en-AU"/>
        </w:rPr>
      </w:pPr>
      <w:r w:rsidRPr="00D526B8">
        <w:rPr>
          <w:rStyle w:val="FootnoteReference"/>
          <w:sz w:val="16"/>
          <w:szCs w:val="16"/>
        </w:rPr>
        <w:footnoteRef/>
      </w:r>
      <w:r w:rsidRPr="00D526B8">
        <w:rPr>
          <w:sz w:val="16"/>
          <w:szCs w:val="16"/>
        </w:rPr>
        <w:t xml:space="preserve"> </w:t>
      </w:r>
      <w:r w:rsidRPr="00D526B8">
        <w:rPr>
          <w:sz w:val="16"/>
          <w:szCs w:val="16"/>
          <w:lang w:val="en-AU"/>
        </w:rPr>
        <w:t xml:space="preserve">American Bar Association Draft Submission to the Harper Review page 13 </w:t>
      </w:r>
      <w:r>
        <w:rPr>
          <w:sz w:val="16"/>
          <w:szCs w:val="16"/>
          <w:lang w:val="en-AU"/>
        </w:rPr>
        <w:t>and Competition Act, Canada Section 79.</w:t>
      </w:r>
    </w:p>
  </w:footnote>
  <w:footnote w:id="11">
    <w:p w:rsidR="00685EBC" w:rsidRPr="003D3F51" w:rsidRDefault="00685EBC" w:rsidP="00685EBC">
      <w:pPr>
        <w:pStyle w:val="FootnoteText"/>
        <w:rPr>
          <w:rFonts w:ascii="Times New Roman" w:hAnsi="Times New Roman"/>
          <w:sz w:val="16"/>
          <w:szCs w:val="16"/>
          <w:lang w:val="en-AU"/>
        </w:rPr>
      </w:pPr>
      <w:r w:rsidRPr="003D3F51">
        <w:rPr>
          <w:rStyle w:val="FootnoteReference"/>
          <w:rFonts w:ascii="Times New Roman" w:hAnsi="Times New Roman"/>
          <w:sz w:val="16"/>
          <w:szCs w:val="16"/>
        </w:rPr>
        <w:footnoteRef/>
      </w:r>
      <w:r w:rsidRPr="003D3F51">
        <w:rPr>
          <w:rFonts w:ascii="Times New Roman" w:hAnsi="Times New Roman"/>
          <w:sz w:val="16"/>
          <w:szCs w:val="16"/>
        </w:rPr>
        <w:t xml:space="preserve"> </w:t>
      </w:r>
      <w:r w:rsidRPr="003D3F51">
        <w:rPr>
          <w:rFonts w:ascii="Times New Roman" w:hAnsi="Times New Roman"/>
          <w:sz w:val="16"/>
          <w:szCs w:val="16"/>
          <w:lang w:val="en-AU"/>
        </w:rPr>
        <w:t>Queensland Cooperative Milling Association( 1976) 8ALR481 at 515 and 516</w:t>
      </w:r>
    </w:p>
  </w:footnote>
  <w:footnote w:id="12">
    <w:p w:rsidR="00685EBC" w:rsidRPr="004A4BA2" w:rsidRDefault="00685EBC" w:rsidP="00685EBC">
      <w:pPr>
        <w:pStyle w:val="FootnoteText"/>
        <w:rPr>
          <w:rFonts w:ascii="Times New Roman" w:hAnsi="Times New Roman"/>
          <w:sz w:val="16"/>
          <w:szCs w:val="16"/>
          <w:lang w:val="en-AU"/>
        </w:rPr>
      </w:pPr>
      <w:r>
        <w:rPr>
          <w:rStyle w:val="FootnoteReference"/>
        </w:rPr>
        <w:footnoteRef/>
      </w:r>
      <w:r>
        <w:t xml:space="preserve">. </w:t>
      </w:r>
      <w:r w:rsidRPr="004A4BA2">
        <w:rPr>
          <w:rFonts w:ascii="Times New Roman" w:hAnsi="Times New Roman"/>
          <w:sz w:val="16"/>
          <w:szCs w:val="16"/>
        </w:rPr>
        <w:t xml:space="preserve">Mr. Rod Sims- “Bringing more economic perspectives to competition policy and law”-Speech to the RBB Economics conference Sydney 7 November 2014 </w:t>
      </w:r>
    </w:p>
  </w:footnote>
  <w:footnote w:id="13">
    <w:p w:rsidR="00685EBC" w:rsidRPr="00C93A9B" w:rsidRDefault="00685EBC" w:rsidP="00685EBC">
      <w:pPr>
        <w:pStyle w:val="FootnoteText"/>
        <w:rPr>
          <w:sz w:val="16"/>
          <w:szCs w:val="16"/>
        </w:rPr>
      </w:pPr>
      <w:r w:rsidRPr="00C93A9B">
        <w:rPr>
          <w:rStyle w:val="FootnoteReference"/>
          <w:sz w:val="16"/>
          <w:szCs w:val="16"/>
        </w:rPr>
        <w:footnoteRef/>
      </w:r>
      <w:r w:rsidRPr="00C93A9B">
        <w:rPr>
          <w:sz w:val="16"/>
          <w:szCs w:val="16"/>
        </w:rPr>
        <w:t xml:space="preserve"> Melway </w:t>
      </w:r>
      <w:r>
        <w:rPr>
          <w:sz w:val="16"/>
          <w:szCs w:val="16"/>
        </w:rPr>
        <w:t>Publishing Pty Ltd v. Robert H</w:t>
      </w:r>
      <w:r w:rsidRPr="00C93A9B">
        <w:rPr>
          <w:sz w:val="16"/>
          <w:szCs w:val="16"/>
        </w:rPr>
        <w:t>icks Pty Ltd(2001) 205 CLR 1at 51</w:t>
      </w:r>
    </w:p>
  </w:footnote>
  <w:footnote w:id="14">
    <w:p w:rsidR="00685EBC" w:rsidRPr="00475232" w:rsidRDefault="00685EBC" w:rsidP="00685EBC">
      <w:pPr>
        <w:pStyle w:val="FootnoteText"/>
        <w:rPr>
          <w:sz w:val="16"/>
          <w:szCs w:val="16"/>
        </w:rPr>
      </w:pPr>
      <w:r w:rsidRPr="00475232">
        <w:rPr>
          <w:rStyle w:val="FootnoteReference"/>
          <w:sz w:val="16"/>
          <w:szCs w:val="16"/>
        </w:rPr>
        <w:footnoteRef/>
      </w:r>
      <w:r w:rsidRPr="00475232">
        <w:rPr>
          <w:sz w:val="16"/>
          <w:szCs w:val="16"/>
        </w:rPr>
        <w:t xml:space="preserve"> Rural Press Limited v. ACCC</w:t>
      </w:r>
      <w:r>
        <w:rPr>
          <w:sz w:val="16"/>
          <w:szCs w:val="16"/>
        </w:rPr>
        <w:t xml:space="preserve"> </w:t>
      </w:r>
      <w:r w:rsidRPr="00475232">
        <w:rPr>
          <w:sz w:val="16"/>
          <w:szCs w:val="16"/>
        </w:rPr>
        <w:t xml:space="preserve"> (2003 ) HCA 75</w:t>
      </w:r>
    </w:p>
  </w:footnote>
  <w:footnote w:id="15">
    <w:p w:rsidR="00685EBC" w:rsidRPr="00BC5E89" w:rsidRDefault="00685EBC" w:rsidP="00685EBC">
      <w:pPr>
        <w:pStyle w:val="FootnoteText"/>
        <w:rPr>
          <w:sz w:val="16"/>
          <w:szCs w:val="16"/>
        </w:rPr>
      </w:pPr>
      <w:r>
        <w:rPr>
          <w:rStyle w:val="FootnoteReference"/>
        </w:rPr>
        <w:footnoteRef/>
      </w:r>
      <w:r>
        <w:t xml:space="preserve"> </w:t>
      </w:r>
      <w:r w:rsidRPr="00BC5E89">
        <w:rPr>
          <w:sz w:val="16"/>
          <w:szCs w:val="16"/>
        </w:rPr>
        <w:t>ACCC v. Cement Australia (2013) FCA</w:t>
      </w:r>
      <w:r>
        <w:rPr>
          <w:sz w:val="16"/>
          <w:szCs w:val="16"/>
        </w:rPr>
        <w:t xml:space="preserve"> </w:t>
      </w:r>
      <w:r w:rsidRPr="00BC5E89">
        <w:rPr>
          <w:sz w:val="16"/>
          <w:szCs w:val="16"/>
        </w:rPr>
        <w:t>909</w:t>
      </w:r>
    </w:p>
  </w:footnote>
  <w:footnote w:id="16">
    <w:p w:rsidR="00685EBC" w:rsidRDefault="00685EBC" w:rsidP="00685EBC">
      <w:pPr>
        <w:pStyle w:val="FootnoteText"/>
      </w:pPr>
    </w:p>
  </w:footnote>
  <w:footnote w:id="17">
    <w:p w:rsidR="00685EBC" w:rsidRPr="00970C84" w:rsidRDefault="00685EBC" w:rsidP="00685EBC">
      <w:pPr>
        <w:pStyle w:val="FootnoteText"/>
        <w:rPr>
          <w:rFonts w:ascii="Times New Roman" w:hAnsi="Times New Roman"/>
          <w:sz w:val="16"/>
          <w:szCs w:val="16"/>
          <w:lang w:val="en-AU"/>
        </w:rPr>
      </w:pPr>
      <w:r>
        <w:rPr>
          <w:rStyle w:val="FootnoteReference"/>
        </w:rPr>
        <w:footnoteRef/>
      </w:r>
      <w:r>
        <w:t xml:space="preserve"> </w:t>
      </w:r>
      <w:r w:rsidRPr="00970C84">
        <w:rPr>
          <w:rFonts w:ascii="Times New Roman" w:hAnsi="Times New Roman"/>
          <w:sz w:val="16"/>
          <w:szCs w:val="16"/>
          <w:lang w:val="en-AU"/>
        </w:rPr>
        <w:t>“Professor S Corones, Professor of Law Queensland University of Technology. Submission to the Harper Panel Review 8 October 2014 page 11</w:t>
      </w:r>
      <w:r>
        <w:rPr>
          <w:rFonts w:ascii="Times New Roman" w:hAnsi="Times New Roman"/>
          <w:sz w:val="16"/>
          <w:szCs w:val="16"/>
          <w:lang w:val="en-AU"/>
        </w:rPr>
        <w:t>,</w:t>
      </w:r>
      <w:r w:rsidRPr="00970C84">
        <w:rPr>
          <w:rFonts w:ascii="Times New Roman" w:hAnsi="Times New Roman"/>
          <w:sz w:val="16"/>
          <w:szCs w:val="16"/>
          <w:lang w:val="en-AU"/>
        </w:rPr>
        <w:t xml:space="preserve"> para 37</w:t>
      </w:r>
      <w:r>
        <w:rPr>
          <w:rFonts w:ascii="Times New Roman" w:hAnsi="Times New Roman"/>
          <w:sz w:val="16"/>
          <w:szCs w:val="16"/>
          <w:lang w:val="en-AU"/>
        </w:rPr>
        <w:t>.</w:t>
      </w:r>
      <w:r w:rsidRPr="00970C84">
        <w:rPr>
          <w:rFonts w:ascii="Times New Roman" w:hAnsi="Times New Roman"/>
          <w:sz w:val="16"/>
          <w:szCs w:val="16"/>
          <w:lang w:val="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E5" w:rsidRPr="00B72858" w:rsidRDefault="0076574E" w:rsidP="00CC49FF">
    <w:pPr>
      <w:pStyle w:val="Header"/>
      <w:spacing w:before="860"/>
      <w:jc w:val="center"/>
    </w:pPr>
    <w:r>
      <w:rPr>
        <w:noProof/>
        <w:sz w:val="30"/>
        <w:szCs w:val="30"/>
        <w:lang w:val="en-AU" w:eastAsia="en-AU"/>
      </w:rPr>
      <mc:AlternateContent>
        <mc:Choice Requires="wps">
          <w:drawing>
            <wp:anchor distT="0" distB="0" distL="114300" distR="114300" simplePos="0" relativeHeight="251663360" behindDoc="0" locked="0" layoutInCell="1" allowOverlap="1">
              <wp:simplePos x="0" y="0"/>
              <wp:positionH relativeFrom="column">
                <wp:posOffset>-639347</wp:posOffset>
              </wp:positionH>
              <wp:positionV relativeFrom="paragraph">
                <wp:posOffset>-530860</wp:posOffset>
              </wp:positionV>
              <wp:extent cx="7561385" cy="1492404"/>
              <wp:effectExtent l="0" t="0" r="0" b="0"/>
              <wp:wrapNone/>
              <wp:docPr id="3" name="Text Box 3"/>
              <wp:cNvGraphicFramePr/>
              <a:graphic xmlns:a="http://schemas.openxmlformats.org/drawingml/2006/main">
                <a:graphicData uri="http://schemas.microsoft.com/office/word/2010/wordprocessingShape">
                  <wps:wsp>
                    <wps:cNvSpPr txBox="1"/>
                    <wps:spPr>
                      <a:xfrm>
                        <a:off x="0" y="0"/>
                        <a:ext cx="7561385" cy="1492404"/>
                      </a:xfrm>
                      <a:prstGeom prst="rect">
                        <a:avLst/>
                      </a:prstGeom>
                      <a:noFill/>
                      <a:ln w="0">
                        <a:noFill/>
                      </a:ln>
                      <a:effectLst/>
                    </wps:spPr>
                    <wps:style>
                      <a:lnRef idx="0">
                        <a:schemeClr val="accent1"/>
                      </a:lnRef>
                      <a:fillRef idx="0">
                        <a:schemeClr val="accent1"/>
                      </a:fillRef>
                      <a:effectRef idx="0">
                        <a:schemeClr val="accent1"/>
                      </a:effectRef>
                      <a:fontRef idx="minor">
                        <a:schemeClr val="dk1"/>
                      </a:fontRef>
                    </wps:style>
                    <wps:txbx>
                      <w:txbxContent>
                        <w:p w:rsidR="0076574E" w:rsidRDefault="0076574E">
                          <w:r>
                            <w:rPr>
                              <w:noProof/>
                              <w:lang w:val="en-AU" w:eastAsia="en-AU"/>
                            </w:rPr>
                            <w:drawing>
                              <wp:inline distT="0" distB="0" distL="0" distR="0">
                                <wp:extent cx="7552588" cy="14053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A_redesign_letterhead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588" cy="14053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35pt;margin-top:-41.8pt;width:595.4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" filled="f" stroked="f" strokeweight="0">
              <v:textbox>
                <w:txbxContent>
                  <w:p w:rsidR="0076574E" w:rsidRDefault="0076574E">
                    <w:r>
                      <w:rPr>
                        <w:noProof/>
                        <w:lang w:val="en-AU" w:eastAsia="en-AU"/>
                      </w:rPr>
                      <w:drawing>
                        <wp:inline distT="0" distB="0" distL="0" distR="0">
                          <wp:extent cx="7552588" cy="14053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A_redesign_letterhead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588" cy="1405317"/>
                                  </a:xfrm>
                                  <a:prstGeom prst="rect">
                                    <a:avLst/>
                                  </a:prstGeom>
                                </pic:spPr>
                              </pic:pic>
                            </a:graphicData>
                          </a:graphic>
                        </wp:inline>
                      </w:drawing>
                    </w:r>
                  </w:p>
                </w:txbxContent>
              </v:textbox>
            </v:shape>
          </w:pict>
        </mc:Fallback>
      </mc:AlternateContent>
    </w:r>
    <w:r w:rsidR="00E40EE5" w:rsidRPr="00CC49FF">
      <w:rPr>
        <w:noProof/>
        <w:sz w:val="30"/>
        <w:szCs w:val="3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E5" w:rsidRDefault="00E40EE5">
    <w:pPr>
      <w:pStyle w:val="Header"/>
    </w:pPr>
    <w:r>
      <w:rPr>
        <w:noProof/>
        <w:lang w:val="en-AU" w:eastAsia="en-AU"/>
      </w:rPr>
      <w:drawing>
        <wp:anchor distT="0" distB="0" distL="114300" distR="114300" simplePos="0" relativeHeight="251659264" behindDoc="0" locked="0" layoutInCell="1" allowOverlap="1" wp14:anchorId="67D3463D" wp14:editId="2F3A8447">
          <wp:simplePos x="0" y="0"/>
          <wp:positionH relativeFrom="column">
            <wp:posOffset>5426710</wp:posOffset>
          </wp:positionH>
          <wp:positionV relativeFrom="paragraph">
            <wp:posOffset>-34925</wp:posOffset>
          </wp:positionV>
          <wp:extent cx="1088390" cy="708025"/>
          <wp:effectExtent l="0" t="0" r="0" b="0"/>
          <wp:wrapNone/>
          <wp:docPr id="13" name="Picture 13" descr="L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40" behindDoc="0" locked="0" layoutInCell="1" allowOverlap="1" wp14:anchorId="72F163C4" wp14:editId="318D5D73">
          <wp:simplePos x="0" y="0"/>
          <wp:positionH relativeFrom="column">
            <wp:posOffset>-9525</wp:posOffset>
          </wp:positionH>
          <wp:positionV relativeFrom="paragraph">
            <wp:posOffset>-28575</wp:posOffset>
          </wp:positionV>
          <wp:extent cx="1343025" cy="742950"/>
          <wp:effectExtent l="0" t="0" r="9525"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B0D"/>
    <w:multiLevelType w:val="hybridMultilevel"/>
    <w:tmpl w:val="41DA9D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274718"/>
    <w:multiLevelType w:val="hybridMultilevel"/>
    <w:tmpl w:val="2C203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6B2E69"/>
    <w:multiLevelType w:val="multilevel"/>
    <w:tmpl w:val="9D52B948"/>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0A6A33"/>
    <w:multiLevelType w:val="hybridMultilevel"/>
    <w:tmpl w:val="61A099D0"/>
    <w:lvl w:ilvl="0" w:tplc="6D106A2A">
      <w:start w:val="1"/>
      <w:numFmt w:val="decimal"/>
      <w:lvlText w:val="%1."/>
      <w:lvlJc w:val="left"/>
      <w:pPr>
        <w:ind w:left="36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406176"/>
    <w:multiLevelType w:val="hybridMultilevel"/>
    <w:tmpl w:val="20F0DC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2C3CE2"/>
    <w:multiLevelType w:val="hybridMultilevel"/>
    <w:tmpl w:val="2FFE6D18"/>
    <w:lvl w:ilvl="0" w:tplc="321E132A">
      <w:start w:val="1"/>
      <w:numFmt w:val="lowerLetter"/>
      <w:lvlText w:val="(%1)"/>
      <w:lvlJc w:val="left"/>
      <w:pPr>
        <w:tabs>
          <w:tab w:val="num" w:pos="720"/>
        </w:tabs>
        <w:ind w:left="720" w:hanging="360"/>
      </w:pPr>
      <w:rPr>
        <w:rFonts w:hint="default"/>
      </w:rPr>
    </w:lvl>
    <w:lvl w:ilvl="1" w:tplc="AA18C744">
      <w:start w:val="1"/>
      <w:numFmt w:val="lowerRoman"/>
      <w:lvlText w:val="(%2)"/>
      <w:lvlJc w:val="left"/>
      <w:pPr>
        <w:tabs>
          <w:tab w:val="num" w:pos="1440"/>
        </w:tabs>
        <w:ind w:left="1440" w:hanging="360"/>
      </w:pPr>
      <w:rPr>
        <w:rFonts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3962D6"/>
    <w:multiLevelType w:val="hybridMultilevel"/>
    <w:tmpl w:val="2F74D6D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35263F8"/>
    <w:multiLevelType w:val="hybridMultilevel"/>
    <w:tmpl w:val="ECC4E2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4983DBB"/>
    <w:multiLevelType w:val="singleLevel"/>
    <w:tmpl w:val="0409000F"/>
    <w:lvl w:ilvl="0">
      <w:start w:val="1"/>
      <w:numFmt w:val="decimal"/>
      <w:lvlText w:val="%1."/>
      <w:lvlJc w:val="left"/>
      <w:pPr>
        <w:tabs>
          <w:tab w:val="num" w:pos="360"/>
        </w:tabs>
        <w:ind w:left="360" w:hanging="360"/>
      </w:pPr>
    </w:lvl>
  </w:abstractNum>
  <w:abstractNum w:abstractNumId="9">
    <w:nsid w:val="180A6427"/>
    <w:multiLevelType w:val="hybridMultilevel"/>
    <w:tmpl w:val="EC6EE744"/>
    <w:lvl w:ilvl="0" w:tplc="7EEEF0F4">
      <w:start w:val="2"/>
      <w:numFmt w:val="bullet"/>
      <w:lvlText w:val="-"/>
      <w:lvlJc w:val="left"/>
      <w:pPr>
        <w:tabs>
          <w:tab w:val="num" w:pos="1070"/>
        </w:tabs>
        <w:ind w:left="107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5A077A"/>
    <w:multiLevelType w:val="hybridMultilevel"/>
    <w:tmpl w:val="F13E5C64"/>
    <w:lvl w:ilvl="0" w:tplc="FE70920E">
      <w:start w:val="1"/>
      <w:numFmt w:val="lowerLetter"/>
      <w:lvlText w:val="(%1)"/>
      <w:lvlJc w:val="left"/>
      <w:pPr>
        <w:tabs>
          <w:tab w:val="num" w:pos="3591"/>
        </w:tabs>
        <w:ind w:left="3591" w:hanging="360"/>
      </w:pPr>
      <w:rPr>
        <w:rFonts w:ascii="Verdana" w:hAnsi="Verdana" w:hint="default"/>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C6C0DAC">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E27A19"/>
    <w:multiLevelType w:val="hybridMultilevel"/>
    <w:tmpl w:val="D8783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70C2676"/>
    <w:multiLevelType w:val="hybridMultilevel"/>
    <w:tmpl w:val="7BA04484"/>
    <w:lvl w:ilvl="0" w:tplc="DD301C8E">
      <w:start w:val="1"/>
      <w:numFmt w:val="decimal"/>
      <w:pStyle w:val="Style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709EDDE0">
      <w:start w:val="1988"/>
      <w:numFmt w:val="bullet"/>
      <w:lvlText w:val="-"/>
      <w:lvlJc w:val="left"/>
      <w:pPr>
        <w:tabs>
          <w:tab w:val="num" w:pos="2880"/>
        </w:tabs>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4F282C"/>
    <w:multiLevelType w:val="hybridMultilevel"/>
    <w:tmpl w:val="A51A6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FF5B25"/>
    <w:multiLevelType w:val="multilevel"/>
    <w:tmpl w:val="E730A5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99536BB"/>
    <w:multiLevelType w:val="hybridMultilevel"/>
    <w:tmpl w:val="A044D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286969"/>
    <w:multiLevelType w:val="hybridMultilevel"/>
    <w:tmpl w:val="B1D0E7D0"/>
    <w:lvl w:ilvl="0" w:tplc="65A4CE74">
      <w:start w:val="1"/>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E58407F"/>
    <w:multiLevelType w:val="hybridMultilevel"/>
    <w:tmpl w:val="EEB8BC5E"/>
    <w:lvl w:ilvl="0" w:tplc="E940DAB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C55EAA"/>
    <w:multiLevelType w:val="hybridMultilevel"/>
    <w:tmpl w:val="EC0E80CC"/>
    <w:lvl w:ilvl="0" w:tplc="04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7E255C"/>
    <w:multiLevelType w:val="hybridMultilevel"/>
    <w:tmpl w:val="EEB2C01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600E83"/>
    <w:multiLevelType w:val="hybridMultilevel"/>
    <w:tmpl w:val="EA822882"/>
    <w:lvl w:ilvl="0" w:tplc="65FE2008">
      <w:start w:val="1"/>
      <w:numFmt w:val="lowerLetter"/>
      <w:lvlText w:val="(%1)"/>
      <w:lvlJc w:val="left"/>
      <w:pPr>
        <w:ind w:left="360" w:hanging="360"/>
      </w:pPr>
      <w:rPr>
        <w:rFonts w:hint="default"/>
        <w:color w:val="FF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6301685A"/>
    <w:multiLevelType w:val="hybridMultilevel"/>
    <w:tmpl w:val="3E140FCE"/>
    <w:lvl w:ilvl="0" w:tplc="709EDDE0">
      <w:start w:val="1988"/>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92C1A68"/>
    <w:multiLevelType w:val="hybridMultilevel"/>
    <w:tmpl w:val="9CC6B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4A6C63"/>
    <w:multiLevelType w:val="hybridMultilevel"/>
    <w:tmpl w:val="A69059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85F36C2"/>
    <w:multiLevelType w:val="hybridMultilevel"/>
    <w:tmpl w:val="1AF46EF2"/>
    <w:lvl w:ilvl="0" w:tplc="6122AFB6">
      <w:start w:val="1"/>
      <w:numFmt w:val="decimal"/>
      <w:lvlText w:val="%1."/>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70119B"/>
    <w:multiLevelType w:val="hybridMultilevel"/>
    <w:tmpl w:val="4A2A89F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4"/>
  </w:num>
  <w:num w:numId="2">
    <w:abstractNumId w:val="14"/>
  </w:num>
  <w:num w:numId="3">
    <w:abstractNumId w:val="5"/>
  </w:num>
  <w:num w:numId="4">
    <w:abstractNumId w:val="2"/>
  </w:num>
  <w:num w:numId="5">
    <w:abstractNumId w:val="12"/>
  </w:num>
  <w:num w:numId="6">
    <w:abstractNumId w:val="10"/>
  </w:num>
  <w:num w:numId="7">
    <w:abstractNumId w:val="21"/>
  </w:num>
  <w:num w:numId="8">
    <w:abstractNumId w:val="13"/>
  </w:num>
  <w:num w:numId="9">
    <w:abstractNumId w:val="9"/>
  </w:num>
  <w:num w:numId="10">
    <w:abstractNumId w:val="22"/>
  </w:num>
  <w:num w:numId="11">
    <w:abstractNumId w:val="17"/>
  </w:num>
  <w:num w:numId="12">
    <w:abstractNumId w:val="15"/>
  </w:num>
  <w:num w:numId="13">
    <w:abstractNumId w:val="18"/>
  </w:num>
  <w:num w:numId="14">
    <w:abstractNumId w:val="8"/>
  </w:num>
  <w:num w:numId="15">
    <w:abstractNumId w:val="6"/>
  </w:num>
  <w:num w:numId="16">
    <w:abstractNumId w:val="0"/>
  </w:num>
  <w:num w:numId="17">
    <w:abstractNumId w:val="20"/>
  </w:num>
  <w:num w:numId="18">
    <w:abstractNumId w:val="16"/>
  </w:num>
  <w:num w:numId="19">
    <w:abstractNumId w:val="4"/>
  </w:num>
  <w:num w:numId="20">
    <w:abstractNumId w:val="3"/>
  </w:num>
  <w:num w:numId="21">
    <w:abstractNumId w:val="23"/>
  </w:num>
  <w:num w:numId="22">
    <w:abstractNumId w:val="1"/>
  </w:num>
  <w:num w:numId="23">
    <w:abstractNumId w:val="11"/>
  </w:num>
  <w:num w:numId="24">
    <w:abstractNumId w:val="25"/>
  </w:num>
  <w:num w:numId="25">
    <w:abstractNumId w:val="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B"/>
    <w:rsid w:val="000008FB"/>
    <w:rsid w:val="000016C9"/>
    <w:rsid w:val="00001C45"/>
    <w:rsid w:val="00002691"/>
    <w:rsid w:val="00003872"/>
    <w:rsid w:val="000047B2"/>
    <w:rsid w:val="00005CF9"/>
    <w:rsid w:val="00007438"/>
    <w:rsid w:val="000114A3"/>
    <w:rsid w:val="00011FF5"/>
    <w:rsid w:val="00013BE5"/>
    <w:rsid w:val="0001412B"/>
    <w:rsid w:val="00017F03"/>
    <w:rsid w:val="00020205"/>
    <w:rsid w:val="00020E7B"/>
    <w:rsid w:val="00021BC3"/>
    <w:rsid w:val="000232F0"/>
    <w:rsid w:val="0002581A"/>
    <w:rsid w:val="00025C89"/>
    <w:rsid w:val="00026665"/>
    <w:rsid w:val="00026DEA"/>
    <w:rsid w:val="00027583"/>
    <w:rsid w:val="000302CF"/>
    <w:rsid w:val="00031570"/>
    <w:rsid w:val="000321E4"/>
    <w:rsid w:val="00032555"/>
    <w:rsid w:val="0003423B"/>
    <w:rsid w:val="00034250"/>
    <w:rsid w:val="0003567F"/>
    <w:rsid w:val="00036A3C"/>
    <w:rsid w:val="00040BB8"/>
    <w:rsid w:val="0004160F"/>
    <w:rsid w:val="0004485E"/>
    <w:rsid w:val="00044F0B"/>
    <w:rsid w:val="0004526C"/>
    <w:rsid w:val="0004571E"/>
    <w:rsid w:val="00045BB4"/>
    <w:rsid w:val="00050327"/>
    <w:rsid w:val="000507A5"/>
    <w:rsid w:val="000517F8"/>
    <w:rsid w:val="00056C58"/>
    <w:rsid w:val="00057935"/>
    <w:rsid w:val="000601C3"/>
    <w:rsid w:val="000650DE"/>
    <w:rsid w:val="00070A54"/>
    <w:rsid w:val="00071197"/>
    <w:rsid w:val="00072131"/>
    <w:rsid w:val="00072782"/>
    <w:rsid w:val="00072AB8"/>
    <w:rsid w:val="00072CE7"/>
    <w:rsid w:val="00074F11"/>
    <w:rsid w:val="00075706"/>
    <w:rsid w:val="0007576C"/>
    <w:rsid w:val="000773EF"/>
    <w:rsid w:val="00077671"/>
    <w:rsid w:val="00077ABF"/>
    <w:rsid w:val="00080181"/>
    <w:rsid w:val="00080B1C"/>
    <w:rsid w:val="00080B73"/>
    <w:rsid w:val="00080F8B"/>
    <w:rsid w:val="000816E3"/>
    <w:rsid w:val="000820F6"/>
    <w:rsid w:val="0008379E"/>
    <w:rsid w:val="00083C76"/>
    <w:rsid w:val="000859F8"/>
    <w:rsid w:val="00087725"/>
    <w:rsid w:val="0009203B"/>
    <w:rsid w:val="000926DA"/>
    <w:rsid w:val="00092F3A"/>
    <w:rsid w:val="0009366D"/>
    <w:rsid w:val="0009370A"/>
    <w:rsid w:val="00094ABC"/>
    <w:rsid w:val="00094FDF"/>
    <w:rsid w:val="00097D74"/>
    <w:rsid w:val="000A00CF"/>
    <w:rsid w:val="000A04FE"/>
    <w:rsid w:val="000A07AF"/>
    <w:rsid w:val="000A37D9"/>
    <w:rsid w:val="000A4255"/>
    <w:rsid w:val="000A4437"/>
    <w:rsid w:val="000A47DE"/>
    <w:rsid w:val="000A6538"/>
    <w:rsid w:val="000A6F83"/>
    <w:rsid w:val="000A723A"/>
    <w:rsid w:val="000A72AF"/>
    <w:rsid w:val="000B05A8"/>
    <w:rsid w:val="000B2A8D"/>
    <w:rsid w:val="000B2FC0"/>
    <w:rsid w:val="000B312D"/>
    <w:rsid w:val="000B6810"/>
    <w:rsid w:val="000B7103"/>
    <w:rsid w:val="000B7468"/>
    <w:rsid w:val="000B76B0"/>
    <w:rsid w:val="000B7B79"/>
    <w:rsid w:val="000C1E17"/>
    <w:rsid w:val="000C3F4E"/>
    <w:rsid w:val="000C43A4"/>
    <w:rsid w:val="000C4DA1"/>
    <w:rsid w:val="000C5DF8"/>
    <w:rsid w:val="000C5E1F"/>
    <w:rsid w:val="000C69F2"/>
    <w:rsid w:val="000C6F95"/>
    <w:rsid w:val="000D1669"/>
    <w:rsid w:val="000D4B26"/>
    <w:rsid w:val="000D566E"/>
    <w:rsid w:val="000D5E3E"/>
    <w:rsid w:val="000D709A"/>
    <w:rsid w:val="000D7742"/>
    <w:rsid w:val="000E08FD"/>
    <w:rsid w:val="000E0D0D"/>
    <w:rsid w:val="000E27EE"/>
    <w:rsid w:val="000E4112"/>
    <w:rsid w:val="000E4255"/>
    <w:rsid w:val="000E4B23"/>
    <w:rsid w:val="000E6451"/>
    <w:rsid w:val="000E741F"/>
    <w:rsid w:val="000F0CCB"/>
    <w:rsid w:val="000F19B2"/>
    <w:rsid w:val="000F29D6"/>
    <w:rsid w:val="000F2D1C"/>
    <w:rsid w:val="000F3B6B"/>
    <w:rsid w:val="000F49CA"/>
    <w:rsid w:val="000F66D8"/>
    <w:rsid w:val="000F7F71"/>
    <w:rsid w:val="0010054F"/>
    <w:rsid w:val="0010086B"/>
    <w:rsid w:val="00101149"/>
    <w:rsid w:val="00101540"/>
    <w:rsid w:val="0010182A"/>
    <w:rsid w:val="0010210E"/>
    <w:rsid w:val="00102F0D"/>
    <w:rsid w:val="0010359D"/>
    <w:rsid w:val="00104349"/>
    <w:rsid w:val="00104AD6"/>
    <w:rsid w:val="0010531E"/>
    <w:rsid w:val="00105335"/>
    <w:rsid w:val="00106030"/>
    <w:rsid w:val="00106806"/>
    <w:rsid w:val="00106B5B"/>
    <w:rsid w:val="00106CA8"/>
    <w:rsid w:val="00106F16"/>
    <w:rsid w:val="00107F75"/>
    <w:rsid w:val="00110583"/>
    <w:rsid w:val="00110FF6"/>
    <w:rsid w:val="00111A07"/>
    <w:rsid w:val="00111FA3"/>
    <w:rsid w:val="001129D1"/>
    <w:rsid w:val="00114A72"/>
    <w:rsid w:val="00114C8D"/>
    <w:rsid w:val="00116922"/>
    <w:rsid w:val="00116ECB"/>
    <w:rsid w:val="00120435"/>
    <w:rsid w:val="00122782"/>
    <w:rsid w:val="00122852"/>
    <w:rsid w:val="001228E3"/>
    <w:rsid w:val="00123438"/>
    <w:rsid w:val="00124C19"/>
    <w:rsid w:val="00124F82"/>
    <w:rsid w:val="001262EC"/>
    <w:rsid w:val="00130082"/>
    <w:rsid w:val="00132E32"/>
    <w:rsid w:val="00133B68"/>
    <w:rsid w:val="00135C2E"/>
    <w:rsid w:val="00135CF9"/>
    <w:rsid w:val="001421ED"/>
    <w:rsid w:val="001428BA"/>
    <w:rsid w:val="0014295D"/>
    <w:rsid w:val="001431EC"/>
    <w:rsid w:val="00143EBF"/>
    <w:rsid w:val="00144F29"/>
    <w:rsid w:val="00144F37"/>
    <w:rsid w:val="001504EE"/>
    <w:rsid w:val="00151D53"/>
    <w:rsid w:val="001537B5"/>
    <w:rsid w:val="00156CD5"/>
    <w:rsid w:val="00156CF1"/>
    <w:rsid w:val="001574BE"/>
    <w:rsid w:val="00157F63"/>
    <w:rsid w:val="00160B5D"/>
    <w:rsid w:val="001619E4"/>
    <w:rsid w:val="001622CB"/>
    <w:rsid w:val="00164636"/>
    <w:rsid w:val="00165A64"/>
    <w:rsid w:val="0016608C"/>
    <w:rsid w:val="00166DE8"/>
    <w:rsid w:val="0017006C"/>
    <w:rsid w:val="00172695"/>
    <w:rsid w:val="00172895"/>
    <w:rsid w:val="0017389C"/>
    <w:rsid w:val="00173A94"/>
    <w:rsid w:val="00174CAA"/>
    <w:rsid w:val="00174E9B"/>
    <w:rsid w:val="00175DFA"/>
    <w:rsid w:val="001778AD"/>
    <w:rsid w:val="00180164"/>
    <w:rsid w:val="0018208A"/>
    <w:rsid w:val="00182343"/>
    <w:rsid w:val="0018258E"/>
    <w:rsid w:val="00182A7A"/>
    <w:rsid w:val="00182C67"/>
    <w:rsid w:val="00183D7E"/>
    <w:rsid w:val="00184A67"/>
    <w:rsid w:val="00185770"/>
    <w:rsid w:val="00185CB0"/>
    <w:rsid w:val="00185D12"/>
    <w:rsid w:val="0018625F"/>
    <w:rsid w:val="00186337"/>
    <w:rsid w:val="001866B4"/>
    <w:rsid w:val="0018760A"/>
    <w:rsid w:val="00187ABC"/>
    <w:rsid w:val="001901E2"/>
    <w:rsid w:val="00192026"/>
    <w:rsid w:val="00192442"/>
    <w:rsid w:val="0019414E"/>
    <w:rsid w:val="0019437B"/>
    <w:rsid w:val="001953AD"/>
    <w:rsid w:val="00195815"/>
    <w:rsid w:val="00195C1C"/>
    <w:rsid w:val="00196F96"/>
    <w:rsid w:val="00197DE3"/>
    <w:rsid w:val="001A0419"/>
    <w:rsid w:val="001A2677"/>
    <w:rsid w:val="001A294F"/>
    <w:rsid w:val="001A2B03"/>
    <w:rsid w:val="001A30E2"/>
    <w:rsid w:val="001A734F"/>
    <w:rsid w:val="001B029A"/>
    <w:rsid w:val="001B146E"/>
    <w:rsid w:val="001B27B0"/>
    <w:rsid w:val="001B3B34"/>
    <w:rsid w:val="001B3E2E"/>
    <w:rsid w:val="001B4285"/>
    <w:rsid w:val="001B4523"/>
    <w:rsid w:val="001B72FA"/>
    <w:rsid w:val="001B7669"/>
    <w:rsid w:val="001C0BE0"/>
    <w:rsid w:val="001C10BD"/>
    <w:rsid w:val="001C5971"/>
    <w:rsid w:val="001C6D5F"/>
    <w:rsid w:val="001C7EE0"/>
    <w:rsid w:val="001D1055"/>
    <w:rsid w:val="001D1D52"/>
    <w:rsid w:val="001D1D86"/>
    <w:rsid w:val="001D2CCF"/>
    <w:rsid w:val="001D4CB7"/>
    <w:rsid w:val="001D51A8"/>
    <w:rsid w:val="001D5CDF"/>
    <w:rsid w:val="001D5DC4"/>
    <w:rsid w:val="001D67CB"/>
    <w:rsid w:val="001D6C83"/>
    <w:rsid w:val="001D7DAD"/>
    <w:rsid w:val="001E0420"/>
    <w:rsid w:val="001E177D"/>
    <w:rsid w:val="001E3C06"/>
    <w:rsid w:val="001E5009"/>
    <w:rsid w:val="001E580C"/>
    <w:rsid w:val="001E6107"/>
    <w:rsid w:val="001E73AE"/>
    <w:rsid w:val="001E77D5"/>
    <w:rsid w:val="001F080B"/>
    <w:rsid w:val="001F0F2A"/>
    <w:rsid w:val="001F11B3"/>
    <w:rsid w:val="001F131B"/>
    <w:rsid w:val="001F1F4A"/>
    <w:rsid w:val="001F30C0"/>
    <w:rsid w:val="001F5230"/>
    <w:rsid w:val="001F56F7"/>
    <w:rsid w:val="001F57E4"/>
    <w:rsid w:val="001F5B7B"/>
    <w:rsid w:val="001F7698"/>
    <w:rsid w:val="00200525"/>
    <w:rsid w:val="00201B08"/>
    <w:rsid w:val="0020401F"/>
    <w:rsid w:val="00205C8C"/>
    <w:rsid w:val="002060EA"/>
    <w:rsid w:val="002076FF"/>
    <w:rsid w:val="00207C00"/>
    <w:rsid w:val="00210371"/>
    <w:rsid w:val="002105C2"/>
    <w:rsid w:val="00210EAD"/>
    <w:rsid w:val="00212BF8"/>
    <w:rsid w:val="00213763"/>
    <w:rsid w:val="00215AC2"/>
    <w:rsid w:val="00216AB8"/>
    <w:rsid w:val="00216BF8"/>
    <w:rsid w:val="00216C8D"/>
    <w:rsid w:val="00220B43"/>
    <w:rsid w:val="00222B12"/>
    <w:rsid w:val="0022383C"/>
    <w:rsid w:val="00224238"/>
    <w:rsid w:val="00224B8E"/>
    <w:rsid w:val="00224D64"/>
    <w:rsid w:val="00225C16"/>
    <w:rsid w:val="00226123"/>
    <w:rsid w:val="00227716"/>
    <w:rsid w:val="00227728"/>
    <w:rsid w:val="002305DF"/>
    <w:rsid w:val="0023061F"/>
    <w:rsid w:val="002316DF"/>
    <w:rsid w:val="0023172D"/>
    <w:rsid w:val="00233026"/>
    <w:rsid w:val="00235D8D"/>
    <w:rsid w:val="0023690A"/>
    <w:rsid w:val="00236A27"/>
    <w:rsid w:val="00241002"/>
    <w:rsid w:val="00242374"/>
    <w:rsid w:val="002445FD"/>
    <w:rsid w:val="00244C6E"/>
    <w:rsid w:val="00245CAD"/>
    <w:rsid w:val="002462D6"/>
    <w:rsid w:val="00246BE8"/>
    <w:rsid w:val="00246E81"/>
    <w:rsid w:val="00251593"/>
    <w:rsid w:val="00252355"/>
    <w:rsid w:val="00252C51"/>
    <w:rsid w:val="002535B5"/>
    <w:rsid w:val="0025435D"/>
    <w:rsid w:val="0025539D"/>
    <w:rsid w:val="0025590A"/>
    <w:rsid w:val="00256A45"/>
    <w:rsid w:val="00256EDE"/>
    <w:rsid w:val="002600EB"/>
    <w:rsid w:val="002604A9"/>
    <w:rsid w:val="00260E49"/>
    <w:rsid w:val="002629D5"/>
    <w:rsid w:val="00263757"/>
    <w:rsid w:val="00263C53"/>
    <w:rsid w:val="00264111"/>
    <w:rsid w:val="00264E19"/>
    <w:rsid w:val="00265124"/>
    <w:rsid w:val="002653AC"/>
    <w:rsid w:val="002666DC"/>
    <w:rsid w:val="002677FE"/>
    <w:rsid w:val="00270967"/>
    <w:rsid w:val="00271D38"/>
    <w:rsid w:val="00273C02"/>
    <w:rsid w:val="00274A4B"/>
    <w:rsid w:val="00275918"/>
    <w:rsid w:val="00275BD3"/>
    <w:rsid w:val="00282E04"/>
    <w:rsid w:val="0028413F"/>
    <w:rsid w:val="00285AB2"/>
    <w:rsid w:val="00286DBA"/>
    <w:rsid w:val="00286F32"/>
    <w:rsid w:val="00287BCB"/>
    <w:rsid w:val="002908D1"/>
    <w:rsid w:val="002914C1"/>
    <w:rsid w:val="00291FCC"/>
    <w:rsid w:val="002933DD"/>
    <w:rsid w:val="00294A3D"/>
    <w:rsid w:val="00294E30"/>
    <w:rsid w:val="00294F7C"/>
    <w:rsid w:val="002963C3"/>
    <w:rsid w:val="00296430"/>
    <w:rsid w:val="00296FD8"/>
    <w:rsid w:val="00297FD2"/>
    <w:rsid w:val="002A0C3A"/>
    <w:rsid w:val="002A1A12"/>
    <w:rsid w:val="002A2012"/>
    <w:rsid w:val="002A25E9"/>
    <w:rsid w:val="002A4600"/>
    <w:rsid w:val="002A4D48"/>
    <w:rsid w:val="002A5710"/>
    <w:rsid w:val="002A6055"/>
    <w:rsid w:val="002A7EDA"/>
    <w:rsid w:val="002B0162"/>
    <w:rsid w:val="002B3451"/>
    <w:rsid w:val="002B3C6F"/>
    <w:rsid w:val="002B3ED1"/>
    <w:rsid w:val="002B45EE"/>
    <w:rsid w:val="002B48FF"/>
    <w:rsid w:val="002B562C"/>
    <w:rsid w:val="002B5B60"/>
    <w:rsid w:val="002B5CD6"/>
    <w:rsid w:val="002B6888"/>
    <w:rsid w:val="002B6C5E"/>
    <w:rsid w:val="002C2719"/>
    <w:rsid w:val="002C3397"/>
    <w:rsid w:val="002C36FE"/>
    <w:rsid w:val="002C3DCA"/>
    <w:rsid w:val="002C6629"/>
    <w:rsid w:val="002C7204"/>
    <w:rsid w:val="002D0D28"/>
    <w:rsid w:val="002D1CBA"/>
    <w:rsid w:val="002D38E4"/>
    <w:rsid w:val="002D39EF"/>
    <w:rsid w:val="002D4DF5"/>
    <w:rsid w:val="002D6247"/>
    <w:rsid w:val="002D7771"/>
    <w:rsid w:val="002E0AEC"/>
    <w:rsid w:val="002E1F33"/>
    <w:rsid w:val="002E32C3"/>
    <w:rsid w:val="002E3F67"/>
    <w:rsid w:val="002E4173"/>
    <w:rsid w:val="002E5B1C"/>
    <w:rsid w:val="002E7900"/>
    <w:rsid w:val="002F0745"/>
    <w:rsid w:val="002F27B0"/>
    <w:rsid w:val="002F2C54"/>
    <w:rsid w:val="002F4AE7"/>
    <w:rsid w:val="002F5D6C"/>
    <w:rsid w:val="002F6CF0"/>
    <w:rsid w:val="002F783D"/>
    <w:rsid w:val="002F7A3C"/>
    <w:rsid w:val="002F7C7D"/>
    <w:rsid w:val="002F7DD9"/>
    <w:rsid w:val="00301D40"/>
    <w:rsid w:val="0030355D"/>
    <w:rsid w:val="00304C99"/>
    <w:rsid w:val="00305721"/>
    <w:rsid w:val="00310783"/>
    <w:rsid w:val="003108A0"/>
    <w:rsid w:val="003119B3"/>
    <w:rsid w:val="00311FB0"/>
    <w:rsid w:val="00312734"/>
    <w:rsid w:val="003147BA"/>
    <w:rsid w:val="00314B29"/>
    <w:rsid w:val="00315F71"/>
    <w:rsid w:val="003202C3"/>
    <w:rsid w:val="0032046E"/>
    <w:rsid w:val="00320EFF"/>
    <w:rsid w:val="0032112C"/>
    <w:rsid w:val="00325414"/>
    <w:rsid w:val="00325F56"/>
    <w:rsid w:val="003269C2"/>
    <w:rsid w:val="0033098D"/>
    <w:rsid w:val="003326B6"/>
    <w:rsid w:val="00332DAC"/>
    <w:rsid w:val="00334217"/>
    <w:rsid w:val="00334C73"/>
    <w:rsid w:val="00335E2E"/>
    <w:rsid w:val="00336523"/>
    <w:rsid w:val="00336C09"/>
    <w:rsid w:val="00337496"/>
    <w:rsid w:val="00340433"/>
    <w:rsid w:val="0034253E"/>
    <w:rsid w:val="00342612"/>
    <w:rsid w:val="00342AEB"/>
    <w:rsid w:val="00342C5F"/>
    <w:rsid w:val="00342ED9"/>
    <w:rsid w:val="003433A9"/>
    <w:rsid w:val="0034415A"/>
    <w:rsid w:val="00344637"/>
    <w:rsid w:val="003453CB"/>
    <w:rsid w:val="0034563D"/>
    <w:rsid w:val="00345DA7"/>
    <w:rsid w:val="003460B2"/>
    <w:rsid w:val="00346659"/>
    <w:rsid w:val="00347083"/>
    <w:rsid w:val="00347361"/>
    <w:rsid w:val="00350144"/>
    <w:rsid w:val="00350AC6"/>
    <w:rsid w:val="00351750"/>
    <w:rsid w:val="003527E2"/>
    <w:rsid w:val="00352FD3"/>
    <w:rsid w:val="00353DDD"/>
    <w:rsid w:val="0035530F"/>
    <w:rsid w:val="00355529"/>
    <w:rsid w:val="0035680B"/>
    <w:rsid w:val="00356F02"/>
    <w:rsid w:val="00360D38"/>
    <w:rsid w:val="00361424"/>
    <w:rsid w:val="0036421D"/>
    <w:rsid w:val="0036431E"/>
    <w:rsid w:val="00367B89"/>
    <w:rsid w:val="00371625"/>
    <w:rsid w:val="00373295"/>
    <w:rsid w:val="00373A10"/>
    <w:rsid w:val="00374034"/>
    <w:rsid w:val="00374D5B"/>
    <w:rsid w:val="0037587D"/>
    <w:rsid w:val="00376851"/>
    <w:rsid w:val="00383036"/>
    <w:rsid w:val="00383169"/>
    <w:rsid w:val="00383955"/>
    <w:rsid w:val="00383FE8"/>
    <w:rsid w:val="003848B6"/>
    <w:rsid w:val="00387193"/>
    <w:rsid w:val="00387BAB"/>
    <w:rsid w:val="00387D4E"/>
    <w:rsid w:val="00391703"/>
    <w:rsid w:val="0039177A"/>
    <w:rsid w:val="00391AB9"/>
    <w:rsid w:val="00392441"/>
    <w:rsid w:val="00392D0D"/>
    <w:rsid w:val="00392E5E"/>
    <w:rsid w:val="00393314"/>
    <w:rsid w:val="00393614"/>
    <w:rsid w:val="0039416E"/>
    <w:rsid w:val="00394ED2"/>
    <w:rsid w:val="00395D37"/>
    <w:rsid w:val="00396BEE"/>
    <w:rsid w:val="00397F40"/>
    <w:rsid w:val="003A1E56"/>
    <w:rsid w:val="003A407C"/>
    <w:rsid w:val="003A4D01"/>
    <w:rsid w:val="003A57DD"/>
    <w:rsid w:val="003A636D"/>
    <w:rsid w:val="003A7DB5"/>
    <w:rsid w:val="003B0104"/>
    <w:rsid w:val="003B0502"/>
    <w:rsid w:val="003B0C86"/>
    <w:rsid w:val="003B1464"/>
    <w:rsid w:val="003B3CFD"/>
    <w:rsid w:val="003B4345"/>
    <w:rsid w:val="003B593E"/>
    <w:rsid w:val="003B6130"/>
    <w:rsid w:val="003B6498"/>
    <w:rsid w:val="003B698F"/>
    <w:rsid w:val="003B7778"/>
    <w:rsid w:val="003B789E"/>
    <w:rsid w:val="003B79B1"/>
    <w:rsid w:val="003B79D0"/>
    <w:rsid w:val="003C0B6E"/>
    <w:rsid w:val="003C2511"/>
    <w:rsid w:val="003D1A14"/>
    <w:rsid w:val="003D225F"/>
    <w:rsid w:val="003D42DE"/>
    <w:rsid w:val="003D44CB"/>
    <w:rsid w:val="003D4C20"/>
    <w:rsid w:val="003D60E4"/>
    <w:rsid w:val="003D7EED"/>
    <w:rsid w:val="003E1BE4"/>
    <w:rsid w:val="003E3107"/>
    <w:rsid w:val="003E3196"/>
    <w:rsid w:val="003E3680"/>
    <w:rsid w:val="003E3D80"/>
    <w:rsid w:val="003E57A3"/>
    <w:rsid w:val="003E632B"/>
    <w:rsid w:val="003E7311"/>
    <w:rsid w:val="003F0749"/>
    <w:rsid w:val="003F0D29"/>
    <w:rsid w:val="003F11F4"/>
    <w:rsid w:val="003F1438"/>
    <w:rsid w:val="003F1688"/>
    <w:rsid w:val="003F1B2A"/>
    <w:rsid w:val="003F291A"/>
    <w:rsid w:val="003F356D"/>
    <w:rsid w:val="003F49F3"/>
    <w:rsid w:val="003F4D55"/>
    <w:rsid w:val="003F51DA"/>
    <w:rsid w:val="003F5203"/>
    <w:rsid w:val="003F5BA2"/>
    <w:rsid w:val="003F5DD0"/>
    <w:rsid w:val="003F6404"/>
    <w:rsid w:val="003F7F18"/>
    <w:rsid w:val="004011E5"/>
    <w:rsid w:val="00401782"/>
    <w:rsid w:val="00403CB4"/>
    <w:rsid w:val="0040431B"/>
    <w:rsid w:val="00404AC7"/>
    <w:rsid w:val="0040524C"/>
    <w:rsid w:val="00405A56"/>
    <w:rsid w:val="0040624C"/>
    <w:rsid w:val="004064B8"/>
    <w:rsid w:val="00407734"/>
    <w:rsid w:val="004101DA"/>
    <w:rsid w:val="004101EC"/>
    <w:rsid w:val="0041038A"/>
    <w:rsid w:val="004103F6"/>
    <w:rsid w:val="00410704"/>
    <w:rsid w:val="00410AD3"/>
    <w:rsid w:val="00411F40"/>
    <w:rsid w:val="0041267E"/>
    <w:rsid w:val="00412924"/>
    <w:rsid w:val="00413258"/>
    <w:rsid w:val="0041391C"/>
    <w:rsid w:val="00414368"/>
    <w:rsid w:val="00414B79"/>
    <w:rsid w:val="004154C2"/>
    <w:rsid w:val="00415E7E"/>
    <w:rsid w:val="00416258"/>
    <w:rsid w:val="00416D07"/>
    <w:rsid w:val="004174B7"/>
    <w:rsid w:val="00420390"/>
    <w:rsid w:val="00420989"/>
    <w:rsid w:val="004225BD"/>
    <w:rsid w:val="00423C52"/>
    <w:rsid w:val="00425856"/>
    <w:rsid w:val="00425F9D"/>
    <w:rsid w:val="00426D0B"/>
    <w:rsid w:val="00427857"/>
    <w:rsid w:val="00431CE5"/>
    <w:rsid w:val="00431D12"/>
    <w:rsid w:val="00433453"/>
    <w:rsid w:val="00433A1C"/>
    <w:rsid w:val="00433CB5"/>
    <w:rsid w:val="00437879"/>
    <w:rsid w:val="004409A4"/>
    <w:rsid w:val="00441B69"/>
    <w:rsid w:val="00443AD4"/>
    <w:rsid w:val="00446686"/>
    <w:rsid w:val="00446B56"/>
    <w:rsid w:val="00446EA8"/>
    <w:rsid w:val="004479A6"/>
    <w:rsid w:val="00447B66"/>
    <w:rsid w:val="00450651"/>
    <w:rsid w:val="004524B4"/>
    <w:rsid w:val="00454AAC"/>
    <w:rsid w:val="004558C0"/>
    <w:rsid w:val="00455946"/>
    <w:rsid w:val="00456BAF"/>
    <w:rsid w:val="004572B5"/>
    <w:rsid w:val="004614FC"/>
    <w:rsid w:val="00461964"/>
    <w:rsid w:val="00461A29"/>
    <w:rsid w:val="004622A2"/>
    <w:rsid w:val="004625E4"/>
    <w:rsid w:val="00463514"/>
    <w:rsid w:val="00463864"/>
    <w:rsid w:val="00465322"/>
    <w:rsid w:val="00465FC4"/>
    <w:rsid w:val="00466562"/>
    <w:rsid w:val="00467CFE"/>
    <w:rsid w:val="00467DE5"/>
    <w:rsid w:val="004700CA"/>
    <w:rsid w:val="00471281"/>
    <w:rsid w:val="00471971"/>
    <w:rsid w:val="004719C4"/>
    <w:rsid w:val="00472420"/>
    <w:rsid w:val="004729EA"/>
    <w:rsid w:val="00474A22"/>
    <w:rsid w:val="00475807"/>
    <w:rsid w:val="004763AC"/>
    <w:rsid w:val="0047699B"/>
    <w:rsid w:val="00476A41"/>
    <w:rsid w:val="00476E3A"/>
    <w:rsid w:val="00481605"/>
    <w:rsid w:val="00483136"/>
    <w:rsid w:val="00483B54"/>
    <w:rsid w:val="00483ECB"/>
    <w:rsid w:val="00484D55"/>
    <w:rsid w:val="00485126"/>
    <w:rsid w:val="004852ED"/>
    <w:rsid w:val="00485AF9"/>
    <w:rsid w:val="0048671A"/>
    <w:rsid w:val="004901C5"/>
    <w:rsid w:val="004902FA"/>
    <w:rsid w:val="00492139"/>
    <w:rsid w:val="00493694"/>
    <w:rsid w:val="0049467D"/>
    <w:rsid w:val="00494EE9"/>
    <w:rsid w:val="004951AA"/>
    <w:rsid w:val="0049560D"/>
    <w:rsid w:val="004958FC"/>
    <w:rsid w:val="00496949"/>
    <w:rsid w:val="00497CDA"/>
    <w:rsid w:val="00497D0A"/>
    <w:rsid w:val="004A372D"/>
    <w:rsid w:val="004A50E7"/>
    <w:rsid w:val="004A549E"/>
    <w:rsid w:val="004A58E4"/>
    <w:rsid w:val="004A76C1"/>
    <w:rsid w:val="004B12F3"/>
    <w:rsid w:val="004B16F0"/>
    <w:rsid w:val="004B216A"/>
    <w:rsid w:val="004B2CA6"/>
    <w:rsid w:val="004B3518"/>
    <w:rsid w:val="004B35CB"/>
    <w:rsid w:val="004B48B0"/>
    <w:rsid w:val="004B56CC"/>
    <w:rsid w:val="004C0327"/>
    <w:rsid w:val="004C1662"/>
    <w:rsid w:val="004C59E0"/>
    <w:rsid w:val="004C6956"/>
    <w:rsid w:val="004D0410"/>
    <w:rsid w:val="004D0883"/>
    <w:rsid w:val="004D0A60"/>
    <w:rsid w:val="004D0E7C"/>
    <w:rsid w:val="004D1CB7"/>
    <w:rsid w:val="004D299C"/>
    <w:rsid w:val="004D34D4"/>
    <w:rsid w:val="004D4365"/>
    <w:rsid w:val="004D4B30"/>
    <w:rsid w:val="004D4D52"/>
    <w:rsid w:val="004D56FD"/>
    <w:rsid w:val="004D5CAA"/>
    <w:rsid w:val="004D738E"/>
    <w:rsid w:val="004D7963"/>
    <w:rsid w:val="004E13E8"/>
    <w:rsid w:val="004E2780"/>
    <w:rsid w:val="004E2E09"/>
    <w:rsid w:val="004E2FC9"/>
    <w:rsid w:val="004E360D"/>
    <w:rsid w:val="004E3A19"/>
    <w:rsid w:val="004E68C2"/>
    <w:rsid w:val="004E6A46"/>
    <w:rsid w:val="004E7C40"/>
    <w:rsid w:val="004F030E"/>
    <w:rsid w:val="004F23C9"/>
    <w:rsid w:val="004F3219"/>
    <w:rsid w:val="004F561A"/>
    <w:rsid w:val="004F5E19"/>
    <w:rsid w:val="004F62BE"/>
    <w:rsid w:val="004F693A"/>
    <w:rsid w:val="00502270"/>
    <w:rsid w:val="00502EA6"/>
    <w:rsid w:val="00503ED8"/>
    <w:rsid w:val="00503EEE"/>
    <w:rsid w:val="00504577"/>
    <w:rsid w:val="00507286"/>
    <w:rsid w:val="00511433"/>
    <w:rsid w:val="00512BE7"/>
    <w:rsid w:val="00512C02"/>
    <w:rsid w:val="00514E32"/>
    <w:rsid w:val="00514FBD"/>
    <w:rsid w:val="00515D5A"/>
    <w:rsid w:val="005165AD"/>
    <w:rsid w:val="005166D7"/>
    <w:rsid w:val="00516F3D"/>
    <w:rsid w:val="00517106"/>
    <w:rsid w:val="00517560"/>
    <w:rsid w:val="00521036"/>
    <w:rsid w:val="005212F7"/>
    <w:rsid w:val="005215D9"/>
    <w:rsid w:val="00523827"/>
    <w:rsid w:val="00524264"/>
    <w:rsid w:val="00524389"/>
    <w:rsid w:val="00525498"/>
    <w:rsid w:val="005255B0"/>
    <w:rsid w:val="00525650"/>
    <w:rsid w:val="00526803"/>
    <w:rsid w:val="00526BF9"/>
    <w:rsid w:val="005315C5"/>
    <w:rsid w:val="00531CDC"/>
    <w:rsid w:val="0053248A"/>
    <w:rsid w:val="00532DE4"/>
    <w:rsid w:val="00534054"/>
    <w:rsid w:val="00535633"/>
    <w:rsid w:val="00536FAA"/>
    <w:rsid w:val="00540200"/>
    <w:rsid w:val="00542DB3"/>
    <w:rsid w:val="005430D3"/>
    <w:rsid w:val="00543820"/>
    <w:rsid w:val="00544F67"/>
    <w:rsid w:val="005475DE"/>
    <w:rsid w:val="0054794C"/>
    <w:rsid w:val="00547A07"/>
    <w:rsid w:val="00550BA4"/>
    <w:rsid w:val="00551B50"/>
    <w:rsid w:val="005520BC"/>
    <w:rsid w:val="00552B01"/>
    <w:rsid w:val="005537F9"/>
    <w:rsid w:val="005545F2"/>
    <w:rsid w:val="005551F4"/>
    <w:rsid w:val="00555410"/>
    <w:rsid w:val="0055634F"/>
    <w:rsid w:val="005578DA"/>
    <w:rsid w:val="00557AA2"/>
    <w:rsid w:val="00561564"/>
    <w:rsid w:val="005615F6"/>
    <w:rsid w:val="00562101"/>
    <w:rsid w:val="00562D05"/>
    <w:rsid w:val="00564596"/>
    <w:rsid w:val="005647CE"/>
    <w:rsid w:val="00565B47"/>
    <w:rsid w:val="005669BE"/>
    <w:rsid w:val="00566B38"/>
    <w:rsid w:val="00567646"/>
    <w:rsid w:val="00567967"/>
    <w:rsid w:val="00567C82"/>
    <w:rsid w:val="0057106B"/>
    <w:rsid w:val="00573D16"/>
    <w:rsid w:val="00573F1B"/>
    <w:rsid w:val="00575F42"/>
    <w:rsid w:val="0057626D"/>
    <w:rsid w:val="0057648A"/>
    <w:rsid w:val="005770B8"/>
    <w:rsid w:val="00577CEA"/>
    <w:rsid w:val="00577F7F"/>
    <w:rsid w:val="005800B9"/>
    <w:rsid w:val="005801CE"/>
    <w:rsid w:val="00584572"/>
    <w:rsid w:val="00584D31"/>
    <w:rsid w:val="00584D55"/>
    <w:rsid w:val="005856E9"/>
    <w:rsid w:val="00585B4F"/>
    <w:rsid w:val="00586FF3"/>
    <w:rsid w:val="0058746C"/>
    <w:rsid w:val="0058759B"/>
    <w:rsid w:val="005906F8"/>
    <w:rsid w:val="00590A40"/>
    <w:rsid w:val="00592723"/>
    <w:rsid w:val="00593633"/>
    <w:rsid w:val="00593BAB"/>
    <w:rsid w:val="005956A0"/>
    <w:rsid w:val="00595EBB"/>
    <w:rsid w:val="00596698"/>
    <w:rsid w:val="005969C1"/>
    <w:rsid w:val="00597276"/>
    <w:rsid w:val="005A2B88"/>
    <w:rsid w:val="005A342C"/>
    <w:rsid w:val="005A43F2"/>
    <w:rsid w:val="005A448F"/>
    <w:rsid w:val="005A5792"/>
    <w:rsid w:val="005A665E"/>
    <w:rsid w:val="005B0067"/>
    <w:rsid w:val="005B0EFC"/>
    <w:rsid w:val="005B1DCC"/>
    <w:rsid w:val="005B2FBC"/>
    <w:rsid w:val="005B3252"/>
    <w:rsid w:val="005B4C6C"/>
    <w:rsid w:val="005B6818"/>
    <w:rsid w:val="005B7212"/>
    <w:rsid w:val="005B7A00"/>
    <w:rsid w:val="005C2A6A"/>
    <w:rsid w:val="005C357C"/>
    <w:rsid w:val="005C3593"/>
    <w:rsid w:val="005C3DE4"/>
    <w:rsid w:val="005C46EF"/>
    <w:rsid w:val="005D103C"/>
    <w:rsid w:val="005D1245"/>
    <w:rsid w:val="005D320B"/>
    <w:rsid w:val="005D4227"/>
    <w:rsid w:val="005D5377"/>
    <w:rsid w:val="005D56DF"/>
    <w:rsid w:val="005D5A05"/>
    <w:rsid w:val="005D66E7"/>
    <w:rsid w:val="005E0D69"/>
    <w:rsid w:val="005E2219"/>
    <w:rsid w:val="005E2A16"/>
    <w:rsid w:val="005E2EB9"/>
    <w:rsid w:val="005E3FEE"/>
    <w:rsid w:val="005E44C1"/>
    <w:rsid w:val="005E5CF9"/>
    <w:rsid w:val="005E6F99"/>
    <w:rsid w:val="005F133B"/>
    <w:rsid w:val="005F1FE3"/>
    <w:rsid w:val="005F27A5"/>
    <w:rsid w:val="005F4EC9"/>
    <w:rsid w:val="005F6C1A"/>
    <w:rsid w:val="005F722F"/>
    <w:rsid w:val="005F79BD"/>
    <w:rsid w:val="00600B94"/>
    <w:rsid w:val="006016B2"/>
    <w:rsid w:val="00601FDF"/>
    <w:rsid w:val="00602817"/>
    <w:rsid w:val="00602F25"/>
    <w:rsid w:val="0060315C"/>
    <w:rsid w:val="00603487"/>
    <w:rsid w:val="00603FBF"/>
    <w:rsid w:val="0060527A"/>
    <w:rsid w:val="00610CDE"/>
    <w:rsid w:val="00610E43"/>
    <w:rsid w:val="0061225F"/>
    <w:rsid w:val="006123D6"/>
    <w:rsid w:val="00612A48"/>
    <w:rsid w:val="006130EC"/>
    <w:rsid w:val="00613C3E"/>
    <w:rsid w:val="00614215"/>
    <w:rsid w:val="006145FE"/>
    <w:rsid w:val="006157FF"/>
    <w:rsid w:val="0061724F"/>
    <w:rsid w:val="006212F4"/>
    <w:rsid w:val="006249B6"/>
    <w:rsid w:val="00624DCC"/>
    <w:rsid w:val="00627BB2"/>
    <w:rsid w:val="006303F9"/>
    <w:rsid w:val="006316D5"/>
    <w:rsid w:val="0063211B"/>
    <w:rsid w:val="006335C3"/>
    <w:rsid w:val="0063519D"/>
    <w:rsid w:val="00635DD1"/>
    <w:rsid w:val="00635FE0"/>
    <w:rsid w:val="00637010"/>
    <w:rsid w:val="0063736D"/>
    <w:rsid w:val="00640211"/>
    <w:rsid w:val="0064355A"/>
    <w:rsid w:val="00643F62"/>
    <w:rsid w:val="006457DC"/>
    <w:rsid w:val="00645E39"/>
    <w:rsid w:val="00646021"/>
    <w:rsid w:val="006500F9"/>
    <w:rsid w:val="00650E41"/>
    <w:rsid w:val="00650E98"/>
    <w:rsid w:val="00651585"/>
    <w:rsid w:val="00651BFB"/>
    <w:rsid w:val="006535B6"/>
    <w:rsid w:val="00654625"/>
    <w:rsid w:val="00655C1F"/>
    <w:rsid w:val="00656CF2"/>
    <w:rsid w:val="00656D56"/>
    <w:rsid w:val="00661121"/>
    <w:rsid w:val="0066262C"/>
    <w:rsid w:val="006635FC"/>
    <w:rsid w:val="00663742"/>
    <w:rsid w:val="00663854"/>
    <w:rsid w:val="0066596E"/>
    <w:rsid w:val="006677D5"/>
    <w:rsid w:val="006711CE"/>
    <w:rsid w:val="00671AC8"/>
    <w:rsid w:val="00671E22"/>
    <w:rsid w:val="00671EF3"/>
    <w:rsid w:val="00672736"/>
    <w:rsid w:val="00675872"/>
    <w:rsid w:val="0067797F"/>
    <w:rsid w:val="00680379"/>
    <w:rsid w:val="0068184A"/>
    <w:rsid w:val="00681D5E"/>
    <w:rsid w:val="00682370"/>
    <w:rsid w:val="0068281B"/>
    <w:rsid w:val="00684495"/>
    <w:rsid w:val="00685A99"/>
    <w:rsid w:val="00685EBC"/>
    <w:rsid w:val="006872FD"/>
    <w:rsid w:val="006876BC"/>
    <w:rsid w:val="00690C41"/>
    <w:rsid w:val="0069144E"/>
    <w:rsid w:val="0069151B"/>
    <w:rsid w:val="00691770"/>
    <w:rsid w:val="00692921"/>
    <w:rsid w:val="00694352"/>
    <w:rsid w:val="0069468C"/>
    <w:rsid w:val="00695A5B"/>
    <w:rsid w:val="0069659B"/>
    <w:rsid w:val="00697B49"/>
    <w:rsid w:val="006A13E7"/>
    <w:rsid w:val="006A1DD2"/>
    <w:rsid w:val="006A2CE2"/>
    <w:rsid w:val="006A4901"/>
    <w:rsid w:val="006A4C29"/>
    <w:rsid w:val="006A56ED"/>
    <w:rsid w:val="006A5889"/>
    <w:rsid w:val="006A6C1A"/>
    <w:rsid w:val="006A6F07"/>
    <w:rsid w:val="006A7A1A"/>
    <w:rsid w:val="006A7C7E"/>
    <w:rsid w:val="006B154D"/>
    <w:rsid w:val="006B5B5C"/>
    <w:rsid w:val="006B6EB8"/>
    <w:rsid w:val="006B7261"/>
    <w:rsid w:val="006B7A41"/>
    <w:rsid w:val="006B7A6F"/>
    <w:rsid w:val="006C15F3"/>
    <w:rsid w:val="006C1C8D"/>
    <w:rsid w:val="006C2D9D"/>
    <w:rsid w:val="006C383E"/>
    <w:rsid w:val="006C3DD4"/>
    <w:rsid w:val="006C4F4A"/>
    <w:rsid w:val="006C50FA"/>
    <w:rsid w:val="006C5837"/>
    <w:rsid w:val="006C5B99"/>
    <w:rsid w:val="006C5C46"/>
    <w:rsid w:val="006C65DF"/>
    <w:rsid w:val="006C6FFF"/>
    <w:rsid w:val="006C70C6"/>
    <w:rsid w:val="006C78CE"/>
    <w:rsid w:val="006D0485"/>
    <w:rsid w:val="006D0EC8"/>
    <w:rsid w:val="006D1FD1"/>
    <w:rsid w:val="006D2635"/>
    <w:rsid w:val="006D4EE1"/>
    <w:rsid w:val="006D54B2"/>
    <w:rsid w:val="006D69DE"/>
    <w:rsid w:val="006E08D8"/>
    <w:rsid w:val="006E1782"/>
    <w:rsid w:val="006E283F"/>
    <w:rsid w:val="006E30C2"/>
    <w:rsid w:val="006E3223"/>
    <w:rsid w:val="006E516A"/>
    <w:rsid w:val="006E5364"/>
    <w:rsid w:val="006E55B5"/>
    <w:rsid w:val="006E5ABE"/>
    <w:rsid w:val="006E67BB"/>
    <w:rsid w:val="006E7B38"/>
    <w:rsid w:val="006F044F"/>
    <w:rsid w:val="006F0604"/>
    <w:rsid w:val="006F099C"/>
    <w:rsid w:val="006F0CFF"/>
    <w:rsid w:val="006F29CA"/>
    <w:rsid w:val="006F34D5"/>
    <w:rsid w:val="006F3D50"/>
    <w:rsid w:val="006F3E5A"/>
    <w:rsid w:val="006F5808"/>
    <w:rsid w:val="006F6B38"/>
    <w:rsid w:val="006F7DB8"/>
    <w:rsid w:val="0070162D"/>
    <w:rsid w:val="00701E75"/>
    <w:rsid w:val="007051B0"/>
    <w:rsid w:val="00705291"/>
    <w:rsid w:val="00705671"/>
    <w:rsid w:val="00705A5C"/>
    <w:rsid w:val="00705FD3"/>
    <w:rsid w:val="00706556"/>
    <w:rsid w:val="00706BC8"/>
    <w:rsid w:val="007102FE"/>
    <w:rsid w:val="007115C5"/>
    <w:rsid w:val="007119F4"/>
    <w:rsid w:val="00713518"/>
    <w:rsid w:val="00713FD9"/>
    <w:rsid w:val="00715524"/>
    <w:rsid w:val="00716687"/>
    <w:rsid w:val="00720BCE"/>
    <w:rsid w:val="007236E2"/>
    <w:rsid w:val="007259F7"/>
    <w:rsid w:val="007303DD"/>
    <w:rsid w:val="0073067A"/>
    <w:rsid w:val="0073068F"/>
    <w:rsid w:val="00731B52"/>
    <w:rsid w:val="00731EA7"/>
    <w:rsid w:val="007326EA"/>
    <w:rsid w:val="00734A77"/>
    <w:rsid w:val="00735E4C"/>
    <w:rsid w:val="00737706"/>
    <w:rsid w:val="00737F20"/>
    <w:rsid w:val="007401AC"/>
    <w:rsid w:val="00740A2E"/>
    <w:rsid w:val="00741973"/>
    <w:rsid w:val="00743DA7"/>
    <w:rsid w:val="007441E8"/>
    <w:rsid w:val="00745E8F"/>
    <w:rsid w:val="00746163"/>
    <w:rsid w:val="00747510"/>
    <w:rsid w:val="00750E5F"/>
    <w:rsid w:val="00751299"/>
    <w:rsid w:val="00752B68"/>
    <w:rsid w:val="00752CDD"/>
    <w:rsid w:val="007541BA"/>
    <w:rsid w:val="00754D57"/>
    <w:rsid w:val="00756EB2"/>
    <w:rsid w:val="00757453"/>
    <w:rsid w:val="00761037"/>
    <w:rsid w:val="00761EF7"/>
    <w:rsid w:val="007645BB"/>
    <w:rsid w:val="0076574E"/>
    <w:rsid w:val="00766FB8"/>
    <w:rsid w:val="00767189"/>
    <w:rsid w:val="00767493"/>
    <w:rsid w:val="00770145"/>
    <w:rsid w:val="00770A60"/>
    <w:rsid w:val="00770BD2"/>
    <w:rsid w:val="00771395"/>
    <w:rsid w:val="0077224D"/>
    <w:rsid w:val="00772366"/>
    <w:rsid w:val="007726D3"/>
    <w:rsid w:val="007727F8"/>
    <w:rsid w:val="00772B8F"/>
    <w:rsid w:val="0077338C"/>
    <w:rsid w:val="0077394E"/>
    <w:rsid w:val="0077398E"/>
    <w:rsid w:val="00773E72"/>
    <w:rsid w:val="0077458B"/>
    <w:rsid w:val="0077532E"/>
    <w:rsid w:val="007761B5"/>
    <w:rsid w:val="0077681B"/>
    <w:rsid w:val="0077711E"/>
    <w:rsid w:val="00780236"/>
    <w:rsid w:val="00780A0E"/>
    <w:rsid w:val="00781EBA"/>
    <w:rsid w:val="00782F64"/>
    <w:rsid w:val="00783D08"/>
    <w:rsid w:val="00783FA6"/>
    <w:rsid w:val="0078469B"/>
    <w:rsid w:val="00784BC0"/>
    <w:rsid w:val="0078570E"/>
    <w:rsid w:val="007864E5"/>
    <w:rsid w:val="00786714"/>
    <w:rsid w:val="0079168D"/>
    <w:rsid w:val="007939F8"/>
    <w:rsid w:val="00795832"/>
    <w:rsid w:val="00796C05"/>
    <w:rsid w:val="007A11C6"/>
    <w:rsid w:val="007A29F5"/>
    <w:rsid w:val="007A2E46"/>
    <w:rsid w:val="007A30CE"/>
    <w:rsid w:val="007A321E"/>
    <w:rsid w:val="007A4437"/>
    <w:rsid w:val="007A47B6"/>
    <w:rsid w:val="007A60A2"/>
    <w:rsid w:val="007A6148"/>
    <w:rsid w:val="007A68FC"/>
    <w:rsid w:val="007A6EC9"/>
    <w:rsid w:val="007B1354"/>
    <w:rsid w:val="007B2B1A"/>
    <w:rsid w:val="007B51BE"/>
    <w:rsid w:val="007B6741"/>
    <w:rsid w:val="007C1F84"/>
    <w:rsid w:val="007C22B5"/>
    <w:rsid w:val="007C30D0"/>
    <w:rsid w:val="007C38EF"/>
    <w:rsid w:val="007C4305"/>
    <w:rsid w:val="007C620F"/>
    <w:rsid w:val="007C629F"/>
    <w:rsid w:val="007C6D5B"/>
    <w:rsid w:val="007D10CA"/>
    <w:rsid w:val="007D1B58"/>
    <w:rsid w:val="007D308C"/>
    <w:rsid w:val="007D397F"/>
    <w:rsid w:val="007D5CC5"/>
    <w:rsid w:val="007D7560"/>
    <w:rsid w:val="007D7FE1"/>
    <w:rsid w:val="007E1AD5"/>
    <w:rsid w:val="007E2793"/>
    <w:rsid w:val="007E27E5"/>
    <w:rsid w:val="007E3B9F"/>
    <w:rsid w:val="007E4009"/>
    <w:rsid w:val="007E4242"/>
    <w:rsid w:val="007E46B9"/>
    <w:rsid w:val="007E4913"/>
    <w:rsid w:val="007E6041"/>
    <w:rsid w:val="007E6659"/>
    <w:rsid w:val="007E70E5"/>
    <w:rsid w:val="007E7492"/>
    <w:rsid w:val="007F0618"/>
    <w:rsid w:val="007F07D1"/>
    <w:rsid w:val="007F175B"/>
    <w:rsid w:val="007F1819"/>
    <w:rsid w:val="007F2642"/>
    <w:rsid w:val="007F6852"/>
    <w:rsid w:val="0080059B"/>
    <w:rsid w:val="00800F9B"/>
    <w:rsid w:val="00801000"/>
    <w:rsid w:val="0080121D"/>
    <w:rsid w:val="00801242"/>
    <w:rsid w:val="00801351"/>
    <w:rsid w:val="00802722"/>
    <w:rsid w:val="00802D66"/>
    <w:rsid w:val="00806063"/>
    <w:rsid w:val="008066F7"/>
    <w:rsid w:val="008067D6"/>
    <w:rsid w:val="008069A4"/>
    <w:rsid w:val="00807276"/>
    <w:rsid w:val="00807792"/>
    <w:rsid w:val="00807CE1"/>
    <w:rsid w:val="00811DDF"/>
    <w:rsid w:val="00812AA0"/>
    <w:rsid w:val="008136B2"/>
    <w:rsid w:val="008143E5"/>
    <w:rsid w:val="0081545F"/>
    <w:rsid w:val="00815910"/>
    <w:rsid w:val="00815EBC"/>
    <w:rsid w:val="00816352"/>
    <w:rsid w:val="00817331"/>
    <w:rsid w:val="00817D15"/>
    <w:rsid w:val="00821753"/>
    <w:rsid w:val="008221E3"/>
    <w:rsid w:val="00822DCB"/>
    <w:rsid w:val="00825794"/>
    <w:rsid w:val="00827EE5"/>
    <w:rsid w:val="00827F52"/>
    <w:rsid w:val="00827FE6"/>
    <w:rsid w:val="008300A6"/>
    <w:rsid w:val="00830494"/>
    <w:rsid w:val="00830644"/>
    <w:rsid w:val="008313A8"/>
    <w:rsid w:val="008323FE"/>
    <w:rsid w:val="00832696"/>
    <w:rsid w:val="00833B32"/>
    <w:rsid w:val="008343DA"/>
    <w:rsid w:val="0083489A"/>
    <w:rsid w:val="0083550F"/>
    <w:rsid w:val="00835AA9"/>
    <w:rsid w:val="008368DD"/>
    <w:rsid w:val="008403DC"/>
    <w:rsid w:val="00841B3F"/>
    <w:rsid w:val="00841DE5"/>
    <w:rsid w:val="0084294D"/>
    <w:rsid w:val="008444CC"/>
    <w:rsid w:val="008447EE"/>
    <w:rsid w:val="00845C49"/>
    <w:rsid w:val="00846F38"/>
    <w:rsid w:val="00847731"/>
    <w:rsid w:val="0085007F"/>
    <w:rsid w:val="008500A1"/>
    <w:rsid w:val="00850275"/>
    <w:rsid w:val="00851480"/>
    <w:rsid w:val="00853BD3"/>
    <w:rsid w:val="00855F76"/>
    <w:rsid w:val="00856B6B"/>
    <w:rsid w:val="00860F1C"/>
    <w:rsid w:val="00861353"/>
    <w:rsid w:val="00861A1B"/>
    <w:rsid w:val="00861CE2"/>
    <w:rsid w:val="00863AF4"/>
    <w:rsid w:val="00863C9A"/>
    <w:rsid w:val="0086744E"/>
    <w:rsid w:val="00870DEC"/>
    <w:rsid w:val="0087137F"/>
    <w:rsid w:val="00872716"/>
    <w:rsid w:val="008727DD"/>
    <w:rsid w:val="008736D9"/>
    <w:rsid w:val="00873C92"/>
    <w:rsid w:val="00875B74"/>
    <w:rsid w:val="008805C4"/>
    <w:rsid w:val="008814E1"/>
    <w:rsid w:val="00882721"/>
    <w:rsid w:val="008834A5"/>
    <w:rsid w:val="00883609"/>
    <w:rsid w:val="008839A7"/>
    <w:rsid w:val="008856D7"/>
    <w:rsid w:val="00885D40"/>
    <w:rsid w:val="00890080"/>
    <w:rsid w:val="0089013E"/>
    <w:rsid w:val="00890295"/>
    <w:rsid w:val="00892A4D"/>
    <w:rsid w:val="008939D1"/>
    <w:rsid w:val="0089457B"/>
    <w:rsid w:val="00894C31"/>
    <w:rsid w:val="008950EA"/>
    <w:rsid w:val="00895B38"/>
    <w:rsid w:val="0089789E"/>
    <w:rsid w:val="00897C6B"/>
    <w:rsid w:val="008A1073"/>
    <w:rsid w:val="008A3C79"/>
    <w:rsid w:val="008A4142"/>
    <w:rsid w:val="008A4D22"/>
    <w:rsid w:val="008B21E9"/>
    <w:rsid w:val="008B25B0"/>
    <w:rsid w:val="008B2BD7"/>
    <w:rsid w:val="008B34AD"/>
    <w:rsid w:val="008B3991"/>
    <w:rsid w:val="008B41E6"/>
    <w:rsid w:val="008B4A70"/>
    <w:rsid w:val="008B5E18"/>
    <w:rsid w:val="008B64C3"/>
    <w:rsid w:val="008C0C5B"/>
    <w:rsid w:val="008C1DB7"/>
    <w:rsid w:val="008C27EE"/>
    <w:rsid w:val="008C2DC3"/>
    <w:rsid w:val="008C3E83"/>
    <w:rsid w:val="008C569F"/>
    <w:rsid w:val="008C5CBC"/>
    <w:rsid w:val="008C764C"/>
    <w:rsid w:val="008D03DC"/>
    <w:rsid w:val="008D047A"/>
    <w:rsid w:val="008D09A7"/>
    <w:rsid w:val="008D0A6B"/>
    <w:rsid w:val="008D1D70"/>
    <w:rsid w:val="008D29B6"/>
    <w:rsid w:val="008D4534"/>
    <w:rsid w:val="008D4701"/>
    <w:rsid w:val="008D5B7A"/>
    <w:rsid w:val="008D6AB5"/>
    <w:rsid w:val="008D7763"/>
    <w:rsid w:val="008E2C34"/>
    <w:rsid w:val="008E4054"/>
    <w:rsid w:val="008E421D"/>
    <w:rsid w:val="008E471D"/>
    <w:rsid w:val="008E6877"/>
    <w:rsid w:val="008E6AC0"/>
    <w:rsid w:val="008F081E"/>
    <w:rsid w:val="008F0B0A"/>
    <w:rsid w:val="008F0E77"/>
    <w:rsid w:val="008F103A"/>
    <w:rsid w:val="008F1649"/>
    <w:rsid w:val="008F1B0F"/>
    <w:rsid w:val="008F2355"/>
    <w:rsid w:val="008F31C6"/>
    <w:rsid w:val="008F38A3"/>
    <w:rsid w:val="008F3CA6"/>
    <w:rsid w:val="008F4514"/>
    <w:rsid w:val="008F4AEB"/>
    <w:rsid w:val="008F6C0D"/>
    <w:rsid w:val="008F6CF6"/>
    <w:rsid w:val="008F737F"/>
    <w:rsid w:val="008F7677"/>
    <w:rsid w:val="009007E8"/>
    <w:rsid w:val="009020C4"/>
    <w:rsid w:val="00902E4A"/>
    <w:rsid w:val="0090414E"/>
    <w:rsid w:val="009048F9"/>
    <w:rsid w:val="009051E3"/>
    <w:rsid w:val="0090577B"/>
    <w:rsid w:val="00905909"/>
    <w:rsid w:val="00906019"/>
    <w:rsid w:val="0090613B"/>
    <w:rsid w:val="0090624E"/>
    <w:rsid w:val="00906517"/>
    <w:rsid w:val="00906571"/>
    <w:rsid w:val="00906613"/>
    <w:rsid w:val="00906826"/>
    <w:rsid w:val="00907795"/>
    <w:rsid w:val="0090796C"/>
    <w:rsid w:val="00910102"/>
    <w:rsid w:val="00910817"/>
    <w:rsid w:val="0091108B"/>
    <w:rsid w:val="00911F3A"/>
    <w:rsid w:val="00913864"/>
    <w:rsid w:val="00914207"/>
    <w:rsid w:val="00914792"/>
    <w:rsid w:val="00916752"/>
    <w:rsid w:val="00917795"/>
    <w:rsid w:val="00920EBA"/>
    <w:rsid w:val="00920F10"/>
    <w:rsid w:val="009213D3"/>
    <w:rsid w:val="00923095"/>
    <w:rsid w:val="00924AD3"/>
    <w:rsid w:val="0092566C"/>
    <w:rsid w:val="00925E16"/>
    <w:rsid w:val="009271DE"/>
    <w:rsid w:val="009278A3"/>
    <w:rsid w:val="00932AB2"/>
    <w:rsid w:val="009357A0"/>
    <w:rsid w:val="009362F7"/>
    <w:rsid w:val="00943351"/>
    <w:rsid w:val="00943C51"/>
    <w:rsid w:val="00944CBA"/>
    <w:rsid w:val="00945210"/>
    <w:rsid w:val="009452F1"/>
    <w:rsid w:val="00946E8F"/>
    <w:rsid w:val="00947EB7"/>
    <w:rsid w:val="00951B2C"/>
    <w:rsid w:val="00951DBF"/>
    <w:rsid w:val="00952E49"/>
    <w:rsid w:val="0095310E"/>
    <w:rsid w:val="0095423C"/>
    <w:rsid w:val="0095772D"/>
    <w:rsid w:val="00961F23"/>
    <w:rsid w:val="00962683"/>
    <w:rsid w:val="009636AB"/>
    <w:rsid w:val="00966540"/>
    <w:rsid w:val="00974921"/>
    <w:rsid w:val="00974A7F"/>
    <w:rsid w:val="00976CA8"/>
    <w:rsid w:val="00977A1C"/>
    <w:rsid w:val="009800CE"/>
    <w:rsid w:val="00980A86"/>
    <w:rsid w:val="00981C42"/>
    <w:rsid w:val="00983532"/>
    <w:rsid w:val="00983E19"/>
    <w:rsid w:val="00983E37"/>
    <w:rsid w:val="00984170"/>
    <w:rsid w:val="00984BED"/>
    <w:rsid w:val="00985159"/>
    <w:rsid w:val="00985384"/>
    <w:rsid w:val="00990C35"/>
    <w:rsid w:val="00992071"/>
    <w:rsid w:val="00992112"/>
    <w:rsid w:val="00994C19"/>
    <w:rsid w:val="00995465"/>
    <w:rsid w:val="00995720"/>
    <w:rsid w:val="0099624C"/>
    <w:rsid w:val="00996B4B"/>
    <w:rsid w:val="00996C94"/>
    <w:rsid w:val="009975F3"/>
    <w:rsid w:val="009A1647"/>
    <w:rsid w:val="009A509C"/>
    <w:rsid w:val="009A5BE2"/>
    <w:rsid w:val="009A73E2"/>
    <w:rsid w:val="009B04DE"/>
    <w:rsid w:val="009B19D9"/>
    <w:rsid w:val="009B2CCD"/>
    <w:rsid w:val="009B3B28"/>
    <w:rsid w:val="009B498F"/>
    <w:rsid w:val="009B5162"/>
    <w:rsid w:val="009B5D70"/>
    <w:rsid w:val="009B61A1"/>
    <w:rsid w:val="009B6CA3"/>
    <w:rsid w:val="009B7C22"/>
    <w:rsid w:val="009C020C"/>
    <w:rsid w:val="009C08C7"/>
    <w:rsid w:val="009C0A5E"/>
    <w:rsid w:val="009C13F4"/>
    <w:rsid w:val="009C1B24"/>
    <w:rsid w:val="009C1F13"/>
    <w:rsid w:val="009C27C5"/>
    <w:rsid w:val="009C3304"/>
    <w:rsid w:val="009C3430"/>
    <w:rsid w:val="009C3FF8"/>
    <w:rsid w:val="009C4688"/>
    <w:rsid w:val="009C5812"/>
    <w:rsid w:val="009C6341"/>
    <w:rsid w:val="009C7492"/>
    <w:rsid w:val="009C7561"/>
    <w:rsid w:val="009C7CC6"/>
    <w:rsid w:val="009D1DD0"/>
    <w:rsid w:val="009D2236"/>
    <w:rsid w:val="009D223A"/>
    <w:rsid w:val="009D2879"/>
    <w:rsid w:val="009D2A2B"/>
    <w:rsid w:val="009D4388"/>
    <w:rsid w:val="009D569F"/>
    <w:rsid w:val="009D71B7"/>
    <w:rsid w:val="009D7D33"/>
    <w:rsid w:val="009E10DF"/>
    <w:rsid w:val="009E2549"/>
    <w:rsid w:val="009E255A"/>
    <w:rsid w:val="009E2664"/>
    <w:rsid w:val="009E26D6"/>
    <w:rsid w:val="009E483F"/>
    <w:rsid w:val="009E493E"/>
    <w:rsid w:val="009E4A41"/>
    <w:rsid w:val="009E5BA7"/>
    <w:rsid w:val="009E611F"/>
    <w:rsid w:val="009E6F3F"/>
    <w:rsid w:val="009E7496"/>
    <w:rsid w:val="009E7B70"/>
    <w:rsid w:val="009E7BE4"/>
    <w:rsid w:val="009F1027"/>
    <w:rsid w:val="009F1D33"/>
    <w:rsid w:val="009F2664"/>
    <w:rsid w:val="009F39D5"/>
    <w:rsid w:val="009F51A5"/>
    <w:rsid w:val="009F598D"/>
    <w:rsid w:val="009F60BD"/>
    <w:rsid w:val="009F647B"/>
    <w:rsid w:val="009F6F7E"/>
    <w:rsid w:val="009F7678"/>
    <w:rsid w:val="009F7698"/>
    <w:rsid w:val="00A00E55"/>
    <w:rsid w:val="00A0148A"/>
    <w:rsid w:val="00A035A2"/>
    <w:rsid w:val="00A048FF"/>
    <w:rsid w:val="00A04933"/>
    <w:rsid w:val="00A04E13"/>
    <w:rsid w:val="00A06AFB"/>
    <w:rsid w:val="00A06C24"/>
    <w:rsid w:val="00A071A2"/>
    <w:rsid w:val="00A0730C"/>
    <w:rsid w:val="00A128E8"/>
    <w:rsid w:val="00A12A02"/>
    <w:rsid w:val="00A12A7A"/>
    <w:rsid w:val="00A15B70"/>
    <w:rsid w:val="00A15C98"/>
    <w:rsid w:val="00A16D15"/>
    <w:rsid w:val="00A21E58"/>
    <w:rsid w:val="00A22126"/>
    <w:rsid w:val="00A233ED"/>
    <w:rsid w:val="00A24F5B"/>
    <w:rsid w:val="00A25509"/>
    <w:rsid w:val="00A26BE9"/>
    <w:rsid w:val="00A30D55"/>
    <w:rsid w:val="00A31601"/>
    <w:rsid w:val="00A31641"/>
    <w:rsid w:val="00A31FDC"/>
    <w:rsid w:val="00A33D7E"/>
    <w:rsid w:val="00A34250"/>
    <w:rsid w:val="00A35301"/>
    <w:rsid w:val="00A36F5B"/>
    <w:rsid w:val="00A40650"/>
    <w:rsid w:val="00A40838"/>
    <w:rsid w:val="00A414FA"/>
    <w:rsid w:val="00A44C34"/>
    <w:rsid w:val="00A455E6"/>
    <w:rsid w:val="00A463AE"/>
    <w:rsid w:val="00A5063A"/>
    <w:rsid w:val="00A50A78"/>
    <w:rsid w:val="00A50B30"/>
    <w:rsid w:val="00A50F09"/>
    <w:rsid w:val="00A518B7"/>
    <w:rsid w:val="00A52D82"/>
    <w:rsid w:val="00A531FC"/>
    <w:rsid w:val="00A54345"/>
    <w:rsid w:val="00A55A0A"/>
    <w:rsid w:val="00A55D9D"/>
    <w:rsid w:val="00A55EE5"/>
    <w:rsid w:val="00A56CCB"/>
    <w:rsid w:val="00A57B58"/>
    <w:rsid w:val="00A6029F"/>
    <w:rsid w:val="00A606A0"/>
    <w:rsid w:val="00A61E34"/>
    <w:rsid w:val="00A62050"/>
    <w:rsid w:val="00A62C68"/>
    <w:rsid w:val="00A63E2B"/>
    <w:rsid w:val="00A6418C"/>
    <w:rsid w:val="00A64F5C"/>
    <w:rsid w:val="00A6593A"/>
    <w:rsid w:val="00A661F2"/>
    <w:rsid w:val="00A70F00"/>
    <w:rsid w:val="00A72EE1"/>
    <w:rsid w:val="00A756C0"/>
    <w:rsid w:val="00A75E53"/>
    <w:rsid w:val="00A75F83"/>
    <w:rsid w:val="00A76BEB"/>
    <w:rsid w:val="00A77091"/>
    <w:rsid w:val="00A77BE7"/>
    <w:rsid w:val="00A80E4E"/>
    <w:rsid w:val="00A81500"/>
    <w:rsid w:val="00A815CD"/>
    <w:rsid w:val="00A81DD6"/>
    <w:rsid w:val="00A83BE1"/>
    <w:rsid w:val="00A85A58"/>
    <w:rsid w:val="00A868FB"/>
    <w:rsid w:val="00A875CF"/>
    <w:rsid w:val="00A9080F"/>
    <w:rsid w:val="00A912B5"/>
    <w:rsid w:val="00A9131F"/>
    <w:rsid w:val="00A92186"/>
    <w:rsid w:val="00A942D7"/>
    <w:rsid w:val="00A94958"/>
    <w:rsid w:val="00A95844"/>
    <w:rsid w:val="00A963AA"/>
    <w:rsid w:val="00A96651"/>
    <w:rsid w:val="00A97EE8"/>
    <w:rsid w:val="00AA00BC"/>
    <w:rsid w:val="00AA0838"/>
    <w:rsid w:val="00AA0AB2"/>
    <w:rsid w:val="00AA0DCD"/>
    <w:rsid w:val="00AA1B17"/>
    <w:rsid w:val="00AA305A"/>
    <w:rsid w:val="00AA313E"/>
    <w:rsid w:val="00AA35C6"/>
    <w:rsid w:val="00AA3869"/>
    <w:rsid w:val="00AA39CD"/>
    <w:rsid w:val="00AA3A67"/>
    <w:rsid w:val="00AA402C"/>
    <w:rsid w:val="00AA466A"/>
    <w:rsid w:val="00AA55D3"/>
    <w:rsid w:val="00AA6975"/>
    <w:rsid w:val="00AA7921"/>
    <w:rsid w:val="00AB0A1B"/>
    <w:rsid w:val="00AB317B"/>
    <w:rsid w:val="00AB3EB9"/>
    <w:rsid w:val="00AB3EED"/>
    <w:rsid w:val="00AB688D"/>
    <w:rsid w:val="00AB7DEB"/>
    <w:rsid w:val="00AC0093"/>
    <w:rsid w:val="00AC0AD3"/>
    <w:rsid w:val="00AC0F59"/>
    <w:rsid w:val="00AC20A0"/>
    <w:rsid w:val="00AC3969"/>
    <w:rsid w:val="00AD44AE"/>
    <w:rsid w:val="00AD4BA6"/>
    <w:rsid w:val="00AD575A"/>
    <w:rsid w:val="00AD6672"/>
    <w:rsid w:val="00AE066C"/>
    <w:rsid w:val="00AE0BC2"/>
    <w:rsid w:val="00AE0E8F"/>
    <w:rsid w:val="00AE3DC3"/>
    <w:rsid w:val="00AE3F8B"/>
    <w:rsid w:val="00AE496D"/>
    <w:rsid w:val="00AE50FD"/>
    <w:rsid w:val="00AE5A85"/>
    <w:rsid w:val="00AE6618"/>
    <w:rsid w:val="00AE6E3A"/>
    <w:rsid w:val="00AE7937"/>
    <w:rsid w:val="00AF01F0"/>
    <w:rsid w:val="00AF0551"/>
    <w:rsid w:val="00AF21D2"/>
    <w:rsid w:val="00AF5DFE"/>
    <w:rsid w:val="00AF71AE"/>
    <w:rsid w:val="00B001FC"/>
    <w:rsid w:val="00B015E9"/>
    <w:rsid w:val="00B019D1"/>
    <w:rsid w:val="00B0428C"/>
    <w:rsid w:val="00B0564A"/>
    <w:rsid w:val="00B0584C"/>
    <w:rsid w:val="00B060ED"/>
    <w:rsid w:val="00B063E6"/>
    <w:rsid w:val="00B116DF"/>
    <w:rsid w:val="00B11759"/>
    <w:rsid w:val="00B11EFE"/>
    <w:rsid w:val="00B11FA9"/>
    <w:rsid w:val="00B12CEB"/>
    <w:rsid w:val="00B1326D"/>
    <w:rsid w:val="00B150D6"/>
    <w:rsid w:val="00B160B9"/>
    <w:rsid w:val="00B16932"/>
    <w:rsid w:val="00B17717"/>
    <w:rsid w:val="00B2146B"/>
    <w:rsid w:val="00B21CB7"/>
    <w:rsid w:val="00B22A5E"/>
    <w:rsid w:val="00B22CDC"/>
    <w:rsid w:val="00B22FB0"/>
    <w:rsid w:val="00B23246"/>
    <w:rsid w:val="00B235BF"/>
    <w:rsid w:val="00B26D25"/>
    <w:rsid w:val="00B31167"/>
    <w:rsid w:val="00B31449"/>
    <w:rsid w:val="00B326A1"/>
    <w:rsid w:val="00B32820"/>
    <w:rsid w:val="00B34E48"/>
    <w:rsid w:val="00B35730"/>
    <w:rsid w:val="00B36D35"/>
    <w:rsid w:val="00B41304"/>
    <w:rsid w:val="00B42622"/>
    <w:rsid w:val="00B42903"/>
    <w:rsid w:val="00B42ABB"/>
    <w:rsid w:val="00B43268"/>
    <w:rsid w:val="00B43B1C"/>
    <w:rsid w:val="00B44E49"/>
    <w:rsid w:val="00B46E99"/>
    <w:rsid w:val="00B47845"/>
    <w:rsid w:val="00B502F0"/>
    <w:rsid w:val="00B511BB"/>
    <w:rsid w:val="00B516DA"/>
    <w:rsid w:val="00B52599"/>
    <w:rsid w:val="00B53467"/>
    <w:rsid w:val="00B5348C"/>
    <w:rsid w:val="00B54ED5"/>
    <w:rsid w:val="00B55774"/>
    <w:rsid w:val="00B6001E"/>
    <w:rsid w:val="00B604E1"/>
    <w:rsid w:val="00B615F3"/>
    <w:rsid w:val="00B61816"/>
    <w:rsid w:val="00B621B5"/>
    <w:rsid w:val="00B629EA"/>
    <w:rsid w:val="00B62B75"/>
    <w:rsid w:val="00B634BF"/>
    <w:rsid w:val="00B63960"/>
    <w:rsid w:val="00B65066"/>
    <w:rsid w:val="00B664D9"/>
    <w:rsid w:val="00B668EE"/>
    <w:rsid w:val="00B66D00"/>
    <w:rsid w:val="00B7052F"/>
    <w:rsid w:val="00B70766"/>
    <w:rsid w:val="00B70E88"/>
    <w:rsid w:val="00B717D2"/>
    <w:rsid w:val="00B72858"/>
    <w:rsid w:val="00B73450"/>
    <w:rsid w:val="00B734C3"/>
    <w:rsid w:val="00B73C48"/>
    <w:rsid w:val="00B74DE2"/>
    <w:rsid w:val="00B76E7F"/>
    <w:rsid w:val="00B76FFA"/>
    <w:rsid w:val="00B77EA7"/>
    <w:rsid w:val="00B812F3"/>
    <w:rsid w:val="00B82AFE"/>
    <w:rsid w:val="00B834B4"/>
    <w:rsid w:val="00B84150"/>
    <w:rsid w:val="00B84F77"/>
    <w:rsid w:val="00B8525B"/>
    <w:rsid w:val="00B85F95"/>
    <w:rsid w:val="00B86855"/>
    <w:rsid w:val="00B86A82"/>
    <w:rsid w:val="00B873B6"/>
    <w:rsid w:val="00B87B5F"/>
    <w:rsid w:val="00B9055B"/>
    <w:rsid w:val="00B91675"/>
    <w:rsid w:val="00B91AB1"/>
    <w:rsid w:val="00B91BF8"/>
    <w:rsid w:val="00B9207A"/>
    <w:rsid w:val="00B92BAB"/>
    <w:rsid w:val="00B92EF5"/>
    <w:rsid w:val="00B942BC"/>
    <w:rsid w:val="00B94384"/>
    <w:rsid w:val="00BA04BC"/>
    <w:rsid w:val="00BA148A"/>
    <w:rsid w:val="00BA15E0"/>
    <w:rsid w:val="00BA2CDB"/>
    <w:rsid w:val="00BA33E7"/>
    <w:rsid w:val="00BA3471"/>
    <w:rsid w:val="00BA3ED6"/>
    <w:rsid w:val="00BA51DA"/>
    <w:rsid w:val="00BA5F95"/>
    <w:rsid w:val="00BA6612"/>
    <w:rsid w:val="00BA6637"/>
    <w:rsid w:val="00BA695A"/>
    <w:rsid w:val="00BA69E9"/>
    <w:rsid w:val="00BA75EC"/>
    <w:rsid w:val="00BB0BCA"/>
    <w:rsid w:val="00BB0C6A"/>
    <w:rsid w:val="00BB11E3"/>
    <w:rsid w:val="00BB17BE"/>
    <w:rsid w:val="00BB2E7C"/>
    <w:rsid w:val="00BB4104"/>
    <w:rsid w:val="00BB6783"/>
    <w:rsid w:val="00BB6B7E"/>
    <w:rsid w:val="00BB7FB1"/>
    <w:rsid w:val="00BC1BF2"/>
    <w:rsid w:val="00BC20FF"/>
    <w:rsid w:val="00BC52DF"/>
    <w:rsid w:val="00BC5655"/>
    <w:rsid w:val="00BC57EF"/>
    <w:rsid w:val="00BC5853"/>
    <w:rsid w:val="00BC66B0"/>
    <w:rsid w:val="00BC7C6C"/>
    <w:rsid w:val="00BD16B1"/>
    <w:rsid w:val="00BD174B"/>
    <w:rsid w:val="00BD2F37"/>
    <w:rsid w:val="00BD35FB"/>
    <w:rsid w:val="00BD3744"/>
    <w:rsid w:val="00BD3DB9"/>
    <w:rsid w:val="00BD4900"/>
    <w:rsid w:val="00BD5E4F"/>
    <w:rsid w:val="00BD794F"/>
    <w:rsid w:val="00BE01AA"/>
    <w:rsid w:val="00BE0DE2"/>
    <w:rsid w:val="00BE2D06"/>
    <w:rsid w:val="00BE4CFA"/>
    <w:rsid w:val="00BE4FB8"/>
    <w:rsid w:val="00BE7C40"/>
    <w:rsid w:val="00BE7FC9"/>
    <w:rsid w:val="00BF0E93"/>
    <w:rsid w:val="00BF16C4"/>
    <w:rsid w:val="00BF4FC5"/>
    <w:rsid w:val="00BF6C20"/>
    <w:rsid w:val="00BF6E25"/>
    <w:rsid w:val="00BF78EC"/>
    <w:rsid w:val="00C003B8"/>
    <w:rsid w:val="00C0109C"/>
    <w:rsid w:val="00C01A84"/>
    <w:rsid w:val="00C04140"/>
    <w:rsid w:val="00C04516"/>
    <w:rsid w:val="00C074D2"/>
    <w:rsid w:val="00C0761F"/>
    <w:rsid w:val="00C0763D"/>
    <w:rsid w:val="00C07AB4"/>
    <w:rsid w:val="00C10B5C"/>
    <w:rsid w:val="00C111A6"/>
    <w:rsid w:val="00C123CB"/>
    <w:rsid w:val="00C12847"/>
    <w:rsid w:val="00C14F4E"/>
    <w:rsid w:val="00C15EED"/>
    <w:rsid w:val="00C16ACE"/>
    <w:rsid w:val="00C17976"/>
    <w:rsid w:val="00C21461"/>
    <w:rsid w:val="00C23345"/>
    <w:rsid w:val="00C24A00"/>
    <w:rsid w:val="00C267FB"/>
    <w:rsid w:val="00C26992"/>
    <w:rsid w:val="00C26FBE"/>
    <w:rsid w:val="00C27346"/>
    <w:rsid w:val="00C27757"/>
    <w:rsid w:val="00C27B29"/>
    <w:rsid w:val="00C311CD"/>
    <w:rsid w:val="00C321ED"/>
    <w:rsid w:val="00C32717"/>
    <w:rsid w:val="00C33816"/>
    <w:rsid w:val="00C34865"/>
    <w:rsid w:val="00C3583A"/>
    <w:rsid w:val="00C3588F"/>
    <w:rsid w:val="00C40F92"/>
    <w:rsid w:val="00C431E1"/>
    <w:rsid w:val="00C43C07"/>
    <w:rsid w:val="00C4455B"/>
    <w:rsid w:val="00C45F17"/>
    <w:rsid w:val="00C46FA9"/>
    <w:rsid w:val="00C47594"/>
    <w:rsid w:val="00C505CB"/>
    <w:rsid w:val="00C506ED"/>
    <w:rsid w:val="00C52779"/>
    <w:rsid w:val="00C5285E"/>
    <w:rsid w:val="00C5338E"/>
    <w:rsid w:val="00C5392D"/>
    <w:rsid w:val="00C53AB2"/>
    <w:rsid w:val="00C55D27"/>
    <w:rsid w:val="00C5668A"/>
    <w:rsid w:val="00C5749C"/>
    <w:rsid w:val="00C61E16"/>
    <w:rsid w:val="00C62121"/>
    <w:rsid w:val="00C62A88"/>
    <w:rsid w:val="00C630B4"/>
    <w:rsid w:val="00C6437E"/>
    <w:rsid w:val="00C64678"/>
    <w:rsid w:val="00C664C9"/>
    <w:rsid w:val="00C70980"/>
    <w:rsid w:val="00C736B9"/>
    <w:rsid w:val="00C74063"/>
    <w:rsid w:val="00C742D3"/>
    <w:rsid w:val="00C74C03"/>
    <w:rsid w:val="00C7518C"/>
    <w:rsid w:val="00C754BE"/>
    <w:rsid w:val="00C759E6"/>
    <w:rsid w:val="00C75CC0"/>
    <w:rsid w:val="00C77248"/>
    <w:rsid w:val="00C80AA0"/>
    <w:rsid w:val="00C80B8F"/>
    <w:rsid w:val="00C81CD6"/>
    <w:rsid w:val="00C82AFB"/>
    <w:rsid w:val="00C83420"/>
    <w:rsid w:val="00C838FF"/>
    <w:rsid w:val="00C83942"/>
    <w:rsid w:val="00C83A35"/>
    <w:rsid w:val="00C83EE9"/>
    <w:rsid w:val="00C90412"/>
    <w:rsid w:val="00C9119A"/>
    <w:rsid w:val="00C91249"/>
    <w:rsid w:val="00C92222"/>
    <w:rsid w:val="00C92356"/>
    <w:rsid w:val="00C92502"/>
    <w:rsid w:val="00C92CA7"/>
    <w:rsid w:val="00C93719"/>
    <w:rsid w:val="00C94DC7"/>
    <w:rsid w:val="00C950B8"/>
    <w:rsid w:val="00C96560"/>
    <w:rsid w:val="00CA09A8"/>
    <w:rsid w:val="00CA3B47"/>
    <w:rsid w:val="00CA3C2E"/>
    <w:rsid w:val="00CA4EE2"/>
    <w:rsid w:val="00CA5CC8"/>
    <w:rsid w:val="00CA66B0"/>
    <w:rsid w:val="00CA7F64"/>
    <w:rsid w:val="00CB0BDE"/>
    <w:rsid w:val="00CB0FE1"/>
    <w:rsid w:val="00CB11E0"/>
    <w:rsid w:val="00CB2822"/>
    <w:rsid w:val="00CB29FA"/>
    <w:rsid w:val="00CB2D75"/>
    <w:rsid w:val="00CB4B7D"/>
    <w:rsid w:val="00CB5987"/>
    <w:rsid w:val="00CB5A70"/>
    <w:rsid w:val="00CB659D"/>
    <w:rsid w:val="00CB7056"/>
    <w:rsid w:val="00CB73BF"/>
    <w:rsid w:val="00CB7B58"/>
    <w:rsid w:val="00CC0E5D"/>
    <w:rsid w:val="00CC1524"/>
    <w:rsid w:val="00CC1FB9"/>
    <w:rsid w:val="00CC3BFD"/>
    <w:rsid w:val="00CC3F7B"/>
    <w:rsid w:val="00CC41FC"/>
    <w:rsid w:val="00CC49FF"/>
    <w:rsid w:val="00CC70DE"/>
    <w:rsid w:val="00CC7BDA"/>
    <w:rsid w:val="00CD01D0"/>
    <w:rsid w:val="00CD2290"/>
    <w:rsid w:val="00CD23A5"/>
    <w:rsid w:val="00CD33C7"/>
    <w:rsid w:val="00CD3958"/>
    <w:rsid w:val="00CD5A4D"/>
    <w:rsid w:val="00CD6328"/>
    <w:rsid w:val="00CD6853"/>
    <w:rsid w:val="00CD7664"/>
    <w:rsid w:val="00CD7941"/>
    <w:rsid w:val="00CE1503"/>
    <w:rsid w:val="00CE1A7A"/>
    <w:rsid w:val="00CE1C5C"/>
    <w:rsid w:val="00CE1F1A"/>
    <w:rsid w:val="00CE28B6"/>
    <w:rsid w:val="00CE3EB4"/>
    <w:rsid w:val="00CE746B"/>
    <w:rsid w:val="00CF05DA"/>
    <w:rsid w:val="00CF0A44"/>
    <w:rsid w:val="00CF1406"/>
    <w:rsid w:val="00CF2343"/>
    <w:rsid w:val="00CF367D"/>
    <w:rsid w:val="00CF387E"/>
    <w:rsid w:val="00CF4C70"/>
    <w:rsid w:val="00CF595C"/>
    <w:rsid w:val="00D00610"/>
    <w:rsid w:val="00D0092E"/>
    <w:rsid w:val="00D00FFB"/>
    <w:rsid w:val="00D04BB3"/>
    <w:rsid w:val="00D055CA"/>
    <w:rsid w:val="00D060DB"/>
    <w:rsid w:val="00D10294"/>
    <w:rsid w:val="00D10489"/>
    <w:rsid w:val="00D10DBC"/>
    <w:rsid w:val="00D11ADB"/>
    <w:rsid w:val="00D14653"/>
    <w:rsid w:val="00D1592A"/>
    <w:rsid w:val="00D16EAA"/>
    <w:rsid w:val="00D174B0"/>
    <w:rsid w:val="00D17534"/>
    <w:rsid w:val="00D17B87"/>
    <w:rsid w:val="00D205A1"/>
    <w:rsid w:val="00D2101E"/>
    <w:rsid w:val="00D22667"/>
    <w:rsid w:val="00D22CE4"/>
    <w:rsid w:val="00D22E31"/>
    <w:rsid w:val="00D244B0"/>
    <w:rsid w:val="00D25210"/>
    <w:rsid w:val="00D25E00"/>
    <w:rsid w:val="00D2760C"/>
    <w:rsid w:val="00D278CB"/>
    <w:rsid w:val="00D27D72"/>
    <w:rsid w:val="00D305BF"/>
    <w:rsid w:val="00D30A88"/>
    <w:rsid w:val="00D31967"/>
    <w:rsid w:val="00D327A4"/>
    <w:rsid w:val="00D328D2"/>
    <w:rsid w:val="00D34266"/>
    <w:rsid w:val="00D357EB"/>
    <w:rsid w:val="00D35ABE"/>
    <w:rsid w:val="00D35E03"/>
    <w:rsid w:val="00D36571"/>
    <w:rsid w:val="00D36B54"/>
    <w:rsid w:val="00D401FA"/>
    <w:rsid w:val="00D4024A"/>
    <w:rsid w:val="00D41F79"/>
    <w:rsid w:val="00D446A6"/>
    <w:rsid w:val="00D46E5B"/>
    <w:rsid w:val="00D470A3"/>
    <w:rsid w:val="00D47E34"/>
    <w:rsid w:val="00D50C1A"/>
    <w:rsid w:val="00D50CA7"/>
    <w:rsid w:val="00D510BA"/>
    <w:rsid w:val="00D5184F"/>
    <w:rsid w:val="00D52169"/>
    <w:rsid w:val="00D5234F"/>
    <w:rsid w:val="00D52831"/>
    <w:rsid w:val="00D53F16"/>
    <w:rsid w:val="00D5431F"/>
    <w:rsid w:val="00D56730"/>
    <w:rsid w:val="00D5713C"/>
    <w:rsid w:val="00D60AC5"/>
    <w:rsid w:val="00D61491"/>
    <w:rsid w:val="00D614CE"/>
    <w:rsid w:val="00D619A3"/>
    <w:rsid w:val="00D619FC"/>
    <w:rsid w:val="00D621A3"/>
    <w:rsid w:val="00D62583"/>
    <w:rsid w:val="00D63736"/>
    <w:rsid w:val="00D63A6F"/>
    <w:rsid w:val="00D64C4A"/>
    <w:rsid w:val="00D64DC8"/>
    <w:rsid w:val="00D656F3"/>
    <w:rsid w:val="00D66B1E"/>
    <w:rsid w:val="00D67E78"/>
    <w:rsid w:val="00D71762"/>
    <w:rsid w:val="00D73C2C"/>
    <w:rsid w:val="00D741A3"/>
    <w:rsid w:val="00D74378"/>
    <w:rsid w:val="00D76802"/>
    <w:rsid w:val="00D77B07"/>
    <w:rsid w:val="00D810EC"/>
    <w:rsid w:val="00D815F5"/>
    <w:rsid w:val="00D8191C"/>
    <w:rsid w:val="00D81BBB"/>
    <w:rsid w:val="00D81D76"/>
    <w:rsid w:val="00D83B9C"/>
    <w:rsid w:val="00D8408D"/>
    <w:rsid w:val="00D848A5"/>
    <w:rsid w:val="00D84E97"/>
    <w:rsid w:val="00D85383"/>
    <w:rsid w:val="00D853E4"/>
    <w:rsid w:val="00D90426"/>
    <w:rsid w:val="00D90E20"/>
    <w:rsid w:val="00D917C5"/>
    <w:rsid w:val="00D9276B"/>
    <w:rsid w:val="00D92772"/>
    <w:rsid w:val="00D92CA9"/>
    <w:rsid w:val="00D94652"/>
    <w:rsid w:val="00D9501B"/>
    <w:rsid w:val="00D957C8"/>
    <w:rsid w:val="00D973A5"/>
    <w:rsid w:val="00D97B6A"/>
    <w:rsid w:val="00DA019D"/>
    <w:rsid w:val="00DA12C5"/>
    <w:rsid w:val="00DA2C71"/>
    <w:rsid w:val="00DA35E4"/>
    <w:rsid w:val="00DA3F4E"/>
    <w:rsid w:val="00DA62B4"/>
    <w:rsid w:val="00DA70AE"/>
    <w:rsid w:val="00DB0351"/>
    <w:rsid w:val="00DB04EC"/>
    <w:rsid w:val="00DB289D"/>
    <w:rsid w:val="00DB369C"/>
    <w:rsid w:val="00DB446E"/>
    <w:rsid w:val="00DB4917"/>
    <w:rsid w:val="00DB4BB9"/>
    <w:rsid w:val="00DB705E"/>
    <w:rsid w:val="00DB75F7"/>
    <w:rsid w:val="00DB7925"/>
    <w:rsid w:val="00DC12C4"/>
    <w:rsid w:val="00DC165E"/>
    <w:rsid w:val="00DC19FE"/>
    <w:rsid w:val="00DC25C5"/>
    <w:rsid w:val="00DC2F44"/>
    <w:rsid w:val="00DC4071"/>
    <w:rsid w:val="00DC4472"/>
    <w:rsid w:val="00DC5EFB"/>
    <w:rsid w:val="00DC61BB"/>
    <w:rsid w:val="00DC6534"/>
    <w:rsid w:val="00DC6EBD"/>
    <w:rsid w:val="00DC7246"/>
    <w:rsid w:val="00DD1235"/>
    <w:rsid w:val="00DD18AC"/>
    <w:rsid w:val="00DD1AC3"/>
    <w:rsid w:val="00DD5107"/>
    <w:rsid w:val="00DD6BE6"/>
    <w:rsid w:val="00DD7A3A"/>
    <w:rsid w:val="00DE09D6"/>
    <w:rsid w:val="00DE0F3A"/>
    <w:rsid w:val="00DE203E"/>
    <w:rsid w:val="00DE330C"/>
    <w:rsid w:val="00DE3B00"/>
    <w:rsid w:val="00DE4578"/>
    <w:rsid w:val="00DE5F6D"/>
    <w:rsid w:val="00DE7F4C"/>
    <w:rsid w:val="00DF2E7D"/>
    <w:rsid w:val="00DF2EDC"/>
    <w:rsid w:val="00DF30A7"/>
    <w:rsid w:val="00DF4158"/>
    <w:rsid w:val="00DF41F4"/>
    <w:rsid w:val="00DF4B9A"/>
    <w:rsid w:val="00DF5C05"/>
    <w:rsid w:val="00DF6223"/>
    <w:rsid w:val="00DF715C"/>
    <w:rsid w:val="00DF747C"/>
    <w:rsid w:val="00E0091A"/>
    <w:rsid w:val="00E00C0B"/>
    <w:rsid w:val="00E02229"/>
    <w:rsid w:val="00E02B63"/>
    <w:rsid w:val="00E1162B"/>
    <w:rsid w:val="00E11984"/>
    <w:rsid w:val="00E1234C"/>
    <w:rsid w:val="00E126B2"/>
    <w:rsid w:val="00E12EF6"/>
    <w:rsid w:val="00E139AA"/>
    <w:rsid w:val="00E143A5"/>
    <w:rsid w:val="00E16AA4"/>
    <w:rsid w:val="00E211AF"/>
    <w:rsid w:val="00E22600"/>
    <w:rsid w:val="00E232D9"/>
    <w:rsid w:val="00E26276"/>
    <w:rsid w:val="00E26B0F"/>
    <w:rsid w:val="00E275B7"/>
    <w:rsid w:val="00E30EEA"/>
    <w:rsid w:val="00E328B4"/>
    <w:rsid w:val="00E32CE2"/>
    <w:rsid w:val="00E34A64"/>
    <w:rsid w:val="00E34C66"/>
    <w:rsid w:val="00E34FB8"/>
    <w:rsid w:val="00E351EE"/>
    <w:rsid w:val="00E35BC9"/>
    <w:rsid w:val="00E364F0"/>
    <w:rsid w:val="00E37C20"/>
    <w:rsid w:val="00E4021F"/>
    <w:rsid w:val="00E40EE5"/>
    <w:rsid w:val="00E41EAE"/>
    <w:rsid w:val="00E42453"/>
    <w:rsid w:val="00E4386F"/>
    <w:rsid w:val="00E43B3B"/>
    <w:rsid w:val="00E45652"/>
    <w:rsid w:val="00E458B2"/>
    <w:rsid w:val="00E510A7"/>
    <w:rsid w:val="00E514A6"/>
    <w:rsid w:val="00E516F1"/>
    <w:rsid w:val="00E51788"/>
    <w:rsid w:val="00E51A61"/>
    <w:rsid w:val="00E53E00"/>
    <w:rsid w:val="00E54C6D"/>
    <w:rsid w:val="00E57C63"/>
    <w:rsid w:val="00E612E0"/>
    <w:rsid w:val="00E620B0"/>
    <w:rsid w:val="00E6282D"/>
    <w:rsid w:val="00E62E6B"/>
    <w:rsid w:val="00E65CC6"/>
    <w:rsid w:val="00E67148"/>
    <w:rsid w:val="00E671A9"/>
    <w:rsid w:val="00E708E0"/>
    <w:rsid w:val="00E71870"/>
    <w:rsid w:val="00E71E56"/>
    <w:rsid w:val="00E724C3"/>
    <w:rsid w:val="00E7272A"/>
    <w:rsid w:val="00E73659"/>
    <w:rsid w:val="00E73D9C"/>
    <w:rsid w:val="00E743AB"/>
    <w:rsid w:val="00E75C76"/>
    <w:rsid w:val="00E8016F"/>
    <w:rsid w:val="00E82011"/>
    <w:rsid w:val="00E824B3"/>
    <w:rsid w:val="00E83DCF"/>
    <w:rsid w:val="00E84894"/>
    <w:rsid w:val="00E8587B"/>
    <w:rsid w:val="00E87F8A"/>
    <w:rsid w:val="00E90236"/>
    <w:rsid w:val="00E908BE"/>
    <w:rsid w:val="00E90CAB"/>
    <w:rsid w:val="00E91B86"/>
    <w:rsid w:val="00E91C76"/>
    <w:rsid w:val="00E91EE9"/>
    <w:rsid w:val="00E920E4"/>
    <w:rsid w:val="00E9396C"/>
    <w:rsid w:val="00E94079"/>
    <w:rsid w:val="00E94A81"/>
    <w:rsid w:val="00E959CC"/>
    <w:rsid w:val="00EA2194"/>
    <w:rsid w:val="00EA2846"/>
    <w:rsid w:val="00EA5B93"/>
    <w:rsid w:val="00EA6AD2"/>
    <w:rsid w:val="00EA78D4"/>
    <w:rsid w:val="00EB07E6"/>
    <w:rsid w:val="00EB14AF"/>
    <w:rsid w:val="00EB1B57"/>
    <w:rsid w:val="00EB2EAF"/>
    <w:rsid w:val="00EB2F94"/>
    <w:rsid w:val="00EB334C"/>
    <w:rsid w:val="00EB3856"/>
    <w:rsid w:val="00EB6036"/>
    <w:rsid w:val="00EC1D36"/>
    <w:rsid w:val="00EC1D9B"/>
    <w:rsid w:val="00EC2A65"/>
    <w:rsid w:val="00EC2B70"/>
    <w:rsid w:val="00EC3DB1"/>
    <w:rsid w:val="00EC468D"/>
    <w:rsid w:val="00EC56BF"/>
    <w:rsid w:val="00EC5963"/>
    <w:rsid w:val="00EC5DB7"/>
    <w:rsid w:val="00EC65CC"/>
    <w:rsid w:val="00EC7414"/>
    <w:rsid w:val="00ED1C7C"/>
    <w:rsid w:val="00ED2248"/>
    <w:rsid w:val="00ED2789"/>
    <w:rsid w:val="00ED37BD"/>
    <w:rsid w:val="00ED46EF"/>
    <w:rsid w:val="00ED4909"/>
    <w:rsid w:val="00ED53CF"/>
    <w:rsid w:val="00ED664B"/>
    <w:rsid w:val="00ED69B0"/>
    <w:rsid w:val="00ED7479"/>
    <w:rsid w:val="00ED7CD2"/>
    <w:rsid w:val="00EE0996"/>
    <w:rsid w:val="00EE2D83"/>
    <w:rsid w:val="00EE54F7"/>
    <w:rsid w:val="00EE6C50"/>
    <w:rsid w:val="00EE7C96"/>
    <w:rsid w:val="00EF1F14"/>
    <w:rsid w:val="00EF37D7"/>
    <w:rsid w:val="00EF4799"/>
    <w:rsid w:val="00EF47C1"/>
    <w:rsid w:val="00EF56A6"/>
    <w:rsid w:val="00EF6DD1"/>
    <w:rsid w:val="00EF732C"/>
    <w:rsid w:val="00F01B76"/>
    <w:rsid w:val="00F02322"/>
    <w:rsid w:val="00F02E41"/>
    <w:rsid w:val="00F054F9"/>
    <w:rsid w:val="00F06407"/>
    <w:rsid w:val="00F06455"/>
    <w:rsid w:val="00F0735B"/>
    <w:rsid w:val="00F102BE"/>
    <w:rsid w:val="00F10A68"/>
    <w:rsid w:val="00F10D34"/>
    <w:rsid w:val="00F10DC0"/>
    <w:rsid w:val="00F116B1"/>
    <w:rsid w:val="00F11AA4"/>
    <w:rsid w:val="00F130B6"/>
    <w:rsid w:val="00F13538"/>
    <w:rsid w:val="00F13E65"/>
    <w:rsid w:val="00F142CF"/>
    <w:rsid w:val="00F146E0"/>
    <w:rsid w:val="00F14D79"/>
    <w:rsid w:val="00F15A09"/>
    <w:rsid w:val="00F201EC"/>
    <w:rsid w:val="00F21634"/>
    <w:rsid w:val="00F228C5"/>
    <w:rsid w:val="00F22A01"/>
    <w:rsid w:val="00F2317A"/>
    <w:rsid w:val="00F23567"/>
    <w:rsid w:val="00F235A1"/>
    <w:rsid w:val="00F259DD"/>
    <w:rsid w:val="00F265CC"/>
    <w:rsid w:val="00F26D68"/>
    <w:rsid w:val="00F2775D"/>
    <w:rsid w:val="00F27C21"/>
    <w:rsid w:val="00F30211"/>
    <w:rsid w:val="00F34051"/>
    <w:rsid w:val="00F36660"/>
    <w:rsid w:val="00F36A4C"/>
    <w:rsid w:val="00F3722B"/>
    <w:rsid w:val="00F3726D"/>
    <w:rsid w:val="00F37FE5"/>
    <w:rsid w:val="00F41780"/>
    <w:rsid w:val="00F43922"/>
    <w:rsid w:val="00F44568"/>
    <w:rsid w:val="00F46913"/>
    <w:rsid w:val="00F473E5"/>
    <w:rsid w:val="00F475E7"/>
    <w:rsid w:val="00F4765A"/>
    <w:rsid w:val="00F47A04"/>
    <w:rsid w:val="00F47ACD"/>
    <w:rsid w:val="00F540B8"/>
    <w:rsid w:val="00F549C5"/>
    <w:rsid w:val="00F55C6F"/>
    <w:rsid w:val="00F5658E"/>
    <w:rsid w:val="00F6262D"/>
    <w:rsid w:val="00F63CED"/>
    <w:rsid w:val="00F63F35"/>
    <w:rsid w:val="00F67527"/>
    <w:rsid w:val="00F67D35"/>
    <w:rsid w:val="00F71E46"/>
    <w:rsid w:val="00F73E18"/>
    <w:rsid w:val="00F74294"/>
    <w:rsid w:val="00F75E94"/>
    <w:rsid w:val="00F76BCB"/>
    <w:rsid w:val="00F77624"/>
    <w:rsid w:val="00F8033E"/>
    <w:rsid w:val="00F807E8"/>
    <w:rsid w:val="00F816E5"/>
    <w:rsid w:val="00F81C7C"/>
    <w:rsid w:val="00F8256F"/>
    <w:rsid w:val="00F835E0"/>
    <w:rsid w:val="00F835F8"/>
    <w:rsid w:val="00F8379F"/>
    <w:rsid w:val="00F837C5"/>
    <w:rsid w:val="00F83F4A"/>
    <w:rsid w:val="00F85478"/>
    <w:rsid w:val="00F85B18"/>
    <w:rsid w:val="00F87085"/>
    <w:rsid w:val="00F875C8"/>
    <w:rsid w:val="00F87A0D"/>
    <w:rsid w:val="00F87CBD"/>
    <w:rsid w:val="00F9102A"/>
    <w:rsid w:val="00F91503"/>
    <w:rsid w:val="00F92F0B"/>
    <w:rsid w:val="00F935C4"/>
    <w:rsid w:val="00F9369E"/>
    <w:rsid w:val="00F936C0"/>
    <w:rsid w:val="00F947C1"/>
    <w:rsid w:val="00F956F2"/>
    <w:rsid w:val="00F95D89"/>
    <w:rsid w:val="00F966D1"/>
    <w:rsid w:val="00FA1725"/>
    <w:rsid w:val="00FA1EF3"/>
    <w:rsid w:val="00FA3456"/>
    <w:rsid w:val="00FA3F5C"/>
    <w:rsid w:val="00FA4E24"/>
    <w:rsid w:val="00FA4EA8"/>
    <w:rsid w:val="00FA504B"/>
    <w:rsid w:val="00FA72F2"/>
    <w:rsid w:val="00FB1C87"/>
    <w:rsid w:val="00FB27EB"/>
    <w:rsid w:val="00FB2881"/>
    <w:rsid w:val="00FB338E"/>
    <w:rsid w:val="00FB34BD"/>
    <w:rsid w:val="00FB3D92"/>
    <w:rsid w:val="00FB4719"/>
    <w:rsid w:val="00FB567B"/>
    <w:rsid w:val="00FB5B1F"/>
    <w:rsid w:val="00FB73D6"/>
    <w:rsid w:val="00FB7972"/>
    <w:rsid w:val="00FC0935"/>
    <w:rsid w:val="00FC0C6C"/>
    <w:rsid w:val="00FC256D"/>
    <w:rsid w:val="00FC5368"/>
    <w:rsid w:val="00FC5769"/>
    <w:rsid w:val="00FC5775"/>
    <w:rsid w:val="00FC6636"/>
    <w:rsid w:val="00FC6677"/>
    <w:rsid w:val="00FC7475"/>
    <w:rsid w:val="00FD1C34"/>
    <w:rsid w:val="00FD237D"/>
    <w:rsid w:val="00FE0A57"/>
    <w:rsid w:val="00FE1A73"/>
    <w:rsid w:val="00FE2085"/>
    <w:rsid w:val="00FE22EB"/>
    <w:rsid w:val="00FE26F7"/>
    <w:rsid w:val="00FE277B"/>
    <w:rsid w:val="00FE4443"/>
    <w:rsid w:val="00FE449A"/>
    <w:rsid w:val="00FE51FB"/>
    <w:rsid w:val="00FE52D5"/>
    <w:rsid w:val="00FE5EDE"/>
    <w:rsid w:val="00FE6595"/>
    <w:rsid w:val="00FE65BD"/>
    <w:rsid w:val="00FF1E00"/>
    <w:rsid w:val="00FF2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6B"/>
    <w:pPr>
      <w:spacing w:after="120"/>
    </w:pPr>
    <w:rPr>
      <w:rFonts w:ascii="Arial" w:hAnsi="Arial"/>
      <w:sz w:val="22"/>
      <w:szCs w:val="24"/>
      <w:lang w:val="en-US" w:eastAsia="en-US"/>
    </w:rPr>
  </w:style>
  <w:style w:type="paragraph" w:styleId="Heading9">
    <w:name w:val="heading 9"/>
    <w:basedOn w:val="Normal"/>
    <w:next w:val="Normal"/>
    <w:link w:val="Heading9Char"/>
    <w:qFormat/>
    <w:rsid w:val="00DA70AE"/>
    <w:pPr>
      <w:spacing w:before="240" w:after="60"/>
      <w:outlineLvl w:val="8"/>
    </w:pPr>
    <w:rPr>
      <w:rFonts w:cs="Arial"/>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262D"/>
    <w:pPr>
      <w:tabs>
        <w:tab w:val="center" w:pos="4320"/>
        <w:tab w:val="right" w:pos="8640"/>
      </w:tabs>
    </w:pPr>
  </w:style>
  <w:style w:type="paragraph" w:styleId="Footer">
    <w:name w:val="footer"/>
    <w:basedOn w:val="Normal"/>
    <w:link w:val="FooterChar"/>
    <w:uiPriority w:val="99"/>
    <w:rsid w:val="00F6262D"/>
    <w:pPr>
      <w:tabs>
        <w:tab w:val="center" w:pos="4320"/>
        <w:tab w:val="right" w:pos="8640"/>
      </w:tabs>
    </w:pPr>
  </w:style>
  <w:style w:type="character" w:styleId="Hyperlink">
    <w:name w:val="Hyperlink"/>
    <w:uiPriority w:val="99"/>
    <w:rsid w:val="000F2D1C"/>
    <w:rPr>
      <w:color w:val="0000FF"/>
      <w:u w:val="single"/>
    </w:rPr>
  </w:style>
  <w:style w:type="paragraph" w:customStyle="1" w:styleId="StyleAfter0pt">
    <w:name w:val="Style After:  0 pt"/>
    <w:basedOn w:val="Normal"/>
    <w:rsid w:val="00DD1AC3"/>
    <w:rPr>
      <w:szCs w:val="20"/>
    </w:rPr>
  </w:style>
  <w:style w:type="character" w:styleId="FollowedHyperlink">
    <w:name w:val="FollowedHyperlink"/>
    <w:rsid w:val="003A57DD"/>
    <w:rPr>
      <w:color w:val="800080"/>
      <w:u w:val="single"/>
    </w:rPr>
  </w:style>
  <w:style w:type="character" w:customStyle="1" w:styleId="FooterChar">
    <w:name w:val="Footer Char"/>
    <w:link w:val="Footer"/>
    <w:uiPriority w:val="99"/>
    <w:locked/>
    <w:rsid w:val="00925E16"/>
    <w:rPr>
      <w:rFonts w:ascii="Arial" w:hAnsi="Arial"/>
      <w:sz w:val="22"/>
      <w:szCs w:val="24"/>
      <w:lang w:val="en-US" w:eastAsia="en-US" w:bidi="ar-SA"/>
    </w:rPr>
  </w:style>
  <w:style w:type="character" w:styleId="PageNumber">
    <w:name w:val="page number"/>
    <w:basedOn w:val="DefaultParagraphFont"/>
    <w:rsid w:val="00B72858"/>
  </w:style>
  <w:style w:type="paragraph" w:styleId="BalloonText">
    <w:name w:val="Balloon Text"/>
    <w:basedOn w:val="Normal"/>
    <w:link w:val="BalloonTextChar"/>
    <w:rsid w:val="0066596E"/>
    <w:pPr>
      <w:spacing w:after="0"/>
    </w:pPr>
    <w:rPr>
      <w:rFonts w:ascii="Tahoma" w:hAnsi="Tahoma" w:cs="Tahoma"/>
      <w:sz w:val="16"/>
      <w:szCs w:val="16"/>
    </w:rPr>
  </w:style>
  <w:style w:type="character" w:customStyle="1" w:styleId="BalloonTextChar">
    <w:name w:val="Balloon Text Char"/>
    <w:link w:val="BalloonText"/>
    <w:rsid w:val="0066596E"/>
    <w:rPr>
      <w:rFonts w:ascii="Tahoma" w:hAnsi="Tahoma" w:cs="Tahoma"/>
      <w:sz w:val="16"/>
      <w:szCs w:val="16"/>
      <w:lang w:val="en-US" w:eastAsia="en-US"/>
    </w:rPr>
  </w:style>
  <w:style w:type="paragraph" w:styleId="NormalWeb">
    <w:name w:val="Normal (Web)"/>
    <w:basedOn w:val="Normal"/>
    <w:uiPriority w:val="99"/>
    <w:unhideWhenUsed/>
    <w:rsid w:val="000D7742"/>
    <w:pPr>
      <w:spacing w:before="100" w:beforeAutospacing="1" w:after="100" w:afterAutospacing="1"/>
    </w:pPr>
    <w:rPr>
      <w:rFonts w:ascii="Times New Roman" w:eastAsiaTheme="minorHAnsi" w:hAnsi="Times New Roman"/>
      <w:sz w:val="24"/>
      <w:lang w:val="en-AU" w:eastAsia="en-AU"/>
    </w:rPr>
  </w:style>
  <w:style w:type="paragraph" w:styleId="ListParagraph">
    <w:name w:val="List Paragraph"/>
    <w:basedOn w:val="Normal"/>
    <w:uiPriority w:val="34"/>
    <w:qFormat/>
    <w:rsid w:val="0063736D"/>
    <w:pPr>
      <w:ind w:left="720"/>
    </w:pPr>
  </w:style>
  <w:style w:type="character" w:customStyle="1" w:styleId="HeaderChar">
    <w:name w:val="Header Char"/>
    <w:basedOn w:val="DefaultParagraphFont"/>
    <w:link w:val="Header"/>
    <w:uiPriority w:val="99"/>
    <w:rsid w:val="00AD575A"/>
    <w:rPr>
      <w:rFonts w:ascii="Arial" w:hAnsi="Arial"/>
      <w:sz w:val="22"/>
      <w:szCs w:val="24"/>
      <w:lang w:val="en-US" w:eastAsia="en-US"/>
    </w:rPr>
  </w:style>
  <w:style w:type="paragraph" w:customStyle="1" w:styleId="Style1">
    <w:name w:val="Style1"/>
    <w:basedOn w:val="Normal"/>
    <w:link w:val="Style1Char"/>
    <w:qFormat/>
    <w:rsid w:val="00DA70AE"/>
    <w:rPr>
      <w:rFonts w:asciiTheme="minorHAnsi" w:hAnsiTheme="minorHAnsi"/>
      <w:b/>
      <w:sz w:val="36"/>
    </w:rPr>
  </w:style>
  <w:style w:type="paragraph" w:customStyle="1" w:styleId="Style2">
    <w:name w:val="Style2"/>
    <w:basedOn w:val="Normal"/>
    <w:link w:val="Style2Char"/>
    <w:qFormat/>
    <w:rsid w:val="00DA70AE"/>
    <w:pPr>
      <w:keepNext/>
      <w:numPr>
        <w:numId w:val="5"/>
      </w:numPr>
      <w:tabs>
        <w:tab w:val="clear" w:pos="720"/>
        <w:tab w:val="num" w:pos="426"/>
      </w:tabs>
      <w:spacing w:after="0"/>
      <w:ind w:left="426" w:hanging="426"/>
      <w:jc w:val="both"/>
      <w:outlineLvl w:val="8"/>
    </w:pPr>
    <w:rPr>
      <w:rFonts w:ascii="Tw Cen MT Condensed" w:hAnsi="Tw Cen MT Condensed"/>
      <w:color w:val="003366"/>
      <w:sz w:val="32"/>
      <w:szCs w:val="22"/>
      <w:lang w:val="en-AU" w:eastAsia="en-AU"/>
    </w:rPr>
  </w:style>
  <w:style w:type="character" w:customStyle="1" w:styleId="Style1Char">
    <w:name w:val="Style1 Char"/>
    <w:basedOn w:val="DefaultParagraphFont"/>
    <w:link w:val="Style1"/>
    <w:rsid w:val="00DA70AE"/>
    <w:rPr>
      <w:rFonts w:asciiTheme="minorHAnsi" w:hAnsiTheme="minorHAnsi"/>
      <w:b/>
      <w:sz w:val="36"/>
      <w:szCs w:val="24"/>
      <w:lang w:val="en-US" w:eastAsia="en-US"/>
    </w:rPr>
  </w:style>
  <w:style w:type="character" w:customStyle="1" w:styleId="Heading9Char">
    <w:name w:val="Heading 9 Char"/>
    <w:basedOn w:val="DefaultParagraphFont"/>
    <w:link w:val="Heading9"/>
    <w:rsid w:val="00DA70AE"/>
    <w:rPr>
      <w:rFonts w:ascii="Arial" w:hAnsi="Arial" w:cs="Arial"/>
      <w:sz w:val="22"/>
      <w:szCs w:val="22"/>
    </w:rPr>
  </w:style>
  <w:style w:type="character" w:customStyle="1" w:styleId="Style2Char">
    <w:name w:val="Style2 Char"/>
    <w:basedOn w:val="DefaultParagraphFont"/>
    <w:link w:val="Style2"/>
    <w:rsid w:val="00DA70AE"/>
    <w:rPr>
      <w:rFonts w:ascii="Tw Cen MT Condensed" w:hAnsi="Tw Cen MT Condensed"/>
      <w:color w:val="003366"/>
      <w:sz w:val="32"/>
      <w:szCs w:val="22"/>
    </w:rPr>
  </w:style>
  <w:style w:type="paragraph" w:customStyle="1" w:styleId="LLBodyCopy">
    <w:name w:val="LL Body Copy"/>
    <w:basedOn w:val="Normal"/>
    <w:rsid w:val="00DA70AE"/>
    <w:pPr>
      <w:spacing w:after="0"/>
      <w:ind w:left="-142" w:right="43"/>
    </w:pPr>
    <w:rPr>
      <w:rFonts w:ascii="Calibri" w:hAnsi="Calibri"/>
      <w:color w:val="808080"/>
      <w:sz w:val="20"/>
      <w:szCs w:val="20"/>
      <w:lang w:eastAsia="en-AU"/>
    </w:rPr>
  </w:style>
  <w:style w:type="paragraph" w:styleId="FootnoteText">
    <w:name w:val="footnote text"/>
    <w:basedOn w:val="Normal"/>
    <w:link w:val="FootnoteTextChar"/>
    <w:uiPriority w:val="99"/>
    <w:unhideWhenUsed/>
    <w:rsid w:val="00685EBC"/>
    <w:pPr>
      <w:spacing w:after="0"/>
    </w:pPr>
    <w:rPr>
      <w:sz w:val="20"/>
      <w:szCs w:val="20"/>
    </w:rPr>
  </w:style>
  <w:style w:type="character" w:customStyle="1" w:styleId="FootnoteTextChar">
    <w:name w:val="Footnote Text Char"/>
    <w:basedOn w:val="DefaultParagraphFont"/>
    <w:link w:val="FootnoteText"/>
    <w:uiPriority w:val="99"/>
    <w:rsid w:val="00685EBC"/>
    <w:rPr>
      <w:rFonts w:ascii="Arial" w:hAnsi="Arial"/>
      <w:lang w:val="en-US" w:eastAsia="en-US"/>
    </w:rPr>
  </w:style>
  <w:style w:type="character" w:styleId="FootnoteReference">
    <w:name w:val="footnote reference"/>
    <w:basedOn w:val="DefaultParagraphFont"/>
    <w:uiPriority w:val="99"/>
    <w:unhideWhenUsed/>
    <w:rsid w:val="00685EBC"/>
    <w:rPr>
      <w:vertAlign w:val="superscript"/>
    </w:rPr>
  </w:style>
  <w:style w:type="table" w:styleId="TableGrid">
    <w:name w:val="Table Grid"/>
    <w:basedOn w:val="TableNormal"/>
    <w:uiPriority w:val="99"/>
    <w:rsid w:val="00685EBC"/>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685EBC"/>
    <w:rPr>
      <w:vertAlign w:val="superscript"/>
    </w:rPr>
  </w:style>
  <w:style w:type="character" w:styleId="Emphasis">
    <w:name w:val="Emphasis"/>
    <w:qFormat/>
    <w:rsid w:val="00685EBC"/>
    <w:rPr>
      <w:rFonts w:cs="Times New Roman"/>
      <w:i/>
      <w:iCs/>
    </w:rPr>
  </w:style>
  <w:style w:type="character" w:styleId="CommentReference">
    <w:name w:val="annotation reference"/>
    <w:basedOn w:val="DefaultParagraphFont"/>
    <w:semiHidden/>
    <w:unhideWhenUsed/>
    <w:rsid w:val="00685EBC"/>
    <w:rPr>
      <w:sz w:val="16"/>
      <w:szCs w:val="16"/>
    </w:rPr>
  </w:style>
  <w:style w:type="paragraph" w:styleId="CommentText">
    <w:name w:val="annotation text"/>
    <w:basedOn w:val="Normal"/>
    <w:link w:val="CommentTextChar"/>
    <w:semiHidden/>
    <w:unhideWhenUsed/>
    <w:rsid w:val="00685EBC"/>
    <w:rPr>
      <w:sz w:val="20"/>
      <w:szCs w:val="20"/>
    </w:rPr>
  </w:style>
  <w:style w:type="character" w:customStyle="1" w:styleId="CommentTextChar">
    <w:name w:val="Comment Text Char"/>
    <w:basedOn w:val="DefaultParagraphFont"/>
    <w:link w:val="CommentText"/>
    <w:semiHidden/>
    <w:rsid w:val="00685EBC"/>
    <w:rPr>
      <w:rFonts w:ascii="Arial" w:hAnsi="Arial"/>
      <w:lang w:val="en-US" w:eastAsia="en-US"/>
    </w:rPr>
  </w:style>
  <w:style w:type="paragraph" w:styleId="CommentSubject">
    <w:name w:val="annotation subject"/>
    <w:basedOn w:val="CommentText"/>
    <w:next w:val="CommentText"/>
    <w:link w:val="CommentSubjectChar"/>
    <w:semiHidden/>
    <w:unhideWhenUsed/>
    <w:rsid w:val="00685EBC"/>
    <w:rPr>
      <w:b/>
      <w:bCs/>
    </w:rPr>
  </w:style>
  <w:style w:type="character" w:customStyle="1" w:styleId="CommentSubjectChar">
    <w:name w:val="Comment Subject Char"/>
    <w:basedOn w:val="CommentTextChar"/>
    <w:link w:val="CommentSubject"/>
    <w:semiHidden/>
    <w:rsid w:val="00685EBC"/>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6B"/>
    <w:pPr>
      <w:spacing w:after="120"/>
    </w:pPr>
    <w:rPr>
      <w:rFonts w:ascii="Arial" w:hAnsi="Arial"/>
      <w:sz w:val="22"/>
      <w:szCs w:val="24"/>
      <w:lang w:val="en-US" w:eastAsia="en-US"/>
    </w:rPr>
  </w:style>
  <w:style w:type="paragraph" w:styleId="Heading9">
    <w:name w:val="heading 9"/>
    <w:basedOn w:val="Normal"/>
    <w:next w:val="Normal"/>
    <w:link w:val="Heading9Char"/>
    <w:qFormat/>
    <w:rsid w:val="00DA70AE"/>
    <w:pPr>
      <w:spacing w:before="240" w:after="60"/>
      <w:outlineLvl w:val="8"/>
    </w:pPr>
    <w:rPr>
      <w:rFonts w:cs="Arial"/>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262D"/>
    <w:pPr>
      <w:tabs>
        <w:tab w:val="center" w:pos="4320"/>
        <w:tab w:val="right" w:pos="8640"/>
      </w:tabs>
    </w:pPr>
  </w:style>
  <w:style w:type="paragraph" w:styleId="Footer">
    <w:name w:val="footer"/>
    <w:basedOn w:val="Normal"/>
    <w:link w:val="FooterChar"/>
    <w:uiPriority w:val="99"/>
    <w:rsid w:val="00F6262D"/>
    <w:pPr>
      <w:tabs>
        <w:tab w:val="center" w:pos="4320"/>
        <w:tab w:val="right" w:pos="8640"/>
      </w:tabs>
    </w:pPr>
  </w:style>
  <w:style w:type="character" w:styleId="Hyperlink">
    <w:name w:val="Hyperlink"/>
    <w:uiPriority w:val="99"/>
    <w:rsid w:val="000F2D1C"/>
    <w:rPr>
      <w:color w:val="0000FF"/>
      <w:u w:val="single"/>
    </w:rPr>
  </w:style>
  <w:style w:type="paragraph" w:customStyle="1" w:styleId="StyleAfter0pt">
    <w:name w:val="Style After:  0 pt"/>
    <w:basedOn w:val="Normal"/>
    <w:rsid w:val="00DD1AC3"/>
    <w:rPr>
      <w:szCs w:val="20"/>
    </w:rPr>
  </w:style>
  <w:style w:type="character" w:styleId="FollowedHyperlink">
    <w:name w:val="FollowedHyperlink"/>
    <w:rsid w:val="003A57DD"/>
    <w:rPr>
      <w:color w:val="800080"/>
      <w:u w:val="single"/>
    </w:rPr>
  </w:style>
  <w:style w:type="character" w:customStyle="1" w:styleId="FooterChar">
    <w:name w:val="Footer Char"/>
    <w:link w:val="Footer"/>
    <w:uiPriority w:val="99"/>
    <w:locked/>
    <w:rsid w:val="00925E16"/>
    <w:rPr>
      <w:rFonts w:ascii="Arial" w:hAnsi="Arial"/>
      <w:sz w:val="22"/>
      <w:szCs w:val="24"/>
      <w:lang w:val="en-US" w:eastAsia="en-US" w:bidi="ar-SA"/>
    </w:rPr>
  </w:style>
  <w:style w:type="character" w:styleId="PageNumber">
    <w:name w:val="page number"/>
    <w:basedOn w:val="DefaultParagraphFont"/>
    <w:rsid w:val="00B72858"/>
  </w:style>
  <w:style w:type="paragraph" w:styleId="BalloonText">
    <w:name w:val="Balloon Text"/>
    <w:basedOn w:val="Normal"/>
    <w:link w:val="BalloonTextChar"/>
    <w:rsid w:val="0066596E"/>
    <w:pPr>
      <w:spacing w:after="0"/>
    </w:pPr>
    <w:rPr>
      <w:rFonts w:ascii="Tahoma" w:hAnsi="Tahoma" w:cs="Tahoma"/>
      <w:sz w:val="16"/>
      <w:szCs w:val="16"/>
    </w:rPr>
  </w:style>
  <w:style w:type="character" w:customStyle="1" w:styleId="BalloonTextChar">
    <w:name w:val="Balloon Text Char"/>
    <w:link w:val="BalloonText"/>
    <w:rsid w:val="0066596E"/>
    <w:rPr>
      <w:rFonts w:ascii="Tahoma" w:hAnsi="Tahoma" w:cs="Tahoma"/>
      <w:sz w:val="16"/>
      <w:szCs w:val="16"/>
      <w:lang w:val="en-US" w:eastAsia="en-US"/>
    </w:rPr>
  </w:style>
  <w:style w:type="paragraph" w:styleId="NormalWeb">
    <w:name w:val="Normal (Web)"/>
    <w:basedOn w:val="Normal"/>
    <w:uiPriority w:val="99"/>
    <w:unhideWhenUsed/>
    <w:rsid w:val="000D7742"/>
    <w:pPr>
      <w:spacing w:before="100" w:beforeAutospacing="1" w:after="100" w:afterAutospacing="1"/>
    </w:pPr>
    <w:rPr>
      <w:rFonts w:ascii="Times New Roman" w:eastAsiaTheme="minorHAnsi" w:hAnsi="Times New Roman"/>
      <w:sz w:val="24"/>
      <w:lang w:val="en-AU" w:eastAsia="en-AU"/>
    </w:rPr>
  </w:style>
  <w:style w:type="paragraph" w:styleId="ListParagraph">
    <w:name w:val="List Paragraph"/>
    <w:basedOn w:val="Normal"/>
    <w:uiPriority w:val="34"/>
    <w:qFormat/>
    <w:rsid w:val="0063736D"/>
    <w:pPr>
      <w:ind w:left="720"/>
    </w:pPr>
  </w:style>
  <w:style w:type="character" w:customStyle="1" w:styleId="HeaderChar">
    <w:name w:val="Header Char"/>
    <w:basedOn w:val="DefaultParagraphFont"/>
    <w:link w:val="Header"/>
    <w:uiPriority w:val="99"/>
    <w:rsid w:val="00AD575A"/>
    <w:rPr>
      <w:rFonts w:ascii="Arial" w:hAnsi="Arial"/>
      <w:sz w:val="22"/>
      <w:szCs w:val="24"/>
      <w:lang w:val="en-US" w:eastAsia="en-US"/>
    </w:rPr>
  </w:style>
  <w:style w:type="paragraph" w:customStyle="1" w:styleId="Style1">
    <w:name w:val="Style1"/>
    <w:basedOn w:val="Normal"/>
    <w:link w:val="Style1Char"/>
    <w:qFormat/>
    <w:rsid w:val="00DA70AE"/>
    <w:rPr>
      <w:rFonts w:asciiTheme="minorHAnsi" w:hAnsiTheme="minorHAnsi"/>
      <w:b/>
      <w:sz w:val="36"/>
    </w:rPr>
  </w:style>
  <w:style w:type="paragraph" w:customStyle="1" w:styleId="Style2">
    <w:name w:val="Style2"/>
    <w:basedOn w:val="Normal"/>
    <w:link w:val="Style2Char"/>
    <w:qFormat/>
    <w:rsid w:val="00DA70AE"/>
    <w:pPr>
      <w:keepNext/>
      <w:numPr>
        <w:numId w:val="5"/>
      </w:numPr>
      <w:tabs>
        <w:tab w:val="clear" w:pos="720"/>
        <w:tab w:val="num" w:pos="426"/>
      </w:tabs>
      <w:spacing w:after="0"/>
      <w:ind w:left="426" w:hanging="426"/>
      <w:jc w:val="both"/>
      <w:outlineLvl w:val="8"/>
    </w:pPr>
    <w:rPr>
      <w:rFonts w:ascii="Tw Cen MT Condensed" w:hAnsi="Tw Cen MT Condensed"/>
      <w:color w:val="003366"/>
      <w:sz w:val="32"/>
      <w:szCs w:val="22"/>
      <w:lang w:val="en-AU" w:eastAsia="en-AU"/>
    </w:rPr>
  </w:style>
  <w:style w:type="character" w:customStyle="1" w:styleId="Style1Char">
    <w:name w:val="Style1 Char"/>
    <w:basedOn w:val="DefaultParagraphFont"/>
    <w:link w:val="Style1"/>
    <w:rsid w:val="00DA70AE"/>
    <w:rPr>
      <w:rFonts w:asciiTheme="minorHAnsi" w:hAnsiTheme="minorHAnsi"/>
      <w:b/>
      <w:sz w:val="36"/>
      <w:szCs w:val="24"/>
      <w:lang w:val="en-US" w:eastAsia="en-US"/>
    </w:rPr>
  </w:style>
  <w:style w:type="character" w:customStyle="1" w:styleId="Heading9Char">
    <w:name w:val="Heading 9 Char"/>
    <w:basedOn w:val="DefaultParagraphFont"/>
    <w:link w:val="Heading9"/>
    <w:rsid w:val="00DA70AE"/>
    <w:rPr>
      <w:rFonts w:ascii="Arial" w:hAnsi="Arial" w:cs="Arial"/>
      <w:sz w:val="22"/>
      <w:szCs w:val="22"/>
    </w:rPr>
  </w:style>
  <w:style w:type="character" w:customStyle="1" w:styleId="Style2Char">
    <w:name w:val="Style2 Char"/>
    <w:basedOn w:val="DefaultParagraphFont"/>
    <w:link w:val="Style2"/>
    <w:rsid w:val="00DA70AE"/>
    <w:rPr>
      <w:rFonts w:ascii="Tw Cen MT Condensed" w:hAnsi="Tw Cen MT Condensed"/>
      <w:color w:val="003366"/>
      <w:sz w:val="32"/>
      <w:szCs w:val="22"/>
    </w:rPr>
  </w:style>
  <w:style w:type="paragraph" w:customStyle="1" w:styleId="LLBodyCopy">
    <w:name w:val="LL Body Copy"/>
    <w:basedOn w:val="Normal"/>
    <w:rsid w:val="00DA70AE"/>
    <w:pPr>
      <w:spacing w:after="0"/>
      <w:ind w:left="-142" w:right="43"/>
    </w:pPr>
    <w:rPr>
      <w:rFonts w:ascii="Calibri" w:hAnsi="Calibri"/>
      <w:color w:val="808080"/>
      <w:sz w:val="20"/>
      <w:szCs w:val="20"/>
      <w:lang w:eastAsia="en-AU"/>
    </w:rPr>
  </w:style>
  <w:style w:type="paragraph" w:styleId="FootnoteText">
    <w:name w:val="footnote text"/>
    <w:basedOn w:val="Normal"/>
    <w:link w:val="FootnoteTextChar"/>
    <w:uiPriority w:val="99"/>
    <w:unhideWhenUsed/>
    <w:rsid w:val="00685EBC"/>
    <w:pPr>
      <w:spacing w:after="0"/>
    </w:pPr>
    <w:rPr>
      <w:sz w:val="20"/>
      <w:szCs w:val="20"/>
    </w:rPr>
  </w:style>
  <w:style w:type="character" w:customStyle="1" w:styleId="FootnoteTextChar">
    <w:name w:val="Footnote Text Char"/>
    <w:basedOn w:val="DefaultParagraphFont"/>
    <w:link w:val="FootnoteText"/>
    <w:uiPriority w:val="99"/>
    <w:rsid w:val="00685EBC"/>
    <w:rPr>
      <w:rFonts w:ascii="Arial" w:hAnsi="Arial"/>
      <w:lang w:val="en-US" w:eastAsia="en-US"/>
    </w:rPr>
  </w:style>
  <w:style w:type="character" w:styleId="FootnoteReference">
    <w:name w:val="footnote reference"/>
    <w:basedOn w:val="DefaultParagraphFont"/>
    <w:uiPriority w:val="99"/>
    <w:unhideWhenUsed/>
    <w:rsid w:val="00685EBC"/>
    <w:rPr>
      <w:vertAlign w:val="superscript"/>
    </w:rPr>
  </w:style>
  <w:style w:type="table" w:styleId="TableGrid">
    <w:name w:val="Table Grid"/>
    <w:basedOn w:val="TableNormal"/>
    <w:uiPriority w:val="99"/>
    <w:rsid w:val="00685EBC"/>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685EBC"/>
    <w:rPr>
      <w:vertAlign w:val="superscript"/>
    </w:rPr>
  </w:style>
  <w:style w:type="character" w:styleId="Emphasis">
    <w:name w:val="Emphasis"/>
    <w:qFormat/>
    <w:rsid w:val="00685EBC"/>
    <w:rPr>
      <w:rFonts w:cs="Times New Roman"/>
      <w:i/>
      <w:iCs/>
    </w:rPr>
  </w:style>
  <w:style w:type="character" w:styleId="CommentReference">
    <w:name w:val="annotation reference"/>
    <w:basedOn w:val="DefaultParagraphFont"/>
    <w:semiHidden/>
    <w:unhideWhenUsed/>
    <w:rsid w:val="00685EBC"/>
    <w:rPr>
      <w:sz w:val="16"/>
      <w:szCs w:val="16"/>
    </w:rPr>
  </w:style>
  <w:style w:type="paragraph" w:styleId="CommentText">
    <w:name w:val="annotation text"/>
    <w:basedOn w:val="Normal"/>
    <w:link w:val="CommentTextChar"/>
    <w:semiHidden/>
    <w:unhideWhenUsed/>
    <w:rsid w:val="00685EBC"/>
    <w:rPr>
      <w:sz w:val="20"/>
      <w:szCs w:val="20"/>
    </w:rPr>
  </w:style>
  <w:style w:type="character" w:customStyle="1" w:styleId="CommentTextChar">
    <w:name w:val="Comment Text Char"/>
    <w:basedOn w:val="DefaultParagraphFont"/>
    <w:link w:val="CommentText"/>
    <w:semiHidden/>
    <w:rsid w:val="00685EBC"/>
    <w:rPr>
      <w:rFonts w:ascii="Arial" w:hAnsi="Arial"/>
      <w:lang w:val="en-US" w:eastAsia="en-US"/>
    </w:rPr>
  </w:style>
  <w:style w:type="paragraph" w:styleId="CommentSubject">
    <w:name w:val="annotation subject"/>
    <w:basedOn w:val="CommentText"/>
    <w:next w:val="CommentText"/>
    <w:link w:val="CommentSubjectChar"/>
    <w:semiHidden/>
    <w:unhideWhenUsed/>
    <w:rsid w:val="00685EBC"/>
    <w:rPr>
      <w:b/>
      <w:bCs/>
    </w:rPr>
  </w:style>
  <w:style w:type="character" w:customStyle="1" w:styleId="CommentSubjectChar">
    <w:name w:val="Comment Subject Char"/>
    <w:basedOn w:val="CommentTextChar"/>
    <w:link w:val="CommentSubject"/>
    <w:semiHidden/>
    <w:rsid w:val="00685EBC"/>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042">
      <w:bodyDiv w:val="1"/>
      <w:marLeft w:val="0"/>
      <w:marRight w:val="0"/>
      <w:marTop w:val="0"/>
      <w:marBottom w:val="0"/>
      <w:divBdr>
        <w:top w:val="none" w:sz="0" w:space="0" w:color="auto"/>
        <w:left w:val="none" w:sz="0" w:space="0" w:color="auto"/>
        <w:bottom w:val="none" w:sz="0" w:space="0" w:color="auto"/>
        <w:right w:val="none" w:sz="0" w:space="0" w:color="auto"/>
      </w:divBdr>
    </w:div>
    <w:div w:id="215898733">
      <w:bodyDiv w:val="1"/>
      <w:marLeft w:val="0"/>
      <w:marRight w:val="0"/>
      <w:marTop w:val="0"/>
      <w:marBottom w:val="0"/>
      <w:divBdr>
        <w:top w:val="none" w:sz="0" w:space="0" w:color="auto"/>
        <w:left w:val="none" w:sz="0" w:space="0" w:color="auto"/>
        <w:bottom w:val="none" w:sz="0" w:space="0" w:color="auto"/>
        <w:right w:val="none" w:sz="0" w:space="0" w:color="auto"/>
      </w:divBdr>
    </w:div>
    <w:div w:id="304623529">
      <w:bodyDiv w:val="1"/>
      <w:marLeft w:val="0"/>
      <w:marRight w:val="0"/>
      <w:marTop w:val="0"/>
      <w:marBottom w:val="0"/>
      <w:divBdr>
        <w:top w:val="none" w:sz="0" w:space="0" w:color="auto"/>
        <w:left w:val="none" w:sz="0" w:space="0" w:color="auto"/>
        <w:bottom w:val="none" w:sz="0" w:space="0" w:color="auto"/>
        <w:right w:val="none" w:sz="0" w:space="0" w:color="auto"/>
      </w:divBdr>
    </w:div>
    <w:div w:id="17574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ustlii.edu./au/journals/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2015MG-133-11405</_dlc_DocId>
    <TaxCatchAll xmlns="d4dd4adf-ddb3-46a3-8d7c-fab3fb2a6bc7">
      <Value>2</Value>
    </TaxCatchAll>
    <_dlc_DocIdUrl xmlns="d4dd4adf-ddb3-46a3-8d7c-fab3fb2a6bc7">
      <Url>http://tweb/sites/mg/sbccpd/_layouts/15/DocIdRedir.aspx?ID=2015MG-133-11405</Url>
      <Description>2015MG-133-11405</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CF10-55ED-40E7-841F-B7B0F3B51C12}">
  <ds:schemaRefs>
    <ds:schemaRef ds:uri="office.server.policy"/>
  </ds:schemaRefs>
</ds:datastoreItem>
</file>

<file path=customXml/itemProps2.xml><?xml version="1.0" encoding="utf-8"?>
<ds:datastoreItem xmlns:ds="http://schemas.openxmlformats.org/officeDocument/2006/customXml" ds:itemID="{452917DF-3556-4AD8-AA20-33F48CE53B82}">
  <ds:schemaRefs>
    <ds:schemaRef ds:uri="http://schemas.microsoft.com/sharepoint/events"/>
  </ds:schemaRefs>
</ds:datastoreItem>
</file>

<file path=customXml/itemProps3.xml><?xml version="1.0" encoding="utf-8"?>
<ds:datastoreItem xmlns:ds="http://schemas.openxmlformats.org/officeDocument/2006/customXml" ds:itemID="{D4B1B953-9C62-4D99-92D8-4AB79FE3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80C26-82CD-48EC-88D4-63D55E725FF9}">
  <ds:schemaRefs>
    <ds:schemaRef ds:uri="http://schemas.microsoft.com/office/2006/metadata/properties"/>
    <ds:schemaRef ds:uri="http://purl.org/dc/terms/"/>
    <ds:schemaRef ds:uri="http://schemas.openxmlformats.org/package/2006/metadata/core-properties"/>
    <ds:schemaRef ds:uri="d4dd4adf-ddb3-46a3-8d7c-fab3fb2a6bc7"/>
    <ds:schemaRef ds:uri="http://www.w3.org/XML/1998/namespace"/>
    <ds:schemaRef ds:uri="http://schemas.microsoft.com/sharepoint/v3"/>
    <ds:schemaRef ds:uri="http://schemas.microsoft.com/office/2006/documentManagement/types"/>
    <ds:schemaRef ds:uri="http://purl.org/dc/elements/1.1/"/>
    <ds:schemaRef ds:uri="http://purl.org/dc/dcmitype/"/>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84E46FBA-EBBE-4A21-9B5B-8D7AF9FA199A}">
  <ds:schemaRefs>
    <ds:schemaRef ds:uri="http://schemas.microsoft.com/sharepoint/v3/contenttype/forms"/>
  </ds:schemaRefs>
</ds:datastoreItem>
</file>

<file path=customXml/itemProps6.xml><?xml version="1.0" encoding="utf-8"?>
<ds:datastoreItem xmlns:ds="http://schemas.openxmlformats.org/officeDocument/2006/customXml" ds:itemID="{6A6D26B7-6970-4FBE-8C65-F094C880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8638</Words>
  <Characters>44315</Characters>
  <Application>Microsoft Office Word</Application>
  <DocSecurity>0</DocSecurity>
  <Lines>587</Lines>
  <Paragraphs>135</Paragraphs>
  <ScaleCrop>false</ScaleCrop>
  <Company/>
  <LinksUpToDate>false</LinksUpToDate>
  <CharactersWithSpaces>52936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Grocers’ Association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