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BD" w:rsidRPr="0049324A" w:rsidRDefault="00181DB9" w:rsidP="005C723A">
      <w:pPr>
        <w:spacing w:after="0" w:line="240" w:lineRule="auto"/>
        <w:jc w:val="right"/>
        <w:rPr>
          <w:rFonts w:ascii="Vodafone Rg" w:hAnsi="Vodafone Rg"/>
          <w:sz w:val="24"/>
          <w:szCs w:val="24"/>
          <w:highlight w:val="yellow"/>
        </w:rPr>
      </w:pPr>
      <w:bookmarkStart w:id="0" w:name="_GoBack"/>
      <w:bookmarkEnd w:id="0"/>
      <w:r w:rsidRPr="0049324A">
        <w:rPr>
          <w:rFonts w:ascii="Vodafone Rg" w:hAnsi="Vodafone Rg"/>
          <w:noProof/>
          <w:lang w:eastAsia="en-AU"/>
        </w:rPr>
        <w:drawing>
          <wp:anchor distT="0" distB="0" distL="114300" distR="114300" simplePos="0" relativeHeight="251657728" behindDoc="0" locked="0" layoutInCell="1" allowOverlap="1" wp14:anchorId="2E8FF8DC" wp14:editId="644AEACF">
            <wp:simplePos x="0" y="0"/>
            <wp:positionH relativeFrom="page">
              <wp:posOffset>6372860</wp:posOffset>
            </wp:positionH>
            <wp:positionV relativeFrom="page">
              <wp:posOffset>485775</wp:posOffset>
            </wp:positionV>
            <wp:extent cx="647700" cy="647700"/>
            <wp:effectExtent l="0" t="0" r="12700" b="12700"/>
            <wp:wrapNone/>
            <wp:docPr id="3" name="Picture 1" descr="VF_Ro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_Rounde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anchor>
        </w:drawing>
      </w:r>
    </w:p>
    <w:p w:rsidR="000C27BD" w:rsidRPr="0049324A" w:rsidRDefault="000C27BD" w:rsidP="005C723A">
      <w:pPr>
        <w:spacing w:after="0" w:line="240" w:lineRule="auto"/>
        <w:jc w:val="right"/>
        <w:rPr>
          <w:rFonts w:ascii="Vodafone Rg" w:hAnsi="Vodafone Rg"/>
          <w:sz w:val="24"/>
          <w:szCs w:val="24"/>
          <w:highlight w:val="yellow"/>
        </w:rPr>
      </w:pPr>
    </w:p>
    <w:p w:rsidR="00376DEC" w:rsidRPr="0049324A" w:rsidRDefault="00376DEC" w:rsidP="005C723A">
      <w:pPr>
        <w:spacing w:after="0" w:line="240" w:lineRule="auto"/>
        <w:rPr>
          <w:rFonts w:ascii="Vodafone Rg" w:hAnsi="Vodafone Rg"/>
          <w:b/>
          <w:sz w:val="32"/>
          <w:szCs w:val="32"/>
        </w:rPr>
      </w:pPr>
    </w:p>
    <w:p w:rsidR="00376DEC" w:rsidRPr="0049324A" w:rsidRDefault="00376DEC" w:rsidP="005C723A">
      <w:pPr>
        <w:spacing w:after="0" w:line="240" w:lineRule="auto"/>
        <w:rPr>
          <w:rFonts w:ascii="Vodafone Rg" w:hAnsi="Vodafone Rg"/>
          <w:b/>
          <w:sz w:val="32"/>
          <w:szCs w:val="32"/>
        </w:rPr>
      </w:pPr>
    </w:p>
    <w:p w:rsidR="00F82C02" w:rsidRPr="0049324A" w:rsidRDefault="00F82C02" w:rsidP="005C723A">
      <w:pPr>
        <w:spacing w:after="0" w:line="240" w:lineRule="auto"/>
        <w:rPr>
          <w:rFonts w:ascii="Vodafone Rg" w:hAnsi="Vodafone Rg"/>
          <w:b/>
          <w:sz w:val="32"/>
          <w:szCs w:val="32"/>
        </w:rPr>
      </w:pPr>
    </w:p>
    <w:p w:rsidR="00376DEC" w:rsidRPr="0049324A" w:rsidRDefault="00376DEC" w:rsidP="005C723A">
      <w:pPr>
        <w:spacing w:after="0" w:line="240" w:lineRule="auto"/>
        <w:rPr>
          <w:rFonts w:ascii="Vodafone Rg" w:hAnsi="Vodafone Rg"/>
          <w:b/>
          <w:sz w:val="32"/>
          <w:szCs w:val="32"/>
        </w:rPr>
      </w:pPr>
    </w:p>
    <w:p w:rsidR="00E979C3" w:rsidRPr="0049324A" w:rsidRDefault="00E979C3" w:rsidP="005C723A">
      <w:pPr>
        <w:spacing w:after="0" w:line="240" w:lineRule="auto"/>
        <w:rPr>
          <w:rFonts w:ascii="Vodafone Rg" w:hAnsi="Vodafone Rg"/>
          <w:b/>
          <w:sz w:val="32"/>
          <w:szCs w:val="32"/>
        </w:rPr>
      </w:pPr>
    </w:p>
    <w:p w:rsidR="00376DEC" w:rsidRPr="0049324A" w:rsidRDefault="00376DEC" w:rsidP="005C723A">
      <w:pPr>
        <w:spacing w:after="0" w:line="240" w:lineRule="auto"/>
        <w:rPr>
          <w:rFonts w:ascii="Vodafone Rg" w:hAnsi="Vodafone Rg"/>
          <w:b/>
          <w:sz w:val="32"/>
          <w:szCs w:val="32"/>
        </w:rPr>
      </w:pPr>
    </w:p>
    <w:p w:rsidR="00376DEC" w:rsidRPr="0049324A" w:rsidRDefault="00376DEC" w:rsidP="005C723A">
      <w:pPr>
        <w:spacing w:after="0" w:line="240" w:lineRule="auto"/>
        <w:rPr>
          <w:rFonts w:ascii="Vodafone Rg" w:hAnsi="Vodafone Rg"/>
          <w:b/>
          <w:sz w:val="52"/>
          <w:szCs w:val="52"/>
        </w:rPr>
      </w:pPr>
    </w:p>
    <w:p w:rsidR="00376DEC" w:rsidRPr="003829BE" w:rsidRDefault="00E979C3" w:rsidP="005C723A">
      <w:pPr>
        <w:spacing w:after="0" w:line="240" w:lineRule="auto"/>
        <w:jc w:val="right"/>
        <w:rPr>
          <w:rFonts w:ascii="Vodafone Rg" w:hAnsi="Vodafone Rg"/>
          <w:sz w:val="56"/>
          <w:szCs w:val="56"/>
        </w:rPr>
      </w:pPr>
      <w:r w:rsidRPr="003829BE">
        <w:rPr>
          <w:rFonts w:ascii="Vodafone Rg" w:hAnsi="Vodafone Rg"/>
          <w:sz w:val="56"/>
          <w:szCs w:val="56"/>
        </w:rPr>
        <w:t xml:space="preserve">OPTIONS TO STRENGTHEN </w:t>
      </w:r>
      <w:r w:rsidR="003829BE" w:rsidRPr="003829BE">
        <w:rPr>
          <w:rFonts w:ascii="Vodafone Rg" w:hAnsi="Vodafone Rg"/>
          <w:sz w:val="56"/>
          <w:szCs w:val="56"/>
        </w:rPr>
        <w:t xml:space="preserve">THE </w:t>
      </w:r>
      <w:r w:rsidRPr="003829BE">
        <w:rPr>
          <w:rFonts w:ascii="Vodafone Rg" w:hAnsi="Vodafone Rg"/>
          <w:sz w:val="56"/>
          <w:szCs w:val="56"/>
        </w:rPr>
        <w:t xml:space="preserve">MISUSE OF </w:t>
      </w:r>
      <w:r w:rsidR="003829BE" w:rsidRPr="003829BE">
        <w:rPr>
          <w:rFonts w:ascii="Vodafone Rg" w:hAnsi="Vodafone Rg"/>
          <w:sz w:val="56"/>
          <w:szCs w:val="56"/>
        </w:rPr>
        <w:t xml:space="preserve">MARKET </w:t>
      </w:r>
      <w:r w:rsidRPr="003829BE">
        <w:rPr>
          <w:rFonts w:ascii="Vodafone Rg" w:hAnsi="Vodafone Rg"/>
          <w:sz w:val="56"/>
          <w:szCs w:val="56"/>
        </w:rPr>
        <w:t>POWER LAW</w:t>
      </w:r>
    </w:p>
    <w:p w:rsidR="00376DEC" w:rsidRPr="0049324A" w:rsidRDefault="00376DEC" w:rsidP="005C723A">
      <w:pPr>
        <w:spacing w:after="0" w:line="240" w:lineRule="auto"/>
        <w:rPr>
          <w:rFonts w:ascii="Vodafone Rg" w:hAnsi="Vodafone Rg"/>
          <w:b/>
          <w:sz w:val="52"/>
          <w:szCs w:val="52"/>
        </w:rPr>
      </w:pPr>
    </w:p>
    <w:p w:rsidR="00376DEC" w:rsidRPr="0049324A" w:rsidRDefault="00376DEC" w:rsidP="005C723A">
      <w:pPr>
        <w:spacing w:after="0" w:line="240" w:lineRule="auto"/>
        <w:rPr>
          <w:rFonts w:ascii="Vodafone Rg" w:hAnsi="Vodafone Rg"/>
          <w:b/>
          <w:sz w:val="52"/>
          <w:szCs w:val="52"/>
        </w:rPr>
      </w:pPr>
    </w:p>
    <w:p w:rsidR="00E979C3" w:rsidRPr="0049324A" w:rsidRDefault="00E979C3" w:rsidP="005C723A">
      <w:pPr>
        <w:spacing w:after="0" w:line="240" w:lineRule="auto"/>
        <w:rPr>
          <w:rFonts w:ascii="Vodafone Rg" w:hAnsi="Vodafone Rg"/>
          <w:b/>
          <w:sz w:val="52"/>
          <w:szCs w:val="52"/>
        </w:rPr>
      </w:pPr>
    </w:p>
    <w:p w:rsidR="00376DEC" w:rsidRPr="0049324A" w:rsidRDefault="00376DEC" w:rsidP="005C723A">
      <w:pPr>
        <w:spacing w:after="0" w:line="240" w:lineRule="auto"/>
        <w:rPr>
          <w:rFonts w:ascii="Vodafone Rg" w:hAnsi="Vodafone Rg"/>
          <w:b/>
          <w:sz w:val="52"/>
          <w:szCs w:val="52"/>
        </w:rPr>
      </w:pPr>
    </w:p>
    <w:p w:rsidR="004E0CDB" w:rsidRPr="0049324A" w:rsidRDefault="000223F6" w:rsidP="004E0CDB">
      <w:pPr>
        <w:spacing w:after="0" w:line="240" w:lineRule="auto"/>
        <w:jc w:val="right"/>
        <w:rPr>
          <w:rFonts w:ascii="Vodafone Rg" w:hAnsi="Vodafone Rg"/>
          <w:sz w:val="44"/>
          <w:szCs w:val="44"/>
        </w:rPr>
      </w:pPr>
      <w:r w:rsidRPr="0049324A">
        <w:rPr>
          <w:rFonts w:ascii="Vodafone Rg" w:hAnsi="Vodafone Rg"/>
          <w:b/>
          <w:sz w:val="52"/>
          <w:szCs w:val="52"/>
        </w:rPr>
        <w:t xml:space="preserve"> </w:t>
      </w:r>
      <w:r w:rsidRPr="0049324A">
        <w:rPr>
          <w:rFonts w:ascii="Vodafone Rg" w:hAnsi="Vodafone Rg"/>
          <w:sz w:val="48"/>
          <w:szCs w:val="48"/>
        </w:rPr>
        <w:t xml:space="preserve"> </w:t>
      </w:r>
      <w:r w:rsidRPr="0049324A">
        <w:rPr>
          <w:rFonts w:ascii="Vodafone Rg" w:hAnsi="Vodafone Rg"/>
          <w:sz w:val="44"/>
          <w:szCs w:val="44"/>
        </w:rPr>
        <w:t>S</w:t>
      </w:r>
      <w:r w:rsidR="00376DEC" w:rsidRPr="0049324A">
        <w:rPr>
          <w:rFonts w:ascii="Vodafone Rg" w:hAnsi="Vodafone Rg"/>
          <w:sz w:val="44"/>
          <w:szCs w:val="44"/>
        </w:rPr>
        <w:t xml:space="preserve">UBMISSION </w:t>
      </w:r>
      <w:r w:rsidR="00E979C3" w:rsidRPr="0049324A">
        <w:rPr>
          <w:rFonts w:ascii="Vodafone Rg" w:hAnsi="Vodafone Rg"/>
          <w:sz w:val="44"/>
          <w:szCs w:val="44"/>
        </w:rPr>
        <w:t>ON DISCUSSION PAPER</w:t>
      </w:r>
      <w:r w:rsidR="00EA32D3" w:rsidRPr="0049324A">
        <w:rPr>
          <w:rFonts w:ascii="Vodafone Rg" w:hAnsi="Vodafone Rg"/>
          <w:sz w:val="44"/>
          <w:szCs w:val="44"/>
        </w:rPr>
        <w:t xml:space="preserve"> </w:t>
      </w:r>
      <w:r w:rsidR="004E0CDB" w:rsidRPr="0049324A">
        <w:rPr>
          <w:rFonts w:ascii="Vodafone Rg" w:hAnsi="Vodafone Rg"/>
          <w:sz w:val="44"/>
          <w:szCs w:val="44"/>
        </w:rPr>
        <w:t xml:space="preserve">BY </w:t>
      </w:r>
    </w:p>
    <w:p w:rsidR="00376DEC" w:rsidRPr="0049324A" w:rsidRDefault="004E0CDB" w:rsidP="004E0CDB">
      <w:pPr>
        <w:spacing w:after="0" w:line="240" w:lineRule="auto"/>
        <w:jc w:val="right"/>
        <w:rPr>
          <w:rFonts w:ascii="Vodafone Rg" w:hAnsi="Vodafone Rg"/>
          <w:sz w:val="44"/>
          <w:szCs w:val="44"/>
        </w:rPr>
      </w:pPr>
      <w:r w:rsidRPr="0049324A">
        <w:rPr>
          <w:rFonts w:ascii="Vodafone Rg" w:hAnsi="Vodafone Rg"/>
          <w:sz w:val="44"/>
          <w:szCs w:val="44"/>
        </w:rPr>
        <w:t>VODAFONE HUTCHISON AUSTRALIA</w:t>
      </w:r>
    </w:p>
    <w:p w:rsidR="00376DEC" w:rsidRPr="0049324A" w:rsidRDefault="00376DEC" w:rsidP="005C723A">
      <w:pPr>
        <w:spacing w:after="0" w:line="240" w:lineRule="auto"/>
        <w:rPr>
          <w:rFonts w:ascii="Vodafone Rg" w:hAnsi="Vodafone Rg"/>
          <w:b/>
          <w:sz w:val="52"/>
          <w:szCs w:val="52"/>
        </w:rPr>
      </w:pPr>
    </w:p>
    <w:p w:rsidR="00376DEC" w:rsidRPr="0049324A" w:rsidRDefault="00376DEC" w:rsidP="005C723A">
      <w:pPr>
        <w:spacing w:after="0" w:line="240" w:lineRule="auto"/>
        <w:rPr>
          <w:rFonts w:ascii="Vodafone Rg" w:hAnsi="Vodafone Rg"/>
          <w:b/>
          <w:sz w:val="52"/>
          <w:szCs w:val="52"/>
        </w:rPr>
      </w:pPr>
    </w:p>
    <w:p w:rsidR="00376DEC" w:rsidRPr="0049324A" w:rsidRDefault="00376DEC" w:rsidP="005C723A">
      <w:pPr>
        <w:spacing w:after="0" w:line="240" w:lineRule="auto"/>
        <w:rPr>
          <w:rFonts w:ascii="Vodafone Rg" w:hAnsi="Vodafone Rg"/>
          <w:b/>
          <w:sz w:val="52"/>
          <w:szCs w:val="52"/>
        </w:rPr>
      </w:pPr>
    </w:p>
    <w:p w:rsidR="00376DEC" w:rsidRPr="0049324A" w:rsidRDefault="00E979C3" w:rsidP="008814AC">
      <w:pPr>
        <w:spacing w:after="0" w:line="240" w:lineRule="auto"/>
        <w:ind w:left="720"/>
        <w:jc w:val="right"/>
        <w:rPr>
          <w:rFonts w:ascii="Vodafone Rg" w:hAnsi="Vodafone Rg"/>
          <w:sz w:val="32"/>
          <w:szCs w:val="32"/>
        </w:rPr>
        <w:sectPr w:rsidR="00376DEC" w:rsidRPr="0049324A" w:rsidSect="006C2A8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sidRPr="0049324A">
        <w:rPr>
          <w:rFonts w:ascii="Vodafone Rg" w:hAnsi="Vodafone Rg"/>
          <w:sz w:val="32"/>
          <w:szCs w:val="32"/>
        </w:rPr>
        <w:t>12 February</w:t>
      </w:r>
      <w:r w:rsidR="00464950" w:rsidRPr="0049324A">
        <w:rPr>
          <w:rFonts w:ascii="Vodafone Rg" w:hAnsi="Vodafone Rg"/>
          <w:sz w:val="32"/>
          <w:szCs w:val="32"/>
        </w:rPr>
        <w:t xml:space="preserve"> </w:t>
      </w:r>
      <w:r w:rsidR="00376DEC" w:rsidRPr="0049324A">
        <w:rPr>
          <w:rFonts w:ascii="Vodafone Rg" w:hAnsi="Vodafone Rg"/>
          <w:sz w:val="32"/>
          <w:szCs w:val="32"/>
        </w:rPr>
        <w:t>201</w:t>
      </w:r>
      <w:r w:rsidR="003829BE">
        <w:rPr>
          <w:rFonts w:ascii="Vodafone Rg" w:hAnsi="Vodafone Rg"/>
          <w:sz w:val="32"/>
          <w:szCs w:val="32"/>
        </w:rPr>
        <w:t>6</w:t>
      </w:r>
    </w:p>
    <w:p w:rsidR="00DE2B6F" w:rsidRPr="0049324A" w:rsidRDefault="0086229C" w:rsidP="00626B7C">
      <w:pPr>
        <w:spacing w:after="120" w:line="240" w:lineRule="auto"/>
        <w:rPr>
          <w:rFonts w:ascii="Vodafone Rg" w:hAnsi="Vodafone Rg"/>
          <w:b/>
          <w:sz w:val="36"/>
          <w:szCs w:val="36"/>
        </w:rPr>
      </w:pPr>
      <w:r w:rsidRPr="0049324A">
        <w:rPr>
          <w:rFonts w:ascii="Vodafone Rg" w:hAnsi="Vodafone Rg"/>
          <w:b/>
          <w:sz w:val="36"/>
          <w:szCs w:val="36"/>
        </w:rPr>
        <w:lastRenderedPageBreak/>
        <w:t>EXECUTIVE SUMM</w:t>
      </w:r>
      <w:r w:rsidR="00BF4C76" w:rsidRPr="0049324A">
        <w:rPr>
          <w:rFonts w:ascii="Vodafone Rg" w:hAnsi="Vodafone Rg"/>
          <w:b/>
          <w:sz w:val="36"/>
          <w:szCs w:val="36"/>
        </w:rPr>
        <w:t>A</w:t>
      </w:r>
      <w:r w:rsidR="004E22FB" w:rsidRPr="0049324A">
        <w:rPr>
          <w:rFonts w:ascii="Vodafone Rg" w:hAnsi="Vodafone Rg"/>
          <w:b/>
          <w:sz w:val="36"/>
          <w:szCs w:val="36"/>
        </w:rPr>
        <w:t>R</w:t>
      </w:r>
      <w:r w:rsidRPr="0049324A">
        <w:rPr>
          <w:rFonts w:ascii="Vodafone Rg" w:hAnsi="Vodafone Rg"/>
          <w:b/>
          <w:sz w:val="36"/>
          <w:szCs w:val="36"/>
        </w:rPr>
        <w:t>Y</w:t>
      </w:r>
    </w:p>
    <w:p w:rsidR="00DE2B6F" w:rsidRPr="0049324A" w:rsidRDefault="00DE2B6F" w:rsidP="008814AC">
      <w:pPr>
        <w:spacing w:after="0" w:line="240" w:lineRule="auto"/>
        <w:rPr>
          <w:rFonts w:ascii="Vodafone Rg" w:hAnsi="Vodafone Rg" w:cs="Arial Narrow"/>
          <w:lang w:eastAsia="en-AU"/>
        </w:rPr>
      </w:pPr>
    </w:p>
    <w:p w:rsidR="00E979C3" w:rsidRPr="0049324A" w:rsidRDefault="00A55BFC" w:rsidP="00A55BFC">
      <w:pPr>
        <w:autoSpaceDE w:val="0"/>
        <w:autoSpaceDN w:val="0"/>
        <w:spacing w:after="240"/>
        <w:rPr>
          <w:rFonts w:ascii="Vodafone Rg" w:hAnsi="Vodafone Rg" w:cs="Arial Narrow"/>
          <w:lang w:eastAsia="en-AU"/>
        </w:rPr>
      </w:pPr>
      <w:r w:rsidRPr="0049324A">
        <w:rPr>
          <w:rFonts w:ascii="Vodafone Rg" w:hAnsi="Vodafone Rg" w:cs="Arial Narrow"/>
          <w:lang w:eastAsia="en-AU"/>
        </w:rPr>
        <w:t>Vodafone Hutchison Australia (</w:t>
      </w:r>
      <w:r w:rsidRPr="0049324A">
        <w:rPr>
          <w:rFonts w:ascii="Vodafone Rg" w:hAnsi="Vodafone Rg" w:cs="Arial Narrow"/>
          <w:b/>
          <w:lang w:eastAsia="en-AU"/>
        </w:rPr>
        <w:t>VHA</w:t>
      </w:r>
      <w:r w:rsidRPr="0049324A">
        <w:rPr>
          <w:rFonts w:ascii="Vodafone Rg" w:hAnsi="Vodafone Rg" w:cs="Arial Narrow"/>
          <w:lang w:eastAsia="en-AU"/>
        </w:rPr>
        <w:t>) makes this submission in response to the discussion paper released by the Australian Government on 11 December 2015 (</w:t>
      </w:r>
      <w:r w:rsidRPr="0049324A">
        <w:rPr>
          <w:rFonts w:ascii="Vodafone Rg" w:hAnsi="Vodafone Rg" w:cs="Arial Narrow"/>
          <w:b/>
          <w:lang w:eastAsia="en-AU"/>
        </w:rPr>
        <w:t>Discussion Paper</w:t>
      </w:r>
      <w:r w:rsidR="00BF4C76" w:rsidRPr="0049324A">
        <w:rPr>
          <w:rFonts w:ascii="Vodafone Rg" w:hAnsi="Vodafone Rg" w:cs="Arial Narrow"/>
          <w:lang w:eastAsia="en-AU"/>
        </w:rPr>
        <w:t xml:space="preserve">) on options to strengthen the misuse of market power prohibition in section 46 of the </w:t>
      </w:r>
      <w:r w:rsidR="00BF4C76" w:rsidRPr="0049324A">
        <w:rPr>
          <w:rFonts w:ascii="Vodafone Rg" w:hAnsi="Vodafone Rg" w:cs="Arial Narrow"/>
          <w:i/>
          <w:lang w:eastAsia="en-AU"/>
        </w:rPr>
        <w:t>Competition and Consumer Act 2010 (Cth)</w:t>
      </w:r>
      <w:r w:rsidR="00BF4C76" w:rsidRPr="0049324A">
        <w:rPr>
          <w:rFonts w:ascii="Vodafone Rg" w:hAnsi="Vodafone Rg" w:cs="Arial Narrow"/>
          <w:lang w:eastAsia="en-AU"/>
        </w:rPr>
        <w:t xml:space="preserve"> (</w:t>
      </w:r>
      <w:r w:rsidR="00BF4C76" w:rsidRPr="0049324A">
        <w:rPr>
          <w:rFonts w:ascii="Vodafone Rg" w:hAnsi="Vodafone Rg" w:cs="Arial Narrow"/>
          <w:b/>
          <w:lang w:eastAsia="en-AU"/>
        </w:rPr>
        <w:t>CCA</w:t>
      </w:r>
      <w:r w:rsidR="00BF4C76" w:rsidRPr="0049324A">
        <w:rPr>
          <w:rFonts w:ascii="Vodafone Rg" w:hAnsi="Vodafone Rg" w:cs="Arial Narrow"/>
          <w:lang w:eastAsia="en-AU"/>
        </w:rPr>
        <w:t xml:space="preserve">).  </w:t>
      </w:r>
    </w:p>
    <w:p w:rsidR="00A55BFC" w:rsidRDefault="00E979C3" w:rsidP="00A55BFC">
      <w:pPr>
        <w:autoSpaceDE w:val="0"/>
        <w:autoSpaceDN w:val="0"/>
        <w:spacing w:after="240"/>
        <w:rPr>
          <w:rFonts w:ascii="Vodafone Rg" w:hAnsi="Vodafone Rg" w:cs="Arial Narrow"/>
          <w:lang w:eastAsia="en-AU"/>
        </w:rPr>
      </w:pPr>
      <w:r w:rsidRPr="0049324A">
        <w:rPr>
          <w:rFonts w:ascii="Vodafone Rg" w:hAnsi="Vodafone Rg" w:cs="Arial Narrow"/>
          <w:lang w:eastAsia="en-AU"/>
        </w:rPr>
        <w:t xml:space="preserve">VHA has previously </w:t>
      </w:r>
      <w:r w:rsidR="00A55BFC" w:rsidRPr="0049324A">
        <w:rPr>
          <w:rFonts w:ascii="Vodafone Rg" w:hAnsi="Vodafone Rg" w:cs="Arial Narrow"/>
          <w:lang w:eastAsia="en-AU"/>
        </w:rPr>
        <w:t xml:space="preserve">made </w:t>
      </w:r>
      <w:r w:rsidR="00BF4C76" w:rsidRPr="0049324A">
        <w:rPr>
          <w:rFonts w:ascii="Vodafone Rg" w:hAnsi="Vodafone Rg" w:cs="Arial Narrow"/>
          <w:lang w:eastAsia="en-AU"/>
        </w:rPr>
        <w:t xml:space="preserve">a series of </w:t>
      </w:r>
      <w:r w:rsidR="00A55BFC" w:rsidRPr="0049324A">
        <w:rPr>
          <w:rFonts w:ascii="Vodafone Rg" w:hAnsi="Vodafone Rg" w:cs="Arial Narrow"/>
          <w:lang w:eastAsia="en-AU"/>
        </w:rPr>
        <w:t xml:space="preserve">submissions </w:t>
      </w:r>
      <w:r w:rsidR="00BF4C76" w:rsidRPr="0049324A">
        <w:rPr>
          <w:rFonts w:ascii="Vodafone Rg" w:hAnsi="Vodafone Rg" w:cs="Arial Narrow"/>
          <w:lang w:eastAsia="en-AU"/>
        </w:rPr>
        <w:t>in support of the review undertaken by the</w:t>
      </w:r>
      <w:r w:rsidR="00A55BFC" w:rsidRPr="0049324A">
        <w:rPr>
          <w:rFonts w:ascii="Vodafone Rg" w:hAnsi="Vodafone Rg" w:cs="Arial Narrow"/>
          <w:lang w:eastAsia="en-AU"/>
        </w:rPr>
        <w:t xml:space="preserve"> Competition Policy Review Panel (</w:t>
      </w:r>
      <w:r w:rsidR="00A55BFC" w:rsidRPr="0049324A">
        <w:rPr>
          <w:rFonts w:ascii="Vodafone Rg" w:hAnsi="Vodafone Rg" w:cs="Arial Narrow"/>
          <w:b/>
          <w:lang w:eastAsia="en-AU"/>
        </w:rPr>
        <w:t>Harper Panel</w:t>
      </w:r>
      <w:r w:rsidR="00A55BFC" w:rsidRPr="0049324A">
        <w:rPr>
          <w:rFonts w:ascii="Vodafone Rg" w:hAnsi="Vodafone Rg" w:cs="Arial Narrow"/>
          <w:lang w:eastAsia="en-AU"/>
        </w:rPr>
        <w:t xml:space="preserve">).  </w:t>
      </w:r>
      <w:r w:rsidRPr="0049324A">
        <w:rPr>
          <w:rFonts w:ascii="Vodafone Rg" w:hAnsi="Vodafone Rg" w:cs="Arial Narrow"/>
          <w:lang w:eastAsia="en-AU"/>
        </w:rPr>
        <w:t xml:space="preserve">We are pleased with the Australian Government’s response to the Harper Panel recommendations. </w:t>
      </w:r>
      <w:r w:rsidR="00A55BFC" w:rsidRPr="0049324A">
        <w:rPr>
          <w:rFonts w:ascii="Vodafone Rg" w:hAnsi="Vodafone Rg" w:cs="Arial Narrow"/>
          <w:lang w:eastAsia="en-AU"/>
        </w:rPr>
        <w:t xml:space="preserve">  </w:t>
      </w:r>
    </w:p>
    <w:p w:rsidR="003829BE" w:rsidRDefault="003829BE" w:rsidP="003829BE">
      <w:pPr>
        <w:autoSpaceDE w:val="0"/>
        <w:autoSpaceDN w:val="0"/>
        <w:spacing w:after="240"/>
        <w:rPr>
          <w:rFonts w:ascii="Vodafone Rg" w:hAnsi="Vodafone Rg" w:cs="Arial Narrow"/>
          <w:lang w:eastAsia="en-AU"/>
        </w:rPr>
      </w:pPr>
      <w:r>
        <w:rPr>
          <w:rFonts w:ascii="Vodafone Rg" w:hAnsi="Vodafone Rg" w:cs="Arial Narrow"/>
          <w:lang w:eastAsia="en-AU"/>
        </w:rPr>
        <w:t>VHA</w:t>
      </w:r>
      <w:r w:rsidRPr="003829BE">
        <w:rPr>
          <w:rFonts w:ascii="Vodafone Rg" w:hAnsi="Vodafone Rg" w:cs="Arial Narrow"/>
          <w:lang w:eastAsia="en-AU"/>
        </w:rPr>
        <w:t xml:space="preserve"> welcomes the </w:t>
      </w:r>
      <w:r>
        <w:rPr>
          <w:rFonts w:ascii="Vodafone Rg" w:hAnsi="Vodafone Rg" w:cs="Arial Narrow"/>
          <w:lang w:eastAsia="en-AU"/>
        </w:rPr>
        <w:t xml:space="preserve">Australian </w:t>
      </w:r>
      <w:r w:rsidRPr="003829BE">
        <w:rPr>
          <w:rFonts w:ascii="Vodafone Rg" w:hAnsi="Vodafone Rg" w:cs="Arial Narrow"/>
          <w:lang w:eastAsia="en-AU"/>
        </w:rPr>
        <w:t xml:space="preserve">Government’s decision to consider reform of </w:t>
      </w:r>
      <w:r>
        <w:rPr>
          <w:rFonts w:ascii="Vodafone Rg" w:hAnsi="Vodafone Rg" w:cs="Arial Narrow"/>
          <w:lang w:eastAsia="en-AU"/>
        </w:rPr>
        <w:t>s</w:t>
      </w:r>
      <w:r w:rsidRPr="003829BE">
        <w:rPr>
          <w:rFonts w:ascii="Vodafone Rg" w:hAnsi="Vodafone Rg" w:cs="Arial Narrow"/>
          <w:lang w:eastAsia="en-AU"/>
        </w:rPr>
        <w:t xml:space="preserve"> 46 of the </w:t>
      </w:r>
      <w:r>
        <w:rPr>
          <w:rFonts w:ascii="Vodafone Rg" w:hAnsi="Vodafone Rg" w:cs="Arial Narrow"/>
          <w:lang w:eastAsia="en-AU"/>
        </w:rPr>
        <w:t>CCA</w:t>
      </w:r>
      <w:r w:rsidRPr="003829BE">
        <w:rPr>
          <w:rFonts w:ascii="Vodafone Rg" w:hAnsi="Vodafone Rg" w:cs="Arial Narrow"/>
          <w:lang w:eastAsia="en-AU"/>
        </w:rPr>
        <w:t>. An effective misuse of market power protection is a key part of the competition regulatory framework.</w:t>
      </w:r>
      <w:r>
        <w:rPr>
          <w:rFonts w:ascii="Vodafone Rg" w:hAnsi="Vodafone Rg" w:cs="Arial Narrow"/>
          <w:lang w:eastAsia="en-AU"/>
        </w:rPr>
        <w:t xml:space="preserve"> </w:t>
      </w:r>
    </w:p>
    <w:p w:rsidR="003829BE" w:rsidRPr="003829BE" w:rsidRDefault="003829BE" w:rsidP="003829BE">
      <w:pPr>
        <w:autoSpaceDE w:val="0"/>
        <w:autoSpaceDN w:val="0"/>
        <w:spacing w:after="240"/>
        <w:rPr>
          <w:rFonts w:ascii="Vodafone Rg" w:hAnsi="Vodafone Rg" w:cs="Arial Narrow"/>
          <w:lang w:eastAsia="en-AU"/>
        </w:rPr>
      </w:pPr>
      <w:r>
        <w:rPr>
          <w:rFonts w:ascii="Vodafone Rg" w:hAnsi="Vodafone Rg"/>
        </w:rPr>
        <w:t>Given</w:t>
      </w:r>
      <w:r w:rsidRPr="003829BE">
        <w:rPr>
          <w:rFonts w:ascii="Vodafone Rg" w:hAnsi="Vodafone Rg"/>
        </w:rPr>
        <w:t xml:space="preserve"> our strong support for e</w:t>
      </w:r>
      <w:r>
        <w:rPr>
          <w:rFonts w:ascii="Vodafone Rg" w:hAnsi="Vodafone Rg"/>
        </w:rPr>
        <w:t xml:space="preserve">ffective competition regulation, </w:t>
      </w:r>
      <w:r w:rsidRPr="003829BE">
        <w:rPr>
          <w:rFonts w:ascii="Vodafone Rg" w:hAnsi="Vodafone Rg"/>
        </w:rPr>
        <w:t>VHA supports the need for reform to s</w:t>
      </w:r>
      <w:r>
        <w:rPr>
          <w:rFonts w:ascii="Vodafone Rg" w:hAnsi="Vodafone Rg"/>
        </w:rPr>
        <w:t xml:space="preserve"> </w:t>
      </w:r>
      <w:r w:rsidRPr="003829BE">
        <w:rPr>
          <w:rFonts w:ascii="Vodafone Rg" w:hAnsi="Vodafone Rg"/>
        </w:rPr>
        <w:t>46. As the third largest telecommunications company we are a ‘major corporate’ in the scheme of Australian business. We are also a company that strongly supports the need for there to be an effective regulatory framework that promotes competition and prevents dominant players from using their strength to prevent other players competing effectively.  We therefore believe that our perspective may present a middle way through the current s</w:t>
      </w:r>
      <w:r w:rsidR="00731BF9">
        <w:rPr>
          <w:rFonts w:ascii="Vodafone Rg" w:hAnsi="Vodafone Rg"/>
        </w:rPr>
        <w:t xml:space="preserve"> </w:t>
      </w:r>
      <w:r w:rsidRPr="003829BE">
        <w:rPr>
          <w:rFonts w:ascii="Vodafone Rg" w:hAnsi="Vodafone Rg"/>
        </w:rPr>
        <w:t>46 debate which has unfortunately</w:t>
      </w:r>
      <w:r>
        <w:rPr>
          <w:rFonts w:ascii="Vodafone Rg" w:hAnsi="Vodafone Rg"/>
        </w:rPr>
        <w:t xml:space="preserve"> </w:t>
      </w:r>
      <w:r w:rsidR="00731BF9">
        <w:rPr>
          <w:rFonts w:ascii="Vodafone Rg" w:hAnsi="Vodafone Rg"/>
        </w:rPr>
        <w:t>been framed as</w:t>
      </w:r>
      <w:r>
        <w:rPr>
          <w:rFonts w:ascii="Vodafone Rg" w:hAnsi="Vodafone Rg"/>
        </w:rPr>
        <w:t xml:space="preserve"> a </w:t>
      </w:r>
      <w:r w:rsidR="00731BF9">
        <w:rPr>
          <w:rFonts w:ascii="Vodafone Rg" w:hAnsi="Vodafone Rg"/>
        </w:rPr>
        <w:t>‘</w:t>
      </w:r>
      <w:r>
        <w:rPr>
          <w:rFonts w:ascii="Vodafone Rg" w:hAnsi="Vodafone Rg"/>
        </w:rPr>
        <w:t xml:space="preserve">big business vs </w:t>
      </w:r>
      <w:r w:rsidRPr="003829BE">
        <w:rPr>
          <w:rFonts w:ascii="Vodafone Rg" w:hAnsi="Vodafone Rg"/>
        </w:rPr>
        <w:t>small business</w:t>
      </w:r>
      <w:r w:rsidR="00731BF9">
        <w:rPr>
          <w:rFonts w:ascii="Vodafone Rg" w:hAnsi="Vodafone Rg"/>
        </w:rPr>
        <w:t>’</w:t>
      </w:r>
      <w:r w:rsidRPr="003829BE">
        <w:rPr>
          <w:rFonts w:ascii="Vodafone Rg" w:hAnsi="Vodafone Rg"/>
        </w:rPr>
        <w:t xml:space="preserve"> </w:t>
      </w:r>
      <w:r w:rsidR="00731BF9">
        <w:rPr>
          <w:rFonts w:ascii="Vodafone Rg" w:hAnsi="Vodafone Rg"/>
        </w:rPr>
        <w:t>debate.</w:t>
      </w:r>
    </w:p>
    <w:p w:rsidR="0061027D" w:rsidRPr="0049324A" w:rsidRDefault="0061027D" w:rsidP="0061027D">
      <w:pPr>
        <w:rPr>
          <w:rFonts w:ascii="Vodafone Rg" w:hAnsi="Vodafone Rg"/>
        </w:rPr>
      </w:pPr>
      <w:r w:rsidRPr="0049324A">
        <w:rPr>
          <w:rFonts w:ascii="Vodafone Rg" w:hAnsi="Vodafone Rg"/>
        </w:rPr>
        <w:t xml:space="preserve">VHA’s concern is that s 46 has a normative focus on purpose and firm-specific harm, rather an objective focus on holistic competitive effect.  VHA notes the politicisation of debate, so while VHA supports the need for amendment, Option E seems the most appropriate of the various Options proposed.  </w:t>
      </w:r>
    </w:p>
    <w:p w:rsidR="0061027D" w:rsidRPr="0049324A" w:rsidRDefault="0061027D" w:rsidP="00626B7C">
      <w:pPr>
        <w:spacing w:after="360"/>
        <w:rPr>
          <w:rFonts w:ascii="Vodafone Rg" w:hAnsi="Vodafone Rg"/>
        </w:rPr>
      </w:pPr>
      <w:r w:rsidRPr="0049324A">
        <w:rPr>
          <w:rFonts w:ascii="Vodafone Rg" w:hAnsi="Vodafone Rg"/>
        </w:rPr>
        <w:t>Alternatively, given significant controversy directed at the removal of ‘taking advantage’, another sensible solution may be a simpl</w:t>
      </w:r>
      <w:r w:rsidR="007F51D6">
        <w:rPr>
          <w:rFonts w:ascii="Vodafone Rg" w:hAnsi="Vodafone Rg"/>
        </w:rPr>
        <w:t xml:space="preserve">e ‘effects test’ amendment to s </w:t>
      </w:r>
      <w:r w:rsidRPr="0049324A">
        <w:rPr>
          <w:rFonts w:ascii="Vodafone Rg" w:hAnsi="Vodafone Rg"/>
        </w:rPr>
        <w:t xml:space="preserve">46 to align it </w:t>
      </w:r>
      <w:r w:rsidR="00731BF9" w:rsidRPr="00731BF9">
        <w:rPr>
          <w:rFonts w:ascii="Vodafone Rg" w:hAnsi="Vodafone Rg"/>
        </w:rPr>
        <w:t>Part XIB and s151AJ(2)</w:t>
      </w:r>
      <w:r w:rsidR="00731BF9">
        <w:rPr>
          <w:rFonts w:ascii="Vodafone Rg" w:hAnsi="Vodafone Rg"/>
        </w:rPr>
        <w:t xml:space="preserve"> of the CCA</w:t>
      </w:r>
      <w:r w:rsidR="007F51D6">
        <w:rPr>
          <w:rFonts w:ascii="Vodafone Rg" w:hAnsi="Vodafone Rg"/>
        </w:rPr>
        <w:t>, drawing from the approach that has</w:t>
      </w:r>
      <w:r w:rsidRPr="0049324A">
        <w:rPr>
          <w:rFonts w:ascii="Vodafone Rg" w:hAnsi="Vodafone Rg"/>
        </w:rPr>
        <w:t xml:space="preserve"> applied in telecoms</w:t>
      </w:r>
      <w:r w:rsidR="007F51D6">
        <w:rPr>
          <w:rFonts w:ascii="Vodafone Rg" w:hAnsi="Vodafone Rg"/>
        </w:rPr>
        <w:t xml:space="preserve"> for the last two decades</w:t>
      </w:r>
      <w:r w:rsidRPr="0049324A">
        <w:rPr>
          <w:rFonts w:ascii="Vodafone Rg" w:hAnsi="Vodafone Rg"/>
        </w:rPr>
        <w:t>.</w:t>
      </w:r>
    </w:p>
    <w:p w:rsidR="00A55BFC" w:rsidRPr="0049324A" w:rsidRDefault="00626B7C" w:rsidP="00626B7C">
      <w:pPr>
        <w:autoSpaceDE w:val="0"/>
        <w:autoSpaceDN w:val="0"/>
        <w:spacing w:before="240" w:after="240"/>
        <w:rPr>
          <w:rFonts w:ascii="Vodafone Rg" w:hAnsi="Vodafone Rg" w:cs="Arial"/>
          <w:b/>
        </w:rPr>
      </w:pPr>
      <w:r w:rsidRPr="0049324A">
        <w:rPr>
          <w:rFonts w:ascii="Vodafone Rg" w:hAnsi="Vodafone Rg" w:cs="Arial"/>
          <w:b/>
        </w:rPr>
        <w:t>1.</w:t>
      </w:r>
      <w:r w:rsidRPr="0049324A">
        <w:rPr>
          <w:rFonts w:ascii="Vodafone Rg" w:hAnsi="Vodafone Rg" w:cs="Arial"/>
          <w:b/>
        </w:rPr>
        <w:tab/>
      </w:r>
      <w:r w:rsidR="00A55BFC" w:rsidRPr="0049324A">
        <w:rPr>
          <w:rFonts w:ascii="Vodafone Rg" w:hAnsi="Vodafone Rg" w:cs="Arial"/>
          <w:b/>
        </w:rPr>
        <w:t xml:space="preserve">VHA </w:t>
      </w:r>
      <w:r w:rsidR="0061027D" w:rsidRPr="0049324A">
        <w:rPr>
          <w:rFonts w:ascii="Vodafone Rg" w:hAnsi="Vodafone Rg" w:cs="Arial"/>
          <w:b/>
        </w:rPr>
        <w:t>supports the need for</w:t>
      </w:r>
      <w:r w:rsidR="00A55BFC" w:rsidRPr="0049324A">
        <w:rPr>
          <w:rFonts w:ascii="Vodafone Rg" w:hAnsi="Vodafone Rg" w:cs="Arial"/>
          <w:b/>
        </w:rPr>
        <w:t xml:space="preserve"> reform </w:t>
      </w:r>
      <w:r w:rsidR="0061027D" w:rsidRPr="0049324A">
        <w:rPr>
          <w:rFonts w:ascii="Vodafone Rg" w:hAnsi="Vodafone Rg" w:cs="Arial"/>
          <w:b/>
        </w:rPr>
        <w:t>of s 46</w:t>
      </w:r>
    </w:p>
    <w:p w:rsidR="003829BE" w:rsidRDefault="0061027D" w:rsidP="003829BE">
      <w:pPr>
        <w:autoSpaceDE w:val="0"/>
        <w:autoSpaceDN w:val="0"/>
        <w:spacing w:after="240"/>
        <w:ind w:left="567"/>
        <w:rPr>
          <w:rFonts w:ascii="Vodafone Rg" w:hAnsi="Vodafone Rg"/>
        </w:rPr>
      </w:pPr>
      <w:r w:rsidRPr="0049324A">
        <w:rPr>
          <w:rFonts w:ascii="Vodafone Rg" w:hAnsi="Vodafone Rg"/>
        </w:rPr>
        <w:t xml:space="preserve">While the reform of s 46 is only a small part of the Harper reforms, it has been the most controversial.  </w:t>
      </w:r>
      <w:r w:rsidR="003829BE" w:rsidRPr="00A76050">
        <w:rPr>
          <w:rFonts w:ascii="Vodafone Rg" w:hAnsi="Vodafone Rg"/>
        </w:rPr>
        <w:t>We believe that the debate about s</w:t>
      </w:r>
      <w:r w:rsidR="003829BE">
        <w:rPr>
          <w:rFonts w:ascii="Vodafone Rg" w:hAnsi="Vodafone Rg"/>
        </w:rPr>
        <w:t xml:space="preserve"> </w:t>
      </w:r>
      <w:r w:rsidR="003829BE" w:rsidRPr="00A76050">
        <w:rPr>
          <w:rFonts w:ascii="Vodafone Rg" w:hAnsi="Vodafone Rg"/>
        </w:rPr>
        <w:t>46 reform has become emblematic of the debate about how we can improve competition regulation in this country</w:t>
      </w:r>
      <w:r w:rsidR="003829BE">
        <w:rPr>
          <w:rFonts w:ascii="Vodafone Rg" w:hAnsi="Vodafone Rg"/>
        </w:rPr>
        <w:t>.</w:t>
      </w:r>
      <w:r w:rsidRPr="0049324A">
        <w:rPr>
          <w:rFonts w:ascii="Vodafone Rg" w:hAnsi="Vodafone Rg"/>
        </w:rPr>
        <w:t xml:space="preserve"> It is disappointing the debate has become polarised between the interests of ‘big’ and ‘small’</w:t>
      </w:r>
      <w:r w:rsidR="003829BE">
        <w:rPr>
          <w:rFonts w:ascii="Vodafone Rg" w:hAnsi="Vodafone Rg"/>
        </w:rPr>
        <w:t xml:space="preserve"> business.</w:t>
      </w:r>
      <w:r w:rsidRPr="0049324A">
        <w:rPr>
          <w:rFonts w:ascii="Vodafone Rg" w:hAnsi="Vodafone Rg"/>
        </w:rPr>
        <w:t xml:space="preserve"> </w:t>
      </w:r>
      <w:r w:rsidR="003829BE" w:rsidRPr="003829BE">
        <w:rPr>
          <w:rFonts w:ascii="Vodafone Rg" w:hAnsi="Vodafone Rg"/>
        </w:rPr>
        <w:t xml:space="preserve">What is most important in this discussion is the need for reform to deliver an ability for the competition regulatory regime to overcome the barriers to effective competition and the prevention of any behaviour </w:t>
      </w:r>
      <w:r w:rsidR="00731BF9" w:rsidRPr="00731BF9">
        <w:rPr>
          <w:rFonts w:ascii="Vodafone Rg" w:hAnsi="Vodafone Rg"/>
        </w:rPr>
        <w:t>by firms with substantial market power (</w:t>
      </w:r>
      <w:r w:rsidR="00731BF9" w:rsidRPr="00731BF9">
        <w:rPr>
          <w:rFonts w:ascii="Vodafone Rg" w:hAnsi="Vodafone Rg"/>
          <w:b/>
        </w:rPr>
        <w:t>SMP</w:t>
      </w:r>
      <w:r w:rsidR="00731BF9">
        <w:rPr>
          <w:rFonts w:ascii="Vodafone Rg" w:hAnsi="Vodafone Rg"/>
        </w:rPr>
        <w:t xml:space="preserve">) that </w:t>
      </w:r>
      <w:r w:rsidR="005B7C68">
        <w:rPr>
          <w:rFonts w:ascii="Vodafone Rg" w:hAnsi="Vodafone Rg"/>
        </w:rPr>
        <w:t>prevent</w:t>
      </w:r>
      <w:r w:rsidR="003829BE" w:rsidRPr="003829BE">
        <w:rPr>
          <w:rFonts w:ascii="Vodafone Rg" w:hAnsi="Vodafone Rg"/>
        </w:rPr>
        <w:t xml:space="preserve"> the market from delivering efficient outcomes.</w:t>
      </w:r>
    </w:p>
    <w:p w:rsidR="005F03FC" w:rsidRDefault="003829BE" w:rsidP="005F03FC">
      <w:pPr>
        <w:autoSpaceDE w:val="0"/>
        <w:autoSpaceDN w:val="0"/>
        <w:spacing w:after="240"/>
        <w:ind w:left="567"/>
        <w:rPr>
          <w:rFonts w:ascii="Vodafone Rg" w:hAnsi="Vodafone Rg"/>
        </w:rPr>
      </w:pPr>
      <w:r w:rsidRPr="003829BE">
        <w:rPr>
          <w:rFonts w:ascii="Vodafone Rg" w:hAnsi="Vodafone Rg" w:cs="Arial Narrow"/>
          <w:lang w:eastAsia="en-AU"/>
        </w:rPr>
        <w:t xml:space="preserve">It is </w:t>
      </w:r>
      <w:r>
        <w:rPr>
          <w:rFonts w:ascii="Vodafone Rg" w:hAnsi="Vodafone Rg" w:cs="Arial Narrow"/>
          <w:lang w:eastAsia="en-AU"/>
        </w:rPr>
        <w:t>VHA’s</w:t>
      </w:r>
      <w:r w:rsidRPr="003829BE">
        <w:rPr>
          <w:rFonts w:ascii="Vodafone Rg" w:hAnsi="Vodafone Rg" w:cs="Arial Narrow"/>
          <w:lang w:eastAsia="en-AU"/>
        </w:rPr>
        <w:t xml:space="preserve"> view that the current s</w:t>
      </w:r>
      <w:r>
        <w:rPr>
          <w:rFonts w:ascii="Vodafone Rg" w:hAnsi="Vodafone Rg" w:cs="Arial Narrow"/>
          <w:lang w:eastAsia="en-AU"/>
        </w:rPr>
        <w:t xml:space="preserve"> </w:t>
      </w:r>
      <w:r w:rsidRPr="003829BE">
        <w:rPr>
          <w:rFonts w:ascii="Vodafone Rg" w:hAnsi="Vodafone Rg" w:cs="Arial Narrow"/>
          <w:lang w:eastAsia="en-AU"/>
        </w:rPr>
        <w:t>46 provision has within it a number of requirements that are a major distraction from what should be the key issues that are assessed when th</w:t>
      </w:r>
      <w:r w:rsidR="005B7C68">
        <w:rPr>
          <w:rFonts w:ascii="Vodafone Rg" w:hAnsi="Vodafone Rg" w:cs="Arial Narrow"/>
          <w:lang w:eastAsia="en-AU"/>
        </w:rPr>
        <w:t>ere are allegations of a misuse</w:t>
      </w:r>
      <w:r w:rsidRPr="003829BE">
        <w:rPr>
          <w:rFonts w:ascii="Vodafone Rg" w:hAnsi="Vodafone Rg" w:cs="Arial Narrow"/>
          <w:lang w:eastAsia="en-AU"/>
        </w:rPr>
        <w:t xml:space="preserve"> of market power. </w:t>
      </w:r>
      <w:r w:rsidR="005F03FC" w:rsidRPr="003829BE">
        <w:rPr>
          <w:rFonts w:ascii="Vodafone Rg" w:hAnsi="Vodafone Rg" w:cs="Arial Narrow"/>
          <w:lang w:eastAsia="en-AU"/>
        </w:rPr>
        <w:t>Because there is a ‘purpose’ requirement</w:t>
      </w:r>
      <w:r w:rsidR="005B7C68">
        <w:rPr>
          <w:rFonts w:ascii="Vodafone Rg" w:hAnsi="Vodafone Rg" w:cs="Arial Narrow"/>
          <w:lang w:eastAsia="en-AU"/>
        </w:rPr>
        <w:t>,</w:t>
      </w:r>
      <w:r w:rsidR="005F03FC" w:rsidRPr="003829BE">
        <w:rPr>
          <w:rFonts w:ascii="Vodafone Rg" w:hAnsi="Vodafone Rg" w:cs="Arial Narrow"/>
          <w:lang w:eastAsia="en-AU"/>
        </w:rPr>
        <w:t xml:space="preserve"> VHA’s concern is that s</w:t>
      </w:r>
      <w:r w:rsidR="005F03FC">
        <w:rPr>
          <w:rFonts w:ascii="Vodafone Rg" w:hAnsi="Vodafone Rg" w:cs="Arial Narrow"/>
          <w:lang w:eastAsia="en-AU"/>
        </w:rPr>
        <w:t xml:space="preserve"> </w:t>
      </w:r>
      <w:r w:rsidR="005F03FC" w:rsidRPr="003829BE">
        <w:rPr>
          <w:rFonts w:ascii="Vodafone Rg" w:hAnsi="Vodafone Rg" w:cs="Arial Narrow"/>
          <w:lang w:eastAsia="en-AU"/>
        </w:rPr>
        <w:t>46 has a normative focus on the</w:t>
      </w:r>
      <w:r w:rsidR="005F03FC">
        <w:rPr>
          <w:rFonts w:ascii="Vodafone Rg" w:hAnsi="Vodafone Rg" w:cs="Arial Narrow"/>
          <w:lang w:eastAsia="en-AU"/>
        </w:rPr>
        <w:t xml:space="preserve"> intentions of </w:t>
      </w:r>
      <w:r w:rsidR="005B7C68">
        <w:rPr>
          <w:rFonts w:ascii="Vodafone Rg" w:hAnsi="Vodafone Rg" w:cs="Arial Narrow"/>
          <w:lang w:eastAsia="en-AU"/>
        </w:rPr>
        <w:t>firms with SMP</w:t>
      </w:r>
      <w:r w:rsidR="005F03FC">
        <w:rPr>
          <w:rFonts w:ascii="Vodafone Rg" w:hAnsi="Vodafone Rg" w:cs="Arial Narrow"/>
          <w:lang w:eastAsia="en-AU"/>
        </w:rPr>
        <w:t xml:space="preserve"> </w:t>
      </w:r>
      <w:r w:rsidR="005F03FC" w:rsidRPr="003829BE">
        <w:rPr>
          <w:rFonts w:ascii="Vodafone Rg" w:hAnsi="Vodafone Rg" w:cs="Arial Narrow"/>
          <w:lang w:eastAsia="en-AU"/>
        </w:rPr>
        <w:t>and firm-specific harm, rather an objective focus on how to ensure</w:t>
      </w:r>
      <w:r w:rsidR="005F03FC">
        <w:rPr>
          <w:rFonts w:ascii="Vodafone Rg" w:hAnsi="Vodafone Rg" w:cs="Arial Narrow"/>
          <w:lang w:eastAsia="en-AU"/>
        </w:rPr>
        <w:t xml:space="preserve"> that there is efficient market</w:t>
      </w:r>
      <w:r w:rsidR="005F03FC" w:rsidRPr="003829BE">
        <w:rPr>
          <w:rFonts w:ascii="Vodafone Rg" w:hAnsi="Vodafone Rg" w:cs="Arial Narrow"/>
          <w:lang w:eastAsia="en-AU"/>
        </w:rPr>
        <w:t xml:space="preserve">.  </w:t>
      </w:r>
      <w:r w:rsidR="005F03FC">
        <w:rPr>
          <w:rFonts w:ascii="Vodafone Rg" w:hAnsi="Vodafone Rg" w:cs="Arial Narrow"/>
          <w:lang w:eastAsia="en-AU"/>
        </w:rPr>
        <w:t>T</w:t>
      </w:r>
      <w:r w:rsidR="005F03FC" w:rsidRPr="003829BE">
        <w:rPr>
          <w:rFonts w:ascii="Vodafone Rg" w:hAnsi="Vodafone Rg" w:cs="Arial Narrow"/>
          <w:lang w:eastAsia="en-AU"/>
        </w:rPr>
        <w:t xml:space="preserve">he current s46 provision requires the regulator to impugn the character of the leadership of major corporations and to trawl through the correspondence of companies looking for </w:t>
      </w:r>
      <w:r w:rsidR="005B7C68">
        <w:rPr>
          <w:rFonts w:ascii="Vodafone Rg" w:hAnsi="Vodafone Rg" w:cs="Arial Narrow"/>
          <w:lang w:eastAsia="en-AU"/>
        </w:rPr>
        <w:t xml:space="preserve">evidence that demonstrates ill intent. </w:t>
      </w:r>
      <w:r w:rsidR="005F03FC" w:rsidRPr="003829BE">
        <w:rPr>
          <w:rFonts w:ascii="Vodafone Rg" w:hAnsi="Vodafone Rg" w:cs="Arial Narrow"/>
          <w:lang w:eastAsia="en-AU"/>
        </w:rPr>
        <w:t xml:space="preserve">This is a major distraction from the main issue is whether or not markets are able to continue to drive efficient and competitive outcomes. </w:t>
      </w:r>
    </w:p>
    <w:p w:rsidR="005F03FC" w:rsidRDefault="005F03FC" w:rsidP="005F03FC">
      <w:pPr>
        <w:autoSpaceDE w:val="0"/>
        <w:autoSpaceDN w:val="0"/>
        <w:spacing w:after="240"/>
        <w:ind w:left="567"/>
        <w:rPr>
          <w:rFonts w:ascii="Vodafone Rg" w:hAnsi="Vodafone Rg"/>
        </w:rPr>
      </w:pPr>
      <w:r>
        <w:rPr>
          <w:rFonts w:ascii="Vodafone Rg" w:hAnsi="Vodafone Rg"/>
        </w:rPr>
        <w:t xml:space="preserve">Competition is intense and the drive to win is important. This is a reality and it is essential. What is not acceptable is actions by </w:t>
      </w:r>
      <w:r w:rsidR="005B7C68" w:rsidRPr="005B7C68">
        <w:rPr>
          <w:rFonts w:ascii="Vodafone Rg" w:hAnsi="Vodafone Rg"/>
        </w:rPr>
        <w:t xml:space="preserve">firms with SMP </w:t>
      </w:r>
      <w:r>
        <w:rPr>
          <w:rFonts w:ascii="Vodafone Rg" w:hAnsi="Vodafone Rg"/>
        </w:rPr>
        <w:t xml:space="preserve">that limit the ability of the market to deliver long term sustainable </w:t>
      </w:r>
      <w:r>
        <w:rPr>
          <w:rFonts w:ascii="Vodafone Rg" w:hAnsi="Vodafone Rg"/>
        </w:rPr>
        <w:lastRenderedPageBreak/>
        <w:t>competition. This should be the focus of s 46 and it is why the ‘effect’ of market behaviour is more important than the ‘purpose’</w:t>
      </w:r>
      <w:r w:rsidR="00AC6A53">
        <w:rPr>
          <w:rFonts w:ascii="Vodafone Rg" w:hAnsi="Vodafone Rg"/>
        </w:rPr>
        <w:t xml:space="preserve"> </w:t>
      </w:r>
      <w:r w:rsidR="009D0ECA">
        <w:rPr>
          <w:rFonts w:ascii="Vodafone Rg" w:hAnsi="Vodafone Rg"/>
        </w:rPr>
        <w:t>of the dominant player</w:t>
      </w:r>
      <w:r>
        <w:rPr>
          <w:rFonts w:ascii="Vodafone Rg" w:hAnsi="Vodafone Rg"/>
        </w:rPr>
        <w:t>.</w:t>
      </w:r>
    </w:p>
    <w:p w:rsidR="005F03FC" w:rsidRDefault="005F03FC" w:rsidP="005F03FC">
      <w:pPr>
        <w:autoSpaceDE w:val="0"/>
        <w:autoSpaceDN w:val="0"/>
        <w:spacing w:after="240"/>
        <w:ind w:left="567"/>
        <w:rPr>
          <w:rFonts w:ascii="Vodafone Rg" w:hAnsi="Vodafone Rg"/>
        </w:rPr>
      </w:pPr>
      <w:r>
        <w:rPr>
          <w:rFonts w:ascii="Vodafone Rg" w:hAnsi="Vodafone Rg"/>
        </w:rPr>
        <w:t>For th</w:t>
      </w:r>
      <w:r w:rsidR="005B7C68">
        <w:rPr>
          <w:rFonts w:ascii="Vodafone Rg" w:hAnsi="Vodafone Rg"/>
        </w:rPr>
        <w:t xml:space="preserve">ese </w:t>
      </w:r>
      <w:r>
        <w:rPr>
          <w:rFonts w:ascii="Vodafone Rg" w:hAnsi="Vodafone Rg"/>
        </w:rPr>
        <w:t>reason</w:t>
      </w:r>
      <w:r w:rsidR="005B7C68">
        <w:rPr>
          <w:rFonts w:ascii="Vodafone Rg" w:hAnsi="Vodafone Rg"/>
        </w:rPr>
        <w:t>s</w:t>
      </w:r>
      <w:r>
        <w:rPr>
          <w:rFonts w:ascii="Vodafone Rg" w:hAnsi="Vodafone Rg"/>
        </w:rPr>
        <w:t xml:space="preserve"> VHA supports the need for reform of s 46, particularly the adoption of an ‘effects test’ into s46:</w:t>
      </w:r>
    </w:p>
    <w:p w:rsidR="005F03FC" w:rsidRDefault="005F03FC" w:rsidP="005F03FC">
      <w:pPr>
        <w:pStyle w:val="ListParagraph"/>
        <w:numPr>
          <w:ilvl w:val="0"/>
          <w:numId w:val="29"/>
        </w:numPr>
        <w:autoSpaceDE w:val="0"/>
        <w:autoSpaceDN w:val="0"/>
        <w:spacing w:after="240"/>
        <w:rPr>
          <w:rFonts w:ascii="Vodafone Rg" w:hAnsi="Vodafone Rg"/>
        </w:rPr>
      </w:pPr>
      <w:r w:rsidRPr="005F03FC">
        <w:rPr>
          <w:rFonts w:ascii="Vodafone Rg" w:hAnsi="Vodafone Rg"/>
        </w:rPr>
        <w:t>The focus should be on ensuring that Australia has effective competition laws that maintain and promote competition, yet without introducing legislative uncertainty that could chill legitimate competitive rivalry.</w:t>
      </w:r>
    </w:p>
    <w:p w:rsidR="005F03FC" w:rsidRDefault="005F03FC" w:rsidP="005F03FC">
      <w:pPr>
        <w:pStyle w:val="ListParagraph"/>
        <w:numPr>
          <w:ilvl w:val="0"/>
          <w:numId w:val="29"/>
        </w:numPr>
        <w:autoSpaceDE w:val="0"/>
        <w:autoSpaceDN w:val="0"/>
        <w:spacing w:after="240"/>
        <w:rPr>
          <w:rFonts w:ascii="Vodafone Rg" w:hAnsi="Vodafone Rg"/>
        </w:rPr>
      </w:pPr>
      <w:r w:rsidRPr="005F03FC">
        <w:rPr>
          <w:rFonts w:ascii="Vodafone Rg" w:hAnsi="Vodafone Rg"/>
        </w:rPr>
        <w:t xml:space="preserve">VHA agrees that s 46 has not been as effective as it could have been in differentiating between legitimate and illegitimate conduct by firms </w:t>
      </w:r>
      <w:r w:rsidRPr="005B7C68">
        <w:rPr>
          <w:rFonts w:ascii="Vodafone Rg" w:hAnsi="Vodafone Rg"/>
        </w:rPr>
        <w:t>with SMP.</w:t>
      </w:r>
      <w:r w:rsidRPr="005F03FC">
        <w:rPr>
          <w:rFonts w:ascii="Vodafone Rg" w:hAnsi="Vodafone Rg"/>
        </w:rPr>
        <w:t xml:space="preserve">  VHA considers that this has resulted from the requirement to prove an anti-competitive purpose.  Much of the difficulty, uncertainty and expense in litigating s 46 is derived from the need to establish this subjective purpose.  </w:t>
      </w:r>
    </w:p>
    <w:p w:rsidR="005B7C68" w:rsidRDefault="005F03FC" w:rsidP="005B7C68">
      <w:pPr>
        <w:pStyle w:val="ListParagraph"/>
        <w:numPr>
          <w:ilvl w:val="0"/>
          <w:numId w:val="29"/>
        </w:numPr>
        <w:autoSpaceDE w:val="0"/>
        <w:autoSpaceDN w:val="0"/>
        <w:spacing w:after="360"/>
        <w:rPr>
          <w:rFonts w:ascii="Vodafone Rg" w:hAnsi="Vodafone Rg"/>
        </w:rPr>
      </w:pPr>
      <w:r w:rsidRPr="005F03FC">
        <w:rPr>
          <w:rFonts w:ascii="Vodafone Rg" w:hAnsi="Vodafone Rg"/>
        </w:rPr>
        <w:t>An ‘effects test’ avoids the need to prove that a firm had an intentional strategy to cause harm, so avoids the need for a court to attempt to second-guess the subjective purpose of that firm.  An effects test resolves VHA’s concerns regarding purpose.</w:t>
      </w:r>
    </w:p>
    <w:p w:rsidR="005F03FC" w:rsidRPr="005B7C68" w:rsidRDefault="005F03FC" w:rsidP="005B7C68">
      <w:pPr>
        <w:pStyle w:val="ListParagraph"/>
        <w:numPr>
          <w:ilvl w:val="0"/>
          <w:numId w:val="29"/>
        </w:numPr>
        <w:autoSpaceDE w:val="0"/>
        <w:autoSpaceDN w:val="0"/>
        <w:spacing w:after="360"/>
        <w:rPr>
          <w:rFonts w:ascii="Vodafone Rg" w:hAnsi="Vodafone Rg"/>
        </w:rPr>
      </w:pPr>
      <w:r w:rsidRPr="005B7C68">
        <w:rPr>
          <w:rFonts w:ascii="Vodafone Rg" w:hAnsi="Vodafone Rg"/>
        </w:rPr>
        <w:t>Proving purpose is particularly difficult for an individual litigant that does not have the ACCC’s investigative powers, meaning private actions under s 46 have been very rare, extremely costly and generally unsuccessful.</w:t>
      </w:r>
    </w:p>
    <w:p w:rsidR="0061027D" w:rsidRPr="0049324A" w:rsidRDefault="00626B7C" w:rsidP="00626B7C">
      <w:pPr>
        <w:autoSpaceDE w:val="0"/>
        <w:autoSpaceDN w:val="0"/>
        <w:spacing w:before="120" w:after="240"/>
        <w:rPr>
          <w:rFonts w:ascii="Vodafone Rg" w:hAnsi="Vodafone Rg" w:cs="Arial"/>
          <w:b/>
        </w:rPr>
      </w:pPr>
      <w:r w:rsidRPr="0049324A">
        <w:rPr>
          <w:rFonts w:ascii="Vodafone Rg" w:hAnsi="Vodafone Rg" w:cs="Arial"/>
          <w:b/>
        </w:rPr>
        <w:t>2.</w:t>
      </w:r>
      <w:r w:rsidRPr="0049324A">
        <w:rPr>
          <w:rFonts w:ascii="Vodafone Rg" w:hAnsi="Vodafone Rg" w:cs="Arial"/>
          <w:b/>
        </w:rPr>
        <w:tab/>
      </w:r>
      <w:r w:rsidR="0061027D" w:rsidRPr="0049324A">
        <w:rPr>
          <w:rFonts w:ascii="Vodafone Rg" w:hAnsi="Vodafone Rg" w:cs="Arial"/>
          <w:b/>
        </w:rPr>
        <w:t xml:space="preserve">Lessons can be learned from the </w:t>
      </w:r>
      <w:r w:rsidRPr="0049324A">
        <w:rPr>
          <w:rFonts w:ascii="Vodafone Rg" w:hAnsi="Vodafone Rg" w:cs="Arial"/>
          <w:b/>
        </w:rPr>
        <w:t xml:space="preserve">telecoms </w:t>
      </w:r>
      <w:r w:rsidR="0061027D" w:rsidRPr="0049324A">
        <w:rPr>
          <w:rFonts w:ascii="Vodafone Rg" w:hAnsi="Vodafone Rg" w:cs="Arial"/>
          <w:b/>
        </w:rPr>
        <w:t>solution adopted some 20 years ago</w:t>
      </w:r>
    </w:p>
    <w:p w:rsidR="0061027D" w:rsidRPr="0049324A" w:rsidRDefault="0061027D" w:rsidP="00626B7C">
      <w:pPr>
        <w:autoSpaceDE w:val="0"/>
        <w:autoSpaceDN w:val="0"/>
        <w:spacing w:after="240"/>
        <w:ind w:left="567"/>
        <w:rPr>
          <w:rFonts w:ascii="Vodafone Rg" w:hAnsi="Vodafone Rg"/>
        </w:rPr>
      </w:pPr>
      <w:r w:rsidRPr="0049324A">
        <w:rPr>
          <w:rFonts w:ascii="Vodafone Rg" w:hAnsi="Vodafone Rg"/>
        </w:rPr>
        <w:t>An ‘effects test’ has already operated in the telecoms sector since 1997 and has been applied to address and effectively rectify alleged anti-competitive conduct by Telstra in 1998 (Internet access), 1998 (commercial churn), 2001 (broadband), 2004 (broadband), and 2006 (wholesale line rental).</w:t>
      </w:r>
      <w:r w:rsidR="00731BF9">
        <w:rPr>
          <w:rFonts w:ascii="Vodafone Rg" w:hAnsi="Vodafone Rg"/>
        </w:rPr>
        <w:t xml:space="preserve"> </w:t>
      </w:r>
      <w:r w:rsidR="00731BF9" w:rsidRPr="00731BF9">
        <w:rPr>
          <w:rFonts w:ascii="Vodafone Rg" w:hAnsi="Vodafone Rg"/>
        </w:rPr>
        <w:t xml:space="preserve">This is a limited number of important issues and demonstrates that the arrangement </w:t>
      </w:r>
      <w:r w:rsidR="005B7C68">
        <w:rPr>
          <w:rFonts w:ascii="Vodafone Rg" w:hAnsi="Vodafone Rg"/>
        </w:rPr>
        <w:t>has</w:t>
      </w:r>
      <w:r w:rsidR="00731BF9" w:rsidRPr="00731BF9">
        <w:rPr>
          <w:rFonts w:ascii="Vodafone Rg" w:hAnsi="Vodafone Rg"/>
        </w:rPr>
        <w:t xml:space="preserve"> not result</w:t>
      </w:r>
      <w:r w:rsidR="005B7C68">
        <w:rPr>
          <w:rFonts w:ascii="Vodafone Rg" w:hAnsi="Vodafone Rg"/>
        </w:rPr>
        <w:t>ed</w:t>
      </w:r>
      <w:r w:rsidR="00731BF9" w:rsidRPr="00731BF9">
        <w:rPr>
          <w:rFonts w:ascii="Vodafone Rg" w:hAnsi="Vodafone Rg"/>
        </w:rPr>
        <w:t xml:space="preserve"> in significant amounts of litigation.</w:t>
      </w:r>
    </w:p>
    <w:p w:rsidR="0061027D" w:rsidRPr="0049324A" w:rsidRDefault="0061027D" w:rsidP="00626B7C">
      <w:pPr>
        <w:autoSpaceDE w:val="0"/>
        <w:autoSpaceDN w:val="0"/>
        <w:spacing w:after="360"/>
        <w:ind w:left="567"/>
        <w:rPr>
          <w:rFonts w:ascii="Vodafone Rg" w:hAnsi="Vodafone Rg"/>
        </w:rPr>
      </w:pPr>
      <w:r w:rsidRPr="0049324A">
        <w:rPr>
          <w:rFonts w:ascii="Vodafone Rg" w:hAnsi="Vodafone Rg"/>
        </w:rPr>
        <w:t xml:space="preserve">Under Part XIB </w:t>
      </w:r>
      <w:r w:rsidR="007F51D6">
        <w:rPr>
          <w:rFonts w:ascii="Vodafone Rg" w:hAnsi="Vodafone Rg"/>
        </w:rPr>
        <w:t xml:space="preserve">and s151AJ(2) </w:t>
      </w:r>
      <w:r w:rsidRPr="0049324A">
        <w:rPr>
          <w:rFonts w:ascii="Vodafone Rg" w:hAnsi="Vodafone Rg"/>
        </w:rPr>
        <w:t xml:space="preserve">of the </w:t>
      </w:r>
      <w:r w:rsidR="005B7C68">
        <w:rPr>
          <w:rFonts w:ascii="Vodafone Rg" w:hAnsi="Vodafone Rg"/>
        </w:rPr>
        <w:t>CCA</w:t>
      </w:r>
      <w:r w:rsidRPr="0049324A">
        <w:rPr>
          <w:rFonts w:ascii="Vodafone Rg" w:hAnsi="Vodafone Rg"/>
        </w:rPr>
        <w:t xml:space="preserve">, the ACCC may issue a ‘competition notice’ against a firm that takes advantage of its SMP with the effect or likely effect of substantially lessening competition in a telecommunications market.  This ‘effects test’ has removed the evidential burden in proving an illegitimate purpose, so has shifted the focus to anti-competitive effect.  </w:t>
      </w:r>
      <w:r w:rsidR="007F51D6">
        <w:rPr>
          <w:rFonts w:ascii="Vodafone Rg" w:hAnsi="Vodafone Rg"/>
        </w:rPr>
        <w:t>The ‘effects test’</w:t>
      </w:r>
      <w:r w:rsidRPr="0049324A">
        <w:rPr>
          <w:rFonts w:ascii="Vodafone Rg" w:hAnsi="Vodafone Rg"/>
        </w:rPr>
        <w:t xml:space="preserve"> has not chilled legitimate competition and has existed for 20 years</w:t>
      </w:r>
      <w:r w:rsidR="007F51D6">
        <w:rPr>
          <w:rFonts w:ascii="Vodafone Rg" w:hAnsi="Vodafone Rg"/>
        </w:rPr>
        <w:t>, providing benefits that far exceed any costs.</w:t>
      </w:r>
    </w:p>
    <w:p w:rsidR="00A55BFC" w:rsidRPr="0049324A" w:rsidRDefault="00626B7C" w:rsidP="00A55BFC">
      <w:pPr>
        <w:autoSpaceDE w:val="0"/>
        <w:autoSpaceDN w:val="0"/>
        <w:spacing w:after="240"/>
        <w:rPr>
          <w:rFonts w:ascii="Vodafone Rg" w:hAnsi="Vodafone Rg" w:cs="Arial"/>
          <w:b/>
        </w:rPr>
      </w:pPr>
      <w:r w:rsidRPr="0049324A">
        <w:rPr>
          <w:rFonts w:ascii="Vodafone Rg" w:hAnsi="Vodafone Rg" w:cs="Arial"/>
          <w:b/>
        </w:rPr>
        <w:t>3.</w:t>
      </w:r>
      <w:r w:rsidRPr="0049324A">
        <w:rPr>
          <w:rFonts w:ascii="Vodafone Rg" w:hAnsi="Vodafone Rg" w:cs="Arial"/>
          <w:b/>
        </w:rPr>
        <w:tab/>
      </w:r>
      <w:r w:rsidR="00727E7B" w:rsidRPr="0049324A">
        <w:rPr>
          <w:rFonts w:ascii="Vodafone Rg" w:hAnsi="Vodafone Rg" w:cs="Arial"/>
          <w:b/>
        </w:rPr>
        <w:t>Of the various options presented, VHA prefers ‘Option E’</w:t>
      </w:r>
    </w:p>
    <w:p w:rsidR="00727E7B" w:rsidRPr="0049324A" w:rsidRDefault="00727E7B" w:rsidP="00626B7C">
      <w:pPr>
        <w:pStyle w:val="ListParagraph"/>
        <w:autoSpaceDE w:val="0"/>
        <w:autoSpaceDN w:val="0"/>
        <w:spacing w:after="240" w:line="276" w:lineRule="auto"/>
        <w:ind w:left="567"/>
        <w:rPr>
          <w:rFonts w:ascii="Vodafone Rg" w:hAnsi="Vodafone Rg"/>
        </w:rPr>
      </w:pPr>
      <w:r w:rsidRPr="0049324A">
        <w:rPr>
          <w:rFonts w:ascii="Vodafone Rg" w:hAnsi="Vodafone Rg"/>
        </w:rPr>
        <w:t xml:space="preserve">VHA is supportive of options for reform of s46 that involve the adoption of an ‘effects test’ into s46.  Accordingly, VHA is supportive of the Harper wording. However, VHA is concerned that political concerns </w:t>
      </w:r>
      <w:r w:rsidR="0049324A" w:rsidRPr="0049324A">
        <w:rPr>
          <w:rFonts w:ascii="Vodafone Rg" w:hAnsi="Vodafone Rg"/>
        </w:rPr>
        <w:t>regarding</w:t>
      </w:r>
      <w:r w:rsidRPr="0049324A">
        <w:rPr>
          <w:rFonts w:ascii="Vodafone Rg" w:hAnsi="Vodafone Rg"/>
        </w:rPr>
        <w:t xml:space="preserve"> the Harper Review wording may result in no reform to s 46 at all.   Accordingly, VHA urges that a political compromise is necessary. </w:t>
      </w:r>
    </w:p>
    <w:p w:rsidR="00727E7B" w:rsidRPr="0049324A" w:rsidRDefault="00727E7B" w:rsidP="00626B7C">
      <w:pPr>
        <w:pStyle w:val="ListParagraph"/>
        <w:autoSpaceDE w:val="0"/>
        <w:autoSpaceDN w:val="0"/>
        <w:spacing w:after="240" w:line="276" w:lineRule="auto"/>
        <w:ind w:left="567"/>
        <w:rPr>
          <w:rFonts w:ascii="Vodafone Rg" w:hAnsi="Vodafone Rg" w:cs="Arial Narrow"/>
        </w:rPr>
      </w:pPr>
      <w:r w:rsidRPr="0049324A">
        <w:rPr>
          <w:rFonts w:ascii="Vodafone Rg" w:hAnsi="Vodafone Rg"/>
        </w:rPr>
        <w:t>VHA prefers Option E because it has the best articulation of an ‘effects test’ (which VHA considers is highly desirable), but involves fewer changes to the remaining wording of s 46 so results in less uncertainty</w:t>
      </w:r>
      <w:r w:rsidR="00A55BFC" w:rsidRPr="0049324A">
        <w:rPr>
          <w:rFonts w:ascii="Vodafone Rg" w:hAnsi="Vodafone Rg" w:cs="Arial Narrow"/>
        </w:rPr>
        <w:t xml:space="preserve">. </w:t>
      </w:r>
    </w:p>
    <w:p w:rsidR="00727E7B" w:rsidRPr="0049324A" w:rsidRDefault="00727E7B" w:rsidP="00626B7C">
      <w:pPr>
        <w:pStyle w:val="ListParagraph"/>
        <w:autoSpaceDE w:val="0"/>
        <w:autoSpaceDN w:val="0"/>
        <w:spacing w:after="360" w:line="276" w:lineRule="auto"/>
        <w:ind w:left="567"/>
        <w:rPr>
          <w:rFonts w:ascii="Vodafone Rg" w:hAnsi="Vodafone Rg"/>
        </w:rPr>
      </w:pPr>
      <w:r w:rsidRPr="0049324A">
        <w:rPr>
          <w:rFonts w:ascii="Vodafone Rg" w:hAnsi="Vodafone Rg"/>
        </w:rPr>
        <w:t>However, a lot of political opposition has been associated with the uncertainty to business caused by the removal of the ‘taking advantage’ language in s 46.  If this removal does occur, VHA strongly believes that the ACCC should be required to issue comprehensive guidelines to assist to address this uncertainty.</w:t>
      </w:r>
    </w:p>
    <w:p w:rsidR="00727E7B" w:rsidRPr="0049324A" w:rsidRDefault="00626B7C" w:rsidP="00A55BFC">
      <w:pPr>
        <w:autoSpaceDE w:val="0"/>
        <w:autoSpaceDN w:val="0"/>
        <w:spacing w:after="240"/>
        <w:rPr>
          <w:rFonts w:ascii="Vodafone Rg" w:hAnsi="Vodafone Rg" w:cs="Arial Narrow"/>
          <w:b/>
          <w:lang w:eastAsia="en-AU"/>
        </w:rPr>
      </w:pPr>
      <w:r w:rsidRPr="0049324A">
        <w:rPr>
          <w:rFonts w:ascii="Vodafone Rg" w:hAnsi="Vodafone Rg" w:cs="Arial Narrow"/>
          <w:b/>
          <w:lang w:eastAsia="en-AU"/>
        </w:rPr>
        <w:lastRenderedPageBreak/>
        <w:t>4.</w:t>
      </w:r>
      <w:r w:rsidRPr="0049324A">
        <w:rPr>
          <w:rFonts w:ascii="Vodafone Rg" w:hAnsi="Vodafone Rg" w:cs="Arial Narrow"/>
          <w:b/>
          <w:lang w:eastAsia="en-AU"/>
        </w:rPr>
        <w:tab/>
      </w:r>
      <w:r w:rsidR="00727E7B" w:rsidRPr="0049324A">
        <w:rPr>
          <w:rFonts w:ascii="Vodafone Rg" w:hAnsi="Vodafone Rg" w:cs="Arial Narrow"/>
          <w:b/>
          <w:lang w:eastAsia="en-AU"/>
        </w:rPr>
        <w:t xml:space="preserve">Another sensible solution would </w:t>
      </w:r>
      <w:r w:rsidRPr="0049324A">
        <w:rPr>
          <w:rFonts w:ascii="Vodafone Rg" w:hAnsi="Vodafone Rg" w:cs="Arial Narrow"/>
          <w:b/>
          <w:lang w:eastAsia="en-AU"/>
        </w:rPr>
        <w:t>be to supplement</w:t>
      </w:r>
      <w:r w:rsidR="00C325A9" w:rsidRPr="0049324A">
        <w:rPr>
          <w:rFonts w:ascii="Vodafone Rg" w:hAnsi="Vodafone Rg" w:cs="Arial Narrow"/>
          <w:b/>
          <w:lang w:eastAsia="en-AU"/>
        </w:rPr>
        <w:t xml:space="preserve"> s 46 </w:t>
      </w:r>
      <w:r w:rsidRPr="0049324A">
        <w:rPr>
          <w:rFonts w:ascii="Vodafone Rg" w:hAnsi="Vodafone Rg" w:cs="Arial Narrow"/>
          <w:b/>
          <w:lang w:eastAsia="en-AU"/>
        </w:rPr>
        <w:t>with</w:t>
      </w:r>
      <w:r w:rsidR="00C325A9" w:rsidRPr="0049324A">
        <w:rPr>
          <w:rFonts w:ascii="Vodafone Rg" w:hAnsi="Vodafone Rg" w:cs="Arial Narrow"/>
          <w:b/>
          <w:lang w:eastAsia="en-AU"/>
        </w:rPr>
        <w:t xml:space="preserve"> s151AJ(2)</w:t>
      </w:r>
    </w:p>
    <w:p w:rsidR="00731BF9" w:rsidRDefault="00731BF9" w:rsidP="00626B7C">
      <w:pPr>
        <w:pStyle w:val="ListParagraph"/>
        <w:autoSpaceDE w:val="0"/>
        <w:autoSpaceDN w:val="0"/>
        <w:spacing w:after="240" w:line="276" w:lineRule="auto"/>
        <w:ind w:left="567"/>
        <w:rPr>
          <w:rFonts w:ascii="Vodafone Rg" w:hAnsi="Vodafone Rg"/>
        </w:rPr>
      </w:pPr>
      <w:r w:rsidRPr="00731BF9">
        <w:rPr>
          <w:rFonts w:ascii="Vodafone Rg" w:hAnsi="Vodafone Rg"/>
        </w:rPr>
        <w:t>Alternatively, given controversy directed at the removal of ‘taking advantage’, another sensible solution may be a simple ‘effects test’ amendment to s</w:t>
      </w:r>
      <w:r>
        <w:rPr>
          <w:rFonts w:ascii="Vodafone Rg" w:hAnsi="Vodafone Rg"/>
        </w:rPr>
        <w:t xml:space="preserve"> </w:t>
      </w:r>
      <w:r w:rsidRPr="00731BF9">
        <w:rPr>
          <w:rFonts w:ascii="Vodafone Rg" w:hAnsi="Vodafone Rg"/>
        </w:rPr>
        <w:t>46 to align it with the existing ‘effects test’ approach applied for two decades in telecoms under Part XIB and s151AJ(2) of the Act</w:t>
      </w:r>
      <w:r>
        <w:rPr>
          <w:rFonts w:ascii="Vodafone Rg" w:hAnsi="Vodafone Rg"/>
        </w:rPr>
        <w:t>.</w:t>
      </w:r>
    </w:p>
    <w:p w:rsidR="00C325A9" w:rsidRPr="0049324A" w:rsidRDefault="00C325A9" w:rsidP="00626B7C">
      <w:pPr>
        <w:pStyle w:val="ListParagraph"/>
        <w:autoSpaceDE w:val="0"/>
        <w:autoSpaceDN w:val="0"/>
        <w:spacing w:after="240" w:line="276" w:lineRule="auto"/>
        <w:ind w:left="567"/>
        <w:rPr>
          <w:rFonts w:ascii="Vodafone Rg" w:hAnsi="Vodafone Rg"/>
        </w:rPr>
      </w:pPr>
      <w:r w:rsidRPr="0049324A">
        <w:rPr>
          <w:rFonts w:ascii="Vodafone Rg" w:hAnsi="Vodafone Rg"/>
        </w:rPr>
        <w:t>Under this solution, a new supplementary provision would be</w:t>
      </w:r>
      <w:r w:rsidR="007F51D6">
        <w:rPr>
          <w:rFonts w:ascii="Vodafone Rg" w:hAnsi="Vodafone Rg"/>
        </w:rPr>
        <w:t xml:space="preserve"> inserted into s 46</w:t>
      </w:r>
      <w:r w:rsidRPr="0049324A">
        <w:rPr>
          <w:rFonts w:ascii="Vodafone Rg" w:hAnsi="Vodafone Rg"/>
        </w:rPr>
        <w:t xml:space="preserve"> that would </w:t>
      </w:r>
      <w:r w:rsidR="007F51D6">
        <w:rPr>
          <w:rFonts w:ascii="Vodafone Rg" w:hAnsi="Vodafone Rg"/>
        </w:rPr>
        <w:t xml:space="preserve">simply </w:t>
      </w:r>
      <w:r w:rsidRPr="0049324A">
        <w:rPr>
          <w:rFonts w:ascii="Vodafone Rg" w:hAnsi="Vodafone Rg"/>
        </w:rPr>
        <w:t>state as follows:</w:t>
      </w:r>
    </w:p>
    <w:p w:rsidR="00C325A9" w:rsidRPr="00731BF9" w:rsidRDefault="00C325A9" w:rsidP="00626B7C">
      <w:pPr>
        <w:pStyle w:val="ListParagraph"/>
        <w:autoSpaceDE w:val="0"/>
        <w:autoSpaceDN w:val="0"/>
        <w:spacing w:after="240" w:line="276" w:lineRule="auto"/>
        <w:ind w:left="1134"/>
        <w:rPr>
          <w:rFonts w:ascii="Vodafone Rg" w:hAnsi="Vodafone Rg"/>
        </w:rPr>
      </w:pPr>
      <w:r w:rsidRPr="00731BF9">
        <w:rPr>
          <w:rFonts w:ascii="Vodafone Rg" w:hAnsi="Vodafone Rg" w:cs="Arial"/>
          <w:color w:val="000000"/>
        </w:rPr>
        <w:t>“A corporation that has a substantial degree of power in a market shall not take advantage of that power in that or any other market with the effect, or likely effect, of substantially lessening competition in that or any other market.”</w:t>
      </w:r>
    </w:p>
    <w:p w:rsidR="00C325A9" w:rsidRPr="0049324A" w:rsidRDefault="00C325A9" w:rsidP="00626B7C">
      <w:pPr>
        <w:pStyle w:val="ListParagraph"/>
        <w:autoSpaceDE w:val="0"/>
        <w:autoSpaceDN w:val="0"/>
        <w:spacing w:after="240" w:line="276" w:lineRule="auto"/>
        <w:ind w:left="567"/>
        <w:rPr>
          <w:rFonts w:ascii="Vodafone Rg" w:hAnsi="Vodafone Rg"/>
        </w:rPr>
      </w:pPr>
      <w:r w:rsidRPr="0049324A">
        <w:rPr>
          <w:rFonts w:ascii="Vodafone Rg" w:hAnsi="Vodafone Rg"/>
        </w:rPr>
        <w:t>This solution has the advantage of maintaining certainty and avoids the more controversial wording changes to s 46, yet ensures that an ‘effects test’ is included by a</w:t>
      </w:r>
      <w:r w:rsidR="007F51D6">
        <w:rPr>
          <w:rFonts w:ascii="Vodafone Rg" w:hAnsi="Vodafone Rg"/>
        </w:rPr>
        <w:t xml:space="preserve"> simple</w:t>
      </w:r>
      <w:r w:rsidRPr="0049324A">
        <w:rPr>
          <w:rFonts w:ascii="Vodafone Rg" w:hAnsi="Vodafone Rg"/>
        </w:rPr>
        <w:t xml:space="preserve"> </w:t>
      </w:r>
      <w:r w:rsidR="007F51D6">
        <w:rPr>
          <w:rFonts w:ascii="Vodafone Rg" w:hAnsi="Vodafone Rg"/>
        </w:rPr>
        <w:t>amendment to supplement the existing wording.</w:t>
      </w:r>
      <w:r w:rsidRPr="0049324A">
        <w:rPr>
          <w:rFonts w:ascii="Vodafone Rg" w:hAnsi="Vodafone Rg"/>
        </w:rPr>
        <w:t xml:space="preserve">  (VHA considers that the case law relating to ‘taking advantage’ is useful and some concerns regarding this wording have been overstated, so this aspect of the reform should not be the focus</w:t>
      </w:r>
      <w:r w:rsidR="00731BF9" w:rsidRPr="00731BF9">
        <w:rPr>
          <w:rFonts w:ascii="Vodafone Rg" w:hAnsi="Vodafone Rg"/>
        </w:rPr>
        <w:t xml:space="preserve"> </w:t>
      </w:r>
      <w:r w:rsidR="00731BF9">
        <w:rPr>
          <w:rFonts w:ascii="Vodafone Rg" w:hAnsi="Vodafone Rg"/>
        </w:rPr>
        <w:t>rather the fact that the normative ‘purpose’ test is the key distraction</w:t>
      </w:r>
      <w:r w:rsidRPr="0049324A">
        <w:rPr>
          <w:rFonts w:ascii="Vodafone Rg" w:hAnsi="Vodafone Rg"/>
        </w:rPr>
        <w:t>).</w:t>
      </w:r>
    </w:p>
    <w:p w:rsidR="00A55BFC" w:rsidRPr="0049324A" w:rsidRDefault="00C325A9" w:rsidP="007F51D6">
      <w:pPr>
        <w:pStyle w:val="ListParagraph"/>
        <w:autoSpaceDE w:val="0"/>
        <w:autoSpaceDN w:val="0"/>
        <w:spacing w:after="240" w:line="276" w:lineRule="auto"/>
        <w:ind w:left="567"/>
        <w:rPr>
          <w:rFonts w:ascii="Vodafone Rg" w:hAnsi="Vodafone Rg" w:cs="Arial"/>
        </w:rPr>
      </w:pPr>
      <w:r w:rsidRPr="0049324A">
        <w:rPr>
          <w:rFonts w:ascii="Vodafone Rg" w:hAnsi="Vodafone Rg"/>
        </w:rPr>
        <w:t xml:space="preserve">VHA considers that </w:t>
      </w:r>
      <w:r w:rsidR="007F51D6">
        <w:rPr>
          <w:rFonts w:ascii="Vodafone Rg" w:hAnsi="Vodafone Rg"/>
        </w:rPr>
        <w:t>amending s 46 to include</w:t>
      </w:r>
      <w:r w:rsidRPr="0049324A">
        <w:rPr>
          <w:rFonts w:ascii="Vodafone Rg" w:hAnsi="Vodafone Rg"/>
        </w:rPr>
        <w:t xml:space="preserve"> supplementary </w:t>
      </w:r>
      <w:r w:rsidR="003231CB" w:rsidRPr="0049324A">
        <w:rPr>
          <w:rFonts w:ascii="Vodafone Rg" w:hAnsi="Vodafone Rg"/>
        </w:rPr>
        <w:t>wording</w:t>
      </w:r>
      <w:r w:rsidR="007F51D6">
        <w:rPr>
          <w:rFonts w:ascii="Vodafone Rg" w:hAnsi="Vodafone Rg"/>
        </w:rPr>
        <w:t xml:space="preserve"> borrowed</w:t>
      </w:r>
      <w:r w:rsidRPr="0049324A">
        <w:rPr>
          <w:rFonts w:ascii="Vodafone Rg" w:hAnsi="Vodafone Rg"/>
        </w:rPr>
        <w:t xml:space="preserve"> from the existing s 151AJ(2) </w:t>
      </w:r>
      <w:r w:rsidR="007F51D6">
        <w:rPr>
          <w:rFonts w:ascii="Vodafone Rg" w:hAnsi="Vodafone Rg"/>
        </w:rPr>
        <w:t>would</w:t>
      </w:r>
      <w:r w:rsidRPr="0049324A">
        <w:rPr>
          <w:rFonts w:ascii="Vodafone Rg" w:hAnsi="Vodafone Rg"/>
        </w:rPr>
        <w:t xml:space="preserve"> be a sensible political compromise that addresses the concerns of </w:t>
      </w:r>
      <w:r w:rsidR="007F51D6">
        <w:rPr>
          <w:rFonts w:ascii="Vodafone Rg" w:hAnsi="Vodafone Rg"/>
        </w:rPr>
        <w:t xml:space="preserve">the various </w:t>
      </w:r>
      <w:r w:rsidRPr="0049324A">
        <w:rPr>
          <w:rFonts w:ascii="Vodafone Rg" w:hAnsi="Vodafone Rg"/>
        </w:rPr>
        <w:t xml:space="preserve">stakeholders, enabling </w:t>
      </w:r>
      <w:r w:rsidR="007F51D6">
        <w:rPr>
          <w:rFonts w:ascii="Vodafone Rg" w:hAnsi="Vodafone Rg"/>
        </w:rPr>
        <w:t xml:space="preserve">the </w:t>
      </w:r>
      <w:r w:rsidRPr="0049324A">
        <w:rPr>
          <w:rFonts w:ascii="Vodafone Rg" w:hAnsi="Vodafone Rg"/>
        </w:rPr>
        <w:t>amendments to s 46 to proceed.</w:t>
      </w:r>
      <w:r w:rsidR="00A55BFC" w:rsidRPr="0049324A">
        <w:rPr>
          <w:rFonts w:ascii="Vodafone Rg" w:hAnsi="Vodafone Rg" w:cs="Arial"/>
        </w:rPr>
        <w:br w:type="page"/>
      </w:r>
    </w:p>
    <w:p w:rsidR="00C325A9" w:rsidRPr="0049324A" w:rsidRDefault="00C325A9">
      <w:pPr>
        <w:spacing w:after="0" w:line="240" w:lineRule="auto"/>
        <w:rPr>
          <w:rFonts w:ascii="Vodafone Rg" w:hAnsi="Vodafone Rg" w:cs="Arial"/>
          <w:b/>
        </w:rPr>
      </w:pPr>
    </w:p>
    <w:p w:rsidR="00C325A9" w:rsidRPr="0049324A" w:rsidRDefault="00C325A9">
      <w:pPr>
        <w:spacing w:after="0" w:line="240" w:lineRule="auto"/>
        <w:rPr>
          <w:rFonts w:ascii="Vodafone Rg" w:hAnsi="Vodafone Rg" w:cs="Arial"/>
          <w:b/>
          <w:sz w:val="36"/>
          <w:szCs w:val="36"/>
        </w:rPr>
      </w:pPr>
      <w:r w:rsidRPr="0049324A">
        <w:rPr>
          <w:rFonts w:ascii="Vodafone Rg" w:hAnsi="Vodafone Rg" w:cs="Arial"/>
          <w:b/>
          <w:sz w:val="36"/>
          <w:szCs w:val="36"/>
        </w:rPr>
        <w:t>CONTENTS</w:t>
      </w:r>
    </w:p>
    <w:p w:rsidR="00C325A9" w:rsidRPr="0049324A" w:rsidRDefault="00C325A9">
      <w:pPr>
        <w:spacing w:after="0" w:line="240" w:lineRule="auto"/>
        <w:rPr>
          <w:rFonts w:ascii="Vodafone Rg" w:hAnsi="Vodafone Rg" w:cs="Arial"/>
          <w:b/>
        </w:rPr>
      </w:pPr>
    </w:p>
    <w:p w:rsidR="00626B7C" w:rsidRPr="0049324A" w:rsidRDefault="00626B7C">
      <w:pPr>
        <w:spacing w:after="0" w:line="240" w:lineRule="auto"/>
        <w:rPr>
          <w:rFonts w:ascii="Vodafone Rg" w:hAnsi="Vodafone Rg" w:cs="Arial"/>
          <w:b/>
        </w:rPr>
      </w:pPr>
    </w:p>
    <w:p w:rsidR="00626B7C" w:rsidRPr="0049324A" w:rsidRDefault="00626B7C">
      <w:pPr>
        <w:spacing w:after="0" w:line="240" w:lineRule="auto"/>
        <w:rPr>
          <w:rFonts w:ascii="Vodafone Rg" w:hAnsi="Vodafone Rg" w:cs="Arial"/>
          <w:b/>
        </w:rPr>
      </w:pPr>
    </w:p>
    <w:p w:rsidR="00C325A9" w:rsidRPr="0049324A" w:rsidRDefault="00C325A9">
      <w:pPr>
        <w:spacing w:after="0" w:line="240" w:lineRule="auto"/>
        <w:rPr>
          <w:rFonts w:ascii="Vodafone Rg" w:hAnsi="Vodafone Rg" w:cs="Arial"/>
          <w:b/>
        </w:rPr>
      </w:pPr>
    </w:p>
    <w:p w:rsidR="00C325A9" w:rsidRPr="0049324A" w:rsidRDefault="00C325A9">
      <w:pPr>
        <w:spacing w:after="0" w:line="240" w:lineRule="auto"/>
        <w:rPr>
          <w:rFonts w:ascii="Vodafone Rg" w:hAnsi="Vodafone Rg" w:cs="Arial"/>
        </w:rPr>
      </w:pPr>
      <w:r w:rsidRPr="0049324A">
        <w:rPr>
          <w:rFonts w:ascii="Vodafone Rg" w:hAnsi="Vodafone Rg" w:cs="Arial"/>
        </w:rPr>
        <w:t>Executive Summary</w:t>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r>
      <w:r w:rsidR="00626B7C" w:rsidRPr="0049324A">
        <w:rPr>
          <w:rFonts w:ascii="Vodafone Rg" w:hAnsi="Vodafone Rg" w:cs="Arial"/>
        </w:rPr>
        <w:tab/>
        <w:t>2</w:t>
      </w:r>
    </w:p>
    <w:p w:rsidR="00626B7C" w:rsidRPr="0049324A" w:rsidRDefault="00626B7C">
      <w:pPr>
        <w:spacing w:after="0" w:line="240" w:lineRule="auto"/>
        <w:rPr>
          <w:rFonts w:ascii="Vodafone Rg" w:hAnsi="Vodafone Rg" w:cs="Arial"/>
        </w:rPr>
      </w:pPr>
    </w:p>
    <w:p w:rsidR="00626B7C" w:rsidRPr="0049324A" w:rsidRDefault="00626B7C">
      <w:pPr>
        <w:spacing w:after="0" w:line="240" w:lineRule="auto"/>
        <w:rPr>
          <w:rFonts w:ascii="Vodafone Rg" w:hAnsi="Vodafone Rg" w:cs="Arial"/>
        </w:rPr>
      </w:pPr>
    </w:p>
    <w:p w:rsidR="00C325A9" w:rsidRPr="00AC6A53" w:rsidRDefault="00C325A9">
      <w:pPr>
        <w:spacing w:after="0" w:line="240" w:lineRule="auto"/>
        <w:rPr>
          <w:rFonts w:ascii="Vodafone Rg" w:hAnsi="Vodafone Rg" w:cs="Arial"/>
          <w:b/>
        </w:rPr>
      </w:pPr>
    </w:p>
    <w:p w:rsidR="00C325A9" w:rsidRPr="00AC6A53" w:rsidRDefault="00C325A9" w:rsidP="00C325A9">
      <w:pPr>
        <w:autoSpaceDE w:val="0"/>
        <w:autoSpaceDN w:val="0"/>
        <w:spacing w:after="240"/>
        <w:rPr>
          <w:rFonts w:ascii="Vodafone Rg" w:hAnsi="Vodafone Rg" w:cs="Arial"/>
          <w:b/>
        </w:rPr>
      </w:pPr>
      <w:r w:rsidRPr="00AC6A53">
        <w:rPr>
          <w:rFonts w:ascii="Vodafone Rg" w:hAnsi="Vodafone Rg" w:cs="Arial"/>
          <w:b/>
        </w:rPr>
        <w:t>1.</w:t>
      </w:r>
      <w:r w:rsidRPr="00AC6A53">
        <w:rPr>
          <w:rFonts w:ascii="Vodafone Rg" w:hAnsi="Vodafone Rg" w:cs="Arial"/>
          <w:b/>
        </w:rPr>
        <w:tab/>
        <w:t>VHA supports the need for reform of s 46</w:t>
      </w:r>
      <w:r w:rsidR="00626B7C" w:rsidRPr="00AC6A53">
        <w:rPr>
          <w:rFonts w:ascii="Vodafone Rg" w:hAnsi="Vodafone Rg" w:cs="Arial"/>
          <w:b/>
        </w:rPr>
        <w:tab/>
      </w:r>
      <w:r w:rsidR="00626B7C" w:rsidRPr="00AC6A53">
        <w:rPr>
          <w:rFonts w:ascii="Vodafone Rg" w:hAnsi="Vodafone Rg" w:cs="Arial"/>
          <w:b/>
        </w:rPr>
        <w:tab/>
      </w:r>
      <w:r w:rsidR="00626B7C" w:rsidRPr="00AC6A53">
        <w:rPr>
          <w:rFonts w:ascii="Vodafone Rg" w:hAnsi="Vodafone Rg" w:cs="Arial"/>
          <w:b/>
        </w:rPr>
        <w:tab/>
      </w:r>
      <w:r w:rsidR="00626B7C" w:rsidRPr="00AC6A53">
        <w:rPr>
          <w:rFonts w:ascii="Vodafone Rg" w:hAnsi="Vodafone Rg" w:cs="Arial"/>
          <w:b/>
        </w:rPr>
        <w:tab/>
      </w:r>
      <w:r w:rsidR="00626B7C" w:rsidRPr="00AC6A53">
        <w:rPr>
          <w:rFonts w:ascii="Vodafone Rg" w:hAnsi="Vodafone Rg" w:cs="Arial"/>
          <w:b/>
        </w:rPr>
        <w:tab/>
      </w:r>
      <w:r w:rsidR="00626B7C" w:rsidRPr="00AC6A53">
        <w:rPr>
          <w:rFonts w:ascii="Vodafone Rg" w:hAnsi="Vodafone Rg" w:cs="Arial"/>
          <w:b/>
        </w:rPr>
        <w:tab/>
      </w:r>
      <w:r w:rsidR="00626B7C" w:rsidRPr="00AC6A53">
        <w:rPr>
          <w:rFonts w:ascii="Vodafone Rg" w:hAnsi="Vodafone Rg" w:cs="Arial"/>
          <w:b/>
        </w:rPr>
        <w:tab/>
      </w:r>
      <w:r w:rsidR="00AC6A53" w:rsidRPr="00AC6A53">
        <w:rPr>
          <w:rFonts w:ascii="Vodafone Rg" w:hAnsi="Vodafone Rg" w:cs="Arial"/>
          <w:b/>
        </w:rPr>
        <w:t>6</w:t>
      </w:r>
    </w:p>
    <w:p w:rsidR="00626B7C" w:rsidRPr="00DF620F" w:rsidRDefault="00DF620F" w:rsidP="00DF620F">
      <w:pPr>
        <w:autoSpaceDE w:val="0"/>
        <w:autoSpaceDN w:val="0"/>
        <w:spacing w:after="240"/>
        <w:ind w:left="567"/>
        <w:rPr>
          <w:rFonts w:ascii="Vodafone Rg" w:hAnsi="Vodafone Rg"/>
          <w:i/>
        </w:rPr>
      </w:pPr>
      <w:r w:rsidRPr="00DF620F">
        <w:rPr>
          <w:rFonts w:ascii="Vodafone Rg" w:hAnsi="Vodafone Rg"/>
          <w:i/>
        </w:rPr>
        <w:t>(a)</w:t>
      </w:r>
      <w:r w:rsidRPr="00DF620F">
        <w:rPr>
          <w:rFonts w:ascii="Vodafone Rg" w:hAnsi="Vodafone Rg"/>
          <w:i/>
        </w:rPr>
        <w:tab/>
        <w:t>A balanced approach is required</w:t>
      </w:r>
    </w:p>
    <w:p w:rsidR="00DF620F" w:rsidRDefault="00DF620F" w:rsidP="00DF620F">
      <w:pPr>
        <w:autoSpaceDE w:val="0"/>
        <w:autoSpaceDN w:val="0"/>
        <w:spacing w:after="240"/>
        <w:ind w:left="567"/>
        <w:rPr>
          <w:rFonts w:ascii="Vodafone Rg" w:hAnsi="Vodafone Rg"/>
          <w:i/>
        </w:rPr>
      </w:pPr>
      <w:r w:rsidRPr="00DF620F">
        <w:rPr>
          <w:rFonts w:ascii="Vodafone Rg" w:hAnsi="Vodafone Rg"/>
          <w:i/>
        </w:rPr>
        <w:t>(b)</w:t>
      </w:r>
      <w:r w:rsidRPr="00DF620F">
        <w:rPr>
          <w:rFonts w:ascii="Vodafone Rg" w:hAnsi="Vodafone Rg"/>
          <w:i/>
        </w:rPr>
        <w:tab/>
        <w:t>The existing s46 is sub-optimal due to the emphasis on purpose</w:t>
      </w:r>
    </w:p>
    <w:p w:rsidR="00DF620F" w:rsidRDefault="00DF620F" w:rsidP="00DF620F">
      <w:pPr>
        <w:autoSpaceDE w:val="0"/>
        <w:autoSpaceDN w:val="0"/>
        <w:spacing w:after="240"/>
        <w:ind w:left="567"/>
        <w:rPr>
          <w:rFonts w:ascii="Vodafone Rg" w:hAnsi="Vodafone Rg"/>
          <w:i/>
        </w:rPr>
      </w:pPr>
      <w:r>
        <w:rPr>
          <w:rFonts w:ascii="Vodafone Rg" w:hAnsi="Vodafone Rg"/>
          <w:i/>
        </w:rPr>
        <w:t>(c)</w:t>
      </w:r>
      <w:r>
        <w:rPr>
          <w:rFonts w:ascii="Vodafone Rg" w:hAnsi="Vodafone Rg"/>
          <w:i/>
        </w:rPr>
        <w:tab/>
        <w:t>Proving purpose is particularly difficult and costly in private litigation</w:t>
      </w:r>
    </w:p>
    <w:p w:rsidR="00DF620F" w:rsidRPr="00DF620F" w:rsidRDefault="00DF620F" w:rsidP="00DF620F">
      <w:pPr>
        <w:autoSpaceDE w:val="0"/>
        <w:autoSpaceDN w:val="0"/>
        <w:spacing w:after="240"/>
        <w:ind w:left="567"/>
        <w:rPr>
          <w:rFonts w:ascii="Vodafone Rg" w:hAnsi="Vodafone Rg"/>
          <w:i/>
        </w:rPr>
      </w:pPr>
    </w:p>
    <w:p w:rsidR="00C325A9" w:rsidRPr="00AC6A53" w:rsidRDefault="00C325A9" w:rsidP="00C325A9">
      <w:pPr>
        <w:autoSpaceDE w:val="0"/>
        <w:autoSpaceDN w:val="0"/>
        <w:spacing w:after="240"/>
        <w:rPr>
          <w:rFonts w:ascii="Vodafone Rg" w:hAnsi="Vodafone Rg" w:cs="Arial"/>
          <w:b/>
        </w:rPr>
      </w:pPr>
      <w:r w:rsidRPr="00AC6A53">
        <w:rPr>
          <w:rFonts w:ascii="Vodafone Rg" w:hAnsi="Vodafone Rg"/>
          <w:b/>
        </w:rPr>
        <w:t>2.</w:t>
      </w:r>
      <w:r w:rsidRPr="00AC6A53">
        <w:rPr>
          <w:rFonts w:ascii="Vodafone Rg" w:hAnsi="Vodafone Rg"/>
          <w:b/>
        </w:rPr>
        <w:tab/>
      </w:r>
      <w:r w:rsidRPr="00AC6A53">
        <w:rPr>
          <w:rFonts w:ascii="Vodafone Rg" w:hAnsi="Vodafone Rg" w:cs="Arial"/>
          <w:b/>
        </w:rPr>
        <w:t xml:space="preserve">Lessons can be learned from </w:t>
      </w:r>
      <w:r w:rsidR="006D0891" w:rsidRPr="00AC6A53">
        <w:rPr>
          <w:rFonts w:ascii="Vodafone Rg" w:hAnsi="Vodafone Rg" w:cs="Arial"/>
          <w:b/>
        </w:rPr>
        <w:t xml:space="preserve">the effects test in </w:t>
      </w:r>
      <w:r w:rsidRPr="00AC6A53">
        <w:rPr>
          <w:rFonts w:ascii="Vodafone Rg" w:hAnsi="Vodafone Rg" w:cs="Arial"/>
          <w:b/>
        </w:rPr>
        <w:t xml:space="preserve">telecoms </w:t>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AC6A53" w:rsidRPr="00AC6A53">
        <w:rPr>
          <w:rFonts w:ascii="Vodafone Rg" w:hAnsi="Vodafone Rg" w:cs="Arial"/>
          <w:b/>
        </w:rPr>
        <w:t>9</w:t>
      </w:r>
    </w:p>
    <w:p w:rsidR="00626B7C" w:rsidRPr="00DF620F" w:rsidRDefault="00DF620F" w:rsidP="00DF620F">
      <w:pPr>
        <w:autoSpaceDE w:val="0"/>
        <w:autoSpaceDN w:val="0"/>
        <w:spacing w:after="240"/>
        <w:ind w:left="567"/>
        <w:rPr>
          <w:rFonts w:ascii="Vodafone Rg" w:hAnsi="Vodafone Rg"/>
          <w:i/>
        </w:rPr>
      </w:pPr>
      <w:r w:rsidRPr="00DF620F">
        <w:rPr>
          <w:rFonts w:ascii="Vodafone Rg" w:hAnsi="Vodafone Rg"/>
          <w:i/>
        </w:rPr>
        <w:t>(a)</w:t>
      </w:r>
      <w:r w:rsidRPr="00DF620F">
        <w:rPr>
          <w:rFonts w:ascii="Vodafone Rg" w:hAnsi="Vodafone Rg"/>
          <w:i/>
        </w:rPr>
        <w:tab/>
        <w:t xml:space="preserve">An ‘effects test’ introduces an appropriate level of culpability </w:t>
      </w:r>
    </w:p>
    <w:p w:rsidR="00DF620F" w:rsidRPr="00DF620F" w:rsidRDefault="00DF620F" w:rsidP="00DF620F">
      <w:pPr>
        <w:autoSpaceDE w:val="0"/>
        <w:autoSpaceDN w:val="0"/>
        <w:spacing w:after="240"/>
        <w:ind w:left="567"/>
        <w:rPr>
          <w:rFonts w:ascii="Vodafone Rg" w:hAnsi="Vodafone Rg"/>
          <w:i/>
        </w:rPr>
      </w:pPr>
      <w:r w:rsidRPr="00DF620F">
        <w:rPr>
          <w:rFonts w:ascii="Vodafone Rg" w:hAnsi="Vodafone Rg"/>
          <w:i/>
        </w:rPr>
        <w:t>(</w:t>
      </w:r>
      <w:r w:rsidR="00AC6A53">
        <w:rPr>
          <w:rFonts w:ascii="Vodafone Rg" w:hAnsi="Vodafone Rg"/>
          <w:i/>
        </w:rPr>
        <w:t>b</w:t>
      </w:r>
      <w:r w:rsidRPr="00DF620F">
        <w:rPr>
          <w:rFonts w:ascii="Vodafone Rg" w:hAnsi="Vodafone Rg"/>
          <w:i/>
        </w:rPr>
        <w:t>)</w:t>
      </w:r>
      <w:r w:rsidRPr="00DF620F">
        <w:rPr>
          <w:rFonts w:ascii="Vodafone Rg" w:hAnsi="Vodafone Rg"/>
          <w:i/>
        </w:rPr>
        <w:tab/>
        <w:t>The telecoms sector has applied an ‘effects test’ for some 20 years</w:t>
      </w:r>
    </w:p>
    <w:p w:rsidR="00DF620F" w:rsidRDefault="00DF620F" w:rsidP="00DF620F">
      <w:pPr>
        <w:autoSpaceDE w:val="0"/>
        <w:autoSpaceDN w:val="0"/>
        <w:spacing w:after="240"/>
        <w:ind w:left="567"/>
        <w:rPr>
          <w:rFonts w:ascii="Vodafone Rg" w:hAnsi="Vodafone Rg"/>
          <w:i/>
        </w:rPr>
      </w:pPr>
      <w:r w:rsidRPr="00DF620F">
        <w:rPr>
          <w:rFonts w:ascii="Vodafone Rg" w:hAnsi="Vodafone Rg"/>
          <w:i/>
        </w:rPr>
        <w:t>(</w:t>
      </w:r>
      <w:r w:rsidR="00AC6A53">
        <w:rPr>
          <w:rFonts w:ascii="Vodafone Rg" w:hAnsi="Vodafone Rg"/>
          <w:i/>
        </w:rPr>
        <w:t>c)</w:t>
      </w:r>
      <w:r w:rsidRPr="00DF620F">
        <w:rPr>
          <w:rFonts w:ascii="Vodafone Rg" w:hAnsi="Vodafone Rg"/>
          <w:i/>
        </w:rPr>
        <w:tab/>
        <w:t>An ‘effects test’ has operated effectively without the sky falling in</w:t>
      </w:r>
    </w:p>
    <w:p w:rsidR="00DF620F" w:rsidRPr="00DF620F" w:rsidRDefault="00DF620F" w:rsidP="00DF620F">
      <w:pPr>
        <w:autoSpaceDE w:val="0"/>
        <w:autoSpaceDN w:val="0"/>
        <w:spacing w:after="240"/>
        <w:ind w:left="567"/>
        <w:rPr>
          <w:rFonts w:ascii="Vodafone Rg" w:hAnsi="Vodafone Rg"/>
          <w:i/>
        </w:rPr>
      </w:pPr>
    </w:p>
    <w:p w:rsidR="00C325A9" w:rsidRPr="00AC6A53" w:rsidRDefault="00C325A9" w:rsidP="00C325A9">
      <w:pPr>
        <w:autoSpaceDE w:val="0"/>
        <w:autoSpaceDN w:val="0"/>
        <w:spacing w:after="240"/>
        <w:rPr>
          <w:rFonts w:ascii="Vodafone Rg" w:hAnsi="Vodafone Rg" w:cs="Arial"/>
          <w:b/>
        </w:rPr>
      </w:pPr>
      <w:r w:rsidRPr="00AC6A53">
        <w:rPr>
          <w:rFonts w:ascii="Vodafone Rg" w:hAnsi="Vodafone Rg"/>
          <w:b/>
        </w:rPr>
        <w:t>3.</w:t>
      </w:r>
      <w:r w:rsidRPr="00AC6A53">
        <w:rPr>
          <w:rFonts w:ascii="Vodafone Rg" w:hAnsi="Vodafone Rg"/>
          <w:b/>
        </w:rPr>
        <w:tab/>
      </w:r>
      <w:r w:rsidRPr="00AC6A53">
        <w:rPr>
          <w:rFonts w:ascii="Vodafone Rg" w:hAnsi="Vodafone Rg" w:cs="Arial"/>
          <w:b/>
        </w:rPr>
        <w:t>Of the various options, VHA prefers ‘Option E’</w:t>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AC6A53">
        <w:rPr>
          <w:rFonts w:ascii="Vodafone Rg" w:hAnsi="Vodafone Rg" w:cs="Arial"/>
          <w:b/>
        </w:rPr>
        <w:tab/>
      </w:r>
      <w:r w:rsidR="00DF620F" w:rsidRPr="00AC6A53">
        <w:rPr>
          <w:rFonts w:ascii="Vodafone Rg" w:hAnsi="Vodafone Rg" w:cs="Arial"/>
          <w:b/>
        </w:rPr>
        <w:t>1</w:t>
      </w:r>
      <w:r w:rsidR="00AC6A53" w:rsidRPr="00AC6A53">
        <w:rPr>
          <w:rFonts w:ascii="Vodafone Rg" w:hAnsi="Vodafone Rg" w:cs="Arial"/>
          <w:b/>
        </w:rPr>
        <w:t>3</w:t>
      </w:r>
    </w:p>
    <w:p w:rsidR="00626B7C" w:rsidRPr="00AC6A53" w:rsidRDefault="00626B7C" w:rsidP="00C325A9">
      <w:pPr>
        <w:autoSpaceDE w:val="0"/>
        <w:autoSpaceDN w:val="0"/>
        <w:spacing w:after="240"/>
        <w:rPr>
          <w:rFonts w:ascii="Vodafone Rg" w:hAnsi="Vodafone Rg" w:cs="Arial Narrow"/>
          <w:b/>
          <w:lang w:eastAsia="en-AU"/>
        </w:rPr>
      </w:pPr>
    </w:p>
    <w:p w:rsidR="00C325A9" w:rsidRPr="00AC6A53" w:rsidRDefault="00C325A9" w:rsidP="00C325A9">
      <w:pPr>
        <w:autoSpaceDE w:val="0"/>
        <w:autoSpaceDN w:val="0"/>
        <w:spacing w:after="240"/>
        <w:rPr>
          <w:rFonts w:ascii="Vodafone Rg" w:hAnsi="Vodafone Rg" w:cs="Arial Narrow"/>
          <w:b/>
          <w:lang w:eastAsia="en-AU"/>
        </w:rPr>
      </w:pPr>
      <w:r w:rsidRPr="00AC6A53">
        <w:rPr>
          <w:rFonts w:ascii="Vodafone Rg" w:hAnsi="Vodafone Rg" w:cs="Arial Narrow"/>
          <w:b/>
          <w:lang w:eastAsia="en-AU"/>
        </w:rPr>
        <w:t>4.</w:t>
      </w:r>
      <w:r w:rsidRPr="00AC6A53">
        <w:rPr>
          <w:rFonts w:ascii="Vodafone Rg" w:hAnsi="Vodafone Rg" w:cs="Arial Narrow"/>
          <w:b/>
          <w:lang w:eastAsia="en-AU"/>
        </w:rPr>
        <w:tab/>
        <w:t>A</w:t>
      </w:r>
      <w:r w:rsidR="00626B7C" w:rsidRPr="00AC6A53">
        <w:rPr>
          <w:rFonts w:ascii="Vodafone Rg" w:hAnsi="Vodafone Rg" w:cs="Arial Narrow"/>
          <w:b/>
          <w:lang w:eastAsia="en-AU"/>
        </w:rPr>
        <w:t>nother</w:t>
      </w:r>
      <w:r w:rsidRPr="00AC6A53">
        <w:rPr>
          <w:rFonts w:ascii="Vodafone Rg" w:hAnsi="Vodafone Rg" w:cs="Arial Narrow"/>
          <w:b/>
          <w:lang w:eastAsia="en-AU"/>
        </w:rPr>
        <w:t xml:space="preserve"> sensible solution is </w:t>
      </w:r>
      <w:r w:rsidR="00626B7C" w:rsidRPr="00AC6A53">
        <w:rPr>
          <w:rFonts w:ascii="Vodafone Rg" w:hAnsi="Vodafone Rg" w:cs="Arial Narrow"/>
          <w:b/>
          <w:lang w:eastAsia="en-AU"/>
        </w:rPr>
        <w:t>the wording from</w:t>
      </w:r>
      <w:r w:rsidRPr="00AC6A53">
        <w:rPr>
          <w:rFonts w:ascii="Vodafone Rg" w:hAnsi="Vodafone Rg" w:cs="Arial Narrow"/>
          <w:b/>
          <w:lang w:eastAsia="en-AU"/>
        </w:rPr>
        <w:t xml:space="preserve"> s151AJ(2)</w:t>
      </w:r>
      <w:r w:rsidR="00AC6A53">
        <w:rPr>
          <w:rFonts w:ascii="Vodafone Rg" w:hAnsi="Vodafone Rg" w:cs="Arial Narrow"/>
          <w:b/>
          <w:lang w:eastAsia="en-AU"/>
        </w:rPr>
        <w:tab/>
      </w:r>
      <w:r w:rsidR="00AC6A53">
        <w:rPr>
          <w:rFonts w:ascii="Vodafone Rg" w:hAnsi="Vodafone Rg" w:cs="Arial Narrow"/>
          <w:b/>
          <w:lang w:eastAsia="en-AU"/>
        </w:rPr>
        <w:tab/>
      </w:r>
      <w:r w:rsidR="00AC6A53">
        <w:rPr>
          <w:rFonts w:ascii="Vodafone Rg" w:hAnsi="Vodafone Rg" w:cs="Arial Narrow"/>
          <w:b/>
          <w:lang w:eastAsia="en-AU"/>
        </w:rPr>
        <w:tab/>
      </w:r>
      <w:r w:rsidR="00AC6A53">
        <w:rPr>
          <w:rFonts w:ascii="Vodafone Rg" w:hAnsi="Vodafone Rg" w:cs="Arial Narrow"/>
          <w:b/>
          <w:lang w:eastAsia="en-AU"/>
        </w:rPr>
        <w:tab/>
      </w:r>
      <w:r w:rsidR="00DF620F" w:rsidRPr="00AC6A53">
        <w:rPr>
          <w:rFonts w:ascii="Vodafone Rg" w:hAnsi="Vodafone Rg" w:cs="Arial Narrow"/>
          <w:b/>
          <w:lang w:eastAsia="en-AU"/>
        </w:rPr>
        <w:t>1</w:t>
      </w:r>
      <w:r w:rsidR="00AC6A53" w:rsidRPr="00AC6A53">
        <w:rPr>
          <w:rFonts w:ascii="Vodafone Rg" w:hAnsi="Vodafone Rg" w:cs="Arial Narrow"/>
          <w:b/>
          <w:lang w:eastAsia="en-AU"/>
        </w:rPr>
        <w:t>4</w:t>
      </w:r>
    </w:p>
    <w:p w:rsidR="003953A5" w:rsidRPr="00AC6A53" w:rsidRDefault="003953A5" w:rsidP="00C325A9">
      <w:pPr>
        <w:autoSpaceDE w:val="0"/>
        <w:autoSpaceDN w:val="0"/>
        <w:spacing w:after="240"/>
        <w:rPr>
          <w:rFonts w:ascii="Vodafone Rg" w:hAnsi="Vodafone Rg" w:cs="Arial Narrow"/>
          <w:b/>
          <w:lang w:eastAsia="en-AU"/>
        </w:rPr>
      </w:pPr>
    </w:p>
    <w:p w:rsidR="003953A5" w:rsidRPr="00AC6A53" w:rsidRDefault="003953A5" w:rsidP="00C325A9">
      <w:pPr>
        <w:autoSpaceDE w:val="0"/>
        <w:autoSpaceDN w:val="0"/>
        <w:spacing w:after="240"/>
        <w:rPr>
          <w:rFonts w:ascii="Vodafone Rg" w:hAnsi="Vodafone Rg" w:cs="Arial Narrow"/>
          <w:b/>
          <w:lang w:eastAsia="en-AU"/>
        </w:rPr>
      </w:pPr>
      <w:r w:rsidRPr="00AC6A53">
        <w:rPr>
          <w:rFonts w:ascii="Vodafone Rg" w:hAnsi="Vodafone Rg" w:cs="Arial Narrow"/>
          <w:b/>
          <w:lang w:eastAsia="en-AU"/>
        </w:rPr>
        <w:t xml:space="preserve">5. </w:t>
      </w:r>
      <w:r w:rsidRPr="00AC6A53">
        <w:rPr>
          <w:rFonts w:ascii="Vodafone Rg" w:hAnsi="Vodafone Rg" w:cs="Arial Narrow"/>
          <w:b/>
          <w:lang w:eastAsia="en-AU"/>
        </w:rPr>
        <w:tab/>
        <w:t>Conclusion</w:t>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r>
      <w:r w:rsidRPr="00AC6A53">
        <w:rPr>
          <w:rFonts w:ascii="Vodafone Rg" w:hAnsi="Vodafone Rg" w:cs="Arial Narrow"/>
          <w:b/>
          <w:lang w:eastAsia="en-AU"/>
        </w:rPr>
        <w:tab/>
        <w:t>1</w:t>
      </w:r>
      <w:r w:rsidR="00AC6A53" w:rsidRPr="00AC6A53">
        <w:rPr>
          <w:rFonts w:ascii="Vodafone Rg" w:hAnsi="Vodafone Rg" w:cs="Arial Narrow"/>
          <w:b/>
          <w:lang w:eastAsia="en-AU"/>
        </w:rPr>
        <w:t>4</w:t>
      </w:r>
    </w:p>
    <w:p w:rsidR="00C325A9" w:rsidRPr="0049324A" w:rsidRDefault="00C325A9">
      <w:pPr>
        <w:spacing w:after="0" w:line="240" w:lineRule="auto"/>
        <w:rPr>
          <w:rFonts w:ascii="Vodafone Rg" w:hAnsi="Vodafone Rg" w:cs="Arial"/>
        </w:rPr>
      </w:pPr>
      <w:r w:rsidRPr="0049324A">
        <w:rPr>
          <w:rFonts w:ascii="Vodafone Rg" w:hAnsi="Vodafone Rg" w:cs="Arial"/>
        </w:rPr>
        <w:br w:type="page"/>
      </w:r>
    </w:p>
    <w:p w:rsidR="00626B7C" w:rsidRPr="0049324A" w:rsidRDefault="00DF620F" w:rsidP="00626B7C">
      <w:pPr>
        <w:spacing w:after="120" w:line="240" w:lineRule="auto"/>
        <w:rPr>
          <w:rFonts w:ascii="Vodafone Rg" w:hAnsi="Vodafone Rg"/>
          <w:b/>
          <w:sz w:val="36"/>
          <w:szCs w:val="36"/>
        </w:rPr>
      </w:pPr>
      <w:r>
        <w:rPr>
          <w:rFonts w:ascii="Vodafone Rg" w:hAnsi="Vodafone Rg"/>
          <w:b/>
          <w:sz w:val="36"/>
          <w:szCs w:val="36"/>
        </w:rPr>
        <w:t xml:space="preserve">DETAILED </w:t>
      </w:r>
      <w:r w:rsidR="00626B7C" w:rsidRPr="0049324A">
        <w:rPr>
          <w:rFonts w:ascii="Vodafone Rg" w:hAnsi="Vodafone Rg"/>
          <w:b/>
          <w:sz w:val="36"/>
          <w:szCs w:val="36"/>
        </w:rPr>
        <w:t>SUBMISSION BY VHA</w:t>
      </w:r>
    </w:p>
    <w:p w:rsidR="00626B7C" w:rsidRPr="0049324A" w:rsidRDefault="00626B7C" w:rsidP="00626B7C">
      <w:pPr>
        <w:autoSpaceDE w:val="0"/>
        <w:autoSpaceDN w:val="0"/>
        <w:spacing w:after="240"/>
        <w:contextualSpacing/>
        <w:rPr>
          <w:rFonts w:ascii="Vodafone Rg" w:hAnsi="Vodafone Rg" w:cs="Arial"/>
          <w:b/>
        </w:rPr>
      </w:pPr>
    </w:p>
    <w:p w:rsidR="00626B7C" w:rsidRPr="0049324A" w:rsidRDefault="00626B7C" w:rsidP="00626B7C">
      <w:pPr>
        <w:autoSpaceDE w:val="0"/>
        <w:autoSpaceDN w:val="0"/>
        <w:spacing w:after="240"/>
        <w:contextualSpacing/>
        <w:rPr>
          <w:rFonts w:ascii="Vodafone Rg" w:hAnsi="Vodafone Rg" w:cs="Arial"/>
          <w:b/>
        </w:rPr>
      </w:pPr>
    </w:p>
    <w:p w:rsidR="00626B7C" w:rsidRPr="0049324A" w:rsidRDefault="00626B7C" w:rsidP="00626B7C">
      <w:pPr>
        <w:autoSpaceDE w:val="0"/>
        <w:autoSpaceDN w:val="0"/>
        <w:spacing w:before="240" w:after="240"/>
        <w:rPr>
          <w:rFonts w:ascii="Vodafone Rg" w:hAnsi="Vodafone Rg" w:cs="Arial"/>
          <w:b/>
        </w:rPr>
      </w:pPr>
      <w:r w:rsidRPr="0049324A">
        <w:rPr>
          <w:rFonts w:ascii="Vodafone Rg" w:hAnsi="Vodafone Rg" w:cs="Arial"/>
          <w:b/>
        </w:rPr>
        <w:t>1.</w:t>
      </w:r>
      <w:r w:rsidRPr="0049324A">
        <w:rPr>
          <w:rFonts w:ascii="Vodafone Rg" w:hAnsi="Vodafone Rg" w:cs="Arial"/>
          <w:b/>
        </w:rPr>
        <w:tab/>
        <w:t>VHA supports the need for reform of s 46</w:t>
      </w:r>
    </w:p>
    <w:p w:rsidR="007F51D6" w:rsidRDefault="00626B7C" w:rsidP="005126BE">
      <w:pPr>
        <w:autoSpaceDE w:val="0"/>
        <w:autoSpaceDN w:val="0"/>
        <w:spacing w:after="240"/>
        <w:ind w:left="567"/>
        <w:rPr>
          <w:rFonts w:ascii="Vodafone Rg" w:hAnsi="Vodafone Rg"/>
        </w:rPr>
      </w:pPr>
      <w:r w:rsidRPr="0049324A">
        <w:rPr>
          <w:rFonts w:ascii="Vodafone Rg" w:hAnsi="Vodafone Rg"/>
        </w:rPr>
        <w:t xml:space="preserve">VHA is a strong supporter of the review of Australian competition law and policy.   We have made extensive submissions to the Harper Panel.  </w:t>
      </w:r>
    </w:p>
    <w:p w:rsidR="005126BE" w:rsidRPr="0049324A" w:rsidRDefault="00626B7C" w:rsidP="005126BE">
      <w:pPr>
        <w:autoSpaceDE w:val="0"/>
        <w:autoSpaceDN w:val="0"/>
        <w:spacing w:after="240"/>
        <w:ind w:left="567"/>
        <w:rPr>
          <w:rFonts w:ascii="Vodafone Rg" w:hAnsi="Vodafone Rg"/>
        </w:rPr>
      </w:pPr>
      <w:r w:rsidRPr="0049324A">
        <w:rPr>
          <w:rFonts w:ascii="Vodafone Rg" w:hAnsi="Vodafone Rg"/>
        </w:rPr>
        <w:t xml:space="preserve">We are pleased by the Australian Government’s </w:t>
      </w:r>
      <w:r w:rsidR="0049324A" w:rsidRPr="0049324A">
        <w:rPr>
          <w:rFonts w:ascii="Vodafone Rg" w:hAnsi="Vodafone Rg"/>
        </w:rPr>
        <w:t>response</w:t>
      </w:r>
      <w:r w:rsidRPr="0049324A">
        <w:rPr>
          <w:rFonts w:ascii="Vodafone Rg" w:hAnsi="Vodafone Rg"/>
        </w:rPr>
        <w:t xml:space="preserve"> to the Harper Panel recommendations.  We note that the Australian Government has accepted the ‘easier’ recommendations and deferred many of the ‘harder’ recommendations for further analysis.  We consider this </w:t>
      </w:r>
      <w:r w:rsidR="005126BE" w:rsidRPr="0049324A">
        <w:rPr>
          <w:rFonts w:ascii="Vodafone Rg" w:hAnsi="Vodafone Rg"/>
        </w:rPr>
        <w:t xml:space="preserve">policy </w:t>
      </w:r>
      <w:r w:rsidRPr="0049324A">
        <w:rPr>
          <w:rFonts w:ascii="Vodafone Rg" w:hAnsi="Vodafone Rg"/>
        </w:rPr>
        <w:t xml:space="preserve">response was </w:t>
      </w:r>
      <w:r w:rsidR="005126BE" w:rsidRPr="0049324A">
        <w:rPr>
          <w:rFonts w:ascii="Vodafone Rg" w:hAnsi="Vodafone Rg"/>
        </w:rPr>
        <w:t>prudent and</w:t>
      </w:r>
      <w:r w:rsidRPr="0049324A">
        <w:rPr>
          <w:rFonts w:ascii="Vodafone Rg" w:hAnsi="Vodafone Rg"/>
        </w:rPr>
        <w:t xml:space="preserve"> </w:t>
      </w:r>
      <w:r w:rsidR="005126BE" w:rsidRPr="0049324A">
        <w:rPr>
          <w:rFonts w:ascii="Vodafone Rg" w:hAnsi="Vodafone Rg"/>
        </w:rPr>
        <w:t>appropriate</w:t>
      </w:r>
      <w:r w:rsidRPr="0049324A">
        <w:rPr>
          <w:rFonts w:ascii="Vodafone Rg" w:hAnsi="Vodafone Rg"/>
        </w:rPr>
        <w:t xml:space="preserve">.  </w:t>
      </w:r>
    </w:p>
    <w:p w:rsidR="005126BE" w:rsidRPr="0049324A" w:rsidRDefault="00626B7C" w:rsidP="005126BE">
      <w:pPr>
        <w:autoSpaceDE w:val="0"/>
        <w:autoSpaceDN w:val="0"/>
        <w:spacing w:after="240"/>
        <w:ind w:left="567"/>
        <w:rPr>
          <w:rFonts w:ascii="Vodafone Rg" w:hAnsi="Vodafone Rg"/>
        </w:rPr>
      </w:pPr>
      <w:r w:rsidRPr="0049324A">
        <w:rPr>
          <w:rFonts w:ascii="Vodafone Rg" w:hAnsi="Vodafone Rg"/>
        </w:rPr>
        <w:t xml:space="preserve">We urge the Australian Government to proceed to implement the </w:t>
      </w:r>
      <w:r w:rsidR="005126BE" w:rsidRPr="0049324A">
        <w:rPr>
          <w:rFonts w:ascii="Vodafone Rg" w:hAnsi="Vodafone Rg"/>
        </w:rPr>
        <w:t xml:space="preserve">recommendations that it has accepted </w:t>
      </w:r>
      <w:r w:rsidR="007F51D6">
        <w:rPr>
          <w:rFonts w:ascii="Vodafone Rg" w:hAnsi="Vodafone Rg"/>
        </w:rPr>
        <w:t xml:space="preserve">to date </w:t>
      </w:r>
      <w:r w:rsidR="005126BE" w:rsidRPr="0049324A">
        <w:rPr>
          <w:rFonts w:ascii="Vodafone Rg" w:hAnsi="Vodafone Rg"/>
        </w:rPr>
        <w:t xml:space="preserve">as soon as practicable. </w:t>
      </w:r>
    </w:p>
    <w:p w:rsidR="000017AC" w:rsidRPr="0049324A" w:rsidRDefault="000017AC" w:rsidP="000017AC">
      <w:pPr>
        <w:autoSpaceDE w:val="0"/>
        <w:autoSpaceDN w:val="0"/>
        <w:spacing w:after="240"/>
        <w:rPr>
          <w:rFonts w:ascii="Vodafone Rg" w:hAnsi="Vodafone Rg"/>
          <w:i/>
        </w:rPr>
      </w:pPr>
      <w:r w:rsidRPr="0049324A">
        <w:rPr>
          <w:rFonts w:ascii="Vodafone Rg" w:hAnsi="Vodafone Rg"/>
          <w:i/>
        </w:rPr>
        <w:t>(a)</w:t>
      </w:r>
      <w:r w:rsidRPr="0049324A">
        <w:rPr>
          <w:rFonts w:ascii="Vodafone Rg" w:hAnsi="Vodafone Rg"/>
          <w:i/>
        </w:rPr>
        <w:tab/>
        <w:t>A balanced approach is required</w:t>
      </w:r>
    </w:p>
    <w:p w:rsidR="00626B7C" w:rsidRPr="0049324A" w:rsidRDefault="005126BE" w:rsidP="005126BE">
      <w:pPr>
        <w:autoSpaceDE w:val="0"/>
        <w:autoSpaceDN w:val="0"/>
        <w:spacing w:after="240"/>
        <w:ind w:left="567"/>
        <w:rPr>
          <w:rFonts w:ascii="Vodafone Rg" w:hAnsi="Vodafone Rg"/>
        </w:rPr>
      </w:pPr>
      <w:r w:rsidRPr="0049324A">
        <w:rPr>
          <w:rFonts w:ascii="Vodafone Rg" w:hAnsi="Vodafone Rg"/>
        </w:rPr>
        <w:t>O</w:t>
      </w:r>
      <w:r w:rsidR="007F51D6">
        <w:rPr>
          <w:rFonts w:ascii="Vodafone Rg" w:hAnsi="Vodafone Rg"/>
        </w:rPr>
        <w:t>ne of the recommendations that has been</w:t>
      </w:r>
      <w:r w:rsidRPr="0049324A">
        <w:rPr>
          <w:rFonts w:ascii="Vodafone Rg" w:hAnsi="Vodafone Rg"/>
        </w:rPr>
        <w:t xml:space="preserve"> deferred for further analysis</w:t>
      </w:r>
      <w:r w:rsidR="007F51D6">
        <w:rPr>
          <w:rFonts w:ascii="Vodafone Rg" w:hAnsi="Vodafone Rg"/>
        </w:rPr>
        <w:t xml:space="preserve"> is</w:t>
      </w:r>
      <w:r w:rsidRPr="0049324A">
        <w:rPr>
          <w:rFonts w:ascii="Vodafone Rg" w:hAnsi="Vodafone Rg"/>
        </w:rPr>
        <w:t xml:space="preserve"> Harper Review recommendation 30 regarding the misuse of market power provision contained in section 46 of the CCA.  Unlike the many previous reviews of the CCA, the Harper Panel recommended significant reform occur to that section.  As the Australian Government </w:t>
      </w:r>
      <w:r w:rsidR="0049324A" w:rsidRPr="0049324A">
        <w:rPr>
          <w:rFonts w:ascii="Vodafone Rg" w:hAnsi="Vodafone Rg"/>
        </w:rPr>
        <w:t>will</w:t>
      </w:r>
      <w:r w:rsidRPr="0049324A">
        <w:rPr>
          <w:rFonts w:ascii="Vodafone Rg" w:hAnsi="Vodafone Rg"/>
        </w:rPr>
        <w:t xml:space="preserve"> appreciate, s 46 is probably the single most important provision</w:t>
      </w:r>
      <w:r w:rsidR="007F51D6">
        <w:rPr>
          <w:rFonts w:ascii="Vodafone Rg" w:hAnsi="Vodafone Rg"/>
        </w:rPr>
        <w:t xml:space="preserve"> contained in </w:t>
      </w:r>
      <w:r w:rsidRPr="0049324A">
        <w:rPr>
          <w:rFonts w:ascii="Vodafone Rg" w:hAnsi="Vodafone Rg"/>
        </w:rPr>
        <w:t xml:space="preserve">Australia’s competition laws.   </w:t>
      </w:r>
    </w:p>
    <w:p w:rsidR="005126BE" w:rsidRPr="0049324A" w:rsidRDefault="005126BE" w:rsidP="005126BE">
      <w:pPr>
        <w:autoSpaceDE w:val="0"/>
        <w:autoSpaceDN w:val="0"/>
        <w:spacing w:after="240"/>
        <w:ind w:left="567"/>
        <w:rPr>
          <w:rFonts w:ascii="Vodafone Rg" w:hAnsi="Vodafone Rg"/>
        </w:rPr>
      </w:pPr>
      <w:r w:rsidRPr="0049324A">
        <w:rPr>
          <w:rFonts w:ascii="Vodafone Rg" w:hAnsi="Vodafone Rg"/>
        </w:rPr>
        <w:t>For this reason, w</w:t>
      </w:r>
      <w:r w:rsidR="00626B7C" w:rsidRPr="0049324A">
        <w:rPr>
          <w:rFonts w:ascii="Vodafone Rg" w:hAnsi="Vodafone Rg"/>
        </w:rPr>
        <w:t xml:space="preserve">hile the reform of s 46 is only a small part of the Harper </w:t>
      </w:r>
      <w:r w:rsidRPr="0049324A">
        <w:rPr>
          <w:rFonts w:ascii="Vodafone Rg" w:hAnsi="Vodafone Rg"/>
        </w:rPr>
        <w:t>Review recommendations</w:t>
      </w:r>
      <w:r w:rsidR="00626B7C" w:rsidRPr="0049324A">
        <w:rPr>
          <w:rFonts w:ascii="Vodafone Rg" w:hAnsi="Vodafone Rg"/>
        </w:rPr>
        <w:t xml:space="preserve">, it has </w:t>
      </w:r>
      <w:r w:rsidRPr="0049324A">
        <w:rPr>
          <w:rFonts w:ascii="Vodafone Rg" w:hAnsi="Vodafone Rg"/>
        </w:rPr>
        <w:t xml:space="preserve">by far </w:t>
      </w:r>
      <w:r w:rsidR="00626B7C" w:rsidRPr="0049324A">
        <w:rPr>
          <w:rFonts w:ascii="Vodafone Rg" w:hAnsi="Vodafone Rg"/>
        </w:rPr>
        <w:t xml:space="preserve">been the most controversial.  </w:t>
      </w:r>
      <w:r w:rsidRPr="0049324A">
        <w:rPr>
          <w:rFonts w:ascii="Vodafone Rg" w:hAnsi="Vodafone Rg"/>
        </w:rPr>
        <w:t>VHA is disappointed</w:t>
      </w:r>
      <w:r w:rsidR="00626B7C" w:rsidRPr="0049324A">
        <w:rPr>
          <w:rFonts w:ascii="Vodafone Rg" w:hAnsi="Vodafone Rg"/>
        </w:rPr>
        <w:t xml:space="preserve"> th</w:t>
      </w:r>
      <w:r w:rsidRPr="0049324A">
        <w:rPr>
          <w:rFonts w:ascii="Vodafone Rg" w:hAnsi="Vodafone Rg"/>
        </w:rPr>
        <w:t>at the resulting</w:t>
      </w:r>
      <w:r w:rsidR="00626B7C" w:rsidRPr="0049324A">
        <w:rPr>
          <w:rFonts w:ascii="Vodafone Rg" w:hAnsi="Vodafone Rg"/>
        </w:rPr>
        <w:t xml:space="preserve"> </w:t>
      </w:r>
      <w:r w:rsidR="007F51D6">
        <w:rPr>
          <w:rFonts w:ascii="Vodafone Rg" w:hAnsi="Vodafone Rg"/>
        </w:rPr>
        <w:t xml:space="preserve">policy </w:t>
      </w:r>
      <w:r w:rsidR="00626B7C" w:rsidRPr="0049324A">
        <w:rPr>
          <w:rFonts w:ascii="Vodafone Rg" w:hAnsi="Vodafone Rg"/>
        </w:rPr>
        <w:t>debate has become polarised between the interests of ‘big’ and ‘small’ business</w:t>
      </w:r>
      <w:r w:rsidRPr="0049324A">
        <w:rPr>
          <w:rFonts w:ascii="Vodafone Rg" w:hAnsi="Vodafone Rg"/>
        </w:rPr>
        <w:t>, exacerbated by media commentary</w:t>
      </w:r>
      <w:r w:rsidR="00626B7C" w:rsidRPr="0049324A">
        <w:rPr>
          <w:rFonts w:ascii="Vodafone Rg" w:hAnsi="Vodafone Rg"/>
        </w:rPr>
        <w:t>.</w:t>
      </w:r>
      <w:r w:rsidRPr="0049324A">
        <w:rPr>
          <w:rFonts w:ascii="Vodafone Rg" w:hAnsi="Vodafone Rg"/>
        </w:rPr>
        <w:t xml:space="preserve">   The polarisation of the debate is unfortunate, but is </w:t>
      </w:r>
      <w:r w:rsidR="007F51D6">
        <w:rPr>
          <w:rFonts w:ascii="Vodafone Rg" w:hAnsi="Vodafone Rg"/>
        </w:rPr>
        <w:t xml:space="preserve">partly </w:t>
      </w:r>
      <w:r w:rsidRPr="0049324A">
        <w:rPr>
          <w:rFonts w:ascii="Vodafone Rg" w:hAnsi="Vodafone Rg"/>
        </w:rPr>
        <w:t xml:space="preserve">a consequence of the </w:t>
      </w:r>
      <w:r w:rsidR="007F51D6">
        <w:rPr>
          <w:rFonts w:ascii="Vodafone Rg" w:hAnsi="Vodafone Rg"/>
        </w:rPr>
        <w:t>significance of the provision</w:t>
      </w:r>
      <w:r w:rsidRPr="0049324A">
        <w:rPr>
          <w:rFonts w:ascii="Vodafone Rg" w:hAnsi="Vodafone Rg"/>
        </w:rPr>
        <w:t>.</w:t>
      </w:r>
      <w:r w:rsidR="00AE4FD1">
        <w:rPr>
          <w:rFonts w:ascii="Vodafone Rg" w:hAnsi="Vodafone Rg"/>
        </w:rPr>
        <w:t xml:space="preserve">   A poorly considered reform to s46 could impose significant economic cost on larger firms and inadvertently chill legitimate competitive conduct.</w:t>
      </w:r>
    </w:p>
    <w:p w:rsidR="00626B7C" w:rsidRPr="0049324A" w:rsidRDefault="000017AC" w:rsidP="005126BE">
      <w:pPr>
        <w:autoSpaceDE w:val="0"/>
        <w:autoSpaceDN w:val="0"/>
        <w:spacing w:after="240"/>
        <w:ind w:left="567"/>
        <w:rPr>
          <w:rFonts w:ascii="Vodafone Rg" w:hAnsi="Vodafone Rg"/>
        </w:rPr>
      </w:pPr>
      <w:r w:rsidRPr="0049324A">
        <w:rPr>
          <w:rFonts w:ascii="Vodafone Rg" w:hAnsi="Vodafone Rg"/>
        </w:rPr>
        <w:t>Against this context</w:t>
      </w:r>
      <w:r w:rsidR="005126BE" w:rsidRPr="0049324A">
        <w:rPr>
          <w:rFonts w:ascii="Vodafone Rg" w:hAnsi="Vodafone Rg"/>
        </w:rPr>
        <w:t xml:space="preserve">, VHA considers that </w:t>
      </w:r>
      <w:r w:rsidRPr="0049324A">
        <w:rPr>
          <w:rFonts w:ascii="Vodafone Rg" w:hAnsi="Vodafone Rg"/>
        </w:rPr>
        <w:t>a balance is required.  T</w:t>
      </w:r>
      <w:r w:rsidR="005126BE" w:rsidRPr="0049324A">
        <w:rPr>
          <w:rFonts w:ascii="Vodafone Rg" w:hAnsi="Vodafone Rg"/>
        </w:rPr>
        <w:t xml:space="preserve">he policy </w:t>
      </w:r>
      <w:r w:rsidR="00626B7C" w:rsidRPr="0049324A">
        <w:rPr>
          <w:rFonts w:ascii="Vodafone Rg" w:hAnsi="Vodafone Rg"/>
        </w:rPr>
        <w:t xml:space="preserve">focus </w:t>
      </w:r>
      <w:r w:rsidR="005126BE" w:rsidRPr="0049324A">
        <w:rPr>
          <w:rFonts w:ascii="Vodafone Rg" w:hAnsi="Vodafone Rg"/>
        </w:rPr>
        <w:t xml:space="preserve">for the Australian Government </w:t>
      </w:r>
      <w:r w:rsidR="00626B7C" w:rsidRPr="0049324A">
        <w:rPr>
          <w:rFonts w:ascii="Vodafone Rg" w:hAnsi="Vodafone Rg"/>
        </w:rPr>
        <w:t>should be on ensuring that Australia has effective competition laws that maintain and promote competition, yet without introducing legislative uncertainty that could chill legitimate competitive rivalry.</w:t>
      </w:r>
      <w:r w:rsidR="005126BE" w:rsidRPr="0049324A">
        <w:rPr>
          <w:rFonts w:ascii="Vodafone Rg" w:hAnsi="Vodafone Rg"/>
        </w:rPr>
        <w:t xml:space="preserve">  As such, any reforms to section 46 should be demonstrably beneficial to the maintenance and promotion of competition.  However, the uncertainty introduced by such reforms (as well as the reforms themselves) should not be of such a nature that </w:t>
      </w:r>
      <w:r w:rsidRPr="0049324A">
        <w:rPr>
          <w:rFonts w:ascii="Vodafone Rg" w:hAnsi="Vodafone Rg"/>
        </w:rPr>
        <w:t>larger firms are dissuaded from engaging in legitimate competitive conduct.</w:t>
      </w:r>
    </w:p>
    <w:p w:rsidR="000017AC" w:rsidRPr="0049324A" w:rsidRDefault="000017AC" w:rsidP="005126BE">
      <w:pPr>
        <w:autoSpaceDE w:val="0"/>
        <w:autoSpaceDN w:val="0"/>
        <w:spacing w:after="240"/>
        <w:ind w:left="567"/>
        <w:rPr>
          <w:rFonts w:ascii="Vodafone Rg" w:hAnsi="Vodafone Rg"/>
        </w:rPr>
      </w:pPr>
      <w:r w:rsidRPr="0049324A">
        <w:rPr>
          <w:rFonts w:ascii="Vodafone Rg" w:hAnsi="Vodafone Rg"/>
        </w:rPr>
        <w:t xml:space="preserve">VHA’s submission to </w:t>
      </w:r>
      <w:r w:rsidR="0049324A" w:rsidRPr="0049324A">
        <w:rPr>
          <w:rFonts w:ascii="Vodafone Rg" w:hAnsi="Vodafone Rg"/>
        </w:rPr>
        <w:t>the</w:t>
      </w:r>
      <w:r w:rsidRPr="0049324A">
        <w:rPr>
          <w:rFonts w:ascii="Vodafone Rg" w:hAnsi="Vodafone Rg"/>
        </w:rPr>
        <w:t xml:space="preserve"> Australian Government is therefore premised on th</w:t>
      </w:r>
      <w:r w:rsidR="00AE4FD1">
        <w:rPr>
          <w:rFonts w:ascii="Vodafone Rg" w:hAnsi="Vodafone Rg"/>
        </w:rPr>
        <w:t>e need for a balanced approach.</w:t>
      </w:r>
      <w:r w:rsidRPr="0049324A">
        <w:rPr>
          <w:rFonts w:ascii="Vodafone Rg" w:hAnsi="Vodafone Rg"/>
        </w:rPr>
        <w:t xml:space="preserve">  Ultimately, a sensible policy compromise is required that suitably addresses </w:t>
      </w:r>
      <w:r w:rsidR="00AE4FD1">
        <w:rPr>
          <w:rFonts w:ascii="Vodafone Rg" w:hAnsi="Vodafone Rg"/>
        </w:rPr>
        <w:t xml:space="preserve">and balances </w:t>
      </w:r>
      <w:r w:rsidRPr="0049324A">
        <w:rPr>
          <w:rFonts w:ascii="Vodafone Rg" w:hAnsi="Vodafone Rg"/>
        </w:rPr>
        <w:t>the concerns of the respective stakeholders, thereby enabling important and beneficial amendments to s 46 to proceed.</w:t>
      </w:r>
    </w:p>
    <w:p w:rsidR="005126BE" w:rsidRPr="0049324A" w:rsidRDefault="000017AC" w:rsidP="00DF620F">
      <w:pPr>
        <w:keepNext/>
        <w:autoSpaceDE w:val="0"/>
        <w:autoSpaceDN w:val="0"/>
        <w:spacing w:after="240"/>
        <w:rPr>
          <w:rFonts w:ascii="Vodafone Rg" w:hAnsi="Vodafone Rg"/>
          <w:i/>
        </w:rPr>
      </w:pPr>
      <w:r w:rsidRPr="0049324A">
        <w:rPr>
          <w:rFonts w:ascii="Vodafone Rg" w:hAnsi="Vodafone Rg"/>
          <w:i/>
        </w:rPr>
        <w:t>(b)</w:t>
      </w:r>
      <w:r w:rsidRPr="0049324A">
        <w:rPr>
          <w:rFonts w:ascii="Vodafone Rg" w:hAnsi="Vodafone Rg"/>
          <w:i/>
        </w:rPr>
        <w:tab/>
        <w:t>The existing s 46 is sub-optimal due to the emphasis on purpose</w:t>
      </w:r>
    </w:p>
    <w:p w:rsidR="000E700B" w:rsidRPr="0049324A" w:rsidRDefault="00626B7C" w:rsidP="00DF620F">
      <w:pPr>
        <w:keepNext/>
        <w:autoSpaceDE w:val="0"/>
        <w:autoSpaceDN w:val="0"/>
        <w:spacing w:after="240"/>
        <w:ind w:left="567"/>
        <w:rPr>
          <w:rFonts w:ascii="Vodafone Rg" w:hAnsi="Vodafone Rg"/>
        </w:rPr>
      </w:pPr>
      <w:r w:rsidRPr="0049324A">
        <w:rPr>
          <w:rFonts w:ascii="Vodafone Rg" w:hAnsi="Vodafone Rg"/>
        </w:rPr>
        <w:t>VHA agrees that s 46 has not been as effective as it could have been in differentiating between legitimate and illegitimate conduct by firms with substantial market power (</w:t>
      </w:r>
      <w:r w:rsidRPr="0049324A">
        <w:rPr>
          <w:rFonts w:ascii="Vodafone Rg" w:hAnsi="Vodafone Rg"/>
          <w:b/>
        </w:rPr>
        <w:t>SMP</w:t>
      </w:r>
      <w:r w:rsidRPr="0049324A">
        <w:rPr>
          <w:rFonts w:ascii="Vodafone Rg" w:hAnsi="Vodafone Rg"/>
        </w:rPr>
        <w:t xml:space="preserve">).  VHA considers that this has resulted from the requirement to prove an anti-competitive purpose.  </w:t>
      </w:r>
      <w:r w:rsidR="000E700B" w:rsidRPr="0049324A">
        <w:rPr>
          <w:rFonts w:ascii="Vodafone Rg" w:hAnsi="Vodafone Rg"/>
        </w:rPr>
        <w:t>In practical effect, a litigant must prove on the balance of probabilities that a firm had an intentional strategy to cause harm to a particular competitor</w:t>
      </w:r>
      <w:r w:rsidR="00AE4FD1">
        <w:rPr>
          <w:rFonts w:ascii="Vodafone Rg" w:hAnsi="Vodafone Rg"/>
        </w:rPr>
        <w:t>, as manifested by its purpose.</w:t>
      </w:r>
    </w:p>
    <w:p w:rsidR="000E700B" w:rsidRPr="0049324A" w:rsidRDefault="000E700B" w:rsidP="000B1C87">
      <w:pPr>
        <w:autoSpaceDE w:val="0"/>
        <w:autoSpaceDN w:val="0"/>
        <w:spacing w:after="240"/>
        <w:ind w:left="567"/>
        <w:rPr>
          <w:rFonts w:ascii="Vodafone Rg" w:hAnsi="Vodafone Rg"/>
          <w:i/>
        </w:rPr>
      </w:pPr>
      <w:r w:rsidRPr="0049324A">
        <w:rPr>
          <w:rFonts w:ascii="Vodafone Rg" w:hAnsi="Vodafone Rg"/>
        </w:rPr>
        <w:t xml:space="preserve">However, causing harm to one’s competitors is an inevitable consequence of competitive rivalry.  A firm that is inefficient may lose market share to a more efficient competitor.  </w:t>
      </w:r>
      <w:r w:rsidR="00126B6C" w:rsidRPr="0049324A">
        <w:rPr>
          <w:rFonts w:ascii="Vodafone Rg" w:hAnsi="Vodafone Rg"/>
        </w:rPr>
        <w:t>The High Court has stated: “</w:t>
      </w:r>
      <w:r w:rsidR="00126B6C" w:rsidRPr="0049324A">
        <w:rPr>
          <w:rFonts w:ascii="Vodafone Rg" w:hAnsi="Vodafone Rg"/>
          <w:i/>
        </w:rPr>
        <w:t>competition by its very nature is deliberate and ruthless. Competitors jockey for sale, the more effective competitors injuring the less effective by taking sales away. Competitors almost always try to ‘injure’ each other. This competition has never been a tort”.</w:t>
      </w:r>
      <w:r w:rsidR="00126B6C" w:rsidRPr="0049324A">
        <w:rPr>
          <w:rStyle w:val="FootnoteReference"/>
          <w:rFonts w:ascii="Vodafone Rg" w:hAnsi="Vodafone Rg"/>
          <w:i/>
        </w:rPr>
        <w:footnoteReference w:id="1"/>
      </w:r>
    </w:p>
    <w:p w:rsidR="00126B6C" w:rsidRPr="0049324A" w:rsidRDefault="00126B6C" w:rsidP="000B1C87">
      <w:pPr>
        <w:autoSpaceDE w:val="0"/>
        <w:autoSpaceDN w:val="0"/>
        <w:spacing w:after="240"/>
        <w:ind w:left="567"/>
        <w:rPr>
          <w:rFonts w:ascii="Vodafone Rg" w:hAnsi="Vodafone Rg"/>
        </w:rPr>
      </w:pPr>
      <w:r w:rsidRPr="0049324A">
        <w:rPr>
          <w:rFonts w:ascii="Vodafone Rg" w:hAnsi="Vodafone Rg"/>
        </w:rPr>
        <w:t xml:space="preserve">The dilemma facing a court is therefore to differentiate between legitimate </w:t>
      </w:r>
      <w:r w:rsidR="00AE4FD1">
        <w:rPr>
          <w:rFonts w:ascii="Vodafone Rg" w:hAnsi="Vodafone Rg"/>
        </w:rPr>
        <w:t xml:space="preserve">(and often highly aggressive) </w:t>
      </w:r>
      <w:r w:rsidRPr="0049324A">
        <w:rPr>
          <w:rFonts w:ascii="Vodafone Rg" w:hAnsi="Vodafone Rg"/>
        </w:rPr>
        <w:t xml:space="preserve">competitive rivalry </w:t>
      </w:r>
      <w:r w:rsidR="00AE4FD1">
        <w:rPr>
          <w:rFonts w:ascii="Vodafone Rg" w:hAnsi="Vodafone Rg"/>
        </w:rPr>
        <w:t>as against</w:t>
      </w:r>
      <w:r w:rsidRPr="0049324A">
        <w:rPr>
          <w:rFonts w:ascii="Vodafone Rg" w:hAnsi="Vodafone Rg"/>
        </w:rPr>
        <w:t xml:space="preserve"> a firm taking advantage of its </w:t>
      </w:r>
      <w:r w:rsidR="00AE4FD1">
        <w:rPr>
          <w:rFonts w:ascii="Vodafone Rg" w:hAnsi="Vodafone Rg"/>
        </w:rPr>
        <w:t xml:space="preserve">substantial </w:t>
      </w:r>
      <w:r w:rsidRPr="0049324A">
        <w:rPr>
          <w:rFonts w:ascii="Vodafone Rg" w:hAnsi="Vodafone Rg"/>
        </w:rPr>
        <w:t>market power so as to harm</w:t>
      </w:r>
      <w:r w:rsidR="00AE4FD1">
        <w:rPr>
          <w:rFonts w:ascii="Vodafone Rg" w:hAnsi="Vodafone Rg"/>
        </w:rPr>
        <w:t xml:space="preserve"> or unfairly impede</w:t>
      </w:r>
      <w:r w:rsidRPr="0049324A">
        <w:rPr>
          <w:rFonts w:ascii="Vodafone Rg" w:hAnsi="Vodafone Rg"/>
        </w:rPr>
        <w:t xml:space="preserve"> a legitimate and efficient competitor.  </w:t>
      </w:r>
    </w:p>
    <w:p w:rsidR="000E700B" w:rsidRPr="0049324A" w:rsidRDefault="000E700B" w:rsidP="000017AC">
      <w:pPr>
        <w:autoSpaceDE w:val="0"/>
        <w:autoSpaceDN w:val="0"/>
        <w:spacing w:after="240"/>
        <w:ind w:left="567"/>
        <w:rPr>
          <w:rFonts w:ascii="Vodafone Rg" w:hAnsi="Vodafone Rg"/>
        </w:rPr>
      </w:pPr>
      <w:r w:rsidRPr="0049324A">
        <w:rPr>
          <w:rFonts w:ascii="Vodafone Rg" w:hAnsi="Vodafone Rg"/>
        </w:rPr>
        <w:t>The existing formulation of section 46 seeks to differentiate between legitimate and illegitimate competition in three key ways:</w:t>
      </w:r>
    </w:p>
    <w:p w:rsidR="000E700B" w:rsidRPr="0049324A" w:rsidRDefault="000E700B" w:rsidP="00AC6A53">
      <w:pPr>
        <w:pStyle w:val="ListParagraph"/>
        <w:numPr>
          <w:ilvl w:val="0"/>
          <w:numId w:val="30"/>
        </w:numPr>
        <w:autoSpaceDE w:val="0"/>
        <w:autoSpaceDN w:val="0"/>
        <w:spacing w:after="240" w:line="276" w:lineRule="auto"/>
        <w:rPr>
          <w:rFonts w:ascii="Vodafone Rg" w:hAnsi="Vodafone Rg"/>
        </w:rPr>
      </w:pPr>
      <w:r w:rsidRPr="0049324A">
        <w:rPr>
          <w:rFonts w:ascii="Vodafone Rg" w:hAnsi="Vodafone Rg"/>
        </w:rPr>
        <w:t xml:space="preserve">first, s 46 only applies to those firms that have the </w:t>
      </w:r>
      <w:r w:rsidRPr="0049324A">
        <w:rPr>
          <w:rFonts w:ascii="Vodafone Rg" w:hAnsi="Vodafone Rg"/>
          <w:i/>
        </w:rPr>
        <w:t>capability</w:t>
      </w:r>
      <w:r w:rsidRPr="0049324A">
        <w:rPr>
          <w:rFonts w:ascii="Vodafone Rg" w:hAnsi="Vodafone Rg"/>
        </w:rPr>
        <w:t xml:space="preserve"> to engage in illegitimate conduct</w:t>
      </w:r>
      <w:r w:rsidR="00AE4FD1">
        <w:rPr>
          <w:rFonts w:ascii="Vodafone Rg" w:hAnsi="Vodafone Rg"/>
        </w:rPr>
        <w:t xml:space="preserve">.  </w:t>
      </w:r>
      <w:r w:rsidRPr="0049324A">
        <w:rPr>
          <w:rFonts w:ascii="Vodafone Rg" w:hAnsi="Vodafone Rg"/>
        </w:rPr>
        <w:t>This capability element is addressed by the requirement for a firm to have a substantial degree of market power, or ‘SMP’</w:t>
      </w:r>
      <w:r w:rsidR="00AE4FD1">
        <w:rPr>
          <w:rFonts w:ascii="Vodafone Rg" w:hAnsi="Vodafone Rg"/>
        </w:rPr>
        <w:t>.  This means that s 46 only applies to the conduct of the larger firms that operate in imperfectly competitive markets, being those markets more susceptible to market failure</w:t>
      </w:r>
      <w:r w:rsidR="000B1C87" w:rsidRPr="0049324A">
        <w:rPr>
          <w:rFonts w:ascii="Vodafone Rg" w:hAnsi="Vodafone Rg"/>
        </w:rPr>
        <w:t>;</w:t>
      </w:r>
    </w:p>
    <w:p w:rsidR="000E700B" w:rsidRPr="0049324A" w:rsidRDefault="000E700B" w:rsidP="00AC6A53">
      <w:pPr>
        <w:pStyle w:val="ListParagraph"/>
        <w:numPr>
          <w:ilvl w:val="0"/>
          <w:numId w:val="30"/>
        </w:numPr>
        <w:autoSpaceDE w:val="0"/>
        <w:autoSpaceDN w:val="0"/>
        <w:spacing w:after="240" w:line="276" w:lineRule="auto"/>
        <w:rPr>
          <w:rFonts w:ascii="Vodafone Rg" w:hAnsi="Vodafone Rg"/>
        </w:rPr>
      </w:pPr>
      <w:r w:rsidRPr="0049324A">
        <w:rPr>
          <w:rFonts w:ascii="Vodafone Rg" w:hAnsi="Vodafone Rg"/>
        </w:rPr>
        <w:t xml:space="preserve">second, s 46 </w:t>
      </w:r>
      <w:r w:rsidR="00AE4FD1">
        <w:rPr>
          <w:rFonts w:ascii="Vodafone Rg" w:hAnsi="Vodafone Rg"/>
        </w:rPr>
        <w:t xml:space="preserve">currently </w:t>
      </w:r>
      <w:r w:rsidRPr="0049324A">
        <w:rPr>
          <w:rFonts w:ascii="Vodafone Rg" w:hAnsi="Vodafone Rg"/>
        </w:rPr>
        <w:t xml:space="preserve">requires the </w:t>
      </w:r>
      <w:r w:rsidR="00AE4FD1">
        <w:rPr>
          <w:rFonts w:ascii="Vodafone Rg" w:hAnsi="Vodafone Rg"/>
        </w:rPr>
        <w:t xml:space="preserve">larger </w:t>
      </w:r>
      <w:r w:rsidRPr="0049324A">
        <w:rPr>
          <w:rFonts w:ascii="Vodafone Rg" w:hAnsi="Vodafone Rg"/>
        </w:rPr>
        <w:t xml:space="preserve">firm </w:t>
      </w:r>
      <w:r w:rsidR="00AE4FD1">
        <w:rPr>
          <w:rFonts w:ascii="Vodafone Rg" w:hAnsi="Vodafone Rg"/>
        </w:rPr>
        <w:t xml:space="preserve">(with SMP) </w:t>
      </w:r>
      <w:r w:rsidRPr="0049324A">
        <w:rPr>
          <w:rFonts w:ascii="Vodafone Rg" w:hAnsi="Vodafone Rg"/>
        </w:rPr>
        <w:t xml:space="preserve">to have </w:t>
      </w:r>
      <w:r w:rsidRPr="0049324A">
        <w:rPr>
          <w:rFonts w:ascii="Vodafone Rg" w:hAnsi="Vodafone Rg"/>
          <w:i/>
        </w:rPr>
        <w:t>culpability</w:t>
      </w:r>
      <w:r w:rsidRPr="0049324A">
        <w:rPr>
          <w:rFonts w:ascii="Vodafone Rg" w:hAnsi="Vodafone Rg"/>
        </w:rPr>
        <w:t xml:space="preserve"> in the form of a specific intent to harm a particular </w:t>
      </w:r>
      <w:r w:rsidR="00AE4FD1">
        <w:rPr>
          <w:rFonts w:ascii="Vodafone Rg" w:hAnsi="Vodafone Rg"/>
        </w:rPr>
        <w:t>competitor</w:t>
      </w:r>
      <w:r w:rsidRPr="0049324A">
        <w:rPr>
          <w:rFonts w:ascii="Vodafone Rg" w:hAnsi="Vodafone Rg"/>
        </w:rPr>
        <w:t>.  This culpability element is ad</w:t>
      </w:r>
      <w:r w:rsidR="00AE4FD1">
        <w:rPr>
          <w:rFonts w:ascii="Vodafone Rg" w:hAnsi="Vodafone Rg"/>
        </w:rPr>
        <w:t>dressed by the requirement for the larger</w:t>
      </w:r>
      <w:r w:rsidRPr="0049324A">
        <w:rPr>
          <w:rFonts w:ascii="Vodafone Rg" w:hAnsi="Vodafone Rg"/>
        </w:rPr>
        <w:t xml:space="preserve"> firm to have one of thre</w:t>
      </w:r>
      <w:r w:rsidR="000B1C87" w:rsidRPr="0049324A">
        <w:rPr>
          <w:rFonts w:ascii="Vodafone Rg" w:hAnsi="Vodafone Rg"/>
        </w:rPr>
        <w:t>e specified prohibited purposes; and</w:t>
      </w:r>
    </w:p>
    <w:p w:rsidR="000B1C87" w:rsidRPr="0049324A" w:rsidRDefault="000B1C87" w:rsidP="00AC6A53">
      <w:pPr>
        <w:pStyle w:val="ListParagraph"/>
        <w:numPr>
          <w:ilvl w:val="0"/>
          <w:numId w:val="30"/>
        </w:numPr>
        <w:autoSpaceDE w:val="0"/>
        <w:autoSpaceDN w:val="0"/>
        <w:spacing w:after="240" w:line="276" w:lineRule="auto"/>
        <w:rPr>
          <w:rFonts w:ascii="Vodafone Rg" w:hAnsi="Vodafone Rg"/>
        </w:rPr>
      </w:pPr>
      <w:r w:rsidRPr="0049324A">
        <w:rPr>
          <w:rFonts w:ascii="Vodafone Rg" w:hAnsi="Vodafone Rg"/>
        </w:rPr>
        <w:t xml:space="preserve">third, s 46 requires the firm to have acted </w:t>
      </w:r>
      <w:r w:rsidRPr="0049324A">
        <w:rPr>
          <w:rFonts w:ascii="Vodafone Rg" w:hAnsi="Vodafone Rg"/>
          <w:i/>
        </w:rPr>
        <w:t xml:space="preserve">illegitimately </w:t>
      </w:r>
      <w:r w:rsidRPr="0049324A">
        <w:rPr>
          <w:rFonts w:ascii="Vodafone Rg" w:hAnsi="Vodafone Rg"/>
        </w:rPr>
        <w:t xml:space="preserve">by engaging in conduct that is not consistent with normal competitive behaviour.  The legitimacy element is addressed by the requirement for a firm to be ‘taking advantage’ of its market power, which has been interpreted by the courts as involving a firm taking an action that it would </w:t>
      </w:r>
      <w:r w:rsidR="00AE4FD1">
        <w:rPr>
          <w:rFonts w:ascii="Vodafone Rg" w:hAnsi="Vodafone Rg"/>
        </w:rPr>
        <w:t xml:space="preserve">or could </w:t>
      </w:r>
      <w:r w:rsidRPr="0049324A">
        <w:rPr>
          <w:rFonts w:ascii="Vodafone Rg" w:hAnsi="Vodafone Rg"/>
        </w:rPr>
        <w:t>not otherwise take in a competitive market.</w:t>
      </w:r>
    </w:p>
    <w:p w:rsidR="000E700B" w:rsidRPr="0049324A" w:rsidRDefault="00AE4FD1" w:rsidP="000017AC">
      <w:pPr>
        <w:autoSpaceDE w:val="0"/>
        <w:autoSpaceDN w:val="0"/>
        <w:spacing w:after="240"/>
        <w:ind w:left="567"/>
        <w:rPr>
          <w:rFonts w:ascii="Vodafone Rg" w:hAnsi="Vodafone Rg"/>
        </w:rPr>
      </w:pPr>
      <w:r>
        <w:rPr>
          <w:rFonts w:ascii="Vodafone Rg" w:hAnsi="Vodafone Rg"/>
        </w:rPr>
        <w:t xml:space="preserve">However, </w:t>
      </w:r>
      <w:r w:rsidR="000B1C87" w:rsidRPr="0049324A">
        <w:rPr>
          <w:rFonts w:ascii="Vodafone Rg" w:hAnsi="Vodafone Rg"/>
        </w:rPr>
        <w:t xml:space="preserve">VHA considers that the requirement for a court to establish culpability results in conduct that should be </w:t>
      </w:r>
      <w:r w:rsidR="0049324A" w:rsidRPr="0049324A">
        <w:rPr>
          <w:rFonts w:ascii="Vodafone Rg" w:hAnsi="Vodafone Rg"/>
        </w:rPr>
        <w:t>regulated</w:t>
      </w:r>
      <w:r w:rsidR="000B1C87" w:rsidRPr="0049324A">
        <w:rPr>
          <w:rFonts w:ascii="Vodafone Rg" w:hAnsi="Vodafone Rg"/>
        </w:rPr>
        <w:t xml:space="preserve"> by s 46 escaping regulat</w:t>
      </w:r>
      <w:r>
        <w:rPr>
          <w:rFonts w:ascii="Vodafone Rg" w:hAnsi="Vodafone Rg"/>
        </w:rPr>
        <w:t xml:space="preserve">ion.  To put it another way, the current requirement for culpability </w:t>
      </w:r>
      <w:r w:rsidR="000B1C87" w:rsidRPr="0049324A">
        <w:rPr>
          <w:rFonts w:ascii="Vodafone Rg" w:hAnsi="Vodafone Rg"/>
        </w:rPr>
        <w:t>results in under-regulation</w:t>
      </w:r>
      <w:r>
        <w:rPr>
          <w:rFonts w:ascii="Vodafone Rg" w:hAnsi="Vodafone Rg"/>
        </w:rPr>
        <w:t>, so permits anti-competitive conduct to occur that should not occur</w:t>
      </w:r>
      <w:r w:rsidR="000B1C87" w:rsidRPr="0049324A">
        <w:rPr>
          <w:rFonts w:ascii="Vodafone Rg" w:hAnsi="Vodafone Rg"/>
        </w:rPr>
        <w:t>.</w:t>
      </w:r>
    </w:p>
    <w:p w:rsidR="000B1C87" w:rsidRPr="0049324A" w:rsidRDefault="00C32ADA" w:rsidP="000017AC">
      <w:pPr>
        <w:autoSpaceDE w:val="0"/>
        <w:autoSpaceDN w:val="0"/>
        <w:spacing w:after="240"/>
        <w:ind w:left="567"/>
        <w:rPr>
          <w:rFonts w:ascii="Vodafone Rg" w:hAnsi="Vodafone Rg"/>
        </w:rPr>
      </w:pPr>
      <w:r>
        <w:rPr>
          <w:rFonts w:ascii="Vodafone Rg" w:hAnsi="Vodafone Rg"/>
        </w:rPr>
        <w:t>By way of example, u</w:t>
      </w:r>
      <w:r w:rsidR="000B1C87" w:rsidRPr="0049324A">
        <w:rPr>
          <w:rFonts w:ascii="Vodafone Rg" w:hAnsi="Vodafone Rg"/>
        </w:rPr>
        <w:t xml:space="preserve">nder the current formulation of s 46, a firm with SMP can act in a way that is not consistent </w:t>
      </w:r>
      <w:r w:rsidR="000B488A" w:rsidRPr="0049324A">
        <w:rPr>
          <w:rFonts w:ascii="Vodafone Rg" w:hAnsi="Vodafone Rg"/>
        </w:rPr>
        <w:t xml:space="preserve">with normal competitive behaviour.   In doing so, that firm can cause harm to the competitive process and can have the effect of </w:t>
      </w:r>
      <w:r>
        <w:rPr>
          <w:rFonts w:ascii="Vodafone Rg" w:hAnsi="Vodafone Rg"/>
        </w:rPr>
        <w:t xml:space="preserve">substantially </w:t>
      </w:r>
      <w:r w:rsidR="000B488A" w:rsidRPr="0049324A">
        <w:rPr>
          <w:rFonts w:ascii="Vodafone Rg" w:hAnsi="Vodafone Rg"/>
        </w:rPr>
        <w:t xml:space="preserve">lessening competition.  However, an action </w:t>
      </w:r>
      <w:r>
        <w:rPr>
          <w:rFonts w:ascii="Vodafone Rg" w:hAnsi="Vodafone Rg"/>
        </w:rPr>
        <w:t xml:space="preserve">against that firm </w:t>
      </w:r>
      <w:r w:rsidR="000B488A" w:rsidRPr="0049324A">
        <w:rPr>
          <w:rFonts w:ascii="Vodafone Rg" w:hAnsi="Vodafone Rg"/>
        </w:rPr>
        <w:t>will fail if it is not possible to establish, on the balance of probabili</w:t>
      </w:r>
      <w:r w:rsidR="0049324A">
        <w:rPr>
          <w:rFonts w:ascii="Vodafone Rg" w:hAnsi="Vodafone Rg"/>
        </w:rPr>
        <w:t>ti</w:t>
      </w:r>
      <w:r w:rsidR="000B488A" w:rsidRPr="0049324A">
        <w:rPr>
          <w:rFonts w:ascii="Vodafone Rg" w:hAnsi="Vodafone Rg"/>
        </w:rPr>
        <w:t>es, that the firm had the specific intent</w:t>
      </w:r>
      <w:r>
        <w:rPr>
          <w:rFonts w:ascii="Vodafone Rg" w:hAnsi="Vodafone Rg"/>
        </w:rPr>
        <w:t xml:space="preserve"> (i.e., substantial purpose)</w:t>
      </w:r>
      <w:r w:rsidR="000B488A" w:rsidRPr="0049324A">
        <w:rPr>
          <w:rFonts w:ascii="Vodafone Rg" w:hAnsi="Vodafone Rg"/>
        </w:rPr>
        <w:t xml:space="preserve"> to harm a particular </w:t>
      </w:r>
      <w:r>
        <w:rPr>
          <w:rFonts w:ascii="Vodafone Rg" w:hAnsi="Vodafone Rg"/>
        </w:rPr>
        <w:t>competitor of that firm</w:t>
      </w:r>
      <w:r w:rsidR="000B488A" w:rsidRPr="0049324A">
        <w:rPr>
          <w:rFonts w:ascii="Vodafone Rg" w:hAnsi="Vodafone Rg"/>
        </w:rPr>
        <w:t xml:space="preserve">. </w:t>
      </w:r>
    </w:p>
    <w:p w:rsidR="000B488A" w:rsidRPr="0049324A" w:rsidRDefault="000B488A" w:rsidP="000B488A">
      <w:pPr>
        <w:autoSpaceDE w:val="0"/>
        <w:autoSpaceDN w:val="0"/>
        <w:spacing w:after="240"/>
        <w:ind w:left="567"/>
        <w:rPr>
          <w:rFonts w:ascii="Vodafone Rg" w:hAnsi="Vodafone Rg"/>
        </w:rPr>
      </w:pPr>
      <w:r w:rsidRPr="0049324A">
        <w:rPr>
          <w:rFonts w:ascii="Vodafone Rg" w:hAnsi="Vodafone Rg"/>
        </w:rPr>
        <w:t xml:space="preserve">As a consequence of this focus on culpability in the existing formulation of s 46, significant effort is required </w:t>
      </w:r>
      <w:r w:rsidR="00C32ADA">
        <w:rPr>
          <w:rFonts w:ascii="Vodafone Rg" w:hAnsi="Vodafone Rg"/>
        </w:rPr>
        <w:t xml:space="preserve">by litigants </w:t>
      </w:r>
      <w:r w:rsidRPr="0049324A">
        <w:rPr>
          <w:rFonts w:ascii="Vodafone Rg" w:hAnsi="Vodafone Rg"/>
        </w:rPr>
        <w:t xml:space="preserve">under s 46 in trying to prove that a firm had an intentional strategy to cause harm.  In effect, a court must </w:t>
      </w:r>
      <w:r w:rsidR="00C32ADA">
        <w:rPr>
          <w:rFonts w:ascii="Vodafone Rg" w:hAnsi="Vodafone Rg"/>
        </w:rPr>
        <w:t>be persuaded</w:t>
      </w:r>
      <w:r w:rsidRPr="0049324A">
        <w:rPr>
          <w:rFonts w:ascii="Vodafone Rg" w:hAnsi="Vodafone Rg"/>
        </w:rPr>
        <w:t xml:space="preserve"> to second-guess the subjective purpose of that firm</w:t>
      </w:r>
      <w:r w:rsidR="00C32ADA">
        <w:rPr>
          <w:rFonts w:ascii="Vodafone Rg" w:hAnsi="Vodafone Rg"/>
        </w:rPr>
        <w:t xml:space="preserve"> and identify a malicious purpose</w:t>
      </w:r>
      <w:r w:rsidRPr="0049324A">
        <w:rPr>
          <w:rFonts w:ascii="Vodafone Rg" w:hAnsi="Vodafone Rg"/>
        </w:rPr>
        <w:t xml:space="preserve">.  Much of the difficulty, uncertainty and expense in litigating s 46 is derived from the need to establish </w:t>
      </w:r>
      <w:r w:rsidR="00C32ADA">
        <w:rPr>
          <w:rFonts w:ascii="Vodafone Rg" w:hAnsi="Vodafone Rg"/>
        </w:rPr>
        <w:t>this subjective purpose to meet the evidential standards of a court.</w:t>
      </w:r>
    </w:p>
    <w:p w:rsidR="000B488A" w:rsidRPr="0049324A" w:rsidRDefault="000B488A" w:rsidP="000B488A">
      <w:pPr>
        <w:autoSpaceDE w:val="0"/>
        <w:autoSpaceDN w:val="0"/>
        <w:spacing w:after="240"/>
        <w:ind w:left="567"/>
        <w:rPr>
          <w:rFonts w:ascii="Vodafone Rg" w:hAnsi="Vodafone Rg"/>
        </w:rPr>
      </w:pPr>
      <w:r w:rsidRPr="0049324A">
        <w:rPr>
          <w:rFonts w:ascii="Vodafone Rg" w:hAnsi="Vodafone Rg"/>
        </w:rPr>
        <w:t xml:space="preserve">Large corporations in Australia are well aware of the need for a successful action under s 46 to establish an anti-competitive purpose.   As a consequence, it would rarely by the case that documentary evidence exists within a </w:t>
      </w:r>
      <w:r w:rsidR="00C32ADA">
        <w:rPr>
          <w:rFonts w:ascii="Vodafone Rg" w:hAnsi="Vodafone Rg"/>
        </w:rPr>
        <w:t xml:space="preserve">sophisticated large corporate </w:t>
      </w:r>
      <w:r w:rsidRPr="0049324A">
        <w:rPr>
          <w:rFonts w:ascii="Vodafone Rg" w:hAnsi="Vodafone Rg"/>
        </w:rPr>
        <w:t xml:space="preserve">that actually sets out a purpose that is illegitimate.   Because any conduct can be undertaken with multiple purposes, any anti-competitive strategy undertaken by a firm with SMP can </w:t>
      </w:r>
      <w:r w:rsidR="00C32ADA">
        <w:rPr>
          <w:rFonts w:ascii="Vodafone Rg" w:hAnsi="Vodafone Rg"/>
        </w:rPr>
        <w:t xml:space="preserve">also </w:t>
      </w:r>
      <w:r w:rsidRPr="0049324A">
        <w:rPr>
          <w:rFonts w:ascii="Vodafone Rg" w:hAnsi="Vodafone Rg"/>
        </w:rPr>
        <w:t>be camouflaged under a net of competitive legitimacy.</w:t>
      </w:r>
      <w:r w:rsidR="00C32ADA">
        <w:rPr>
          <w:rFonts w:ascii="Vodafone Rg" w:hAnsi="Vodafone Rg"/>
        </w:rPr>
        <w:t xml:space="preserve">  </w:t>
      </w:r>
      <w:r w:rsidRPr="0049324A">
        <w:rPr>
          <w:rFonts w:ascii="Vodafone Rg" w:hAnsi="Vodafone Rg"/>
        </w:rPr>
        <w:t>This is not conducive to the effective application of Australian competition law.</w:t>
      </w:r>
    </w:p>
    <w:p w:rsidR="000B488A" w:rsidRPr="0049324A" w:rsidRDefault="000B488A" w:rsidP="000B488A">
      <w:pPr>
        <w:autoSpaceDE w:val="0"/>
        <w:autoSpaceDN w:val="0"/>
        <w:spacing w:after="240"/>
        <w:rPr>
          <w:rFonts w:ascii="Vodafone Rg" w:hAnsi="Vodafone Rg"/>
          <w:i/>
        </w:rPr>
      </w:pPr>
      <w:r w:rsidRPr="0049324A">
        <w:rPr>
          <w:rFonts w:ascii="Vodafone Rg" w:hAnsi="Vodafone Rg"/>
          <w:i/>
        </w:rPr>
        <w:t>(c)</w:t>
      </w:r>
      <w:r w:rsidRPr="0049324A">
        <w:rPr>
          <w:rFonts w:ascii="Vodafone Rg" w:hAnsi="Vodafone Rg"/>
          <w:i/>
        </w:rPr>
        <w:tab/>
        <w:t>Proving purpose is particularly difficult and costly in private litigation</w:t>
      </w:r>
    </w:p>
    <w:p w:rsidR="000B488A" w:rsidRPr="0049324A" w:rsidRDefault="000B488A" w:rsidP="000B488A">
      <w:pPr>
        <w:autoSpaceDE w:val="0"/>
        <w:autoSpaceDN w:val="0"/>
        <w:spacing w:after="240"/>
        <w:ind w:left="567"/>
        <w:rPr>
          <w:rFonts w:ascii="Vodafone Rg" w:hAnsi="Vodafone Rg"/>
        </w:rPr>
      </w:pPr>
      <w:r w:rsidRPr="0049324A">
        <w:rPr>
          <w:rFonts w:ascii="Vodafone Rg" w:hAnsi="Vodafone Rg"/>
        </w:rPr>
        <w:t>Proving purpose is particularly difficult for an individual litigant that does not have the ACCC’s investigative powers, meaning private actions under s 46 have been very rare, extremely costly and generally unsuccessful.</w:t>
      </w:r>
    </w:p>
    <w:p w:rsidR="00A5126B" w:rsidRPr="0049324A" w:rsidRDefault="000B488A" w:rsidP="000B488A">
      <w:pPr>
        <w:autoSpaceDE w:val="0"/>
        <w:autoSpaceDN w:val="0"/>
        <w:spacing w:after="240"/>
        <w:ind w:left="567"/>
        <w:rPr>
          <w:rFonts w:ascii="Vodafone Rg" w:hAnsi="Vodafone Rg"/>
        </w:rPr>
      </w:pPr>
      <w:r w:rsidRPr="0049324A">
        <w:rPr>
          <w:rFonts w:ascii="Vodafone Rg" w:hAnsi="Vodafone Rg"/>
        </w:rPr>
        <w:t xml:space="preserve">Practically, the requirement to prove purpose </w:t>
      </w:r>
      <w:r w:rsidR="00A5126B" w:rsidRPr="0049324A">
        <w:rPr>
          <w:rFonts w:ascii="Vodafone Rg" w:hAnsi="Vodafone Rg"/>
        </w:rPr>
        <w:t>requires discovery</w:t>
      </w:r>
      <w:r w:rsidRPr="0049324A">
        <w:rPr>
          <w:rFonts w:ascii="Vodafone Rg" w:hAnsi="Vodafone Rg"/>
        </w:rPr>
        <w:t xml:space="preserve"> in litigation.  </w:t>
      </w:r>
      <w:r w:rsidR="00C32ADA">
        <w:rPr>
          <w:rFonts w:ascii="Vodafone Rg" w:hAnsi="Vodafone Rg"/>
        </w:rPr>
        <w:t>I</w:t>
      </w:r>
      <w:r w:rsidR="009D0ECA">
        <w:rPr>
          <w:rFonts w:ascii="Vodafone Rg" w:hAnsi="Vodafone Rg"/>
        </w:rPr>
        <w:t>n</w:t>
      </w:r>
      <w:r w:rsidR="00C32ADA">
        <w:rPr>
          <w:rFonts w:ascii="Vodafone Rg" w:hAnsi="Vodafone Rg"/>
        </w:rPr>
        <w:t xml:space="preserve"> the context of s 46, a key</w:t>
      </w:r>
      <w:r w:rsidR="00A5126B" w:rsidRPr="0049324A">
        <w:rPr>
          <w:rFonts w:ascii="Vodafone Rg" w:hAnsi="Vodafone Rg"/>
        </w:rPr>
        <w:t xml:space="preserve"> objective of discovery is </w:t>
      </w:r>
      <w:r w:rsidR="00C32ADA">
        <w:rPr>
          <w:rFonts w:ascii="Vodafone Rg" w:hAnsi="Vodafone Rg"/>
        </w:rPr>
        <w:t>to find</w:t>
      </w:r>
      <w:r w:rsidR="00A5126B" w:rsidRPr="0049324A">
        <w:rPr>
          <w:rFonts w:ascii="Vodafone Rg" w:hAnsi="Vodafone Rg"/>
        </w:rPr>
        <w:t xml:space="preserve"> so-called ‘smoking gun’ document</w:t>
      </w:r>
      <w:r w:rsidR="00C32ADA">
        <w:rPr>
          <w:rFonts w:ascii="Vodafone Rg" w:hAnsi="Vodafone Rg"/>
        </w:rPr>
        <w:t>s that evidence</w:t>
      </w:r>
      <w:r w:rsidR="00A5126B" w:rsidRPr="0049324A">
        <w:rPr>
          <w:rFonts w:ascii="Vodafone Rg" w:hAnsi="Vodafone Rg"/>
        </w:rPr>
        <w:t xml:space="preserve"> </w:t>
      </w:r>
      <w:r w:rsidR="00DF620F" w:rsidRPr="0049324A">
        <w:rPr>
          <w:rFonts w:ascii="Vodafone Rg" w:hAnsi="Vodafone Rg"/>
        </w:rPr>
        <w:t>culpability -</w:t>
      </w:r>
      <w:r w:rsidR="00A5126B" w:rsidRPr="0049324A">
        <w:rPr>
          <w:rFonts w:ascii="Vodafone Rg" w:hAnsi="Vodafone Rg"/>
        </w:rPr>
        <w:t xml:space="preserve">  or to find a sufficient weight of circumstantial </w:t>
      </w:r>
      <w:r w:rsidR="00C32ADA">
        <w:rPr>
          <w:rFonts w:ascii="Vodafone Rg" w:hAnsi="Vodafone Rg"/>
        </w:rPr>
        <w:t>evidence</w:t>
      </w:r>
      <w:r w:rsidR="00A5126B" w:rsidRPr="0049324A">
        <w:rPr>
          <w:rFonts w:ascii="Vodafone Rg" w:hAnsi="Vodafone Rg"/>
        </w:rPr>
        <w:t xml:space="preserve"> that a court is comfortable imputing </w:t>
      </w:r>
      <w:r w:rsidR="00C32ADA">
        <w:rPr>
          <w:rFonts w:ascii="Vodafone Rg" w:hAnsi="Vodafone Rg"/>
        </w:rPr>
        <w:t xml:space="preserve">an </w:t>
      </w:r>
      <w:r w:rsidR="003231CB">
        <w:rPr>
          <w:rFonts w:ascii="Vodafone Rg" w:hAnsi="Vodafone Rg"/>
        </w:rPr>
        <w:t>illegitimate</w:t>
      </w:r>
      <w:r w:rsidR="00C32ADA">
        <w:rPr>
          <w:rFonts w:ascii="Vodafone Rg" w:hAnsi="Vodafone Rg"/>
        </w:rPr>
        <w:t xml:space="preserve"> </w:t>
      </w:r>
      <w:r w:rsidR="00A5126B" w:rsidRPr="0049324A">
        <w:rPr>
          <w:rFonts w:ascii="Vodafone Rg" w:hAnsi="Vodafone Rg"/>
        </w:rPr>
        <w:t xml:space="preserve">purpose, rather than the </w:t>
      </w:r>
      <w:r w:rsidR="0049324A" w:rsidRPr="0049324A">
        <w:rPr>
          <w:rFonts w:ascii="Vodafone Rg" w:hAnsi="Vodafone Rg"/>
        </w:rPr>
        <w:t>legitimate</w:t>
      </w:r>
      <w:r w:rsidR="00A5126B" w:rsidRPr="0049324A">
        <w:rPr>
          <w:rFonts w:ascii="Vodafone Rg" w:hAnsi="Vodafone Rg"/>
        </w:rPr>
        <w:t xml:space="preserve"> purpose </w:t>
      </w:r>
      <w:r w:rsidR="00C32ADA">
        <w:rPr>
          <w:rFonts w:ascii="Vodafone Rg" w:hAnsi="Vodafone Rg"/>
        </w:rPr>
        <w:t>advanced</w:t>
      </w:r>
      <w:r w:rsidR="00A5126B" w:rsidRPr="0049324A">
        <w:rPr>
          <w:rFonts w:ascii="Vodafone Rg" w:hAnsi="Vodafone Rg"/>
        </w:rPr>
        <w:t xml:space="preserve"> by the firm itself.   In practical effect, </w:t>
      </w:r>
      <w:r w:rsidR="00C32ADA">
        <w:rPr>
          <w:rFonts w:ascii="Vodafone Rg" w:hAnsi="Vodafone Rg"/>
        </w:rPr>
        <w:t>discovery</w:t>
      </w:r>
      <w:r w:rsidR="00A5126B" w:rsidRPr="0049324A">
        <w:rPr>
          <w:rFonts w:ascii="Vodafone Rg" w:hAnsi="Vodafone Rg"/>
        </w:rPr>
        <w:t xml:space="preserve"> can be viewed as akin to hunting for a needle in a proverbial haystack.  Not surprisingly, discovery is</w:t>
      </w:r>
      <w:r w:rsidR="00C32ADA">
        <w:rPr>
          <w:rFonts w:ascii="Vodafone Rg" w:hAnsi="Vodafone Rg"/>
        </w:rPr>
        <w:t xml:space="preserve"> often</w:t>
      </w:r>
      <w:r w:rsidR="00A5126B" w:rsidRPr="0049324A">
        <w:rPr>
          <w:rFonts w:ascii="Vodafone Rg" w:hAnsi="Vodafone Rg"/>
        </w:rPr>
        <w:t xml:space="preserve"> the most expensive </w:t>
      </w:r>
      <w:r w:rsidR="00C32ADA">
        <w:rPr>
          <w:rFonts w:ascii="Vodafone Rg" w:hAnsi="Vodafone Rg"/>
        </w:rPr>
        <w:t>component</w:t>
      </w:r>
      <w:r w:rsidR="00A5126B" w:rsidRPr="0049324A">
        <w:rPr>
          <w:rFonts w:ascii="Vodafone Rg" w:hAnsi="Vodafone Rg"/>
        </w:rPr>
        <w:t xml:space="preserve"> of s 46 litigation.</w:t>
      </w:r>
    </w:p>
    <w:p w:rsidR="000B488A" w:rsidRPr="0049324A" w:rsidRDefault="00A5126B" w:rsidP="006D0891">
      <w:pPr>
        <w:autoSpaceDE w:val="0"/>
        <w:autoSpaceDN w:val="0"/>
        <w:spacing w:after="240"/>
        <w:ind w:left="567"/>
        <w:rPr>
          <w:rFonts w:ascii="Vodafone Rg" w:hAnsi="Vodafone Rg"/>
        </w:rPr>
      </w:pPr>
      <w:r w:rsidRPr="0049324A">
        <w:rPr>
          <w:rFonts w:ascii="Vodafone Rg" w:hAnsi="Vodafone Rg"/>
        </w:rPr>
        <w:t xml:space="preserve">By way of example, </w:t>
      </w:r>
      <w:r w:rsidR="000B488A" w:rsidRPr="0049324A">
        <w:rPr>
          <w:rFonts w:ascii="Vodafone Rg" w:hAnsi="Vodafone Rg"/>
          <w:i/>
        </w:rPr>
        <w:t xml:space="preserve">Seven Network Ltd v News Limited </w:t>
      </w:r>
      <w:r w:rsidR="000B488A" w:rsidRPr="0049324A">
        <w:rPr>
          <w:rFonts w:ascii="Vodafone Rg" w:hAnsi="Vodafone Rg"/>
        </w:rPr>
        <w:t xml:space="preserve">[2007] FCA 1062, often referred to as the C7 </w:t>
      </w:r>
      <w:r w:rsidR="00DF620F">
        <w:rPr>
          <w:rFonts w:ascii="Vodafone Rg" w:hAnsi="Vodafone Rg"/>
        </w:rPr>
        <w:t>litigation</w:t>
      </w:r>
      <w:r w:rsidR="000B488A" w:rsidRPr="0049324A">
        <w:rPr>
          <w:rFonts w:ascii="Vodafone Rg" w:hAnsi="Vodafone Rg"/>
        </w:rPr>
        <w:t>, is an extreme example of mega litigation.</w:t>
      </w:r>
      <w:r w:rsidRPr="0049324A">
        <w:rPr>
          <w:rFonts w:ascii="Vodafone Rg" w:hAnsi="Vodafone Rg"/>
        </w:rPr>
        <w:t xml:space="preserve">   Th</w:t>
      </w:r>
      <w:r w:rsidR="00DF620F">
        <w:rPr>
          <w:rFonts w:ascii="Vodafone Rg" w:hAnsi="Vodafone Rg"/>
        </w:rPr>
        <w:t>e C7 litigation</w:t>
      </w:r>
      <w:r w:rsidRPr="0049324A">
        <w:rPr>
          <w:rFonts w:ascii="Vodafone Rg" w:hAnsi="Vodafone Rg"/>
        </w:rPr>
        <w:t xml:space="preserve"> is widely regarded as the </w:t>
      </w:r>
      <w:r w:rsidR="00DF620F" w:rsidRPr="0049324A">
        <w:rPr>
          <w:rFonts w:ascii="Vodafone Rg" w:hAnsi="Vodafone Rg"/>
        </w:rPr>
        <w:t>costliest</w:t>
      </w:r>
      <w:r w:rsidRPr="0049324A">
        <w:rPr>
          <w:rFonts w:ascii="Vodafone Rg" w:hAnsi="Vodafone Rg"/>
        </w:rPr>
        <w:t xml:space="preserve"> litigation ever to be undertaken in Australia.</w:t>
      </w:r>
      <w:r w:rsidR="000B488A" w:rsidRPr="0049324A">
        <w:rPr>
          <w:rFonts w:ascii="Vodafone Rg" w:hAnsi="Vodafone Rg"/>
        </w:rPr>
        <w:t xml:space="preserve">  This case involved arguments that the respondents </w:t>
      </w:r>
      <w:r w:rsidRPr="0049324A">
        <w:rPr>
          <w:rFonts w:ascii="Vodafone Rg" w:hAnsi="Vodafone Rg"/>
        </w:rPr>
        <w:t>had contravened s 46, among other matters.</w:t>
      </w:r>
      <w:r w:rsidR="000B488A" w:rsidRPr="0049324A">
        <w:rPr>
          <w:rFonts w:ascii="Vodafone Rg" w:hAnsi="Vodafone Rg"/>
        </w:rPr>
        <w:t xml:space="preserve">  The trial lasted 120 days, involved 21 respondents and produced 85,654 documents including 1</w:t>
      </w:r>
      <w:r w:rsidRPr="0049324A">
        <w:rPr>
          <w:rFonts w:ascii="Vodafone Rg" w:hAnsi="Vodafone Rg"/>
        </w:rPr>
        <w:t>,</w:t>
      </w:r>
      <w:r w:rsidR="000B488A" w:rsidRPr="0049324A">
        <w:rPr>
          <w:rFonts w:ascii="Vodafone Rg" w:hAnsi="Vodafone Rg"/>
        </w:rPr>
        <w:t>028 pages of pleadings, 2</w:t>
      </w:r>
      <w:r w:rsidRPr="0049324A">
        <w:rPr>
          <w:rFonts w:ascii="Vodafone Rg" w:hAnsi="Vodafone Rg"/>
        </w:rPr>
        <w:t>,</w:t>
      </w:r>
      <w:r w:rsidR="000B488A" w:rsidRPr="0049324A">
        <w:rPr>
          <w:rFonts w:ascii="Vodafone Rg" w:hAnsi="Vodafone Rg"/>
        </w:rPr>
        <w:t>041 pages of expert reports and 1</w:t>
      </w:r>
      <w:r w:rsidRPr="0049324A">
        <w:rPr>
          <w:rFonts w:ascii="Vodafone Rg" w:hAnsi="Vodafone Rg"/>
        </w:rPr>
        <w:t>,</w:t>
      </w:r>
      <w:r w:rsidR="000B488A" w:rsidRPr="0049324A">
        <w:rPr>
          <w:rFonts w:ascii="Vodafone Rg" w:hAnsi="Vodafone Rg"/>
        </w:rPr>
        <w:t xml:space="preserve">613 statements from lay witnesses.  The estimated cost of legal fees was </w:t>
      </w:r>
      <w:r w:rsidRPr="0049324A">
        <w:rPr>
          <w:rFonts w:ascii="Vodafone Rg" w:hAnsi="Vodafone Rg"/>
        </w:rPr>
        <w:t xml:space="preserve">some </w:t>
      </w:r>
      <w:r w:rsidR="000B488A" w:rsidRPr="0049324A">
        <w:rPr>
          <w:rFonts w:ascii="Vodafone Rg" w:hAnsi="Vodafone Rg"/>
        </w:rPr>
        <w:t xml:space="preserve">$200 million.  Justice Sackville described this as bordering on scandalous.  </w:t>
      </w:r>
    </w:p>
    <w:p w:rsidR="00A5126B" w:rsidRPr="0049324A" w:rsidRDefault="00C32ADA" w:rsidP="006D0891">
      <w:pPr>
        <w:autoSpaceDE w:val="0"/>
        <w:autoSpaceDN w:val="0"/>
        <w:spacing w:after="240"/>
        <w:ind w:left="567"/>
        <w:rPr>
          <w:rFonts w:ascii="Vodafone Rg" w:hAnsi="Vodafone Rg" w:cs="Arial"/>
        </w:rPr>
      </w:pPr>
      <w:r>
        <w:rPr>
          <w:rFonts w:ascii="Vodafone Rg" w:hAnsi="Vodafone Rg" w:cs="Arial"/>
        </w:rPr>
        <w:t>Moreover, as evidenced by the C7 litigation, p</w:t>
      </w:r>
      <w:r w:rsidR="00A5126B" w:rsidRPr="0049324A">
        <w:rPr>
          <w:rFonts w:ascii="Vodafone Rg" w:hAnsi="Vodafone Rg" w:cs="Arial"/>
        </w:rPr>
        <w:t xml:space="preserve">roving purpose is particularly difficult for private litigants who cannot rely on the information gathering powers of regulatory authorities.  The </w:t>
      </w:r>
      <w:r>
        <w:rPr>
          <w:rFonts w:ascii="Vodafone Rg" w:hAnsi="Vodafone Rg" w:cs="Arial"/>
        </w:rPr>
        <w:t>ACCC has extensive information g</w:t>
      </w:r>
      <w:r w:rsidR="00A5126B" w:rsidRPr="0049324A">
        <w:rPr>
          <w:rFonts w:ascii="Vodafone Rg" w:hAnsi="Vodafone Rg" w:cs="Arial"/>
        </w:rPr>
        <w:t xml:space="preserve">athering powers </w:t>
      </w:r>
      <w:r>
        <w:rPr>
          <w:rFonts w:ascii="Vodafone Rg" w:hAnsi="Vodafone Rg" w:cs="Arial"/>
        </w:rPr>
        <w:t>under</w:t>
      </w:r>
      <w:r w:rsidR="00A5126B" w:rsidRPr="0049324A">
        <w:rPr>
          <w:rFonts w:ascii="Vodafone Rg" w:hAnsi="Vodafone Rg" w:cs="Arial"/>
        </w:rPr>
        <w:t xml:space="preserve"> s 155 of the CCA, including the ability to request documents and to cross-examine persons in the context of investigations.  The ACCC has a skilled team of </w:t>
      </w:r>
      <w:r w:rsidR="00DF620F" w:rsidRPr="0049324A">
        <w:rPr>
          <w:rFonts w:ascii="Vodafone Rg" w:hAnsi="Vodafone Rg" w:cs="Arial"/>
        </w:rPr>
        <w:t>investigators</w:t>
      </w:r>
      <w:r w:rsidR="00A5126B" w:rsidRPr="0049324A">
        <w:rPr>
          <w:rFonts w:ascii="Vodafone Rg" w:hAnsi="Vodafone Rg" w:cs="Arial"/>
        </w:rPr>
        <w:t xml:space="preserve"> that are skilled at using those powers</w:t>
      </w:r>
      <w:r>
        <w:rPr>
          <w:rFonts w:ascii="Vodafone Rg" w:hAnsi="Vodafone Rg" w:cs="Arial"/>
        </w:rPr>
        <w:t>.  The ACCC has</w:t>
      </w:r>
      <w:r w:rsidR="00A5126B" w:rsidRPr="0049324A">
        <w:rPr>
          <w:rFonts w:ascii="Vodafone Rg" w:hAnsi="Vodafone Rg" w:cs="Arial"/>
        </w:rPr>
        <w:t xml:space="preserve"> extensive databases of information that can be searched to verify data. As a consequence, the ACCC is much better placed to identify ‘smoking gun’ </w:t>
      </w:r>
      <w:r>
        <w:rPr>
          <w:rFonts w:ascii="Vodafone Rg" w:hAnsi="Vodafone Rg" w:cs="Arial"/>
        </w:rPr>
        <w:t xml:space="preserve">or circumstantial </w:t>
      </w:r>
      <w:r w:rsidR="00A5126B" w:rsidRPr="0049324A">
        <w:rPr>
          <w:rFonts w:ascii="Vodafone Rg" w:hAnsi="Vodafone Rg" w:cs="Arial"/>
        </w:rPr>
        <w:t xml:space="preserve">evidence </w:t>
      </w:r>
      <w:r>
        <w:rPr>
          <w:rFonts w:ascii="Vodafone Rg" w:hAnsi="Vodafone Rg" w:cs="Arial"/>
        </w:rPr>
        <w:t>at a fraction of the cost of private litigation</w:t>
      </w:r>
      <w:r w:rsidR="00A5126B" w:rsidRPr="0049324A">
        <w:rPr>
          <w:rFonts w:ascii="Vodafone Rg" w:hAnsi="Vodafone Rg" w:cs="Arial"/>
        </w:rPr>
        <w:t xml:space="preserve">. </w:t>
      </w:r>
    </w:p>
    <w:p w:rsidR="006D0891" w:rsidRPr="0049324A" w:rsidRDefault="006D0891" w:rsidP="006D0891">
      <w:pPr>
        <w:autoSpaceDE w:val="0"/>
        <w:autoSpaceDN w:val="0"/>
        <w:spacing w:after="240"/>
        <w:ind w:left="567"/>
        <w:rPr>
          <w:rFonts w:ascii="Vodafone Rg" w:hAnsi="Vodafone Rg" w:cs="Arial"/>
        </w:rPr>
      </w:pPr>
      <w:r w:rsidRPr="0049324A">
        <w:rPr>
          <w:rFonts w:ascii="Vodafone Rg" w:hAnsi="Vodafone Rg" w:cs="Arial"/>
        </w:rPr>
        <w:t>As a result, private actions have been very rare, extremely costly and difficult to win.  The OECD recognises that “few section 46 cases are brought to court.”</w:t>
      </w:r>
      <w:r w:rsidRPr="0049324A">
        <w:rPr>
          <w:rStyle w:val="FootnoteReference"/>
          <w:rFonts w:ascii="Vodafone Rg" w:hAnsi="Vodafone Rg" w:cs="Arial"/>
        </w:rPr>
        <w:footnoteReference w:id="2"/>
      </w:r>
      <w:r w:rsidRPr="0049324A">
        <w:rPr>
          <w:rFonts w:ascii="Vodafone Rg" w:hAnsi="Vodafone Rg" w:cs="Arial"/>
        </w:rPr>
        <w:t xml:space="preserve">  There have only been 7 cases brought under the misuse of market power provision that have been considered by the Full Federal Court or the High Court in the last 15 years.  Of these, 3 have been private actions.</w:t>
      </w:r>
      <w:r w:rsidRPr="0049324A">
        <w:rPr>
          <w:rStyle w:val="FootnoteReference"/>
          <w:rFonts w:ascii="Vodafone Rg" w:hAnsi="Vodafone Rg" w:cs="Arial"/>
        </w:rPr>
        <w:footnoteReference w:id="3"/>
      </w:r>
      <w:r w:rsidRPr="0049324A">
        <w:rPr>
          <w:rFonts w:ascii="Vodafone Rg" w:hAnsi="Vodafone Rg" w:cs="Arial"/>
        </w:rPr>
        <w:t xml:space="preserve">  Only 1 was successful.</w:t>
      </w:r>
      <w:r w:rsidRPr="0049324A">
        <w:rPr>
          <w:rStyle w:val="FootnoteReference"/>
          <w:rFonts w:ascii="Vodafone Rg" w:hAnsi="Vodafone Rg" w:cs="Arial"/>
        </w:rPr>
        <w:footnoteReference w:id="4"/>
      </w:r>
      <w:r w:rsidRPr="0049324A">
        <w:rPr>
          <w:rFonts w:ascii="Vodafone Rg" w:hAnsi="Vodafone Rg" w:cs="Arial"/>
        </w:rPr>
        <w:t xml:space="preserve">   As noted above, th</w:t>
      </w:r>
      <w:r w:rsidR="00C32ADA">
        <w:rPr>
          <w:rFonts w:ascii="Vodafone Rg" w:hAnsi="Vodafone Rg" w:cs="Arial"/>
        </w:rPr>
        <w:t>e C7 case incurred huge expense and was unsuccessful</w:t>
      </w:r>
      <w:r w:rsidRPr="0049324A">
        <w:rPr>
          <w:rFonts w:ascii="Vodafone Rg" w:hAnsi="Vodafone Rg" w:cs="Arial"/>
        </w:rPr>
        <w:t xml:space="preserve">. </w:t>
      </w:r>
    </w:p>
    <w:p w:rsidR="006D0891" w:rsidRPr="0049324A" w:rsidRDefault="006D0891" w:rsidP="006D0891">
      <w:pPr>
        <w:autoSpaceDE w:val="0"/>
        <w:autoSpaceDN w:val="0"/>
        <w:spacing w:after="240"/>
        <w:ind w:left="567"/>
        <w:rPr>
          <w:rFonts w:ascii="Vodafone Rg" w:hAnsi="Vodafone Rg"/>
        </w:rPr>
      </w:pPr>
      <w:r w:rsidRPr="0049324A">
        <w:rPr>
          <w:rFonts w:ascii="Vodafone Rg" w:hAnsi="Vodafone Rg" w:cs="Arial"/>
        </w:rPr>
        <w:t>Clearly, for s 46 to be more effective, reform is required.  VHA considers that the focus of this reform should be on the culpability element of s 46, namely the requirement to establish a prohibited purpose.</w:t>
      </w:r>
      <w:r w:rsidR="00C32ADA">
        <w:rPr>
          <w:rFonts w:ascii="Vodafone Rg" w:hAnsi="Vodafone Rg" w:cs="Arial"/>
        </w:rPr>
        <w:t xml:space="preserve">  The solution is an ‘effects test’</w:t>
      </w:r>
    </w:p>
    <w:p w:rsidR="006D0891" w:rsidRPr="0049324A" w:rsidRDefault="006D0891" w:rsidP="00DF620F">
      <w:pPr>
        <w:autoSpaceDE w:val="0"/>
        <w:autoSpaceDN w:val="0"/>
        <w:spacing w:before="360" w:after="240"/>
        <w:rPr>
          <w:rFonts w:ascii="Vodafone Rg" w:hAnsi="Vodafone Rg"/>
          <w:b/>
        </w:rPr>
      </w:pPr>
      <w:r w:rsidRPr="0049324A">
        <w:rPr>
          <w:rFonts w:ascii="Vodafone Rg" w:hAnsi="Vodafone Rg"/>
          <w:b/>
        </w:rPr>
        <w:t>2.</w:t>
      </w:r>
      <w:r w:rsidRPr="0049324A">
        <w:rPr>
          <w:rFonts w:ascii="Vodafone Rg" w:hAnsi="Vodafone Rg"/>
          <w:b/>
        </w:rPr>
        <w:tab/>
        <w:t>Lessons can be learned from the effects test in telecoms</w:t>
      </w:r>
    </w:p>
    <w:p w:rsidR="00907F25" w:rsidRDefault="006D0891" w:rsidP="000017AC">
      <w:pPr>
        <w:autoSpaceDE w:val="0"/>
        <w:autoSpaceDN w:val="0"/>
        <w:spacing w:after="240"/>
        <w:ind w:left="567"/>
        <w:rPr>
          <w:rFonts w:ascii="Vodafone Rg" w:hAnsi="Vodafone Rg"/>
        </w:rPr>
      </w:pPr>
      <w:r w:rsidRPr="0049324A">
        <w:rPr>
          <w:rFonts w:ascii="Vodafone Rg" w:hAnsi="Vodafone Rg"/>
        </w:rPr>
        <w:t>The expense and difficulty in establishing that a firm has an anti-competitive purpose could be avoided by the introduction of a</w:t>
      </w:r>
      <w:r w:rsidR="007C09E0" w:rsidRPr="0049324A">
        <w:rPr>
          <w:rFonts w:ascii="Vodafone Rg" w:hAnsi="Vodafone Rg"/>
        </w:rPr>
        <w:t xml:space="preserve"> so-called</w:t>
      </w:r>
      <w:r w:rsidRPr="0049324A">
        <w:rPr>
          <w:rFonts w:ascii="Vodafone Rg" w:hAnsi="Vodafone Rg"/>
        </w:rPr>
        <w:t xml:space="preserve"> </w:t>
      </w:r>
      <w:r w:rsidR="00C32ADA">
        <w:rPr>
          <w:rFonts w:ascii="Vodafone Rg" w:hAnsi="Vodafone Rg"/>
        </w:rPr>
        <w:t>‘</w:t>
      </w:r>
      <w:r w:rsidRPr="0049324A">
        <w:rPr>
          <w:rFonts w:ascii="Vodafone Rg" w:hAnsi="Vodafone Rg"/>
        </w:rPr>
        <w:t>effects test</w:t>
      </w:r>
      <w:r w:rsidR="00C32ADA">
        <w:rPr>
          <w:rFonts w:ascii="Vodafone Rg" w:hAnsi="Vodafone Rg"/>
        </w:rPr>
        <w:t>’</w:t>
      </w:r>
      <w:r w:rsidRPr="0049324A">
        <w:rPr>
          <w:rFonts w:ascii="Vodafone Rg" w:hAnsi="Vodafone Rg"/>
        </w:rPr>
        <w:t xml:space="preserve"> into section 46.  An effects test would focus on the aggregate effect of the firm’s conduct on the l</w:t>
      </w:r>
      <w:r w:rsidR="00907F25">
        <w:rPr>
          <w:rFonts w:ascii="Vodafone Rg" w:hAnsi="Vodafone Rg"/>
        </w:rPr>
        <w:t>evel of competition in a market, testing whether there is a substantial lessening of competition.  The test involves comparing the projected future levels of competition with and without the relevant conduct.</w:t>
      </w:r>
      <w:r w:rsidRPr="0049324A">
        <w:rPr>
          <w:rFonts w:ascii="Vodafone Rg" w:hAnsi="Vodafone Rg"/>
        </w:rPr>
        <w:t xml:space="preserve">   </w:t>
      </w:r>
    </w:p>
    <w:p w:rsidR="006D0891" w:rsidRPr="0049324A" w:rsidRDefault="006D0891" w:rsidP="000017AC">
      <w:pPr>
        <w:autoSpaceDE w:val="0"/>
        <w:autoSpaceDN w:val="0"/>
        <w:spacing w:after="240"/>
        <w:ind w:left="567"/>
        <w:rPr>
          <w:rFonts w:ascii="Vodafone Rg" w:hAnsi="Vodafone Rg"/>
        </w:rPr>
      </w:pPr>
      <w:r w:rsidRPr="0049324A">
        <w:rPr>
          <w:rFonts w:ascii="Vodafone Rg" w:hAnsi="Vodafone Rg"/>
        </w:rPr>
        <w:t xml:space="preserve">An effects test is already applied in relation to the screening of mergers and in relation to the screening of </w:t>
      </w:r>
      <w:r w:rsidR="00907F25">
        <w:rPr>
          <w:rFonts w:ascii="Vodafone Rg" w:hAnsi="Vodafone Rg"/>
        </w:rPr>
        <w:t>provisions of arrangements</w:t>
      </w:r>
      <w:r w:rsidRPr="0049324A">
        <w:rPr>
          <w:rFonts w:ascii="Vodafone Rg" w:hAnsi="Vodafone Rg"/>
        </w:rPr>
        <w:t xml:space="preserve"> between firms.  </w:t>
      </w:r>
      <w:r w:rsidR="00907F25">
        <w:rPr>
          <w:rFonts w:ascii="Vodafone Rg" w:hAnsi="Vodafone Rg"/>
        </w:rPr>
        <w:t>An effects test focuses objectively on the economic effect of the conduct, so avoids any need to analyse or second-guess the subjective purpose of the firms involved</w:t>
      </w:r>
      <w:r w:rsidRPr="0049324A">
        <w:rPr>
          <w:rFonts w:ascii="Vodafone Rg" w:hAnsi="Vodafone Rg"/>
        </w:rPr>
        <w:t xml:space="preserve">. </w:t>
      </w:r>
    </w:p>
    <w:p w:rsidR="007C09E0" w:rsidRPr="0049324A" w:rsidRDefault="007C09E0" w:rsidP="007C09E0">
      <w:pPr>
        <w:autoSpaceDE w:val="0"/>
        <w:autoSpaceDN w:val="0"/>
        <w:spacing w:after="240"/>
        <w:rPr>
          <w:rFonts w:ascii="Vodafone Rg" w:hAnsi="Vodafone Rg"/>
          <w:i/>
        </w:rPr>
      </w:pPr>
      <w:r w:rsidRPr="0049324A">
        <w:rPr>
          <w:rFonts w:ascii="Vodafone Rg" w:hAnsi="Vodafone Rg"/>
          <w:i/>
        </w:rPr>
        <w:t>(a)</w:t>
      </w:r>
      <w:r w:rsidRPr="0049324A">
        <w:rPr>
          <w:rFonts w:ascii="Vodafone Rg" w:hAnsi="Vodafone Rg"/>
          <w:i/>
        </w:rPr>
        <w:tab/>
        <w:t xml:space="preserve">An ‘effects test’ introduces an appropriate level of culpability </w:t>
      </w:r>
    </w:p>
    <w:p w:rsidR="00907F25" w:rsidRDefault="00907F25" w:rsidP="000017AC">
      <w:pPr>
        <w:autoSpaceDE w:val="0"/>
        <w:autoSpaceDN w:val="0"/>
        <w:spacing w:after="240"/>
        <w:ind w:left="567"/>
        <w:rPr>
          <w:rFonts w:ascii="Vodafone Rg" w:hAnsi="Vodafone Rg"/>
        </w:rPr>
      </w:pPr>
      <w:r w:rsidRPr="0049324A">
        <w:rPr>
          <w:rFonts w:ascii="Vodafone Rg" w:hAnsi="Vodafone Rg"/>
        </w:rPr>
        <w:t xml:space="preserve">An effects test avoids the need to prove that a firm had an intentional strategy to cause harm </w:t>
      </w:r>
      <w:r>
        <w:rPr>
          <w:rFonts w:ascii="Vodafone Rg" w:hAnsi="Vodafone Rg"/>
        </w:rPr>
        <w:t>i</w:t>
      </w:r>
      <w:r w:rsidRPr="0049324A">
        <w:rPr>
          <w:rFonts w:ascii="Vodafone Rg" w:hAnsi="Vodafone Rg"/>
        </w:rPr>
        <w:t xml:space="preserve">n circumstances where there is a demonstrable anti-competitive effect on the market as a whole, so avoids the need for a court to attempt to second-guess the subjective purpose of that firm in those circumstances.  </w:t>
      </w:r>
    </w:p>
    <w:p w:rsidR="006D0891" w:rsidRPr="0049324A" w:rsidRDefault="007C09E0" w:rsidP="000017AC">
      <w:pPr>
        <w:autoSpaceDE w:val="0"/>
        <w:autoSpaceDN w:val="0"/>
        <w:spacing w:after="240"/>
        <w:ind w:left="567"/>
        <w:rPr>
          <w:rFonts w:ascii="Vodafone Rg" w:hAnsi="Vodafone Rg"/>
        </w:rPr>
      </w:pPr>
      <w:r w:rsidRPr="0049324A">
        <w:rPr>
          <w:rFonts w:ascii="Vodafone Rg" w:hAnsi="Vodafone Rg"/>
        </w:rPr>
        <w:t>Instead of a litigant being required to establish that a firm had a purpose of harming a</w:t>
      </w:r>
      <w:r w:rsidR="00907F25">
        <w:rPr>
          <w:rFonts w:ascii="Vodafone Rg" w:hAnsi="Vodafone Rg"/>
        </w:rPr>
        <w:t xml:space="preserve"> competitor</w:t>
      </w:r>
      <w:r w:rsidRPr="0049324A">
        <w:rPr>
          <w:rFonts w:ascii="Vodafone Rg" w:hAnsi="Vodafone Rg"/>
        </w:rPr>
        <w:t xml:space="preserve">, that litigant could instead focus on the overall </w:t>
      </w:r>
      <w:r w:rsidR="00907F25">
        <w:rPr>
          <w:rFonts w:ascii="Vodafone Rg" w:hAnsi="Vodafone Rg"/>
        </w:rPr>
        <w:t xml:space="preserve">economic </w:t>
      </w:r>
      <w:r w:rsidRPr="0049324A">
        <w:rPr>
          <w:rFonts w:ascii="Vodafone Rg" w:hAnsi="Vodafone Rg"/>
        </w:rPr>
        <w:t xml:space="preserve">effect of the conduct in the market as a whole.  If the overall effect of the conduct was to </w:t>
      </w:r>
      <w:r w:rsidR="00DF620F" w:rsidRPr="0049324A">
        <w:rPr>
          <w:rFonts w:ascii="Vodafone Rg" w:hAnsi="Vodafone Rg"/>
        </w:rPr>
        <w:t>substantially</w:t>
      </w:r>
      <w:r w:rsidRPr="0049324A">
        <w:rPr>
          <w:rFonts w:ascii="Vodafone Rg" w:hAnsi="Vodafone Rg"/>
        </w:rPr>
        <w:t xml:space="preserve"> reduce competition, then the conduct would be regarded as culpable irrespective of the intent of the firm.  </w:t>
      </w:r>
    </w:p>
    <w:p w:rsidR="00907F25" w:rsidRDefault="007C09E0" w:rsidP="000017AC">
      <w:pPr>
        <w:autoSpaceDE w:val="0"/>
        <w:autoSpaceDN w:val="0"/>
        <w:spacing w:after="240"/>
        <w:ind w:left="567"/>
        <w:rPr>
          <w:rFonts w:ascii="Vodafone Rg" w:hAnsi="Vodafone Rg"/>
        </w:rPr>
      </w:pPr>
      <w:r w:rsidRPr="0049324A">
        <w:rPr>
          <w:rFonts w:ascii="Vodafone Rg" w:hAnsi="Vodafone Rg"/>
        </w:rPr>
        <w:t>VHA considers that an effects test</w:t>
      </w:r>
      <w:r w:rsidR="00907F25">
        <w:rPr>
          <w:rFonts w:ascii="Vodafone Rg" w:hAnsi="Vodafone Rg"/>
        </w:rPr>
        <w:t xml:space="preserve"> would</w:t>
      </w:r>
      <w:r w:rsidRPr="0049324A">
        <w:rPr>
          <w:rFonts w:ascii="Vodafone Rg" w:hAnsi="Vodafone Rg"/>
        </w:rPr>
        <w:t xml:space="preserve"> not run the risk of chilling legitimate competition in circumstances where the other screening devices in s</w:t>
      </w:r>
      <w:r w:rsidR="00907F25">
        <w:rPr>
          <w:rFonts w:ascii="Vodafone Rg" w:hAnsi="Vodafone Rg"/>
        </w:rPr>
        <w:t xml:space="preserve"> </w:t>
      </w:r>
      <w:r w:rsidRPr="0049324A">
        <w:rPr>
          <w:rFonts w:ascii="Vodafone Rg" w:hAnsi="Vodafone Rg"/>
        </w:rPr>
        <w:t xml:space="preserve">46 </w:t>
      </w:r>
      <w:r w:rsidR="00907F25">
        <w:rPr>
          <w:rFonts w:ascii="Vodafone Rg" w:hAnsi="Vodafone Rg"/>
        </w:rPr>
        <w:t>we</w:t>
      </w:r>
      <w:r w:rsidRPr="0049324A">
        <w:rPr>
          <w:rFonts w:ascii="Vodafone Rg" w:hAnsi="Vodafone Rg"/>
        </w:rPr>
        <w:t>re retained</w:t>
      </w:r>
      <w:r w:rsidR="00907F25">
        <w:rPr>
          <w:rFonts w:ascii="Vodafone Rg" w:hAnsi="Vodafone Rg"/>
        </w:rPr>
        <w:t>, including the ‘taking advantage’ wording.</w:t>
      </w:r>
      <w:r w:rsidRPr="0049324A">
        <w:rPr>
          <w:rFonts w:ascii="Vodafone Rg" w:hAnsi="Vodafone Rg"/>
        </w:rPr>
        <w:t xml:space="preserve">  Specifically, s 46 would only apply to firms with SMP that were engaging in conduct that they would not otherwise undertake in a competitive market.   By definition, this means that </w:t>
      </w:r>
      <w:r w:rsidR="00907F25">
        <w:rPr>
          <w:rFonts w:ascii="Vodafone Rg" w:hAnsi="Vodafone Rg"/>
        </w:rPr>
        <w:t xml:space="preserve">the effects test would only apply to larger </w:t>
      </w:r>
      <w:r w:rsidRPr="0049324A">
        <w:rPr>
          <w:rFonts w:ascii="Vodafone Rg" w:hAnsi="Vodafone Rg"/>
        </w:rPr>
        <w:t xml:space="preserve">firms </w:t>
      </w:r>
      <w:r w:rsidR="00907F25">
        <w:rPr>
          <w:rFonts w:ascii="Vodafone Rg" w:hAnsi="Vodafone Rg"/>
        </w:rPr>
        <w:t xml:space="preserve">operating in imperfectly competitive markets that were </w:t>
      </w:r>
      <w:r w:rsidRPr="0049324A">
        <w:rPr>
          <w:rFonts w:ascii="Vodafone Rg" w:hAnsi="Vodafone Rg"/>
        </w:rPr>
        <w:t xml:space="preserve">taking advantage of the absence of competition.   It is entirely appropriate that such firms be precluded from engaging in conduct, derived from their SMP, that </w:t>
      </w:r>
      <w:r w:rsidR="00907F25">
        <w:rPr>
          <w:rFonts w:ascii="Vodafone Rg" w:hAnsi="Vodafone Rg"/>
        </w:rPr>
        <w:t xml:space="preserve">further </w:t>
      </w:r>
      <w:r w:rsidRPr="0049324A">
        <w:rPr>
          <w:rFonts w:ascii="Vodafone Rg" w:hAnsi="Vodafone Rg"/>
        </w:rPr>
        <w:t xml:space="preserve">reduces the level of competition to which they are subject.   </w:t>
      </w:r>
    </w:p>
    <w:p w:rsidR="0012197F" w:rsidRPr="0049324A" w:rsidRDefault="00907F25" w:rsidP="00AC6A53">
      <w:pPr>
        <w:autoSpaceDE w:val="0"/>
        <w:autoSpaceDN w:val="0"/>
        <w:spacing w:after="240"/>
        <w:ind w:left="567"/>
        <w:rPr>
          <w:rFonts w:ascii="Vodafone Rg" w:hAnsi="Vodafone Rg"/>
        </w:rPr>
      </w:pPr>
      <w:r>
        <w:rPr>
          <w:rFonts w:ascii="Vodafone Rg" w:hAnsi="Vodafone Rg"/>
        </w:rPr>
        <w:t>In such circumstances, the practical effect of an effects test in s 46 would be to hold s</w:t>
      </w:r>
      <w:r w:rsidR="007C09E0" w:rsidRPr="0049324A">
        <w:rPr>
          <w:rFonts w:ascii="Vodafone Rg" w:hAnsi="Vodafone Rg"/>
        </w:rPr>
        <w:t xml:space="preserve">uch firms to the same standards of </w:t>
      </w:r>
      <w:r>
        <w:rPr>
          <w:rFonts w:ascii="Vodafone Rg" w:hAnsi="Vodafone Rg"/>
        </w:rPr>
        <w:t xml:space="preserve">competitive </w:t>
      </w:r>
      <w:r w:rsidR="007C09E0" w:rsidRPr="0049324A">
        <w:rPr>
          <w:rFonts w:ascii="Vodafone Rg" w:hAnsi="Vodafone Rg"/>
        </w:rPr>
        <w:t xml:space="preserve">behaviour that would prevail if they were </w:t>
      </w:r>
      <w:r w:rsidR="00DF620F" w:rsidRPr="0049324A">
        <w:rPr>
          <w:rFonts w:ascii="Vodafone Rg" w:hAnsi="Vodafone Rg"/>
        </w:rPr>
        <w:t>competing</w:t>
      </w:r>
      <w:r w:rsidR="007C09E0" w:rsidRPr="0049324A">
        <w:rPr>
          <w:rFonts w:ascii="Vodafone Rg" w:hAnsi="Vodafone Rg"/>
        </w:rPr>
        <w:t xml:space="preserve"> in a truly competitive market.</w:t>
      </w:r>
      <w:r>
        <w:rPr>
          <w:rFonts w:ascii="Vodafone Rg" w:hAnsi="Vodafone Rg"/>
        </w:rPr>
        <w:t xml:space="preserve"> </w:t>
      </w:r>
    </w:p>
    <w:p w:rsidR="0012197F" w:rsidRPr="0049324A" w:rsidRDefault="0012197F" w:rsidP="0012197F">
      <w:pPr>
        <w:autoSpaceDE w:val="0"/>
        <w:autoSpaceDN w:val="0"/>
        <w:spacing w:after="240"/>
        <w:rPr>
          <w:rFonts w:ascii="Vodafone Rg" w:hAnsi="Vodafone Rg"/>
          <w:i/>
        </w:rPr>
      </w:pPr>
      <w:r w:rsidRPr="0049324A">
        <w:rPr>
          <w:rFonts w:ascii="Vodafone Rg" w:hAnsi="Vodafone Rg"/>
          <w:i/>
        </w:rPr>
        <w:t>(</w:t>
      </w:r>
      <w:r w:rsidR="009D0ECA">
        <w:rPr>
          <w:rFonts w:ascii="Vodafone Rg" w:hAnsi="Vodafone Rg"/>
          <w:i/>
        </w:rPr>
        <w:t>b</w:t>
      </w:r>
      <w:r w:rsidRPr="0049324A">
        <w:rPr>
          <w:rFonts w:ascii="Vodafone Rg" w:hAnsi="Vodafone Rg"/>
          <w:i/>
        </w:rPr>
        <w:t>)</w:t>
      </w:r>
      <w:r w:rsidRPr="0049324A">
        <w:rPr>
          <w:rFonts w:ascii="Vodafone Rg" w:hAnsi="Vodafone Rg"/>
          <w:i/>
        </w:rPr>
        <w:tab/>
        <w:t>The telecoms sector has applied an ‘effects test’ for some 20 years</w:t>
      </w:r>
    </w:p>
    <w:p w:rsidR="00190CDC" w:rsidRPr="0049324A" w:rsidRDefault="00190CDC" w:rsidP="007C09E0">
      <w:pPr>
        <w:autoSpaceDE w:val="0"/>
        <w:autoSpaceDN w:val="0"/>
        <w:spacing w:after="240"/>
        <w:ind w:left="567"/>
        <w:rPr>
          <w:rFonts w:ascii="Vodafone Rg" w:hAnsi="Vodafone Rg"/>
        </w:rPr>
      </w:pPr>
      <w:r w:rsidRPr="0049324A">
        <w:rPr>
          <w:rFonts w:ascii="Vodafone Rg" w:hAnsi="Vodafone Rg"/>
        </w:rPr>
        <w:t>The question arises why an effects test has not been introduced into s 46 to date.  As the Australian Government will be aware, there have been many previous reviews of the CCA.  In almost all cases, these reviews have recommended against reforms to s</w:t>
      </w:r>
      <w:r w:rsidR="006C0A85">
        <w:rPr>
          <w:rFonts w:ascii="Vodafone Rg" w:hAnsi="Vodafone Rg"/>
        </w:rPr>
        <w:t xml:space="preserve"> 46 or have preferred a ‘wait and see’ approach.</w:t>
      </w:r>
    </w:p>
    <w:p w:rsidR="006C0A85" w:rsidRDefault="00190CDC" w:rsidP="007C09E0">
      <w:pPr>
        <w:autoSpaceDE w:val="0"/>
        <w:autoSpaceDN w:val="0"/>
        <w:spacing w:after="240"/>
        <w:ind w:left="567"/>
        <w:rPr>
          <w:rFonts w:ascii="Vodafone Rg" w:hAnsi="Vodafone Rg"/>
        </w:rPr>
      </w:pPr>
      <w:r w:rsidRPr="0049324A">
        <w:rPr>
          <w:rFonts w:ascii="Vodafone Rg" w:hAnsi="Vodafone Rg"/>
        </w:rPr>
        <w:t xml:space="preserve">The answer to this question is that an effects test </w:t>
      </w:r>
      <w:r w:rsidRPr="0049324A">
        <w:rPr>
          <w:rFonts w:ascii="Vodafone Rg" w:hAnsi="Vodafone Rg"/>
          <w:u w:val="single"/>
        </w:rPr>
        <w:t>has</w:t>
      </w:r>
      <w:r w:rsidRPr="0049324A">
        <w:rPr>
          <w:rFonts w:ascii="Vodafone Rg" w:hAnsi="Vodafone Rg"/>
        </w:rPr>
        <w:t xml:space="preserve"> been introduced into s 46, but only in the context of the telecommunications sector.   This reform occurred in 1997 with the enactment of s 151AJ(2).</w:t>
      </w:r>
      <w:r w:rsidR="006C0A85">
        <w:rPr>
          <w:rFonts w:ascii="Vodafone Rg" w:hAnsi="Vodafone Rg"/>
        </w:rPr>
        <w:t xml:space="preserve">   This reform resulted in firms with SMP in the Australian telecoms sector becoming subject to an effects test as well as a purpose test.  As such, the telecoms sector is a litmus test for the current </w:t>
      </w:r>
      <w:r w:rsidR="003231CB">
        <w:rPr>
          <w:rFonts w:ascii="Vodafone Rg" w:hAnsi="Vodafone Rg"/>
        </w:rPr>
        <w:t>proposed</w:t>
      </w:r>
      <w:r w:rsidR="006C0A85">
        <w:rPr>
          <w:rFonts w:ascii="Vodafone Rg" w:hAnsi="Vodafone Rg"/>
        </w:rPr>
        <w:t xml:space="preserve"> reforms.</w:t>
      </w:r>
    </w:p>
    <w:p w:rsidR="00190CDC" w:rsidRPr="0049324A" w:rsidRDefault="00190CDC" w:rsidP="007C09E0">
      <w:pPr>
        <w:autoSpaceDE w:val="0"/>
        <w:autoSpaceDN w:val="0"/>
        <w:spacing w:after="240"/>
        <w:ind w:left="567"/>
        <w:rPr>
          <w:rFonts w:ascii="Vodafone Rg" w:hAnsi="Vodafone Rg"/>
        </w:rPr>
      </w:pPr>
      <w:r w:rsidRPr="0049324A">
        <w:rPr>
          <w:rFonts w:ascii="Vodafone Rg" w:hAnsi="Vodafone Rg"/>
        </w:rPr>
        <w:t xml:space="preserve">The </w:t>
      </w:r>
      <w:r w:rsidR="005C5D71">
        <w:rPr>
          <w:rFonts w:ascii="Vodafone Rg" w:hAnsi="Vodafone Rg"/>
        </w:rPr>
        <w:t>genesis</w:t>
      </w:r>
      <w:r w:rsidRPr="0049324A">
        <w:rPr>
          <w:rFonts w:ascii="Vodafone Rg" w:hAnsi="Vodafone Rg"/>
        </w:rPr>
        <w:t xml:space="preserve"> for th</w:t>
      </w:r>
      <w:r w:rsidR="006C0A85">
        <w:rPr>
          <w:rFonts w:ascii="Vodafone Rg" w:hAnsi="Vodafone Rg"/>
        </w:rPr>
        <w:t xml:space="preserve">e </w:t>
      </w:r>
      <w:r w:rsidR="005C5D71">
        <w:rPr>
          <w:rFonts w:ascii="Vodafone Rg" w:hAnsi="Vodafone Rg"/>
        </w:rPr>
        <w:t xml:space="preserve">1997 reforms was a recognition at the time that </w:t>
      </w:r>
      <w:r w:rsidR="006C0A85">
        <w:rPr>
          <w:rFonts w:ascii="Vodafone Rg" w:hAnsi="Vodafone Rg"/>
        </w:rPr>
        <w:t xml:space="preserve">the telecoms sector had a much greater concentration of market power </w:t>
      </w:r>
      <w:r w:rsidR="005C5D71">
        <w:rPr>
          <w:rFonts w:ascii="Vodafone Rg" w:hAnsi="Vodafone Rg"/>
        </w:rPr>
        <w:t xml:space="preserve">(in Telstra) </w:t>
      </w:r>
      <w:r w:rsidR="006C0A85">
        <w:rPr>
          <w:rFonts w:ascii="Vodafone Rg" w:hAnsi="Vodafone Rg"/>
        </w:rPr>
        <w:t xml:space="preserve">and was </w:t>
      </w:r>
      <w:r w:rsidR="005C5D71">
        <w:rPr>
          <w:rFonts w:ascii="Vodafone Rg" w:hAnsi="Vodafone Rg"/>
        </w:rPr>
        <w:t xml:space="preserve">therefore </w:t>
      </w:r>
      <w:r w:rsidR="006C0A85">
        <w:rPr>
          <w:rFonts w:ascii="Vodafone Rg" w:hAnsi="Vodafone Rg"/>
        </w:rPr>
        <w:t>more susceptible to market failure</w:t>
      </w:r>
      <w:r w:rsidR="005C5D71">
        <w:rPr>
          <w:rFonts w:ascii="Vodafone Rg" w:hAnsi="Vodafone Rg"/>
        </w:rPr>
        <w:t xml:space="preserve"> than other sectors</w:t>
      </w:r>
      <w:r w:rsidR="006C0A85">
        <w:rPr>
          <w:rFonts w:ascii="Vodafone Rg" w:hAnsi="Vodafone Rg"/>
        </w:rPr>
        <w:t>.  Greater regulatory intervention was therefore considered desirable</w:t>
      </w:r>
      <w:r w:rsidR="005C5D71">
        <w:rPr>
          <w:rFonts w:ascii="Vodafone Rg" w:hAnsi="Vodafone Rg"/>
        </w:rPr>
        <w:t>.  One manifestation of this regulatory intervention was the adoption of a stricter ‘effects test’ threshold in the misuse of market power provision in the CCA.  This po</w:t>
      </w:r>
      <w:r w:rsidR="003231CB">
        <w:rPr>
          <w:rFonts w:ascii="Vodafone Rg" w:hAnsi="Vodafone Rg"/>
        </w:rPr>
        <w:t>l</w:t>
      </w:r>
      <w:r w:rsidR="005C5D71">
        <w:rPr>
          <w:rFonts w:ascii="Vodafone Rg" w:hAnsi="Vodafone Rg"/>
        </w:rPr>
        <w:t>i</w:t>
      </w:r>
      <w:r w:rsidR="003231CB">
        <w:rPr>
          <w:rFonts w:ascii="Vodafone Rg" w:hAnsi="Vodafone Rg"/>
        </w:rPr>
        <w:t>c</w:t>
      </w:r>
      <w:r w:rsidR="005C5D71">
        <w:rPr>
          <w:rFonts w:ascii="Vodafone Rg" w:hAnsi="Vodafone Rg"/>
        </w:rPr>
        <w:t>y basis was explained in</w:t>
      </w:r>
      <w:r w:rsidRPr="0049324A">
        <w:rPr>
          <w:rFonts w:ascii="Vodafone Rg" w:hAnsi="Vodafone Rg"/>
        </w:rPr>
        <w:t xml:space="preserve"> the Explanatory Memorandum to the </w:t>
      </w:r>
      <w:r w:rsidRPr="0049324A">
        <w:rPr>
          <w:rFonts w:ascii="Vodafone Rg" w:hAnsi="Vodafone Rg"/>
          <w:i/>
        </w:rPr>
        <w:t>Trade Practices Am</w:t>
      </w:r>
      <w:r w:rsidR="00996D05" w:rsidRPr="0049324A">
        <w:rPr>
          <w:rFonts w:ascii="Vodafone Rg" w:hAnsi="Vodafone Rg"/>
          <w:i/>
        </w:rPr>
        <w:t>en</w:t>
      </w:r>
      <w:r w:rsidRPr="0049324A">
        <w:rPr>
          <w:rFonts w:ascii="Vodafone Rg" w:hAnsi="Vodafone Rg"/>
          <w:i/>
        </w:rPr>
        <w:t>dment (Telecommunications) Bill 1996</w:t>
      </w:r>
      <w:r w:rsidRPr="0049324A">
        <w:rPr>
          <w:rFonts w:ascii="Vodafone Rg" w:hAnsi="Vodafone Rg"/>
        </w:rPr>
        <w:t xml:space="preserve"> as follows:</w:t>
      </w:r>
    </w:p>
    <w:p w:rsidR="00190CDC" w:rsidRPr="0049324A" w:rsidRDefault="00996D05" w:rsidP="00996D05">
      <w:pPr>
        <w:autoSpaceDE w:val="0"/>
        <w:autoSpaceDN w:val="0"/>
        <w:spacing w:after="240"/>
        <w:ind w:left="1134"/>
        <w:rPr>
          <w:rFonts w:ascii="Vodafone Rg" w:hAnsi="Vodafone Rg"/>
          <w:sz w:val="20"/>
          <w:szCs w:val="20"/>
        </w:rPr>
      </w:pPr>
      <w:r w:rsidRPr="0049324A">
        <w:rPr>
          <w:rFonts w:ascii="Vodafone Rg" w:hAnsi="Vodafone Rg"/>
          <w:sz w:val="20"/>
          <w:szCs w:val="20"/>
        </w:rPr>
        <w:t>“T</w:t>
      </w:r>
      <w:r w:rsidR="00190CDC" w:rsidRPr="0049324A">
        <w:rPr>
          <w:rFonts w:ascii="Vodafone Rg" w:hAnsi="Vodafone Rg"/>
          <w:sz w:val="20"/>
          <w:szCs w:val="20"/>
        </w:rPr>
        <w:t xml:space="preserve">he first circumstance is set out in proposed s. 151AJ(2) and is an effects-based test which does not require any examination of the purpose for which the conduct was engaged in. </w:t>
      </w:r>
      <w:r w:rsidRPr="0049324A">
        <w:rPr>
          <w:rFonts w:ascii="Vodafone Rg" w:hAnsi="Vodafone Rg"/>
          <w:sz w:val="20"/>
          <w:szCs w:val="20"/>
        </w:rPr>
        <w:t xml:space="preserve"> </w:t>
      </w:r>
      <w:r w:rsidR="00190CDC" w:rsidRPr="0049324A">
        <w:rPr>
          <w:rFonts w:ascii="Vodafone Rg" w:hAnsi="Vodafone Rg"/>
          <w:sz w:val="20"/>
          <w:szCs w:val="20"/>
        </w:rPr>
        <w:t>According to this test, a carrier or carriage service provider will be taken to engage in anti-competitive conduct for the purposes of Part XIB if the carrier or carriage service provider has a substantial degree of power in a telecommunications market and takes advantage of that power with the effect, or likely effect, of substantially lessening competition in that or any other telecommunications market.</w:t>
      </w:r>
    </w:p>
    <w:p w:rsidR="00190CDC" w:rsidRPr="0049324A" w:rsidRDefault="00190CDC" w:rsidP="00996D05">
      <w:pPr>
        <w:autoSpaceDE w:val="0"/>
        <w:autoSpaceDN w:val="0"/>
        <w:spacing w:after="240"/>
        <w:ind w:left="1134"/>
        <w:rPr>
          <w:rFonts w:ascii="Vodafone Rg" w:hAnsi="Vodafone Rg"/>
          <w:sz w:val="20"/>
          <w:szCs w:val="20"/>
        </w:rPr>
      </w:pPr>
      <w:r w:rsidRPr="0049324A">
        <w:rPr>
          <w:rFonts w:ascii="Vodafone Rg" w:hAnsi="Vodafone Rg"/>
          <w:sz w:val="20"/>
          <w:szCs w:val="20"/>
        </w:rPr>
        <w:t>An effects test has been included to address the danger that competition in the telecommunications industry will, or will be likely to, be damaged by aberrant behaviour that has a demonstrable, negative effect on competition regardless of the purpose motivating that behaviour. Proof of purpose is a subjective matter that requires a reason or motive for certain c</w:t>
      </w:r>
      <w:r w:rsidR="00996D05" w:rsidRPr="0049324A">
        <w:rPr>
          <w:rFonts w:ascii="Vodafone Rg" w:hAnsi="Vodafone Rg"/>
          <w:sz w:val="20"/>
          <w:szCs w:val="20"/>
        </w:rPr>
        <w:t xml:space="preserve">onduct to be established. Proof </w:t>
      </w:r>
      <w:r w:rsidRPr="0049324A">
        <w:rPr>
          <w:rFonts w:ascii="Vodafone Rg" w:hAnsi="Vodafone Rg"/>
          <w:sz w:val="20"/>
          <w:szCs w:val="20"/>
        </w:rPr>
        <w:t>of purpose may not assist in distinguishing predatory conduct. Reliance on a `purpose test' alone risks a focus on the perceived morality of conduct rather than its economic effect</w:t>
      </w:r>
      <w:r w:rsidR="00996D05" w:rsidRPr="0049324A">
        <w:rPr>
          <w:rFonts w:ascii="Vodafone Rg" w:hAnsi="Vodafone Rg"/>
          <w:sz w:val="20"/>
          <w:szCs w:val="20"/>
        </w:rPr>
        <w:t>.”</w:t>
      </w:r>
    </w:p>
    <w:p w:rsidR="00896AE3" w:rsidRPr="0049324A" w:rsidRDefault="00896AE3" w:rsidP="00896AE3">
      <w:pPr>
        <w:autoSpaceDE w:val="0"/>
        <w:autoSpaceDN w:val="0"/>
        <w:spacing w:after="240"/>
        <w:ind w:left="567"/>
        <w:rPr>
          <w:rFonts w:ascii="Vodafone Rg" w:hAnsi="Vodafone Rg"/>
        </w:rPr>
      </w:pPr>
      <w:r w:rsidRPr="0049324A">
        <w:rPr>
          <w:rFonts w:ascii="Vodafone Rg" w:hAnsi="Vodafone Rg"/>
        </w:rPr>
        <w:t xml:space="preserve">In its detailed inquiry report into Telecommunications Competition Regulation in 2001, the Productivity </w:t>
      </w:r>
      <w:r w:rsidR="00DF620F" w:rsidRPr="0049324A">
        <w:rPr>
          <w:rFonts w:ascii="Vodafone Rg" w:hAnsi="Vodafone Rg"/>
        </w:rPr>
        <w:t>Commission</w:t>
      </w:r>
      <w:r w:rsidRPr="0049324A">
        <w:rPr>
          <w:rFonts w:ascii="Vodafone Rg" w:hAnsi="Vodafone Rg"/>
        </w:rPr>
        <w:t xml:space="preserve"> also </w:t>
      </w:r>
      <w:r w:rsidR="005C5D71">
        <w:rPr>
          <w:rFonts w:ascii="Vodafone Rg" w:hAnsi="Vodafone Rg"/>
        </w:rPr>
        <w:t xml:space="preserve">subsequently </w:t>
      </w:r>
      <w:r w:rsidRPr="0049324A">
        <w:rPr>
          <w:rFonts w:ascii="Vodafone Rg" w:hAnsi="Vodafone Rg"/>
        </w:rPr>
        <w:t>highlighted (at page 179) that “</w:t>
      </w:r>
      <w:r w:rsidRPr="0049324A">
        <w:rPr>
          <w:rFonts w:ascii="Vodafone Rg" w:hAnsi="Vodafone Rg"/>
          <w:i/>
        </w:rPr>
        <w:t>an effects test has the advantage of focusing on the economic rationale for anti-competitive conduct regulation</w:t>
      </w:r>
      <w:r w:rsidRPr="0049324A">
        <w:rPr>
          <w:rFonts w:ascii="Vodafone Rg" w:hAnsi="Vodafone Rg"/>
        </w:rPr>
        <w:t xml:space="preserve">”.   </w:t>
      </w:r>
    </w:p>
    <w:p w:rsidR="005C5D71" w:rsidRDefault="00996D05" w:rsidP="007C09E0">
      <w:pPr>
        <w:autoSpaceDE w:val="0"/>
        <w:autoSpaceDN w:val="0"/>
        <w:spacing w:after="240"/>
        <w:ind w:left="567"/>
        <w:rPr>
          <w:rFonts w:ascii="Vodafone Rg" w:hAnsi="Vodafone Rg"/>
        </w:rPr>
      </w:pPr>
      <w:r w:rsidRPr="0049324A">
        <w:rPr>
          <w:rFonts w:ascii="Vodafone Rg" w:hAnsi="Vodafone Rg"/>
        </w:rPr>
        <w:t xml:space="preserve">Under </w:t>
      </w:r>
      <w:r w:rsidR="005C5D71">
        <w:rPr>
          <w:rFonts w:ascii="Vodafone Rg" w:hAnsi="Vodafone Rg"/>
        </w:rPr>
        <w:t xml:space="preserve">the telecoms-specific competition provisions in </w:t>
      </w:r>
      <w:r w:rsidRPr="0049324A">
        <w:rPr>
          <w:rFonts w:ascii="Vodafone Rg" w:hAnsi="Vodafone Rg"/>
        </w:rPr>
        <w:t>Part XIB of the CCA, the ACCC may issue a ‘competition notice’ against a</w:t>
      </w:r>
      <w:r w:rsidR="005C5D71">
        <w:rPr>
          <w:rFonts w:ascii="Vodafone Rg" w:hAnsi="Vodafone Rg"/>
        </w:rPr>
        <w:t xml:space="preserve"> telecoms carrier or carriage service provider</w:t>
      </w:r>
      <w:r w:rsidRPr="0049324A">
        <w:rPr>
          <w:rFonts w:ascii="Vodafone Rg" w:hAnsi="Vodafone Rg"/>
        </w:rPr>
        <w:t xml:space="preserve"> that takes advantage of its SMP with the effect or likely effect of substantially lessening competition in a telecommunications market.  This ‘effects test’ has removed the evidential burden in proving an illegitimate purpose, so has shifted the focus to anti-competitive effect.  </w:t>
      </w:r>
    </w:p>
    <w:p w:rsidR="00190CDC" w:rsidRPr="0049324A" w:rsidRDefault="005C5D71" w:rsidP="007C09E0">
      <w:pPr>
        <w:autoSpaceDE w:val="0"/>
        <w:autoSpaceDN w:val="0"/>
        <w:spacing w:after="240"/>
        <w:ind w:left="567"/>
        <w:rPr>
          <w:rFonts w:ascii="Vodafone Rg" w:hAnsi="Vodafone Rg"/>
        </w:rPr>
      </w:pPr>
      <w:r>
        <w:rPr>
          <w:rFonts w:ascii="Vodafone Rg" w:hAnsi="Vodafone Rg"/>
        </w:rPr>
        <w:t>Importantly, as explained below, the ‘effects test’ contained in Part XIB</w:t>
      </w:r>
      <w:r w:rsidR="00996D05" w:rsidRPr="0049324A">
        <w:rPr>
          <w:rFonts w:ascii="Vodafone Rg" w:hAnsi="Vodafone Rg"/>
        </w:rPr>
        <w:t xml:space="preserve"> </w:t>
      </w:r>
      <w:r>
        <w:rPr>
          <w:rFonts w:ascii="Vodafone Rg" w:hAnsi="Vodafone Rg"/>
        </w:rPr>
        <w:t xml:space="preserve">of the CCA </w:t>
      </w:r>
      <w:r w:rsidR="00996D05" w:rsidRPr="0049324A">
        <w:rPr>
          <w:rFonts w:ascii="Vodafone Rg" w:hAnsi="Vodafone Rg"/>
        </w:rPr>
        <w:t xml:space="preserve">has not chilled legitimate competition and has existed </w:t>
      </w:r>
      <w:r>
        <w:rPr>
          <w:rFonts w:ascii="Vodafone Rg" w:hAnsi="Vodafone Rg"/>
        </w:rPr>
        <w:t xml:space="preserve">now </w:t>
      </w:r>
      <w:r w:rsidR="00996D05" w:rsidRPr="0049324A">
        <w:rPr>
          <w:rFonts w:ascii="Vodafone Rg" w:hAnsi="Vodafone Rg"/>
        </w:rPr>
        <w:t>for</w:t>
      </w:r>
      <w:r>
        <w:rPr>
          <w:rFonts w:ascii="Vodafone Rg" w:hAnsi="Vodafone Rg"/>
        </w:rPr>
        <w:t xml:space="preserve"> some</w:t>
      </w:r>
      <w:r w:rsidR="00996D05" w:rsidRPr="0049324A">
        <w:rPr>
          <w:rFonts w:ascii="Vodafone Rg" w:hAnsi="Vodafone Rg"/>
        </w:rPr>
        <w:t xml:space="preserve"> 20 years.   Moreover, this ‘effects test’ has co-existed with the existing purpose test in s 46 for those 20 years, successfully, to regulate the conduct of firms with SMP.</w:t>
      </w:r>
    </w:p>
    <w:p w:rsidR="00126B6C" w:rsidRPr="0049324A" w:rsidRDefault="00907F25" w:rsidP="00126B6C">
      <w:pPr>
        <w:autoSpaceDE w:val="0"/>
        <w:autoSpaceDN w:val="0"/>
        <w:spacing w:after="240"/>
        <w:rPr>
          <w:rFonts w:ascii="Vodafone Rg" w:hAnsi="Vodafone Rg"/>
          <w:i/>
        </w:rPr>
      </w:pPr>
      <w:r>
        <w:rPr>
          <w:rFonts w:ascii="Vodafone Rg" w:hAnsi="Vodafone Rg"/>
          <w:i/>
        </w:rPr>
        <w:t>(</w:t>
      </w:r>
      <w:r w:rsidR="009D0ECA">
        <w:rPr>
          <w:rFonts w:ascii="Vodafone Rg" w:hAnsi="Vodafone Rg"/>
          <w:i/>
        </w:rPr>
        <w:t>c</w:t>
      </w:r>
      <w:r w:rsidR="00126B6C" w:rsidRPr="0049324A">
        <w:rPr>
          <w:rFonts w:ascii="Vodafone Rg" w:hAnsi="Vodafone Rg"/>
          <w:i/>
        </w:rPr>
        <w:t>)</w:t>
      </w:r>
      <w:r w:rsidR="00126B6C" w:rsidRPr="0049324A">
        <w:rPr>
          <w:rFonts w:ascii="Vodafone Rg" w:hAnsi="Vodafone Rg"/>
          <w:i/>
        </w:rPr>
        <w:tab/>
        <w:t>An ‘effects test’ has operated effectively without the sky falling in</w:t>
      </w:r>
    </w:p>
    <w:p w:rsidR="00D87344" w:rsidRPr="0049324A" w:rsidRDefault="00D87344" w:rsidP="00996D05">
      <w:pPr>
        <w:autoSpaceDE w:val="0"/>
        <w:autoSpaceDN w:val="0"/>
        <w:spacing w:after="240"/>
        <w:ind w:left="567"/>
        <w:rPr>
          <w:rFonts w:ascii="Vodafone Rg" w:hAnsi="Vodafone Rg"/>
        </w:rPr>
      </w:pPr>
      <w:r w:rsidRPr="0049324A">
        <w:rPr>
          <w:rFonts w:ascii="Vodafone Rg" w:hAnsi="Vodafone Rg"/>
        </w:rPr>
        <w:t xml:space="preserve">Some 20 years’ experience in the Australian telecommunications sector </w:t>
      </w:r>
      <w:r w:rsidR="005C5D71">
        <w:rPr>
          <w:rFonts w:ascii="Vodafone Rg" w:hAnsi="Vodafone Rg"/>
        </w:rPr>
        <w:t xml:space="preserve">clearly </w:t>
      </w:r>
      <w:r w:rsidRPr="0049324A">
        <w:rPr>
          <w:rFonts w:ascii="Vodafone Rg" w:hAnsi="Vodafone Rg"/>
        </w:rPr>
        <w:t xml:space="preserve">demonstrates that </w:t>
      </w:r>
      <w:r w:rsidR="005C5D71">
        <w:rPr>
          <w:rFonts w:ascii="Vodafone Rg" w:hAnsi="Vodafone Rg"/>
        </w:rPr>
        <w:t xml:space="preserve">the current </w:t>
      </w:r>
      <w:r w:rsidRPr="0049324A">
        <w:rPr>
          <w:rFonts w:ascii="Vodafone Rg" w:hAnsi="Vodafone Rg"/>
        </w:rPr>
        <w:t>concern</w:t>
      </w:r>
      <w:r w:rsidR="005C5D71">
        <w:rPr>
          <w:rFonts w:ascii="Vodafone Rg" w:hAnsi="Vodafone Rg"/>
        </w:rPr>
        <w:t>s</w:t>
      </w:r>
      <w:r w:rsidRPr="0049324A">
        <w:rPr>
          <w:rFonts w:ascii="Vodafone Rg" w:hAnsi="Vodafone Rg"/>
        </w:rPr>
        <w:t xml:space="preserve"> regarding the intr</w:t>
      </w:r>
      <w:r w:rsidR="005C5D71">
        <w:rPr>
          <w:rFonts w:ascii="Vodafone Rg" w:hAnsi="Vodafone Rg"/>
        </w:rPr>
        <w:t xml:space="preserve">oduction of the effects test amount to </w:t>
      </w:r>
      <w:r w:rsidRPr="0049324A">
        <w:rPr>
          <w:rFonts w:ascii="Vodafone Rg" w:hAnsi="Vodafone Rg"/>
        </w:rPr>
        <w:t xml:space="preserve">much ado about nothing.   </w:t>
      </w:r>
    </w:p>
    <w:p w:rsidR="00126B6C" w:rsidRPr="0049324A" w:rsidRDefault="00D87344" w:rsidP="00D87344">
      <w:pPr>
        <w:autoSpaceDE w:val="0"/>
        <w:autoSpaceDN w:val="0"/>
        <w:spacing w:after="240"/>
        <w:ind w:left="567"/>
        <w:rPr>
          <w:rFonts w:ascii="Vodafone Rg" w:hAnsi="Vodafone Rg"/>
        </w:rPr>
      </w:pPr>
      <w:r w:rsidRPr="0049324A">
        <w:rPr>
          <w:rFonts w:ascii="Vodafone Rg" w:hAnsi="Vodafone Rg"/>
        </w:rPr>
        <w:t xml:space="preserve">The effects test has not had the effect of chilling aggressive competitive behaviour by Telstra in the Australian telecommunications sector.  Moreover, the effects test has had the effect of ensuring that Telstra has </w:t>
      </w:r>
      <w:r w:rsidR="005C5D71">
        <w:rPr>
          <w:rFonts w:ascii="Vodafone Rg" w:hAnsi="Vodafone Rg"/>
        </w:rPr>
        <w:t xml:space="preserve">in fact </w:t>
      </w:r>
      <w:r w:rsidRPr="0049324A">
        <w:rPr>
          <w:rFonts w:ascii="Vodafone Rg" w:hAnsi="Vodafone Rg"/>
        </w:rPr>
        <w:t xml:space="preserve">been held to account for conduct that has </w:t>
      </w:r>
      <w:r w:rsidR="005C5D71">
        <w:rPr>
          <w:rFonts w:ascii="Vodafone Rg" w:hAnsi="Vodafone Rg"/>
        </w:rPr>
        <w:t xml:space="preserve">allegedly </w:t>
      </w:r>
      <w:r w:rsidRPr="0049324A">
        <w:rPr>
          <w:rFonts w:ascii="Vodafone Rg" w:hAnsi="Vodafone Rg"/>
        </w:rPr>
        <w:t>overstepped the m</w:t>
      </w:r>
      <w:r w:rsidR="005C5D71">
        <w:rPr>
          <w:rFonts w:ascii="Vodafone Rg" w:hAnsi="Vodafone Rg"/>
        </w:rPr>
        <w:t>ark</w:t>
      </w:r>
      <w:r w:rsidRPr="0049324A">
        <w:rPr>
          <w:rFonts w:ascii="Vodafone Rg" w:hAnsi="Vodafone Rg"/>
        </w:rPr>
        <w:t xml:space="preserve">.  </w:t>
      </w:r>
      <w:r w:rsidR="005C5D71">
        <w:rPr>
          <w:rFonts w:ascii="Vodafone Rg" w:hAnsi="Vodafone Rg"/>
        </w:rPr>
        <w:t>VHA’s</w:t>
      </w:r>
      <w:r w:rsidRPr="0049324A">
        <w:rPr>
          <w:rFonts w:ascii="Vodafone Rg" w:hAnsi="Vodafone Rg"/>
        </w:rPr>
        <w:t xml:space="preserve"> experience in telecoms </w:t>
      </w:r>
      <w:r w:rsidR="005C5D71">
        <w:rPr>
          <w:rFonts w:ascii="Vodafone Rg" w:hAnsi="Vodafone Rg"/>
        </w:rPr>
        <w:t xml:space="preserve">is that an effects test </w:t>
      </w:r>
      <w:r w:rsidRPr="0049324A">
        <w:rPr>
          <w:rFonts w:ascii="Vodafone Rg" w:hAnsi="Vodafone Rg"/>
        </w:rPr>
        <w:t xml:space="preserve">has </w:t>
      </w:r>
      <w:r w:rsidR="005C5D71">
        <w:rPr>
          <w:rFonts w:ascii="Vodafone Rg" w:hAnsi="Vodafone Rg"/>
        </w:rPr>
        <w:t>resulted in</w:t>
      </w:r>
      <w:r w:rsidRPr="0049324A">
        <w:rPr>
          <w:rFonts w:ascii="Vodafone Rg" w:hAnsi="Vodafone Rg"/>
        </w:rPr>
        <w:t xml:space="preserve"> no detriments</w:t>
      </w:r>
      <w:r w:rsidR="005C5D71">
        <w:rPr>
          <w:rFonts w:ascii="Vodafone Rg" w:hAnsi="Vodafone Rg"/>
        </w:rPr>
        <w:t>, but with</w:t>
      </w:r>
      <w:r w:rsidRPr="0049324A">
        <w:rPr>
          <w:rFonts w:ascii="Vodafone Rg" w:hAnsi="Vodafone Rg"/>
        </w:rPr>
        <w:t xml:space="preserve"> </w:t>
      </w:r>
      <w:r w:rsidR="005C5D71">
        <w:rPr>
          <w:rFonts w:ascii="Vodafone Rg" w:hAnsi="Vodafone Rg"/>
        </w:rPr>
        <w:t>very substantial benefits, as explained below.</w:t>
      </w:r>
    </w:p>
    <w:p w:rsidR="00996D05" w:rsidRPr="0049324A" w:rsidRDefault="005C5D71" w:rsidP="00996D05">
      <w:pPr>
        <w:autoSpaceDE w:val="0"/>
        <w:autoSpaceDN w:val="0"/>
        <w:spacing w:after="240"/>
        <w:ind w:left="567"/>
        <w:rPr>
          <w:rFonts w:ascii="Vodafone Rg" w:hAnsi="Vodafone Rg"/>
        </w:rPr>
      </w:pPr>
      <w:r>
        <w:rPr>
          <w:rFonts w:ascii="Vodafone Rg" w:hAnsi="Vodafone Rg"/>
        </w:rPr>
        <w:t xml:space="preserve">There is much information in </w:t>
      </w:r>
      <w:r w:rsidR="003231CB">
        <w:rPr>
          <w:rFonts w:ascii="Vodafone Rg" w:hAnsi="Vodafone Rg"/>
        </w:rPr>
        <w:t>the</w:t>
      </w:r>
      <w:r>
        <w:rPr>
          <w:rFonts w:ascii="Vodafone Rg" w:hAnsi="Vodafone Rg"/>
        </w:rPr>
        <w:t xml:space="preserve"> public domain regarding the benefits of the Part XIC </w:t>
      </w:r>
      <w:r w:rsidR="003231CB">
        <w:rPr>
          <w:rFonts w:ascii="Vodafone Rg" w:hAnsi="Vodafone Rg"/>
        </w:rPr>
        <w:t>regime</w:t>
      </w:r>
      <w:r>
        <w:rPr>
          <w:rFonts w:ascii="Vodafone Rg" w:hAnsi="Vodafone Rg"/>
        </w:rPr>
        <w:t xml:space="preserve"> and its effectiveness in regulating Telstra.  The effectiveness of Part XIC is partly proved by its continued existence within the CCA, </w:t>
      </w:r>
      <w:r w:rsidR="003231CB">
        <w:rPr>
          <w:rFonts w:ascii="Vodafone Rg" w:hAnsi="Vodafone Rg"/>
        </w:rPr>
        <w:t>notwithstanding</w:t>
      </w:r>
      <w:r>
        <w:rPr>
          <w:rFonts w:ascii="Vodafone Rg" w:hAnsi="Vodafone Rg"/>
        </w:rPr>
        <w:t xml:space="preserve"> that it was originally intended to apply only for a limited period.  </w:t>
      </w:r>
      <w:r w:rsidR="00996D05" w:rsidRPr="0049324A">
        <w:rPr>
          <w:rFonts w:ascii="Vodafone Rg" w:hAnsi="Vodafone Rg"/>
        </w:rPr>
        <w:t xml:space="preserve">In the Supplementary Explanatory Memorandum to the </w:t>
      </w:r>
      <w:r w:rsidR="00996D05" w:rsidRPr="0049324A">
        <w:rPr>
          <w:rFonts w:ascii="Vodafone Rg" w:hAnsi="Vodafone Rg"/>
          <w:i/>
        </w:rPr>
        <w:t>Telecommunications Legislation Amendment Bill 1998</w:t>
      </w:r>
      <w:r w:rsidR="00996D05" w:rsidRPr="0049324A">
        <w:rPr>
          <w:rFonts w:ascii="Vodafone Rg" w:hAnsi="Vodafone Rg"/>
        </w:rPr>
        <w:t xml:space="preserve">, the Australian Government </w:t>
      </w:r>
      <w:r>
        <w:rPr>
          <w:rFonts w:ascii="Vodafone Rg" w:hAnsi="Vodafone Rg"/>
        </w:rPr>
        <w:t>acknowledged the importance of Part XIC</w:t>
      </w:r>
      <w:r w:rsidR="00996D05" w:rsidRPr="0049324A">
        <w:rPr>
          <w:rFonts w:ascii="Vodafone Rg" w:hAnsi="Vodafone Rg"/>
        </w:rPr>
        <w:t xml:space="preserve"> as follows:</w:t>
      </w:r>
    </w:p>
    <w:p w:rsidR="00190CDC" w:rsidRPr="0049324A" w:rsidRDefault="00126B6C" w:rsidP="00996D05">
      <w:pPr>
        <w:autoSpaceDE w:val="0"/>
        <w:autoSpaceDN w:val="0"/>
        <w:spacing w:after="240"/>
        <w:ind w:left="1134"/>
        <w:rPr>
          <w:rFonts w:ascii="Vodafone Rg" w:hAnsi="Vodafone Rg"/>
          <w:sz w:val="20"/>
          <w:szCs w:val="20"/>
        </w:rPr>
      </w:pPr>
      <w:r w:rsidRPr="0049324A">
        <w:rPr>
          <w:rFonts w:ascii="Vodafone Rg" w:hAnsi="Vodafone Rg"/>
          <w:sz w:val="20"/>
          <w:szCs w:val="20"/>
        </w:rPr>
        <w:t>“</w:t>
      </w:r>
      <w:r w:rsidR="00190CDC" w:rsidRPr="0049324A">
        <w:rPr>
          <w:rFonts w:ascii="Vodafone Rg" w:hAnsi="Vodafone Rg"/>
          <w:sz w:val="20"/>
          <w:szCs w:val="20"/>
        </w:rPr>
        <w:t xml:space="preserve">The competition rule/notice regime is fundamentally sound and has been used to some effect in relation to Internet peering and commercial chum. (The Internet peering issue involved Telstra charging to carry competitors’ Internet traffic on its network while refusing to pay its competitors for their carriage of its traffic. </w:t>
      </w:r>
      <w:r w:rsidR="00996D05" w:rsidRPr="0049324A">
        <w:rPr>
          <w:rFonts w:ascii="Vodafone Rg" w:hAnsi="Vodafone Rg"/>
          <w:sz w:val="20"/>
          <w:szCs w:val="20"/>
        </w:rPr>
        <w:t xml:space="preserve"> </w:t>
      </w:r>
      <w:r w:rsidR="00190CDC" w:rsidRPr="0049324A">
        <w:rPr>
          <w:rFonts w:ascii="Vodafone Rg" w:hAnsi="Vodafone Rg"/>
          <w:sz w:val="20"/>
          <w:szCs w:val="20"/>
        </w:rPr>
        <w:t>Commercial churn is the transfer of customers from one carrier or carriage service provider to another.)</w:t>
      </w:r>
      <w:r w:rsidRPr="0049324A">
        <w:rPr>
          <w:rFonts w:ascii="Vodafone Rg" w:hAnsi="Vodafone Rg"/>
          <w:sz w:val="20"/>
          <w:szCs w:val="20"/>
        </w:rPr>
        <w:t>”</w:t>
      </w:r>
    </w:p>
    <w:p w:rsidR="00896AE3" w:rsidRPr="0049324A" w:rsidRDefault="00896AE3" w:rsidP="00896AE3">
      <w:pPr>
        <w:autoSpaceDE w:val="0"/>
        <w:autoSpaceDN w:val="0"/>
        <w:spacing w:after="240"/>
        <w:ind w:left="567"/>
        <w:rPr>
          <w:rFonts w:ascii="Vodafone Rg" w:hAnsi="Vodafone Rg"/>
        </w:rPr>
      </w:pPr>
      <w:r w:rsidRPr="0049324A">
        <w:rPr>
          <w:rFonts w:ascii="Vodafone Rg" w:hAnsi="Vodafone Rg"/>
        </w:rPr>
        <w:t>The Productivity Commission also noted in its 20</w:t>
      </w:r>
      <w:r w:rsidR="005C5D71">
        <w:rPr>
          <w:rFonts w:ascii="Vodafone Rg" w:hAnsi="Vodafone Rg"/>
        </w:rPr>
        <w:t>01 inquiry report (at page 177) specifically in relation to the ‘effects test’ in Part XIB</w:t>
      </w:r>
    </w:p>
    <w:p w:rsidR="00896AE3" w:rsidRPr="0049324A" w:rsidRDefault="00896AE3" w:rsidP="00896AE3">
      <w:pPr>
        <w:autoSpaceDE w:val="0"/>
        <w:autoSpaceDN w:val="0"/>
        <w:spacing w:after="240"/>
        <w:ind w:left="1134"/>
        <w:rPr>
          <w:rFonts w:ascii="Vodafone Rg" w:hAnsi="Vodafone Rg"/>
          <w:sz w:val="20"/>
          <w:szCs w:val="20"/>
        </w:rPr>
      </w:pPr>
      <w:r w:rsidRPr="0049324A">
        <w:rPr>
          <w:rFonts w:ascii="Vodafone Rg" w:hAnsi="Vodafone Rg"/>
          <w:sz w:val="20"/>
          <w:szCs w:val="20"/>
        </w:rPr>
        <w:t xml:space="preserve">“The ACCC considered that the effects test in Part XIB had enabled action to be taken where the alleged anti-competitive conduct was in fact a failure to do a positive act. It considered that its action in the internet peering and commercial churn cases would not have been possible under [section 46 alone]” </w:t>
      </w:r>
    </w:p>
    <w:p w:rsidR="00126B6C" w:rsidRPr="0049324A" w:rsidRDefault="005C5D71" w:rsidP="00D87344">
      <w:pPr>
        <w:autoSpaceDE w:val="0"/>
        <w:autoSpaceDN w:val="0"/>
        <w:adjustRightInd w:val="0"/>
        <w:ind w:left="567"/>
        <w:rPr>
          <w:rFonts w:ascii="Vodafone Rg" w:hAnsi="Vodafone Rg" w:cs="Arial"/>
        </w:rPr>
      </w:pPr>
      <w:r>
        <w:rPr>
          <w:rFonts w:ascii="Vodafone Rg" w:hAnsi="Vodafone Rg" w:cs="Arial"/>
        </w:rPr>
        <w:t xml:space="preserve">Since 2001, the effectiveness of the ‘effects test’ in Part XIB has been repeatedly recognised.  </w:t>
      </w:r>
      <w:r w:rsidR="00126B6C" w:rsidRPr="0049324A">
        <w:rPr>
          <w:rFonts w:ascii="Vodafone Rg" w:hAnsi="Vodafone Rg" w:cs="Arial"/>
        </w:rPr>
        <w:t>Selvadurai</w:t>
      </w:r>
      <w:r>
        <w:rPr>
          <w:rFonts w:ascii="Vodafone Rg" w:hAnsi="Vodafone Rg" w:cs="Arial"/>
        </w:rPr>
        <w:t xml:space="preserve">, for example, wrote in 2014 </w:t>
      </w:r>
      <w:r w:rsidR="00126B6C" w:rsidRPr="0049324A">
        <w:rPr>
          <w:rFonts w:ascii="Vodafone Rg" w:hAnsi="Vodafone Rg" w:cs="Arial"/>
        </w:rPr>
        <w:t>that “</w:t>
      </w:r>
      <w:r w:rsidR="00126B6C" w:rsidRPr="0049324A">
        <w:rPr>
          <w:rFonts w:ascii="Vodafone Rg" w:hAnsi="Vodafone Rg" w:cs="Arial"/>
          <w:i/>
        </w:rPr>
        <w:t>i</w:t>
      </w:r>
      <w:r w:rsidR="00126B6C" w:rsidRPr="0049324A">
        <w:rPr>
          <w:rFonts w:ascii="Vodafone Rg" w:hAnsi="Vodafone Rg" w:cs="Arial"/>
          <w:i/>
          <w:color w:val="000000"/>
          <w:lang w:val="en"/>
        </w:rPr>
        <w:t xml:space="preserve">t has been suggested that Pt XIB provides a more effective mechanism than Pt IV for addressing anti-competitive conduct because it incorporates an </w:t>
      </w:r>
      <w:r w:rsidR="00126B6C" w:rsidRPr="0049324A">
        <w:rPr>
          <w:rStyle w:val="nhit4"/>
          <w:rFonts w:ascii="Vodafone Rg" w:hAnsi="Vodafone Rg" w:cs="Arial"/>
          <w:i/>
          <w:color w:val="000000"/>
          <w:lang w:val="en"/>
        </w:rPr>
        <w:t>effects</w:t>
      </w:r>
      <w:r w:rsidR="00126B6C" w:rsidRPr="0049324A">
        <w:rPr>
          <w:rFonts w:ascii="Vodafone Rg" w:hAnsi="Vodafone Rg" w:cs="Arial"/>
          <w:i/>
          <w:color w:val="000000"/>
          <w:lang w:val="en"/>
        </w:rPr>
        <w:t xml:space="preserve">-based </w:t>
      </w:r>
      <w:r w:rsidR="00126B6C" w:rsidRPr="0049324A">
        <w:rPr>
          <w:rStyle w:val="nhit4"/>
          <w:rFonts w:ascii="Vodafone Rg" w:hAnsi="Vodafone Rg" w:cs="Arial"/>
          <w:i/>
          <w:color w:val="000000"/>
          <w:lang w:val="en"/>
        </w:rPr>
        <w:t>test</w:t>
      </w:r>
      <w:r w:rsidR="00126B6C" w:rsidRPr="0049324A">
        <w:rPr>
          <w:rFonts w:ascii="Vodafone Rg" w:hAnsi="Vodafone Rg" w:cs="Arial"/>
          <w:i/>
          <w:color w:val="000000"/>
          <w:lang w:val="en"/>
        </w:rPr>
        <w:t xml:space="preserve"> as opposed to a purpose-based </w:t>
      </w:r>
      <w:r w:rsidR="00126B6C" w:rsidRPr="0049324A">
        <w:rPr>
          <w:rStyle w:val="nhit4"/>
          <w:rFonts w:ascii="Vodafone Rg" w:hAnsi="Vodafone Rg" w:cs="Arial"/>
          <w:i/>
          <w:color w:val="000000"/>
          <w:lang w:val="en"/>
        </w:rPr>
        <w:t>test</w:t>
      </w:r>
      <w:r w:rsidR="00126B6C" w:rsidRPr="0049324A">
        <w:rPr>
          <w:rStyle w:val="nhit4"/>
          <w:rFonts w:ascii="Vodafone Rg" w:hAnsi="Vodafone Rg" w:cs="Arial"/>
          <w:lang w:val="en"/>
        </w:rPr>
        <w:t>.</w:t>
      </w:r>
      <w:r w:rsidR="00126B6C" w:rsidRPr="0049324A">
        <w:rPr>
          <w:rFonts w:ascii="Vodafone Rg" w:hAnsi="Vodafone Rg" w:cs="Arial"/>
          <w:lang w:val="en"/>
        </w:rPr>
        <w:t>”</w:t>
      </w:r>
      <w:r w:rsidR="00126B6C" w:rsidRPr="0049324A">
        <w:rPr>
          <w:rStyle w:val="FootnoteReference"/>
          <w:rFonts w:ascii="Vodafone Rg" w:hAnsi="Vodafone Rg" w:cs="Arial"/>
          <w:lang w:val="en"/>
        </w:rPr>
        <w:footnoteReference w:id="5"/>
      </w:r>
      <w:r w:rsidR="00126B6C" w:rsidRPr="0049324A">
        <w:rPr>
          <w:rFonts w:ascii="Vodafone Rg" w:hAnsi="Vodafone Rg" w:cs="Arial"/>
          <w:lang w:val="en"/>
        </w:rPr>
        <w:t xml:space="preserve"> </w:t>
      </w:r>
      <w:r w:rsidR="00126B6C" w:rsidRPr="0049324A">
        <w:rPr>
          <w:rFonts w:ascii="Vodafone Rg" w:hAnsi="Vodafone Rg" w:cs="Arial"/>
        </w:rPr>
        <w:t xml:space="preserve"> </w:t>
      </w:r>
    </w:p>
    <w:p w:rsidR="0049324A" w:rsidRPr="0049324A" w:rsidRDefault="0049324A" w:rsidP="0049324A">
      <w:pPr>
        <w:autoSpaceDE w:val="0"/>
        <w:autoSpaceDN w:val="0"/>
        <w:adjustRightInd w:val="0"/>
        <w:ind w:left="567"/>
        <w:rPr>
          <w:rFonts w:ascii="Vodafone Rg" w:hAnsi="Vodafone Rg" w:cs="Arial"/>
        </w:rPr>
      </w:pPr>
      <w:r w:rsidRPr="0049324A">
        <w:rPr>
          <w:rFonts w:ascii="Vodafone Rg" w:hAnsi="Vodafone Rg" w:cs="Arial"/>
        </w:rPr>
        <w:t>More recently, the ACCC in proposing to the Harper Panel an</w:t>
      </w:r>
      <w:r w:rsidRPr="0049324A">
        <w:rPr>
          <w:rFonts w:ascii="Vodafone Rg" w:hAnsi="Vodafone Rg" w:cs="Arial"/>
          <w:i/>
        </w:rPr>
        <w:t xml:space="preserve"> </w:t>
      </w:r>
      <w:r w:rsidRPr="0049324A">
        <w:rPr>
          <w:rFonts w:ascii="Vodafone Rg" w:hAnsi="Vodafone Rg" w:cs="Arial"/>
        </w:rPr>
        <w:t>‘effects test’ amendment to s 46 modelled on the telecommunications regime in section 151AJ stated:</w:t>
      </w:r>
    </w:p>
    <w:p w:rsidR="0049324A" w:rsidRPr="0049324A" w:rsidRDefault="0049324A" w:rsidP="0049324A">
      <w:pPr>
        <w:autoSpaceDE w:val="0"/>
        <w:autoSpaceDN w:val="0"/>
        <w:adjustRightInd w:val="0"/>
        <w:ind w:left="1134"/>
        <w:rPr>
          <w:rFonts w:ascii="Vodafone Rg" w:hAnsi="Vodafone Rg" w:cs="Arial"/>
          <w:sz w:val="20"/>
          <w:szCs w:val="20"/>
        </w:rPr>
      </w:pPr>
      <w:r w:rsidRPr="0049324A">
        <w:rPr>
          <w:rFonts w:ascii="Vodafone Rg" w:hAnsi="Vodafone Rg" w:cs="Arial"/>
          <w:sz w:val="20"/>
          <w:szCs w:val="20"/>
        </w:rPr>
        <w:t>“The concerns articulated by the Dawson Report that such a test would discourage legitimate competitive practices and therefore have a ‘chilling’ effect upon efficient, pro-competitive conduct are unfounded and have not been demonstrated in the telecommunications sector.”</w:t>
      </w:r>
      <w:r w:rsidRPr="0049324A">
        <w:rPr>
          <w:rStyle w:val="FootnoteReference"/>
          <w:rFonts w:ascii="Vodafone Rg" w:hAnsi="Vodafone Rg" w:cs="Arial"/>
          <w:sz w:val="20"/>
          <w:szCs w:val="20"/>
        </w:rPr>
        <w:footnoteReference w:id="6"/>
      </w:r>
    </w:p>
    <w:p w:rsidR="00126B6C" w:rsidRPr="0049324A" w:rsidRDefault="0049324A" w:rsidP="00D87344">
      <w:pPr>
        <w:autoSpaceDE w:val="0"/>
        <w:autoSpaceDN w:val="0"/>
        <w:spacing w:after="240"/>
        <w:ind w:left="567"/>
        <w:rPr>
          <w:rFonts w:ascii="Vodafone Rg" w:hAnsi="Vodafone Rg"/>
        </w:rPr>
      </w:pPr>
      <w:r w:rsidRPr="0049324A">
        <w:rPr>
          <w:rFonts w:ascii="Vodafone Rg" w:hAnsi="Vodafone Rg"/>
        </w:rPr>
        <w:t>Indeed, w</w:t>
      </w:r>
      <w:r w:rsidR="00D87344" w:rsidRPr="0049324A">
        <w:rPr>
          <w:rFonts w:ascii="Vodafone Rg" w:hAnsi="Vodafone Rg"/>
        </w:rPr>
        <w:t xml:space="preserve">e note the </w:t>
      </w:r>
      <w:r w:rsidRPr="0049324A">
        <w:rPr>
          <w:rFonts w:ascii="Vodafone Rg" w:hAnsi="Vodafone Rg"/>
        </w:rPr>
        <w:t xml:space="preserve">ACCC has made </w:t>
      </w:r>
      <w:r w:rsidR="00D87344" w:rsidRPr="0049324A">
        <w:rPr>
          <w:rFonts w:ascii="Vodafone Rg" w:hAnsi="Vodafone Rg"/>
        </w:rPr>
        <w:t>extensive submissions in various contexts in support of the effects test</w:t>
      </w:r>
      <w:r w:rsidRPr="0049324A">
        <w:rPr>
          <w:rFonts w:ascii="Vodafone Rg" w:hAnsi="Vodafone Rg"/>
        </w:rPr>
        <w:t xml:space="preserve"> and pointing to the be</w:t>
      </w:r>
      <w:r w:rsidR="009D0ECA">
        <w:rPr>
          <w:rFonts w:ascii="Vodafone Rg" w:hAnsi="Vodafone Rg"/>
        </w:rPr>
        <w:t>ne</w:t>
      </w:r>
      <w:r w:rsidRPr="0049324A">
        <w:rPr>
          <w:rFonts w:ascii="Vodafone Rg" w:hAnsi="Vodafone Rg"/>
        </w:rPr>
        <w:t>fits of the effects test in the telecommunications sector</w:t>
      </w:r>
      <w:r w:rsidR="00D87344" w:rsidRPr="0049324A">
        <w:rPr>
          <w:rFonts w:ascii="Vodafone Rg" w:hAnsi="Vodafone Rg"/>
        </w:rPr>
        <w:t xml:space="preserve">.  </w:t>
      </w:r>
      <w:r w:rsidR="00126B6C" w:rsidRPr="0049324A">
        <w:rPr>
          <w:rFonts w:ascii="Vodafone Rg" w:hAnsi="Vodafone Rg" w:cs="Arial"/>
        </w:rPr>
        <w:t>The ACCC’s submission to the Harper Review</w:t>
      </w:r>
      <w:r w:rsidR="00D87344" w:rsidRPr="0049324A">
        <w:rPr>
          <w:rFonts w:ascii="Vodafone Rg" w:hAnsi="Vodafone Rg" w:cs="Arial"/>
        </w:rPr>
        <w:t>, for example,</w:t>
      </w:r>
      <w:r w:rsidR="00126B6C" w:rsidRPr="0049324A">
        <w:rPr>
          <w:rFonts w:ascii="Vodafone Rg" w:hAnsi="Vodafone Rg" w:cs="Arial"/>
        </w:rPr>
        <w:t xml:space="preserve"> recognises the utility of the approach in s 151AJ</w:t>
      </w:r>
      <w:r w:rsidR="00D87344" w:rsidRPr="0049324A">
        <w:rPr>
          <w:rFonts w:ascii="Vodafone Rg" w:hAnsi="Vodafone Rg" w:cs="Arial"/>
        </w:rPr>
        <w:t>(2) as follows:</w:t>
      </w:r>
    </w:p>
    <w:p w:rsidR="00126B6C" w:rsidRPr="0049324A" w:rsidRDefault="00D87344" w:rsidP="00D87344">
      <w:pPr>
        <w:autoSpaceDE w:val="0"/>
        <w:autoSpaceDN w:val="0"/>
        <w:adjustRightInd w:val="0"/>
        <w:ind w:left="1134"/>
        <w:rPr>
          <w:rFonts w:ascii="Vodafone Rg" w:hAnsi="Vodafone Rg" w:cs="Arial"/>
          <w:i/>
          <w:color w:val="000000"/>
          <w:sz w:val="20"/>
          <w:szCs w:val="20"/>
        </w:rPr>
      </w:pPr>
      <w:r w:rsidRPr="0049324A">
        <w:rPr>
          <w:rFonts w:ascii="Vodafone Rg" w:hAnsi="Vodafone Rg" w:cs="Arial"/>
          <w:i/>
          <w:sz w:val="20"/>
          <w:szCs w:val="20"/>
        </w:rPr>
        <w:t>“</w:t>
      </w:r>
      <w:r w:rsidR="00126B6C" w:rsidRPr="0049324A">
        <w:rPr>
          <w:rFonts w:ascii="Vodafone Rg" w:hAnsi="Vodafone Rg" w:cs="Arial"/>
          <w:sz w:val="20"/>
          <w:szCs w:val="20"/>
        </w:rPr>
        <w:t>This latter provision was originally introduced in 1997, over 15 years ago, in recognition of the difficulties that may arise in obtaining evidence of a firm’s purpose and the concern that “reliance on a ‘purpose test' alone risks a focus on the perceived morality of conduct rather than its economic effect”.</w:t>
      </w:r>
      <w:r w:rsidR="00126B6C" w:rsidRPr="0049324A">
        <w:rPr>
          <w:rStyle w:val="FootnoteReference"/>
          <w:rFonts w:ascii="Vodafone Rg" w:hAnsi="Vodafone Rg" w:cs="Arial"/>
          <w:i/>
          <w:sz w:val="20"/>
          <w:szCs w:val="20"/>
        </w:rPr>
        <w:footnoteReference w:id="7"/>
      </w:r>
      <w:r w:rsidR="00126B6C" w:rsidRPr="0049324A">
        <w:rPr>
          <w:rFonts w:ascii="Vodafone Rg" w:hAnsi="Vodafone Rg" w:cs="Arial"/>
          <w:i/>
          <w:sz w:val="20"/>
          <w:szCs w:val="20"/>
        </w:rPr>
        <w:t xml:space="preserve">  </w:t>
      </w:r>
    </w:p>
    <w:p w:rsidR="00126B6C" w:rsidRPr="0049324A" w:rsidRDefault="009D66F8" w:rsidP="009D66F8">
      <w:pPr>
        <w:autoSpaceDE w:val="0"/>
        <w:autoSpaceDN w:val="0"/>
        <w:adjustRightInd w:val="0"/>
        <w:ind w:left="567"/>
        <w:rPr>
          <w:rFonts w:ascii="Vodafone Rg" w:hAnsi="Vodafone Rg"/>
        </w:rPr>
      </w:pPr>
      <w:r w:rsidRPr="0049324A">
        <w:rPr>
          <w:rFonts w:ascii="Vodafone Rg" w:hAnsi="Vodafone Rg"/>
        </w:rPr>
        <w:t>Part XIC and the ‘effects test’ approach has been applied to address and effectively rectify alleged anti-competitive conduct by Telstra in 1998 (Internet access), 1998 (commercial churn), 2001 (broadband), 2004 (broadband), and 2006 (wholesale line rental), as</w:t>
      </w:r>
      <w:r w:rsidR="00DC259D" w:rsidRPr="0049324A">
        <w:rPr>
          <w:rFonts w:ascii="Vodafone Rg" w:hAnsi="Vodafone Rg"/>
        </w:rPr>
        <w:t xml:space="preserve"> set out in the following table.  In each case, the effects test meant that the ACCC focussed on the economic effect of the relevant conduct, not Telstra’s rationale, enabling the ACCC to act swiftly to achieve an effective resolution of the</w:t>
      </w:r>
      <w:r w:rsidR="00CA173E" w:rsidRPr="0049324A">
        <w:rPr>
          <w:rFonts w:ascii="Vodafone Rg" w:hAnsi="Vodafone Rg"/>
        </w:rPr>
        <w:t xml:space="preserve"> concern.</w:t>
      </w:r>
    </w:p>
    <w:tbl>
      <w:tblPr>
        <w:tblStyle w:val="TableGrid"/>
        <w:tblW w:w="0" w:type="auto"/>
        <w:tblInd w:w="567" w:type="dxa"/>
        <w:tblLook w:val="04A0" w:firstRow="1" w:lastRow="0" w:firstColumn="1" w:lastColumn="0" w:noHBand="0" w:noVBand="1"/>
      </w:tblPr>
      <w:tblGrid>
        <w:gridCol w:w="1809"/>
        <w:gridCol w:w="6866"/>
      </w:tblGrid>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b/>
                <w:sz w:val="20"/>
                <w:szCs w:val="20"/>
              </w:rPr>
            </w:pPr>
            <w:r w:rsidRPr="0049324A">
              <w:rPr>
                <w:rFonts w:ascii="Vodafone Rg" w:hAnsi="Vodafone Rg"/>
                <w:b/>
                <w:sz w:val="20"/>
                <w:szCs w:val="20"/>
              </w:rPr>
              <w:t>Year</w:t>
            </w:r>
          </w:p>
        </w:tc>
        <w:tc>
          <w:tcPr>
            <w:tcW w:w="6866" w:type="dxa"/>
          </w:tcPr>
          <w:p w:rsidR="009D66F8" w:rsidRPr="0049324A" w:rsidRDefault="009D66F8" w:rsidP="00DC259D">
            <w:pPr>
              <w:autoSpaceDE w:val="0"/>
              <w:autoSpaceDN w:val="0"/>
              <w:adjustRightInd w:val="0"/>
              <w:spacing w:before="120" w:after="120"/>
              <w:rPr>
                <w:rFonts w:ascii="Vodafone Rg" w:hAnsi="Vodafone Rg"/>
                <w:b/>
                <w:sz w:val="20"/>
                <w:szCs w:val="20"/>
              </w:rPr>
            </w:pPr>
            <w:r w:rsidRPr="0049324A">
              <w:rPr>
                <w:rFonts w:ascii="Vodafone Rg" w:hAnsi="Vodafone Rg"/>
                <w:b/>
                <w:sz w:val="20"/>
                <w:szCs w:val="20"/>
              </w:rPr>
              <w:t>Detail</w:t>
            </w:r>
          </w:p>
        </w:tc>
      </w:tr>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sz w:val="20"/>
                <w:szCs w:val="20"/>
              </w:rPr>
            </w:pPr>
            <w:r w:rsidRPr="0049324A">
              <w:rPr>
                <w:rFonts w:ascii="Vodafone Rg" w:hAnsi="Vodafone Rg"/>
                <w:sz w:val="20"/>
                <w:szCs w:val="20"/>
              </w:rPr>
              <w:t xml:space="preserve">1998 (Internet </w:t>
            </w:r>
            <w:r w:rsidR="00DF620F" w:rsidRPr="0049324A">
              <w:rPr>
                <w:rFonts w:ascii="Vodafone Rg" w:hAnsi="Vodafone Rg"/>
                <w:sz w:val="20"/>
                <w:szCs w:val="20"/>
              </w:rPr>
              <w:t>access</w:t>
            </w:r>
            <w:r w:rsidRPr="0049324A">
              <w:rPr>
                <w:rFonts w:ascii="Vodafone Rg" w:hAnsi="Vodafone Rg"/>
                <w:sz w:val="20"/>
                <w:szCs w:val="20"/>
              </w:rPr>
              <w:t>)</w:t>
            </w:r>
          </w:p>
        </w:tc>
        <w:tc>
          <w:tcPr>
            <w:tcW w:w="6866" w:type="dxa"/>
          </w:tcPr>
          <w:p w:rsidR="009D66F8" w:rsidRPr="0049324A" w:rsidRDefault="009D66F8" w:rsidP="00CA173E">
            <w:pPr>
              <w:autoSpaceDE w:val="0"/>
              <w:autoSpaceDN w:val="0"/>
              <w:adjustRightInd w:val="0"/>
              <w:spacing w:before="120" w:after="120"/>
              <w:rPr>
                <w:rFonts w:ascii="Vodafone Rg" w:hAnsi="Vodafone Rg"/>
                <w:sz w:val="20"/>
                <w:szCs w:val="20"/>
              </w:rPr>
            </w:pPr>
            <w:r w:rsidRPr="0049324A">
              <w:rPr>
                <w:rFonts w:ascii="Vodafone Rg" w:hAnsi="Vodafone Rg"/>
                <w:sz w:val="20"/>
                <w:szCs w:val="20"/>
              </w:rPr>
              <w:t xml:space="preserve">Telstra was alleged to have </w:t>
            </w:r>
            <w:r w:rsidR="00DC259D" w:rsidRPr="0049324A">
              <w:rPr>
                <w:rFonts w:ascii="Vodafone Rg" w:hAnsi="Vodafone Rg"/>
                <w:sz w:val="20"/>
                <w:szCs w:val="20"/>
              </w:rPr>
              <w:t>charged</w:t>
            </w:r>
            <w:r w:rsidRPr="0049324A">
              <w:rPr>
                <w:rFonts w:ascii="Vodafone Rg" w:hAnsi="Vodafone Rg"/>
                <w:sz w:val="20"/>
                <w:szCs w:val="20"/>
              </w:rPr>
              <w:t xml:space="preserve"> its Internet competitors for services by Telstra while at the same time refusing to pay for a similar service it received from those same Internet competitors.   </w:t>
            </w:r>
          </w:p>
        </w:tc>
      </w:tr>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sz w:val="20"/>
                <w:szCs w:val="20"/>
              </w:rPr>
            </w:pPr>
            <w:r w:rsidRPr="0049324A">
              <w:rPr>
                <w:rFonts w:ascii="Vodafone Rg" w:hAnsi="Vodafone Rg"/>
                <w:sz w:val="20"/>
                <w:szCs w:val="20"/>
              </w:rPr>
              <w:t>1988 (commercial churn)</w:t>
            </w:r>
          </w:p>
        </w:tc>
        <w:tc>
          <w:tcPr>
            <w:tcW w:w="6866" w:type="dxa"/>
          </w:tcPr>
          <w:p w:rsidR="009D66F8" w:rsidRPr="0049324A" w:rsidRDefault="00DC259D" w:rsidP="00CA173E">
            <w:pPr>
              <w:autoSpaceDE w:val="0"/>
              <w:autoSpaceDN w:val="0"/>
              <w:adjustRightInd w:val="0"/>
              <w:spacing w:before="120" w:after="120"/>
              <w:rPr>
                <w:rFonts w:ascii="Vodafone Rg" w:hAnsi="Vodafone Rg"/>
                <w:sz w:val="20"/>
                <w:szCs w:val="20"/>
              </w:rPr>
            </w:pPr>
            <w:r w:rsidRPr="0049324A">
              <w:rPr>
                <w:rFonts w:ascii="Vodafone Rg" w:hAnsi="Vodafone Rg" w:cs="Arial"/>
                <w:color w:val="000000"/>
                <w:sz w:val="20"/>
                <w:szCs w:val="20"/>
                <w:lang w:val="en"/>
              </w:rPr>
              <w:t xml:space="preserve">Telstra was alleged to have offered its </w:t>
            </w:r>
            <w:r w:rsidR="00DF620F" w:rsidRPr="0049324A">
              <w:rPr>
                <w:rFonts w:ascii="Vodafone Rg" w:hAnsi="Vodafone Rg" w:cs="Arial"/>
                <w:color w:val="000000"/>
                <w:sz w:val="20"/>
                <w:szCs w:val="20"/>
                <w:lang w:val="en"/>
              </w:rPr>
              <w:t>commercial</w:t>
            </w:r>
            <w:r w:rsidRPr="0049324A">
              <w:rPr>
                <w:rFonts w:ascii="Vodafone Rg" w:hAnsi="Vodafone Rg" w:cs="Arial"/>
                <w:color w:val="000000"/>
                <w:sz w:val="20"/>
                <w:szCs w:val="20"/>
                <w:lang w:val="en"/>
              </w:rPr>
              <w:t xml:space="preserve"> churn service to wholesale customers under conditions so unattractive that they could not effectively compete if they used the service.  </w:t>
            </w:r>
            <w:r w:rsidRPr="0049324A">
              <w:rPr>
                <w:rFonts w:ascii="Vodafone Rg" w:hAnsi="Vodafone Rg"/>
                <w:sz w:val="20"/>
                <w:szCs w:val="20"/>
              </w:rPr>
              <w:t xml:space="preserve">Complainants suggested, for example, that the inability to offer customers one bill is stifling the further development of long distance competition, particularly for those who want a single service provider.  </w:t>
            </w:r>
          </w:p>
        </w:tc>
      </w:tr>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sz w:val="20"/>
                <w:szCs w:val="20"/>
              </w:rPr>
            </w:pPr>
            <w:r w:rsidRPr="0049324A">
              <w:rPr>
                <w:rFonts w:ascii="Vodafone Rg" w:hAnsi="Vodafone Rg"/>
                <w:sz w:val="20"/>
                <w:szCs w:val="20"/>
              </w:rPr>
              <w:t>2001 (broadband)</w:t>
            </w:r>
          </w:p>
        </w:tc>
        <w:tc>
          <w:tcPr>
            <w:tcW w:w="6866" w:type="dxa"/>
          </w:tcPr>
          <w:p w:rsidR="009D66F8" w:rsidRPr="0049324A" w:rsidRDefault="00DC259D" w:rsidP="00CA173E">
            <w:pPr>
              <w:autoSpaceDE w:val="0"/>
              <w:autoSpaceDN w:val="0"/>
              <w:adjustRightInd w:val="0"/>
              <w:spacing w:before="120" w:after="120"/>
              <w:contextualSpacing/>
              <w:rPr>
                <w:rFonts w:ascii="Vodafone Rg" w:hAnsi="Vodafone Rg"/>
                <w:sz w:val="20"/>
                <w:szCs w:val="20"/>
              </w:rPr>
            </w:pPr>
            <w:r w:rsidRPr="0049324A">
              <w:rPr>
                <w:rFonts w:ascii="Vodafone Rg" w:hAnsi="Vodafone Rg" w:cs="Arial"/>
                <w:sz w:val="20"/>
                <w:szCs w:val="20"/>
              </w:rPr>
              <w:t xml:space="preserve">Telstra was alleged to supply its </w:t>
            </w:r>
            <w:r w:rsidRPr="0049324A">
              <w:rPr>
                <w:rFonts w:ascii="Vodafone Rg" w:hAnsi="Vodafone Rg" w:cs="Arial"/>
                <w:color w:val="000000"/>
                <w:sz w:val="20"/>
                <w:szCs w:val="20"/>
                <w:lang w:val="en"/>
              </w:rPr>
              <w:t xml:space="preserve">wholesale asymmetrical digital subscriber line (ADSL) broadband products known as Flexstream to its wholesale customers at prices set at a level whereby there was only a small positive margin or negative margin between those prices and the </w:t>
            </w:r>
            <w:r w:rsidR="00DF620F" w:rsidRPr="0049324A">
              <w:rPr>
                <w:rFonts w:ascii="Vodafone Rg" w:hAnsi="Vodafone Rg" w:cs="Arial"/>
                <w:color w:val="000000"/>
                <w:sz w:val="20"/>
                <w:szCs w:val="20"/>
                <w:lang w:val="en"/>
              </w:rPr>
              <w:t>corresponding</w:t>
            </w:r>
            <w:r w:rsidRPr="0049324A">
              <w:rPr>
                <w:rFonts w:ascii="Vodafone Rg" w:hAnsi="Vodafone Rg" w:cs="Arial"/>
                <w:color w:val="000000"/>
                <w:sz w:val="20"/>
                <w:szCs w:val="20"/>
                <w:lang w:val="en"/>
              </w:rPr>
              <w:t xml:space="preserve"> prices </w:t>
            </w:r>
            <w:r w:rsidR="00DF620F" w:rsidRPr="0049324A">
              <w:rPr>
                <w:rFonts w:ascii="Vodafone Rg" w:hAnsi="Vodafone Rg" w:cs="Arial"/>
                <w:color w:val="000000"/>
                <w:sz w:val="20"/>
                <w:szCs w:val="20"/>
                <w:lang w:val="en"/>
              </w:rPr>
              <w:t>at</w:t>
            </w:r>
            <w:r w:rsidRPr="0049324A">
              <w:rPr>
                <w:rFonts w:ascii="Vodafone Rg" w:hAnsi="Vodafone Rg" w:cs="Arial"/>
                <w:color w:val="000000"/>
                <w:sz w:val="20"/>
                <w:szCs w:val="20"/>
                <w:lang w:val="en"/>
              </w:rPr>
              <w:t xml:space="preserve"> which </w:t>
            </w:r>
            <w:r w:rsidR="00DF620F" w:rsidRPr="0049324A">
              <w:rPr>
                <w:rFonts w:ascii="Vodafone Rg" w:hAnsi="Vodafone Rg" w:cs="Arial"/>
                <w:color w:val="000000"/>
                <w:sz w:val="20"/>
                <w:szCs w:val="20"/>
                <w:lang w:val="en"/>
              </w:rPr>
              <w:t>Telstra</w:t>
            </w:r>
            <w:r w:rsidRPr="0049324A">
              <w:rPr>
                <w:rFonts w:ascii="Vodafone Rg" w:hAnsi="Vodafone Rg" w:cs="Arial"/>
                <w:color w:val="000000"/>
                <w:sz w:val="20"/>
                <w:szCs w:val="20"/>
                <w:lang w:val="en"/>
              </w:rPr>
              <w:t xml:space="preserve"> </w:t>
            </w:r>
            <w:r w:rsidR="00DF620F" w:rsidRPr="0049324A">
              <w:rPr>
                <w:rFonts w:ascii="Vodafone Rg" w:hAnsi="Vodafone Rg" w:cs="Arial"/>
                <w:color w:val="000000"/>
                <w:sz w:val="20"/>
                <w:szCs w:val="20"/>
                <w:lang w:val="en"/>
              </w:rPr>
              <w:t>supplied</w:t>
            </w:r>
            <w:r w:rsidRPr="0049324A">
              <w:rPr>
                <w:rFonts w:ascii="Vodafone Rg" w:hAnsi="Vodafone Rg" w:cs="Arial"/>
                <w:color w:val="000000"/>
                <w:sz w:val="20"/>
                <w:szCs w:val="20"/>
                <w:lang w:val="en"/>
              </w:rPr>
              <w:t xml:space="preserve"> ADSL services to its residential and small business retail </w:t>
            </w:r>
            <w:r w:rsidR="00DF620F" w:rsidRPr="0049324A">
              <w:rPr>
                <w:rFonts w:ascii="Vodafone Rg" w:hAnsi="Vodafone Rg" w:cs="Arial"/>
                <w:color w:val="000000"/>
                <w:sz w:val="20"/>
                <w:szCs w:val="20"/>
                <w:lang w:val="en"/>
              </w:rPr>
              <w:t>customers</w:t>
            </w:r>
            <w:r w:rsidRPr="0049324A">
              <w:rPr>
                <w:rFonts w:ascii="Vodafone Rg" w:hAnsi="Vodafone Rg" w:cs="Arial"/>
                <w:color w:val="000000"/>
                <w:sz w:val="20"/>
                <w:szCs w:val="20"/>
                <w:lang w:val="en"/>
              </w:rPr>
              <w:t xml:space="preserve">.  </w:t>
            </w:r>
          </w:p>
        </w:tc>
      </w:tr>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sz w:val="20"/>
                <w:szCs w:val="20"/>
              </w:rPr>
            </w:pPr>
            <w:r w:rsidRPr="0049324A">
              <w:rPr>
                <w:rFonts w:ascii="Vodafone Rg" w:hAnsi="Vodafone Rg"/>
                <w:sz w:val="20"/>
                <w:szCs w:val="20"/>
              </w:rPr>
              <w:t>2004 (broadband)</w:t>
            </w:r>
          </w:p>
        </w:tc>
        <w:tc>
          <w:tcPr>
            <w:tcW w:w="6866" w:type="dxa"/>
          </w:tcPr>
          <w:p w:rsidR="009D66F8" w:rsidRPr="0049324A" w:rsidRDefault="009D66F8" w:rsidP="00CA173E">
            <w:pPr>
              <w:autoSpaceDE w:val="0"/>
              <w:autoSpaceDN w:val="0"/>
              <w:adjustRightInd w:val="0"/>
              <w:spacing w:before="120" w:after="120"/>
              <w:rPr>
                <w:rFonts w:ascii="Vodafone Rg" w:hAnsi="Vodafone Rg" w:cs="Arial"/>
                <w:color w:val="000000"/>
                <w:sz w:val="20"/>
                <w:szCs w:val="20"/>
                <w:lang w:val="en"/>
              </w:rPr>
            </w:pPr>
            <w:r w:rsidRPr="0049324A">
              <w:rPr>
                <w:rFonts w:ascii="Vodafone Rg" w:hAnsi="Vodafone Rg" w:cs="Arial"/>
                <w:color w:val="000000"/>
                <w:sz w:val="20"/>
                <w:szCs w:val="20"/>
                <w:lang w:val="en"/>
              </w:rPr>
              <w:t>Telstra</w:t>
            </w:r>
            <w:r w:rsidR="00DC259D" w:rsidRPr="0049324A">
              <w:rPr>
                <w:rFonts w:ascii="Vodafone Rg" w:hAnsi="Vodafone Rg" w:cs="Arial"/>
                <w:color w:val="000000"/>
                <w:sz w:val="20"/>
                <w:szCs w:val="20"/>
                <w:lang w:val="en"/>
              </w:rPr>
              <w:t xml:space="preserve"> raised the price of its </w:t>
            </w:r>
            <w:r w:rsidRPr="0049324A">
              <w:rPr>
                <w:rFonts w:ascii="Vodafone Rg" w:hAnsi="Vodafone Rg" w:cs="Arial"/>
                <w:color w:val="000000"/>
                <w:sz w:val="20"/>
                <w:szCs w:val="20"/>
                <w:lang w:val="en"/>
              </w:rPr>
              <w:t xml:space="preserve">wholesale </w:t>
            </w:r>
            <w:r w:rsidR="00DC259D" w:rsidRPr="0049324A">
              <w:rPr>
                <w:rFonts w:ascii="Vodafone Rg" w:hAnsi="Vodafone Rg" w:cs="Arial"/>
                <w:color w:val="000000"/>
                <w:sz w:val="20"/>
                <w:szCs w:val="20"/>
                <w:lang w:val="en"/>
              </w:rPr>
              <w:t xml:space="preserve">ADSL </w:t>
            </w:r>
            <w:r w:rsidRPr="0049324A">
              <w:rPr>
                <w:rFonts w:ascii="Vodafone Rg" w:hAnsi="Vodafone Rg" w:cs="Arial"/>
                <w:color w:val="000000"/>
                <w:sz w:val="20"/>
                <w:szCs w:val="20"/>
                <w:lang w:val="en"/>
              </w:rPr>
              <w:t>broadband products</w:t>
            </w:r>
            <w:r w:rsidR="00DC259D" w:rsidRPr="0049324A">
              <w:rPr>
                <w:rFonts w:ascii="Vodafone Rg" w:hAnsi="Vodafone Rg" w:cs="Arial"/>
                <w:color w:val="000000"/>
                <w:sz w:val="20"/>
                <w:szCs w:val="20"/>
                <w:lang w:val="en"/>
              </w:rPr>
              <w:t xml:space="preserve">, resulting in an alleged vertical price squeeze of its wholesale customers relative to Telstra’s BigPond ADSL retail offerings.  </w:t>
            </w:r>
          </w:p>
        </w:tc>
      </w:tr>
      <w:tr w:rsidR="009D66F8" w:rsidRPr="0049324A" w:rsidTr="00DC259D">
        <w:tc>
          <w:tcPr>
            <w:tcW w:w="1809" w:type="dxa"/>
          </w:tcPr>
          <w:p w:rsidR="009D66F8" w:rsidRPr="0049324A" w:rsidRDefault="009D66F8" w:rsidP="00DC259D">
            <w:pPr>
              <w:autoSpaceDE w:val="0"/>
              <w:autoSpaceDN w:val="0"/>
              <w:adjustRightInd w:val="0"/>
              <w:spacing w:before="120" w:after="120"/>
              <w:rPr>
                <w:rFonts w:ascii="Vodafone Rg" w:hAnsi="Vodafone Rg"/>
                <w:sz w:val="20"/>
                <w:szCs w:val="20"/>
              </w:rPr>
            </w:pPr>
            <w:r w:rsidRPr="0049324A">
              <w:rPr>
                <w:rFonts w:ascii="Vodafone Rg" w:hAnsi="Vodafone Rg"/>
                <w:sz w:val="20"/>
                <w:szCs w:val="20"/>
              </w:rPr>
              <w:t>2006 (wholesale line rental)</w:t>
            </w:r>
          </w:p>
        </w:tc>
        <w:tc>
          <w:tcPr>
            <w:tcW w:w="6866" w:type="dxa"/>
          </w:tcPr>
          <w:p w:rsidR="009D66F8" w:rsidRPr="0049324A" w:rsidRDefault="009D66F8" w:rsidP="00CA173E">
            <w:pPr>
              <w:autoSpaceDE w:val="0"/>
              <w:autoSpaceDN w:val="0"/>
              <w:adjustRightInd w:val="0"/>
              <w:spacing w:before="120" w:after="120"/>
              <w:rPr>
                <w:rFonts w:ascii="Vodafone Rg" w:hAnsi="Vodafone Rg"/>
                <w:sz w:val="20"/>
                <w:szCs w:val="20"/>
              </w:rPr>
            </w:pPr>
            <w:r w:rsidRPr="0049324A">
              <w:rPr>
                <w:rFonts w:ascii="Vodafone Rg" w:hAnsi="Vodafone Rg"/>
                <w:sz w:val="20"/>
                <w:szCs w:val="20"/>
              </w:rPr>
              <w:t xml:space="preserve">Telstra raised the price of its Home Access product, which is an input used by Telstra's wholesale customers to provide line rental and local call services to consumers. The price increase resulted in Telstra's retail prices for the line rental component for the majority of its fixed voice products being below Telstra's wholesale price for line rental.  </w:t>
            </w:r>
          </w:p>
        </w:tc>
      </w:tr>
    </w:tbl>
    <w:p w:rsidR="009D66F8" w:rsidRPr="0049324A" w:rsidRDefault="009D66F8" w:rsidP="009D66F8">
      <w:pPr>
        <w:autoSpaceDE w:val="0"/>
        <w:autoSpaceDN w:val="0"/>
        <w:adjustRightInd w:val="0"/>
        <w:ind w:left="567"/>
        <w:rPr>
          <w:rFonts w:ascii="Vodafone Rg" w:hAnsi="Vodafone Rg"/>
        </w:rPr>
      </w:pPr>
    </w:p>
    <w:p w:rsidR="009D0ECA" w:rsidRDefault="009D0ECA" w:rsidP="0049324A">
      <w:pPr>
        <w:autoSpaceDE w:val="0"/>
        <w:autoSpaceDN w:val="0"/>
        <w:adjustRightInd w:val="0"/>
        <w:ind w:left="567"/>
        <w:rPr>
          <w:rFonts w:ascii="Vodafone Rg" w:hAnsi="Vodafone Rg"/>
        </w:rPr>
      </w:pPr>
      <w:r>
        <w:rPr>
          <w:rFonts w:ascii="Vodafone Rg" w:hAnsi="Vodafone Rg"/>
        </w:rPr>
        <w:t>These issues were significant (not numberous) and the resolution materially improved the competitive landscape.</w:t>
      </w:r>
    </w:p>
    <w:p w:rsidR="0049324A" w:rsidRDefault="00CA173E" w:rsidP="00AC6A53">
      <w:pPr>
        <w:autoSpaceDE w:val="0"/>
        <w:autoSpaceDN w:val="0"/>
        <w:adjustRightInd w:val="0"/>
        <w:ind w:left="567"/>
        <w:rPr>
          <w:rFonts w:ascii="Vodafone Rg" w:hAnsi="Vodafone Rg"/>
        </w:rPr>
      </w:pPr>
      <w:r w:rsidRPr="0049324A">
        <w:rPr>
          <w:rFonts w:ascii="Vodafone Rg" w:hAnsi="Vodafone Rg"/>
        </w:rPr>
        <w:t xml:space="preserve">VHA considers that in the absence of an effects test, it would have </w:t>
      </w:r>
      <w:r w:rsidR="00DF620F" w:rsidRPr="0049324A">
        <w:rPr>
          <w:rFonts w:ascii="Vodafone Rg" w:hAnsi="Vodafone Rg"/>
        </w:rPr>
        <w:t>been</w:t>
      </w:r>
      <w:r w:rsidRPr="0049324A">
        <w:rPr>
          <w:rFonts w:ascii="Vodafone Rg" w:hAnsi="Vodafone Rg"/>
        </w:rPr>
        <w:t xml:space="preserve"> </w:t>
      </w:r>
      <w:r w:rsidR="00DF620F" w:rsidRPr="0049324A">
        <w:rPr>
          <w:rFonts w:ascii="Vodafone Rg" w:hAnsi="Vodafone Rg"/>
        </w:rPr>
        <w:t>substantially</w:t>
      </w:r>
      <w:r w:rsidRPr="0049324A">
        <w:rPr>
          <w:rFonts w:ascii="Vodafone Rg" w:hAnsi="Vodafone Rg"/>
        </w:rPr>
        <w:t xml:space="preserve"> more difficult for the ACCC to have commenced action against Telstra.  In each case, the ACCC would have been faced with Telstra pointing to ostensibly legitimate purposes to justify Te</w:t>
      </w:r>
      <w:r w:rsidR="00DB306A">
        <w:rPr>
          <w:rFonts w:ascii="Vodafone Rg" w:hAnsi="Vodafone Rg"/>
        </w:rPr>
        <w:t xml:space="preserve">lstra’s conduct.  The ACCC would have been in the difficult position of gathering sufficient evidence to establish another </w:t>
      </w:r>
      <w:r w:rsidR="003231CB">
        <w:rPr>
          <w:rFonts w:ascii="Vodafone Rg" w:hAnsi="Vodafone Rg"/>
        </w:rPr>
        <w:t>illegitimate</w:t>
      </w:r>
      <w:r w:rsidR="00DB306A">
        <w:rPr>
          <w:rFonts w:ascii="Vodafone Rg" w:hAnsi="Vodafone Rg"/>
        </w:rPr>
        <w:t xml:space="preserve"> purpose.</w:t>
      </w:r>
      <w:r w:rsidRPr="0049324A">
        <w:rPr>
          <w:rFonts w:ascii="Vodafone Rg" w:hAnsi="Vodafone Rg"/>
        </w:rPr>
        <w:t xml:space="preserve">  In each case, it is highly unlikely that there would have been documentary evidence to support any purpose of harming competitors, hence </w:t>
      </w:r>
      <w:r w:rsidR="00DF620F">
        <w:rPr>
          <w:rFonts w:ascii="Vodafone Rg" w:hAnsi="Vodafone Rg"/>
        </w:rPr>
        <w:t>ther</w:t>
      </w:r>
      <w:r w:rsidR="00DF620F" w:rsidRPr="0049324A">
        <w:rPr>
          <w:rFonts w:ascii="Vodafone Rg" w:hAnsi="Vodafone Rg"/>
        </w:rPr>
        <w:t>e</w:t>
      </w:r>
      <w:r w:rsidRPr="0049324A">
        <w:rPr>
          <w:rFonts w:ascii="Vodafone Rg" w:hAnsi="Vodafone Rg"/>
        </w:rPr>
        <w:t xml:space="preserve"> would have been no practical ability to prevent Telstra’s conduct.</w:t>
      </w:r>
      <w:r w:rsidR="00DB306A">
        <w:rPr>
          <w:rFonts w:ascii="Vodafone Rg" w:hAnsi="Vodafone Rg"/>
        </w:rPr>
        <w:t xml:space="preserve">   </w:t>
      </w:r>
      <w:r w:rsidR="003231CB">
        <w:rPr>
          <w:rFonts w:ascii="Vodafone Rg" w:hAnsi="Vodafone Rg"/>
        </w:rPr>
        <w:t>In</w:t>
      </w:r>
      <w:r w:rsidR="00DB306A">
        <w:rPr>
          <w:rFonts w:ascii="Vodafone Rg" w:hAnsi="Vodafone Rg"/>
        </w:rPr>
        <w:t xml:space="preserve"> each case </w:t>
      </w:r>
      <w:r w:rsidR="003231CB">
        <w:rPr>
          <w:rFonts w:ascii="Vodafone Rg" w:hAnsi="Vodafone Rg"/>
        </w:rPr>
        <w:t>identified</w:t>
      </w:r>
      <w:r w:rsidR="00DB306A">
        <w:rPr>
          <w:rFonts w:ascii="Vodafone Rg" w:hAnsi="Vodafone Rg"/>
        </w:rPr>
        <w:t xml:space="preserve"> above, the ACCC did not proceed on the basis of the purpose test, but rather favoured effect </w:t>
      </w:r>
    </w:p>
    <w:p w:rsidR="001C20B4" w:rsidRPr="0049324A" w:rsidRDefault="001C20B4" w:rsidP="001C20B4">
      <w:pPr>
        <w:autoSpaceDE w:val="0"/>
        <w:autoSpaceDN w:val="0"/>
        <w:spacing w:after="240"/>
        <w:rPr>
          <w:rFonts w:ascii="Vodafone Rg" w:hAnsi="Vodafone Rg" w:cs="Arial"/>
          <w:b/>
        </w:rPr>
      </w:pPr>
      <w:r w:rsidRPr="0049324A">
        <w:rPr>
          <w:rFonts w:ascii="Vodafone Rg" w:hAnsi="Vodafone Rg" w:cs="Arial"/>
          <w:b/>
        </w:rPr>
        <w:t>3.</w:t>
      </w:r>
      <w:r w:rsidRPr="0049324A">
        <w:rPr>
          <w:rFonts w:ascii="Vodafone Rg" w:hAnsi="Vodafone Rg" w:cs="Arial"/>
          <w:b/>
        </w:rPr>
        <w:tab/>
        <w:t>Of the various options presented, VHA prefers ‘Option E’</w:t>
      </w:r>
    </w:p>
    <w:p w:rsidR="00DB306A" w:rsidRDefault="001C20B4" w:rsidP="001C20B4">
      <w:pPr>
        <w:pStyle w:val="ListParagraph"/>
        <w:autoSpaceDE w:val="0"/>
        <w:autoSpaceDN w:val="0"/>
        <w:spacing w:after="240" w:line="276" w:lineRule="auto"/>
        <w:ind w:left="567"/>
        <w:rPr>
          <w:rFonts w:ascii="Vodafone Rg" w:hAnsi="Vodafone Rg"/>
        </w:rPr>
      </w:pPr>
      <w:r w:rsidRPr="0049324A">
        <w:rPr>
          <w:rFonts w:ascii="Vodafone Rg" w:hAnsi="Vodafone Rg"/>
        </w:rPr>
        <w:t>VHA is supportive of</w:t>
      </w:r>
      <w:r w:rsidR="00DB306A">
        <w:rPr>
          <w:rFonts w:ascii="Vodafone Rg" w:hAnsi="Vodafone Rg"/>
        </w:rPr>
        <w:t xml:space="preserve"> those</w:t>
      </w:r>
      <w:r w:rsidRPr="0049324A">
        <w:rPr>
          <w:rFonts w:ascii="Vodafone Rg" w:hAnsi="Vodafone Rg"/>
        </w:rPr>
        <w:t xml:space="preserve"> options</w:t>
      </w:r>
      <w:r w:rsidR="00DB306A">
        <w:rPr>
          <w:rFonts w:ascii="Vodafone Rg" w:hAnsi="Vodafone Rg"/>
        </w:rPr>
        <w:t xml:space="preserve"> proposed by the Australian Government</w:t>
      </w:r>
      <w:r w:rsidRPr="0049324A">
        <w:rPr>
          <w:rFonts w:ascii="Vodafone Rg" w:hAnsi="Vodafone Rg"/>
        </w:rPr>
        <w:t xml:space="preserve"> for reform of s</w:t>
      </w:r>
      <w:r w:rsidR="00DB306A">
        <w:rPr>
          <w:rFonts w:ascii="Vodafone Rg" w:hAnsi="Vodafone Rg"/>
        </w:rPr>
        <w:t xml:space="preserve"> </w:t>
      </w:r>
      <w:r w:rsidRPr="0049324A">
        <w:rPr>
          <w:rFonts w:ascii="Vodafone Rg" w:hAnsi="Vodafone Rg"/>
        </w:rPr>
        <w:t xml:space="preserve">46 that involve the adoption of an ‘effects test’ into s 46.  Accordingly, VHA is supportive of the Harper wording. However, VHA is concerned that political concerns </w:t>
      </w:r>
      <w:r w:rsidR="00DF620F" w:rsidRPr="0049324A">
        <w:rPr>
          <w:rFonts w:ascii="Vodafone Rg" w:hAnsi="Vodafone Rg"/>
        </w:rPr>
        <w:t>regarding</w:t>
      </w:r>
      <w:r w:rsidRPr="0049324A">
        <w:rPr>
          <w:rFonts w:ascii="Vodafone Rg" w:hAnsi="Vodafone Rg"/>
        </w:rPr>
        <w:t xml:space="preserve"> the Harper Review wording may result in no reform to s 46 at all.   </w:t>
      </w:r>
      <w:r w:rsidR="00DB306A">
        <w:rPr>
          <w:rFonts w:ascii="Vodafone Rg" w:hAnsi="Vodafone Rg"/>
        </w:rPr>
        <w:t xml:space="preserve">The wording proposed by the Harper Panel does involve significant reform and is untested, particularly as the wording would be unique in the world.  </w:t>
      </w:r>
    </w:p>
    <w:p w:rsidR="00DB306A" w:rsidRPr="0049324A" w:rsidRDefault="00DB306A" w:rsidP="00DB306A">
      <w:pPr>
        <w:pStyle w:val="ListParagraph"/>
        <w:autoSpaceDE w:val="0"/>
        <w:autoSpaceDN w:val="0"/>
        <w:spacing w:after="360" w:line="276" w:lineRule="auto"/>
        <w:ind w:left="567"/>
        <w:rPr>
          <w:rFonts w:ascii="Vodafone Rg" w:hAnsi="Vodafone Rg"/>
        </w:rPr>
      </w:pPr>
      <w:r w:rsidRPr="0049324A">
        <w:rPr>
          <w:rFonts w:ascii="Vodafone Rg" w:hAnsi="Vodafone Rg"/>
        </w:rPr>
        <w:t>Both practically and from a policy perspective, it is crucial that changes to s 46 allow for clarity in interpretation and consistent, predictable outcomes.   Reform should minimise the risk of confusion and uncertainty.  VHA recognises that those opposing reform are concerned about harm to consumer welfare resulting from increased uncertainty and that legislative uncertainty might also ‘chill’ competitive behaviour</w:t>
      </w:r>
    </w:p>
    <w:p w:rsidR="001C20B4" w:rsidRPr="0049324A" w:rsidRDefault="001C20B4" w:rsidP="001C20B4">
      <w:pPr>
        <w:pStyle w:val="ListParagraph"/>
        <w:autoSpaceDE w:val="0"/>
        <w:autoSpaceDN w:val="0"/>
        <w:spacing w:after="240" w:line="276" w:lineRule="auto"/>
        <w:ind w:left="567"/>
        <w:rPr>
          <w:rFonts w:ascii="Vodafone Rg" w:hAnsi="Vodafone Rg"/>
        </w:rPr>
      </w:pPr>
      <w:r w:rsidRPr="0049324A">
        <w:rPr>
          <w:rFonts w:ascii="Vodafone Rg" w:hAnsi="Vodafone Rg"/>
        </w:rPr>
        <w:t xml:space="preserve">Accordingly, VHA urges that a political compromise is necessary. </w:t>
      </w:r>
      <w:r w:rsidR="00DB306A">
        <w:rPr>
          <w:rFonts w:ascii="Vodafone Rg" w:hAnsi="Vodafone Rg"/>
        </w:rPr>
        <w:t xml:space="preserve"> A political compromise could easily occur that introduced an ‘effects test’ without requiring substantial amendments to the remainder of s 46.</w:t>
      </w:r>
    </w:p>
    <w:p w:rsidR="001C20B4" w:rsidRPr="0049324A" w:rsidRDefault="001C20B4" w:rsidP="001C20B4">
      <w:pPr>
        <w:pStyle w:val="ListParagraph"/>
        <w:autoSpaceDE w:val="0"/>
        <w:autoSpaceDN w:val="0"/>
        <w:spacing w:after="240" w:line="276" w:lineRule="auto"/>
        <w:ind w:left="567"/>
        <w:rPr>
          <w:rFonts w:ascii="Vodafone Rg" w:hAnsi="Vodafone Rg" w:cs="Arial Narrow"/>
        </w:rPr>
      </w:pPr>
      <w:r w:rsidRPr="0049324A">
        <w:rPr>
          <w:rFonts w:ascii="Vodafone Rg" w:hAnsi="Vodafone Rg"/>
        </w:rPr>
        <w:t xml:space="preserve">VHA prefers Option E because it has the best articulation of an ‘effects test’ (which VHA considers is highly desirable), but involves </w:t>
      </w:r>
      <w:r w:rsidR="00DB306A">
        <w:rPr>
          <w:rFonts w:ascii="Vodafone Rg" w:hAnsi="Vodafone Rg"/>
        </w:rPr>
        <w:t>the fewest</w:t>
      </w:r>
      <w:r w:rsidRPr="0049324A">
        <w:rPr>
          <w:rFonts w:ascii="Vodafone Rg" w:hAnsi="Vodafone Rg"/>
        </w:rPr>
        <w:t xml:space="preserve"> changes to the remaining wording of s 46 so results in less uncertainty</w:t>
      </w:r>
      <w:r w:rsidRPr="0049324A">
        <w:rPr>
          <w:rFonts w:ascii="Vodafone Rg" w:hAnsi="Vodafone Rg" w:cs="Arial Narrow"/>
        </w:rPr>
        <w:t xml:space="preserve">. </w:t>
      </w:r>
    </w:p>
    <w:p w:rsidR="00DB306A" w:rsidRDefault="001C20B4" w:rsidP="001C20B4">
      <w:pPr>
        <w:pStyle w:val="ListParagraph"/>
        <w:autoSpaceDE w:val="0"/>
        <w:autoSpaceDN w:val="0"/>
        <w:spacing w:after="360" w:line="276" w:lineRule="auto"/>
        <w:ind w:left="567"/>
        <w:rPr>
          <w:rFonts w:ascii="Vodafone Rg" w:hAnsi="Vodafone Rg"/>
        </w:rPr>
      </w:pPr>
      <w:r w:rsidRPr="0049324A">
        <w:rPr>
          <w:rFonts w:ascii="Vodafone Rg" w:hAnsi="Vodafone Rg"/>
        </w:rPr>
        <w:t xml:space="preserve">However, a lot of political opposition has been associated with the uncertainty to business caused by the removal of the ‘taking advantage’ language in s 46.  VHA notes that every reform option presented by the options paper involves the removal of the ‘taking language’ in s 46, except </w:t>
      </w:r>
      <w:r w:rsidR="00DB306A">
        <w:rPr>
          <w:rFonts w:ascii="Vodafone Rg" w:hAnsi="Vodafone Rg"/>
        </w:rPr>
        <w:t xml:space="preserve">if no </w:t>
      </w:r>
      <w:r w:rsidR="003231CB">
        <w:rPr>
          <w:rFonts w:ascii="Vodafone Rg" w:hAnsi="Vodafone Rg"/>
        </w:rPr>
        <w:t>reform</w:t>
      </w:r>
      <w:r w:rsidR="00DB306A">
        <w:rPr>
          <w:rFonts w:ascii="Vodafone Rg" w:hAnsi="Vodafone Rg"/>
        </w:rPr>
        <w:t xml:space="preserve"> occurs</w:t>
      </w:r>
      <w:r w:rsidRPr="0049324A">
        <w:rPr>
          <w:rFonts w:ascii="Vodafone Rg" w:hAnsi="Vodafone Rg"/>
        </w:rPr>
        <w:t>.   This is unfortunate, as the introduction of an effects test into s 46 could</w:t>
      </w:r>
      <w:r w:rsidR="0049324A" w:rsidRPr="0049324A">
        <w:rPr>
          <w:rFonts w:ascii="Vodafone Rg" w:hAnsi="Vodafone Rg"/>
        </w:rPr>
        <w:t xml:space="preserve"> easily</w:t>
      </w:r>
      <w:r w:rsidRPr="0049324A">
        <w:rPr>
          <w:rFonts w:ascii="Vodafone Rg" w:hAnsi="Vodafone Rg"/>
        </w:rPr>
        <w:t xml:space="preserve"> occur without amendments to the ‘taking advantage’ language.  </w:t>
      </w:r>
      <w:r w:rsidR="00DB306A">
        <w:rPr>
          <w:rFonts w:ascii="Vodafone Rg" w:hAnsi="Vodafone Rg"/>
        </w:rPr>
        <w:t>The</w:t>
      </w:r>
      <w:r w:rsidR="00DB306A" w:rsidRPr="0049324A">
        <w:rPr>
          <w:rFonts w:ascii="Vodafone Rg" w:hAnsi="Vodafone Rg"/>
        </w:rPr>
        <w:t xml:space="preserve"> options pap</w:t>
      </w:r>
      <w:r w:rsidR="00DB306A">
        <w:rPr>
          <w:rFonts w:ascii="Vodafone Rg" w:hAnsi="Vodafone Rg"/>
        </w:rPr>
        <w:t xml:space="preserve">er does not identify reforms to s46 that introduce an effects test </w:t>
      </w:r>
      <w:r w:rsidR="003231CB">
        <w:rPr>
          <w:rFonts w:ascii="Vodafone Rg" w:hAnsi="Vodafone Rg"/>
        </w:rPr>
        <w:t>without</w:t>
      </w:r>
      <w:r w:rsidR="00DB306A">
        <w:rPr>
          <w:rFonts w:ascii="Vodafone Rg" w:hAnsi="Vodafone Rg"/>
        </w:rPr>
        <w:t xml:space="preserve"> removing ‘taking advantage’.  In VHA’s view, such reforms would be substantially easier to achieve and may deliver a better policy outcome.</w:t>
      </w:r>
    </w:p>
    <w:p w:rsidR="001C20B4" w:rsidRPr="0049324A" w:rsidRDefault="00DB306A" w:rsidP="003231CB">
      <w:pPr>
        <w:pStyle w:val="ListParagraph"/>
        <w:autoSpaceDE w:val="0"/>
        <w:autoSpaceDN w:val="0"/>
        <w:spacing w:after="240" w:line="276" w:lineRule="auto"/>
        <w:ind w:left="567"/>
        <w:rPr>
          <w:rFonts w:ascii="Vodafone Rg" w:hAnsi="Vodafone Rg"/>
        </w:rPr>
      </w:pPr>
      <w:r>
        <w:rPr>
          <w:rFonts w:ascii="Vodafone Rg" w:hAnsi="Vodafone Rg"/>
        </w:rPr>
        <w:t xml:space="preserve">VHA is concerned that the focus of the options paper on ‘taking advantage’, rather than the effects test, </w:t>
      </w:r>
      <w:r w:rsidR="001C20B4" w:rsidRPr="0049324A">
        <w:rPr>
          <w:rFonts w:ascii="Vodafone Rg" w:hAnsi="Vodafone Rg"/>
        </w:rPr>
        <w:t>could result in the Australian Government following a path to reform that is destined for political failure given the weight of industry opposition to reforms to ‘taking advantage’.</w:t>
      </w:r>
      <w:r>
        <w:rPr>
          <w:rFonts w:ascii="Vodafone Rg" w:hAnsi="Vodafone Rg"/>
        </w:rPr>
        <w:t xml:space="preserve">   As a result, the opportunity to introduce an effects test into s 46 may be lost.</w:t>
      </w:r>
    </w:p>
    <w:p w:rsidR="001C20B4" w:rsidRDefault="001C20B4" w:rsidP="003231CB">
      <w:pPr>
        <w:pStyle w:val="ListParagraph"/>
        <w:autoSpaceDE w:val="0"/>
        <w:autoSpaceDN w:val="0"/>
        <w:spacing w:after="240" w:line="276" w:lineRule="auto"/>
        <w:ind w:left="567"/>
        <w:rPr>
          <w:rFonts w:ascii="Vodafone Rg" w:hAnsi="Vodafone Rg"/>
        </w:rPr>
      </w:pPr>
      <w:r w:rsidRPr="0049324A">
        <w:rPr>
          <w:rFonts w:ascii="Vodafone Rg" w:hAnsi="Vodafone Rg"/>
        </w:rPr>
        <w:t>Therefore, while VHA does support ‘Option E’</w:t>
      </w:r>
      <w:r w:rsidR="00DB306A">
        <w:rPr>
          <w:rFonts w:ascii="Vodafone Rg" w:hAnsi="Vodafone Rg"/>
        </w:rPr>
        <w:t xml:space="preserve"> from the options paper</w:t>
      </w:r>
      <w:r w:rsidRPr="0049324A">
        <w:rPr>
          <w:rFonts w:ascii="Vodafone Rg" w:hAnsi="Vodafone Rg"/>
        </w:rPr>
        <w:t xml:space="preserve">, </w:t>
      </w:r>
      <w:r w:rsidR="00DB306A">
        <w:rPr>
          <w:rFonts w:ascii="Vodafone Rg" w:hAnsi="Vodafone Rg"/>
        </w:rPr>
        <w:t xml:space="preserve">VHA has reservations whether the amendments to </w:t>
      </w:r>
      <w:r w:rsidRPr="0049324A">
        <w:rPr>
          <w:rFonts w:ascii="Vodafone Rg" w:hAnsi="Vodafone Rg"/>
        </w:rPr>
        <w:t xml:space="preserve">‘taking advantage’ </w:t>
      </w:r>
      <w:r w:rsidR="00DB306A">
        <w:rPr>
          <w:rFonts w:ascii="Vodafone Rg" w:hAnsi="Vodafone Rg"/>
        </w:rPr>
        <w:t xml:space="preserve">should occur.  </w:t>
      </w:r>
      <w:r w:rsidR="003231CB">
        <w:rPr>
          <w:rFonts w:ascii="Vodafone Rg" w:hAnsi="Vodafone Rg"/>
        </w:rPr>
        <w:t>It would be better to focus on</w:t>
      </w:r>
      <w:r w:rsidR="00DB306A">
        <w:rPr>
          <w:rFonts w:ascii="Vodafone Rg" w:hAnsi="Vodafone Rg"/>
        </w:rPr>
        <w:t xml:space="preserve"> amendments that have clear benefits and no costs, rather than amendments that have unclear benefits and </w:t>
      </w:r>
      <w:r w:rsidR="003231CB">
        <w:rPr>
          <w:rFonts w:ascii="Vodafone Rg" w:hAnsi="Vodafone Rg"/>
        </w:rPr>
        <w:t>apparent</w:t>
      </w:r>
      <w:r w:rsidR="00DB306A">
        <w:rPr>
          <w:rFonts w:ascii="Vodafone Rg" w:hAnsi="Vodafone Rg"/>
        </w:rPr>
        <w:t xml:space="preserve"> costs.</w:t>
      </w:r>
      <w:r w:rsidRPr="0049324A">
        <w:rPr>
          <w:rFonts w:ascii="Vodafone Rg" w:hAnsi="Vodafone Rg"/>
        </w:rPr>
        <w:t xml:space="preserve"> </w:t>
      </w:r>
      <w:r w:rsidR="003231CB">
        <w:rPr>
          <w:rFonts w:ascii="Vodafone Rg" w:hAnsi="Vodafone Rg"/>
        </w:rPr>
        <w:t xml:space="preserve"> </w:t>
      </w:r>
      <w:r w:rsidR="003231CB" w:rsidRPr="0049324A">
        <w:rPr>
          <w:rFonts w:ascii="Vodafone Rg" w:hAnsi="Vodafone Rg"/>
        </w:rPr>
        <w:t>(VHA considers that the case law relating to ‘taking advantage’ is useful and some concerns regarding this wording have been overstated, so this aspect of the reform should not be the focus).</w:t>
      </w:r>
    </w:p>
    <w:p w:rsidR="00DB306A" w:rsidRPr="0049324A" w:rsidRDefault="00DB306A" w:rsidP="0049324A">
      <w:pPr>
        <w:pStyle w:val="ListParagraph"/>
        <w:autoSpaceDE w:val="0"/>
        <w:autoSpaceDN w:val="0"/>
        <w:spacing w:after="360" w:line="276" w:lineRule="auto"/>
        <w:ind w:left="567"/>
        <w:rPr>
          <w:rFonts w:ascii="Vodafone Rg" w:hAnsi="Vodafone Rg"/>
        </w:rPr>
      </w:pPr>
      <w:r w:rsidRPr="0049324A">
        <w:rPr>
          <w:rFonts w:ascii="Vodafone Rg" w:hAnsi="Vodafone Rg"/>
        </w:rPr>
        <w:t>If th</w:t>
      </w:r>
      <w:r w:rsidR="003231CB">
        <w:rPr>
          <w:rFonts w:ascii="Vodafone Rg" w:hAnsi="Vodafone Rg"/>
        </w:rPr>
        <w:t>e</w:t>
      </w:r>
      <w:r w:rsidRPr="0049324A">
        <w:rPr>
          <w:rFonts w:ascii="Vodafone Rg" w:hAnsi="Vodafone Rg"/>
        </w:rPr>
        <w:t xml:space="preserve"> removal </w:t>
      </w:r>
      <w:r w:rsidR="003231CB">
        <w:rPr>
          <w:rFonts w:ascii="Vodafone Rg" w:hAnsi="Vodafone Rg"/>
        </w:rPr>
        <w:t xml:space="preserve">of the ‘taking advantage’ wording </w:t>
      </w:r>
      <w:r w:rsidRPr="0049324A">
        <w:rPr>
          <w:rFonts w:ascii="Vodafone Rg" w:hAnsi="Vodafone Rg"/>
        </w:rPr>
        <w:t>does occur, VHA strongly believes that the ACCC should be required to issue comprehensive guidelines to assist to address th</w:t>
      </w:r>
      <w:r w:rsidR="003231CB">
        <w:rPr>
          <w:rFonts w:ascii="Vodafone Rg" w:hAnsi="Vodafone Rg"/>
        </w:rPr>
        <w:t>e resulting</w:t>
      </w:r>
      <w:r w:rsidRPr="0049324A">
        <w:rPr>
          <w:rFonts w:ascii="Vodafone Rg" w:hAnsi="Vodafone Rg"/>
        </w:rPr>
        <w:t xml:space="preserve"> uncertainty.</w:t>
      </w:r>
      <w:r w:rsidR="003231CB">
        <w:rPr>
          <w:rFonts w:ascii="Vodafone Rg" w:hAnsi="Vodafone Rg"/>
        </w:rPr>
        <w:t xml:space="preserve">  In doing so, the ACCC would significantly reduce compliance costs for business.</w:t>
      </w:r>
    </w:p>
    <w:p w:rsidR="001C20B4" w:rsidRDefault="001C20B4" w:rsidP="001C20B4">
      <w:pPr>
        <w:autoSpaceDE w:val="0"/>
        <w:autoSpaceDN w:val="0"/>
        <w:spacing w:after="240"/>
        <w:rPr>
          <w:rFonts w:ascii="Vodafone Rg" w:hAnsi="Vodafone Rg" w:cs="Arial Narrow"/>
          <w:b/>
          <w:lang w:eastAsia="en-AU"/>
        </w:rPr>
      </w:pPr>
      <w:r w:rsidRPr="0049324A">
        <w:rPr>
          <w:rFonts w:ascii="Vodafone Rg" w:hAnsi="Vodafone Rg" w:cs="Arial Narrow"/>
          <w:b/>
          <w:lang w:eastAsia="en-AU"/>
        </w:rPr>
        <w:t>4.</w:t>
      </w:r>
      <w:r w:rsidRPr="0049324A">
        <w:rPr>
          <w:rFonts w:ascii="Vodafone Rg" w:hAnsi="Vodafone Rg" w:cs="Arial Narrow"/>
          <w:b/>
          <w:lang w:eastAsia="en-AU"/>
        </w:rPr>
        <w:tab/>
        <w:t>Another sensible solution would be to supplement s 46 with s151AJ(2)</w:t>
      </w:r>
    </w:p>
    <w:p w:rsidR="0049324A" w:rsidRPr="0049324A" w:rsidRDefault="001C20B4" w:rsidP="0049324A">
      <w:pPr>
        <w:pStyle w:val="ListParagraph"/>
        <w:autoSpaceDE w:val="0"/>
        <w:autoSpaceDN w:val="0"/>
        <w:spacing w:after="240" w:line="276" w:lineRule="auto"/>
        <w:ind w:left="567"/>
        <w:rPr>
          <w:rFonts w:ascii="Vodafone Rg" w:hAnsi="Vodafone Rg"/>
        </w:rPr>
      </w:pPr>
      <w:r w:rsidRPr="0049324A">
        <w:rPr>
          <w:rFonts w:ascii="Vodafone Rg" w:hAnsi="Vodafone Rg"/>
        </w:rPr>
        <w:t>Another solution would be to adopt the tried-and-tested approach adopted in telecoms</w:t>
      </w:r>
      <w:r w:rsidR="0049324A" w:rsidRPr="0049324A">
        <w:rPr>
          <w:rFonts w:ascii="Vodafone Rg" w:hAnsi="Vodafone Rg"/>
        </w:rPr>
        <w:t>, as identified by VHA above</w:t>
      </w:r>
      <w:r w:rsidRPr="0049324A">
        <w:rPr>
          <w:rFonts w:ascii="Vodafone Rg" w:hAnsi="Vodafone Rg"/>
        </w:rPr>
        <w:t xml:space="preserve">.  </w:t>
      </w:r>
      <w:r w:rsidR="0049324A" w:rsidRPr="0049324A">
        <w:rPr>
          <w:rFonts w:ascii="Vodafone Rg" w:hAnsi="Vodafone Rg"/>
        </w:rPr>
        <w:t xml:space="preserve">Under this solution, a new supplementary provision would be introduced into </w:t>
      </w:r>
      <w:r w:rsidR="003231CB">
        <w:rPr>
          <w:rFonts w:ascii="Vodafone Rg" w:hAnsi="Vodafone Rg"/>
        </w:rPr>
        <w:t xml:space="preserve">the existing version of </w:t>
      </w:r>
      <w:r w:rsidR="0049324A" w:rsidRPr="0049324A">
        <w:rPr>
          <w:rFonts w:ascii="Vodafone Rg" w:hAnsi="Vodafone Rg"/>
        </w:rPr>
        <w:t>s 46 that would state as follows:</w:t>
      </w:r>
    </w:p>
    <w:p w:rsidR="0049324A" w:rsidRPr="0049324A" w:rsidRDefault="0049324A" w:rsidP="0049324A">
      <w:pPr>
        <w:pStyle w:val="ListParagraph"/>
        <w:autoSpaceDE w:val="0"/>
        <w:autoSpaceDN w:val="0"/>
        <w:spacing w:after="240" w:line="276" w:lineRule="auto"/>
        <w:ind w:left="1134"/>
        <w:rPr>
          <w:rFonts w:ascii="Vodafone Rg" w:hAnsi="Vodafone Rg"/>
        </w:rPr>
      </w:pPr>
      <w:r w:rsidRPr="0049324A">
        <w:rPr>
          <w:rFonts w:ascii="Vodafone Rg" w:hAnsi="Vodafone Rg" w:cs="Arial"/>
          <w:color w:val="000000"/>
          <w:sz w:val="20"/>
          <w:szCs w:val="20"/>
        </w:rPr>
        <w:t>“A corporation that has a substantial degree of power in a market shall not take advantage of that power in that or any other market with the effect, or likely effect, of substantially lessening competition in that or any other market.”</w:t>
      </w:r>
    </w:p>
    <w:p w:rsidR="001C20B4" w:rsidRPr="0049324A" w:rsidRDefault="00DF620F" w:rsidP="0049324A">
      <w:pPr>
        <w:pStyle w:val="ListParagraph"/>
        <w:autoSpaceDE w:val="0"/>
        <w:autoSpaceDN w:val="0"/>
        <w:spacing w:after="240" w:line="276" w:lineRule="auto"/>
        <w:ind w:left="567"/>
        <w:rPr>
          <w:rFonts w:ascii="Vodafone Rg" w:hAnsi="Vodafone Rg"/>
        </w:rPr>
      </w:pPr>
      <w:r w:rsidRPr="0049324A">
        <w:rPr>
          <w:rFonts w:ascii="Vodafone Rg" w:hAnsi="Vodafone Rg"/>
        </w:rPr>
        <w:t>Under</w:t>
      </w:r>
      <w:r w:rsidR="0049324A" w:rsidRPr="0049324A">
        <w:rPr>
          <w:rFonts w:ascii="Vodafone Rg" w:hAnsi="Vodafone Rg"/>
        </w:rPr>
        <w:t xml:space="preserve"> this amendment, t</w:t>
      </w:r>
      <w:r w:rsidR="001C20B4" w:rsidRPr="0049324A">
        <w:rPr>
          <w:rFonts w:ascii="Vodafone Rg" w:hAnsi="Vodafone Rg"/>
        </w:rPr>
        <w:t xml:space="preserve">he ‘taking advantage’ wording would remain, but ‘effects test’ wording would be inserted, as exists in s 151AJ(2).   </w:t>
      </w:r>
      <w:r w:rsidR="003231CB">
        <w:rPr>
          <w:rFonts w:ascii="Vodafone Rg" w:hAnsi="Vodafone Rg"/>
        </w:rPr>
        <w:t>The ‘effects test’ would supplement the existing purpose test, so the provisions would co-exist and complement each other, in the same manner as currently occurs in the telecoms sector.</w:t>
      </w:r>
    </w:p>
    <w:p w:rsidR="001C20B4" w:rsidRPr="0049324A" w:rsidRDefault="001C20B4" w:rsidP="001C20B4">
      <w:pPr>
        <w:pStyle w:val="ListParagraph"/>
        <w:autoSpaceDE w:val="0"/>
        <w:autoSpaceDN w:val="0"/>
        <w:spacing w:after="240" w:line="276" w:lineRule="auto"/>
        <w:ind w:left="567"/>
        <w:rPr>
          <w:rFonts w:ascii="Vodafone Rg" w:hAnsi="Vodafone Rg"/>
        </w:rPr>
      </w:pPr>
      <w:r w:rsidRPr="0049324A">
        <w:rPr>
          <w:rFonts w:ascii="Vodafone Rg" w:hAnsi="Vodafone Rg"/>
        </w:rPr>
        <w:t xml:space="preserve">This solution has the advantage of maintaining certainty and avoids the more controversial </w:t>
      </w:r>
      <w:r w:rsidR="0049324A" w:rsidRPr="0049324A">
        <w:rPr>
          <w:rFonts w:ascii="Vodafone Rg" w:hAnsi="Vodafone Rg"/>
        </w:rPr>
        <w:t xml:space="preserve">‘taking advantage’ </w:t>
      </w:r>
      <w:r w:rsidRPr="0049324A">
        <w:rPr>
          <w:rFonts w:ascii="Vodafone Rg" w:hAnsi="Vodafone Rg"/>
        </w:rPr>
        <w:t xml:space="preserve">wording changes to s 46, yet ensures that an ‘effects test’ is included by a supplementary amendment.  </w:t>
      </w:r>
    </w:p>
    <w:p w:rsidR="000678A8" w:rsidRDefault="001C20B4" w:rsidP="003231CB">
      <w:pPr>
        <w:autoSpaceDE w:val="0"/>
        <w:autoSpaceDN w:val="0"/>
        <w:adjustRightInd w:val="0"/>
        <w:ind w:left="567"/>
        <w:rPr>
          <w:rFonts w:ascii="Vodafone Rg" w:hAnsi="Vodafone Rg"/>
        </w:rPr>
      </w:pPr>
      <w:r w:rsidRPr="0049324A">
        <w:rPr>
          <w:rFonts w:ascii="Vodafone Rg" w:hAnsi="Vodafone Rg"/>
        </w:rPr>
        <w:t>VHA considers that adopting the supplementary wording from the existing s 151AJ(2) may be a sensible political compromise that addresses the concerns of most stakeholders, enabling amendments to s 46 to proceed.</w:t>
      </w:r>
    </w:p>
    <w:p w:rsidR="003953A5" w:rsidRPr="003953A5" w:rsidRDefault="003953A5" w:rsidP="003953A5">
      <w:pPr>
        <w:autoSpaceDE w:val="0"/>
        <w:autoSpaceDN w:val="0"/>
        <w:spacing w:after="240"/>
        <w:rPr>
          <w:rFonts w:ascii="Vodafone Rg" w:hAnsi="Vodafone Rg" w:cs="Arial Narrow"/>
          <w:b/>
          <w:lang w:eastAsia="en-AU"/>
        </w:rPr>
      </w:pPr>
      <w:r>
        <w:rPr>
          <w:rFonts w:ascii="Vodafone Rg" w:hAnsi="Vodafone Rg" w:cs="Arial Narrow"/>
          <w:b/>
          <w:lang w:eastAsia="en-AU"/>
        </w:rPr>
        <w:t xml:space="preserve">5. </w:t>
      </w:r>
      <w:r>
        <w:rPr>
          <w:rFonts w:ascii="Vodafone Rg" w:hAnsi="Vodafone Rg" w:cs="Arial Narrow"/>
          <w:b/>
          <w:lang w:eastAsia="en-AU"/>
        </w:rPr>
        <w:tab/>
        <w:t>Conclusion</w:t>
      </w:r>
    </w:p>
    <w:p w:rsidR="00770992" w:rsidRDefault="003953A5" w:rsidP="00770992">
      <w:pPr>
        <w:autoSpaceDE w:val="0"/>
        <w:autoSpaceDN w:val="0"/>
        <w:adjustRightInd w:val="0"/>
        <w:ind w:left="567"/>
        <w:rPr>
          <w:rFonts w:ascii="Vodafone Rg" w:hAnsi="Vodafone Rg"/>
        </w:rPr>
      </w:pPr>
      <w:r w:rsidRPr="00770992">
        <w:rPr>
          <w:rFonts w:ascii="Vodafone Rg" w:hAnsi="Vodafone Rg"/>
        </w:rPr>
        <w:t xml:space="preserve">VHA believes that the </w:t>
      </w:r>
      <w:r w:rsidR="00770992">
        <w:rPr>
          <w:rFonts w:ascii="Vodafone Rg" w:hAnsi="Vodafone Rg"/>
        </w:rPr>
        <w:t>reform of s 46</w:t>
      </w:r>
      <w:r w:rsidRPr="00770992">
        <w:rPr>
          <w:rFonts w:ascii="Vodafone Rg" w:hAnsi="Vodafone Rg"/>
        </w:rPr>
        <w:t xml:space="preserve"> will progress a long way towards ensuring a consistent and high quality framework for the comp</w:t>
      </w:r>
      <w:r w:rsidR="00770992">
        <w:rPr>
          <w:rFonts w:ascii="Vodafone Rg" w:hAnsi="Vodafone Rg"/>
        </w:rPr>
        <w:t>etition regulation in Australia.</w:t>
      </w:r>
    </w:p>
    <w:p w:rsidR="003953A5" w:rsidRPr="00770992" w:rsidRDefault="003953A5" w:rsidP="00770992">
      <w:pPr>
        <w:autoSpaceDE w:val="0"/>
        <w:autoSpaceDN w:val="0"/>
        <w:adjustRightInd w:val="0"/>
        <w:ind w:left="567"/>
        <w:rPr>
          <w:rFonts w:ascii="Vodafone Rg" w:hAnsi="Vodafone Rg"/>
        </w:rPr>
      </w:pPr>
      <w:r w:rsidRPr="00770992">
        <w:rPr>
          <w:rFonts w:ascii="Vodafone Rg" w:hAnsi="Vodafone Rg"/>
        </w:rPr>
        <w:t xml:space="preserve">VHA would be happy to meet with </w:t>
      </w:r>
      <w:r w:rsidR="00770992">
        <w:rPr>
          <w:rFonts w:ascii="Vodafone Rg" w:hAnsi="Vodafone Rg"/>
        </w:rPr>
        <w:t>Treasury</w:t>
      </w:r>
      <w:r w:rsidRPr="00770992">
        <w:rPr>
          <w:rFonts w:ascii="Vodafone Rg" w:hAnsi="Vodafone Rg"/>
        </w:rPr>
        <w:t xml:space="preserve"> to discuss this submission and to provide any insights into the particular issues that VHA has faced in competition regulation in the telecommunications sector.</w:t>
      </w:r>
    </w:p>
    <w:sectPr w:rsidR="003953A5" w:rsidRPr="00770992" w:rsidSect="006C2A8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B7A" w:rsidRDefault="00CD7B7A" w:rsidP="002B7D49">
      <w:pPr>
        <w:spacing w:after="0" w:line="240" w:lineRule="auto"/>
      </w:pPr>
      <w:r>
        <w:separator/>
      </w:r>
    </w:p>
  </w:endnote>
  <w:endnote w:type="continuationSeparator" w:id="0">
    <w:p w:rsidR="00CD7B7A" w:rsidRDefault="00CD7B7A" w:rsidP="002B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Vodafone Rg">
    <w:altName w:val="Franklin Gothic Medium Cond"/>
    <w:charset w:val="00"/>
    <w:family w:val="swiss"/>
    <w:pitch w:val="variable"/>
    <w:sig w:usb0="00000001" w:usb1="4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5" w:rsidRDefault="00907F25" w:rsidP="00DA2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07F25" w:rsidRDefault="00907F25" w:rsidP="00DA21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5" w:rsidRDefault="00907F25" w:rsidP="00DA2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85E">
      <w:rPr>
        <w:rStyle w:val="PageNumber"/>
        <w:noProof/>
      </w:rPr>
      <w:t>1</w:t>
    </w:r>
    <w:r>
      <w:rPr>
        <w:rStyle w:val="PageNumber"/>
      </w:rPr>
      <w:fldChar w:fldCharType="end"/>
    </w:r>
  </w:p>
  <w:p w:rsidR="00907F25" w:rsidRDefault="00907F25" w:rsidP="00DA2110">
    <w:pPr>
      <w:pStyle w:val="Footer"/>
      <w:ind w:right="360"/>
    </w:pPr>
    <w:r>
      <w:rPr>
        <w:noProof/>
      </w:rPr>
      <w:drawing>
        <wp:inline distT="0" distB="0" distL="0" distR="0" wp14:anchorId="20D64C0A" wp14:editId="582FD2B4">
          <wp:extent cx="5725160" cy="198755"/>
          <wp:effectExtent l="0" t="0" r="0" b="4445"/>
          <wp:docPr id="1" name="Picture 3" descr="foote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9875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49" w:rsidRDefault="0082554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5" w:rsidRDefault="00907F25" w:rsidP="00DA21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485E">
      <w:rPr>
        <w:rStyle w:val="PageNumber"/>
        <w:noProof/>
      </w:rPr>
      <w:t>2</w:t>
    </w:r>
    <w:r>
      <w:rPr>
        <w:rStyle w:val="PageNumber"/>
      </w:rPr>
      <w:fldChar w:fldCharType="end"/>
    </w:r>
  </w:p>
  <w:p w:rsidR="00907F25" w:rsidRDefault="00907F25" w:rsidP="00DA2110">
    <w:pPr>
      <w:pStyle w:val="Footer"/>
      <w:ind w:right="360"/>
    </w:pPr>
    <w:r>
      <w:rPr>
        <w:noProof/>
      </w:rPr>
      <w:drawing>
        <wp:inline distT="0" distB="0" distL="0" distR="0" wp14:anchorId="49A8A84E" wp14:editId="664D8A88">
          <wp:extent cx="5725160" cy="198755"/>
          <wp:effectExtent l="0" t="0" r="0" b="4445"/>
          <wp:docPr id="2" name="Picture 3" descr="foote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19875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B7A" w:rsidRDefault="00CD7B7A" w:rsidP="002B7D49">
      <w:pPr>
        <w:spacing w:after="0" w:line="240" w:lineRule="auto"/>
      </w:pPr>
      <w:r>
        <w:separator/>
      </w:r>
    </w:p>
  </w:footnote>
  <w:footnote w:type="continuationSeparator" w:id="0">
    <w:p w:rsidR="00CD7B7A" w:rsidRDefault="00CD7B7A" w:rsidP="002B7D49">
      <w:pPr>
        <w:spacing w:after="0" w:line="240" w:lineRule="auto"/>
      </w:pPr>
      <w:r>
        <w:continuationSeparator/>
      </w:r>
    </w:p>
  </w:footnote>
  <w:footnote w:id="1">
    <w:p w:rsidR="00907F25" w:rsidRPr="00DF620F" w:rsidRDefault="00907F25" w:rsidP="00DF620F">
      <w:pPr>
        <w:pStyle w:val="FootnoteText"/>
        <w:ind w:hanging="567"/>
        <w:rPr>
          <w:rFonts w:ascii="Vodafone Rg" w:hAnsi="Vodafone Rg"/>
          <w:sz w:val="20"/>
        </w:rPr>
      </w:pPr>
      <w:r w:rsidRPr="00DF620F">
        <w:rPr>
          <w:rStyle w:val="FootnoteReference"/>
          <w:rFonts w:ascii="Vodafone Rg" w:hAnsi="Vodafone Rg"/>
          <w:sz w:val="20"/>
        </w:rPr>
        <w:footnoteRef/>
      </w:r>
      <w:r w:rsidRPr="00DF620F">
        <w:rPr>
          <w:rFonts w:ascii="Vodafone Rg" w:hAnsi="Vodafone Rg"/>
          <w:sz w:val="20"/>
        </w:rPr>
        <w:t xml:space="preserve"> </w:t>
      </w:r>
      <w:r w:rsidRPr="00DF620F">
        <w:rPr>
          <w:rFonts w:ascii="Vodafone Rg" w:hAnsi="Vodafone Rg"/>
          <w:sz w:val="20"/>
        </w:rPr>
        <w:tab/>
      </w:r>
      <w:r w:rsidRPr="00DF620F">
        <w:rPr>
          <w:rFonts w:ascii="Vodafone Rg" w:hAnsi="Vodafone Rg"/>
          <w:i/>
          <w:sz w:val="20"/>
        </w:rPr>
        <w:t>Queensland Wire Industries Pty Ltd</w:t>
      </w:r>
      <w:r w:rsidRPr="00DF620F">
        <w:rPr>
          <w:rFonts w:ascii="Vodafone Rg" w:hAnsi="Vodafone Rg"/>
          <w:sz w:val="20"/>
        </w:rPr>
        <w:t xml:space="preserve"> vs </w:t>
      </w:r>
      <w:r w:rsidRPr="00DF620F">
        <w:rPr>
          <w:rFonts w:ascii="Vodafone Rg" w:hAnsi="Vodafone Rg"/>
          <w:i/>
          <w:sz w:val="20"/>
        </w:rPr>
        <w:t>Broken Hill Pty Co Ltd</w:t>
      </w:r>
      <w:r w:rsidRPr="00DF620F">
        <w:rPr>
          <w:rFonts w:ascii="Vodafone Rg" w:hAnsi="Vodafone Rg"/>
          <w:sz w:val="20"/>
        </w:rPr>
        <w:t xml:space="preserve"> (1989) 63 ALJR 181.</w:t>
      </w:r>
    </w:p>
  </w:footnote>
  <w:footnote w:id="2">
    <w:p w:rsidR="00907F25" w:rsidRPr="00DF620F" w:rsidRDefault="00907F25" w:rsidP="00DF620F">
      <w:pPr>
        <w:pStyle w:val="FootnoteText"/>
        <w:ind w:hanging="567"/>
        <w:rPr>
          <w:rFonts w:ascii="Vodafone Rg" w:hAnsi="Vodafone Rg" w:cs="Arial"/>
          <w:sz w:val="20"/>
        </w:rPr>
      </w:pPr>
      <w:r w:rsidRPr="00DF620F">
        <w:rPr>
          <w:rStyle w:val="FootnoteReference"/>
          <w:rFonts w:ascii="Vodafone Rg" w:hAnsi="Vodafone Rg" w:cs="Arial"/>
          <w:sz w:val="20"/>
        </w:rPr>
        <w:footnoteRef/>
      </w:r>
      <w:r w:rsidRPr="00DF620F">
        <w:rPr>
          <w:rFonts w:ascii="Vodafone Rg" w:hAnsi="Vodafone Rg" w:cs="Arial"/>
          <w:sz w:val="20"/>
        </w:rPr>
        <w:t xml:space="preserve"> </w:t>
      </w:r>
      <w:r>
        <w:rPr>
          <w:rFonts w:ascii="Vodafone Rg" w:hAnsi="Vodafone Rg" w:cs="Arial"/>
          <w:sz w:val="20"/>
        </w:rPr>
        <w:tab/>
      </w:r>
      <w:r w:rsidRPr="00DF620F">
        <w:rPr>
          <w:rFonts w:ascii="Vodafone Rg" w:hAnsi="Vodafone Rg" w:cs="Arial"/>
          <w:sz w:val="20"/>
        </w:rPr>
        <w:t>OECD, Australia – the Role of Competition Policy in Regulatory Reform, 2009, [56].</w:t>
      </w:r>
    </w:p>
  </w:footnote>
  <w:footnote w:id="3">
    <w:p w:rsidR="00907F25" w:rsidRPr="00DF620F" w:rsidRDefault="00907F25" w:rsidP="00DF620F">
      <w:pPr>
        <w:autoSpaceDE w:val="0"/>
        <w:autoSpaceDN w:val="0"/>
        <w:spacing w:after="240"/>
        <w:ind w:hanging="567"/>
        <w:rPr>
          <w:rFonts w:ascii="Vodafone Rg" w:hAnsi="Vodafone Rg" w:cs="Arial"/>
          <w:sz w:val="20"/>
          <w:szCs w:val="20"/>
        </w:rPr>
      </w:pPr>
      <w:r w:rsidRPr="00DF620F">
        <w:rPr>
          <w:rStyle w:val="FootnoteReference"/>
          <w:rFonts w:ascii="Vodafone Rg" w:hAnsi="Vodafone Rg" w:cs="Arial"/>
          <w:sz w:val="20"/>
          <w:szCs w:val="20"/>
        </w:rPr>
        <w:footnoteRef/>
      </w:r>
      <w:r w:rsidRPr="00DF620F">
        <w:rPr>
          <w:rFonts w:ascii="Vodafone Rg" w:hAnsi="Vodafone Rg" w:cs="Arial"/>
          <w:sz w:val="20"/>
          <w:szCs w:val="20"/>
        </w:rPr>
        <w:t xml:space="preserve"> </w:t>
      </w:r>
      <w:r>
        <w:rPr>
          <w:rFonts w:ascii="Vodafone Rg" w:hAnsi="Vodafone Rg" w:cs="Arial"/>
          <w:sz w:val="20"/>
          <w:szCs w:val="20"/>
        </w:rPr>
        <w:tab/>
      </w:r>
      <w:r w:rsidRPr="00DF620F">
        <w:rPr>
          <w:rStyle w:val="Strong"/>
          <w:rFonts w:ascii="Vodafone Rg" w:hAnsi="Vodafone Rg" w:cs="Arial"/>
          <w:b w:val="0"/>
          <w:i/>
          <w:sz w:val="20"/>
          <w:szCs w:val="20"/>
        </w:rPr>
        <w:t xml:space="preserve">NT Power Generation v Power and Water Authority </w:t>
      </w:r>
      <w:r w:rsidRPr="00DF620F">
        <w:rPr>
          <w:rStyle w:val="Strong"/>
          <w:rFonts w:ascii="Vodafone Rg" w:hAnsi="Vodafone Rg" w:cs="Arial"/>
          <w:b w:val="0"/>
          <w:sz w:val="20"/>
          <w:szCs w:val="20"/>
        </w:rPr>
        <w:t>[2004] HCA 48;</w:t>
      </w:r>
      <w:r w:rsidRPr="00DF620F">
        <w:rPr>
          <w:rFonts w:ascii="Vodafone Rg" w:hAnsi="Vodafone Rg" w:cs="Arial"/>
          <w:b/>
          <w:sz w:val="20"/>
          <w:szCs w:val="20"/>
        </w:rPr>
        <w:t xml:space="preserve"> </w:t>
      </w:r>
      <w:r w:rsidRPr="00DF620F">
        <w:rPr>
          <w:rStyle w:val="Strong"/>
          <w:rFonts w:ascii="Vodafone Rg" w:hAnsi="Vodafone Rg" w:cs="Arial"/>
          <w:b w:val="0"/>
          <w:i/>
          <w:sz w:val="20"/>
          <w:szCs w:val="20"/>
        </w:rPr>
        <w:t>Melway Publishing Pty Ltd v Robert Hicks Pty Ltd</w:t>
      </w:r>
      <w:r w:rsidRPr="00DF620F">
        <w:rPr>
          <w:rStyle w:val="Strong"/>
          <w:rFonts w:ascii="Vodafone Rg" w:hAnsi="Vodafone Rg" w:cs="Arial"/>
          <w:b w:val="0"/>
          <w:sz w:val="20"/>
          <w:szCs w:val="20"/>
        </w:rPr>
        <w:t xml:space="preserve"> [2001] HCA 13 (High Court);</w:t>
      </w:r>
      <w:r w:rsidRPr="00DF620F">
        <w:rPr>
          <w:rStyle w:val="Strong"/>
          <w:rFonts w:ascii="Vodafone Rg" w:hAnsi="Vodafone Rg" w:cs="Arial"/>
          <w:sz w:val="20"/>
          <w:szCs w:val="20"/>
        </w:rPr>
        <w:t xml:space="preserve"> </w:t>
      </w:r>
      <w:r w:rsidRPr="00DF620F">
        <w:rPr>
          <w:rFonts w:ascii="Vodafone Rg" w:hAnsi="Vodafone Rg" w:cs="Arial"/>
          <w:i/>
          <w:sz w:val="20"/>
          <w:szCs w:val="20"/>
        </w:rPr>
        <w:t xml:space="preserve">Seven Network Ltd v News Limited </w:t>
      </w:r>
      <w:r w:rsidRPr="00DF620F">
        <w:rPr>
          <w:rFonts w:ascii="Vodafone Rg" w:hAnsi="Vodafone Rg" w:cs="Arial"/>
          <w:sz w:val="20"/>
          <w:szCs w:val="20"/>
        </w:rPr>
        <w:t>[2007] FCA 1062.</w:t>
      </w:r>
    </w:p>
  </w:footnote>
  <w:footnote w:id="4">
    <w:p w:rsidR="00907F25" w:rsidRPr="00DF620F" w:rsidRDefault="00907F25" w:rsidP="00DF620F">
      <w:pPr>
        <w:pStyle w:val="FootnoteText"/>
        <w:ind w:hanging="567"/>
        <w:rPr>
          <w:rFonts w:ascii="Vodafone Rg" w:hAnsi="Vodafone Rg" w:cs="Arial"/>
          <w:sz w:val="20"/>
        </w:rPr>
      </w:pPr>
      <w:r w:rsidRPr="00DF620F">
        <w:rPr>
          <w:rStyle w:val="FootnoteReference"/>
          <w:rFonts w:ascii="Vodafone Rg" w:hAnsi="Vodafone Rg" w:cs="Arial"/>
          <w:sz w:val="20"/>
        </w:rPr>
        <w:footnoteRef/>
      </w:r>
      <w:r w:rsidRPr="00DF620F">
        <w:rPr>
          <w:rFonts w:ascii="Vodafone Rg" w:hAnsi="Vodafone Rg" w:cs="Arial"/>
          <w:sz w:val="20"/>
        </w:rPr>
        <w:t xml:space="preserve"> </w:t>
      </w:r>
      <w:r>
        <w:rPr>
          <w:rFonts w:ascii="Vodafone Rg" w:hAnsi="Vodafone Rg" w:cs="Arial"/>
          <w:sz w:val="20"/>
        </w:rPr>
        <w:tab/>
      </w:r>
      <w:r w:rsidRPr="00DF620F">
        <w:rPr>
          <w:rStyle w:val="Strong"/>
          <w:rFonts w:ascii="Vodafone Rg" w:hAnsi="Vodafone Rg" w:cs="Arial"/>
          <w:b w:val="0"/>
          <w:i/>
          <w:sz w:val="20"/>
        </w:rPr>
        <w:t xml:space="preserve">NT Power Generation v Power and Water Authority </w:t>
      </w:r>
      <w:r w:rsidRPr="00DF620F">
        <w:rPr>
          <w:rStyle w:val="Strong"/>
          <w:rFonts w:ascii="Vodafone Rg" w:hAnsi="Vodafone Rg" w:cs="Arial"/>
          <w:b w:val="0"/>
          <w:sz w:val="20"/>
        </w:rPr>
        <w:t>[2004] HCA 48.</w:t>
      </w:r>
    </w:p>
  </w:footnote>
  <w:footnote w:id="5">
    <w:p w:rsidR="00907F25" w:rsidRPr="00DF620F" w:rsidRDefault="00907F25" w:rsidP="00DF620F">
      <w:pPr>
        <w:pStyle w:val="FootnoteText"/>
        <w:ind w:left="567" w:hanging="567"/>
        <w:rPr>
          <w:rFonts w:ascii="Vodafone Rg" w:hAnsi="Vodafone Rg" w:cs="Arial"/>
          <w:sz w:val="20"/>
        </w:rPr>
      </w:pPr>
      <w:r w:rsidRPr="00DF620F">
        <w:rPr>
          <w:rStyle w:val="FootnoteReference"/>
          <w:rFonts w:ascii="Vodafone Rg" w:hAnsi="Vodafone Rg" w:cs="Arial"/>
          <w:sz w:val="20"/>
        </w:rPr>
        <w:footnoteRef/>
      </w:r>
      <w:r w:rsidRPr="00DF620F">
        <w:rPr>
          <w:rFonts w:ascii="Vodafone Rg" w:hAnsi="Vodafone Rg" w:cs="Arial"/>
          <w:sz w:val="20"/>
        </w:rPr>
        <w:t xml:space="preserve"> </w:t>
      </w:r>
      <w:r>
        <w:rPr>
          <w:rFonts w:ascii="Vodafone Rg" w:hAnsi="Vodafone Rg" w:cs="Arial"/>
          <w:sz w:val="20"/>
        </w:rPr>
        <w:tab/>
      </w:r>
      <w:r w:rsidRPr="00DF620F">
        <w:rPr>
          <w:rFonts w:ascii="Vodafone Rg" w:hAnsi="Vodafone Rg" w:cs="Arial"/>
          <w:sz w:val="20"/>
        </w:rPr>
        <w:t>Selvadurai, N. 2014. ‘Telecommunications-specific competition regulation in a converged digital environment – is it still relevant?’</w:t>
      </w:r>
      <w:r w:rsidRPr="00DF620F">
        <w:rPr>
          <w:rFonts w:ascii="Vodafone Rg" w:hAnsi="Vodafone Rg" w:cs="Arial"/>
          <w:i/>
          <w:sz w:val="20"/>
        </w:rPr>
        <w:t xml:space="preserve"> </w:t>
      </w:r>
      <w:r w:rsidRPr="00DF620F">
        <w:rPr>
          <w:rFonts w:ascii="Vodafone Rg" w:hAnsi="Vodafone Rg" w:cs="Arial"/>
          <w:sz w:val="20"/>
        </w:rPr>
        <w:t xml:space="preserve">22 </w:t>
      </w:r>
      <w:r w:rsidRPr="00DF620F">
        <w:rPr>
          <w:rFonts w:ascii="Vodafone Rg" w:hAnsi="Vodafone Rg" w:cs="Arial"/>
          <w:i/>
          <w:sz w:val="20"/>
        </w:rPr>
        <w:t>Australian Journal of Competition and Consumer Law</w:t>
      </w:r>
      <w:r w:rsidRPr="00DF620F">
        <w:rPr>
          <w:rFonts w:ascii="Vodafone Rg" w:hAnsi="Vodafone Rg" w:cs="Arial"/>
          <w:sz w:val="20"/>
        </w:rPr>
        <w:t xml:space="preserve"> 307, 390-310.</w:t>
      </w:r>
    </w:p>
  </w:footnote>
  <w:footnote w:id="6">
    <w:p w:rsidR="00907F25" w:rsidRPr="00DF620F" w:rsidRDefault="00907F25" w:rsidP="00DF620F">
      <w:pPr>
        <w:pStyle w:val="FootnoteText"/>
        <w:ind w:left="567" w:hanging="567"/>
        <w:rPr>
          <w:rFonts w:ascii="Vodafone Rg" w:hAnsi="Vodafone Rg" w:cs="Arial"/>
          <w:sz w:val="20"/>
        </w:rPr>
      </w:pPr>
      <w:r w:rsidRPr="00DF620F">
        <w:rPr>
          <w:rStyle w:val="FootnoteReference"/>
          <w:rFonts w:ascii="Vodafone Rg" w:hAnsi="Vodafone Rg" w:cs="Arial"/>
          <w:sz w:val="20"/>
        </w:rPr>
        <w:footnoteRef/>
      </w:r>
      <w:r w:rsidRPr="00DF620F">
        <w:rPr>
          <w:rFonts w:ascii="Vodafone Rg" w:hAnsi="Vodafone Rg" w:cs="Arial"/>
          <w:sz w:val="20"/>
        </w:rPr>
        <w:t xml:space="preserve"> </w:t>
      </w:r>
      <w:r>
        <w:rPr>
          <w:rFonts w:ascii="Vodafone Rg" w:hAnsi="Vodafone Rg" w:cs="Arial"/>
          <w:sz w:val="20"/>
        </w:rPr>
        <w:tab/>
      </w:r>
      <w:r w:rsidRPr="00DF620F">
        <w:rPr>
          <w:rFonts w:ascii="Vodafone Rg" w:hAnsi="Vodafone Rg" w:cs="Arial"/>
          <w:sz w:val="20"/>
        </w:rPr>
        <w:t>Australian Competition and Consumer Commission, Submission to the Competition Policy Review, 25 June 2014, 80.</w:t>
      </w:r>
    </w:p>
  </w:footnote>
  <w:footnote w:id="7">
    <w:p w:rsidR="00907F25" w:rsidRPr="00DF620F" w:rsidRDefault="00907F25" w:rsidP="00DF620F">
      <w:pPr>
        <w:pStyle w:val="FootnoteText"/>
        <w:ind w:left="567" w:hanging="567"/>
        <w:rPr>
          <w:rFonts w:ascii="Vodafone Rg" w:hAnsi="Vodafone Rg" w:cs="Arial"/>
          <w:sz w:val="20"/>
        </w:rPr>
      </w:pPr>
      <w:r w:rsidRPr="00DF620F">
        <w:rPr>
          <w:rStyle w:val="FootnoteReference"/>
          <w:rFonts w:ascii="Vodafone Rg" w:hAnsi="Vodafone Rg" w:cs="Arial"/>
          <w:sz w:val="20"/>
        </w:rPr>
        <w:footnoteRef/>
      </w:r>
      <w:r w:rsidRPr="00DF620F">
        <w:rPr>
          <w:rFonts w:ascii="Vodafone Rg" w:hAnsi="Vodafone Rg" w:cs="Arial"/>
          <w:sz w:val="20"/>
        </w:rPr>
        <w:t xml:space="preserve"> </w:t>
      </w:r>
      <w:r>
        <w:rPr>
          <w:rFonts w:ascii="Vodafone Rg" w:hAnsi="Vodafone Rg" w:cs="Arial"/>
          <w:sz w:val="20"/>
        </w:rPr>
        <w:tab/>
      </w:r>
      <w:r w:rsidRPr="00DF620F">
        <w:rPr>
          <w:rFonts w:ascii="Vodafone Rg" w:hAnsi="Vodafone Rg" w:cs="Arial"/>
          <w:sz w:val="20"/>
        </w:rPr>
        <w:t xml:space="preserve">Australian Competition and Consumer Commission, Submission to the Competition Policy Review, 25 June 2014, 77 citing Explanatory Memorandum, </w:t>
      </w:r>
      <w:r w:rsidRPr="00DF620F">
        <w:rPr>
          <w:rFonts w:ascii="Vodafone Rg" w:hAnsi="Vodafone Rg" w:cs="Arial"/>
          <w:i/>
          <w:iCs/>
          <w:sz w:val="20"/>
        </w:rPr>
        <w:t xml:space="preserve">Trade Practices Amendment (Telecommunications) Bill 1996 </w:t>
      </w:r>
      <w:r w:rsidRPr="00DF620F">
        <w:rPr>
          <w:rFonts w:ascii="Vodafone Rg" w:hAnsi="Vodafone Rg" w:cs="Arial"/>
          <w:sz w:val="20"/>
        </w:rPr>
        <w:t xml:space="preserve">(Cth), 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49" w:rsidRDefault="008255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F25" w:rsidRDefault="00907F25" w:rsidP="002B7D49">
    <w:pPr>
      <w:pStyle w:val="Header"/>
      <w:jc w:val="center"/>
      <w:rPr>
        <w:sz w:val="24"/>
        <w:szCs w:val="24"/>
      </w:rPr>
    </w:pPr>
  </w:p>
  <w:p w:rsidR="00907F25" w:rsidRPr="00472DA5" w:rsidRDefault="00907F25" w:rsidP="002B7D49">
    <w:pPr>
      <w:pStyle w:val="Header"/>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549" w:rsidRDefault="008255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94D"/>
    <w:multiLevelType w:val="hybridMultilevel"/>
    <w:tmpl w:val="4FD643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73A5B0F"/>
    <w:multiLevelType w:val="multilevel"/>
    <w:tmpl w:val="32A2C464"/>
    <w:lvl w:ilvl="0">
      <w:start w:val="1"/>
      <w:numFmt w:val="decimal"/>
      <w:pStyle w:val="Heading1"/>
      <w:lvlText w:val="%1"/>
      <w:lvlJc w:val="left"/>
      <w:pPr>
        <w:tabs>
          <w:tab w:val="num" w:pos="709"/>
        </w:tabs>
        <w:ind w:left="709" w:hanging="709"/>
      </w:pPr>
      <w:rPr>
        <w:rFonts w:ascii="Arial" w:hAnsi="Arial" w:cs="Times New Roman" w:hint="default"/>
        <w:b w:val="0"/>
        <w:i w:val="0"/>
        <w:sz w:val="20"/>
      </w:rPr>
    </w:lvl>
    <w:lvl w:ilvl="1">
      <w:start w:val="1"/>
      <w:numFmt w:val="decimal"/>
      <w:pStyle w:val="Heading2"/>
      <w:lvlText w:val="%1.%2"/>
      <w:lvlJc w:val="left"/>
      <w:pPr>
        <w:tabs>
          <w:tab w:val="num" w:pos="709"/>
        </w:tabs>
        <w:ind w:left="709" w:hanging="709"/>
      </w:pPr>
      <w:rPr>
        <w:rFonts w:ascii="Arial" w:hAnsi="Arial" w:cs="Times New Roman" w:hint="default"/>
        <w:b w:val="0"/>
        <w:i w:val="0"/>
        <w:sz w:val="20"/>
      </w:rPr>
    </w:lvl>
    <w:lvl w:ilvl="2">
      <w:start w:val="1"/>
      <w:numFmt w:val="decimal"/>
      <w:pStyle w:val="Heading3"/>
      <w:lvlText w:val="(%3)"/>
      <w:lvlJc w:val="left"/>
      <w:pPr>
        <w:tabs>
          <w:tab w:val="num" w:pos="1418"/>
        </w:tabs>
        <w:ind w:left="1418" w:hanging="709"/>
      </w:pPr>
      <w:rPr>
        <w:rFonts w:ascii="Arial" w:hAnsi="Arial" w:cs="Times New Roman" w:hint="default"/>
        <w:b w:val="0"/>
        <w:i w:val="0"/>
        <w:sz w:val="20"/>
      </w:rPr>
    </w:lvl>
    <w:lvl w:ilvl="3">
      <w:start w:val="1"/>
      <w:numFmt w:val="lowerLetter"/>
      <w:pStyle w:val="Heading4"/>
      <w:lvlText w:val="(%4)"/>
      <w:lvlJc w:val="left"/>
      <w:pPr>
        <w:tabs>
          <w:tab w:val="num" w:pos="2126"/>
        </w:tabs>
        <w:ind w:left="2126" w:hanging="708"/>
      </w:pPr>
      <w:rPr>
        <w:rFonts w:ascii="Arial" w:hAnsi="Arial" w:cs="Times New Roman" w:hint="default"/>
        <w:b w:val="0"/>
        <w:i w:val="0"/>
        <w:sz w:val="20"/>
      </w:rPr>
    </w:lvl>
    <w:lvl w:ilvl="4">
      <w:start w:val="1"/>
      <w:numFmt w:val="lowerRoman"/>
      <w:pStyle w:val="Heading5"/>
      <w:lvlText w:val="(%5)"/>
      <w:lvlJc w:val="left"/>
      <w:pPr>
        <w:tabs>
          <w:tab w:val="num" w:pos="2835"/>
        </w:tabs>
        <w:ind w:left="2835" w:hanging="709"/>
      </w:pPr>
      <w:rPr>
        <w:rFonts w:ascii="Arial" w:hAnsi="Arial" w:cs="Times New Roman" w:hint="default"/>
        <w:b w:val="0"/>
        <w:i w:val="0"/>
        <w:sz w:val="20"/>
      </w:rPr>
    </w:lvl>
    <w:lvl w:ilvl="5">
      <w:start w:val="1"/>
      <w:numFmt w:val="upperLetter"/>
      <w:pStyle w:val="Heading6"/>
      <w:lvlText w:val="(%6)"/>
      <w:lvlJc w:val="left"/>
      <w:pPr>
        <w:tabs>
          <w:tab w:val="num" w:pos="3544"/>
        </w:tabs>
        <w:ind w:left="3544" w:hanging="709"/>
      </w:pPr>
      <w:rPr>
        <w:rFonts w:ascii="Arial" w:hAnsi="Arial"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nsid w:val="0B197B29"/>
    <w:multiLevelType w:val="hybridMultilevel"/>
    <w:tmpl w:val="336C3C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B3B14D5"/>
    <w:multiLevelType w:val="hybridMultilevel"/>
    <w:tmpl w:val="A1EC73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E4650EA"/>
    <w:multiLevelType w:val="hybridMultilevel"/>
    <w:tmpl w:val="175EC154"/>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7485011"/>
    <w:multiLevelType w:val="hybridMultilevel"/>
    <w:tmpl w:val="E85EEA8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8134071"/>
    <w:multiLevelType w:val="hybridMultilevel"/>
    <w:tmpl w:val="274E2336"/>
    <w:lvl w:ilvl="0" w:tplc="5122D9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9656C99"/>
    <w:multiLevelType w:val="hybridMultilevel"/>
    <w:tmpl w:val="16F07CD2"/>
    <w:lvl w:ilvl="0" w:tplc="0C090001">
      <w:start w:val="1"/>
      <w:numFmt w:val="bullet"/>
      <w:lvlText w:val=""/>
      <w:lvlJc w:val="left"/>
      <w:pPr>
        <w:ind w:left="1133" w:hanging="566"/>
      </w:pPr>
      <w:rPr>
        <w:rFonts w:ascii="Symbol" w:hAnsi="Symbol"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CE93A96"/>
    <w:multiLevelType w:val="hybridMultilevel"/>
    <w:tmpl w:val="54DCF94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9F6560"/>
    <w:multiLevelType w:val="hybridMultilevel"/>
    <w:tmpl w:val="796C82F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DF6E90"/>
    <w:multiLevelType w:val="hybridMultilevel"/>
    <w:tmpl w:val="A60EE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2533AE"/>
    <w:multiLevelType w:val="hybridMultilevel"/>
    <w:tmpl w:val="1E367628"/>
    <w:lvl w:ilvl="0" w:tplc="0C09000F">
      <w:start w:val="1"/>
      <w:numFmt w:val="decimal"/>
      <w:lvlText w:val="%1."/>
      <w:lvlJc w:val="left"/>
      <w:pPr>
        <w:ind w:left="644"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C310C55"/>
    <w:multiLevelType w:val="hybridMultilevel"/>
    <w:tmpl w:val="8BFCA5CA"/>
    <w:lvl w:ilvl="0" w:tplc="2438BB6A">
      <w:start w:val="1"/>
      <w:numFmt w:val="bullet"/>
      <w:pStyle w:val="ListBullet"/>
      <w:lvlText w:val="&gt;"/>
      <w:lvlJc w:val="left"/>
      <w:pPr>
        <w:ind w:left="1117" w:hanging="360"/>
      </w:pPr>
      <w:rPr>
        <w:rFonts w:ascii="Symbol" w:hAnsi="Symbol" w:hint="default"/>
        <w:color w:val="F05A5A"/>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3">
    <w:nsid w:val="2E2A2AC6"/>
    <w:multiLevelType w:val="hybridMultilevel"/>
    <w:tmpl w:val="274E2336"/>
    <w:lvl w:ilvl="0" w:tplc="5122D9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EA06292"/>
    <w:multiLevelType w:val="hybridMultilevel"/>
    <w:tmpl w:val="274E2336"/>
    <w:lvl w:ilvl="0" w:tplc="5122D9D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3BA23A7"/>
    <w:multiLevelType w:val="hybridMultilevel"/>
    <w:tmpl w:val="B31A93D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403A28E4"/>
    <w:multiLevelType w:val="hybridMultilevel"/>
    <w:tmpl w:val="95848AB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nsid w:val="424E6F34"/>
    <w:multiLevelType w:val="hybridMultilevel"/>
    <w:tmpl w:val="C04A855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nsid w:val="523201A9"/>
    <w:multiLevelType w:val="hybridMultilevel"/>
    <w:tmpl w:val="E430B5A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nsid w:val="53116921"/>
    <w:multiLevelType w:val="hybridMultilevel"/>
    <w:tmpl w:val="89F05652"/>
    <w:lvl w:ilvl="0" w:tplc="226CEC00">
      <w:start w:val="1"/>
      <w:numFmt w:val="lowerLetter"/>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53A10AFE"/>
    <w:multiLevelType w:val="hybridMultilevel"/>
    <w:tmpl w:val="C784C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52357B4"/>
    <w:multiLevelType w:val="hybridMultilevel"/>
    <w:tmpl w:val="A6B2776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2">
    <w:nsid w:val="5A44204C"/>
    <w:multiLevelType w:val="hybridMultilevel"/>
    <w:tmpl w:val="6096EE0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nsid w:val="5B2D15A0"/>
    <w:multiLevelType w:val="hybridMultilevel"/>
    <w:tmpl w:val="869EC70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nsid w:val="5B905D22"/>
    <w:multiLevelType w:val="hybridMultilevel"/>
    <w:tmpl w:val="6C5679B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nsid w:val="5E0A6F8D"/>
    <w:multiLevelType w:val="multilevel"/>
    <w:tmpl w:val="51941ED6"/>
    <w:name w:val="RecommendationBulletedList"/>
    <w:lvl w:ilvl="0">
      <w:start w:val="1"/>
      <w:numFmt w:val="bullet"/>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nsid w:val="631F5FF9"/>
    <w:multiLevelType w:val="hybridMultilevel"/>
    <w:tmpl w:val="37702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6D691781"/>
    <w:multiLevelType w:val="hybridMultilevel"/>
    <w:tmpl w:val="C7A6C6C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7239471E"/>
    <w:multiLevelType w:val="hybridMultilevel"/>
    <w:tmpl w:val="2C925976"/>
    <w:lvl w:ilvl="0" w:tplc="D04C7684">
      <w:start w:val="1"/>
      <w:numFmt w:val="lowerLetter"/>
      <w:lvlText w:val="(%1)"/>
      <w:lvlJc w:val="left"/>
      <w:pPr>
        <w:ind w:left="1133" w:hanging="566"/>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9">
    <w:nsid w:val="7E2F1A86"/>
    <w:multiLevelType w:val="hybridMultilevel"/>
    <w:tmpl w:val="6B783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17"/>
  </w:num>
  <w:num w:numId="4">
    <w:abstractNumId w:val="11"/>
  </w:num>
  <w:num w:numId="5">
    <w:abstractNumId w:val="2"/>
  </w:num>
  <w:num w:numId="6">
    <w:abstractNumId w:val="20"/>
  </w:num>
  <w:num w:numId="7">
    <w:abstractNumId w:val="29"/>
  </w:num>
  <w:num w:numId="8">
    <w:abstractNumId w:val="22"/>
  </w:num>
  <w:num w:numId="9">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18"/>
  </w:num>
  <w:num w:numId="12">
    <w:abstractNumId w:val="16"/>
  </w:num>
  <w:num w:numId="13">
    <w:abstractNumId w:val="15"/>
  </w:num>
  <w:num w:numId="14">
    <w:abstractNumId w:val="13"/>
  </w:num>
  <w:num w:numId="15">
    <w:abstractNumId w:val="14"/>
  </w:num>
  <w:num w:numId="16">
    <w:abstractNumId w:val="6"/>
  </w:num>
  <w:num w:numId="17">
    <w:abstractNumId w:val="21"/>
  </w:num>
  <w:num w:numId="18">
    <w:abstractNumId w:val="3"/>
  </w:num>
  <w:num w:numId="19">
    <w:abstractNumId w:val="5"/>
  </w:num>
  <w:num w:numId="20">
    <w:abstractNumId w:val="9"/>
  </w:num>
  <w:num w:numId="21">
    <w:abstractNumId w:val="10"/>
  </w:num>
  <w:num w:numId="22">
    <w:abstractNumId w:val="8"/>
  </w:num>
  <w:num w:numId="23">
    <w:abstractNumId w:val="4"/>
  </w:num>
  <w:num w:numId="24">
    <w:abstractNumId w:val="19"/>
  </w:num>
  <w:num w:numId="25">
    <w:abstractNumId w:val="27"/>
  </w:num>
  <w:num w:numId="26">
    <w:abstractNumId w:val="26"/>
  </w:num>
  <w:num w:numId="27">
    <w:abstractNumId w:val="0"/>
  </w:num>
  <w:num w:numId="28">
    <w:abstractNumId w:val="28"/>
  </w:num>
  <w:num w:numId="29">
    <w:abstractNumId w:val="24"/>
  </w:num>
  <w:num w:numId="3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567"/>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D49"/>
    <w:rsid w:val="00000C75"/>
    <w:rsid w:val="0000145B"/>
    <w:rsid w:val="000017AC"/>
    <w:rsid w:val="00003A0A"/>
    <w:rsid w:val="00003B73"/>
    <w:rsid w:val="00006FBE"/>
    <w:rsid w:val="0001035D"/>
    <w:rsid w:val="000103BC"/>
    <w:rsid w:val="000107C8"/>
    <w:rsid w:val="00011486"/>
    <w:rsid w:val="00020527"/>
    <w:rsid w:val="00020C13"/>
    <w:rsid w:val="00021E8C"/>
    <w:rsid w:val="000223F6"/>
    <w:rsid w:val="00024D56"/>
    <w:rsid w:val="00025928"/>
    <w:rsid w:val="0002690C"/>
    <w:rsid w:val="00027A5D"/>
    <w:rsid w:val="00031514"/>
    <w:rsid w:val="0003221E"/>
    <w:rsid w:val="000322B0"/>
    <w:rsid w:val="00034A88"/>
    <w:rsid w:val="0003706E"/>
    <w:rsid w:val="000374F6"/>
    <w:rsid w:val="00041273"/>
    <w:rsid w:val="000413A8"/>
    <w:rsid w:val="0004347F"/>
    <w:rsid w:val="000435D5"/>
    <w:rsid w:val="00044CD2"/>
    <w:rsid w:val="0004508C"/>
    <w:rsid w:val="00046BF0"/>
    <w:rsid w:val="00051C5C"/>
    <w:rsid w:val="0005664B"/>
    <w:rsid w:val="0006454F"/>
    <w:rsid w:val="00066D83"/>
    <w:rsid w:val="000678A8"/>
    <w:rsid w:val="00072733"/>
    <w:rsid w:val="000738FE"/>
    <w:rsid w:val="00073A24"/>
    <w:rsid w:val="000753B2"/>
    <w:rsid w:val="00075ADC"/>
    <w:rsid w:val="00076517"/>
    <w:rsid w:val="00076C10"/>
    <w:rsid w:val="00077145"/>
    <w:rsid w:val="00077A8B"/>
    <w:rsid w:val="00080DD5"/>
    <w:rsid w:val="00081D1C"/>
    <w:rsid w:val="000822E7"/>
    <w:rsid w:val="0008601B"/>
    <w:rsid w:val="00086089"/>
    <w:rsid w:val="0008685F"/>
    <w:rsid w:val="00090B9E"/>
    <w:rsid w:val="00090D8C"/>
    <w:rsid w:val="00091009"/>
    <w:rsid w:val="00094B3C"/>
    <w:rsid w:val="00094E8C"/>
    <w:rsid w:val="000956D2"/>
    <w:rsid w:val="000961D8"/>
    <w:rsid w:val="000978B3"/>
    <w:rsid w:val="000A0DE4"/>
    <w:rsid w:val="000A145D"/>
    <w:rsid w:val="000A19F0"/>
    <w:rsid w:val="000A1C65"/>
    <w:rsid w:val="000A25B8"/>
    <w:rsid w:val="000A2A89"/>
    <w:rsid w:val="000A3AF1"/>
    <w:rsid w:val="000A4A68"/>
    <w:rsid w:val="000A4F22"/>
    <w:rsid w:val="000A774D"/>
    <w:rsid w:val="000A7832"/>
    <w:rsid w:val="000B0E68"/>
    <w:rsid w:val="000B10B7"/>
    <w:rsid w:val="000B13E1"/>
    <w:rsid w:val="000B153E"/>
    <w:rsid w:val="000B1C87"/>
    <w:rsid w:val="000B42CD"/>
    <w:rsid w:val="000B488A"/>
    <w:rsid w:val="000B59C6"/>
    <w:rsid w:val="000B7B50"/>
    <w:rsid w:val="000C070B"/>
    <w:rsid w:val="000C111D"/>
    <w:rsid w:val="000C115E"/>
    <w:rsid w:val="000C27BD"/>
    <w:rsid w:val="000C31C6"/>
    <w:rsid w:val="000C43AC"/>
    <w:rsid w:val="000D022F"/>
    <w:rsid w:val="000D0DE1"/>
    <w:rsid w:val="000D1DCA"/>
    <w:rsid w:val="000D215D"/>
    <w:rsid w:val="000D5560"/>
    <w:rsid w:val="000D5E7A"/>
    <w:rsid w:val="000D63E3"/>
    <w:rsid w:val="000D64EC"/>
    <w:rsid w:val="000D669A"/>
    <w:rsid w:val="000E25FD"/>
    <w:rsid w:val="000E57C6"/>
    <w:rsid w:val="000E6275"/>
    <w:rsid w:val="000E700B"/>
    <w:rsid w:val="000F0104"/>
    <w:rsid w:val="000F19AF"/>
    <w:rsid w:val="000F3DDC"/>
    <w:rsid w:val="001004F1"/>
    <w:rsid w:val="00100721"/>
    <w:rsid w:val="001013B1"/>
    <w:rsid w:val="00101B52"/>
    <w:rsid w:val="00101C58"/>
    <w:rsid w:val="001032E7"/>
    <w:rsid w:val="00103A14"/>
    <w:rsid w:val="00103AF6"/>
    <w:rsid w:val="00103C4D"/>
    <w:rsid w:val="0010461B"/>
    <w:rsid w:val="0010564E"/>
    <w:rsid w:val="001062CE"/>
    <w:rsid w:val="001068C9"/>
    <w:rsid w:val="00107898"/>
    <w:rsid w:val="00110F56"/>
    <w:rsid w:val="00111125"/>
    <w:rsid w:val="001137CE"/>
    <w:rsid w:val="001146D7"/>
    <w:rsid w:val="001151A8"/>
    <w:rsid w:val="0011629E"/>
    <w:rsid w:val="001168DC"/>
    <w:rsid w:val="0012035D"/>
    <w:rsid w:val="00120A95"/>
    <w:rsid w:val="0012197F"/>
    <w:rsid w:val="00121B6B"/>
    <w:rsid w:val="00121F59"/>
    <w:rsid w:val="00124E1E"/>
    <w:rsid w:val="0012633F"/>
    <w:rsid w:val="00126AE2"/>
    <w:rsid w:val="00126B6C"/>
    <w:rsid w:val="0013152B"/>
    <w:rsid w:val="001334E3"/>
    <w:rsid w:val="001411E0"/>
    <w:rsid w:val="00141443"/>
    <w:rsid w:val="00142AA1"/>
    <w:rsid w:val="00143B94"/>
    <w:rsid w:val="0014449B"/>
    <w:rsid w:val="00145366"/>
    <w:rsid w:val="0014606F"/>
    <w:rsid w:val="001467FF"/>
    <w:rsid w:val="00146FB0"/>
    <w:rsid w:val="001471F9"/>
    <w:rsid w:val="001473A9"/>
    <w:rsid w:val="00151FFC"/>
    <w:rsid w:val="00152B15"/>
    <w:rsid w:val="0015422F"/>
    <w:rsid w:val="00154BCA"/>
    <w:rsid w:val="001555E6"/>
    <w:rsid w:val="00157D12"/>
    <w:rsid w:val="00157F7D"/>
    <w:rsid w:val="0016004E"/>
    <w:rsid w:val="00160795"/>
    <w:rsid w:val="00161453"/>
    <w:rsid w:val="00161918"/>
    <w:rsid w:val="001619D8"/>
    <w:rsid w:val="00161C15"/>
    <w:rsid w:val="001621BE"/>
    <w:rsid w:val="001637CA"/>
    <w:rsid w:val="00163CC0"/>
    <w:rsid w:val="001659AF"/>
    <w:rsid w:val="00171B3E"/>
    <w:rsid w:val="0017280E"/>
    <w:rsid w:val="00173054"/>
    <w:rsid w:val="001757B7"/>
    <w:rsid w:val="00175B92"/>
    <w:rsid w:val="001817C7"/>
    <w:rsid w:val="00181DB9"/>
    <w:rsid w:val="0018345C"/>
    <w:rsid w:val="00185C8A"/>
    <w:rsid w:val="00186AAA"/>
    <w:rsid w:val="00190CDC"/>
    <w:rsid w:val="001932A8"/>
    <w:rsid w:val="001955A1"/>
    <w:rsid w:val="00196D8E"/>
    <w:rsid w:val="00197F4B"/>
    <w:rsid w:val="001A61F4"/>
    <w:rsid w:val="001A6F4B"/>
    <w:rsid w:val="001B0662"/>
    <w:rsid w:val="001B3BB8"/>
    <w:rsid w:val="001B471E"/>
    <w:rsid w:val="001B6552"/>
    <w:rsid w:val="001C1C67"/>
    <w:rsid w:val="001C1F1D"/>
    <w:rsid w:val="001C20B4"/>
    <w:rsid w:val="001C6B50"/>
    <w:rsid w:val="001C7BF6"/>
    <w:rsid w:val="001D01DD"/>
    <w:rsid w:val="001D0EBB"/>
    <w:rsid w:val="001D3F13"/>
    <w:rsid w:val="001D588E"/>
    <w:rsid w:val="001D62F1"/>
    <w:rsid w:val="001D7BE9"/>
    <w:rsid w:val="001D7E92"/>
    <w:rsid w:val="001E24FE"/>
    <w:rsid w:val="001E50C7"/>
    <w:rsid w:val="001F00C3"/>
    <w:rsid w:val="001F16E7"/>
    <w:rsid w:val="001F1AFF"/>
    <w:rsid w:val="001F2537"/>
    <w:rsid w:val="001F38EE"/>
    <w:rsid w:val="001F40C8"/>
    <w:rsid w:val="001F551B"/>
    <w:rsid w:val="001F5A71"/>
    <w:rsid w:val="001F7772"/>
    <w:rsid w:val="001F7BF5"/>
    <w:rsid w:val="001F7F3A"/>
    <w:rsid w:val="002006D8"/>
    <w:rsid w:val="00201243"/>
    <w:rsid w:val="00204EA9"/>
    <w:rsid w:val="002055C8"/>
    <w:rsid w:val="00206298"/>
    <w:rsid w:val="00206343"/>
    <w:rsid w:val="00210431"/>
    <w:rsid w:val="00210711"/>
    <w:rsid w:val="00211361"/>
    <w:rsid w:val="0021411C"/>
    <w:rsid w:val="00215B53"/>
    <w:rsid w:val="00221521"/>
    <w:rsid w:val="00222A17"/>
    <w:rsid w:val="00223A75"/>
    <w:rsid w:val="002278D3"/>
    <w:rsid w:val="00230777"/>
    <w:rsid w:val="00230D00"/>
    <w:rsid w:val="0023306D"/>
    <w:rsid w:val="00235884"/>
    <w:rsid w:val="00235ADA"/>
    <w:rsid w:val="00236522"/>
    <w:rsid w:val="00237CB0"/>
    <w:rsid w:val="00250317"/>
    <w:rsid w:val="00250DAD"/>
    <w:rsid w:val="00251CFB"/>
    <w:rsid w:val="0025400A"/>
    <w:rsid w:val="002546E4"/>
    <w:rsid w:val="00255F57"/>
    <w:rsid w:val="002568D7"/>
    <w:rsid w:val="002572DE"/>
    <w:rsid w:val="002669EB"/>
    <w:rsid w:val="0026712C"/>
    <w:rsid w:val="002704E8"/>
    <w:rsid w:val="0027116A"/>
    <w:rsid w:val="00271FB1"/>
    <w:rsid w:val="002725AB"/>
    <w:rsid w:val="0027264B"/>
    <w:rsid w:val="00272AC7"/>
    <w:rsid w:val="00273384"/>
    <w:rsid w:val="00275AAB"/>
    <w:rsid w:val="00280948"/>
    <w:rsid w:val="00280B38"/>
    <w:rsid w:val="00281B52"/>
    <w:rsid w:val="00285927"/>
    <w:rsid w:val="002870C0"/>
    <w:rsid w:val="002870FB"/>
    <w:rsid w:val="00287C76"/>
    <w:rsid w:val="00290081"/>
    <w:rsid w:val="00293B60"/>
    <w:rsid w:val="00296564"/>
    <w:rsid w:val="00296B8B"/>
    <w:rsid w:val="002A37E5"/>
    <w:rsid w:val="002A3C1C"/>
    <w:rsid w:val="002A7F70"/>
    <w:rsid w:val="002B10AE"/>
    <w:rsid w:val="002B16A8"/>
    <w:rsid w:val="002B186B"/>
    <w:rsid w:val="002B24A4"/>
    <w:rsid w:val="002B4FD9"/>
    <w:rsid w:val="002B5F94"/>
    <w:rsid w:val="002B6E0B"/>
    <w:rsid w:val="002B7D49"/>
    <w:rsid w:val="002C2F98"/>
    <w:rsid w:val="002C364A"/>
    <w:rsid w:val="002C426B"/>
    <w:rsid w:val="002C46FA"/>
    <w:rsid w:val="002C4A2D"/>
    <w:rsid w:val="002C56DD"/>
    <w:rsid w:val="002C6C4A"/>
    <w:rsid w:val="002C6E97"/>
    <w:rsid w:val="002C77BC"/>
    <w:rsid w:val="002E0B1C"/>
    <w:rsid w:val="002E45E8"/>
    <w:rsid w:val="002E63D9"/>
    <w:rsid w:val="002F294D"/>
    <w:rsid w:val="002F29D4"/>
    <w:rsid w:val="002F3307"/>
    <w:rsid w:val="002F52E4"/>
    <w:rsid w:val="002F5651"/>
    <w:rsid w:val="002F5DF9"/>
    <w:rsid w:val="002F6357"/>
    <w:rsid w:val="002F7A77"/>
    <w:rsid w:val="0030059A"/>
    <w:rsid w:val="003016AB"/>
    <w:rsid w:val="00301A87"/>
    <w:rsid w:val="00304564"/>
    <w:rsid w:val="00304B84"/>
    <w:rsid w:val="00304D9D"/>
    <w:rsid w:val="0030686D"/>
    <w:rsid w:val="003071CC"/>
    <w:rsid w:val="00307AAA"/>
    <w:rsid w:val="00312ADB"/>
    <w:rsid w:val="00316B9C"/>
    <w:rsid w:val="003170F1"/>
    <w:rsid w:val="00322809"/>
    <w:rsid w:val="003231CB"/>
    <w:rsid w:val="00324B94"/>
    <w:rsid w:val="0032501B"/>
    <w:rsid w:val="0032599C"/>
    <w:rsid w:val="00330C95"/>
    <w:rsid w:val="00332057"/>
    <w:rsid w:val="00336818"/>
    <w:rsid w:val="00340F52"/>
    <w:rsid w:val="00340F68"/>
    <w:rsid w:val="003415B6"/>
    <w:rsid w:val="003428D2"/>
    <w:rsid w:val="00343C08"/>
    <w:rsid w:val="00345179"/>
    <w:rsid w:val="003456D4"/>
    <w:rsid w:val="00346E45"/>
    <w:rsid w:val="00354922"/>
    <w:rsid w:val="0035597F"/>
    <w:rsid w:val="00362EC1"/>
    <w:rsid w:val="0036655A"/>
    <w:rsid w:val="00366BA6"/>
    <w:rsid w:val="003672E1"/>
    <w:rsid w:val="00367E58"/>
    <w:rsid w:val="00370E09"/>
    <w:rsid w:val="0037264D"/>
    <w:rsid w:val="003730FC"/>
    <w:rsid w:val="00376CE3"/>
    <w:rsid w:val="00376DEC"/>
    <w:rsid w:val="00380E8A"/>
    <w:rsid w:val="003819D1"/>
    <w:rsid w:val="003829BE"/>
    <w:rsid w:val="00384053"/>
    <w:rsid w:val="00384406"/>
    <w:rsid w:val="00384B02"/>
    <w:rsid w:val="00394670"/>
    <w:rsid w:val="003953A5"/>
    <w:rsid w:val="00396409"/>
    <w:rsid w:val="003A594F"/>
    <w:rsid w:val="003A5968"/>
    <w:rsid w:val="003A5BD3"/>
    <w:rsid w:val="003B04E9"/>
    <w:rsid w:val="003B509B"/>
    <w:rsid w:val="003B5DD3"/>
    <w:rsid w:val="003B6C43"/>
    <w:rsid w:val="003B74B2"/>
    <w:rsid w:val="003C1C06"/>
    <w:rsid w:val="003C3B8B"/>
    <w:rsid w:val="003C4405"/>
    <w:rsid w:val="003D08CE"/>
    <w:rsid w:val="003D261B"/>
    <w:rsid w:val="003D2A30"/>
    <w:rsid w:val="003D2E9E"/>
    <w:rsid w:val="003D617D"/>
    <w:rsid w:val="003D7B25"/>
    <w:rsid w:val="003E06E3"/>
    <w:rsid w:val="003E1D46"/>
    <w:rsid w:val="003E4C9C"/>
    <w:rsid w:val="003E5EDC"/>
    <w:rsid w:val="003E7235"/>
    <w:rsid w:val="003E7681"/>
    <w:rsid w:val="003F07B1"/>
    <w:rsid w:val="003F10C4"/>
    <w:rsid w:val="003F16D4"/>
    <w:rsid w:val="003F2DAF"/>
    <w:rsid w:val="003F5618"/>
    <w:rsid w:val="003F5816"/>
    <w:rsid w:val="003F5904"/>
    <w:rsid w:val="003F6063"/>
    <w:rsid w:val="00401BEF"/>
    <w:rsid w:val="0040281B"/>
    <w:rsid w:val="00402E70"/>
    <w:rsid w:val="00404347"/>
    <w:rsid w:val="004044AD"/>
    <w:rsid w:val="004050C0"/>
    <w:rsid w:val="004063C7"/>
    <w:rsid w:val="00414005"/>
    <w:rsid w:val="00415C7F"/>
    <w:rsid w:val="004164DB"/>
    <w:rsid w:val="00416CD7"/>
    <w:rsid w:val="004200F5"/>
    <w:rsid w:val="00423D19"/>
    <w:rsid w:val="00431833"/>
    <w:rsid w:val="004326B6"/>
    <w:rsid w:val="0043324A"/>
    <w:rsid w:val="004339CD"/>
    <w:rsid w:val="00436D5C"/>
    <w:rsid w:val="00440BF0"/>
    <w:rsid w:val="0044131A"/>
    <w:rsid w:val="00441826"/>
    <w:rsid w:val="00442045"/>
    <w:rsid w:val="0044212F"/>
    <w:rsid w:val="00442F2E"/>
    <w:rsid w:val="00443066"/>
    <w:rsid w:val="00446ED5"/>
    <w:rsid w:val="004518AB"/>
    <w:rsid w:val="00454627"/>
    <w:rsid w:val="0045763D"/>
    <w:rsid w:val="004600FF"/>
    <w:rsid w:val="0046061F"/>
    <w:rsid w:val="004608A1"/>
    <w:rsid w:val="004622BF"/>
    <w:rsid w:val="004645B8"/>
    <w:rsid w:val="004646DD"/>
    <w:rsid w:val="00464950"/>
    <w:rsid w:val="00466003"/>
    <w:rsid w:val="00466DD3"/>
    <w:rsid w:val="00470CFD"/>
    <w:rsid w:val="0047246C"/>
    <w:rsid w:val="00472DA5"/>
    <w:rsid w:val="00475680"/>
    <w:rsid w:val="004773A5"/>
    <w:rsid w:val="004778E2"/>
    <w:rsid w:val="004779CD"/>
    <w:rsid w:val="00483E90"/>
    <w:rsid w:val="00484066"/>
    <w:rsid w:val="00484884"/>
    <w:rsid w:val="0048617E"/>
    <w:rsid w:val="00487960"/>
    <w:rsid w:val="00487D4E"/>
    <w:rsid w:val="00487E48"/>
    <w:rsid w:val="0049183C"/>
    <w:rsid w:val="004931C3"/>
    <w:rsid w:val="0049324A"/>
    <w:rsid w:val="00493A39"/>
    <w:rsid w:val="0049479D"/>
    <w:rsid w:val="004A042F"/>
    <w:rsid w:val="004A3116"/>
    <w:rsid w:val="004A37B1"/>
    <w:rsid w:val="004A3896"/>
    <w:rsid w:val="004A3F42"/>
    <w:rsid w:val="004A4090"/>
    <w:rsid w:val="004A4AC6"/>
    <w:rsid w:val="004B3B18"/>
    <w:rsid w:val="004B3D94"/>
    <w:rsid w:val="004B66BB"/>
    <w:rsid w:val="004B6DF6"/>
    <w:rsid w:val="004B7581"/>
    <w:rsid w:val="004C02DC"/>
    <w:rsid w:val="004C248C"/>
    <w:rsid w:val="004C3B61"/>
    <w:rsid w:val="004C46F4"/>
    <w:rsid w:val="004C508C"/>
    <w:rsid w:val="004C5AEC"/>
    <w:rsid w:val="004C5DFB"/>
    <w:rsid w:val="004C6D83"/>
    <w:rsid w:val="004C7184"/>
    <w:rsid w:val="004D2B58"/>
    <w:rsid w:val="004D342A"/>
    <w:rsid w:val="004D4B6A"/>
    <w:rsid w:val="004D5D90"/>
    <w:rsid w:val="004D7776"/>
    <w:rsid w:val="004E0CDB"/>
    <w:rsid w:val="004E22FB"/>
    <w:rsid w:val="004E2B0D"/>
    <w:rsid w:val="004E2E34"/>
    <w:rsid w:val="004E30B7"/>
    <w:rsid w:val="004E3E6B"/>
    <w:rsid w:val="004E42B3"/>
    <w:rsid w:val="004E55A9"/>
    <w:rsid w:val="004E5B8C"/>
    <w:rsid w:val="004F21E9"/>
    <w:rsid w:val="004F2C55"/>
    <w:rsid w:val="004F2F96"/>
    <w:rsid w:val="004F63BF"/>
    <w:rsid w:val="00500B93"/>
    <w:rsid w:val="00501F78"/>
    <w:rsid w:val="00502088"/>
    <w:rsid w:val="0050484F"/>
    <w:rsid w:val="005054F2"/>
    <w:rsid w:val="00507FB3"/>
    <w:rsid w:val="00510370"/>
    <w:rsid w:val="005105B2"/>
    <w:rsid w:val="005126BE"/>
    <w:rsid w:val="0051374A"/>
    <w:rsid w:val="005140B3"/>
    <w:rsid w:val="00515954"/>
    <w:rsid w:val="005159A9"/>
    <w:rsid w:val="00516B66"/>
    <w:rsid w:val="005208AD"/>
    <w:rsid w:val="00520AE0"/>
    <w:rsid w:val="00521AF8"/>
    <w:rsid w:val="0052266F"/>
    <w:rsid w:val="005232E1"/>
    <w:rsid w:val="00532D42"/>
    <w:rsid w:val="005335DE"/>
    <w:rsid w:val="00533D02"/>
    <w:rsid w:val="00534566"/>
    <w:rsid w:val="00535128"/>
    <w:rsid w:val="005353B3"/>
    <w:rsid w:val="00535C8B"/>
    <w:rsid w:val="00537434"/>
    <w:rsid w:val="0054033C"/>
    <w:rsid w:val="0054060D"/>
    <w:rsid w:val="005411B1"/>
    <w:rsid w:val="00542BF6"/>
    <w:rsid w:val="00544368"/>
    <w:rsid w:val="00544C7A"/>
    <w:rsid w:val="00544D46"/>
    <w:rsid w:val="00546941"/>
    <w:rsid w:val="00551898"/>
    <w:rsid w:val="00552355"/>
    <w:rsid w:val="005549A9"/>
    <w:rsid w:val="005554BE"/>
    <w:rsid w:val="00555502"/>
    <w:rsid w:val="00556102"/>
    <w:rsid w:val="005607A4"/>
    <w:rsid w:val="0056265C"/>
    <w:rsid w:val="0056335E"/>
    <w:rsid w:val="00563B7F"/>
    <w:rsid w:val="00564605"/>
    <w:rsid w:val="00564AEA"/>
    <w:rsid w:val="005673F4"/>
    <w:rsid w:val="00571C3D"/>
    <w:rsid w:val="00573DBC"/>
    <w:rsid w:val="00574CE1"/>
    <w:rsid w:val="00580108"/>
    <w:rsid w:val="005816D8"/>
    <w:rsid w:val="00581835"/>
    <w:rsid w:val="0058330D"/>
    <w:rsid w:val="00584C6D"/>
    <w:rsid w:val="00590382"/>
    <w:rsid w:val="00593204"/>
    <w:rsid w:val="005A036F"/>
    <w:rsid w:val="005A438E"/>
    <w:rsid w:val="005A5132"/>
    <w:rsid w:val="005A6285"/>
    <w:rsid w:val="005A7DF1"/>
    <w:rsid w:val="005B1876"/>
    <w:rsid w:val="005B1968"/>
    <w:rsid w:val="005B54EC"/>
    <w:rsid w:val="005B5820"/>
    <w:rsid w:val="005B5BE4"/>
    <w:rsid w:val="005B6260"/>
    <w:rsid w:val="005B6933"/>
    <w:rsid w:val="005B6E15"/>
    <w:rsid w:val="005B7C68"/>
    <w:rsid w:val="005C29D5"/>
    <w:rsid w:val="005C410D"/>
    <w:rsid w:val="005C4613"/>
    <w:rsid w:val="005C5D71"/>
    <w:rsid w:val="005C723A"/>
    <w:rsid w:val="005C7380"/>
    <w:rsid w:val="005C7543"/>
    <w:rsid w:val="005D0E5B"/>
    <w:rsid w:val="005D49AF"/>
    <w:rsid w:val="005D4C25"/>
    <w:rsid w:val="005D6C25"/>
    <w:rsid w:val="005D70DB"/>
    <w:rsid w:val="005D7A63"/>
    <w:rsid w:val="005E2542"/>
    <w:rsid w:val="005E3691"/>
    <w:rsid w:val="005E371A"/>
    <w:rsid w:val="005E4832"/>
    <w:rsid w:val="005E488D"/>
    <w:rsid w:val="005E4F60"/>
    <w:rsid w:val="005E54D9"/>
    <w:rsid w:val="005E56CE"/>
    <w:rsid w:val="005E596C"/>
    <w:rsid w:val="005E6C3D"/>
    <w:rsid w:val="005F03FC"/>
    <w:rsid w:val="005F0A3C"/>
    <w:rsid w:val="005F1C6A"/>
    <w:rsid w:val="005F24DF"/>
    <w:rsid w:val="005F2707"/>
    <w:rsid w:val="005F2848"/>
    <w:rsid w:val="005F3ECE"/>
    <w:rsid w:val="005F4F49"/>
    <w:rsid w:val="005F5B1E"/>
    <w:rsid w:val="005F7038"/>
    <w:rsid w:val="005F77D5"/>
    <w:rsid w:val="00601E48"/>
    <w:rsid w:val="00602916"/>
    <w:rsid w:val="00602B36"/>
    <w:rsid w:val="00603C1B"/>
    <w:rsid w:val="00605E88"/>
    <w:rsid w:val="00607D4A"/>
    <w:rsid w:val="0061027D"/>
    <w:rsid w:val="006106C0"/>
    <w:rsid w:val="006113A4"/>
    <w:rsid w:val="006113DC"/>
    <w:rsid w:val="006121E9"/>
    <w:rsid w:val="006141BF"/>
    <w:rsid w:val="00620B68"/>
    <w:rsid w:val="00620D1D"/>
    <w:rsid w:val="00623812"/>
    <w:rsid w:val="00623A9E"/>
    <w:rsid w:val="00625861"/>
    <w:rsid w:val="00626721"/>
    <w:rsid w:val="00626B7C"/>
    <w:rsid w:val="00627323"/>
    <w:rsid w:val="00633DBD"/>
    <w:rsid w:val="00634209"/>
    <w:rsid w:val="00634429"/>
    <w:rsid w:val="00634B8F"/>
    <w:rsid w:val="006354E4"/>
    <w:rsid w:val="00636482"/>
    <w:rsid w:val="0064073A"/>
    <w:rsid w:val="00640B5A"/>
    <w:rsid w:val="00642031"/>
    <w:rsid w:val="00643998"/>
    <w:rsid w:val="00644CF3"/>
    <w:rsid w:val="00646752"/>
    <w:rsid w:val="0064773D"/>
    <w:rsid w:val="006477F4"/>
    <w:rsid w:val="00650555"/>
    <w:rsid w:val="00650CC4"/>
    <w:rsid w:val="00651AC0"/>
    <w:rsid w:val="0065261E"/>
    <w:rsid w:val="00655011"/>
    <w:rsid w:val="00656E67"/>
    <w:rsid w:val="006603C7"/>
    <w:rsid w:val="00660F54"/>
    <w:rsid w:val="006631CB"/>
    <w:rsid w:val="00664B00"/>
    <w:rsid w:val="00665A9B"/>
    <w:rsid w:val="00670635"/>
    <w:rsid w:val="00672577"/>
    <w:rsid w:val="006728EE"/>
    <w:rsid w:val="0067462C"/>
    <w:rsid w:val="00675429"/>
    <w:rsid w:val="00676530"/>
    <w:rsid w:val="00677AB2"/>
    <w:rsid w:val="00683E22"/>
    <w:rsid w:val="00684F7D"/>
    <w:rsid w:val="00690C82"/>
    <w:rsid w:val="0069295E"/>
    <w:rsid w:val="00692B1C"/>
    <w:rsid w:val="006931F4"/>
    <w:rsid w:val="006935AB"/>
    <w:rsid w:val="00695AB6"/>
    <w:rsid w:val="00697ED8"/>
    <w:rsid w:val="006A4255"/>
    <w:rsid w:val="006A4409"/>
    <w:rsid w:val="006A51A1"/>
    <w:rsid w:val="006A52D5"/>
    <w:rsid w:val="006A619F"/>
    <w:rsid w:val="006A63C3"/>
    <w:rsid w:val="006B16AF"/>
    <w:rsid w:val="006B22DD"/>
    <w:rsid w:val="006B5139"/>
    <w:rsid w:val="006B5A2E"/>
    <w:rsid w:val="006B6E36"/>
    <w:rsid w:val="006C0A85"/>
    <w:rsid w:val="006C0C58"/>
    <w:rsid w:val="006C0CE4"/>
    <w:rsid w:val="006C1D05"/>
    <w:rsid w:val="006C2A8C"/>
    <w:rsid w:val="006C4AC3"/>
    <w:rsid w:val="006C7132"/>
    <w:rsid w:val="006D0891"/>
    <w:rsid w:val="006D1168"/>
    <w:rsid w:val="006D2A41"/>
    <w:rsid w:val="006D2F82"/>
    <w:rsid w:val="006D40B6"/>
    <w:rsid w:val="006D4CB8"/>
    <w:rsid w:val="006D5D47"/>
    <w:rsid w:val="006E0B74"/>
    <w:rsid w:val="006E3EDD"/>
    <w:rsid w:val="006E3FCD"/>
    <w:rsid w:val="006F00CB"/>
    <w:rsid w:val="006F1A41"/>
    <w:rsid w:val="006F3397"/>
    <w:rsid w:val="006F3B9C"/>
    <w:rsid w:val="006F523A"/>
    <w:rsid w:val="006F7613"/>
    <w:rsid w:val="00700CE2"/>
    <w:rsid w:val="00701B22"/>
    <w:rsid w:val="00702313"/>
    <w:rsid w:val="007047A5"/>
    <w:rsid w:val="007101A7"/>
    <w:rsid w:val="007103B2"/>
    <w:rsid w:val="0071123D"/>
    <w:rsid w:val="007123E1"/>
    <w:rsid w:val="00714B32"/>
    <w:rsid w:val="00716085"/>
    <w:rsid w:val="007169D8"/>
    <w:rsid w:val="0072111B"/>
    <w:rsid w:val="00721916"/>
    <w:rsid w:val="00721A3E"/>
    <w:rsid w:val="00722A81"/>
    <w:rsid w:val="00724412"/>
    <w:rsid w:val="00727E7B"/>
    <w:rsid w:val="00731BF9"/>
    <w:rsid w:val="007351F8"/>
    <w:rsid w:val="00736712"/>
    <w:rsid w:val="00736A9F"/>
    <w:rsid w:val="007419B0"/>
    <w:rsid w:val="00743FD2"/>
    <w:rsid w:val="00745397"/>
    <w:rsid w:val="007468D5"/>
    <w:rsid w:val="00750C2C"/>
    <w:rsid w:val="0075153B"/>
    <w:rsid w:val="00751BEC"/>
    <w:rsid w:val="0075582B"/>
    <w:rsid w:val="0076290F"/>
    <w:rsid w:val="00763192"/>
    <w:rsid w:val="0076404B"/>
    <w:rsid w:val="00767A0B"/>
    <w:rsid w:val="00770992"/>
    <w:rsid w:val="00770D9A"/>
    <w:rsid w:val="00771AD9"/>
    <w:rsid w:val="0077320D"/>
    <w:rsid w:val="00773343"/>
    <w:rsid w:val="00774458"/>
    <w:rsid w:val="00775C03"/>
    <w:rsid w:val="00777738"/>
    <w:rsid w:val="00777F87"/>
    <w:rsid w:val="00780B97"/>
    <w:rsid w:val="00781E6F"/>
    <w:rsid w:val="00782990"/>
    <w:rsid w:val="0078332C"/>
    <w:rsid w:val="00784A65"/>
    <w:rsid w:val="00785665"/>
    <w:rsid w:val="00796398"/>
    <w:rsid w:val="0079671F"/>
    <w:rsid w:val="00796EEF"/>
    <w:rsid w:val="00797F29"/>
    <w:rsid w:val="007A1AC8"/>
    <w:rsid w:val="007A2D55"/>
    <w:rsid w:val="007A61D0"/>
    <w:rsid w:val="007A65A1"/>
    <w:rsid w:val="007A6B81"/>
    <w:rsid w:val="007A744A"/>
    <w:rsid w:val="007B0306"/>
    <w:rsid w:val="007B06DB"/>
    <w:rsid w:val="007B1E84"/>
    <w:rsid w:val="007B35B1"/>
    <w:rsid w:val="007B375D"/>
    <w:rsid w:val="007B39FD"/>
    <w:rsid w:val="007B5426"/>
    <w:rsid w:val="007C09E0"/>
    <w:rsid w:val="007C2B94"/>
    <w:rsid w:val="007C3D1E"/>
    <w:rsid w:val="007C6339"/>
    <w:rsid w:val="007C7173"/>
    <w:rsid w:val="007D133E"/>
    <w:rsid w:val="007D2C27"/>
    <w:rsid w:val="007D2FF4"/>
    <w:rsid w:val="007D35B8"/>
    <w:rsid w:val="007E15BE"/>
    <w:rsid w:val="007E25CA"/>
    <w:rsid w:val="007E2FF1"/>
    <w:rsid w:val="007E3F87"/>
    <w:rsid w:val="007E49C4"/>
    <w:rsid w:val="007E5087"/>
    <w:rsid w:val="007F0B59"/>
    <w:rsid w:val="007F17E2"/>
    <w:rsid w:val="007F2B39"/>
    <w:rsid w:val="007F51D6"/>
    <w:rsid w:val="007F582A"/>
    <w:rsid w:val="007F7DB2"/>
    <w:rsid w:val="008010AE"/>
    <w:rsid w:val="00802320"/>
    <w:rsid w:val="00802DA4"/>
    <w:rsid w:val="00802E46"/>
    <w:rsid w:val="00803409"/>
    <w:rsid w:val="00803698"/>
    <w:rsid w:val="00804465"/>
    <w:rsid w:val="00805DE0"/>
    <w:rsid w:val="00810017"/>
    <w:rsid w:val="008107F7"/>
    <w:rsid w:val="00811AFC"/>
    <w:rsid w:val="00812153"/>
    <w:rsid w:val="008139AD"/>
    <w:rsid w:val="00814909"/>
    <w:rsid w:val="00815C1E"/>
    <w:rsid w:val="0081644E"/>
    <w:rsid w:val="00817F07"/>
    <w:rsid w:val="00820938"/>
    <w:rsid w:val="00820D92"/>
    <w:rsid w:val="00820FD1"/>
    <w:rsid w:val="0082363D"/>
    <w:rsid w:val="00824C28"/>
    <w:rsid w:val="008251BD"/>
    <w:rsid w:val="00825549"/>
    <w:rsid w:val="0082786F"/>
    <w:rsid w:val="00827C0D"/>
    <w:rsid w:val="00830413"/>
    <w:rsid w:val="00830C6C"/>
    <w:rsid w:val="00831614"/>
    <w:rsid w:val="0083336B"/>
    <w:rsid w:val="00834224"/>
    <w:rsid w:val="00835715"/>
    <w:rsid w:val="008401AF"/>
    <w:rsid w:val="00841EEC"/>
    <w:rsid w:val="00843CED"/>
    <w:rsid w:val="00844C69"/>
    <w:rsid w:val="00844DB2"/>
    <w:rsid w:val="00845288"/>
    <w:rsid w:val="00846E59"/>
    <w:rsid w:val="00850151"/>
    <w:rsid w:val="0085145A"/>
    <w:rsid w:val="008524FC"/>
    <w:rsid w:val="00853FCA"/>
    <w:rsid w:val="00854A99"/>
    <w:rsid w:val="0085631C"/>
    <w:rsid w:val="00856A2D"/>
    <w:rsid w:val="00856EC6"/>
    <w:rsid w:val="00857280"/>
    <w:rsid w:val="008576D2"/>
    <w:rsid w:val="00857B0D"/>
    <w:rsid w:val="00860D1D"/>
    <w:rsid w:val="00861DDA"/>
    <w:rsid w:val="0086229A"/>
    <w:rsid w:val="0086229C"/>
    <w:rsid w:val="008640DC"/>
    <w:rsid w:val="00865290"/>
    <w:rsid w:val="008666E4"/>
    <w:rsid w:val="00866750"/>
    <w:rsid w:val="00866A8E"/>
    <w:rsid w:val="00866AF0"/>
    <w:rsid w:val="008677B1"/>
    <w:rsid w:val="00872271"/>
    <w:rsid w:val="00872279"/>
    <w:rsid w:val="00872473"/>
    <w:rsid w:val="00874C6C"/>
    <w:rsid w:val="0088001A"/>
    <w:rsid w:val="008814AC"/>
    <w:rsid w:val="0088229C"/>
    <w:rsid w:val="008833E0"/>
    <w:rsid w:val="00886C1A"/>
    <w:rsid w:val="00890654"/>
    <w:rsid w:val="00890791"/>
    <w:rsid w:val="00893053"/>
    <w:rsid w:val="00893F8D"/>
    <w:rsid w:val="00894F7E"/>
    <w:rsid w:val="00896AE3"/>
    <w:rsid w:val="00896C50"/>
    <w:rsid w:val="00897FDA"/>
    <w:rsid w:val="008A0EA4"/>
    <w:rsid w:val="008A1F54"/>
    <w:rsid w:val="008A2618"/>
    <w:rsid w:val="008A2627"/>
    <w:rsid w:val="008A2B38"/>
    <w:rsid w:val="008A4D6A"/>
    <w:rsid w:val="008A60C9"/>
    <w:rsid w:val="008A7150"/>
    <w:rsid w:val="008B23ED"/>
    <w:rsid w:val="008B55E5"/>
    <w:rsid w:val="008B5838"/>
    <w:rsid w:val="008B7CA9"/>
    <w:rsid w:val="008C17CC"/>
    <w:rsid w:val="008C3B38"/>
    <w:rsid w:val="008C6CB8"/>
    <w:rsid w:val="008C7A85"/>
    <w:rsid w:val="008D3B04"/>
    <w:rsid w:val="008D6543"/>
    <w:rsid w:val="008D7CB5"/>
    <w:rsid w:val="008E3AE0"/>
    <w:rsid w:val="008E525B"/>
    <w:rsid w:val="008E5353"/>
    <w:rsid w:val="008E61F8"/>
    <w:rsid w:val="008E7FC5"/>
    <w:rsid w:val="008F2E6F"/>
    <w:rsid w:val="008F3750"/>
    <w:rsid w:val="008F48DE"/>
    <w:rsid w:val="008F6250"/>
    <w:rsid w:val="008F7943"/>
    <w:rsid w:val="00900F4C"/>
    <w:rsid w:val="00902F58"/>
    <w:rsid w:val="00903C39"/>
    <w:rsid w:val="00907F25"/>
    <w:rsid w:val="00914F4B"/>
    <w:rsid w:val="00915197"/>
    <w:rsid w:val="00915C20"/>
    <w:rsid w:val="00916D83"/>
    <w:rsid w:val="00917140"/>
    <w:rsid w:val="00917294"/>
    <w:rsid w:val="00921337"/>
    <w:rsid w:val="00921940"/>
    <w:rsid w:val="00921E14"/>
    <w:rsid w:val="00923BB0"/>
    <w:rsid w:val="00924C4C"/>
    <w:rsid w:val="00925776"/>
    <w:rsid w:val="00930744"/>
    <w:rsid w:val="00930E23"/>
    <w:rsid w:val="0093201E"/>
    <w:rsid w:val="009348DE"/>
    <w:rsid w:val="009355B1"/>
    <w:rsid w:val="00935914"/>
    <w:rsid w:val="009378F9"/>
    <w:rsid w:val="00941D3E"/>
    <w:rsid w:val="00944BC6"/>
    <w:rsid w:val="00944DAC"/>
    <w:rsid w:val="0094524B"/>
    <w:rsid w:val="0094587C"/>
    <w:rsid w:val="00954BB9"/>
    <w:rsid w:val="009550BA"/>
    <w:rsid w:val="00955D49"/>
    <w:rsid w:val="0095626C"/>
    <w:rsid w:val="00957246"/>
    <w:rsid w:val="00960AEF"/>
    <w:rsid w:val="00962CF4"/>
    <w:rsid w:val="00966320"/>
    <w:rsid w:val="00966A23"/>
    <w:rsid w:val="009670EE"/>
    <w:rsid w:val="009673B6"/>
    <w:rsid w:val="00967BDC"/>
    <w:rsid w:val="009711A5"/>
    <w:rsid w:val="009757D4"/>
    <w:rsid w:val="00982A03"/>
    <w:rsid w:val="00983585"/>
    <w:rsid w:val="00986019"/>
    <w:rsid w:val="00987167"/>
    <w:rsid w:val="00987E2E"/>
    <w:rsid w:val="009903CF"/>
    <w:rsid w:val="009913F2"/>
    <w:rsid w:val="00994FF4"/>
    <w:rsid w:val="009950DB"/>
    <w:rsid w:val="0099674E"/>
    <w:rsid w:val="00996D05"/>
    <w:rsid w:val="009A11C7"/>
    <w:rsid w:val="009A32DA"/>
    <w:rsid w:val="009A3A97"/>
    <w:rsid w:val="009A3B95"/>
    <w:rsid w:val="009A4AA4"/>
    <w:rsid w:val="009A65F7"/>
    <w:rsid w:val="009A66E4"/>
    <w:rsid w:val="009A693E"/>
    <w:rsid w:val="009A69CA"/>
    <w:rsid w:val="009B06D9"/>
    <w:rsid w:val="009B12A8"/>
    <w:rsid w:val="009B4490"/>
    <w:rsid w:val="009B4549"/>
    <w:rsid w:val="009B59CA"/>
    <w:rsid w:val="009B6D47"/>
    <w:rsid w:val="009B78E8"/>
    <w:rsid w:val="009C20EA"/>
    <w:rsid w:val="009C22C7"/>
    <w:rsid w:val="009C23D3"/>
    <w:rsid w:val="009C2546"/>
    <w:rsid w:val="009C33A6"/>
    <w:rsid w:val="009C435C"/>
    <w:rsid w:val="009C7C37"/>
    <w:rsid w:val="009D0ECA"/>
    <w:rsid w:val="009D1711"/>
    <w:rsid w:val="009D66F8"/>
    <w:rsid w:val="009D70CA"/>
    <w:rsid w:val="009D7778"/>
    <w:rsid w:val="009E2EA8"/>
    <w:rsid w:val="009E4501"/>
    <w:rsid w:val="009E5A1B"/>
    <w:rsid w:val="009E5EEF"/>
    <w:rsid w:val="009E7BA6"/>
    <w:rsid w:val="009F00E5"/>
    <w:rsid w:val="009F0552"/>
    <w:rsid w:val="009F2382"/>
    <w:rsid w:val="009F2E22"/>
    <w:rsid w:val="009F54C5"/>
    <w:rsid w:val="009F5C6A"/>
    <w:rsid w:val="009F6F84"/>
    <w:rsid w:val="009F7E83"/>
    <w:rsid w:val="00A00210"/>
    <w:rsid w:val="00A005D6"/>
    <w:rsid w:val="00A00C64"/>
    <w:rsid w:val="00A015A2"/>
    <w:rsid w:val="00A0237F"/>
    <w:rsid w:val="00A024E2"/>
    <w:rsid w:val="00A02B2C"/>
    <w:rsid w:val="00A02DA4"/>
    <w:rsid w:val="00A038B7"/>
    <w:rsid w:val="00A055D2"/>
    <w:rsid w:val="00A067D2"/>
    <w:rsid w:val="00A07B2F"/>
    <w:rsid w:val="00A1273E"/>
    <w:rsid w:val="00A1338C"/>
    <w:rsid w:val="00A14730"/>
    <w:rsid w:val="00A163D4"/>
    <w:rsid w:val="00A16E3F"/>
    <w:rsid w:val="00A17935"/>
    <w:rsid w:val="00A2043F"/>
    <w:rsid w:val="00A208A3"/>
    <w:rsid w:val="00A2108B"/>
    <w:rsid w:val="00A21368"/>
    <w:rsid w:val="00A253AB"/>
    <w:rsid w:val="00A25E7B"/>
    <w:rsid w:val="00A274A9"/>
    <w:rsid w:val="00A31AA9"/>
    <w:rsid w:val="00A34642"/>
    <w:rsid w:val="00A3579F"/>
    <w:rsid w:val="00A36136"/>
    <w:rsid w:val="00A37309"/>
    <w:rsid w:val="00A37418"/>
    <w:rsid w:val="00A3780C"/>
    <w:rsid w:val="00A41E84"/>
    <w:rsid w:val="00A429F0"/>
    <w:rsid w:val="00A442F1"/>
    <w:rsid w:val="00A5126B"/>
    <w:rsid w:val="00A524CF"/>
    <w:rsid w:val="00A52A7B"/>
    <w:rsid w:val="00A54668"/>
    <w:rsid w:val="00A54FD1"/>
    <w:rsid w:val="00A55BFC"/>
    <w:rsid w:val="00A5721B"/>
    <w:rsid w:val="00A60E9D"/>
    <w:rsid w:val="00A62D85"/>
    <w:rsid w:val="00A631BA"/>
    <w:rsid w:val="00A664A3"/>
    <w:rsid w:val="00A669B8"/>
    <w:rsid w:val="00A675B9"/>
    <w:rsid w:val="00A6788C"/>
    <w:rsid w:val="00A701CA"/>
    <w:rsid w:val="00A70681"/>
    <w:rsid w:val="00A71BD5"/>
    <w:rsid w:val="00A7214A"/>
    <w:rsid w:val="00A725CF"/>
    <w:rsid w:val="00A732EF"/>
    <w:rsid w:val="00A76949"/>
    <w:rsid w:val="00A80DDD"/>
    <w:rsid w:val="00A80E06"/>
    <w:rsid w:val="00A8235F"/>
    <w:rsid w:val="00A83A6B"/>
    <w:rsid w:val="00A85AB1"/>
    <w:rsid w:val="00A8762D"/>
    <w:rsid w:val="00A9041D"/>
    <w:rsid w:val="00A90C66"/>
    <w:rsid w:val="00A918FA"/>
    <w:rsid w:val="00A9246F"/>
    <w:rsid w:val="00A929CA"/>
    <w:rsid w:val="00A9341E"/>
    <w:rsid w:val="00A938A3"/>
    <w:rsid w:val="00A939E3"/>
    <w:rsid w:val="00A94762"/>
    <w:rsid w:val="00A95309"/>
    <w:rsid w:val="00A953AB"/>
    <w:rsid w:val="00A955E2"/>
    <w:rsid w:val="00A96C6F"/>
    <w:rsid w:val="00A9709D"/>
    <w:rsid w:val="00A974A7"/>
    <w:rsid w:val="00AA00D2"/>
    <w:rsid w:val="00AA0D92"/>
    <w:rsid w:val="00AA0E34"/>
    <w:rsid w:val="00AA148B"/>
    <w:rsid w:val="00AA23FC"/>
    <w:rsid w:val="00AA268B"/>
    <w:rsid w:val="00AA498B"/>
    <w:rsid w:val="00AA7E07"/>
    <w:rsid w:val="00AB09BF"/>
    <w:rsid w:val="00AB1A9E"/>
    <w:rsid w:val="00AB3869"/>
    <w:rsid w:val="00AB6C22"/>
    <w:rsid w:val="00AC02AA"/>
    <w:rsid w:val="00AC06F0"/>
    <w:rsid w:val="00AC0D45"/>
    <w:rsid w:val="00AC2C00"/>
    <w:rsid w:val="00AC2DBF"/>
    <w:rsid w:val="00AC3393"/>
    <w:rsid w:val="00AC6A53"/>
    <w:rsid w:val="00AD090F"/>
    <w:rsid w:val="00AD150B"/>
    <w:rsid w:val="00AD188F"/>
    <w:rsid w:val="00AD1B1C"/>
    <w:rsid w:val="00AD34FD"/>
    <w:rsid w:val="00AD5A3E"/>
    <w:rsid w:val="00AD6938"/>
    <w:rsid w:val="00AD7705"/>
    <w:rsid w:val="00AD7A32"/>
    <w:rsid w:val="00AE0A5A"/>
    <w:rsid w:val="00AE1FE1"/>
    <w:rsid w:val="00AE34C5"/>
    <w:rsid w:val="00AE4F3D"/>
    <w:rsid w:val="00AE4FD1"/>
    <w:rsid w:val="00AE50F0"/>
    <w:rsid w:val="00AF03DE"/>
    <w:rsid w:val="00AF459A"/>
    <w:rsid w:val="00AF4B0C"/>
    <w:rsid w:val="00AF4C58"/>
    <w:rsid w:val="00AF5C0A"/>
    <w:rsid w:val="00AF5C8B"/>
    <w:rsid w:val="00AF6859"/>
    <w:rsid w:val="00AF6C0A"/>
    <w:rsid w:val="00AF79E9"/>
    <w:rsid w:val="00B001F3"/>
    <w:rsid w:val="00B01A0A"/>
    <w:rsid w:val="00B02273"/>
    <w:rsid w:val="00B04D61"/>
    <w:rsid w:val="00B07327"/>
    <w:rsid w:val="00B11BEE"/>
    <w:rsid w:val="00B11D40"/>
    <w:rsid w:val="00B131F1"/>
    <w:rsid w:val="00B135AC"/>
    <w:rsid w:val="00B13F4B"/>
    <w:rsid w:val="00B14099"/>
    <w:rsid w:val="00B152EC"/>
    <w:rsid w:val="00B1595A"/>
    <w:rsid w:val="00B16555"/>
    <w:rsid w:val="00B16CB8"/>
    <w:rsid w:val="00B20112"/>
    <w:rsid w:val="00B212AE"/>
    <w:rsid w:val="00B25F94"/>
    <w:rsid w:val="00B27990"/>
    <w:rsid w:val="00B30103"/>
    <w:rsid w:val="00B30200"/>
    <w:rsid w:val="00B304D2"/>
    <w:rsid w:val="00B34471"/>
    <w:rsid w:val="00B3730B"/>
    <w:rsid w:val="00B376D9"/>
    <w:rsid w:val="00B37AF7"/>
    <w:rsid w:val="00B418D2"/>
    <w:rsid w:val="00B42D68"/>
    <w:rsid w:val="00B445DA"/>
    <w:rsid w:val="00B52532"/>
    <w:rsid w:val="00B528FC"/>
    <w:rsid w:val="00B542B6"/>
    <w:rsid w:val="00B5526C"/>
    <w:rsid w:val="00B5554D"/>
    <w:rsid w:val="00B60534"/>
    <w:rsid w:val="00B6104B"/>
    <w:rsid w:val="00B618A8"/>
    <w:rsid w:val="00B61CA9"/>
    <w:rsid w:val="00B6574F"/>
    <w:rsid w:val="00B661DC"/>
    <w:rsid w:val="00B662D5"/>
    <w:rsid w:val="00B67560"/>
    <w:rsid w:val="00B67A1C"/>
    <w:rsid w:val="00B71429"/>
    <w:rsid w:val="00B71DCD"/>
    <w:rsid w:val="00B80994"/>
    <w:rsid w:val="00B80B94"/>
    <w:rsid w:val="00B82ED3"/>
    <w:rsid w:val="00B82FC6"/>
    <w:rsid w:val="00B8438B"/>
    <w:rsid w:val="00B87F49"/>
    <w:rsid w:val="00B91C70"/>
    <w:rsid w:val="00B92E9F"/>
    <w:rsid w:val="00B932AF"/>
    <w:rsid w:val="00B93454"/>
    <w:rsid w:val="00B95F22"/>
    <w:rsid w:val="00B96299"/>
    <w:rsid w:val="00B970B5"/>
    <w:rsid w:val="00B97BAB"/>
    <w:rsid w:val="00BA3316"/>
    <w:rsid w:val="00BA3DC1"/>
    <w:rsid w:val="00BA3E3C"/>
    <w:rsid w:val="00BA485E"/>
    <w:rsid w:val="00BA572A"/>
    <w:rsid w:val="00BA6625"/>
    <w:rsid w:val="00BA6AE8"/>
    <w:rsid w:val="00BB0F0C"/>
    <w:rsid w:val="00BB56B2"/>
    <w:rsid w:val="00BB7419"/>
    <w:rsid w:val="00BB7D80"/>
    <w:rsid w:val="00BC08ED"/>
    <w:rsid w:val="00BC1904"/>
    <w:rsid w:val="00BC1A7C"/>
    <w:rsid w:val="00BC21B8"/>
    <w:rsid w:val="00BC2A1F"/>
    <w:rsid w:val="00BC3244"/>
    <w:rsid w:val="00BC47C4"/>
    <w:rsid w:val="00BC598B"/>
    <w:rsid w:val="00BD1284"/>
    <w:rsid w:val="00BD180D"/>
    <w:rsid w:val="00BD1B4B"/>
    <w:rsid w:val="00BD3CC3"/>
    <w:rsid w:val="00BD628A"/>
    <w:rsid w:val="00BD7A9F"/>
    <w:rsid w:val="00BE0559"/>
    <w:rsid w:val="00BE05E6"/>
    <w:rsid w:val="00BE0FD5"/>
    <w:rsid w:val="00BE1665"/>
    <w:rsid w:val="00BE31DA"/>
    <w:rsid w:val="00BE3F39"/>
    <w:rsid w:val="00BE57D9"/>
    <w:rsid w:val="00BE5800"/>
    <w:rsid w:val="00BF0611"/>
    <w:rsid w:val="00BF0A4C"/>
    <w:rsid w:val="00BF16B5"/>
    <w:rsid w:val="00BF3DDF"/>
    <w:rsid w:val="00BF4C76"/>
    <w:rsid w:val="00BF5CCA"/>
    <w:rsid w:val="00BF64FF"/>
    <w:rsid w:val="00C002F1"/>
    <w:rsid w:val="00C0107A"/>
    <w:rsid w:val="00C01827"/>
    <w:rsid w:val="00C02C03"/>
    <w:rsid w:val="00C02C25"/>
    <w:rsid w:val="00C0499C"/>
    <w:rsid w:val="00C04FAA"/>
    <w:rsid w:val="00C077AE"/>
    <w:rsid w:val="00C10278"/>
    <w:rsid w:val="00C1229F"/>
    <w:rsid w:val="00C13E8A"/>
    <w:rsid w:val="00C14D8E"/>
    <w:rsid w:val="00C14EA0"/>
    <w:rsid w:val="00C21236"/>
    <w:rsid w:val="00C249F3"/>
    <w:rsid w:val="00C24FA7"/>
    <w:rsid w:val="00C25344"/>
    <w:rsid w:val="00C272FD"/>
    <w:rsid w:val="00C27ED7"/>
    <w:rsid w:val="00C3179F"/>
    <w:rsid w:val="00C31EA1"/>
    <w:rsid w:val="00C325A9"/>
    <w:rsid w:val="00C328BF"/>
    <w:rsid w:val="00C32ADA"/>
    <w:rsid w:val="00C33AFD"/>
    <w:rsid w:val="00C34DAE"/>
    <w:rsid w:val="00C35703"/>
    <w:rsid w:val="00C35DA0"/>
    <w:rsid w:val="00C363FB"/>
    <w:rsid w:val="00C40A43"/>
    <w:rsid w:val="00C40DFE"/>
    <w:rsid w:val="00C41839"/>
    <w:rsid w:val="00C42197"/>
    <w:rsid w:val="00C421AE"/>
    <w:rsid w:val="00C42A56"/>
    <w:rsid w:val="00C42B59"/>
    <w:rsid w:val="00C42E3B"/>
    <w:rsid w:val="00C44822"/>
    <w:rsid w:val="00C4665D"/>
    <w:rsid w:val="00C4732E"/>
    <w:rsid w:val="00C4796D"/>
    <w:rsid w:val="00C502B6"/>
    <w:rsid w:val="00C51639"/>
    <w:rsid w:val="00C56821"/>
    <w:rsid w:val="00C57765"/>
    <w:rsid w:val="00C577CF"/>
    <w:rsid w:val="00C61AE5"/>
    <w:rsid w:val="00C6414D"/>
    <w:rsid w:val="00C658A2"/>
    <w:rsid w:val="00C71FBF"/>
    <w:rsid w:val="00C72AEA"/>
    <w:rsid w:val="00C7345B"/>
    <w:rsid w:val="00C73935"/>
    <w:rsid w:val="00C73C45"/>
    <w:rsid w:val="00C77449"/>
    <w:rsid w:val="00C8344A"/>
    <w:rsid w:val="00C84B4B"/>
    <w:rsid w:val="00C8515F"/>
    <w:rsid w:val="00C86526"/>
    <w:rsid w:val="00C867A4"/>
    <w:rsid w:val="00C9182A"/>
    <w:rsid w:val="00C93D40"/>
    <w:rsid w:val="00C95E3E"/>
    <w:rsid w:val="00C97284"/>
    <w:rsid w:val="00CA173E"/>
    <w:rsid w:val="00CA18B1"/>
    <w:rsid w:val="00CA1E7A"/>
    <w:rsid w:val="00CA28C3"/>
    <w:rsid w:val="00CA2D3F"/>
    <w:rsid w:val="00CA40A7"/>
    <w:rsid w:val="00CA47A9"/>
    <w:rsid w:val="00CA55D1"/>
    <w:rsid w:val="00CB2B54"/>
    <w:rsid w:val="00CB3432"/>
    <w:rsid w:val="00CB5C7C"/>
    <w:rsid w:val="00CC00F0"/>
    <w:rsid w:val="00CC01CB"/>
    <w:rsid w:val="00CC01F2"/>
    <w:rsid w:val="00CC27C4"/>
    <w:rsid w:val="00CC36FF"/>
    <w:rsid w:val="00CC4BAC"/>
    <w:rsid w:val="00CC58AB"/>
    <w:rsid w:val="00CC6400"/>
    <w:rsid w:val="00CC7789"/>
    <w:rsid w:val="00CD1E31"/>
    <w:rsid w:val="00CD22C3"/>
    <w:rsid w:val="00CD2F21"/>
    <w:rsid w:val="00CD3118"/>
    <w:rsid w:val="00CD3E9B"/>
    <w:rsid w:val="00CD4D7C"/>
    <w:rsid w:val="00CD6014"/>
    <w:rsid w:val="00CD7B7A"/>
    <w:rsid w:val="00CE121E"/>
    <w:rsid w:val="00CE5FDE"/>
    <w:rsid w:val="00CE6E73"/>
    <w:rsid w:val="00CF107A"/>
    <w:rsid w:val="00CF3E33"/>
    <w:rsid w:val="00CF436C"/>
    <w:rsid w:val="00CF474B"/>
    <w:rsid w:val="00CF5CE2"/>
    <w:rsid w:val="00D00186"/>
    <w:rsid w:val="00D004A0"/>
    <w:rsid w:val="00D00FB0"/>
    <w:rsid w:val="00D00FDF"/>
    <w:rsid w:val="00D01112"/>
    <w:rsid w:val="00D011FC"/>
    <w:rsid w:val="00D01322"/>
    <w:rsid w:val="00D01513"/>
    <w:rsid w:val="00D01BB4"/>
    <w:rsid w:val="00D02294"/>
    <w:rsid w:val="00D033E5"/>
    <w:rsid w:val="00D03BE4"/>
    <w:rsid w:val="00D03EB9"/>
    <w:rsid w:val="00D05179"/>
    <w:rsid w:val="00D05741"/>
    <w:rsid w:val="00D05D73"/>
    <w:rsid w:val="00D06089"/>
    <w:rsid w:val="00D067AB"/>
    <w:rsid w:val="00D11F42"/>
    <w:rsid w:val="00D13F52"/>
    <w:rsid w:val="00D14000"/>
    <w:rsid w:val="00D15910"/>
    <w:rsid w:val="00D160A8"/>
    <w:rsid w:val="00D16252"/>
    <w:rsid w:val="00D16AA6"/>
    <w:rsid w:val="00D213D4"/>
    <w:rsid w:val="00D2172C"/>
    <w:rsid w:val="00D217DE"/>
    <w:rsid w:val="00D22552"/>
    <w:rsid w:val="00D23A3D"/>
    <w:rsid w:val="00D23C6E"/>
    <w:rsid w:val="00D31AA2"/>
    <w:rsid w:val="00D3292A"/>
    <w:rsid w:val="00D34379"/>
    <w:rsid w:val="00D35DF8"/>
    <w:rsid w:val="00D36020"/>
    <w:rsid w:val="00D36D3F"/>
    <w:rsid w:val="00D40D1E"/>
    <w:rsid w:val="00D40FFF"/>
    <w:rsid w:val="00D429E4"/>
    <w:rsid w:val="00D43017"/>
    <w:rsid w:val="00D44581"/>
    <w:rsid w:val="00D470C8"/>
    <w:rsid w:val="00D474DA"/>
    <w:rsid w:val="00D47F5D"/>
    <w:rsid w:val="00D51963"/>
    <w:rsid w:val="00D55BEB"/>
    <w:rsid w:val="00D57E2B"/>
    <w:rsid w:val="00D62336"/>
    <w:rsid w:val="00D62406"/>
    <w:rsid w:val="00D62D90"/>
    <w:rsid w:val="00D6423D"/>
    <w:rsid w:val="00D651CE"/>
    <w:rsid w:val="00D6679E"/>
    <w:rsid w:val="00D66A82"/>
    <w:rsid w:val="00D66E30"/>
    <w:rsid w:val="00D67701"/>
    <w:rsid w:val="00D71BF9"/>
    <w:rsid w:val="00D726EC"/>
    <w:rsid w:val="00D7655B"/>
    <w:rsid w:val="00D77949"/>
    <w:rsid w:val="00D8001B"/>
    <w:rsid w:val="00D80088"/>
    <w:rsid w:val="00D81B5B"/>
    <w:rsid w:val="00D82A7C"/>
    <w:rsid w:val="00D8303B"/>
    <w:rsid w:val="00D84019"/>
    <w:rsid w:val="00D87344"/>
    <w:rsid w:val="00D87703"/>
    <w:rsid w:val="00D903A6"/>
    <w:rsid w:val="00D91C63"/>
    <w:rsid w:val="00D92F3A"/>
    <w:rsid w:val="00D93B40"/>
    <w:rsid w:val="00D97A2A"/>
    <w:rsid w:val="00DA0E70"/>
    <w:rsid w:val="00DA17F3"/>
    <w:rsid w:val="00DA2110"/>
    <w:rsid w:val="00DA2572"/>
    <w:rsid w:val="00DA2B9F"/>
    <w:rsid w:val="00DA3918"/>
    <w:rsid w:val="00DA59B1"/>
    <w:rsid w:val="00DA6D98"/>
    <w:rsid w:val="00DB14CD"/>
    <w:rsid w:val="00DB306A"/>
    <w:rsid w:val="00DC259D"/>
    <w:rsid w:val="00DC272D"/>
    <w:rsid w:val="00DC57A8"/>
    <w:rsid w:val="00DC6849"/>
    <w:rsid w:val="00DD0844"/>
    <w:rsid w:val="00DD1C08"/>
    <w:rsid w:val="00DD3240"/>
    <w:rsid w:val="00DD3634"/>
    <w:rsid w:val="00DD37B8"/>
    <w:rsid w:val="00DD6936"/>
    <w:rsid w:val="00DD77B9"/>
    <w:rsid w:val="00DE11DC"/>
    <w:rsid w:val="00DE2B6F"/>
    <w:rsid w:val="00DE2F0F"/>
    <w:rsid w:val="00DE32D9"/>
    <w:rsid w:val="00DE748F"/>
    <w:rsid w:val="00DF620F"/>
    <w:rsid w:val="00DF7251"/>
    <w:rsid w:val="00E01E65"/>
    <w:rsid w:val="00E0481E"/>
    <w:rsid w:val="00E050B6"/>
    <w:rsid w:val="00E1027C"/>
    <w:rsid w:val="00E104CD"/>
    <w:rsid w:val="00E10ECF"/>
    <w:rsid w:val="00E112E7"/>
    <w:rsid w:val="00E13088"/>
    <w:rsid w:val="00E14816"/>
    <w:rsid w:val="00E168C6"/>
    <w:rsid w:val="00E16B93"/>
    <w:rsid w:val="00E1777F"/>
    <w:rsid w:val="00E179D8"/>
    <w:rsid w:val="00E20FB8"/>
    <w:rsid w:val="00E216A9"/>
    <w:rsid w:val="00E22AC0"/>
    <w:rsid w:val="00E2315F"/>
    <w:rsid w:val="00E24DA9"/>
    <w:rsid w:val="00E2551B"/>
    <w:rsid w:val="00E26151"/>
    <w:rsid w:val="00E2681F"/>
    <w:rsid w:val="00E269F4"/>
    <w:rsid w:val="00E27810"/>
    <w:rsid w:val="00E30439"/>
    <w:rsid w:val="00E3489F"/>
    <w:rsid w:val="00E3544C"/>
    <w:rsid w:val="00E376CE"/>
    <w:rsid w:val="00E37BC1"/>
    <w:rsid w:val="00E40D28"/>
    <w:rsid w:val="00E4488A"/>
    <w:rsid w:val="00E44DE5"/>
    <w:rsid w:val="00E4777E"/>
    <w:rsid w:val="00E47F9B"/>
    <w:rsid w:val="00E5137D"/>
    <w:rsid w:val="00E51408"/>
    <w:rsid w:val="00E523F6"/>
    <w:rsid w:val="00E54089"/>
    <w:rsid w:val="00E54F43"/>
    <w:rsid w:val="00E57638"/>
    <w:rsid w:val="00E61905"/>
    <w:rsid w:val="00E6391F"/>
    <w:rsid w:val="00E64DB6"/>
    <w:rsid w:val="00E65D87"/>
    <w:rsid w:val="00E7052F"/>
    <w:rsid w:val="00E7093C"/>
    <w:rsid w:val="00E71D6A"/>
    <w:rsid w:val="00E720F7"/>
    <w:rsid w:val="00E75A15"/>
    <w:rsid w:val="00E80A16"/>
    <w:rsid w:val="00E813B5"/>
    <w:rsid w:val="00E828AD"/>
    <w:rsid w:val="00E82ABF"/>
    <w:rsid w:val="00E8448B"/>
    <w:rsid w:val="00E8669F"/>
    <w:rsid w:val="00E87BB3"/>
    <w:rsid w:val="00E91A6C"/>
    <w:rsid w:val="00E927F6"/>
    <w:rsid w:val="00E940D8"/>
    <w:rsid w:val="00E94309"/>
    <w:rsid w:val="00E94BCB"/>
    <w:rsid w:val="00E959D7"/>
    <w:rsid w:val="00E9696D"/>
    <w:rsid w:val="00E979C3"/>
    <w:rsid w:val="00EA00FA"/>
    <w:rsid w:val="00EA09A7"/>
    <w:rsid w:val="00EA0F28"/>
    <w:rsid w:val="00EA32D3"/>
    <w:rsid w:val="00EA4760"/>
    <w:rsid w:val="00EA7397"/>
    <w:rsid w:val="00EB457D"/>
    <w:rsid w:val="00EB5674"/>
    <w:rsid w:val="00EB7A4B"/>
    <w:rsid w:val="00EB7CE7"/>
    <w:rsid w:val="00EB7F88"/>
    <w:rsid w:val="00EC1258"/>
    <w:rsid w:val="00EC1664"/>
    <w:rsid w:val="00EC3208"/>
    <w:rsid w:val="00EC4705"/>
    <w:rsid w:val="00ED12BD"/>
    <w:rsid w:val="00ED2D27"/>
    <w:rsid w:val="00ED2FFE"/>
    <w:rsid w:val="00ED4FC1"/>
    <w:rsid w:val="00ED547F"/>
    <w:rsid w:val="00EE0CDC"/>
    <w:rsid w:val="00EE2F61"/>
    <w:rsid w:val="00EE5644"/>
    <w:rsid w:val="00EE6259"/>
    <w:rsid w:val="00EF0AA9"/>
    <w:rsid w:val="00EF17E4"/>
    <w:rsid w:val="00EF3198"/>
    <w:rsid w:val="00EF37E0"/>
    <w:rsid w:val="00EF5261"/>
    <w:rsid w:val="00EF534B"/>
    <w:rsid w:val="00EF5490"/>
    <w:rsid w:val="00EF676F"/>
    <w:rsid w:val="00EF67E2"/>
    <w:rsid w:val="00F03078"/>
    <w:rsid w:val="00F05929"/>
    <w:rsid w:val="00F0651F"/>
    <w:rsid w:val="00F10035"/>
    <w:rsid w:val="00F114BA"/>
    <w:rsid w:val="00F13313"/>
    <w:rsid w:val="00F1365E"/>
    <w:rsid w:val="00F148B1"/>
    <w:rsid w:val="00F1606C"/>
    <w:rsid w:val="00F20323"/>
    <w:rsid w:val="00F20917"/>
    <w:rsid w:val="00F21B0C"/>
    <w:rsid w:val="00F21B35"/>
    <w:rsid w:val="00F22D16"/>
    <w:rsid w:val="00F22D90"/>
    <w:rsid w:val="00F23EE1"/>
    <w:rsid w:val="00F2412A"/>
    <w:rsid w:val="00F24FF6"/>
    <w:rsid w:val="00F259A0"/>
    <w:rsid w:val="00F27520"/>
    <w:rsid w:val="00F27B69"/>
    <w:rsid w:val="00F27BCB"/>
    <w:rsid w:val="00F30E14"/>
    <w:rsid w:val="00F32D54"/>
    <w:rsid w:val="00F337CC"/>
    <w:rsid w:val="00F352F1"/>
    <w:rsid w:val="00F353C9"/>
    <w:rsid w:val="00F35A81"/>
    <w:rsid w:val="00F3651C"/>
    <w:rsid w:val="00F365C6"/>
    <w:rsid w:val="00F410E0"/>
    <w:rsid w:val="00F4145A"/>
    <w:rsid w:val="00F41FA0"/>
    <w:rsid w:val="00F421DA"/>
    <w:rsid w:val="00F438A5"/>
    <w:rsid w:val="00F43A94"/>
    <w:rsid w:val="00F43CEB"/>
    <w:rsid w:val="00F4476B"/>
    <w:rsid w:val="00F448DC"/>
    <w:rsid w:val="00F45E75"/>
    <w:rsid w:val="00F46E8A"/>
    <w:rsid w:val="00F50490"/>
    <w:rsid w:val="00F5212B"/>
    <w:rsid w:val="00F522D8"/>
    <w:rsid w:val="00F53229"/>
    <w:rsid w:val="00F53305"/>
    <w:rsid w:val="00F5499C"/>
    <w:rsid w:val="00F55EB0"/>
    <w:rsid w:val="00F6387A"/>
    <w:rsid w:val="00F64982"/>
    <w:rsid w:val="00F6676F"/>
    <w:rsid w:val="00F70B6E"/>
    <w:rsid w:val="00F71356"/>
    <w:rsid w:val="00F72901"/>
    <w:rsid w:val="00F73621"/>
    <w:rsid w:val="00F73B8A"/>
    <w:rsid w:val="00F75766"/>
    <w:rsid w:val="00F75B4C"/>
    <w:rsid w:val="00F75C25"/>
    <w:rsid w:val="00F75C83"/>
    <w:rsid w:val="00F75ED6"/>
    <w:rsid w:val="00F771FB"/>
    <w:rsid w:val="00F82258"/>
    <w:rsid w:val="00F82C02"/>
    <w:rsid w:val="00F83DF4"/>
    <w:rsid w:val="00F850E2"/>
    <w:rsid w:val="00F85F02"/>
    <w:rsid w:val="00F85F93"/>
    <w:rsid w:val="00F879BA"/>
    <w:rsid w:val="00F917BC"/>
    <w:rsid w:val="00F93EE4"/>
    <w:rsid w:val="00F97614"/>
    <w:rsid w:val="00FA1262"/>
    <w:rsid w:val="00FA1F35"/>
    <w:rsid w:val="00FA2050"/>
    <w:rsid w:val="00FA2788"/>
    <w:rsid w:val="00FA38A8"/>
    <w:rsid w:val="00FA419C"/>
    <w:rsid w:val="00FA68AC"/>
    <w:rsid w:val="00FA78FB"/>
    <w:rsid w:val="00FA7B85"/>
    <w:rsid w:val="00FB34E3"/>
    <w:rsid w:val="00FB65FF"/>
    <w:rsid w:val="00FB7632"/>
    <w:rsid w:val="00FC073C"/>
    <w:rsid w:val="00FC4BB2"/>
    <w:rsid w:val="00FC58B5"/>
    <w:rsid w:val="00FC67F9"/>
    <w:rsid w:val="00FC68E7"/>
    <w:rsid w:val="00FC6EE2"/>
    <w:rsid w:val="00FD4639"/>
    <w:rsid w:val="00FD4855"/>
    <w:rsid w:val="00FD4B01"/>
    <w:rsid w:val="00FE1734"/>
    <w:rsid w:val="00FE1896"/>
    <w:rsid w:val="00FE1FD3"/>
    <w:rsid w:val="00FE23F0"/>
    <w:rsid w:val="00FE2427"/>
    <w:rsid w:val="00FE4B19"/>
    <w:rsid w:val="00FE734A"/>
    <w:rsid w:val="00FE7EFE"/>
    <w:rsid w:val="00FF01BE"/>
    <w:rsid w:val="00FF06F3"/>
    <w:rsid w:val="00FF489F"/>
    <w:rsid w:val="00FF48E0"/>
    <w:rsid w:val="00FF4DE2"/>
    <w:rsid w:val="00FF66F4"/>
    <w:rsid w:val="00FF6E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CE"/>
    <w:pPr>
      <w:spacing w:after="200" w:line="276" w:lineRule="auto"/>
    </w:pPr>
    <w:rPr>
      <w:sz w:val="22"/>
      <w:szCs w:val="22"/>
      <w:lang w:val="en-AU"/>
    </w:rPr>
  </w:style>
  <w:style w:type="paragraph" w:styleId="Heading1">
    <w:name w:val="heading 1"/>
    <w:basedOn w:val="Normal"/>
    <w:qFormat/>
    <w:locked/>
    <w:rsid w:val="00605E88"/>
    <w:pPr>
      <w:numPr>
        <w:numId w:val="1"/>
      </w:numPr>
      <w:spacing w:before="240" w:after="0" w:line="240" w:lineRule="auto"/>
      <w:outlineLvl w:val="0"/>
    </w:pPr>
    <w:rPr>
      <w:rFonts w:ascii="Arial" w:hAnsi="Arial"/>
      <w:sz w:val="20"/>
      <w:szCs w:val="20"/>
    </w:rPr>
  </w:style>
  <w:style w:type="paragraph" w:styleId="Heading2">
    <w:name w:val="heading 2"/>
    <w:basedOn w:val="Normal"/>
    <w:qFormat/>
    <w:locked/>
    <w:rsid w:val="00605E88"/>
    <w:pPr>
      <w:numPr>
        <w:ilvl w:val="1"/>
        <w:numId w:val="1"/>
      </w:numPr>
      <w:spacing w:before="240" w:after="0" w:line="240" w:lineRule="auto"/>
      <w:outlineLvl w:val="1"/>
    </w:pPr>
    <w:rPr>
      <w:rFonts w:ascii="Arial" w:hAnsi="Arial"/>
      <w:sz w:val="20"/>
      <w:szCs w:val="20"/>
    </w:rPr>
  </w:style>
  <w:style w:type="paragraph" w:styleId="Heading3">
    <w:name w:val="heading 3"/>
    <w:basedOn w:val="Normal"/>
    <w:qFormat/>
    <w:locked/>
    <w:rsid w:val="00605E88"/>
    <w:pPr>
      <w:numPr>
        <w:ilvl w:val="2"/>
        <w:numId w:val="1"/>
      </w:numPr>
      <w:spacing w:before="240" w:after="0" w:line="240" w:lineRule="auto"/>
      <w:outlineLvl w:val="2"/>
    </w:pPr>
    <w:rPr>
      <w:rFonts w:ascii="Arial" w:hAnsi="Arial"/>
      <w:sz w:val="20"/>
      <w:szCs w:val="20"/>
    </w:rPr>
  </w:style>
  <w:style w:type="paragraph" w:styleId="Heading4">
    <w:name w:val="heading 4"/>
    <w:basedOn w:val="Normal"/>
    <w:qFormat/>
    <w:locked/>
    <w:rsid w:val="00605E88"/>
    <w:pPr>
      <w:numPr>
        <w:ilvl w:val="3"/>
        <w:numId w:val="1"/>
      </w:numPr>
      <w:spacing w:before="240" w:after="0" w:line="240" w:lineRule="auto"/>
      <w:outlineLvl w:val="3"/>
    </w:pPr>
    <w:rPr>
      <w:rFonts w:ascii="Arial" w:hAnsi="Arial"/>
      <w:sz w:val="20"/>
      <w:szCs w:val="20"/>
    </w:rPr>
  </w:style>
  <w:style w:type="paragraph" w:styleId="Heading5">
    <w:name w:val="heading 5"/>
    <w:basedOn w:val="Normal"/>
    <w:qFormat/>
    <w:locked/>
    <w:rsid w:val="00605E88"/>
    <w:pPr>
      <w:numPr>
        <w:ilvl w:val="4"/>
        <w:numId w:val="1"/>
      </w:numPr>
      <w:spacing w:before="240" w:after="0" w:line="240" w:lineRule="auto"/>
      <w:outlineLvl w:val="4"/>
    </w:pPr>
    <w:rPr>
      <w:rFonts w:ascii="Arial" w:hAnsi="Arial"/>
      <w:sz w:val="20"/>
      <w:szCs w:val="20"/>
    </w:rPr>
  </w:style>
  <w:style w:type="paragraph" w:styleId="Heading6">
    <w:name w:val="heading 6"/>
    <w:basedOn w:val="Normal"/>
    <w:qFormat/>
    <w:locked/>
    <w:rsid w:val="00605E88"/>
    <w:pPr>
      <w:numPr>
        <w:ilvl w:val="5"/>
        <w:numId w:val="1"/>
      </w:numPr>
      <w:spacing w:before="240" w:after="0" w:line="240" w:lineRule="auto"/>
      <w:outlineLvl w:val="5"/>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7D49"/>
    <w:pPr>
      <w:tabs>
        <w:tab w:val="center" w:pos="4513"/>
        <w:tab w:val="right" w:pos="9026"/>
      </w:tabs>
      <w:spacing w:after="0" w:line="240" w:lineRule="auto"/>
    </w:pPr>
    <w:rPr>
      <w:rFonts w:eastAsia="Times New Roman"/>
      <w:sz w:val="20"/>
      <w:szCs w:val="20"/>
      <w:lang w:eastAsia="en-AU"/>
    </w:rPr>
  </w:style>
  <w:style w:type="character" w:customStyle="1" w:styleId="HeaderChar">
    <w:name w:val="Header Char"/>
    <w:link w:val="Header"/>
    <w:locked/>
    <w:rsid w:val="002B7D49"/>
  </w:style>
  <w:style w:type="paragraph" w:styleId="Footer">
    <w:name w:val="footer"/>
    <w:basedOn w:val="Normal"/>
    <w:link w:val="FooterChar"/>
    <w:rsid w:val="002B7D49"/>
    <w:pPr>
      <w:tabs>
        <w:tab w:val="center" w:pos="4513"/>
        <w:tab w:val="right" w:pos="9026"/>
      </w:tabs>
      <w:spacing w:after="0" w:line="240" w:lineRule="auto"/>
    </w:pPr>
    <w:rPr>
      <w:rFonts w:eastAsia="Times New Roman"/>
      <w:sz w:val="20"/>
      <w:szCs w:val="20"/>
      <w:lang w:eastAsia="en-AU"/>
    </w:rPr>
  </w:style>
  <w:style w:type="character" w:customStyle="1" w:styleId="FooterChar">
    <w:name w:val="Footer Char"/>
    <w:link w:val="Footer"/>
    <w:locked/>
    <w:rsid w:val="002B7D49"/>
  </w:style>
  <w:style w:type="paragraph" w:customStyle="1" w:styleId="ColorfulList-Accent11">
    <w:name w:val="Colorful List - Accent 11"/>
    <w:basedOn w:val="Normal"/>
    <w:rsid w:val="002B7D49"/>
    <w:pPr>
      <w:ind w:left="720"/>
      <w:contextualSpacing/>
    </w:pPr>
  </w:style>
  <w:style w:type="paragraph" w:styleId="BalloonText">
    <w:name w:val="Balloon Text"/>
    <w:basedOn w:val="Normal"/>
    <w:link w:val="BalloonTextChar"/>
    <w:semiHidden/>
    <w:rsid w:val="0006454F"/>
    <w:rPr>
      <w:rFonts w:ascii="Segoe UI" w:eastAsia="Times New Roman" w:hAnsi="Segoe UI"/>
      <w:sz w:val="18"/>
      <w:szCs w:val="20"/>
      <w:lang w:val="x-none"/>
    </w:rPr>
  </w:style>
  <w:style w:type="character" w:customStyle="1" w:styleId="BalloonTextChar">
    <w:name w:val="Balloon Text Char"/>
    <w:link w:val="BalloonText"/>
    <w:semiHidden/>
    <w:locked/>
    <w:rsid w:val="0006454F"/>
    <w:rPr>
      <w:rFonts w:ascii="Segoe UI" w:eastAsia="Times New Roman" w:hAnsi="Segoe UI"/>
      <w:sz w:val="18"/>
      <w:lang w:eastAsia="en-US"/>
    </w:rPr>
  </w:style>
  <w:style w:type="paragraph" w:styleId="BodyText3">
    <w:name w:val="Body Text 3"/>
    <w:basedOn w:val="Normal"/>
    <w:rsid w:val="00605E88"/>
    <w:pPr>
      <w:spacing w:before="240" w:after="0" w:line="240" w:lineRule="auto"/>
      <w:ind w:left="1418"/>
    </w:pPr>
    <w:rPr>
      <w:rFonts w:ascii="Arial" w:hAnsi="Arial"/>
      <w:sz w:val="20"/>
      <w:szCs w:val="20"/>
    </w:rPr>
  </w:style>
  <w:style w:type="table" w:styleId="TableGrid5">
    <w:name w:val="Table Grid 5"/>
    <w:basedOn w:val="TableNormal"/>
    <w:rsid w:val="0044212F"/>
    <w:pPr>
      <w:spacing w:after="200" w:line="276" w:lineRule="auto"/>
    </w:pPr>
    <w:rPr>
      <w:rFonts w:eastAsia="Times New Roman"/>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PageNumber">
    <w:name w:val="page number"/>
    <w:rsid w:val="00DA2110"/>
    <w:rPr>
      <w:rFonts w:cs="Times New Roman"/>
    </w:rPr>
  </w:style>
  <w:style w:type="character" w:styleId="CommentReference">
    <w:name w:val="annotation reference"/>
    <w:rsid w:val="00223A75"/>
    <w:rPr>
      <w:sz w:val="18"/>
    </w:rPr>
  </w:style>
  <w:style w:type="paragraph" w:styleId="CommentText">
    <w:name w:val="annotation text"/>
    <w:basedOn w:val="Normal"/>
    <w:link w:val="CommentTextChar"/>
    <w:rsid w:val="00223A75"/>
    <w:rPr>
      <w:rFonts w:eastAsia="Times New Roman"/>
      <w:sz w:val="24"/>
      <w:szCs w:val="20"/>
      <w:lang w:eastAsia="x-none"/>
    </w:rPr>
  </w:style>
  <w:style w:type="character" w:customStyle="1" w:styleId="CommentTextChar">
    <w:name w:val="Comment Text Char"/>
    <w:link w:val="CommentText"/>
    <w:locked/>
    <w:rsid w:val="00223A75"/>
    <w:rPr>
      <w:rFonts w:eastAsia="Times New Roman"/>
      <w:sz w:val="24"/>
      <w:lang w:val="en-AU" w:eastAsia="x-none"/>
    </w:rPr>
  </w:style>
  <w:style w:type="paragraph" w:styleId="CommentSubject">
    <w:name w:val="annotation subject"/>
    <w:basedOn w:val="CommentText"/>
    <w:next w:val="CommentText"/>
    <w:link w:val="CommentSubjectChar"/>
    <w:rsid w:val="00223A75"/>
    <w:rPr>
      <w:b/>
    </w:rPr>
  </w:style>
  <w:style w:type="character" w:customStyle="1" w:styleId="CommentSubjectChar">
    <w:name w:val="Comment Subject Char"/>
    <w:link w:val="CommentSubject"/>
    <w:locked/>
    <w:rsid w:val="00223A75"/>
    <w:rPr>
      <w:rFonts w:eastAsia="Times New Roman"/>
      <w:b/>
      <w:sz w:val="24"/>
      <w:lang w:val="en-AU" w:eastAsia="x-none"/>
    </w:rPr>
  </w:style>
  <w:style w:type="character" w:styleId="Hyperlink">
    <w:name w:val="Hyperlink"/>
    <w:rsid w:val="00223A75"/>
    <w:rPr>
      <w:color w:val="0000FF"/>
      <w:u w:val="single"/>
    </w:rPr>
  </w:style>
  <w:style w:type="paragraph" w:styleId="FootnoteText">
    <w:name w:val="footnote text"/>
    <w:basedOn w:val="Normal"/>
    <w:link w:val="FootnoteTextChar"/>
    <w:uiPriority w:val="99"/>
    <w:rsid w:val="00223A75"/>
    <w:rPr>
      <w:rFonts w:eastAsia="Times New Roman"/>
      <w:sz w:val="24"/>
      <w:szCs w:val="20"/>
      <w:lang w:eastAsia="x-none"/>
    </w:rPr>
  </w:style>
  <w:style w:type="character" w:customStyle="1" w:styleId="FootnoteTextChar">
    <w:name w:val="Footnote Text Char"/>
    <w:link w:val="FootnoteText"/>
    <w:uiPriority w:val="99"/>
    <w:locked/>
    <w:rsid w:val="00223A75"/>
    <w:rPr>
      <w:rFonts w:eastAsia="Times New Roman"/>
      <w:sz w:val="24"/>
      <w:lang w:val="en-AU" w:eastAsia="x-none"/>
    </w:rPr>
  </w:style>
  <w:style w:type="character" w:styleId="FootnoteReference">
    <w:name w:val="footnote reference"/>
    <w:uiPriority w:val="99"/>
    <w:rsid w:val="00223A75"/>
    <w:rPr>
      <w:vertAlign w:val="superscript"/>
    </w:rPr>
  </w:style>
  <w:style w:type="character" w:styleId="FollowedHyperlink">
    <w:name w:val="FollowedHyperlink"/>
    <w:rsid w:val="00780B97"/>
    <w:rPr>
      <w:rFonts w:cs="Times New Roman"/>
      <w:color w:val="800080"/>
      <w:u w:val="single"/>
    </w:rPr>
  </w:style>
  <w:style w:type="paragraph" w:customStyle="1" w:styleId="Default">
    <w:name w:val="Default"/>
    <w:rsid w:val="00EA00FA"/>
    <w:pPr>
      <w:autoSpaceDE w:val="0"/>
      <w:autoSpaceDN w:val="0"/>
      <w:adjustRightInd w:val="0"/>
    </w:pPr>
    <w:rPr>
      <w:rFonts w:ascii="Arial" w:hAnsi="Arial" w:cs="Arial"/>
      <w:color w:val="000000"/>
      <w:sz w:val="24"/>
      <w:szCs w:val="24"/>
      <w:lang w:val="en-AU" w:eastAsia="en-AU"/>
    </w:rPr>
  </w:style>
  <w:style w:type="paragraph" w:styleId="ListParagraph">
    <w:name w:val="List Paragraph"/>
    <w:basedOn w:val="Normal"/>
    <w:uiPriority w:val="34"/>
    <w:qFormat/>
    <w:rsid w:val="00967BDC"/>
    <w:pPr>
      <w:spacing w:after="0" w:line="240" w:lineRule="auto"/>
      <w:ind w:left="720"/>
    </w:pPr>
    <w:rPr>
      <w:rFonts w:cs="Calibri"/>
      <w:lang w:eastAsia="en-AU"/>
    </w:rPr>
  </w:style>
  <w:style w:type="table" w:styleId="TableGrid">
    <w:name w:val="Table Grid"/>
    <w:basedOn w:val="TableNormal"/>
    <w:uiPriority w:val="39"/>
    <w:locked/>
    <w:rsid w:val="00CE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9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paragraph" w:customStyle="1" w:styleId="NBSubsection">
    <w:name w:val="NB Subsection"/>
    <w:basedOn w:val="Normal"/>
    <w:next w:val="Normal"/>
    <w:link w:val="NBSubsectionChar"/>
    <w:rsid w:val="007D2FF4"/>
    <w:pPr>
      <w:keepNext/>
      <w:spacing w:before="360" w:after="120" w:line="264" w:lineRule="auto"/>
      <w:ind w:right="357"/>
      <w:outlineLvl w:val="3"/>
    </w:pPr>
    <w:rPr>
      <w:rFonts w:ascii="Arial" w:hAnsi="Arial"/>
      <w:b/>
      <w:caps/>
      <w:color w:val="002960"/>
      <w:sz w:val="24"/>
      <w:szCs w:val="20"/>
    </w:rPr>
  </w:style>
  <w:style w:type="paragraph" w:customStyle="1" w:styleId="01squarebullet">
    <w:name w:val="01 square bullet"/>
    <w:basedOn w:val="Normal"/>
    <w:link w:val="01squarebulletChar"/>
    <w:rsid w:val="007D2FF4"/>
    <w:pPr>
      <w:tabs>
        <w:tab w:val="num" w:pos="709"/>
      </w:tabs>
      <w:spacing w:after="120" w:line="264" w:lineRule="auto"/>
      <w:ind w:left="357" w:right="142" w:hanging="357"/>
    </w:pPr>
    <w:rPr>
      <w:rFonts w:ascii="Times New Roman" w:eastAsia="Times New Roman" w:hAnsi="Times New Roman"/>
      <w:sz w:val="24"/>
      <w:szCs w:val="20"/>
      <w:lang w:val="x-none"/>
    </w:rPr>
  </w:style>
  <w:style w:type="paragraph" w:customStyle="1" w:styleId="NBrecommendationbox">
    <w:name w:val="NB_recommendation box"/>
    <w:basedOn w:val="Normal"/>
    <w:link w:val="NBrecommendationboxChar"/>
    <w:rsid w:val="007D2FF4"/>
    <w:pPr>
      <w:pBdr>
        <w:top w:val="single" w:sz="4" w:space="2" w:color="002960"/>
        <w:bottom w:val="single" w:sz="4" w:space="1" w:color="002960"/>
      </w:pBdr>
      <w:shd w:val="clear" w:color="auto" w:fill="C7E0FB"/>
      <w:spacing w:after="120"/>
      <w:ind w:left="1038"/>
    </w:pPr>
    <w:rPr>
      <w:rFonts w:ascii="Arial" w:hAnsi="Arial"/>
      <w:bCs/>
      <w:sz w:val="20"/>
      <w:szCs w:val="20"/>
    </w:rPr>
  </w:style>
  <w:style w:type="paragraph" w:customStyle="1" w:styleId="NBrecommendationnumber">
    <w:name w:val="NB_recommendation number"/>
    <w:basedOn w:val="NBrecommendationbox"/>
    <w:link w:val="NBrecommendationnumberChar"/>
    <w:rsid w:val="007D2FF4"/>
    <w:pPr>
      <w:ind w:left="1265" w:hanging="227"/>
    </w:pPr>
  </w:style>
  <w:style w:type="character" w:customStyle="1" w:styleId="01squarebulletChar">
    <w:name w:val="01 square bullet Char"/>
    <w:link w:val="01squarebullet"/>
    <w:locked/>
    <w:rsid w:val="007D2FF4"/>
    <w:rPr>
      <w:rFonts w:ascii="Times New Roman" w:eastAsia="Times New Roman" w:hAnsi="Times New Roman"/>
      <w:sz w:val="24"/>
      <w:lang w:val="x-none"/>
    </w:rPr>
  </w:style>
  <w:style w:type="character" w:customStyle="1" w:styleId="NBrecommendationboxChar">
    <w:name w:val="NB_recommendation box Char"/>
    <w:link w:val="NBrecommendationbox"/>
    <w:locked/>
    <w:rsid w:val="007D2FF4"/>
    <w:rPr>
      <w:rFonts w:ascii="Arial" w:hAnsi="Arial"/>
      <w:bCs/>
      <w:lang w:val="en-AU" w:eastAsia="en-US" w:bidi="ar-SA"/>
    </w:rPr>
  </w:style>
  <w:style w:type="character" w:customStyle="1" w:styleId="NBSubsectionChar">
    <w:name w:val="NB Subsection Char"/>
    <w:link w:val="NBSubsection"/>
    <w:locked/>
    <w:rsid w:val="007D2FF4"/>
    <w:rPr>
      <w:rFonts w:ascii="Arial" w:hAnsi="Arial"/>
      <w:b/>
      <w:caps/>
      <w:color w:val="002960"/>
      <w:sz w:val="24"/>
      <w:lang w:val="en-AU" w:eastAsia="en-US" w:bidi="ar-SA"/>
    </w:rPr>
  </w:style>
  <w:style w:type="character" w:customStyle="1" w:styleId="NBrecommendationnumberChar">
    <w:name w:val="NB_recommendation number Char"/>
    <w:basedOn w:val="NBrecommendationboxChar"/>
    <w:link w:val="NBrecommendationnumber"/>
    <w:locked/>
    <w:rsid w:val="007D2FF4"/>
    <w:rPr>
      <w:rFonts w:ascii="Arial" w:hAnsi="Arial"/>
      <w:bCs/>
      <w:lang w:val="en-AU" w:eastAsia="en-US" w:bidi="ar-SA"/>
    </w:rPr>
  </w:style>
  <w:style w:type="table" w:styleId="MediumList1-Accent2">
    <w:name w:val="Medium List 1 Accent 2"/>
    <w:basedOn w:val="TableNormal"/>
    <w:uiPriority w:val="65"/>
    <w:rsid w:val="00D57E2B"/>
    <w:rPr>
      <w:color w:val="000000"/>
    </w:rPr>
    <w:tblPr>
      <w:tblStyleRowBandSize w:val="1"/>
      <w:tblStyleColBandSize w:val="1"/>
      <w:tblBorders>
        <w:top w:val="single" w:sz="8" w:space="0" w:color="C0504D"/>
        <w:bottom w:val="single" w:sz="8" w:space="0" w:color="C0504D"/>
      </w:tblBorders>
    </w:tblPr>
    <w:tblStylePr w:type="firstRow">
      <w:rPr>
        <w:rFonts w:ascii="Cambria Math" w:eastAsia="Times New Roman" w:hAnsi="Cambria Math"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Revision">
    <w:name w:val="Revision"/>
    <w:hidden/>
    <w:uiPriority w:val="99"/>
    <w:semiHidden/>
    <w:rsid w:val="0018345C"/>
    <w:rPr>
      <w:sz w:val="22"/>
      <w:szCs w:val="22"/>
      <w:lang w:val="en-AU"/>
    </w:rPr>
  </w:style>
  <w:style w:type="paragraph" w:styleId="BodyText">
    <w:name w:val="Body Text"/>
    <w:basedOn w:val="Normal"/>
    <w:link w:val="BodyTextChar"/>
    <w:rsid w:val="00F64982"/>
    <w:pPr>
      <w:spacing w:after="120"/>
    </w:pPr>
  </w:style>
  <w:style w:type="character" w:customStyle="1" w:styleId="BodyTextChar">
    <w:name w:val="Body Text Char"/>
    <w:basedOn w:val="DefaultParagraphFont"/>
    <w:link w:val="BodyText"/>
    <w:rsid w:val="00F64982"/>
    <w:rPr>
      <w:sz w:val="22"/>
      <w:szCs w:val="22"/>
      <w:lang w:val="en-AU"/>
    </w:rPr>
  </w:style>
  <w:style w:type="paragraph" w:styleId="ListBullet">
    <w:name w:val="List Bullet"/>
    <w:basedOn w:val="Normal"/>
    <w:uiPriority w:val="99"/>
    <w:unhideWhenUsed/>
    <w:rsid w:val="00F64982"/>
    <w:pPr>
      <w:numPr>
        <w:numId w:val="2"/>
      </w:numPr>
      <w:tabs>
        <w:tab w:val="left" w:pos="397"/>
      </w:tabs>
      <w:spacing w:after="120" w:line="288" w:lineRule="auto"/>
      <w:ind w:hanging="357"/>
      <w:jc w:val="both"/>
    </w:pPr>
    <w:rPr>
      <w:rFonts w:ascii="Arial Narrow" w:hAnsi="Arial Narrow"/>
      <w:spacing w:val="-10"/>
      <w:lang w:val="en-GB"/>
    </w:rPr>
  </w:style>
  <w:style w:type="paragraph" w:customStyle="1" w:styleId="RecommendationHeading">
    <w:name w:val="Recommendation Heading"/>
    <w:basedOn w:val="Normal"/>
    <w:next w:val="RecommendationText"/>
    <w:qFormat/>
    <w:rsid w:val="0050484F"/>
    <w:pPr>
      <w:keepNext/>
      <w:spacing w:before="120" w:after="120" w:line="240" w:lineRule="auto"/>
    </w:pPr>
    <w:rPr>
      <w:rFonts w:eastAsia="Times New Roman"/>
      <w:b/>
      <w:color w:val="4F81BD" w:themeColor="accent1"/>
      <w:sz w:val="24"/>
      <w:szCs w:val="20"/>
      <w:lang w:eastAsia="en-AU"/>
    </w:rPr>
  </w:style>
  <w:style w:type="paragraph" w:customStyle="1" w:styleId="RecommendationText">
    <w:name w:val="Recommendation Text"/>
    <w:basedOn w:val="Normal"/>
    <w:qFormat/>
    <w:rsid w:val="0050484F"/>
    <w:pPr>
      <w:spacing w:before="120" w:after="120" w:line="240" w:lineRule="auto"/>
    </w:pPr>
    <w:rPr>
      <w:rFonts w:asciiTheme="minorHAnsi" w:eastAsia="Times New Roman" w:hAnsiTheme="minorHAnsi"/>
      <w:color w:val="000000"/>
      <w:szCs w:val="20"/>
      <w:lang w:eastAsia="en-AU"/>
    </w:rPr>
  </w:style>
  <w:style w:type="paragraph" w:customStyle="1" w:styleId="RecommendationBullet">
    <w:name w:val="Recommendation Bullet"/>
    <w:basedOn w:val="Normal"/>
    <w:rsid w:val="000D0DE1"/>
    <w:pPr>
      <w:numPr>
        <w:numId w:val="9"/>
      </w:numPr>
      <w:spacing w:before="120" w:after="120" w:line="240" w:lineRule="auto"/>
    </w:pPr>
    <w:rPr>
      <w:rFonts w:eastAsiaTheme="minorHAnsi"/>
      <w:color w:val="000000"/>
      <w:lang w:eastAsia="en-AU"/>
    </w:rPr>
  </w:style>
  <w:style w:type="paragraph" w:customStyle="1" w:styleId="RecommendationDash">
    <w:name w:val="Recommendation Dash"/>
    <w:basedOn w:val="Normal"/>
    <w:rsid w:val="000D0DE1"/>
    <w:pPr>
      <w:numPr>
        <w:ilvl w:val="1"/>
        <w:numId w:val="9"/>
      </w:numPr>
      <w:spacing w:before="120" w:after="120" w:line="240" w:lineRule="auto"/>
    </w:pPr>
    <w:rPr>
      <w:rFonts w:eastAsiaTheme="minorHAnsi"/>
      <w:color w:val="000000"/>
      <w:lang w:eastAsia="en-AU"/>
    </w:rPr>
  </w:style>
  <w:style w:type="paragraph" w:customStyle="1" w:styleId="RecommendationDoubleDot">
    <w:name w:val="Recommendation Double Dot"/>
    <w:basedOn w:val="Normal"/>
    <w:rsid w:val="000D0DE1"/>
    <w:pPr>
      <w:numPr>
        <w:ilvl w:val="2"/>
        <w:numId w:val="9"/>
      </w:numPr>
      <w:spacing w:before="120" w:after="120" w:line="240" w:lineRule="auto"/>
    </w:pPr>
    <w:rPr>
      <w:rFonts w:eastAsiaTheme="minorHAnsi"/>
      <w:color w:val="000000"/>
      <w:lang w:eastAsia="en-AU"/>
    </w:rPr>
  </w:style>
  <w:style w:type="character" w:customStyle="1" w:styleId="A0">
    <w:name w:val="A0"/>
    <w:uiPriority w:val="99"/>
    <w:rsid w:val="00A55BFC"/>
    <w:rPr>
      <w:rFonts w:cs="Adobe Garamond Pro"/>
      <w:color w:val="000000"/>
      <w:sz w:val="18"/>
      <w:szCs w:val="18"/>
    </w:rPr>
  </w:style>
  <w:style w:type="character" w:customStyle="1" w:styleId="tightinline1">
    <w:name w:val="tightinline1"/>
    <w:basedOn w:val="DefaultParagraphFont"/>
    <w:rsid w:val="00A55BFC"/>
  </w:style>
  <w:style w:type="character" w:styleId="Strong">
    <w:name w:val="Strong"/>
    <w:basedOn w:val="DefaultParagraphFont"/>
    <w:uiPriority w:val="22"/>
    <w:qFormat/>
    <w:locked/>
    <w:rsid w:val="00A55BFC"/>
    <w:rPr>
      <w:b/>
      <w:bCs/>
    </w:rPr>
  </w:style>
  <w:style w:type="character" w:customStyle="1" w:styleId="nhit4">
    <w:name w:val="nhit4"/>
    <w:basedOn w:val="DefaultParagraphFont"/>
    <w:rsid w:val="00A55B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Table Grid" w:locked="1"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CE"/>
    <w:pPr>
      <w:spacing w:after="200" w:line="276" w:lineRule="auto"/>
    </w:pPr>
    <w:rPr>
      <w:sz w:val="22"/>
      <w:szCs w:val="22"/>
      <w:lang w:val="en-AU"/>
    </w:rPr>
  </w:style>
  <w:style w:type="paragraph" w:styleId="Heading1">
    <w:name w:val="heading 1"/>
    <w:basedOn w:val="Normal"/>
    <w:qFormat/>
    <w:locked/>
    <w:rsid w:val="00605E88"/>
    <w:pPr>
      <w:numPr>
        <w:numId w:val="1"/>
      </w:numPr>
      <w:spacing w:before="240" w:after="0" w:line="240" w:lineRule="auto"/>
      <w:outlineLvl w:val="0"/>
    </w:pPr>
    <w:rPr>
      <w:rFonts w:ascii="Arial" w:hAnsi="Arial"/>
      <w:sz w:val="20"/>
      <w:szCs w:val="20"/>
    </w:rPr>
  </w:style>
  <w:style w:type="paragraph" w:styleId="Heading2">
    <w:name w:val="heading 2"/>
    <w:basedOn w:val="Normal"/>
    <w:qFormat/>
    <w:locked/>
    <w:rsid w:val="00605E88"/>
    <w:pPr>
      <w:numPr>
        <w:ilvl w:val="1"/>
        <w:numId w:val="1"/>
      </w:numPr>
      <w:spacing w:before="240" w:after="0" w:line="240" w:lineRule="auto"/>
      <w:outlineLvl w:val="1"/>
    </w:pPr>
    <w:rPr>
      <w:rFonts w:ascii="Arial" w:hAnsi="Arial"/>
      <w:sz w:val="20"/>
      <w:szCs w:val="20"/>
    </w:rPr>
  </w:style>
  <w:style w:type="paragraph" w:styleId="Heading3">
    <w:name w:val="heading 3"/>
    <w:basedOn w:val="Normal"/>
    <w:qFormat/>
    <w:locked/>
    <w:rsid w:val="00605E88"/>
    <w:pPr>
      <w:numPr>
        <w:ilvl w:val="2"/>
        <w:numId w:val="1"/>
      </w:numPr>
      <w:spacing w:before="240" w:after="0" w:line="240" w:lineRule="auto"/>
      <w:outlineLvl w:val="2"/>
    </w:pPr>
    <w:rPr>
      <w:rFonts w:ascii="Arial" w:hAnsi="Arial"/>
      <w:sz w:val="20"/>
      <w:szCs w:val="20"/>
    </w:rPr>
  </w:style>
  <w:style w:type="paragraph" w:styleId="Heading4">
    <w:name w:val="heading 4"/>
    <w:basedOn w:val="Normal"/>
    <w:qFormat/>
    <w:locked/>
    <w:rsid w:val="00605E88"/>
    <w:pPr>
      <w:numPr>
        <w:ilvl w:val="3"/>
        <w:numId w:val="1"/>
      </w:numPr>
      <w:spacing w:before="240" w:after="0" w:line="240" w:lineRule="auto"/>
      <w:outlineLvl w:val="3"/>
    </w:pPr>
    <w:rPr>
      <w:rFonts w:ascii="Arial" w:hAnsi="Arial"/>
      <w:sz w:val="20"/>
      <w:szCs w:val="20"/>
    </w:rPr>
  </w:style>
  <w:style w:type="paragraph" w:styleId="Heading5">
    <w:name w:val="heading 5"/>
    <w:basedOn w:val="Normal"/>
    <w:qFormat/>
    <w:locked/>
    <w:rsid w:val="00605E88"/>
    <w:pPr>
      <w:numPr>
        <w:ilvl w:val="4"/>
        <w:numId w:val="1"/>
      </w:numPr>
      <w:spacing w:before="240" w:after="0" w:line="240" w:lineRule="auto"/>
      <w:outlineLvl w:val="4"/>
    </w:pPr>
    <w:rPr>
      <w:rFonts w:ascii="Arial" w:hAnsi="Arial"/>
      <w:sz w:val="20"/>
      <w:szCs w:val="20"/>
    </w:rPr>
  </w:style>
  <w:style w:type="paragraph" w:styleId="Heading6">
    <w:name w:val="heading 6"/>
    <w:basedOn w:val="Normal"/>
    <w:qFormat/>
    <w:locked/>
    <w:rsid w:val="00605E88"/>
    <w:pPr>
      <w:numPr>
        <w:ilvl w:val="5"/>
        <w:numId w:val="1"/>
      </w:numPr>
      <w:spacing w:before="240" w:after="0" w:line="240" w:lineRule="auto"/>
      <w:outlineLvl w:val="5"/>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7D49"/>
    <w:pPr>
      <w:tabs>
        <w:tab w:val="center" w:pos="4513"/>
        <w:tab w:val="right" w:pos="9026"/>
      </w:tabs>
      <w:spacing w:after="0" w:line="240" w:lineRule="auto"/>
    </w:pPr>
    <w:rPr>
      <w:rFonts w:eastAsia="Times New Roman"/>
      <w:sz w:val="20"/>
      <w:szCs w:val="20"/>
      <w:lang w:eastAsia="en-AU"/>
    </w:rPr>
  </w:style>
  <w:style w:type="character" w:customStyle="1" w:styleId="HeaderChar">
    <w:name w:val="Header Char"/>
    <w:link w:val="Header"/>
    <w:locked/>
    <w:rsid w:val="002B7D49"/>
  </w:style>
  <w:style w:type="paragraph" w:styleId="Footer">
    <w:name w:val="footer"/>
    <w:basedOn w:val="Normal"/>
    <w:link w:val="FooterChar"/>
    <w:rsid w:val="002B7D49"/>
    <w:pPr>
      <w:tabs>
        <w:tab w:val="center" w:pos="4513"/>
        <w:tab w:val="right" w:pos="9026"/>
      </w:tabs>
      <w:spacing w:after="0" w:line="240" w:lineRule="auto"/>
    </w:pPr>
    <w:rPr>
      <w:rFonts w:eastAsia="Times New Roman"/>
      <w:sz w:val="20"/>
      <w:szCs w:val="20"/>
      <w:lang w:eastAsia="en-AU"/>
    </w:rPr>
  </w:style>
  <w:style w:type="character" w:customStyle="1" w:styleId="FooterChar">
    <w:name w:val="Footer Char"/>
    <w:link w:val="Footer"/>
    <w:locked/>
    <w:rsid w:val="002B7D49"/>
  </w:style>
  <w:style w:type="paragraph" w:customStyle="1" w:styleId="ColorfulList-Accent11">
    <w:name w:val="Colorful List - Accent 11"/>
    <w:basedOn w:val="Normal"/>
    <w:rsid w:val="002B7D49"/>
    <w:pPr>
      <w:ind w:left="720"/>
      <w:contextualSpacing/>
    </w:pPr>
  </w:style>
  <w:style w:type="paragraph" w:styleId="BalloonText">
    <w:name w:val="Balloon Text"/>
    <w:basedOn w:val="Normal"/>
    <w:link w:val="BalloonTextChar"/>
    <w:semiHidden/>
    <w:rsid w:val="0006454F"/>
    <w:rPr>
      <w:rFonts w:ascii="Segoe UI" w:eastAsia="Times New Roman" w:hAnsi="Segoe UI"/>
      <w:sz w:val="18"/>
      <w:szCs w:val="20"/>
      <w:lang w:val="x-none"/>
    </w:rPr>
  </w:style>
  <w:style w:type="character" w:customStyle="1" w:styleId="BalloonTextChar">
    <w:name w:val="Balloon Text Char"/>
    <w:link w:val="BalloonText"/>
    <w:semiHidden/>
    <w:locked/>
    <w:rsid w:val="0006454F"/>
    <w:rPr>
      <w:rFonts w:ascii="Segoe UI" w:eastAsia="Times New Roman" w:hAnsi="Segoe UI"/>
      <w:sz w:val="18"/>
      <w:lang w:eastAsia="en-US"/>
    </w:rPr>
  </w:style>
  <w:style w:type="paragraph" w:styleId="BodyText3">
    <w:name w:val="Body Text 3"/>
    <w:basedOn w:val="Normal"/>
    <w:rsid w:val="00605E88"/>
    <w:pPr>
      <w:spacing w:before="240" w:after="0" w:line="240" w:lineRule="auto"/>
      <w:ind w:left="1418"/>
    </w:pPr>
    <w:rPr>
      <w:rFonts w:ascii="Arial" w:hAnsi="Arial"/>
      <w:sz w:val="20"/>
      <w:szCs w:val="20"/>
    </w:rPr>
  </w:style>
  <w:style w:type="table" w:styleId="TableGrid5">
    <w:name w:val="Table Grid 5"/>
    <w:basedOn w:val="TableNormal"/>
    <w:rsid w:val="0044212F"/>
    <w:pPr>
      <w:spacing w:after="200" w:line="276" w:lineRule="auto"/>
    </w:pPr>
    <w:rPr>
      <w:rFonts w:eastAsia="Times New Roman"/>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styleId="PageNumber">
    <w:name w:val="page number"/>
    <w:rsid w:val="00DA2110"/>
    <w:rPr>
      <w:rFonts w:cs="Times New Roman"/>
    </w:rPr>
  </w:style>
  <w:style w:type="character" w:styleId="CommentReference">
    <w:name w:val="annotation reference"/>
    <w:rsid w:val="00223A75"/>
    <w:rPr>
      <w:sz w:val="18"/>
    </w:rPr>
  </w:style>
  <w:style w:type="paragraph" w:styleId="CommentText">
    <w:name w:val="annotation text"/>
    <w:basedOn w:val="Normal"/>
    <w:link w:val="CommentTextChar"/>
    <w:rsid w:val="00223A75"/>
    <w:rPr>
      <w:rFonts w:eastAsia="Times New Roman"/>
      <w:sz w:val="24"/>
      <w:szCs w:val="20"/>
      <w:lang w:eastAsia="x-none"/>
    </w:rPr>
  </w:style>
  <w:style w:type="character" w:customStyle="1" w:styleId="CommentTextChar">
    <w:name w:val="Comment Text Char"/>
    <w:link w:val="CommentText"/>
    <w:locked/>
    <w:rsid w:val="00223A75"/>
    <w:rPr>
      <w:rFonts w:eastAsia="Times New Roman"/>
      <w:sz w:val="24"/>
      <w:lang w:val="en-AU" w:eastAsia="x-none"/>
    </w:rPr>
  </w:style>
  <w:style w:type="paragraph" w:styleId="CommentSubject">
    <w:name w:val="annotation subject"/>
    <w:basedOn w:val="CommentText"/>
    <w:next w:val="CommentText"/>
    <w:link w:val="CommentSubjectChar"/>
    <w:rsid w:val="00223A75"/>
    <w:rPr>
      <w:b/>
    </w:rPr>
  </w:style>
  <w:style w:type="character" w:customStyle="1" w:styleId="CommentSubjectChar">
    <w:name w:val="Comment Subject Char"/>
    <w:link w:val="CommentSubject"/>
    <w:locked/>
    <w:rsid w:val="00223A75"/>
    <w:rPr>
      <w:rFonts w:eastAsia="Times New Roman"/>
      <w:b/>
      <w:sz w:val="24"/>
      <w:lang w:val="en-AU" w:eastAsia="x-none"/>
    </w:rPr>
  </w:style>
  <w:style w:type="character" w:styleId="Hyperlink">
    <w:name w:val="Hyperlink"/>
    <w:rsid w:val="00223A75"/>
    <w:rPr>
      <w:color w:val="0000FF"/>
      <w:u w:val="single"/>
    </w:rPr>
  </w:style>
  <w:style w:type="paragraph" w:styleId="FootnoteText">
    <w:name w:val="footnote text"/>
    <w:basedOn w:val="Normal"/>
    <w:link w:val="FootnoteTextChar"/>
    <w:uiPriority w:val="99"/>
    <w:rsid w:val="00223A75"/>
    <w:rPr>
      <w:rFonts w:eastAsia="Times New Roman"/>
      <w:sz w:val="24"/>
      <w:szCs w:val="20"/>
      <w:lang w:eastAsia="x-none"/>
    </w:rPr>
  </w:style>
  <w:style w:type="character" w:customStyle="1" w:styleId="FootnoteTextChar">
    <w:name w:val="Footnote Text Char"/>
    <w:link w:val="FootnoteText"/>
    <w:uiPriority w:val="99"/>
    <w:locked/>
    <w:rsid w:val="00223A75"/>
    <w:rPr>
      <w:rFonts w:eastAsia="Times New Roman"/>
      <w:sz w:val="24"/>
      <w:lang w:val="en-AU" w:eastAsia="x-none"/>
    </w:rPr>
  </w:style>
  <w:style w:type="character" w:styleId="FootnoteReference">
    <w:name w:val="footnote reference"/>
    <w:uiPriority w:val="99"/>
    <w:rsid w:val="00223A75"/>
    <w:rPr>
      <w:vertAlign w:val="superscript"/>
    </w:rPr>
  </w:style>
  <w:style w:type="character" w:styleId="FollowedHyperlink">
    <w:name w:val="FollowedHyperlink"/>
    <w:rsid w:val="00780B97"/>
    <w:rPr>
      <w:rFonts w:cs="Times New Roman"/>
      <w:color w:val="800080"/>
      <w:u w:val="single"/>
    </w:rPr>
  </w:style>
  <w:style w:type="paragraph" w:customStyle="1" w:styleId="Default">
    <w:name w:val="Default"/>
    <w:rsid w:val="00EA00FA"/>
    <w:pPr>
      <w:autoSpaceDE w:val="0"/>
      <w:autoSpaceDN w:val="0"/>
      <w:adjustRightInd w:val="0"/>
    </w:pPr>
    <w:rPr>
      <w:rFonts w:ascii="Arial" w:hAnsi="Arial" w:cs="Arial"/>
      <w:color w:val="000000"/>
      <w:sz w:val="24"/>
      <w:szCs w:val="24"/>
      <w:lang w:val="en-AU" w:eastAsia="en-AU"/>
    </w:rPr>
  </w:style>
  <w:style w:type="paragraph" w:styleId="ListParagraph">
    <w:name w:val="List Paragraph"/>
    <w:basedOn w:val="Normal"/>
    <w:uiPriority w:val="34"/>
    <w:qFormat/>
    <w:rsid w:val="00967BDC"/>
    <w:pPr>
      <w:spacing w:after="0" w:line="240" w:lineRule="auto"/>
      <w:ind w:left="720"/>
    </w:pPr>
    <w:rPr>
      <w:rFonts w:cs="Calibri"/>
      <w:lang w:eastAsia="en-AU"/>
    </w:rPr>
  </w:style>
  <w:style w:type="table" w:styleId="TableGrid">
    <w:name w:val="Table Grid"/>
    <w:basedOn w:val="TableNormal"/>
    <w:uiPriority w:val="39"/>
    <w:locked/>
    <w:rsid w:val="00CE5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692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paragraph" w:customStyle="1" w:styleId="NBSubsection">
    <w:name w:val="NB Subsection"/>
    <w:basedOn w:val="Normal"/>
    <w:next w:val="Normal"/>
    <w:link w:val="NBSubsectionChar"/>
    <w:rsid w:val="007D2FF4"/>
    <w:pPr>
      <w:keepNext/>
      <w:spacing w:before="360" w:after="120" w:line="264" w:lineRule="auto"/>
      <w:ind w:right="357"/>
      <w:outlineLvl w:val="3"/>
    </w:pPr>
    <w:rPr>
      <w:rFonts w:ascii="Arial" w:hAnsi="Arial"/>
      <w:b/>
      <w:caps/>
      <w:color w:val="002960"/>
      <w:sz w:val="24"/>
      <w:szCs w:val="20"/>
    </w:rPr>
  </w:style>
  <w:style w:type="paragraph" w:customStyle="1" w:styleId="01squarebullet">
    <w:name w:val="01 square bullet"/>
    <w:basedOn w:val="Normal"/>
    <w:link w:val="01squarebulletChar"/>
    <w:rsid w:val="007D2FF4"/>
    <w:pPr>
      <w:tabs>
        <w:tab w:val="num" w:pos="709"/>
      </w:tabs>
      <w:spacing w:after="120" w:line="264" w:lineRule="auto"/>
      <w:ind w:left="357" w:right="142" w:hanging="357"/>
    </w:pPr>
    <w:rPr>
      <w:rFonts w:ascii="Times New Roman" w:eastAsia="Times New Roman" w:hAnsi="Times New Roman"/>
      <w:sz w:val="24"/>
      <w:szCs w:val="20"/>
      <w:lang w:val="x-none"/>
    </w:rPr>
  </w:style>
  <w:style w:type="paragraph" w:customStyle="1" w:styleId="NBrecommendationbox">
    <w:name w:val="NB_recommendation box"/>
    <w:basedOn w:val="Normal"/>
    <w:link w:val="NBrecommendationboxChar"/>
    <w:rsid w:val="007D2FF4"/>
    <w:pPr>
      <w:pBdr>
        <w:top w:val="single" w:sz="4" w:space="2" w:color="002960"/>
        <w:bottom w:val="single" w:sz="4" w:space="1" w:color="002960"/>
      </w:pBdr>
      <w:shd w:val="clear" w:color="auto" w:fill="C7E0FB"/>
      <w:spacing w:after="120"/>
      <w:ind w:left="1038"/>
    </w:pPr>
    <w:rPr>
      <w:rFonts w:ascii="Arial" w:hAnsi="Arial"/>
      <w:bCs/>
      <w:sz w:val="20"/>
      <w:szCs w:val="20"/>
    </w:rPr>
  </w:style>
  <w:style w:type="paragraph" w:customStyle="1" w:styleId="NBrecommendationnumber">
    <w:name w:val="NB_recommendation number"/>
    <w:basedOn w:val="NBrecommendationbox"/>
    <w:link w:val="NBrecommendationnumberChar"/>
    <w:rsid w:val="007D2FF4"/>
    <w:pPr>
      <w:ind w:left="1265" w:hanging="227"/>
    </w:pPr>
  </w:style>
  <w:style w:type="character" w:customStyle="1" w:styleId="01squarebulletChar">
    <w:name w:val="01 square bullet Char"/>
    <w:link w:val="01squarebullet"/>
    <w:locked/>
    <w:rsid w:val="007D2FF4"/>
    <w:rPr>
      <w:rFonts w:ascii="Times New Roman" w:eastAsia="Times New Roman" w:hAnsi="Times New Roman"/>
      <w:sz w:val="24"/>
      <w:lang w:val="x-none"/>
    </w:rPr>
  </w:style>
  <w:style w:type="character" w:customStyle="1" w:styleId="NBrecommendationboxChar">
    <w:name w:val="NB_recommendation box Char"/>
    <w:link w:val="NBrecommendationbox"/>
    <w:locked/>
    <w:rsid w:val="007D2FF4"/>
    <w:rPr>
      <w:rFonts w:ascii="Arial" w:hAnsi="Arial"/>
      <w:bCs/>
      <w:lang w:val="en-AU" w:eastAsia="en-US" w:bidi="ar-SA"/>
    </w:rPr>
  </w:style>
  <w:style w:type="character" w:customStyle="1" w:styleId="NBSubsectionChar">
    <w:name w:val="NB Subsection Char"/>
    <w:link w:val="NBSubsection"/>
    <w:locked/>
    <w:rsid w:val="007D2FF4"/>
    <w:rPr>
      <w:rFonts w:ascii="Arial" w:hAnsi="Arial"/>
      <w:b/>
      <w:caps/>
      <w:color w:val="002960"/>
      <w:sz w:val="24"/>
      <w:lang w:val="en-AU" w:eastAsia="en-US" w:bidi="ar-SA"/>
    </w:rPr>
  </w:style>
  <w:style w:type="character" w:customStyle="1" w:styleId="NBrecommendationnumberChar">
    <w:name w:val="NB_recommendation number Char"/>
    <w:basedOn w:val="NBrecommendationboxChar"/>
    <w:link w:val="NBrecommendationnumber"/>
    <w:locked/>
    <w:rsid w:val="007D2FF4"/>
    <w:rPr>
      <w:rFonts w:ascii="Arial" w:hAnsi="Arial"/>
      <w:bCs/>
      <w:lang w:val="en-AU" w:eastAsia="en-US" w:bidi="ar-SA"/>
    </w:rPr>
  </w:style>
  <w:style w:type="table" w:styleId="MediumList1-Accent2">
    <w:name w:val="Medium List 1 Accent 2"/>
    <w:basedOn w:val="TableNormal"/>
    <w:uiPriority w:val="65"/>
    <w:rsid w:val="00D57E2B"/>
    <w:rPr>
      <w:color w:val="000000"/>
    </w:rPr>
    <w:tblPr>
      <w:tblStyleRowBandSize w:val="1"/>
      <w:tblStyleColBandSize w:val="1"/>
      <w:tblBorders>
        <w:top w:val="single" w:sz="8" w:space="0" w:color="C0504D"/>
        <w:bottom w:val="single" w:sz="8" w:space="0" w:color="C0504D"/>
      </w:tblBorders>
    </w:tblPr>
    <w:tblStylePr w:type="firstRow">
      <w:rPr>
        <w:rFonts w:ascii="Cambria Math" w:eastAsia="Times New Roman" w:hAnsi="Cambria Math"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paragraph" w:styleId="Revision">
    <w:name w:val="Revision"/>
    <w:hidden/>
    <w:uiPriority w:val="99"/>
    <w:semiHidden/>
    <w:rsid w:val="0018345C"/>
    <w:rPr>
      <w:sz w:val="22"/>
      <w:szCs w:val="22"/>
      <w:lang w:val="en-AU"/>
    </w:rPr>
  </w:style>
  <w:style w:type="paragraph" w:styleId="BodyText">
    <w:name w:val="Body Text"/>
    <w:basedOn w:val="Normal"/>
    <w:link w:val="BodyTextChar"/>
    <w:rsid w:val="00F64982"/>
    <w:pPr>
      <w:spacing w:after="120"/>
    </w:pPr>
  </w:style>
  <w:style w:type="character" w:customStyle="1" w:styleId="BodyTextChar">
    <w:name w:val="Body Text Char"/>
    <w:basedOn w:val="DefaultParagraphFont"/>
    <w:link w:val="BodyText"/>
    <w:rsid w:val="00F64982"/>
    <w:rPr>
      <w:sz w:val="22"/>
      <w:szCs w:val="22"/>
      <w:lang w:val="en-AU"/>
    </w:rPr>
  </w:style>
  <w:style w:type="paragraph" w:styleId="ListBullet">
    <w:name w:val="List Bullet"/>
    <w:basedOn w:val="Normal"/>
    <w:uiPriority w:val="99"/>
    <w:unhideWhenUsed/>
    <w:rsid w:val="00F64982"/>
    <w:pPr>
      <w:numPr>
        <w:numId w:val="2"/>
      </w:numPr>
      <w:tabs>
        <w:tab w:val="left" w:pos="397"/>
      </w:tabs>
      <w:spacing w:after="120" w:line="288" w:lineRule="auto"/>
      <w:ind w:hanging="357"/>
      <w:jc w:val="both"/>
    </w:pPr>
    <w:rPr>
      <w:rFonts w:ascii="Arial Narrow" w:hAnsi="Arial Narrow"/>
      <w:spacing w:val="-10"/>
      <w:lang w:val="en-GB"/>
    </w:rPr>
  </w:style>
  <w:style w:type="paragraph" w:customStyle="1" w:styleId="RecommendationHeading">
    <w:name w:val="Recommendation Heading"/>
    <w:basedOn w:val="Normal"/>
    <w:next w:val="RecommendationText"/>
    <w:qFormat/>
    <w:rsid w:val="0050484F"/>
    <w:pPr>
      <w:keepNext/>
      <w:spacing w:before="120" w:after="120" w:line="240" w:lineRule="auto"/>
    </w:pPr>
    <w:rPr>
      <w:rFonts w:eastAsia="Times New Roman"/>
      <w:b/>
      <w:color w:val="4F81BD" w:themeColor="accent1"/>
      <w:sz w:val="24"/>
      <w:szCs w:val="20"/>
      <w:lang w:eastAsia="en-AU"/>
    </w:rPr>
  </w:style>
  <w:style w:type="paragraph" w:customStyle="1" w:styleId="RecommendationText">
    <w:name w:val="Recommendation Text"/>
    <w:basedOn w:val="Normal"/>
    <w:qFormat/>
    <w:rsid w:val="0050484F"/>
    <w:pPr>
      <w:spacing w:before="120" w:after="120" w:line="240" w:lineRule="auto"/>
    </w:pPr>
    <w:rPr>
      <w:rFonts w:asciiTheme="minorHAnsi" w:eastAsia="Times New Roman" w:hAnsiTheme="minorHAnsi"/>
      <w:color w:val="000000"/>
      <w:szCs w:val="20"/>
      <w:lang w:eastAsia="en-AU"/>
    </w:rPr>
  </w:style>
  <w:style w:type="paragraph" w:customStyle="1" w:styleId="RecommendationBullet">
    <w:name w:val="Recommendation Bullet"/>
    <w:basedOn w:val="Normal"/>
    <w:rsid w:val="000D0DE1"/>
    <w:pPr>
      <w:numPr>
        <w:numId w:val="9"/>
      </w:numPr>
      <w:spacing w:before="120" w:after="120" w:line="240" w:lineRule="auto"/>
    </w:pPr>
    <w:rPr>
      <w:rFonts w:eastAsiaTheme="minorHAnsi"/>
      <w:color w:val="000000"/>
      <w:lang w:eastAsia="en-AU"/>
    </w:rPr>
  </w:style>
  <w:style w:type="paragraph" w:customStyle="1" w:styleId="RecommendationDash">
    <w:name w:val="Recommendation Dash"/>
    <w:basedOn w:val="Normal"/>
    <w:rsid w:val="000D0DE1"/>
    <w:pPr>
      <w:numPr>
        <w:ilvl w:val="1"/>
        <w:numId w:val="9"/>
      </w:numPr>
      <w:spacing w:before="120" w:after="120" w:line="240" w:lineRule="auto"/>
    </w:pPr>
    <w:rPr>
      <w:rFonts w:eastAsiaTheme="minorHAnsi"/>
      <w:color w:val="000000"/>
      <w:lang w:eastAsia="en-AU"/>
    </w:rPr>
  </w:style>
  <w:style w:type="paragraph" w:customStyle="1" w:styleId="RecommendationDoubleDot">
    <w:name w:val="Recommendation Double Dot"/>
    <w:basedOn w:val="Normal"/>
    <w:rsid w:val="000D0DE1"/>
    <w:pPr>
      <w:numPr>
        <w:ilvl w:val="2"/>
        <w:numId w:val="9"/>
      </w:numPr>
      <w:spacing w:before="120" w:after="120" w:line="240" w:lineRule="auto"/>
    </w:pPr>
    <w:rPr>
      <w:rFonts w:eastAsiaTheme="minorHAnsi"/>
      <w:color w:val="000000"/>
      <w:lang w:eastAsia="en-AU"/>
    </w:rPr>
  </w:style>
  <w:style w:type="character" w:customStyle="1" w:styleId="A0">
    <w:name w:val="A0"/>
    <w:uiPriority w:val="99"/>
    <w:rsid w:val="00A55BFC"/>
    <w:rPr>
      <w:rFonts w:cs="Adobe Garamond Pro"/>
      <w:color w:val="000000"/>
      <w:sz w:val="18"/>
      <w:szCs w:val="18"/>
    </w:rPr>
  </w:style>
  <w:style w:type="character" w:customStyle="1" w:styleId="tightinline1">
    <w:name w:val="tightinline1"/>
    <w:basedOn w:val="DefaultParagraphFont"/>
    <w:rsid w:val="00A55BFC"/>
  </w:style>
  <w:style w:type="character" w:styleId="Strong">
    <w:name w:val="Strong"/>
    <w:basedOn w:val="DefaultParagraphFont"/>
    <w:uiPriority w:val="22"/>
    <w:qFormat/>
    <w:locked/>
    <w:rsid w:val="00A55BFC"/>
    <w:rPr>
      <w:b/>
      <w:bCs/>
    </w:rPr>
  </w:style>
  <w:style w:type="character" w:customStyle="1" w:styleId="nhit4">
    <w:name w:val="nhit4"/>
    <w:basedOn w:val="DefaultParagraphFont"/>
    <w:rsid w:val="00A55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6902544">
      <w:bodyDiv w:val="1"/>
      <w:marLeft w:val="0"/>
      <w:marRight w:val="0"/>
      <w:marTop w:val="0"/>
      <w:marBottom w:val="0"/>
      <w:divBdr>
        <w:top w:val="none" w:sz="0" w:space="0" w:color="auto"/>
        <w:left w:val="none" w:sz="0" w:space="0" w:color="auto"/>
        <w:bottom w:val="none" w:sz="0" w:space="0" w:color="auto"/>
        <w:right w:val="none" w:sz="0" w:space="0" w:color="auto"/>
      </w:divBdr>
      <w:divsChild>
        <w:div w:id="282345923">
          <w:marLeft w:val="0"/>
          <w:marRight w:val="0"/>
          <w:marTop w:val="0"/>
          <w:marBottom w:val="0"/>
          <w:divBdr>
            <w:top w:val="none" w:sz="0" w:space="0" w:color="auto"/>
            <w:left w:val="none" w:sz="0" w:space="0" w:color="auto"/>
            <w:bottom w:val="none" w:sz="0" w:space="0" w:color="auto"/>
            <w:right w:val="none" w:sz="0" w:space="0" w:color="auto"/>
          </w:divBdr>
        </w:div>
        <w:div w:id="331834749">
          <w:marLeft w:val="0"/>
          <w:marRight w:val="0"/>
          <w:marTop w:val="0"/>
          <w:marBottom w:val="0"/>
          <w:divBdr>
            <w:top w:val="none" w:sz="0" w:space="0" w:color="auto"/>
            <w:left w:val="none" w:sz="0" w:space="0" w:color="auto"/>
            <w:bottom w:val="none" w:sz="0" w:space="0" w:color="auto"/>
            <w:right w:val="none" w:sz="0" w:space="0" w:color="auto"/>
          </w:divBdr>
        </w:div>
        <w:div w:id="578373296">
          <w:marLeft w:val="0"/>
          <w:marRight w:val="0"/>
          <w:marTop w:val="0"/>
          <w:marBottom w:val="0"/>
          <w:divBdr>
            <w:top w:val="none" w:sz="0" w:space="0" w:color="auto"/>
            <w:left w:val="none" w:sz="0" w:space="0" w:color="auto"/>
            <w:bottom w:val="none" w:sz="0" w:space="0" w:color="auto"/>
            <w:right w:val="none" w:sz="0" w:space="0" w:color="auto"/>
          </w:divBdr>
        </w:div>
        <w:div w:id="696808203">
          <w:marLeft w:val="0"/>
          <w:marRight w:val="0"/>
          <w:marTop w:val="0"/>
          <w:marBottom w:val="0"/>
          <w:divBdr>
            <w:top w:val="none" w:sz="0" w:space="0" w:color="auto"/>
            <w:left w:val="none" w:sz="0" w:space="0" w:color="auto"/>
            <w:bottom w:val="none" w:sz="0" w:space="0" w:color="auto"/>
            <w:right w:val="none" w:sz="0" w:space="0" w:color="auto"/>
          </w:divBdr>
        </w:div>
        <w:div w:id="1449932204">
          <w:marLeft w:val="0"/>
          <w:marRight w:val="0"/>
          <w:marTop w:val="0"/>
          <w:marBottom w:val="0"/>
          <w:divBdr>
            <w:top w:val="none" w:sz="0" w:space="0" w:color="auto"/>
            <w:left w:val="none" w:sz="0" w:space="0" w:color="auto"/>
            <w:bottom w:val="none" w:sz="0" w:space="0" w:color="auto"/>
            <w:right w:val="none" w:sz="0" w:space="0" w:color="auto"/>
          </w:divBdr>
        </w:div>
        <w:div w:id="1661689222">
          <w:marLeft w:val="0"/>
          <w:marRight w:val="0"/>
          <w:marTop w:val="0"/>
          <w:marBottom w:val="0"/>
          <w:divBdr>
            <w:top w:val="none" w:sz="0" w:space="0" w:color="auto"/>
            <w:left w:val="none" w:sz="0" w:space="0" w:color="auto"/>
            <w:bottom w:val="none" w:sz="0" w:space="0" w:color="auto"/>
            <w:right w:val="none" w:sz="0" w:space="0" w:color="auto"/>
          </w:divBdr>
        </w:div>
        <w:div w:id="1751344329">
          <w:marLeft w:val="0"/>
          <w:marRight w:val="0"/>
          <w:marTop w:val="0"/>
          <w:marBottom w:val="0"/>
          <w:divBdr>
            <w:top w:val="none" w:sz="0" w:space="0" w:color="auto"/>
            <w:left w:val="none" w:sz="0" w:space="0" w:color="auto"/>
            <w:bottom w:val="none" w:sz="0" w:space="0" w:color="auto"/>
            <w:right w:val="none" w:sz="0" w:space="0" w:color="auto"/>
          </w:divBdr>
        </w:div>
      </w:divsChild>
    </w:div>
    <w:div w:id="115296844">
      <w:bodyDiv w:val="1"/>
      <w:marLeft w:val="0"/>
      <w:marRight w:val="0"/>
      <w:marTop w:val="0"/>
      <w:marBottom w:val="0"/>
      <w:divBdr>
        <w:top w:val="none" w:sz="0" w:space="0" w:color="auto"/>
        <w:left w:val="none" w:sz="0" w:space="0" w:color="auto"/>
        <w:bottom w:val="none" w:sz="0" w:space="0" w:color="auto"/>
        <w:right w:val="none" w:sz="0" w:space="0" w:color="auto"/>
      </w:divBdr>
    </w:div>
    <w:div w:id="140271080">
      <w:bodyDiv w:val="1"/>
      <w:marLeft w:val="0"/>
      <w:marRight w:val="0"/>
      <w:marTop w:val="0"/>
      <w:marBottom w:val="0"/>
      <w:divBdr>
        <w:top w:val="none" w:sz="0" w:space="0" w:color="auto"/>
        <w:left w:val="none" w:sz="0" w:space="0" w:color="auto"/>
        <w:bottom w:val="none" w:sz="0" w:space="0" w:color="auto"/>
        <w:right w:val="none" w:sz="0" w:space="0" w:color="auto"/>
      </w:divBdr>
      <w:divsChild>
        <w:div w:id="1972132610">
          <w:marLeft w:val="0"/>
          <w:marRight w:val="0"/>
          <w:marTop w:val="0"/>
          <w:marBottom w:val="0"/>
          <w:divBdr>
            <w:top w:val="none" w:sz="0" w:space="0" w:color="auto"/>
            <w:left w:val="none" w:sz="0" w:space="0" w:color="auto"/>
            <w:bottom w:val="none" w:sz="0" w:space="0" w:color="auto"/>
            <w:right w:val="none" w:sz="0" w:space="0" w:color="auto"/>
          </w:divBdr>
        </w:div>
        <w:div w:id="2054038620">
          <w:marLeft w:val="0"/>
          <w:marRight w:val="0"/>
          <w:marTop w:val="0"/>
          <w:marBottom w:val="0"/>
          <w:divBdr>
            <w:top w:val="none" w:sz="0" w:space="0" w:color="auto"/>
            <w:left w:val="none" w:sz="0" w:space="0" w:color="auto"/>
            <w:bottom w:val="none" w:sz="0" w:space="0" w:color="auto"/>
            <w:right w:val="none" w:sz="0" w:space="0" w:color="auto"/>
          </w:divBdr>
        </w:div>
        <w:div w:id="1787654355">
          <w:marLeft w:val="0"/>
          <w:marRight w:val="0"/>
          <w:marTop w:val="0"/>
          <w:marBottom w:val="0"/>
          <w:divBdr>
            <w:top w:val="none" w:sz="0" w:space="0" w:color="auto"/>
            <w:left w:val="none" w:sz="0" w:space="0" w:color="auto"/>
            <w:bottom w:val="none" w:sz="0" w:space="0" w:color="auto"/>
            <w:right w:val="none" w:sz="0" w:space="0" w:color="auto"/>
          </w:divBdr>
        </w:div>
        <w:div w:id="131605069">
          <w:marLeft w:val="0"/>
          <w:marRight w:val="0"/>
          <w:marTop w:val="0"/>
          <w:marBottom w:val="0"/>
          <w:divBdr>
            <w:top w:val="none" w:sz="0" w:space="0" w:color="auto"/>
            <w:left w:val="none" w:sz="0" w:space="0" w:color="auto"/>
            <w:bottom w:val="none" w:sz="0" w:space="0" w:color="auto"/>
            <w:right w:val="none" w:sz="0" w:space="0" w:color="auto"/>
          </w:divBdr>
        </w:div>
      </w:divsChild>
    </w:div>
    <w:div w:id="144049518">
      <w:bodyDiv w:val="1"/>
      <w:marLeft w:val="0"/>
      <w:marRight w:val="0"/>
      <w:marTop w:val="0"/>
      <w:marBottom w:val="0"/>
      <w:divBdr>
        <w:top w:val="none" w:sz="0" w:space="0" w:color="auto"/>
        <w:left w:val="none" w:sz="0" w:space="0" w:color="auto"/>
        <w:bottom w:val="none" w:sz="0" w:space="0" w:color="auto"/>
        <w:right w:val="none" w:sz="0" w:space="0" w:color="auto"/>
      </w:divBdr>
      <w:divsChild>
        <w:div w:id="309099619">
          <w:marLeft w:val="0"/>
          <w:marRight w:val="0"/>
          <w:marTop w:val="0"/>
          <w:marBottom w:val="0"/>
          <w:divBdr>
            <w:top w:val="none" w:sz="0" w:space="0" w:color="auto"/>
            <w:left w:val="none" w:sz="0" w:space="0" w:color="auto"/>
            <w:bottom w:val="none" w:sz="0" w:space="0" w:color="auto"/>
            <w:right w:val="none" w:sz="0" w:space="0" w:color="auto"/>
          </w:divBdr>
        </w:div>
        <w:div w:id="758211837">
          <w:marLeft w:val="0"/>
          <w:marRight w:val="0"/>
          <w:marTop w:val="0"/>
          <w:marBottom w:val="0"/>
          <w:divBdr>
            <w:top w:val="none" w:sz="0" w:space="0" w:color="auto"/>
            <w:left w:val="none" w:sz="0" w:space="0" w:color="auto"/>
            <w:bottom w:val="none" w:sz="0" w:space="0" w:color="auto"/>
            <w:right w:val="none" w:sz="0" w:space="0" w:color="auto"/>
          </w:divBdr>
        </w:div>
        <w:div w:id="1241865334">
          <w:marLeft w:val="0"/>
          <w:marRight w:val="0"/>
          <w:marTop w:val="0"/>
          <w:marBottom w:val="0"/>
          <w:divBdr>
            <w:top w:val="none" w:sz="0" w:space="0" w:color="auto"/>
            <w:left w:val="none" w:sz="0" w:space="0" w:color="auto"/>
            <w:bottom w:val="none" w:sz="0" w:space="0" w:color="auto"/>
            <w:right w:val="none" w:sz="0" w:space="0" w:color="auto"/>
          </w:divBdr>
        </w:div>
        <w:div w:id="1289121988">
          <w:marLeft w:val="0"/>
          <w:marRight w:val="0"/>
          <w:marTop w:val="0"/>
          <w:marBottom w:val="0"/>
          <w:divBdr>
            <w:top w:val="none" w:sz="0" w:space="0" w:color="auto"/>
            <w:left w:val="none" w:sz="0" w:space="0" w:color="auto"/>
            <w:bottom w:val="none" w:sz="0" w:space="0" w:color="auto"/>
            <w:right w:val="none" w:sz="0" w:space="0" w:color="auto"/>
          </w:divBdr>
        </w:div>
        <w:div w:id="1801650206">
          <w:marLeft w:val="0"/>
          <w:marRight w:val="0"/>
          <w:marTop w:val="0"/>
          <w:marBottom w:val="0"/>
          <w:divBdr>
            <w:top w:val="none" w:sz="0" w:space="0" w:color="auto"/>
            <w:left w:val="none" w:sz="0" w:space="0" w:color="auto"/>
            <w:bottom w:val="none" w:sz="0" w:space="0" w:color="auto"/>
            <w:right w:val="none" w:sz="0" w:space="0" w:color="auto"/>
          </w:divBdr>
        </w:div>
      </w:divsChild>
    </w:div>
    <w:div w:id="215168671">
      <w:bodyDiv w:val="1"/>
      <w:marLeft w:val="0"/>
      <w:marRight w:val="0"/>
      <w:marTop w:val="0"/>
      <w:marBottom w:val="0"/>
      <w:divBdr>
        <w:top w:val="none" w:sz="0" w:space="0" w:color="auto"/>
        <w:left w:val="none" w:sz="0" w:space="0" w:color="auto"/>
        <w:bottom w:val="none" w:sz="0" w:space="0" w:color="auto"/>
        <w:right w:val="none" w:sz="0" w:space="0" w:color="auto"/>
      </w:divBdr>
    </w:div>
    <w:div w:id="227350211">
      <w:bodyDiv w:val="1"/>
      <w:marLeft w:val="0"/>
      <w:marRight w:val="0"/>
      <w:marTop w:val="0"/>
      <w:marBottom w:val="0"/>
      <w:divBdr>
        <w:top w:val="none" w:sz="0" w:space="0" w:color="auto"/>
        <w:left w:val="none" w:sz="0" w:space="0" w:color="auto"/>
        <w:bottom w:val="none" w:sz="0" w:space="0" w:color="auto"/>
        <w:right w:val="none" w:sz="0" w:space="0" w:color="auto"/>
      </w:divBdr>
    </w:div>
    <w:div w:id="566039236">
      <w:bodyDiv w:val="1"/>
      <w:marLeft w:val="0"/>
      <w:marRight w:val="0"/>
      <w:marTop w:val="0"/>
      <w:marBottom w:val="0"/>
      <w:divBdr>
        <w:top w:val="none" w:sz="0" w:space="0" w:color="auto"/>
        <w:left w:val="none" w:sz="0" w:space="0" w:color="auto"/>
        <w:bottom w:val="none" w:sz="0" w:space="0" w:color="auto"/>
        <w:right w:val="none" w:sz="0" w:space="0" w:color="auto"/>
      </w:divBdr>
    </w:div>
    <w:div w:id="672073701">
      <w:bodyDiv w:val="1"/>
      <w:marLeft w:val="0"/>
      <w:marRight w:val="0"/>
      <w:marTop w:val="0"/>
      <w:marBottom w:val="0"/>
      <w:divBdr>
        <w:top w:val="none" w:sz="0" w:space="0" w:color="auto"/>
        <w:left w:val="none" w:sz="0" w:space="0" w:color="auto"/>
        <w:bottom w:val="none" w:sz="0" w:space="0" w:color="auto"/>
        <w:right w:val="none" w:sz="0" w:space="0" w:color="auto"/>
      </w:divBdr>
    </w:div>
    <w:div w:id="677465932">
      <w:bodyDiv w:val="1"/>
      <w:marLeft w:val="0"/>
      <w:marRight w:val="0"/>
      <w:marTop w:val="0"/>
      <w:marBottom w:val="0"/>
      <w:divBdr>
        <w:top w:val="none" w:sz="0" w:space="0" w:color="auto"/>
        <w:left w:val="none" w:sz="0" w:space="0" w:color="auto"/>
        <w:bottom w:val="none" w:sz="0" w:space="0" w:color="auto"/>
        <w:right w:val="none" w:sz="0" w:space="0" w:color="auto"/>
      </w:divBdr>
    </w:div>
    <w:div w:id="862942988">
      <w:bodyDiv w:val="1"/>
      <w:marLeft w:val="0"/>
      <w:marRight w:val="0"/>
      <w:marTop w:val="0"/>
      <w:marBottom w:val="0"/>
      <w:divBdr>
        <w:top w:val="none" w:sz="0" w:space="0" w:color="auto"/>
        <w:left w:val="none" w:sz="0" w:space="0" w:color="auto"/>
        <w:bottom w:val="none" w:sz="0" w:space="0" w:color="auto"/>
        <w:right w:val="none" w:sz="0" w:space="0" w:color="auto"/>
      </w:divBdr>
    </w:div>
    <w:div w:id="905727157">
      <w:bodyDiv w:val="1"/>
      <w:marLeft w:val="0"/>
      <w:marRight w:val="0"/>
      <w:marTop w:val="0"/>
      <w:marBottom w:val="0"/>
      <w:divBdr>
        <w:top w:val="none" w:sz="0" w:space="0" w:color="auto"/>
        <w:left w:val="none" w:sz="0" w:space="0" w:color="auto"/>
        <w:bottom w:val="none" w:sz="0" w:space="0" w:color="auto"/>
        <w:right w:val="none" w:sz="0" w:space="0" w:color="auto"/>
      </w:divBdr>
    </w:div>
    <w:div w:id="934440297">
      <w:bodyDiv w:val="1"/>
      <w:marLeft w:val="0"/>
      <w:marRight w:val="0"/>
      <w:marTop w:val="0"/>
      <w:marBottom w:val="0"/>
      <w:divBdr>
        <w:top w:val="none" w:sz="0" w:space="0" w:color="auto"/>
        <w:left w:val="none" w:sz="0" w:space="0" w:color="auto"/>
        <w:bottom w:val="none" w:sz="0" w:space="0" w:color="auto"/>
        <w:right w:val="none" w:sz="0" w:space="0" w:color="auto"/>
      </w:divBdr>
      <w:divsChild>
        <w:div w:id="63533496">
          <w:marLeft w:val="0"/>
          <w:marRight w:val="0"/>
          <w:marTop w:val="0"/>
          <w:marBottom w:val="0"/>
          <w:divBdr>
            <w:top w:val="none" w:sz="0" w:space="0" w:color="auto"/>
            <w:left w:val="none" w:sz="0" w:space="0" w:color="auto"/>
            <w:bottom w:val="none" w:sz="0" w:space="0" w:color="auto"/>
            <w:right w:val="none" w:sz="0" w:space="0" w:color="auto"/>
          </w:divBdr>
        </w:div>
        <w:div w:id="179586755">
          <w:marLeft w:val="0"/>
          <w:marRight w:val="0"/>
          <w:marTop w:val="0"/>
          <w:marBottom w:val="0"/>
          <w:divBdr>
            <w:top w:val="none" w:sz="0" w:space="0" w:color="auto"/>
            <w:left w:val="none" w:sz="0" w:space="0" w:color="auto"/>
            <w:bottom w:val="none" w:sz="0" w:space="0" w:color="auto"/>
            <w:right w:val="none" w:sz="0" w:space="0" w:color="auto"/>
          </w:divBdr>
        </w:div>
        <w:div w:id="1360661318">
          <w:marLeft w:val="0"/>
          <w:marRight w:val="0"/>
          <w:marTop w:val="0"/>
          <w:marBottom w:val="0"/>
          <w:divBdr>
            <w:top w:val="none" w:sz="0" w:space="0" w:color="auto"/>
            <w:left w:val="none" w:sz="0" w:space="0" w:color="auto"/>
            <w:bottom w:val="none" w:sz="0" w:space="0" w:color="auto"/>
            <w:right w:val="none" w:sz="0" w:space="0" w:color="auto"/>
          </w:divBdr>
        </w:div>
        <w:div w:id="1554274753">
          <w:marLeft w:val="0"/>
          <w:marRight w:val="0"/>
          <w:marTop w:val="0"/>
          <w:marBottom w:val="0"/>
          <w:divBdr>
            <w:top w:val="none" w:sz="0" w:space="0" w:color="auto"/>
            <w:left w:val="none" w:sz="0" w:space="0" w:color="auto"/>
            <w:bottom w:val="none" w:sz="0" w:space="0" w:color="auto"/>
            <w:right w:val="none" w:sz="0" w:space="0" w:color="auto"/>
          </w:divBdr>
        </w:div>
      </w:divsChild>
    </w:div>
    <w:div w:id="939334803">
      <w:bodyDiv w:val="1"/>
      <w:marLeft w:val="0"/>
      <w:marRight w:val="0"/>
      <w:marTop w:val="0"/>
      <w:marBottom w:val="0"/>
      <w:divBdr>
        <w:top w:val="none" w:sz="0" w:space="0" w:color="auto"/>
        <w:left w:val="none" w:sz="0" w:space="0" w:color="auto"/>
        <w:bottom w:val="none" w:sz="0" w:space="0" w:color="auto"/>
        <w:right w:val="none" w:sz="0" w:space="0" w:color="auto"/>
      </w:divBdr>
    </w:div>
    <w:div w:id="941956369">
      <w:bodyDiv w:val="1"/>
      <w:marLeft w:val="0"/>
      <w:marRight w:val="0"/>
      <w:marTop w:val="0"/>
      <w:marBottom w:val="0"/>
      <w:divBdr>
        <w:top w:val="none" w:sz="0" w:space="0" w:color="auto"/>
        <w:left w:val="none" w:sz="0" w:space="0" w:color="auto"/>
        <w:bottom w:val="none" w:sz="0" w:space="0" w:color="auto"/>
        <w:right w:val="none" w:sz="0" w:space="0" w:color="auto"/>
      </w:divBdr>
    </w:div>
    <w:div w:id="1177963149">
      <w:bodyDiv w:val="1"/>
      <w:marLeft w:val="0"/>
      <w:marRight w:val="0"/>
      <w:marTop w:val="0"/>
      <w:marBottom w:val="0"/>
      <w:divBdr>
        <w:top w:val="none" w:sz="0" w:space="0" w:color="auto"/>
        <w:left w:val="none" w:sz="0" w:space="0" w:color="auto"/>
        <w:bottom w:val="none" w:sz="0" w:space="0" w:color="auto"/>
        <w:right w:val="none" w:sz="0" w:space="0" w:color="auto"/>
      </w:divBdr>
      <w:divsChild>
        <w:div w:id="354842545">
          <w:marLeft w:val="0"/>
          <w:marRight w:val="0"/>
          <w:marTop w:val="0"/>
          <w:marBottom w:val="0"/>
          <w:divBdr>
            <w:top w:val="none" w:sz="0" w:space="0" w:color="auto"/>
            <w:left w:val="none" w:sz="0" w:space="0" w:color="auto"/>
            <w:bottom w:val="none" w:sz="0" w:space="0" w:color="auto"/>
            <w:right w:val="none" w:sz="0" w:space="0" w:color="auto"/>
          </w:divBdr>
        </w:div>
        <w:div w:id="416288366">
          <w:marLeft w:val="0"/>
          <w:marRight w:val="0"/>
          <w:marTop w:val="0"/>
          <w:marBottom w:val="0"/>
          <w:divBdr>
            <w:top w:val="none" w:sz="0" w:space="0" w:color="auto"/>
            <w:left w:val="none" w:sz="0" w:space="0" w:color="auto"/>
            <w:bottom w:val="none" w:sz="0" w:space="0" w:color="auto"/>
            <w:right w:val="none" w:sz="0" w:space="0" w:color="auto"/>
          </w:divBdr>
        </w:div>
        <w:div w:id="582380314">
          <w:marLeft w:val="0"/>
          <w:marRight w:val="0"/>
          <w:marTop w:val="0"/>
          <w:marBottom w:val="0"/>
          <w:divBdr>
            <w:top w:val="none" w:sz="0" w:space="0" w:color="auto"/>
            <w:left w:val="none" w:sz="0" w:space="0" w:color="auto"/>
            <w:bottom w:val="none" w:sz="0" w:space="0" w:color="auto"/>
            <w:right w:val="none" w:sz="0" w:space="0" w:color="auto"/>
          </w:divBdr>
        </w:div>
        <w:div w:id="620648033">
          <w:marLeft w:val="0"/>
          <w:marRight w:val="0"/>
          <w:marTop w:val="0"/>
          <w:marBottom w:val="0"/>
          <w:divBdr>
            <w:top w:val="none" w:sz="0" w:space="0" w:color="auto"/>
            <w:left w:val="none" w:sz="0" w:space="0" w:color="auto"/>
            <w:bottom w:val="none" w:sz="0" w:space="0" w:color="auto"/>
            <w:right w:val="none" w:sz="0" w:space="0" w:color="auto"/>
          </w:divBdr>
        </w:div>
        <w:div w:id="1149980355">
          <w:marLeft w:val="0"/>
          <w:marRight w:val="0"/>
          <w:marTop w:val="0"/>
          <w:marBottom w:val="0"/>
          <w:divBdr>
            <w:top w:val="none" w:sz="0" w:space="0" w:color="auto"/>
            <w:left w:val="none" w:sz="0" w:space="0" w:color="auto"/>
            <w:bottom w:val="none" w:sz="0" w:space="0" w:color="auto"/>
            <w:right w:val="none" w:sz="0" w:space="0" w:color="auto"/>
          </w:divBdr>
        </w:div>
        <w:div w:id="1216695238">
          <w:marLeft w:val="0"/>
          <w:marRight w:val="0"/>
          <w:marTop w:val="0"/>
          <w:marBottom w:val="0"/>
          <w:divBdr>
            <w:top w:val="none" w:sz="0" w:space="0" w:color="auto"/>
            <w:left w:val="none" w:sz="0" w:space="0" w:color="auto"/>
            <w:bottom w:val="none" w:sz="0" w:space="0" w:color="auto"/>
            <w:right w:val="none" w:sz="0" w:space="0" w:color="auto"/>
          </w:divBdr>
        </w:div>
        <w:div w:id="1303121008">
          <w:marLeft w:val="0"/>
          <w:marRight w:val="0"/>
          <w:marTop w:val="0"/>
          <w:marBottom w:val="0"/>
          <w:divBdr>
            <w:top w:val="none" w:sz="0" w:space="0" w:color="auto"/>
            <w:left w:val="none" w:sz="0" w:space="0" w:color="auto"/>
            <w:bottom w:val="none" w:sz="0" w:space="0" w:color="auto"/>
            <w:right w:val="none" w:sz="0" w:space="0" w:color="auto"/>
          </w:divBdr>
        </w:div>
        <w:div w:id="1320117617">
          <w:marLeft w:val="0"/>
          <w:marRight w:val="0"/>
          <w:marTop w:val="0"/>
          <w:marBottom w:val="0"/>
          <w:divBdr>
            <w:top w:val="none" w:sz="0" w:space="0" w:color="auto"/>
            <w:left w:val="none" w:sz="0" w:space="0" w:color="auto"/>
            <w:bottom w:val="none" w:sz="0" w:space="0" w:color="auto"/>
            <w:right w:val="none" w:sz="0" w:space="0" w:color="auto"/>
          </w:divBdr>
        </w:div>
        <w:div w:id="1446148827">
          <w:marLeft w:val="0"/>
          <w:marRight w:val="0"/>
          <w:marTop w:val="0"/>
          <w:marBottom w:val="0"/>
          <w:divBdr>
            <w:top w:val="none" w:sz="0" w:space="0" w:color="auto"/>
            <w:left w:val="none" w:sz="0" w:space="0" w:color="auto"/>
            <w:bottom w:val="none" w:sz="0" w:space="0" w:color="auto"/>
            <w:right w:val="none" w:sz="0" w:space="0" w:color="auto"/>
          </w:divBdr>
        </w:div>
        <w:div w:id="1511942567">
          <w:marLeft w:val="0"/>
          <w:marRight w:val="0"/>
          <w:marTop w:val="0"/>
          <w:marBottom w:val="0"/>
          <w:divBdr>
            <w:top w:val="none" w:sz="0" w:space="0" w:color="auto"/>
            <w:left w:val="none" w:sz="0" w:space="0" w:color="auto"/>
            <w:bottom w:val="none" w:sz="0" w:space="0" w:color="auto"/>
            <w:right w:val="none" w:sz="0" w:space="0" w:color="auto"/>
          </w:divBdr>
        </w:div>
        <w:div w:id="1626809372">
          <w:marLeft w:val="0"/>
          <w:marRight w:val="0"/>
          <w:marTop w:val="0"/>
          <w:marBottom w:val="0"/>
          <w:divBdr>
            <w:top w:val="none" w:sz="0" w:space="0" w:color="auto"/>
            <w:left w:val="none" w:sz="0" w:space="0" w:color="auto"/>
            <w:bottom w:val="none" w:sz="0" w:space="0" w:color="auto"/>
            <w:right w:val="none" w:sz="0" w:space="0" w:color="auto"/>
          </w:divBdr>
        </w:div>
        <w:div w:id="1877766986">
          <w:marLeft w:val="0"/>
          <w:marRight w:val="0"/>
          <w:marTop w:val="0"/>
          <w:marBottom w:val="0"/>
          <w:divBdr>
            <w:top w:val="none" w:sz="0" w:space="0" w:color="auto"/>
            <w:left w:val="none" w:sz="0" w:space="0" w:color="auto"/>
            <w:bottom w:val="none" w:sz="0" w:space="0" w:color="auto"/>
            <w:right w:val="none" w:sz="0" w:space="0" w:color="auto"/>
          </w:divBdr>
        </w:div>
        <w:div w:id="1887643423">
          <w:marLeft w:val="0"/>
          <w:marRight w:val="0"/>
          <w:marTop w:val="0"/>
          <w:marBottom w:val="0"/>
          <w:divBdr>
            <w:top w:val="none" w:sz="0" w:space="0" w:color="auto"/>
            <w:left w:val="none" w:sz="0" w:space="0" w:color="auto"/>
            <w:bottom w:val="none" w:sz="0" w:space="0" w:color="auto"/>
            <w:right w:val="none" w:sz="0" w:space="0" w:color="auto"/>
          </w:divBdr>
        </w:div>
        <w:div w:id="1898517771">
          <w:marLeft w:val="0"/>
          <w:marRight w:val="0"/>
          <w:marTop w:val="0"/>
          <w:marBottom w:val="0"/>
          <w:divBdr>
            <w:top w:val="none" w:sz="0" w:space="0" w:color="auto"/>
            <w:left w:val="none" w:sz="0" w:space="0" w:color="auto"/>
            <w:bottom w:val="none" w:sz="0" w:space="0" w:color="auto"/>
            <w:right w:val="none" w:sz="0" w:space="0" w:color="auto"/>
          </w:divBdr>
        </w:div>
        <w:div w:id="2132481384">
          <w:marLeft w:val="0"/>
          <w:marRight w:val="0"/>
          <w:marTop w:val="0"/>
          <w:marBottom w:val="0"/>
          <w:divBdr>
            <w:top w:val="none" w:sz="0" w:space="0" w:color="auto"/>
            <w:left w:val="none" w:sz="0" w:space="0" w:color="auto"/>
            <w:bottom w:val="none" w:sz="0" w:space="0" w:color="auto"/>
            <w:right w:val="none" w:sz="0" w:space="0" w:color="auto"/>
          </w:divBdr>
        </w:div>
        <w:div w:id="2134639949">
          <w:marLeft w:val="0"/>
          <w:marRight w:val="0"/>
          <w:marTop w:val="0"/>
          <w:marBottom w:val="0"/>
          <w:divBdr>
            <w:top w:val="none" w:sz="0" w:space="0" w:color="auto"/>
            <w:left w:val="none" w:sz="0" w:space="0" w:color="auto"/>
            <w:bottom w:val="none" w:sz="0" w:space="0" w:color="auto"/>
            <w:right w:val="none" w:sz="0" w:space="0" w:color="auto"/>
          </w:divBdr>
        </w:div>
      </w:divsChild>
    </w:div>
    <w:div w:id="1323242655">
      <w:bodyDiv w:val="1"/>
      <w:marLeft w:val="0"/>
      <w:marRight w:val="0"/>
      <w:marTop w:val="0"/>
      <w:marBottom w:val="0"/>
      <w:divBdr>
        <w:top w:val="none" w:sz="0" w:space="0" w:color="auto"/>
        <w:left w:val="none" w:sz="0" w:space="0" w:color="auto"/>
        <w:bottom w:val="none" w:sz="0" w:space="0" w:color="auto"/>
        <w:right w:val="none" w:sz="0" w:space="0" w:color="auto"/>
      </w:divBdr>
    </w:div>
    <w:div w:id="1449394845">
      <w:bodyDiv w:val="1"/>
      <w:marLeft w:val="0"/>
      <w:marRight w:val="0"/>
      <w:marTop w:val="0"/>
      <w:marBottom w:val="0"/>
      <w:divBdr>
        <w:top w:val="none" w:sz="0" w:space="0" w:color="auto"/>
        <w:left w:val="none" w:sz="0" w:space="0" w:color="auto"/>
        <w:bottom w:val="none" w:sz="0" w:space="0" w:color="auto"/>
        <w:right w:val="none" w:sz="0" w:space="0" w:color="auto"/>
      </w:divBdr>
      <w:divsChild>
        <w:div w:id="37704885">
          <w:marLeft w:val="0"/>
          <w:marRight w:val="0"/>
          <w:marTop w:val="0"/>
          <w:marBottom w:val="0"/>
          <w:divBdr>
            <w:top w:val="none" w:sz="0" w:space="0" w:color="auto"/>
            <w:left w:val="none" w:sz="0" w:space="0" w:color="auto"/>
            <w:bottom w:val="none" w:sz="0" w:space="0" w:color="auto"/>
            <w:right w:val="none" w:sz="0" w:space="0" w:color="auto"/>
          </w:divBdr>
        </w:div>
        <w:div w:id="90900387">
          <w:marLeft w:val="0"/>
          <w:marRight w:val="0"/>
          <w:marTop w:val="0"/>
          <w:marBottom w:val="0"/>
          <w:divBdr>
            <w:top w:val="none" w:sz="0" w:space="0" w:color="auto"/>
            <w:left w:val="none" w:sz="0" w:space="0" w:color="auto"/>
            <w:bottom w:val="none" w:sz="0" w:space="0" w:color="auto"/>
            <w:right w:val="none" w:sz="0" w:space="0" w:color="auto"/>
          </w:divBdr>
        </w:div>
        <w:div w:id="210503968">
          <w:marLeft w:val="0"/>
          <w:marRight w:val="0"/>
          <w:marTop w:val="0"/>
          <w:marBottom w:val="0"/>
          <w:divBdr>
            <w:top w:val="none" w:sz="0" w:space="0" w:color="auto"/>
            <w:left w:val="none" w:sz="0" w:space="0" w:color="auto"/>
            <w:bottom w:val="none" w:sz="0" w:space="0" w:color="auto"/>
            <w:right w:val="none" w:sz="0" w:space="0" w:color="auto"/>
          </w:divBdr>
        </w:div>
        <w:div w:id="315452558">
          <w:marLeft w:val="0"/>
          <w:marRight w:val="0"/>
          <w:marTop w:val="0"/>
          <w:marBottom w:val="0"/>
          <w:divBdr>
            <w:top w:val="none" w:sz="0" w:space="0" w:color="auto"/>
            <w:left w:val="none" w:sz="0" w:space="0" w:color="auto"/>
            <w:bottom w:val="none" w:sz="0" w:space="0" w:color="auto"/>
            <w:right w:val="none" w:sz="0" w:space="0" w:color="auto"/>
          </w:divBdr>
        </w:div>
        <w:div w:id="377553528">
          <w:marLeft w:val="0"/>
          <w:marRight w:val="0"/>
          <w:marTop w:val="0"/>
          <w:marBottom w:val="0"/>
          <w:divBdr>
            <w:top w:val="none" w:sz="0" w:space="0" w:color="auto"/>
            <w:left w:val="none" w:sz="0" w:space="0" w:color="auto"/>
            <w:bottom w:val="none" w:sz="0" w:space="0" w:color="auto"/>
            <w:right w:val="none" w:sz="0" w:space="0" w:color="auto"/>
          </w:divBdr>
        </w:div>
        <w:div w:id="436677429">
          <w:marLeft w:val="0"/>
          <w:marRight w:val="0"/>
          <w:marTop w:val="0"/>
          <w:marBottom w:val="0"/>
          <w:divBdr>
            <w:top w:val="none" w:sz="0" w:space="0" w:color="auto"/>
            <w:left w:val="none" w:sz="0" w:space="0" w:color="auto"/>
            <w:bottom w:val="none" w:sz="0" w:space="0" w:color="auto"/>
            <w:right w:val="none" w:sz="0" w:space="0" w:color="auto"/>
          </w:divBdr>
        </w:div>
        <w:div w:id="481628118">
          <w:marLeft w:val="0"/>
          <w:marRight w:val="0"/>
          <w:marTop w:val="0"/>
          <w:marBottom w:val="0"/>
          <w:divBdr>
            <w:top w:val="none" w:sz="0" w:space="0" w:color="auto"/>
            <w:left w:val="none" w:sz="0" w:space="0" w:color="auto"/>
            <w:bottom w:val="none" w:sz="0" w:space="0" w:color="auto"/>
            <w:right w:val="none" w:sz="0" w:space="0" w:color="auto"/>
          </w:divBdr>
        </w:div>
        <w:div w:id="554969239">
          <w:marLeft w:val="0"/>
          <w:marRight w:val="0"/>
          <w:marTop w:val="0"/>
          <w:marBottom w:val="0"/>
          <w:divBdr>
            <w:top w:val="none" w:sz="0" w:space="0" w:color="auto"/>
            <w:left w:val="none" w:sz="0" w:space="0" w:color="auto"/>
            <w:bottom w:val="none" w:sz="0" w:space="0" w:color="auto"/>
            <w:right w:val="none" w:sz="0" w:space="0" w:color="auto"/>
          </w:divBdr>
        </w:div>
        <w:div w:id="708798578">
          <w:marLeft w:val="0"/>
          <w:marRight w:val="0"/>
          <w:marTop w:val="0"/>
          <w:marBottom w:val="0"/>
          <w:divBdr>
            <w:top w:val="none" w:sz="0" w:space="0" w:color="auto"/>
            <w:left w:val="none" w:sz="0" w:space="0" w:color="auto"/>
            <w:bottom w:val="none" w:sz="0" w:space="0" w:color="auto"/>
            <w:right w:val="none" w:sz="0" w:space="0" w:color="auto"/>
          </w:divBdr>
        </w:div>
        <w:div w:id="726299205">
          <w:marLeft w:val="0"/>
          <w:marRight w:val="0"/>
          <w:marTop w:val="0"/>
          <w:marBottom w:val="0"/>
          <w:divBdr>
            <w:top w:val="none" w:sz="0" w:space="0" w:color="auto"/>
            <w:left w:val="none" w:sz="0" w:space="0" w:color="auto"/>
            <w:bottom w:val="none" w:sz="0" w:space="0" w:color="auto"/>
            <w:right w:val="none" w:sz="0" w:space="0" w:color="auto"/>
          </w:divBdr>
        </w:div>
        <w:div w:id="1044015891">
          <w:marLeft w:val="0"/>
          <w:marRight w:val="0"/>
          <w:marTop w:val="0"/>
          <w:marBottom w:val="0"/>
          <w:divBdr>
            <w:top w:val="none" w:sz="0" w:space="0" w:color="auto"/>
            <w:left w:val="none" w:sz="0" w:space="0" w:color="auto"/>
            <w:bottom w:val="none" w:sz="0" w:space="0" w:color="auto"/>
            <w:right w:val="none" w:sz="0" w:space="0" w:color="auto"/>
          </w:divBdr>
        </w:div>
        <w:div w:id="1184440802">
          <w:marLeft w:val="0"/>
          <w:marRight w:val="0"/>
          <w:marTop w:val="0"/>
          <w:marBottom w:val="0"/>
          <w:divBdr>
            <w:top w:val="none" w:sz="0" w:space="0" w:color="auto"/>
            <w:left w:val="none" w:sz="0" w:space="0" w:color="auto"/>
            <w:bottom w:val="none" w:sz="0" w:space="0" w:color="auto"/>
            <w:right w:val="none" w:sz="0" w:space="0" w:color="auto"/>
          </w:divBdr>
        </w:div>
        <w:div w:id="1463310683">
          <w:marLeft w:val="0"/>
          <w:marRight w:val="0"/>
          <w:marTop w:val="0"/>
          <w:marBottom w:val="0"/>
          <w:divBdr>
            <w:top w:val="none" w:sz="0" w:space="0" w:color="auto"/>
            <w:left w:val="none" w:sz="0" w:space="0" w:color="auto"/>
            <w:bottom w:val="none" w:sz="0" w:space="0" w:color="auto"/>
            <w:right w:val="none" w:sz="0" w:space="0" w:color="auto"/>
          </w:divBdr>
        </w:div>
        <w:div w:id="1628392599">
          <w:marLeft w:val="0"/>
          <w:marRight w:val="0"/>
          <w:marTop w:val="0"/>
          <w:marBottom w:val="0"/>
          <w:divBdr>
            <w:top w:val="none" w:sz="0" w:space="0" w:color="auto"/>
            <w:left w:val="none" w:sz="0" w:space="0" w:color="auto"/>
            <w:bottom w:val="none" w:sz="0" w:space="0" w:color="auto"/>
            <w:right w:val="none" w:sz="0" w:space="0" w:color="auto"/>
          </w:divBdr>
        </w:div>
        <w:div w:id="1811511474">
          <w:marLeft w:val="0"/>
          <w:marRight w:val="0"/>
          <w:marTop w:val="0"/>
          <w:marBottom w:val="0"/>
          <w:divBdr>
            <w:top w:val="none" w:sz="0" w:space="0" w:color="auto"/>
            <w:left w:val="none" w:sz="0" w:space="0" w:color="auto"/>
            <w:bottom w:val="none" w:sz="0" w:space="0" w:color="auto"/>
            <w:right w:val="none" w:sz="0" w:space="0" w:color="auto"/>
          </w:divBdr>
        </w:div>
        <w:div w:id="1841773818">
          <w:marLeft w:val="0"/>
          <w:marRight w:val="0"/>
          <w:marTop w:val="0"/>
          <w:marBottom w:val="0"/>
          <w:divBdr>
            <w:top w:val="none" w:sz="0" w:space="0" w:color="auto"/>
            <w:left w:val="none" w:sz="0" w:space="0" w:color="auto"/>
            <w:bottom w:val="none" w:sz="0" w:space="0" w:color="auto"/>
            <w:right w:val="none" w:sz="0" w:space="0" w:color="auto"/>
          </w:divBdr>
        </w:div>
        <w:div w:id="1854765122">
          <w:marLeft w:val="0"/>
          <w:marRight w:val="0"/>
          <w:marTop w:val="0"/>
          <w:marBottom w:val="0"/>
          <w:divBdr>
            <w:top w:val="none" w:sz="0" w:space="0" w:color="auto"/>
            <w:left w:val="none" w:sz="0" w:space="0" w:color="auto"/>
            <w:bottom w:val="none" w:sz="0" w:space="0" w:color="auto"/>
            <w:right w:val="none" w:sz="0" w:space="0" w:color="auto"/>
          </w:divBdr>
        </w:div>
      </w:divsChild>
    </w:div>
    <w:div w:id="1537427945">
      <w:bodyDiv w:val="1"/>
      <w:marLeft w:val="0"/>
      <w:marRight w:val="0"/>
      <w:marTop w:val="0"/>
      <w:marBottom w:val="0"/>
      <w:divBdr>
        <w:top w:val="none" w:sz="0" w:space="0" w:color="auto"/>
        <w:left w:val="none" w:sz="0" w:space="0" w:color="auto"/>
        <w:bottom w:val="none" w:sz="0" w:space="0" w:color="auto"/>
        <w:right w:val="none" w:sz="0" w:space="0" w:color="auto"/>
      </w:divBdr>
      <w:divsChild>
        <w:div w:id="1092432339">
          <w:marLeft w:val="0"/>
          <w:marRight w:val="0"/>
          <w:marTop w:val="0"/>
          <w:marBottom w:val="0"/>
          <w:divBdr>
            <w:top w:val="none" w:sz="0" w:space="0" w:color="auto"/>
            <w:left w:val="none" w:sz="0" w:space="0" w:color="auto"/>
            <w:bottom w:val="none" w:sz="0" w:space="0" w:color="auto"/>
            <w:right w:val="none" w:sz="0" w:space="0" w:color="auto"/>
          </w:divBdr>
        </w:div>
        <w:div w:id="1663583268">
          <w:marLeft w:val="0"/>
          <w:marRight w:val="0"/>
          <w:marTop w:val="0"/>
          <w:marBottom w:val="0"/>
          <w:divBdr>
            <w:top w:val="none" w:sz="0" w:space="0" w:color="auto"/>
            <w:left w:val="none" w:sz="0" w:space="0" w:color="auto"/>
            <w:bottom w:val="none" w:sz="0" w:space="0" w:color="auto"/>
            <w:right w:val="none" w:sz="0" w:space="0" w:color="auto"/>
          </w:divBdr>
        </w:div>
        <w:div w:id="2120907974">
          <w:marLeft w:val="0"/>
          <w:marRight w:val="0"/>
          <w:marTop w:val="0"/>
          <w:marBottom w:val="0"/>
          <w:divBdr>
            <w:top w:val="none" w:sz="0" w:space="0" w:color="auto"/>
            <w:left w:val="none" w:sz="0" w:space="0" w:color="auto"/>
            <w:bottom w:val="none" w:sz="0" w:space="0" w:color="auto"/>
            <w:right w:val="none" w:sz="0" w:space="0" w:color="auto"/>
          </w:divBdr>
        </w:div>
      </w:divsChild>
    </w:div>
    <w:div w:id="1549221368">
      <w:bodyDiv w:val="1"/>
      <w:marLeft w:val="0"/>
      <w:marRight w:val="0"/>
      <w:marTop w:val="0"/>
      <w:marBottom w:val="0"/>
      <w:divBdr>
        <w:top w:val="none" w:sz="0" w:space="0" w:color="auto"/>
        <w:left w:val="none" w:sz="0" w:space="0" w:color="auto"/>
        <w:bottom w:val="none" w:sz="0" w:space="0" w:color="auto"/>
        <w:right w:val="none" w:sz="0" w:space="0" w:color="auto"/>
      </w:divBdr>
    </w:div>
    <w:div w:id="1581063576">
      <w:bodyDiv w:val="1"/>
      <w:marLeft w:val="0"/>
      <w:marRight w:val="0"/>
      <w:marTop w:val="0"/>
      <w:marBottom w:val="0"/>
      <w:divBdr>
        <w:top w:val="none" w:sz="0" w:space="0" w:color="auto"/>
        <w:left w:val="none" w:sz="0" w:space="0" w:color="auto"/>
        <w:bottom w:val="none" w:sz="0" w:space="0" w:color="auto"/>
        <w:right w:val="none" w:sz="0" w:space="0" w:color="auto"/>
      </w:divBdr>
    </w:div>
    <w:div w:id="1783914724">
      <w:bodyDiv w:val="1"/>
      <w:marLeft w:val="0"/>
      <w:marRight w:val="0"/>
      <w:marTop w:val="0"/>
      <w:marBottom w:val="0"/>
      <w:divBdr>
        <w:top w:val="none" w:sz="0" w:space="0" w:color="auto"/>
        <w:left w:val="none" w:sz="0" w:space="0" w:color="auto"/>
        <w:bottom w:val="none" w:sz="0" w:space="0" w:color="auto"/>
        <w:right w:val="none" w:sz="0" w:space="0" w:color="auto"/>
      </w:divBdr>
    </w:div>
    <w:div w:id="1820608631">
      <w:bodyDiv w:val="1"/>
      <w:marLeft w:val="0"/>
      <w:marRight w:val="0"/>
      <w:marTop w:val="0"/>
      <w:marBottom w:val="0"/>
      <w:divBdr>
        <w:top w:val="none" w:sz="0" w:space="0" w:color="auto"/>
        <w:left w:val="none" w:sz="0" w:space="0" w:color="auto"/>
        <w:bottom w:val="none" w:sz="0" w:space="0" w:color="auto"/>
        <w:right w:val="none" w:sz="0" w:space="0" w:color="auto"/>
      </w:divBdr>
    </w:div>
    <w:div w:id="1885173300">
      <w:bodyDiv w:val="1"/>
      <w:marLeft w:val="0"/>
      <w:marRight w:val="0"/>
      <w:marTop w:val="0"/>
      <w:marBottom w:val="0"/>
      <w:divBdr>
        <w:top w:val="none" w:sz="0" w:space="0" w:color="auto"/>
        <w:left w:val="none" w:sz="0" w:space="0" w:color="auto"/>
        <w:bottom w:val="none" w:sz="0" w:space="0" w:color="auto"/>
        <w:right w:val="none" w:sz="0" w:space="0" w:color="auto"/>
      </w:divBdr>
      <w:divsChild>
        <w:div w:id="177472473">
          <w:marLeft w:val="0"/>
          <w:marRight w:val="0"/>
          <w:marTop w:val="0"/>
          <w:marBottom w:val="0"/>
          <w:divBdr>
            <w:top w:val="none" w:sz="0" w:space="0" w:color="auto"/>
            <w:left w:val="none" w:sz="0" w:space="0" w:color="auto"/>
            <w:bottom w:val="none" w:sz="0" w:space="0" w:color="auto"/>
            <w:right w:val="none" w:sz="0" w:space="0" w:color="auto"/>
          </w:divBdr>
        </w:div>
        <w:div w:id="520322471">
          <w:marLeft w:val="0"/>
          <w:marRight w:val="0"/>
          <w:marTop w:val="0"/>
          <w:marBottom w:val="0"/>
          <w:divBdr>
            <w:top w:val="none" w:sz="0" w:space="0" w:color="auto"/>
            <w:left w:val="none" w:sz="0" w:space="0" w:color="auto"/>
            <w:bottom w:val="none" w:sz="0" w:space="0" w:color="auto"/>
            <w:right w:val="none" w:sz="0" w:space="0" w:color="auto"/>
          </w:divBdr>
        </w:div>
        <w:div w:id="569654597">
          <w:marLeft w:val="0"/>
          <w:marRight w:val="0"/>
          <w:marTop w:val="0"/>
          <w:marBottom w:val="0"/>
          <w:divBdr>
            <w:top w:val="none" w:sz="0" w:space="0" w:color="auto"/>
            <w:left w:val="none" w:sz="0" w:space="0" w:color="auto"/>
            <w:bottom w:val="none" w:sz="0" w:space="0" w:color="auto"/>
            <w:right w:val="none" w:sz="0" w:space="0" w:color="auto"/>
          </w:divBdr>
        </w:div>
        <w:div w:id="688141346">
          <w:marLeft w:val="0"/>
          <w:marRight w:val="0"/>
          <w:marTop w:val="0"/>
          <w:marBottom w:val="0"/>
          <w:divBdr>
            <w:top w:val="none" w:sz="0" w:space="0" w:color="auto"/>
            <w:left w:val="none" w:sz="0" w:space="0" w:color="auto"/>
            <w:bottom w:val="none" w:sz="0" w:space="0" w:color="auto"/>
            <w:right w:val="none" w:sz="0" w:space="0" w:color="auto"/>
          </w:divBdr>
        </w:div>
        <w:div w:id="919174169">
          <w:marLeft w:val="0"/>
          <w:marRight w:val="0"/>
          <w:marTop w:val="0"/>
          <w:marBottom w:val="0"/>
          <w:divBdr>
            <w:top w:val="none" w:sz="0" w:space="0" w:color="auto"/>
            <w:left w:val="none" w:sz="0" w:space="0" w:color="auto"/>
            <w:bottom w:val="none" w:sz="0" w:space="0" w:color="auto"/>
            <w:right w:val="none" w:sz="0" w:space="0" w:color="auto"/>
          </w:divBdr>
        </w:div>
        <w:div w:id="1100250667">
          <w:marLeft w:val="0"/>
          <w:marRight w:val="0"/>
          <w:marTop w:val="0"/>
          <w:marBottom w:val="0"/>
          <w:divBdr>
            <w:top w:val="none" w:sz="0" w:space="0" w:color="auto"/>
            <w:left w:val="none" w:sz="0" w:space="0" w:color="auto"/>
            <w:bottom w:val="none" w:sz="0" w:space="0" w:color="auto"/>
            <w:right w:val="none" w:sz="0" w:space="0" w:color="auto"/>
          </w:divBdr>
        </w:div>
        <w:div w:id="1827043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2015MG-133-11458</_dlc_DocId>
    <TaxCatchAll xmlns="d4dd4adf-ddb3-46a3-8d7c-fab3fb2a6bc7">
      <Value>2</Value>
    </TaxCatchAll>
    <_dlc_DocIdUrl xmlns="d4dd4adf-ddb3-46a3-8d7c-fab3fb2a6bc7">
      <Url>http://tweb/sites/mg/sbccpd/_layouts/15/DocIdRedir.aspx?ID=2015MG-133-11458</Url>
      <Description>2015MG-133-11458</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1B5A3-23F4-4B70-8CCD-80CA1AEA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70D60-53E8-4729-9BE3-1D7114BE1BD1}">
  <ds:schemaRefs>
    <ds:schemaRef ds:uri="http://schemas.microsoft.com/sharepoint/events"/>
  </ds:schemaRefs>
</ds:datastoreItem>
</file>

<file path=customXml/itemProps3.xml><?xml version="1.0" encoding="utf-8"?>
<ds:datastoreItem xmlns:ds="http://schemas.openxmlformats.org/officeDocument/2006/customXml" ds:itemID="{1932D214-692B-4847-9744-59008141B0BB}">
  <ds:schemaRefs>
    <ds:schemaRef ds:uri="office.server.policy"/>
  </ds:schemaRefs>
</ds:datastoreItem>
</file>

<file path=customXml/itemProps4.xml><?xml version="1.0" encoding="utf-8"?>
<ds:datastoreItem xmlns:ds="http://schemas.openxmlformats.org/officeDocument/2006/customXml" ds:itemID="{250029EA-40BC-4A72-BA56-AE87E5C2FD3D}">
  <ds:schemaRefs>
    <ds:schemaRef ds:uri="http://schemas.microsoft.com/sharepoint/v3/contenttype/forms"/>
  </ds:schemaRefs>
</ds:datastoreItem>
</file>

<file path=customXml/itemProps5.xml><?xml version="1.0" encoding="utf-8"?>
<ds:datastoreItem xmlns:ds="http://schemas.openxmlformats.org/officeDocument/2006/customXml" ds:itemID="{BA91AEAE-D024-4860-ACED-FCE7E755FCB8}">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6.xml><?xml version="1.0" encoding="utf-8"?>
<ds:datastoreItem xmlns:ds="http://schemas.openxmlformats.org/officeDocument/2006/customXml" ds:itemID="{90465D80-8CCF-4A97-ACB0-CCFBF0E65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5842</Words>
  <Characters>30878</Characters>
  <Application>Microsoft Office Word</Application>
  <DocSecurity>0</DocSecurity>
  <Lines>464</Lines>
  <Paragraphs>137</Paragraphs>
  <ScaleCrop>false</ScaleCrop>
  <Company/>
  <LinksUpToDate>false</LinksUpToDate>
  <CharactersWithSpaces>36834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Vodafone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