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26645" w14:textId="77777777" w:rsidR="009336FC" w:rsidRDefault="00114667">
      <w:pPr>
        <w:rPr>
          <w:rFonts w:ascii="Arial Narrow" w:hAnsi="Arial Narrow"/>
          <w:noProof/>
        </w:rPr>
      </w:pPr>
      <w:bookmarkStart w:id="0" w:name="_GoBack"/>
      <w:bookmarkEnd w:id="0"/>
      <w:r>
        <w:rPr>
          <w:rFonts w:ascii="Arial Narrow" w:hAnsi="Arial Narrow"/>
          <w:noProof/>
          <w:lang w:val="en-AU" w:eastAsia="en-AU" w:bidi="ar-SA"/>
        </w:rPr>
        <w:drawing>
          <wp:anchor distT="0" distB="0" distL="114300" distR="114300" simplePos="0" relativeHeight="251658240" behindDoc="1" locked="0" layoutInCell="1" allowOverlap="1" wp14:anchorId="48038CA9" wp14:editId="4B37F96C">
            <wp:simplePos x="0" y="0"/>
            <wp:positionH relativeFrom="column">
              <wp:posOffset>-923925</wp:posOffset>
            </wp:positionH>
            <wp:positionV relativeFrom="paragraph">
              <wp:posOffset>-1109345</wp:posOffset>
            </wp:positionV>
            <wp:extent cx="7635119" cy="1080000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099_Submission 01B front.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635119" cy="1080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8FA4E7F" w14:textId="77777777" w:rsidR="00B8724A" w:rsidRDefault="00B8724A">
      <w:pPr>
        <w:rPr>
          <w:rFonts w:ascii="Arial Narrow" w:hAnsi="Arial Narrow"/>
          <w:noProof/>
        </w:rPr>
      </w:pPr>
    </w:p>
    <w:p w14:paraId="05A20122" w14:textId="77777777" w:rsidR="00B8724A" w:rsidRDefault="00B8724A">
      <w:pPr>
        <w:rPr>
          <w:rFonts w:ascii="Arial Narrow" w:hAnsi="Arial Narrow"/>
        </w:rPr>
      </w:pPr>
    </w:p>
    <w:p w14:paraId="33122229" w14:textId="77777777" w:rsidR="00B8724A" w:rsidRDefault="00B8724A">
      <w:pPr>
        <w:jc w:val="center"/>
        <w:rPr>
          <w:rFonts w:ascii="Arial Narrow" w:hAnsi="Arial Narrow"/>
        </w:rPr>
      </w:pPr>
    </w:p>
    <w:p w14:paraId="59B54A32" w14:textId="77777777" w:rsidR="00B8724A" w:rsidRPr="002A27C3" w:rsidRDefault="00B8724A" w:rsidP="00B8724A">
      <w:pPr>
        <w:rPr>
          <w:rFonts w:ascii="Arial Narrow" w:hAnsi="Arial Narrow"/>
        </w:rPr>
      </w:pPr>
    </w:p>
    <w:p w14:paraId="1AEC4F0F" w14:textId="77777777" w:rsidR="00B8724A" w:rsidRPr="002A27C3" w:rsidRDefault="00B8724A" w:rsidP="00B8724A">
      <w:pPr>
        <w:rPr>
          <w:rFonts w:ascii="Arial Narrow" w:hAnsi="Arial Narrow"/>
        </w:rPr>
      </w:pPr>
    </w:p>
    <w:p w14:paraId="76A1C5B1" w14:textId="77777777" w:rsidR="00B8724A" w:rsidRPr="002A27C3" w:rsidRDefault="00B8724A" w:rsidP="00B8724A">
      <w:pPr>
        <w:rPr>
          <w:rFonts w:ascii="Arial Narrow" w:hAnsi="Arial Narrow"/>
        </w:rPr>
      </w:pPr>
    </w:p>
    <w:p w14:paraId="372A0FF0" w14:textId="77777777" w:rsidR="00B8724A" w:rsidRPr="002A27C3" w:rsidRDefault="00B8724A" w:rsidP="00B8724A">
      <w:pPr>
        <w:rPr>
          <w:rFonts w:ascii="Arial Narrow" w:hAnsi="Arial Narrow"/>
        </w:rPr>
      </w:pPr>
    </w:p>
    <w:p w14:paraId="63B22EBF" w14:textId="77777777" w:rsidR="00B8724A" w:rsidRPr="002A27C3" w:rsidRDefault="00B8724A" w:rsidP="00B8724A">
      <w:pPr>
        <w:rPr>
          <w:rFonts w:ascii="Arial Narrow" w:hAnsi="Arial Narrow"/>
        </w:rPr>
      </w:pPr>
    </w:p>
    <w:p w14:paraId="45B836F1" w14:textId="77777777" w:rsidR="00B8724A" w:rsidRPr="002A27C3" w:rsidRDefault="00B8724A" w:rsidP="00B8724A">
      <w:pPr>
        <w:rPr>
          <w:rFonts w:ascii="Arial Narrow" w:hAnsi="Arial Narrow"/>
        </w:rPr>
      </w:pPr>
    </w:p>
    <w:p w14:paraId="4720A86C" w14:textId="77777777" w:rsidR="00B8724A" w:rsidRPr="002A27C3" w:rsidRDefault="00B8724A" w:rsidP="00B8724A">
      <w:pPr>
        <w:rPr>
          <w:rFonts w:ascii="Arial Narrow" w:hAnsi="Arial Narrow"/>
        </w:rPr>
      </w:pPr>
    </w:p>
    <w:p w14:paraId="4AEA0E27" w14:textId="77777777" w:rsidR="00B8724A" w:rsidRPr="002A27C3" w:rsidRDefault="00B64BBF" w:rsidP="00B8724A">
      <w:pPr>
        <w:rPr>
          <w:rFonts w:ascii="Arial Narrow" w:hAnsi="Arial Narrow"/>
        </w:rPr>
      </w:pPr>
      <w:r>
        <w:rPr>
          <w:noProof/>
          <w:lang w:val="en-AU" w:eastAsia="en-AU" w:bidi="ar-SA"/>
        </w:rPr>
        <mc:AlternateContent>
          <mc:Choice Requires="wps">
            <w:drawing>
              <wp:anchor distT="0" distB="0" distL="114935" distR="114935" simplePos="0" relativeHeight="251657216" behindDoc="0" locked="0" layoutInCell="1" allowOverlap="1" wp14:anchorId="3D688FC2" wp14:editId="6F5FD20D">
                <wp:simplePos x="0" y="0"/>
                <wp:positionH relativeFrom="column">
                  <wp:posOffset>4689475</wp:posOffset>
                </wp:positionH>
                <wp:positionV relativeFrom="paragraph">
                  <wp:posOffset>13970</wp:posOffset>
                </wp:positionV>
                <wp:extent cx="1946275" cy="166624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1666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97B35" w14:textId="77777777" w:rsidR="00490F58" w:rsidRPr="00753C49" w:rsidRDefault="00490F58" w:rsidP="00B8724A">
                            <w:pPr>
                              <w:pStyle w:val="header14ptorangebold"/>
                              <w:rPr>
                                <w:b/>
                                <w:color w:val="FFFFFF"/>
                                <w:spacing w:val="-20"/>
                                <w:sz w:val="36"/>
                                <w:szCs w:val="36"/>
                              </w:rPr>
                            </w:pPr>
                            <w:r>
                              <w:rPr>
                                <w:b/>
                                <w:color w:val="FFFFFF"/>
                                <w:spacing w:val="-20"/>
                                <w:sz w:val="36"/>
                                <w:szCs w:val="36"/>
                              </w:rPr>
                              <w:t>Review of the Tax Practitioners Board</w:t>
                            </w:r>
                          </w:p>
                          <w:p w14:paraId="7DB8463D" w14:textId="77777777" w:rsidR="00532E3F" w:rsidRPr="00F03AD2" w:rsidRDefault="00532E3F" w:rsidP="00DC2C55">
                            <w:pPr>
                              <w:pStyle w:val="header14ptorangebold"/>
                              <w:rPr>
                                <w:color w:val="FFFFFF"/>
                              </w:rPr>
                            </w:pPr>
                          </w:p>
                          <w:p w14:paraId="216B95E3" w14:textId="77777777" w:rsidR="00532E3F" w:rsidRPr="00F03AD2" w:rsidRDefault="00490F58" w:rsidP="00B8724A">
                            <w:pPr>
                              <w:rPr>
                                <w:rFonts w:ascii="Arial Bold" w:hAnsi="Arial Bold"/>
                                <w:color w:val="FFFFFF"/>
                              </w:rPr>
                            </w:pPr>
                            <w:r>
                              <w:rPr>
                                <w:rFonts w:ascii="Arial Bold" w:hAnsi="Arial Bold"/>
                                <w:color w:val="FFFFFF"/>
                              </w:rPr>
                              <w:t xml:space="preserve">April </w:t>
                            </w:r>
                            <w:r w:rsidR="00532E3F">
                              <w:rPr>
                                <w:rFonts w:ascii="Arial Bold" w:hAnsi="Arial Bold"/>
                                <w:color w:val="FFFFFF"/>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88FC2" id="_x0000_t202" coordsize="21600,21600" o:spt="202" path="m,l,21600r21600,l21600,xe">
                <v:stroke joinstyle="miter"/>
                <v:path gradientshapeok="t" o:connecttype="rect"/>
              </v:shapetype>
              <v:shape id="Text Box 5" o:spid="_x0000_s1026" type="#_x0000_t202" style="position:absolute;margin-left:369.25pt;margin-top:1.1pt;width:153.25pt;height:131.2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" stroked="f">
                <v:fill opacity="0"/>
                <v:textbox inset="0,0,0,0">
                  <w:txbxContent>
                    <w:p w14:paraId="03B97B35" w14:textId="77777777" w:rsidR="00490F58" w:rsidRPr="00753C49" w:rsidRDefault="00490F58" w:rsidP="00B8724A">
                      <w:pPr>
                        <w:pStyle w:val="header14ptorangebold"/>
                        <w:rPr>
                          <w:b/>
                          <w:color w:val="FFFFFF"/>
                          <w:spacing w:val="-20"/>
                          <w:sz w:val="36"/>
                          <w:szCs w:val="36"/>
                        </w:rPr>
                      </w:pPr>
                      <w:r>
                        <w:rPr>
                          <w:b/>
                          <w:color w:val="FFFFFF"/>
                          <w:spacing w:val="-20"/>
                          <w:sz w:val="36"/>
                          <w:szCs w:val="36"/>
                        </w:rPr>
                        <w:t>Review of the Tax Practitioners Board</w:t>
                      </w:r>
                    </w:p>
                    <w:p w14:paraId="7DB8463D" w14:textId="77777777" w:rsidR="00532E3F" w:rsidRPr="00F03AD2" w:rsidRDefault="00532E3F" w:rsidP="00DC2C55">
                      <w:pPr>
                        <w:pStyle w:val="header14ptorangebold"/>
                        <w:rPr>
                          <w:color w:val="FFFFFF"/>
                        </w:rPr>
                      </w:pPr>
                    </w:p>
                    <w:p w14:paraId="216B95E3" w14:textId="77777777" w:rsidR="00532E3F" w:rsidRPr="00F03AD2" w:rsidRDefault="00490F58" w:rsidP="00B8724A">
                      <w:pPr>
                        <w:rPr>
                          <w:rFonts w:ascii="Arial Bold" w:hAnsi="Arial Bold"/>
                          <w:color w:val="FFFFFF"/>
                        </w:rPr>
                      </w:pPr>
                      <w:r>
                        <w:rPr>
                          <w:rFonts w:ascii="Arial Bold" w:hAnsi="Arial Bold"/>
                          <w:color w:val="FFFFFF"/>
                        </w:rPr>
                        <w:t xml:space="preserve">April </w:t>
                      </w:r>
                      <w:r w:rsidR="00532E3F">
                        <w:rPr>
                          <w:rFonts w:ascii="Arial Bold" w:hAnsi="Arial Bold"/>
                          <w:color w:val="FFFFFF"/>
                        </w:rPr>
                        <w:t>2019</w:t>
                      </w:r>
                    </w:p>
                  </w:txbxContent>
                </v:textbox>
              </v:shape>
            </w:pict>
          </mc:Fallback>
        </mc:AlternateContent>
      </w:r>
    </w:p>
    <w:p w14:paraId="102DBC9F" w14:textId="77777777" w:rsidR="00B8724A" w:rsidRPr="002A27C3" w:rsidRDefault="00B8724A" w:rsidP="00B8724A">
      <w:pPr>
        <w:rPr>
          <w:rFonts w:ascii="Arial Narrow" w:hAnsi="Arial Narrow"/>
        </w:rPr>
      </w:pPr>
    </w:p>
    <w:p w14:paraId="45A9DA0E" w14:textId="77777777" w:rsidR="00B8724A" w:rsidRPr="002A27C3" w:rsidRDefault="00B8724A" w:rsidP="00B8724A">
      <w:pPr>
        <w:tabs>
          <w:tab w:val="left" w:pos="7760"/>
        </w:tabs>
        <w:rPr>
          <w:rFonts w:ascii="Arial Narrow" w:hAnsi="Arial Narrow"/>
        </w:rPr>
      </w:pPr>
      <w:r>
        <w:rPr>
          <w:rFonts w:ascii="Arial Narrow" w:hAnsi="Arial Narrow"/>
        </w:rPr>
        <w:tab/>
      </w:r>
    </w:p>
    <w:p w14:paraId="201F3111" w14:textId="77777777" w:rsidR="00B8724A" w:rsidRPr="002A27C3" w:rsidRDefault="00B8724A" w:rsidP="00B8724A">
      <w:pPr>
        <w:rPr>
          <w:rFonts w:ascii="Arial Narrow" w:hAnsi="Arial Narrow"/>
        </w:rPr>
      </w:pPr>
    </w:p>
    <w:p w14:paraId="67AA14D1" w14:textId="77777777" w:rsidR="00B8724A" w:rsidRPr="002A27C3" w:rsidRDefault="00B8724A" w:rsidP="00B8724A">
      <w:pPr>
        <w:rPr>
          <w:rFonts w:ascii="Arial Narrow" w:hAnsi="Arial Narrow"/>
        </w:rPr>
        <w:sectPr w:rsidR="00B8724A" w:rsidRPr="002A27C3" w:rsidSect="00B8724A">
          <w:footerReference w:type="default" r:id="rId14"/>
          <w:pgSz w:w="11899" w:h="16838"/>
          <w:pgMar w:top="1733" w:right="1440" w:bottom="2845" w:left="1440" w:header="1440" w:footer="2552" w:gutter="0"/>
          <w:cols w:space="720"/>
          <w:docGrid w:linePitch="360"/>
        </w:sectPr>
      </w:pPr>
    </w:p>
    <w:p w14:paraId="02ED863F" w14:textId="77777777" w:rsidR="00867CA5" w:rsidRDefault="00867CA5" w:rsidP="00841527">
      <w:pPr>
        <w:pageBreakBefore/>
        <w:rPr>
          <w:rFonts w:ascii="Arial" w:hAnsi="Arial" w:cs="Arial"/>
        </w:rPr>
      </w:pPr>
    </w:p>
    <w:p w14:paraId="6D43DD13" w14:textId="77777777" w:rsidR="00867CA5" w:rsidRPr="00DC2C55" w:rsidRDefault="00867CA5" w:rsidP="00867CA5">
      <w:pPr>
        <w:pStyle w:val="header14ptorangebold"/>
        <w:rPr>
          <w:rFonts w:ascii="Arial" w:hAnsi="Arial" w:cs="Arial"/>
          <w:b/>
          <w:color w:val="192A67"/>
          <w:sz w:val="22"/>
          <w:szCs w:val="22"/>
        </w:rPr>
      </w:pPr>
      <w:r w:rsidRPr="00DC2C55">
        <w:rPr>
          <w:rFonts w:ascii="Arial" w:hAnsi="Arial" w:cs="Arial"/>
          <w:b/>
          <w:color w:val="192A67"/>
          <w:sz w:val="22"/>
          <w:szCs w:val="22"/>
        </w:rPr>
        <w:t>Introduction</w:t>
      </w:r>
    </w:p>
    <w:p w14:paraId="5F8518F7" w14:textId="77777777" w:rsidR="00867CA5" w:rsidRPr="00EE4346" w:rsidRDefault="00867CA5" w:rsidP="00867CA5">
      <w:pPr>
        <w:rPr>
          <w:rFonts w:ascii="Arial" w:hAnsi="Arial" w:cs="Arial"/>
          <w:sz w:val="22"/>
          <w:szCs w:val="22"/>
        </w:rPr>
      </w:pPr>
    </w:p>
    <w:p w14:paraId="101B9E44" w14:textId="77777777" w:rsidR="00867CA5" w:rsidRPr="00EE4346" w:rsidRDefault="00867CA5" w:rsidP="00867CA5">
      <w:pPr>
        <w:pStyle w:val="BodytextArial10pt"/>
        <w:rPr>
          <w:color w:val="63666A"/>
          <w:sz w:val="22"/>
        </w:rPr>
      </w:pPr>
      <w:r w:rsidRPr="00EE4346">
        <w:rPr>
          <w:color w:val="63666A"/>
          <w:sz w:val="22"/>
        </w:rPr>
        <w:t>The Institute of Public Accountants (IPA) welcomes the opportunity to offer our</w:t>
      </w:r>
      <w:r w:rsidRPr="00EE4346">
        <w:rPr>
          <w:b/>
          <w:color w:val="63666A"/>
          <w:sz w:val="22"/>
          <w:u w:val="single"/>
        </w:rPr>
        <w:t xml:space="preserve"> </w:t>
      </w:r>
      <w:r w:rsidR="00594CF3">
        <w:rPr>
          <w:color w:val="63666A"/>
          <w:sz w:val="22"/>
        </w:rPr>
        <w:t xml:space="preserve">“Review of the Tax Practitioners Board” </w:t>
      </w:r>
      <w:r w:rsidRPr="00EE4346">
        <w:rPr>
          <w:color w:val="63666A"/>
          <w:sz w:val="22"/>
        </w:rPr>
        <w:t>submission</w:t>
      </w:r>
      <w:r w:rsidR="00F930C1">
        <w:rPr>
          <w:color w:val="63666A"/>
          <w:sz w:val="22"/>
        </w:rPr>
        <w:t xml:space="preserve">.  We look </w:t>
      </w:r>
      <w:r w:rsidRPr="00EE4346">
        <w:rPr>
          <w:color w:val="63666A"/>
          <w:sz w:val="22"/>
        </w:rPr>
        <w:t xml:space="preserve">forward to working with </w:t>
      </w:r>
      <w:r w:rsidR="00F930C1">
        <w:rPr>
          <w:color w:val="63666A"/>
          <w:sz w:val="22"/>
        </w:rPr>
        <w:t xml:space="preserve">the </w:t>
      </w:r>
      <w:r w:rsidR="00173603">
        <w:rPr>
          <w:color w:val="63666A"/>
          <w:sz w:val="22"/>
        </w:rPr>
        <w:t>Government</w:t>
      </w:r>
      <w:r w:rsidR="00274115">
        <w:rPr>
          <w:color w:val="63666A"/>
          <w:sz w:val="22"/>
        </w:rPr>
        <w:t xml:space="preserve"> in providing feedback o</w:t>
      </w:r>
      <w:r w:rsidR="00F930C1">
        <w:rPr>
          <w:color w:val="63666A"/>
          <w:sz w:val="22"/>
        </w:rPr>
        <w:t>n</w:t>
      </w:r>
      <w:r w:rsidR="00BC4C33">
        <w:rPr>
          <w:color w:val="63666A"/>
          <w:sz w:val="22"/>
        </w:rPr>
        <w:t xml:space="preserve"> </w:t>
      </w:r>
      <w:r w:rsidR="00594CF3" w:rsidRPr="00594CF3">
        <w:rPr>
          <w:color w:val="63666A"/>
          <w:sz w:val="22"/>
        </w:rPr>
        <w:t xml:space="preserve">the effectiveness of the Tax Practitioners Board and the </w:t>
      </w:r>
      <w:r w:rsidR="00594CF3" w:rsidRPr="007C26C1">
        <w:rPr>
          <w:i/>
          <w:color w:val="63666A"/>
          <w:sz w:val="22"/>
        </w:rPr>
        <w:t>Tax Agent Services Act 2009</w:t>
      </w:r>
      <w:r w:rsidR="00594CF3" w:rsidRPr="00594CF3">
        <w:rPr>
          <w:color w:val="63666A"/>
          <w:sz w:val="22"/>
        </w:rPr>
        <w:t xml:space="preserve"> to ensure that tax services are provided to the public in accordance with appropriate professional and ethical standards</w:t>
      </w:r>
      <w:r w:rsidR="007F43DD">
        <w:rPr>
          <w:color w:val="63666A"/>
          <w:sz w:val="22"/>
        </w:rPr>
        <w:t xml:space="preserve"> and that consumers in receipt of such services are</w:t>
      </w:r>
      <w:r w:rsidR="00DC2C55">
        <w:rPr>
          <w:color w:val="63666A"/>
          <w:sz w:val="22"/>
        </w:rPr>
        <w:t xml:space="preserve"> </w:t>
      </w:r>
      <w:r w:rsidR="007F43DD">
        <w:rPr>
          <w:color w:val="63666A"/>
          <w:sz w:val="22"/>
        </w:rPr>
        <w:t>protected</w:t>
      </w:r>
      <w:r w:rsidRPr="00EE4346">
        <w:rPr>
          <w:color w:val="63666A"/>
          <w:sz w:val="22"/>
        </w:rPr>
        <w:t>.</w:t>
      </w:r>
    </w:p>
    <w:p w14:paraId="0E9344B6" w14:textId="77777777" w:rsidR="00867CA5" w:rsidRPr="00EE4346" w:rsidRDefault="00867CA5" w:rsidP="00867CA5">
      <w:pPr>
        <w:pStyle w:val="BodytextArial10pt"/>
        <w:rPr>
          <w:color w:val="63666A"/>
          <w:sz w:val="22"/>
        </w:rPr>
      </w:pPr>
      <w:r w:rsidRPr="00EE4346">
        <w:rPr>
          <w:color w:val="63666A"/>
          <w:sz w:val="22"/>
        </w:rPr>
        <w:t xml:space="preserve">The IPA is one of the three professional accounting bodies in Australia, representing over 36,000 accountants, business advisers, academics and students throughout Australia and internationally.  The IPA prides itself in not only representing the interests of accountants but also small business and their advisors.  </w:t>
      </w:r>
    </w:p>
    <w:p w14:paraId="42BFC1D3" w14:textId="77777777" w:rsidR="00867CA5" w:rsidRPr="00EE4346" w:rsidRDefault="00867CA5" w:rsidP="00867CA5">
      <w:pPr>
        <w:pStyle w:val="BodytextArial10pt"/>
        <w:rPr>
          <w:color w:val="63666A"/>
          <w:sz w:val="22"/>
        </w:rPr>
      </w:pPr>
      <w:r w:rsidRPr="00EE4346">
        <w:rPr>
          <w:color w:val="63666A"/>
          <w:sz w:val="22"/>
        </w:rPr>
        <w:t xml:space="preserve">We look forward to discussing </w:t>
      </w:r>
      <w:r w:rsidR="00274115">
        <w:rPr>
          <w:color w:val="63666A"/>
          <w:sz w:val="22"/>
        </w:rPr>
        <w:t>in more detail the IPA’s submission and its recommendations</w:t>
      </w:r>
      <w:r w:rsidRPr="00EE4346">
        <w:rPr>
          <w:color w:val="63666A"/>
          <w:sz w:val="22"/>
        </w:rPr>
        <w:t>.  Please address a</w:t>
      </w:r>
      <w:r>
        <w:rPr>
          <w:color w:val="63666A"/>
          <w:sz w:val="22"/>
        </w:rPr>
        <w:t>ny</w:t>
      </w:r>
      <w:r w:rsidRPr="00EE4346">
        <w:rPr>
          <w:color w:val="63666A"/>
          <w:sz w:val="22"/>
        </w:rPr>
        <w:t xml:space="preserve"> further enquires to Tony Greco, General Manager Technical Policy via </w:t>
      </w:r>
      <w:hyperlink r:id="rId15" w:history="1">
        <w:r w:rsidRPr="00EE4346">
          <w:rPr>
            <w:rStyle w:val="Hyperlink"/>
            <w:sz w:val="22"/>
          </w:rPr>
          <w:t>tony.greco@publicaccountants.org.au</w:t>
        </w:r>
      </w:hyperlink>
      <w:r w:rsidRPr="00EE4346">
        <w:rPr>
          <w:color w:val="63666A"/>
          <w:sz w:val="22"/>
        </w:rPr>
        <w:t xml:space="preserve"> </w:t>
      </w:r>
    </w:p>
    <w:p w14:paraId="517B8EF9" w14:textId="77777777" w:rsidR="00841527" w:rsidRPr="00A53276" w:rsidRDefault="00C75897" w:rsidP="00841527">
      <w:pPr>
        <w:pageBreakBefore/>
        <w:rPr>
          <w:rFonts w:ascii="Arial" w:hAnsi="Arial" w:cs="Arial"/>
        </w:rPr>
      </w:pPr>
      <w:r>
        <w:rPr>
          <w:rFonts w:ascii="Arial" w:hAnsi="Arial" w:cs="Arial"/>
        </w:rPr>
        <w:lastRenderedPageBreak/>
        <w:t xml:space="preserve">12 April </w:t>
      </w:r>
      <w:r w:rsidR="000337AF">
        <w:rPr>
          <w:rFonts w:ascii="Arial" w:hAnsi="Arial" w:cs="Arial"/>
        </w:rPr>
        <w:t>2019</w:t>
      </w:r>
    </w:p>
    <w:p w14:paraId="0C28BFB3" w14:textId="77777777" w:rsidR="003E6C00" w:rsidRDefault="003E6C00" w:rsidP="003E6C00">
      <w:pPr>
        <w:spacing w:line="360" w:lineRule="auto"/>
        <w:rPr>
          <w:rFonts w:ascii="Arial" w:hAnsi="Arial" w:cs="Arial"/>
        </w:rPr>
      </w:pPr>
    </w:p>
    <w:p w14:paraId="124EF652" w14:textId="77777777" w:rsidR="005E5BEA" w:rsidRPr="00173603" w:rsidRDefault="00C75897" w:rsidP="00173603">
      <w:pPr>
        <w:jc w:val="both"/>
        <w:rPr>
          <w:rFonts w:ascii="Arial" w:hAnsi="Arial" w:cs="Arial"/>
        </w:rPr>
      </w:pPr>
      <w:r>
        <w:rPr>
          <w:rFonts w:ascii="Arial" w:hAnsi="Arial" w:cs="Arial"/>
        </w:rPr>
        <w:t>Mr Nick Westerink</w:t>
      </w:r>
    </w:p>
    <w:p w14:paraId="7A4C556B" w14:textId="77777777" w:rsidR="00BF154E" w:rsidRDefault="00C75897" w:rsidP="00BF154E">
      <w:pPr>
        <w:jc w:val="both"/>
        <w:rPr>
          <w:rFonts w:ascii="Arial" w:hAnsi="Arial" w:cs="Arial"/>
        </w:rPr>
      </w:pPr>
      <w:r>
        <w:rPr>
          <w:rFonts w:ascii="Arial" w:hAnsi="Arial" w:cs="Arial"/>
        </w:rPr>
        <w:t xml:space="preserve">Individuals and Indirect Tax Division </w:t>
      </w:r>
    </w:p>
    <w:p w14:paraId="5D75DB76" w14:textId="77777777" w:rsidR="00C75897" w:rsidRDefault="00C75897" w:rsidP="00BF154E">
      <w:pPr>
        <w:jc w:val="both"/>
        <w:rPr>
          <w:rFonts w:ascii="Arial" w:hAnsi="Arial" w:cs="Arial"/>
        </w:rPr>
      </w:pPr>
      <w:r>
        <w:rPr>
          <w:rFonts w:ascii="Arial" w:hAnsi="Arial" w:cs="Arial"/>
        </w:rPr>
        <w:t>The Treasury</w:t>
      </w:r>
    </w:p>
    <w:p w14:paraId="0D7125CC" w14:textId="77777777" w:rsidR="003E6C00" w:rsidRDefault="005E5BEA" w:rsidP="00173603">
      <w:pPr>
        <w:jc w:val="both"/>
        <w:rPr>
          <w:rFonts w:ascii="Arial" w:hAnsi="Arial" w:cs="Arial"/>
        </w:rPr>
      </w:pPr>
      <w:r w:rsidRPr="00173603">
        <w:rPr>
          <w:rFonts w:ascii="Arial" w:hAnsi="Arial" w:cs="Arial"/>
        </w:rPr>
        <w:t xml:space="preserve">Langton Crescent </w:t>
      </w:r>
    </w:p>
    <w:p w14:paraId="48C3B41D" w14:textId="77777777" w:rsidR="00620A60" w:rsidRPr="00A53276" w:rsidRDefault="005E5BEA" w:rsidP="00561B8B">
      <w:pPr>
        <w:suppressAutoHyphens w:val="0"/>
        <w:spacing w:before="100" w:beforeAutospacing="1" w:after="100" w:afterAutospacing="1"/>
        <w:jc w:val="both"/>
        <w:rPr>
          <w:rFonts w:ascii="Arial" w:hAnsi="Arial" w:cs="Arial"/>
        </w:rPr>
      </w:pPr>
      <w:r w:rsidRPr="00173603">
        <w:rPr>
          <w:rFonts w:ascii="Arial" w:hAnsi="Arial" w:cs="Arial"/>
        </w:rPr>
        <w:t xml:space="preserve">PARKES ACT 2600 </w:t>
      </w:r>
    </w:p>
    <w:p w14:paraId="16E18E6F" w14:textId="77777777" w:rsidR="000337AF" w:rsidRDefault="00274115" w:rsidP="000337AF">
      <w:pPr>
        <w:pStyle w:val="NormalWeb"/>
        <w:rPr>
          <w:rStyle w:val="Hyperlink"/>
          <w:rFonts w:ascii="Calibri" w:eastAsia="Times New Roman" w:hAnsi="Calibri" w:cs="Calibri"/>
          <w:lang w:eastAsia="en-US"/>
        </w:rPr>
      </w:pPr>
      <w:r>
        <w:rPr>
          <w:rFonts w:ascii="Arial" w:hAnsi="Arial" w:cs="Arial"/>
        </w:rPr>
        <w:t>Via</w:t>
      </w:r>
      <w:r w:rsidRPr="00A53276">
        <w:rPr>
          <w:rFonts w:ascii="Arial" w:hAnsi="Arial" w:cs="Arial"/>
        </w:rPr>
        <w:t xml:space="preserve"> </w:t>
      </w:r>
      <w:r w:rsidR="00841527" w:rsidRPr="00A53276">
        <w:rPr>
          <w:rFonts w:ascii="Arial" w:hAnsi="Arial" w:cs="Arial"/>
        </w:rPr>
        <w:t xml:space="preserve">email: </w:t>
      </w:r>
      <w:hyperlink r:id="rId16" w:history="1">
        <w:r w:rsidR="00C75897" w:rsidRPr="00C75897">
          <w:rPr>
            <w:rStyle w:val="Hyperlink"/>
            <w:rFonts w:ascii="Calibri" w:eastAsia="Times New Roman" w:hAnsi="Calibri" w:cs="Calibri"/>
            <w:lang w:eastAsia="en-US"/>
          </w:rPr>
          <w:t>TPBreview</w:t>
        </w:r>
        <w:r w:rsidR="00C75897" w:rsidRPr="00F62748">
          <w:rPr>
            <w:rStyle w:val="Hyperlink"/>
            <w:rFonts w:ascii="Calibri" w:eastAsia="Times New Roman" w:hAnsi="Calibri" w:cs="Calibri"/>
            <w:lang w:eastAsia="en-US"/>
          </w:rPr>
          <w:t>@treasury.gov.au</w:t>
        </w:r>
      </w:hyperlink>
    </w:p>
    <w:p w14:paraId="66220041" w14:textId="77777777" w:rsidR="00841527" w:rsidRPr="00A53276" w:rsidRDefault="000337AF" w:rsidP="00DC2C55">
      <w:pPr>
        <w:pStyle w:val="NormalWeb"/>
      </w:pPr>
      <w:r w:rsidRPr="000337AF">
        <w:rPr>
          <w:rFonts w:ascii="Calibri" w:eastAsia="Times New Roman" w:hAnsi="Calibri" w:cs="Calibri"/>
          <w:sz w:val="22"/>
          <w:szCs w:val="22"/>
          <w:lang w:eastAsia="en-US"/>
        </w:rPr>
        <w:t xml:space="preserve"> </w:t>
      </w:r>
    </w:p>
    <w:p w14:paraId="4170A5D7" w14:textId="77777777" w:rsidR="00841527" w:rsidRPr="00A53276" w:rsidRDefault="00841527" w:rsidP="00841527">
      <w:pPr>
        <w:rPr>
          <w:rFonts w:ascii="Arial" w:hAnsi="Arial" w:cs="Arial"/>
        </w:rPr>
      </w:pPr>
      <w:r w:rsidRPr="00A53276">
        <w:rPr>
          <w:rFonts w:ascii="Arial" w:hAnsi="Arial" w:cs="Arial"/>
        </w:rPr>
        <w:t xml:space="preserve">Dear </w:t>
      </w:r>
      <w:r w:rsidR="00044595">
        <w:rPr>
          <w:rFonts w:ascii="Arial" w:hAnsi="Arial" w:cs="Arial"/>
        </w:rPr>
        <w:t>Mr Westerink</w:t>
      </w:r>
    </w:p>
    <w:p w14:paraId="1996F5FC" w14:textId="77777777" w:rsidR="00841527" w:rsidRPr="00A53276" w:rsidRDefault="00841527" w:rsidP="00841527">
      <w:pPr>
        <w:rPr>
          <w:rFonts w:ascii="Arial" w:hAnsi="Arial" w:cs="Arial"/>
        </w:rPr>
      </w:pPr>
    </w:p>
    <w:p w14:paraId="4F6785F5" w14:textId="77777777" w:rsidR="006B7202" w:rsidRPr="00A53276" w:rsidRDefault="00C75897" w:rsidP="00841527">
      <w:pPr>
        <w:rPr>
          <w:rFonts w:ascii="Arial" w:hAnsi="Arial" w:cs="Arial"/>
          <w:b/>
          <w:color w:val="1F497D" w:themeColor="text2"/>
        </w:rPr>
      </w:pPr>
      <w:r>
        <w:rPr>
          <w:rFonts w:ascii="Arial" w:hAnsi="Arial" w:cs="Arial"/>
          <w:b/>
          <w:color w:val="1F497D" w:themeColor="text2"/>
        </w:rPr>
        <w:t>Review of the Tax Practitioners Board</w:t>
      </w:r>
    </w:p>
    <w:p w14:paraId="518AF7CC" w14:textId="77777777" w:rsidR="00841527" w:rsidRPr="00A53276" w:rsidRDefault="00841527" w:rsidP="00841527">
      <w:pPr>
        <w:rPr>
          <w:rFonts w:ascii="Arial" w:hAnsi="Arial" w:cs="Arial"/>
          <w:color w:val="1F497D" w:themeColor="text2"/>
        </w:rPr>
      </w:pPr>
    </w:p>
    <w:p w14:paraId="5B51273F" w14:textId="77777777" w:rsidR="00C75897" w:rsidRDefault="00E04449" w:rsidP="00114B40">
      <w:pPr>
        <w:spacing w:line="360" w:lineRule="auto"/>
        <w:rPr>
          <w:rFonts w:ascii="Arial" w:hAnsi="Arial" w:cs="Arial"/>
        </w:rPr>
      </w:pPr>
      <w:r>
        <w:rPr>
          <w:rFonts w:ascii="Arial" w:hAnsi="Arial" w:cs="Arial"/>
        </w:rPr>
        <w:t>The</w:t>
      </w:r>
      <w:r w:rsidR="00274115">
        <w:rPr>
          <w:rFonts w:ascii="Arial" w:hAnsi="Arial" w:cs="Arial"/>
        </w:rPr>
        <w:t xml:space="preserve"> IPA welcomes</w:t>
      </w:r>
      <w:r w:rsidR="00841527" w:rsidRPr="00A53276">
        <w:rPr>
          <w:rFonts w:ascii="Arial" w:hAnsi="Arial" w:cs="Arial"/>
        </w:rPr>
        <w:t xml:space="preserve"> the </w:t>
      </w:r>
      <w:r w:rsidR="009C1602" w:rsidRPr="00A53276">
        <w:rPr>
          <w:rFonts w:ascii="Arial" w:hAnsi="Arial" w:cs="Arial"/>
        </w:rPr>
        <w:t xml:space="preserve">opportunity </w:t>
      </w:r>
      <w:r w:rsidR="009E540D" w:rsidRPr="00A53276">
        <w:rPr>
          <w:rFonts w:ascii="Arial" w:hAnsi="Arial" w:cs="Arial"/>
        </w:rPr>
        <w:t xml:space="preserve">to </w:t>
      </w:r>
      <w:r w:rsidR="009C1602" w:rsidRPr="00A53276">
        <w:rPr>
          <w:rFonts w:ascii="Arial" w:hAnsi="Arial" w:cs="Arial"/>
        </w:rPr>
        <w:t>provid</w:t>
      </w:r>
      <w:r w:rsidR="009E540D" w:rsidRPr="00A53276">
        <w:rPr>
          <w:rFonts w:ascii="Arial" w:hAnsi="Arial" w:cs="Arial"/>
        </w:rPr>
        <w:t>e</w:t>
      </w:r>
      <w:r w:rsidR="009C1602" w:rsidRPr="00A53276">
        <w:rPr>
          <w:rFonts w:ascii="Arial" w:hAnsi="Arial" w:cs="Arial"/>
        </w:rPr>
        <w:t xml:space="preserve"> </w:t>
      </w:r>
      <w:r w:rsidR="009E540D" w:rsidRPr="00A53276">
        <w:rPr>
          <w:rFonts w:ascii="Arial" w:hAnsi="Arial" w:cs="Arial"/>
        </w:rPr>
        <w:t>this</w:t>
      </w:r>
      <w:r w:rsidR="009C1602" w:rsidRPr="00A53276">
        <w:rPr>
          <w:rFonts w:ascii="Arial" w:hAnsi="Arial" w:cs="Arial"/>
        </w:rPr>
        <w:t xml:space="preserve"> submission in response to </w:t>
      </w:r>
      <w:r w:rsidR="00274115">
        <w:rPr>
          <w:rFonts w:ascii="Arial" w:hAnsi="Arial" w:cs="Arial"/>
        </w:rPr>
        <w:t>the</w:t>
      </w:r>
      <w:r w:rsidR="00044595">
        <w:rPr>
          <w:rFonts w:ascii="Arial" w:hAnsi="Arial" w:cs="Arial"/>
        </w:rPr>
        <w:t xml:space="preserve"> Government’s review with respect to the effectiveness of the Tax Practitioners Board </w:t>
      </w:r>
      <w:r w:rsidR="00F85A95">
        <w:rPr>
          <w:rFonts w:ascii="Arial" w:hAnsi="Arial" w:cs="Arial"/>
        </w:rPr>
        <w:t xml:space="preserve">(TPB) </w:t>
      </w:r>
      <w:r w:rsidR="004B4045">
        <w:rPr>
          <w:rFonts w:ascii="Arial" w:hAnsi="Arial" w:cs="Arial"/>
        </w:rPr>
        <w:t xml:space="preserve">and the operation of the </w:t>
      </w:r>
      <w:r w:rsidR="004B4045" w:rsidRPr="007C26C1">
        <w:rPr>
          <w:rFonts w:ascii="Arial" w:hAnsi="Arial" w:cs="Arial"/>
          <w:i/>
        </w:rPr>
        <w:t xml:space="preserve">Tax </w:t>
      </w:r>
      <w:r w:rsidR="00A96745" w:rsidRPr="007C26C1">
        <w:rPr>
          <w:rFonts w:ascii="Arial" w:hAnsi="Arial" w:cs="Arial"/>
          <w:i/>
        </w:rPr>
        <w:t>Agents Services Act 2009</w:t>
      </w:r>
      <w:r w:rsidR="00A96745">
        <w:rPr>
          <w:rFonts w:ascii="Arial" w:hAnsi="Arial" w:cs="Arial"/>
        </w:rPr>
        <w:t xml:space="preserve"> (TASA).</w:t>
      </w:r>
    </w:p>
    <w:p w14:paraId="535B896E" w14:textId="77777777" w:rsidR="001F722B" w:rsidRDefault="001F722B" w:rsidP="00114B40">
      <w:pPr>
        <w:spacing w:line="360" w:lineRule="auto"/>
        <w:rPr>
          <w:rFonts w:ascii="Arial" w:hAnsi="Arial" w:cs="Arial"/>
        </w:rPr>
      </w:pPr>
    </w:p>
    <w:p w14:paraId="79B4303A" w14:textId="77777777" w:rsidR="00EB5A93" w:rsidRDefault="005F0A6F" w:rsidP="00114B40">
      <w:pPr>
        <w:spacing w:line="360" w:lineRule="auto"/>
        <w:rPr>
          <w:rFonts w:ascii="Arial" w:hAnsi="Arial" w:cs="Arial"/>
        </w:rPr>
      </w:pPr>
      <w:r>
        <w:rPr>
          <w:rFonts w:ascii="Arial" w:hAnsi="Arial" w:cs="Arial"/>
        </w:rPr>
        <w:t>A large</w:t>
      </w:r>
      <w:r w:rsidR="00EB5A93">
        <w:rPr>
          <w:rFonts w:ascii="Arial" w:hAnsi="Arial" w:cs="Arial"/>
        </w:rPr>
        <w:t xml:space="preserve"> majority of Australian taxpayers rely </w:t>
      </w:r>
      <w:r w:rsidR="007C26C1">
        <w:rPr>
          <w:rFonts w:ascii="Arial" w:hAnsi="Arial" w:cs="Arial"/>
        </w:rPr>
        <w:t xml:space="preserve">on their registered </w:t>
      </w:r>
      <w:r w:rsidR="00EB5A93">
        <w:rPr>
          <w:rFonts w:ascii="Arial" w:hAnsi="Arial" w:cs="Arial"/>
        </w:rPr>
        <w:t xml:space="preserve">tax agent </w:t>
      </w:r>
      <w:r>
        <w:rPr>
          <w:rFonts w:ascii="Arial" w:hAnsi="Arial" w:cs="Arial"/>
        </w:rPr>
        <w:t>or</w:t>
      </w:r>
      <w:r w:rsidR="00DC2C55">
        <w:rPr>
          <w:rFonts w:ascii="Arial" w:hAnsi="Arial" w:cs="Arial"/>
        </w:rPr>
        <w:t xml:space="preserve"> BAS agent </w:t>
      </w:r>
      <w:r>
        <w:rPr>
          <w:rFonts w:ascii="Arial" w:hAnsi="Arial" w:cs="Arial"/>
        </w:rPr>
        <w:t>to ensure that</w:t>
      </w:r>
      <w:r w:rsidR="007C26C1">
        <w:rPr>
          <w:rFonts w:ascii="Arial" w:hAnsi="Arial" w:cs="Arial"/>
        </w:rPr>
        <w:t xml:space="preserve"> their tax obligations are met</w:t>
      </w:r>
      <w:r>
        <w:rPr>
          <w:rFonts w:ascii="Arial" w:hAnsi="Arial" w:cs="Arial"/>
        </w:rPr>
        <w:t xml:space="preserve">, As </w:t>
      </w:r>
      <w:r w:rsidR="00F4129B">
        <w:rPr>
          <w:rFonts w:ascii="Arial" w:hAnsi="Arial" w:cs="Arial"/>
        </w:rPr>
        <w:t>such;</w:t>
      </w:r>
      <w:r>
        <w:rPr>
          <w:rFonts w:ascii="Arial" w:hAnsi="Arial" w:cs="Arial"/>
        </w:rPr>
        <w:t xml:space="preserve"> </w:t>
      </w:r>
      <w:r w:rsidR="00EB5A93">
        <w:rPr>
          <w:rFonts w:ascii="Arial" w:hAnsi="Arial" w:cs="Arial"/>
        </w:rPr>
        <w:t xml:space="preserve">we </w:t>
      </w:r>
      <w:r w:rsidR="00184794">
        <w:rPr>
          <w:rFonts w:ascii="Arial" w:hAnsi="Arial" w:cs="Arial"/>
        </w:rPr>
        <w:t xml:space="preserve">are supportive of the </w:t>
      </w:r>
      <w:r w:rsidR="00A96745">
        <w:rPr>
          <w:rFonts w:ascii="Arial" w:hAnsi="Arial" w:cs="Arial"/>
        </w:rPr>
        <w:t xml:space="preserve">regulatory framework </w:t>
      </w:r>
      <w:r w:rsidR="00EB7C29">
        <w:rPr>
          <w:rFonts w:ascii="Arial" w:hAnsi="Arial" w:cs="Arial"/>
        </w:rPr>
        <w:t xml:space="preserve">that </w:t>
      </w:r>
      <w:r w:rsidR="00EB5A93">
        <w:rPr>
          <w:rFonts w:ascii="Arial" w:hAnsi="Arial" w:cs="Arial"/>
        </w:rPr>
        <w:t xml:space="preserve">currently </w:t>
      </w:r>
      <w:r w:rsidR="00EB7C29">
        <w:rPr>
          <w:rFonts w:ascii="Arial" w:hAnsi="Arial" w:cs="Arial"/>
        </w:rPr>
        <w:t>governs the</w:t>
      </w:r>
      <w:r w:rsidR="00A96745">
        <w:rPr>
          <w:rFonts w:ascii="Arial" w:hAnsi="Arial" w:cs="Arial"/>
        </w:rPr>
        <w:t xml:space="preserve"> provision of tax agent services</w:t>
      </w:r>
      <w:r w:rsidR="009A58DC">
        <w:rPr>
          <w:rFonts w:ascii="Arial" w:hAnsi="Arial" w:cs="Arial"/>
        </w:rPr>
        <w:t xml:space="preserve"> to the community</w:t>
      </w:r>
      <w:r w:rsidR="007D04B6">
        <w:rPr>
          <w:rFonts w:ascii="Arial" w:hAnsi="Arial" w:cs="Arial"/>
        </w:rPr>
        <w:t xml:space="preserve"> since its inception </w:t>
      </w:r>
      <w:r w:rsidR="006D68C1">
        <w:rPr>
          <w:rFonts w:ascii="Arial" w:hAnsi="Arial" w:cs="Arial"/>
        </w:rPr>
        <w:t>in</w:t>
      </w:r>
      <w:r w:rsidR="007D04B6">
        <w:rPr>
          <w:rFonts w:ascii="Arial" w:hAnsi="Arial" w:cs="Arial"/>
        </w:rPr>
        <w:t xml:space="preserve"> 2009</w:t>
      </w:r>
      <w:r w:rsidR="00A96745">
        <w:rPr>
          <w:rFonts w:ascii="Arial" w:hAnsi="Arial" w:cs="Arial"/>
        </w:rPr>
        <w:t xml:space="preserve">. </w:t>
      </w:r>
    </w:p>
    <w:p w14:paraId="10AB1729" w14:textId="77777777" w:rsidR="00EB5A93" w:rsidRDefault="00EB5A93" w:rsidP="00114B40">
      <w:pPr>
        <w:spacing w:line="360" w:lineRule="auto"/>
        <w:rPr>
          <w:rFonts w:ascii="Arial" w:hAnsi="Arial" w:cs="Arial"/>
        </w:rPr>
      </w:pPr>
    </w:p>
    <w:p w14:paraId="0EA43D90" w14:textId="77777777" w:rsidR="00A96745" w:rsidRDefault="00EB7C29" w:rsidP="00114B40">
      <w:pPr>
        <w:spacing w:line="360" w:lineRule="auto"/>
        <w:rPr>
          <w:rFonts w:ascii="Arial" w:hAnsi="Arial" w:cs="Arial"/>
        </w:rPr>
      </w:pPr>
      <w:r>
        <w:rPr>
          <w:rFonts w:ascii="Arial" w:hAnsi="Arial" w:cs="Arial"/>
        </w:rPr>
        <w:t>For some jurisdictions, t</w:t>
      </w:r>
      <w:r w:rsidR="00A6499D">
        <w:rPr>
          <w:rFonts w:ascii="Arial" w:hAnsi="Arial" w:cs="Arial"/>
        </w:rPr>
        <w:t>he</w:t>
      </w:r>
      <w:r w:rsidR="00946500">
        <w:rPr>
          <w:rFonts w:ascii="Arial" w:hAnsi="Arial" w:cs="Arial"/>
        </w:rPr>
        <w:t xml:space="preserve"> regulatory framework under the TASA </w:t>
      </w:r>
      <w:r>
        <w:rPr>
          <w:rFonts w:ascii="Arial" w:hAnsi="Arial" w:cs="Arial"/>
        </w:rPr>
        <w:t xml:space="preserve">has become </w:t>
      </w:r>
      <w:r w:rsidR="00EB5A93">
        <w:rPr>
          <w:rFonts w:ascii="Arial" w:hAnsi="Arial" w:cs="Arial"/>
        </w:rPr>
        <w:t xml:space="preserve">a reference for those who </w:t>
      </w:r>
      <w:r w:rsidR="00946500">
        <w:rPr>
          <w:rFonts w:ascii="Arial" w:hAnsi="Arial" w:cs="Arial"/>
        </w:rPr>
        <w:t xml:space="preserve">currently do not have such as </w:t>
      </w:r>
      <w:r w:rsidR="00EB5A93">
        <w:rPr>
          <w:rFonts w:ascii="Arial" w:hAnsi="Arial" w:cs="Arial"/>
        </w:rPr>
        <w:t>framework</w:t>
      </w:r>
      <w:r w:rsidR="00DC2C55">
        <w:rPr>
          <w:rFonts w:ascii="Arial" w:hAnsi="Arial" w:cs="Arial"/>
        </w:rPr>
        <w:t xml:space="preserve"> to govern the provision of tax services</w:t>
      </w:r>
      <w:r w:rsidR="00EB5A93">
        <w:rPr>
          <w:rFonts w:ascii="Arial" w:hAnsi="Arial" w:cs="Arial"/>
        </w:rPr>
        <w:t>. F</w:t>
      </w:r>
      <w:r w:rsidR="00946500">
        <w:rPr>
          <w:rFonts w:ascii="Arial" w:hAnsi="Arial" w:cs="Arial"/>
        </w:rPr>
        <w:t>or example, the United Kingdom</w:t>
      </w:r>
      <w:r w:rsidR="00F85A95">
        <w:rPr>
          <w:rFonts w:ascii="Arial" w:hAnsi="Arial" w:cs="Arial"/>
        </w:rPr>
        <w:t xml:space="preserve"> is currently examining models for implementation</w:t>
      </w:r>
      <w:r w:rsidR="00EB5A93">
        <w:rPr>
          <w:rFonts w:ascii="Arial" w:hAnsi="Arial" w:cs="Arial"/>
        </w:rPr>
        <w:t xml:space="preserve"> of their own regulatory framework</w:t>
      </w:r>
      <w:r w:rsidR="00946500">
        <w:rPr>
          <w:rFonts w:ascii="Arial" w:hAnsi="Arial" w:cs="Arial"/>
        </w:rPr>
        <w:t>.</w:t>
      </w:r>
    </w:p>
    <w:p w14:paraId="4DDA8398" w14:textId="77777777" w:rsidR="00A96745" w:rsidRDefault="00A96745" w:rsidP="00114B40">
      <w:pPr>
        <w:spacing w:line="360" w:lineRule="auto"/>
        <w:rPr>
          <w:rFonts w:ascii="Arial" w:hAnsi="Arial" w:cs="Arial"/>
        </w:rPr>
      </w:pPr>
    </w:p>
    <w:p w14:paraId="52F74698" w14:textId="77777777" w:rsidR="00EB5A93" w:rsidRDefault="00CE38B1" w:rsidP="00114B40">
      <w:pPr>
        <w:spacing w:line="360" w:lineRule="auto"/>
        <w:rPr>
          <w:rFonts w:ascii="Arial" w:hAnsi="Arial" w:cs="Arial"/>
        </w:rPr>
      </w:pPr>
      <w:r>
        <w:rPr>
          <w:rFonts w:ascii="Arial" w:hAnsi="Arial" w:cs="Arial"/>
        </w:rPr>
        <w:t xml:space="preserve">It </w:t>
      </w:r>
      <w:r w:rsidR="006D68C1">
        <w:rPr>
          <w:rFonts w:ascii="Arial" w:hAnsi="Arial" w:cs="Arial"/>
        </w:rPr>
        <w:t>was originally</w:t>
      </w:r>
      <w:r>
        <w:rPr>
          <w:rFonts w:ascii="Arial" w:hAnsi="Arial" w:cs="Arial"/>
        </w:rPr>
        <w:t xml:space="preserve"> </w:t>
      </w:r>
      <w:r w:rsidR="00DC2C55">
        <w:rPr>
          <w:rFonts w:ascii="Arial" w:hAnsi="Arial" w:cs="Arial"/>
        </w:rPr>
        <w:t xml:space="preserve">flagged </w:t>
      </w:r>
      <w:r>
        <w:rPr>
          <w:rFonts w:ascii="Arial" w:hAnsi="Arial" w:cs="Arial"/>
        </w:rPr>
        <w:t xml:space="preserve">in the explanatory memorandum to the TASA that a post-implementation review be undertaken three years after its introduction.  </w:t>
      </w:r>
      <w:r w:rsidR="00F85A95">
        <w:rPr>
          <w:rFonts w:ascii="Arial" w:hAnsi="Arial" w:cs="Arial"/>
        </w:rPr>
        <w:t>Given that it has almost been a decade since the TASA</w:t>
      </w:r>
      <w:r w:rsidR="00DC2C55">
        <w:rPr>
          <w:rFonts w:ascii="Arial" w:hAnsi="Arial" w:cs="Arial"/>
        </w:rPr>
        <w:t xml:space="preserve"> was introduced</w:t>
      </w:r>
      <w:r w:rsidR="00F85A95">
        <w:rPr>
          <w:rFonts w:ascii="Arial" w:hAnsi="Arial" w:cs="Arial"/>
        </w:rPr>
        <w:t xml:space="preserve">, </w:t>
      </w:r>
      <w:r>
        <w:rPr>
          <w:rFonts w:ascii="Arial" w:hAnsi="Arial" w:cs="Arial"/>
        </w:rPr>
        <w:t>th</w:t>
      </w:r>
      <w:r w:rsidR="00DC2C55">
        <w:rPr>
          <w:rFonts w:ascii="Arial" w:hAnsi="Arial" w:cs="Arial"/>
        </w:rPr>
        <w:t>is</w:t>
      </w:r>
      <w:r>
        <w:rPr>
          <w:rFonts w:ascii="Arial" w:hAnsi="Arial" w:cs="Arial"/>
        </w:rPr>
        <w:t xml:space="preserve"> initiative </w:t>
      </w:r>
      <w:r w:rsidR="006D5596">
        <w:rPr>
          <w:rFonts w:ascii="Arial" w:hAnsi="Arial" w:cs="Arial"/>
        </w:rPr>
        <w:t xml:space="preserve">to review </w:t>
      </w:r>
      <w:r w:rsidR="00DC2C55">
        <w:rPr>
          <w:rFonts w:ascii="Arial" w:hAnsi="Arial" w:cs="Arial"/>
        </w:rPr>
        <w:t>the</w:t>
      </w:r>
      <w:r w:rsidR="006D5596">
        <w:rPr>
          <w:rFonts w:ascii="Arial" w:hAnsi="Arial" w:cs="Arial"/>
        </w:rPr>
        <w:t xml:space="preserve"> </w:t>
      </w:r>
      <w:r w:rsidR="007C26C1">
        <w:rPr>
          <w:rFonts w:ascii="Arial" w:hAnsi="Arial" w:cs="Arial"/>
        </w:rPr>
        <w:t xml:space="preserve">TPB </w:t>
      </w:r>
      <w:r w:rsidR="006D5596">
        <w:rPr>
          <w:rFonts w:ascii="Arial" w:hAnsi="Arial" w:cs="Arial"/>
        </w:rPr>
        <w:t xml:space="preserve">and </w:t>
      </w:r>
      <w:r w:rsidR="00DC2C55">
        <w:rPr>
          <w:rFonts w:ascii="Arial" w:hAnsi="Arial" w:cs="Arial"/>
        </w:rPr>
        <w:t xml:space="preserve">the TASA </w:t>
      </w:r>
      <w:r w:rsidR="006D5596">
        <w:rPr>
          <w:rFonts w:ascii="Arial" w:hAnsi="Arial" w:cs="Arial"/>
        </w:rPr>
        <w:t>is long overdue</w:t>
      </w:r>
      <w:r w:rsidR="009A58DC">
        <w:rPr>
          <w:rFonts w:ascii="Arial" w:hAnsi="Arial" w:cs="Arial"/>
        </w:rPr>
        <w:t>.</w:t>
      </w:r>
      <w:r w:rsidR="00F85A95">
        <w:rPr>
          <w:rFonts w:ascii="Arial" w:hAnsi="Arial" w:cs="Arial"/>
        </w:rPr>
        <w:t xml:space="preserve">  </w:t>
      </w:r>
      <w:r w:rsidR="006D5596">
        <w:rPr>
          <w:rFonts w:ascii="Arial" w:hAnsi="Arial" w:cs="Arial"/>
        </w:rPr>
        <w:t>Further, we</w:t>
      </w:r>
      <w:r w:rsidR="00F85A95">
        <w:rPr>
          <w:rFonts w:ascii="Arial" w:hAnsi="Arial" w:cs="Arial"/>
        </w:rPr>
        <w:t xml:space="preserve"> consider </w:t>
      </w:r>
      <w:r w:rsidR="006D68C1">
        <w:rPr>
          <w:rFonts w:ascii="Arial" w:hAnsi="Arial" w:cs="Arial"/>
        </w:rPr>
        <w:t xml:space="preserve">this </w:t>
      </w:r>
      <w:r w:rsidR="00F85A95">
        <w:rPr>
          <w:rFonts w:ascii="Arial" w:hAnsi="Arial" w:cs="Arial"/>
        </w:rPr>
        <w:t xml:space="preserve">review </w:t>
      </w:r>
      <w:r w:rsidR="00584674">
        <w:rPr>
          <w:rFonts w:ascii="Arial" w:hAnsi="Arial" w:cs="Arial"/>
        </w:rPr>
        <w:t xml:space="preserve">to be timely </w:t>
      </w:r>
      <w:r w:rsidR="007C26C1">
        <w:rPr>
          <w:rFonts w:ascii="Arial" w:hAnsi="Arial" w:cs="Arial"/>
        </w:rPr>
        <w:t>and relevant following</w:t>
      </w:r>
      <w:r w:rsidR="00584674">
        <w:rPr>
          <w:rFonts w:ascii="Arial" w:hAnsi="Arial" w:cs="Arial"/>
        </w:rPr>
        <w:t xml:space="preserve"> the</w:t>
      </w:r>
      <w:r w:rsidR="00A41938">
        <w:rPr>
          <w:rFonts w:ascii="Arial" w:hAnsi="Arial" w:cs="Arial"/>
        </w:rPr>
        <w:t xml:space="preserve"> </w:t>
      </w:r>
      <w:r w:rsidR="005F0A6F">
        <w:rPr>
          <w:rFonts w:ascii="Arial" w:hAnsi="Arial" w:cs="Arial"/>
        </w:rPr>
        <w:t>f</w:t>
      </w:r>
      <w:r w:rsidR="00EB7C29">
        <w:rPr>
          <w:rFonts w:ascii="Arial" w:hAnsi="Arial" w:cs="Arial"/>
        </w:rPr>
        <w:t xml:space="preserve">inancial </w:t>
      </w:r>
      <w:r w:rsidR="005F0A6F">
        <w:rPr>
          <w:rFonts w:ascii="Arial" w:hAnsi="Arial" w:cs="Arial"/>
        </w:rPr>
        <w:t xml:space="preserve">services </w:t>
      </w:r>
      <w:r w:rsidR="00A41938">
        <w:rPr>
          <w:rFonts w:ascii="Arial" w:hAnsi="Arial" w:cs="Arial"/>
        </w:rPr>
        <w:t>r</w:t>
      </w:r>
      <w:r w:rsidR="00584674">
        <w:rPr>
          <w:rFonts w:ascii="Arial" w:hAnsi="Arial" w:cs="Arial"/>
        </w:rPr>
        <w:t xml:space="preserve">oyal </w:t>
      </w:r>
      <w:r w:rsidR="00A41938">
        <w:rPr>
          <w:rFonts w:ascii="Arial" w:hAnsi="Arial" w:cs="Arial"/>
        </w:rPr>
        <w:t>c</w:t>
      </w:r>
      <w:r w:rsidR="00584674">
        <w:rPr>
          <w:rFonts w:ascii="Arial" w:hAnsi="Arial" w:cs="Arial"/>
        </w:rPr>
        <w:t xml:space="preserve">ommission </w:t>
      </w:r>
      <w:r w:rsidR="00EB7C29">
        <w:rPr>
          <w:rFonts w:ascii="Arial" w:hAnsi="Arial" w:cs="Arial"/>
        </w:rPr>
        <w:t xml:space="preserve">where </w:t>
      </w:r>
      <w:r w:rsidR="00EB5A93">
        <w:rPr>
          <w:rFonts w:ascii="Arial" w:hAnsi="Arial" w:cs="Arial"/>
        </w:rPr>
        <w:t xml:space="preserve">the effectiveness of Australia’s financial regulators </w:t>
      </w:r>
      <w:r w:rsidR="00695871">
        <w:rPr>
          <w:rFonts w:ascii="Arial" w:hAnsi="Arial" w:cs="Arial"/>
        </w:rPr>
        <w:t>has</w:t>
      </w:r>
      <w:r w:rsidR="00FD0D17">
        <w:rPr>
          <w:rFonts w:ascii="Arial" w:hAnsi="Arial" w:cs="Arial"/>
        </w:rPr>
        <w:t xml:space="preserve"> been the subject of scrutiny.</w:t>
      </w:r>
    </w:p>
    <w:p w14:paraId="735C1007" w14:textId="77777777" w:rsidR="00BF6E3C" w:rsidRDefault="00BF6E3C" w:rsidP="00114B40">
      <w:pPr>
        <w:spacing w:line="360" w:lineRule="auto"/>
        <w:rPr>
          <w:rFonts w:ascii="Arial" w:hAnsi="Arial" w:cs="Arial"/>
        </w:rPr>
      </w:pPr>
    </w:p>
    <w:p w14:paraId="2DDFE271" w14:textId="77777777" w:rsidR="00A96745" w:rsidRDefault="00BF6E3C" w:rsidP="00114B40">
      <w:pPr>
        <w:spacing w:line="360" w:lineRule="auto"/>
        <w:rPr>
          <w:rFonts w:ascii="Arial" w:hAnsi="Arial" w:cs="Arial"/>
        </w:rPr>
      </w:pPr>
      <w:r>
        <w:rPr>
          <w:rFonts w:ascii="Arial" w:hAnsi="Arial" w:cs="Arial"/>
        </w:rPr>
        <w:lastRenderedPageBreak/>
        <w:t xml:space="preserve">While the TPB has done its best within its financial and resourcing constraints to administer the TASA, there is </w:t>
      </w:r>
      <w:r w:rsidR="006D68C1">
        <w:rPr>
          <w:rFonts w:ascii="Arial" w:hAnsi="Arial" w:cs="Arial"/>
        </w:rPr>
        <w:t xml:space="preserve">always </w:t>
      </w:r>
      <w:r>
        <w:rPr>
          <w:rFonts w:ascii="Arial" w:hAnsi="Arial" w:cs="Arial"/>
        </w:rPr>
        <w:t>continued scope for improvement</w:t>
      </w:r>
      <w:r w:rsidR="00A41938">
        <w:rPr>
          <w:rFonts w:ascii="Arial" w:hAnsi="Arial" w:cs="Arial"/>
        </w:rPr>
        <w:t>.  This becomes more critical</w:t>
      </w:r>
      <w:r>
        <w:rPr>
          <w:rFonts w:ascii="Arial" w:hAnsi="Arial" w:cs="Arial"/>
        </w:rPr>
        <w:t xml:space="preserve"> in light of changing nature of the tax profession </w:t>
      </w:r>
      <w:r w:rsidR="006D68C1">
        <w:rPr>
          <w:rFonts w:ascii="Arial" w:hAnsi="Arial" w:cs="Arial"/>
        </w:rPr>
        <w:t xml:space="preserve">(particularly in terms of demographic and technological advancement) </w:t>
      </w:r>
      <w:r>
        <w:rPr>
          <w:rFonts w:ascii="Arial" w:hAnsi="Arial" w:cs="Arial"/>
        </w:rPr>
        <w:t xml:space="preserve">and the </w:t>
      </w:r>
      <w:r w:rsidR="007D04B6">
        <w:rPr>
          <w:rFonts w:ascii="Arial" w:hAnsi="Arial" w:cs="Arial"/>
        </w:rPr>
        <w:t xml:space="preserve">heavy </w:t>
      </w:r>
      <w:r>
        <w:rPr>
          <w:rFonts w:ascii="Arial" w:hAnsi="Arial" w:cs="Arial"/>
        </w:rPr>
        <w:t>reliance placed by taxpayers on tax agent</w:t>
      </w:r>
      <w:r w:rsidR="005F0A6F">
        <w:rPr>
          <w:rFonts w:ascii="Arial" w:hAnsi="Arial" w:cs="Arial"/>
        </w:rPr>
        <w:t xml:space="preserve"> and BAS agent</w:t>
      </w:r>
      <w:r>
        <w:rPr>
          <w:rFonts w:ascii="Arial" w:hAnsi="Arial" w:cs="Arial"/>
        </w:rPr>
        <w:t xml:space="preserve"> services.</w:t>
      </w:r>
      <w:r w:rsidR="00136EB9">
        <w:rPr>
          <w:rFonts w:ascii="Arial" w:hAnsi="Arial" w:cs="Arial"/>
        </w:rPr>
        <w:t xml:space="preserve">  </w:t>
      </w:r>
      <w:r>
        <w:rPr>
          <w:rFonts w:ascii="Arial" w:hAnsi="Arial" w:cs="Arial"/>
        </w:rPr>
        <w:t>In this regard, o</w:t>
      </w:r>
      <w:r w:rsidR="009A58DC">
        <w:rPr>
          <w:rFonts w:ascii="Arial" w:hAnsi="Arial" w:cs="Arial"/>
        </w:rPr>
        <w:t>ur submission broadly address</w:t>
      </w:r>
      <w:r w:rsidR="00EB7C29">
        <w:rPr>
          <w:rFonts w:ascii="Arial" w:hAnsi="Arial" w:cs="Arial"/>
        </w:rPr>
        <w:t xml:space="preserve">es some of questions </w:t>
      </w:r>
      <w:r w:rsidR="005F0A6F">
        <w:rPr>
          <w:rFonts w:ascii="Arial" w:hAnsi="Arial" w:cs="Arial"/>
        </w:rPr>
        <w:t xml:space="preserve">posed </w:t>
      </w:r>
      <w:r w:rsidR="00EB7C29">
        <w:rPr>
          <w:rFonts w:ascii="Arial" w:hAnsi="Arial" w:cs="Arial"/>
        </w:rPr>
        <w:t>in</w:t>
      </w:r>
      <w:r w:rsidR="009A58DC">
        <w:rPr>
          <w:rFonts w:ascii="Arial" w:hAnsi="Arial" w:cs="Arial"/>
        </w:rPr>
        <w:t xml:space="preserve"> the terms of reference</w:t>
      </w:r>
      <w:r w:rsidR="00986290">
        <w:rPr>
          <w:rFonts w:ascii="Arial" w:hAnsi="Arial" w:cs="Arial"/>
        </w:rPr>
        <w:t xml:space="preserve"> which</w:t>
      </w:r>
      <w:r w:rsidR="005F0A6F">
        <w:rPr>
          <w:rFonts w:ascii="Arial" w:hAnsi="Arial" w:cs="Arial"/>
        </w:rPr>
        <w:t xml:space="preserve"> directly</w:t>
      </w:r>
      <w:r w:rsidR="00986290">
        <w:rPr>
          <w:rFonts w:ascii="Arial" w:hAnsi="Arial" w:cs="Arial"/>
        </w:rPr>
        <w:t xml:space="preserve"> impact our members</w:t>
      </w:r>
      <w:r w:rsidR="001F6660">
        <w:rPr>
          <w:rFonts w:ascii="Arial" w:hAnsi="Arial" w:cs="Arial"/>
        </w:rPr>
        <w:t xml:space="preserve">. </w:t>
      </w:r>
    </w:p>
    <w:p w14:paraId="00FED34F" w14:textId="77777777" w:rsidR="00A96745" w:rsidRDefault="00A96745" w:rsidP="00114B40">
      <w:pPr>
        <w:spacing w:line="360" w:lineRule="auto"/>
        <w:rPr>
          <w:rFonts w:ascii="Arial" w:hAnsi="Arial" w:cs="Arial"/>
        </w:rPr>
      </w:pPr>
    </w:p>
    <w:p w14:paraId="4AFD3166" w14:textId="77777777" w:rsidR="00503EFB" w:rsidRPr="00DC2C55" w:rsidRDefault="00136EB9" w:rsidP="00114B40">
      <w:pPr>
        <w:spacing w:line="360" w:lineRule="auto"/>
        <w:rPr>
          <w:rFonts w:ascii="Arial" w:hAnsi="Arial" w:cs="Arial"/>
        </w:rPr>
      </w:pPr>
      <w:r w:rsidRPr="00DC2C55">
        <w:rPr>
          <w:rFonts w:ascii="Arial" w:hAnsi="Arial" w:cs="Arial"/>
          <w:b/>
        </w:rPr>
        <w:t>Executive summary</w:t>
      </w:r>
    </w:p>
    <w:p w14:paraId="6E5CFCA1" w14:textId="77777777" w:rsidR="006B0AF6" w:rsidRPr="00DC2C55" w:rsidRDefault="00975B60" w:rsidP="007C26C1">
      <w:pPr>
        <w:spacing w:line="360" w:lineRule="auto"/>
        <w:rPr>
          <w:rFonts w:ascii="Arial" w:hAnsi="Arial" w:cs="Arial"/>
        </w:rPr>
      </w:pPr>
      <w:r w:rsidRPr="00DC2C55">
        <w:rPr>
          <w:rFonts w:ascii="Arial" w:hAnsi="Arial" w:cs="Arial"/>
        </w:rPr>
        <w:t>An</w:t>
      </w:r>
      <w:r w:rsidR="001F6660" w:rsidRPr="00DC2C55">
        <w:rPr>
          <w:rFonts w:ascii="Arial" w:hAnsi="Arial" w:cs="Arial"/>
        </w:rPr>
        <w:t xml:space="preserve"> </w:t>
      </w:r>
      <w:r w:rsidR="00B8310C" w:rsidRPr="00DC2C55">
        <w:rPr>
          <w:rFonts w:ascii="Arial" w:hAnsi="Arial" w:cs="Arial"/>
        </w:rPr>
        <w:t xml:space="preserve">overarching objective of the TASA </w:t>
      </w:r>
      <w:r w:rsidR="00136EB9" w:rsidRPr="00DC2C55">
        <w:rPr>
          <w:rFonts w:ascii="Arial" w:hAnsi="Arial" w:cs="Arial"/>
        </w:rPr>
        <w:t xml:space="preserve">and the governance framework of the TPB </w:t>
      </w:r>
      <w:r w:rsidR="00A41938" w:rsidRPr="00DC2C55">
        <w:rPr>
          <w:rFonts w:ascii="Arial" w:hAnsi="Arial" w:cs="Arial"/>
        </w:rPr>
        <w:t>are</w:t>
      </w:r>
      <w:r w:rsidR="00B8310C" w:rsidRPr="00DC2C55">
        <w:rPr>
          <w:rFonts w:ascii="Arial" w:hAnsi="Arial" w:cs="Arial"/>
        </w:rPr>
        <w:t xml:space="preserve"> to ensure that </w:t>
      </w:r>
      <w:r w:rsidRPr="00DC2C55">
        <w:rPr>
          <w:rFonts w:ascii="Arial" w:hAnsi="Arial" w:cs="Arial"/>
        </w:rPr>
        <w:t xml:space="preserve">services provided by </w:t>
      </w:r>
      <w:r w:rsidR="00A85A33" w:rsidRPr="00DC2C55">
        <w:rPr>
          <w:rFonts w:ascii="Arial" w:hAnsi="Arial" w:cs="Arial"/>
        </w:rPr>
        <w:t xml:space="preserve">tax practitioners </w:t>
      </w:r>
      <w:r w:rsidRPr="00DC2C55">
        <w:rPr>
          <w:rFonts w:ascii="Arial" w:hAnsi="Arial" w:cs="Arial"/>
        </w:rPr>
        <w:t>are provided</w:t>
      </w:r>
      <w:r w:rsidR="006B0AF6" w:rsidRPr="00DC2C55">
        <w:rPr>
          <w:rFonts w:ascii="Arial" w:hAnsi="Arial" w:cs="Arial"/>
        </w:rPr>
        <w:t xml:space="preserve"> to the public in accordance with appropriate standards of professional and ethical </w:t>
      </w:r>
      <w:r w:rsidR="00A24DC5" w:rsidRPr="00DC2C55">
        <w:rPr>
          <w:rFonts w:ascii="Arial" w:hAnsi="Arial" w:cs="Arial"/>
        </w:rPr>
        <w:t xml:space="preserve">conduct </w:t>
      </w:r>
      <w:r w:rsidR="006D68C1">
        <w:rPr>
          <w:rFonts w:ascii="Arial" w:hAnsi="Arial" w:cs="Arial"/>
        </w:rPr>
        <w:t xml:space="preserve">which in turn, </w:t>
      </w:r>
      <w:r w:rsidR="00602C0B" w:rsidRPr="00DC2C55">
        <w:rPr>
          <w:rFonts w:ascii="Arial" w:hAnsi="Arial" w:cs="Arial"/>
        </w:rPr>
        <w:t>protect</w:t>
      </w:r>
      <w:r w:rsidR="006D68C1">
        <w:rPr>
          <w:rFonts w:ascii="Arial" w:hAnsi="Arial" w:cs="Arial"/>
        </w:rPr>
        <w:t>s</w:t>
      </w:r>
      <w:r w:rsidR="00602C0B" w:rsidRPr="00DC2C55">
        <w:rPr>
          <w:rFonts w:ascii="Arial" w:hAnsi="Arial" w:cs="Arial"/>
        </w:rPr>
        <w:t xml:space="preserve"> consumers of </w:t>
      </w:r>
      <w:r w:rsidR="00A24DC5" w:rsidRPr="00DC2C55">
        <w:rPr>
          <w:rFonts w:ascii="Arial" w:hAnsi="Arial" w:cs="Arial"/>
        </w:rPr>
        <w:t>such services</w:t>
      </w:r>
      <w:r w:rsidR="006D68C1">
        <w:rPr>
          <w:rFonts w:ascii="Arial" w:hAnsi="Arial" w:cs="Arial"/>
        </w:rPr>
        <w:t xml:space="preserve"> (i.e. the taxpayer)</w:t>
      </w:r>
      <w:r w:rsidR="00A24DC5" w:rsidRPr="00DC2C55">
        <w:rPr>
          <w:rFonts w:ascii="Arial" w:hAnsi="Arial" w:cs="Arial"/>
        </w:rPr>
        <w:t>.</w:t>
      </w:r>
    </w:p>
    <w:p w14:paraId="0054AB59" w14:textId="77777777" w:rsidR="00A24DC5" w:rsidRPr="00DC2C55" w:rsidRDefault="00A24DC5" w:rsidP="00114B40">
      <w:pPr>
        <w:spacing w:line="360" w:lineRule="auto"/>
        <w:rPr>
          <w:rFonts w:ascii="Arial" w:hAnsi="Arial" w:cs="Arial"/>
        </w:rPr>
      </w:pPr>
    </w:p>
    <w:p w14:paraId="4B3E1660" w14:textId="77777777" w:rsidR="001F6660" w:rsidRDefault="001F6660" w:rsidP="00114B40">
      <w:pPr>
        <w:spacing w:line="360" w:lineRule="auto"/>
        <w:rPr>
          <w:rFonts w:ascii="Arial" w:hAnsi="Arial" w:cs="Arial"/>
        </w:rPr>
      </w:pPr>
      <w:r w:rsidRPr="00DC2C55">
        <w:rPr>
          <w:rFonts w:ascii="Arial" w:hAnsi="Arial" w:cs="Arial"/>
        </w:rPr>
        <w:t>In our view</w:t>
      </w:r>
      <w:r w:rsidR="00A24DC5" w:rsidRPr="00DC2C55">
        <w:rPr>
          <w:rFonts w:ascii="Arial" w:hAnsi="Arial" w:cs="Arial"/>
        </w:rPr>
        <w:t xml:space="preserve">, in order to achieve this </w:t>
      </w:r>
      <w:r w:rsidR="00A41938">
        <w:rPr>
          <w:rFonts w:ascii="Arial" w:hAnsi="Arial" w:cs="Arial"/>
        </w:rPr>
        <w:t xml:space="preserve">primary </w:t>
      </w:r>
      <w:r w:rsidR="00A24DC5" w:rsidRPr="00DC2C55">
        <w:rPr>
          <w:rFonts w:ascii="Arial" w:hAnsi="Arial" w:cs="Arial"/>
        </w:rPr>
        <w:t xml:space="preserve">objective, </w:t>
      </w:r>
      <w:r w:rsidR="00136EB9">
        <w:rPr>
          <w:rFonts w:ascii="Arial" w:hAnsi="Arial" w:cs="Arial"/>
        </w:rPr>
        <w:t xml:space="preserve">aspects </w:t>
      </w:r>
      <w:r w:rsidR="0023667D">
        <w:rPr>
          <w:rFonts w:ascii="Arial" w:hAnsi="Arial" w:cs="Arial"/>
        </w:rPr>
        <w:t xml:space="preserve">of the TPB </w:t>
      </w:r>
      <w:r w:rsidR="00136EB9">
        <w:rPr>
          <w:rFonts w:ascii="Arial" w:hAnsi="Arial" w:cs="Arial"/>
        </w:rPr>
        <w:t>which warrant further examination and consideration by the Government include:</w:t>
      </w:r>
    </w:p>
    <w:p w14:paraId="27ED3EB0" w14:textId="77777777" w:rsidR="007D1422" w:rsidRDefault="007D1422" w:rsidP="00114B40">
      <w:pPr>
        <w:spacing w:line="360" w:lineRule="auto"/>
        <w:rPr>
          <w:rFonts w:ascii="Arial" w:hAnsi="Arial" w:cs="Arial"/>
        </w:rPr>
      </w:pPr>
    </w:p>
    <w:p w14:paraId="538AB7AF" w14:textId="77777777" w:rsidR="00A06744" w:rsidRPr="00DC2C55" w:rsidRDefault="0023667D" w:rsidP="00DC2C55">
      <w:pPr>
        <w:pStyle w:val="ListParagraph"/>
        <w:numPr>
          <w:ilvl w:val="0"/>
          <w:numId w:val="32"/>
        </w:numPr>
        <w:spacing w:line="360" w:lineRule="auto"/>
        <w:rPr>
          <w:rFonts w:ascii="Arial" w:hAnsi="Arial" w:cs="Arial"/>
        </w:rPr>
      </w:pPr>
      <w:r w:rsidRPr="00DC2C55">
        <w:rPr>
          <w:rFonts w:ascii="Arial" w:hAnsi="Arial" w:cs="Arial"/>
          <w:b/>
        </w:rPr>
        <w:t>Increased compliance activities:</w:t>
      </w:r>
      <w:r w:rsidRPr="0023667D">
        <w:rPr>
          <w:rFonts w:ascii="Arial" w:hAnsi="Arial" w:cs="Arial"/>
        </w:rPr>
        <w:t xml:space="preserve"> </w:t>
      </w:r>
      <w:r w:rsidR="00490F58" w:rsidRPr="0023667D">
        <w:rPr>
          <w:rFonts w:ascii="Arial" w:hAnsi="Arial" w:cs="Arial"/>
        </w:rPr>
        <w:t>Due to financial and resourcing con</w:t>
      </w:r>
      <w:r w:rsidR="00490F58" w:rsidRPr="007D1422">
        <w:rPr>
          <w:rFonts w:ascii="Arial" w:hAnsi="Arial" w:cs="Arial"/>
        </w:rPr>
        <w:t xml:space="preserve">straints, it has become clear that the level of compliance activities </w:t>
      </w:r>
      <w:r w:rsidRPr="007D1422">
        <w:rPr>
          <w:rFonts w:ascii="Arial" w:hAnsi="Arial" w:cs="Arial"/>
        </w:rPr>
        <w:t xml:space="preserve">by TPB </w:t>
      </w:r>
      <w:r w:rsidR="00490F58" w:rsidRPr="00E66E26">
        <w:rPr>
          <w:rFonts w:ascii="Arial" w:hAnsi="Arial" w:cs="Arial"/>
        </w:rPr>
        <w:t xml:space="preserve">to </w:t>
      </w:r>
      <w:r w:rsidR="00490F58" w:rsidRPr="0023667D">
        <w:rPr>
          <w:rFonts w:ascii="Arial" w:hAnsi="Arial" w:cs="Arial"/>
        </w:rPr>
        <w:t>identify rogue agents, unregistered agents and promoters of tax schemes have largely been inadequate.</w:t>
      </w:r>
      <w:r w:rsidRPr="0023667D">
        <w:rPr>
          <w:rFonts w:ascii="Arial" w:hAnsi="Arial" w:cs="Arial"/>
        </w:rPr>
        <w:t xml:space="preserve">  This has not been helped by the increase workloads from new initiatives; the </w:t>
      </w:r>
      <w:r w:rsidR="006D68C1">
        <w:rPr>
          <w:rFonts w:ascii="Arial" w:hAnsi="Arial" w:cs="Arial"/>
        </w:rPr>
        <w:t xml:space="preserve">introduction and </w:t>
      </w:r>
      <w:r w:rsidRPr="0023667D">
        <w:rPr>
          <w:rFonts w:ascii="Arial" w:hAnsi="Arial" w:cs="Arial"/>
        </w:rPr>
        <w:t xml:space="preserve">registration of tax (financial) advisers being one example.  </w:t>
      </w:r>
      <w:r w:rsidRPr="00DC2C55">
        <w:rPr>
          <w:rFonts w:ascii="Arial" w:hAnsi="Arial" w:cs="Arial"/>
        </w:rPr>
        <w:t>We consider that further compliance activities are necessary to level the playing field for tax practitioners and provide confidence in the tax system.  In that regard, we recommend that the Government evaluate and consider additional funding to the TPB to improve tax practitioner compliance</w:t>
      </w:r>
      <w:r w:rsidR="006D68C1">
        <w:rPr>
          <w:rFonts w:ascii="Arial" w:hAnsi="Arial" w:cs="Arial"/>
        </w:rPr>
        <w:t xml:space="preserve"> </w:t>
      </w:r>
      <w:r w:rsidR="00A41938">
        <w:rPr>
          <w:rFonts w:ascii="Arial" w:hAnsi="Arial" w:cs="Arial"/>
        </w:rPr>
        <w:t>which will ultimately benefit the community.</w:t>
      </w:r>
      <w:r w:rsidRPr="00DC2C55">
        <w:rPr>
          <w:rFonts w:ascii="Arial" w:hAnsi="Arial" w:cs="Arial"/>
        </w:rPr>
        <w:t xml:space="preserve"> </w:t>
      </w:r>
      <w:r w:rsidR="003F4D17">
        <w:rPr>
          <w:rFonts w:ascii="Arial" w:hAnsi="Arial" w:cs="Arial"/>
        </w:rPr>
        <w:t>A well-functioning and regulated profession is critical to the tax system and is therefore of benefit to the broader community, such an increase in funding should primarily come direct from the public purse.</w:t>
      </w:r>
    </w:p>
    <w:p w14:paraId="0BB594EF" w14:textId="77777777" w:rsidR="007D1422" w:rsidRDefault="007D1422" w:rsidP="00DC2C55">
      <w:pPr>
        <w:pStyle w:val="ListParagraph"/>
        <w:spacing w:line="360" w:lineRule="auto"/>
        <w:rPr>
          <w:rFonts w:ascii="Arial" w:hAnsi="Arial" w:cs="Arial"/>
        </w:rPr>
      </w:pPr>
    </w:p>
    <w:p w14:paraId="501F5EED" w14:textId="77777777" w:rsidR="0023667D" w:rsidRPr="00DC2C55" w:rsidRDefault="0023667D" w:rsidP="001F0B4A">
      <w:pPr>
        <w:pStyle w:val="ListParagraph"/>
        <w:numPr>
          <w:ilvl w:val="0"/>
          <w:numId w:val="32"/>
        </w:numPr>
        <w:spacing w:line="360" w:lineRule="auto"/>
        <w:rPr>
          <w:rFonts w:ascii="Arial" w:hAnsi="Arial" w:cs="Arial"/>
          <w:b/>
        </w:rPr>
      </w:pPr>
      <w:r w:rsidRPr="00DC2C55">
        <w:rPr>
          <w:rFonts w:ascii="Arial" w:hAnsi="Arial" w:cs="Arial"/>
          <w:b/>
        </w:rPr>
        <w:lastRenderedPageBreak/>
        <w:t>Imposition of civil penalties:</w:t>
      </w:r>
      <w:r>
        <w:rPr>
          <w:rFonts w:ascii="Arial" w:hAnsi="Arial" w:cs="Arial"/>
          <w:b/>
        </w:rPr>
        <w:t xml:space="preserve">  </w:t>
      </w:r>
      <w:r>
        <w:rPr>
          <w:rFonts w:ascii="Arial" w:hAnsi="Arial" w:cs="Arial"/>
        </w:rPr>
        <w:t xml:space="preserve">The current </w:t>
      </w:r>
      <w:r w:rsidR="00A41938">
        <w:rPr>
          <w:rFonts w:ascii="Arial" w:hAnsi="Arial" w:cs="Arial"/>
        </w:rPr>
        <w:t>provisions under the TASA allow</w:t>
      </w:r>
      <w:r>
        <w:rPr>
          <w:rFonts w:ascii="Arial" w:hAnsi="Arial" w:cs="Arial"/>
        </w:rPr>
        <w:t xml:space="preserve"> the imposition of civil penalties for certain breaches of the law</w:t>
      </w:r>
      <w:r w:rsidR="00A41938">
        <w:rPr>
          <w:rFonts w:ascii="Arial" w:hAnsi="Arial" w:cs="Arial"/>
        </w:rPr>
        <w:t xml:space="preserve"> by tax practitioners</w:t>
      </w:r>
      <w:r>
        <w:rPr>
          <w:rFonts w:ascii="Arial" w:hAnsi="Arial" w:cs="Arial"/>
        </w:rPr>
        <w:t>.  However,</w:t>
      </w:r>
      <w:r w:rsidR="007D1422">
        <w:rPr>
          <w:rFonts w:ascii="Arial" w:hAnsi="Arial" w:cs="Arial"/>
        </w:rPr>
        <w:t xml:space="preserve"> in order for those penalties to be imposed, it is necessary under the law for an application to be made</w:t>
      </w:r>
      <w:r w:rsidR="006B30EF">
        <w:rPr>
          <w:rFonts w:ascii="Arial" w:hAnsi="Arial" w:cs="Arial"/>
        </w:rPr>
        <w:t xml:space="preserve"> to</w:t>
      </w:r>
      <w:r w:rsidR="007D1422">
        <w:rPr>
          <w:rFonts w:ascii="Arial" w:hAnsi="Arial" w:cs="Arial"/>
        </w:rPr>
        <w:t xml:space="preserve"> the Federal Court of Australia with any </w:t>
      </w:r>
      <w:r w:rsidR="006F1001">
        <w:rPr>
          <w:rFonts w:ascii="Arial" w:hAnsi="Arial" w:cs="Arial"/>
        </w:rPr>
        <w:t xml:space="preserve">collection and </w:t>
      </w:r>
      <w:r w:rsidR="007D1422">
        <w:rPr>
          <w:rFonts w:ascii="Arial" w:hAnsi="Arial" w:cs="Arial"/>
        </w:rPr>
        <w:t xml:space="preserve">enforcement within the remit of the Commissioner of Taxation.  The red tape imposed on the TPB in our view </w:t>
      </w:r>
      <w:r w:rsidR="006D68C1">
        <w:rPr>
          <w:rFonts w:ascii="Arial" w:hAnsi="Arial" w:cs="Arial"/>
        </w:rPr>
        <w:t xml:space="preserve">appears </w:t>
      </w:r>
      <w:r w:rsidR="007D1422">
        <w:rPr>
          <w:rFonts w:ascii="Arial" w:hAnsi="Arial" w:cs="Arial"/>
        </w:rPr>
        <w:t xml:space="preserve">unnecessary and </w:t>
      </w:r>
      <w:r w:rsidR="006D68C1">
        <w:rPr>
          <w:rFonts w:ascii="Arial" w:hAnsi="Arial" w:cs="Arial"/>
        </w:rPr>
        <w:t>inhibits the</w:t>
      </w:r>
      <w:r w:rsidR="007D1422">
        <w:rPr>
          <w:rFonts w:ascii="Arial" w:hAnsi="Arial" w:cs="Arial"/>
        </w:rPr>
        <w:t xml:space="preserve"> effectiveness of the TPB.  In our view, this aspect requires review by the Government as to whether it would be appropriate for additional powers to be granted to the TPB with respect to the imposition</w:t>
      </w:r>
      <w:r w:rsidR="006F1001">
        <w:rPr>
          <w:rFonts w:ascii="Arial" w:hAnsi="Arial" w:cs="Arial"/>
        </w:rPr>
        <w:t xml:space="preserve">, </w:t>
      </w:r>
      <w:r w:rsidR="007D1422">
        <w:rPr>
          <w:rFonts w:ascii="Arial" w:hAnsi="Arial" w:cs="Arial"/>
        </w:rPr>
        <w:t xml:space="preserve">enforcement </w:t>
      </w:r>
      <w:r w:rsidR="006F1001">
        <w:rPr>
          <w:rFonts w:ascii="Arial" w:hAnsi="Arial" w:cs="Arial"/>
        </w:rPr>
        <w:t xml:space="preserve">and collection </w:t>
      </w:r>
      <w:r w:rsidR="007D1422">
        <w:rPr>
          <w:rFonts w:ascii="Arial" w:hAnsi="Arial" w:cs="Arial"/>
        </w:rPr>
        <w:t>of civil penalties.</w:t>
      </w:r>
    </w:p>
    <w:p w14:paraId="5E899C96" w14:textId="77777777" w:rsidR="007D1422" w:rsidRPr="00DC2C55" w:rsidRDefault="007D1422" w:rsidP="00DC2C55">
      <w:pPr>
        <w:pStyle w:val="ListParagraph"/>
        <w:rPr>
          <w:rFonts w:ascii="Arial" w:hAnsi="Arial" w:cs="Arial"/>
          <w:b/>
        </w:rPr>
      </w:pPr>
    </w:p>
    <w:p w14:paraId="6049154F" w14:textId="77777777" w:rsidR="00DA4337" w:rsidRPr="00DC2C55" w:rsidRDefault="007D1422" w:rsidP="00DA4337">
      <w:pPr>
        <w:pStyle w:val="ListParagraph"/>
        <w:numPr>
          <w:ilvl w:val="0"/>
          <w:numId w:val="32"/>
        </w:numPr>
        <w:spacing w:line="360" w:lineRule="auto"/>
        <w:rPr>
          <w:rFonts w:ascii="Arial" w:hAnsi="Arial" w:cs="Arial"/>
          <w:b/>
        </w:rPr>
      </w:pPr>
      <w:r>
        <w:rPr>
          <w:rFonts w:ascii="Arial" w:hAnsi="Arial" w:cs="Arial"/>
          <w:b/>
        </w:rPr>
        <w:t>Perceived independence</w:t>
      </w:r>
      <w:r w:rsidR="00BD4EB8">
        <w:rPr>
          <w:rFonts w:ascii="Arial" w:hAnsi="Arial" w:cs="Arial"/>
          <w:b/>
        </w:rPr>
        <w:t xml:space="preserve"> issue</w:t>
      </w:r>
      <w:r>
        <w:rPr>
          <w:rFonts w:ascii="Arial" w:hAnsi="Arial" w:cs="Arial"/>
          <w:b/>
        </w:rPr>
        <w:t xml:space="preserve">:  </w:t>
      </w:r>
      <w:r>
        <w:rPr>
          <w:rFonts w:ascii="Arial" w:hAnsi="Arial" w:cs="Arial"/>
        </w:rPr>
        <w:t xml:space="preserve">Notwithstanding that the TPB is </w:t>
      </w:r>
      <w:r w:rsidR="002D333D">
        <w:rPr>
          <w:rFonts w:ascii="Arial" w:hAnsi="Arial" w:cs="Arial"/>
        </w:rPr>
        <w:t>an independent regulator of tax practitioners, that independence is tarnished by the perception that the TPB is connected to</w:t>
      </w:r>
      <w:r w:rsidR="003A6715">
        <w:rPr>
          <w:rFonts w:ascii="Arial" w:hAnsi="Arial" w:cs="Arial"/>
        </w:rPr>
        <w:t>,</w:t>
      </w:r>
      <w:r w:rsidR="002D333D">
        <w:rPr>
          <w:rFonts w:ascii="Arial" w:hAnsi="Arial" w:cs="Arial"/>
        </w:rPr>
        <w:t xml:space="preserve"> or a part of</w:t>
      </w:r>
      <w:r w:rsidR="003A6715">
        <w:rPr>
          <w:rFonts w:ascii="Arial" w:hAnsi="Arial" w:cs="Arial"/>
        </w:rPr>
        <w:t>,</w:t>
      </w:r>
      <w:r w:rsidR="002D333D">
        <w:rPr>
          <w:rFonts w:ascii="Arial" w:hAnsi="Arial" w:cs="Arial"/>
        </w:rPr>
        <w:t xml:space="preserve"> the A</w:t>
      </w:r>
      <w:r w:rsidR="00A41938">
        <w:rPr>
          <w:rFonts w:ascii="Arial" w:hAnsi="Arial" w:cs="Arial"/>
        </w:rPr>
        <w:t xml:space="preserve">ustralian </w:t>
      </w:r>
      <w:r w:rsidR="002D333D">
        <w:rPr>
          <w:rFonts w:ascii="Arial" w:hAnsi="Arial" w:cs="Arial"/>
        </w:rPr>
        <w:t>T</w:t>
      </w:r>
      <w:r w:rsidR="00A41938">
        <w:rPr>
          <w:rFonts w:ascii="Arial" w:hAnsi="Arial" w:cs="Arial"/>
        </w:rPr>
        <w:t xml:space="preserve">axation </w:t>
      </w:r>
      <w:r w:rsidR="002D333D">
        <w:rPr>
          <w:rFonts w:ascii="Arial" w:hAnsi="Arial" w:cs="Arial"/>
        </w:rPr>
        <w:t>O</w:t>
      </w:r>
      <w:r w:rsidR="00A41938">
        <w:rPr>
          <w:rFonts w:ascii="Arial" w:hAnsi="Arial" w:cs="Arial"/>
        </w:rPr>
        <w:t>ffice (ATO)</w:t>
      </w:r>
      <w:r w:rsidR="002D333D">
        <w:rPr>
          <w:rFonts w:ascii="Arial" w:hAnsi="Arial" w:cs="Arial"/>
        </w:rPr>
        <w:t xml:space="preserve">.  This is due to the fact that the facilities </w:t>
      </w:r>
      <w:r w:rsidR="003A6715">
        <w:rPr>
          <w:rFonts w:ascii="Arial" w:hAnsi="Arial" w:cs="Arial"/>
        </w:rPr>
        <w:t>and staff of the ATO are shared with the TPB</w:t>
      </w:r>
      <w:r w:rsidR="006F1001">
        <w:rPr>
          <w:rFonts w:ascii="Arial" w:hAnsi="Arial" w:cs="Arial"/>
        </w:rPr>
        <w:t xml:space="preserve"> (including enforcement and collection of penalties)</w:t>
      </w:r>
      <w:r w:rsidR="003A6715">
        <w:rPr>
          <w:rFonts w:ascii="Arial" w:hAnsi="Arial" w:cs="Arial"/>
        </w:rPr>
        <w:t xml:space="preserve">, and that the allocated budget for funding of the TPB forms part of the ATO’s </w:t>
      </w:r>
      <w:r w:rsidR="00A41938">
        <w:rPr>
          <w:rFonts w:ascii="Arial" w:hAnsi="Arial" w:cs="Arial"/>
        </w:rPr>
        <w:t xml:space="preserve">overall funding </w:t>
      </w:r>
      <w:r w:rsidR="003A6715">
        <w:rPr>
          <w:rFonts w:ascii="Arial" w:hAnsi="Arial" w:cs="Arial"/>
        </w:rPr>
        <w:t xml:space="preserve">budget.  </w:t>
      </w:r>
      <w:r w:rsidR="00A41938">
        <w:rPr>
          <w:rFonts w:ascii="Arial" w:hAnsi="Arial" w:cs="Arial"/>
        </w:rPr>
        <w:t>In that regard, t</w:t>
      </w:r>
      <w:r w:rsidR="00DA4337">
        <w:rPr>
          <w:rFonts w:ascii="Arial" w:hAnsi="Arial" w:cs="Arial"/>
        </w:rPr>
        <w:t>he Government should consider ways to practically separate the TPB from the ATO in order to address these perceived independence issues.</w:t>
      </w:r>
    </w:p>
    <w:p w14:paraId="6EC36A56" w14:textId="77777777" w:rsidR="00DA4337" w:rsidRPr="00DC2C55" w:rsidRDefault="00DA4337" w:rsidP="00DC2C55">
      <w:pPr>
        <w:pStyle w:val="ListParagraph"/>
        <w:rPr>
          <w:rFonts w:ascii="Arial" w:hAnsi="Arial" w:cs="Arial"/>
          <w:b/>
        </w:rPr>
      </w:pPr>
    </w:p>
    <w:p w14:paraId="59D361FF" w14:textId="77777777" w:rsidR="00DA4337" w:rsidRPr="002C56EA" w:rsidRDefault="00DA4337" w:rsidP="00A6119D">
      <w:pPr>
        <w:pStyle w:val="ListParagraph"/>
        <w:numPr>
          <w:ilvl w:val="0"/>
          <w:numId w:val="32"/>
        </w:numPr>
        <w:spacing w:line="360" w:lineRule="auto"/>
        <w:rPr>
          <w:rFonts w:ascii="Arial" w:hAnsi="Arial" w:cs="Arial"/>
          <w:b/>
        </w:rPr>
      </w:pPr>
      <w:r>
        <w:rPr>
          <w:rFonts w:ascii="Arial" w:hAnsi="Arial" w:cs="Arial"/>
          <w:b/>
        </w:rPr>
        <w:t xml:space="preserve">Registration fee increases:  </w:t>
      </w:r>
      <w:r>
        <w:rPr>
          <w:rFonts w:ascii="Arial" w:hAnsi="Arial" w:cs="Arial"/>
        </w:rPr>
        <w:t xml:space="preserve">The Government recently increased the three-year registration fee for tax agents from $500 to $675 commencing 1 July 2018.  As part of the fee review, the </w:t>
      </w:r>
      <w:r w:rsidR="00A41938">
        <w:rPr>
          <w:rFonts w:ascii="Arial" w:hAnsi="Arial" w:cs="Arial"/>
        </w:rPr>
        <w:t>“</w:t>
      </w:r>
      <w:r>
        <w:rPr>
          <w:rFonts w:ascii="Arial" w:hAnsi="Arial" w:cs="Arial"/>
        </w:rPr>
        <w:t>non-business</w:t>
      </w:r>
      <w:r w:rsidR="00A41938">
        <w:rPr>
          <w:rFonts w:ascii="Arial" w:hAnsi="Arial" w:cs="Arial"/>
        </w:rPr>
        <w:t>”</w:t>
      </w:r>
      <w:r>
        <w:rPr>
          <w:rFonts w:ascii="Arial" w:hAnsi="Arial" w:cs="Arial"/>
        </w:rPr>
        <w:t xml:space="preserve"> category of tax agent was scrapped (which previously only imposed a fee of $250)</w:t>
      </w:r>
      <w:r w:rsidR="00D1653A">
        <w:rPr>
          <w:rFonts w:ascii="Arial" w:hAnsi="Arial" w:cs="Arial"/>
        </w:rPr>
        <w:t xml:space="preserve">.  Notwithstanding that the increase </w:t>
      </w:r>
      <w:r w:rsidR="00A41938">
        <w:rPr>
          <w:rFonts w:ascii="Arial" w:hAnsi="Arial" w:cs="Arial"/>
        </w:rPr>
        <w:t>was set with the objective of providing additional funding to the</w:t>
      </w:r>
      <w:r w:rsidR="00D1653A">
        <w:rPr>
          <w:rFonts w:ascii="Arial" w:hAnsi="Arial" w:cs="Arial"/>
        </w:rPr>
        <w:t xml:space="preserve"> TPB, this comes at a cost to tax practitioners and may result in costs being passed on to consumers.  </w:t>
      </w:r>
      <w:r w:rsidR="00F24579">
        <w:rPr>
          <w:rFonts w:ascii="Arial" w:hAnsi="Arial" w:cs="Arial"/>
        </w:rPr>
        <w:t xml:space="preserve">Further, older practitioners who are close to retirement may also withdraw their registration as rising costs no longer makes it financially viable to practice. </w:t>
      </w:r>
      <w:r w:rsidR="00D1653A">
        <w:rPr>
          <w:rFonts w:ascii="Arial" w:hAnsi="Arial" w:cs="Arial"/>
        </w:rPr>
        <w:t>It would be in the Government</w:t>
      </w:r>
      <w:r w:rsidR="00A41938">
        <w:rPr>
          <w:rFonts w:ascii="Arial" w:hAnsi="Arial" w:cs="Arial"/>
        </w:rPr>
        <w:t>’s</w:t>
      </w:r>
      <w:r w:rsidR="00D1653A">
        <w:rPr>
          <w:rFonts w:ascii="Arial" w:hAnsi="Arial" w:cs="Arial"/>
        </w:rPr>
        <w:t xml:space="preserve"> interest to review the fee structure and in particular to reinstate the non-business category for this cohort of tax </w:t>
      </w:r>
      <w:r w:rsidR="00F4129B">
        <w:rPr>
          <w:rFonts w:ascii="Arial" w:hAnsi="Arial" w:cs="Arial"/>
        </w:rPr>
        <w:t>practitioners</w:t>
      </w:r>
      <w:r w:rsidR="00F24579">
        <w:rPr>
          <w:rFonts w:ascii="Arial" w:hAnsi="Arial" w:cs="Arial"/>
        </w:rPr>
        <w:t xml:space="preserve"> who pose minimal compliance risk</w:t>
      </w:r>
      <w:r w:rsidR="00D1653A">
        <w:rPr>
          <w:rFonts w:ascii="Arial" w:hAnsi="Arial" w:cs="Arial"/>
        </w:rPr>
        <w:t>.</w:t>
      </w:r>
      <w:r w:rsidR="006B30EF">
        <w:rPr>
          <w:rFonts w:ascii="Arial" w:hAnsi="Arial" w:cs="Arial"/>
        </w:rPr>
        <w:t xml:space="preserve"> </w:t>
      </w:r>
      <w:r w:rsidR="006B30EF" w:rsidRPr="002C56EA">
        <w:rPr>
          <w:rFonts w:ascii="Arial" w:hAnsi="Arial" w:cs="Arial"/>
        </w:rPr>
        <w:t xml:space="preserve">The removal of the “non-business” category has been viewed by many as an </w:t>
      </w:r>
      <w:r w:rsidR="006B30EF" w:rsidRPr="002C56EA">
        <w:rPr>
          <w:rFonts w:ascii="Arial" w:hAnsi="Arial" w:cs="Arial"/>
        </w:rPr>
        <w:lastRenderedPageBreak/>
        <w:t xml:space="preserve">increase by stealth. The justification provided was that the TPB needed to self-fund any additional revenue from the tax practitioner community by adopting a user pay </w:t>
      </w:r>
      <w:r w:rsidR="0044371C" w:rsidRPr="002C56EA">
        <w:rPr>
          <w:rFonts w:ascii="Arial" w:hAnsi="Arial" w:cs="Arial"/>
        </w:rPr>
        <w:t>principle</w:t>
      </w:r>
      <w:r w:rsidR="006B30EF" w:rsidRPr="002C56EA">
        <w:rPr>
          <w:rFonts w:ascii="Arial" w:hAnsi="Arial" w:cs="Arial"/>
        </w:rPr>
        <w:t>.</w:t>
      </w:r>
      <w:r w:rsidR="0044371C" w:rsidRPr="002C56EA">
        <w:rPr>
          <w:rFonts w:ascii="Arial" w:hAnsi="Arial" w:cs="Arial"/>
        </w:rPr>
        <w:t xml:space="preserve"> The additional funding was to better resource the TPB to undertake more compliance activities. Given the consumer benefits and protections afforded by TASA, it is arguable that some of the funding should be sourced directly from the Government</w:t>
      </w:r>
      <w:r w:rsidR="00A17E71" w:rsidRPr="002C56EA">
        <w:rPr>
          <w:rFonts w:ascii="Arial" w:hAnsi="Arial" w:cs="Arial"/>
        </w:rPr>
        <w:t xml:space="preserve"> rather than from tax practitioner community.</w:t>
      </w:r>
      <w:r w:rsidR="0044371C" w:rsidRPr="002C56EA">
        <w:rPr>
          <w:rFonts w:ascii="Arial" w:hAnsi="Arial" w:cs="Arial"/>
        </w:rPr>
        <w:t xml:space="preserve"> </w:t>
      </w:r>
      <w:r w:rsidR="00A17E71" w:rsidRPr="002C56EA">
        <w:rPr>
          <w:rFonts w:ascii="Arial" w:hAnsi="Arial" w:cs="Arial"/>
        </w:rPr>
        <w:t>We understand that the TPB have now been given more funding as part of Black Economy taskforce initiatives to undertake more compliance to reign in advisers who are facilitating clients in the black economy.</w:t>
      </w:r>
      <w:r w:rsidR="005E428E">
        <w:rPr>
          <w:rFonts w:ascii="Arial" w:hAnsi="Arial" w:cs="Arial"/>
        </w:rPr>
        <w:t xml:space="preserve"> There is already significant costs for those that operate smaller practices and which may, in turn drive up costs of advice to consumers. Smaller practitioners have commented on the high costs associated with maintaining a registration under TASA, which can include </w:t>
      </w:r>
      <w:r w:rsidR="00BA51D9">
        <w:rPr>
          <w:rFonts w:ascii="Arial" w:hAnsi="Arial" w:cs="Arial"/>
        </w:rPr>
        <w:t>professional membership fees, indemnity insurance, CPD costs as well as renewal fees.</w:t>
      </w:r>
      <w:r w:rsidR="00E450D6">
        <w:rPr>
          <w:rFonts w:ascii="Arial" w:hAnsi="Arial" w:cs="Arial"/>
        </w:rPr>
        <w:t xml:space="preserve"> Rising regulatory costs may hinder new entrants or squeeze existing tax practitioners out of the market.</w:t>
      </w:r>
      <w:r w:rsidR="003F4D17">
        <w:rPr>
          <w:rFonts w:ascii="Arial" w:hAnsi="Arial" w:cs="Arial"/>
        </w:rPr>
        <w:t xml:space="preserve"> Over time this could lead to market concentration and reduced competition.</w:t>
      </w:r>
    </w:p>
    <w:p w14:paraId="1D635E1D" w14:textId="77777777" w:rsidR="00D1653A" w:rsidRPr="00DC2C55" w:rsidRDefault="00D1653A" w:rsidP="00DC2C55">
      <w:pPr>
        <w:pStyle w:val="ListParagraph"/>
        <w:rPr>
          <w:rFonts w:ascii="Arial" w:hAnsi="Arial" w:cs="Arial"/>
          <w:b/>
        </w:rPr>
      </w:pPr>
    </w:p>
    <w:p w14:paraId="081E3649" w14:textId="77777777" w:rsidR="00D1653A" w:rsidRPr="002C56EA" w:rsidRDefault="00D1653A" w:rsidP="00DA4337">
      <w:pPr>
        <w:pStyle w:val="ListParagraph"/>
        <w:numPr>
          <w:ilvl w:val="0"/>
          <w:numId w:val="32"/>
        </w:numPr>
        <w:spacing w:line="360" w:lineRule="auto"/>
        <w:rPr>
          <w:rFonts w:ascii="Arial" w:hAnsi="Arial" w:cs="Arial"/>
          <w:b/>
        </w:rPr>
      </w:pPr>
      <w:r>
        <w:rPr>
          <w:rFonts w:ascii="Arial" w:hAnsi="Arial" w:cs="Arial"/>
          <w:b/>
        </w:rPr>
        <w:t xml:space="preserve">Professional indemnity insurance: </w:t>
      </w:r>
      <w:r>
        <w:rPr>
          <w:rFonts w:ascii="Arial" w:hAnsi="Arial" w:cs="Arial"/>
        </w:rPr>
        <w:t xml:space="preserve">The TPB requires that tax practitioners maintain a minimum level of </w:t>
      </w:r>
      <w:r w:rsidR="00F24579">
        <w:rPr>
          <w:rFonts w:ascii="Arial" w:hAnsi="Arial" w:cs="Arial"/>
        </w:rPr>
        <w:t xml:space="preserve">professional indemnity insurance </w:t>
      </w:r>
      <w:r>
        <w:rPr>
          <w:rFonts w:ascii="Arial" w:hAnsi="Arial" w:cs="Arial"/>
        </w:rPr>
        <w:t>cover</w:t>
      </w:r>
      <w:r w:rsidR="00F24579">
        <w:rPr>
          <w:rFonts w:ascii="Arial" w:hAnsi="Arial" w:cs="Arial"/>
        </w:rPr>
        <w:t xml:space="preserve">; the amount </w:t>
      </w:r>
      <w:r w:rsidR="001176B6">
        <w:rPr>
          <w:rFonts w:ascii="Arial" w:hAnsi="Arial" w:cs="Arial"/>
        </w:rPr>
        <w:t xml:space="preserve">subject to turnover of the practitioner’s business.  The minimum cover amount does not necessarily align with the requirements for those who are members of a professional associations/ accounting bodies (which typically requires cover of at least $2 million).  It would be in the Government’s interest to consider whether the minimum cover currently imposed should be aligned with </w:t>
      </w:r>
      <w:r w:rsidR="009C0BF6">
        <w:rPr>
          <w:rFonts w:ascii="Arial" w:hAnsi="Arial" w:cs="Arial"/>
        </w:rPr>
        <w:t xml:space="preserve">that imposed by </w:t>
      </w:r>
      <w:r w:rsidR="001176B6">
        <w:rPr>
          <w:rFonts w:ascii="Arial" w:hAnsi="Arial" w:cs="Arial"/>
        </w:rPr>
        <w:t>the professional associations.</w:t>
      </w:r>
    </w:p>
    <w:p w14:paraId="0A154765" w14:textId="77777777" w:rsidR="00950BE9" w:rsidRPr="002C56EA" w:rsidRDefault="00950BE9" w:rsidP="002C56EA">
      <w:pPr>
        <w:pStyle w:val="ListParagraph"/>
        <w:spacing w:line="360" w:lineRule="auto"/>
        <w:rPr>
          <w:rFonts w:ascii="Arial" w:hAnsi="Arial" w:cs="Arial"/>
          <w:b/>
        </w:rPr>
      </w:pPr>
    </w:p>
    <w:p w14:paraId="6D609BFF" w14:textId="77777777" w:rsidR="00950BE9" w:rsidRPr="002C56EA" w:rsidRDefault="00950BE9" w:rsidP="00A6119D">
      <w:pPr>
        <w:pStyle w:val="ListParagraph"/>
        <w:numPr>
          <w:ilvl w:val="0"/>
          <w:numId w:val="32"/>
        </w:numPr>
        <w:spacing w:line="360" w:lineRule="auto"/>
        <w:rPr>
          <w:rFonts w:ascii="Arial" w:hAnsi="Arial" w:cs="Arial"/>
          <w:b/>
        </w:rPr>
      </w:pPr>
      <w:r w:rsidRPr="00A6119D">
        <w:rPr>
          <w:rFonts w:ascii="Arial" w:hAnsi="Arial" w:cs="Arial"/>
          <w:b/>
        </w:rPr>
        <w:t xml:space="preserve">Wider range of professionals: </w:t>
      </w:r>
      <w:r w:rsidRPr="00A6119D">
        <w:rPr>
          <w:rFonts w:ascii="Arial" w:hAnsi="Arial" w:cs="Arial"/>
        </w:rPr>
        <w:t>TASA needs to be more flexible to accommodate a wider</w:t>
      </w:r>
      <w:r w:rsidRPr="002C56EA">
        <w:rPr>
          <w:rFonts w:ascii="Arial" w:hAnsi="Arial" w:cs="Arial"/>
        </w:rPr>
        <w:t xml:space="preserve"> range of professionals who may provide tax services. The TPB role </w:t>
      </w:r>
      <w:r w:rsidR="00A6119D" w:rsidRPr="002C56EA">
        <w:rPr>
          <w:rFonts w:ascii="Arial" w:hAnsi="Arial" w:cs="Arial"/>
        </w:rPr>
        <w:t xml:space="preserve">also </w:t>
      </w:r>
      <w:r w:rsidRPr="002C56EA">
        <w:rPr>
          <w:rFonts w:ascii="Arial" w:hAnsi="Arial" w:cs="Arial"/>
        </w:rPr>
        <w:t>needs to adapt to emerging techno</w:t>
      </w:r>
      <w:r w:rsidR="00A6119D" w:rsidRPr="002C56EA">
        <w:rPr>
          <w:rFonts w:ascii="Arial" w:hAnsi="Arial" w:cs="Arial"/>
        </w:rPr>
        <w:t>logy that enables more unregistered people to provide tax services.</w:t>
      </w:r>
    </w:p>
    <w:p w14:paraId="2E4D6938" w14:textId="77777777" w:rsidR="00A6119D" w:rsidRPr="002C56EA" w:rsidRDefault="00A6119D" w:rsidP="002C56EA">
      <w:pPr>
        <w:pStyle w:val="ListParagraph"/>
        <w:rPr>
          <w:rFonts w:ascii="Arial" w:hAnsi="Arial" w:cs="Arial"/>
          <w:b/>
        </w:rPr>
      </w:pPr>
    </w:p>
    <w:p w14:paraId="6ACA4C41" w14:textId="77777777" w:rsidR="00A6119D" w:rsidRPr="00E841AC" w:rsidRDefault="00A6119D" w:rsidP="00A6119D">
      <w:pPr>
        <w:pStyle w:val="ListParagraph"/>
        <w:numPr>
          <w:ilvl w:val="0"/>
          <w:numId w:val="32"/>
        </w:numPr>
        <w:spacing w:line="360" w:lineRule="auto"/>
        <w:rPr>
          <w:rFonts w:ascii="Arial" w:hAnsi="Arial" w:cs="Arial"/>
          <w:b/>
        </w:rPr>
      </w:pPr>
      <w:r w:rsidRPr="002C56EA">
        <w:rPr>
          <w:rFonts w:ascii="Arial" w:hAnsi="Arial" w:cs="Arial"/>
          <w:b/>
        </w:rPr>
        <w:t xml:space="preserve">Education </w:t>
      </w:r>
      <w:r w:rsidR="002C56EA" w:rsidRPr="002C56EA">
        <w:rPr>
          <w:rFonts w:ascii="Arial" w:hAnsi="Arial" w:cs="Arial"/>
          <w:b/>
        </w:rPr>
        <w:t xml:space="preserve">requirements: </w:t>
      </w:r>
      <w:r w:rsidR="002C56EA" w:rsidRPr="002C56EA">
        <w:rPr>
          <w:rFonts w:ascii="Arial" w:hAnsi="Arial" w:cs="Arial"/>
        </w:rPr>
        <w:t>The</w:t>
      </w:r>
      <w:r w:rsidRPr="002C56EA">
        <w:rPr>
          <w:rFonts w:ascii="Arial" w:hAnsi="Arial" w:cs="Arial"/>
        </w:rPr>
        <w:t xml:space="preserve"> TPB provided guidance </w:t>
      </w:r>
      <w:r w:rsidR="002C56EA" w:rsidRPr="002C56EA">
        <w:rPr>
          <w:rFonts w:ascii="Arial" w:hAnsi="Arial" w:cs="Arial"/>
        </w:rPr>
        <w:t>on the education requirements for becoming a tax agent</w:t>
      </w:r>
      <w:r w:rsidR="002C56EA">
        <w:rPr>
          <w:rFonts w:ascii="Arial" w:hAnsi="Arial" w:cs="Arial"/>
          <w:b/>
        </w:rPr>
        <w:t xml:space="preserve">. </w:t>
      </w:r>
      <w:r w:rsidR="002C56EA" w:rsidRPr="000E53F0">
        <w:rPr>
          <w:rFonts w:ascii="Arial" w:hAnsi="Arial" w:cs="Arial"/>
        </w:rPr>
        <w:t xml:space="preserve">At the time there was some </w:t>
      </w:r>
      <w:r w:rsidR="002C56EA" w:rsidRPr="000E53F0">
        <w:rPr>
          <w:rFonts w:ascii="Arial" w:hAnsi="Arial" w:cs="Arial"/>
        </w:rPr>
        <w:lastRenderedPageBreak/>
        <w:t>disagreement which was noted as part of the consultation process</w:t>
      </w:r>
      <w:r w:rsidR="00E42DEE" w:rsidRPr="000E53F0">
        <w:rPr>
          <w:rFonts w:ascii="Arial" w:hAnsi="Arial" w:cs="Arial"/>
        </w:rPr>
        <w:t>. In particular the requirement to have three approved commercial law modules in addition to two tax modules. It would be appropriate if the educational requirements are still fit for purpose.</w:t>
      </w:r>
    </w:p>
    <w:p w14:paraId="6DDC3B51" w14:textId="77777777" w:rsidR="00E841AC" w:rsidRPr="00E841AC" w:rsidRDefault="00E841AC" w:rsidP="00E841AC">
      <w:pPr>
        <w:pStyle w:val="ListParagraph"/>
        <w:rPr>
          <w:rFonts w:ascii="Arial" w:hAnsi="Arial" w:cs="Arial"/>
          <w:b/>
        </w:rPr>
      </w:pPr>
    </w:p>
    <w:p w14:paraId="34DC8D3C" w14:textId="77777777" w:rsidR="00E841AC" w:rsidRPr="002C56EA" w:rsidRDefault="00E841AC" w:rsidP="00A6119D">
      <w:pPr>
        <w:pStyle w:val="ListParagraph"/>
        <w:numPr>
          <w:ilvl w:val="0"/>
          <w:numId w:val="32"/>
        </w:numPr>
        <w:spacing w:line="360" w:lineRule="auto"/>
        <w:rPr>
          <w:rFonts w:ascii="Arial" w:hAnsi="Arial" w:cs="Arial"/>
          <w:b/>
        </w:rPr>
      </w:pPr>
      <w:r>
        <w:rPr>
          <w:rFonts w:ascii="Arial" w:hAnsi="Arial" w:cs="Arial"/>
          <w:b/>
        </w:rPr>
        <w:t>Release of information to professional associations:</w:t>
      </w:r>
      <w:r>
        <w:rPr>
          <w:rFonts w:ascii="Arial" w:hAnsi="Arial" w:cs="Arial"/>
        </w:rPr>
        <w:t xml:space="preserve"> Under appropriate circumstances, it would be advantageous for the TPB to be empowered to release information to the professional associations in advance of sanctions that the TPB may impose on non-compliant tax professionals to enable the associations to undertake their own disciplinary actions against one of their members.</w:t>
      </w:r>
    </w:p>
    <w:p w14:paraId="0C23058D" w14:textId="77777777" w:rsidR="0023667D" w:rsidRPr="00DC2C55" w:rsidRDefault="0023667D" w:rsidP="00DC2C55">
      <w:pPr>
        <w:pStyle w:val="ListParagraph"/>
        <w:spacing w:line="360" w:lineRule="auto"/>
        <w:rPr>
          <w:rFonts w:ascii="Arial" w:hAnsi="Arial" w:cs="Arial"/>
          <w:b/>
        </w:rPr>
      </w:pPr>
    </w:p>
    <w:p w14:paraId="3698A207" w14:textId="77777777" w:rsidR="001F6660" w:rsidRDefault="00CD6A85" w:rsidP="00114B40">
      <w:pPr>
        <w:spacing w:line="360" w:lineRule="auto"/>
        <w:rPr>
          <w:rFonts w:ascii="Arial" w:hAnsi="Arial" w:cs="Arial"/>
        </w:rPr>
      </w:pPr>
      <w:r>
        <w:rPr>
          <w:rFonts w:ascii="Arial" w:hAnsi="Arial" w:cs="Arial"/>
        </w:rPr>
        <w:t>Some of t</w:t>
      </w:r>
      <w:r w:rsidR="00A06744">
        <w:rPr>
          <w:rFonts w:ascii="Arial" w:hAnsi="Arial" w:cs="Arial"/>
        </w:rPr>
        <w:t>he</w:t>
      </w:r>
      <w:r w:rsidR="001176B6">
        <w:rPr>
          <w:rFonts w:ascii="Arial" w:hAnsi="Arial" w:cs="Arial"/>
        </w:rPr>
        <w:t xml:space="preserve"> above </w:t>
      </w:r>
      <w:r w:rsidR="00A06744">
        <w:rPr>
          <w:rFonts w:ascii="Arial" w:hAnsi="Arial" w:cs="Arial"/>
        </w:rPr>
        <w:t xml:space="preserve">salient issues are discussed </w:t>
      </w:r>
      <w:r w:rsidR="00136EB9">
        <w:rPr>
          <w:rFonts w:ascii="Arial" w:hAnsi="Arial" w:cs="Arial"/>
        </w:rPr>
        <w:t xml:space="preserve">in further detail </w:t>
      </w:r>
      <w:r w:rsidR="0023667D">
        <w:rPr>
          <w:rFonts w:ascii="Arial" w:hAnsi="Arial" w:cs="Arial"/>
        </w:rPr>
        <w:t xml:space="preserve">at </w:t>
      </w:r>
      <w:r w:rsidR="0023667D" w:rsidRPr="00F4129B">
        <w:rPr>
          <w:rFonts w:ascii="Arial" w:hAnsi="Arial" w:cs="Arial"/>
          <w:b/>
          <w:i/>
        </w:rPr>
        <w:t>Appendix 1</w:t>
      </w:r>
      <w:r w:rsidR="0023667D">
        <w:rPr>
          <w:rFonts w:ascii="Arial" w:hAnsi="Arial" w:cs="Arial"/>
        </w:rPr>
        <w:t xml:space="preserve"> of this submission</w:t>
      </w:r>
    </w:p>
    <w:p w14:paraId="188CBC0A" w14:textId="77777777" w:rsidR="007F43DD" w:rsidRDefault="007F43DD" w:rsidP="00114B40">
      <w:pPr>
        <w:spacing w:line="360" w:lineRule="auto"/>
        <w:rPr>
          <w:rFonts w:ascii="Arial" w:hAnsi="Arial" w:cs="Arial"/>
        </w:rPr>
      </w:pPr>
    </w:p>
    <w:p w14:paraId="6A1688C6" w14:textId="77777777" w:rsidR="00490F58" w:rsidRDefault="00490F58" w:rsidP="00490F58">
      <w:pPr>
        <w:spacing w:line="360" w:lineRule="auto"/>
        <w:jc w:val="center"/>
        <w:rPr>
          <w:rFonts w:ascii="Arial" w:hAnsi="Arial" w:cs="Arial"/>
        </w:rPr>
      </w:pPr>
      <w:r>
        <w:rPr>
          <w:rFonts w:ascii="Arial" w:hAnsi="Arial" w:cs="Arial"/>
        </w:rPr>
        <w:t>******</w:t>
      </w:r>
    </w:p>
    <w:p w14:paraId="7D89F628" w14:textId="77777777" w:rsidR="00490F58" w:rsidRDefault="00490F58" w:rsidP="00490F58">
      <w:pPr>
        <w:spacing w:line="360" w:lineRule="auto"/>
        <w:jc w:val="both"/>
        <w:rPr>
          <w:rFonts w:ascii="Arial" w:hAnsi="Arial" w:cs="Arial"/>
        </w:rPr>
      </w:pPr>
      <w:r>
        <w:rPr>
          <w:rFonts w:ascii="Arial" w:hAnsi="Arial" w:cs="Arial"/>
        </w:rPr>
        <w:t xml:space="preserve">We trust that you will find our submission of value.  </w:t>
      </w:r>
      <w:r w:rsidRPr="00A53276">
        <w:rPr>
          <w:rFonts w:ascii="Arial" w:hAnsi="Arial" w:cs="Arial"/>
        </w:rPr>
        <w:t>Please feel free to contact us directly should you require further clarification on any of the issues raised or other questions related to our submission.</w:t>
      </w:r>
    </w:p>
    <w:p w14:paraId="30B561C1" w14:textId="77777777" w:rsidR="00490F58" w:rsidRDefault="00490F58" w:rsidP="00490F58">
      <w:pPr>
        <w:spacing w:line="360" w:lineRule="auto"/>
        <w:rPr>
          <w:rFonts w:ascii="Arial" w:hAnsi="Arial" w:cs="Arial"/>
        </w:rPr>
      </w:pPr>
    </w:p>
    <w:p w14:paraId="39740174" w14:textId="77777777" w:rsidR="00490F58" w:rsidRPr="00A53276" w:rsidRDefault="00490F58" w:rsidP="00490F58">
      <w:pPr>
        <w:spacing w:line="360" w:lineRule="auto"/>
        <w:rPr>
          <w:rFonts w:ascii="Arial" w:hAnsi="Arial" w:cs="Arial"/>
        </w:rPr>
      </w:pPr>
      <w:r w:rsidRPr="00A53276">
        <w:rPr>
          <w:rFonts w:ascii="Arial" w:hAnsi="Arial" w:cs="Arial"/>
        </w:rPr>
        <w:t xml:space="preserve">Yours sincerely </w:t>
      </w:r>
    </w:p>
    <w:p w14:paraId="32689EE6" w14:textId="23042B9C" w:rsidR="00490F58" w:rsidRDefault="00490F58" w:rsidP="00490F58">
      <w:pPr>
        <w:spacing w:line="360" w:lineRule="auto"/>
        <w:rPr>
          <w:rFonts w:ascii="Arial" w:hAnsi="Arial" w:cs="Arial"/>
        </w:rPr>
      </w:pPr>
    </w:p>
    <w:p w14:paraId="7209BDDC" w14:textId="77777777" w:rsidR="007B7522" w:rsidRPr="00A53276" w:rsidRDefault="007B7522" w:rsidP="00490F58">
      <w:pPr>
        <w:spacing w:line="360" w:lineRule="auto"/>
        <w:rPr>
          <w:rFonts w:ascii="Arial" w:hAnsi="Arial" w:cs="Arial"/>
        </w:rPr>
      </w:pPr>
    </w:p>
    <w:p w14:paraId="72A4BCA3" w14:textId="77777777" w:rsidR="00490F58" w:rsidRPr="00A53276" w:rsidRDefault="00490F58" w:rsidP="00490F58">
      <w:pPr>
        <w:spacing w:line="360" w:lineRule="auto"/>
        <w:rPr>
          <w:rFonts w:ascii="Arial" w:hAnsi="Arial" w:cs="Arial"/>
        </w:rPr>
      </w:pPr>
      <w:r w:rsidRPr="00A53276">
        <w:rPr>
          <w:rFonts w:ascii="Arial" w:hAnsi="Arial" w:cs="Arial"/>
        </w:rPr>
        <w:t>Tony Greco</w:t>
      </w:r>
    </w:p>
    <w:p w14:paraId="34E5A650" w14:textId="77777777" w:rsidR="00490F58" w:rsidRPr="00A53276" w:rsidRDefault="00490F58" w:rsidP="00490F58">
      <w:pPr>
        <w:spacing w:line="360" w:lineRule="auto"/>
        <w:rPr>
          <w:rFonts w:ascii="Arial" w:hAnsi="Arial" w:cs="Arial"/>
        </w:rPr>
      </w:pPr>
      <w:r w:rsidRPr="00A53276">
        <w:rPr>
          <w:rFonts w:ascii="Arial" w:hAnsi="Arial" w:cs="Arial"/>
        </w:rPr>
        <w:t>General Manager, Technical Policy</w:t>
      </w:r>
    </w:p>
    <w:p w14:paraId="692A1085" w14:textId="77777777" w:rsidR="00490F58" w:rsidRPr="00A53276" w:rsidRDefault="00490F58" w:rsidP="00490F58">
      <w:pPr>
        <w:spacing w:line="360" w:lineRule="auto"/>
        <w:rPr>
          <w:rFonts w:ascii="Arial" w:hAnsi="Arial" w:cs="Arial"/>
        </w:rPr>
      </w:pPr>
      <w:r w:rsidRPr="00A53276">
        <w:rPr>
          <w:rFonts w:ascii="Arial" w:hAnsi="Arial" w:cs="Arial"/>
        </w:rPr>
        <w:t>Institute of Public Accountants</w:t>
      </w:r>
    </w:p>
    <w:p w14:paraId="0DC8A6C5" w14:textId="77777777" w:rsidR="00490F58" w:rsidRDefault="003C504C" w:rsidP="00490F58">
      <w:pPr>
        <w:spacing w:line="360" w:lineRule="auto"/>
        <w:rPr>
          <w:rFonts w:ascii="Arial" w:hAnsi="Arial" w:cs="Arial"/>
        </w:rPr>
      </w:pPr>
      <w:hyperlink r:id="rId17" w:history="1">
        <w:r w:rsidR="00490F58" w:rsidRPr="00507A4D">
          <w:rPr>
            <w:rStyle w:val="Hyperlink"/>
            <w:rFonts w:ascii="Arial" w:hAnsi="Arial" w:cs="Arial"/>
          </w:rPr>
          <w:t>tony.greco@publicaccountants.org.au</w:t>
        </w:r>
      </w:hyperlink>
      <w:r w:rsidR="00490F58" w:rsidRPr="00A53276">
        <w:rPr>
          <w:rFonts w:ascii="Arial" w:hAnsi="Arial" w:cs="Arial"/>
        </w:rPr>
        <w:t xml:space="preserve"> </w:t>
      </w:r>
    </w:p>
    <w:p w14:paraId="65B28EFC" w14:textId="77777777" w:rsidR="00490F58" w:rsidRDefault="00490F58" w:rsidP="00114B40">
      <w:pPr>
        <w:spacing w:line="360" w:lineRule="auto"/>
        <w:rPr>
          <w:rFonts w:ascii="Arial" w:hAnsi="Arial" w:cs="Arial"/>
        </w:rPr>
      </w:pPr>
      <w:r>
        <w:rPr>
          <w:rFonts w:ascii="Arial" w:hAnsi="Arial" w:cs="Arial"/>
        </w:rPr>
        <w:br/>
      </w:r>
    </w:p>
    <w:p w14:paraId="0E2434F6" w14:textId="77777777" w:rsidR="00490F58" w:rsidRDefault="00490F58">
      <w:pPr>
        <w:suppressAutoHyphens w:val="0"/>
        <w:rPr>
          <w:rFonts w:ascii="Arial" w:hAnsi="Arial" w:cs="Arial"/>
        </w:rPr>
      </w:pPr>
      <w:r>
        <w:rPr>
          <w:rFonts w:ascii="Arial" w:hAnsi="Arial" w:cs="Arial"/>
        </w:rPr>
        <w:br w:type="page"/>
      </w:r>
    </w:p>
    <w:p w14:paraId="1E108BEC" w14:textId="77777777" w:rsidR="00490F58" w:rsidRPr="00DC2C55" w:rsidRDefault="00F24579" w:rsidP="00114B40">
      <w:pPr>
        <w:spacing w:line="360" w:lineRule="auto"/>
        <w:rPr>
          <w:rFonts w:ascii="Arial" w:hAnsi="Arial" w:cs="Arial"/>
          <w:b/>
        </w:rPr>
      </w:pPr>
      <w:r w:rsidRPr="00DC2C55">
        <w:rPr>
          <w:rFonts w:ascii="Arial" w:hAnsi="Arial" w:cs="Arial"/>
          <w:b/>
        </w:rPr>
        <w:lastRenderedPageBreak/>
        <w:t>Appendix 1</w:t>
      </w:r>
      <w:r>
        <w:rPr>
          <w:rFonts w:ascii="Arial" w:hAnsi="Arial" w:cs="Arial"/>
          <w:b/>
        </w:rPr>
        <w:t>:</w:t>
      </w:r>
      <w:r w:rsidRPr="00DC2C55">
        <w:rPr>
          <w:rFonts w:ascii="Arial" w:hAnsi="Arial" w:cs="Arial"/>
          <w:b/>
        </w:rPr>
        <w:t xml:space="preserve"> Detailed discussion</w:t>
      </w:r>
    </w:p>
    <w:p w14:paraId="7BD4AC4E" w14:textId="77777777" w:rsidR="00490F58" w:rsidRPr="007C26C1" w:rsidRDefault="00490F58" w:rsidP="00114B40">
      <w:pPr>
        <w:spacing w:line="360" w:lineRule="auto"/>
        <w:rPr>
          <w:rFonts w:ascii="Arial" w:hAnsi="Arial" w:cs="Arial"/>
        </w:rPr>
      </w:pPr>
    </w:p>
    <w:p w14:paraId="28E328CB" w14:textId="77777777" w:rsidR="007F43DD" w:rsidRDefault="00136EB9" w:rsidP="007F43DD">
      <w:pPr>
        <w:spacing w:line="360" w:lineRule="auto"/>
        <w:rPr>
          <w:rFonts w:ascii="Arial" w:hAnsi="Arial" w:cs="Arial"/>
          <w:b/>
        </w:rPr>
      </w:pPr>
      <w:r>
        <w:rPr>
          <w:rFonts w:ascii="Arial" w:hAnsi="Arial" w:cs="Arial"/>
          <w:b/>
        </w:rPr>
        <w:t xml:space="preserve">Level </w:t>
      </w:r>
      <w:r w:rsidR="007D04B6">
        <w:rPr>
          <w:rFonts w:ascii="Arial" w:hAnsi="Arial" w:cs="Arial"/>
          <w:b/>
        </w:rPr>
        <w:t>of compliance acti</w:t>
      </w:r>
      <w:r w:rsidR="005D03D2">
        <w:rPr>
          <w:rFonts w:ascii="Arial" w:hAnsi="Arial" w:cs="Arial"/>
          <w:b/>
        </w:rPr>
        <w:t>vities</w:t>
      </w:r>
    </w:p>
    <w:p w14:paraId="2DA0C259" w14:textId="77777777" w:rsidR="007829E7" w:rsidRPr="007C26C1" w:rsidRDefault="000D112A" w:rsidP="007F43DD">
      <w:pPr>
        <w:spacing w:line="360" w:lineRule="auto"/>
        <w:rPr>
          <w:rFonts w:ascii="Arial" w:hAnsi="Arial" w:cs="Arial"/>
        </w:rPr>
      </w:pPr>
      <w:r>
        <w:rPr>
          <w:rFonts w:ascii="Arial" w:hAnsi="Arial" w:cs="Arial"/>
        </w:rPr>
        <w:t>The</w:t>
      </w:r>
      <w:r w:rsidR="007829E7">
        <w:rPr>
          <w:rFonts w:ascii="Arial" w:hAnsi="Arial" w:cs="Arial"/>
        </w:rPr>
        <w:t xml:space="preserve"> TPB has, since </w:t>
      </w:r>
      <w:r>
        <w:rPr>
          <w:rFonts w:ascii="Arial" w:hAnsi="Arial" w:cs="Arial"/>
        </w:rPr>
        <w:t xml:space="preserve">its inception, </w:t>
      </w:r>
      <w:r w:rsidR="00BF6E3C">
        <w:rPr>
          <w:rFonts w:ascii="Arial" w:hAnsi="Arial" w:cs="Arial"/>
        </w:rPr>
        <w:t>commendably</w:t>
      </w:r>
      <w:r>
        <w:rPr>
          <w:rFonts w:ascii="Arial" w:hAnsi="Arial" w:cs="Arial"/>
        </w:rPr>
        <w:t xml:space="preserve"> </w:t>
      </w:r>
      <w:r w:rsidR="007829E7">
        <w:rPr>
          <w:rFonts w:ascii="Arial" w:hAnsi="Arial" w:cs="Arial"/>
        </w:rPr>
        <w:t>administer</w:t>
      </w:r>
      <w:r>
        <w:rPr>
          <w:rFonts w:ascii="Arial" w:hAnsi="Arial" w:cs="Arial"/>
        </w:rPr>
        <w:t>ed</w:t>
      </w:r>
      <w:r w:rsidR="007829E7">
        <w:rPr>
          <w:rFonts w:ascii="Arial" w:hAnsi="Arial" w:cs="Arial"/>
        </w:rPr>
        <w:t xml:space="preserve"> the operation of the TASA and </w:t>
      </w:r>
      <w:r w:rsidR="009C0BF6">
        <w:rPr>
          <w:rFonts w:ascii="Arial" w:hAnsi="Arial" w:cs="Arial"/>
        </w:rPr>
        <w:t xml:space="preserve">ensured the </w:t>
      </w:r>
      <w:r w:rsidR="007829E7">
        <w:rPr>
          <w:rFonts w:ascii="Arial" w:hAnsi="Arial" w:cs="Arial"/>
        </w:rPr>
        <w:t xml:space="preserve">compliance of tax practitioners </w:t>
      </w:r>
      <w:r>
        <w:rPr>
          <w:rFonts w:ascii="Arial" w:hAnsi="Arial" w:cs="Arial"/>
        </w:rPr>
        <w:t xml:space="preserve">within </w:t>
      </w:r>
      <w:r w:rsidR="009C0BF6">
        <w:rPr>
          <w:rFonts w:ascii="Arial" w:hAnsi="Arial" w:cs="Arial"/>
        </w:rPr>
        <w:t xml:space="preserve">its </w:t>
      </w:r>
      <w:r>
        <w:rPr>
          <w:rFonts w:ascii="Arial" w:hAnsi="Arial" w:cs="Arial"/>
        </w:rPr>
        <w:t xml:space="preserve">funding </w:t>
      </w:r>
      <w:r w:rsidR="00BF6E3C">
        <w:rPr>
          <w:rFonts w:ascii="Arial" w:hAnsi="Arial" w:cs="Arial"/>
        </w:rPr>
        <w:t xml:space="preserve">and resourcing </w:t>
      </w:r>
      <w:r>
        <w:rPr>
          <w:rFonts w:ascii="Arial" w:hAnsi="Arial" w:cs="Arial"/>
        </w:rPr>
        <w:t>constraints.  In our view, the limited resourc</w:t>
      </w:r>
      <w:r w:rsidR="009C0BF6">
        <w:rPr>
          <w:rFonts w:ascii="Arial" w:hAnsi="Arial" w:cs="Arial"/>
        </w:rPr>
        <w:t xml:space="preserve">ing  </w:t>
      </w:r>
      <w:r>
        <w:rPr>
          <w:rFonts w:ascii="Arial" w:hAnsi="Arial" w:cs="Arial"/>
        </w:rPr>
        <w:t xml:space="preserve">has hamstrung the TPB’s ability in </w:t>
      </w:r>
      <w:r w:rsidR="005D03D2">
        <w:rPr>
          <w:rFonts w:ascii="Arial" w:hAnsi="Arial" w:cs="Arial"/>
        </w:rPr>
        <w:t xml:space="preserve">undertaking </w:t>
      </w:r>
      <w:r w:rsidR="00420E11">
        <w:rPr>
          <w:rFonts w:ascii="Arial" w:hAnsi="Arial" w:cs="Arial"/>
        </w:rPr>
        <w:t>compliance</w:t>
      </w:r>
      <w:r w:rsidR="005D03D2">
        <w:rPr>
          <w:rFonts w:ascii="Arial" w:hAnsi="Arial" w:cs="Arial"/>
        </w:rPr>
        <w:t xml:space="preserve"> activities</w:t>
      </w:r>
      <w:r w:rsidR="00EA1E41">
        <w:rPr>
          <w:rFonts w:ascii="Arial" w:hAnsi="Arial" w:cs="Arial"/>
        </w:rPr>
        <w:t>, particularly</w:t>
      </w:r>
      <w:r w:rsidR="009C0BF6">
        <w:rPr>
          <w:rFonts w:ascii="Arial" w:hAnsi="Arial" w:cs="Arial"/>
        </w:rPr>
        <w:t xml:space="preserve"> </w:t>
      </w:r>
      <w:r w:rsidR="00EA1E41">
        <w:rPr>
          <w:rFonts w:ascii="Arial" w:hAnsi="Arial" w:cs="Arial"/>
        </w:rPr>
        <w:t>in identifying rogue agents whose actions are doing a disservice to the majorit</w:t>
      </w:r>
      <w:r w:rsidR="003B4D68">
        <w:rPr>
          <w:rFonts w:ascii="Arial" w:hAnsi="Arial" w:cs="Arial"/>
        </w:rPr>
        <w:t xml:space="preserve">y of agents </w:t>
      </w:r>
      <w:r w:rsidR="00B07CDA">
        <w:rPr>
          <w:rFonts w:ascii="Arial" w:hAnsi="Arial" w:cs="Arial"/>
        </w:rPr>
        <w:t xml:space="preserve">and individuals in the community </w:t>
      </w:r>
      <w:r w:rsidR="00490F58">
        <w:rPr>
          <w:rFonts w:ascii="Arial" w:hAnsi="Arial" w:cs="Arial"/>
        </w:rPr>
        <w:t xml:space="preserve">who are </w:t>
      </w:r>
      <w:r w:rsidR="00B07CDA">
        <w:rPr>
          <w:rFonts w:ascii="Arial" w:hAnsi="Arial" w:cs="Arial"/>
        </w:rPr>
        <w:t>provid</w:t>
      </w:r>
      <w:r w:rsidR="00490F58">
        <w:rPr>
          <w:rFonts w:ascii="Arial" w:hAnsi="Arial" w:cs="Arial"/>
        </w:rPr>
        <w:t>ing</w:t>
      </w:r>
      <w:r w:rsidR="00B07CDA">
        <w:rPr>
          <w:rFonts w:ascii="Arial" w:hAnsi="Arial" w:cs="Arial"/>
        </w:rPr>
        <w:t xml:space="preserve"> tax services</w:t>
      </w:r>
      <w:r w:rsidR="00490F58" w:rsidRPr="00490F58">
        <w:rPr>
          <w:rFonts w:ascii="Arial" w:hAnsi="Arial" w:cs="Arial"/>
        </w:rPr>
        <w:t xml:space="preserve"> </w:t>
      </w:r>
      <w:r w:rsidR="00490F58">
        <w:rPr>
          <w:rFonts w:ascii="Arial" w:hAnsi="Arial" w:cs="Arial"/>
        </w:rPr>
        <w:t>unregistered</w:t>
      </w:r>
      <w:r w:rsidR="003B4D68">
        <w:rPr>
          <w:rFonts w:ascii="Arial" w:hAnsi="Arial" w:cs="Arial"/>
        </w:rPr>
        <w:t>.</w:t>
      </w:r>
    </w:p>
    <w:p w14:paraId="0B4C9891" w14:textId="77777777" w:rsidR="007829E7" w:rsidRDefault="007829E7" w:rsidP="007F43DD">
      <w:pPr>
        <w:spacing w:line="360" w:lineRule="auto"/>
        <w:rPr>
          <w:rFonts w:ascii="Arial" w:hAnsi="Arial" w:cs="Arial"/>
          <w:b/>
        </w:rPr>
      </w:pPr>
    </w:p>
    <w:p w14:paraId="1485AA0D" w14:textId="77777777" w:rsidR="007F43DD" w:rsidRDefault="003B4D68" w:rsidP="007F43DD">
      <w:pPr>
        <w:spacing w:line="360" w:lineRule="auto"/>
        <w:rPr>
          <w:rFonts w:ascii="Arial" w:hAnsi="Arial" w:cs="Arial"/>
        </w:rPr>
      </w:pPr>
      <w:r>
        <w:rPr>
          <w:rFonts w:ascii="Arial" w:hAnsi="Arial" w:cs="Arial"/>
        </w:rPr>
        <w:t xml:space="preserve">By way of background, </w:t>
      </w:r>
      <w:r w:rsidR="007F43DD">
        <w:rPr>
          <w:rFonts w:ascii="Arial" w:hAnsi="Arial" w:cs="Arial"/>
        </w:rPr>
        <w:t>the TPB’s 2017-18 Annual Report (the report)</w:t>
      </w:r>
      <w:r w:rsidR="007D04B6">
        <w:rPr>
          <w:rFonts w:ascii="Arial" w:hAnsi="Arial" w:cs="Arial"/>
        </w:rPr>
        <w:t xml:space="preserve"> revealed that</w:t>
      </w:r>
      <w:r w:rsidR="007F43DD">
        <w:rPr>
          <w:rFonts w:ascii="Arial" w:hAnsi="Arial" w:cs="Arial"/>
        </w:rPr>
        <w:t xml:space="preserve"> there are 77,749 registered tax practitioners</w:t>
      </w:r>
      <w:r w:rsidR="007F43DD">
        <w:rPr>
          <w:rStyle w:val="FootnoteReference"/>
          <w:rFonts w:ascii="Arial" w:hAnsi="Arial" w:cs="Arial"/>
        </w:rPr>
        <w:footnoteReference w:id="1"/>
      </w:r>
      <w:r w:rsidR="007F43DD">
        <w:rPr>
          <w:rFonts w:ascii="Arial" w:hAnsi="Arial" w:cs="Arial"/>
        </w:rPr>
        <w:t xml:space="preserve"> as at 30 June 2018.  The report cites that the number of agents has tripled since the introduction of TASA in 2009, the introduction of the tax (financial) adviser </w:t>
      </w:r>
      <w:r w:rsidR="007D04B6">
        <w:rPr>
          <w:rFonts w:ascii="Arial" w:hAnsi="Arial" w:cs="Arial"/>
        </w:rPr>
        <w:t>being a significant factor for this increase.</w:t>
      </w:r>
    </w:p>
    <w:p w14:paraId="66D9711D" w14:textId="77777777" w:rsidR="007F43DD" w:rsidRDefault="007F43DD" w:rsidP="007F43DD">
      <w:pPr>
        <w:spacing w:line="360" w:lineRule="auto"/>
        <w:rPr>
          <w:rFonts w:ascii="Arial" w:hAnsi="Arial" w:cs="Arial"/>
        </w:rPr>
      </w:pPr>
    </w:p>
    <w:p w14:paraId="3ED54ECF" w14:textId="77777777" w:rsidR="007F43DD" w:rsidRDefault="00561886" w:rsidP="007F43DD">
      <w:pPr>
        <w:spacing w:line="360" w:lineRule="auto"/>
        <w:rPr>
          <w:rFonts w:ascii="Arial" w:hAnsi="Arial" w:cs="Arial"/>
        </w:rPr>
      </w:pPr>
      <w:r>
        <w:rPr>
          <w:rFonts w:ascii="Arial" w:hAnsi="Arial" w:cs="Arial"/>
        </w:rPr>
        <w:t xml:space="preserve">Of that number of tax practitioners, </w:t>
      </w:r>
      <w:r w:rsidR="007F43DD">
        <w:rPr>
          <w:rFonts w:ascii="Arial" w:hAnsi="Arial" w:cs="Arial"/>
        </w:rPr>
        <w:t>the</w:t>
      </w:r>
      <w:r w:rsidR="007829E7">
        <w:rPr>
          <w:rFonts w:ascii="Arial" w:hAnsi="Arial" w:cs="Arial"/>
        </w:rPr>
        <w:t xml:space="preserve"> </w:t>
      </w:r>
      <w:r w:rsidR="007D04B6">
        <w:rPr>
          <w:rFonts w:ascii="Arial" w:hAnsi="Arial" w:cs="Arial"/>
        </w:rPr>
        <w:t>r</w:t>
      </w:r>
      <w:r w:rsidR="00420E11">
        <w:rPr>
          <w:rFonts w:ascii="Arial" w:hAnsi="Arial" w:cs="Arial"/>
        </w:rPr>
        <w:t xml:space="preserve">eport shows that </w:t>
      </w:r>
      <w:r>
        <w:rPr>
          <w:rFonts w:ascii="Arial" w:hAnsi="Arial" w:cs="Arial"/>
        </w:rPr>
        <w:t>for that year, there were only 287 sanctions issued</w:t>
      </w:r>
      <w:r w:rsidR="00282A8C">
        <w:rPr>
          <w:rStyle w:val="FootnoteReference"/>
          <w:rFonts w:ascii="Arial" w:hAnsi="Arial" w:cs="Arial"/>
        </w:rPr>
        <w:footnoteReference w:id="2"/>
      </w:r>
      <w:r>
        <w:rPr>
          <w:rFonts w:ascii="Arial" w:hAnsi="Arial" w:cs="Arial"/>
        </w:rPr>
        <w:t xml:space="preserve"> </w:t>
      </w:r>
      <w:r w:rsidR="009C0BF6">
        <w:rPr>
          <w:rFonts w:ascii="Arial" w:hAnsi="Arial" w:cs="Arial"/>
        </w:rPr>
        <w:t xml:space="preserve">(i.e. 0.369 per cent of the total agent population) </w:t>
      </w:r>
      <w:r>
        <w:rPr>
          <w:rFonts w:ascii="Arial" w:hAnsi="Arial" w:cs="Arial"/>
        </w:rPr>
        <w:t xml:space="preserve">and seven matters before either the Administrative Appeals Tribunal or the Federal Court of Australia which </w:t>
      </w:r>
      <w:r w:rsidR="007D04B6">
        <w:rPr>
          <w:rFonts w:ascii="Arial" w:hAnsi="Arial" w:cs="Arial"/>
        </w:rPr>
        <w:t>were in favour of the TPB</w:t>
      </w:r>
      <w:r>
        <w:rPr>
          <w:rFonts w:ascii="Arial" w:hAnsi="Arial" w:cs="Arial"/>
        </w:rPr>
        <w:t>.</w:t>
      </w:r>
      <w:r w:rsidR="00EA1E41">
        <w:rPr>
          <w:rFonts w:ascii="Arial" w:hAnsi="Arial" w:cs="Arial"/>
        </w:rPr>
        <w:t xml:space="preserve">  </w:t>
      </w:r>
      <w:r w:rsidR="00676671">
        <w:rPr>
          <w:rFonts w:ascii="Arial" w:hAnsi="Arial" w:cs="Arial"/>
        </w:rPr>
        <w:t xml:space="preserve">We understand that a fair proportion of rogue agents have been identified by way of referral, with the number of </w:t>
      </w:r>
      <w:r w:rsidR="0043492C">
        <w:rPr>
          <w:rFonts w:ascii="Arial" w:hAnsi="Arial" w:cs="Arial"/>
        </w:rPr>
        <w:t xml:space="preserve">complaints or </w:t>
      </w:r>
      <w:r w:rsidR="00676671">
        <w:rPr>
          <w:rFonts w:ascii="Arial" w:hAnsi="Arial" w:cs="Arial"/>
        </w:rPr>
        <w:t>referrals made to the TPB for the last financial year totaling</w:t>
      </w:r>
      <w:r w:rsidR="009C0BF6">
        <w:rPr>
          <w:rFonts w:ascii="Arial" w:hAnsi="Arial" w:cs="Arial"/>
        </w:rPr>
        <w:t xml:space="preserve"> </w:t>
      </w:r>
      <w:r w:rsidR="0043492C">
        <w:rPr>
          <w:rFonts w:ascii="Arial" w:hAnsi="Arial" w:cs="Arial"/>
        </w:rPr>
        <w:t>1,528</w:t>
      </w:r>
      <w:r w:rsidR="0043492C">
        <w:rPr>
          <w:rStyle w:val="FootnoteReference"/>
          <w:rFonts w:ascii="Arial" w:hAnsi="Arial" w:cs="Arial"/>
        </w:rPr>
        <w:footnoteReference w:id="3"/>
      </w:r>
      <w:r w:rsidR="009C0BF6">
        <w:rPr>
          <w:rFonts w:ascii="Arial" w:hAnsi="Arial" w:cs="Arial"/>
        </w:rPr>
        <w:t xml:space="preserve"> (representing 1.965 per cent of the total </w:t>
      </w:r>
      <w:r w:rsidR="00F24579">
        <w:rPr>
          <w:rFonts w:ascii="Arial" w:hAnsi="Arial" w:cs="Arial"/>
        </w:rPr>
        <w:t xml:space="preserve">agent </w:t>
      </w:r>
      <w:r w:rsidR="009C0BF6">
        <w:rPr>
          <w:rFonts w:ascii="Arial" w:hAnsi="Arial" w:cs="Arial"/>
        </w:rPr>
        <w:t>population).</w:t>
      </w:r>
      <w:r w:rsidR="0043492C">
        <w:rPr>
          <w:rFonts w:ascii="Arial" w:hAnsi="Arial" w:cs="Arial"/>
        </w:rPr>
        <w:t xml:space="preserve"> </w:t>
      </w:r>
    </w:p>
    <w:p w14:paraId="183D3CE9" w14:textId="77777777" w:rsidR="003B4D68" w:rsidRDefault="003B4D68" w:rsidP="007F43DD">
      <w:pPr>
        <w:spacing w:line="360" w:lineRule="auto"/>
        <w:rPr>
          <w:rFonts w:ascii="Arial" w:hAnsi="Arial" w:cs="Arial"/>
        </w:rPr>
      </w:pPr>
    </w:p>
    <w:p w14:paraId="005664BB" w14:textId="77777777" w:rsidR="007D04B6" w:rsidRDefault="00EA1E41" w:rsidP="007F43DD">
      <w:pPr>
        <w:spacing w:line="360" w:lineRule="auto"/>
        <w:rPr>
          <w:rFonts w:ascii="Arial" w:hAnsi="Arial" w:cs="Arial"/>
        </w:rPr>
      </w:pPr>
      <w:r>
        <w:rPr>
          <w:rFonts w:ascii="Arial" w:hAnsi="Arial" w:cs="Arial"/>
        </w:rPr>
        <w:t>Our main concern</w:t>
      </w:r>
      <w:r w:rsidR="003B4D68">
        <w:rPr>
          <w:rFonts w:ascii="Arial" w:hAnsi="Arial" w:cs="Arial"/>
        </w:rPr>
        <w:t>,</w:t>
      </w:r>
      <w:r>
        <w:rPr>
          <w:rFonts w:ascii="Arial" w:hAnsi="Arial" w:cs="Arial"/>
        </w:rPr>
        <w:t xml:space="preserve"> based on the above statistics and from anecdotal evidence provided by our members</w:t>
      </w:r>
      <w:r w:rsidR="003B4D68">
        <w:rPr>
          <w:rFonts w:ascii="Arial" w:hAnsi="Arial" w:cs="Arial"/>
        </w:rPr>
        <w:t>,</w:t>
      </w:r>
      <w:r>
        <w:rPr>
          <w:rFonts w:ascii="Arial" w:hAnsi="Arial" w:cs="Arial"/>
        </w:rPr>
        <w:t xml:space="preserve"> is </w:t>
      </w:r>
      <w:r w:rsidR="003B4D68">
        <w:rPr>
          <w:rFonts w:ascii="Arial" w:hAnsi="Arial" w:cs="Arial"/>
        </w:rPr>
        <w:t xml:space="preserve">whether the TPB is doing enough to identify and sanction rogue tax agents who are not abiding by the Code of Professional Conduct.  </w:t>
      </w:r>
    </w:p>
    <w:p w14:paraId="0D630240" w14:textId="77777777" w:rsidR="007D04B6" w:rsidRDefault="007D04B6" w:rsidP="007F43DD">
      <w:pPr>
        <w:spacing w:line="360" w:lineRule="auto"/>
        <w:rPr>
          <w:rFonts w:ascii="Arial" w:hAnsi="Arial" w:cs="Arial"/>
        </w:rPr>
      </w:pPr>
    </w:p>
    <w:p w14:paraId="2A59FA17" w14:textId="77777777" w:rsidR="002F221F" w:rsidRDefault="003B4D68" w:rsidP="007F43DD">
      <w:pPr>
        <w:spacing w:line="360" w:lineRule="auto"/>
        <w:rPr>
          <w:rFonts w:ascii="Arial" w:hAnsi="Arial" w:cs="Arial"/>
        </w:rPr>
      </w:pPr>
      <w:r>
        <w:rPr>
          <w:rFonts w:ascii="Arial" w:hAnsi="Arial" w:cs="Arial"/>
        </w:rPr>
        <w:lastRenderedPageBreak/>
        <w:t xml:space="preserve">In particular, rogue agents who erroneously claim </w:t>
      </w:r>
      <w:r w:rsidR="00871243">
        <w:rPr>
          <w:rFonts w:ascii="Arial" w:hAnsi="Arial" w:cs="Arial"/>
        </w:rPr>
        <w:t xml:space="preserve">or </w:t>
      </w:r>
      <w:r w:rsidR="009C0BF6">
        <w:rPr>
          <w:rFonts w:ascii="Arial" w:hAnsi="Arial" w:cs="Arial"/>
        </w:rPr>
        <w:t>over claim</w:t>
      </w:r>
      <w:r w:rsidR="00871243">
        <w:rPr>
          <w:rFonts w:ascii="Arial" w:hAnsi="Arial" w:cs="Arial"/>
        </w:rPr>
        <w:t xml:space="preserve"> </w:t>
      </w:r>
      <w:r>
        <w:rPr>
          <w:rFonts w:ascii="Arial" w:hAnsi="Arial" w:cs="Arial"/>
        </w:rPr>
        <w:t>work-related deduction</w:t>
      </w:r>
      <w:r w:rsidR="00871243">
        <w:rPr>
          <w:rFonts w:ascii="Arial" w:hAnsi="Arial" w:cs="Arial"/>
        </w:rPr>
        <w:t xml:space="preserve"> </w:t>
      </w:r>
      <w:r>
        <w:rPr>
          <w:rFonts w:ascii="Arial" w:hAnsi="Arial" w:cs="Arial"/>
        </w:rPr>
        <w:t>for their clients</w:t>
      </w:r>
      <w:r w:rsidR="00B07CDA">
        <w:rPr>
          <w:rFonts w:ascii="Arial" w:hAnsi="Arial" w:cs="Arial"/>
        </w:rPr>
        <w:t xml:space="preserve">, </w:t>
      </w:r>
      <w:r w:rsidR="00A50D1A">
        <w:rPr>
          <w:rFonts w:ascii="Arial" w:hAnsi="Arial" w:cs="Arial"/>
        </w:rPr>
        <w:t xml:space="preserve">those who are promoters of tax schemes </w:t>
      </w:r>
      <w:r w:rsidR="00B07CDA">
        <w:rPr>
          <w:rFonts w:ascii="Arial" w:hAnsi="Arial" w:cs="Arial"/>
        </w:rPr>
        <w:t xml:space="preserve">and unregistered agents </w:t>
      </w:r>
      <w:r w:rsidR="00A50D1A">
        <w:rPr>
          <w:rFonts w:ascii="Arial" w:hAnsi="Arial" w:cs="Arial"/>
        </w:rPr>
        <w:t xml:space="preserve">must </w:t>
      </w:r>
      <w:r w:rsidR="00BF6E3C">
        <w:rPr>
          <w:rFonts w:ascii="Arial" w:hAnsi="Arial" w:cs="Arial"/>
        </w:rPr>
        <w:t xml:space="preserve">be identified and sanctioned. </w:t>
      </w:r>
    </w:p>
    <w:p w14:paraId="58DC05F9" w14:textId="77777777" w:rsidR="002F221F" w:rsidRDefault="002F221F" w:rsidP="007F43DD">
      <w:pPr>
        <w:spacing w:line="360" w:lineRule="auto"/>
        <w:rPr>
          <w:rFonts w:ascii="Arial" w:hAnsi="Arial" w:cs="Arial"/>
        </w:rPr>
      </w:pPr>
    </w:p>
    <w:p w14:paraId="0BDE07AA" w14:textId="77777777" w:rsidR="003B4D68" w:rsidRDefault="00A50D1A" w:rsidP="007F43DD">
      <w:pPr>
        <w:spacing w:line="360" w:lineRule="auto"/>
        <w:rPr>
          <w:rFonts w:ascii="Arial" w:hAnsi="Arial" w:cs="Arial"/>
        </w:rPr>
      </w:pPr>
      <w:r>
        <w:rPr>
          <w:rFonts w:ascii="Arial" w:hAnsi="Arial" w:cs="Arial"/>
        </w:rPr>
        <w:t>By way of example</w:t>
      </w:r>
      <w:r w:rsidR="00BF6E3C">
        <w:rPr>
          <w:rFonts w:ascii="Arial" w:hAnsi="Arial" w:cs="Arial"/>
        </w:rPr>
        <w:t>, we have received feedback on rogue agents in regional c</w:t>
      </w:r>
      <w:r w:rsidR="0043492C">
        <w:rPr>
          <w:rFonts w:ascii="Arial" w:hAnsi="Arial" w:cs="Arial"/>
        </w:rPr>
        <w:t>ommunities</w:t>
      </w:r>
      <w:r w:rsidR="00BF6E3C">
        <w:rPr>
          <w:rFonts w:ascii="Arial" w:hAnsi="Arial" w:cs="Arial"/>
        </w:rPr>
        <w:t xml:space="preserve"> </w:t>
      </w:r>
      <w:r w:rsidR="00676671">
        <w:rPr>
          <w:rFonts w:ascii="Arial" w:hAnsi="Arial" w:cs="Arial"/>
        </w:rPr>
        <w:t xml:space="preserve">who have </w:t>
      </w:r>
      <w:r w:rsidR="00EA5A1E">
        <w:rPr>
          <w:rFonts w:ascii="Arial" w:hAnsi="Arial" w:cs="Arial"/>
        </w:rPr>
        <w:t xml:space="preserve">been </w:t>
      </w:r>
      <w:r w:rsidR="00C14DA0">
        <w:rPr>
          <w:rFonts w:ascii="Arial" w:hAnsi="Arial" w:cs="Arial"/>
        </w:rPr>
        <w:t xml:space="preserve">deliberately and </w:t>
      </w:r>
      <w:r w:rsidR="00676671">
        <w:rPr>
          <w:rFonts w:ascii="Arial" w:hAnsi="Arial" w:cs="Arial"/>
        </w:rPr>
        <w:t>erroneously claiming travel expense</w:t>
      </w:r>
      <w:r w:rsidR="00EA5A1E">
        <w:rPr>
          <w:rFonts w:ascii="Arial" w:hAnsi="Arial" w:cs="Arial"/>
        </w:rPr>
        <w:t xml:space="preserve"> deduction</w:t>
      </w:r>
      <w:r w:rsidR="00676671">
        <w:rPr>
          <w:rFonts w:ascii="Arial" w:hAnsi="Arial" w:cs="Arial"/>
        </w:rPr>
        <w:t xml:space="preserve"> under the substantiation exception for fly-in, fly-out workers notwithstanding that these employees are paid a living-away-from-home allowance and </w:t>
      </w:r>
      <w:r w:rsidR="00C14DA0">
        <w:rPr>
          <w:rFonts w:ascii="Arial" w:hAnsi="Arial" w:cs="Arial"/>
        </w:rPr>
        <w:t>are clearly not eligible to a deduction under those rules.</w:t>
      </w:r>
      <w:r w:rsidR="00676671">
        <w:rPr>
          <w:rFonts w:ascii="Arial" w:hAnsi="Arial" w:cs="Arial"/>
        </w:rPr>
        <w:t xml:space="preserve">  The behavio</w:t>
      </w:r>
      <w:r w:rsidR="0043492C">
        <w:rPr>
          <w:rFonts w:ascii="Arial" w:hAnsi="Arial" w:cs="Arial"/>
        </w:rPr>
        <w:t>u</w:t>
      </w:r>
      <w:r w:rsidR="00676671">
        <w:rPr>
          <w:rFonts w:ascii="Arial" w:hAnsi="Arial" w:cs="Arial"/>
        </w:rPr>
        <w:t xml:space="preserve">r of these </w:t>
      </w:r>
      <w:r w:rsidR="0043492C">
        <w:rPr>
          <w:rFonts w:ascii="Arial" w:hAnsi="Arial" w:cs="Arial"/>
        </w:rPr>
        <w:t>agents</w:t>
      </w:r>
      <w:r w:rsidR="00676671">
        <w:rPr>
          <w:rFonts w:ascii="Arial" w:hAnsi="Arial" w:cs="Arial"/>
        </w:rPr>
        <w:t xml:space="preserve"> place</w:t>
      </w:r>
      <w:r w:rsidR="0043492C">
        <w:rPr>
          <w:rFonts w:ascii="Arial" w:hAnsi="Arial" w:cs="Arial"/>
        </w:rPr>
        <w:t xml:space="preserve"> those who are doing the right thing at a competitive disadvantage as most workers will gravitate (typically by word</w:t>
      </w:r>
      <w:r w:rsidR="00EA5A1E">
        <w:rPr>
          <w:rFonts w:ascii="Arial" w:hAnsi="Arial" w:cs="Arial"/>
        </w:rPr>
        <w:t>-</w:t>
      </w:r>
      <w:r w:rsidR="0043492C">
        <w:rPr>
          <w:rFonts w:ascii="Arial" w:hAnsi="Arial" w:cs="Arial"/>
        </w:rPr>
        <w:t>of</w:t>
      </w:r>
      <w:r w:rsidR="00EA5A1E">
        <w:rPr>
          <w:rFonts w:ascii="Arial" w:hAnsi="Arial" w:cs="Arial"/>
        </w:rPr>
        <w:t>-</w:t>
      </w:r>
      <w:r w:rsidR="0043492C">
        <w:rPr>
          <w:rFonts w:ascii="Arial" w:hAnsi="Arial" w:cs="Arial"/>
        </w:rPr>
        <w:t xml:space="preserve">mouth) to those tax agents who can obtain them a </w:t>
      </w:r>
      <w:r w:rsidR="00C14DA0">
        <w:rPr>
          <w:rFonts w:ascii="Arial" w:hAnsi="Arial" w:cs="Arial"/>
        </w:rPr>
        <w:t>‘</w:t>
      </w:r>
      <w:r w:rsidR="0043492C">
        <w:rPr>
          <w:rFonts w:ascii="Arial" w:hAnsi="Arial" w:cs="Arial"/>
        </w:rPr>
        <w:t>bigger</w:t>
      </w:r>
      <w:r w:rsidR="00C14DA0">
        <w:rPr>
          <w:rFonts w:ascii="Arial" w:hAnsi="Arial" w:cs="Arial"/>
        </w:rPr>
        <w:t>’</w:t>
      </w:r>
      <w:r w:rsidR="0043492C">
        <w:rPr>
          <w:rFonts w:ascii="Arial" w:hAnsi="Arial" w:cs="Arial"/>
        </w:rPr>
        <w:t xml:space="preserve"> tax refund. </w:t>
      </w:r>
      <w:r w:rsidR="00676671">
        <w:rPr>
          <w:rFonts w:ascii="Arial" w:hAnsi="Arial" w:cs="Arial"/>
        </w:rPr>
        <w:t xml:space="preserve"> </w:t>
      </w:r>
    </w:p>
    <w:p w14:paraId="5FD8AEF1" w14:textId="77777777" w:rsidR="000D112A" w:rsidRDefault="000D112A" w:rsidP="007F43DD">
      <w:pPr>
        <w:spacing w:line="360" w:lineRule="auto"/>
        <w:rPr>
          <w:rFonts w:ascii="Arial" w:hAnsi="Arial" w:cs="Arial"/>
        </w:rPr>
      </w:pPr>
    </w:p>
    <w:p w14:paraId="16BC3782" w14:textId="77777777" w:rsidR="00A50D1A" w:rsidRDefault="000D112A" w:rsidP="000D112A">
      <w:pPr>
        <w:spacing w:line="360" w:lineRule="auto"/>
        <w:rPr>
          <w:rFonts w:ascii="Arial" w:hAnsi="Arial" w:cs="Arial"/>
        </w:rPr>
      </w:pPr>
      <w:r>
        <w:rPr>
          <w:rFonts w:ascii="Arial" w:hAnsi="Arial" w:cs="Arial"/>
        </w:rPr>
        <w:t xml:space="preserve">It has been of more recent times that there has been increased </w:t>
      </w:r>
      <w:r w:rsidR="00094774">
        <w:rPr>
          <w:rFonts w:ascii="Arial" w:hAnsi="Arial" w:cs="Arial"/>
        </w:rPr>
        <w:t xml:space="preserve">cooperation and </w:t>
      </w:r>
      <w:r>
        <w:rPr>
          <w:rFonts w:ascii="Arial" w:hAnsi="Arial" w:cs="Arial"/>
        </w:rPr>
        <w:t>collaboration between the TPB</w:t>
      </w:r>
      <w:r w:rsidR="00094774">
        <w:rPr>
          <w:rFonts w:ascii="Arial" w:hAnsi="Arial" w:cs="Arial"/>
        </w:rPr>
        <w:t xml:space="preserve">, </w:t>
      </w:r>
      <w:r>
        <w:rPr>
          <w:rFonts w:ascii="Arial" w:hAnsi="Arial" w:cs="Arial"/>
        </w:rPr>
        <w:t xml:space="preserve">the </w:t>
      </w:r>
      <w:r w:rsidR="009C0BF6">
        <w:rPr>
          <w:rFonts w:ascii="Arial" w:hAnsi="Arial" w:cs="Arial"/>
        </w:rPr>
        <w:t>ATO</w:t>
      </w:r>
      <w:r w:rsidR="002F221F">
        <w:rPr>
          <w:rFonts w:ascii="Arial" w:hAnsi="Arial" w:cs="Arial"/>
        </w:rPr>
        <w:t xml:space="preserve"> </w:t>
      </w:r>
      <w:r w:rsidR="00094774">
        <w:rPr>
          <w:rFonts w:ascii="Arial" w:hAnsi="Arial" w:cs="Arial"/>
        </w:rPr>
        <w:t xml:space="preserve">and other regulatory </w:t>
      </w:r>
      <w:r>
        <w:rPr>
          <w:rFonts w:ascii="Arial" w:hAnsi="Arial" w:cs="Arial"/>
        </w:rPr>
        <w:t xml:space="preserve">in identifying </w:t>
      </w:r>
      <w:r w:rsidR="007D04B6">
        <w:rPr>
          <w:rFonts w:ascii="Arial" w:hAnsi="Arial" w:cs="Arial"/>
        </w:rPr>
        <w:t xml:space="preserve">such </w:t>
      </w:r>
      <w:r>
        <w:rPr>
          <w:rFonts w:ascii="Arial" w:hAnsi="Arial" w:cs="Arial"/>
        </w:rPr>
        <w:t>tax agents</w:t>
      </w:r>
      <w:r w:rsidR="00C14DA0">
        <w:rPr>
          <w:rFonts w:ascii="Arial" w:hAnsi="Arial" w:cs="Arial"/>
        </w:rPr>
        <w:t>.</w:t>
      </w:r>
      <w:r w:rsidR="00EA1E41">
        <w:rPr>
          <w:rFonts w:ascii="Arial" w:hAnsi="Arial" w:cs="Arial"/>
        </w:rPr>
        <w:t xml:space="preserve"> </w:t>
      </w:r>
    </w:p>
    <w:p w14:paraId="4DAA358A" w14:textId="77777777" w:rsidR="005D03D2" w:rsidRDefault="005D03D2" w:rsidP="000D112A">
      <w:pPr>
        <w:spacing w:line="360" w:lineRule="auto"/>
        <w:rPr>
          <w:rFonts w:ascii="Arial" w:hAnsi="Arial" w:cs="Arial"/>
        </w:rPr>
      </w:pPr>
    </w:p>
    <w:p w14:paraId="15D4DBA2" w14:textId="77777777" w:rsidR="0029237F" w:rsidRDefault="009C0BF6" w:rsidP="000D112A">
      <w:pPr>
        <w:spacing w:line="360" w:lineRule="auto"/>
        <w:rPr>
          <w:rFonts w:ascii="Arial" w:hAnsi="Arial" w:cs="Arial"/>
        </w:rPr>
      </w:pPr>
      <w:r>
        <w:rPr>
          <w:rFonts w:ascii="Arial" w:hAnsi="Arial" w:cs="Arial"/>
        </w:rPr>
        <w:t>The above is one of many examples where a minority of rogue agents has adversely affected the credibility the majority who are doing the right thing.  It is therefore</w:t>
      </w:r>
      <w:r w:rsidR="00A50D1A">
        <w:rPr>
          <w:rFonts w:ascii="Arial" w:hAnsi="Arial" w:cs="Arial"/>
        </w:rPr>
        <w:t xml:space="preserve"> </w:t>
      </w:r>
      <w:r w:rsidR="006E4B12">
        <w:rPr>
          <w:rFonts w:ascii="Arial" w:hAnsi="Arial" w:cs="Arial"/>
        </w:rPr>
        <w:t xml:space="preserve">clear </w:t>
      </w:r>
      <w:r w:rsidR="00A50D1A">
        <w:rPr>
          <w:rFonts w:ascii="Arial" w:hAnsi="Arial" w:cs="Arial"/>
        </w:rPr>
        <w:t>that rogue and dishonest agents must be weeded out to protect the integrity of the tax profession and its consumers</w:t>
      </w:r>
      <w:r w:rsidR="007C26C1">
        <w:rPr>
          <w:rFonts w:ascii="Arial" w:hAnsi="Arial" w:cs="Arial"/>
        </w:rPr>
        <w:t xml:space="preserve">.  </w:t>
      </w:r>
      <w:r w:rsidR="007D04B6">
        <w:rPr>
          <w:rFonts w:ascii="Arial" w:hAnsi="Arial" w:cs="Arial"/>
        </w:rPr>
        <w:t xml:space="preserve">It has also become apparent that over the years, the role of the TPB has been expanded with new initiatives, such a registration for tax </w:t>
      </w:r>
      <w:r w:rsidR="006E4B12">
        <w:rPr>
          <w:rFonts w:ascii="Arial" w:hAnsi="Arial" w:cs="Arial"/>
        </w:rPr>
        <w:t>(financial) advisers which have</w:t>
      </w:r>
      <w:r w:rsidR="00EA5A1E">
        <w:rPr>
          <w:rFonts w:ascii="Arial" w:hAnsi="Arial" w:cs="Arial"/>
        </w:rPr>
        <w:t xml:space="preserve"> taken up significant administrative resourcing that could be otherwise be allocated to compliance activities.  </w:t>
      </w:r>
    </w:p>
    <w:p w14:paraId="21FA89EE" w14:textId="77777777" w:rsidR="0029237F" w:rsidRDefault="0029237F" w:rsidP="000D112A">
      <w:pPr>
        <w:spacing w:line="360" w:lineRule="auto"/>
        <w:rPr>
          <w:rFonts w:ascii="Arial" w:hAnsi="Arial" w:cs="Arial"/>
        </w:rPr>
      </w:pPr>
    </w:p>
    <w:p w14:paraId="238A2C28" w14:textId="77777777" w:rsidR="009C0BF6" w:rsidRDefault="007C26C1" w:rsidP="000D112A">
      <w:pPr>
        <w:spacing w:line="360" w:lineRule="auto"/>
        <w:rPr>
          <w:rFonts w:ascii="Arial" w:hAnsi="Arial" w:cs="Arial"/>
        </w:rPr>
      </w:pPr>
      <w:r>
        <w:rPr>
          <w:rFonts w:ascii="Arial" w:hAnsi="Arial" w:cs="Arial"/>
        </w:rPr>
        <w:t xml:space="preserve">To address </w:t>
      </w:r>
      <w:r w:rsidR="0029237F">
        <w:rPr>
          <w:rFonts w:ascii="Arial" w:hAnsi="Arial" w:cs="Arial"/>
        </w:rPr>
        <w:t>this issue</w:t>
      </w:r>
      <w:r>
        <w:rPr>
          <w:rFonts w:ascii="Arial" w:hAnsi="Arial" w:cs="Arial"/>
        </w:rPr>
        <w:t xml:space="preserve">, we </w:t>
      </w:r>
      <w:r w:rsidR="00EA5A1E">
        <w:rPr>
          <w:rFonts w:ascii="Arial" w:hAnsi="Arial" w:cs="Arial"/>
        </w:rPr>
        <w:t xml:space="preserve">therefore </w:t>
      </w:r>
      <w:r w:rsidR="0029237F">
        <w:rPr>
          <w:rFonts w:ascii="Arial" w:hAnsi="Arial" w:cs="Arial"/>
        </w:rPr>
        <w:t xml:space="preserve">recommend </w:t>
      </w:r>
      <w:r>
        <w:rPr>
          <w:rFonts w:ascii="Arial" w:hAnsi="Arial" w:cs="Arial"/>
        </w:rPr>
        <w:t xml:space="preserve">that the Government </w:t>
      </w:r>
      <w:r w:rsidR="0029237F">
        <w:rPr>
          <w:rFonts w:ascii="Arial" w:hAnsi="Arial" w:cs="Arial"/>
        </w:rPr>
        <w:t xml:space="preserve">review the adequacy of its funding model to ensure that the TPB has sufficient resourcing in order for it to effectively conduct its compliance activities. </w:t>
      </w:r>
      <w:r w:rsidR="009C0BF6">
        <w:rPr>
          <w:rFonts w:ascii="Arial" w:hAnsi="Arial" w:cs="Arial"/>
        </w:rPr>
        <w:t>We note that in the most recent 20</w:t>
      </w:r>
      <w:r w:rsidR="006E4B12">
        <w:rPr>
          <w:rFonts w:ascii="Arial" w:hAnsi="Arial" w:cs="Arial"/>
        </w:rPr>
        <w:t xml:space="preserve">19-20 Federal Budget, funds have been </w:t>
      </w:r>
      <w:r w:rsidR="006D68C1">
        <w:rPr>
          <w:rFonts w:ascii="Arial" w:hAnsi="Arial" w:cs="Arial"/>
        </w:rPr>
        <w:t xml:space="preserve">assigned </w:t>
      </w:r>
      <w:r w:rsidR="006E4B12">
        <w:rPr>
          <w:rFonts w:ascii="Arial" w:hAnsi="Arial" w:cs="Arial"/>
        </w:rPr>
        <w:t>to the corporate regulators and to the ATO for its anti-avoidance taskforce; however, the Government was silent on whether there would be further funding for the TPB (apart</w:t>
      </w:r>
      <w:r w:rsidR="006D68C1">
        <w:rPr>
          <w:rFonts w:ascii="Arial" w:hAnsi="Arial" w:cs="Arial"/>
        </w:rPr>
        <w:t xml:space="preserve"> from </w:t>
      </w:r>
      <w:r w:rsidR="006E4B12">
        <w:rPr>
          <w:rFonts w:ascii="Arial" w:hAnsi="Arial" w:cs="Arial"/>
        </w:rPr>
        <w:t>the 2018-19 Federal Budget</w:t>
      </w:r>
      <w:r w:rsidR="006D68C1">
        <w:rPr>
          <w:rFonts w:ascii="Arial" w:hAnsi="Arial" w:cs="Arial"/>
        </w:rPr>
        <w:t xml:space="preserve"> last year</w:t>
      </w:r>
      <w:r w:rsidR="006E4B12">
        <w:rPr>
          <w:rFonts w:ascii="Arial" w:hAnsi="Arial" w:cs="Arial"/>
        </w:rPr>
        <w:t>).</w:t>
      </w:r>
    </w:p>
    <w:p w14:paraId="06CCB2F5" w14:textId="77777777" w:rsidR="009C0BF6" w:rsidRDefault="009C0BF6" w:rsidP="000D112A">
      <w:pPr>
        <w:spacing w:line="360" w:lineRule="auto"/>
        <w:rPr>
          <w:rFonts w:ascii="Arial" w:hAnsi="Arial" w:cs="Arial"/>
        </w:rPr>
      </w:pPr>
    </w:p>
    <w:p w14:paraId="75FA0BDC" w14:textId="77777777" w:rsidR="00A50D1A" w:rsidRDefault="0029237F" w:rsidP="000D112A">
      <w:pPr>
        <w:spacing w:line="360" w:lineRule="auto"/>
        <w:rPr>
          <w:rFonts w:ascii="Arial" w:hAnsi="Arial" w:cs="Arial"/>
        </w:rPr>
      </w:pPr>
      <w:r>
        <w:rPr>
          <w:rFonts w:ascii="Arial" w:hAnsi="Arial" w:cs="Arial"/>
        </w:rPr>
        <w:t xml:space="preserve">As the role of the tax agent is a critical cog in the functioning of the tax system, we consider that any additional funding to be a sound investment in improving </w:t>
      </w:r>
      <w:r w:rsidR="009C0BF6">
        <w:rPr>
          <w:rFonts w:ascii="Arial" w:hAnsi="Arial" w:cs="Arial"/>
        </w:rPr>
        <w:t>taxpayer compliance and confidence in the tax system</w:t>
      </w:r>
      <w:r w:rsidR="006E4B12">
        <w:rPr>
          <w:rFonts w:ascii="Arial" w:hAnsi="Arial" w:cs="Arial"/>
        </w:rPr>
        <w:t xml:space="preserve">, particularly where there is a heavy reliance placed on tax practitioners </w:t>
      </w:r>
      <w:r w:rsidR="006D68C1">
        <w:rPr>
          <w:rFonts w:ascii="Arial" w:hAnsi="Arial" w:cs="Arial"/>
        </w:rPr>
        <w:t>by taxpayers</w:t>
      </w:r>
      <w:r w:rsidR="009C0BF6">
        <w:rPr>
          <w:rFonts w:ascii="Arial" w:hAnsi="Arial" w:cs="Arial"/>
        </w:rPr>
        <w:t>.</w:t>
      </w:r>
    </w:p>
    <w:p w14:paraId="14A5F33B" w14:textId="77777777" w:rsidR="00EA5A1E" w:rsidRDefault="00EA5A1E" w:rsidP="000D112A">
      <w:pPr>
        <w:spacing w:line="360" w:lineRule="auto"/>
        <w:rPr>
          <w:rFonts w:ascii="Arial" w:hAnsi="Arial" w:cs="Arial"/>
        </w:rPr>
      </w:pPr>
    </w:p>
    <w:p w14:paraId="3D70DF19" w14:textId="77777777" w:rsidR="00EA5A1E" w:rsidRDefault="005D03D2" w:rsidP="000D112A">
      <w:pPr>
        <w:spacing w:line="360" w:lineRule="auto"/>
        <w:rPr>
          <w:rFonts w:ascii="Arial" w:hAnsi="Arial" w:cs="Arial"/>
          <w:b/>
        </w:rPr>
      </w:pPr>
      <w:r>
        <w:rPr>
          <w:rFonts w:ascii="Arial" w:hAnsi="Arial" w:cs="Arial"/>
          <w:b/>
        </w:rPr>
        <w:t>TPB’s p</w:t>
      </w:r>
      <w:r w:rsidRPr="00DC2C55">
        <w:rPr>
          <w:rFonts w:ascii="Arial" w:hAnsi="Arial" w:cs="Arial"/>
          <w:b/>
        </w:rPr>
        <w:t xml:space="preserve">owers </w:t>
      </w:r>
      <w:r w:rsidR="00762481">
        <w:rPr>
          <w:rFonts w:ascii="Arial" w:hAnsi="Arial" w:cs="Arial"/>
          <w:b/>
        </w:rPr>
        <w:t>to impose</w:t>
      </w:r>
      <w:r w:rsidR="006F1001">
        <w:rPr>
          <w:rFonts w:ascii="Arial" w:hAnsi="Arial" w:cs="Arial"/>
          <w:b/>
        </w:rPr>
        <w:t xml:space="preserve">, </w:t>
      </w:r>
      <w:r w:rsidR="00967D5D">
        <w:rPr>
          <w:rFonts w:ascii="Arial" w:hAnsi="Arial" w:cs="Arial"/>
          <w:b/>
        </w:rPr>
        <w:t xml:space="preserve">enforce </w:t>
      </w:r>
      <w:r w:rsidR="006F1001">
        <w:rPr>
          <w:rFonts w:ascii="Arial" w:hAnsi="Arial" w:cs="Arial"/>
          <w:b/>
        </w:rPr>
        <w:t xml:space="preserve">and collect </w:t>
      </w:r>
      <w:r w:rsidR="00762481">
        <w:rPr>
          <w:rFonts w:ascii="Arial" w:hAnsi="Arial" w:cs="Arial"/>
          <w:b/>
        </w:rPr>
        <w:t>civil penalties</w:t>
      </w:r>
    </w:p>
    <w:p w14:paraId="2E2B928E" w14:textId="77777777" w:rsidR="00762481" w:rsidRDefault="006D68C1" w:rsidP="000D112A">
      <w:pPr>
        <w:spacing w:line="360" w:lineRule="auto"/>
        <w:rPr>
          <w:rFonts w:ascii="Arial" w:hAnsi="Arial" w:cs="Arial"/>
        </w:rPr>
      </w:pPr>
      <w:r>
        <w:rPr>
          <w:rFonts w:ascii="Arial" w:hAnsi="Arial" w:cs="Arial"/>
        </w:rPr>
        <w:t>In</w:t>
      </w:r>
      <w:r w:rsidR="005D03D2">
        <w:rPr>
          <w:rFonts w:ascii="Arial" w:hAnsi="Arial" w:cs="Arial"/>
        </w:rPr>
        <w:t xml:space="preserve"> order to effectively deter tax practitioners from doing the wrong thing</w:t>
      </w:r>
      <w:r w:rsidR="00B07CDA">
        <w:rPr>
          <w:rFonts w:ascii="Arial" w:hAnsi="Arial" w:cs="Arial"/>
        </w:rPr>
        <w:t xml:space="preserve"> or for being unregistered</w:t>
      </w:r>
      <w:r w:rsidR="00A10A85">
        <w:rPr>
          <w:rFonts w:ascii="Arial" w:hAnsi="Arial" w:cs="Arial"/>
        </w:rPr>
        <w:t xml:space="preserve">, the TPB must be provided with appropriate powers of </w:t>
      </w:r>
      <w:r w:rsidR="006F1001">
        <w:rPr>
          <w:rFonts w:ascii="Arial" w:hAnsi="Arial" w:cs="Arial"/>
        </w:rPr>
        <w:t xml:space="preserve">imposition and </w:t>
      </w:r>
      <w:r w:rsidR="00A10A85">
        <w:rPr>
          <w:rFonts w:ascii="Arial" w:hAnsi="Arial" w:cs="Arial"/>
        </w:rPr>
        <w:t>enforcement.</w:t>
      </w:r>
      <w:r w:rsidR="00762481">
        <w:rPr>
          <w:rFonts w:ascii="Arial" w:hAnsi="Arial" w:cs="Arial"/>
        </w:rPr>
        <w:t xml:space="preserve">  </w:t>
      </w:r>
      <w:r w:rsidR="00A10A85">
        <w:rPr>
          <w:rFonts w:ascii="Arial" w:hAnsi="Arial" w:cs="Arial"/>
        </w:rPr>
        <w:t xml:space="preserve">As it currently stands, the </w:t>
      </w:r>
      <w:r w:rsidR="00094774">
        <w:rPr>
          <w:rFonts w:ascii="Arial" w:hAnsi="Arial" w:cs="Arial"/>
        </w:rPr>
        <w:t xml:space="preserve">powers of granted to the TPB, in our view, are </w:t>
      </w:r>
      <w:r w:rsidR="00B123B9">
        <w:rPr>
          <w:rFonts w:ascii="Arial" w:hAnsi="Arial" w:cs="Arial"/>
        </w:rPr>
        <w:t>ineffective when</w:t>
      </w:r>
      <w:r w:rsidR="00762481">
        <w:rPr>
          <w:rFonts w:ascii="Arial" w:hAnsi="Arial" w:cs="Arial"/>
        </w:rPr>
        <w:t xml:space="preserve"> it comes to the imposition of civil penalties</w:t>
      </w:r>
      <w:r w:rsidR="006F1001">
        <w:rPr>
          <w:rFonts w:ascii="Arial" w:hAnsi="Arial" w:cs="Arial"/>
        </w:rPr>
        <w:t xml:space="preserve"> and enforcement</w:t>
      </w:r>
      <w:r w:rsidR="00B07CDA">
        <w:rPr>
          <w:rFonts w:ascii="Arial" w:hAnsi="Arial" w:cs="Arial"/>
        </w:rPr>
        <w:t xml:space="preserve"> for certain </w:t>
      </w:r>
      <w:r w:rsidR="007D1422">
        <w:rPr>
          <w:rFonts w:ascii="Arial" w:hAnsi="Arial" w:cs="Arial"/>
        </w:rPr>
        <w:t xml:space="preserve">contraventions </w:t>
      </w:r>
      <w:r w:rsidR="00B07CDA">
        <w:rPr>
          <w:rFonts w:ascii="Arial" w:hAnsi="Arial" w:cs="Arial"/>
        </w:rPr>
        <w:t>of the TASA</w:t>
      </w:r>
      <w:r w:rsidR="00762481">
        <w:rPr>
          <w:rFonts w:ascii="Arial" w:hAnsi="Arial" w:cs="Arial"/>
        </w:rPr>
        <w:t xml:space="preserve">.  </w:t>
      </w:r>
    </w:p>
    <w:p w14:paraId="58A22E92" w14:textId="77777777" w:rsidR="00762481" w:rsidRDefault="00762481" w:rsidP="000D112A">
      <w:pPr>
        <w:spacing w:line="360" w:lineRule="auto"/>
        <w:rPr>
          <w:rFonts w:ascii="Arial" w:hAnsi="Arial" w:cs="Arial"/>
        </w:rPr>
      </w:pPr>
    </w:p>
    <w:p w14:paraId="60E180D6" w14:textId="77777777" w:rsidR="004E737C" w:rsidRDefault="00762481" w:rsidP="000D112A">
      <w:pPr>
        <w:spacing w:line="360" w:lineRule="auto"/>
        <w:rPr>
          <w:rFonts w:ascii="Arial" w:hAnsi="Arial" w:cs="Arial"/>
        </w:rPr>
      </w:pPr>
      <w:r>
        <w:rPr>
          <w:rFonts w:ascii="Arial" w:hAnsi="Arial" w:cs="Arial"/>
        </w:rPr>
        <w:t>When a tax agent fails to comply with the TASA, say it fails to meet the Code of Professional Conduct, the TPB may be able to impose an administrative</w:t>
      </w:r>
      <w:r w:rsidR="006E4B12">
        <w:rPr>
          <w:rFonts w:ascii="Arial" w:hAnsi="Arial" w:cs="Arial"/>
        </w:rPr>
        <w:t xml:space="preserve"> </w:t>
      </w:r>
      <w:r>
        <w:rPr>
          <w:rFonts w:ascii="Arial" w:hAnsi="Arial" w:cs="Arial"/>
        </w:rPr>
        <w:t>sanction such as a written caution, or a suspension or a termination of the tax practitioner’s registration.  However, if the TPB wish</w:t>
      </w:r>
      <w:r w:rsidR="00B07CDA">
        <w:rPr>
          <w:rFonts w:ascii="Arial" w:hAnsi="Arial" w:cs="Arial"/>
        </w:rPr>
        <w:t>es</w:t>
      </w:r>
      <w:r>
        <w:rPr>
          <w:rFonts w:ascii="Arial" w:hAnsi="Arial" w:cs="Arial"/>
        </w:rPr>
        <w:t xml:space="preserve"> to impose </w:t>
      </w:r>
      <w:r w:rsidR="00B07CDA">
        <w:rPr>
          <w:rFonts w:ascii="Arial" w:hAnsi="Arial" w:cs="Arial"/>
        </w:rPr>
        <w:t>a</w:t>
      </w:r>
      <w:r>
        <w:rPr>
          <w:rFonts w:ascii="Arial" w:hAnsi="Arial" w:cs="Arial"/>
        </w:rPr>
        <w:t xml:space="preserve"> civil penalty</w:t>
      </w:r>
      <w:r w:rsidR="00B07CDA">
        <w:rPr>
          <w:rFonts w:ascii="Arial" w:hAnsi="Arial" w:cs="Arial"/>
        </w:rPr>
        <w:t xml:space="preserve"> for a breach of the TASA, </w:t>
      </w:r>
      <w:r w:rsidR="006E4B12">
        <w:rPr>
          <w:rFonts w:ascii="Arial" w:hAnsi="Arial" w:cs="Arial"/>
        </w:rPr>
        <w:t>it</w:t>
      </w:r>
      <w:r w:rsidR="00B07CDA">
        <w:rPr>
          <w:rFonts w:ascii="Arial" w:hAnsi="Arial" w:cs="Arial"/>
        </w:rPr>
        <w:t xml:space="preserve"> </w:t>
      </w:r>
      <w:r w:rsidR="004E737C">
        <w:rPr>
          <w:rFonts w:ascii="Arial" w:hAnsi="Arial" w:cs="Arial"/>
        </w:rPr>
        <w:t>is required to</w:t>
      </w:r>
      <w:r w:rsidR="00B07CDA">
        <w:rPr>
          <w:rFonts w:ascii="Arial" w:hAnsi="Arial" w:cs="Arial"/>
        </w:rPr>
        <w:t xml:space="preserve"> apply to the Federal Court of Australia</w:t>
      </w:r>
      <w:r w:rsidR="004E737C">
        <w:rPr>
          <w:rFonts w:ascii="Arial" w:hAnsi="Arial" w:cs="Arial"/>
        </w:rPr>
        <w:t xml:space="preserve"> for an order to pay that penalty. </w:t>
      </w:r>
      <w:r w:rsidR="00B123B9">
        <w:rPr>
          <w:rFonts w:ascii="Arial" w:hAnsi="Arial" w:cs="Arial"/>
        </w:rPr>
        <w:t xml:space="preserve"> </w:t>
      </w:r>
      <w:r w:rsidR="00DF0DFE">
        <w:rPr>
          <w:rFonts w:ascii="Arial" w:hAnsi="Arial" w:cs="Arial"/>
        </w:rPr>
        <w:t>Any</w:t>
      </w:r>
      <w:r w:rsidR="00B123B9">
        <w:rPr>
          <w:rFonts w:ascii="Arial" w:hAnsi="Arial" w:cs="Arial"/>
        </w:rPr>
        <w:t xml:space="preserve"> penalty </w:t>
      </w:r>
      <w:r w:rsidR="00DF0DFE">
        <w:rPr>
          <w:rFonts w:ascii="Arial" w:hAnsi="Arial" w:cs="Arial"/>
        </w:rPr>
        <w:t xml:space="preserve">imposed by the Court </w:t>
      </w:r>
      <w:r w:rsidR="00B123B9">
        <w:rPr>
          <w:rFonts w:ascii="Arial" w:hAnsi="Arial" w:cs="Arial"/>
        </w:rPr>
        <w:t xml:space="preserve">is receivable </w:t>
      </w:r>
      <w:r w:rsidR="00DF0DFE">
        <w:rPr>
          <w:rFonts w:ascii="Arial" w:hAnsi="Arial" w:cs="Arial"/>
        </w:rPr>
        <w:t xml:space="preserve">and enforceable </w:t>
      </w:r>
      <w:r w:rsidR="00B123B9">
        <w:rPr>
          <w:rFonts w:ascii="Arial" w:hAnsi="Arial" w:cs="Arial"/>
        </w:rPr>
        <w:t>by the Commissioner of Taxation.</w:t>
      </w:r>
    </w:p>
    <w:p w14:paraId="46187DDD" w14:textId="77777777" w:rsidR="004E737C" w:rsidRDefault="004E737C" w:rsidP="000D112A">
      <w:pPr>
        <w:spacing w:line="360" w:lineRule="auto"/>
        <w:rPr>
          <w:rFonts w:ascii="Arial" w:hAnsi="Arial" w:cs="Arial"/>
        </w:rPr>
      </w:pPr>
    </w:p>
    <w:p w14:paraId="34A1653F" w14:textId="77777777" w:rsidR="00FB2EA8" w:rsidRDefault="004E737C" w:rsidP="000D112A">
      <w:pPr>
        <w:spacing w:line="360" w:lineRule="auto"/>
        <w:rPr>
          <w:rFonts w:ascii="Arial" w:hAnsi="Arial" w:cs="Arial"/>
        </w:rPr>
      </w:pPr>
      <w:r>
        <w:rPr>
          <w:rFonts w:ascii="Arial" w:hAnsi="Arial" w:cs="Arial"/>
        </w:rPr>
        <w:t xml:space="preserve">The need </w:t>
      </w:r>
      <w:r w:rsidR="00B123B9">
        <w:rPr>
          <w:rFonts w:ascii="Arial" w:hAnsi="Arial" w:cs="Arial"/>
        </w:rPr>
        <w:t xml:space="preserve">by the TPB </w:t>
      </w:r>
      <w:r>
        <w:rPr>
          <w:rFonts w:ascii="Arial" w:hAnsi="Arial" w:cs="Arial"/>
        </w:rPr>
        <w:t xml:space="preserve">to obtain an order from </w:t>
      </w:r>
      <w:r w:rsidR="008C035C">
        <w:rPr>
          <w:rFonts w:ascii="Arial" w:hAnsi="Arial" w:cs="Arial"/>
        </w:rPr>
        <w:t xml:space="preserve">the </w:t>
      </w:r>
      <w:r w:rsidR="00B123B9">
        <w:rPr>
          <w:rFonts w:ascii="Arial" w:hAnsi="Arial" w:cs="Arial"/>
        </w:rPr>
        <w:t xml:space="preserve">Court </w:t>
      </w:r>
      <w:r w:rsidR="00C65A7B">
        <w:rPr>
          <w:rFonts w:ascii="Arial" w:hAnsi="Arial" w:cs="Arial"/>
        </w:rPr>
        <w:t>imposes undue process and costs</w:t>
      </w:r>
      <w:r w:rsidR="00B123B9">
        <w:rPr>
          <w:rFonts w:ascii="Arial" w:hAnsi="Arial" w:cs="Arial"/>
        </w:rPr>
        <w:t>, particularly where the maximum civil penalty f</w:t>
      </w:r>
      <w:r w:rsidR="00DF0DFE">
        <w:rPr>
          <w:rFonts w:ascii="Arial" w:hAnsi="Arial" w:cs="Arial"/>
        </w:rPr>
        <w:t xml:space="preserve">or the contravention is </w:t>
      </w:r>
      <w:r w:rsidR="00C65A7B">
        <w:rPr>
          <w:rFonts w:ascii="Arial" w:hAnsi="Arial" w:cs="Arial"/>
        </w:rPr>
        <w:t xml:space="preserve">already </w:t>
      </w:r>
      <w:r w:rsidR="00DF0DFE">
        <w:rPr>
          <w:rFonts w:ascii="Arial" w:hAnsi="Arial" w:cs="Arial"/>
        </w:rPr>
        <w:t xml:space="preserve">contained </w:t>
      </w:r>
      <w:r w:rsidR="00C65A7B">
        <w:rPr>
          <w:rFonts w:ascii="Arial" w:hAnsi="Arial" w:cs="Arial"/>
        </w:rPr>
        <w:t>under the</w:t>
      </w:r>
      <w:r w:rsidR="00DF0DFE">
        <w:rPr>
          <w:rFonts w:ascii="Arial" w:hAnsi="Arial" w:cs="Arial"/>
        </w:rPr>
        <w:t xml:space="preserve"> law.  </w:t>
      </w:r>
    </w:p>
    <w:p w14:paraId="2EB5F32F" w14:textId="77777777" w:rsidR="00FB2EA8" w:rsidRDefault="00FB2EA8" w:rsidP="000D112A">
      <w:pPr>
        <w:spacing w:line="360" w:lineRule="auto"/>
        <w:rPr>
          <w:rFonts w:ascii="Arial" w:hAnsi="Arial" w:cs="Arial"/>
        </w:rPr>
      </w:pPr>
    </w:p>
    <w:p w14:paraId="153F2EFD" w14:textId="77777777" w:rsidR="005D03D2" w:rsidRDefault="00DF0DFE" w:rsidP="000D112A">
      <w:pPr>
        <w:spacing w:line="360" w:lineRule="auto"/>
        <w:rPr>
          <w:rFonts w:ascii="Arial" w:hAnsi="Arial" w:cs="Arial"/>
        </w:rPr>
      </w:pPr>
      <w:r>
        <w:rPr>
          <w:rFonts w:ascii="Arial" w:hAnsi="Arial" w:cs="Arial"/>
        </w:rPr>
        <w:t xml:space="preserve">Under the tax law, civil penalties are </w:t>
      </w:r>
      <w:r w:rsidR="006F1001">
        <w:rPr>
          <w:rFonts w:ascii="Arial" w:hAnsi="Arial" w:cs="Arial"/>
        </w:rPr>
        <w:t xml:space="preserve">typically </w:t>
      </w:r>
      <w:r>
        <w:rPr>
          <w:rFonts w:ascii="Arial" w:hAnsi="Arial" w:cs="Arial"/>
        </w:rPr>
        <w:t>imposed</w:t>
      </w:r>
      <w:r w:rsidR="006F1001">
        <w:rPr>
          <w:rFonts w:ascii="Arial" w:hAnsi="Arial" w:cs="Arial"/>
        </w:rPr>
        <w:t xml:space="preserve">, </w:t>
      </w:r>
      <w:r>
        <w:rPr>
          <w:rFonts w:ascii="Arial" w:hAnsi="Arial" w:cs="Arial"/>
        </w:rPr>
        <w:t xml:space="preserve">enforceable </w:t>
      </w:r>
      <w:r w:rsidR="006F1001">
        <w:rPr>
          <w:rFonts w:ascii="Arial" w:hAnsi="Arial" w:cs="Arial"/>
        </w:rPr>
        <w:t xml:space="preserve">and collected </w:t>
      </w:r>
      <w:r>
        <w:rPr>
          <w:rFonts w:ascii="Arial" w:hAnsi="Arial" w:cs="Arial"/>
        </w:rPr>
        <w:t xml:space="preserve">by the Commissioner of Taxation – </w:t>
      </w:r>
      <w:r w:rsidR="006F1001">
        <w:rPr>
          <w:rFonts w:ascii="Arial" w:hAnsi="Arial" w:cs="Arial"/>
        </w:rPr>
        <w:t xml:space="preserve">in other words, </w:t>
      </w:r>
      <w:r>
        <w:rPr>
          <w:rFonts w:ascii="Arial" w:hAnsi="Arial" w:cs="Arial"/>
        </w:rPr>
        <w:t xml:space="preserve">there are no requirements for the Commissioner to obtain a Court order.  </w:t>
      </w:r>
      <w:r w:rsidR="00C65A7B">
        <w:rPr>
          <w:rFonts w:ascii="Arial" w:hAnsi="Arial" w:cs="Arial"/>
        </w:rPr>
        <w:t xml:space="preserve">For example, the </w:t>
      </w:r>
      <w:r w:rsidR="00F24579">
        <w:rPr>
          <w:rFonts w:ascii="Arial" w:hAnsi="Arial" w:cs="Arial"/>
        </w:rPr>
        <w:t>penalty for making a false or misleading statement under tax law is</w:t>
      </w:r>
      <w:r w:rsidR="00C65A7B">
        <w:rPr>
          <w:rFonts w:ascii="Arial" w:hAnsi="Arial" w:cs="Arial"/>
        </w:rPr>
        <w:t xml:space="preserve"> determined by the Commissioner subject to the behavior that led to the shortfall (such 75% of the shortfall amount where there is an intentional disregard of the law).</w:t>
      </w:r>
      <w:r>
        <w:rPr>
          <w:rFonts w:ascii="Arial" w:hAnsi="Arial" w:cs="Arial"/>
        </w:rPr>
        <w:t xml:space="preserve"> </w:t>
      </w:r>
    </w:p>
    <w:p w14:paraId="33FA5C61" w14:textId="77777777" w:rsidR="00C65A7B" w:rsidRDefault="00C65A7B" w:rsidP="000D112A">
      <w:pPr>
        <w:spacing w:line="360" w:lineRule="auto"/>
        <w:rPr>
          <w:rFonts w:ascii="Arial" w:hAnsi="Arial" w:cs="Arial"/>
        </w:rPr>
      </w:pPr>
    </w:p>
    <w:p w14:paraId="26B6BF1F" w14:textId="77777777" w:rsidR="00FB2EA8" w:rsidRDefault="00FB2EA8" w:rsidP="000D112A">
      <w:pPr>
        <w:spacing w:line="360" w:lineRule="auto"/>
        <w:rPr>
          <w:rFonts w:ascii="Arial" w:hAnsi="Arial" w:cs="Arial"/>
        </w:rPr>
      </w:pPr>
      <w:r>
        <w:rPr>
          <w:rFonts w:ascii="Arial" w:hAnsi="Arial" w:cs="Arial"/>
        </w:rPr>
        <w:lastRenderedPageBreak/>
        <w:t>Providing the TPB with powers to impose</w:t>
      </w:r>
      <w:r w:rsidR="006F1001">
        <w:rPr>
          <w:rFonts w:ascii="Arial" w:hAnsi="Arial" w:cs="Arial"/>
        </w:rPr>
        <w:t>,</w:t>
      </w:r>
      <w:r>
        <w:rPr>
          <w:rFonts w:ascii="Arial" w:hAnsi="Arial" w:cs="Arial"/>
        </w:rPr>
        <w:t xml:space="preserve"> enforce </w:t>
      </w:r>
      <w:r w:rsidR="006F1001">
        <w:rPr>
          <w:rFonts w:ascii="Arial" w:hAnsi="Arial" w:cs="Arial"/>
        </w:rPr>
        <w:t xml:space="preserve">and collect </w:t>
      </w:r>
      <w:r>
        <w:rPr>
          <w:rFonts w:ascii="Arial" w:hAnsi="Arial" w:cs="Arial"/>
        </w:rPr>
        <w:t xml:space="preserve">civil penalties would </w:t>
      </w:r>
      <w:r w:rsidR="006E4B12">
        <w:rPr>
          <w:rFonts w:ascii="Arial" w:hAnsi="Arial" w:cs="Arial"/>
        </w:rPr>
        <w:t>without doubt</w:t>
      </w:r>
      <w:r>
        <w:rPr>
          <w:rFonts w:ascii="Arial" w:hAnsi="Arial" w:cs="Arial"/>
        </w:rPr>
        <w:t xml:space="preserve"> remove the red tape that is currently in place.  Such an approach would of course require safeguards such as providing a right of appeal</w:t>
      </w:r>
      <w:r w:rsidR="006E4B12">
        <w:rPr>
          <w:rFonts w:ascii="Arial" w:hAnsi="Arial" w:cs="Arial"/>
        </w:rPr>
        <w:t xml:space="preserve"> </w:t>
      </w:r>
      <w:r w:rsidR="00A17E71">
        <w:rPr>
          <w:rFonts w:ascii="Arial" w:hAnsi="Arial" w:cs="Arial"/>
        </w:rPr>
        <w:t xml:space="preserve">for </w:t>
      </w:r>
      <w:r w:rsidR="006E4B12">
        <w:rPr>
          <w:rFonts w:ascii="Arial" w:hAnsi="Arial" w:cs="Arial"/>
        </w:rPr>
        <w:t>the penalty imposed</w:t>
      </w:r>
      <w:r>
        <w:rPr>
          <w:rFonts w:ascii="Arial" w:hAnsi="Arial" w:cs="Arial"/>
        </w:rPr>
        <w:t>.</w:t>
      </w:r>
    </w:p>
    <w:p w14:paraId="4BCEBF7C" w14:textId="77777777" w:rsidR="00FB2EA8" w:rsidRDefault="00FB2EA8" w:rsidP="000D112A">
      <w:pPr>
        <w:spacing w:line="360" w:lineRule="auto"/>
        <w:rPr>
          <w:rFonts w:ascii="Arial" w:hAnsi="Arial" w:cs="Arial"/>
        </w:rPr>
      </w:pPr>
    </w:p>
    <w:p w14:paraId="5594CCDD" w14:textId="77777777" w:rsidR="00C65A7B" w:rsidRDefault="00FB2EA8" w:rsidP="000D112A">
      <w:pPr>
        <w:spacing w:line="360" w:lineRule="auto"/>
        <w:rPr>
          <w:rFonts w:ascii="Arial" w:hAnsi="Arial" w:cs="Arial"/>
        </w:rPr>
      </w:pPr>
      <w:r>
        <w:rPr>
          <w:rFonts w:ascii="Arial" w:hAnsi="Arial" w:cs="Arial"/>
        </w:rPr>
        <w:t xml:space="preserve">We therefore recommend that the Government review the appropriateness of the civil penalty regime currently in place under the TASA and to evaluate whether there </w:t>
      </w:r>
      <w:r w:rsidR="00967D5D">
        <w:rPr>
          <w:rFonts w:ascii="Arial" w:hAnsi="Arial" w:cs="Arial"/>
        </w:rPr>
        <w:t xml:space="preserve">is scope for additional powers to be given to the TPB </w:t>
      </w:r>
      <w:r w:rsidR="00455161">
        <w:rPr>
          <w:rFonts w:ascii="Arial" w:hAnsi="Arial" w:cs="Arial"/>
        </w:rPr>
        <w:t>for imposition and enforcement of civil penalties</w:t>
      </w:r>
      <w:r w:rsidR="007D1422">
        <w:rPr>
          <w:rFonts w:ascii="Arial" w:hAnsi="Arial" w:cs="Arial"/>
        </w:rPr>
        <w:t xml:space="preserve"> in order to reduce red tape.</w:t>
      </w:r>
      <w:r w:rsidR="00455161">
        <w:rPr>
          <w:rFonts w:ascii="Arial" w:hAnsi="Arial" w:cs="Arial"/>
        </w:rPr>
        <w:t xml:space="preserve"> </w:t>
      </w:r>
    </w:p>
    <w:p w14:paraId="48842BCD" w14:textId="77777777" w:rsidR="00BF6E3C" w:rsidRDefault="00BF6E3C" w:rsidP="000D112A">
      <w:pPr>
        <w:spacing w:line="360" w:lineRule="auto"/>
        <w:rPr>
          <w:rFonts w:ascii="Arial" w:hAnsi="Arial" w:cs="Arial"/>
        </w:rPr>
      </w:pPr>
    </w:p>
    <w:p w14:paraId="1191386F" w14:textId="77777777" w:rsidR="00455161" w:rsidRDefault="006E4B12" w:rsidP="000D112A">
      <w:pPr>
        <w:spacing w:line="360" w:lineRule="auto"/>
        <w:rPr>
          <w:rFonts w:ascii="Arial" w:hAnsi="Arial" w:cs="Arial"/>
          <w:b/>
        </w:rPr>
      </w:pPr>
      <w:r>
        <w:rPr>
          <w:rFonts w:ascii="Arial" w:hAnsi="Arial" w:cs="Arial"/>
          <w:b/>
        </w:rPr>
        <w:t>Perceived independence issues</w:t>
      </w:r>
    </w:p>
    <w:p w14:paraId="0B2EAF74" w14:textId="77777777" w:rsidR="003052A2" w:rsidRDefault="00455161" w:rsidP="000D112A">
      <w:pPr>
        <w:spacing w:line="360" w:lineRule="auto"/>
        <w:rPr>
          <w:rFonts w:ascii="Arial" w:hAnsi="Arial" w:cs="Arial"/>
        </w:rPr>
      </w:pPr>
      <w:r w:rsidRPr="00DC2C55">
        <w:rPr>
          <w:rFonts w:ascii="Arial" w:hAnsi="Arial" w:cs="Arial"/>
        </w:rPr>
        <w:t>The TPB operates as a</w:t>
      </w:r>
      <w:r>
        <w:rPr>
          <w:rFonts w:ascii="Arial" w:hAnsi="Arial" w:cs="Arial"/>
        </w:rPr>
        <w:t>n</w:t>
      </w:r>
      <w:r w:rsidRPr="00DC2C55">
        <w:rPr>
          <w:rFonts w:ascii="Arial" w:hAnsi="Arial" w:cs="Arial"/>
        </w:rPr>
        <w:t xml:space="preserve"> independent regulator </w:t>
      </w:r>
      <w:r>
        <w:rPr>
          <w:rFonts w:ascii="Arial" w:hAnsi="Arial" w:cs="Arial"/>
        </w:rPr>
        <w:t xml:space="preserve">of tax practitioners and the provision </w:t>
      </w:r>
      <w:r w:rsidR="00532E3F">
        <w:rPr>
          <w:rFonts w:ascii="Arial" w:hAnsi="Arial" w:cs="Arial"/>
        </w:rPr>
        <w:t xml:space="preserve">of tax services.  </w:t>
      </w:r>
      <w:r w:rsidR="001F5FF0">
        <w:rPr>
          <w:rFonts w:ascii="Arial" w:hAnsi="Arial" w:cs="Arial"/>
        </w:rPr>
        <w:t>The</w:t>
      </w:r>
      <w:r w:rsidR="00532E3F">
        <w:rPr>
          <w:rFonts w:ascii="Arial" w:hAnsi="Arial" w:cs="Arial"/>
        </w:rPr>
        <w:t xml:space="preserve"> perception of the TPB’s independence is </w:t>
      </w:r>
      <w:r w:rsidR="001F5FF0">
        <w:rPr>
          <w:rFonts w:ascii="Arial" w:hAnsi="Arial" w:cs="Arial"/>
        </w:rPr>
        <w:t xml:space="preserve">however </w:t>
      </w:r>
      <w:r w:rsidR="00532E3F">
        <w:rPr>
          <w:rFonts w:ascii="Arial" w:hAnsi="Arial" w:cs="Arial"/>
        </w:rPr>
        <w:t xml:space="preserve">hampered by the fact that its facilities </w:t>
      </w:r>
      <w:r w:rsidR="00F4129B">
        <w:rPr>
          <w:rFonts w:ascii="Arial" w:hAnsi="Arial" w:cs="Arial"/>
        </w:rPr>
        <w:t xml:space="preserve">and staff </w:t>
      </w:r>
      <w:r w:rsidR="00532E3F">
        <w:rPr>
          <w:rFonts w:ascii="Arial" w:hAnsi="Arial" w:cs="Arial"/>
        </w:rPr>
        <w:t xml:space="preserve">are shared with the </w:t>
      </w:r>
      <w:r w:rsidR="006E4B12">
        <w:rPr>
          <w:rFonts w:ascii="Arial" w:hAnsi="Arial" w:cs="Arial"/>
        </w:rPr>
        <w:t>ATO</w:t>
      </w:r>
      <w:r w:rsidR="006F1001">
        <w:rPr>
          <w:rFonts w:ascii="Arial" w:hAnsi="Arial" w:cs="Arial"/>
        </w:rPr>
        <w:t xml:space="preserve"> (including the enforcement and collection of civil penalties as noted above)</w:t>
      </w:r>
      <w:r w:rsidR="00532E3F">
        <w:rPr>
          <w:rFonts w:ascii="Arial" w:hAnsi="Arial" w:cs="Arial"/>
        </w:rPr>
        <w:t xml:space="preserve">.  Further, that perception of independence is also impacted by </w:t>
      </w:r>
      <w:r w:rsidR="00A819CB">
        <w:rPr>
          <w:rFonts w:ascii="Arial" w:hAnsi="Arial" w:cs="Arial"/>
        </w:rPr>
        <w:t>fact that funding for the operation of the TPB forms part of the ATO’s overall budget.</w:t>
      </w:r>
      <w:r w:rsidR="001F5FF0">
        <w:rPr>
          <w:rFonts w:ascii="Arial" w:hAnsi="Arial" w:cs="Arial"/>
        </w:rPr>
        <w:t xml:space="preserve">  </w:t>
      </w:r>
    </w:p>
    <w:p w14:paraId="190DA04D" w14:textId="77777777" w:rsidR="003052A2" w:rsidRDefault="003052A2" w:rsidP="000D112A">
      <w:pPr>
        <w:spacing w:line="360" w:lineRule="auto"/>
        <w:rPr>
          <w:rFonts w:ascii="Arial" w:hAnsi="Arial" w:cs="Arial"/>
        </w:rPr>
      </w:pPr>
    </w:p>
    <w:p w14:paraId="3ACB756D" w14:textId="77777777" w:rsidR="00532E3F" w:rsidRDefault="001F5FF0" w:rsidP="000D112A">
      <w:pPr>
        <w:spacing w:line="360" w:lineRule="auto"/>
        <w:rPr>
          <w:rFonts w:ascii="Arial" w:hAnsi="Arial" w:cs="Arial"/>
        </w:rPr>
      </w:pPr>
      <w:r>
        <w:rPr>
          <w:rFonts w:ascii="Arial" w:hAnsi="Arial" w:cs="Arial"/>
        </w:rPr>
        <w:t xml:space="preserve">Such a perception can impact the confidence that the tax agent community </w:t>
      </w:r>
      <w:r w:rsidR="003052A2">
        <w:rPr>
          <w:rFonts w:ascii="Arial" w:hAnsi="Arial" w:cs="Arial"/>
        </w:rPr>
        <w:t>in the TPB, as it could be perceived the TPB and the ATO are one and the same</w:t>
      </w:r>
      <w:r w:rsidR="00B43B38">
        <w:rPr>
          <w:rFonts w:ascii="Arial" w:hAnsi="Arial" w:cs="Arial"/>
        </w:rPr>
        <w:t>.</w:t>
      </w:r>
      <w:r w:rsidR="003052A2">
        <w:rPr>
          <w:rFonts w:ascii="Arial" w:hAnsi="Arial" w:cs="Arial"/>
        </w:rPr>
        <w:t xml:space="preserve"> </w:t>
      </w:r>
      <w:r w:rsidR="00532E3F">
        <w:rPr>
          <w:rFonts w:ascii="Arial" w:hAnsi="Arial" w:cs="Arial"/>
        </w:rPr>
        <w:t>Other regulatory bo</w:t>
      </w:r>
      <w:r w:rsidR="00A819CB">
        <w:rPr>
          <w:rFonts w:ascii="Arial" w:hAnsi="Arial" w:cs="Arial"/>
        </w:rPr>
        <w:t xml:space="preserve">dies such as the </w:t>
      </w:r>
      <w:r w:rsidR="0016125A">
        <w:rPr>
          <w:rFonts w:ascii="Arial" w:hAnsi="Arial" w:cs="Arial"/>
        </w:rPr>
        <w:t>office of the Inspector-General of Taxation and Australian Small Business and Family Enterprise Ombudsman do not have such perception issues</w:t>
      </w:r>
      <w:r w:rsidR="00F4129B">
        <w:rPr>
          <w:rFonts w:ascii="Arial" w:hAnsi="Arial" w:cs="Arial"/>
        </w:rPr>
        <w:t xml:space="preserve"> as they operate in their own right</w:t>
      </w:r>
      <w:r w:rsidR="0016125A">
        <w:rPr>
          <w:rFonts w:ascii="Arial" w:hAnsi="Arial" w:cs="Arial"/>
        </w:rPr>
        <w:t>.</w:t>
      </w:r>
      <w:r w:rsidR="001956F6">
        <w:rPr>
          <w:rFonts w:ascii="Arial" w:hAnsi="Arial" w:cs="Arial"/>
        </w:rPr>
        <w:t xml:space="preserve">  </w:t>
      </w:r>
    </w:p>
    <w:p w14:paraId="2A64AD11" w14:textId="77777777" w:rsidR="001956F6" w:rsidRDefault="001956F6" w:rsidP="000D112A">
      <w:pPr>
        <w:spacing w:line="360" w:lineRule="auto"/>
        <w:rPr>
          <w:rFonts w:ascii="Arial" w:hAnsi="Arial" w:cs="Arial"/>
        </w:rPr>
      </w:pPr>
    </w:p>
    <w:p w14:paraId="7350302D" w14:textId="77777777" w:rsidR="001956F6" w:rsidRDefault="001956F6" w:rsidP="000D112A">
      <w:pPr>
        <w:spacing w:line="360" w:lineRule="auto"/>
        <w:rPr>
          <w:rFonts w:ascii="Arial" w:hAnsi="Arial" w:cs="Arial"/>
        </w:rPr>
      </w:pPr>
      <w:r>
        <w:rPr>
          <w:rFonts w:ascii="Arial" w:hAnsi="Arial" w:cs="Arial"/>
        </w:rPr>
        <w:t xml:space="preserve">While the sharing of information between regulatory bodies is the norm and should be encouraged where beneficial, the dealings between the TPB and the ATO may be compromised </w:t>
      </w:r>
      <w:r w:rsidR="001F5FF0">
        <w:rPr>
          <w:rFonts w:ascii="Arial" w:hAnsi="Arial" w:cs="Arial"/>
        </w:rPr>
        <w:t>where there are perceived independence issues.</w:t>
      </w:r>
    </w:p>
    <w:p w14:paraId="665527BB" w14:textId="77777777" w:rsidR="001956F6" w:rsidRDefault="001956F6" w:rsidP="000D112A">
      <w:pPr>
        <w:spacing w:line="360" w:lineRule="auto"/>
        <w:rPr>
          <w:rFonts w:ascii="Arial" w:hAnsi="Arial" w:cs="Arial"/>
        </w:rPr>
      </w:pPr>
    </w:p>
    <w:p w14:paraId="6BE214A9" w14:textId="77777777" w:rsidR="00B43B38" w:rsidRPr="00DC2C55" w:rsidRDefault="00C02C35" w:rsidP="00DC2C55">
      <w:pPr>
        <w:spacing w:line="360" w:lineRule="auto"/>
        <w:rPr>
          <w:rFonts w:ascii="Arial" w:hAnsi="Arial" w:cs="Arial"/>
        </w:rPr>
      </w:pPr>
      <w:r>
        <w:rPr>
          <w:rFonts w:ascii="Arial" w:hAnsi="Arial" w:cs="Arial"/>
        </w:rPr>
        <w:t xml:space="preserve">In order for it to operate effectively, the TPB must been seen to operate as its own independent regulatory body from other government bodies.  </w:t>
      </w:r>
      <w:r w:rsidR="001F5FF0">
        <w:rPr>
          <w:rFonts w:ascii="Arial" w:hAnsi="Arial" w:cs="Arial"/>
        </w:rPr>
        <w:t xml:space="preserve">It would therefore be </w:t>
      </w:r>
      <w:r>
        <w:rPr>
          <w:rFonts w:ascii="Arial" w:hAnsi="Arial" w:cs="Arial"/>
        </w:rPr>
        <w:t>incumbent</w:t>
      </w:r>
      <w:r w:rsidR="001F5FF0">
        <w:rPr>
          <w:rFonts w:ascii="Arial" w:hAnsi="Arial" w:cs="Arial"/>
        </w:rPr>
        <w:t xml:space="preserve"> the Government to address these perceived independence issues so as </w:t>
      </w:r>
      <w:r w:rsidR="001F5FF0">
        <w:rPr>
          <w:rFonts w:ascii="Arial" w:hAnsi="Arial" w:cs="Arial"/>
        </w:rPr>
        <w:lastRenderedPageBreak/>
        <w:t>to provide confidence to the tax agent community</w:t>
      </w:r>
      <w:r w:rsidR="003052A2">
        <w:rPr>
          <w:rFonts w:ascii="Arial" w:hAnsi="Arial" w:cs="Arial"/>
        </w:rPr>
        <w:t xml:space="preserve"> </w:t>
      </w:r>
      <w:r>
        <w:rPr>
          <w:rFonts w:ascii="Arial" w:hAnsi="Arial" w:cs="Arial"/>
        </w:rPr>
        <w:t>and in turn, the wider Australian community.</w:t>
      </w:r>
    </w:p>
    <w:p w14:paraId="5B3F8E87" w14:textId="77777777" w:rsidR="001F6660" w:rsidRDefault="001F6660" w:rsidP="00114B40">
      <w:pPr>
        <w:spacing w:line="360" w:lineRule="auto"/>
        <w:rPr>
          <w:rFonts w:ascii="Arial" w:hAnsi="Arial" w:cs="Arial"/>
          <w:b/>
        </w:rPr>
      </w:pPr>
    </w:p>
    <w:p w14:paraId="304BCA0E" w14:textId="77777777" w:rsidR="001F6660" w:rsidRDefault="005D03D2" w:rsidP="00114B40">
      <w:pPr>
        <w:spacing w:line="360" w:lineRule="auto"/>
        <w:rPr>
          <w:rFonts w:ascii="Arial" w:hAnsi="Arial" w:cs="Arial"/>
          <w:b/>
        </w:rPr>
      </w:pPr>
      <w:r>
        <w:rPr>
          <w:rFonts w:ascii="Arial" w:hAnsi="Arial" w:cs="Arial"/>
          <w:b/>
        </w:rPr>
        <w:t xml:space="preserve">Other </w:t>
      </w:r>
      <w:r w:rsidR="00095B13">
        <w:rPr>
          <w:rFonts w:ascii="Arial" w:hAnsi="Arial" w:cs="Arial"/>
          <w:b/>
        </w:rPr>
        <w:t>salient TPB issues impact</w:t>
      </w:r>
      <w:r w:rsidR="005F0A6F">
        <w:rPr>
          <w:rFonts w:ascii="Arial" w:hAnsi="Arial" w:cs="Arial"/>
          <w:b/>
        </w:rPr>
        <w:t>ing</w:t>
      </w:r>
      <w:r w:rsidR="00095B13">
        <w:rPr>
          <w:rFonts w:ascii="Arial" w:hAnsi="Arial" w:cs="Arial"/>
          <w:b/>
        </w:rPr>
        <w:t xml:space="preserve"> tax practitioners</w:t>
      </w:r>
    </w:p>
    <w:p w14:paraId="66933BF9" w14:textId="77777777" w:rsidR="00DC2C55" w:rsidRPr="007C26C1" w:rsidRDefault="00DC2C55" w:rsidP="00114B40">
      <w:pPr>
        <w:spacing w:line="360" w:lineRule="auto"/>
        <w:rPr>
          <w:rFonts w:ascii="Arial" w:hAnsi="Arial" w:cs="Arial"/>
        </w:rPr>
      </w:pPr>
    </w:p>
    <w:p w14:paraId="3970A4D6" w14:textId="77777777" w:rsidR="007F5D1C" w:rsidRDefault="009136E3" w:rsidP="00114B40">
      <w:pPr>
        <w:spacing w:line="360" w:lineRule="auto"/>
        <w:rPr>
          <w:rFonts w:ascii="Arial" w:hAnsi="Arial" w:cs="Arial"/>
          <w:b/>
          <w:i/>
        </w:rPr>
      </w:pPr>
      <w:r w:rsidRPr="007C26C1">
        <w:rPr>
          <w:rFonts w:ascii="Arial" w:hAnsi="Arial" w:cs="Arial"/>
          <w:b/>
          <w:i/>
        </w:rPr>
        <w:t>Registration fee</w:t>
      </w:r>
      <w:r w:rsidR="007D1422">
        <w:rPr>
          <w:rFonts w:ascii="Arial" w:hAnsi="Arial" w:cs="Arial"/>
          <w:b/>
          <w:i/>
        </w:rPr>
        <w:t xml:space="preserve"> increases</w:t>
      </w:r>
    </w:p>
    <w:p w14:paraId="3170765E" w14:textId="77777777" w:rsidR="00FB2EA8" w:rsidRDefault="007E0BA5" w:rsidP="00114B40">
      <w:pPr>
        <w:spacing w:line="360" w:lineRule="auto"/>
        <w:rPr>
          <w:rFonts w:ascii="Arial" w:hAnsi="Arial" w:cs="Arial"/>
        </w:rPr>
      </w:pPr>
      <w:r>
        <w:rPr>
          <w:rFonts w:ascii="Arial" w:hAnsi="Arial" w:cs="Arial"/>
        </w:rPr>
        <w:t xml:space="preserve">More recently the Government reviewed the registration fee structure for tax practitioners and </w:t>
      </w:r>
      <w:r w:rsidR="003052A2">
        <w:rPr>
          <w:rFonts w:ascii="Arial" w:hAnsi="Arial" w:cs="Arial"/>
        </w:rPr>
        <w:t>has</w:t>
      </w:r>
      <w:r>
        <w:rPr>
          <w:rFonts w:ascii="Arial" w:hAnsi="Arial" w:cs="Arial"/>
        </w:rPr>
        <w:t xml:space="preserve"> made </w:t>
      </w:r>
      <w:r w:rsidR="00FB2EA8">
        <w:rPr>
          <w:rFonts w:ascii="Arial" w:hAnsi="Arial" w:cs="Arial"/>
        </w:rPr>
        <w:t>changes which results in tax practitioners paying more for their registration.</w:t>
      </w:r>
    </w:p>
    <w:p w14:paraId="4279B8B5" w14:textId="77777777" w:rsidR="00FB2EA8" w:rsidRPr="00DC2C55" w:rsidRDefault="00FB2EA8" w:rsidP="00114B40">
      <w:pPr>
        <w:spacing w:line="360" w:lineRule="auto"/>
        <w:rPr>
          <w:rFonts w:ascii="Arial" w:hAnsi="Arial" w:cs="Arial"/>
        </w:rPr>
      </w:pPr>
    </w:p>
    <w:p w14:paraId="52AFD94F" w14:textId="77777777" w:rsidR="005A45A6" w:rsidRDefault="005A45A6" w:rsidP="005A45A6">
      <w:pPr>
        <w:spacing w:line="360" w:lineRule="auto"/>
        <w:rPr>
          <w:rFonts w:ascii="Arial" w:hAnsi="Arial" w:cs="Arial"/>
        </w:rPr>
      </w:pPr>
      <w:r>
        <w:rPr>
          <w:rFonts w:ascii="Arial" w:hAnsi="Arial" w:cs="Arial"/>
        </w:rPr>
        <w:t xml:space="preserve">Prior to 1 July 2018, there were two categories when </w:t>
      </w:r>
      <w:r w:rsidR="003052A2">
        <w:rPr>
          <w:rFonts w:ascii="Arial" w:hAnsi="Arial" w:cs="Arial"/>
        </w:rPr>
        <w:t>it</w:t>
      </w:r>
      <w:r>
        <w:rPr>
          <w:rFonts w:ascii="Arial" w:hAnsi="Arial" w:cs="Arial"/>
        </w:rPr>
        <w:t xml:space="preserve"> came to tax agent registrations – </w:t>
      </w:r>
      <w:r w:rsidR="003052A2">
        <w:rPr>
          <w:rFonts w:ascii="Arial" w:hAnsi="Arial" w:cs="Arial"/>
        </w:rPr>
        <w:t>“</w:t>
      </w:r>
      <w:r>
        <w:rPr>
          <w:rFonts w:ascii="Arial" w:hAnsi="Arial" w:cs="Arial"/>
        </w:rPr>
        <w:t>business</w:t>
      </w:r>
      <w:r w:rsidR="003052A2">
        <w:rPr>
          <w:rFonts w:ascii="Arial" w:hAnsi="Arial" w:cs="Arial"/>
        </w:rPr>
        <w:t>”</w:t>
      </w:r>
      <w:r>
        <w:rPr>
          <w:rFonts w:ascii="Arial" w:hAnsi="Arial" w:cs="Arial"/>
        </w:rPr>
        <w:t xml:space="preserve"> and </w:t>
      </w:r>
      <w:r w:rsidR="003052A2">
        <w:rPr>
          <w:rFonts w:ascii="Arial" w:hAnsi="Arial" w:cs="Arial"/>
        </w:rPr>
        <w:t>“</w:t>
      </w:r>
      <w:r>
        <w:rPr>
          <w:rFonts w:ascii="Arial" w:hAnsi="Arial" w:cs="Arial"/>
        </w:rPr>
        <w:t>non-business</w:t>
      </w:r>
      <w:r w:rsidR="003052A2">
        <w:rPr>
          <w:rFonts w:ascii="Arial" w:hAnsi="Arial" w:cs="Arial"/>
        </w:rPr>
        <w:t>”</w:t>
      </w:r>
      <w:r>
        <w:rPr>
          <w:rFonts w:ascii="Arial" w:hAnsi="Arial" w:cs="Arial"/>
        </w:rPr>
        <w:t>.  The fees for these categories were $250 and $500 respectively for three years.</w:t>
      </w:r>
    </w:p>
    <w:p w14:paraId="3F309892" w14:textId="77777777" w:rsidR="005A45A6" w:rsidRDefault="005A45A6" w:rsidP="005A45A6">
      <w:pPr>
        <w:spacing w:line="360" w:lineRule="auto"/>
        <w:rPr>
          <w:rFonts w:ascii="Arial" w:hAnsi="Arial" w:cs="Arial"/>
        </w:rPr>
      </w:pPr>
    </w:p>
    <w:p w14:paraId="4659EFF5" w14:textId="77777777" w:rsidR="001D76FD" w:rsidRDefault="005A45A6" w:rsidP="001D76FD">
      <w:pPr>
        <w:spacing w:line="360" w:lineRule="auto"/>
        <w:rPr>
          <w:rFonts w:ascii="Arial" w:hAnsi="Arial" w:cs="Arial"/>
        </w:rPr>
      </w:pPr>
      <w:r>
        <w:rPr>
          <w:rFonts w:ascii="Arial" w:hAnsi="Arial" w:cs="Arial"/>
        </w:rPr>
        <w:t>From 1 July 2018, the non-business category has been removed and a single fee of $675 applies to all tax agents irrespective of the tax agent’s status</w:t>
      </w:r>
      <w:r w:rsidR="001D76FD">
        <w:rPr>
          <w:rFonts w:ascii="Arial" w:hAnsi="Arial" w:cs="Arial"/>
        </w:rPr>
        <w:t xml:space="preserve"> for a three-year period</w:t>
      </w:r>
      <w:r>
        <w:rPr>
          <w:rFonts w:ascii="Arial" w:hAnsi="Arial" w:cs="Arial"/>
        </w:rPr>
        <w:t>.</w:t>
      </w:r>
      <w:r w:rsidR="004A5339">
        <w:rPr>
          <w:rFonts w:ascii="Arial" w:hAnsi="Arial" w:cs="Arial"/>
        </w:rPr>
        <w:t xml:space="preserve">  </w:t>
      </w:r>
      <w:r w:rsidR="001D76FD">
        <w:rPr>
          <w:rFonts w:ascii="Arial" w:hAnsi="Arial" w:cs="Arial"/>
        </w:rPr>
        <w:t>For tax (financial) advisers and BAS agents, the fees have been increased to $540 and $130 respectively for the same period.</w:t>
      </w:r>
    </w:p>
    <w:p w14:paraId="03575875" w14:textId="77777777" w:rsidR="001D76FD" w:rsidRDefault="001D76FD" w:rsidP="001D76FD">
      <w:pPr>
        <w:spacing w:line="360" w:lineRule="auto"/>
        <w:rPr>
          <w:rFonts w:ascii="Arial" w:hAnsi="Arial" w:cs="Arial"/>
        </w:rPr>
      </w:pPr>
    </w:p>
    <w:p w14:paraId="48E93ACC" w14:textId="77777777" w:rsidR="001D76FD" w:rsidRDefault="004A5339" w:rsidP="001D76FD">
      <w:pPr>
        <w:spacing w:line="360" w:lineRule="auto"/>
        <w:rPr>
          <w:rFonts w:ascii="Arial" w:hAnsi="Arial" w:cs="Arial"/>
        </w:rPr>
      </w:pPr>
      <w:r>
        <w:rPr>
          <w:rFonts w:ascii="Arial" w:hAnsi="Arial" w:cs="Arial"/>
        </w:rPr>
        <w:t>This fee increase was contained in the 2018-19 Federal Budget</w:t>
      </w:r>
      <w:r w:rsidR="007E0BA5">
        <w:rPr>
          <w:rFonts w:ascii="Arial" w:hAnsi="Arial" w:cs="Arial"/>
        </w:rPr>
        <w:t xml:space="preserve"> which, to our knowledge, was </w:t>
      </w:r>
      <w:r w:rsidR="003052A2">
        <w:rPr>
          <w:rFonts w:ascii="Arial" w:hAnsi="Arial" w:cs="Arial"/>
        </w:rPr>
        <w:t xml:space="preserve">undertaken </w:t>
      </w:r>
      <w:r w:rsidR="007E0BA5">
        <w:rPr>
          <w:rFonts w:ascii="Arial" w:hAnsi="Arial" w:cs="Arial"/>
        </w:rPr>
        <w:t xml:space="preserve">without </w:t>
      </w:r>
      <w:r w:rsidR="00DC2C55">
        <w:rPr>
          <w:rFonts w:ascii="Arial" w:hAnsi="Arial" w:cs="Arial"/>
        </w:rPr>
        <w:t xml:space="preserve">any stakeholder </w:t>
      </w:r>
      <w:r w:rsidR="007E0BA5">
        <w:rPr>
          <w:rFonts w:ascii="Arial" w:hAnsi="Arial" w:cs="Arial"/>
        </w:rPr>
        <w:t>consultation</w:t>
      </w:r>
      <w:r>
        <w:rPr>
          <w:rFonts w:ascii="Arial" w:hAnsi="Arial" w:cs="Arial"/>
        </w:rPr>
        <w:t>.</w:t>
      </w:r>
      <w:r w:rsidR="005A45A6">
        <w:rPr>
          <w:rFonts w:ascii="Arial" w:hAnsi="Arial" w:cs="Arial"/>
        </w:rPr>
        <w:t xml:space="preserve">  The </w:t>
      </w:r>
      <w:r>
        <w:rPr>
          <w:rFonts w:ascii="Arial" w:hAnsi="Arial" w:cs="Arial"/>
        </w:rPr>
        <w:t>Government</w:t>
      </w:r>
      <w:r w:rsidR="005A45A6">
        <w:rPr>
          <w:rFonts w:ascii="Arial" w:hAnsi="Arial" w:cs="Arial"/>
        </w:rPr>
        <w:t xml:space="preserve"> </w:t>
      </w:r>
      <w:r w:rsidR="001D76FD">
        <w:rPr>
          <w:rFonts w:ascii="Arial" w:hAnsi="Arial" w:cs="Arial"/>
        </w:rPr>
        <w:t>justifies this by citing</w:t>
      </w:r>
      <w:r w:rsidR="005A45A6">
        <w:rPr>
          <w:rFonts w:ascii="Arial" w:hAnsi="Arial" w:cs="Arial"/>
        </w:rPr>
        <w:t xml:space="preserve"> that the increase in fees</w:t>
      </w:r>
      <w:r>
        <w:rPr>
          <w:rFonts w:ascii="Arial" w:hAnsi="Arial" w:cs="Arial"/>
        </w:rPr>
        <w:t xml:space="preserve"> </w:t>
      </w:r>
      <w:r w:rsidR="001D76FD">
        <w:rPr>
          <w:rFonts w:ascii="Arial" w:hAnsi="Arial" w:cs="Arial"/>
        </w:rPr>
        <w:t>is to help the TPB</w:t>
      </w:r>
      <w:r w:rsidR="001D76FD" w:rsidRPr="007C26C1">
        <w:rPr>
          <w:rFonts w:ascii="Arial" w:hAnsi="Arial" w:cs="Arial"/>
        </w:rPr>
        <w:t xml:space="preserve"> to continue to meet its legislative responsibilities and protect consumers of tax services</w:t>
      </w:r>
      <w:r w:rsidR="001D76FD">
        <w:rPr>
          <w:rFonts w:ascii="Arial" w:hAnsi="Arial" w:cs="Arial"/>
        </w:rPr>
        <w:t>.</w:t>
      </w:r>
      <w:r w:rsidR="00E72481">
        <w:rPr>
          <w:rFonts w:ascii="Arial" w:hAnsi="Arial" w:cs="Arial"/>
        </w:rPr>
        <w:t xml:space="preserve">  F</w:t>
      </w:r>
      <w:r w:rsidR="00DC2C55">
        <w:rPr>
          <w:rFonts w:ascii="Arial" w:hAnsi="Arial" w:cs="Arial"/>
        </w:rPr>
        <w:t>urther, f</w:t>
      </w:r>
      <w:r w:rsidR="00E72481">
        <w:rPr>
          <w:rFonts w:ascii="Arial" w:hAnsi="Arial" w:cs="Arial"/>
        </w:rPr>
        <w:t>ees in future will also be increased by the consumer price index.</w:t>
      </w:r>
    </w:p>
    <w:p w14:paraId="36818A16" w14:textId="77777777" w:rsidR="001D76FD" w:rsidRDefault="001D76FD" w:rsidP="001D76FD">
      <w:pPr>
        <w:spacing w:line="360" w:lineRule="auto"/>
        <w:rPr>
          <w:rFonts w:ascii="Arial" w:hAnsi="Arial" w:cs="Arial"/>
        </w:rPr>
      </w:pPr>
    </w:p>
    <w:p w14:paraId="229B5000" w14:textId="77777777" w:rsidR="0005799D" w:rsidRDefault="00D8376A" w:rsidP="004E737C">
      <w:pPr>
        <w:spacing w:line="360" w:lineRule="auto"/>
        <w:rPr>
          <w:rFonts w:ascii="Arial" w:hAnsi="Arial" w:cs="Arial"/>
        </w:rPr>
      </w:pPr>
      <w:r>
        <w:rPr>
          <w:rFonts w:ascii="Arial" w:hAnsi="Arial" w:cs="Arial"/>
        </w:rPr>
        <w:t>In light of these changes, f</w:t>
      </w:r>
      <w:r w:rsidR="00A33979">
        <w:rPr>
          <w:rFonts w:ascii="Arial" w:hAnsi="Arial" w:cs="Arial"/>
        </w:rPr>
        <w:t xml:space="preserve">or tax agents, fees have almost overnight increased by 35 per cent for </w:t>
      </w:r>
      <w:r w:rsidR="00FC6DC0">
        <w:rPr>
          <w:rFonts w:ascii="Arial" w:hAnsi="Arial" w:cs="Arial"/>
        </w:rPr>
        <w:t xml:space="preserve">agents in business and for those non-business </w:t>
      </w:r>
      <w:r w:rsidR="0040269C">
        <w:rPr>
          <w:rFonts w:ascii="Arial" w:hAnsi="Arial" w:cs="Arial"/>
        </w:rPr>
        <w:t>agents’</w:t>
      </w:r>
      <w:r w:rsidR="00FC6DC0">
        <w:rPr>
          <w:rFonts w:ascii="Arial" w:hAnsi="Arial" w:cs="Arial"/>
        </w:rPr>
        <w:t xml:space="preserve"> fees have almost tripled increasing by 270 per cent. </w:t>
      </w:r>
      <w:r w:rsidR="007E0BA5">
        <w:rPr>
          <w:rFonts w:ascii="Arial" w:hAnsi="Arial" w:cs="Arial"/>
        </w:rPr>
        <w:t xml:space="preserve"> Inevitably, t</w:t>
      </w:r>
      <w:r w:rsidR="001D76FD">
        <w:rPr>
          <w:rFonts w:ascii="Arial" w:hAnsi="Arial" w:cs="Arial"/>
        </w:rPr>
        <w:t>he</w:t>
      </w:r>
      <w:r w:rsidR="00B25895">
        <w:rPr>
          <w:rFonts w:ascii="Arial" w:hAnsi="Arial" w:cs="Arial"/>
        </w:rPr>
        <w:t>se</w:t>
      </w:r>
      <w:r w:rsidR="001D76FD">
        <w:rPr>
          <w:rFonts w:ascii="Arial" w:hAnsi="Arial" w:cs="Arial"/>
        </w:rPr>
        <w:t xml:space="preserve"> </w:t>
      </w:r>
      <w:r w:rsidR="007E0BA5">
        <w:rPr>
          <w:rFonts w:ascii="Arial" w:hAnsi="Arial" w:cs="Arial"/>
        </w:rPr>
        <w:t xml:space="preserve">significant and unforeseen </w:t>
      </w:r>
      <w:r w:rsidR="001D76FD">
        <w:rPr>
          <w:rFonts w:ascii="Arial" w:hAnsi="Arial" w:cs="Arial"/>
        </w:rPr>
        <w:t xml:space="preserve">fee increases have not been looked upon favourably by the tax agent </w:t>
      </w:r>
      <w:r w:rsidR="007827FD">
        <w:rPr>
          <w:rFonts w:ascii="Arial" w:hAnsi="Arial" w:cs="Arial"/>
        </w:rPr>
        <w:t>community</w:t>
      </w:r>
      <w:r w:rsidR="00C01CC2">
        <w:rPr>
          <w:rFonts w:ascii="Arial" w:hAnsi="Arial" w:cs="Arial"/>
        </w:rPr>
        <w:t>.</w:t>
      </w:r>
    </w:p>
    <w:p w14:paraId="3B58D9F4" w14:textId="77777777" w:rsidR="0005799D" w:rsidRDefault="0005799D" w:rsidP="001D76FD">
      <w:pPr>
        <w:spacing w:line="360" w:lineRule="auto"/>
        <w:rPr>
          <w:rFonts w:ascii="Arial" w:hAnsi="Arial" w:cs="Arial"/>
        </w:rPr>
      </w:pPr>
    </w:p>
    <w:p w14:paraId="5AAE4A31" w14:textId="77777777" w:rsidR="001D76FD" w:rsidRPr="00DC2C55" w:rsidRDefault="0005799D" w:rsidP="00DC2C55">
      <w:pPr>
        <w:spacing w:line="360" w:lineRule="auto"/>
        <w:rPr>
          <w:rFonts w:ascii="Arial" w:hAnsi="Arial" w:cs="Arial"/>
        </w:rPr>
      </w:pPr>
      <w:r w:rsidRPr="00DC2C55">
        <w:rPr>
          <w:rFonts w:ascii="Arial" w:hAnsi="Arial" w:cs="Arial"/>
        </w:rPr>
        <w:t xml:space="preserve">For those who are tax agents in business, </w:t>
      </w:r>
      <w:r w:rsidR="001D76FD" w:rsidRPr="00DC2C55">
        <w:rPr>
          <w:rFonts w:ascii="Arial" w:hAnsi="Arial" w:cs="Arial"/>
        </w:rPr>
        <w:t xml:space="preserve">this represents an unnecessary impost </w:t>
      </w:r>
      <w:r w:rsidR="0040269C" w:rsidRPr="00DC2C55">
        <w:rPr>
          <w:rFonts w:ascii="Arial" w:hAnsi="Arial" w:cs="Arial"/>
        </w:rPr>
        <w:t xml:space="preserve">in addition to other expenses </w:t>
      </w:r>
      <w:r w:rsidRPr="00DC2C55">
        <w:rPr>
          <w:rFonts w:ascii="Arial" w:hAnsi="Arial" w:cs="Arial"/>
        </w:rPr>
        <w:t xml:space="preserve">which are on the rise </w:t>
      </w:r>
      <w:r w:rsidR="0040269C" w:rsidRPr="00DC2C55">
        <w:rPr>
          <w:rFonts w:ascii="Arial" w:hAnsi="Arial" w:cs="Arial"/>
        </w:rPr>
        <w:t>such as</w:t>
      </w:r>
      <w:r w:rsidR="00E72481" w:rsidRPr="00DC2C55">
        <w:rPr>
          <w:rFonts w:ascii="Arial" w:hAnsi="Arial" w:cs="Arial"/>
        </w:rPr>
        <w:t xml:space="preserve"> professional indemnity </w:t>
      </w:r>
      <w:r w:rsidR="00E72481" w:rsidRPr="00DC2C55">
        <w:rPr>
          <w:rFonts w:ascii="Arial" w:hAnsi="Arial" w:cs="Arial"/>
        </w:rPr>
        <w:lastRenderedPageBreak/>
        <w:t xml:space="preserve">insurance </w:t>
      </w:r>
      <w:r w:rsidR="00C01CC2" w:rsidRPr="00DC2C55">
        <w:rPr>
          <w:rFonts w:ascii="Arial" w:hAnsi="Arial" w:cs="Arial"/>
        </w:rPr>
        <w:t xml:space="preserve">(see below), ASIC fees, </w:t>
      </w:r>
      <w:r w:rsidR="00E72481" w:rsidRPr="00DC2C55">
        <w:rPr>
          <w:rFonts w:ascii="Arial" w:hAnsi="Arial" w:cs="Arial"/>
        </w:rPr>
        <w:t>software costs</w:t>
      </w:r>
      <w:r w:rsidR="00C01CC2" w:rsidRPr="00DC2C55">
        <w:rPr>
          <w:rFonts w:ascii="Arial" w:hAnsi="Arial" w:cs="Arial"/>
        </w:rPr>
        <w:t xml:space="preserve"> and other registration costs</w:t>
      </w:r>
      <w:r w:rsidR="00E72481" w:rsidRPr="00DC2C55">
        <w:rPr>
          <w:rFonts w:ascii="Arial" w:hAnsi="Arial" w:cs="Arial"/>
        </w:rPr>
        <w:t xml:space="preserve">.  To remain profitable, there is increased pressure for </w:t>
      </w:r>
      <w:r w:rsidR="00C01CC2" w:rsidRPr="00DC2C55">
        <w:rPr>
          <w:rFonts w:ascii="Arial" w:hAnsi="Arial" w:cs="Arial"/>
        </w:rPr>
        <w:t>tax practitioners to pass on these costs to their clients in order to recoup their costs of doing business.</w:t>
      </w:r>
      <w:r w:rsidR="003052A2">
        <w:rPr>
          <w:rFonts w:ascii="Arial" w:hAnsi="Arial" w:cs="Arial"/>
        </w:rPr>
        <w:t xml:space="preserve">  Further, for the older cohort of tax agents who are reducing their workloads in the lead-up to retirement; additional fee increases</w:t>
      </w:r>
      <w:r w:rsidR="00F24579">
        <w:rPr>
          <w:rFonts w:ascii="Arial" w:hAnsi="Arial" w:cs="Arial"/>
        </w:rPr>
        <w:t>,</w:t>
      </w:r>
      <w:r w:rsidR="003052A2">
        <w:rPr>
          <w:rFonts w:ascii="Arial" w:hAnsi="Arial" w:cs="Arial"/>
        </w:rPr>
        <w:t xml:space="preserve"> amo</w:t>
      </w:r>
      <w:r w:rsidR="00F24579">
        <w:rPr>
          <w:rFonts w:ascii="Arial" w:hAnsi="Arial" w:cs="Arial"/>
        </w:rPr>
        <w:t xml:space="preserve">ngst other expenses, </w:t>
      </w:r>
      <w:r w:rsidR="003052A2">
        <w:rPr>
          <w:rFonts w:ascii="Arial" w:hAnsi="Arial" w:cs="Arial"/>
        </w:rPr>
        <w:t xml:space="preserve">could lead to an earlier withdrawal from the profession as it no longer becomes </w:t>
      </w:r>
      <w:r w:rsidR="00F24579">
        <w:rPr>
          <w:rFonts w:ascii="Arial" w:hAnsi="Arial" w:cs="Arial"/>
        </w:rPr>
        <w:t>financially</w:t>
      </w:r>
      <w:r w:rsidR="003052A2">
        <w:rPr>
          <w:rFonts w:ascii="Arial" w:hAnsi="Arial" w:cs="Arial"/>
        </w:rPr>
        <w:t xml:space="preserve"> viable</w:t>
      </w:r>
      <w:r w:rsidR="00F24579">
        <w:rPr>
          <w:rFonts w:ascii="Arial" w:hAnsi="Arial" w:cs="Arial"/>
        </w:rPr>
        <w:t xml:space="preserve"> to practice</w:t>
      </w:r>
      <w:r w:rsidR="003052A2">
        <w:rPr>
          <w:rFonts w:ascii="Arial" w:hAnsi="Arial" w:cs="Arial"/>
        </w:rPr>
        <w:t>.</w:t>
      </w:r>
    </w:p>
    <w:p w14:paraId="6B6130DC" w14:textId="77777777" w:rsidR="0005799D" w:rsidRDefault="0005799D" w:rsidP="001D76FD">
      <w:pPr>
        <w:spacing w:line="360" w:lineRule="auto"/>
        <w:rPr>
          <w:rFonts w:ascii="Arial" w:hAnsi="Arial" w:cs="Arial"/>
        </w:rPr>
      </w:pPr>
    </w:p>
    <w:p w14:paraId="0A9C59D1" w14:textId="77777777" w:rsidR="0005799D" w:rsidRPr="00DC2C55" w:rsidRDefault="0005799D" w:rsidP="00DC2C55">
      <w:pPr>
        <w:spacing w:line="360" w:lineRule="auto"/>
        <w:rPr>
          <w:rFonts w:ascii="Arial" w:hAnsi="Arial" w:cs="Arial"/>
        </w:rPr>
      </w:pPr>
      <w:r w:rsidRPr="00DC2C55">
        <w:rPr>
          <w:rFonts w:ascii="Arial" w:hAnsi="Arial" w:cs="Arial"/>
        </w:rPr>
        <w:t xml:space="preserve">For those who have registered as non-business agents, the </w:t>
      </w:r>
      <w:r w:rsidR="00382EBC" w:rsidRPr="00DC2C55">
        <w:rPr>
          <w:rFonts w:ascii="Arial" w:hAnsi="Arial" w:cs="Arial"/>
        </w:rPr>
        <w:t>fee increase</w:t>
      </w:r>
      <w:r w:rsidRPr="00DC2C55">
        <w:rPr>
          <w:rFonts w:ascii="Arial" w:hAnsi="Arial" w:cs="Arial"/>
        </w:rPr>
        <w:t xml:space="preserve"> may discourage </w:t>
      </w:r>
      <w:r w:rsidR="00382EBC" w:rsidRPr="00DC2C55">
        <w:rPr>
          <w:rFonts w:ascii="Arial" w:hAnsi="Arial" w:cs="Arial"/>
        </w:rPr>
        <w:t xml:space="preserve">this cohort of agents from renewing their registration.  </w:t>
      </w:r>
      <w:r w:rsidR="00EB6015" w:rsidRPr="00DC2C55">
        <w:rPr>
          <w:rFonts w:ascii="Arial" w:hAnsi="Arial" w:cs="Arial"/>
        </w:rPr>
        <w:t xml:space="preserve">Those </w:t>
      </w:r>
      <w:r w:rsidR="007C1730" w:rsidRPr="00DC2C55">
        <w:rPr>
          <w:rFonts w:ascii="Arial" w:hAnsi="Arial" w:cs="Arial"/>
        </w:rPr>
        <w:t>such as academics</w:t>
      </w:r>
      <w:r w:rsidR="00A426C6" w:rsidRPr="00DC2C55">
        <w:rPr>
          <w:rFonts w:ascii="Arial" w:hAnsi="Arial" w:cs="Arial"/>
        </w:rPr>
        <w:t xml:space="preserve">, </w:t>
      </w:r>
      <w:r w:rsidR="007827FD" w:rsidRPr="00DC2C55">
        <w:rPr>
          <w:rFonts w:ascii="Arial" w:hAnsi="Arial" w:cs="Arial"/>
        </w:rPr>
        <w:t>retired individuals</w:t>
      </w:r>
      <w:r w:rsidR="007C1730" w:rsidRPr="00DC2C55">
        <w:rPr>
          <w:rFonts w:ascii="Arial" w:hAnsi="Arial" w:cs="Arial"/>
        </w:rPr>
        <w:t xml:space="preserve"> and others whose roles may require registration as a tax agent </w:t>
      </w:r>
      <w:r w:rsidR="007827FD" w:rsidRPr="00DC2C55">
        <w:rPr>
          <w:rFonts w:ascii="Arial" w:hAnsi="Arial" w:cs="Arial"/>
        </w:rPr>
        <w:t>(</w:t>
      </w:r>
      <w:r w:rsidR="007C1730" w:rsidRPr="00DC2C55">
        <w:rPr>
          <w:rFonts w:ascii="Arial" w:hAnsi="Arial" w:cs="Arial"/>
        </w:rPr>
        <w:t xml:space="preserve">but who are not conducting a business </w:t>
      </w:r>
      <w:r w:rsidR="00A426C6" w:rsidRPr="00DC2C55">
        <w:rPr>
          <w:rFonts w:ascii="Arial" w:hAnsi="Arial" w:cs="Arial"/>
        </w:rPr>
        <w:t>themselves</w:t>
      </w:r>
      <w:r w:rsidR="007827FD" w:rsidRPr="00DC2C55">
        <w:rPr>
          <w:rFonts w:ascii="Arial" w:hAnsi="Arial" w:cs="Arial"/>
        </w:rPr>
        <w:t>)</w:t>
      </w:r>
      <w:r w:rsidR="00A426C6" w:rsidRPr="00DC2C55">
        <w:rPr>
          <w:rFonts w:ascii="Arial" w:hAnsi="Arial" w:cs="Arial"/>
        </w:rPr>
        <w:t xml:space="preserve"> should not be unduly penalised</w:t>
      </w:r>
      <w:r w:rsidR="00BF6E3C" w:rsidRPr="00DC2C55">
        <w:rPr>
          <w:rFonts w:ascii="Arial" w:hAnsi="Arial" w:cs="Arial"/>
        </w:rPr>
        <w:t xml:space="preserve"> as they do not present a compliance risk</w:t>
      </w:r>
      <w:r w:rsidR="00A426C6" w:rsidRPr="00DC2C55">
        <w:rPr>
          <w:rFonts w:ascii="Arial" w:hAnsi="Arial" w:cs="Arial"/>
        </w:rPr>
        <w:t xml:space="preserve">.  </w:t>
      </w:r>
      <w:r w:rsidR="00F24579">
        <w:rPr>
          <w:rFonts w:ascii="Arial" w:hAnsi="Arial" w:cs="Arial"/>
        </w:rPr>
        <w:t>For the above reasons</w:t>
      </w:r>
      <w:r w:rsidR="00A426C6" w:rsidRPr="00DC2C55">
        <w:rPr>
          <w:rFonts w:ascii="Arial" w:hAnsi="Arial" w:cs="Arial"/>
        </w:rPr>
        <w:t xml:space="preserve">, the non-business category of agents </w:t>
      </w:r>
      <w:r w:rsidR="007827FD" w:rsidRPr="00DC2C55">
        <w:rPr>
          <w:rFonts w:ascii="Arial" w:hAnsi="Arial" w:cs="Arial"/>
        </w:rPr>
        <w:t xml:space="preserve">in our view should </w:t>
      </w:r>
      <w:r w:rsidR="00A426C6" w:rsidRPr="00DC2C55">
        <w:rPr>
          <w:rFonts w:ascii="Arial" w:hAnsi="Arial" w:cs="Arial"/>
        </w:rPr>
        <w:t>be reins</w:t>
      </w:r>
      <w:r w:rsidR="004F52C6" w:rsidRPr="00DC2C55">
        <w:rPr>
          <w:rFonts w:ascii="Arial" w:hAnsi="Arial" w:cs="Arial"/>
        </w:rPr>
        <w:t>t</w:t>
      </w:r>
      <w:r w:rsidR="00A426C6" w:rsidRPr="00DC2C55">
        <w:rPr>
          <w:rFonts w:ascii="Arial" w:hAnsi="Arial" w:cs="Arial"/>
        </w:rPr>
        <w:t>ated</w:t>
      </w:r>
      <w:r w:rsidR="00BF6E3C" w:rsidRPr="00DC2C55">
        <w:rPr>
          <w:rFonts w:ascii="Arial" w:hAnsi="Arial" w:cs="Arial"/>
        </w:rPr>
        <w:t xml:space="preserve"> </w:t>
      </w:r>
      <w:r w:rsidR="00F24579">
        <w:rPr>
          <w:rFonts w:ascii="Arial" w:hAnsi="Arial" w:cs="Arial"/>
        </w:rPr>
        <w:t>with the lower fee for this cohort.</w:t>
      </w:r>
    </w:p>
    <w:p w14:paraId="2B2E5E00" w14:textId="77777777" w:rsidR="005A45A6" w:rsidRDefault="005A45A6" w:rsidP="005A45A6">
      <w:pPr>
        <w:spacing w:line="360" w:lineRule="auto"/>
        <w:rPr>
          <w:rFonts w:ascii="Arial" w:hAnsi="Arial" w:cs="Arial"/>
        </w:rPr>
      </w:pPr>
    </w:p>
    <w:p w14:paraId="2CD8ECE2" w14:textId="77777777" w:rsidR="006D5596" w:rsidRDefault="003052A2" w:rsidP="00114B40">
      <w:pPr>
        <w:spacing w:line="360" w:lineRule="auto"/>
        <w:rPr>
          <w:rFonts w:ascii="Arial" w:hAnsi="Arial" w:cs="Arial"/>
        </w:rPr>
      </w:pPr>
      <w:r>
        <w:rPr>
          <w:rFonts w:ascii="Arial" w:hAnsi="Arial" w:cs="Arial"/>
        </w:rPr>
        <w:t xml:space="preserve">As noted earlier, while </w:t>
      </w:r>
      <w:r w:rsidR="007827FD">
        <w:rPr>
          <w:rFonts w:ascii="Arial" w:hAnsi="Arial" w:cs="Arial"/>
        </w:rPr>
        <w:t xml:space="preserve">we do not dispute the need to increase resourcing in ensuring that tax practitioners are compliant and the consumers are protected, this must </w:t>
      </w:r>
      <w:r w:rsidR="00F24579">
        <w:rPr>
          <w:rFonts w:ascii="Arial" w:hAnsi="Arial" w:cs="Arial"/>
        </w:rPr>
        <w:t xml:space="preserve">concurrently </w:t>
      </w:r>
      <w:r w:rsidR="007827FD">
        <w:rPr>
          <w:rFonts w:ascii="Arial" w:hAnsi="Arial" w:cs="Arial"/>
        </w:rPr>
        <w:t xml:space="preserve">be balanced against ensuring that registration costs do not operate as a barrier to entry </w:t>
      </w:r>
      <w:r w:rsidR="00282A8C">
        <w:rPr>
          <w:rFonts w:ascii="Arial" w:hAnsi="Arial" w:cs="Arial"/>
        </w:rPr>
        <w:t xml:space="preserve">for </w:t>
      </w:r>
      <w:r w:rsidR="00F24579">
        <w:rPr>
          <w:rFonts w:ascii="Arial" w:hAnsi="Arial" w:cs="Arial"/>
        </w:rPr>
        <w:t xml:space="preserve">younger </w:t>
      </w:r>
      <w:r w:rsidR="00282A8C">
        <w:rPr>
          <w:rFonts w:ascii="Arial" w:hAnsi="Arial" w:cs="Arial"/>
        </w:rPr>
        <w:t xml:space="preserve">tax practitioners </w:t>
      </w:r>
      <w:r w:rsidR="007E0BA5">
        <w:rPr>
          <w:rFonts w:ascii="Arial" w:hAnsi="Arial" w:cs="Arial"/>
        </w:rPr>
        <w:t xml:space="preserve">wanting to enter the profession </w:t>
      </w:r>
      <w:r w:rsidR="00282A8C">
        <w:rPr>
          <w:rFonts w:ascii="Arial" w:hAnsi="Arial" w:cs="Arial"/>
        </w:rPr>
        <w:t xml:space="preserve">nor act as a deterrent </w:t>
      </w:r>
      <w:r w:rsidR="007E0BA5">
        <w:rPr>
          <w:rFonts w:ascii="Arial" w:hAnsi="Arial" w:cs="Arial"/>
        </w:rPr>
        <w:t xml:space="preserve">for those who are currently tax agents, where the cumulative impact of rising costs makes being </w:t>
      </w:r>
      <w:r>
        <w:rPr>
          <w:rFonts w:ascii="Arial" w:hAnsi="Arial" w:cs="Arial"/>
        </w:rPr>
        <w:t>in the profession</w:t>
      </w:r>
      <w:r w:rsidR="007E0BA5">
        <w:rPr>
          <w:rFonts w:ascii="Arial" w:hAnsi="Arial" w:cs="Arial"/>
        </w:rPr>
        <w:t xml:space="preserve"> less </w:t>
      </w:r>
      <w:r w:rsidR="00F24579">
        <w:rPr>
          <w:rFonts w:ascii="Arial" w:hAnsi="Arial" w:cs="Arial"/>
        </w:rPr>
        <w:t xml:space="preserve">financially </w:t>
      </w:r>
      <w:r w:rsidR="007E0BA5">
        <w:rPr>
          <w:rFonts w:ascii="Arial" w:hAnsi="Arial" w:cs="Arial"/>
        </w:rPr>
        <w:t>desirable.</w:t>
      </w:r>
      <w:r w:rsidR="00206410">
        <w:rPr>
          <w:rFonts w:ascii="Arial" w:hAnsi="Arial" w:cs="Arial"/>
        </w:rPr>
        <w:t xml:space="preserve">  </w:t>
      </w:r>
      <w:r>
        <w:rPr>
          <w:rFonts w:ascii="Arial" w:hAnsi="Arial" w:cs="Arial"/>
        </w:rPr>
        <w:t xml:space="preserve">As noted, this </w:t>
      </w:r>
      <w:r w:rsidR="00206410">
        <w:rPr>
          <w:rFonts w:ascii="Arial" w:hAnsi="Arial" w:cs="Arial"/>
        </w:rPr>
        <w:t xml:space="preserve">is particularly the case </w:t>
      </w:r>
      <w:r w:rsidR="00F24579">
        <w:rPr>
          <w:rFonts w:ascii="Arial" w:hAnsi="Arial" w:cs="Arial"/>
        </w:rPr>
        <w:t>for the</w:t>
      </w:r>
      <w:r w:rsidR="00206410">
        <w:rPr>
          <w:rFonts w:ascii="Arial" w:hAnsi="Arial" w:cs="Arial"/>
        </w:rPr>
        <w:t xml:space="preserve"> large proportion of agents </w:t>
      </w:r>
      <w:r w:rsidR="00F24579">
        <w:rPr>
          <w:rFonts w:ascii="Arial" w:hAnsi="Arial" w:cs="Arial"/>
        </w:rPr>
        <w:t xml:space="preserve">who </w:t>
      </w:r>
      <w:r w:rsidR="00206410">
        <w:rPr>
          <w:rFonts w:ascii="Arial" w:hAnsi="Arial" w:cs="Arial"/>
        </w:rPr>
        <w:t>are approaching retirement age.</w:t>
      </w:r>
    </w:p>
    <w:p w14:paraId="19046D80" w14:textId="77777777" w:rsidR="007827FD" w:rsidRDefault="007827FD" w:rsidP="00114B40">
      <w:pPr>
        <w:spacing w:line="360" w:lineRule="auto"/>
        <w:rPr>
          <w:rFonts w:ascii="Arial" w:hAnsi="Arial" w:cs="Arial"/>
        </w:rPr>
      </w:pPr>
    </w:p>
    <w:p w14:paraId="59E98158" w14:textId="77777777" w:rsidR="006D5596" w:rsidRPr="00DC2C55" w:rsidRDefault="006D5596" w:rsidP="00114B40">
      <w:pPr>
        <w:spacing w:line="360" w:lineRule="auto"/>
        <w:rPr>
          <w:rFonts w:ascii="Arial" w:hAnsi="Arial" w:cs="Arial"/>
          <w:b/>
          <w:i/>
        </w:rPr>
      </w:pPr>
      <w:r w:rsidRPr="00DC2C55">
        <w:rPr>
          <w:rFonts w:ascii="Arial" w:hAnsi="Arial" w:cs="Arial"/>
          <w:b/>
          <w:i/>
        </w:rPr>
        <w:t>Professional indemnity insurance</w:t>
      </w:r>
      <w:r w:rsidR="00C01CC2" w:rsidRPr="00DC2C55">
        <w:rPr>
          <w:rFonts w:ascii="Arial" w:hAnsi="Arial" w:cs="Arial"/>
          <w:b/>
          <w:i/>
        </w:rPr>
        <w:t xml:space="preserve"> </w:t>
      </w:r>
    </w:p>
    <w:p w14:paraId="6E13EF7F" w14:textId="77777777" w:rsidR="009F751A" w:rsidRDefault="007827FD" w:rsidP="00114B40">
      <w:pPr>
        <w:spacing w:line="360" w:lineRule="auto"/>
        <w:rPr>
          <w:rFonts w:ascii="Arial" w:hAnsi="Arial" w:cs="Arial"/>
        </w:rPr>
      </w:pPr>
      <w:r>
        <w:rPr>
          <w:rFonts w:ascii="Arial" w:hAnsi="Arial" w:cs="Arial"/>
        </w:rPr>
        <w:t xml:space="preserve">The TASA requires that those who register as a tax agent with the TPB must have the appropriate level of professional indemnity insurance.  </w:t>
      </w:r>
      <w:r w:rsidR="009F751A">
        <w:rPr>
          <w:rFonts w:ascii="Arial" w:hAnsi="Arial" w:cs="Arial"/>
        </w:rPr>
        <w:t>The basis for imposing such a requirement is to ensure that consumers are protected in the event that there is a loss suffered due to an act, omission, error as a result of tax services provided.</w:t>
      </w:r>
    </w:p>
    <w:p w14:paraId="0DD7D5DF" w14:textId="77777777" w:rsidR="00C01CC2" w:rsidRDefault="00C01CC2" w:rsidP="00114B40">
      <w:pPr>
        <w:spacing w:line="360" w:lineRule="auto"/>
        <w:rPr>
          <w:rFonts w:ascii="Arial" w:hAnsi="Arial" w:cs="Arial"/>
        </w:rPr>
      </w:pPr>
    </w:p>
    <w:p w14:paraId="2C3493DF" w14:textId="77777777" w:rsidR="009F751A" w:rsidRDefault="009F751A" w:rsidP="00114B40">
      <w:pPr>
        <w:spacing w:line="360" w:lineRule="auto"/>
        <w:rPr>
          <w:rFonts w:ascii="Arial" w:hAnsi="Arial" w:cs="Arial"/>
        </w:rPr>
      </w:pPr>
      <w:r>
        <w:rPr>
          <w:rFonts w:ascii="Arial" w:hAnsi="Arial" w:cs="Arial"/>
        </w:rPr>
        <w:t>The minimum amount of professional indemnity insurance required is prescribed by the TPB is reproduced as follows:</w:t>
      </w:r>
    </w:p>
    <w:p w14:paraId="78198CE7" w14:textId="77777777" w:rsidR="009F751A" w:rsidRPr="006F1001" w:rsidRDefault="009F751A" w:rsidP="00DC2C55">
      <w:pPr>
        <w:spacing w:line="360" w:lineRule="auto"/>
        <w:rPr>
          <w:rFonts w:ascii="Arial" w:hAnsi="Arial" w:cs="Arial"/>
          <w:i/>
          <w:sz w:val="22"/>
          <w:szCs w:val="22"/>
        </w:rPr>
      </w:pPr>
      <w:r w:rsidRPr="006F1001">
        <w:rPr>
          <w:rFonts w:ascii="Arial" w:hAnsi="Arial" w:cs="Arial"/>
          <w:b/>
          <w:i/>
          <w:sz w:val="22"/>
          <w:szCs w:val="22"/>
        </w:rPr>
        <w:lastRenderedPageBreak/>
        <w:t>Amount of cover</w:t>
      </w:r>
    </w:p>
    <w:tbl>
      <w:tblPr>
        <w:tblW w:w="8827"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Description w:val="Table showing minimum amount of cover required"/>
      </w:tblPr>
      <w:tblGrid>
        <w:gridCol w:w="1011"/>
        <w:gridCol w:w="3103"/>
        <w:gridCol w:w="4713"/>
      </w:tblGrid>
      <w:tr w:rsidR="009F751A" w:rsidRPr="006F1001" w14:paraId="385EC81D" w14:textId="77777777" w:rsidTr="00F4129B">
        <w:trPr>
          <w:tblHeader/>
        </w:trPr>
        <w:tc>
          <w:tcPr>
            <w:tcW w:w="0" w:type="auto"/>
            <w:tcBorders>
              <w:top w:val="single" w:sz="6" w:space="0" w:color="5F6062"/>
              <w:left w:val="single" w:sz="6" w:space="0" w:color="5F6062"/>
              <w:bottom w:val="single" w:sz="6" w:space="0" w:color="5F6062"/>
              <w:right w:val="single" w:sz="6" w:space="0" w:color="5F6062"/>
            </w:tcBorders>
            <w:shd w:val="clear" w:color="auto" w:fill="C8E3C2"/>
            <w:tcMar>
              <w:top w:w="180" w:type="dxa"/>
              <w:left w:w="180" w:type="dxa"/>
              <w:bottom w:w="180" w:type="dxa"/>
              <w:right w:w="180" w:type="dxa"/>
            </w:tcMar>
            <w:vAlign w:val="center"/>
            <w:hideMark/>
          </w:tcPr>
          <w:p w14:paraId="073F7148" w14:textId="77777777" w:rsidR="009F751A" w:rsidRPr="006F1001" w:rsidRDefault="009F751A" w:rsidP="00F4129B">
            <w:pPr>
              <w:spacing w:line="360" w:lineRule="auto"/>
              <w:jc w:val="center"/>
              <w:rPr>
                <w:rFonts w:ascii="Arial" w:hAnsi="Arial" w:cs="Arial"/>
                <w:i/>
                <w:sz w:val="22"/>
                <w:szCs w:val="22"/>
              </w:rPr>
            </w:pPr>
            <w:r w:rsidRPr="006F1001">
              <w:rPr>
                <w:rFonts w:ascii="Arial" w:hAnsi="Arial" w:cs="Arial"/>
                <w:i/>
                <w:sz w:val="22"/>
                <w:szCs w:val="22"/>
              </w:rPr>
              <w:t>Tier</w:t>
            </w:r>
          </w:p>
        </w:tc>
        <w:tc>
          <w:tcPr>
            <w:tcW w:w="0" w:type="auto"/>
            <w:tcBorders>
              <w:top w:val="single" w:sz="6" w:space="0" w:color="5F6062"/>
              <w:left w:val="single" w:sz="6" w:space="0" w:color="5F6062"/>
              <w:bottom w:val="single" w:sz="6" w:space="0" w:color="5F6062"/>
              <w:right w:val="single" w:sz="6" w:space="0" w:color="5F6062"/>
            </w:tcBorders>
            <w:shd w:val="clear" w:color="auto" w:fill="C8E3C2"/>
            <w:tcMar>
              <w:top w:w="180" w:type="dxa"/>
              <w:left w:w="180" w:type="dxa"/>
              <w:bottom w:w="180" w:type="dxa"/>
              <w:right w:w="180" w:type="dxa"/>
            </w:tcMar>
            <w:vAlign w:val="center"/>
            <w:hideMark/>
          </w:tcPr>
          <w:p w14:paraId="27E99845" w14:textId="77777777" w:rsidR="009F751A" w:rsidRPr="006F1001" w:rsidRDefault="009F751A" w:rsidP="00F4129B">
            <w:pPr>
              <w:spacing w:line="360" w:lineRule="auto"/>
              <w:jc w:val="center"/>
              <w:rPr>
                <w:rFonts w:ascii="Arial" w:hAnsi="Arial" w:cs="Arial"/>
                <w:i/>
                <w:sz w:val="22"/>
                <w:szCs w:val="22"/>
              </w:rPr>
            </w:pPr>
            <w:r w:rsidRPr="006F1001">
              <w:rPr>
                <w:rFonts w:ascii="Arial" w:hAnsi="Arial" w:cs="Arial"/>
                <w:i/>
                <w:sz w:val="22"/>
                <w:szCs w:val="22"/>
              </w:rPr>
              <w:t>Turnover</w:t>
            </w:r>
          </w:p>
          <w:p w14:paraId="478362FC" w14:textId="77777777" w:rsidR="009F751A" w:rsidRPr="006F1001" w:rsidRDefault="009F751A" w:rsidP="00F4129B">
            <w:pPr>
              <w:spacing w:line="360" w:lineRule="auto"/>
              <w:jc w:val="center"/>
              <w:rPr>
                <w:rFonts w:ascii="Arial" w:hAnsi="Arial" w:cs="Arial"/>
                <w:i/>
                <w:sz w:val="22"/>
                <w:szCs w:val="22"/>
              </w:rPr>
            </w:pPr>
            <w:r w:rsidRPr="006F1001">
              <w:rPr>
                <w:rFonts w:ascii="Arial" w:hAnsi="Arial" w:cs="Arial"/>
                <w:i/>
                <w:sz w:val="22"/>
                <w:szCs w:val="22"/>
              </w:rPr>
              <w:t>(excluding GST)</w:t>
            </w:r>
          </w:p>
        </w:tc>
        <w:tc>
          <w:tcPr>
            <w:tcW w:w="4713" w:type="dxa"/>
            <w:tcBorders>
              <w:top w:val="single" w:sz="6" w:space="0" w:color="5F6062"/>
              <w:left w:val="single" w:sz="6" w:space="0" w:color="5F6062"/>
              <w:bottom w:val="single" w:sz="6" w:space="0" w:color="5F6062"/>
              <w:right w:val="single" w:sz="6" w:space="0" w:color="5F6062"/>
            </w:tcBorders>
            <w:shd w:val="clear" w:color="auto" w:fill="C8E3C2"/>
            <w:tcMar>
              <w:top w:w="180" w:type="dxa"/>
              <w:left w:w="180" w:type="dxa"/>
              <w:bottom w:w="180" w:type="dxa"/>
              <w:right w:w="180" w:type="dxa"/>
            </w:tcMar>
            <w:vAlign w:val="center"/>
            <w:hideMark/>
          </w:tcPr>
          <w:p w14:paraId="1679482C" w14:textId="77777777" w:rsidR="009F751A" w:rsidRPr="006F1001" w:rsidRDefault="009F751A" w:rsidP="00F4129B">
            <w:pPr>
              <w:spacing w:line="360" w:lineRule="auto"/>
              <w:jc w:val="center"/>
              <w:rPr>
                <w:rFonts w:ascii="Arial" w:hAnsi="Arial" w:cs="Arial"/>
                <w:i/>
                <w:sz w:val="22"/>
                <w:szCs w:val="22"/>
              </w:rPr>
            </w:pPr>
            <w:r w:rsidRPr="006F1001">
              <w:rPr>
                <w:rFonts w:ascii="Arial" w:hAnsi="Arial" w:cs="Arial"/>
                <w:i/>
                <w:sz w:val="22"/>
                <w:szCs w:val="22"/>
              </w:rPr>
              <w:t>Minimum aggregate amount of cover*</w:t>
            </w:r>
          </w:p>
          <w:p w14:paraId="45D285AB" w14:textId="77777777" w:rsidR="009F751A" w:rsidRPr="006F1001" w:rsidRDefault="009F751A" w:rsidP="00F4129B">
            <w:pPr>
              <w:spacing w:line="360" w:lineRule="auto"/>
              <w:jc w:val="center"/>
              <w:rPr>
                <w:rFonts w:ascii="Arial" w:hAnsi="Arial" w:cs="Arial"/>
                <w:i/>
                <w:sz w:val="22"/>
                <w:szCs w:val="22"/>
              </w:rPr>
            </w:pPr>
            <w:r w:rsidRPr="006F1001">
              <w:rPr>
                <w:rFonts w:ascii="Arial" w:hAnsi="Arial" w:cs="Arial"/>
                <w:i/>
                <w:sz w:val="22"/>
                <w:szCs w:val="22"/>
              </w:rPr>
              <w:t>(inclusive of legal and defence costs)</w:t>
            </w:r>
          </w:p>
        </w:tc>
      </w:tr>
      <w:tr w:rsidR="009F751A" w:rsidRPr="006F1001" w14:paraId="374103AA" w14:textId="77777777" w:rsidTr="00F4129B">
        <w:tc>
          <w:tcPr>
            <w:tcW w:w="0" w:type="auto"/>
            <w:tcBorders>
              <w:top w:val="single" w:sz="6" w:space="0" w:color="5F6062"/>
              <w:left w:val="single" w:sz="6" w:space="0" w:color="5F6062"/>
              <w:bottom w:val="single" w:sz="6" w:space="0" w:color="5F6062"/>
              <w:right w:val="single" w:sz="6" w:space="0" w:color="5F6062"/>
            </w:tcBorders>
            <w:tcMar>
              <w:top w:w="180" w:type="dxa"/>
              <w:left w:w="180" w:type="dxa"/>
              <w:bottom w:w="180" w:type="dxa"/>
              <w:right w:w="180" w:type="dxa"/>
            </w:tcMar>
            <w:vAlign w:val="center"/>
            <w:hideMark/>
          </w:tcPr>
          <w:p w14:paraId="272FD5F5" w14:textId="77777777" w:rsidR="009F751A" w:rsidRPr="006F1001" w:rsidRDefault="009F751A" w:rsidP="00F4129B">
            <w:pPr>
              <w:spacing w:line="360" w:lineRule="auto"/>
              <w:jc w:val="center"/>
              <w:rPr>
                <w:rFonts w:ascii="Arial" w:hAnsi="Arial" w:cs="Arial"/>
                <w:i/>
                <w:sz w:val="22"/>
                <w:szCs w:val="22"/>
              </w:rPr>
            </w:pPr>
            <w:r w:rsidRPr="006F1001">
              <w:rPr>
                <w:rFonts w:ascii="Arial" w:hAnsi="Arial" w:cs="Arial"/>
                <w:i/>
                <w:sz w:val="22"/>
                <w:szCs w:val="22"/>
              </w:rPr>
              <w:t>1</w:t>
            </w:r>
          </w:p>
        </w:tc>
        <w:tc>
          <w:tcPr>
            <w:tcW w:w="0" w:type="auto"/>
            <w:tcBorders>
              <w:top w:val="single" w:sz="6" w:space="0" w:color="5F6062"/>
              <w:left w:val="single" w:sz="6" w:space="0" w:color="5F6062"/>
              <w:bottom w:val="single" w:sz="6" w:space="0" w:color="5F6062"/>
              <w:right w:val="single" w:sz="6" w:space="0" w:color="5F6062"/>
            </w:tcBorders>
            <w:tcMar>
              <w:top w:w="180" w:type="dxa"/>
              <w:left w:w="180" w:type="dxa"/>
              <w:bottom w:w="180" w:type="dxa"/>
              <w:right w:w="180" w:type="dxa"/>
            </w:tcMar>
            <w:vAlign w:val="center"/>
            <w:hideMark/>
          </w:tcPr>
          <w:p w14:paraId="712FCE2D" w14:textId="77777777" w:rsidR="009F751A" w:rsidRPr="006F1001" w:rsidRDefault="009F751A" w:rsidP="00F4129B">
            <w:pPr>
              <w:spacing w:line="360" w:lineRule="auto"/>
              <w:jc w:val="center"/>
              <w:rPr>
                <w:rFonts w:ascii="Arial" w:hAnsi="Arial" w:cs="Arial"/>
                <w:i/>
                <w:sz w:val="22"/>
                <w:szCs w:val="22"/>
              </w:rPr>
            </w:pPr>
            <w:r w:rsidRPr="006F1001">
              <w:rPr>
                <w:rFonts w:ascii="Arial" w:hAnsi="Arial" w:cs="Arial"/>
                <w:i/>
                <w:sz w:val="22"/>
                <w:szCs w:val="22"/>
              </w:rPr>
              <w:t>Up to $75,000</w:t>
            </w:r>
          </w:p>
        </w:tc>
        <w:tc>
          <w:tcPr>
            <w:tcW w:w="4713" w:type="dxa"/>
            <w:tcBorders>
              <w:top w:val="single" w:sz="6" w:space="0" w:color="5F6062"/>
              <w:left w:val="single" w:sz="6" w:space="0" w:color="5F6062"/>
              <w:bottom w:val="single" w:sz="6" w:space="0" w:color="5F6062"/>
              <w:right w:val="single" w:sz="6" w:space="0" w:color="5F6062"/>
            </w:tcBorders>
            <w:tcMar>
              <w:top w:w="180" w:type="dxa"/>
              <w:left w:w="180" w:type="dxa"/>
              <w:bottom w:w="180" w:type="dxa"/>
              <w:right w:w="180" w:type="dxa"/>
            </w:tcMar>
            <w:vAlign w:val="center"/>
            <w:hideMark/>
          </w:tcPr>
          <w:p w14:paraId="52057AB3" w14:textId="77777777" w:rsidR="009F751A" w:rsidRPr="006F1001" w:rsidRDefault="009F751A" w:rsidP="00F4129B">
            <w:pPr>
              <w:spacing w:line="360" w:lineRule="auto"/>
              <w:jc w:val="center"/>
              <w:rPr>
                <w:rFonts w:ascii="Arial" w:hAnsi="Arial" w:cs="Arial"/>
                <w:i/>
                <w:sz w:val="22"/>
                <w:szCs w:val="22"/>
              </w:rPr>
            </w:pPr>
            <w:r w:rsidRPr="006F1001">
              <w:rPr>
                <w:rFonts w:ascii="Arial" w:hAnsi="Arial" w:cs="Arial"/>
                <w:i/>
                <w:sz w:val="22"/>
                <w:szCs w:val="22"/>
              </w:rPr>
              <w:t>$250,000</w:t>
            </w:r>
          </w:p>
        </w:tc>
      </w:tr>
      <w:tr w:rsidR="009F751A" w:rsidRPr="006F1001" w14:paraId="25E58B8F" w14:textId="77777777" w:rsidTr="00F4129B">
        <w:tc>
          <w:tcPr>
            <w:tcW w:w="0" w:type="auto"/>
            <w:tcBorders>
              <w:top w:val="single" w:sz="6" w:space="0" w:color="5F6062"/>
              <w:left w:val="single" w:sz="6" w:space="0" w:color="5F6062"/>
              <w:bottom w:val="single" w:sz="6" w:space="0" w:color="5F6062"/>
              <w:right w:val="single" w:sz="6" w:space="0" w:color="5F6062"/>
            </w:tcBorders>
            <w:tcMar>
              <w:top w:w="180" w:type="dxa"/>
              <w:left w:w="180" w:type="dxa"/>
              <w:bottom w:w="180" w:type="dxa"/>
              <w:right w:w="180" w:type="dxa"/>
            </w:tcMar>
            <w:vAlign w:val="center"/>
            <w:hideMark/>
          </w:tcPr>
          <w:p w14:paraId="5436540B" w14:textId="77777777" w:rsidR="009F751A" w:rsidRPr="006F1001" w:rsidRDefault="009F751A" w:rsidP="00F4129B">
            <w:pPr>
              <w:spacing w:line="360" w:lineRule="auto"/>
              <w:jc w:val="center"/>
              <w:rPr>
                <w:rFonts w:ascii="Arial" w:hAnsi="Arial" w:cs="Arial"/>
                <w:i/>
                <w:sz w:val="22"/>
                <w:szCs w:val="22"/>
              </w:rPr>
            </w:pPr>
            <w:r w:rsidRPr="006F1001">
              <w:rPr>
                <w:rFonts w:ascii="Arial" w:hAnsi="Arial" w:cs="Arial"/>
                <w:i/>
                <w:sz w:val="22"/>
                <w:szCs w:val="22"/>
              </w:rPr>
              <w:t>2</w:t>
            </w:r>
          </w:p>
        </w:tc>
        <w:tc>
          <w:tcPr>
            <w:tcW w:w="0" w:type="auto"/>
            <w:tcBorders>
              <w:top w:val="single" w:sz="6" w:space="0" w:color="5F6062"/>
              <w:left w:val="single" w:sz="6" w:space="0" w:color="5F6062"/>
              <w:bottom w:val="single" w:sz="6" w:space="0" w:color="5F6062"/>
              <w:right w:val="single" w:sz="6" w:space="0" w:color="5F6062"/>
            </w:tcBorders>
            <w:tcMar>
              <w:top w:w="180" w:type="dxa"/>
              <w:left w:w="180" w:type="dxa"/>
              <w:bottom w:w="180" w:type="dxa"/>
              <w:right w:w="180" w:type="dxa"/>
            </w:tcMar>
            <w:vAlign w:val="center"/>
            <w:hideMark/>
          </w:tcPr>
          <w:p w14:paraId="4343082E" w14:textId="77777777" w:rsidR="009F751A" w:rsidRPr="006F1001" w:rsidRDefault="009F751A" w:rsidP="00F4129B">
            <w:pPr>
              <w:spacing w:line="360" w:lineRule="auto"/>
              <w:jc w:val="center"/>
              <w:rPr>
                <w:rFonts w:ascii="Arial" w:hAnsi="Arial" w:cs="Arial"/>
                <w:i/>
                <w:sz w:val="22"/>
                <w:szCs w:val="22"/>
              </w:rPr>
            </w:pPr>
            <w:r w:rsidRPr="006F1001">
              <w:rPr>
                <w:rFonts w:ascii="Arial" w:hAnsi="Arial" w:cs="Arial"/>
                <w:i/>
                <w:sz w:val="22"/>
                <w:szCs w:val="22"/>
              </w:rPr>
              <w:t>$75,001 - $500,000</w:t>
            </w:r>
          </w:p>
        </w:tc>
        <w:tc>
          <w:tcPr>
            <w:tcW w:w="4713" w:type="dxa"/>
            <w:tcBorders>
              <w:top w:val="single" w:sz="6" w:space="0" w:color="5F6062"/>
              <w:left w:val="single" w:sz="6" w:space="0" w:color="5F6062"/>
              <w:bottom w:val="single" w:sz="6" w:space="0" w:color="5F6062"/>
              <w:right w:val="single" w:sz="6" w:space="0" w:color="5F6062"/>
            </w:tcBorders>
            <w:tcMar>
              <w:top w:w="180" w:type="dxa"/>
              <w:left w:w="180" w:type="dxa"/>
              <w:bottom w:w="180" w:type="dxa"/>
              <w:right w:w="180" w:type="dxa"/>
            </w:tcMar>
            <w:vAlign w:val="center"/>
            <w:hideMark/>
          </w:tcPr>
          <w:p w14:paraId="7D9DB2E9" w14:textId="77777777" w:rsidR="009F751A" w:rsidRPr="006F1001" w:rsidRDefault="009F751A" w:rsidP="00F4129B">
            <w:pPr>
              <w:spacing w:line="360" w:lineRule="auto"/>
              <w:jc w:val="center"/>
              <w:rPr>
                <w:rFonts w:ascii="Arial" w:hAnsi="Arial" w:cs="Arial"/>
                <w:i/>
                <w:sz w:val="22"/>
                <w:szCs w:val="22"/>
              </w:rPr>
            </w:pPr>
            <w:r w:rsidRPr="006F1001">
              <w:rPr>
                <w:rFonts w:ascii="Arial" w:hAnsi="Arial" w:cs="Arial"/>
                <w:i/>
                <w:sz w:val="22"/>
                <w:szCs w:val="22"/>
              </w:rPr>
              <w:t>$500,000</w:t>
            </w:r>
          </w:p>
        </w:tc>
      </w:tr>
      <w:tr w:rsidR="009F751A" w:rsidRPr="006F1001" w14:paraId="1CAFE120" w14:textId="77777777" w:rsidTr="00F4129B">
        <w:tc>
          <w:tcPr>
            <w:tcW w:w="0" w:type="auto"/>
            <w:tcBorders>
              <w:top w:val="single" w:sz="6" w:space="0" w:color="5F6062"/>
              <w:left w:val="single" w:sz="6" w:space="0" w:color="5F6062"/>
              <w:bottom w:val="single" w:sz="6" w:space="0" w:color="5F6062"/>
              <w:right w:val="single" w:sz="6" w:space="0" w:color="5F6062"/>
            </w:tcBorders>
            <w:tcMar>
              <w:top w:w="180" w:type="dxa"/>
              <w:left w:w="180" w:type="dxa"/>
              <w:bottom w:w="180" w:type="dxa"/>
              <w:right w:w="180" w:type="dxa"/>
            </w:tcMar>
            <w:vAlign w:val="center"/>
            <w:hideMark/>
          </w:tcPr>
          <w:p w14:paraId="7227AA9D" w14:textId="77777777" w:rsidR="009F751A" w:rsidRPr="006F1001" w:rsidRDefault="009F751A" w:rsidP="00F4129B">
            <w:pPr>
              <w:spacing w:line="360" w:lineRule="auto"/>
              <w:jc w:val="center"/>
              <w:rPr>
                <w:rFonts w:ascii="Arial" w:hAnsi="Arial" w:cs="Arial"/>
                <w:i/>
                <w:sz w:val="22"/>
                <w:szCs w:val="22"/>
              </w:rPr>
            </w:pPr>
            <w:r w:rsidRPr="006F1001">
              <w:rPr>
                <w:rFonts w:ascii="Arial" w:hAnsi="Arial" w:cs="Arial"/>
                <w:i/>
                <w:sz w:val="22"/>
                <w:szCs w:val="22"/>
              </w:rPr>
              <w:t>3</w:t>
            </w:r>
          </w:p>
        </w:tc>
        <w:tc>
          <w:tcPr>
            <w:tcW w:w="0" w:type="auto"/>
            <w:tcBorders>
              <w:top w:val="single" w:sz="6" w:space="0" w:color="5F6062"/>
              <w:left w:val="single" w:sz="6" w:space="0" w:color="5F6062"/>
              <w:bottom w:val="single" w:sz="6" w:space="0" w:color="5F6062"/>
              <w:right w:val="single" w:sz="6" w:space="0" w:color="5F6062"/>
            </w:tcBorders>
            <w:tcMar>
              <w:top w:w="180" w:type="dxa"/>
              <w:left w:w="180" w:type="dxa"/>
              <w:bottom w:w="180" w:type="dxa"/>
              <w:right w:w="180" w:type="dxa"/>
            </w:tcMar>
            <w:vAlign w:val="center"/>
            <w:hideMark/>
          </w:tcPr>
          <w:p w14:paraId="76C935AE" w14:textId="77777777" w:rsidR="009F751A" w:rsidRPr="006F1001" w:rsidRDefault="009F751A" w:rsidP="00F4129B">
            <w:pPr>
              <w:spacing w:line="360" w:lineRule="auto"/>
              <w:jc w:val="center"/>
              <w:rPr>
                <w:rFonts w:ascii="Arial" w:hAnsi="Arial" w:cs="Arial"/>
                <w:i/>
                <w:sz w:val="22"/>
                <w:szCs w:val="22"/>
              </w:rPr>
            </w:pPr>
            <w:r w:rsidRPr="006F1001">
              <w:rPr>
                <w:rFonts w:ascii="Arial" w:hAnsi="Arial" w:cs="Arial"/>
                <w:i/>
                <w:sz w:val="22"/>
                <w:szCs w:val="22"/>
              </w:rPr>
              <w:t>Over $500,000</w:t>
            </w:r>
          </w:p>
        </w:tc>
        <w:tc>
          <w:tcPr>
            <w:tcW w:w="4713" w:type="dxa"/>
            <w:tcBorders>
              <w:top w:val="single" w:sz="6" w:space="0" w:color="5F6062"/>
              <w:left w:val="single" w:sz="6" w:space="0" w:color="5F6062"/>
              <w:bottom w:val="single" w:sz="6" w:space="0" w:color="5F6062"/>
              <w:right w:val="single" w:sz="6" w:space="0" w:color="5F6062"/>
            </w:tcBorders>
            <w:tcMar>
              <w:top w:w="180" w:type="dxa"/>
              <w:left w:w="180" w:type="dxa"/>
              <w:bottom w:w="180" w:type="dxa"/>
              <w:right w:w="180" w:type="dxa"/>
            </w:tcMar>
            <w:vAlign w:val="center"/>
            <w:hideMark/>
          </w:tcPr>
          <w:p w14:paraId="201D3CBD" w14:textId="77777777" w:rsidR="009F751A" w:rsidRPr="006F1001" w:rsidRDefault="009F751A" w:rsidP="00F4129B">
            <w:pPr>
              <w:spacing w:line="360" w:lineRule="auto"/>
              <w:jc w:val="center"/>
              <w:rPr>
                <w:rFonts w:ascii="Arial" w:hAnsi="Arial" w:cs="Arial"/>
                <w:i/>
                <w:sz w:val="22"/>
                <w:szCs w:val="22"/>
              </w:rPr>
            </w:pPr>
            <w:r w:rsidRPr="006F1001">
              <w:rPr>
                <w:rFonts w:ascii="Arial" w:hAnsi="Arial" w:cs="Arial"/>
                <w:i/>
                <w:sz w:val="22"/>
                <w:szCs w:val="22"/>
              </w:rPr>
              <w:t>$1,000,000</w:t>
            </w:r>
          </w:p>
        </w:tc>
      </w:tr>
    </w:tbl>
    <w:p w14:paraId="225C4086" w14:textId="77777777" w:rsidR="009F751A" w:rsidRPr="006F1001" w:rsidRDefault="009F751A" w:rsidP="009F751A">
      <w:pPr>
        <w:spacing w:line="360" w:lineRule="auto"/>
        <w:rPr>
          <w:rFonts w:ascii="Arial" w:hAnsi="Arial" w:cs="Arial"/>
          <w:sz w:val="22"/>
          <w:szCs w:val="22"/>
        </w:rPr>
      </w:pPr>
    </w:p>
    <w:p w14:paraId="48241B7D" w14:textId="77777777" w:rsidR="009F751A" w:rsidRPr="006F1001" w:rsidRDefault="009F751A" w:rsidP="00DC2C55">
      <w:pPr>
        <w:spacing w:line="360" w:lineRule="auto"/>
        <w:rPr>
          <w:rFonts w:ascii="Arial" w:hAnsi="Arial" w:cs="Arial"/>
          <w:i/>
          <w:sz w:val="22"/>
          <w:szCs w:val="22"/>
        </w:rPr>
      </w:pPr>
      <w:r w:rsidRPr="006F1001">
        <w:rPr>
          <w:rFonts w:ascii="Arial" w:hAnsi="Arial" w:cs="Arial"/>
          <w:i/>
          <w:sz w:val="22"/>
          <w:szCs w:val="22"/>
        </w:rPr>
        <w:t>*Please note that what is an appropriate amount of cover for you may in fact be more than what is set as the minimum requirement.</w:t>
      </w:r>
    </w:p>
    <w:p w14:paraId="2C3F56D7" w14:textId="77777777" w:rsidR="009F751A" w:rsidRDefault="009F751A" w:rsidP="00114B40">
      <w:pPr>
        <w:spacing w:line="360" w:lineRule="auto"/>
        <w:rPr>
          <w:rFonts w:ascii="Arial" w:hAnsi="Arial" w:cs="Arial"/>
        </w:rPr>
      </w:pPr>
    </w:p>
    <w:p w14:paraId="14F33413" w14:textId="77777777" w:rsidR="009F751A" w:rsidRDefault="00C01CC2" w:rsidP="00114B40">
      <w:pPr>
        <w:spacing w:line="360" w:lineRule="auto"/>
        <w:rPr>
          <w:rFonts w:ascii="Arial" w:hAnsi="Arial" w:cs="Arial"/>
        </w:rPr>
      </w:pPr>
      <w:r>
        <w:rPr>
          <w:rFonts w:ascii="Arial" w:hAnsi="Arial" w:cs="Arial"/>
        </w:rPr>
        <w:t xml:space="preserve">The majority of tax agents would be members </w:t>
      </w:r>
      <w:r w:rsidR="007E0BA5">
        <w:rPr>
          <w:rFonts w:ascii="Arial" w:hAnsi="Arial" w:cs="Arial"/>
        </w:rPr>
        <w:t xml:space="preserve">of a </w:t>
      </w:r>
      <w:r w:rsidR="00206410">
        <w:rPr>
          <w:rFonts w:ascii="Arial" w:hAnsi="Arial" w:cs="Arial"/>
        </w:rPr>
        <w:t xml:space="preserve">recognised professional association, the IPA being one such accredited body by the TPB.  For most of these </w:t>
      </w:r>
      <w:r w:rsidR="00094774">
        <w:rPr>
          <w:rFonts w:ascii="Arial" w:hAnsi="Arial" w:cs="Arial"/>
        </w:rPr>
        <w:t xml:space="preserve">recognised professional associations, the minimum level of cover imposed is $2 million regardless of the individual’s turnover.  The </w:t>
      </w:r>
      <w:r w:rsidR="00F24579">
        <w:rPr>
          <w:rFonts w:ascii="Arial" w:hAnsi="Arial" w:cs="Arial"/>
        </w:rPr>
        <w:t>amount imposed by the TPB is</w:t>
      </w:r>
      <w:r w:rsidR="00094774">
        <w:rPr>
          <w:rFonts w:ascii="Arial" w:hAnsi="Arial" w:cs="Arial"/>
        </w:rPr>
        <w:t xml:space="preserve"> short of the professional bodies.</w:t>
      </w:r>
    </w:p>
    <w:p w14:paraId="512178B2" w14:textId="77777777" w:rsidR="00C01CC2" w:rsidRDefault="00C01CC2" w:rsidP="00114B40">
      <w:pPr>
        <w:spacing w:line="360" w:lineRule="auto"/>
        <w:rPr>
          <w:rFonts w:ascii="Arial" w:hAnsi="Arial" w:cs="Arial"/>
        </w:rPr>
      </w:pPr>
    </w:p>
    <w:p w14:paraId="0C201C8F" w14:textId="77777777" w:rsidR="00C01CC2" w:rsidRDefault="00C01CC2" w:rsidP="00114B40">
      <w:pPr>
        <w:spacing w:line="360" w:lineRule="auto"/>
        <w:rPr>
          <w:rFonts w:ascii="Arial" w:hAnsi="Arial" w:cs="Arial"/>
        </w:rPr>
      </w:pPr>
      <w:r>
        <w:rPr>
          <w:rFonts w:ascii="Arial" w:hAnsi="Arial" w:cs="Arial"/>
        </w:rPr>
        <w:t xml:space="preserve">We therefore recommend that the Government evaluate whether it would be appropriate for the minimum amount of insurance cover be increased so that it is aligned with </w:t>
      </w:r>
      <w:r w:rsidR="00094774">
        <w:rPr>
          <w:rFonts w:ascii="Arial" w:hAnsi="Arial" w:cs="Arial"/>
        </w:rPr>
        <w:t>the requirements of the professional associations.</w:t>
      </w:r>
    </w:p>
    <w:p w14:paraId="46F44FE6" w14:textId="77777777" w:rsidR="006812B4" w:rsidRDefault="006812B4" w:rsidP="00182077">
      <w:pPr>
        <w:spacing w:line="360" w:lineRule="auto"/>
        <w:rPr>
          <w:rFonts w:ascii="Arial" w:hAnsi="Arial" w:cs="Arial"/>
        </w:rPr>
      </w:pPr>
    </w:p>
    <w:p w14:paraId="25A9FC01" w14:textId="77777777" w:rsidR="006812B4" w:rsidRDefault="006812B4" w:rsidP="00182077">
      <w:pPr>
        <w:spacing w:line="360" w:lineRule="auto"/>
        <w:rPr>
          <w:rFonts w:ascii="Arial" w:hAnsi="Arial" w:cs="Arial"/>
        </w:rPr>
      </w:pPr>
    </w:p>
    <w:p w14:paraId="053576DA" w14:textId="77777777" w:rsidR="00C538CD" w:rsidRPr="006305BD" w:rsidRDefault="00C538CD" w:rsidP="00DC2C55">
      <w:pPr>
        <w:suppressAutoHyphens w:val="0"/>
        <w:rPr>
          <w:rFonts w:ascii="Arial" w:hAnsi="Arial" w:cs="Arial"/>
        </w:rPr>
      </w:pPr>
    </w:p>
    <w:p w14:paraId="6F1D3D6B" w14:textId="77777777" w:rsidR="006F0E9A" w:rsidRDefault="006F0E9A" w:rsidP="00114B40">
      <w:pPr>
        <w:spacing w:line="360" w:lineRule="auto"/>
        <w:rPr>
          <w:rFonts w:ascii="Arial" w:hAnsi="Arial" w:cs="Arial"/>
          <w:b/>
        </w:rPr>
      </w:pPr>
    </w:p>
    <w:p w14:paraId="4FCA22DD" w14:textId="77777777" w:rsidR="006F0E9A" w:rsidRDefault="006F0E9A" w:rsidP="00114B40">
      <w:pPr>
        <w:spacing w:line="360" w:lineRule="auto"/>
        <w:rPr>
          <w:rFonts w:ascii="Arial" w:hAnsi="Arial" w:cs="Arial"/>
          <w:b/>
        </w:rPr>
      </w:pPr>
    </w:p>
    <w:p w14:paraId="18A84ED4" w14:textId="77777777" w:rsidR="00BA27FA" w:rsidRPr="008E4D40" w:rsidRDefault="00BA27FA" w:rsidP="00114B40">
      <w:pPr>
        <w:spacing w:line="360" w:lineRule="auto"/>
        <w:rPr>
          <w:rFonts w:ascii="Arial" w:hAnsi="Arial" w:cs="Arial"/>
        </w:rPr>
      </w:pPr>
    </w:p>
    <w:p w14:paraId="0BE4ECFE" w14:textId="77777777" w:rsidR="00685C49" w:rsidRDefault="00685C49">
      <w:pPr>
        <w:suppressAutoHyphens w:val="0"/>
        <w:rPr>
          <w:rFonts w:ascii="Arial" w:hAnsi="Arial" w:cs="Arial"/>
        </w:rPr>
      </w:pPr>
    </w:p>
    <w:p w14:paraId="686474CF" w14:textId="77777777" w:rsidR="006D68C1" w:rsidRDefault="006D68C1">
      <w:pPr>
        <w:suppressAutoHyphens w:val="0"/>
        <w:rPr>
          <w:rFonts w:ascii="Arial" w:hAnsi="Arial" w:cs="Arial"/>
        </w:rPr>
      </w:pPr>
    </w:p>
    <w:p w14:paraId="70E20D4D" w14:textId="77777777" w:rsidR="00572CAE" w:rsidRDefault="00572CAE" w:rsidP="00114B40">
      <w:pPr>
        <w:spacing w:line="360" w:lineRule="auto"/>
        <w:rPr>
          <w:rFonts w:ascii="Arial" w:hAnsi="Arial" w:cs="Arial"/>
        </w:rPr>
      </w:pPr>
    </w:p>
    <w:p w14:paraId="2B253697" w14:textId="77777777" w:rsidR="006F1001" w:rsidRDefault="006F1001" w:rsidP="00114B40">
      <w:pPr>
        <w:spacing w:line="360" w:lineRule="auto"/>
        <w:rPr>
          <w:rFonts w:ascii="Arial" w:hAnsi="Arial" w:cs="Arial"/>
        </w:rPr>
      </w:pPr>
    </w:p>
    <w:p w14:paraId="4DABFCD2" w14:textId="77777777" w:rsidR="006F1001" w:rsidRDefault="006F1001" w:rsidP="00114B40">
      <w:pPr>
        <w:spacing w:line="360" w:lineRule="auto"/>
        <w:rPr>
          <w:rFonts w:ascii="Arial" w:hAnsi="Arial" w:cs="Arial"/>
        </w:rPr>
      </w:pPr>
    </w:p>
    <w:p w14:paraId="5A0EE672" w14:textId="77777777" w:rsidR="009667F7" w:rsidRPr="00A53276" w:rsidRDefault="009667F7" w:rsidP="009667F7">
      <w:pPr>
        <w:pBdr>
          <w:top w:val="single" w:sz="4" w:space="0" w:color="CA5420"/>
          <w:left w:val="single" w:sz="4" w:space="4" w:color="CA5420"/>
          <w:bottom w:val="single" w:sz="4" w:space="0" w:color="CA5420"/>
          <w:right w:val="single" w:sz="4" w:space="4" w:color="CA5420"/>
        </w:pBdr>
        <w:rPr>
          <w:rFonts w:ascii="Arial" w:hAnsi="Arial" w:cs="Arial"/>
          <w:color w:val="63666A"/>
        </w:rPr>
      </w:pPr>
    </w:p>
    <w:p w14:paraId="08AB7B4F" w14:textId="77777777" w:rsidR="009667F7" w:rsidRPr="00A53276" w:rsidRDefault="009667F7" w:rsidP="009667F7">
      <w:pPr>
        <w:pBdr>
          <w:top w:val="single" w:sz="4" w:space="0" w:color="CA5420"/>
          <w:left w:val="single" w:sz="4" w:space="4" w:color="CA5420"/>
          <w:bottom w:val="single" w:sz="4" w:space="0" w:color="CA5420"/>
          <w:right w:val="single" w:sz="4" w:space="4" w:color="CA5420"/>
        </w:pBdr>
        <w:rPr>
          <w:rFonts w:ascii="Arial" w:hAnsi="Arial" w:cs="Arial"/>
          <w:color w:val="63666A"/>
        </w:rPr>
      </w:pPr>
      <w:r w:rsidRPr="00A53276">
        <w:rPr>
          <w:rFonts w:ascii="Arial" w:hAnsi="Arial" w:cs="Arial"/>
          <w:color w:val="63666A"/>
        </w:rPr>
        <w:t>COPYRIGHT</w:t>
      </w:r>
    </w:p>
    <w:p w14:paraId="35A63BA6" w14:textId="77777777" w:rsidR="009667F7" w:rsidRPr="00A53276" w:rsidRDefault="009667F7" w:rsidP="009667F7">
      <w:pPr>
        <w:pBdr>
          <w:top w:val="single" w:sz="4" w:space="0" w:color="CA5420"/>
          <w:left w:val="single" w:sz="4" w:space="4" w:color="CA5420"/>
          <w:bottom w:val="single" w:sz="4" w:space="0" w:color="CA5420"/>
          <w:right w:val="single" w:sz="4" w:space="4" w:color="CA5420"/>
        </w:pBdr>
        <w:rPr>
          <w:rFonts w:ascii="Arial" w:hAnsi="Arial" w:cs="Arial"/>
          <w:color w:val="63666A"/>
        </w:rPr>
      </w:pPr>
      <w:r w:rsidRPr="00A53276">
        <w:rPr>
          <w:rFonts w:ascii="Arial" w:hAnsi="Arial" w:cs="Arial"/>
          <w:color w:val="63666A"/>
        </w:rPr>
        <w:t xml:space="preserve">© Institute of Public Accountants (ABN 81 004 130 643) 2008.  All rights reserved.  Save and except for third party content, </w:t>
      </w:r>
      <w:r w:rsidRPr="00A53276">
        <w:rPr>
          <w:rFonts w:ascii="Arial" w:hAnsi="Arial" w:cs="Arial"/>
          <w:color w:val="63666A"/>
        </w:rPr>
        <w:br/>
        <w:t>all content in these materials is owned or licensed by the Institute of Public Accountants (ABN 81 004 130 643).</w:t>
      </w:r>
    </w:p>
    <w:p w14:paraId="454B20C0" w14:textId="77777777" w:rsidR="0081337B" w:rsidRPr="00EE4346" w:rsidRDefault="009667F7" w:rsidP="009667F7">
      <w:pPr>
        <w:pBdr>
          <w:top w:val="single" w:sz="4" w:space="0" w:color="CA5420"/>
          <w:left w:val="single" w:sz="4" w:space="4" w:color="CA5420"/>
          <w:bottom w:val="single" w:sz="4" w:space="0" w:color="CA5420"/>
          <w:right w:val="single" w:sz="4" w:space="4" w:color="CA5420"/>
        </w:pBdr>
        <w:tabs>
          <w:tab w:val="left" w:pos="5715"/>
        </w:tabs>
        <w:rPr>
          <w:rFonts w:ascii="Arial" w:hAnsi="Arial" w:cs="Arial"/>
          <w:color w:val="63666A"/>
          <w:sz w:val="22"/>
          <w:szCs w:val="22"/>
        </w:rPr>
      </w:pPr>
      <w:r w:rsidRPr="00EE4346">
        <w:rPr>
          <w:rFonts w:ascii="Arial" w:hAnsi="Arial" w:cs="Arial"/>
          <w:color w:val="63666A"/>
          <w:sz w:val="22"/>
          <w:szCs w:val="22"/>
        </w:rPr>
        <w:tab/>
      </w:r>
    </w:p>
    <w:p w14:paraId="6E345098" w14:textId="77777777" w:rsidR="009667F7" w:rsidRPr="00EE4346" w:rsidRDefault="009667F7" w:rsidP="009667F7">
      <w:pPr>
        <w:pStyle w:val="header14ptorangebold"/>
        <w:rPr>
          <w:rFonts w:ascii="Arial" w:hAnsi="Arial" w:cs="Arial"/>
          <w:color w:val="63666A"/>
          <w:sz w:val="22"/>
          <w:szCs w:val="22"/>
        </w:rPr>
      </w:pPr>
    </w:p>
    <w:p w14:paraId="6804D82B" w14:textId="77777777" w:rsidR="009667F7" w:rsidRPr="00EE4346" w:rsidRDefault="009667F7" w:rsidP="009667F7">
      <w:pPr>
        <w:pStyle w:val="header14ptorangebold"/>
        <w:rPr>
          <w:rFonts w:ascii="Arial" w:hAnsi="Arial" w:cs="Arial"/>
          <w:color w:val="192A67"/>
          <w:sz w:val="22"/>
          <w:szCs w:val="22"/>
          <w:lang w:val="en-AU"/>
        </w:rPr>
      </w:pPr>
      <w:r w:rsidRPr="00EE4346">
        <w:rPr>
          <w:rFonts w:ascii="Arial" w:hAnsi="Arial" w:cs="Arial"/>
          <w:color w:val="192A67"/>
          <w:sz w:val="22"/>
          <w:szCs w:val="22"/>
        </w:rPr>
        <w:t>Contact</w:t>
      </w:r>
    </w:p>
    <w:p w14:paraId="1CE5DAB1" w14:textId="77777777" w:rsidR="009667F7" w:rsidRPr="00EE4346" w:rsidRDefault="009667F7" w:rsidP="009667F7">
      <w:pPr>
        <w:rPr>
          <w:rFonts w:ascii="Arial" w:hAnsi="Arial" w:cs="Arial"/>
          <w:color w:val="272727"/>
          <w:sz w:val="22"/>
          <w:szCs w:val="22"/>
        </w:rPr>
      </w:pPr>
    </w:p>
    <w:p w14:paraId="39036F73" w14:textId="77777777" w:rsidR="009667F7" w:rsidRPr="00EE4346" w:rsidRDefault="009667F7" w:rsidP="009667F7">
      <w:pPr>
        <w:pStyle w:val="Subhead-Arial12ptbold"/>
        <w:rPr>
          <w:rFonts w:ascii="Arial" w:hAnsi="Arial" w:cs="Arial"/>
          <w:color w:val="63666A"/>
          <w:sz w:val="22"/>
          <w:szCs w:val="22"/>
        </w:rPr>
      </w:pPr>
      <w:r w:rsidRPr="00EE4346">
        <w:rPr>
          <w:rFonts w:ascii="Arial" w:hAnsi="Arial" w:cs="Arial"/>
          <w:color w:val="63666A"/>
          <w:sz w:val="22"/>
          <w:szCs w:val="22"/>
        </w:rPr>
        <w:t>IPA Head Office</w:t>
      </w:r>
    </w:p>
    <w:p w14:paraId="53D75CA1" w14:textId="77777777" w:rsidR="009667F7" w:rsidRPr="00EE4346" w:rsidRDefault="009667F7" w:rsidP="009667F7">
      <w:pPr>
        <w:pStyle w:val="BodytextArial10pt"/>
        <w:rPr>
          <w:color w:val="63666A"/>
          <w:sz w:val="22"/>
        </w:rPr>
      </w:pPr>
      <w:r w:rsidRPr="00EE4346">
        <w:rPr>
          <w:color w:val="63666A"/>
          <w:sz w:val="22"/>
        </w:rPr>
        <w:t>Level 6, 555 Lonsdale Street</w:t>
      </w:r>
      <w:r w:rsidRPr="00EE4346">
        <w:rPr>
          <w:color w:val="63666A"/>
          <w:sz w:val="22"/>
        </w:rPr>
        <w:br/>
        <w:t>Melbourne Victoria 3000</w:t>
      </w:r>
      <w:r w:rsidRPr="00EE4346">
        <w:rPr>
          <w:color w:val="63666A"/>
          <w:sz w:val="22"/>
        </w:rPr>
        <w:br/>
        <w:t>Australia</w:t>
      </w:r>
    </w:p>
    <w:p w14:paraId="08095BC4" w14:textId="77777777" w:rsidR="009667F7" w:rsidRPr="00EE4346" w:rsidRDefault="009667F7" w:rsidP="009667F7">
      <w:pPr>
        <w:pStyle w:val="BodytextArial10pt"/>
        <w:rPr>
          <w:color w:val="63666A"/>
          <w:sz w:val="22"/>
        </w:rPr>
      </w:pPr>
      <w:r w:rsidRPr="00EE4346">
        <w:rPr>
          <w:color w:val="63666A"/>
          <w:sz w:val="22"/>
        </w:rPr>
        <w:t>Tel : 61 3 8665 3100</w:t>
      </w:r>
      <w:r w:rsidRPr="00EE4346">
        <w:rPr>
          <w:color w:val="63666A"/>
          <w:sz w:val="22"/>
        </w:rPr>
        <w:br/>
        <w:t>Fax: 61 3 8665 3130</w:t>
      </w:r>
      <w:r w:rsidRPr="00EE4346">
        <w:rPr>
          <w:color w:val="63666A"/>
          <w:sz w:val="22"/>
        </w:rPr>
        <w:br/>
        <w:t xml:space="preserve">Email : </w:t>
      </w:r>
      <w:hyperlink r:id="rId18" w:history="1">
        <w:r w:rsidRPr="00EE4346">
          <w:rPr>
            <w:rStyle w:val="Hyperlink"/>
            <w:sz w:val="22"/>
          </w:rPr>
          <w:t>headoffice@publicaccountants.org.au</w:t>
        </w:r>
      </w:hyperlink>
      <w:r w:rsidRPr="00EE4346">
        <w:rPr>
          <w:color w:val="63666A"/>
          <w:sz w:val="22"/>
        </w:rPr>
        <w:t xml:space="preserve"> </w:t>
      </w:r>
      <w:r w:rsidRPr="00EE4346">
        <w:rPr>
          <w:color w:val="63666A"/>
          <w:sz w:val="22"/>
        </w:rPr>
        <w:br/>
        <w:t>Website: www.publicaccountants.org.au/</w:t>
      </w:r>
    </w:p>
    <w:p w14:paraId="6A12286C" w14:textId="77777777" w:rsidR="009667F7" w:rsidRPr="00EE4346" w:rsidRDefault="009667F7" w:rsidP="009667F7">
      <w:pPr>
        <w:pStyle w:val="BodytextArial10pt"/>
        <w:rPr>
          <w:color w:val="63666A"/>
          <w:sz w:val="22"/>
        </w:rPr>
      </w:pPr>
    </w:p>
    <w:p w14:paraId="55A5963E" w14:textId="77777777" w:rsidR="009667F7" w:rsidRPr="00EE4346" w:rsidRDefault="009667F7" w:rsidP="009667F7">
      <w:pPr>
        <w:pStyle w:val="BodytextArial10pt"/>
        <w:rPr>
          <w:color w:val="63666A"/>
          <w:sz w:val="22"/>
        </w:rPr>
      </w:pPr>
      <w:r w:rsidRPr="00EE4346">
        <w:rPr>
          <w:color w:val="63666A"/>
          <w:sz w:val="22"/>
        </w:rPr>
        <w:t>IPA Divisional Offices are located in the following cities:</w:t>
      </w:r>
    </w:p>
    <w:p w14:paraId="4C81AEA6" w14:textId="77777777" w:rsidR="009667F7" w:rsidRPr="00EE4346" w:rsidRDefault="009667F7" w:rsidP="009667F7">
      <w:pPr>
        <w:pStyle w:val="BodytextArial10pt"/>
        <w:rPr>
          <w:color w:val="63666A"/>
          <w:sz w:val="22"/>
        </w:rPr>
      </w:pPr>
      <w:r w:rsidRPr="00EE4346">
        <w:rPr>
          <w:color w:val="63666A"/>
          <w:sz w:val="22"/>
        </w:rPr>
        <w:t>Melbourne</w:t>
      </w:r>
      <w:r w:rsidRPr="00EE4346">
        <w:rPr>
          <w:color w:val="63666A"/>
          <w:sz w:val="22"/>
        </w:rPr>
        <w:br/>
        <w:t>Sydney</w:t>
      </w:r>
      <w:r w:rsidRPr="00EE4346">
        <w:rPr>
          <w:color w:val="63666A"/>
          <w:sz w:val="22"/>
        </w:rPr>
        <w:br/>
        <w:t>Brisbane</w:t>
      </w:r>
      <w:r w:rsidRPr="00EE4346">
        <w:rPr>
          <w:color w:val="63666A"/>
          <w:sz w:val="22"/>
        </w:rPr>
        <w:br/>
        <w:t>Adelaide</w:t>
      </w:r>
      <w:r w:rsidRPr="00EE4346">
        <w:rPr>
          <w:color w:val="63666A"/>
          <w:sz w:val="22"/>
        </w:rPr>
        <w:br/>
        <w:t>Hobart</w:t>
      </w:r>
      <w:r w:rsidRPr="00EE4346">
        <w:rPr>
          <w:color w:val="63666A"/>
          <w:sz w:val="22"/>
        </w:rPr>
        <w:br/>
        <w:t>Perth</w:t>
      </w:r>
      <w:r w:rsidRPr="00EE4346">
        <w:rPr>
          <w:color w:val="63666A"/>
          <w:sz w:val="22"/>
        </w:rPr>
        <w:br/>
        <w:t>Canberra</w:t>
      </w:r>
    </w:p>
    <w:p w14:paraId="26160640" w14:textId="77777777" w:rsidR="009667F7" w:rsidRPr="00EE4346" w:rsidRDefault="009667F7" w:rsidP="009667F7">
      <w:pPr>
        <w:pStyle w:val="BodytextArial10pt"/>
        <w:rPr>
          <w:color w:val="63666A"/>
          <w:sz w:val="22"/>
        </w:rPr>
      </w:pPr>
      <w:r w:rsidRPr="00EE4346">
        <w:rPr>
          <w:color w:val="63666A"/>
          <w:sz w:val="22"/>
        </w:rPr>
        <w:t>The IPA has secretariats in:</w:t>
      </w:r>
    </w:p>
    <w:p w14:paraId="35FA86F7" w14:textId="77777777" w:rsidR="009667F7" w:rsidRPr="00EE4346" w:rsidRDefault="009667F7" w:rsidP="009667F7">
      <w:pPr>
        <w:pStyle w:val="BodytextArial10pt"/>
        <w:rPr>
          <w:color w:val="63666A"/>
          <w:sz w:val="22"/>
        </w:rPr>
      </w:pPr>
      <w:r w:rsidRPr="00EE4346">
        <w:rPr>
          <w:color w:val="63666A"/>
          <w:sz w:val="22"/>
        </w:rPr>
        <w:t>Kuala Lumpur</w:t>
      </w:r>
      <w:r w:rsidRPr="00EE4346">
        <w:rPr>
          <w:color w:val="63666A"/>
          <w:sz w:val="22"/>
        </w:rPr>
        <w:br/>
        <w:t>Beijing</w:t>
      </w:r>
    </w:p>
    <w:p w14:paraId="671870AB" w14:textId="77777777" w:rsidR="009667F7" w:rsidRPr="00EE4346" w:rsidRDefault="009667F7" w:rsidP="009667F7">
      <w:pPr>
        <w:pStyle w:val="BodytextArial10pt"/>
        <w:rPr>
          <w:color w:val="63666A"/>
          <w:sz w:val="22"/>
        </w:rPr>
      </w:pPr>
      <w:r w:rsidRPr="00EE4346">
        <w:rPr>
          <w:color w:val="63666A"/>
          <w:sz w:val="22"/>
        </w:rPr>
        <w:t>For enquiries within Australia call 1800 625 625 for your nearest Divisional Office.  International enquiries can be directed in the first instance to IPA Head Office.</w:t>
      </w:r>
    </w:p>
    <w:p w14:paraId="2FA74024" w14:textId="77777777" w:rsidR="009667F7" w:rsidRPr="00EE4346" w:rsidRDefault="009667F7" w:rsidP="009667F7">
      <w:pPr>
        <w:rPr>
          <w:rFonts w:ascii="Arial" w:hAnsi="Arial" w:cs="Arial"/>
          <w:color w:val="63666A"/>
          <w:sz w:val="22"/>
          <w:szCs w:val="22"/>
          <w:lang w:val="en-AU" w:bidi="ar-SA"/>
        </w:rPr>
      </w:pPr>
    </w:p>
    <w:p w14:paraId="3E546DC2" w14:textId="77777777" w:rsidR="00841527" w:rsidRPr="00A82E0E" w:rsidRDefault="00841527" w:rsidP="00BA1983">
      <w:pPr>
        <w:rPr>
          <w:rFonts w:ascii="Arial" w:hAnsi="Arial" w:cs="Arial"/>
        </w:rPr>
      </w:pPr>
    </w:p>
    <w:sectPr w:rsidR="00841527" w:rsidRPr="00A82E0E" w:rsidSect="00B8724A">
      <w:headerReference w:type="even" r:id="rId19"/>
      <w:headerReference w:type="default" r:id="rId20"/>
      <w:footerReference w:type="even" r:id="rId21"/>
      <w:footerReference w:type="default" r:id="rId22"/>
      <w:headerReference w:type="first" r:id="rId23"/>
      <w:footerReference w:type="first" r:id="rId24"/>
      <w:type w:val="continuous"/>
      <w:pgSz w:w="11899" w:h="16838"/>
      <w:pgMar w:top="1701" w:right="1134" w:bottom="1701"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1BC94" w14:textId="77777777" w:rsidR="00A4473C" w:rsidRDefault="00A4473C">
      <w:r>
        <w:separator/>
      </w:r>
    </w:p>
  </w:endnote>
  <w:endnote w:type="continuationSeparator" w:id="0">
    <w:p w14:paraId="3F90CE91" w14:textId="77777777" w:rsidR="00A4473C" w:rsidRDefault="00A4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MinionPro-Regular">
    <w:altName w:val="Calibri"/>
    <w:panose1 w:val="02040503050306020203"/>
    <w:charset w:val="4D"/>
    <w:family w:val="auto"/>
    <w:notTrueType/>
    <w:pitch w:val="default"/>
    <w:sig w:usb0="00000003" w:usb1="00000000" w:usb2="00000000" w:usb3="00000000" w:csb0="00000001" w:csb1="00000000"/>
  </w:font>
  <w:font w:name="Futura-Bold">
    <w:charset w:val="00"/>
    <w:family w:val="auto"/>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EB0E5" w14:textId="77777777" w:rsidR="00532E3F" w:rsidRDefault="00532E3F">
    <w:r>
      <w:rPr>
        <w:noProof/>
        <w:lang w:val="en-AU" w:eastAsia="en-AU" w:bidi="ar-SA"/>
      </w:rPr>
      <w:drawing>
        <wp:anchor distT="0" distB="0" distL="114300" distR="114300" simplePos="0" relativeHeight="251658240" behindDoc="0" locked="0" layoutInCell="1" allowOverlap="1" wp14:anchorId="0C1FF020" wp14:editId="404BABBB">
          <wp:simplePos x="0" y="0"/>
          <wp:positionH relativeFrom="column">
            <wp:posOffset>-914400</wp:posOffset>
          </wp:positionH>
          <wp:positionV relativeFrom="paragraph">
            <wp:posOffset>526415</wp:posOffset>
          </wp:positionV>
          <wp:extent cx="7772400" cy="1231900"/>
          <wp:effectExtent l="19050" t="0" r="0" b="0"/>
          <wp:wrapTight wrapText="bothSides">
            <wp:wrapPolygon edited="0">
              <wp:start x="-53" y="0"/>
              <wp:lineTo x="-53" y="21377"/>
              <wp:lineTo x="21600" y="21377"/>
              <wp:lineTo x="21600" y="0"/>
              <wp:lineTo x="-53" y="0"/>
            </wp:wrapPolygon>
          </wp:wrapTight>
          <wp:docPr id="5" name="Picture 5" descr="Word A4 footer_white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 A4 footer_white BG"/>
                  <pic:cNvPicPr>
                    <a:picLocks noChangeAspect="1" noChangeArrowheads="1"/>
                  </pic:cNvPicPr>
                </pic:nvPicPr>
                <pic:blipFill>
                  <a:blip r:embed="rId1"/>
                  <a:srcRect/>
                  <a:stretch>
                    <a:fillRect/>
                  </a:stretch>
                </pic:blipFill>
                <pic:spPr bwMode="auto">
                  <a:xfrm>
                    <a:off x="0" y="0"/>
                    <a:ext cx="7772400" cy="12319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470F2" w14:textId="77777777" w:rsidR="00532E3F" w:rsidRDefault="00532E3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bottomFromText="2109" w:vertAnchor="page" w:horzAnchor="page" w:tblpX="823" w:tblpY="15821"/>
      <w:tblW w:w="7514" w:type="dxa"/>
      <w:tblLayout w:type="fixed"/>
      <w:tblCellMar>
        <w:left w:w="0" w:type="dxa"/>
        <w:right w:w="0" w:type="dxa"/>
      </w:tblCellMar>
      <w:tblLook w:val="0000" w:firstRow="0" w:lastRow="0" w:firstColumn="0" w:lastColumn="0" w:noHBand="0" w:noVBand="0"/>
    </w:tblPr>
    <w:tblGrid>
      <w:gridCol w:w="865"/>
      <w:gridCol w:w="6649"/>
    </w:tblGrid>
    <w:tr w:rsidR="00532E3F" w14:paraId="218D9F0B" w14:textId="77777777">
      <w:trPr>
        <w:trHeight w:val="140"/>
      </w:trPr>
      <w:tc>
        <w:tcPr>
          <w:tcW w:w="865" w:type="dxa"/>
        </w:tcPr>
        <w:p w14:paraId="6416FCBB" w14:textId="2A397AB1" w:rsidR="00532E3F" w:rsidRPr="005327DB" w:rsidRDefault="00532E3F" w:rsidP="00B8724A">
          <w:pPr>
            <w:rPr>
              <w:color w:val="BFBFBF"/>
            </w:rPr>
          </w:pPr>
          <w:r w:rsidRPr="005327DB">
            <w:rPr>
              <w:rFonts w:ascii="Arial Bold" w:hAnsi="Arial Bold"/>
              <w:noProof/>
              <w:color w:val="BFBFBF"/>
            </w:rPr>
            <w:fldChar w:fldCharType="begin"/>
          </w:r>
          <w:r w:rsidRPr="005327DB">
            <w:rPr>
              <w:rFonts w:ascii="Arial Bold" w:hAnsi="Arial Bold"/>
              <w:noProof/>
              <w:color w:val="BFBFBF"/>
            </w:rPr>
            <w:instrText xml:space="preserve"> PAGE </w:instrText>
          </w:r>
          <w:r w:rsidRPr="005327DB">
            <w:rPr>
              <w:rFonts w:ascii="Arial Bold" w:hAnsi="Arial Bold"/>
              <w:noProof/>
              <w:color w:val="BFBFBF"/>
            </w:rPr>
            <w:fldChar w:fldCharType="separate"/>
          </w:r>
          <w:r w:rsidR="003C504C">
            <w:rPr>
              <w:rFonts w:ascii="Arial Bold" w:hAnsi="Arial Bold"/>
              <w:noProof/>
              <w:color w:val="BFBFBF"/>
            </w:rPr>
            <w:t>15</w:t>
          </w:r>
          <w:r w:rsidRPr="005327DB">
            <w:rPr>
              <w:rFonts w:ascii="Arial Bold" w:hAnsi="Arial Bold"/>
              <w:noProof/>
              <w:color w:val="BFBFBF"/>
            </w:rPr>
            <w:fldChar w:fldCharType="end"/>
          </w:r>
        </w:p>
      </w:tc>
      <w:tc>
        <w:tcPr>
          <w:tcW w:w="6649" w:type="dxa"/>
        </w:tcPr>
        <w:p w14:paraId="60EA8F70" w14:textId="77777777" w:rsidR="00532E3F" w:rsidRPr="005327DB" w:rsidRDefault="00532E3F" w:rsidP="004D7F91">
          <w:pPr>
            <w:rPr>
              <w:rFonts w:ascii="Arial Bold" w:hAnsi="Arial Bold"/>
              <w:color w:val="BFBFBF"/>
              <w:sz w:val="22"/>
            </w:rPr>
          </w:pPr>
          <w:r>
            <w:rPr>
              <w:rFonts w:ascii="Arial Bold" w:hAnsi="Arial Bold"/>
              <w:color w:val="BFBFBF"/>
              <w:sz w:val="22"/>
            </w:rPr>
            <w:t>Review of the Tax Practitioners Board</w:t>
          </w:r>
        </w:p>
      </w:tc>
    </w:tr>
  </w:tbl>
  <w:p w14:paraId="511B3D4A" w14:textId="77777777" w:rsidR="00532E3F" w:rsidRDefault="00532E3F" w:rsidP="00B8724A">
    <w:r>
      <w:rPr>
        <w:noProof/>
        <w:lang w:val="en-AU" w:eastAsia="en-AU" w:bidi="ar-SA"/>
      </w:rPr>
      <w:drawing>
        <wp:anchor distT="0" distB="0" distL="114300" distR="114300" simplePos="0" relativeHeight="251657216" behindDoc="1" locked="0" layoutInCell="1" allowOverlap="1" wp14:anchorId="3207EFF0" wp14:editId="758C9D35">
          <wp:simplePos x="0" y="0"/>
          <wp:positionH relativeFrom="column">
            <wp:posOffset>4841875</wp:posOffset>
          </wp:positionH>
          <wp:positionV relativeFrom="paragraph">
            <wp:posOffset>-547370</wp:posOffset>
          </wp:positionV>
          <wp:extent cx="1311897" cy="6667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023_IPACrestfull_2011-Feb_300dpi"/>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0800000" flipH="1" flipV="1">
                    <a:off x="0" y="0"/>
                    <a:ext cx="1311897" cy="666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D0B26FD" w14:textId="77777777" w:rsidR="00532E3F" w:rsidRDefault="00532E3F" w:rsidP="00B8724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2A60B" w14:textId="77777777" w:rsidR="00532E3F" w:rsidRDefault="00532E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4B868" w14:textId="77777777" w:rsidR="00A4473C" w:rsidRDefault="00A4473C">
      <w:r>
        <w:separator/>
      </w:r>
    </w:p>
  </w:footnote>
  <w:footnote w:type="continuationSeparator" w:id="0">
    <w:p w14:paraId="7001830E" w14:textId="77777777" w:rsidR="00A4473C" w:rsidRDefault="00A4473C">
      <w:r>
        <w:continuationSeparator/>
      </w:r>
    </w:p>
  </w:footnote>
  <w:footnote w:id="1">
    <w:p w14:paraId="2E77DDFC" w14:textId="77777777" w:rsidR="00532E3F" w:rsidRPr="004A4553" w:rsidRDefault="00532E3F" w:rsidP="007F43DD">
      <w:pPr>
        <w:pStyle w:val="FootnoteText"/>
        <w:rPr>
          <w:lang w:val="en-AU"/>
        </w:rPr>
      </w:pPr>
      <w:r>
        <w:rPr>
          <w:rStyle w:val="FootnoteReference"/>
        </w:rPr>
        <w:footnoteRef/>
      </w:r>
      <w:r>
        <w:t xml:space="preserve"> </w:t>
      </w:r>
      <w:r>
        <w:rPr>
          <w:lang w:val="en-AU"/>
        </w:rPr>
        <w:t>This comprises of 42,561 tax agent, 15,638 BAS agents and 19,550 tax (financial) advisers.</w:t>
      </w:r>
    </w:p>
  </w:footnote>
  <w:footnote w:id="2">
    <w:p w14:paraId="478BDD65" w14:textId="77777777" w:rsidR="00532E3F" w:rsidRPr="007C26C1" w:rsidRDefault="00532E3F">
      <w:pPr>
        <w:pStyle w:val="FootnoteText"/>
        <w:rPr>
          <w:lang w:val="en-AU"/>
        </w:rPr>
      </w:pPr>
      <w:r>
        <w:rPr>
          <w:rStyle w:val="FootnoteReference"/>
        </w:rPr>
        <w:footnoteRef/>
      </w:r>
      <w:r>
        <w:t xml:space="preserve"> </w:t>
      </w:r>
      <w:r>
        <w:rPr>
          <w:lang w:val="en-AU"/>
        </w:rPr>
        <w:t>This comprises of 182 written cautions, 81 orders and 24 terminations.</w:t>
      </w:r>
    </w:p>
  </w:footnote>
  <w:footnote w:id="3">
    <w:p w14:paraId="5BB94528" w14:textId="77777777" w:rsidR="00532E3F" w:rsidRPr="007C26C1" w:rsidRDefault="00532E3F">
      <w:pPr>
        <w:pStyle w:val="FootnoteText"/>
        <w:rPr>
          <w:lang w:val="en-AU"/>
        </w:rPr>
      </w:pPr>
      <w:r>
        <w:rPr>
          <w:rStyle w:val="FootnoteReference"/>
        </w:rPr>
        <w:footnoteRef/>
      </w:r>
      <w:r>
        <w:t xml:space="preserve"> </w:t>
      </w:r>
      <w:r>
        <w:rPr>
          <w:lang w:val="en-AU"/>
        </w:rPr>
        <w:t>This comprises of 1,023 from the public, 125 from registered tax practitioners, 120 from the ATO and 260 from other.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57101" w14:textId="77777777" w:rsidR="00532E3F" w:rsidRDefault="00532E3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71264" w14:textId="77777777" w:rsidR="00532E3F" w:rsidRDefault="00532E3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F8AC6" w14:textId="77777777" w:rsidR="00532E3F" w:rsidRDefault="00532E3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lowerLetter"/>
      <w:lvlText w:val="%1."/>
      <w:lvlJc w:val="left"/>
      <w:pPr>
        <w:tabs>
          <w:tab w:val="num" w:pos="0"/>
        </w:tabs>
        <w:ind w:left="1080" w:hanging="720"/>
      </w:pPr>
    </w:lvl>
  </w:abstractNum>
  <w:abstractNum w:abstractNumId="1" w15:restartNumberingAfterBreak="0">
    <w:nsid w:val="00000004"/>
    <w:multiLevelType w:val="singleLevel"/>
    <w:tmpl w:val="00000004"/>
    <w:name w:val="WW8Num3"/>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C"/>
    <w:multiLevelType w:val="singleLevel"/>
    <w:tmpl w:val="0000000C"/>
    <w:name w:val="WW8Num13"/>
    <w:lvl w:ilvl="0">
      <w:start w:val="1"/>
      <w:numFmt w:val="lowerLetter"/>
      <w:lvlText w:val="%1."/>
      <w:lvlJc w:val="left"/>
      <w:pPr>
        <w:tabs>
          <w:tab w:val="num" w:pos="0"/>
        </w:tabs>
        <w:ind w:left="1080" w:hanging="720"/>
      </w:pPr>
    </w:lvl>
  </w:abstractNum>
  <w:abstractNum w:abstractNumId="3" w15:restartNumberingAfterBreak="0">
    <w:nsid w:val="0000000F"/>
    <w:multiLevelType w:val="multilevel"/>
    <w:tmpl w:val="0000000F"/>
    <w:name w:val="WW8Num18"/>
    <w:lvl w:ilvl="0">
      <w:start w:val="1"/>
      <w:numFmt w:val="decimal"/>
      <w:suff w:val="nothing"/>
      <w:lvlText w:val="%1"/>
      <w:lvlJc w:val="left"/>
      <w:pPr>
        <w:tabs>
          <w:tab w:val="num" w:pos="0"/>
        </w:tabs>
        <w:ind w:left="0" w:firstLine="0"/>
      </w:pPr>
      <w:rPr>
        <w:rFonts w:cs="Times New Roman"/>
        <w:b w:val="0"/>
        <w:i w:val="0"/>
        <w:color w:val="000000"/>
      </w:rPr>
    </w:lvl>
    <w:lvl w:ilvl="1">
      <w:start w:val="1"/>
      <w:numFmt w:val="decimal"/>
      <w:lvlText w:val="%1.%2"/>
      <w:lvlJc w:val="left"/>
      <w:pPr>
        <w:tabs>
          <w:tab w:val="num" w:pos="1984"/>
        </w:tabs>
        <w:ind w:left="1134" w:firstLine="0"/>
      </w:pPr>
      <w:rPr>
        <w:rFonts w:cs="Times New Roman"/>
        <w:b w:val="0"/>
        <w:i w:val="0"/>
        <w:color w:val="000000"/>
      </w:rPr>
    </w:lvl>
    <w:lvl w:ilvl="2">
      <w:start w:val="1"/>
      <w:numFmt w:val="decimal"/>
      <w:suff w:val="nothing"/>
      <w:lvlText w:val="Example %2.%3"/>
      <w:lvlJc w:val="left"/>
      <w:pPr>
        <w:tabs>
          <w:tab w:val="num" w:pos="0"/>
        </w:tabs>
        <w:ind w:left="1440" w:firstLine="0"/>
      </w:pPr>
      <w:rPr>
        <w:rFonts w:ascii="Times New Roman" w:hAnsi="Times New Roman" w:cs="Times New Roman"/>
        <w:b/>
        <w:i w:val="0"/>
        <w:color w:val="000000"/>
        <w:sz w:val="22"/>
      </w:rPr>
    </w:lvl>
    <w:lvl w:ilvl="3">
      <w:start w:val="1"/>
      <w:numFmt w:val="decimal"/>
      <w:suff w:val="nothing"/>
      <w:lvlText w:val="Diagram %3.%4"/>
      <w:lvlJc w:val="left"/>
      <w:pPr>
        <w:tabs>
          <w:tab w:val="num" w:pos="0"/>
        </w:tabs>
        <w:ind w:left="1134" w:firstLine="0"/>
      </w:pPr>
      <w:rPr>
        <w:rFonts w:ascii="Times New Roman" w:hAnsi="Times New Roman" w:cs="Times New Roman"/>
        <w:b/>
        <w:i w:val="0"/>
        <w:color w:val="000000"/>
        <w:sz w:val="22"/>
      </w:rPr>
    </w:lvl>
    <w:lvl w:ilvl="4">
      <w:start w:val="1"/>
      <w:numFmt w:val="decimal"/>
      <w:suff w:val="nothing"/>
      <w:lvlText w:val="Table %4.%5"/>
      <w:lvlJc w:val="left"/>
      <w:pPr>
        <w:tabs>
          <w:tab w:val="num" w:pos="0"/>
        </w:tabs>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4" w15:restartNumberingAfterBreak="0">
    <w:nsid w:val="00000011"/>
    <w:multiLevelType w:val="singleLevel"/>
    <w:tmpl w:val="00000011"/>
    <w:name w:val="WW8Num20"/>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2"/>
    <w:multiLevelType w:val="singleLevel"/>
    <w:tmpl w:val="00000012"/>
    <w:name w:val="WW8Num21"/>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13"/>
    <w:multiLevelType w:val="singleLevel"/>
    <w:tmpl w:val="00000013"/>
    <w:name w:val="WW8Num23"/>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17"/>
    <w:multiLevelType w:val="singleLevel"/>
    <w:tmpl w:val="00000017"/>
    <w:name w:val="WW8Num29"/>
    <w:lvl w:ilvl="0">
      <w:start w:val="1"/>
      <w:numFmt w:val="bullet"/>
      <w:lvlText w:val=""/>
      <w:lvlJc w:val="left"/>
      <w:pPr>
        <w:tabs>
          <w:tab w:val="num" w:pos="1080"/>
        </w:tabs>
        <w:ind w:left="1080" w:hanging="360"/>
      </w:pPr>
      <w:rPr>
        <w:rFonts w:ascii="Symbol" w:hAnsi="Symbol"/>
      </w:rPr>
    </w:lvl>
  </w:abstractNum>
  <w:abstractNum w:abstractNumId="8" w15:restartNumberingAfterBreak="0">
    <w:nsid w:val="01B06E09"/>
    <w:multiLevelType w:val="hybridMultilevel"/>
    <w:tmpl w:val="4FAE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335FBE"/>
    <w:multiLevelType w:val="hybridMultilevel"/>
    <w:tmpl w:val="912E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3B49B2"/>
    <w:multiLevelType w:val="hybridMultilevel"/>
    <w:tmpl w:val="CEDC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6F0128"/>
    <w:multiLevelType w:val="hybridMultilevel"/>
    <w:tmpl w:val="C9BCA76C"/>
    <w:lvl w:ilvl="0" w:tplc="4628C8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F10088"/>
    <w:multiLevelType w:val="hybridMultilevel"/>
    <w:tmpl w:val="1DEA0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883414"/>
    <w:multiLevelType w:val="hybridMultilevel"/>
    <w:tmpl w:val="388E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E61C2"/>
    <w:multiLevelType w:val="hybridMultilevel"/>
    <w:tmpl w:val="7A9C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822EA"/>
    <w:multiLevelType w:val="hybridMultilevel"/>
    <w:tmpl w:val="D750D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731EA4"/>
    <w:multiLevelType w:val="hybridMultilevel"/>
    <w:tmpl w:val="4C20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5D2B7F"/>
    <w:multiLevelType w:val="hybridMultilevel"/>
    <w:tmpl w:val="C6C8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484F86"/>
    <w:multiLevelType w:val="hybridMultilevel"/>
    <w:tmpl w:val="6010C3DC"/>
    <w:lvl w:ilvl="0" w:tplc="B4E8D0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987B28"/>
    <w:multiLevelType w:val="hybridMultilevel"/>
    <w:tmpl w:val="E3B8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94FE7"/>
    <w:multiLevelType w:val="hybridMultilevel"/>
    <w:tmpl w:val="105C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80B28"/>
    <w:multiLevelType w:val="hybridMultilevel"/>
    <w:tmpl w:val="6950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EE4072"/>
    <w:multiLevelType w:val="hybridMultilevel"/>
    <w:tmpl w:val="2D40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BC63E5"/>
    <w:multiLevelType w:val="hybridMultilevel"/>
    <w:tmpl w:val="392E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871D3"/>
    <w:multiLevelType w:val="hybridMultilevel"/>
    <w:tmpl w:val="F182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92528D"/>
    <w:multiLevelType w:val="hybridMultilevel"/>
    <w:tmpl w:val="70A6ED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3794B85"/>
    <w:multiLevelType w:val="hybridMultilevel"/>
    <w:tmpl w:val="FFD8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4556E7"/>
    <w:multiLevelType w:val="hybridMultilevel"/>
    <w:tmpl w:val="5F70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4B3671"/>
    <w:multiLevelType w:val="hybridMultilevel"/>
    <w:tmpl w:val="AE66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3097D"/>
    <w:multiLevelType w:val="hybridMultilevel"/>
    <w:tmpl w:val="652EE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B5CC0"/>
    <w:multiLevelType w:val="hybridMultilevel"/>
    <w:tmpl w:val="F392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E80E3D"/>
    <w:multiLevelType w:val="multilevel"/>
    <w:tmpl w:val="D968E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83B4073"/>
    <w:multiLevelType w:val="hybridMultilevel"/>
    <w:tmpl w:val="63EC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B924AD"/>
    <w:multiLevelType w:val="hybridMultilevel"/>
    <w:tmpl w:val="7B34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28723D"/>
    <w:multiLevelType w:val="hybridMultilevel"/>
    <w:tmpl w:val="E0B6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22"/>
  </w:num>
  <w:num w:numId="4">
    <w:abstractNumId w:val="21"/>
  </w:num>
  <w:num w:numId="5">
    <w:abstractNumId w:val="14"/>
  </w:num>
  <w:num w:numId="6">
    <w:abstractNumId w:val="11"/>
  </w:num>
  <w:num w:numId="7">
    <w:abstractNumId w:val="31"/>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3"/>
  </w:num>
  <w:num w:numId="15">
    <w:abstractNumId w:val="33"/>
  </w:num>
  <w:num w:numId="16">
    <w:abstractNumId w:val="25"/>
  </w:num>
  <w:num w:numId="17">
    <w:abstractNumId w:val="18"/>
  </w:num>
  <w:num w:numId="18">
    <w:abstractNumId w:val="9"/>
  </w:num>
  <w:num w:numId="19">
    <w:abstractNumId w:val="32"/>
  </w:num>
  <w:num w:numId="20">
    <w:abstractNumId w:val="12"/>
  </w:num>
  <w:num w:numId="21">
    <w:abstractNumId w:val="19"/>
  </w:num>
  <w:num w:numId="22">
    <w:abstractNumId w:val="26"/>
  </w:num>
  <w:num w:numId="23">
    <w:abstractNumId w:val="10"/>
  </w:num>
  <w:num w:numId="24">
    <w:abstractNumId w:val="23"/>
  </w:num>
  <w:num w:numId="25">
    <w:abstractNumId w:val="24"/>
  </w:num>
  <w:num w:numId="26">
    <w:abstractNumId w:val="15"/>
  </w:num>
  <w:num w:numId="27">
    <w:abstractNumId w:val="30"/>
  </w:num>
  <w:num w:numId="28">
    <w:abstractNumId w:val="29"/>
  </w:num>
  <w:num w:numId="29">
    <w:abstractNumId w:val="16"/>
  </w:num>
  <w:num w:numId="30">
    <w:abstractNumId w:val="8"/>
  </w:num>
  <w:num w:numId="31">
    <w:abstractNumId w:val="27"/>
  </w:num>
  <w:num w:numId="32">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20"/>
  <w:drawingGridVerticalSpacing w:val="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2E"/>
    <w:rsid w:val="00000B1F"/>
    <w:rsid w:val="00001C68"/>
    <w:rsid w:val="0000257F"/>
    <w:rsid w:val="00005F49"/>
    <w:rsid w:val="000068F7"/>
    <w:rsid w:val="00007DDA"/>
    <w:rsid w:val="000200A0"/>
    <w:rsid w:val="000237ED"/>
    <w:rsid w:val="00025423"/>
    <w:rsid w:val="00033449"/>
    <w:rsid w:val="000337AF"/>
    <w:rsid w:val="000337EB"/>
    <w:rsid w:val="0003504C"/>
    <w:rsid w:val="0003634B"/>
    <w:rsid w:val="000365C4"/>
    <w:rsid w:val="00040EA1"/>
    <w:rsid w:val="000444BF"/>
    <w:rsid w:val="00044595"/>
    <w:rsid w:val="00045414"/>
    <w:rsid w:val="00046104"/>
    <w:rsid w:val="000461D8"/>
    <w:rsid w:val="00046E3B"/>
    <w:rsid w:val="00047A13"/>
    <w:rsid w:val="00056330"/>
    <w:rsid w:val="0005799D"/>
    <w:rsid w:val="00060C8A"/>
    <w:rsid w:val="00063DCD"/>
    <w:rsid w:val="0006554D"/>
    <w:rsid w:val="00070915"/>
    <w:rsid w:val="000723E8"/>
    <w:rsid w:val="0007295D"/>
    <w:rsid w:val="00075682"/>
    <w:rsid w:val="000833E3"/>
    <w:rsid w:val="00085BB4"/>
    <w:rsid w:val="00094774"/>
    <w:rsid w:val="000958A7"/>
    <w:rsid w:val="00095B13"/>
    <w:rsid w:val="000A1883"/>
    <w:rsid w:val="000A71DD"/>
    <w:rsid w:val="000B36D8"/>
    <w:rsid w:val="000B3A71"/>
    <w:rsid w:val="000B5866"/>
    <w:rsid w:val="000C1A91"/>
    <w:rsid w:val="000D112A"/>
    <w:rsid w:val="000D1F02"/>
    <w:rsid w:val="000E413E"/>
    <w:rsid w:val="000E53F0"/>
    <w:rsid w:val="000E60CD"/>
    <w:rsid w:val="000E76F6"/>
    <w:rsid w:val="000F13FE"/>
    <w:rsid w:val="000F1FD3"/>
    <w:rsid w:val="00104672"/>
    <w:rsid w:val="0010621A"/>
    <w:rsid w:val="00114667"/>
    <w:rsid w:val="00114B40"/>
    <w:rsid w:val="00115A28"/>
    <w:rsid w:val="0011641C"/>
    <w:rsid w:val="00116621"/>
    <w:rsid w:val="001176B6"/>
    <w:rsid w:val="001247CF"/>
    <w:rsid w:val="0012590C"/>
    <w:rsid w:val="00130024"/>
    <w:rsid w:val="00134B60"/>
    <w:rsid w:val="00134C1C"/>
    <w:rsid w:val="00135455"/>
    <w:rsid w:val="001357CD"/>
    <w:rsid w:val="00136EB9"/>
    <w:rsid w:val="00140223"/>
    <w:rsid w:val="00151417"/>
    <w:rsid w:val="001515E4"/>
    <w:rsid w:val="00151C9D"/>
    <w:rsid w:val="0016125A"/>
    <w:rsid w:val="00167930"/>
    <w:rsid w:val="001679DC"/>
    <w:rsid w:val="00173603"/>
    <w:rsid w:val="00182077"/>
    <w:rsid w:val="00182EC9"/>
    <w:rsid w:val="001845D9"/>
    <w:rsid w:val="00184794"/>
    <w:rsid w:val="001847D1"/>
    <w:rsid w:val="00192833"/>
    <w:rsid w:val="001956F6"/>
    <w:rsid w:val="001962AD"/>
    <w:rsid w:val="001A238F"/>
    <w:rsid w:val="001A27D1"/>
    <w:rsid w:val="001A421F"/>
    <w:rsid w:val="001B28E0"/>
    <w:rsid w:val="001B71A8"/>
    <w:rsid w:val="001C1D0E"/>
    <w:rsid w:val="001C2E75"/>
    <w:rsid w:val="001C4471"/>
    <w:rsid w:val="001C4EB6"/>
    <w:rsid w:val="001D384B"/>
    <w:rsid w:val="001D464B"/>
    <w:rsid w:val="001D76FD"/>
    <w:rsid w:val="001F2684"/>
    <w:rsid w:val="001F5FF0"/>
    <w:rsid w:val="001F6660"/>
    <w:rsid w:val="001F722B"/>
    <w:rsid w:val="00202D8D"/>
    <w:rsid w:val="00203555"/>
    <w:rsid w:val="00205F61"/>
    <w:rsid w:val="00206410"/>
    <w:rsid w:val="0021311D"/>
    <w:rsid w:val="00217EA6"/>
    <w:rsid w:val="00226C23"/>
    <w:rsid w:val="0022775E"/>
    <w:rsid w:val="00230F91"/>
    <w:rsid w:val="002333D2"/>
    <w:rsid w:val="002342C7"/>
    <w:rsid w:val="0023667D"/>
    <w:rsid w:val="00236917"/>
    <w:rsid w:val="0024300D"/>
    <w:rsid w:val="00244251"/>
    <w:rsid w:val="00246DD0"/>
    <w:rsid w:val="0026414D"/>
    <w:rsid w:val="00266AF9"/>
    <w:rsid w:val="002678F8"/>
    <w:rsid w:val="00270DF5"/>
    <w:rsid w:val="00274115"/>
    <w:rsid w:val="0027543B"/>
    <w:rsid w:val="002776C8"/>
    <w:rsid w:val="00282A8C"/>
    <w:rsid w:val="00285042"/>
    <w:rsid w:val="002879A0"/>
    <w:rsid w:val="00287AFF"/>
    <w:rsid w:val="0029071A"/>
    <w:rsid w:val="0029237F"/>
    <w:rsid w:val="002948A5"/>
    <w:rsid w:val="002A1F67"/>
    <w:rsid w:val="002A7E3A"/>
    <w:rsid w:val="002B1267"/>
    <w:rsid w:val="002B28B9"/>
    <w:rsid w:val="002C533C"/>
    <w:rsid w:val="002C56EA"/>
    <w:rsid w:val="002D0E15"/>
    <w:rsid w:val="002D1099"/>
    <w:rsid w:val="002D175C"/>
    <w:rsid w:val="002D1C00"/>
    <w:rsid w:val="002D2A1C"/>
    <w:rsid w:val="002D333D"/>
    <w:rsid w:val="002D3348"/>
    <w:rsid w:val="002D3C7A"/>
    <w:rsid w:val="002D6848"/>
    <w:rsid w:val="002E1204"/>
    <w:rsid w:val="002E1B04"/>
    <w:rsid w:val="002E4CE0"/>
    <w:rsid w:val="002F221F"/>
    <w:rsid w:val="002F6265"/>
    <w:rsid w:val="002F685B"/>
    <w:rsid w:val="002F781A"/>
    <w:rsid w:val="00303BD8"/>
    <w:rsid w:val="003052A2"/>
    <w:rsid w:val="00310767"/>
    <w:rsid w:val="003161BD"/>
    <w:rsid w:val="00316AE0"/>
    <w:rsid w:val="00322263"/>
    <w:rsid w:val="00327895"/>
    <w:rsid w:val="003323F6"/>
    <w:rsid w:val="00336A60"/>
    <w:rsid w:val="00337F46"/>
    <w:rsid w:val="00342D33"/>
    <w:rsid w:val="00353A27"/>
    <w:rsid w:val="00362256"/>
    <w:rsid w:val="003629EC"/>
    <w:rsid w:val="00363C94"/>
    <w:rsid w:val="00363CB6"/>
    <w:rsid w:val="00364C88"/>
    <w:rsid w:val="0037706F"/>
    <w:rsid w:val="0037735F"/>
    <w:rsid w:val="00382EBC"/>
    <w:rsid w:val="00391EE1"/>
    <w:rsid w:val="003922E0"/>
    <w:rsid w:val="003945A3"/>
    <w:rsid w:val="0039638F"/>
    <w:rsid w:val="00397F95"/>
    <w:rsid w:val="003A4222"/>
    <w:rsid w:val="003A6715"/>
    <w:rsid w:val="003B47A9"/>
    <w:rsid w:val="003B4D68"/>
    <w:rsid w:val="003C1023"/>
    <w:rsid w:val="003C2813"/>
    <w:rsid w:val="003C42BC"/>
    <w:rsid w:val="003C504C"/>
    <w:rsid w:val="003C66B1"/>
    <w:rsid w:val="003D07A4"/>
    <w:rsid w:val="003D5431"/>
    <w:rsid w:val="003D74E6"/>
    <w:rsid w:val="003E59D6"/>
    <w:rsid w:val="003E6941"/>
    <w:rsid w:val="003E6C00"/>
    <w:rsid w:val="003E7B86"/>
    <w:rsid w:val="003F2C22"/>
    <w:rsid w:val="003F4D17"/>
    <w:rsid w:val="00401D40"/>
    <w:rsid w:val="0040269C"/>
    <w:rsid w:val="004034E5"/>
    <w:rsid w:val="004036AE"/>
    <w:rsid w:val="00407720"/>
    <w:rsid w:val="00410A5B"/>
    <w:rsid w:val="004120EC"/>
    <w:rsid w:val="00412D6A"/>
    <w:rsid w:val="00413602"/>
    <w:rsid w:val="00420E11"/>
    <w:rsid w:val="0042307F"/>
    <w:rsid w:val="004232B2"/>
    <w:rsid w:val="004238F7"/>
    <w:rsid w:val="00425974"/>
    <w:rsid w:val="00427F37"/>
    <w:rsid w:val="00430349"/>
    <w:rsid w:val="004306F4"/>
    <w:rsid w:val="0043492C"/>
    <w:rsid w:val="004402F4"/>
    <w:rsid w:val="00440496"/>
    <w:rsid w:val="0044371C"/>
    <w:rsid w:val="0044615D"/>
    <w:rsid w:val="00451CB8"/>
    <w:rsid w:val="00452699"/>
    <w:rsid w:val="00455161"/>
    <w:rsid w:val="0046602D"/>
    <w:rsid w:val="004673A6"/>
    <w:rsid w:val="004715FD"/>
    <w:rsid w:val="004719B2"/>
    <w:rsid w:val="00472A79"/>
    <w:rsid w:val="00472E0A"/>
    <w:rsid w:val="004851B2"/>
    <w:rsid w:val="00490F58"/>
    <w:rsid w:val="004A2BED"/>
    <w:rsid w:val="004A3D2E"/>
    <w:rsid w:val="004A3F5E"/>
    <w:rsid w:val="004A5339"/>
    <w:rsid w:val="004B0284"/>
    <w:rsid w:val="004B4045"/>
    <w:rsid w:val="004B4C66"/>
    <w:rsid w:val="004C0CBD"/>
    <w:rsid w:val="004C16A1"/>
    <w:rsid w:val="004C3331"/>
    <w:rsid w:val="004D15C6"/>
    <w:rsid w:val="004D3A59"/>
    <w:rsid w:val="004D46B8"/>
    <w:rsid w:val="004D4BD7"/>
    <w:rsid w:val="004D54A3"/>
    <w:rsid w:val="004D6EBC"/>
    <w:rsid w:val="004D7F91"/>
    <w:rsid w:val="004E1225"/>
    <w:rsid w:val="004E56CB"/>
    <w:rsid w:val="004E608C"/>
    <w:rsid w:val="004E737C"/>
    <w:rsid w:val="004F161D"/>
    <w:rsid w:val="004F1AAA"/>
    <w:rsid w:val="004F2689"/>
    <w:rsid w:val="004F5073"/>
    <w:rsid w:val="004F52C6"/>
    <w:rsid w:val="004F6C57"/>
    <w:rsid w:val="0050067E"/>
    <w:rsid w:val="00503EFB"/>
    <w:rsid w:val="00507232"/>
    <w:rsid w:val="00511343"/>
    <w:rsid w:val="00516C0A"/>
    <w:rsid w:val="00521A5E"/>
    <w:rsid w:val="005224AB"/>
    <w:rsid w:val="00522F68"/>
    <w:rsid w:val="00524B04"/>
    <w:rsid w:val="00525792"/>
    <w:rsid w:val="0052615D"/>
    <w:rsid w:val="00527CC5"/>
    <w:rsid w:val="0053168D"/>
    <w:rsid w:val="00532E3F"/>
    <w:rsid w:val="00532E94"/>
    <w:rsid w:val="0053535B"/>
    <w:rsid w:val="005377C7"/>
    <w:rsid w:val="00540EEC"/>
    <w:rsid w:val="00542BCC"/>
    <w:rsid w:val="005432C8"/>
    <w:rsid w:val="005542B2"/>
    <w:rsid w:val="0055484D"/>
    <w:rsid w:val="00554A47"/>
    <w:rsid w:val="00556176"/>
    <w:rsid w:val="00556968"/>
    <w:rsid w:val="00561886"/>
    <w:rsid w:val="00561B8B"/>
    <w:rsid w:val="00571261"/>
    <w:rsid w:val="00572461"/>
    <w:rsid w:val="00572CAE"/>
    <w:rsid w:val="00573839"/>
    <w:rsid w:val="00573DE9"/>
    <w:rsid w:val="005764C4"/>
    <w:rsid w:val="005770FB"/>
    <w:rsid w:val="005805CE"/>
    <w:rsid w:val="00584674"/>
    <w:rsid w:val="005908F7"/>
    <w:rsid w:val="00594CF3"/>
    <w:rsid w:val="0059599D"/>
    <w:rsid w:val="00596654"/>
    <w:rsid w:val="00596DE2"/>
    <w:rsid w:val="005A3643"/>
    <w:rsid w:val="005A3CE2"/>
    <w:rsid w:val="005A4015"/>
    <w:rsid w:val="005A45A6"/>
    <w:rsid w:val="005B056C"/>
    <w:rsid w:val="005B2A46"/>
    <w:rsid w:val="005B6712"/>
    <w:rsid w:val="005B78AE"/>
    <w:rsid w:val="005B793A"/>
    <w:rsid w:val="005C250F"/>
    <w:rsid w:val="005C7C0A"/>
    <w:rsid w:val="005D03D2"/>
    <w:rsid w:val="005D5E89"/>
    <w:rsid w:val="005E428E"/>
    <w:rsid w:val="005E4D4B"/>
    <w:rsid w:val="005E5BEA"/>
    <w:rsid w:val="005F0A6F"/>
    <w:rsid w:val="005F1449"/>
    <w:rsid w:val="0060150B"/>
    <w:rsid w:val="0060229E"/>
    <w:rsid w:val="00602C0B"/>
    <w:rsid w:val="0060440C"/>
    <w:rsid w:val="00604ACA"/>
    <w:rsid w:val="00607C1C"/>
    <w:rsid w:val="00610938"/>
    <w:rsid w:val="00610F5D"/>
    <w:rsid w:val="00614BCB"/>
    <w:rsid w:val="00620A60"/>
    <w:rsid w:val="00625F94"/>
    <w:rsid w:val="006305BD"/>
    <w:rsid w:val="00635433"/>
    <w:rsid w:val="0063675F"/>
    <w:rsid w:val="0063715E"/>
    <w:rsid w:val="006378A5"/>
    <w:rsid w:val="00640951"/>
    <w:rsid w:val="00640D18"/>
    <w:rsid w:val="006417EB"/>
    <w:rsid w:val="006547FF"/>
    <w:rsid w:val="006561E7"/>
    <w:rsid w:val="006614F2"/>
    <w:rsid w:val="00661FE1"/>
    <w:rsid w:val="00663EB8"/>
    <w:rsid w:val="00664B23"/>
    <w:rsid w:val="00664E57"/>
    <w:rsid w:val="00667421"/>
    <w:rsid w:val="00671040"/>
    <w:rsid w:val="00675FBE"/>
    <w:rsid w:val="00676671"/>
    <w:rsid w:val="00680E41"/>
    <w:rsid w:val="00681242"/>
    <w:rsid w:val="006812B4"/>
    <w:rsid w:val="00685C49"/>
    <w:rsid w:val="006861E4"/>
    <w:rsid w:val="00695871"/>
    <w:rsid w:val="006A0895"/>
    <w:rsid w:val="006A28FB"/>
    <w:rsid w:val="006A2CC4"/>
    <w:rsid w:val="006A3949"/>
    <w:rsid w:val="006B0AF6"/>
    <w:rsid w:val="006B1A72"/>
    <w:rsid w:val="006B30EF"/>
    <w:rsid w:val="006B7202"/>
    <w:rsid w:val="006C0753"/>
    <w:rsid w:val="006C5B14"/>
    <w:rsid w:val="006C5D99"/>
    <w:rsid w:val="006D146A"/>
    <w:rsid w:val="006D1673"/>
    <w:rsid w:val="006D3170"/>
    <w:rsid w:val="006D5596"/>
    <w:rsid w:val="006D68C1"/>
    <w:rsid w:val="006E04FE"/>
    <w:rsid w:val="006E1C8F"/>
    <w:rsid w:val="006E4B12"/>
    <w:rsid w:val="006E5FB1"/>
    <w:rsid w:val="006E6010"/>
    <w:rsid w:val="006E6B79"/>
    <w:rsid w:val="006F0E9A"/>
    <w:rsid w:val="006F1001"/>
    <w:rsid w:val="006F26F3"/>
    <w:rsid w:val="00700ED7"/>
    <w:rsid w:val="007060C1"/>
    <w:rsid w:val="007135FE"/>
    <w:rsid w:val="00716D73"/>
    <w:rsid w:val="00723C1C"/>
    <w:rsid w:val="00731FC7"/>
    <w:rsid w:val="0073781B"/>
    <w:rsid w:val="00744A60"/>
    <w:rsid w:val="00746719"/>
    <w:rsid w:val="00750852"/>
    <w:rsid w:val="00753C49"/>
    <w:rsid w:val="00753FA8"/>
    <w:rsid w:val="00762481"/>
    <w:rsid w:val="00765C6D"/>
    <w:rsid w:val="0076674E"/>
    <w:rsid w:val="00773466"/>
    <w:rsid w:val="00776B34"/>
    <w:rsid w:val="00780268"/>
    <w:rsid w:val="007804B2"/>
    <w:rsid w:val="0078198B"/>
    <w:rsid w:val="007827FD"/>
    <w:rsid w:val="007829E7"/>
    <w:rsid w:val="00782B8F"/>
    <w:rsid w:val="007868D8"/>
    <w:rsid w:val="007B0EA9"/>
    <w:rsid w:val="007B13C9"/>
    <w:rsid w:val="007B1FEA"/>
    <w:rsid w:val="007B7139"/>
    <w:rsid w:val="007B7522"/>
    <w:rsid w:val="007C0B19"/>
    <w:rsid w:val="007C1730"/>
    <w:rsid w:val="007C26C1"/>
    <w:rsid w:val="007D04B6"/>
    <w:rsid w:val="007D1422"/>
    <w:rsid w:val="007D3D72"/>
    <w:rsid w:val="007D4259"/>
    <w:rsid w:val="007D4695"/>
    <w:rsid w:val="007D5C3F"/>
    <w:rsid w:val="007D6B8C"/>
    <w:rsid w:val="007E06D6"/>
    <w:rsid w:val="007E0BA5"/>
    <w:rsid w:val="007E37A6"/>
    <w:rsid w:val="007E5826"/>
    <w:rsid w:val="007F43DD"/>
    <w:rsid w:val="007F5D1C"/>
    <w:rsid w:val="007F75AC"/>
    <w:rsid w:val="0080095E"/>
    <w:rsid w:val="00800B57"/>
    <w:rsid w:val="00812C47"/>
    <w:rsid w:val="0081337B"/>
    <w:rsid w:val="00814B9C"/>
    <w:rsid w:val="00816E44"/>
    <w:rsid w:val="00824213"/>
    <w:rsid w:val="008248DA"/>
    <w:rsid w:val="008272D2"/>
    <w:rsid w:val="00827EBB"/>
    <w:rsid w:val="00831A34"/>
    <w:rsid w:val="00831CF1"/>
    <w:rsid w:val="008347D8"/>
    <w:rsid w:val="008363E9"/>
    <w:rsid w:val="00841527"/>
    <w:rsid w:val="008479B2"/>
    <w:rsid w:val="00851733"/>
    <w:rsid w:val="00853C6A"/>
    <w:rsid w:val="00855D95"/>
    <w:rsid w:val="00857431"/>
    <w:rsid w:val="00857469"/>
    <w:rsid w:val="0086257D"/>
    <w:rsid w:val="00865397"/>
    <w:rsid w:val="00867B7C"/>
    <w:rsid w:val="00867CA5"/>
    <w:rsid w:val="00871243"/>
    <w:rsid w:val="0087695C"/>
    <w:rsid w:val="00881F7E"/>
    <w:rsid w:val="00886814"/>
    <w:rsid w:val="00891A5C"/>
    <w:rsid w:val="00893886"/>
    <w:rsid w:val="00895545"/>
    <w:rsid w:val="008A09A3"/>
    <w:rsid w:val="008A1ACE"/>
    <w:rsid w:val="008A402D"/>
    <w:rsid w:val="008A466B"/>
    <w:rsid w:val="008A70E3"/>
    <w:rsid w:val="008B0E61"/>
    <w:rsid w:val="008B0FFE"/>
    <w:rsid w:val="008B38EA"/>
    <w:rsid w:val="008B5110"/>
    <w:rsid w:val="008B5323"/>
    <w:rsid w:val="008C0051"/>
    <w:rsid w:val="008C035C"/>
    <w:rsid w:val="008C4300"/>
    <w:rsid w:val="008C678B"/>
    <w:rsid w:val="008D4061"/>
    <w:rsid w:val="008D50CC"/>
    <w:rsid w:val="008D66A4"/>
    <w:rsid w:val="008D7A86"/>
    <w:rsid w:val="008E335C"/>
    <w:rsid w:val="008E4D40"/>
    <w:rsid w:val="008E5A52"/>
    <w:rsid w:val="008F00C0"/>
    <w:rsid w:val="008F1C2C"/>
    <w:rsid w:val="009008DF"/>
    <w:rsid w:val="00904819"/>
    <w:rsid w:val="00905BD1"/>
    <w:rsid w:val="00906560"/>
    <w:rsid w:val="009136E3"/>
    <w:rsid w:val="0091656E"/>
    <w:rsid w:val="00917322"/>
    <w:rsid w:val="0091776C"/>
    <w:rsid w:val="009211C0"/>
    <w:rsid w:val="009232FA"/>
    <w:rsid w:val="00925EAB"/>
    <w:rsid w:val="00931768"/>
    <w:rsid w:val="00931ECC"/>
    <w:rsid w:val="009323AE"/>
    <w:rsid w:val="009336FC"/>
    <w:rsid w:val="00937856"/>
    <w:rsid w:val="00940EAA"/>
    <w:rsid w:val="00941658"/>
    <w:rsid w:val="00941C8F"/>
    <w:rsid w:val="00942486"/>
    <w:rsid w:val="00946500"/>
    <w:rsid w:val="0095027D"/>
    <w:rsid w:val="00950BE9"/>
    <w:rsid w:val="00950F02"/>
    <w:rsid w:val="009518BE"/>
    <w:rsid w:val="009566E7"/>
    <w:rsid w:val="00956957"/>
    <w:rsid w:val="00960368"/>
    <w:rsid w:val="009667F7"/>
    <w:rsid w:val="0096683D"/>
    <w:rsid w:val="00966BD3"/>
    <w:rsid w:val="00967D5D"/>
    <w:rsid w:val="00974EBA"/>
    <w:rsid w:val="009751E6"/>
    <w:rsid w:val="00975B60"/>
    <w:rsid w:val="00976A6C"/>
    <w:rsid w:val="009770F9"/>
    <w:rsid w:val="009813E6"/>
    <w:rsid w:val="00985BF4"/>
    <w:rsid w:val="00986290"/>
    <w:rsid w:val="00986542"/>
    <w:rsid w:val="00991071"/>
    <w:rsid w:val="00991F4F"/>
    <w:rsid w:val="00997DC0"/>
    <w:rsid w:val="009A074C"/>
    <w:rsid w:val="009A0873"/>
    <w:rsid w:val="009A40BF"/>
    <w:rsid w:val="009A58DC"/>
    <w:rsid w:val="009A5D61"/>
    <w:rsid w:val="009B0D65"/>
    <w:rsid w:val="009B2E64"/>
    <w:rsid w:val="009B52B5"/>
    <w:rsid w:val="009C0119"/>
    <w:rsid w:val="009C0BF6"/>
    <w:rsid w:val="009C11EB"/>
    <w:rsid w:val="009C1602"/>
    <w:rsid w:val="009C73B6"/>
    <w:rsid w:val="009D62CF"/>
    <w:rsid w:val="009D72C2"/>
    <w:rsid w:val="009E0FC6"/>
    <w:rsid w:val="009E18F1"/>
    <w:rsid w:val="009E2DD5"/>
    <w:rsid w:val="009E540D"/>
    <w:rsid w:val="009E6576"/>
    <w:rsid w:val="009F6B89"/>
    <w:rsid w:val="009F751A"/>
    <w:rsid w:val="009F76AB"/>
    <w:rsid w:val="00A06744"/>
    <w:rsid w:val="00A07240"/>
    <w:rsid w:val="00A10A85"/>
    <w:rsid w:val="00A15754"/>
    <w:rsid w:val="00A17E71"/>
    <w:rsid w:val="00A210EF"/>
    <w:rsid w:val="00A23FC4"/>
    <w:rsid w:val="00A24DC5"/>
    <w:rsid w:val="00A25819"/>
    <w:rsid w:val="00A26942"/>
    <w:rsid w:val="00A33979"/>
    <w:rsid w:val="00A33B96"/>
    <w:rsid w:val="00A34D3B"/>
    <w:rsid w:val="00A41938"/>
    <w:rsid w:val="00A426C6"/>
    <w:rsid w:val="00A445B8"/>
    <w:rsid w:val="00A4473C"/>
    <w:rsid w:val="00A45738"/>
    <w:rsid w:val="00A503B7"/>
    <w:rsid w:val="00A50D1A"/>
    <w:rsid w:val="00A51002"/>
    <w:rsid w:val="00A51323"/>
    <w:rsid w:val="00A51984"/>
    <w:rsid w:val="00A53276"/>
    <w:rsid w:val="00A564B3"/>
    <w:rsid w:val="00A61023"/>
    <w:rsid w:val="00A6119D"/>
    <w:rsid w:val="00A6499D"/>
    <w:rsid w:val="00A711B1"/>
    <w:rsid w:val="00A74972"/>
    <w:rsid w:val="00A760CA"/>
    <w:rsid w:val="00A819CB"/>
    <w:rsid w:val="00A82E0E"/>
    <w:rsid w:val="00A85A33"/>
    <w:rsid w:val="00A9448C"/>
    <w:rsid w:val="00A944BE"/>
    <w:rsid w:val="00A94D68"/>
    <w:rsid w:val="00A9581E"/>
    <w:rsid w:val="00A96745"/>
    <w:rsid w:val="00A96B98"/>
    <w:rsid w:val="00A97910"/>
    <w:rsid w:val="00AC068E"/>
    <w:rsid w:val="00AC631B"/>
    <w:rsid w:val="00AC668B"/>
    <w:rsid w:val="00AD3433"/>
    <w:rsid w:val="00AD5100"/>
    <w:rsid w:val="00AD67EC"/>
    <w:rsid w:val="00AE0CD9"/>
    <w:rsid w:val="00AE3E61"/>
    <w:rsid w:val="00AE4977"/>
    <w:rsid w:val="00AE4DFE"/>
    <w:rsid w:val="00AE6C3B"/>
    <w:rsid w:val="00AF434F"/>
    <w:rsid w:val="00AF4DCE"/>
    <w:rsid w:val="00AF5139"/>
    <w:rsid w:val="00AF7609"/>
    <w:rsid w:val="00AF78D8"/>
    <w:rsid w:val="00B0483B"/>
    <w:rsid w:val="00B04879"/>
    <w:rsid w:val="00B04DCF"/>
    <w:rsid w:val="00B07CDA"/>
    <w:rsid w:val="00B123B9"/>
    <w:rsid w:val="00B12913"/>
    <w:rsid w:val="00B17232"/>
    <w:rsid w:val="00B225EA"/>
    <w:rsid w:val="00B23B7F"/>
    <w:rsid w:val="00B25895"/>
    <w:rsid w:val="00B33E98"/>
    <w:rsid w:val="00B34C18"/>
    <w:rsid w:val="00B40FA4"/>
    <w:rsid w:val="00B418B2"/>
    <w:rsid w:val="00B43379"/>
    <w:rsid w:val="00B43B38"/>
    <w:rsid w:val="00B44CED"/>
    <w:rsid w:val="00B4507A"/>
    <w:rsid w:val="00B467BF"/>
    <w:rsid w:val="00B50D6E"/>
    <w:rsid w:val="00B55831"/>
    <w:rsid w:val="00B57E9E"/>
    <w:rsid w:val="00B601C4"/>
    <w:rsid w:val="00B64BBF"/>
    <w:rsid w:val="00B72512"/>
    <w:rsid w:val="00B72EA7"/>
    <w:rsid w:val="00B732FD"/>
    <w:rsid w:val="00B73A25"/>
    <w:rsid w:val="00B76AAF"/>
    <w:rsid w:val="00B8310C"/>
    <w:rsid w:val="00B8708B"/>
    <w:rsid w:val="00B8724A"/>
    <w:rsid w:val="00B900C2"/>
    <w:rsid w:val="00B9063A"/>
    <w:rsid w:val="00B9078D"/>
    <w:rsid w:val="00B96196"/>
    <w:rsid w:val="00BA1983"/>
    <w:rsid w:val="00BA27FA"/>
    <w:rsid w:val="00BA44E0"/>
    <w:rsid w:val="00BA51D9"/>
    <w:rsid w:val="00BB130F"/>
    <w:rsid w:val="00BB49E1"/>
    <w:rsid w:val="00BB6883"/>
    <w:rsid w:val="00BC026A"/>
    <w:rsid w:val="00BC02E8"/>
    <w:rsid w:val="00BC4C33"/>
    <w:rsid w:val="00BD4EB8"/>
    <w:rsid w:val="00BD63A6"/>
    <w:rsid w:val="00BE34DC"/>
    <w:rsid w:val="00BE478E"/>
    <w:rsid w:val="00BE48FC"/>
    <w:rsid w:val="00BE6045"/>
    <w:rsid w:val="00BF154E"/>
    <w:rsid w:val="00BF34D5"/>
    <w:rsid w:val="00BF4E25"/>
    <w:rsid w:val="00BF65B2"/>
    <w:rsid w:val="00BF6E3C"/>
    <w:rsid w:val="00BF702E"/>
    <w:rsid w:val="00C01CC2"/>
    <w:rsid w:val="00C02C35"/>
    <w:rsid w:val="00C03BE0"/>
    <w:rsid w:val="00C04DB8"/>
    <w:rsid w:val="00C05D2D"/>
    <w:rsid w:val="00C05FF7"/>
    <w:rsid w:val="00C0735F"/>
    <w:rsid w:val="00C07F2D"/>
    <w:rsid w:val="00C13183"/>
    <w:rsid w:val="00C14DA0"/>
    <w:rsid w:val="00C15E70"/>
    <w:rsid w:val="00C162DC"/>
    <w:rsid w:val="00C16919"/>
    <w:rsid w:val="00C26AB6"/>
    <w:rsid w:val="00C31359"/>
    <w:rsid w:val="00C32086"/>
    <w:rsid w:val="00C36124"/>
    <w:rsid w:val="00C365BD"/>
    <w:rsid w:val="00C415EC"/>
    <w:rsid w:val="00C44099"/>
    <w:rsid w:val="00C538CD"/>
    <w:rsid w:val="00C54BB7"/>
    <w:rsid w:val="00C613BD"/>
    <w:rsid w:val="00C65A7B"/>
    <w:rsid w:val="00C66EB7"/>
    <w:rsid w:val="00C715FB"/>
    <w:rsid w:val="00C721B2"/>
    <w:rsid w:val="00C75897"/>
    <w:rsid w:val="00C767F0"/>
    <w:rsid w:val="00C81F87"/>
    <w:rsid w:val="00C8262A"/>
    <w:rsid w:val="00C836DC"/>
    <w:rsid w:val="00C84F16"/>
    <w:rsid w:val="00C865F8"/>
    <w:rsid w:val="00C8692A"/>
    <w:rsid w:val="00C87377"/>
    <w:rsid w:val="00C87513"/>
    <w:rsid w:val="00C94130"/>
    <w:rsid w:val="00C95F77"/>
    <w:rsid w:val="00CA5982"/>
    <w:rsid w:val="00CA6005"/>
    <w:rsid w:val="00CB46B2"/>
    <w:rsid w:val="00CB4ECA"/>
    <w:rsid w:val="00CB61DE"/>
    <w:rsid w:val="00CD0314"/>
    <w:rsid w:val="00CD1498"/>
    <w:rsid w:val="00CD3D07"/>
    <w:rsid w:val="00CD5DE4"/>
    <w:rsid w:val="00CD6A85"/>
    <w:rsid w:val="00CE14DE"/>
    <w:rsid w:val="00CE209B"/>
    <w:rsid w:val="00CE38B1"/>
    <w:rsid w:val="00CF0609"/>
    <w:rsid w:val="00CF07BD"/>
    <w:rsid w:val="00CF2151"/>
    <w:rsid w:val="00CF7B6C"/>
    <w:rsid w:val="00D00012"/>
    <w:rsid w:val="00D0369B"/>
    <w:rsid w:val="00D06A38"/>
    <w:rsid w:val="00D11F34"/>
    <w:rsid w:val="00D12EED"/>
    <w:rsid w:val="00D13BD8"/>
    <w:rsid w:val="00D1653A"/>
    <w:rsid w:val="00D17E8A"/>
    <w:rsid w:val="00D20FBB"/>
    <w:rsid w:val="00D23314"/>
    <w:rsid w:val="00D240A4"/>
    <w:rsid w:val="00D250AB"/>
    <w:rsid w:val="00D434DE"/>
    <w:rsid w:val="00D4386A"/>
    <w:rsid w:val="00D46A4D"/>
    <w:rsid w:val="00D51764"/>
    <w:rsid w:val="00D720C8"/>
    <w:rsid w:val="00D75C0E"/>
    <w:rsid w:val="00D800A9"/>
    <w:rsid w:val="00D80138"/>
    <w:rsid w:val="00D8327D"/>
    <w:rsid w:val="00D8376A"/>
    <w:rsid w:val="00D8513C"/>
    <w:rsid w:val="00D97164"/>
    <w:rsid w:val="00DA22E4"/>
    <w:rsid w:val="00DA4337"/>
    <w:rsid w:val="00DA6A13"/>
    <w:rsid w:val="00DB748F"/>
    <w:rsid w:val="00DC0AD4"/>
    <w:rsid w:val="00DC2C55"/>
    <w:rsid w:val="00DD335E"/>
    <w:rsid w:val="00DD38C7"/>
    <w:rsid w:val="00DD78B3"/>
    <w:rsid w:val="00DD792D"/>
    <w:rsid w:val="00DE1C07"/>
    <w:rsid w:val="00DE70C2"/>
    <w:rsid w:val="00DF0DFE"/>
    <w:rsid w:val="00DF141D"/>
    <w:rsid w:val="00DF3BE5"/>
    <w:rsid w:val="00E02DB7"/>
    <w:rsid w:val="00E0308E"/>
    <w:rsid w:val="00E04449"/>
    <w:rsid w:val="00E050BE"/>
    <w:rsid w:val="00E05C25"/>
    <w:rsid w:val="00E078B3"/>
    <w:rsid w:val="00E11CB9"/>
    <w:rsid w:val="00E13447"/>
    <w:rsid w:val="00E14006"/>
    <w:rsid w:val="00E16DA7"/>
    <w:rsid w:val="00E2208C"/>
    <w:rsid w:val="00E30A80"/>
    <w:rsid w:val="00E37085"/>
    <w:rsid w:val="00E42DEE"/>
    <w:rsid w:val="00E450D6"/>
    <w:rsid w:val="00E45112"/>
    <w:rsid w:val="00E47BBC"/>
    <w:rsid w:val="00E56CE0"/>
    <w:rsid w:val="00E57DBE"/>
    <w:rsid w:val="00E66E26"/>
    <w:rsid w:val="00E72481"/>
    <w:rsid w:val="00E72FB0"/>
    <w:rsid w:val="00E841AC"/>
    <w:rsid w:val="00E8444A"/>
    <w:rsid w:val="00E845B2"/>
    <w:rsid w:val="00E8622F"/>
    <w:rsid w:val="00E86967"/>
    <w:rsid w:val="00E86F1A"/>
    <w:rsid w:val="00E90397"/>
    <w:rsid w:val="00E9586F"/>
    <w:rsid w:val="00E96B88"/>
    <w:rsid w:val="00EA1E41"/>
    <w:rsid w:val="00EA287F"/>
    <w:rsid w:val="00EA4141"/>
    <w:rsid w:val="00EA5A1E"/>
    <w:rsid w:val="00EA7A35"/>
    <w:rsid w:val="00EA7D7E"/>
    <w:rsid w:val="00EB1C45"/>
    <w:rsid w:val="00EB5A93"/>
    <w:rsid w:val="00EB6015"/>
    <w:rsid w:val="00EB6D51"/>
    <w:rsid w:val="00EB7C29"/>
    <w:rsid w:val="00EC1F93"/>
    <w:rsid w:val="00EC44DA"/>
    <w:rsid w:val="00EC67BB"/>
    <w:rsid w:val="00ED0CCF"/>
    <w:rsid w:val="00ED1B5D"/>
    <w:rsid w:val="00ED4460"/>
    <w:rsid w:val="00ED67B3"/>
    <w:rsid w:val="00ED795A"/>
    <w:rsid w:val="00EF1C55"/>
    <w:rsid w:val="00EF1D95"/>
    <w:rsid w:val="00EF557E"/>
    <w:rsid w:val="00F01C0F"/>
    <w:rsid w:val="00F07196"/>
    <w:rsid w:val="00F1040B"/>
    <w:rsid w:val="00F1196D"/>
    <w:rsid w:val="00F120CE"/>
    <w:rsid w:val="00F16C6A"/>
    <w:rsid w:val="00F213CC"/>
    <w:rsid w:val="00F24579"/>
    <w:rsid w:val="00F369A5"/>
    <w:rsid w:val="00F4129B"/>
    <w:rsid w:val="00F42AA4"/>
    <w:rsid w:val="00F474D1"/>
    <w:rsid w:val="00F47CA0"/>
    <w:rsid w:val="00F524EA"/>
    <w:rsid w:val="00F55B51"/>
    <w:rsid w:val="00F636D8"/>
    <w:rsid w:val="00F64771"/>
    <w:rsid w:val="00F71122"/>
    <w:rsid w:val="00F85A95"/>
    <w:rsid w:val="00F85E33"/>
    <w:rsid w:val="00F930C1"/>
    <w:rsid w:val="00FA1C14"/>
    <w:rsid w:val="00FA432A"/>
    <w:rsid w:val="00FA5C52"/>
    <w:rsid w:val="00FB13FF"/>
    <w:rsid w:val="00FB2EA8"/>
    <w:rsid w:val="00FB4A6E"/>
    <w:rsid w:val="00FC1D1C"/>
    <w:rsid w:val="00FC2002"/>
    <w:rsid w:val="00FC6DC0"/>
    <w:rsid w:val="00FC70ED"/>
    <w:rsid w:val="00FD0D17"/>
    <w:rsid w:val="00FD1EE1"/>
    <w:rsid w:val="00FD60F4"/>
    <w:rsid w:val="00FD69BE"/>
    <w:rsid w:val="00FE0DF4"/>
    <w:rsid w:val="00FE1A07"/>
    <w:rsid w:val="00FE2624"/>
    <w:rsid w:val="00FE2A06"/>
    <w:rsid w:val="00FF15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4A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libri" w:hAnsi="Calibri" w:cs="Calibri"/>
      <w:sz w:val="24"/>
      <w:szCs w:val="24"/>
      <w:lang w:val="en-US" w:eastAsia="en-US" w:bidi="en-US"/>
    </w:rPr>
  </w:style>
  <w:style w:type="paragraph" w:styleId="Heading1">
    <w:name w:val="heading 1"/>
    <w:basedOn w:val="Normal"/>
    <w:next w:val="Normal"/>
    <w:qFormat/>
    <w:pPr>
      <w:keepNext/>
      <w:spacing w:before="240" w:after="60"/>
      <w:outlineLvl w:val="0"/>
    </w:pPr>
    <w:rPr>
      <w:rFonts w:ascii="Cambria" w:hAnsi="Cambria"/>
      <w:b/>
      <w:bCs/>
      <w:kern w:val="1"/>
      <w:sz w:val="32"/>
      <w:szCs w:val="32"/>
      <w:lang w:eastAsia="ar-SA" w:bidi="ar-SA"/>
    </w:rPr>
  </w:style>
  <w:style w:type="paragraph" w:styleId="Heading2">
    <w:name w:val="heading 2"/>
    <w:basedOn w:val="Normal"/>
    <w:next w:val="Normal"/>
    <w:qFormat/>
    <w:pPr>
      <w:keepNext/>
      <w:spacing w:before="240" w:after="60"/>
      <w:outlineLvl w:val="1"/>
    </w:pPr>
    <w:rPr>
      <w:rFonts w:ascii="Cambria" w:hAnsi="Cambria"/>
      <w:b/>
      <w:bCs/>
      <w:i/>
      <w:iCs/>
      <w:sz w:val="28"/>
      <w:szCs w:val="28"/>
      <w:lang w:eastAsia="ar-SA" w:bidi="ar-SA"/>
    </w:rPr>
  </w:style>
  <w:style w:type="paragraph" w:styleId="Heading3">
    <w:name w:val="heading 3"/>
    <w:basedOn w:val="Normal"/>
    <w:next w:val="Normal"/>
    <w:qFormat/>
    <w:pPr>
      <w:keepNext/>
      <w:spacing w:before="240" w:after="60"/>
      <w:outlineLvl w:val="2"/>
    </w:pPr>
    <w:rPr>
      <w:rFonts w:ascii="Cambria" w:hAnsi="Cambria"/>
      <w:b/>
      <w:bCs/>
      <w:sz w:val="26"/>
      <w:szCs w:val="26"/>
      <w:lang w:eastAsia="ar-SA" w:bidi="ar-SA"/>
    </w:rPr>
  </w:style>
  <w:style w:type="paragraph" w:styleId="Heading4">
    <w:name w:val="heading 4"/>
    <w:basedOn w:val="Normal"/>
    <w:next w:val="Normal"/>
    <w:qFormat/>
    <w:pPr>
      <w:keepNext/>
      <w:spacing w:before="240" w:after="60"/>
      <w:outlineLvl w:val="3"/>
    </w:pPr>
    <w:rPr>
      <w:b/>
      <w:bCs/>
      <w:sz w:val="28"/>
      <w:szCs w:val="28"/>
      <w:lang w:eastAsia="ar-SA" w:bidi="ar-SA"/>
    </w:rPr>
  </w:style>
  <w:style w:type="paragraph" w:styleId="Heading5">
    <w:name w:val="heading 5"/>
    <w:basedOn w:val="Normal"/>
    <w:next w:val="Normal"/>
    <w:qFormat/>
    <w:pPr>
      <w:spacing w:before="240" w:after="60"/>
      <w:outlineLvl w:val="4"/>
    </w:pPr>
    <w:rPr>
      <w:b/>
      <w:bCs/>
      <w:i/>
      <w:iCs/>
      <w:sz w:val="26"/>
      <w:szCs w:val="26"/>
      <w:lang w:eastAsia="ar-SA" w:bidi="ar-SA"/>
    </w:rPr>
  </w:style>
  <w:style w:type="paragraph" w:styleId="Heading6">
    <w:name w:val="heading 6"/>
    <w:basedOn w:val="Normal"/>
    <w:next w:val="Normal"/>
    <w:qFormat/>
    <w:pPr>
      <w:spacing w:before="240" w:after="60"/>
      <w:outlineLvl w:val="5"/>
    </w:pPr>
    <w:rPr>
      <w:b/>
      <w:bCs/>
      <w:sz w:val="20"/>
      <w:szCs w:val="20"/>
      <w:lang w:eastAsia="ar-SA" w:bidi="ar-SA"/>
    </w:rPr>
  </w:style>
  <w:style w:type="paragraph" w:styleId="Heading7">
    <w:name w:val="heading 7"/>
    <w:basedOn w:val="Normal"/>
    <w:next w:val="Normal"/>
    <w:qFormat/>
    <w:pPr>
      <w:spacing w:before="240" w:after="60"/>
      <w:outlineLvl w:val="6"/>
    </w:pPr>
    <w:rPr>
      <w:lang w:eastAsia="ar-SA" w:bidi="ar-SA"/>
    </w:rPr>
  </w:style>
  <w:style w:type="paragraph" w:styleId="Heading8">
    <w:name w:val="heading 8"/>
    <w:basedOn w:val="Normal"/>
    <w:next w:val="Normal"/>
    <w:qFormat/>
    <w:pPr>
      <w:spacing w:before="240" w:after="60"/>
      <w:outlineLvl w:val="7"/>
    </w:pPr>
    <w:rPr>
      <w:i/>
      <w:iCs/>
      <w:lang w:eastAsia="ar-SA" w:bidi="ar-SA"/>
    </w:rPr>
  </w:style>
  <w:style w:type="paragraph" w:styleId="Heading9">
    <w:name w:val="heading 9"/>
    <w:basedOn w:val="Normal"/>
    <w:next w:val="Normal"/>
    <w:qFormat/>
    <w:pPr>
      <w:spacing w:before="240" w:after="60"/>
      <w:outlineLvl w:val="8"/>
    </w:pPr>
    <w:rPr>
      <w:rFonts w:ascii="Cambria" w:hAnsi="Cambria"/>
      <w:sz w:val="20"/>
      <w:szCs w:val="20"/>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Arial10pt">
    <w:name w:val="Body text Arial 10pt"/>
    <w:basedOn w:val="Normal"/>
    <w:qFormat/>
    <w:rsid w:val="006927E8"/>
    <w:pPr>
      <w:spacing w:before="120" w:after="120"/>
    </w:pPr>
    <w:rPr>
      <w:rFonts w:ascii="Arial" w:hAnsi="Arial" w:cs="Arial"/>
      <w:sz w:val="20"/>
      <w:szCs w:val="22"/>
    </w:rPr>
  </w:style>
  <w:style w:type="paragraph" w:customStyle="1" w:styleId="Subhead-Arial12ptbold">
    <w:name w:val="Subhead - Arial 12pt bold"/>
    <w:basedOn w:val="Normal"/>
    <w:qFormat/>
    <w:rsid w:val="006927E8"/>
    <w:rPr>
      <w:rFonts w:ascii="Arial Bold" w:hAnsi="Arial Bold"/>
      <w:color w:val="272727"/>
    </w:rPr>
  </w:style>
  <w:style w:type="paragraph" w:customStyle="1" w:styleId="TOCheader">
    <w:name w:val="TOC header"/>
    <w:basedOn w:val="BasicParagraph"/>
    <w:qFormat/>
    <w:rsid w:val="004E4E1A"/>
    <w:pPr>
      <w:tabs>
        <w:tab w:val="right" w:pos="7938"/>
      </w:tabs>
      <w:spacing w:before="200"/>
    </w:pPr>
    <w:rPr>
      <w:rFonts w:ascii="Arial" w:hAnsi="Arial"/>
      <w:b/>
    </w:rPr>
  </w:style>
  <w:style w:type="paragraph" w:customStyle="1" w:styleId="BasicParagraph">
    <w:name w:val="[Basic Paragraph]"/>
    <w:basedOn w:val="Normal"/>
    <w:uiPriority w:val="99"/>
    <w:rsid w:val="00E35F04"/>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bidi="ar-SA"/>
    </w:rPr>
  </w:style>
  <w:style w:type="paragraph" w:customStyle="1" w:styleId="TOCsubhead">
    <w:name w:val="TOC subhead"/>
    <w:basedOn w:val="BasicParagraph"/>
    <w:qFormat/>
    <w:rsid w:val="004E4E1A"/>
    <w:pPr>
      <w:tabs>
        <w:tab w:val="right" w:pos="7938"/>
      </w:tabs>
      <w:spacing w:before="120"/>
    </w:pPr>
    <w:rPr>
      <w:rFonts w:ascii="Arial" w:hAnsi="Arial"/>
      <w:b/>
      <w:sz w:val="20"/>
    </w:rPr>
  </w:style>
  <w:style w:type="paragraph" w:customStyle="1" w:styleId="TOCbody">
    <w:name w:val="TOC body"/>
    <w:basedOn w:val="BasicParagraph"/>
    <w:qFormat/>
    <w:rsid w:val="004E4E1A"/>
    <w:pPr>
      <w:tabs>
        <w:tab w:val="right" w:pos="7938"/>
      </w:tabs>
    </w:pPr>
    <w:rPr>
      <w:rFonts w:ascii="Arial" w:hAnsi="Arial"/>
      <w:sz w:val="20"/>
    </w:rPr>
  </w:style>
  <w:style w:type="paragraph" w:customStyle="1" w:styleId="header14ptorangebold">
    <w:name w:val="header 14pt orange bold"/>
    <w:basedOn w:val="Normal"/>
    <w:uiPriority w:val="99"/>
    <w:rsid w:val="00453AAC"/>
    <w:pPr>
      <w:widowControl w:val="0"/>
      <w:autoSpaceDE w:val="0"/>
      <w:autoSpaceDN w:val="0"/>
      <w:adjustRightInd w:val="0"/>
      <w:spacing w:line="320" w:lineRule="atLeast"/>
      <w:textAlignment w:val="center"/>
    </w:pPr>
    <w:rPr>
      <w:rFonts w:ascii="Arial Bold" w:hAnsi="Arial Bold" w:cs="Futura-Bold"/>
      <w:bCs/>
      <w:color w:val="DF6C08"/>
      <w:sz w:val="28"/>
      <w:szCs w:val="28"/>
      <w:lang w:val="en-GB" w:bidi="ar-SA"/>
    </w:rPr>
  </w:style>
  <w:style w:type="character" w:styleId="Hyperlink">
    <w:name w:val="Hyperlink"/>
    <w:basedOn w:val="DefaultParagraphFont"/>
    <w:uiPriority w:val="99"/>
    <w:rsid w:val="0000224A"/>
    <w:rPr>
      <w:color w:val="0000FF"/>
      <w:u w:val="single"/>
    </w:rPr>
  </w:style>
  <w:style w:type="paragraph" w:styleId="Header">
    <w:name w:val="header"/>
    <w:basedOn w:val="Normal"/>
    <w:link w:val="HeaderChar"/>
    <w:rsid w:val="00561964"/>
    <w:pPr>
      <w:tabs>
        <w:tab w:val="center" w:pos="4320"/>
        <w:tab w:val="right" w:pos="8640"/>
      </w:tabs>
    </w:pPr>
  </w:style>
  <w:style w:type="character" w:customStyle="1" w:styleId="HeaderChar">
    <w:name w:val="Header Char"/>
    <w:basedOn w:val="DefaultParagraphFont"/>
    <w:link w:val="Header"/>
    <w:rsid w:val="00561964"/>
    <w:rPr>
      <w:rFonts w:ascii="Calibri" w:hAnsi="Calibri" w:cs="Calibri"/>
      <w:sz w:val="24"/>
      <w:szCs w:val="24"/>
      <w:lang w:val="en-US" w:bidi="en-US"/>
    </w:rPr>
  </w:style>
  <w:style w:type="paragraph" w:styleId="Footer">
    <w:name w:val="footer"/>
    <w:basedOn w:val="Normal"/>
    <w:link w:val="FooterChar"/>
    <w:rsid w:val="00561964"/>
    <w:pPr>
      <w:tabs>
        <w:tab w:val="center" w:pos="4320"/>
        <w:tab w:val="right" w:pos="8640"/>
      </w:tabs>
    </w:pPr>
  </w:style>
  <w:style w:type="character" w:customStyle="1" w:styleId="FooterChar">
    <w:name w:val="Footer Char"/>
    <w:basedOn w:val="DefaultParagraphFont"/>
    <w:link w:val="Footer"/>
    <w:rsid w:val="00561964"/>
    <w:rPr>
      <w:rFonts w:ascii="Calibri" w:hAnsi="Calibri" w:cs="Calibri"/>
      <w:sz w:val="24"/>
      <w:szCs w:val="24"/>
      <w:lang w:val="en-US" w:bidi="en-US"/>
    </w:rPr>
  </w:style>
  <w:style w:type="paragraph" w:styleId="ListParagraph">
    <w:name w:val="List Paragraph"/>
    <w:basedOn w:val="Normal"/>
    <w:uiPriority w:val="34"/>
    <w:qFormat/>
    <w:rsid w:val="002F781A"/>
    <w:pPr>
      <w:ind w:left="720"/>
      <w:contextualSpacing/>
    </w:pPr>
  </w:style>
  <w:style w:type="paragraph" w:styleId="NormalWeb">
    <w:name w:val="Normal (Web)"/>
    <w:basedOn w:val="Normal"/>
    <w:uiPriority w:val="99"/>
    <w:unhideWhenUsed/>
    <w:rsid w:val="00F85E33"/>
    <w:pPr>
      <w:suppressAutoHyphens w:val="0"/>
      <w:spacing w:before="100" w:beforeAutospacing="1" w:after="100" w:afterAutospacing="1"/>
    </w:pPr>
    <w:rPr>
      <w:rFonts w:ascii="Times New Roman" w:eastAsiaTheme="minorHAnsi" w:hAnsi="Times New Roman" w:cs="Times New Roman"/>
      <w:lang w:val="en-AU" w:eastAsia="en-AU" w:bidi="ar-SA"/>
    </w:rPr>
  </w:style>
  <w:style w:type="paragraph" w:styleId="BalloonText">
    <w:name w:val="Balloon Text"/>
    <w:basedOn w:val="Normal"/>
    <w:link w:val="BalloonTextChar"/>
    <w:semiHidden/>
    <w:unhideWhenUsed/>
    <w:rsid w:val="005432C8"/>
    <w:rPr>
      <w:rFonts w:ascii="Segoe UI" w:hAnsi="Segoe UI" w:cs="Segoe UI"/>
      <w:sz w:val="18"/>
      <w:szCs w:val="18"/>
    </w:rPr>
  </w:style>
  <w:style w:type="character" w:customStyle="1" w:styleId="BalloonTextChar">
    <w:name w:val="Balloon Text Char"/>
    <w:basedOn w:val="DefaultParagraphFont"/>
    <w:link w:val="BalloonText"/>
    <w:semiHidden/>
    <w:rsid w:val="005432C8"/>
    <w:rPr>
      <w:rFonts w:ascii="Segoe UI" w:hAnsi="Segoe UI" w:cs="Segoe UI"/>
      <w:sz w:val="18"/>
      <w:szCs w:val="18"/>
      <w:lang w:val="en-US" w:eastAsia="en-US" w:bidi="en-US"/>
    </w:rPr>
  </w:style>
  <w:style w:type="paragraph" w:styleId="FootnoteText">
    <w:name w:val="footnote text"/>
    <w:basedOn w:val="Normal"/>
    <w:link w:val="FootnoteTextChar"/>
    <w:semiHidden/>
    <w:unhideWhenUsed/>
    <w:rsid w:val="00867CA5"/>
    <w:rPr>
      <w:sz w:val="20"/>
      <w:szCs w:val="20"/>
    </w:rPr>
  </w:style>
  <w:style w:type="character" w:customStyle="1" w:styleId="FootnoteTextChar">
    <w:name w:val="Footnote Text Char"/>
    <w:basedOn w:val="DefaultParagraphFont"/>
    <w:link w:val="FootnoteText"/>
    <w:semiHidden/>
    <w:rsid w:val="00867CA5"/>
    <w:rPr>
      <w:rFonts w:ascii="Calibri" w:hAnsi="Calibri" w:cs="Calibri"/>
      <w:lang w:val="en-US" w:eastAsia="en-US" w:bidi="en-US"/>
    </w:rPr>
  </w:style>
  <w:style w:type="paragraph" w:styleId="CommentText">
    <w:name w:val="annotation text"/>
    <w:basedOn w:val="Normal"/>
    <w:link w:val="CommentTextChar"/>
    <w:semiHidden/>
    <w:unhideWhenUsed/>
    <w:rsid w:val="00867CA5"/>
    <w:rPr>
      <w:sz w:val="20"/>
      <w:szCs w:val="20"/>
    </w:rPr>
  </w:style>
  <w:style w:type="character" w:customStyle="1" w:styleId="CommentTextChar">
    <w:name w:val="Comment Text Char"/>
    <w:basedOn w:val="DefaultParagraphFont"/>
    <w:link w:val="CommentText"/>
    <w:semiHidden/>
    <w:rsid w:val="00867CA5"/>
    <w:rPr>
      <w:rFonts w:ascii="Calibri" w:hAnsi="Calibri" w:cs="Calibri"/>
      <w:lang w:val="en-US" w:eastAsia="en-US" w:bidi="en-US"/>
    </w:rPr>
  </w:style>
  <w:style w:type="character" w:styleId="FootnoteReference">
    <w:name w:val="footnote reference"/>
    <w:basedOn w:val="DefaultParagraphFont"/>
    <w:uiPriority w:val="99"/>
    <w:semiHidden/>
    <w:unhideWhenUsed/>
    <w:rsid w:val="00867CA5"/>
    <w:rPr>
      <w:vertAlign w:val="superscript"/>
    </w:rPr>
  </w:style>
  <w:style w:type="character" w:styleId="CommentReference">
    <w:name w:val="annotation reference"/>
    <w:basedOn w:val="DefaultParagraphFont"/>
    <w:uiPriority w:val="99"/>
    <w:semiHidden/>
    <w:unhideWhenUsed/>
    <w:rsid w:val="00867CA5"/>
    <w:rPr>
      <w:sz w:val="16"/>
      <w:szCs w:val="16"/>
    </w:rPr>
  </w:style>
  <w:style w:type="paragraph" w:styleId="CommentSubject">
    <w:name w:val="annotation subject"/>
    <w:basedOn w:val="CommentText"/>
    <w:next w:val="CommentText"/>
    <w:link w:val="CommentSubjectChar"/>
    <w:semiHidden/>
    <w:unhideWhenUsed/>
    <w:rsid w:val="000337EB"/>
    <w:rPr>
      <w:b/>
      <w:bCs/>
    </w:rPr>
  </w:style>
  <w:style w:type="character" w:customStyle="1" w:styleId="CommentSubjectChar">
    <w:name w:val="Comment Subject Char"/>
    <w:basedOn w:val="CommentTextChar"/>
    <w:link w:val="CommentSubject"/>
    <w:semiHidden/>
    <w:rsid w:val="000337EB"/>
    <w:rPr>
      <w:rFonts w:ascii="Calibri" w:hAnsi="Calibri" w:cs="Calibri"/>
      <w:b/>
      <w:bCs/>
      <w:lang w:val="en-US" w:eastAsia="en-US" w:bidi="en-US"/>
    </w:rPr>
  </w:style>
  <w:style w:type="character" w:customStyle="1" w:styleId="UnresolvedMention1">
    <w:name w:val="Unresolved Mention1"/>
    <w:basedOn w:val="DefaultParagraphFont"/>
    <w:uiPriority w:val="99"/>
    <w:semiHidden/>
    <w:unhideWhenUsed/>
    <w:rsid w:val="000068F7"/>
    <w:rPr>
      <w:color w:val="605E5C"/>
      <w:shd w:val="clear" w:color="auto" w:fill="E1DFDD"/>
    </w:rPr>
  </w:style>
  <w:style w:type="character" w:customStyle="1" w:styleId="apple-converted-space">
    <w:name w:val="apple-converted-space"/>
    <w:basedOn w:val="DefaultParagraphFont"/>
    <w:rsid w:val="00B50D6E"/>
  </w:style>
  <w:style w:type="character" w:customStyle="1" w:styleId="UnresolvedMention">
    <w:name w:val="Unresolved Mention"/>
    <w:basedOn w:val="DefaultParagraphFont"/>
    <w:uiPriority w:val="99"/>
    <w:semiHidden/>
    <w:unhideWhenUsed/>
    <w:rsid w:val="00C75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323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643">
          <w:marLeft w:val="0"/>
          <w:marRight w:val="0"/>
          <w:marTop w:val="0"/>
          <w:marBottom w:val="0"/>
          <w:divBdr>
            <w:top w:val="none" w:sz="0" w:space="0" w:color="auto"/>
            <w:left w:val="none" w:sz="0" w:space="0" w:color="auto"/>
            <w:bottom w:val="none" w:sz="0" w:space="0" w:color="auto"/>
            <w:right w:val="none" w:sz="0" w:space="0" w:color="auto"/>
          </w:divBdr>
          <w:divsChild>
            <w:div w:id="1643997290">
              <w:marLeft w:val="0"/>
              <w:marRight w:val="0"/>
              <w:marTop w:val="0"/>
              <w:marBottom w:val="0"/>
              <w:divBdr>
                <w:top w:val="none" w:sz="0" w:space="0" w:color="auto"/>
                <w:left w:val="none" w:sz="0" w:space="0" w:color="auto"/>
                <w:bottom w:val="none" w:sz="0" w:space="0" w:color="auto"/>
                <w:right w:val="none" w:sz="0" w:space="0" w:color="auto"/>
              </w:divBdr>
              <w:divsChild>
                <w:div w:id="16329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61066">
      <w:bodyDiv w:val="1"/>
      <w:marLeft w:val="0"/>
      <w:marRight w:val="0"/>
      <w:marTop w:val="0"/>
      <w:marBottom w:val="0"/>
      <w:divBdr>
        <w:top w:val="none" w:sz="0" w:space="0" w:color="auto"/>
        <w:left w:val="none" w:sz="0" w:space="0" w:color="auto"/>
        <w:bottom w:val="none" w:sz="0" w:space="0" w:color="auto"/>
        <w:right w:val="none" w:sz="0" w:space="0" w:color="auto"/>
      </w:divBdr>
      <w:divsChild>
        <w:div w:id="789469384">
          <w:marLeft w:val="0"/>
          <w:marRight w:val="0"/>
          <w:marTop w:val="0"/>
          <w:marBottom w:val="0"/>
          <w:divBdr>
            <w:top w:val="none" w:sz="0" w:space="0" w:color="auto"/>
            <w:left w:val="none" w:sz="0" w:space="0" w:color="auto"/>
            <w:bottom w:val="none" w:sz="0" w:space="0" w:color="auto"/>
            <w:right w:val="none" w:sz="0" w:space="0" w:color="auto"/>
          </w:divBdr>
          <w:divsChild>
            <w:div w:id="1953853943">
              <w:marLeft w:val="0"/>
              <w:marRight w:val="0"/>
              <w:marTop w:val="0"/>
              <w:marBottom w:val="0"/>
              <w:divBdr>
                <w:top w:val="none" w:sz="0" w:space="0" w:color="auto"/>
                <w:left w:val="none" w:sz="0" w:space="0" w:color="auto"/>
                <w:bottom w:val="none" w:sz="0" w:space="0" w:color="auto"/>
                <w:right w:val="none" w:sz="0" w:space="0" w:color="auto"/>
              </w:divBdr>
              <w:divsChild>
                <w:div w:id="4483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45602">
      <w:bodyDiv w:val="1"/>
      <w:marLeft w:val="0"/>
      <w:marRight w:val="0"/>
      <w:marTop w:val="0"/>
      <w:marBottom w:val="0"/>
      <w:divBdr>
        <w:top w:val="none" w:sz="0" w:space="0" w:color="auto"/>
        <w:left w:val="none" w:sz="0" w:space="0" w:color="auto"/>
        <w:bottom w:val="none" w:sz="0" w:space="0" w:color="auto"/>
        <w:right w:val="none" w:sz="0" w:space="0" w:color="auto"/>
      </w:divBdr>
    </w:div>
    <w:div w:id="492070329">
      <w:bodyDiv w:val="1"/>
      <w:marLeft w:val="0"/>
      <w:marRight w:val="0"/>
      <w:marTop w:val="0"/>
      <w:marBottom w:val="0"/>
      <w:divBdr>
        <w:top w:val="none" w:sz="0" w:space="0" w:color="auto"/>
        <w:left w:val="none" w:sz="0" w:space="0" w:color="auto"/>
        <w:bottom w:val="none" w:sz="0" w:space="0" w:color="auto"/>
        <w:right w:val="none" w:sz="0" w:space="0" w:color="auto"/>
      </w:divBdr>
    </w:div>
    <w:div w:id="543324122">
      <w:bodyDiv w:val="1"/>
      <w:marLeft w:val="0"/>
      <w:marRight w:val="0"/>
      <w:marTop w:val="0"/>
      <w:marBottom w:val="0"/>
      <w:divBdr>
        <w:top w:val="none" w:sz="0" w:space="0" w:color="auto"/>
        <w:left w:val="none" w:sz="0" w:space="0" w:color="auto"/>
        <w:bottom w:val="none" w:sz="0" w:space="0" w:color="auto"/>
        <w:right w:val="none" w:sz="0" w:space="0" w:color="auto"/>
      </w:divBdr>
      <w:divsChild>
        <w:div w:id="646520982">
          <w:marLeft w:val="0"/>
          <w:marRight w:val="0"/>
          <w:marTop w:val="0"/>
          <w:marBottom w:val="0"/>
          <w:divBdr>
            <w:top w:val="none" w:sz="0" w:space="0" w:color="auto"/>
            <w:left w:val="none" w:sz="0" w:space="0" w:color="auto"/>
            <w:bottom w:val="none" w:sz="0" w:space="0" w:color="auto"/>
            <w:right w:val="none" w:sz="0" w:space="0" w:color="auto"/>
          </w:divBdr>
          <w:divsChild>
            <w:div w:id="1258632924">
              <w:marLeft w:val="0"/>
              <w:marRight w:val="0"/>
              <w:marTop w:val="0"/>
              <w:marBottom w:val="0"/>
              <w:divBdr>
                <w:top w:val="none" w:sz="0" w:space="0" w:color="auto"/>
                <w:left w:val="none" w:sz="0" w:space="0" w:color="auto"/>
                <w:bottom w:val="none" w:sz="0" w:space="0" w:color="auto"/>
                <w:right w:val="none" w:sz="0" w:space="0" w:color="auto"/>
              </w:divBdr>
              <w:divsChild>
                <w:div w:id="11001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54005">
      <w:bodyDiv w:val="1"/>
      <w:marLeft w:val="0"/>
      <w:marRight w:val="0"/>
      <w:marTop w:val="0"/>
      <w:marBottom w:val="0"/>
      <w:divBdr>
        <w:top w:val="none" w:sz="0" w:space="0" w:color="auto"/>
        <w:left w:val="none" w:sz="0" w:space="0" w:color="auto"/>
        <w:bottom w:val="none" w:sz="0" w:space="0" w:color="auto"/>
        <w:right w:val="none" w:sz="0" w:space="0" w:color="auto"/>
      </w:divBdr>
      <w:divsChild>
        <w:div w:id="483669831">
          <w:marLeft w:val="0"/>
          <w:marRight w:val="0"/>
          <w:marTop w:val="0"/>
          <w:marBottom w:val="0"/>
          <w:divBdr>
            <w:top w:val="none" w:sz="0" w:space="0" w:color="auto"/>
            <w:left w:val="none" w:sz="0" w:space="0" w:color="auto"/>
            <w:bottom w:val="none" w:sz="0" w:space="0" w:color="auto"/>
            <w:right w:val="none" w:sz="0" w:space="0" w:color="auto"/>
          </w:divBdr>
          <w:divsChild>
            <w:div w:id="1957717850">
              <w:marLeft w:val="0"/>
              <w:marRight w:val="0"/>
              <w:marTop w:val="0"/>
              <w:marBottom w:val="0"/>
              <w:divBdr>
                <w:top w:val="none" w:sz="0" w:space="0" w:color="auto"/>
                <w:left w:val="none" w:sz="0" w:space="0" w:color="auto"/>
                <w:bottom w:val="none" w:sz="0" w:space="0" w:color="auto"/>
                <w:right w:val="none" w:sz="0" w:space="0" w:color="auto"/>
              </w:divBdr>
              <w:divsChild>
                <w:div w:id="3842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1813">
      <w:bodyDiv w:val="1"/>
      <w:marLeft w:val="0"/>
      <w:marRight w:val="0"/>
      <w:marTop w:val="0"/>
      <w:marBottom w:val="0"/>
      <w:divBdr>
        <w:top w:val="none" w:sz="0" w:space="0" w:color="auto"/>
        <w:left w:val="none" w:sz="0" w:space="0" w:color="auto"/>
        <w:bottom w:val="none" w:sz="0" w:space="0" w:color="auto"/>
        <w:right w:val="none" w:sz="0" w:space="0" w:color="auto"/>
      </w:divBdr>
      <w:divsChild>
        <w:div w:id="1635330999">
          <w:marLeft w:val="0"/>
          <w:marRight w:val="0"/>
          <w:marTop w:val="0"/>
          <w:marBottom w:val="0"/>
          <w:divBdr>
            <w:top w:val="none" w:sz="0" w:space="0" w:color="auto"/>
            <w:left w:val="none" w:sz="0" w:space="0" w:color="auto"/>
            <w:bottom w:val="none" w:sz="0" w:space="0" w:color="auto"/>
            <w:right w:val="none" w:sz="0" w:space="0" w:color="auto"/>
          </w:divBdr>
          <w:divsChild>
            <w:div w:id="1495142580">
              <w:marLeft w:val="0"/>
              <w:marRight w:val="0"/>
              <w:marTop w:val="0"/>
              <w:marBottom w:val="0"/>
              <w:divBdr>
                <w:top w:val="none" w:sz="0" w:space="0" w:color="auto"/>
                <w:left w:val="none" w:sz="0" w:space="0" w:color="auto"/>
                <w:bottom w:val="none" w:sz="0" w:space="0" w:color="auto"/>
                <w:right w:val="none" w:sz="0" w:space="0" w:color="auto"/>
              </w:divBdr>
              <w:divsChild>
                <w:div w:id="12769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34757">
      <w:bodyDiv w:val="1"/>
      <w:marLeft w:val="0"/>
      <w:marRight w:val="0"/>
      <w:marTop w:val="0"/>
      <w:marBottom w:val="0"/>
      <w:divBdr>
        <w:top w:val="none" w:sz="0" w:space="0" w:color="auto"/>
        <w:left w:val="none" w:sz="0" w:space="0" w:color="auto"/>
        <w:bottom w:val="none" w:sz="0" w:space="0" w:color="auto"/>
        <w:right w:val="none" w:sz="0" w:space="0" w:color="auto"/>
      </w:divBdr>
    </w:div>
    <w:div w:id="770274431">
      <w:bodyDiv w:val="1"/>
      <w:marLeft w:val="0"/>
      <w:marRight w:val="0"/>
      <w:marTop w:val="0"/>
      <w:marBottom w:val="0"/>
      <w:divBdr>
        <w:top w:val="none" w:sz="0" w:space="0" w:color="auto"/>
        <w:left w:val="none" w:sz="0" w:space="0" w:color="auto"/>
        <w:bottom w:val="none" w:sz="0" w:space="0" w:color="auto"/>
        <w:right w:val="none" w:sz="0" w:space="0" w:color="auto"/>
      </w:divBdr>
      <w:divsChild>
        <w:div w:id="458497547">
          <w:marLeft w:val="0"/>
          <w:marRight w:val="0"/>
          <w:marTop w:val="0"/>
          <w:marBottom w:val="0"/>
          <w:divBdr>
            <w:top w:val="none" w:sz="0" w:space="0" w:color="auto"/>
            <w:left w:val="none" w:sz="0" w:space="0" w:color="auto"/>
            <w:bottom w:val="none" w:sz="0" w:space="0" w:color="auto"/>
            <w:right w:val="none" w:sz="0" w:space="0" w:color="auto"/>
          </w:divBdr>
          <w:divsChild>
            <w:div w:id="1495606285">
              <w:marLeft w:val="0"/>
              <w:marRight w:val="0"/>
              <w:marTop w:val="0"/>
              <w:marBottom w:val="0"/>
              <w:divBdr>
                <w:top w:val="none" w:sz="0" w:space="0" w:color="auto"/>
                <w:left w:val="none" w:sz="0" w:space="0" w:color="auto"/>
                <w:bottom w:val="none" w:sz="0" w:space="0" w:color="auto"/>
                <w:right w:val="none" w:sz="0" w:space="0" w:color="auto"/>
              </w:divBdr>
              <w:divsChild>
                <w:div w:id="11210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12715">
      <w:bodyDiv w:val="1"/>
      <w:marLeft w:val="0"/>
      <w:marRight w:val="0"/>
      <w:marTop w:val="0"/>
      <w:marBottom w:val="0"/>
      <w:divBdr>
        <w:top w:val="none" w:sz="0" w:space="0" w:color="auto"/>
        <w:left w:val="none" w:sz="0" w:space="0" w:color="auto"/>
        <w:bottom w:val="none" w:sz="0" w:space="0" w:color="auto"/>
        <w:right w:val="none" w:sz="0" w:space="0" w:color="auto"/>
      </w:divBdr>
      <w:divsChild>
        <w:div w:id="1909683890">
          <w:marLeft w:val="0"/>
          <w:marRight w:val="0"/>
          <w:marTop w:val="0"/>
          <w:marBottom w:val="0"/>
          <w:divBdr>
            <w:top w:val="none" w:sz="0" w:space="0" w:color="auto"/>
            <w:left w:val="none" w:sz="0" w:space="0" w:color="auto"/>
            <w:bottom w:val="none" w:sz="0" w:space="0" w:color="auto"/>
            <w:right w:val="none" w:sz="0" w:space="0" w:color="auto"/>
          </w:divBdr>
          <w:divsChild>
            <w:div w:id="1271280737">
              <w:marLeft w:val="0"/>
              <w:marRight w:val="0"/>
              <w:marTop w:val="0"/>
              <w:marBottom w:val="0"/>
              <w:divBdr>
                <w:top w:val="none" w:sz="0" w:space="0" w:color="auto"/>
                <w:left w:val="none" w:sz="0" w:space="0" w:color="auto"/>
                <w:bottom w:val="none" w:sz="0" w:space="0" w:color="auto"/>
                <w:right w:val="none" w:sz="0" w:space="0" w:color="auto"/>
              </w:divBdr>
              <w:divsChild>
                <w:div w:id="16842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8714">
      <w:bodyDiv w:val="1"/>
      <w:marLeft w:val="0"/>
      <w:marRight w:val="0"/>
      <w:marTop w:val="0"/>
      <w:marBottom w:val="0"/>
      <w:divBdr>
        <w:top w:val="none" w:sz="0" w:space="0" w:color="auto"/>
        <w:left w:val="none" w:sz="0" w:space="0" w:color="auto"/>
        <w:bottom w:val="none" w:sz="0" w:space="0" w:color="auto"/>
        <w:right w:val="none" w:sz="0" w:space="0" w:color="auto"/>
      </w:divBdr>
    </w:div>
    <w:div w:id="873617328">
      <w:bodyDiv w:val="1"/>
      <w:marLeft w:val="0"/>
      <w:marRight w:val="0"/>
      <w:marTop w:val="0"/>
      <w:marBottom w:val="0"/>
      <w:divBdr>
        <w:top w:val="none" w:sz="0" w:space="0" w:color="auto"/>
        <w:left w:val="none" w:sz="0" w:space="0" w:color="auto"/>
        <w:bottom w:val="none" w:sz="0" w:space="0" w:color="auto"/>
        <w:right w:val="none" w:sz="0" w:space="0" w:color="auto"/>
      </w:divBdr>
      <w:divsChild>
        <w:div w:id="1844855210">
          <w:marLeft w:val="0"/>
          <w:marRight w:val="0"/>
          <w:marTop w:val="0"/>
          <w:marBottom w:val="0"/>
          <w:divBdr>
            <w:top w:val="none" w:sz="0" w:space="0" w:color="auto"/>
            <w:left w:val="none" w:sz="0" w:space="0" w:color="auto"/>
            <w:bottom w:val="none" w:sz="0" w:space="0" w:color="auto"/>
            <w:right w:val="none" w:sz="0" w:space="0" w:color="auto"/>
          </w:divBdr>
          <w:divsChild>
            <w:div w:id="1397627462">
              <w:marLeft w:val="0"/>
              <w:marRight w:val="0"/>
              <w:marTop w:val="0"/>
              <w:marBottom w:val="0"/>
              <w:divBdr>
                <w:top w:val="none" w:sz="0" w:space="0" w:color="auto"/>
                <w:left w:val="none" w:sz="0" w:space="0" w:color="auto"/>
                <w:bottom w:val="none" w:sz="0" w:space="0" w:color="auto"/>
                <w:right w:val="none" w:sz="0" w:space="0" w:color="auto"/>
              </w:divBdr>
              <w:divsChild>
                <w:div w:id="704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69986">
      <w:bodyDiv w:val="1"/>
      <w:marLeft w:val="0"/>
      <w:marRight w:val="0"/>
      <w:marTop w:val="0"/>
      <w:marBottom w:val="0"/>
      <w:divBdr>
        <w:top w:val="none" w:sz="0" w:space="0" w:color="auto"/>
        <w:left w:val="none" w:sz="0" w:space="0" w:color="auto"/>
        <w:bottom w:val="none" w:sz="0" w:space="0" w:color="auto"/>
        <w:right w:val="none" w:sz="0" w:space="0" w:color="auto"/>
      </w:divBdr>
    </w:div>
    <w:div w:id="987905386">
      <w:bodyDiv w:val="1"/>
      <w:marLeft w:val="0"/>
      <w:marRight w:val="0"/>
      <w:marTop w:val="0"/>
      <w:marBottom w:val="0"/>
      <w:divBdr>
        <w:top w:val="none" w:sz="0" w:space="0" w:color="auto"/>
        <w:left w:val="none" w:sz="0" w:space="0" w:color="auto"/>
        <w:bottom w:val="none" w:sz="0" w:space="0" w:color="auto"/>
        <w:right w:val="none" w:sz="0" w:space="0" w:color="auto"/>
      </w:divBdr>
      <w:divsChild>
        <w:div w:id="860506776">
          <w:marLeft w:val="0"/>
          <w:marRight w:val="0"/>
          <w:marTop w:val="0"/>
          <w:marBottom w:val="0"/>
          <w:divBdr>
            <w:top w:val="none" w:sz="0" w:space="0" w:color="auto"/>
            <w:left w:val="none" w:sz="0" w:space="0" w:color="auto"/>
            <w:bottom w:val="none" w:sz="0" w:space="0" w:color="auto"/>
            <w:right w:val="none" w:sz="0" w:space="0" w:color="auto"/>
          </w:divBdr>
          <w:divsChild>
            <w:div w:id="1593123090">
              <w:marLeft w:val="0"/>
              <w:marRight w:val="0"/>
              <w:marTop w:val="0"/>
              <w:marBottom w:val="0"/>
              <w:divBdr>
                <w:top w:val="none" w:sz="0" w:space="0" w:color="auto"/>
                <w:left w:val="none" w:sz="0" w:space="0" w:color="auto"/>
                <w:bottom w:val="none" w:sz="0" w:space="0" w:color="auto"/>
                <w:right w:val="none" w:sz="0" w:space="0" w:color="auto"/>
              </w:divBdr>
              <w:divsChild>
                <w:div w:id="12919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216">
      <w:bodyDiv w:val="1"/>
      <w:marLeft w:val="0"/>
      <w:marRight w:val="0"/>
      <w:marTop w:val="0"/>
      <w:marBottom w:val="0"/>
      <w:divBdr>
        <w:top w:val="none" w:sz="0" w:space="0" w:color="auto"/>
        <w:left w:val="none" w:sz="0" w:space="0" w:color="auto"/>
        <w:bottom w:val="none" w:sz="0" w:space="0" w:color="auto"/>
        <w:right w:val="none" w:sz="0" w:space="0" w:color="auto"/>
      </w:divBdr>
      <w:divsChild>
        <w:div w:id="917439510">
          <w:marLeft w:val="0"/>
          <w:marRight w:val="0"/>
          <w:marTop w:val="0"/>
          <w:marBottom w:val="0"/>
          <w:divBdr>
            <w:top w:val="none" w:sz="0" w:space="0" w:color="auto"/>
            <w:left w:val="none" w:sz="0" w:space="0" w:color="auto"/>
            <w:bottom w:val="none" w:sz="0" w:space="0" w:color="auto"/>
            <w:right w:val="none" w:sz="0" w:space="0" w:color="auto"/>
          </w:divBdr>
          <w:divsChild>
            <w:div w:id="173688428">
              <w:marLeft w:val="0"/>
              <w:marRight w:val="0"/>
              <w:marTop w:val="0"/>
              <w:marBottom w:val="0"/>
              <w:divBdr>
                <w:top w:val="none" w:sz="0" w:space="0" w:color="auto"/>
                <w:left w:val="none" w:sz="0" w:space="0" w:color="auto"/>
                <w:bottom w:val="none" w:sz="0" w:space="0" w:color="auto"/>
                <w:right w:val="none" w:sz="0" w:space="0" w:color="auto"/>
              </w:divBdr>
              <w:divsChild>
                <w:div w:id="2113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33227">
      <w:bodyDiv w:val="1"/>
      <w:marLeft w:val="0"/>
      <w:marRight w:val="0"/>
      <w:marTop w:val="0"/>
      <w:marBottom w:val="0"/>
      <w:divBdr>
        <w:top w:val="none" w:sz="0" w:space="0" w:color="auto"/>
        <w:left w:val="none" w:sz="0" w:space="0" w:color="auto"/>
        <w:bottom w:val="none" w:sz="0" w:space="0" w:color="auto"/>
        <w:right w:val="none" w:sz="0" w:space="0" w:color="auto"/>
      </w:divBdr>
      <w:divsChild>
        <w:div w:id="411585176">
          <w:marLeft w:val="0"/>
          <w:marRight w:val="0"/>
          <w:marTop w:val="0"/>
          <w:marBottom w:val="0"/>
          <w:divBdr>
            <w:top w:val="none" w:sz="0" w:space="0" w:color="auto"/>
            <w:left w:val="none" w:sz="0" w:space="0" w:color="auto"/>
            <w:bottom w:val="none" w:sz="0" w:space="0" w:color="auto"/>
            <w:right w:val="none" w:sz="0" w:space="0" w:color="auto"/>
          </w:divBdr>
          <w:divsChild>
            <w:div w:id="1655328847">
              <w:marLeft w:val="0"/>
              <w:marRight w:val="0"/>
              <w:marTop w:val="0"/>
              <w:marBottom w:val="0"/>
              <w:divBdr>
                <w:top w:val="none" w:sz="0" w:space="0" w:color="auto"/>
                <w:left w:val="none" w:sz="0" w:space="0" w:color="auto"/>
                <w:bottom w:val="none" w:sz="0" w:space="0" w:color="auto"/>
                <w:right w:val="none" w:sz="0" w:space="0" w:color="auto"/>
              </w:divBdr>
              <w:divsChild>
                <w:div w:id="18511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51392">
      <w:bodyDiv w:val="1"/>
      <w:marLeft w:val="0"/>
      <w:marRight w:val="0"/>
      <w:marTop w:val="0"/>
      <w:marBottom w:val="0"/>
      <w:divBdr>
        <w:top w:val="none" w:sz="0" w:space="0" w:color="auto"/>
        <w:left w:val="none" w:sz="0" w:space="0" w:color="auto"/>
        <w:bottom w:val="none" w:sz="0" w:space="0" w:color="auto"/>
        <w:right w:val="none" w:sz="0" w:space="0" w:color="auto"/>
      </w:divBdr>
      <w:divsChild>
        <w:div w:id="1885294332">
          <w:marLeft w:val="0"/>
          <w:marRight w:val="0"/>
          <w:marTop w:val="0"/>
          <w:marBottom w:val="0"/>
          <w:divBdr>
            <w:top w:val="none" w:sz="0" w:space="0" w:color="auto"/>
            <w:left w:val="none" w:sz="0" w:space="0" w:color="auto"/>
            <w:bottom w:val="none" w:sz="0" w:space="0" w:color="auto"/>
            <w:right w:val="none" w:sz="0" w:space="0" w:color="auto"/>
          </w:divBdr>
          <w:divsChild>
            <w:div w:id="1752502783">
              <w:marLeft w:val="0"/>
              <w:marRight w:val="0"/>
              <w:marTop w:val="0"/>
              <w:marBottom w:val="0"/>
              <w:divBdr>
                <w:top w:val="none" w:sz="0" w:space="0" w:color="auto"/>
                <w:left w:val="none" w:sz="0" w:space="0" w:color="auto"/>
                <w:bottom w:val="none" w:sz="0" w:space="0" w:color="auto"/>
                <w:right w:val="none" w:sz="0" w:space="0" w:color="auto"/>
              </w:divBdr>
              <w:divsChild>
                <w:div w:id="8788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0801">
      <w:bodyDiv w:val="1"/>
      <w:marLeft w:val="0"/>
      <w:marRight w:val="0"/>
      <w:marTop w:val="0"/>
      <w:marBottom w:val="0"/>
      <w:divBdr>
        <w:top w:val="none" w:sz="0" w:space="0" w:color="auto"/>
        <w:left w:val="none" w:sz="0" w:space="0" w:color="auto"/>
        <w:bottom w:val="none" w:sz="0" w:space="0" w:color="auto"/>
        <w:right w:val="none" w:sz="0" w:space="0" w:color="auto"/>
      </w:divBdr>
      <w:divsChild>
        <w:div w:id="1462847125">
          <w:marLeft w:val="0"/>
          <w:marRight w:val="0"/>
          <w:marTop w:val="0"/>
          <w:marBottom w:val="0"/>
          <w:divBdr>
            <w:top w:val="none" w:sz="0" w:space="0" w:color="auto"/>
            <w:left w:val="none" w:sz="0" w:space="0" w:color="auto"/>
            <w:bottom w:val="none" w:sz="0" w:space="0" w:color="auto"/>
            <w:right w:val="none" w:sz="0" w:space="0" w:color="auto"/>
          </w:divBdr>
        </w:div>
      </w:divsChild>
    </w:div>
    <w:div w:id="1769230863">
      <w:bodyDiv w:val="1"/>
      <w:marLeft w:val="0"/>
      <w:marRight w:val="0"/>
      <w:marTop w:val="0"/>
      <w:marBottom w:val="0"/>
      <w:divBdr>
        <w:top w:val="none" w:sz="0" w:space="0" w:color="auto"/>
        <w:left w:val="none" w:sz="0" w:space="0" w:color="auto"/>
        <w:bottom w:val="none" w:sz="0" w:space="0" w:color="auto"/>
        <w:right w:val="none" w:sz="0" w:space="0" w:color="auto"/>
      </w:divBdr>
    </w:div>
    <w:div w:id="1792288709">
      <w:bodyDiv w:val="1"/>
      <w:marLeft w:val="0"/>
      <w:marRight w:val="0"/>
      <w:marTop w:val="0"/>
      <w:marBottom w:val="0"/>
      <w:divBdr>
        <w:top w:val="none" w:sz="0" w:space="0" w:color="auto"/>
        <w:left w:val="none" w:sz="0" w:space="0" w:color="auto"/>
        <w:bottom w:val="none" w:sz="0" w:space="0" w:color="auto"/>
        <w:right w:val="none" w:sz="0" w:space="0" w:color="auto"/>
      </w:divBdr>
    </w:div>
    <w:div w:id="1855535969">
      <w:bodyDiv w:val="1"/>
      <w:marLeft w:val="0"/>
      <w:marRight w:val="0"/>
      <w:marTop w:val="0"/>
      <w:marBottom w:val="0"/>
      <w:divBdr>
        <w:top w:val="none" w:sz="0" w:space="0" w:color="auto"/>
        <w:left w:val="none" w:sz="0" w:space="0" w:color="auto"/>
        <w:bottom w:val="none" w:sz="0" w:space="0" w:color="auto"/>
        <w:right w:val="none" w:sz="0" w:space="0" w:color="auto"/>
      </w:divBdr>
    </w:div>
    <w:div w:id="186096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headoffice@publicaccountants.org.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tony.greco@publicaccountants.org.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PBreview@treasury.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tony.greco@publicaccountants.org.au"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RA-9242 - Destroy 10 years after action completed</TermName>
          <TermId xmlns="http://schemas.microsoft.com/office/infopath/2007/PartnerControls">f06ddbdb-86df-426a-bbc0-a9044fd46ab3</TermId>
        </TermInfo>
      </Terms>
    </lb508a4dc5e84436a0fe496b536466aa>
    <IconOverlay xmlns="http://schemas.microsoft.com/sharepoint/v4" xsi:nil="true"/>
    <TaxCatchAll xmlns="0f563589-9cf9-4143-b1eb-fb0534803d38">
      <Value>8</Value>
    </TaxCatchAll>
    <_dlc_DocId xmlns="0f563589-9cf9-4143-b1eb-fb0534803d38">2019RG-266-571</_dlc_DocId>
    <_dlc_DocIdUrl xmlns="0f563589-9cf9-4143-b1eb-fb0534803d38">
      <Url>http://tweb/sites/rg/iitd/rr/_layouts/15/DocIdRedir.aspx?ID=2019RG-266-571</Url>
      <Description>2019RG-266-571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363702FFD4E55488CDA69C4B4D25361" ma:contentTypeVersion="20853" ma:contentTypeDescription="" ma:contentTypeScope="" ma:versionID="a245ab8cdf1d9062862ddeb15170f9da">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ab47aa5662834dbcfec7917f2c900548"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8;#TSY RA-9242 - Destroy 10 years after action completed|f06ddbdb-86df-426a-bbc0-a9044fd46ab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45365-FB07-45E2-B7B3-52E1FA94A640}">
  <ds:schemaRefs>
    <ds:schemaRef ds:uri="http://purl.org/dc/elements/1.1/"/>
    <ds:schemaRef ds:uri="http://purl.org/dc/terms/"/>
    <ds:schemaRef ds:uri="http://www.w3.org/XML/1998/namespace"/>
    <ds:schemaRef ds:uri="http://schemas.microsoft.com/sharepoint/v4"/>
    <ds:schemaRef ds:uri="0f563589-9cf9-4143-b1eb-fb0534803d38"/>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9f7bc583-7cbe-45b9-a2bd-8bbb6543b37e"/>
    <ds:schemaRef ds:uri="http://schemas.microsoft.com/sharepoint/v3"/>
  </ds:schemaRefs>
</ds:datastoreItem>
</file>

<file path=customXml/itemProps2.xml><?xml version="1.0" encoding="utf-8"?>
<ds:datastoreItem xmlns:ds="http://schemas.openxmlformats.org/officeDocument/2006/customXml" ds:itemID="{A50A45DE-173E-40F6-98D5-92F5F067C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D7196-3459-453E-AA14-2478BAF56829}">
  <ds:schemaRefs>
    <ds:schemaRef ds:uri="http://schemas.microsoft.com/sharepoint/events"/>
  </ds:schemaRefs>
</ds:datastoreItem>
</file>

<file path=customXml/itemProps4.xml><?xml version="1.0" encoding="utf-8"?>
<ds:datastoreItem xmlns:ds="http://schemas.openxmlformats.org/officeDocument/2006/customXml" ds:itemID="{84B5082A-56B5-4870-8FA4-E861F92C759D}">
  <ds:schemaRefs>
    <ds:schemaRef ds:uri="office.server.policy"/>
  </ds:schemaRefs>
</ds:datastoreItem>
</file>

<file path=customXml/itemProps5.xml><?xml version="1.0" encoding="utf-8"?>
<ds:datastoreItem xmlns:ds="http://schemas.openxmlformats.org/officeDocument/2006/customXml" ds:itemID="{7DD2EFCD-A8DC-4973-BAB0-BB3BA46F4279}">
  <ds:schemaRefs>
    <ds:schemaRef ds:uri="http://schemas.microsoft.com/sharepoint/v3/contenttype/forms"/>
  </ds:schemaRefs>
</ds:datastoreItem>
</file>

<file path=customXml/itemProps6.xml><?xml version="1.0" encoding="utf-8"?>
<ds:datastoreItem xmlns:ds="http://schemas.openxmlformats.org/officeDocument/2006/customXml" ds:itemID="{4DE43D23-9124-4177-8FF2-23A37F52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3706</Words>
  <Characters>19758</Characters>
  <Application>Microsoft Office Word</Application>
  <DocSecurity>0</DocSecurity>
  <Lines>459</Lines>
  <Paragraphs>124</Paragraphs>
  <ScaleCrop>false</ScaleCrop>
  <HeadingPairs>
    <vt:vector size="2" baseType="variant">
      <vt:variant>
        <vt:lpstr>Title</vt:lpstr>
      </vt:variant>
      <vt:variant>
        <vt:i4>1</vt:i4>
      </vt:variant>
    </vt:vector>
  </HeadingPairs>
  <TitlesOfParts>
    <vt:vector size="1" baseType="lpstr">
      <vt:lpstr>Institute of Public Accountants - Review of the Tax Practitioners Board</vt:lpstr>
    </vt:vector>
  </TitlesOfParts>
  <Company/>
  <LinksUpToDate>false</LinksUpToDate>
  <CharactersWithSpaces>23340</CharactersWithSpaces>
  <SharedDoc>false</SharedDoc>
  <HLinks>
    <vt:vector size="6" baseType="variant">
      <vt:variant>
        <vt:i4>1966206</vt:i4>
      </vt:variant>
      <vt:variant>
        <vt:i4>0</vt:i4>
      </vt:variant>
      <vt:variant>
        <vt:i4>0</vt:i4>
      </vt:variant>
      <vt:variant>
        <vt:i4>5</vt:i4>
      </vt:variant>
      <vt:variant>
        <vt:lpwstr>mailto:natoffice@publicaccountants.org.au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Public Accountants - Review of the Tax Practitioners Board</dc:title>
  <dc:creator/>
  <cp:lastModifiedBy/>
  <cp:revision>1</cp:revision>
  <dcterms:created xsi:type="dcterms:W3CDTF">2019-06-26T01:07:00Z</dcterms:created>
  <dcterms:modified xsi:type="dcterms:W3CDTF">2019-06-26T01:17:00Z</dcterms:modified>
  <dc:language>English</dc:language>
</cp:coreProperties>
</file>