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995C3" w14:textId="54F512CD" w:rsidR="000E0B74" w:rsidRPr="006D0240" w:rsidRDefault="000E0B74" w:rsidP="008E6292">
      <w:bookmarkStart w:id="0" w:name="_GoBack"/>
      <w:bookmarkEnd w:id="0"/>
    </w:p>
    <w:p w14:paraId="58C31841" w14:textId="77777777" w:rsidR="000E0B74" w:rsidRPr="006D0240" w:rsidRDefault="000E0B74" w:rsidP="00C72318">
      <w:pPr>
        <w:pStyle w:val="Crest"/>
        <w:spacing w:after="3000"/>
        <w:jc w:val="right"/>
      </w:pPr>
    </w:p>
    <w:p w14:paraId="4F865B37" w14:textId="77777777" w:rsidR="000E0B74" w:rsidRPr="00A524B9" w:rsidRDefault="00803F69" w:rsidP="000E0B74">
      <w:pPr>
        <w:pStyle w:val="Title"/>
      </w:pPr>
      <w:r>
        <w:t>Priority Energy Datasets Consultation</w:t>
      </w:r>
    </w:p>
    <w:p w14:paraId="70663281" w14:textId="46A6C410" w:rsidR="000E0B74" w:rsidRPr="00706E8E" w:rsidRDefault="0042459B" w:rsidP="00706E8E">
      <w:pPr>
        <w:pStyle w:val="Subtitle"/>
      </w:pPr>
      <w:r>
        <w:t>Consumer Data Right</w:t>
      </w:r>
    </w:p>
    <w:p w14:paraId="1BAC83CA" w14:textId="149D85A2" w:rsidR="00056880" w:rsidRDefault="0042459B" w:rsidP="000E0B74">
      <w:pPr>
        <w:pStyle w:val="ReportDate"/>
        <w:ind w:right="0"/>
        <w:rPr>
          <w:rFonts w:ascii="Rockwell" w:hAnsi="Rockwell"/>
          <w:sz w:val="24"/>
        </w:rPr>
      </w:pPr>
      <w:r>
        <w:rPr>
          <w:rStyle w:val="ReportDateChar"/>
        </w:rPr>
        <w:t xml:space="preserve">29 </w:t>
      </w:r>
      <w:r w:rsidR="00011AFD">
        <w:rPr>
          <w:rStyle w:val="ReportDateChar"/>
        </w:rPr>
        <w:t xml:space="preserve">August </w:t>
      </w:r>
      <w:r w:rsidR="00803F69">
        <w:rPr>
          <w:rStyle w:val="ReportDateChar"/>
        </w:rPr>
        <w:t>2019</w:t>
      </w:r>
    </w:p>
    <w:p w14:paraId="444898B3" w14:textId="77777777" w:rsidR="002F617F" w:rsidRPr="005D561D" w:rsidRDefault="002F617F" w:rsidP="002F617F">
      <w:pPr>
        <w:pStyle w:val="Divider"/>
      </w:pPr>
    </w:p>
    <w:p w14:paraId="3016ED56" w14:textId="77777777" w:rsidR="002F617F" w:rsidRDefault="002F617F"/>
    <w:p w14:paraId="7A9BBBB4" w14:textId="77777777" w:rsidR="000E0B74" w:rsidRDefault="000E0B74" w:rsidP="000E0B74">
      <w:pPr>
        <w:rPr>
          <w:rFonts w:cs="Calibri"/>
          <w:sz w:val="20"/>
        </w:rPr>
      </w:pPr>
    </w:p>
    <w:p w14:paraId="437CE2D3" w14:textId="77777777" w:rsidR="000E0B74" w:rsidRDefault="000E0B74" w:rsidP="000E0B74">
      <w:pPr>
        <w:sectPr w:rsidR="000E0B74" w:rsidSect="00C01DCC">
          <w:headerReference w:type="default" r:id="rId13"/>
          <w:footerReference w:type="even" r:id="rId14"/>
          <w:footerReference w:type="default" r:id="rId15"/>
          <w:pgSz w:w="11906" w:h="16838"/>
          <w:pgMar w:top="1418" w:right="1418" w:bottom="1418" w:left="1418" w:header="709" w:footer="709" w:gutter="0"/>
          <w:cols w:space="720"/>
        </w:sectPr>
      </w:pPr>
    </w:p>
    <w:p w14:paraId="29168ADA" w14:textId="77777777" w:rsidR="000E0B74" w:rsidRDefault="000E0B74" w:rsidP="000E0B74">
      <w:pPr>
        <w:spacing w:before="240"/>
      </w:pPr>
      <w:r w:rsidRPr="00661BF0">
        <w:lastRenderedPageBreak/>
        <w:t xml:space="preserve">© Commonwealth of Australia </w:t>
      </w:r>
      <w:r w:rsidR="00803F69" w:rsidRPr="00971BA3">
        <w:t>2019</w:t>
      </w:r>
    </w:p>
    <w:p w14:paraId="60D98AA3"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14A866F5" w14:textId="77777777" w:rsidR="000E0B74" w:rsidRDefault="000E0B74" w:rsidP="000E0B74">
      <w:pPr>
        <w:pStyle w:val="ChartGraphic"/>
        <w:jc w:val="left"/>
      </w:pPr>
      <w:r w:rsidRPr="00E56DFB">
        <w:rPr>
          <w:noProof/>
        </w:rPr>
        <w:drawing>
          <wp:inline distT="0" distB="0" distL="0" distR="0" wp14:anchorId="13F5B629" wp14:editId="5459F6AB">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B829362"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B5CC9ED"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31BB7333"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F3F26CB" w14:textId="77777777" w:rsidR="000E0B74" w:rsidRPr="00A13A11" w:rsidRDefault="000E0B74" w:rsidP="000E0B74">
      <w:pPr>
        <w:ind w:firstLine="720"/>
      </w:pPr>
      <w:r w:rsidRPr="002F1BC2">
        <w:rPr>
          <w:i/>
        </w:rPr>
        <w:t xml:space="preserve">Source: The </w:t>
      </w:r>
      <w:r w:rsidRPr="002F1BC2">
        <w:rPr>
          <w:i/>
          <w:iCs/>
        </w:rPr>
        <w:t>Australian Government the Treasury</w:t>
      </w:r>
      <w:r>
        <w:t>.</w:t>
      </w:r>
    </w:p>
    <w:p w14:paraId="34C02D96"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BA1A64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37533B6" w14:textId="77777777" w:rsidR="000E0B74" w:rsidRPr="006627B4" w:rsidRDefault="000E0B74" w:rsidP="000E0B74">
      <w:pPr>
        <w:ind w:firstLine="720"/>
      </w:pPr>
      <w:r w:rsidRPr="002F1BC2">
        <w:rPr>
          <w:i/>
        </w:rPr>
        <w:t>Based on The Australian Government the Treasury data</w:t>
      </w:r>
      <w:r>
        <w:t>.</w:t>
      </w:r>
    </w:p>
    <w:p w14:paraId="124D83E5" w14:textId="77777777" w:rsidR="000E0B74" w:rsidRPr="006627B4" w:rsidRDefault="000E0B74" w:rsidP="000E0B74">
      <w:pPr>
        <w:spacing w:before="240"/>
        <w:rPr>
          <w:b/>
        </w:rPr>
      </w:pPr>
      <w:r w:rsidRPr="006627B4">
        <w:rPr>
          <w:b/>
        </w:rPr>
        <w:t>Use of the Coat of Arms</w:t>
      </w:r>
    </w:p>
    <w:p w14:paraId="42C99333" w14:textId="77777777" w:rsidR="000E0B74" w:rsidRPr="006627B4" w:rsidRDefault="000B67CC" w:rsidP="000B67CC">
      <w:r>
        <w:t>The terms under which the Coat of Arms can be used are set out</w:t>
      </w:r>
      <w:r w:rsidR="00DB1432">
        <w:t xml:space="preserve"> on the Department of the Prime </w:t>
      </w:r>
      <w:r>
        <w:t xml:space="preserve">Minister and Cabinet website (see </w:t>
      </w:r>
      <w:hyperlink r:id="rId20" w:history="1">
        <w:r w:rsidRPr="005A283B">
          <w:rPr>
            <w:rStyle w:val="Hyperlink"/>
          </w:rPr>
          <w:t>www.pmc.gov.au/government/commonwealth-coat-arms</w:t>
        </w:r>
      </w:hyperlink>
      <w:r>
        <w:t>).</w:t>
      </w:r>
    </w:p>
    <w:p w14:paraId="4A20EF68" w14:textId="77777777" w:rsidR="000E0B74" w:rsidRPr="006627B4" w:rsidRDefault="000E0B74" w:rsidP="000E0B74">
      <w:pPr>
        <w:spacing w:before="240"/>
        <w:rPr>
          <w:b/>
        </w:rPr>
      </w:pPr>
      <w:r>
        <w:rPr>
          <w:b/>
        </w:rPr>
        <w:t>Other u</w:t>
      </w:r>
      <w:r w:rsidRPr="006627B4">
        <w:rPr>
          <w:b/>
        </w:rPr>
        <w:t>ses</w:t>
      </w:r>
    </w:p>
    <w:p w14:paraId="6C8D477D" w14:textId="77777777" w:rsidR="000E0B74" w:rsidRPr="006627B4" w:rsidRDefault="000E0B74" w:rsidP="000E0B74">
      <w:r>
        <w:t>E</w:t>
      </w:r>
      <w:r w:rsidRPr="006627B4">
        <w:t>nquiries regarding this licence and any other use of this document are welcome at:</w:t>
      </w:r>
    </w:p>
    <w:p w14:paraId="02FC7708" w14:textId="3541BF91"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r w:rsidR="00FC799F" w:rsidRPr="006627B4">
        <w:t xml:space="preserve">Parkes </w:t>
      </w:r>
      <w:r w:rsidR="00FC799F">
        <w:t>ACT</w:t>
      </w:r>
      <w:r w:rsidR="00FC799F" w:rsidRPr="006627B4">
        <w:t xml:space="preserve"> </w:t>
      </w:r>
      <w:r w:rsidR="00FC799F">
        <w:t>2600</w:t>
      </w:r>
      <w:r>
        <w:br/>
      </w:r>
      <w:r w:rsidRPr="006627B4">
        <w:t xml:space="preserve">Email: </w:t>
      </w:r>
      <w:hyperlink r:id="rId21" w:history="1">
        <w:r w:rsidRPr="00B31CFB">
          <w:rPr>
            <w:rStyle w:val="Hyperlink"/>
          </w:rPr>
          <w:t>medialiaison@treasury.gov.au</w:t>
        </w:r>
      </w:hyperlink>
    </w:p>
    <w:p w14:paraId="2A6F21AF" w14:textId="77777777" w:rsidR="00F836F9" w:rsidRDefault="00F836F9" w:rsidP="000E0B74">
      <w:pPr>
        <w:pStyle w:val="Heading1"/>
        <w:sectPr w:rsidR="00F836F9" w:rsidSect="003C24B4">
          <w:footerReference w:type="default" r:id="rId22"/>
          <w:pgSz w:w="11906" w:h="16838" w:code="9"/>
          <w:pgMar w:top="1418" w:right="1418" w:bottom="1418" w:left="1418" w:header="709" w:footer="709" w:gutter="0"/>
          <w:pgNumType w:fmt="lowerRoman"/>
          <w:cols w:space="708"/>
          <w:docGrid w:linePitch="360"/>
        </w:sectPr>
      </w:pPr>
    </w:p>
    <w:p w14:paraId="046BFDC3" w14:textId="77777777" w:rsidR="000E0B74" w:rsidRDefault="000E0B74" w:rsidP="001F1B27">
      <w:pPr>
        <w:pStyle w:val="Heading1"/>
      </w:pPr>
      <w:bookmarkStart w:id="1" w:name="_Toc9511718"/>
      <w:r w:rsidRPr="001F1B27">
        <w:lastRenderedPageBreak/>
        <w:t>Contents</w:t>
      </w:r>
      <w:bookmarkEnd w:id="1"/>
    </w:p>
    <w:p w14:paraId="012958A0" w14:textId="70F66202" w:rsidR="000E088D" w:rsidRDefault="000E0B74">
      <w:pPr>
        <w:pStyle w:val="TOC1"/>
        <w:rPr>
          <w:rFonts w:asciiTheme="minorHAnsi" w:eastAsiaTheme="minorEastAsia" w:hAnsiTheme="minorHAnsi" w:cstheme="minorBidi"/>
          <w:b w:val="0"/>
          <w:color w:val="auto"/>
        </w:rPr>
      </w:pPr>
      <w:r>
        <w:fldChar w:fldCharType="begin"/>
      </w:r>
      <w:r w:rsidRPr="0025652F">
        <w:instrText xml:space="preserve"> TOC \o "1-3" \h \z \u </w:instrText>
      </w:r>
      <w:r>
        <w:fldChar w:fldCharType="separate"/>
      </w:r>
      <w:hyperlink w:anchor="_Toc9511718" w:history="1">
        <w:r w:rsidR="000E088D" w:rsidRPr="00DF7EC0">
          <w:rPr>
            <w:rStyle w:val="Hyperlink"/>
          </w:rPr>
          <w:t>Contents</w:t>
        </w:r>
        <w:r w:rsidR="000E088D">
          <w:rPr>
            <w:webHidden/>
          </w:rPr>
          <w:tab/>
        </w:r>
        <w:r w:rsidR="000E088D">
          <w:rPr>
            <w:webHidden/>
          </w:rPr>
          <w:fldChar w:fldCharType="begin"/>
        </w:r>
        <w:r w:rsidR="000E088D">
          <w:rPr>
            <w:webHidden/>
          </w:rPr>
          <w:instrText xml:space="preserve"> PAGEREF _Toc9511718 \h </w:instrText>
        </w:r>
        <w:r w:rsidR="000E088D">
          <w:rPr>
            <w:webHidden/>
          </w:rPr>
        </w:r>
        <w:r w:rsidR="000E088D">
          <w:rPr>
            <w:webHidden/>
          </w:rPr>
          <w:fldChar w:fldCharType="separate"/>
        </w:r>
        <w:r w:rsidR="0051005E">
          <w:rPr>
            <w:webHidden/>
          </w:rPr>
          <w:t>iii</w:t>
        </w:r>
        <w:r w:rsidR="000E088D">
          <w:rPr>
            <w:webHidden/>
          </w:rPr>
          <w:fldChar w:fldCharType="end"/>
        </w:r>
      </w:hyperlink>
    </w:p>
    <w:p w14:paraId="2A39A441" w14:textId="151038EE" w:rsidR="000E088D" w:rsidRDefault="0051005E">
      <w:pPr>
        <w:pStyle w:val="TOC1"/>
        <w:rPr>
          <w:rFonts w:asciiTheme="minorHAnsi" w:eastAsiaTheme="minorEastAsia" w:hAnsiTheme="minorHAnsi" w:cstheme="minorBidi"/>
          <w:b w:val="0"/>
          <w:color w:val="auto"/>
        </w:rPr>
      </w:pPr>
      <w:hyperlink w:anchor="_Toc9511719" w:history="1">
        <w:r w:rsidR="000E088D" w:rsidRPr="00DF7EC0">
          <w:rPr>
            <w:rStyle w:val="Hyperlink"/>
          </w:rPr>
          <w:t>Introduction</w:t>
        </w:r>
        <w:r w:rsidR="000E088D">
          <w:rPr>
            <w:webHidden/>
          </w:rPr>
          <w:tab/>
        </w:r>
        <w:r w:rsidR="000E088D">
          <w:rPr>
            <w:webHidden/>
          </w:rPr>
          <w:fldChar w:fldCharType="begin"/>
        </w:r>
        <w:r w:rsidR="000E088D">
          <w:rPr>
            <w:webHidden/>
          </w:rPr>
          <w:instrText xml:space="preserve"> PAGEREF _Toc9511719 \h </w:instrText>
        </w:r>
        <w:r w:rsidR="000E088D">
          <w:rPr>
            <w:webHidden/>
          </w:rPr>
        </w:r>
        <w:r w:rsidR="000E088D">
          <w:rPr>
            <w:webHidden/>
          </w:rPr>
          <w:fldChar w:fldCharType="separate"/>
        </w:r>
        <w:r>
          <w:rPr>
            <w:webHidden/>
          </w:rPr>
          <w:t>4</w:t>
        </w:r>
        <w:r w:rsidR="000E088D">
          <w:rPr>
            <w:webHidden/>
          </w:rPr>
          <w:fldChar w:fldCharType="end"/>
        </w:r>
      </w:hyperlink>
    </w:p>
    <w:p w14:paraId="005F18F3" w14:textId="75FA9A77" w:rsidR="000E088D" w:rsidRDefault="0051005E">
      <w:pPr>
        <w:pStyle w:val="TOC3"/>
        <w:rPr>
          <w:rFonts w:asciiTheme="minorHAnsi" w:eastAsiaTheme="minorEastAsia" w:hAnsiTheme="minorHAnsi" w:cstheme="minorBidi"/>
          <w:szCs w:val="22"/>
        </w:rPr>
      </w:pPr>
      <w:hyperlink w:anchor="_Toc9511720" w:history="1">
        <w:r w:rsidR="000E088D" w:rsidRPr="00DF7EC0">
          <w:rPr>
            <w:rStyle w:val="Hyperlink"/>
          </w:rPr>
          <w:t>What is in the scope of this consultation paper?</w:t>
        </w:r>
        <w:r w:rsidR="000E088D">
          <w:rPr>
            <w:webHidden/>
          </w:rPr>
          <w:tab/>
        </w:r>
        <w:r w:rsidR="000E088D">
          <w:rPr>
            <w:webHidden/>
          </w:rPr>
          <w:fldChar w:fldCharType="begin"/>
        </w:r>
        <w:r w:rsidR="000E088D">
          <w:rPr>
            <w:webHidden/>
          </w:rPr>
          <w:instrText xml:space="preserve"> PAGEREF _Toc9511720 \h </w:instrText>
        </w:r>
        <w:r w:rsidR="000E088D">
          <w:rPr>
            <w:webHidden/>
          </w:rPr>
        </w:r>
        <w:r w:rsidR="000E088D">
          <w:rPr>
            <w:webHidden/>
          </w:rPr>
          <w:fldChar w:fldCharType="separate"/>
        </w:r>
        <w:r>
          <w:rPr>
            <w:webHidden/>
          </w:rPr>
          <w:t>4</w:t>
        </w:r>
        <w:r w:rsidR="000E088D">
          <w:rPr>
            <w:webHidden/>
          </w:rPr>
          <w:fldChar w:fldCharType="end"/>
        </w:r>
      </w:hyperlink>
    </w:p>
    <w:p w14:paraId="5B4CDE42" w14:textId="1591916B" w:rsidR="000E088D" w:rsidRDefault="0051005E">
      <w:pPr>
        <w:pStyle w:val="TOC1"/>
        <w:rPr>
          <w:rFonts w:asciiTheme="minorHAnsi" w:eastAsiaTheme="minorEastAsia" w:hAnsiTheme="minorHAnsi" w:cstheme="minorBidi"/>
          <w:b w:val="0"/>
          <w:color w:val="auto"/>
        </w:rPr>
      </w:pPr>
      <w:hyperlink w:anchor="_Toc9511721" w:history="1">
        <w:r w:rsidR="000E088D" w:rsidRPr="00DF7EC0">
          <w:rPr>
            <w:rStyle w:val="Hyperlink"/>
          </w:rPr>
          <w:t>Priority datasets</w:t>
        </w:r>
        <w:r w:rsidR="000E088D">
          <w:rPr>
            <w:webHidden/>
          </w:rPr>
          <w:tab/>
        </w:r>
        <w:r w:rsidR="000E088D">
          <w:rPr>
            <w:webHidden/>
          </w:rPr>
          <w:fldChar w:fldCharType="begin"/>
        </w:r>
        <w:r w:rsidR="000E088D">
          <w:rPr>
            <w:webHidden/>
          </w:rPr>
          <w:instrText xml:space="preserve"> PAGEREF _Toc9511721 \h </w:instrText>
        </w:r>
        <w:r w:rsidR="000E088D">
          <w:rPr>
            <w:webHidden/>
          </w:rPr>
        </w:r>
        <w:r w:rsidR="000E088D">
          <w:rPr>
            <w:webHidden/>
          </w:rPr>
          <w:fldChar w:fldCharType="separate"/>
        </w:r>
        <w:r>
          <w:rPr>
            <w:webHidden/>
          </w:rPr>
          <w:t>4</w:t>
        </w:r>
        <w:r w:rsidR="000E088D">
          <w:rPr>
            <w:webHidden/>
          </w:rPr>
          <w:fldChar w:fldCharType="end"/>
        </w:r>
      </w:hyperlink>
    </w:p>
    <w:p w14:paraId="2EF7601C" w14:textId="52DDBE0F" w:rsidR="000E088D" w:rsidRDefault="0051005E">
      <w:pPr>
        <w:pStyle w:val="TOC2"/>
        <w:rPr>
          <w:rFonts w:asciiTheme="minorHAnsi" w:eastAsiaTheme="minorEastAsia" w:hAnsiTheme="minorHAnsi" w:cstheme="minorBidi"/>
          <w:color w:val="auto"/>
          <w:szCs w:val="22"/>
        </w:rPr>
      </w:pPr>
      <w:hyperlink w:anchor="_Toc9511722" w:history="1">
        <w:r w:rsidR="000E088D" w:rsidRPr="00DF7EC0">
          <w:rPr>
            <w:rStyle w:val="Hyperlink"/>
          </w:rPr>
          <w:t>National Metering Identifier (NMI) standing data fields</w:t>
        </w:r>
        <w:r w:rsidR="000E088D">
          <w:rPr>
            <w:webHidden/>
          </w:rPr>
          <w:tab/>
        </w:r>
        <w:r w:rsidR="000E088D">
          <w:rPr>
            <w:webHidden/>
          </w:rPr>
          <w:fldChar w:fldCharType="begin"/>
        </w:r>
        <w:r w:rsidR="000E088D">
          <w:rPr>
            <w:webHidden/>
          </w:rPr>
          <w:instrText xml:space="preserve"> PAGEREF _Toc9511722 \h </w:instrText>
        </w:r>
        <w:r w:rsidR="000E088D">
          <w:rPr>
            <w:webHidden/>
          </w:rPr>
        </w:r>
        <w:r w:rsidR="000E088D">
          <w:rPr>
            <w:webHidden/>
          </w:rPr>
          <w:fldChar w:fldCharType="separate"/>
        </w:r>
        <w:r>
          <w:rPr>
            <w:webHidden/>
          </w:rPr>
          <w:t>5</w:t>
        </w:r>
        <w:r w:rsidR="000E088D">
          <w:rPr>
            <w:webHidden/>
          </w:rPr>
          <w:fldChar w:fldCharType="end"/>
        </w:r>
      </w:hyperlink>
    </w:p>
    <w:p w14:paraId="632EDF59" w14:textId="34A18BF2" w:rsidR="000E088D" w:rsidRDefault="0051005E">
      <w:pPr>
        <w:pStyle w:val="TOC2"/>
        <w:rPr>
          <w:rFonts w:asciiTheme="minorHAnsi" w:eastAsiaTheme="minorEastAsia" w:hAnsiTheme="minorHAnsi" w:cstheme="minorBidi"/>
          <w:color w:val="auto"/>
          <w:szCs w:val="22"/>
        </w:rPr>
      </w:pPr>
      <w:hyperlink w:anchor="_Toc9511723" w:history="1">
        <w:r w:rsidR="000E088D" w:rsidRPr="00DF7EC0">
          <w:rPr>
            <w:rStyle w:val="Hyperlink"/>
          </w:rPr>
          <w:t>Metering data</w:t>
        </w:r>
        <w:r w:rsidR="000E088D">
          <w:rPr>
            <w:webHidden/>
          </w:rPr>
          <w:tab/>
        </w:r>
        <w:r w:rsidR="000E088D">
          <w:rPr>
            <w:webHidden/>
          </w:rPr>
          <w:fldChar w:fldCharType="begin"/>
        </w:r>
        <w:r w:rsidR="000E088D">
          <w:rPr>
            <w:webHidden/>
          </w:rPr>
          <w:instrText xml:space="preserve"> PAGEREF _Toc9511723 \h </w:instrText>
        </w:r>
        <w:r w:rsidR="000E088D">
          <w:rPr>
            <w:webHidden/>
          </w:rPr>
        </w:r>
        <w:r w:rsidR="000E088D">
          <w:rPr>
            <w:webHidden/>
          </w:rPr>
          <w:fldChar w:fldCharType="separate"/>
        </w:r>
        <w:r>
          <w:rPr>
            <w:webHidden/>
          </w:rPr>
          <w:t>6</w:t>
        </w:r>
        <w:r w:rsidR="000E088D">
          <w:rPr>
            <w:webHidden/>
          </w:rPr>
          <w:fldChar w:fldCharType="end"/>
        </w:r>
      </w:hyperlink>
    </w:p>
    <w:p w14:paraId="183B369F" w14:textId="0DCDB771" w:rsidR="000E088D" w:rsidRDefault="0051005E">
      <w:pPr>
        <w:pStyle w:val="TOC2"/>
        <w:rPr>
          <w:rFonts w:asciiTheme="minorHAnsi" w:eastAsiaTheme="minorEastAsia" w:hAnsiTheme="minorHAnsi" w:cstheme="minorBidi"/>
          <w:color w:val="auto"/>
          <w:szCs w:val="22"/>
        </w:rPr>
      </w:pPr>
      <w:hyperlink w:anchor="_Toc9511724" w:history="1">
        <w:r w:rsidR="000E088D" w:rsidRPr="00DF7EC0">
          <w:rPr>
            <w:rStyle w:val="Hyperlink"/>
          </w:rPr>
          <w:t>Customer provided data</w:t>
        </w:r>
        <w:r w:rsidR="000E088D">
          <w:rPr>
            <w:webHidden/>
          </w:rPr>
          <w:tab/>
        </w:r>
        <w:r w:rsidR="000E088D">
          <w:rPr>
            <w:webHidden/>
          </w:rPr>
          <w:fldChar w:fldCharType="begin"/>
        </w:r>
        <w:r w:rsidR="000E088D">
          <w:rPr>
            <w:webHidden/>
          </w:rPr>
          <w:instrText xml:space="preserve"> PAGEREF _Toc9511724 \h </w:instrText>
        </w:r>
        <w:r w:rsidR="000E088D">
          <w:rPr>
            <w:webHidden/>
          </w:rPr>
        </w:r>
        <w:r w:rsidR="000E088D">
          <w:rPr>
            <w:webHidden/>
          </w:rPr>
          <w:fldChar w:fldCharType="separate"/>
        </w:r>
        <w:r>
          <w:rPr>
            <w:webHidden/>
          </w:rPr>
          <w:t>7</w:t>
        </w:r>
        <w:r w:rsidR="000E088D">
          <w:rPr>
            <w:webHidden/>
          </w:rPr>
          <w:fldChar w:fldCharType="end"/>
        </w:r>
      </w:hyperlink>
    </w:p>
    <w:p w14:paraId="32AB2AB5" w14:textId="1A097BCC" w:rsidR="000E088D" w:rsidRDefault="0051005E">
      <w:pPr>
        <w:pStyle w:val="TOC2"/>
        <w:rPr>
          <w:rFonts w:asciiTheme="minorHAnsi" w:eastAsiaTheme="minorEastAsia" w:hAnsiTheme="minorHAnsi" w:cstheme="minorBidi"/>
          <w:color w:val="auto"/>
          <w:szCs w:val="22"/>
        </w:rPr>
      </w:pPr>
      <w:hyperlink w:anchor="_Toc9511725" w:history="1">
        <w:r w:rsidR="000E088D" w:rsidRPr="00DF7EC0">
          <w:rPr>
            <w:rStyle w:val="Hyperlink"/>
          </w:rPr>
          <w:t>Billing data</w:t>
        </w:r>
        <w:r w:rsidR="000E088D">
          <w:rPr>
            <w:webHidden/>
          </w:rPr>
          <w:tab/>
        </w:r>
        <w:r w:rsidR="000E088D">
          <w:rPr>
            <w:webHidden/>
          </w:rPr>
          <w:fldChar w:fldCharType="begin"/>
        </w:r>
        <w:r w:rsidR="000E088D">
          <w:rPr>
            <w:webHidden/>
          </w:rPr>
          <w:instrText xml:space="preserve"> PAGEREF _Toc9511725 \h </w:instrText>
        </w:r>
        <w:r w:rsidR="000E088D">
          <w:rPr>
            <w:webHidden/>
          </w:rPr>
        </w:r>
        <w:r w:rsidR="000E088D">
          <w:rPr>
            <w:webHidden/>
          </w:rPr>
          <w:fldChar w:fldCharType="separate"/>
        </w:r>
        <w:r>
          <w:rPr>
            <w:webHidden/>
          </w:rPr>
          <w:t>7</w:t>
        </w:r>
        <w:r w:rsidR="000E088D">
          <w:rPr>
            <w:webHidden/>
          </w:rPr>
          <w:fldChar w:fldCharType="end"/>
        </w:r>
      </w:hyperlink>
    </w:p>
    <w:p w14:paraId="6B923D64" w14:textId="1C908DB6" w:rsidR="000E088D" w:rsidRDefault="0051005E">
      <w:pPr>
        <w:pStyle w:val="TOC2"/>
        <w:rPr>
          <w:rFonts w:asciiTheme="minorHAnsi" w:eastAsiaTheme="minorEastAsia" w:hAnsiTheme="minorHAnsi" w:cstheme="minorBidi"/>
          <w:color w:val="auto"/>
          <w:szCs w:val="22"/>
        </w:rPr>
      </w:pPr>
      <w:hyperlink w:anchor="_Toc9511726" w:history="1">
        <w:r w:rsidR="000E088D" w:rsidRPr="00DF7EC0">
          <w:rPr>
            <w:rStyle w:val="Hyperlink"/>
          </w:rPr>
          <w:t>Retail product data</w:t>
        </w:r>
        <w:r w:rsidR="000E088D">
          <w:rPr>
            <w:webHidden/>
          </w:rPr>
          <w:tab/>
        </w:r>
        <w:r w:rsidR="000E088D">
          <w:rPr>
            <w:webHidden/>
          </w:rPr>
          <w:fldChar w:fldCharType="begin"/>
        </w:r>
        <w:r w:rsidR="000E088D">
          <w:rPr>
            <w:webHidden/>
          </w:rPr>
          <w:instrText xml:space="preserve"> PAGEREF _Toc9511726 \h </w:instrText>
        </w:r>
        <w:r w:rsidR="000E088D">
          <w:rPr>
            <w:webHidden/>
          </w:rPr>
        </w:r>
        <w:r w:rsidR="000E088D">
          <w:rPr>
            <w:webHidden/>
          </w:rPr>
          <w:fldChar w:fldCharType="separate"/>
        </w:r>
        <w:r>
          <w:rPr>
            <w:webHidden/>
          </w:rPr>
          <w:t>8</w:t>
        </w:r>
        <w:r w:rsidR="000E088D">
          <w:rPr>
            <w:webHidden/>
          </w:rPr>
          <w:fldChar w:fldCharType="end"/>
        </w:r>
      </w:hyperlink>
    </w:p>
    <w:p w14:paraId="644A04C9" w14:textId="3FEC0641" w:rsidR="000E088D" w:rsidRDefault="0051005E">
      <w:pPr>
        <w:pStyle w:val="TOC3"/>
        <w:rPr>
          <w:rFonts w:asciiTheme="minorHAnsi" w:eastAsiaTheme="minorEastAsia" w:hAnsiTheme="minorHAnsi" w:cstheme="minorBidi"/>
          <w:szCs w:val="22"/>
        </w:rPr>
      </w:pPr>
      <w:hyperlink w:anchor="_Toc9511727" w:history="1">
        <w:r w:rsidR="000E088D" w:rsidRPr="00DF7EC0">
          <w:rPr>
            <w:rStyle w:val="Hyperlink"/>
          </w:rPr>
          <w:t>National Energy Retail Law jurisdictions</w:t>
        </w:r>
        <w:r w:rsidR="000E088D">
          <w:rPr>
            <w:webHidden/>
          </w:rPr>
          <w:tab/>
        </w:r>
        <w:r w:rsidR="000E088D">
          <w:rPr>
            <w:webHidden/>
          </w:rPr>
          <w:fldChar w:fldCharType="begin"/>
        </w:r>
        <w:r w:rsidR="000E088D">
          <w:rPr>
            <w:webHidden/>
          </w:rPr>
          <w:instrText xml:space="preserve"> PAGEREF _Toc9511727 \h </w:instrText>
        </w:r>
        <w:r w:rsidR="000E088D">
          <w:rPr>
            <w:webHidden/>
          </w:rPr>
        </w:r>
        <w:r w:rsidR="000E088D">
          <w:rPr>
            <w:webHidden/>
          </w:rPr>
          <w:fldChar w:fldCharType="separate"/>
        </w:r>
        <w:r>
          <w:rPr>
            <w:webHidden/>
          </w:rPr>
          <w:t>8</w:t>
        </w:r>
        <w:r w:rsidR="000E088D">
          <w:rPr>
            <w:webHidden/>
          </w:rPr>
          <w:fldChar w:fldCharType="end"/>
        </w:r>
      </w:hyperlink>
    </w:p>
    <w:p w14:paraId="06A67CBF" w14:textId="3639D34C" w:rsidR="000E088D" w:rsidRDefault="0051005E">
      <w:pPr>
        <w:pStyle w:val="TOC3"/>
        <w:rPr>
          <w:rFonts w:asciiTheme="minorHAnsi" w:eastAsiaTheme="minorEastAsia" w:hAnsiTheme="minorHAnsi" w:cstheme="minorBidi"/>
          <w:szCs w:val="22"/>
        </w:rPr>
      </w:pPr>
      <w:hyperlink w:anchor="_Toc9511728" w:history="1">
        <w:r w:rsidR="000E088D" w:rsidRPr="00DF7EC0">
          <w:rPr>
            <w:rStyle w:val="Hyperlink"/>
          </w:rPr>
          <w:t>Victoria</w:t>
        </w:r>
        <w:r w:rsidR="000E088D">
          <w:rPr>
            <w:webHidden/>
          </w:rPr>
          <w:tab/>
        </w:r>
        <w:r w:rsidR="000E088D">
          <w:rPr>
            <w:webHidden/>
          </w:rPr>
          <w:fldChar w:fldCharType="begin"/>
        </w:r>
        <w:r w:rsidR="000E088D">
          <w:rPr>
            <w:webHidden/>
          </w:rPr>
          <w:instrText xml:space="preserve"> PAGEREF _Toc9511728 \h </w:instrText>
        </w:r>
        <w:r w:rsidR="000E088D">
          <w:rPr>
            <w:webHidden/>
          </w:rPr>
        </w:r>
        <w:r w:rsidR="000E088D">
          <w:rPr>
            <w:webHidden/>
          </w:rPr>
          <w:fldChar w:fldCharType="separate"/>
        </w:r>
        <w:r>
          <w:rPr>
            <w:webHidden/>
          </w:rPr>
          <w:t>9</w:t>
        </w:r>
        <w:r w:rsidR="000E088D">
          <w:rPr>
            <w:webHidden/>
          </w:rPr>
          <w:fldChar w:fldCharType="end"/>
        </w:r>
      </w:hyperlink>
    </w:p>
    <w:p w14:paraId="3C0C6A2D" w14:textId="3D44A028" w:rsidR="000E088D" w:rsidRDefault="0051005E">
      <w:pPr>
        <w:pStyle w:val="TOC2"/>
        <w:rPr>
          <w:rFonts w:asciiTheme="minorHAnsi" w:eastAsiaTheme="minorEastAsia" w:hAnsiTheme="minorHAnsi" w:cstheme="minorBidi"/>
          <w:color w:val="auto"/>
          <w:szCs w:val="22"/>
        </w:rPr>
      </w:pPr>
      <w:hyperlink w:anchor="_Toc9511729" w:history="1">
        <w:r w:rsidR="000E088D" w:rsidRPr="00DF7EC0">
          <w:rPr>
            <w:rStyle w:val="Hyperlink"/>
          </w:rPr>
          <w:t>Register of Distributed Energy Resources</w:t>
        </w:r>
        <w:r w:rsidR="000E088D">
          <w:rPr>
            <w:webHidden/>
          </w:rPr>
          <w:tab/>
        </w:r>
        <w:r w:rsidR="000E088D">
          <w:rPr>
            <w:webHidden/>
          </w:rPr>
          <w:fldChar w:fldCharType="begin"/>
        </w:r>
        <w:r w:rsidR="000E088D">
          <w:rPr>
            <w:webHidden/>
          </w:rPr>
          <w:instrText xml:space="preserve"> PAGEREF _Toc9511729 \h </w:instrText>
        </w:r>
        <w:r w:rsidR="000E088D">
          <w:rPr>
            <w:webHidden/>
          </w:rPr>
        </w:r>
        <w:r w:rsidR="000E088D">
          <w:rPr>
            <w:webHidden/>
          </w:rPr>
          <w:fldChar w:fldCharType="separate"/>
        </w:r>
        <w:r>
          <w:rPr>
            <w:webHidden/>
          </w:rPr>
          <w:t>9</w:t>
        </w:r>
        <w:r w:rsidR="000E088D">
          <w:rPr>
            <w:webHidden/>
          </w:rPr>
          <w:fldChar w:fldCharType="end"/>
        </w:r>
      </w:hyperlink>
    </w:p>
    <w:p w14:paraId="4352226E" w14:textId="6186ABDF" w:rsidR="000E088D" w:rsidRDefault="0051005E">
      <w:pPr>
        <w:pStyle w:val="TOC1"/>
        <w:rPr>
          <w:rFonts w:asciiTheme="minorHAnsi" w:eastAsiaTheme="minorEastAsia" w:hAnsiTheme="minorHAnsi" w:cstheme="minorBidi"/>
          <w:b w:val="0"/>
          <w:color w:val="auto"/>
        </w:rPr>
      </w:pPr>
      <w:hyperlink w:anchor="_Toc9511730" w:history="1">
        <w:r w:rsidR="000E088D" w:rsidRPr="00DF7EC0">
          <w:rPr>
            <w:rStyle w:val="Hyperlink"/>
          </w:rPr>
          <w:t>What electricity datasets are proposed to be covered under the initial energy CDR rules?</w:t>
        </w:r>
        <w:r w:rsidR="000E088D">
          <w:rPr>
            <w:webHidden/>
          </w:rPr>
          <w:tab/>
        </w:r>
        <w:r w:rsidR="000E088D">
          <w:rPr>
            <w:webHidden/>
          </w:rPr>
          <w:fldChar w:fldCharType="begin"/>
        </w:r>
        <w:r w:rsidR="000E088D">
          <w:rPr>
            <w:webHidden/>
          </w:rPr>
          <w:instrText xml:space="preserve"> PAGEREF _Toc9511730 \h </w:instrText>
        </w:r>
        <w:r w:rsidR="000E088D">
          <w:rPr>
            <w:webHidden/>
          </w:rPr>
        </w:r>
        <w:r w:rsidR="000E088D">
          <w:rPr>
            <w:webHidden/>
          </w:rPr>
          <w:fldChar w:fldCharType="separate"/>
        </w:r>
        <w:r>
          <w:rPr>
            <w:webHidden/>
          </w:rPr>
          <w:t>10</w:t>
        </w:r>
        <w:r w:rsidR="000E088D">
          <w:rPr>
            <w:webHidden/>
          </w:rPr>
          <w:fldChar w:fldCharType="end"/>
        </w:r>
      </w:hyperlink>
    </w:p>
    <w:p w14:paraId="40FFA6E2" w14:textId="712B8488" w:rsidR="000E088D" w:rsidRDefault="0051005E">
      <w:pPr>
        <w:pStyle w:val="TOC2"/>
        <w:rPr>
          <w:rFonts w:asciiTheme="minorHAnsi" w:eastAsiaTheme="minorEastAsia" w:hAnsiTheme="minorHAnsi" w:cstheme="minorBidi"/>
          <w:color w:val="auto"/>
          <w:szCs w:val="22"/>
        </w:rPr>
      </w:pPr>
      <w:hyperlink w:anchor="_Toc9511731" w:history="1">
        <w:r w:rsidR="000E088D" w:rsidRPr="00DF7EC0">
          <w:rPr>
            <w:rStyle w:val="Hyperlink"/>
          </w:rPr>
          <w:t>Complex energy data sets for future implementation</w:t>
        </w:r>
        <w:r w:rsidR="000E088D">
          <w:rPr>
            <w:webHidden/>
          </w:rPr>
          <w:tab/>
        </w:r>
        <w:r w:rsidR="000E088D">
          <w:rPr>
            <w:webHidden/>
          </w:rPr>
          <w:fldChar w:fldCharType="begin"/>
        </w:r>
        <w:r w:rsidR="000E088D">
          <w:rPr>
            <w:webHidden/>
          </w:rPr>
          <w:instrText xml:space="preserve"> PAGEREF _Toc9511731 \h </w:instrText>
        </w:r>
        <w:r w:rsidR="000E088D">
          <w:rPr>
            <w:webHidden/>
          </w:rPr>
        </w:r>
        <w:r w:rsidR="000E088D">
          <w:rPr>
            <w:webHidden/>
          </w:rPr>
          <w:fldChar w:fldCharType="separate"/>
        </w:r>
        <w:r>
          <w:rPr>
            <w:webHidden/>
          </w:rPr>
          <w:t>11</w:t>
        </w:r>
        <w:r w:rsidR="000E088D">
          <w:rPr>
            <w:webHidden/>
          </w:rPr>
          <w:fldChar w:fldCharType="end"/>
        </w:r>
      </w:hyperlink>
    </w:p>
    <w:p w14:paraId="2AB20C89" w14:textId="60662925" w:rsidR="000E088D" w:rsidRDefault="0051005E">
      <w:pPr>
        <w:pStyle w:val="TOC1"/>
        <w:rPr>
          <w:rFonts w:asciiTheme="minorHAnsi" w:eastAsiaTheme="minorEastAsia" w:hAnsiTheme="minorHAnsi" w:cstheme="minorBidi"/>
          <w:b w:val="0"/>
          <w:color w:val="auto"/>
        </w:rPr>
      </w:pPr>
      <w:hyperlink w:anchor="_Toc9511732" w:history="1">
        <w:r w:rsidR="000E088D" w:rsidRPr="00DF7EC0">
          <w:rPr>
            <w:rStyle w:val="Hyperlink"/>
          </w:rPr>
          <w:t>Next Steps</w:t>
        </w:r>
        <w:r w:rsidR="000E088D">
          <w:rPr>
            <w:webHidden/>
          </w:rPr>
          <w:tab/>
        </w:r>
        <w:r w:rsidR="000E088D">
          <w:rPr>
            <w:webHidden/>
          </w:rPr>
          <w:fldChar w:fldCharType="begin"/>
        </w:r>
        <w:r w:rsidR="000E088D">
          <w:rPr>
            <w:webHidden/>
          </w:rPr>
          <w:instrText xml:space="preserve"> PAGEREF _Toc9511732 \h </w:instrText>
        </w:r>
        <w:r w:rsidR="000E088D">
          <w:rPr>
            <w:webHidden/>
          </w:rPr>
        </w:r>
        <w:r w:rsidR="000E088D">
          <w:rPr>
            <w:webHidden/>
          </w:rPr>
          <w:fldChar w:fldCharType="separate"/>
        </w:r>
        <w:r>
          <w:rPr>
            <w:webHidden/>
          </w:rPr>
          <w:t>12</w:t>
        </w:r>
        <w:r w:rsidR="000E088D">
          <w:rPr>
            <w:webHidden/>
          </w:rPr>
          <w:fldChar w:fldCharType="end"/>
        </w:r>
      </w:hyperlink>
    </w:p>
    <w:p w14:paraId="3F4D5572" w14:textId="753EB16B" w:rsidR="00F836F9" w:rsidRDefault="000E0B74" w:rsidP="0056582C">
      <w:pPr>
        <w:pStyle w:val="SingleParagraph"/>
        <w:ind w:right="-2"/>
        <w:sectPr w:rsidR="00F836F9" w:rsidSect="003C24B4">
          <w:headerReference w:type="even" r:id="rId23"/>
          <w:headerReference w:type="default" r:id="rId24"/>
          <w:footerReference w:type="even" r:id="rId25"/>
          <w:headerReference w:type="first" r:id="rId26"/>
          <w:footerReference w:type="first" r:id="rId27"/>
          <w:pgSz w:w="11906" w:h="16838" w:code="9"/>
          <w:pgMar w:top="1418" w:right="1418" w:bottom="1418" w:left="1418" w:header="709" w:footer="709" w:gutter="0"/>
          <w:pgNumType w:fmt="lowerRoman"/>
          <w:cols w:space="708"/>
          <w:docGrid w:linePitch="360"/>
        </w:sectPr>
      </w:pPr>
      <w:r>
        <w:fldChar w:fldCharType="end"/>
      </w:r>
      <w:bookmarkStart w:id="2" w:name="_Toc432067103"/>
      <w:bookmarkStart w:id="3" w:name="_Toc452635030"/>
    </w:p>
    <w:p w14:paraId="1C4266CA" w14:textId="77777777" w:rsidR="00803F69" w:rsidRDefault="00803F69" w:rsidP="00803F69">
      <w:pPr>
        <w:pStyle w:val="Heading1"/>
      </w:pPr>
      <w:bookmarkStart w:id="4" w:name="_Toc9511719"/>
      <w:bookmarkEnd w:id="2"/>
      <w:bookmarkEnd w:id="3"/>
      <w:r>
        <w:lastRenderedPageBreak/>
        <w:t>Introduction</w:t>
      </w:r>
      <w:bookmarkEnd w:id="4"/>
    </w:p>
    <w:p w14:paraId="3A6E0F40" w14:textId="77777777" w:rsidR="00803F69" w:rsidRDefault="00803F69" w:rsidP="00803F69">
      <w:r w:rsidRPr="0063696C">
        <w:t xml:space="preserve">The </w:t>
      </w:r>
      <w:r w:rsidRPr="00B90E46">
        <w:t>extension of the Consumer Data Right (CDR) to the energy sector</w:t>
      </w:r>
      <w:r>
        <w:t xml:space="preserve"> seeks to establish a framework to improve competition and innovation in the energy sector. </w:t>
      </w:r>
      <w:r w:rsidRPr="004C36C8">
        <w:t xml:space="preserve">The Treasurer’s designation of priority </w:t>
      </w:r>
      <w:r>
        <w:t>electricity</w:t>
      </w:r>
      <w:r w:rsidRPr="004C36C8">
        <w:t xml:space="preserve"> datasets</w:t>
      </w:r>
      <w:r w:rsidRPr="008F7640">
        <w:t xml:space="preserve"> will enable the Australian Competition and Consumer Commission </w:t>
      </w:r>
      <w:r>
        <w:t xml:space="preserve">(ACCC) </w:t>
      </w:r>
      <w:r w:rsidRPr="008F7640">
        <w:t xml:space="preserve">to develop rules governing how the </w:t>
      </w:r>
      <w:r>
        <w:t>CDR will operate in the energy sector</w:t>
      </w:r>
      <w:r w:rsidRPr="0063696C">
        <w:t xml:space="preserve">. </w:t>
      </w:r>
    </w:p>
    <w:p w14:paraId="2B4BE91C" w14:textId="77777777" w:rsidR="00803F69" w:rsidRPr="0063696C" w:rsidRDefault="00803F69" w:rsidP="00803F69">
      <w:r w:rsidRPr="0063696C">
        <w:t>The ACCC</w:t>
      </w:r>
      <w:r>
        <w:t>’s rules that will apply to the CDR in energy aim:</w:t>
      </w:r>
      <w:r w:rsidRPr="0063696C">
        <w:t xml:space="preserve"> </w:t>
      </w:r>
    </w:p>
    <w:p w14:paraId="1A3AAF5D" w14:textId="1F838E9A" w:rsidR="00803F69" w:rsidRPr="0063696C" w:rsidRDefault="00803F69" w:rsidP="00803F69">
      <w:pPr>
        <w:pStyle w:val="ListParagraph"/>
        <w:numPr>
          <w:ilvl w:val="0"/>
          <w:numId w:val="21"/>
        </w:numPr>
        <w:tabs>
          <w:tab w:val="clear" w:pos="340"/>
          <w:tab w:val="left" w:pos="426"/>
        </w:tabs>
        <w:ind w:left="426" w:hanging="426"/>
        <w:rPr>
          <w:rFonts w:asciiTheme="minorHAnsi" w:hAnsiTheme="minorHAnsi"/>
        </w:rPr>
      </w:pPr>
      <w:r>
        <w:rPr>
          <w:rFonts w:asciiTheme="minorHAnsi" w:hAnsiTheme="minorHAnsi"/>
        </w:rPr>
        <w:t>t</w:t>
      </w:r>
      <w:r w:rsidRPr="0063696C">
        <w:rPr>
          <w:rFonts w:asciiTheme="minorHAnsi" w:hAnsiTheme="minorHAnsi"/>
        </w:rPr>
        <w:t xml:space="preserve">o deliver consumers </w:t>
      </w:r>
      <w:r>
        <w:rPr>
          <w:rFonts w:asciiTheme="minorHAnsi" w:hAnsiTheme="minorHAnsi"/>
        </w:rPr>
        <w:t xml:space="preserve">both </w:t>
      </w:r>
      <w:r w:rsidRPr="0063696C">
        <w:rPr>
          <w:rFonts w:asciiTheme="minorHAnsi" w:hAnsiTheme="minorHAnsi"/>
        </w:rPr>
        <w:t xml:space="preserve">seamless access to their own data </w:t>
      </w:r>
      <w:r>
        <w:rPr>
          <w:rFonts w:asciiTheme="minorHAnsi" w:hAnsiTheme="minorHAnsi"/>
        </w:rPr>
        <w:t xml:space="preserve">and the right to provide that data to accredited third parties </w:t>
      </w:r>
      <w:r w:rsidRPr="0063696C">
        <w:rPr>
          <w:rFonts w:asciiTheme="minorHAnsi" w:hAnsiTheme="minorHAnsi"/>
        </w:rPr>
        <w:t>so that they are able to make informed</w:t>
      </w:r>
      <w:r w:rsidR="009A52AA">
        <w:rPr>
          <w:rFonts w:asciiTheme="minorHAnsi" w:hAnsiTheme="minorHAnsi"/>
        </w:rPr>
        <w:t xml:space="preserve"> product</w:t>
      </w:r>
      <w:r w:rsidRPr="0063696C">
        <w:rPr>
          <w:rFonts w:asciiTheme="minorHAnsi" w:hAnsiTheme="minorHAnsi"/>
        </w:rPr>
        <w:t xml:space="preserve"> choices</w:t>
      </w:r>
      <w:r>
        <w:rPr>
          <w:rFonts w:asciiTheme="minorHAnsi" w:hAnsiTheme="minorHAnsi"/>
        </w:rPr>
        <w:t>;</w:t>
      </w:r>
    </w:p>
    <w:p w14:paraId="5866549B" w14:textId="77777777" w:rsidR="00803F69" w:rsidRPr="0063696C" w:rsidRDefault="00803F69" w:rsidP="00803F69">
      <w:pPr>
        <w:pStyle w:val="ListParagraph"/>
        <w:numPr>
          <w:ilvl w:val="0"/>
          <w:numId w:val="21"/>
        </w:numPr>
        <w:tabs>
          <w:tab w:val="clear" w:pos="340"/>
          <w:tab w:val="left" w:pos="426"/>
        </w:tabs>
        <w:ind w:left="426" w:hanging="426"/>
        <w:rPr>
          <w:rFonts w:asciiTheme="minorHAnsi" w:hAnsiTheme="minorHAnsi"/>
        </w:rPr>
      </w:pPr>
      <w:r>
        <w:rPr>
          <w:rFonts w:asciiTheme="minorHAnsi" w:hAnsiTheme="minorHAnsi"/>
        </w:rPr>
        <w:t>t</w:t>
      </w:r>
      <w:r w:rsidRPr="0063696C">
        <w:rPr>
          <w:rFonts w:asciiTheme="minorHAnsi" w:hAnsiTheme="minorHAnsi"/>
        </w:rPr>
        <w:t xml:space="preserve">o ensure the CDR in the energy sector is interoperable with the economy-wide </w:t>
      </w:r>
      <w:r>
        <w:rPr>
          <w:rFonts w:asciiTheme="minorHAnsi" w:hAnsiTheme="minorHAnsi"/>
        </w:rPr>
        <w:t>CDR; and</w:t>
      </w:r>
    </w:p>
    <w:p w14:paraId="68C8A5A2" w14:textId="77777777" w:rsidR="00803F69" w:rsidRPr="0063696C" w:rsidRDefault="00803F69" w:rsidP="00803F69">
      <w:pPr>
        <w:pStyle w:val="ListParagraph"/>
        <w:numPr>
          <w:ilvl w:val="0"/>
          <w:numId w:val="21"/>
        </w:numPr>
        <w:tabs>
          <w:tab w:val="clear" w:pos="340"/>
          <w:tab w:val="left" w:pos="426"/>
        </w:tabs>
        <w:spacing w:after="200"/>
        <w:ind w:left="425" w:hanging="425"/>
        <w:rPr>
          <w:rFonts w:asciiTheme="minorHAnsi" w:hAnsiTheme="minorHAnsi"/>
        </w:rPr>
      </w:pPr>
      <w:r>
        <w:rPr>
          <w:rFonts w:asciiTheme="minorHAnsi" w:hAnsiTheme="minorHAnsi"/>
        </w:rPr>
        <w:t>t</w:t>
      </w:r>
      <w:r w:rsidRPr="0063696C">
        <w:rPr>
          <w:rFonts w:asciiTheme="minorHAnsi" w:hAnsiTheme="minorHAnsi"/>
        </w:rPr>
        <w:t xml:space="preserve">o ensure that the privacy of consumers’ data is protected and that CDR participants are </w:t>
      </w:r>
      <w:r>
        <w:rPr>
          <w:rFonts w:asciiTheme="minorHAnsi" w:hAnsiTheme="minorHAnsi"/>
        </w:rPr>
        <w:t xml:space="preserve">held </w:t>
      </w:r>
      <w:r w:rsidRPr="0063696C">
        <w:rPr>
          <w:rFonts w:asciiTheme="minorHAnsi" w:hAnsiTheme="minorHAnsi"/>
        </w:rPr>
        <w:t>accountable.</w:t>
      </w:r>
    </w:p>
    <w:p w14:paraId="20791E59" w14:textId="15027434" w:rsidR="00F152BC" w:rsidRDefault="009A52AA" w:rsidP="00803F69">
      <w:r>
        <w:t>T</w:t>
      </w:r>
      <w:r w:rsidR="00F152BC">
        <w:t>o promote interoperability and economy wide data access, the rules will seek to ensure consistency in data access arrangements between sectors (such as with Open Banking), except where industry specific circumstances provide a compelling case to introduce tailored arrangements.</w:t>
      </w:r>
    </w:p>
    <w:p w14:paraId="74872432" w14:textId="2257C528" w:rsidR="00803F69" w:rsidRDefault="00803F69" w:rsidP="00803F69">
      <w:r w:rsidRPr="0063696C">
        <w:t xml:space="preserve">This paper seeks stakeholder feedback on the priority datasets that should be subject to the Treasurer’s designation instrument pursuant to </w:t>
      </w:r>
      <w:r>
        <w:t>s56AC</w:t>
      </w:r>
      <w:r w:rsidRPr="0063696C">
        <w:t xml:space="preserve"> of the Treasury Laws Amendment (Consumer Data Right) </w:t>
      </w:r>
      <w:r w:rsidR="00C81415">
        <w:t>Act</w:t>
      </w:r>
      <w:r w:rsidRPr="0063696C">
        <w:t xml:space="preserve"> 201</w:t>
      </w:r>
      <w:r>
        <w:t>9</w:t>
      </w:r>
      <w:r w:rsidR="009A52AA">
        <w:t xml:space="preserve"> and</w:t>
      </w:r>
      <w:r w:rsidR="00624215">
        <w:t xml:space="preserve"> follows the ACCC’s recent</w:t>
      </w:r>
      <w:r w:rsidR="00C71B55">
        <w:t xml:space="preserve">ly released position on </w:t>
      </w:r>
      <w:r w:rsidR="00624215">
        <w:t>the</w:t>
      </w:r>
      <w:r w:rsidR="00074BCE">
        <w:t xml:space="preserve"> </w:t>
      </w:r>
      <w:r w:rsidR="00624215">
        <w:t xml:space="preserve">data access model that </w:t>
      </w:r>
      <w:r w:rsidR="009A52AA">
        <w:t xml:space="preserve">will </w:t>
      </w:r>
      <w:r w:rsidR="00624215">
        <w:t xml:space="preserve">apply </w:t>
      </w:r>
      <w:r w:rsidR="00C71B55">
        <w:t xml:space="preserve">under </w:t>
      </w:r>
      <w:r w:rsidR="00624215">
        <w:t xml:space="preserve">the </w:t>
      </w:r>
      <w:r w:rsidR="009A52AA">
        <w:t xml:space="preserve">energy sector </w:t>
      </w:r>
      <w:r w:rsidR="00624215">
        <w:t>CDR.</w:t>
      </w:r>
    </w:p>
    <w:p w14:paraId="7F848507" w14:textId="47D895FD" w:rsidR="00803F69" w:rsidRPr="0063696C" w:rsidRDefault="00803F69" w:rsidP="00803F69">
      <w:r>
        <w:t xml:space="preserve">Government has not made a decision on </w:t>
      </w:r>
      <w:r w:rsidDel="004814CA">
        <w:t xml:space="preserve">what </w:t>
      </w:r>
      <w:r>
        <w:t xml:space="preserve">datasets should be designated under the CDR in energy, or who should </w:t>
      </w:r>
      <w:r w:rsidDel="004814CA">
        <w:t xml:space="preserve">be obligated </w:t>
      </w:r>
      <w:r>
        <w:t>to make that data available to customers</w:t>
      </w:r>
      <w:r w:rsidR="004814CA">
        <w:t xml:space="preserve"> </w:t>
      </w:r>
      <w:r w:rsidR="00AA26C6">
        <w:t xml:space="preserve">in accordance with </w:t>
      </w:r>
      <w:r w:rsidR="004814CA">
        <w:t>the ACCC’s preferred</w:t>
      </w:r>
      <w:r w:rsidR="00C71B55">
        <w:t xml:space="preserve">, AEMO gateway, data access </w:t>
      </w:r>
      <w:r w:rsidR="004814CA">
        <w:t>model.</w:t>
      </w:r>
      <w:r w:rsidR="00DD34D6">
        <w:t xml:space="preserve"> This </w:t>
      </w:r>
      <w:r w:rsidR="009A52AA">
        <w:t xml:space="preserve">is an initial </w:t>
      </w:r>
      <w:r w:rsidR="00DD34D6">
        <w:t xml:space="preserve">consultation on the priority datasets that should be designated </w:t>
      </w:r>
      <w:r w:rsidR="009A52AA">
        <w:t xml:space="preserve">and </w:t>
      </w:r>
      <w:r w:rsidR="00DD34D6">
        <w:t>will be followed by consultation</w:t>
      </w:r>
      <w:r w:rsidR="009A52AA">
        <w:t xml:space="preserve"> on the </w:t>
      </w:r>
      <w:r w:rsidR="00AA26C6">
        <w:t xml:space="preserve">text of the </w:t>
      </w:r>
      <w:r w:rsidR="009A52AA">
        <w:t>designation instrument at a later date.</w:t>
      </w:r>
    </w:p>
    <w:p w14:paraId="19F048EB" w14:textId="77777777" w:rsidR="00803F69" w:rsidRPr="0063696C" w:rsidRDefault="00803F69" w:rsidP="00971BA3">
      <w:pPr>
        <w:pStyle w:val="Heading3"/>
      </w:pPr>
      <w:bookmarkStart w:id="5" w:name="_Toc9511720"/>
      <w:r w:rsidRPr="0063696C">
        <w:t xml:space="preserve">What is in the scope of </w:t>
      </w:r>
      <w:r>
        <w:t xml:space="preserve">this </w:t>
      </w:r>
      <w:r w:rsidRPr="0063696C">
        <w:t>consultation paper?</w:t>
      </w:r>
      <w:bookmarkEnd w:id="5"/>
    </w:p>
    <w:p w14:paraId="32F099DA" w14:textId="5AFEE499" w:rsidR="00803F69" w:rsidRPr="00F44898" w:rsidRDefault="004814CA" w:rsidP="00803F69">
      <w:pPr>
        <w:pStyle w:val="Bullet"/>
        <w:numPr>
          <w:ilvl w:val="0"/>
          <w:numId w:val="0"/>
        </w:numPr>
        <w:rPr>
          <w:b/>
        </w:rPr>
      </w:pPr>
      <w:r>
        <w:t xml:space="preserve">Priority </w:t>
      </w:r>
      <w:r w:rsidR="00803F69">
        <w:t>datasets</w:t>
      </w:r>
      <w:r>
        <w:t xml:space="preserve"> </w:t>
      </w:r>
      <w:r w:rsidR="00C36BAF">
        <w:t xml:space="preserve">that will be subject to </w:t>
      </w:r>
      <w:r w:rsidR="00AA26C6">
        <w:t xml:space="preserve">initial </w:t>
      </w:r>
      <w:r w:rsidR="00C36BAF">
        <w:t xml:space="preserve">designation </w:t>
      </w:r>
      <w:r w:rsidR="00AA26C6">
        <w:t>under the CDR for energy</w:t>
      </w:r>
      <w:r w:rsidR="00C36BAF">
        <w:t xml:space="preserve"> will be </w:t>
      </w:r>
      <w:r w:rsidR="00803F69">
        <w:t xml:space="preserve">limited to National Electricity </w:t>
      </w:r>
      <w:r w:rsidR="00803F69" w:rsidDel="005D76B5">
        <w:t>Market</w:t>
      </w:r>
      <w:r w:rsidR="00C71B55">
        <w:t xml:space="preserve"> data</w:t>
      </w:r>
      <w:r w:rsidR="009A52AA" w:rsidRPr="004A2A26">
        <w:t>. T</w:t>
      </w:r>
      <w:r w:rsidR="00803F69" w:rsidRPr="004A2A26">
        <w:t>he</w:t>
      </w:r>
      <w:r w:rsidR="00803F69" w:rsidRPr="00F44898">
        <w:t xml:space="preserve"> three key questions that this consultation paper wishes to test with stakeholders are:</w:t>
      </w:r>
    </w:p>
    <w:p w14:paraId="534B2041" w14:textId="77777777" w:rsidR="00803F69" w:rsidRPr="00F44898" w:rsidRDefault="00803F69" w:rsidP="00803F69">
      <w:pPr>
        <w:pStyle w:val="OutlineNumbered1"/>
        <w:numPr>
          <w:ilvl w:val="0"/>
          <w:numId w:val="24"/>
        </w:numPr>
        <w:spacing w:after="200" w:line="276" w:lineRule="auto"/>
        <w:rPr>
          <w:b/>
        </w:rPr>
      </w:pPr>
      <w:r w:rsidRPr="00F44898">
        <w:t xml:space="preserve">What datasets should be designated in the energy sector to support basic energy retail product comparison and switching use cases? </w:t>
      </w:r>
    </w:p>
    <w:p w14:paraId="04213236" w14:textId="77777777" w:rsidR="00803F69" w:rsidRPr="00F44898" w:rsidRDefault="00803F69" w:rsidP="00803F69">
      <w:pPr>
        <w:pStyle w:val="OutlineNumbered1"/>
        <w:numPr>
          <w:ilvl w:val="0"/>
          <w:numId w:val="24"/>
        </w:numPr>
        <w:spacing w:after="200" w:line="276" w:lineRule="auto"/>
        <w:rPr>
          <w:b/>
        </w:rPr>
      </w:pPr>
      <w:r w:rsidRPr="00F44898">
        <w:t>What datasets are required to support more advanced use cases, such as, whether consumers should adopt smart meters, solar panels, battery storage, and/or more energy efficient appliances?</w:t>
      </w:r>
    </w:p>
    <w:p w14:paraId="088FF7DE" w14:textId="03107F2F" w:rsidR="00803F69" w:rsidRPr="00F44898" w:rsidRDefault="00803F69" w:rsidP="00803F69">
      <w:pPr>
        <w:pStyle w:val="OutlineNumbered1"/>
        <w:numPr>
          <w:ilvl w:val="0"/>
          <w:numId w:val="24"/>
        </w:numPr>
        <w:spacing w:after="200" w:line="276" w:lineRule="auto"/>
        <w:rPr>
          <w:b/>
        </w:rPr>
      </w:pPr>
      <w:r w:rsidRPr="00F44898">
        <w:t xml:space="preserve">What other datasets should be designated in the energy sector to support use cases not identified in this document? </w:t>
      </w:r>
    </w:p>
    <w:p w14:paraId="1624C69C" w14:textId="0D92CBD1" w:rsidR="00803F69" w:rsidRPr="004C36C8" w:rsidRDefault="00803F69" w:rsidP="00803F69">
      <w:pPr>
        <w:pStyle w:val="Heading1"/>
      </w:pPr>
      <w:bookmarkStart w:id="6" w:name="_Toc9511721"/>
      <w:r w:rsidRPr="004C36C8">
        <w:t>Priority datasets</w:t>
      </w:r>
      <w:bookmarkEnd w:id="6"/>
    </w:p>
    <w:p w14:paraId="1BE402AD" w14:textId="77777777" w:rsidR="00803F69" w:rsidRDefault="00803F69" w:rsidP="00803F69">
      <w:r>
        <w:t>The priority datasets that Treasury proposes should be designated are categorised under six headings:</w:t>
      </w:r>
    </w:p>
    <w:p w14:paraId="15475C93" w14:textId="784DD718" w:rsidR="00803F69" w:rsidRDefault="00803F69" w:rsidP="002F1DA5">
      <w:pPr>
        <w:pStyle w:val="OutlineNumbered1"/>
        <w:numPr>
          <w:ilvl w:val="0"/>
          <w:numId w:val="23"/>
        </w:numPr>
        <w:tabs>
          <w:tab w:val="clear" w:pos="520"/>
        </w:tabs>
        <w:spacing w:afterLines="60" w:after="144" w:line="276" w:lineRule="auto"/>
        <w:ind w:left="284" w:hanging="284"/>
      </w:pPr>
      <w:r>
        <w:lastRenderedPageBreak/>
        <w:t>National Metering Identifier standing data fields</w:t>
      </w:r>
    </w:p>
    <w:p w14:paraId="6DB72FF1" w14:textId="7C4E08E5" w:rsidR="00803F69" w:rsidRDefault="005E28D5" w:rsidP="002F1DA5">
      <w:pPr>
        <w:pStyle w:val="OutlineNumbered1"/>
        <w:numPr>
          <w:ilvl w:val="0"/>
          <w:numId w:val="23"/>
        </w:numPr>
        <w:tabs>
          <w:tab w:val="clear" w:pos="520"/>
        </w:tabs>
        <w:spacing w:afterLines="60" w:after="144" w:line="276" w:lineRule="auto"/>
        <w:ind w:left="284" w:hanging="284"/>
      </w:pPr>
      <w:r>
        <w:t>Metering data</w:t>
      </w:r>
    </w:p>
    <w:p w14:paraId="27B727C3" w14:textId="1160C41F" w:rsidR="00803F69" w:rsidRDefault="005E28D5" w:rsidP="002F1DA5">
      <w:pPr>
        <w:pStyle w:val="OutlineNumbered1"/>
        <w:numPr>
          <w:ilvl w:val="0"/>
          <w:numId w:val="23"/>
        </w:numPr>
        <w:tabs>
          <w:tab w:val="clear" w:pos="520"/>
        </w:tabs>
        <w:spacing w:afterLines="60" w:after="144" w:line="276" w:lineRule="auto"/>
        <w:ind w:left="284" w:hanging="284"/>
      </w:pPr>
      <w:r>
        <w:t>Customer provided data</w:t>
      </w:r>
    </w:p>
    <w:p w14:paraId="387D3D61" w14:textId="4AD63B84" w:rsidR="00803F69" w:rsidRDefault="005E28D5" w:rsidP="002F1DA5">
      <w:pPr>
        <w:pStyle w:val="OutlineNumbered1"/>
        <w:numPr>
          <w:ilvl w:val="0"/>
          <w:numId w:val="23"/>
        </w:numPr>
        <w:tabs>
          <w:tab w:val="clear" w:pos="520"/>
        </w:tabs>
        <w:spacing w:afterLines="60" w:after="144" w:line="276" w:lineRule="auto"/>
        <w:ind w:left="284" w:hanging="284"/>
      </w:pPr>
      <w:r>
        <w:t>Billing data</w:t>
      </w:r>
    </w:p>
    <w:p w14:paraId="37A88E67" w14:textId="24F64BFA" w:rsidR="00803F69" w:rsidRDefault="005E28D5" w:rsidP="002F1DA5">
      <w:pPr>
        <w:pStyle w:val="OutlineNumbered1"/>
        <w:numPr>
          <w:ilvl w:val="0"/>
          <w:numId w:val="23"/>
        </w:numPr>
        <w:tabs>
          <w:tab w:val="clear" w:pos="520"/>
        </w:tabs>
        <w:spacing w:afterLines="60" w:after="144" w:line="276" w:lineRule="auto"/>
        <w:ind w:left="284" w:hanging="284"/>
      </w:pPr>
      <w:r>
        <w:t>Retail product data</w:t>
      </w:r>
    </w:p>
    <w:p w14:paraId="586BC8ED" w14:textId="17CD8EC3" w:rsidR="00803F69" w:rsidRDefault="00803F69" w:rsidP="002F1DA5">
      <w:pPr>
        <w:pStyle w:val="OutlineNumbered1"/>
        <w:numPr>
          <w:ilvl w:val="0"/>
          <w:numId w:val="23"/>
        </w:numPr>
        <w:tabs>
          <w:tab w:val="clear" w:pos="520"/>
        </w:tabs>
        <w:spacing w:afterLines="60" w:after="144" w:line="276" w:lineRule="auto"/>
        <w:ind w:left="284" w:hanging="284"/>
      </w:pPr>
      <w:r w:rsidRPr="002F1DA5">
        <w:t>Distributed Energy Resource register data</w:t>
      </w:r>
    </w:p>
    <w:p w14:paraId="3A081F30" w14:textId="5426D5A1" w:rsidR="00803F69" w:rsidRPr="008F7640" w:rsidRDefault="00803F69" w:rsidP="00803F69">
      <w:pPr>
        <w:pStyle w:val="Heading2"/>
      </w:pPr>
      <w:bookmarkStart w:id="7" w:name="_Toc525911937"/>
      <w:bookmarkStart w:id="8" w:name="_Toc9511722"/>
      <w:r>
        <w:t>National Metering Identifier</w:t>
      </w:r>
      <w:r w:rsidRPr="004C36C8">
        <w:t xml:space="preserve"> </w:t>
      </w:r>
      <w:r>
        <w:t xml:space="preserve">(NMI) </w:t>
      </w:r>
      <w:r w:rsidRPr="004C36C8">
        <w:t>standing data fields</w:t>
      </w:r>
      <w:bookmarkEnd w:id="7"/>
      <w:bookmarkEnd w:id="8"/>
      <w:r w:rsidRPr="004C36C8">
        <w:t xml:space="preserve"> </w:t>
      </w:r>
    </w:p>
    <w:p w14:paraId="64A14E46" w14:textId="3A679090" w:rsidR="00803F69" w:rsidRPr="0063696C" w:rsidRDefault="00803F69" w:rsidP="00803F69">
      <w:r w:rsidRPr="0063696C">
        <w:t>Treasury proposes</w:t>
      </w:r>
      <w:r>
        <w:t xml:space="preserve"> that</w:t>
      </w:r>
      <w:r w:rsidRPr="0063696C">
        <w:t xml:space="preserve"> fields returned under a NMI Discovery Search 2 of CATS Standing Data</w:t>
      </w:r>
      <w:r>
        <w:t xml:space="preserve"> should</w:t>
      </w:r>
      <w:r w:rsidRPr="0063696C">
        <w:t xml:space="preserve"> be subject to </w:t>
      </w:r>
      <w:r w:rsidR="00624B2B">
        <w:t>designation</w:t>
      </w:r>
      <w:r w:rsidRPr="0063696C">
        <w:t xml:space="preserve"> as a priority dataset</w:t>
      </w:r>
      <w:r w:rsidRPr="0063696C">
        <w:rPr>
          <w:rStyle w:val="FootnoteReference"/>
        </w:rPr>
        <w:footnoteReference w:id="2"/>
      </w:r>
      <w:r w:rsidR="00624B2B">
        <w:t xml:space="preserve">, as they allow consumer </w:t>
      </w:r>
      <w:r w:rsidRPr="0063696C">
        <w:t xml:space="preserve">usage data </w:t>
      </w:r>
      <w:r w:rsidR="00624B2B">
        <w:t xml:space="preserve">to be contextualised </w:t>
      </w:r>
      <w:r w:rsidRPr="0063696C">
        <w:t>and provid</w:t>
      </w:r>
      <w:r w:rsidR="00624B2B">
        <w:t>e</w:t>
      </w:r>
      <w:r w:rsidRPr="0063696C">
        <w:t xml:space="preserve"> detail </w:t>
      </w:r>
      <w:r w:rsidR="00624B2B">
        <w:t xml:space="preserve">on </w:t>
      </w:r>
      <w:r w:rsidRPr="0063696C">
        <w:t xml:space="preserve">the static features of their connection point. </w:t>
      </w:r>
    </w:p>
    <w:p w14:paraId="56A79883" w14:textId="6425D9CF" w:rsidR="00AA26C6" w:rsidRDefault="00624B2B" w:rsidP="00803F69">
      <w:pPr>
        <w:spacing w:after="60"/>
      </w:pPr>
      <w:r>
        <w:t xml:space="preserve">We </w:t>
      </w:r>
      <w:r w:rsidR="00803F69">
        <w:t xml:space="preserve">understand that </w:t>
      </w:r>
      <w:r w:rsidR="00803F69" w:rsidRPr="00027205">
        <w:t xml:space="preserve">AEMO is </w:t>
      </w:r>
      <w:r w:rsidR="00803F69">
        <w:t xml:space="preserve">undertaking </w:t>
      </w:r>
      <w:r w:rsidR="00803F69" w:rsidRPr="00027205">
        <w:t xml:space="preserve">a broader review of NMI standing data </w:t>
      </w:r>
      <w:r>
        <w:t xml:space="preserve">and that </w:t>
      </w:r>
      <w:r w:rsidRPr="00027205">
        <w:t>implementation</w:t>
      </w:r>
      <w:r w:rsidR="00803F69" w:rsidRPr="00027205">
        <w:t xml:space="preserve"> of </w:t>
      </w:r>
      <w:r>
        <w:t xml:space="preserve">recommended </w:t>
      </w:r>
      <w:r w:rsidR="00803F69" w:rsidRPr="00027205">
        <w:t xml:space="preserve">changes </w:t>
      </w:r>
      <w:r w:rsidR="00AA26C6">
        <w:t>are</w:t>
      </w:r>
      <w:r>
        <w:t xml:space="preserve"> expected in </w:t>
      </w:r>
      <w:r w:rsidR="00803F69" w:rsidRPr="00027205">
        <w:t xml:space="preserve">late 2019. </w:t>
      </w:r>
    </w:p>
    <w:p w14:paraId="1B44CB78" w14:textId="3148F339" w:rsidR="00803F69" w:rsidRPr="0063696C" w:rsidRDefault="00803F69" w:rsidP="00803F69">
      <w:pPr>
        <w:spacing w:after="60"/>
      </w:pPr>
      <w:r w:rsidRPr="0063696C">
        <w:t xml:space="preserve">At a minimum, fields that are of value to consumers in understanding and managing their energy use </w:t>
      </w:r>
      <w:r>
        <w:t>include</w:t>
      </w:r>
      <w:r w:rsidRPr="0063696C">
        <w:t>:</w:t>
      </w:r>
    </w:p>
    <w:p w14:paraId="393E6D9F" w14:textId="77777777" w:rsidR="00803F69" w:rsidRPr="00557C89" w:rsidRDefault="00803F69" w:rsidP="00803F69">
      <w:pPr>
        <w:pStyle w:val="Bullet"/>
        <w:numPr>
          <w:ilvl w:val="0"/>
          <w:numId w:val="22"/>
        </w:numPr>
        <w:tabs>
          <w:tab w:val="clear" w:pos="520"/>
        </w:tabs>
        <w:spacing w:after="60" w:line="276" w:lineRule="auto"/>
        <w:ind w:left="284" w:hanging="284"/>
        <w:rPr>
          <w:i/>
        </w:rPr>
      </w:pPr>
      <w:r w:rsidRPr="00557C89">
        <w:rPr>
          <w:i/>
        </w:rPr>
        <w:t>Average Daily Load (ADL)</w:t>
      </w:r>
    </w:p>
    <w:p w14:paraId="2B003AFD" w14:textId="77777777" w:rsidR="00803F69" w:rsidRPr="0063696C" w:rsidRDefault="00803F69" w:rsidP="00803F69">
      <w:pPr>
        <w:pStyle w:val="Bullet"/>
        <w:numPr>
          <w:ilvl w:val="0"/>
          <w:numId w:val="0"/>
        </w:numPr>
        <w:spacing w:after="60"/>
        <w:ind w:left="284"/>
      </w:pPr>
      <w:r>
        <w:t xml:space="preserve">A customer’s average daily consumption (in kWhs) allows for more accurate billing in the event a meter malfunctions/fails and is not replaced for a period of time. </w:t>
      </w:r>
    </w:p>
    <w:p w14:paraId="42E3C7AA" w14:textId="77777777" w:rsidR="00803F69" w:rsidRPr="00557C89" w:rsidRDefault="00803F69" w:rsidP="00803F69">
      <w:pPr>
        <w:pStyle w:val="Bullet"/>
        <w:numPr>
          <w:ilvl w:val="0"/>
          <w:numId w:val="22"/>
        </w:numPr>
        <w:tabs>
          <w:tab w:val="clear" w:pos="520"/>
        </w:tabs>
        <w:spacing w:after="60" w:line="276" w:lineRule="auto"/>
        <w:ind w:left="284" w:hanging="284"/>
        <w:rPr>
          <w:i/>
        </w:rPr>
      </w:pPr>
      <w:r w:rsidRPr="00557C89">
        <w:rPr>
          <w:i/>
        </w:rPr>
        <w:t>Network Tariff Code</w:t>
      </w:r>
    </w:p>
    <w:p w14:paraId="376F90BC" w14:textId="77777777" w:rsidR="00803F69" w:rsidRDefault="00803F69" w:rsidP="00803F69">
      <w:pPr>
        <w:pStyle w:val="Bullet"/>
        <w:numPr>
          <w:ilvl w:val="0"/>
          <w:numId w:val="0"/>
        </w:numPr>
        <w:spacing w:after="60"/>
        <w:ind w:left="284"/>
      </w:pPr>
      <w:r>
        <w:t>This field enables the accurate billing of customers by allowing them to determine their network tariff, and facilitates engagement on applicable tariff changes.</w:t>
      </w:r>
    </w:p>
    <w:p w14:paraId="4E105D2E" w14:textId="77777777" w:rsidR="00803F69" w:rsidRPr="00557C89" w:rsidRDefault="00803F69" w:rsidP="00803F69">
      <w:pPr>
        <w:pStyle w:val="Bullet"/>
        <w:numPr>
          <w:ilvl w:val="0"/>
          <w:numId w:val="22"/>
        </w:numPr>
        <w:tabs>
          <w:tab w:val="clear" w:pos="520"/>
        </w:tabs>
        <w:spacing w:after="60" w:line="276" w:lineRule="auto"/>
        <w:ind w:left="284" w:hanging="284"/>
        <w:rPr>
          <w:i/>
        </w:rPr>
      </w:pPr>
      <w:r>
        <w:rPr>
          <w:i/>
        </w:rPr>
        <w:t>P</w:t>
      </w:r>
      <w:r w:rsidRPr="00557C89">
        <w:rPr>
          <w:i/>
        </w:rPr>
        <w:t xml:space="preserve">resence of a </w:t>
      </w:r>
      <w:r>
        <w:rPr>
          <w:i/>
        </w:rPr>
        <w:t>c</w:t>
      </w:r>
      <w:r w:rsidRPr="00557C89">
        <w:rPr>
          <w:i/>
        </w:rPr>
        <w:t xml:space="preserve">ontrolled </w:t>
      </w:r>
      <w:r>
        <w:rPr>
          <w:i/>
        </w:rPr>
        <w:t>l</w:t>
      </w:r>
      <w:r w:rsidRPr="00557C89">
        <w:rPr>
          <w:i/>
        </w:rPr>
        <w:t>oad</w:t>
      </w:r>
    </w:p>
    <w:p w14:paraId="64D3823A" w14:textId="60B855EE" w:rsidR="00803F69" w:rsidRDefault="00803F69" w:rsidP="00803F69">
      <w:pPr>
        <w:pStyle w:val="Bullet"/>
        <w:numPr>
          <w:ilvl w:val="0"/>
          <w:numId w:val="0"/>
        </w:numPr>
        <w:spacing w:after="60"/>
        <w:ind w:left="284"/>
      </w:pPr>
      <w:r>
        <w:t>This field allows for accurate customer billing as controlled loads (e.g. electric hot water systems, under floor heating) are often separately metered and subject to off-peak tariffs (usually overnight) that are lower than those during the rest of the day.</w:t>
      </w:r>
    </w:p>
    <w:p w14:paraId="2137E714" w14:textId="77777777" w:rsidR="00803F69" w:rsidRPr="00557C89" w:rsidRDefault="00803F69" w:rsidP="00803F69">
      <w:pPr>
        <w:pStyle w:val="Bullet"/>
        <w:numPr>
          <w:ilvl w:val="0"/>
          <w:numId w:val="22"/>
        </w:numPr>
        <w:tabs>
          <w:tab w:val="clear" w:pos="520"/>
        </w:tabs>
        <w:spacing w:after="60" w:line="276" w:lineRule="auto"/>
        <w:ind w:left="284" w:hanging="284"/>
        <w:rPr>
          <w:i/>
        </w:rPr>
      </w:pPr>
      <w:r>
        <w:rPr>
          <w:i/>
        </w:rPr>
        <w:t>M</w:t>
      </w:r>
      <w:r w:rsidRPr="00557C89">
        <w:rPr>
          <w:i/>
        </w:rPr>
        <w:t>etering installation type</w:t>
      </w:r>
    </w:p>
    <w:p w14:paraId="78A8B557" w14:textId="1583062D" w:rsidR="00803F69" w:rsidRDefault="00803F69" w:rsidP="00803F69">
      <w:pPr>
        <w:pStyle w:val="Bullet"/>
        <w:numPr>
          <w:ilvl w:val="0"/>
          <w:numId w:val="0"/>
        </w:numPr>
        <w:tabs>
          <w:tab w:val="left" w:pos="3885"/>
        </w:tabs>
        <w:ind w:left="284"/>
      </w:pPr>
      <w:r>
        <w:t>This field allows for the identification of the network tariff code that applies to a customer, and whether the customer’s meter is an accumulation meter or a smart/interval meter.</w:t>
      </w:r>
    </w:p>
    <w:p w14:paraId="7B41CAF4" w14:textId="72FFCE35" w:rsidR="00803F69" w:rsidRPr="0063696C" w:rsidRDefault="00803F69" w:rsidP="00803F69">
      <w:pPr>
        <w:pStyle w:val="Bullet"/>
        <w:numPr>
          <w:ilvl w:val="0"/>
          <w:numId w:val="0"/>
        </w:numPr>
      </w:pPr>
      <w:r w:rsidRPr="0063696C">
        <w:t xml:space="preserve">The initial view is that there is little value in all NMI fields being subject to the CDR, </w:t>
      </w:r>
      <w:r w:rsidR="00AA26C6">
        <w:t>and</w:t>
      </w:r>
      <w:r w:rsidRPr="0063696C" w:rsidDel="00AA26C6">
        <w:t xml:space="preserve"> </w:t>
      </w:r>
      <w:r>
        <w:t xml:space="preserve">there are a number of NMI standing fields which are not mandatorily populated and are often left blank. </w:t>
      </w:r>
      <w:r w:rsidR="00AA26C6">
        <w:t>Some</w:t>
      </w:r>
      <w:r>
        <w:t xml:space="preserve"> NMI standing data is used for market operations, and is of generally limited use for customers.</w:t>
      </w:r>
    </w:p>
    <w:p w14:paraId="2613F8B0" w14:textId="77777777" w:rsidR="00803F69" w:rsidRPr="00326C48" w:rsidRDefault="00803F69" w:rsidP="00803F69">
      <w:pPr>
        <w:rPr>
          <w:b/>
        </w:rPr>
      </w:pPr>
      <w:r w:rsidRPr="00326C48">
        <w:rPr>
          <w:b/>
        </w:rPr>
        <w:t xml:space="preserve">Question </w:t>
      </w:r>
      <w:r w:rsidRPr="002F1DA5">
        <w:rPr>
          <w:b/>
        </w:rPr>
        <w:t>1</w:t>
      </w:r>
      <w:r w:rsidRPr="00326C48">
        <w:rPr>
          <w:b/>
        </w:rPr>
        <w:t xml:space="preserve">: </w:t>
      </w:r>
      <w:r>
        <w:rPr>
          <w:b/>
        </w:rPr>
        <w:t>What other NMI datasets should be designated to support basic comparison and switching use cases</w:t>
      </w:r>
      <w:r w:rsidRPr="00326C48">
        <w:rPr>
          <w:b/>
        </w:rPr>
        <w:t>?</w:t>
      </w:r>
    </w:p>
    <w:p w14:paraId="67385020" w14:textId="3EB25A84" w:rsidR="00803F69" w:rsidRDefault="00803F69" w:rsidP="00803F69">
      <w:pPr>
        <w:rPr>
          <w:b/>
        </w:rPr>
      </w:pPr>
      <w:r w:rsidRPr="002F1DA5">
        <w:rPr>
          <w:b/>
        </w:rPr>
        <w:t>Question 2:</w:t>
      </w:r>
      <w:r w:rsidRPr="00326C48">
        <w:rPr>
          <w:b/>
        </w:rPr>
        <w:t xml:space="preserve"> </w:t>
      </w:r>
      <w:r>
        <w:rPr>
          <w:b/>
        </w:rPr>
        <w:t xml:space="preserve">What advanced use </w:t>
      </w:r>
      <w:r w:rsidRPr="00326C48">
        <w:rPr>
          <w:b/>
        </w:rPr>
        <w:t>case</w:t>
      </w:r>
      <w:r>
        <w:rPr>
          <w:b/>
        </w:rPr>
        <w:t>s</w:t>
      </w:r>
      <w:r w:rsidRPr="00326C48">
        <w:rPr>
          <w:b/>
        </w:rPr>
        <w:t xml:space="preserve"> </w:t>
      </w:r>
      <w:r>
        <w:rPr>
          <w:b/>
        </w:rPr>
        <w:t xml:space="preserve">could be supported by additional </w:t>
      </w:r>
      <w:r w:rsidRPr="00326C48">
        <w:rPr>
          <w:b/>
        </w:rPr>
        <w:t xml:space="preserve">NMI </w:t>
      </w:r>
      <w:r w:rsidR="00C71B55">
        <w:rPr>
          <w:b/>
        </w:rPr>
        <w:t>s</w:t>
      </w:r>
      <w:r w:rsidR="00C71B55" w:rsidRPr="00326C48">
        <w:rPr>
          <w:b/>
        </w:rPr>
        <w:t xml:space="preserve">tanding </w:t>
      </w:r>
      <w:r w:rsidR="00C71B55">
        <w:rPr>
          <w:b/>
        </w:rPr>
        <w:t>d</w:t>
      </w:r>
      <w:r w:rsidR="00C71B55" w:rsidRPr="00326C48">
        <w:rPr>
          <w:b/>
        </w:rPr>
        <w:t xml:space="preserve">ata </w:t>
      </w:r>
      <w:r w:rsidRPr="00326C48">
        <w:rPr>
          <w:b/>
        </w:rPr>
        <w:t>fields</w:t>
      </w:r>
      <w:r>
        <w:rPr>
          <w:b/>
        </w:rPr>
        <w:t xml:space="preserve">, and what </w:t>
      </w:r>
      <w:r w:rsidR="00C71B55">
        <w:rPr>
          <w:b/>
        </w:rPr>
        <w:t>fields are these</w:t>
      </w:r>
      <w:r w:rsidRPr="00326C48">
        <w:rPr>
          <w:b/>
        </w:rPr>
        <w:t>?</w:t>
      </w:r>
    </w:p>
    <w:p w14:paraId="7666D3CF" w14:textId="77777777" w:rsidR="00803F69" w:rsidRPr="0063696C" w:rsidRDefault="00803F69" w:rsidP="00803F69">
      <w:pPr>
        <w:pStyle w:val="Heading2"/>
      </w:pPr>
      <w:bookmarkStart w:id="9" w:name="_Toc525911938"/>
      <w:bookmarkStart w:id="10" w:name="_Toc9511723"/>
      <w:r w:rsidRPr="0063696C">
        <w:t>Metering data</w:t>
      </w:r>
      <w:bookmarkEnd w:id="9"/>
      <w:bookmarkEnd w:id="10"/>
    </w:p>
    <w:p w14:paraId="61D89386" w14:textId="5B475298" w:rsidR="00803F69" w:rsidRDefault="00803F69" w:rsidP="00803F69">
      <w:r w:rsidRPr="0063696C">
        <w:t>Treasury proposes that the designation instrument should cover data from all meter types, including smart meter</w:t>
      </w:r>
      <w:r>
        <w:t>s</w:t>
      </w:r>
      <w:r w:rsidRPr="0063696C">
        <w:t xml:space="preserve"> </w:t>
      </w:r>
      <w:r>
        <w:t>that have</w:t>
      </w:r>
      <w:r w:rsidRPr="0063696C">
        <w:t xml:space="preserve"> remote communication capability.</w:t>
      </w:r>
    </w:p>
    <w:p w14:paraId="4CA0681A" w14:textId="64FBAA6C" w:rsidR="00803F69" w:rsidRDefault="00803F69" w:rsidP="00803F69">
      <w:r>
        <w:t>Treasury understands that m</w:t>
      </w:r>
      <w:r w:rsidRPr="0063696C">
        <w:t xml:space="preserve">etering data is provided by Metering Data Providers to </w:t>
      </w:r>
      <w:r>
        <w:t>the Financially Responsible Market Participant (FRMP) – such as the retailer, and network service provider for</w:t>
      </w:r>
      <w:r w:rsidRPr="0063696C">
        <w:t xml:space="preserve"> </w:t>
      </w:r>
      <w:r>
        <w:t xml:space="preserve">each </w:t>
      </w:r>
      <w:r w:rsidRPr="0063696C">
        <w:t>connection point. This data is provided in a rich Meter Data File Format</w:t>
      </w:r>
      <w:r>
        <w:t>, which includes all</w:t>
      </w:r>
      <w:r w:rsidR="000A7010">
        <w:t xml:space="preserve"> </w:t>
      </w:r>
      <w:r>
        <w:t>register-level data streams</w:t>
      </w:r>
      <w:r w:rsidRPr="0063696C">
        <w:t>.</w:t>
      </w:r>
    </w:p>
    <w:p w14:paraId="40C680EA" w14:textId="5A38667C" w:rsidR="00803F69" w:rsidRDefault="00803F69" w:rsidP="00803F69">
      <w:r>
        <w:t xml:space="preserve">Currently, </w:t>
      </w:r>
      <w:r w:rsidRPr="0063696C">
        <w:t xml:space="preserve">AEMO receives metering data in aggregated net format for connection points </w:t>
      </w:r>
      <w:r>
        <w:t xml:space="preserve">that </w:t>
      </w:r>
      <w:r w:rsidRPr="0063696C">
        <w:t>are not serviced by the local retailer</w:t>
      </w:r>
      <w:r>
        <w:t xml:space="preserve"> to perform the function of wholesale market settlement</w:t>
      </w:r>
      <w:r w:rsidR="0008334B">
        <w:t>, as this is what</w:t>
      </w:r>
      <w:r w:rsidR="0008334B" w:rsidDel="00624B2B">
        <w:t xml:space="preserve"> </w:t>
      </w:r>
      <w:r w:rsidR="0008334B">
        <w:t xml:space="preserve">AEMO </w:t>
      </w:r>
      <w:r w:rsidR="00624B2B">
        <w:t xml:space="preserve">needs </w:t>
      </w:r>
      <w:r w:rsidR="0008334B">
        <w:t xml:space="preserve">to </w:t>
      </w:r>
      <w:r w:rsidR="00624B2B">
        <w:t xml:space="preserve">meet its </w:t>
      </w:r>
      <w:r w:rsidR="0008334B">
        <w:t>wholesale market settlement</w:t>
      </w:r>
      <w:r w:rsidR="00624B2B">
        <w:t xml:space="preserve"> obligations</w:t>
      </w:r>
      <w:r w:rsidR="00E167DD">
        <w:t xml:space="preserve"> at present</w:t>
      </w:r>
      <w:r>
        <w:t xml:space="preserve">. </w:t>
      </w:r>
      <w:r w:rsidR="00C71B55">
        <w:t>T</w:t>
      </w:r>
      <w:r w:rsidR="00EB3E91">
        <w:t>he</w:t>
      </w:r>
      <w:r>
        <w:t xml:space="preserve"> AEMC’s global settlements (December 2018) rule change</w:t>
      </w:r>
      <w:r w:rsidR="00EB3E91">
        <w:t xml:space="preserve"> will mean that </w:t>
      </w:r>
      <w:r>
        <w:t>AEMO will receive register-level metering data for all connection points in the NEM</w:t>
      </w:r>
      <w:r w:rsidR="00EB3E91">
        <w:t>. T</w:t>
      </w:r>
      <w:r>
        <w:t>his</w:t>
      </w:r>
      <w:r w:rsidDel="00B6441F">
        <w:t xml:space="preserve"> </w:t>
      </w:r>
      <w:r w:rsidR="00B6441F">
        <w:t xml:space="preserve">is expected to </w:t>
      </w:r>
      <w:r>
        <w:t xml:space="preserve">occur before the </w:t>
      </w:r>
      <w:r w:rsidR="00B6441F">
        <w:t xml:space="preserve">likely </w:t>
      </w:r>
      <w:r>
        <w:t>commencement of the energy sector</w:t>
      </w:r>
      <w:r w:rsidR="00B6441F">
        <w:t xml:space="preserve"> CDR</w:t>
      </w:r>
      <w:r w:rsidRPr="0063696C">
        <w:t>.</w:t>
      </w:r>
    </w:p>
    <w:p w14:paraId="1A4C7830" w14:textId="659FF4D1" w:rsidR="00803F69" w:rsidRPr="0063696C" w:rsidRDefault="00803F69" w:rsidP="00C81415">
      <w:r w:rsidRPr="0063696C">
        <w:t xml:space="preserve">NEM </w:t>
      </w:r>
      <w:r>
        <w:t>customers</w:t>
      </w:r>
      <w:r w:rsidR="00EB3E91">
        <w:t>’</w:t>
      </w:r>
      <w:r>
        <w:t xml:space="preserve"> </w:t>
      </w:r>
      <w:r w:rsidR="00EB3E91">
        <w:t xml:space="preserve">consumption is recorded by </w:t>
      </w:r>
      <w:r w:rsidRPr="0063696C">
        <w:t>one of the following meter</w:t>
      </w:r>
      <w:r w:rsidR="00EB3E91">
        <w:t xml:space="preserve"> types</w:t>
      </w:r>
      <w:r w:rsidRPr="0063696C">
        <w:t>:</w:t>
      </w:r>
    </w:p>
    <w:p w14:paraId="02AB817D" w14:textId="77777777" w:rsidR="00803F69" w:rsidRPr="0063696C" w:rsidRDefault="00803F69" w:rsidP="0050158D">
      <w:pPr>
        <w:pStyle w:val="Bullet"/>
        <w:numPr>
          <w:ilvl w:val="0"/>
          <w:numId w:val="22"/>
        </w:numPr>
      </w:pPr>
      <w:r w:rsidRPr="0063696C">
        <w:t xml:space="preserve">Type 1-3 meters </w:t>
      </w:r>
      <w:r>
        <w:t>–</w:t>
      </w:r>
      <w:r w:rsidRPr="0063696C">
        <w:t xml:space="preserve"> provide remotely read interval data for larger customers in the NEM, generally commercial and industrial customers</w:t>
      </w:r>
      <w:r>
        <w:t>.</w:t>
      </w:r>
    </w:p>
    <w:p w14:paraId="089346CB" w14:textId="77777777" w:rsidR="00803F69" w:rsidRDefault="00803F69" w:rsidP="0050158D">
      <w:pPr>
        <w:pStyle w:val="Bullet"/>
        <w:numPr>
          <w:ilvl w:val="0"/>
          <w:numId w:val="22"/>
        </w:numPr>
      </w:pPr>
      <w:r w:rsidRPr="0063696C">
        <w:t>Type 4/4A meters – provide interval data</w:t>
      </w:r>
      <w:r>
        <w:t>, which can be remotely read (Type 4)</w:t>
      </w:r>
      <w:r w:rsidRPr="0063696C">
        <w:t xml:space="preserve">. New and replacement meters in the NEM for small customers must be </w:t>
      </w:r>
      <w:r>
        <w:t>T</w:t>
      </w:r>
      <w:r w:rsidRPr="0063696C">
        <w:t xml:space="preserve">ype 4 unless a customer refuses </w:t>
      </w:r>
      <w:r>
        <w:t xml:space="preserve">or cannot access </w:t>
      </w:r>
      <w:r w:rsidRPr="0063696C">
        <w:t>remote communications capability</w:t>
      </w:r>
      <w:r>
        <w:t xml:space="preserve"> (Type 4A)</w:t>
      </w:r>
      <w:r w:rsidRPr="0063696C">
        <w:t>.</w:t>
      </w:r>
    </w:p>
    <w:p w14:paraId="150F9DF0" w14:textId="77777777" w:rsidR="00803F69" w:rsidRDefault="00803F69" w:rsidP="0050158D">
      <w:pPr>
        <w:pStyle w:val="Bullet"/>
        <w:numPr>
          <w:ilvl w:val="0"/>
          <w:numId w:val="22"/>
        </w:numPr>
      </w:pPr>
      <w:r w:rsidRPr="0063696C">
        <w:t>Type 5 meters – provide (manually read) interval data without remote communications capability.</w:t>
      </w:r>
      <w:r>
        <w:t xml:space="preserve"> In Victoria, certain remotely read meters are designated as Type 5 meters (under Victoria’s AMI Order in Council).</w:t>
      </w:r>
    </w:p>
    <w:p w14:paraId="132AAF89" w14:textId="77777777" w:rsidR="00803F69" w:rsidRDefault="00803F69" w:rsidP="0050158D">
      <w:pPr>
        <w:pStyle w:val="Bullet"/>
        <w:numPr>
          <w:ilvl w:val="0"/>
          <w:numId w:val="22"/>
        </w:numPr>
        <w:ind w:left="522" w:hanging="522"/>
      </w:pPr>
      <w:r w:rsidRPr="0063696C">
        <w:t>Type 6 meters – provide (manually read) accumulation data.</w:t>
      </w:r>
    </w:p>
    <w:p w14:paraId="190FD0B9" w14:textId="420C3D3B" w:rsidR="004743DE" w:rsidRDefault="004743DE" w:rsidP="004743DE">
      <w:pPr>
        <w:rPr>
          <w:b/>
        </w:rPr>
      </w:pPr>
      <w:r w:rsidRPr="00B90E46">
        <w:rPr>
          <w:b/>
        </w:rPr>
        <w:t xml:space="preserve">Question </w:t>
      </w:r>
      <w:r w:rsidRPr="002F1DA5">
        <w:rPr>
          <w:b/>
        </w:rPr>
        <w:t>3</w:t>
      </w:r>
      <w:r>
        <w:rPr>
          <w:b/>
        </w:rPr>
        <w:t>:</w:t>
      </w:r>
      <w:r w:rsidRPr="004C36C8">
        <w:rPr>
          <w:b/>
        </w:rPr>
        <w:t xml:space="preserve"> Should the priority datasets </w:t>
      </w:r>
      <w:r>
        <w:rPr>
          <w:b/>
        </w:rPr>
        <w:t xml:space="preserve">designation </w:t>
      </w:r>
      <w:r w:rsidRPr="004C36C8">
        <w:rPr>
          <w:b/>
        </w:rPr>
        <w:t xml:space="preserve">cover all meter types? If not, which datasets should be outside the scope of the initial designation, and why? </w:t>
      </w:r>
    </w:p>
    <w:p w14:paraId="679CDD91" w14:textId="48925B2A" w:rsidR="00803F69" w:rsidRDefault="00EB3E91" w:rsidP="00803F69">
      <w:pPr>
        <w:pStyle w:val="Bullet"/>
        <w:numPr>
          <w:ilvl w:val="0"/>
          <w:numId w:val="0"/>
        </w:numPr>
      </w:pPr>
      <w:r>
        <w:t>We further understand m</w:t>
      </w:r>
      <w:r w:rsidR="00803F69">
        <w:t>eter reading schedules are set to meet NEM operational requirements, including settlement timeframes. Generally remotely read (Type 1</w:t>
      </w:r>
      <w:r w:rsidR="00E45060">
        <w:t xml:space="preserve"> </w:t>
      </w:r>
      <w:r w:rsidR="00803F69">
        <w:t>- 4) meters, are read weekly, but may be read more frequently, as is the case in Victoria. Manually read meters (Types 4A - 6) are read on a quarterly basis.</w:t>
      </w:r>
    </w:p>
    <w:p w14:paraId="52220E8B" w14:textId="2B4E5468" w:rsidR="00EB3E91" w:rsidRDefault="00EB3E91" w:rsidP="00803F69">
      <w:pPr>
        <w:rPr>
          <w:b/>
        </w:rPr>
      </w:pPr>
      <w:r>
        <w:rPr>
          <w:b/>
        </w:rPr>
        <w:t xml:space="preserve">Question 4: </w:t>
      </w:r>
      <w:r w:rsidR="00E45060">
        <w:rPr>
          <w:b/>
        </w:rPr>
        <w:t>What advanced CDR use cases might</w:t>
      </w:r>
      <w:r w:rsidR="00FD1527">
        <w:rPr>
          <w:b/>
        </w:rPr>
        <w:t xml:space="preserve"> </w:t>
      </w:r>
      <w:r w:rsidR="00616E70">
        <w:rPr>
          <w:b/>
        </w:rPr>
        <w:t xml:space="preserve">more frequent </w:t>
      </w:r>
      <w:r w:rsidR="00A655C6">
        <w:rPr>
          <w:b/>
        </w:rPr>
        <w:t>smart or interval meter</w:t>
      </w:r>
      <w:r w:rsidR="00E45060">
        <w:rPr>
          <w:b/>
        </w:rPr>
        <w:t xml:space="preserve"> reads support</w:t>
      </w:r>
      <w:r w:rsidR="00616E70">
        <w:rPr>
          <w:b/>
        </w:rPr>
        <w:t>?</w:t>
      </w:r>
    </w:p>
    <w:p w14:paraId="4E2B4DCD" w14:textId="2CAAA8D4" w:rsidR="00803F69" w:rsidRDefault="00803F69" w:rsidP="00803F69">
      <w:pPr>
        <w:pStyle w:val="Bullet"/>
        <w:numPr>
          <w:ilvl w:val="0"/>
          <w:numId w:val="0"/>
        </w:numPr>
      </w:pPr>
      <w:r>
        <w:t xml:space="preserve">Treasury understands that the minimum functional specifications for smart meters, among other capabilities, require it to record real (watt-hours), reactive energy (Volt-Amp-reactive-hours) loads and both forward and reverse energy flows (i.e. when energy is being drawn from and sent to the grid) at regular intervals. </w:t>
      </w:r>
      <w:r w:rsidR="003D6E75">
        <w:t>It has been suggested that a</w:t>
      </w:r>
      <w:r>
        <w:t xml:space="preserve"> number of innovative use cases could be supported by these data</w:t>
      </w:r>
      <w:r w:rsidR="00A655C6">
        <w:t xml:space="preserve">, </w:t>
      </w:r>
      <w:r w:rsidR="002C025A">
        <w:t>including</w:t>
      </w:r>
      <w:r>
        <w:t xml:space="preserve">: </w:t>
      </w:r>
    </w:p>
    <w:p w14:paraId="6E5493C7" w14:textId="2A1B95C6" w:rsidR="00803F69" w:rsidRDefault="002F1DA5" w:rsidP="0050158D">
      <w:pPr>
        <w:pStyle w:val="Bullet"/>
        <w:numPr>
          <w:ilvl w:val="0"/>
          <w:numId w:val="22"/>
        </w:numPr>
        <w:ind w:left="522" w:hanging="522"/>
      </w:pPr>
      <w:r>
        <w:t>M</w:t>
      </w:r>
      <w:r w:rsidR="00803F69">
        <w:t>onitoring the energy consumption of customers’ household appliances, and the costs and benefits of adopting more energy efficient home appliances;</w:t>
      </w:r>
    </w:p>
    <w:p w14:paraId="3DB61F1F" w14:textId="7F4D8EB7" w:rsidR="00803F69" w:rsidRDefault="002F1DA5" w:rsidP="0050158D">
      <w:pPr>
        <w:pStyle w:val="Bullet"/>
        <w:numPr>
          <w:ilvl w:val="0"/>
          <w:numId w:val="22"/>
        </w:numPr>
        <w:ind w:left="522" w:hanging="522"/>
      </w:pPr>
      <w:r>
        <w:t>H</w:t>
      </w:r>
      <w:r w:rsidR="00803F69">
        <w:t>elping customers evaluate the costs and benefits of adopting integrated solar PV and in-home battery systems to support the accelerated adoption of these technologies; and</w:t>
      </w:r>
    </w:p>
    <w:p w14:paraId="0ED4BC69" w14:textId="04A0D0C6" w:rsidR="00803F69" w:rsidRDefault="002F1DA5" w:rsidP="0050158D">
      <w:pPr>
        <w:pStyle w:val="Bullet"/>
        <w:numPr>
          <w:ilvl w:val="0"/>
          <w:numId w:val="22"/>
        </w:numPr>
        <w:ind w:left="522" w:hanging="522"/>
      </w:pPr>
      <w:r>
        <w:t>S</w:t>
      </w:r>
      <w:r w:rsidR="00803F69">
        <w:t>upporting the development of virtual power grids, by enabling the development of more innovative retail tariffs structures.</w:t>
      </w:r>
    </w:p>
    <w:p w14:paraId="2875E49E" w14:textId="31ADAE63" w:rsidR="004743DE" w:rsidRDefault="00E45060" w:rsidP="0050158D">
      <w:pPr>
        <w:pStyle w:val="Bullet"/>
        <w:numPr>
          <w:ilvl w:val="0"/>
          <w:numId w:val="0"/>
        </w:numPr>
      </w:pPr>
      <w:r>
        <w:t xml:space="preserve">Equally, information recorded by some </w:t>
      </w:r>
      <w:r w:rsidR="004743DE">
        <w:t xml:space="preserve">advanced meters (including Type 4 smart meters) may lead to potentially sensitive patterns of consumption and behaviour being identified on individual households. </w:t>
      </w:r>
      <w:r w:rsidR="00FF58E3">
        <w:t xml:space="preserve">The leakage of these datasets may present </w:t>
      </w:r>
      <w:r>
        <w:t xml:space="preserve">privacy </w:t>
      </w:r>
      <w:r w:rsidR="00FF58E3">
        <w:t>risks that some households may not be willing to bear.</w:t>
      </w:r>
    </w:p>
    <w:p w14:paraId="124CBAF3" w14:textId="1D9C27B9" w:rsidR="00803F69" w:rsidRDefault="00803F69" w:rsidP="00803F69">
      <w:pPr>
        <w:rPr>
          <w:b/>
        </w:rPr>
      </w:pPr>
      <w:r w:rsidRPr="0063696C">
        <w:rPr>
          <w:b/>
        </w:rPr>
        <w:t xml:space="preserve">Question </w:t>
      </w:r>
      <w:r w:rsidR="00241CD6" w:rsidDel="007629F9">
        <w:rPr>
          <w:b/>
        </w:rPr>
        <w:t>5</w:t>
      </w:r>
      <w:r w:rsidRPr="00557C89">
        <w:rPr>
          <w:b/>
        </w:rPr>
        <w:t>:</w:t>
      </w:r>
      <w:r w:rsidRPr="0063696C">
        <w:rPr>
          <w:b/>
        </w:rPr>
        <w:t xml:space="preserve"> </w:t>
      </w:r>
      <w:r>
        <w:rPr>
          <w:b/>
        </w:rPr>
        <w:t>Would the proposed data sets support the use cases identified above? What other use cases could smart meter data support</w:t>
      </w:r>
      <w:r w:rsidR="007629F9">
        <w:rPr>
          <w:b/>
        </w:rPr>
        <w:t xml:space="preserve"> and what specific datasets would be required?</w:t>
      </w:r>
    </w:p>
    <w:p w14:paraId="24ACB599" w14:textId="056CE768" w:rsidR="00803F69" w:rsidRDefault="00803F69" w:rsidP="00803F69">
      <w:pPr>
        <w:rPr>
          <w:b/>
        </w:rPr>
      </w:pPr>
      <w:r>
        <w:rPr>
          <w:b/>
        </w:rPr>
        <w:t xml:space="preserve">Question </w:t>
      </w:r>
      <w:r w:rsidR="00241CD6" w:rsidDel="007629F9">
        <w:rPr>
          <w:b/>
        </w:rPr>
        <w:t>6</w:t>
      </w:r>
      <w:r>
        <w:rPr>
          <w:b/>
        </w:rPr>
        <w:t xml:space="preserve">: </w:t>
      </w:r>
      <w:r w:rsidR="00FF58E3">
        <w:rPr>
          <w:b/>
        </w:rPr>
        <w:t xml:space="preserve">How can </w:t>
      </w:r>
      <w:r w:rsidR="004743DE">
        <w:rPr>
          <w:b/>
        </w:rPr>
        <w:t xml:space="preserve">the </w:t>
      </w:r>
      <w:r w:rsidR="00FF58E3">
        <w:rPr>
          <w:b/>
        </w:rPr>
        <w:t xml:space="preserve">above </w:t>
      </w:r>
      <w:r w:rsidR="004743DE">
        <w:rPr>
          <w:b/>
        </w:rPr>
        <w:t xml:space="preserve">privacy risks </w:t>
      </w:r>
      <w:r w:rsidR="00FF58E3">
        <w:rPr>
          <w:b/>
        </w:rPr>
        <w:t xml:space="preserve">be </w:t>
      </w:r>
      <w:r w:rsidR="00792E35">
        <w:rPr>
          <w:b/>
        </w:rPr>
        <w:t>balanced</w:t>
      </w:r>
      <w:r w:rsidR="00FF58E3">
        <w:rPr>
          <w:b/>
        </w:rPr>
        <w:t xml:space="preserve"> against </w:t>
      </w:r>
      <w:r w:rsidR="004743DE">
        <w:rPr>
          <w:b/>
        </w:rPr>
        <w:t xml:space="preserve">the </w:t>
      </w:r>
      <w:r w:rsidR="00FF58E3">
        <w:rPr>
          <w:b/>
        </w:rPr>
        <w:t xml:space="preserve">significant potential consumer </w:t>
      </w:r>
      <w:r w:rsidR="004743DE">
        <w:rPr>
          <w:b/>
        </w:rPr>
        <w:t xml:space="preserve">benefits of supporting </w:t>
      </w:r>
      <w:r w:rsidR="00FF58E3">
        <w:rPr>
          <w:b/>
        </w:rPr>
        <w:t xml:space="preserve">new </w:t>
      </w:r>
      <w:r w:rsidR="004743DE">
        <w:rPr>
          <w:b/>
        </w:rPr>
        <w:t xml:space="preserve">use cases? </w:t>
      </w:r>
    </w:p>
    <w:p w14:paraId="5E35B5CF" w14:textId="77777777" w:rsidR="009F31B5" w:rsidRPr="00B372C8" w:rsidRDefault="009F31B5" w:rsidP="009F31B5">
      <w:r w:rsidRPr="00B372C8">
        <w:t xml:space="preserve">Treasury also understands that at least 12 months of metering data is often required to provide customers meaningful advice on the costs and benefits of switching to different retail energy products (e.g. retail tariff structures, cost benefit analysis of solar PV or battery systems). </w:t>
      </w:r>
    </w:p>
    <w:p w14:paraId="27A7E883" w14:textId="77777777" w:rsidR="009F31B5" w:rsidRPr="00B372C8" w:rsidRDefault="009F31B5" w:rsidP="009F31B5">
      <w:pPr>
        <w:rPr>
          <w:b/>
        </w:rPr>
      </w:pPr>
      <w:r w:rsidRPr="00B372C8">
        <w:rPr>
          <w:b/>
        </w:rPr>
        <w:t xml:space="preserve">Question 7: How long do retailers and/or metering data providers store metering data on a specific customer or site? </w:t>
      </w:r>
    </w:p>
    <w:p w14:paraId="77777995" w14:textId="77777777" w:rsidR="009F31B5" w:rsidRPr="00B372C8" w:rsidRDefault="009F31B5" w:rsidP="009F31B5">
      <w:pPr>
        <w:rPr>
          <w:rFonts w:eastAsiaTheme="minorHAnsi"/>
          <w:szCs w:val="22"/>
          <w:lang w:eastAsia="en-US"/>
        </w:rPr>
      </w:pPr>
      <w:r w:rsidRPr="00B372C8">
        <w:t xml:space="preserve">However, introducing the CDR to the energy sector may facilitate more frequent switching by customers, which in turn may lead to customers’ usage data being fragmented across a number of different providers over a given 12 month period. Over time, this may present third parties a challenge with providing tailored retail energy comparison services. </w:t>
      </w:r>
    </w:p>
    <w:p w14:paraId="7A093BF9" w14:textId="77777777" w:rsidR="009F31B5" w:rsidRPr="00B372C8" w:rsidRDefault="009F31B5" w:rsidP="009F31B5">
      <w:r w:rsidRPr="00B372C8">
        <w:t xml:space="preserve">A possible solution to this issue, might be to provide customers the option to port their historic metering data to a new retail service provider when/if they choose to switch over to a new product. </w:t>
      </w:r>
    </w:p>
    <w:p w14:paraId="194CBD0A" w14:textId="77777777" w:rsidR="009F31B5" w:rsidRDefault="009F31B5" w:rsidP="009F31B5">
      <w:pPr>
        <w:rPr>
          <w:b/>
        </w:rPr>
      </w:pPr>
      <w:r w:rsidRPr="00B372C8">
        <w:rPr>
          <w:b/>
        </w:rPr>
        <w:t xml:space="preserve">Question 8: Is there commercial value in allowing consumers to port their historic metering data (and other data as appropriate) to a new retail service provider when they switch to a new product? Are there other solutions that may be more appropriate? </w:t>
      </w:r>
    </w:p>
    <w:p w14:paraId="10BF86B3" w14:textId="488107D7" w:rsidR="00803F69" w:rsidRPr="0063696C" w:rsidRDefault="00803F69" w:rsidP="00803F69">
      <w:pPr>
        <w:pStyle w:val="Heading2"/>
      </w:pPr>
      <w:bookmarkStart w:id="11" w:name="_Toc525911939"/>
      <w:bookmarkStart w:id="12" w:name="_Toc9511724"/>
      <w:r>
        <w:t>Custo</w:t>
      </w:r>
      <w:r w:rsidRPr="0063696C">
        <w:t>mer provided data</w:t>
      </w:r>
      <w:bookmarkEnd w:id="11"/>
      <w:bookmarkEnd w:id="12"/>
    </w:p>
    <w:p w14:paraId="1E9F4BE2" w14:textId="77777777" w:rsidR="00803F69" w:rsidRPr="0063696C" w:rsidRDefault="00803F69" w:rsidP="00803F69">
      <w:r w:rsidRPr="0063696C">
        <w:t>Customer provided data is information that identifies, describes</w:t>
      </w:r>
      <w:r>
        <w:t>,</w:t>
      </w:r>
      <w:r w:rsidRPr="0063696C">
        <w:t xml:space="preserve"> or is about </w:t>
      </w:r>
      <w:r>
        <w:t xml:space="preserve">a </w:t>
      </w:r>
      <w:r w:rsidRPr="0063696C">
        <w:t>customer to whom energy is sold</w:t>
      </w:r>
      <w:r>
        <w:t xml:space="preserve"> or bought (e.g. if a customer is a net exporter over a defined period)</w:t>
      </w:r>
      <w:r w:rsidRPr="0063696C">
        <w:t xml:space="preserve">. </w:t>
      </w:r>
    </w:p>
    <w:p w14:paraId="602EE22F" w14:textId="77777777" w:rsidR="00803F69" w:rsidRPr="0063696C" w:rsidRDefault="00803F69" w:rsidP="00803F69">
      <w:r w:rsidRPr="0063696C">
        <w:t xml:space="preserve">This </w:t>
      </w:r>
      <w:r>
        <w:t xml:space="preserve">could include </w:t>
      </w:r>
      <w:r w:rsidRPr="0063696C">
        <w:t>a customer’s</w:t>
      </w:r>
      <w:r>
        <w:t xml:space="preserve"> full name, email address (e.g. for multiple account holders), phone number, date of birth (e.g. of primary account holder), complete </w:t>
      </w:r>
      <w:r w:rsidRPr="0063696C">
        <w:t>postal</w:t>
      </w:r>
      <w:r>
        <w:t xml:space="preserve"> and/or billing </w:t>
      </w:r>
      <w:r w:rsidRPr="0063696C">
        <w:t>address</w:t>
      </w:r>
      <w:r>
        <w:t xml:space="preserve"> (e.g. for large organisations)</w:t>
      </w:r>
      <w:r w:rsidRPr="0063696C">
        <w:t xml:space="preserve">, information </w:t>
      </w:r>
      <w:r>
        <w:t xml:space="preserve">on the customer’s </w:t>
      </w:r>
      <w:r w:rsidRPr="0063696C">
        <w:t>electrical appliances (</w:t>
      </w:r>
      <w:r>
        <w:t>e.g. controlled loads</w:t>
      </w:r>
      <w:r w:rsidRPr="0063696C">
        <w:t>), information that has been provided for the purpose of making payments</w:t>
      </w:r>
      <w:r>
        <w:t xml:space="preserve"> (e.g. billing details, direct debit arrangements)</w:t>
      </w:r>
      <w:r w:rsidRPr="0063696C">
        <w:t xml:space="preserve">, and information </w:t>
      </w:r>
      <w:r>
        <w:t xml:space="preserve">on data access </w:t>
      </w:r>
      <w:r w:rsidRPr="0063696C">
        <w:t>authorisation</w:t>
      </w:r>
      <w:r>
        <w:t>s under the CDR itself</w:t>
      </w:r>
      <w:r w:rsidRPr="0063696C">
        <w:t>.</w:t>
      </w:r>
    </w:p>
    <w:p w14:paraId="01A8110D" w14:textId="4F994191" w:rsidR="00803F69" w:rsidRDefault="00803F69" w:rsidP="00803F69">
      <w:pPr>
        <w:rPr>
          <w:b/>
        </w:rPr>
      </w:pPr>
      <w:r w:rsidRPr="0063696C">
        <w:rPr>
          <w:b/>
        </w:rPr>
        <w:t xml:space="preserve">Question </w:t>
      </w:r>
      <w:r w:rsidR="00DB111B">
        <w:rPr>
          <w:b/>
        </w:rPr>
        <w:t>9</w:t>
      </w:r>
      <w:r w:rsidRPr="0063696C">
        <w:rPr>
          <w:b/>
        </w:rPr>
        <w:t xml:space="preserve">: </w:t>
      </w:r>
      <w:r>
        <w:rPr>
          <w:b/>
        </w:rPr>
        <w:t xml:space="preserve">What data </w:t>
      </w:r>
      <w:r w:rsidR="00E45060">
        <w:rPr>
          <w:b/>
        </w:rPr>
        <w:t xml:space="preserve">do market participants use </w:t>
      </w:r>
      <w:r>
        <w:rPr>
          <w:b/>
        </w:rPr>
        <w:t xml:space="preserve">to on-board a customer and </w:t>
      </w:r>
      <w:r w:rsidR="00E45060">
        <w:rPr>
          <w:b/>
        </w:rPr>
        <w:t xml:space="preserve">what data is required to </w:t>
      </w:r>
      <w:r>
        <w:rPr>
          <w:b/>
        </w:rPr>
        <w:t xml:space="preserve">support efficient switching between </w:t>
      </w:r>
      <w:r w:rsidR="00E45060">
        <w:rPr>
          <w:b/>
        </w:rPr>
        <w:t xml:space="preserve">different retail electricity service </w:t>
      </w:r>
      <w:r>
        <w:rPr>
          <w:b/>
        </w:rPr>
        <w:t>providers?</w:t>
      </w:r>
    </w:p>
    <w:p w14:paraId="27A2C962" w14:textId="77777777" w:rsidR="00803F69" w:rsidRPr="0063696C" w:rsidRDefault="00803F69" w:rsidP="00803F69">
      <w:pPr>
        <w:pStyle w:val="Heading2"/>
      </w:pPr>
      <w:bookmarkStart w:id="13" w:name="_Toc525911940"/>
      <w:bookmarkStart w:id="14" w:name="_Toc9511725"/>
      <w:r w:rsidRPr="0063696C">
        <w:t>Billing data</w:t>
      </w:r>
      <w:bookmarkEnd w:id="13"/>
      <w:bookmarkEnd w:id="14"/>
    </w:p>
    <w:p w14:paraId="2B148E25" w14:textId="77777777" w:rsidR="00803F69" w:rsidRPr="0063696C" w:rsidRDefault="00803F69" w:rsidP="00803F69">
      <w:r w:rsidRPr="0063696C">
        <w:t>Currently, small customers in National Energy Retail Law</w:t>
      </w:r>
      <w:r>
        <w:t xml:space="preserve"> (NERL)</w:t>
      </w:r>
      <w:r w:rsidRPr="0063696C">
        <w:t xml:space="preserve"> </w:t>
      </w:r>
      <w:r>
        <w:t xml:space="preserve">jurisdictions </w:t>
      </w:r>
      <w:r w:rsidRPr="0063696C">
        <w:t>can access up to two years of historical billing information from their retailer, and may access further historical billing information for a charge.</w:t>
      </w:r>
      <w:r w:rsidRPr="0063696C">
        <w:rPr>
          <w:vertAlign w:val="superscript"/>
        </w:rPr>
        <w:footnoteReference w:id="3"/>
      </w:r>
      <w:r w:rsidRPr="0063696C">
        <w:t xml:space="preserve"> Small customers in Victoria can also access two years</w:t>
      </w:r>
      <w:r>
        <w:t xml:space="preserve"> </w:t>
      </w:r>
      <w:r w:rsidRPr="0063696C">
        <w:t>of historical information from their retailer, and may access further historical billing information for a charge.</w:t>
      </w:r>
      <w:r w:rsidRPr="0063696C">
        <w:rPr>
          <w:vertAlign w:val="superscript"/>
        </w:rPr>
        <w:footnoteReference w:id="4"/>
      </w:r>
      <w:r w:rsidRPr="0063696C">
        <w:t xml:space="preserve"> </w:t>
      </w:r>
    </w:p>
    <w:p w14:paraId="4E9DE2BE" w14:textId="3A7B17D3" w:rsidR="00803F69" w:rsidRPr="008F7640" w:rsidRDefault="00803F69" w:rsidP="00803F69">
      <w:pPr>
        <w:rPr>
          <w:b/>
        </w:rPr>
      </w:pPr>
      <w:r w:rsidRPr="008F7640">
        <w:rPr>
          <w:b/>
        </w:rPr>
        <w:t xml:space="preserve">Question </w:t>
      </w:r>
      <w:r w:rsidR="00DB111B">
        <w:rPr>
          <w:b/>
        </w:rPr>
        <w:t>10</w:t>
      </w:r>
      <w:r w:rsidRPr="008F7640">
        <w:rPr>
          <w:b/>
        </w:rPr>
        <w:t xml:space="preserve">: </w:t>
      </w:r>
      <w:r>
        <w:rPr>
          <w:b/>
        </w:rPr>
        <w:t>How is</w:t>
      </w:r>
      <w:r w:rsidRPr="008F7640">
        <w:rPr>
          <w:b/>
        </w:rPr>
        <w:t xml:space="preserve"> </w:t>
      </w:r>
      <w:r>
        <w:rPr>
          <w:b/>
        </w:rPr>
        <w:t xml:space="preserve">retail customer </w:t>
      </w:r>
      <w:r w:rsidRPr="008F7640">
        <w:rPr>
          <w:b/>
        </w:rPr>
        <w:t>billing data shared between market participants now,</w:t>
      </w:r>
      <w:r>
        <w:rPr>
          <w:b/>
        </w:rPr>
        <w:t xml:space="preserve"> and</w:t>
      </w:r>
      <w:r w:rsidRPr="008F7640">
        <w:rPr>
          <w:b/>
        </w:rPr>
        <w:t xml:space="preserve"> is there a </w:t>
      </w:r>
      <w:r>
        <w:rPr>
          <w:b/>
        </w:rPr>
        <w:t xml:space="preserve">general industry </w:t>
      </w:r>
      <w:r w:rsidRPr="008F7640">
        <w:rPr>
          <w:b/>
        </w:rPr>
        <w:t xml:space="preserve">standard </w:t>
      </w:r>
      <w:r>
        <w:rPr>
          <w:b/>
        </w:rPr>
        <w:t xml:space="preserve">for </w:t>
      </w:r>
      <w:r w:rsidR="0050158D">
        <w:rPr>
          <w:b/>
        </w:rPr>
        <w:t>billing information</w:t>
      </w:r>
      <w:r w:rsidRPr="008F7640">
        <w:rPr>
          <w:b/>
        </w:rPr>
        <w:t>?</w:t>
      </w:r>
    </w:p>
    <w:p w14:paraId="1A10652F" w14:textId="77777777" w:rsidR="00803F69" w:rsidRPr="00B90E46" w:rsidRDefault="00803F69" w:rsidP="00803F69">
      <w:r w:rsidRPr="0063696C">
        <w:t xml:space="preserve">In Victoria, the Retail Code, Electricity Distribution Code and the Metering Code include provisions </w:t>
      </w:r>
      <w:r>
        <w:t>on</w:t>
      </w:r>
      <w:r w:rsidRPr="0063696C">
        <w:t xml:space="preserve"> access to historical billing data and a retail customer’s consumption data that are similar to the requirements under the </w:t>
      </w:r>
      <w:r>
        <w:t>National Energy Retail Rules</w:t>
      </w:r>
      <w:r w:rsidRPr="0063696C">
        <w:t xml:space="preserve">. For example, a retailer must, on request, use its best endeavours to provide historical billing and metering data to small customers for the previous </w:t>
      </w:r>
      <w:r>
        <w:t>two</w:t>
      </w:r>
      <w:r w:rsidRPr="0063696C">
        <w:t xml:space="preserve"> years and </w:t>
      </w:r>
      <w:r>
        <w:t xml:space="preserve">both </w:t>
      </w:r>
      <w:r w:rsidRPr="0063696C">
        <w:t>distributors and retailers must, on retail customers’ request</w:t>
      </w:r>
      <w:r>
        <w:t>,</w:t>
      </w:r>
      <w:r w:rsidRPr="0063696C">
        <w:t xml:space="preserve"> provide access to energy and </w:t>
      </w:r>
      <w:r w:rsidRPr="00B90E46">
        <w:t xml:space="preserve">metering data </w:t>
      </w:r>
      <w:r>
        <w:t xml:space="preserve">on the </w:t>
      </w:r>
      <w:r w:rsidRPr="00B90E46">
        <w:t>customer’s meter, subject to certain requirements.</w:t>
      </w:r>
      <w:r w:rsidRPr="0063696C">
        <w:rPr>
          <w:vertAlign w:val="superscript"/>
        </w:rPr>
        <w:footnoteReference w:id="5"/>
      </w:r>
      <w:r w:rsidRPr="0063696C">
        <w:t xml:space="preserve"> </w:t>
      </w:r>
    </w:p>
    <w:p w14:paraId="4FCC3989" w14:textId="49CEF9A7" w:rsidR="00803F69" w:rsidRPr="008C0B4C" w:rsidRDefault="00803F69" w:rsidP="008C0B4C">
      <w:pPr>
        <w:rPr>
          <w:b/>
        </w:rPr>
      </w:pPr>
      <w:r w:rsidRPr="004C36C8">
        <w:rPr>
          <w:b/>
        </w:rPr>
        <w:t>Question</w:t>
      </w:r>
      <w:r>
        <w:rPr>
          <w:b/>
        </w:rPr>
        <w:t xml:space="preserve"> </w:t>
      </w:r>
      <w:r w:rsidR="00A50DF4">
        <w:rPr>
          <w:b/>
        </w:rPr>
        <w:t>1</w:t>
      </w:r>
      <w:r w:rsidR="00DB111B">
        <w:rPr>
          <w:b/>
        </w:rPr>
        <w:t>1</w:t>
      </w:r>
      <w:r w:rsidRPr="004C36C8">
        <w:rPr>
          <w:b/>
        </w:rPr>
        <w:t xml:space="preserve">: What </w:t>
      </w:r>
      <w:r w:rsidR="0050158D">
        <w:rPr>
          <w:b/>
        </w:rPr>
        <w:t>consumer use cases might the priority designation of retail</w:t>
      </w:r>
      <w:r w:rsidRPr="004C36C8">
        <w:rPr>
          <w:b/>
        </w:rPr>
        <w:t xml:space="preserve"> billing data</w:t>
      </w:r>
      <w:r w:rsidR="0050158D">
        <w:rPr>
          <w:b/>
        </w:rPr>
        <w:t xml:space="preserve"> support through the CDR</w:t>
      </w:r>
      <w:r w:rsidRPr="004C36C8">
        <w:rPr>
          <w:b/>
        </w:rPr>
        <w:t>?</w:t>
      </w:r>
    </w:p>
    <w:p w14:paraId="68C81C14" w14:textId="77777777" w:rsidR="00803F69" w:rsidRPr="004C36C8" w:rsidRDefault="00803F69" w:rsidP="00803F69">
      <w:pPr>
        <w:pStyle w:val="Heading2"/>
      </w:pPr>
      <w:bookmarkStart w:id="15" w:name="_Toc525911941"/>
      <w:bookmarkStart w:id="16" w:name="_Toc9511726"/>
      <w:r w:rsidRPr="004C36C8">
        <w:t>Retail product data</w:t>
      </w:r>
      <w:bookmarkEnd w:id="15"/>
      <w:bookmarkEnd w:id="16"/>
    </w:p>
    <w:p w14:paraId="5FEA1DE7" w14:textId="61B9032F" w:rsidR="00803F69" w:rsidRPr="004C36C8" w:rsidRDefault="00093AD3" w:rsidP="00803F69">
      <w:r>
        <w:t>Designated p</w:t>
      </w:r>
      <w:r w:rsidR="00803F69" w:rsidRPr="004C36C8">
        <w:t xml:space="preserve">roduct data </w:t>
      </w:r>
      <w:r w:rsidR="00803F69">
        <w:t>is proposed to</w:t>
      </w:r>
      <w:r w:rsidR="00803F69" w:rsidRPr="004C36C8" w:rsidDel="00093AD3">
        <w:t xml:space="preserve"> </w:t>
      </w:r>
      <w:r>
        <w:t>comprise</w:t>
      </w:r>
      <w:r w:rsidRPr="004C36C8">
        <w:t xml:space="preserve"> </w:t>
      </w:r>
      <w:r w:rsidR="00803F69" w:rsidRPr="004C36C8">
        <w:t>information that identifies, describes or details products, including information such as tariffs, usage charges and applicable discounts where these products involve the supply of electricity to a customer.</w:t>
      </w:r>
      <w:r w:rsidR="00803F69">
        <w:t xml:space="preserve"> It also includes information on eligibility and availability.</w:t>
      </w:r>
    </w:p>
    <w:p w14:paraId="338A23AD" w14:textId="244C4998" w:rsidR="00803F69" w:rsidRDefault="00803F69" w:rsidP="00803F69">
      <w:r w:rsidRPr="008F7640">
        <w:t>The CDR</w:t>
      </w:r>
      <w:r w:rsidRPr="008F7640" w:rsidDel="00510644">
        <w:t xml:space="preserve"> </w:t>
      </w:r>
      <w:r w:rsidR="00510644">
        <w:t xml:space="preserve">aims to </w:t>
      </w:r>
      <w:r w:rsidRPr="008F7640">
        <w:t xml:space="preserve">provide </w:t>
      </w:r>
      <w:r w:rsidR="00C10EF7">
        <w:t xml:space="preserve">on-demand </w:t>
      </w:r>
      <w:r w:rsidRPr="008F7640">
        <w:t>access to generic</w:t>
      </w:r>
      <w:r>
        <w:t xml:space="preserve"> and tailored retail </w:t>
      </w:r>
      <w:r w:rsidRPr="008F7640">
        <w:t>product information data</w:t>
      </w:r>
      <w:r>
        <w:t xml:space="preserve"> </w:t>
      </w:r>
      <w:r w:rsidRPr="008F7640">
        <w:t xml:space="preserve">in a </w:t>
      </w:r>
      <w:r>
        <w:t>machine-readable format</w:t>
      </w:r>
      <w:r w:rsidRPr="008F7640">
        <w:t>.</w:t>
      </w:r>
      <w:r>
        <w:t xml:space="preserve"> Generic retail product data </w:t>
      </w:r>
      <w:r w:rsidRPr="008F7640">
        <w:t>does not relate to an identifiable or reasonably identifiable person</w:t>
      </w:r>
      <w:r>
        <w:t xml:space="preserve"> but tailored retail product data does and </w:t>
      </w:r>
      <w:r w:rsidR="0050158D">
        <w:t>as such</w:t>
      </w:r>
      <w:r>
        <w:t xml:space="preserve"> would be subject to the Privacy Safeguards.</w:t>
      </w:r>
    </w:p>
    <w:p w14:paraId="558767E2" w14:textId="0B84FB6B" w:rsidR="00803F69" w:rsidRPr="008F7640" w:rsidRDefault="00803F69" w:rsidP="00803F69">
      <w:r>
        <w:t xml:space="preserve">Treasury’s initial view is that </w:t>
      </w:r>
      <w:r w:rsidR="00C10EF7">
        <w:t xml:space="preserve">the </w:t>
      </w:r>
      <w:r>
        <w:t xml:space="preserve">CDR </w:t>
      </w:r>
      <w:r w:rsidR="00C10EF7">
        <w:t>must</w:t>
      </w:r>
      <w:r w:rsidDel="00C10EF7">
        <w:t xml:space="preserve"> </w:t>
      </w:r>
      <w:r>
        <w:t xml:space="preserve">cover both generic and tailored classes of product data, as informed consumer assessment of the actual benefit of switching from a current tailored retail tariff structure to a different market offer would not be possible without access to both product data classes. </w:t>
      </w:r>
      <w:r w:rsidR="00510644">
        <w:t>We further understand that only retailers can link a tailored class of product data to an identifiable customer.</w:t>
      </w:r>
    </w:p>
    <w:p w14:paraId="46A9203E" w14:textId="77777777" w:rsidR="00803F69" w:rsidRPr="00332897" w:rsidRDefault="00803F69" w:rsidP="00803F69">
      <w:pPr>
        <w:pStyle w:val="Heading3"/>
      </w:pPr>
      <w:bookmarkStart w:id="17" w:name="_Toc9511727"/>
      <w:r w:rsidRPr="00332897">
        <w:t>National Energy Retail Law jurisdictions</w:t>
      </w:r>
      <w:bookmarkEnd w:id="17"/>
      <w:r w:rsidRPr="00332897">
        <w:t xml:space="preserve"> </w:t>
      </w:r>
    </w:p>
    <w:p w14:paraId="6146CDE0" w14:textId="28B5821D" w:rsidR="00803F69" w:rsidRDefault="00803F69" w:rsidP="0042433B">
      <w:pPr>
        <w:spacing w:before="0"/>
      </w:pPr>
      <w:r>
        <w:t>Generic r</w:t>
      </w:r>
      <w:r w:rsidRPr="008F7640">
        <w:t>etail product data for small customers</w:t>
      </w:r>
      <w:r w:rsidRPr="00A45B4B">
        <w:rPr>
          <w:vertAlign w:val="superscript"/>
        </w:rPr>
        <w:footnoteReference w:id="6"/>
      </w:r>
      <w:r w:rsidRPr="008F7640">
        <w:t xml:space="preserve"> in </w:t>
      </w:r>
      <w:r>
        <w:t>NERL</w:t>
      </w:r>
      <w:r w:rsidRPr="008F7640">
        <w:t xml:space="preserve"> jurisdictions</w:t>
      </w:r>
      <w:r>
        <w:t xml:space="preserve"> (all NEM jurisdictions bar Victoria)</w:t>
      </w:r>
      <w:r w:rsidRPr="008F7640">
        <w:t xml:space="preserve"> </w:t>
      </w:r>
      <w:r>
        <w:t xml:space="preserve">are </w:t>
      </w:r>
      <w:r w:rsidRPr="008F7640">
        <w:t xml:space="preserve">currently subject to </w:t>
      </w:r>
      <w:r>
        <w:t xml:space="preserve">the NERL’s </w:t>
      </w:r>
      <w:r w:rsidRPr="008F7640">
        <w:t xml:space="preserve">publication requirements </w:t>
      </w:r>
      <w:r w:rsidRPr="0063696C">
        <w:t>and the A</w:t>
      </w:r>
      <w:r>
        <w:t xml:space="preserve">ustralian </w:t>
      </w:r>
      <w:r w:rsidRPr="0063696C">
        <w:t>E</w:t>
      </w:r>
      <w:r>
        <w:t xml:space="preserve">nergy </w:t>
      </w:r>
      <w:r w:rsidRPr="0063696C">
        <w:t>R</w:t>
      </w:r>
      <w:r>
        <w:t>egulator’s</w:t>
      </w:r>
      <w:r w:rsidRPr="0063696C">
        <w:t xml:space="preserve"> </w:t>
      </w:r>
      <w:r>
        <w:t xml:space="preserve">(AER) </w:t>
      </w:r>
      <w:r w:rsidRPr="0063696C">
        <w:t>Retail Pricing Information Guidelines</w:t>
      </w:r>
      <w:r>
        <w:t xml:space="preserve"> (RPIG)</w:t>
      </w:r>
      <w:r w:rsidRPr="0063696C">
        <w:t>.</w:t>
      </w:r>
      <w:r>
        <w:t xml:space="preserve"> </w:t>
      </w:r>
      <w:r w:rsidR="009B7C3D">
        <w:t>R</w:t>
      </w:r>
      <w:r>
        <w:t xml:space="preserve">etailers are required to provide </w:t>
      </w:r>
      <w:r w:rsidR="009B7C3D">
        <w:t xml:space="preserve">the following </w:t>
      </w:r>
      <w:r>
        <w:t xml:space="preserve">two </w:t>
      </w:r>
      <w:r w:rsidR="009B7C3D">
        <w:t xml:space="preserve">types </w:t>
      </w:r>
      <w:r>
        <w:t>of plan/product data to the AER</w:t>
      </w:r>
      <w:r w:rsidR="009B7C3D">
        <w:t xml:space="preserve"> per the RPIG</w:t>
      </w:r>
      <w:r>
        <w:t>:</w:t>
      </w:r>
    </w:p>
    <w:p w14:paraId="74550508" w14:textId="6435787E" w:rsidR="00803F69" w:rsidRDefault="00803F69" w:rsidP="0042433B">
      <w:pPr>
        <w:pStyle w:val="Bullet"/>
        <w:numPr>
          <w:ilvl w:val="0"/>
          <w:numId w:val="22"/>
        </w:numPr>
        <w:ind w:left="522" w:hanging="522"/>
      </w:pPr>
      <w:r>
        <w:t>Generally available plan information – this captures ‘generic retail product data’ and covers plans that are available to any customer in a given distribution zone with the appropriate metering configuration, unless they are on a restricted plan</w:t>
      </w:r>
      <w:r w:rsidR="0042433B">
        <w:t>;</w:t>
      </w:r>
    </w:p>
    <w:p w14:paraId="7CAEEB01" w14:textId="0F4DFACF" w:rsidR="00803F69" w:rsidRDefault="00803F69" w:rsidP="0042433B">
      <w:pPr>
        <w:pStyle w:val="Bullet"/>
        <w:numPr>
          <w:ilvl w:val="0"/>
          <w:numId w:val="22"/>
        </w:numPr>
        <w:ind w:left="522" w:hanging="522"/>
      </w:pPr>
      <w:r>
        <w:t>Restricted plans – these also cover generic retail product data but are not ‘generally available’ because they are targeted at a specific group or an individual but do not relate to a reasonably identifiable person. Retailers are not required to publish them on EME.</w:t>
      </w:r>
    </w:p>
    <w:p w14:paraId="5D7A832B" w14:textId="2549D48F" w:rsidR="00803F69" w:rsidRDefault="00803F69" w:rsidP="00803F69">
      <w:pPr>
        <w:pStyle w:val="Bullet"/>
        <w:numPr>
          <w:ilvl w:val="0"/>
          <w:numId w:val="0"/>
        </w:numPr>
      </w:pPr>
      <w:r>
        <w:t>In aggregate, we understand that the AER holds the vast majority of generic product data in the retail market. Treasury considers that designation of these tailored product datasets would be necessary to understand the specific tariff structures that consumers are on</w:t>
      </w:r>
      <w:r w:rsidR="009B7C3D">
        <w:t xml:space="preserve"> and </w:t>
      </w:r>
      <w:r w:rsidR="0042433B">
        <w:t xml:space="preserve">to </w:t>
      </w:r>
      <w:r w:rsidR="009B7C3D">
        <w:t xml:space="preserve">allow informed </w:t>
      </w:r>
      <w:r w:rsidR="0042433B">
        <w:t>retail market product choices</w:t>
      </w:r>
      <w:r w:rsidR="009B7C3D">
        <w:t>.</w:t>
      </w:r>
    </w:p>
    <w:p w14:paraId="4006E190" w14:textId="77777777" w:rsidR="00803F69" w:rsidRPr="00332897" w:rsidRDefault="00803F69" w:rsidP="00803F69">
      <w:pPr>
        <w:pStyle w:val="Heading3"/>
      </w:pPr>
      <w:bookmarkStart w:id="18" w:name="_Toc9511728"/>
      <w:r w:rsidRPr="00332897">
        <w:t>Victoria</w:t>
      </w:r>
      <w:bookmarkEnd w:id="18"/>
    </w:p>
    <w:p w14:paraId="3672220A" w14:textId="77777777" w:rsidR="00351336" w:rsidRDefault="00803F69" w:rsidP="0042433B">
      <w:pPr>
        <w:spacing w:before="0"/>
      </w:pPr>
      <w:r w:rsidRPr="0063696C">
        <w:t xml:space="preserve">In Victoria, electricity retailers are required to present retail product information for </w:t>
      </w:r>
      <w:r>
        <w:t>generally available</w:t>
      </w:r>
      <w:r w:rsidR="00351336">
        <w:t xml:space="preserve"> </w:t>
      </w:r>
      <w:r w:rsidRPr="0063696C">
        <w:t>standing and market offer</w:t>
      </w:r>
      <w:r>
        <w:t>s for publication on Victorian EnergyCompare in accordance with the Energy Retail Code</w:t>
      </w:r>
      <w:r w:rsidR="008C0B4C">
        <w:t>.</w:t>
      </w:r>
      <w:r>
        <w:rPr>
          <w:rStyle w:val="FootnoteReference"/>
        </w:rPr>
        <w:footnoteReference w:id="7"/>
      </w:r>
      <w:r w:rsidRPr="0063696C">
        <w:t xml:space="preserve"> </w:t>
      </w:r>
      <w:r w:rsidR="00351336">
        <w:t xml:space="preserve">We also understand that the Victorian EnergyCompare platform collects data on tailored product classes but that these are not presented on Victorian Energy Compare. </w:t>
      </w:r>
    </w:p>
    <w:p w14:paraId="63081C17" w14:textId="5D7D9962" w:rsidR="00803F69" w:rsidRPr="004C36C8" w:rsidRDefault="00803F69" w:rsidP="0042433B">
      <w:pPr>
        <w:spacing w:before="0"/>
      </w:pPr>
      <w:r>
        <w:t>We understand that e</w:t>
      </w:r>
      <w:r w:rsidRPr="004C36C8">
        <w:t xml:space="preserve">ach Price and Product Information Statement must </w:t>
      </w:r>
      <w:r>
        <w:t>be populated with</w:t>
      </w:r>
      <w:r w:rsidRPr="004C36C8">
        <w:t>:</w:t>
      </w:r>
    </w:p>
    <w:p w14:paraId="492A82D6" w14:textId="77777777" w:rsidR="00803F69" w:rsidRPr="0063696C" w:rsidRDefault="00803F69" w:rsidP="0042433B">
      <w:pPr>
        <w:pStyle w:val="Bullet"/>
        <w:numPr>
          <w:ilvl w:val="0"/>
          <w:numId w:val="22"/>
        </w:numPr>
      </w:pPr>
      <w:r w:rsidRPr="0063696C">
        <w:t>All fees and charges, including tariff and early termination fees (if applicable)</w:t>
      </w:r>
      <w:r>
        <w:t>;</w:t>
      </w:r>
    </w:p>
    <w:p w14:paraId="7EEA1578" w14:textId="77777777" w:rsidR="00803F69" w:rsidRPr="0063696C" w:rsidRDefault="00803F69" w:rsidP="0042433B">
      <w:pPr>
        <w:pStyle w:val="Bullet"/>
        <w:numPr>
          <w:ilvl w:val="0"/>
          <w:numId w:val="22"/>
        </w:numPr>
      </w:pPr>
      <w:r>
        <w:t>Contract terms including minimum termination notification periods;</w:t>
      </w:r>
    </w:p>
    <w:p w14:paraId="7546929A" w14:textId="77777777" w:rsidR="00803F69" w:rsidRPr="0063696C" w:rsidRDefault="00803F69" w:rsidP="0042433B">
      <w:pPr>
        <w:pStyle w:val="Bullet"/>
        <w:numPr>
          <w:ilvl w:val="0"/>
          <w:numId w:val="22"/>
        </w:numPr>
      </w:pPr>
      <w:r w:rsidRPr="0063696C">
        <w:t xml:space="preserve">For flexible retail tariff </w:t>
      </w:r>
      <w:r>
        <w:t xml:space="preserve">structures </w:t>
      </w:r>
      <w:r w:rsidRPr="0063696C">
        <w:t>designed for smart meter customers</w:t>
      </w:r>
      <w:r>
        <w:t xml:space="preserve"> – details on the </w:t>
      </w:r>
      <w:r w:rsidRPr="0063696C">
        <w:t>right to revert</w:t>
      </w:r>
      <w:r>
        <w:t xml:space="preserve"> to a flat tariff structure and/or opt out; and</w:t>
      </w:r>
    </w:p>
    <w:p w14:paraId="2F732172" w14:textId="1100F9DD" w:rsidR="00803F69" w:rsidRPr="0063696C" w:rsidRDefault="00803F69" w:rsidP="0042433B">
      <w:pPr>
        <w:pStyle w:val="Bullet"/>
        <w:numPr>
          <w:ilvl w:val="0"/>
          <w:numId w:val="22"/>
        </w:numPr>
        <w:ind w:left="522" w:hanging="522"/>
      </w:pPr>
      <w:r w:rsidRPr="0063696C">
        <w:t>Details of rebates, non-price incentives, whether different tariffs apply at different times, and how to get information on the terms and conditions.</w:t>
      </w:r>
    </w:p>
    <w:p w14:paraId="44F059C5" w14:textId="3438A6E6" w:rsidR="00803F69" w:rsidRDefault="00803F69" w:rsidP="00803F69">
      <w:pPr>
        <w:pStyle w:val="Boxedtext"/>
        <w:pBdr>
          <w:top w:val="none" w:sz="0" w:space="0" w:color="auto"/>
          <w:left w:val="none" w:sz="0" w:space="0" w:color="auto"/>
          <w:bottom w:val="none" w:sz="0" w:space="0" w:color="auto"/>
          <w:right w:val="none" w:sz="0" w:space="0" w:color="auto"/>
        </w:pBdr>
        <w:shd w:val="clear" w:color="auto" w:fill="FFFFFF" w:themeFill="background1"/>
      </w:pPr>
      <w:r w:rsidRPr="001E64F6">
        <w:rPr>
          <w:rFonts w:asciiTheme="minorHAnsi" w:hAnsiTheme="minorHAnsi"/>
          <w:b/>
        </w:rPr>
        <w:t xml:space="preserve">Question </w:t>
      </w:r>
      <w:r w:rsidR="00DD34D6">
        <w:rPr>
          <w:rFonts w:asciiTheme="minorHAnsi" w:hAnsiTheme="minorHAnsi"/>
          <w:b/>
        </w:rPr>
        <w:t>1</w:t>
      </w:r>
      <w:r w:rsidR="00A50DF4">
        <w:rPr>
          <w:rFonts w:asciiTheme="minorHAnsi" w:hAnsiTheme="minorHAnsi"/>
          <w:b/>
        </w:rPr>
        <w:t>2</w:t>
      </w:r>
      <w:r w:rsidRPr="001E64F6">
        <w:rPr>
          <w:rFonts w:asciiTheme="minorHAnsi" w:hAnsiTheme="minorHAnsi"/>
          <w:b/>
        </w:rPr>
        <w:t xml:space="preserve">: Would designation of </w:t>
      </w:r>
      <w:r>
        <w:rPr>
          <w:rFonts w:asciiTheme="minorHAnsi" w:hAnsiTheme="minorHAnsi"/>
          <w:b/>
        </w:rPr>
        <w:t>all product data classes currently held by the AER and Victorian EnergyCompare be sufficient to support basic comparison and switching use cases? Should product information tailored to individual consumers also be designated?</w:t>
      </w:r>
    </w:p>
    <w:p w14:paraId="53B0B527" w14:textId="77777777" w:rsidR="00803F69" w:rsidRDefault="00803F69" w:rsidP="00803F69">
      <w:pPr>
        <w:pStyle w:val="Heading2"/>
      </w:pPr>
      <w:bookmarkStart w:id="19" w:name="_Toc9511729"/>
      <w:r>
        <w:t>Register of Distributed Energy Resources</w:t>
      </w:r>
      <w:bookmarkEnd w:id="19"/>
    </w:p>
    <w:p w14:paraId="3D228A29" w14:textId="2D51F369" w:rsidR="00803F69" w:rsidRDefault="00803F69" w:rsidP="00803F69">
      <w:r>
        <w:t>The Australian Energy Market Commission (AEMC) recently made a rule requiring AEMO to establish a register of distributed energy resources (DER) in the NEM, covering devices including small scale battery storage systems, and rooftop solar PV.</w:t>
      </w:r>
    </w:p>
    <w:p w14:paraId="711B1D6F" w14:textId="77777777" w:rsidR="00803F69" w:rsidRDefault="00803F69" w:rsidP="00803F69">
      <w:r w:rsidRPr="00FB1E7B">
        <w:t xml:space="preserve">The </w:t>
      </w:r>
      <w:r>
        <w:t>National Electricity Rules</w:t>
      </w:r>
      <w:r w:rsidRPr="00FB1E7B">
        <w:t xml:space="preserve"> will </w:t>
      </w:r>
      <w:r>
        <w:t xml:space="preserve">now </w:t>
      </w:r>
      <w:r w:rsidRPr="00FB1E7B">
        <w:t xml:space="preserve">require network service providers to request </w:t>
      </w:r>
      <w:r>
        <w:t xml:space="preserve">users to specify the </w:t>
      </w:r>
      <w:r w:rsidRPr="00FB1E7B">
        <w:t xml:space="preserve">DER </w:t>
      </w:r>
      <w:r>
        <w:t xml:space="preserve">technology </w:t>
      </w:r>
      <w:r w:rsidRPr="00FB1E7B">
        <w:t xml:space="preserve">installed at </w:t>
      </w:r>
      <w:r>
        <w:t>a given premises</w:t>
      </w:r>
      <w:r w:rsidRPr="00FB1E7B">
        <w:t xml:space="preserve"> (through the network connection process), to provide this data to AEMO and a reciprocal requirement on AEMO to share disaggregated data from the register back to network businesses. </w:t>
      </w:r>
    </w:p>
    <w:p w14:paraId="384523A9" w14:textId="6EF7EB37" w:rsidR="00803F69" w:rsidRDefault="00803F69" w:rsidP="00803F69">
      <w:r>
        <w:t xml:space="preserve">Access to this information would allow product comparisons </w:t>
      </w:r>
      <w:r w:rsidR="00A64728">
        <w:t xml:space="preserve">that </w:t>
      </w:r>
      <w:r>
        <w:t xml:space="preserve">account </w:t>
      </w:r>
      <w:r w:rsidR="00A64728">
        <w:t xml:space="preserve">for </w:t>
      </w:r>
      <w:r>
        <w:t xml:space="preserve">the effects of the customer’s DERs. Treasury considers that these data </w:t>
      </w:r>
      <w:r w:rsidR="00A64728">
        <w:t xml:space="preserve">could </w:t>
      </w:r>
      <w:r>
        <w:t>also support accelerated uptake of DER, by enabling CDR participants to target specific consumer groups with analysis of the costs and benefits of adopting DER</w:t>
      </w:r>
      <w:r w:rsidR="00A64728">
        <w:t xml:space="preserve"> (e.g.</w:t>
      </w:r>
      <w:r>
        <w:t xml:space="preserve"> integrated solar PV and battery storage systems</w:t>
      </w:r>
      <w:r w:rsidR="00A64728">
        <w:t>)</w:t>
      </w:r>
      <w:r>
        <w:t>.</w:t>
      </w:r>
    </w:p>
    <w:p w14:paraId="4F75D94B" w14:textId="380795C4" w:rsidR="00803F69" w:rsidRPr="00283AFE" w:rsidRDefault="00803F69" w:rsidP="00803F69">
      <w:pPr>
        <w:pStyle w:val="Boxedtext"/>
        <w:pBdr>
          <w:top w:val="none" w:sz="0" w:space="0" w:color="auto"/>
          <w:left w:val="none" w:sz="0" w:space="0" w:color="auto"/>
          <w:bottom w:val="none" w:sz="0" w:space="0" w:color="auto"/>
          <w:right w:val="none" w:sz="0" w:space="0" w:color="auto"/>
        </w:pBdr>
        <w:shd w:val="clear" w:color="auto" w:fill="FFFFFF" w:themeFill="background1"/>
        <w:rPr>
          <w:rFonts w:asciiTheme="minorHAnsi" w:hAnsiTheme="minorHAnsi"/>
          <w:b/>
        </w:rPr>
      </w:pPr>
      <w:r w:rsidRPr="00283AFE">
        <w:rPr>
          <w:rFonts w:asciiTheme="minorHAnsi" w:hAnsiTheme="minorHAnsi"/>
          <w:b/>
        </w:rPr>
        <w:t xml:space="preserve">Question </w:t>
      </w:r>
      <w:r w:rsidR="00DD34D6" w:rsidRPr="00283AFE">
        <w:rPr>
          <w:rFonts w:asciiTheme="minorHAnsi" w:hAnsiTheme="minorHAnsi"/>
          <w:b/>
        </w:rPr>
        <w:t>1</w:t>
      </w:r>
      <w:r w:rsidR="00A50DF4">
        <w:rPr>
          <w:rFonts w:asciiTheme="minorHAnsi" w:hAnsiTheme="minorHAnsi"/>
          <w:b/>
        </w:rPr>
        <w:t>3</w:t>
      </w:r>
      <w:r w:rsidRPr="00283AFE">
        <w:rPr>
          <w:rFonts w:asciiTheme="minorHAnsi" w:hAnsiTheme="minorHAnsi"/>
          <w:b/>
        </w:rPr>
        <w:t>: What other use cases do stakeholders consider may be supported by the designation of the Distributed Energy Resources Register as a priority dataset?</w:t>
      </w:r>
    </w:p>
    <w:p w14:paraId="771DF659" w14:textId="39251224" w:rsidR="00803F69" w:rsidRPr="0063696C" w:rsidRDefault="005E28D5" w:rsidP="00803F69">
      <w:pPr>
        <w:pStyle w:val="Heading1"/>
      </w:pPr>
      <w:bookmarkStart w:id="20" w:name="_Toc525911942"/>
      <w:r>
        <w:br w:type="column"/>
      </w:r>
      <w:bookmarkStart w:id="21" w:name="_Toc9511730"/>
      <w:r w:rsidR="00803F69" w:rsidRPr="0063696C">
        <w:t xml:space="preserve">What electricity datasets are </w:t>
      </w:r>
      <w:r w:rsidR="001A341A">
        <w:t>proposed</w:t>
      </w:r>
      <w:r w:rsidR="001A341A" w:rsidRPr="0063696C">
        <w:t xml:space="preserve"> </w:t>
      </w:r>
      <w:r w:rsidR="00803F69" w:rsidRPr="0063696C">
        <w:t>to be covered under the initial energy CDR rules?</w:t>
      </w:r>
      <w:bookmarkEnd w:id="20"/>
      <w:bookmarkEnd w:id="21"/>
    </w:p>
    <w:p w14:paraId="5380A7F2" w14:textId="77777777" w:rsidR="008C0B4C" w:rsidRDefault="00803F69" w:rsidP="00803F69">
      <w:pPr>
        <w:pStyle w:val="ListBullet2"/>
        <w:numPr>
          <w:ilvl w:val="0"/>
          <w:numId w:val="0"/>
        </w:numPr>
        <w:tabs>
          <w:tab w:val="left" w:pos="720"/>
        </w:tabs>
        <w:spacing w:after="200"/>
        <w:rPr>
          <w:rFonts w:asciiTheme="minorHAnsi" w:hAnsiTheme="minorHAnsi"/>
        </w:rPr>
      </w:pPr>
      <w:r w:rsidRPr="0063696C">
        <w:rPr>
          <w:rFonts w:asciiTheme="minorHAnsi" w:hAnsiTheme="minorHAnsi"/>
        </w:rPr>
        <w:t>The table below outlines datasets that may be covered under the initial CDR framework for the energy sector, and our understanding of the entities that currently hold these data sets, noting that the exact nature of the data may vary by data holder.</w:t>
      </w:r>
    </w:p>
    <w:tbl>
      <w:tblPr>
        <w:tblStyle w:val="TableGridLight2"/>
        <w:tblW w:w="0" w:type="auto"/>
        <w:tblInd w:w="0" w:type="dxa"/>
        <w:tblLook w:val="04A0" w:firstRow="1" w:lastRow="0" w:firstColumn="1" w:lastColumn="0" w:noHBand="0" w:noVBand="1"/>
      </w:tblPr>
      <w:tblGrid>
        <w:gridCol w:w="3051"/>
        <w:gridCol w:w="955"/>
        <w:gridCol w:w="1334"/>
        <w:gridCol w:w="1108"/>
        <w:gridCol w:w="1471"/>
        <w:gridCol w:w="1323"/>
      </w:tblGrid>
      <w:tr w:rsidR="00803F69" w:rsidRPr="00220C77" w14:paraId="6C69CBD4" w14:textId="77777777" w:rsidTr="00C610AD">
        <w:tc>
          <w:tcPr>
            <w:tcW w:w="3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B7D33F" w14:textId="77777777" w:rsidR="00803F69" w:rsidRPr="0063696C" w:rsidRDefault="00803F69" w:rsidP="00C610AD">
            <w:pPr>
              <w:rPr>
                <w:b/>
                <w:sz w:val="21"/>
              </w:rPr>
            </w:pPr>
            <w:r w:rsidRPr="0063696C">
              <w:rPr>
                <w:b/>
                <w:sz w:val="21"/>
              </w:rPr>
              <w:t>Types of data that may be subject to the initial CDR in the Energy Sector</w:t>
            </w:r>
          </w:p>
        </w:tc>
        <w:tc>
          <w:tcPr>
            <w:tcW w:w="619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2FD3AD" w14:textId="77777777" w:rsidR="00803F69" w:rsidRPr="0063696C" w:rsidRDefault="00803F69" w:rsidP="00C610AD">
            <w:pPr>
              <w:rPr>
                <w:b/>
                <w:sz w:val="21"/>
              </w:rPr>
            </w:pPr>
            <w:r w:rsidRPr="0063696C">
              <w:rPr>
                <w:b/>
                <w:sz w:val="21"/>
              </w:rPr>
              <w:t>Who currently holds these datasets in the NEM?</w:t>
            </w:r>
          </w:p>
          <w:p w14:paraId="01D8921B" w14:textId="77777777" w:rsidR="00803F69" w:rsidRPr="0063696C" w:rsidRDefault="00803F69" w:rsidP="00C610AD">
            <w:pPr>
              <w:rPr>
                <w:sz w:val="21"/>
                <w:szCs w:val="21"/>
              </w:rPr>
            </w:pPr>
            <w:r w:rsidRPr="0063696C">
              <w:rPr>
                <w:sz w:val="21"/>
              </w:rPr>
              <w:t>Note: the exact nature of the data may vary depending on which entity holds the data.</w:t>
            </w:r>
            <w:r w:rsidRPr="0063696C">
              <w:rPr>
                <w:rStyle w:val="FootnoteReference"/>
                <w:sz w:val="21"/>
                <w:szCs w:val="21"/>
              </w:rPr>
              <w:footnoteReference w:id="8"/>
            </w:r>
            <w:r w:rsidRPr="0063696C">
              <w:rPr>
                <w:sz w:val="21"/>
                <w:szCs w:val="21"/>
              </w:rPr>
              <w:t xml:space="preserve"> </w:t>
            </w:r>
          </w:p>
        </w:tc>
      </w:tr>
      <w:tr w:rsidR="00803F69" w:rsidRPr="00220C77" w14:paraId="3B8C2827" w14:textId="77777777" w:rsidTr="00C610AD">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BD82CC" w14:textId="77777777" w:rsidR="00803F69" w:rsidRPr="0063696C" w:rsidRDefault="00803F69" w:rsidP="00C610AD">
            <w:pPr>
              <w:spacing w:before="0"/>
              <w:rPr>
                <w:b/>
                <w:sz w:val="21"/>
              </w:rPr>
            </w:pPr>
          </w:p>
        </w:tc>
        <w:tc>
          <w:tcPr>
            <w:tcW w:w="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4FA366" w14:textId="77777777" w:rsidR="00803F69" w:rsidRPr="0063696C" w:rsidRDefault="00803F69" w:rsidP="00C610AD">
            <w:pPr>
              <w:rPr>
                <w:b/>
                <w:sz w:val="21"/>
              </w:rPr>
            </w:pPr>
            <w:r w:rsidRPr="0063696C">
              <w:rPr>
                <w:b/>
                <w:sz w:val="21"/>
              </w:rPr>
              <w:t>AEMO</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3C7158" w14:textId="77777777" w:rsidR="00803F69" w:rsidRPr="0063696C" w:rsidRDefault="00803F69" w:rsidP="00C610AD">
            <w:pPr>
              <w:rPr>
                <w:b/>
                <w:sz w:val="21"/>
              </w:rPr>
            </w:pPr>
            <w:r w:rsidRPr="0063696C">
              <w:rPr>
                <w:b/>
                <w:sz w:val="21"/>
              </w:rPr>
              <w:t>AER</w:t>
            </w:r>
            <w:r>
              <w:rPr>
                <w:b/>
                <w:sz w:val="21"/>
              </w:rPr>
              <w:t>/Victoria Energy Compare</w:t>
            </w:r>
          </w:p>
        </w:tc>
        <w:tc>
          <w:tcPr>
            <w:tcW w:w="11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D52F63" w14:textId="77777777" w:rsidR="00803F69" w:rsidRPr="0063696C" w:rsidRDefault="00803F69" w:rsidP="00C610AD">
            <w:pPr>
              <w:rPr>
                <w:b/>
                <w:sz w:val="21"/>
              </w:rPr>
            </w:pPr>
            <w:r w:rsidRPr="0063696C">
              <w:rPr>
                <w:b/>
                <w:sz w:val="21"/>
              </w:rPr>
              <w:t>Retailers</w:t>
            </w:r>
          </w:p>
        </w:tc>
        <w:tc>
          <w:tcPr>
            <w:tcW w:w="1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87AA74" w14:textId="77777777" w:rsidR="00803F69" w:rsidRPr="0063696C" w:rsidRDefault="00803F69" w:rsidP="00C610AD">
            <w:pPr>
              <w:rPr>
                <w:b/>
                <w:sz w:val="21"/>
              </w:rPr>
            </w:pPr>
            <w:r w:rsidRPr="0063696C">
              <w:rPr>
                <w:b/>
                <w:sz w:val="21"/>
              </w:rPr>
              <w:t>Metering Data Providers</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2F48A" w14:textId="77777777" w:rsidR="00803F69" w:rsidRPr="0063696C" w:rsidRDefault="00803F69" w:rsidP="00C610AD">
            <w:pPr>
              <w:rPr>
                <w:b/>
                <w:sz w:val="21"/>
              </w:rPr>
            </w:pPr>
            <w:r w:rsidRPr="0063696C">
              <w:rPr>
                <w:b/>
                <w:sz w:val="21"/>
              </w:rPr>
              <w:t>Distributors</w:t>
            </w:r>
          </w:p>
        </w:tc>
      </w:tr>
      <w:tr w:rsidR="00803F69" w:rsidRPr="00220C77" w14:paraId="3C5BBC55" w14:textId="77777777" w:rsidTr="00C610AD">
        <w:tc>
          <w:tcPr>
            <w:tcW w:w="3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ED27BA" w14:textId="77777777" w:rsidR="00803F69" w:rsidRPr="0063696C" w:rsidRDefault="00803F69" w:rsidP="00C610AD">
            <w:pPr>
              <w:rPr>
                <w:i/>
                <w:sz w:val="21"/>
              </w:rPr>
            </w:pPr>
            <w:r w:rsidRPr="0063696C">
              <w:rPr>
                <w:i/>
                <w:sz w:val="21"/>
              </w:rPr>
              <w:t>NMI Standing data</w:t>
            </w:r>
          </w:p>
          <w:p w14:paraId="4719CFF4" w14:textId="7DD16949" w:rsidR="00803F69" w:rsidRPr="008F7640" w:rsidRDefault="005E28D5" w:rsidP="005E28D5">
            <w:pPr>
              <w:rPr>
                <w:sz w:val="21"/>
                <w:szCs w:val="21"/>
              </w:rPr>
            </w:pPr>
            <w:r>
              <w:rPr>
                <w:sz w:val="21"/>
              </w:rPr>
              <w:t>Connection point information</w:t>
            </w:r>
          </w:p>
        </w:tc>
        <w:tc>
          <w:tcPr>
            <w:tcW w:w="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4BA51F" w14:textId="77777777" w:rsidR="00803F69" w:rsidRPr="0063696C" w:rsidRDefault="00803F69" w:rsidP="00C610AD">
            <w:pPr>
              <w:rPr>
                <w:sz w:val="21"/>
              </w:rPr>
            </w:pPr>
            <w:r w:rsidRPr="0063696C">
              <w:rPr>
                <w:sz w:val="32"/>
              </w:rPr>
              <w:sym w:font="Wingdings" w:char="F0FC"/>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A7C2B" w14:textId="77777777" w:rsidR="00803F69" w:rsidRPr="0063696C" w:rsidRDefault="00803F69" w:rsidP="00C610AD">
            <w:pPr>
              <w:rPr>
                <w:sz w:val="21"/>
              </w:rPr>
            </w:pPr>
          </w:p>
        </w:tc>
        <w:tc>
          <w:tcPr>
            <w:tcW w:w="11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4A324C" w14:textId="77777777" w:rsidR="00803F69" w:rsidRPr="0063696C" w:rsidRDefault="00803F69" w:rsidP="00C610AD">
            <w:pPr>
              <w:rPr>
                <w:sz w:val="21"/>
                <w:szCs w:val="21"/>
              </w:rPr>
            </w:pPr>
            <w:r w:rsidRPr="0063696C">
              <w:rPr>
                <w:sz w:val="32"/>
              </w:rPr>
              <w:sym w:font="Wingdings" w:char="F0FC"/>
            </w:r>
          </w:p>
        </w:tc>
        <w:tc>
          <w:tcPr>
            <w:tcW w:w="1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785BB0" w14:textId="77777777" w:rsidR="00803F69" w:rsidRPr="00B90E46" w:rsidRDefault="00803F69" w:rsidP="00C610AD">
            <w:pPr>
              <w:rPr>
                <w:sz w:val="21"/>
                <w:szCs w:val="21"/>
              </w:rPr>
            </w:pPr>
            <w:r w:rsidRPr="0063696C">
              <w:rPr>
                <w:sz w:val="32"/>
              </w:rPr>
              <w:sym w:font="Wingdings" w:char="F0FC"/>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22CC0" w14:textId="77777777" w:rsidR="00803F69" w:rsidRPr="004C36C8" w:rsidRDefault="00803F69" w:rsidP="00C610AD">
            <w:pPr>
              <w:rPr>
                <w:sz w:val="21"/>
                <w:szCs w:val="21"/>
              </w:rPr>
            </w:pPr>
            <w:r w:rsidRPr="0063696C">
              <w:rPr>
                <w:sz w:val="32"/>
              </w:rPr>
              <w:sym w:font="Wingdings" w:char="F0FC"/>
            </w:r>
          </w:p>
        </w:tc>
      </w:tr>
      <w:tr w:rsidR="00803F69" w:rsidRPr="00220C77" w14:paraId="1448B5EF" w14:textId="77777777" w:rsidTr="00C610AD">
        <w:tc>
          <w:tcPr>
            <w:tcW w:w="3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4E904" w14:textId="77777777" w:rsidR="00803F69" w:rsidRPr="0063696C" w:rsidRDefault="00803F69" w:rsidP="00C610AD">
            <w:pPr>
              <w:rPr>
                <w:i/>
                <w:sz w:val="21"/>
                <w:szCs w:val="21"/>
              </w:rPr>
            </w:pPr>
            <w:r w:rsidRPr="0063696C">
              <w:rPr>
                <w:i/>
                <w:sz w:val="21"/>
              </w:rPr>
              <w:t>Customer provided data</w:t>
            </w:r>
            <w:r w:rsidRPr="0063696C">
              <w:rPr>
                <w:rStyle w:val="FootnoteReference"/>
                <w:i/>
                <w:sz w:val="21"/>
                <w:szCs w:val="21"/>
              </w:rPr>
              <w:footnoteReference w:id="9"/>
            </w:r>
          </w:p>
          <w:p w14:paraId="227BF3A8" w14:textId="7EB0B699" w:rsidR="00803F69" w:rsidRPr="0063696C" w:rsidRDefault="00803F69" w:rsidP="00A64728">
            <w:pPr>
              <w:rPr>
                <w:sz w:val="21"/>
              </w:rPr>
            </w:pPr>
            <w:r w:rsidRPr="00B90E46">
              <w:rPr>
                <w:sz w:val="21"/>
                <w:szCs w:val="21"/>
              </w:rPr>
              <w:t xml:space="preserve">Name of account holder, contact details including billing address/postal address, information provided </w:t>
            </w:r>
            <w:r w:rsidR="00A64728">
              <w:rPr>
                <w:sz w:val="21"/>
                <w:szCs w:val="21"/>
              </w:rPr>
              <w:t>on</w:t>
            </w:r>
            <w:r w:rsidR="00A64728" w:rsidRPr="00B90E46">
              <w:rPr>
                <w:sz w:val="21"/>
                <w:szCs w:val="21"/>
              </w:rPr>
              <w:t xml:space="preserve"> </w:t>
            </w:r>
            <w:r w:rsidRPr="00B90E46">
              <w:rPr>
                <w:sz w:val="21"/>
                <w:szCs w:val="21"/>
              </w:rPr>
              <w:t>customer appliances</w:t>
            </w:r>
            <w:r w:rsidR="00A64728" w:rsidRPr="00B90E46">
              <w:rPr>
                <w:sz w:val="21"/>
                <w:szCs w:val="21"/>
              </w:rPr>
              <w:t>.</w:t>
            </w:r>
          </w:p>
        </w:tc>
        <w:tc>
          <w:tcPr>
            <w:tcW w:w="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3F2629" w14:textId="77777777" w:rsidR="00803F69" w:rsidRPr="0063696C" w:rsidRDefault="00803F69" w:rsidP="00C610AD">
            <w:pPr>
              <w:rPr>
                <w:sz w:val="21"/>
                <w:szCs w:val="21"/>
              </w:rPr>
            </w:pP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A7BA39" w14:textId="77777777" w:rsidR="00803F69" w:rsidRPr="00B90E46" w:rsidRDefault="00803F69" w:rsidP="00C610AD">
            <w:pPr>
              <w:rPr>
                <w:sz w:val="21"/>
                <w:szCs w:val="21"/>
              </w:rPr>
            </w:pPr>
          </w:p>
        </w:tc>
        <w:tc>
          <w:tcPr>
            <w:tcW w:w="11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A019EA" w14:textId="77777777" w:rsidR="00803F69" w:rsidRPr="0063696C" w:rsidRDefault="00803F69" w:rsidP="00C610AD">
            <w:pPr>
              <w:rPr>
                <w:sz w:val="21"/>
                <w:szCs w:val="21"/>
              </w:rPr>
            </w:pPr>
            <w:r w:rsidRPr="0063696C">
              <w:rPr>
                <w:sz w:val="32"/>
              </w:rPr>
              <w:sym w:font="Wingdings" w:char="F0FC"/>
            </w:r>
          </w:p>
        </w:tc>
        <w:tc>
          <w:tcPr>
            <w:tcW w:w="1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0EED91" w14:textId="77777777" w:rsidR="00803F69" w:rsidRPr="0063696C" w:rsidRDefault="00803F69" w:rsidP="00C610AD">
            <w:pPr>
              <w:rPr>
                <w:sz w:val="21"/>
                <w:szCs w:val="21"/>
              </w:rPr>
            </w:pP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BC9910" w14:textId="77777777" w:rsidR="00803F69" w:rsidRPr="0063696C" w:rsidRDefault="00803F69" w:rsidP="00C610AD">
            <w:pPr>
              <w:rPr>
                <w:sz w:val="21"/>
                <w:szCs w:val="21"/>
              </w:rPr>
            </w:pPr>
          </w:p>
        </w:tc>
      </w:tr>
      <w:tr w:rsidR="00803F69" w:rsidRPr="00220C77" w14:paraId="371F1A70" w14:textId="77777777" w:rsidTr="00C610AD">
        <w:tc>
          <w:tcPr>
            <w:tcW w:w="3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78515D" w14:textId="77777777" w:rsidR="00803F69" w:rsidRPr="0063696C" w:rsidRDefault="00803F69" w:rsidP="00C610AD">
            <w:pPr>
              <w:rPr>
                <w:i/>
                <w:sz w:val="21"/>
              </w:rPr>
            </w:pPr>
            <w:r w:rsidRPr="0063696C">
              <w:rPr>
                <w:i/>
                <w:sz w:val="21"/>
              </w:rPr>
              <w:t>Metering data</w:t>
            </w:r>
          </w:p>
          <w:p w14:paraId="56D637D2" w14:textId="13735FF4" w:rsidR="00803F69" w:rsidRPr="0063696C" w:rsidRDefault="00803F69" w:rsidP="005E28D5">
            <w:pPr>
              <w:rPr>
                <w:sz w:val="21"/>
              </w:rPr>
            </w:pPr>
            <w:r w:rsidRPr="0063696C">
              <w:rPr>
                <w:sz w:val="21"/>
              </w:rPr>
              <w:t>Data collected by metering data providers or otherwise estimated or substituted by Met</w:t>
            </w:r>
            <w:r w:rsidR="005E28D5">
              <w:rPr>
                <w:sz w:val="21"/>
              </w:rPr>
              <w:t>ering Data Providers</w:t>
            </w:r>
          </w:p>
        </w:tc>
        <w:tc>
          <w:tcPr>
            <w:tcW w:w="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2867BA" w14:textId="77777777" w:rsidR="00803F69" w:rsidRPr="0063696C" w:rsidRDefault="00803F69" w:rsidP="00C610AD">
            <w:pPr>
              <w:rPr>
                <w:sz w:val="21"/>
                <w:szCs w:val="21"/>
              </w:rPr>
            </w:pPr>
            <w:r w:rsidRPr="0063696C">
              <w:rPr>
                <w:sz w:val="32"/>
              </w:rPr>
              <w:sym w:font="Wingdings" w:char="F0FC"/>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202EBF" w14:textId="77777777" w:rsidR="00803F69" w:rsidRPr="00B90E46" w:rsidRDefault="00803F69" w:rsidP="00C610AD">
            <w:pPr>
              <w:rPr>
                <w:sz w:val="21"/>
                <w:szCs w:val="21"/>
              </w:rPr>
            </w:pPr>
          </w:p>
        </w:tc>
        <w:tc>
          <w:tcPr>
            <w:tcW w:w="11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AE500C" w14:textId="77777777" w:rsidR="00803F69" w:rsidRPr="0063696C" w:rsidRDefault="00803F69" w:rsidP="00C610AD">
            <w:pPr>
              <w:rPr>
                <w:sz w:val="21"/>
                <w:szCs w:val="21"/>
              </w:rPr>
            </w:pPr>
            <w:r w:rsidRPr="0063696C">
              <w:rPr>
                <w:sz w:val="32"/>
              </w:rPr>
              <w:sym w:font="Wingdings" w:char="F0FC"/>
            </w:r>
          </w:p>
        </w:tc>
        <w:tc>
          <w:tcPr>
            <w:tcW w:w="1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419D2C" w14:textId="77777777" w:rsidR="00803F69" w:rsidRPr="0063696C" w:rsidRDefault="00803F69" w:rsidP="00C610AD">
            <w:pPr>
              <w:rPr>
                <w:sz w:val="21"/>
                <w:szCs w:val="21"/>
              </w:rPr>
            </w:pPr>
            <w:r w:rsidRPr="0063696C">
              <w:rPr>
                <w:sz w:val="32"/>
              </w:rPr>
              <w:sym w:font="Wingdings" w:char="F0FC"/>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377F65" w14:textId="77777777" w:rsidR="00803F69" w:rsidRPr="0063696C" w:rsidRDefault="00803F69" w:rsidP="00C610AD">
            <w:pPr>
              <w:rPr>
                <w:sz w:val="21"/>
                <w:szCs w:val="21"/>
              </w:rPr>
            </w:pPr>
            <w:r w:rsidRPr="0063696C">
              <w:rPr>
                <w:sz w:val="32"/>
              </w:rPr>
              <w:sym w:font="Wingdings" w:char="F0FC"/>
            </w:r>
          </w:p>
        </w:tc>
      </w:tr>
      <w:tr w:rsidR="00803F69" w:rsidRPr="00220C77" w14:paraId="50D62E93" w14:textId="77777777" w:rsidTr="00C610AD">
        <w:tc>
          <w:tcPr>
            <w:tcW w:w="3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5FEDF" w14:textId="77777777" w:rsidR="00803F69" w:rsidRPr="0063696C" w:rsidRDefault="00803F69" w:rsidP="00C610AD">
            <w:pPr>
              <w:rPr>
                <w:i/>
                <w:sz w:val="21"/>
              </w:rPr>
            </w:pPr>
            <w:r w:rsidRPr="0063696C">
              <w:rPr>
                <w:i/>
                <w:sz w:val="21"/>
              </w:rPr>
              <w:t>Billing data</w:t>
            </w:r>
          </w:p>
          <w:p w14:paraId="7B4F9616" w14:textId="5C5A0171" w:rsidR="00803F69" w:rsidRPr="0063696C" w:rsidRDefault="00803F69" w:rsidP="00A64728">
            <w:pPr>
              <w:rPr>
                <w:sz w:val="21"/>
              </w:rPr>
            </w:pPr>
            <w:r w:rsidRPr="0063696C">
              <w:rPr>
                <w:sz w:val="21"/>
              </w:rPr>
              <w:t xml:space="preserve">Historical billing information for each connection point to which </w:t>
            </w:r>
            <w:r w:rsidR="005E28D5">
              <w:rPr>
                <w:sz w:val="21"/>
              </w:rPr>
              <w:t>electricity</w:t>
            </w:r>
            <w:r w:rsidR="00A64728">
              <w:rPr>
                <w:sz w:val="21"/>
              </w:rPr>
              <w:t xml:space="preserve"> is delivered. </w:t>
            </w:r>
          </w:p>
        </w:tc>
        <w:tc>
          <w:tcPr>
            <w:tcW w:w="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DCB78" w14:textId="77777777" w:rsidR="00803F69" w:rsidRPr="0063696C" w:rsidRDefault="00803F69" w:rsidP="00C610AD">
            <w:pPr>
              <w:rPr>
                <w:sz w:val="21"/>
              </w:rPr>
            </w:pP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38FA3" w14:textId="77777777" w:rsidR="00803F69" w:rsidRPr="0063696C" w:rsidRDefault="00803F69" w:rsidP="00C610AD">
            <w:pPr>
              <w:rPr>
                <w:sz w:val="21"/>
                <w:szCs w:val="21"/>
              </w:rPr>
            </w:pPr>
          </w:p>
        </w:tc>
        <w:tc>
          <w:tcPr>
            <w:tcW w:w="11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9A4045" w14:textId="77777777" w:rsidR="00803F69" w:rsidRPr="0063696C" w:rsidRDefault="00803F69" w:rsidP="00C610AD">
            <w:pPr>
              <w:rPr>
                <w:sz w:val="21"/>
                <w:szCs w:val="21"/>
              </w:rPr>
            </w:pPr>
            <w:r w:rsidRPr="0063696C">
              <w:rPr>
                <w:sz w:val="32"/>
              </w:rPr>
              <w:sym w:font="Wingdings" w:char="F0FC"/>
            </w:r>
          </w:p>
        </w:tc>
        <w:tc>
          <w:tcPr>
            <w:tcW w:w="1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09206" w14:textId="77777777" w:rsidR="00803F69" w:rsidRPr="00B90E46" w:rsidRDefault="00803F69" w:rsidP="00C610AD">
            <w:pPr>
              <w:rPr>
                <w:sz w:val="21"/>
                <w:szCs w:val="21"/>
              </w:rPr>
            </w:pP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0ECCDE" w14:textId="77777777" w:rsidR="00803F69" w:rsidRPr="004C36C8" w:rsidRDefault="00803F69" w:rsidP="00C610AD">
            <w:pPr>
              <w:rPr>
                <w:sz w:val="21"/>
                <w:szCs w:val="21"/>
              </w:rPr>
            </w:pPr>
          </w:p>
        </w:tc>
      </w:tr>
    </w:tbl>
    <w:p w14:paraId="259A3E00" w14:textId="7D4B428E" w:rsidR="005E28D5" w:rsidRDefault="005E28D5"/>
    <w:p w14:paraId="22DFC312" w14:textId="77777777" w:rsidR="005E28D5" w:rsidRDefault="005E28D5"/>
    <w:p w14:paraId="785E1B04" w14:textId="77777777" w:rsidR="005E28D5" w:rsidRDefault="005E28D5"/>
    <w:tbl>
      <w:tblPr>
        <w:tblStyle w:val="TableGridLight2"/>
        <w:tblW w:w="0" w:type="auto"/>
        <w:tblInd w:w="0" w:type="dxa"/>
        <w:tblLook w:val="04A0" w:firstRow="1" w:lastRow="0" w:firstColumn="1" w:lastColumn="0" w:noHBand="0" w:noVBand="1"/>
      </w:tblPr>
      <w:tblGrid>
        <w:gridCol w:w="3051"/>
        <w:gridCol w:w="955"/>
        <w:gridCol w:w="1334"/>
        <w:gridCol w:w="1108"/>
        <w:gridCol w:w="1471"/>
        <w:gridCol w:w="1323"/>
      </w:tblGrid>
      <w:tr w:rsidR="005E28D5" w:rsidRPr="0063696C" w14:paraId="491ACE5E" w14:textId="77777777" w:rsidTr="00275B69">
        <w:tc>
          <w:tcPr>
            <w:tcW w:w="3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56F64" w14:textId="77777777" w:rsidR="005E28D5" w:rsidRPr="0063696C" w:rsidRDefault="005E28D5" w:rsidP="00275B69">
            <w:pPr>
              <w:rPr>
                <w:b/>
                <w:sz w:val="21"/>
              </w:rPr>
            </w:pPr>
            <w:r w:rsidRPr="0063696C">
              <w:rPr>
                <w:b/>
                <w:sz w:val="21"/>
              </w:rPr>
              <w:t>Types of data that may be subject to the initial CDR in the Energy Sector</w:t>
            </w:r>
          </w:p>
        </w:tc>
        <w:tc>
          <w:tcPr>
            <w:tcW w:w="619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6F2280" w14:textId="77777777" w:rsidR="005E28D5" w:rsidRPr="0063696C" w:rsidRDefault="005E28D5" w:rsidP="00275B69">
            <w:pPr>
              <w:rPr>
                <w:b/>
                <w:sz w:val="21"/>
              </w:rPr>
            </w:pPr>
            <w:r w:rsidRPr="0063696C">
              <w:rPr>
                <w:b/>
                <w:sz w:val="21"/>
              </w:rPr>
              <w:t>Who currently holds these datasets in the NEM?</w:t>
            </w:r>
          </w:p>
          <w:p w14:paraId="318B53CE" w14:textId="46F2AC6F" w:rsidR="005E28D5" w:rsidRPr="0063696C" w:rsidRDefault="005E28D5" w:rsidP="004360C8">
            <w:pPr>
              <w:rPr>
                <w:sz w:val="21"/>
                <w:szCs w:val="21"/>
              </w:rPr>
            </w:pPr>
            <w:r w:rsidRPr="0063696C">
              <w:rPr>
                <w:sz w:val="21"/>
              </w:rPr>
              <w:t>Note: the exact nature of the data may vary depending on which entity holds the data.</w:t>
            </w:r>
            <w:r w:rsidRPr="0063696C">
              <w:rPr>
                <w:sz w:val="21"/>
                <w:szCs w:val="21"/>
              </w:rPr>
              <w:t xml:space="preserve"> </w:t>
            </w:r>
          </w:p>
        </w:tc>
      </w:tr>
      <w:tr w:rsidR="005E28D5" w:rsidRPr="0063696C" w14:paraId="7485E05C" w14:textId="77777777" w:rsidTr="00275B69">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6BBF65" w14:textId="77777777" w:rsidR="005E28D5" w:rsidRPr="0063696C" w:rsidRDefault="005E28D5" w:rsidP="00275B69">
            <w:pPr>
              <w:spacing w:before="0"/>
              <w:rPr>
                <w:b/>
                <w:sz w:val="21"/>
              </w:rPr>
            </w:pPr>
          </w:p>
        </w:tc>
        <w:tc>
          <w:tcPr>
            <w:tcW w:w="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9A57F6" w14:textId="77777777" w:rsidR="005E28D5" w:rsidRPr="0063696C" w:rsidRDefault="005E28D5" w:rsidP="00275B69">
            <w:pPr>
              <w:rPr>
                <w:b/>
                <w:sz w:val="21"/>
              </w:rPr>
            </w:pPr>
            <w:r w:rsidRPr="0063696C">
              <w:rPr>
                <w:b/>
                <w:sz w:val="21"/>
              </w:rPr>
              <w:t>AEMO</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2D6324" w14:textId="77777777" w:rsidR="005E28D5" w:rsidRPr="0063696C" w:rsidRDefault="005E28D5" w:rsidP="00275B69">
            <w:pPr>
              <w:rPr>
                <w:b/>
                <w:sz w:val="21"/>
              </w:rPr>
            </w:pPr>
            <w:r w:rsidRPr="0063696C">
              <w:rPr>
                <w:b/>
                <w:sz w:val="21"/>
              </w:rPr>
              <w:t>AER</w:t>
            </w:r>
            <w:r>
              <w:rPr>
                <w:b/>
                <w:sz w:val="21"/>
              </w:rPr>
              <w:t>/Victoria Energy Compare</w:t>
            </w:r>
          </w:p>
        </w:tc>
        <w:tc>
          <w:tcPr>
            <w:tcW w:w="11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412FB3" w14:textId="77777777" w:rsidR="005E28D5" w:rsidRPr="0063696C" w:rsidRDefault="005E28D5" w:rsidP="00275B69">
            <w:pPr>
              <w:rPr>
                <w:b/>
                <w:sz w:val="21"/>
              </w:rPr>
            </w:pPr>
            <w:r w:rsidRPr="0063696C">
              <w:rPr>
                <w:b/>
                <w:sz w:val="21"/>
              </w:rPr>
              <w:t>Retailers</w:t>
            </w:r>
          </w:p>
        </w:tc>
        <w:tc>
          <w:tcPr>
            <w:tcW w:w="1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CFB4C6" w14:textId="77777777" w:rsidR="005E28D5" w:rsidRPr="0063696C" w:rsidRDefault="005E28D5" w:rsidP="00275B69">
            <w:pPr>
              <w:rPr>
                <w:b/>
                <w:sz w:val="21"/>
              </w:rPr>
            </w:pPr>
            <w:r w:rsidRPr="0063696C">
              <w:rPr>
                <w:b/>
                <w:sz w:val="21"/>
              </w:rPr>
              <w:t>Metering Data Providers</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570C76" w14:textId="77777777" w:rsidR="005E28D5" w:rsidRPr="0063696C" w:rsidRDefault="005E28D5" w:rsidP="00275B69">
            <w:pPr>
              <w:rPr>
                <w:b/>
                <w:sz w:val="21"/>
              </w:rPr>
            </w:pPr>
            <w:r w:rsidRPr="0063696C">
              <w:rPr>
                <w:b/>
                <w:sz w:val="21"/>
              </w:rPr>
              <w:t>Distributors</w:t>
            </w:r>
          </w:p>
        </w:tc>
      </w:tr>
      <w:tr w:rsidR="00803F69" w:rsidRPr="00220C77" w14:paraId="4B27B513" w14:textId="77777777" w:rsidTr="00C610AD">
        <w:tc>
          <w:tcPr>
            <w:tcW w:w="3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C593A5" w14:textId="66CE0413" w:rsidR="00803F69" w:rsidRPr="0063696C" w:rsidRDefault="00803F69" w:rsidP="00C610AD">
            <w:pPr>
              <w:rPr>
                <w:i/>
                <w:sz w:val="21"/>
              </w:rPr>
            </w:pPr>
            <w:r w:rsidRPr="0063696C">
              <w:rPr>
                <w:i/>
                <w:sz w:val="21"/>
              </w:rPr>
              <w:t>Product data</w:t>
            </w:r>
            <w:r>
              <w:rPr>
                <w:i/>
                <w:sz w:val="21"/>
              </w:rPr>
              <w:t xml:space="preserve"> </w:t>
            </w:r>
            <w:r w:rsidR="00582FA0">
              <w:rPr>
                <w:i/>
                <w:sz w:val="21"/>
              </w:rPr>
              <w:t>–</w:t>
            </w:r>
            <w:r>
              <w:rPr>
                <w:i/>
                <w:sz w:val="21"/>
              </w:rPr>
              <w:t xml:space="preserve"> generic</w:t>
            </w:r>
            <w:r w:rsidR="00582FA0">
              <w:rPr>
                <w:i/>
                <w:sz w:val="21"/>
              </w:rPr>
              <w:t xml:space="preserve"> and tailored</w:t>
            </w:r>
          </w:p>
          <w:p w14:paraId="0DBDFD68" w14:textId="770719CD" w:rsidR="00803F69" w:rsidRPr="0063696C" w:rsidRDefault="00803F69" w:rsidP="00351336">
            <w:pPr>
              <w:rPr>
                <w:sz w:val="21"/>
              </w:rPr>
            </w:pPr>
            <w:r w:rsidRPr="0063696C">
              <w:rPr>
                <w:sz w:val="21"/>
              </w:rPr>
              <w:t>Retail tariffs, usage charges, applicable discounts for the sup</w:t>
            </w:r>
            <w:r w:rsidR="005E28D5">
              <w:rPr>
                <w:sz w:val="21"/>
              </w:rPr>
              <w:t xml:space="preserve">ply of electricity to </w:t>
            </w:r>
            <w:r w:rsidR="00582FA0">
              <w:rPr>
                <w:sz w:val="21"/>
              </w:rPr>
              <w:t xml:space="preserve">all </w:t>
            </w:r>
            <w:r w:rsidR="005E28D5">
              <w:rPr>
                <w:sz w:val="21"/>
              </w:rPr>
              <w:t>consumers</w:t>
            </w:r>
            <w:r w:rsidR="00582FA0">
              <w:rPr>
                <w:sz w:val="21"/>
              </w:rPr>
              <w:t xml:space="preserve"> and products tailored to a specific consumer </w:t>
            </w:r>
            <w:r w:rsidR="00351336">
              <w:rPr>
                <w:sz w:val="21"/>
              </w:rPr>
              <w:t xml:space="preserve">as well. </w:t>
            </w:r>
          </w:p>
        </w:tc>
        <w:tc>
          <w:tcPr>
            <w:tcW w:w="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F37CD" w14:textId="77777777" w:rsidR="00803F69" w:rsidRPr="0063696C" w:rsidRDefault="00803F69" w:rsidP="00C610AD">
            <w:pPr>
              <w:rPr>
                <w:sz w:val="21"/>
              </w:rPr>
            </w:pP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C9613" w14:textId="77777777" w:rsidR="00803F69" w:rsidRPr="0063696C" w:rsidRDefault="00803F69" w:rsidP="00C610AD">
            <w:pPr>
              <w:rPr>
                <w:sz w:val="21"/>
              </w:rPr>
            </w:pPr>
            <w:r w:rsidRPr="0063696C">
              <w:rPr>
                <w:sz w:val="32"/>
              </w:rPr>
              <w:sym w:font="Wingdings" w:char="F0FC"/>
            </w:r>
          </w:p>
        </w:tc>
        <w:tc>
          <w:tcPr>
            <w:tcW w:w="11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6589B" w14:textId="77777777" w:rsidR="00803F69" w:rsidRPr="0063696C" w:rsidRDefault="00803F69" w:rsidP="00C610AD">
            <w:pPr>
              <w:rPr>
                <w:sz w:val="21"/>
                <w:szCs w:val="21"/>
              </w:rPr>
            </w:pPr>
            <w:r w:rsidRPr="0063696C">
              <w:rPr>
                <w:sz w:val="32"/>
              </w:rPr>
              <w:sym w:font="Wingdings" w:char="F0FC"/>
            </w:r>
          </w:p>
        </w:tc>
        <w:tc>
          <w:tcPr>
            <w:tcW w:w="1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51F5F8" w14:textId="77777777" w:rsidR="00803F69" w:rsidRPr="00B90E46" w:rsidRDefault="00803F69" w:rsidP="00C610AD">
            <w:pPr>
              <w:rPr>
                <w:sz w:val="21"/>
                <w:szCs w:val="21"/>
              </w:rPr>
            </w:pP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605C2" w14:textId="77777777" w:rsidR="00803F69" w:rsidRPr="0063696C" w:rsidRDefault="00803F69" w:rsidP="00C610AD">
            <w:pPr>
              <w:rPr>
                <w:sz w:val="21"/>
                <w:szCs w:val="21"/>
              </w:rPr>
            </w:pPr>
          </w:p>
        </w:tc>
      </w:tr>
      <w:tr w:rsidR="00803F69" w:rsidRPr="00220C77" w14:paraId="17457332" w14:textId="77777777" w:rsidTr="00C610AD">
        <w:tc>
          <w:tcPr>
            <w:tcW w:w="3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AD97B" w14:textId="77777777" w:rsidR="00F25DB2" w:rsidRDefault="00803F69" w:rsidP="00C610AD">
            <w:pPr>
              <w:rPr>
                <w:i/>
                <w:sz w:val="21"/>
              </w:rPr>
            </w:pPr>
            <w:r>
              <w:rPr>
                <w:i/>
                <w:sz w:val="21"/>
              </w:rPr>
              <w:t>Distributed Energy Resource Register</w:t>
            </w:r>
          </w:p>
          <w:p w14:paraId="5FAB9562" w14:textId="11803264" w:rsidR="00803F69" w:rsidRPr="005E28D5" w:rsidRDefault="00F25DB2" w:rsidP="00C610AD">
            <w:pPr>
              <w:rPr>
                <w:i/>
                <w:sz w:val="21"/>
              </w:rPr>
            </w:pPr>
            <w:r w:rsidRPr="00351336">
              <w:rPr>
                <w:sz w:val="21"/>
              </w:rPr>
              <w:t>Register of DER technology installed at a residential consumer’s premises</w:t>
            </w:r>
          </w:p>
        </w:tc>
        <w:tc>
          <w:tcPr>
            <w:tcW w:w="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EB228" w14:textId="77777777" w:rsidR="00803F69" w:rsidRPr="0063696C" w:rsidRDefault="00803F69" w:rsidP="00C610AD">
            <w:pPr>
              <w:rPr>
                <w:sz w:val="21"/>
              </w:rPr>
            </w:pPr>
            <w:r w:rsidRPr="0063696C">
              <w:rPr>
                <w:sz w:val="32"/>
              </w:rPr>
              <w:sym w:font="Wingdings" w:char="F0FC"/>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559568" w14:textId="77777777" w:rsidR="00803F69" w:rsidRPr="0063696C" w:rsidRDefault="00803F69" w:rsidP="00C610AD">
            <w:pPr>
              <w:rPr>
                <w:sz w:val="32"/>
              </w:rPr>
            </w:pPr>
          </w:p>
        </w:tc>
        <w:tc>
          <w:tcPr>
            <w:tcW w:w="11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16756" w14:textId="77777777" w:rsidR="00803F69" w:rsidRPr="0063696C" w:rsidRDefault="00803F69" w:rsidP="00C610AD">
            <w:pPr>
              <w:rPr>
                <w:sz w:val="32"/>
              </w:rPr>
            </w:pPr>
          </w:p>
        </w:tc>
        <w:tc>
          <w:tcPr>
            <w:tcW w:w="1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F61CB2" w14:textId="77777777" w:rsidR="00803F69" w:rsidRPr="00B90E46" w:rsidRDefault="00803F69" w:rsidP="00C610AD">
            <w:pPr>
              <w:rPr>
                <w:sz w:val="21"/>
                <w:szCs w:val="21"/>
              </w:rPr>
            </w:pP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79E6C" w14:textId="77777777" w:rsidR="00803F69" w:rsidRPr="0063696C" w:rsidRDefault="00803F69" w:rsidP="00C610AD">
            <w:pPr>
              <w:rPr>
                <w:sz w:val="21"/>
                <w:szCs w:val="21"/>
              </w:rPr>
            </w:pPr>
          </w:p>
        </w:tc>
      </w:tr>
    </w:tbl>
    <w:p w14:paraId="24777293" w14:textId="77777777" w:rsidR="001A341A" w:rsidRDefault="001A341A" w:rsidP="008C0B4C">
      <w:pPr>
        <w:pStyle w:val="ListParagraph"/>
        <w:numPr>
          <w:ilvl w:val="0"/>
          <w:numId w:val="0"/>
        </w:numPr>
        <w:rPr>
          <w:rFonts w:asciiTheme="minorHAnsi" w:hAnsiTheme="minorHAnsi"/>
          <w:b/>
        </w:rPr>
      </w:pPr>
    </w:p>
    <w:p w14:paraId="3C398B66" w14:textId="3F2D57DF" w:rsidR="00151803" w:rsidRDefault="00803F69" w:rsidP="008C0B4C">
      <w:pPr>
        <w:pStyle w:val="ListParagraph"/>
        <w:numPr>
          <w:ilvl w:val="0"/>
          <w:numId w:val="0"/>
        </w:numPr>
        <w:rPr>
          <w:rFonts w:asciiTheme="minorHAnsi" w:hAnsiTheme="minorHAnsi"/>
          <w:b/>
        </w:rPr>
      </w:pPr>
      <w:r w:rsidRPr="00AE246B">
        <w:rPr>
          <w:rFonts w:asciiTheme="minorHAnsi" w:hAnsiTheme="minorHAnsi"/>
          <w:b/>
        </w:rPr>
        <w:t xml:space="preserve">Question </w:t>
      </w:r>
      <w:r w:rsidR="00DD34D6">
        <w:rPr>
          <w:rFonts w:asciiTheme="minorHAnsi" w:hAnsiTheme="minorHAnsi"/>
          <w:b/>
        </w:rPr>
        <w:t>1</w:t>
      </w:r>
      <w:r w:rsidR="00A50DF4">
        <w:rPr>
          <w:rFonts w:asciiTheme="minorHAnsi" w:hAnsiTheme="minorHAnsi"/>
          <w:b/>
        </w:rPr>
        <w:t>4</w:t>
      </w:r>
      <w:r w:rsidRPr="00AE246B">
        <w:rPr>
          <w:rFonts w:asciiTheme="minorHAnsi" w:hAnsiTheme="minorHAnsi"/>
          <w:b/>
        </w:rPr>
        <w:t>:</w:t>
      </w:r>
      <w:r>
        <w:rPr>
          <w:rFonts w:asciiTheme="minorHAnsi" w:hAnsiTheme="minorHAnsi"/>
          <w:b/>
        </w:rPr>
        <w:t xml:space="preserve"> Does this table accurately map the holders of the various classes of data described in this paper? If not, what classes of data do you not hold, or what qualifications would you place on the categories of data held?</w:t>
      </w:r>
    </w:p>
    <w:p w14:paraId="2F5D7A20" w14:textId="77777777" w:rsidR="008C0B4C" w:rsidRPr="00332897" w:rsidRDefault="008C0B4C" w:rsidP="008C0B4C">
      <w:pPr>
        <w:pStyle w:val="Heading2"/>
      </w:pPr>
      <w:bookmarkStart w:id="22" w:name="_Toc525911943"/>
      <w:bookmarkStart w:id="23" w:name="_Toc9511731"/>
      <w:r w:rsidRPr="00332897">
        <w:t>Complex energy data sets for future implementation</w:t>
      </w:r>
      <w:bookmarkEnd w:id="22"/>
      <w:bookmarkEnd w:id="23"/>
    </w:p>
    <w:p w14:paraId="3022E781" w14:textId="77777777" w:rsidR="008C0B4C" w:rsidRPr="004C36C8" w:rsidRDefault="008C0B4C" w:rsidP="008C0B4C">
      <w:r w:rsidRPr="0063696C">
        <w:t>There are a series of energy sector data sets that are unlikely to be considered in the</w:t>
      </w:r>
      <w:r w:rsidRPr="00B90E46">
        <w:t xml:space="preserve"> initial CDR implementation, listed below (note, this list is not exhaustive). There are various reasons for the versioning of the implementation of the CDR in energy, most importantly that the roll out is focused on data sets which cover the largest numbe</w:t>
      </w:r>
      <w:r w:rsidRPr="004C36C8">
        <w:t>rs of consumers in the sector and those that can be accessed most efficiently in the timeframes set out for the initial version of the regime.</w:t>
      </w:r>
    </w:p>
    <w:p w14:paraId="46181D73" w14:textId="0C385ACC" w:rsidR="008C0B4C" w:rsidRPr="008F7640" w:rsidRDefault="008C0B4C" w:rsidP="008C0B4C">
      <w:r w:rsidRPr="004C36C8">
        <w:t xml:space="preserve">Future CDR-relevant data sets </w:t>
      </w:r>
      <w:r w:rsidR="00FF6E12">
        <w:t xml:space="preserve">may </w:t>
      </w:r>
      <w:r w:rsidRPr="004C36C8">
        <w:t>include:</w:t>
      </w:r>
    </w:p>
    <w:p w14:paraId="262E9999" w14:textId="77777777" w:rsidR="008C0B4C" w:rsidRPr="00326C48" w:rsidRDefault="008C0B4C" w:rsidP="008C0B4C">
      <w:pPr>
        <w:pStyle w:val="Bulletpoint"/>
        <w:tabs>
          <w:tab w:val="clear" w:pos="425"/>
        </w:tabs>
        <w:rPr>
          <w:rFonts w:asciiTheme="minorHAnsi" w:hAnsiTheme="minorHAnsi"/>
          <w:i/>
        </w:rPr>
      </w:pPr>
      <w:r w:rsidRPr="00326C48">
        <w:rPr>
          <w:rFonts w:asciiTheme="minorHAnsi" w:hAnsiTheme="minorHAnsi"/>
          <w:i/>
        </w:rPr>
        <w:t>Non-NEM electricity metering and connection point data</w:t>
      </w:r>
    </w:p>
    <w:p w14:paraId="64C74DBC" w14:textId="77777777" w:rsidR="008C0B4C" w:rsidRDefault="008C0B4C" w:rsidP="008C0B4C">
      <w:pPr>
        <w:pStyle w:val="Bulletpoint"/>
        <w:tabs>
          <w:tab w:val="clear" w:pos="425"/>
        </w:tabs>
        <w:ind w:firstLine="0"/>
        <w:rPr>
          <w:rFonts w:asciiTheme="minorHAnsi" w:hAnsiTheme="minorHAnsi"/>
        </w:rPr>
      </w:pPr>
      <w:r>
        <w:rPr>
          <w:rFonts w:asciiTheme="minorHAnsi" w:hAnsiTheme="minorHAnsi"/>
        </w:rPr>
        <w:t xml:space="preserve">Consumer datasets covering non-NEM jurisdictions – namely the WEM, Darwin-Katherine Interconnected System, Mt Isa, and the North West Interconnected System (in WA). </w:t>
      </w:r>
    </w:p>
    <w:p w14:paraId="4CFE0641" w14:textId="77777777" w:rsidR="008C0B4C" w:rsidRPr="004D18F5" w:rsidRDefault="008C0B4C" w:rsidP="008C0B4C">
      <w:pPr>
        <w:pStyle w:val="Bulletpoint"/>
        <w:tabs>
          <w:tab w:val="clear" w:pos="425"/>
        </w:tabs>
        <w:rPr>
          <w:rFonts w:asciiTheme="minorHAnsi" w:hAnsiTheme="minorHAnsi"/>
          <w:i/>
        </w:rPr>
      </w:pPr>
      <w:r w:rsidRPr="004D18F5">
        <w:rPr>
          <w:rFonts w:asciiTheme="minorHAnsi" w:hAnsiTheme="minorHAnsi"/>
          <w:i/>
        </w:rPr>
        <w:t>Gas metering and retail product data</w:t>
      </w:r>
    </w:p>
    <w:p w14:paraId="4842C71A" w14:textId="77777777" w:rsidR="008C0B4C" w:rsidRPr="00683CE8" w:rsidRDefault="008C0B4C" w:rsidP="008C0B4C">
      <w:pPr>
        <w:pStyle w:val="Bulletpoint"/>
        <w:tabs>
          <w:tab w:val="clear" w:pos="425"/>
        </w:tabs>
        <w:ind w:firstLine="0"/>
        <w:rPr>
          <w:rFonts w:asciiTheme="minorHAnsi" w:hAnsiTheme="minorHAnsi"/>
        </w:rPr>
      </w:pPr>
      <w:r w:rsidRPr="00326C48">
        <w:rPr>
          <w:rFonts w:asciiTheme="minorHAnsi" w:hAnsiTheme="minorHAnsi"/>
        </w:rPr>
        <w:t>To provide</w:t>
      </w:r>
      <w:r>
        <w:rPr>
          <w:rFonts w:asciiTheme="minorHAnsi" w:hAnsiTheme="minorHAnsi"/>
        </w:rPr>
        <w:t xml:space="preserve"> consumers with more tailored options to reduce the overall cost of energy consumption, including on the costs and benefits of switching between natural gas and electricity for hot water, heating, and cooking demand.  </w:t>
      </w:r>
    </w:p>
    <w:p w14:paraId="44DD01F8" w14:textId="77777777" w:rsidR="008C0B4C" w:rsidRPr="00326C48" w:rsidRDefault="008C0B4C" w:rsidP="008C0B4C">
      <w:pPr>
        <w:pStyle w:val="Bulletpoint"/>
        <w:tabs>
          <w:tab w:val="clear" w:pos="425"/>
        </w:tabs>
        <w:rPr>
          <w:rFonts w:asciiTheme="minorHAnsi" w:hAnsiTheme="minorHAnsi"/>
          <w:b/>
          <w:i/>
        </w:rPr>
      </w:pPr>
      <w:r w:rsidRPr="00326C48">
        <w:rPr>
          <w:rFonts w:asciiTheme="minorHAnsi" w:hAnsiTheme="minorHAnsi"/>
          <w:i/>
        </w:rPr>
        <w:t>Electricity data for embedded network</w:t>
      </w:r>
      <w:r>
        <w:rPr>
          <w:rFonts w:asciiTheme="minorHAnsi" w:hAnsiTheme="minorHAnsi"/>
          <w:i/>
        </w:rPr>
        <w:t xml:space="preserve"> customers</w:t>
      </w:r>
    </w:p>
    <w:p w14:paraId="6DA1528B" w14:textId="5D9C6937" w:rsidR="008C0B4C" w:rsidRDefault="008C0B4C" w:rsidP="008C0B4C">
      <w:pPr>
        <w:pStyle w:val="Bulletpoint"/>
        <w:tabs>
          <w:tab w:val="clear" w:pos="425"/>
        </w:tabs>
        <w:ind w:firstLine="0"/>
        <w:rPr>
          <w:rFonts w:asciiTheme="minorHAnsi" w:hAnsiTheme="minorHAnsi"/>
        </w:rPr>
      </w:pPr>
      <w:r>
        <w:rPr>
          <w:rFonts w:asciiTheme="minorHAnsi" w:hAnsiTheme="minorHAnsi"/>
        </w:rPr>
        <w:t xml:space="preserve">Currently customers in embedded networks (e.g. caravan parks, apartment buildings, shopping centres) face a number of barriers to accessing competitive retail energy offers. The AEMC are currently progressing a number of rule changes to improve access to market for this subset of customers and designating metering data on Embedded Network Companies would at this stage be premature. </w:t>
      </w:r>
    </w:p>
    <w:p w14:paraId="60E89B53" w14:textId="3D998B7B" w:rsidR="008C0B4C" w:rsidRPr="00AE246B" w:rsidRDefault="008C0B4C" w:rsidP="008C0B4C">
      <w:pPr>
        <w:pStyle w:val="ListParagraph"/>
        <w:numPr>
          <w:ilvl w:val="0"/>
          <w:numId w:val="0"/>
        </w:numPr>
        <w:rPr>
          <w:rFonts w:asciiTheme="minorHAnsi" w:hAnsiTheme="minorHAnsi"/>
          <w:b/>
        </w:rPr>
      </w:pPr>
      <w:r w:rsidRPr="00AE246B">
        <w:rPr>
          <w:rFonts w:asciiTheme="minorHAnsi" w:hAnsiTheme="minorHAnsi"/>
          <w:b/>
        </w:rPr>
        <w:t xml:space="preserve">Question </w:t>
      </w:r>
      <w:r w:rsidR="00DD34D6">
        <w:rPr>
          <w:rFonts w:asciiTheme="minorHAnsi" w:hAnsiTheme="minorHAnsi"/>
          <w:b/>
        </w:rPr>
        <w:t>1</w:t>
      </w:r>
      <w:r w:rsidR="00A50DF4">
        <w:rPr>
          <w:rFonts w:asciiTheme="minorHAnsi" w:hAnsiTheme="minorHAnsi"/>
          <w:b/>
        </w:rPr>
        <w:t>5</w:t>
      </w:r>
      <w:r w:rsidRPr="00AE246B">
        <w:rPr>
          <w:rFonts w:asciiTheme="minorHAnsi" w:hAnsiTheme="minorHAnsi"/>
          <w:b/>
        </w:rPr>
        <w:t>:</w:t>
      </w:r>
      <w:r>
        <w:rPr>
          <w:rFonts w:asciiTheme="minorHAnsi" w:hAnsiTheme="minorHAnsi"/>
          <w:b/>
        </w:rPr>
        <w:t xml:space="preserve"> What other datasets do stakeholders believe should be considered for future implementation</w:t>
      </w:r>
      <w:r w:rsidRPr="00AE246B">
        <w:rPr>
          <w:rFonts w:asciiTheme="minorHAnsi" w:hAnsiTheme="minorHAnsi"/>
          <w:b/>
        </w:rPr>
        <w:t xml:space="preserve">? </w:t>
      </w:r>
      <w:r>
        <w:rPr>
          <w:rFonts w:asciiTheme="minorHAnsi" w:hAnsiTheme="minorHAnsi"/>
          <w:b/>
        </w:rPr>
        <w:t>Is there a strong case for bringing implementation of these datasets forward?</w:t>
      </w:r>
    </w:p>
    <w:p w14:paraId="569BB085" w14:textId="77777777" w:rsidR="008C0B4C" w:rsidRPr="0063696C" w:rsidRDefault="008C0B4C" w:rsidP="008C0B4C">
      <w:pPr>
        <w:pStyle w:val="Heading1"/>
      </w:pPr>
      <w:bookmarkStart w:id="24" w:name="_Toc9511732"/>
      <w:r>
        <w:t>Next Steps</w:t>
      </w:r>
      <w:bookmarkEnd w:id="24"/>
    </w:p>
    <w:p w14:paraId="2DCFB157" w14:textId="77777777" w:rsidR="008C0B4C" w:rsidRPr="00326C48" w:rsidRDefault="008C0B4C" w:rsidP="008C0B4C">
      <w:pPr>
        <w:pStyle w:val="Bulletpoint"/>
        <w:tabs>
          <w:tab w:val="clear" w:pos="340"/>
          <w:tab w:val="clear" w:pos="425"/>
          <w:tab w:val="left" w:pos="3259"/>
        </w:tabs>
        <w:spacing w:after="200"/>
        <w:ind w:left="0" w:firstLine="0"/>
        <w:rPr>
          <w:rFonts w:asciiTheme="minorHAnsi" w:hAnsiTheme="minorHAnsi"/>
        </w:rPr>
      </w:pPr>
      <w:r w:rsidRPr="00326C48">
        <w:rPr>
          <w:rFonts w:asciiTheme="minorHAnsi" w:hAnsiTheme="minorHAnsi"/>
        </w:rPr>
        <w:t xml:space="preserve">We invite you to review the questions outlined in this document, and make submissions in response. </w:t>
      </w:r>
    </w:p>
    <w:p w14:paraId="13D313FA" w14:textId="665296AB" w:rsidR="008C0B4C" w:rsidRPr="00326C48" w:rsidRDefault="008C0B4C" w:rsidP="008C0B4C">
      <w:pPr>
        <w:pStyle w:val="Bulletpoint"/>
        <w:tabs>
          <w:tab w:val="clear" w:pos="340"/>
          <w:tab w:val="clear" w:pos="425"/>
          <w:tab w:val="left" w:pos="3259"/>
        </w:tabs>
        <w:spacing w:after="200"/>
        <w:rPr>
          <w:rFonts w:asciiTheme="minorHAnsi" w:hAnsiTheme="minorHAnsi"/>
        </w:rPr>
      </w:pPr>
      <w:r w:rsidRPr="00326C48">
        <w:rPr>
          <w:rFonts w:asciiTheme="minorHAnsi" w:hAnsiTheme="minorHAnsi"/>
        </w:rPr>
        <w:t xml:space="preserve">Closing date for submissions: </w:t>
      </w:r>
      <w:r w:rsidR="004077B7">
        <w:rPr>
          <w:rFonts w:asciiTheme="minorHAnsi" w:hAnsiTheme="minorHAnsi"/>
        </w:rPr>
        <w:t>26</w:t>
      </w:r>
      <w:r w:rsidR="0050158D">
        <w:rPr>
          <w:rFonts w:asciiTheme="minorHAnsi" w:hAnsiTheme="minorHAnsi"/>
        </w:rPr>
        <w:t xml:space="preserve"> </w:t>
      </w:r>
      <w:r w:rsidR="004077B7">
        <w:rPr>
          <w:rFonts w:asciiTheme="minorHAnsi" w:hAnsiTheme="minorHAnsi"/>
        </w:rPr>
        <w:t>September</w:t>
      </w:r>
      <w:r w:rsidR="0050158D">
        <w:rPr>
          <w:rFonts w:asciiTheme="minorHAnsi" w:hAnsiTheme="minorHAnsi"/>
        </w:rPr>
        <w:t xml:space="preserve"> 2019</w:t>
      </w:r>
    </w:p>
    <w:p w14:paraId="7EB31E18" w14:textId="56526512" w:rsidR="008C0B4C" w:rsidRDefault="008C0B4C" w:rsidP="008C0B4C">
      <w:pPr>
        <w:pStyle w:val="Bulletpoint"/>
        <w:tabs>
          <w:tab w:val="clear" w:pos="340"/>
          <w:tab w:val="clear" w:pos="425"/>
          <w:tab w:val="left" w:pos="3259"/>
        </w:tabs>
        <w:spacing w:after="200"/>
        <w:rPr>
          <w:rStyle w:val="Hyperlink"/>
          <w:rFonts w:asciiTheme="minorHAnsi" w:hAnsiTheme="minorHAnsi"/>
        </w:rPr>
      </w:pPr>
      <w:r w:rsidRPr="00326C48">
        <w:rPr>
          <w:rFonts w:asciiTheme="minorHAnsi" w:hAnsiTheme="minorHAnsi"/>
        </w:rPr>
        <w:t xml:space="preserve">Email </w:t>
      </w:r>
      <w:hyperlink r:id="rId28" w:history="1">
        <w:r>
          <w:rPr>
            <w:rStyle w:val="Hyperlink"/>
            <w:rFonts w:asciiTheme="minorHAnsi" w:hAnsiTheme="minorHAnsi"/>
          </w:rPr>
          <w:t>data</w:t>
        </w:r>
        <w:r w:rsidRPr="00326C48">
          <w:rPr>
            <w:rStyle w:val="Hyperlink"/>
            <w:rFonts w:asciiTheme="minorHAnsi" w:hAnsiTheme="minorHAnsi"/>
          </w:rPr>
          <w:t>@treasury.gov.au</w:t>
        </w:r>
      </w:hyperlink>
    </w:p>
    <w:sectPr w:rsidR="008C0B4C" w:rsidSect="00803F69">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B186" w14:textId="77777777" w:rsidR="00F25DB2" w:rsidRDefault="00F25DB2">
      <w:pPr>
        <w:spacing w:before="0" w:after="0"/>
      </w:pPr>
      <w:r>
        <w:separator/>
      </w:r>
    </w:p>
  </w:endnote>
  <w:endnote w:type="continuationSeparator" w:id="0">
    <w:p w14:paraId="176C99DB" w14:textId="77777777" w:rsidR="00F25DB2" w:rsidRDefault="00F25DB2">
      <w:pPr>
        <w:spacing w:before="0" w:after="0"/>
      </w:pPr>
      <w:r>
        <w:continuationSeparator/>
      </w:r>
    </w:p>
  </w:endnote>
  <w:endnote w:type="continuationNotice" w:id="1">
    <w:p w14:paraId="77BC1857" w14:textId="77777777" w:rsidR="00F25DB2" w:rsidRDefault="00F25D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EBAF" w14:textId="0120E17D" w:rsidR="00F25DB2" w:rsidRDefault="00F25DB2" w:rsidP="003C24B4">
    <w:pPr>
      <w:pStyle w:val="FooterEven"/>
    </w:pPr>
    <w:r>
      <w:rPr>
        <w:noProof w:val="0"/>
      </w:rPr>
      <w:fldChar w:fldCharType="begin"/>
    </w:r>
    <w:r>
      <w:instrText xml:space="preserve"> PAGE   \* MERGEFORMAT </w:instrText>
    </w:r>
    <w:r>
      <w:rPr>
        <w:noProof w:val="0"/>
      </w:rPr>
      <w:fldChar w:fldCharType="separate"/>
    </w:r>
    <w:r w:rsidR="0051005E">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7F9B" w14:textId="77777777" w:rsidR="00F25DB2" w:rsidRDefault="00F25DB2">
    <w:pPr>
      <w:pStyle w:val="Footer"/>
    </w:pPr>
    <w:r>
      <w:rPr>
        <w:noProof/>
      </w:rPr>
      <w:drawing>
        <wp:anchor distT="0" distB="0" distL="114300" distR="114300" simplePos="0" relativeHeight="251658241" behindDoc="1" locked="0" layoutInCell="1" allowOverlap="1" wp14:anchorId="13731756" wp14:editId="4153062C">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7D571" w14:textId="77D7C4A3" w:rsidR="00F25DB2" w:rsidRDefault="00F25DB2" w:rsidP="006C5B73">
    <w:pPr>
      <w:pStyle w:val="FooterOdd"/>
    </w:pPr>
    <w:r>
      <w:fldChar w:fldCharType="begin"/>
    </w:r>
    <w:r>
      <w:instrText xml:space="preserve"> PAGE   \* MERGEFORMAT </w:instrText>
    </w:r>
    <w:r>
      <w:fldChar w:fldCharType="separate"/>
    </w:r>
    <w:r w:rsidR="0051005E">
      <w:rPr>
        <w:noProof/>
      </w:rPr>
      <w:t>iii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85934" w14:textId="77777777" w:rsidR="00F25DB2" w:rsidRPr="00E77C89" w:rsidRDefault="00F25DB2" w:rsidP="00EE1447">
    <w:pPr>
      <w:pStyle w:val="FooterEven"/>
    </w:pPr>
    <w:r>
      <w:fldChar w:fldCharType="begin"/>
    </w:r>
    <w:r>
      <w:instrText xml:space="preserve"> PAGE  \* Arabic  \* MERGEFORMAT </w:instrText>
    </w:r>
    <w:r>
      <w:fldChar w:fldCharType="separate"/>
    </w:r>
    <w: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FE01" w14:textId="77777777" w:rsidR="00F25DB2" w:rsidRDefault="00F25D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733AC" w14:textId="586AB529" w:rsidR="00F25DB2" w:rsidRPr="00E77C89" w:rsidRDefault="00F25DB2" w:rsidP="00EE1447">
    <w:pPr>
      <w:pStyle w:val="FooterEven"/>
    </w:pPr>
    <w:r>
      <w:fldChar w:fldCharType="begin"/>
    </w:r>
    <w:r>
      <w:instrText xml:space="preserve"> PAGE  \* Arabic  \* MERGEFORMAT </w:instrText>
    </w:r>
    <w:r>
      <w:fldChar w:fldCharType="separate"/>
    </w:r>
    <w:r w:rsidR="0051005E">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D19E4" w14:textId="3D7DD029" w:rsidR="00F25DB2" w:rsidRDefault="00F25DB2" w:rsidP="006C5B73">
    <w:pPr>
      <w:pStyle w:val="FooterOdd"/>
    </w:pPr>
    <w:r>
      <w:fldChar w:fldCharType="begin"/>
    </w:r>
    <w:r>
      <w:instrText xml:space="preserve"> PAGE   \* MERGEFORMAT </w:instrText>
    </w:r>
    <w:r>
      <w:fldChar w:fldCharType="separate"/>
    </w:r>
    <w:r w:rsidR="0051005E">
      <w:rPr>
        <w:noProof/>
      </w:rPr>
      <w:t>11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EB4C" w14:textId="77777777" w:rsidR="00F25DB2" w:rsidRDefault="00F25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996B4" w14:textId="77777777" w:rsidR="00F25DB2" w:rsidRDefault="00F25DB2">
      <w:pPr>
        <w:spacing w:before="0" w:after="0"/>
      </w:pPr>
      <w:r>
        <w:separator/>
      </w:r>
    </w:p>
  </w:footnote>
  <w:footnote w:type="continuationSeparator" w:id="0">
    <w:p w14:paraId="51AF703A" w14:textId="77777777" w:rsidR="00F25DB2" w:rsidRDefault="00F25DB2">
      <w:pPr>
        <w:spacing w:before="0" w:after="0"/>
      </w:pPr>
      <w:r>
        <w:continuationSeparator/>
      </w:r>
    </w:p>
  </w:footnote>
  <w:footnote w:type="continuationNotice" w:id="1">
    <w:p w14:paraId="60E1A0CB" w14:textId="77777777" w:rsidR="00F25DB2" w:rsidRDefault="00F25DB2">
      <w:pPr>
        <w:spacing w:before="0" w:after="0"/>
      </w:pPr>
    </w:p>
  </w:footnote>
  <w:footnote w:id="2">
    <w:p w14:paraId="2920AE36" w14:textId="49A74053" w:rsidR="00F25DB2" w:rsidRPr="00283AFE" w:rsidRDefault="00F25DB2" w:rsidP="00803F69">
      <w:pPr>
        <w:pStyle w:val="FootnoteText"/>
        <w:rPr>
          <w:rFonts w:asciiTheme="minorHAnsi" w:hAnsiTheme="minorHAnsi"/>
        </w:rPr>
      </w:pPr>
      <w:r w:rsidRPr="00283AFE">
        <w:rPr>
          <w:rStyle w:val="FootnoteReference"/>
          <w:rFonts w:asciiTheme="minorHAnsi" w:hAnsiTheme="minorHAnsi"/>
        </w:rPr>
        <w:footnoteRef/>
      </w:r>
      <w:r w:rsidRPr="00283AFE">
        <w:rPr>
          <w:rFonts w:asciiTheme="minorHAnsi" w:hAnsiTheme="minorHAnsi"/>
        </w:rPr>
        <w:t xml:space="preserve"> See section 42.3.2 of the AEMO MSATS Procedures for definition of data delivered under a NMI Discovery 2 Search of CATS Standing Data</w:t>
      </w:r>
      <w:r>
        <w:rPr>
          <w:rFonts w:asciiTheme="minorHAnsi" w:hAnsiTheme="minorHAnsi"/>
        </w:rPr>
        <w:t>.</w:t>
      </w:r>
    </w:p>
  </w:footnote>
  <w:footnote w:id="3">
    <w:p w14:paraId="65C81A7E" w14:textId="77777777" w:rsidR="00F25DB2" w:rsidRPr="00283AFE" w:rsidRDefault="00F25DB2" w:rsidP="00803F69">
      <w:pPr>
        <w:pStyle w:val="FootnoteText"/>
        <w:rPr>
          <w:rFonts w:asciiTheme="minorHAnsi" w:hAnsiTheme="minorHAnsi"/>
        </w:rPr>
      </w:pPr>
      <w:r w:rsidRPr="00283AFE">
        <w:rPr>
          <w:rStyle w:val="FootnoteReference"/>
          <w:rFonts w:asciiTheme="minorHAnsi" w:hAnsiTheme="minorHAnsi"/>
        </w:rPr>
        <w:footnoteRef/>
      </w:r>
      <w:r w:rsidRPr="00283AFE">
        <w:rPr>
          <w:rFonts w:asciiTheme="minorHAnsi" w:hAnsiTheme="minorHAnsi"/>
        </w:rPr>
        <w:t xml:space="preserve"> Rule 28 of the National Energy Retail Rules.  </w:t>
      </w:r>
    </w:p>
  </w:footnote>
  <w:footnote w:id="4">
    <w:p w14:paraId="48AD3B8D" w14:textId="77777777" w:rsidR="00F25DB2" w:rsidRPr="00283AFE" w:rsidRDefault="00F25DB2" w:rsidP="00803F69">
      <w:pPr>
        <w:pStyle w:val="FootnoteText"/>
        <w:rPr>
          <w:rFonts w:asciiTheme="minorHAnsi" w:hAnsiTheme="minorHAnsi"/>
        </w:rPr>
      </w:pPr>
      <w:r w:rsidRPr="00283AFE">
        <w:rPr>
          <w:rStyle w:val="FootnoteReference"/>
          <w:rFonts w:asciiTheme="minorHAnsi" w:hAnsiTheme="minorHAnsi"/>
        </w:rPr>
        <w:footnoteRef/>
      </w:r>
      <w:r w:rsidRPr="00283AFE">
        <w:rPr>
          <w:rFonts w:asciiTheme="minorHAnsi" w:hAnsiTheme="minorHAnsi"/>
        </w:rPr>
        <w:t xml:space="preserve"> Clause 28 of the Energy Retail Code.  </w:t>
      </w:r>
    </w:p>
  </w:footnote>
  <w:footnote w:id="5">
    <w:p w14:paraId="38D259A7" w14:textId="77777777" w:rsidR="00F25DB2" w:rsidRPr="00283AFE" w:rsidRDefault="00F25DB2" w:rsidP="00803F69">
      <w:pPr>
        <w:pStyle w:val="FootnoteText"/>
        <w:rPr>
          <w:rFonts w:asciiTheme="minorHAnsi" w:hAnsiTheme="minorHAnsi"/>
          <w:lang w:val="en-US"/>
        </w:rPr>
      </w:pPr>
      <w:r w:rsidRPr="00283AFE">
        <w:rPr>
          <w:rStyle w:val="FootnoteReference"/>
          <w:rFonts w:asciiTheme="minorHAnsi" w:hAnsiTheme="minorHAnsi"/>
        </w:rPr>
        <w:footnoteRef/>
      </w:r>
      <w:r w:rsidRPr="00283AFE">
        <w:rPr>
          <w:rFonts w:asciiTheme="minorHAnsi" w:hAnsiTheme="minorHAnsi"/>
        </w:rPr>
        <w:t xml:space="preserve"> </w:t>
      </w:r>
      <w:r w:rsidRPr="00283AFE">
        <w:rPr>
          <w:rFonts w:asciiTheme="minorHAnsi" w:hAnsiTheme="minorHAnsi"/>
          <w:lang w:val="en-US"/>
        </w:rPr>
        <w:t>See rule 7 of the Electricity Customer Metering Code.</w:t>
      </w:r>
    </w:p>
  </w:footnote>
  <w:footnote w:id="6">
    <w:p w14:paraId="78C635CE" w14:textId="7446D0BD" w:rsidR="00F25DB2" w:rsidRPr="00283AFE" w:rsidRDefault="00F25DB2" w:rsidP="00803F69">
      <w:pPr>
        <w:pStyle w:val="FootnoteText"/>
        <w:rPr>
          <w:rFonts w:asciiTheme="minorHAnsi" w:hAnsiTheme="minorHAnsi"/>
          <w:szCs w:val="16"/>
        </w:rPr>
      </w:pPr>
      <w:r w:rsidRPr="00283AFE">
        <w:rPr>
          <w:rStyle w:val="FootnoteReference"/>
          <w:rFonts w:asciiTheme="minorHAnsi" w:hAnsiTheme="minorHAnsi"/>
          <w:szCs w:val="16"/>
        </w:rPr>
        <w:footnoteRef/>
      </w:r>
      <w:r w:rsidRPr="00283AFE">
        <w:rPr>
          <w:rFonts w:asciiTheme="minorHAnsi" w:hAnsiTheme="minorHAnsi"/>
          <w:szCs w:val="16"/>
        </w:rPr>
        <w:t xml:space="preserve"> This refers to 'small customers' as defined in the NERL, being a residential customer or a business customer that consumes energy below the upper consumption threshold (100</w:t>
      </w:r>
      <w:r>
        <w:rPr>
          <w:rFonts w:asciiTheme="minorHAnsi" w:hAnsiTheme="minorHAnsi"/>
          <w:szCs w:val="16"/>
        </w:rPr>
        <w:t xml:space="preserve"> </w:t>
      </w:r>
      <w:r w:rsidRPr="00283AFE">
        <w:rPr>
          <w:rFonts w:asciiTheme="minorHAnsi" w:hAnsiTheme="minorHAnsi"/>
          <w:szCs w:val="16"/>
        </w:rPr>
        <w:t>MWh per annum). Some jurisdictions have set a different threshold.</w:t>
      </w:r>
    </w:p>
  </w:footnote>
  <w:footnote w:id="7">
    <w:p w14:paraId="670B0D61" w14:textId="77777777" w:rsidR="00F25DB2" w:rsidRPr="00283AFE" w:rsidRDefault="00F25DB2" w:rsidP="00803F69">
      <w:pPr>
        <w:pStyle w:val="FootnoteText"/>
        <w:rPr>
          <w:rFonts w:asciiTheme="minorHAnsi" w:hAnsiTheme="minorHAnsi"/>
        </w:rPr>
      </w:pPr>
      <w:r w:rsidRPr="00283AFE">
        <w:rPr>
          <w:rStyle w:val="FootnoteReference"/>
          <w:rFonts w:asciiTheme="minorHAnsi" w:hAnsiTheme="minorHAnsi"/>
        </w:rPr>
        <w:footnoteRef/>
      </w:r>
      <w:r w:rsidRPr="00283AFE">
        <w:rPr>
          <w:rFonts w:asciiTheme="minorHAnsi" w:hAnsiTheme="minorHAnsi"/>
        </w:rPr>
        <w:t xml:space="preserve"> Per the requirements under the Energy Retail Code issued by the Essential Services Commission under the Electricity Industry Act 2000 (Vic) and the Gas Industry Act 2001 (Vic)</w:t>
      </w:r>
    </w:p>
  </w:footnote>
  <w:footnote w:id="8">
    <w:p w14:paraId="2E0D3182" w14:textId="77777777" w:rsidR="00F25DB2" w:rsidRPr="00475EC2" w:rsidRDefault="00F25DB2" w:rsidP="00803F69">
      <w:pPr>
        <w:pStyle w:val="FootnoteText"/>
        <w:rPr>
          <w:rFonts w:asciiTheme="minorHAnsi" w:hAnsiTheme="minorHAnsi"/>
          <w:szCs w:val="16"/>
        </w:rPr>
      </w:pPr>
      <w:r w:rsidRPr="00475EC2">
        <w:rPr>
          <w:rStyle w:val="FootnoteReference"/>
          <w:rFonts w:asciiTheme="minorHAnsi" w:hAnsiTheme="minorHAnsi"/>
        </w:rPr>
        <w:footnoteRef/>
      </w:r>
      <w:r w:rsidRPr="00475EC2">
        <w:rPr>
          <w:rFonts w:asciiTheme="minorHAnsi" w:hAnsiTheme="minorHAnsi"/>
        </w:rPr>
        <w:t xml:space="preserve"> </w:t>
      </w:r>
      <w:r w:rsidRPr="00475EC2">
        <w:rPr>
          <w:rFonts w:asciiTheme="minorHAnsi" w:hAnsiTheme="minorHAnsi"/>
          <w:szCs w:val="16"/>
        </w:rPr>
        <w:t>Different levels of access to NMI standing data are permitted, and AEMO is the only entity with access to all NMI standing data.  In relation to metering data, AEMO currently receives this data from Metering Data Providers in a different format to the metering data received by retailers and distributors.</w:t>
      </w:r>
      <w:r>
        <w:rPr>
          <w:rFonts w:asciiTheme="minorHAnsi" w:hAnsiTheme="minorHAnsi"/>
          <w:szCs w:val="16"/>
        </w:rPr>
        <w:t xml:space="preserve"> The Global Settlement Rule Change will also see AEMO be the only entity in receipt of metering data for all NEM connection points. </w:t>
      </w:r>
    </w:p>
  </w:footnote>
  <w:footnote w:id="9">
    <w:p w14:paraId="4B3117F3" w14:textId="77777777" w:rsidR="00F25DB2" w:rsidRPr="00475EC2" w:rsidRDefault="00F25DB2" w:rsidP="00803F69">
      <w:pPr>
        <w:pStyle w:val="FootnoteText"/>
        <w:rPr>
          <w:rFonts w:asciiTheme="minorHAnsi" w:hAnsiTheme="minorHAnsi"/>
          <w:lang w:val="en-US"/>
        </w:rPr>
      </w:pPr>
      <w:r w:rsidRPr="00475EC2">
        <w:rPr>
          <w:rStyle w:val="FootnoteReference"/>
          <w:rFonts w:asciiTheme="minorHAnsi" w:hAnsiTheme="minorHAnsi"/>
        </w:rPr>
        <w:footnoteRef/>
      </w:r>
      <w:r w:rsidRPr="00475EC2">
        <w:rPr>
          <w:rFonts w:asciiTheme="minorHAnsi" w:hAnsiTheme="minorHAnsi"/>
        </w:rPr>
        <w:t xml:space="preserve"> </w:t>
      </w:r>
      <w:r w:rsidRPr="00475EC2">
        <w:rPr>
          <w:rFonts w:asciiTheme="minorHAnsi" w:hAnsiTheme="minorHAnsi"/>
          <w:lang w:val="en-US"/>
        </w:rPr>
        <w:t>Note that it is not proposed for the CDR in energy to apply to off-market customers in embedded networks initially.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63658" w14:textId="77777777" w:rsidR="00F25DB2" w:rsidRDefault="00F25DB2">
    <w:pPr>
      <w:pStyle w:val="Header"/>
    </w:pPr>
    <w:r>
      <w:rPr>
        <w:noProof/>
      </w:rPr>
      <w:drawing>
        <wp:anchor distT="0" distB="0" distL="114300" distR="114300" simplePos="0" relativeHeight="251658240" behindDoc="1" locked="0" layoutInCell="1" allowOverlap="1" wp14:anchorId="6DBBDE0A" wp14:editId="5B42242F">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D92A" w14:textId="07025ED1" w:rsidR="00F25DB2" w:rsidRPr="001F3912" w:rsidRDefault="0051005E" w:rsidP="00A12F62">
    <w:pPr>
      <w:pStyle w:val="HeaderEven"/>
    </w:pPr>
    <w:r>
      <w:fldChar w:fldCharType="begin"/>
    </w:r>
    <w:r>
      <w:instrText xml:space="preserve"> STYLEREF  "Title"  \* MERGEFORMAT </w:instrText>
    </w:r>
    <w:r>
      <w:fldChar w:fldCharType="separate"/>
    </w:r>
    <w:r>
      <w:rPr>
        <w:noProof/>
      </w:rPr>
      <w:t>Priority Energy Datasets Consultation</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D7F2" w14:textId="77777777" w:rsidR="00F25DB2" w:rsidRPr="00F836F9" w:rsidRDefault="00F25DB2" w:rsidP="00F836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5C2E" w14:textId="77777777" w:rsidR="00F25DB2" w:rsidRDefault="00F25D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627FB" w14:textId="1A8F1154" w:rsidR="00F25DB2" w:rsidRPr="001F3912" w:rsidRDefault="0051005E" w:rsidP="00A12F62">
    <w:pPr>
      <w:pStyle w:val="HeaderEven"/>
    </w:pPr>
    <w:r>
      <w:fldChar w:fldCharType="begin"/>
    </w:r>
    <w:r>
      <w:instrText xml:space="preserve"> STYLEREF  Title  \* MERGEFORMAT </w:instrText>
    </w:r>
    <w:r>
      <w:fldChar w:fldCharType="separate"/>
    </w:r>
    <w:r>
      <w:rPr>
        <w:noProof/>
      </w:rPr>
      <w:t>Priority Energy Datasets Consultation</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CBD5D" w14:textId="020FAB76" w:rsidR="00F25DB2" w:rsidRPr="001F3912" w:rsidRDefault="0051005E" w:rsidP="00A12F62">
    <w:pPr>
      <w:pStyle w:val="HeaderOdd"/>
    </w:pPr>
    <w:r>
      <w:fldChar w:fldCharType="begin"/>
    </w:r>
    <w:r>
      <w:instrText xml:space="preserve"> STYLEREF  "Heading 1"  \* MERGEFORMAT </w:instrText>
    </w:r>
    <w:r>
      <w:fldChar w:fldCharType="separate"/>
    </w:r>
    <w:r>
      <w:rPr>
        <w:noProof/>
      </w:rPr>
      <w:t>What electricity datasets are proposed to be covered under the initial energy CDR rules?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33BE" w14:textId="77777777" w:rsidR="00F25DB2" w:rsidRDefault="00F25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4DA754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D2542B"/>
    <w:multiLevelType w:val="hybridMultilevel"/>
    <w:tmpl w:val="7C60E1FC"/>
    <w:lvl w:ilvl="0" w:tplc="021E8868">
      <w:start w:val="1"/>
      <w:numFmt w:val="decimal"/>
      <w:pStyle w:val="ListParagraph"/>
      <w:lvlText w:val="%1."/>
      <w:lvlJc w:val="left"/>
      <w:pPr>
        <w:ind w:left="340" w:hanging="34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F519CE"/>
    <w:multiLevelType w:val="multilevel"/>
    <w:tmpl w:val="4D88D630"/>
    <w:lvl w:ilvl="0">
      <w:start w:val="1"/>
      <w:numFmt w:val="decimal"/>
      <w:pStyle w:val="Numbered1"/>
      <w:lvlText w:val="%1."/>
      <w:lvlJc w:val="left"/>
      <w:pPr>
        <w:ind w:left="360" w:hanging="360"/>
      </w:pPr>
    </w:lvl>
    <w:lvl w:ilvl="1">
      <w:start w:val="1"/>
      <w:numFmt w:val="decimal"/>
      <w:pStyle w:val="Numbered11"/>
      <w:lvlText w:val="%1.%2."/>
      <w:lvlJc w:val="left"/>
      <w:pPr>
        <w:ind w:left="432" w:hanging="432"/>
      </w:pPr>
    </w:lvl>
    <w:lvl w:ilvl="2">
      <w:start w:val="1"/>
      <w:numFmt w:val="decimal"/>
      <w:pStyle w:val="Numbered111"/>
      <w:lvlText w:val="%1.%2.%3."/>
      <w:lvlJc w:val="left"/>
      <w:pPr>
        <w:ind w:left="50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4C447C"/>
    <w:multiLevelType w:val="hybridMultilevel"/>
    <w:tmpl w:val="07CA122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4E7B0286"/>
    <w:multiLevelType w:val="multilevel"/>
    <w:tmpl w:val="29F2779C"/>
    <w:name w:val="StandardNumberedList"/>
    <w:lvl w:ilvl="0">
      <w:start w:val="1"/>
      <w:numFmt w:val="decimal"/>
      <w:lvlText w:val="%1."/>
      <w:lvlJc w:val="left"/>
      <w:pPr>
        <w:tabs>
          <w:tab w:val="num" w:pos="520"/>
        </w:tabs>
        <w:ind w:left="520" w:hanging="520"/>
      </w:pPr>
      <w:rPr>
        <w:b w:val="0"/>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0D2021"/>
    <w:multiLevelType w:val="multilevel"/>
    <w:tmpl w:val="72F8140E"/>
    <w:numStyleLink w:val="OutlineList"/>
  </w:abstractNum>
  <w:abstractNum w:abstractNumId="17" w15:restartNumberingAfterBreak="0">
    <w:nsid w:val="55167D0C"/>
    <w:multiLevelType w:val="multilevel"/>
    <w:tmpl w:val="EEB42FAA"/>
    <w:lvl w:ilvl="0">
      <w:start w:val="1"/>
      <w:numFmt w:val="upperLetter"/>
      <w:lvlText w:val="%1."/>
      <w:lvlJc w:val="left"/>
      <w:pPr>
        <w:tabs>
          <w:tab w:val="num" w:pos="520"/>
        </w:tabs>
        <w:ind w:left="520" w:hanging="520"/>
      </w:pPr>
      <w:rPr>
        <w:b w:val="0"/>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0CA4E44"/>
    <w:multiLevelType w:val="hybridMultilevel"/>
    <w:tmpl w:val="744033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3071C0"/>
    <w:multiLevelType w:val="multilevel"/>
    <w:tmpl w:val="33C2264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E2819EC"/>
    <w:multiLevelType w:val="multilevel"/>
    <w:tmpl w:val="1250F310"/>
    <w:lvl w:ilvl="0">
      <w:start w:val="1"/>
      <w:numFmt w:val="bullet"/>
      <w:lvlText w:val=""/>
      <w:lvlJc w:val="left"/>
      <w:pPr>
        <w:ind w:left="2400" w:hanging="360"/>
      </w:pPr>
      <w:rPr>
        <w:rFonts w:ascii="Symbol" w:hAnsi="Symbol" w:hint="default"/>
      </w:rPr>
    </w:lvl>
    <w:lvl w:ilvl="1">
      <w:start w:val="1"/>
      <w:numFmt w:val="decimal"/>
      <w:lvlText w:val="%1.%2."/>
      <w:lvlJc w:val="left"/>
      <w:pPr>
        <w:ind w:left="2832" w:hanging="432"/>
      </w:pPr>
    </w:lvl>
    <w:lvl w:ilvl="2">
      <w:start w:val="1"/>
      <w:numFmt w:val="decimal"/>
      <w:lvlText w:val="%1.%2.%3."/>
      <w:lvlJc w:val="left"/>
      <w:pPr>
        <w:ind w:left="3264" w:hanging="504"/>
      </w:pPr>
    </w:lvl>
    <w:lvl w:ilvl="3">
      <w:start w:val="1"/>
      <w:numFmt w:val="decimal"/>
      <w:lvlText w:val="%1.%2.%3.%4."/>
      <w:lvlJc w:val="left"/>
      <w:pPr>
        <w:ind w:left="3768" w:hanging="648"/>
      </w:pPr>
    </w:lvl>
    <w:lvl w:ilvl="4">
      <w:start w:val="1"/>
      <w:numFmt w:val="decimal"/>
      <w:lvlText w:val="%1.%2.%3.%4.%5."/>
      <w:lvlJc w:val="left"/>
      <w:pPr>
        <w:ind w:left="4272" w:hanging="792"/>
      </w:pPr>
    </w:lvl>
    <w:lvl w:ilvl="5">
      <w:start w:val="1"/>
      <w:numFmt w:val="decimal"/>
      <w:lvlText w:val="%1.%2.%3.%4.%5.%6."/>
      <w:lvlJc w:val="left"/>
      <w:pPr>
        <w:ind w:left="4776" w:hanging="936"/>
      </w:pPr>
    </w:lvl>
    <w:lvl w:ilvl="6">
      <w:start w:val="1"/>
      <w:numFmt w:val="decimal"/>
      <w:lvlText w:val="%1.%2.%3.%4.%5.%6.%7."/>
      <w:lvlJc w:val="left"/>
      <w:pPr>
        <w:ind w:left="5280" w:hanging="1080"/>
      </w:pPr>
    </w:lvl>
    <w:lvl w:ilvl="7">
      <w:start w:val="1"/>
      <w:numFmt w:val="decimal"/>
      <w:lvlText w:val="%1.%2.%3.%4.%5.%6.%7.%8."/>
      <w:lvlJc w:val="left"/>
      <w:pPr>
        <w:ind w:left="5784" w:hanging="1224"/>
      </w:pPr>
    </w:lvl>
    <w:lvl w:ilvl="8">
      <w:start w:val="1"/>
      <w:numFmt w:val="decimal"/>
      <w:lvlText w:val="%1.%2.%3.%4.%5.%6.%7.%8.%9."/>
      <w:lvlJc w:val="left"/>
      <w:pPr>
        <w:ind w:left="6360" w:hanging="1440"/>
      </w:p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0"/>
  </w:num>
  <w:num w:numId="2">
    <w:abstractNumId w:val="1"/>
  </w:num>
  <w:num w:numId="3">
    <w:abstractNumId w:val="12"/>
  </w:num>
  <w:num w:numId="4">
    <w:abstractNumId w:val="4"/>
  </w:num>
  <w:num w:numId="5">
    <w:abstractNumId w:val="5"/>
  </w:num>
  <w:num w:numId="6">
    <w:abstractNumId w:val="16"/>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2"/>
  </w:num>
  <w:num w:numId="10">
    <w:abstractNumId w:val="9"/>
  </w:num>
  <w:num w:numId="11">
    <w:abstractNumId w:val="23"/>
  </w:num>
  <w:num w:numId="12">
    <w:abstractNumId w:val="16"/>
  </w:num>
  <w:num w:numId="13">
    <w:abstractNumId w:val="24"/>
  </w:num>
  <w:num w:numId="14">
    <w:abstractNumId w:val="14"/>
  </w:num>
  <w:num w:numId="15">
    <w:abstractNumId w:val="8"/>
  </w:num>
  <w:num w:numId="16">
    <w:abstractNumId w:val="18"/>
  </w:num>
  <w:num w:numId="17">
    <w:abstractNumId w:val="1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num>
  <w:num w:numId="23">
    <w:abstractNumId w:val="15"/>
  </w:num>
  <w:num w:numId="24">
    <w:abstractNumId w:val="1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0"/>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20"/>
  <w:evenAndOddHeader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69"/>
    <w:rsid w:val="000009A1"/>
    <w:rsid w:val="00002F20"/>
    <w:rsid w:val="00011725"/>
    <w:rsid w:val="00011AFD"/>
    <w:rsid w:val="00012C62"/>
    <w:rsid w:val="00015075"/>
    <w:rsid w:val="000246F7"/>
    <w:rsid w:val="0002544D"/>
    <w:rsid w:val="0004274D"/>
    <w:rsid w:val="00043348"/>
    <w:rsid w:val="0004483F"/>
    <w:rsid w:val="0005138B"/>
    <w:rsid w:val="000522B7"/>
    <w:rsid w:val="00056880"/>
    <w:rsid w:val="000675D1"/>
    <w:rsid w:val="00073521"/>
    <w:rsid w:val="00074BCE"/>
    <w:rsid w:val="000775DE"/>
    <w:rsid w:val="00082BB7"/>
    <w:rsid w:val="0008334B"/>
    <w:rsid w:val="00087FAF"/>
    <w:rsid w:val="00093AD3"/>
    <w:rsid w:val="000A7010"/>
    <w:rsid w:val="000B67CC"/>
    <w:rsid w:val="000C56C5"/>
    <w:rsid w:val="000C571D"/>
    <w:rsid w:val="000C5989"/>
    <w:rsid w:val="000C5F40"/>
    <w:rsid w:val="000C7CDA"/>
    <w:rsid w:val="000E088D"/>
    <w:rsid w:val="000E0B74"/>
    <w:rsid w:val="000E50DA"/>
    <w:rsid w:val="000E7901"/>
    <w:rsid w:val="00101FAD"/>
    <w:rsid w:val="0010336B"/>
    <w:rsid w:val="001209A9"/>
    <w:rsid w:val="00131DC3"/>
    <w:rsid w:val="00135E4C"/>
    <w:rsid w:val="001373F5"/>
    <w:rsid w:val="00141601"/>
    <w:rsid w:val="001452D7"/>
    <w:rsid w:val="0015155A"/>
    <w:rsid w:val="00151803"/>
    <w:rsid w:val="0015597D"/>
    <w:rsid w:val="00157C81"/>
    <w:rsid w:val="001606CF"/>
    <w:rsid w:val="0016128D"/>
    <w:rsid w:val="0017089D"/>
    <w:rsid w:val="0019101A"/>
    <w:rsid w:val="001972D2"/>
    <w:rsid w:val="001A341A"/>
    <w:rsid w:val="001B1AC2"/>
    <w:rsid w:val="001C358D"/>
    <w:rsid w:val="001F1B27"/>
    <w:rsid w:val="00221EC0"/>
    <w:rsid w:val="00231049"/>
    <w:rsid w:val="002314D2"/>
    <w:rsid w:val="0023305C"/>
    <w:rsid w:val="00236E6D"/>
    <w:rsid w:val="00241881"/>
    <w:rsid w:val="00241CD6"/>
    <w:rsid w:val="0024294C"/>
    <w:rsid w:val="0025652F"/>
    <w:rsid w:val="00260587"/>
    <w:rsid w:val="00263B6C"/>
    <w:rsid w:val="0027010B"/>
    <w:rsid w:val="00272939"/>
    <w:rsid w:val="0027590B"/>
    <w:rsid w:val="00275B69"/>
    <w:rsid w:val="00285969"/>
    <w:rsid w:val="00285B03"/>
    <w:rsid w:val="002907C5"/>
    <w:rsid w:val="002A74EF"/>
    <w:rsid w:val="002B3829"/>
    <w:rsid w:val="002B6CE2"/>
    <w:rsid w:val="002C025A"/>
    <w:rsid w:val="002C04BC"/>
    <w:rsid w:val="002C22EF"/>
    <w:rsid w:val="002D0E75"/>
    <w:rsid w:val="002E454C"/>
    <w:rsid w:val="002E6A46"/>
    <w:rsid w:val="002F0034"/>
    <w:rsid w:val="002F1DA5"/>
    <w:rsid w:val="002F3912"/>
    <w:rsid w:val="002F617F"/>
    <w:rsid w:val="00300109"/>
    <w:rsid w:val="00306894"/>
    <w:rsid w:val="0031135B"/>
    <w:rsid w:val="003122F4"/>
    <w:rsid w:val="00313DD3"/>
    <w:rsid w:val="003268D5"/>
    <w:rsid w:val="003448F6"/>
    <w:rsid w:val="00347414"/>
    <w:rsid w:val="00350759"/>
    <w:rsid w:val="00351336"/>
    <w:rsid w:val="00354D27"/>
    <w:rsid w:val="0035738A"/>
    <w:rsid w:val="003858A6"/>
    <w:rsid w:val="00392DCC"/>
    <w:rsid w:val="00396F50"/>
    <w:rsid w:val="003A5B36"/>
    <w:rsid w:val="003A75B4"/>
    <w:rsid w:val="003C24B4"/>
    <w:rsid w:val="003D6E75"/>
    <w:rsid w:val="003E20D6"/>
    <w:rsid w:val="003E4D87"/>
    <w:rsid w:val="003F57E3"/>
    <w:rsid w:val="00401082"/>
    <w:rsid w:val="004077B7"/>
    <w:rsid w:val="00416762"/>
    <w:rsid w:val="00416E55"/>
    <w:rsid w:val="004221CA"/>
    <w:rsid w:val="0042433B"/>
    <w:rsid w:val="0042459B"/>
    <w:rsid w:val="0042518A"/>
    <w:rsid w:val="004360C8"/>
    <w:rsid w:val="00445265"/>
    <w:rsid w:val="004559CE"/>
    <w:rsid w:val="00460E1A"/>
    <w:rsid w:val="00463DF8"/>
    <w:rsid w:val="00473318"/>
    <w:rsid w:val="004743DE"/>
    <w:rsid w:val="00475085"/>
    <w:rsid w:val="00476CF6"/>
    <w:rsid w:val="00477AA8"/>
    <w:rsid w:val="004814CA"/>
    <w:rsid w:val="00492FCB"/>
    <w:rsid w:val="004A0F11"/>
    <w:rsid w:val="004A2A26"/>
    <w:rsid w:val="004A3EAA"/>
    <w:rsid w:val="004A7D97"/>
    <w:rsid w:val="004B5133"/>
    <w:rsid w:val="004C41B6"/>
    <w:rsid w:val="004D6E37"/>
    <w:rsid w:val="004E00EA"/>
    <w:rsid w:val="004E46AE"/>
    <w:rsid w:val="004F4B92"/>
    <w:rsid w:val="0050158D"/>
    <w:rsid w:val="0051005E"/>
    <w:rsid w:val="00510644"/>
    <w:rsid w:val="00516785"/>
    <w:rsid w:val="0052419D"/>
    <w:rsid w:val="005301F8"/>
    <w:rsid w:val="005312FC"/>
    <w:rsid w:val="00531FD4"/>
    <w:rsid w:val="0053569E"/>
    <w:rsid w:val="0053603D"/>
    <w:rsid w:val="0053742A"/>
    <w:rsid w:val="00537C85"/>
    <w:rsid w:val="00541D29"/>
    <w:rsid w:val="005540DD"/>
    <w:rsid w:val="00557B9B"/>
    <w:rsid w:val="00562F17"/>
    <w:rsid w:val="0056582C"/>
    <w:rsid w:val="00582FA0"/>
    <w:rsid w:val="005868DE"/>
    <w:rsid w:val="005966B7"/>
    <w:rsid w:val="005B5E2A"/>
    <w:rsid w:val="005C02A4"/>
    <w:rsid w:val="005C20D2"/>
    <w:rsid w:val="005C32FE"/>
    <w:rsid w:val="005D024A"/>
    <w:rsid w:val="005D4FD4"/>
    <w:rsid w:val="005D6D64"/>
    <w:rsid w:val="005D76B5"/>
    <w:rsid w:val="005E28D5"/>
    <w:rsid w:val="00601650"/>
    <w:rsid w:val="00605AFD"/>
    <w:rsid w:val="0061080A"/>
    <w:rsid w:val="006123D4"/>
    <w:rsid w:val="0061445B"/>
    <w:rsid w:val="00616E70"/>
    <w:rsid w:val="00624215"/>
    <w:rsid w:val="00624B2B"/>
    <w:rsid w:val="00624C4B"/>
    <w:rsid w:val="00655D64"/>
    <w:rsid w:val="00685CF7"/>
    <w:rsid w:val="00686165"/>
    <w:rsid w:val="00691CB5"/>
    <w:rsid w:val="00696821"/>
    <w:rsid w:val="006973CD"/>
    <w:rsid w:val="006A3498"/>
    <w:rsid w:val="006A37F5"/>
    <w:rsid w:val="006A7227"/>
    <w:rsid w:val="006C1892"/>
    <w:rsid w:val="006C5B73"/>
    <w:rsid w:val="006C645D"/>
    <w:rsid w:val="006E16DB"/>
    <w:rsid w:val="006E3CC3"/>
    <w:rsid w:val="00706E8E"/>
    <w:rsid w:val="00722B53"/>
    <w:rsid w:val="00722F74"/>
    <w:rsid w:val="007509DD"/>
    <w:rsid w:val="007629F9"/>
    <w:rsid w:val="00763474"/>
    <w:rsid w:val="00765B12"/>
    <w:rsid w:val="00784C0A"/>
    <w:rsid w:val="00792E35"/>
    <w:rsid w:val="00794B40"/>
    <w:rsid w:val="007A1079"/>
    <w:rsid w:val="007A122E"/>
    <w:rsid w:val="007B76AB"/>
    <w:rsid w:val="007D592B"/>
    <w:rsid w:val="007D5AA6"/>
    <w:rsid w:val="007D7A91"/>
    <w:rsid w:val="007E6456"/>
    <w:rsid w:val="00803F69"/>
    <w:rsid w:val="00804284"/>
    <w:rsid w:val="00811943"/>
    <w:rsid w:val="00815E23"/>
    <w:rsid w:val="008311B8"/>
    <w:rsid w:val="00834243"/>
    <w:rsid w:val="008433EC"/>
    <w:rsid w:val="00857969"/>
    <w:rsid w:val="00882CC4"/>
    <w:rsid w:val="008B713A"/>
    <w:rsid w:val="008C0B4C"/>
    <w:rsid w:val="008C48BB"/>
    <w:rsid w:val="008C7F71"/>
    <w:rsid w:val="008D339F"/>
    <w:rsid w:val="008E6292"/>
    <w:rsid w:val="00925AA5"/>
    <w:rsid w:val="0093540D"/>
    <w:rsid w:val="0094019D"/>
    <w:rsid w:val="00942C11"/>
    <w:rsid w:val="0094351F"/>
    <w:rsid w:val="009547F8"/>
    <w:rsid w:val="00971BA3"/>
    <w:rsid w:val="009729D4"/>
    <w:rsid w:val="00975BB4"/>
    <w:rsid w:val="009817B0"/>
    <w:rsid w:val="009821CE"/>
    <w:rsid w:val="00985249"/>
    <w:rsid w:val="00987F3A"/>
    <w:rsid w:val="0099225D"/>
    <w:rsid w:val="009A277C"/>
    <w:rsid w:val="009A52AA"/>
    <w:rsid w:val="009A658F"/>
    <w:rsid w:val="009B70E8"/>
    <w:rsid w:val="009B7C3D"/>
    <w:rsid w:val="009E171B"/>
    <w:rsid w:val="009E4381"/>
    <w:rsid w:val="009F31B5"/>
    <w:rsid w:val="00A015E8"/>
    <w:rsid w:val="00A07D47"/>
    <w:rsid w:val="00A12F62"/>
    <w:rsid w:val="00A14FE9"/>
    <w:rsid w:val="00A3749B"/>
    <w:rsid w:val="00A37D87"/>
    <w:rsid w:val="00A50D88"/>
    <w:rsid w:val="00A50DF4"/>
    <w:rsid w:val="00A56923"/>
    <w:rsid w:val="00A62E42"/>
    <w:rsid w:val="00A64728"/>
    <w:rsid w:val="00A64A71"/>
    <w:rsid w:val="00A655C6"/>
    <w:rsid w:val="00A72960"/>
    <w:rsid w:val="00A72D8F"/>
    <w:rsid w:val="00A93401"/>
    <w:rsid w:val="00AA26C6"/>
    <w:rsid w:val="00AC3196"/>
    <w:rsid w:val="00AE2F90"/>
    <w:rsid w:val="00AE4B10"/>
    <w:rsid w:val="00AE77CD"/>
    <w:rsid w:val="00B02320"/>
    <w:rsid w:val="00B03DD6"/>
    <w:rsid w:val="00B3583B"/>
    <w:rsid w:val="00B372C8"/>
    <w:rsid w:val="00B37A8F"/>
    <w:rsid w:val="00B52D52"/>
    <w:rsid w:val="00B6441F"/>
    <w:rsid w:val="00B65347"/>
    <w:rsid w:val="00B736F3"/>
    <w:rsid w:val="00B87927"/>
    <w:rsid w:val="00BD26AA"/>
    <w:rsid w:val="00BD454F"/>
    <w:rsid w:val="00BE740D"/>
    <w:rsid w:val="00BF30DA"/>
    <w:rsid w:val="00C006DA"/>
    <w:rsid w:val="00C01DCC"/>
    <w:rsid w:val="00C10EF7"/>
    <w:rsid w:val="00C17145"/>
    <w:rsid w:val="00C202B3"/>
    <w:rsid w:val="00C21EE0"/>
    <w:rsid w:val="00C258BA"/>
    <w:rsid w:val="00C30297"/>
    <w:rsid w:val="00C36BAF"/>
    <w:rsid w:val="00C542A5"/>
    <w:rsid w:val="00C54AD4"/>
    <w:rsid w:val="00C610AD"/>
    <w:rsid w:val="00C71B55"/>
    <w:rsid w:val="00C72318"/>
    <w:rsid w:val="00C724E6"/>
    <w:rsid w:val="00C747A5"/>
    <w:rsid w:val="00C81415"/>
    <w:rsid w:val="00C85314"/>
    <w:rsid w:val="00CA0116"/>
    <w:rsid w:val="00CA191C"/>
    <w:rsid w:val="00CA4BC0"/>
    <w:rsid w:val="00CA5CA8"/>
    <w:rsid w:val="00CB0157"/>
    <w:rsid w:val="00CB5205"/>
    <w:rsid w:val="00CC559D"/>
    <w:rsid w:val="00CD5F7E"/>
    <w:rsid w:val="00CD654B"/>
    <w:rsid w:val="00CE223E"/>
    <w:rsid w:val="00CE7351"/>
    <w:rsid w:val="00CF3F0D"/>
    <w:rsid w:val="00D145F5"/>
    <w:rsid w:val="00D1778E"/>
    <w:rsid w:val="00D355F0"/>
    <w:rsid w:val="00D43AC8"/>
    <w:rsid w:val="00D5102D"/>
    <w:rsid w:val="00D56113"/>
    <w:rsid w:val="00D574AA"/>
    <w:rsid w:val="00D80D5E"/>
    <w:rsid w:val="00D833D9"/>
    <w:rsid w:val="00D83BD9"/>
    <w:rsid w:val="00D94DCF"/>
    <w:rsid w:val="00D94EAE"/>
    <w:rsid w:val="00DA586F"/>
    <w:rsid w:val="00DB08DA"/>
    <w:rsid w:val="00DB111B"/>
    <w:rsid w:val="00DB1432"/>
    <w:rsid w:val="00DB7F09"/>
    <w:rsid w:val="00DC00E8"/>
    <w:rsid w:val="00DC1C56"/>
    <w:rsid w:val="00DC4756"/>
    <w:rsid w:val="00DC6379"/>
    <w:rsid w:val="00DD34D6"/>
    <w:rsid w:val="00DD43DF"/>
    <w:rsid w:val="00DE3C77"/>
    <w:rsid w:val="00DE3DB6"/>
    <w:rsid w:val="00DF119C"/>
    <w:rsid w:val="00DF6F61"/>
    <w:rsid w:val="00DF745E"/>
    <w:rsid w:val="00E101C6"/>
    <w:rsid w:val="00E15FC5"/>
    <w:rsid w:val="00E167DD"/>
    <w:rsid w:val="00E22D51"/>
    <w:rsid w:val="00E42FCB"/>
    <w:rsid w:val="00E45060"/>
    <w:rsid w:val="00E5085F"/>
    <w:rsid w:val="00E50E7C"/>
    <w:rsid w:val="00E51545"/>
    <w:rsid w:val="00E51D9E"/>
    <w:rsid w:val="00E537D1"/>
    <w:rsid w:val="00E53B0F"/>
    <w:rsid w:val="00E567E6"/>
    <w:rsid w:val="00E56971"/>
    <w:rsid w:val="00E61143"/>
    <w:rsid w:val="00E61484"/>
    <w:rsid w:val="00E62A44"/>
    <w:rsid w:val="00E711D7"/>
    <w:rsid w:val="00E815E1"/>
    <w:rsid w:val="00E902B0"/>
    <w:rsid w:val="00E902E8"/>
    <w:rsid w:val="00E937BD"/>
    <w:rsid w:val="00EA23AC"/>
    <w:rsid w:val="00EA3B28"/>
    <w:rsid w:val="00EA7C3D"/>
    <w:rsid w:val="00EB0FB5"/>
    <w:rsid w:val="00EB3E91"/>
    <w:rsid w:val="00EB6878"/>
    <w:rsid w:val="00EC1E0E"/>
    <w:rsid w:val="00EC236D"/>
    <w:rsid w:val="00EC6B16"/>
    <w:rsid w:val="00EE1447"/>
    <w:rsid w:val="00EE63AF"/>
    <w:rsid w:val="00EF145E"/>
    <w:rsid w:val="00EF2BBB"/>
    <w:rsid w:val="00F0082D"/>
    <w:rsid w:val="00F015AB"/>
    <w:rsid w:val="00F07C90"/>
    <w:rsid w:val="00F152BC"/>
    <w:rsid w:val="00F25289"/>
    <w:rsid w:val="00F25DB2"/>
    <w:rsid w:val="00F44898"/>
    <w:rsid w:val="00F53DDB"/>
    <w:rsid w:val="00F57BED"/>
    <w:rsid w:val="00F7613A"/>
    <w:rsid w:val="00F82746"/>
    <w:rsid w:val="00F836F9"/>
    <w:rsid w:val="00F845D7"/>
    <w:rsid w:val="00F92279"/>
    <w:rsid w:val="00FA2AEF"/>
    <w:rsid w:val="00FB1CC1"/>
    <w:rsid w:val="00FB4D21"/>
    <w:rsid w:val="00FB762B"/>
    <w:rsid w:val="00FC5552"/>
    <w:rsid w:val="00FC6ADA"/>
    <w:rsid w:val="00FC799F"/>
    <w:rsid w:val="00FD1527"/>
    <w:rsid w:val="00FD1A1B"/>
    <w:rsid w:val="00FE093B"/>
    <w:rsid w:val="00FE0AB0"/>
    <w:rsid w:val="00FF58E3"/>
    <w:rsid w:val="00FF6057"/>
    <w:rsid w:val="00FF6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84E28F"/>
  <w15:docId w15:val="{1E95BF55-BAF6-4B92-BA74-58A88D2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semiHidden/>
    <w:unhideWhenUsed/>
    <w:qFormat/>
    <w:rsid w:val="00803F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3F69"/>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03F69"/>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ListParagraph">
    <w:name w:val="List Paragraph"/>
    <w:basedOn w:val="Normal"/>
    <w:uiPriority w:val="34"/>
    <w:qFormat/>
    <w:rsid w:val="00803F69"/>
    <w:pPr>
      <w:numPr>
        <w:numId w:val="19"/>
      </w:numPr>
      <w:tabs>
        <w:tab w:val="left" w:pos="340"/>
      </w:tabs>
      <w:spacing w:after="0"/>
    </w:pPr>
    <w:rPr>
      <w:rFonts w:ascii="Arial" w:eastAsiaTheme="minorHAnsi" w:hAnsi="Arial" w:cstheme="minorBidi"/>
      <w:szCs w:val="22"/>
      <w:lang w:eastAsia="en-US"/>
    </w:rPr>
  </w:style>
  <w:style w:type="character" w:customStyle="1" w:styleId="Numbered1Char">
    <w:name w:val="Numbered 1 Char"/>
    <w:basedOn w:val="DefaultParagraphFont"/>
    <w:link w:val="Numbered1"/>
    <w:locked/>
    <w:rsid w:val="00803F69"/>
    <w:rPr>
      <w:rFonts w:ascii="Palatino Linotype" w:eastAsiaTheme="majorEastAsia" w:hAnsi="Palatino Linotype" w:cstheme="majorBidi"/>
      <w:bCs/>
      <w:color w:val="5B9BD5" w:themeColor="accent1"/>
      <w:sz w:val="32"/>
      <w:szCs w:val="28"/>
    </w:rPr>
  </w:style>
  <w:style w:type="paragraph" w:customStyle="1" w:styleId="Numbered1">
    <w:name w:val="Numbered 1"/>
    <w:basedOn w:val="Heading1"/>
    <w:next w:val="Normal"/>
    <w:link w:val="Numbered1Char"/>
    <w:qFormat/>
    <w:rsid w:val="00803F69"/>
    <w:pPr>
      <w:keepNext w:val="0"/>
      <w:numPr>
        <w:numId w:val="20"/>
      </w:numPr>
      <w:tabs>
        <w:tab w:val="left" w:pos="680"/>
      </w:tabs>
      <w:spacing w:before="240" w:after="0"/>
      <w:ind w:left="680" w:hanging="680"/>
    </w:pPr>
    <w:rPr>
      <w:rFonts w:ascii="Palatino Linotype" w:eastAsiaTheme="majorEastAsia" w:hAnsi="Palatino Linotype" w:cstheme="majorBidi"/>
      <w:bCs/>
      <w:color w:val="5B9BD5" w:themeColor="accent1"/>
      <w:kern w:val="0"/>
      <w:sz w:val="32"/>
      <w:szCs w:val="28"/>
      <w:lang w:eastAsia="en-US"/>
    </w:rPr>
  </w:style>
  <w:style w:type="paragraph" w:customStyle="1" w:styleId="Numbered11">
    <w:name w:val="Numbered 1.1"/>
    <w:basedOn w:val="Heading2"/>
    <w:next w:val="Normal"/>
    <w:qFormat/>
    <w:rsid w:val="00803F69"/>
    <w:pPr>
      <w:keepNext w:val="0"/>
      <w:numPr>
        <w:ilvl w:val="1"/>
        <w:numId w:val="20"/>
      </w:numPr>
      <w:tabs>
        <w:tab w:val="left" w:pos="1021"/>
      </w:tabs>
      <w:spacing w:before="200" w:after="0" w:line="240" w:lineRule="atLeast"/>
    </w:pPr>
    <w:rPr>
      <w:rFonts w:ascii="Arial" w:eastAsiaTheme="majorEastAsia" w:hAnsi="Arial"/>
      <w:bCs/>
      <w:iCs w:val="0"/>
      <w:color w:val="5B9BD5" w:themeColor="accent1"/>
      <w:kern w:val="0"/>
      <w:sz w:val="28"/>
      <w:szCs w:val="26"/>
      <w:lang w:eastAsia="en-US"/>
    </w:rPr>
  </w:style>
  <w:style w:type="paragraph" w:customStyle="1" w:styleId="Numbered111">
    <w:name w:val="Numbered 1.1.1"/>
    <w:basedOn w:val="Heading3"/>
    <w:next w:val="Normal"/>
    <w:qFormat/>
    <w:rsid w:val="00803F69"/>
    <w:pPr>
      <w:keepNext w:val="0"/>
      <w:numPr>
        <w:ilvl w:val="2"/>
        <w:numId w:val="20"/>
      </w:numPr>
      <w:tabs>
        <w:tab w:val="left" w:pos="1361"/>
      </w:tabs>
      <w:spacing w:after="0"/>
      <w:contextualSpacing/>
    </w:pPr>
    <w:rPr>
      <w:rFonts w:ascii="Arial" w:eastAsiaTheme="majorEastAsia" w:hAnsi="Arial" w:cstheme="majorBidi"/>
      <w:b/>
      <w:bCs/>
      <w:color w:val="000000" w:themeColor="text1" w:themeShade="BF"/>
      <w:kern w:val="0"/>
      <w:sz w:val="24"/>
      <w:szCs w:val="22"/>
      <w:lang w:eastAsia="en-US"/>
    </w:rPr>
  </w:style>
  <w:style w:type="paragraph" w:customStyle="1" w:styleId="Numbered1111">
    <w:name w:val="Numbered 1.1.1.1"/>
    <w:basedOn w:val="Heading4"/>
    <w:next w:val="Normal"/>
    <w:rsid w:val="00803F69"/>
    <w:pPr>
      <w:keepNext w:val="0"/>
      <w:numPr>
        <w:ilvl w:val="3"/>
        <w:numId w:val="20"/>
      </w:numPr>
      <w:tabs>
        <w:tab w:val="num" w:pos="360"/>
        <w:tab w:val="left" w:pos="1361"/>
      </w:tabs>
      <w:spacing w:before="240" w:after="0"/>
      <w:ind w:left="1361" w:hanging="1361"/>
    </w:pPr>
    <w:rPr>
      <w:rFonts w:ascii="Arial" w:eastAsiaTheme="majorEastAsia" w:hAnsi="Arial" w:cstheme="majorBidi"/>
      <w:b/>
      <w:bCs/>
      <w:i/>
      <w:iCs/>
      <w:color w:val="5B9BD5" w:themeColor="accent1"/>
      <w:kern w:val="0"/>
      <w:sz w:val="24"/>
      <w:szCs w:val="22"/>
      <w:lang w:eastAsia="en-US"/>
    </w:rPr>
  </w:style>
  <w:style w:type="paragraph" w:customStyle="1" w:styleId="Numbered11111">
    <w:name w:val="Numbered 1.1.1.1.1"/>
    <w:basedOn w:val="Heading5"/>
    <w:next w:val="Normal"/>
    <w:uiPriority w:val="2"/>
    <w:rsid w:val="00803F69"/>
    <w:pPr>
      <w:keepNext w:val="0"/>
      <w:numPr>
        <w:ilvl w:val="4"/>
        <w:numId w:val="20"/>
      </w:numPr>
      <w:tabs>
        <w:tab w:val="num" w:pos="360"/>
        <w:tab w:val="left" w:pos="1701"/>
      </w:tabs>
      <w:spacing w:before="200" w:after="0" w:line="240" w:lineRule="atLeast"/>
      <w:ind w:left="1701" w:hanging="1701"/>
    </w:pPr>
    <w:rPr>
      <w:rFonts w:ascii="Arial" w:eastAsiaTheme="majorEastAsia" w:hAnsi="Arial" w:cstheme="majorBidi"/>
      <w:iCs w:val="0"/>
      <w:color w:val="1F4D78" w:themeColor="accent1" w:themeShade="7F"/>
      <w:kern w:val="0"/>
      <w:szCs w:val="22"/>
      <w:lang w:eastAsia="en-US"/>
    </w:rPr>
  </w:style>
  <w:style w:type="paragraph" w:customStyle="1" w:styleId="Numbered111111">
    <w:name w:val="Numbered 1.1.1.1.1.1"/>
    <w:basedOn w:val="Heading6"/>
    <w:next w:val="Normal"/>
    <w:uiPriority w:val="2"/>
    <w:rsid w:val="00803F69"/>
    <w:pPr>
      <w:keepNext w:val="0"/>
      <w:numPr>
        <w:ilvl w:val="5"/>
        <w:numId w:val="20"/>
      </w:numPr>
      <w:tabs>
        <w:tab w:val="num" w:pos="360"/>
        <w:tab w:val="left" w:pos="1701"/>
      </w:tabs>
      <w:spacing w:before="240" w:after="0"/>
      <w:ind w:left="1701" w:hanging="1701"/>
    </w:pPr>
    <w:rPr>
      <w:rFonts w:ascii="Arial" w:eastAsiaTheme="majorEastAsia" w:hAnsi="Arial" w:cstheme="majorBidi"/>
      <w:b/>
      <w:i/>
      <w:iCs/>
      <w:color w:val="auto"/>
      <w:kern w:val="0"/>
      <w:lang w:eastAsia="en-US"/>
    </w:rPr>
  </w:style>
  <w:style w:type="paragraph" w:customStyle="1" w:styleId="Numbered1111111">
    <w:name w:val="Numbered 1.1.1.1.1.1.1"/>
    <w:basedOn w:val="Heading7"/>
    <w:next w:val="Normal"/>
    <w:uiPriority w:val="2"/>
    <w:rsid w:val="00803F69"/>
    <w:pPr>
      <w:keepNext w:val="0"/>
      <w:keepLines w:val="0"/>
      <w:numPr>
        <w:ilvl w:val="6"/>
        <w:numId w:val="20"/>
      </w:numPr>
      <w:tabs>
        <w:tab w:val="num" w:pos="360"/>
        <w:tab w:val="left" w:pos="2041"/>
      </w:tabs>
      <w:spacing w:before="240"/>
      <w:ind w:left="2041" w:hanging="2041"/>
    </w:pPr>
    <w:rPr>
      <w:rFonts w:ascii="Arial" w:hAnsi="Arial"/>
      <w:szCs w:val="22"/>
      <w:lang w:eastAsia="en-US"/>
    </w:rPr>
  </w:style>
  <w:style w:type="paragraph" w:customStyle="1" w:styleId="Numbered11111111">
    <w:name w:val="Numbered 1.1.1.1.1.1.1.1"/>
    <w:basedOn w:val="Heading8"/>
    <w:next w:val="Normal"/>
    <w:uiPriority w:val="2"/>
    <w:rsid w:val="00803F69"/>
    <w:pPr>
      <w:keepNext w:val="0"/>
      <w:keepLines w:val="0"/>
      <w:numPr>
        <w:ilvl w:val="7"/>
        <w:numId w:val="20"/>
      </w:numPr>
      <w:tabs>
        <w:tab w:val="num" w:pos="360"/>
        <w:tab w:val="left" w:pos="2041"/>
      </w:tabs>
      <w:spacing w:before="240"/>
      <w:ind w:left="2041" w:hanging="2041"/>
    </w:pPr>
    <w:rPr>
      <w:rFonts w:ascii="Arial" w:hAnsi="Arial"/>
      <w:color w:val="5B9BD5" w:themeColor="accent1"/>
      <w:sz w:val="22"/>
      <w:lang w:eastAsia="en-US"/>
    </w:rPr>
  </w:style>
  <w:style w:type="paragraph" w:customStyle="1" w:styleId="Numbered111111111">
    <w:name w:val="Numbered 1.1.1.1.1.1.1.1.1"/>
    <w:basedOn w:val="Heading9"/>
    <w:next w:val="Normal"/>
    <w:uiPriority w:val="2"/>
    <w:rsid w:val="00803F69"/>
    <w:pPr>
      <w:keepNext w:val="0"/>
      <w:keepLines w:val="0"/>
      <w:numPr>
        <w:ilvl w:val="8"/>
        <w:numId w:val="20"/>
      </w:numPr>
      <w:tabs>
        <w:tab w:val="left" w:pos="340"/>
        <w:tab w:val="left" w:pos="2381"/>
      </w:tabs>
      <w:spacing w:before="240" w:after="120"/>
      <w:ind w:left="2381" w:hanging="2381"/>
    </w:pPr>
    <w:rPr>
      <w:rFonts w:ascii="Arial" w:hAnsi="Arial"/>
      <w:b/>
      <w:i w:val="0"/>
      <w:color w:val="000000" w:themeColor="text1"/>
      <w:sz w:val="24"/>
      <w:lang w:eastAsia="en-US"/>
    </w:rPr>
  </w:style>
  <w:style w:type="character" w:customStyle="1" w:styleId="BulletChar">
    <w:name w:val="Bullet Char"/>
    <w:basedOn w:val="DefaultParagraphFont"/>
    <w:link w:val="Bullet"/>
    <w:rsid w:val="00803F69"/>
    <w:rPr>
      <w:rFonts w:ascii="Calibri" w:eastAsia="Times New Roman" w:hAnsi="Calibri" w:cs="Times New Roman"/>
      <w:szCs w:val="20"/>
      <w:lang w:eastAsia="en-AU"/>
    </w:rPr>
  </w:style>
  <w:style w:type="character" w:customStyle="1" w:styleId="OutlineNumbered1Char">
    <w:name w:val="Outline Numbered 1 Char"/>
    <w:basedOn w:val="BulletChar"/>
    <w:link w:val="OutlineNumbered1"/>
    <w:rsid w:val="00803F69"/>
    <w:rPr>
      <w:rFonts w:ascii="Calibri" w:eastAsia="Times New Roman" w:hAnsi="Calibri" w:cs="Times New Roman"/>
      <w:szCs w:val="20"/>
      <w:lang w:eastAsia="en-AU"/>
    </w:rPr>
  </w:style>
  <w:style w:type="character" w:customStyle="1" w:styleId="Heading7Char">
    <w:name w:val="Heading 7 Char"/>
    <w:basedOn w:val="DefaultParagraphFont"/>
    <w:link w:val="Heading7"/>
    <w:uiPriority w:val="9"/>
    <w:semiHidden/>
    <w:rsid w:val="00803F69"/>
    <w:rPr>
      <w:rFonts w:asciiTheme="majorHAnsi" w:eastAsiaTheme="majorEastAsia" w:hAnsiTheme="majorHAnsi" w:cstheme="majorBidi"/>
      <w:i/>
      <w:iCs/>
      <w:color w:val="404040" w:themeColor="text1" w:themeTint="BF"/>
      <w:szCs w:val="20"/>
      <w:lang w:eastAsia="en-AU"/>
    </w:rPr>
  </w:style>
  <w:style w:type="character" w:customStyle="1" w:styleId="Heading8Char">
    <w:name w:val="Heading 8 Char"/>
    <w:basedOn w:val="DefaultParagraphFont"/>
    <w:link w:val="Heading8"/>
    <w:uiPriority w:val="9"/>
    <w:semiHidden/>
    <w:rsid w:val="00803F69"/>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803F69"/>
    <w:rPr>
      <w:rFonts w:asciiTheme="majorHAnsi" w:eastAsiaTheme="majorEastAsia" w:hAnsiTheme="majorHAnsi" w:cstheme="majorBidi"/>
      <w:i/>
      <w:iCs/>
      <w:color w:val="404040" w:themeColor="text1" w:themeTint="BF"/>
      <w:sz w:val="20"/>
      <w:szCs w:val="20"/>
      <w:lang w:eastAsia="en-AU"/>
    </w:rPr>
  </w:style>
  <w:style w:type="paragraph" w:styleId="CommentText">
    <w:name w:val="annotation text"/>
    <w:basedOn w:val="Normal"/>
    <w:link w:val="CommentTextChar"/>
    <w:uiPriority w:val="99"/>
    <w:unhideWhenUsed/>
    <w:rsid w:val="00803F69"/>
    <w:pPr>
      <w:spacing w:before="200" w:after="0"/>
    </w:pPr>
    <w:rPr>
      <w:rFonts w:ascii="Arial" w:eastAsiaTheme="minorHAnsi" w:hAnsi="Arial" w:cstheme="minorBidi"/>
      <w:sz w:val="20"/>
      <w:lang w:eastAsia="en-US"/>
    </w:rPr>
  </w:style>
  <w:style w:type="character" w:customStyle="1" w:styleId="CommentTextChar">
    <w:name w:val="Comment Text Char"/>
    <w:basedOn w:val="DefaultParagraphFont"/>
    <w:link w:val="CommentText"/>
    <w:uiPriority w:val="99"/>
    <w:rsid w:val="00803F69"/>
    <w:rPr>
      <w:rFonts w:ascii="Arial" w:hAnsi="Arial"/>
      <w:sz w:val="20"/>
      <w:szCs w:val="20"/>
    </w:rPr>
  </w:style>
  <w:style w:type="character" w:styleId="CommentReference">
    <w:name w:val="annotation reference"/>
    <w:basedOn w:val="DefaultParagraphFont"/>
    <w:uiPriority w:val="99"/>
    <w:semiHidden/>
    <w:unhideWhenUsed/>
    <w:rsid w:val="00803F69"/>
    <w:rPr>
      <w:sz w:val="16"/>
      <w:szCs w:val="16"/>
    </w:rPr>
  </w:style>
  <w:style w:type="character" w:customStyle="1" w:styleId="BoxedtextChar">
    <w:name w:val="Boxed text Char"/>
    <w:basedOn w:val="DefaultParagraphFont"/>
    <w:link w:val="Boxedtext"/>
    <w:uiPriority w:val="1"/>
    <w:locked/>
    <w:rsid w:val="00803F69"/>
    <w:rPr>
      <w:rFonts w:ascii="Arial" w:hAnsi="Arial" w:cs="Arial"/>
      <w:szCs w:val="20"/>
      <w:shd w:val="clear" w:color="auto" w:fill="F2F2F2" w:themeFill="background1" w:themeFillShade="F2"/>
    </w:rPr>
  </w:style>
  <w:style w:type="paragraph" w:customStyle="1" w:styleId="Boxedtext">
    <w:name w:val="Boxed text"/>
    <w:basedOn w:val="Normal"/>
    <w:link w:val="BoxedtextChar"/>
    <w:uiPriority w:val="1"/>
    <w:rsid w:val="00803F6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before="200" w:after="240"/>
    </w:pPr>
    <w:rPr>
      <w:rFonts w:ascii="Arial" w:eastAsiaTheme="minorHAnsi" w:hAnsi="Arial" w:cs="Arial"/>
      <w:lang w:eastAsia="en-US"/>
    </w:rPr>
  </w:style>
  <w:style w:type="paragraph" w:styleId="ListBullet2">
    <w:name w:val="List Bullet 2"/>
    <w:basedOn w:val="Normal"/>
    <w:uiPriority w:val="99"/>
    <w:unhideWhenUsed/>
    <w:rsid w:val="00803F69"/>
    <w:pPr>
      <w:numPr>
        <w:numId w:val="27"/>
      </w:numPr>
      <w:spacing w:after="0"/>
    </w:pPr>
    <w:rPr>
      <w:rFonts w:ascii="Arial" w:eastAsiaTheme="minorHAnsi" w:hAnsi="Arial" w:cstheme="minorBidi"/>
      <w:szCs w:val="22"/>
      <w:lang w:eastAsia="en-US"/>
    </w:rPr>
  </w:style>
  <w:style w:type="table" w:customStyle="1" w:styleId="TableGridLight2">
    <w:name w:val="Table Grid Light2"/>
    <w:basedOn w:val="TableNormal"/>
    <w:uiPriority w:val="40"/>
    <w:rsid w:val="00803F69"/>
    <w:pPr>
      <w:spacing w:before="200"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oint">
    <w:name w:val="Bullet point"/>
    <w:basedOn w:val="ListBullet"/>
    <w:qFormat/>
    <w:rsid w:val="00803F69"/>
    <w:pPr>
      <w:tabs>
        <w:tab w:val="left" w:pos="340"/>
        <w:tab w:val="num" w:pos="425"/>
      </w:tabs>
      <w:spacing w:after="0"/>
      <w:ind w:left="340" w:hanging="340"/>
      <w:contextualSpacing w:val="0"/>
    </w:pPr>
    <w:rPr>
      <w:rFonts w:ascii="Arial" w:eastAsiaTheme="minorHAnsi" w:hAnsi="Arial"/>
      <w:szCs w:val="22"/>
      <w:lang w:eastAsia="en-US"/>
    </w:rPr>
  </w:style>
  <w:style w:type="paragraph" w:styleId="ListBullet">
    <w:name w:val="List Bullet"/>
    <w:basedOn w:val="Normal"/>
    <w:uiPriority w:val="99"/>
    <w:semiHidden/>
    <w:unhideWhenUsed/>
    <w:rsid w:val="00803F69"/>
    <w:pPr>
      <w:ind w:left="2400" w:hanging="360"/>
      <w:contextualSpacing/>
    </w:pPr>
  </w:style>
  <w:style w:type="paragraph" w:styleId="CommentSubject">
    <w:name w:val="annotation subject"/>
    <w:basedOn w:val="CommentText"/>
    <w:next w:val="CommentText"/>
    <w:link w:val="CommentSubjectChar"/>
    <w:uiPriority w:val="99"/>
    <w:semiHidden/>
    <w:unhideWhenUsed/>
    <w:rsid w:val="009E4381"/>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9E4381"/>
    <w:rPr>
      <w:rFonts w:ascii="Calibri" w:eastAsia="Times New Roman" w:hAnsi="Calibri" w:cs="Times New Roman"/>
      <w:b/>
      <w:bCs/>
      <w:sz w:val="20"/>
      <w:szCs w:val="20"/>
      <w:lang w:eastAsia="en-AU"/>
    </w:rPr>
  </w:style>
  <w:style w:type="paragraph" w:styleId="Revision">
    <w:name w:val="Revision"/>
    <w:hidden/>
    <w:uiPriority w:val="99"/>
    <w:semiHidden/>
    <w:rsid w:val="00F25289"/>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21100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legalcode" TargetMode="External"/><Relationship Id="rId25" Type="http://schemas.openxmlformats.org/officeDocument/2006/relationships/footer" Target="footer4.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yperlink" Target="mailto:XX@treasury.gov.a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creativecommons.org/licenses/by/3.0/au/deed.en"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2019MG-133-39983</_dlc_DocId>
    <_dlc_DocIdUrl xmlns="0f563589-9cf9-4143-b1eb-fb0534803d38">
      <Url>http://tweb/sites/mg/sbccpd/_layouts/15/DocIdRedir.aspx?ID=2019MG-133-39983</Url>
      <Description>2019MG-133-39983</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22437" ma:contentTypeDescription="" ma:contentTypeScope="" ma:versionID="604963f93d1814eba516a536508b218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DD869-7EAD-4998-BD3C-9682EF3BEC06}">
  <ds:schemaRefs>
    <ds:schemaRef ds:uri="http://purl.org/dc/elements/1.1/"/>
    <ds:schemaRef ds:uri="http://schemas.microsoft.com/office/2006/documentManagement/types"/>
    <ds:schemaRef ds:uri="http://schemas.microsoft.com/sharepoint/v4"/>
    <ds:schemaRef ds:uri="http://schemas.openxmlformats.org/package/2006/metadata/core-properties"/>
    <ds:schemaRef ds:uri="http://schemas.microsoft.com/office/infopath/2007/PartnerControls"/>
    <ds:schemaRef ds:uri="http://purl.org/dc/dcmitype/"/>
    <ds:schemaRef ds:uri="d4dd4adf-ddb3-46a3-8d7c-fab3fb2a6bc7"/>
    <ds:schemaRef ds:uri="http://purl.org/dc/terms/"/>
    <ds:schemaRef ds:uri="http://schemas.microsoft.com/sharepoint/v3"/>
    <ds:schemaRef ds:uri="0f563589-9cf9-4143-b1eb-fb0534803d3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2AE041-CDCE-47BC-8DA0-EFC6550D00BB}">
  <ds:schemaRefs>
    <ds:schemaRef ds:uri="office.server.policy"/>
  </ds:schemaRefs>
</ds:datastoreItem>
</file>

<file path=customXml/itemProps3.xml><?xml version="1.0" encoding="utf-8"?>
<ds:datastoreItem xmlns:ds="http://schemas.openxmlformats.org/officeDocument/2006/customXml" ds:itemID="{2351ED61-B492-42C3-B10A-B70FC95C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A5668-88BB-49F3-89D7-BDA06DE06DE9}">
  <ds:schemaRefs>
    <ds:schemaRef ds:uri="http://schemas.microsoft.com/sharepoint/v3/contenttype/forms"/>
  </ds:schemaRefs>
</ds:datastoreItem>
</file>

<file path=customXml/itemProps5.xml><?xml version="1.0" encoding="utf-8"?>
<ds:datastoreItem xmlns:ds="http://schemas.openxmlformats.org/officeDocument/2006/customXml" ds:itemID="{867A753A-17B9-4DDD-9A91-0C494A46E10D}">
  <ds:schemaRefs>
    <ds:schemaRef ds:uri="http://schemas.microsoft.com/sharepoint/events"/>
  </ds:schemaRefs>
</ds:datastoreItem>
</file>

<file path=customXml/itemProps6.xml><?xml version="1.0" encoding="utf-8"?>
<ds:datastoreItem xmlns:ds="http://schemas.openxmlformats.org/officeDocument/2006/customXml" ds:itemID="{EF2C16E8-8055-479F-95CD-3B19FF67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18</TotalTime>
  <Pages>12</Pages>
  <Words>3664</Words>
  <Characters>20304</Characters>
  <Application>Microsoft Office Word</Application>
  <DocSecurity>0</DocSecurity>
  <Lines>432</Lines>
  <Paragraphs>228</Paragraphs>
  <ScaleCrop>false</ScaleCrop>
  <HeadingPairs>
    <vt:vector size="2" baseType="variant">
      <vt:variant>
        <vt:lpstr>Title</vt:lpstr>
      </vt:variant>
      <vt:variant>
        <vt:i4>1</vt:i4>
      </vt:variant>
    </vt:vector>
  </HeadingPairs>
  <TitlesOfParts>
    <vt:vector size="1" baseType="lpstr">
      <vt:lpstr>Priority Energy Datasets</vt:lpstr>
    </vt:vector>
  </TitlesOfParts>
  <Company>Australian Government - The Treasury</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Energy Datasets</dc:title>
  <dc:creator>The Treasury</dc:creator>
  <cp:lastModifiedBy>Hill, Christine</cp:lastModifiedBy>
  <cp:revision>5</cp:revision>
  <cp:lastPrinted>2019-08-29T00:19:00Z</cp:lastPrinted>
  <dcterms:created xsi:type="dcterms:W3CDTF">2019-08-28T05:43:00Z</dcterms:created>
  <dcterms:modified xsi:type="dcterms:W3CDTF">2019-08-29T00:20:00Z</dcterms:modified>
</cp:coreProperties>
</file>