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A2" w:rsidRPr="009C30A2" w:rsidRDefault="009C30A2">
      <w:pPr>
        <w:rPr>
          <w:b/>
        </w:rPr>
      </w:pPr>
      <w:bookmarkStart w:id="0" w:name="_GoBack"/>
      <w:bookmarkEnd w:id="0"/>
      <w:r w:rsidRPr="009C30A2">
        <w:rPr>
          <w:b/>
        </w:rPr>
        <w:t xml:space="preserve">Submission to the Treasury Department’s Consultation into the GST Treatment of Cross Border Transactions </w:t>
      </w:r>
    </w:p>
    <w:p w:rsidR="00951363" w:rsidRDefault="00951363" w:rsidP="00516D6F">
      <w:pPr>
        <w:jc w:val="both"/>
      </w:pPr>
      <w:r>
        <w:t xml:space="preserve">I would like to make a submission to the Treasury Department’s Consultation into the GST Treatment of Cross Border Transactions.  </w:t>
      </w:r>
      <w:proofErr w:type="spellStart"/>
      <w:r>
        <w:t>Robree</w:t>
      </w:r>
      <w:proofErr w:type="spellEnd"/>
      <w:r>
        <w:t xml:space="preserve"> Investments is entering the sporting goods market through wholesaling sporting goods sourced both internally and externally to Australia.  The majority of customers are small independent, often family run, retailers of sporting goods.  Whilst these businesses have anecdotally seen some improvement in trade following the disaster that was the GFC, it appears to have been very slow and cautious, and retailers remain very concerned about the tough trading conditions, particularly given the worsening unemployment figures and the likelihood of increases in interest rates in the not too distant future.</w:t>
      </w:r>
    </w:p>
    <w:p w:rsidR="00951363" w:rsidRPr="00951363" w:rsidRDefault="00951363" w:rsidP="00516D6F">
      <w:pPr>
        <w:jc w:val="both"/>
      </w:pPr>
      <w:r>
        <w:t>Having said that, I believe the retail industry as a whole is very supportive of the direction outlined in the Exposure Draft of the Tax Laws Amendment (GST Treatment of Cross Border Transactions) Bill 2015</w:t>
      </w:r>
      <w:r w:rsidRPr="00951363">
        <w:t xml:space="preserve">.  While the sporting and active lifestyle goods sector has little interest in the tax treatment of intangibles, it is clear the legislation enabling GST to be applied to intangible goods will be markedly similar to the legislation that will be required for tangible goods.  </w:t>
      </w:r>
    </w:p>
    <w:p w:rsidR="00863D9D" w:rsidRPr="00951363" w:rsidRDefault="00951363" w:rsidP="00516D6F">
      <w:pPr>
        <w:shd w:val="clear" w:color="auto" w:fill="FFFFFF"/>
        <w:spacing w:after="0" w:line="240" w:lineRule="auto"/>
        <w:jc w:val="both"/>
        <w:rPr>
          <w:rFonts w:ascii="Calibri" w:eastAsia="Times New Roman" w:hAnsi="Calibri" w:cs="Calibri"/>
          <w:color w:val="222222"/>
          <w:lang w:eastAsia="en-GB"/>
        </w:rPr>
      </w:pPr>
      <w:r w:rsidRPr="00951363">
        <w:rPr>
          <w:rFonts w:ascii="Calibri" w:eastAsia="Times New Roman" w:hAnsi="Calibri" w:cs="Calibri"/>
          <w:color w:val="222222"/>
          <w:lang w:eastAsia="en-GB"/>
        </w:rPr>
        <w:t>As I understand the proposal</w:t>
      </w:r>
      <w:r w:rsidR="00863D9D" w:rsidRPr="00863D9D">
        <w:rPr>
          <w:rFonts w:ascii="Calibri" w:eastAsia="Times New Roman" w:hAnsi="Calibri" w:cs="Calibri"/>
          <w:color w:val="222222"/>
          <w:lang w:eastAsia="en-GB"/>
        </w:rPr>
        <w:t>, the Gov</w:t>
      </w:r>
      <w:r w:rsidRPr="00951363">
        <w:rPr>
          <w:rFonts w:ascii="Calibri" w:eastAsia="Times New Roman" w:hAnsi="Calibri" w:cs="Calibri"/>
          <w:color w:val="222222"/>
          <w:lang w:eastAsia="en-GB"/>
        </w:rPr>
        <w:t>ernmen</w:t>
      </w:r>
      <w:r w:rsidR="00863D9D" w:rsidRPr="00863D9D">
        <w:rPr>
          <w:rFonts w:ascii="Calibri" w:eastAsia="Times New Roman" w:hAnsi="Calibri" w:cs="Calibri"/>
          <w:color w:val="222222"/>
          <w:lang w:eastAsia="en-GB"/>
        </w:rPr>
        <w:t xml:space="preserve">t </w:t>
      </w:r>
      <w:r w:rsidRPr="00951363">
        <w:rPr>
          <w:rFonts w:ascii="Calibri" w:eastAsia="Times New Roman" w:hAnsi="Calibri" w:cs="Calibri"/>
          <w:color w:val="222222"/>
          <w:lang w:eastAsia="en-GB"/>
        </w:rPr>
        <w:t xml:space="preserve">will </w:t>
      </w:r>
      <w:r w:rsidR="00863D9D" w:rsidRPr="00863D9D">
        <w:rPr>
          <w:rFonts w:ascii="Calibri" w:eastAsia="Times New Roman" w:hAnsi="Calibri" w:cs="Calibri"/>
          <w:color w:val="222222"/>
          <w:lang w:eastAsia="en-GB"/>
        </w:rPr>
        <w:t>require an overseas retailer to register for GST, charge an Australian consumer GST at point-of-purchase and remit that GST back to the ATO</w:t>
      </w:r>
      <w:r w:rsidRPr="00951363">
        <w:rPr>
          <w:rFonts w:ascii="Calibri" w:eastAsia="Times New Roman" w:hAnsi="Calibri" w:cs="Calibri"/>
          <w:color w:val="222222"/>
          <w:lang w:eastAsia="en-GB"/>
        </w:rPr>
        <w:t xml:space="preserve">.  My main questions are </w:t>
      </w:r>
      <w:r w:rsidR="00863D9D" w:rsidRPr="00863D9D">
        <w:rPr>
          <w:rFonts w:ascii="Calibri" w:eastAsia="Times New Roman" w:hAnsi="Calibri" w:cs="Calibri"/>
          <w:color w:val="222222"/>
          <w:lang w:eastAsia="en-GB"/>
        </w:rPr>
        <w:t>how will the Government:</w:t>
      </w:r>
    </w:p>
    <w:p w:rsidR="00951363" w:rsidRPr="00863D9D" w:rsidRDefault="00951363" w:rsidP="00516D6F">
      <w:pPr>
        <w:shd w:val="clear" w:color="auto" w:fill="FFFFFF"/>
        <w:spacing w:after="0" w:line="240" w:lineRule="auto"/>
        <w:jc w:val="both"/>
        <w:rPr>
          <w:rFonts w:ascii="Arial" w:eastAsia="Times New Roman" w:hAnsi="Arial" w:cs="Arial"/>
          <w:color w:val="222222"/>
          <w:sz w:val="19"/>
          <w:szCs w:val="19"/>
          <w:lang w:eastAsia="en-GB"/>
        </w:rPr>
      </w:pPr>
    </w:p>
    <w:p w:rsidR="00863D9D" w:rsidRPr="00863D9D" w:rsidRDefault="00863D9D" w:rsidP="00516D6F">
      <w:pPr>
        <w:shd w:val="clear" w:color="auto" w:fill="FFFFFF"/>
        <w:spacing w:after="0" w:line="240" w:lineRule="auto"/>
        <w:ind w:left="720"/>
        <w:jc w:val="both"/>
        <w:rPr>
          <w:rFonts w:ascii="Times New Roman" w:eastAsia="Times New Roman" w:hAnsi="Times New Roman" w:cs="Times New Roman"/>
          <w:color w:val="222222"/>
          <w:sz w:val="24"/>
          <w:szCs w:val="24"/>
          <w:lang w:eastAsia="en-GB"/>
        </w:rPr>
      </w:pPr>
      <w:r w:rsidRPr="00863D9D">
        <w:rPr>
          <w:rFonts w:ascii="Calibri" w:eastAsia="Times New Roman" w:hAnsi="Calibri" w:cs="Calibri"/>
          <w:color w:val="222222"/>
          <w:lang w:eastAsia="en-GB"/>
        </w:rPr>
        <w:t>1.</w:t>
      </w:r>
      <w:r w:rsidRPr="00863D9D">
        <w:rPr>
          <w:rFonts w:ascii="Times New Roman" w:eastAsia="Times New Roman" w:hAnsi="Times New Roman" w:cs="Times New Roman"/>
          <w:color w:val="222222"/>
          <w:sz w:val="14"/>
          <w:szCs w:val="14"/>
          <w:lang w:eastAsia="en-GB"/>
        </w:rPr>
        <w:t>      </w:t>
      </w:r>
      <w:r w:rsidRPr="00951363">
        <w:rPr>
          <w:rFonts w:ascii="Times New Roman" w:eastAsia="Times New Roman" w:hAnsi="Times New Roman" w:cs="Times New Roman"/>
          <w:color w:val="222222"/>
          <w:sz w:val="14"/>
          <w:szCs w:val="14"/>
          <w:lang w:eastAsia="en-GB"/>
        </w:rPr>
        <w:t> </w:t>
      </w:r>
      <w:r w:rsidRPr="00863D9D">
        <w:rPr>
          <w:rFonts w:ascii="Calibri" w:eastAsia="Times New Roman" w:hAnsi="Calibri" w:cs="Calibri"/>
          <w:color w:val="222222"/>
          <w:lang w:eastAsia="en-GB"/>
        </w:rPr>
        <w:t>Identify the retailers who are required to do all those things?</w:t>
      </w:r>
    </w:p>
    <w:p w:rsidR="00863D9D" w:rsidRPr="00863D9D" w:rsidRDefault="00863D9D" w:rsidP="00516D6F">
      <w:pPr>
        <w:shd w:val="clear" w:color="auto" w:fill="FFFFFF"/>
        <w:spacing w:after="0" w:line="240" w:lineRule="auto"/>
        <w:ind w:left="720"/>
        <w:jc w:val="both"/>
        <w:rPr>
          <w:rFonts w:ascii="Times New Roman" w:eastAsia="Times New Roman" w:hAnsi="Times New Roman" w:cs="Times New Roman"/>
          <w:color w:val="222222"/>
          <w:sz w:val="24"/>
          <w:szCs w:val="24"/>
          <w:lang w:eastAsia="en-GB"/>
        </w:rPr>
      </w:pPr>
      <w:r w:rsidRPr="00863D9D">
        <w:rPr>
          <w:rFonts w:ascii="Calibri" w:eastAsia="Times New Roman" w:hAnsi="Calibri" w:cs="Calibri"/>
          <w:color w:val="222222"/>
          <w:lang w:eastAsia="en-GB"/>
        </w:rPr>
        <w:t>2.</w:t>
      </w:r>
      <w:r w:rsidRPr="00863D9D">
        <w:rPr>
          <w:rFonts w:ascii="Times New Roman" w:eastAsia="Times New Roman" w:hAnsi="Times New Roman" w:cs="Times New Roman"/>
          <w:color w:val="222222"/>
          <w:sz w:val="14"/>
          <w:szCs w:val="14"/>
          <w:lang w:eastAsia="en-GB"/>
        </w:rPr>
        <w:t>      </w:t>
      </w:r>
      <w:r w:rsidRPr="00951363">
        <w:rPr>
          <w:rFonts w:ascii="Times New Roman" w:eastAsia="Times New Roman" w:hAnsi="Times New Roman" w:cs="Times New Roman"/>
          <w:color w:val="222222"/>
          <w:sz w:val="14"/>
          <w:szCs w:val="14"/>
          <w:lang w:eastAsia="en-GB"/>
        </w:rPr>
        <w:t> </w:t>
      </w:r>
      <w:r w:rsidRPr="00863D9D">
        <w:rPr>
          <w:rFonts w:ascii="Calibri" w:eastAsia="Times New Roman" w:hAnsi="Calibri" w:cs="Calibri"/>
          <w:color w:val="222222"/>
          <w:lang w:eastAsia="en-GB"/>
        </w:rPr>
        <w:t>Inform those retailers they have to do all those things?</w:t>
      </w:r>
    </w:p>
    <w:p w:rsidR="00863D9D" w:rsidRPr="00863D9D" w:rsidRDefault="00863D9D" w:rsidP="00516D6F">
      <w:pPr>
        <w:shd w:val="clear" w:color="auto" w:fill="FFFFFF"/>
        <w:spacing w:after="0" w:line="240" w:lineRule="auto"/>
        <w:ind w:left="720"/>
        <w:jc w:val="both"/>
        <w:rPr>
          <w:rFonts w:ascii="Times New Roman" w:eastAsia="Times New Roman" w:hAnsi="Times New Roman" w:cs="Times New Roman"/>
          <w:color w:val="222222"/>
          <w:sz w:val="24"/>
          <w:szCs w:val="24"/>
          <w:lang w:eastAsia="en-GB"/>
        </w:rPr>
      </w:pPr>
      <w:r w:rsidRPr="00863D9D">
        <w:rPr>
          <w:rFonts w:ascii="Calibri" w:eastAsia="Times New Roman" w:hAnsi="Calibri" w:cs="Calibri"/>
          <w:color w:val="222222"/>
          <w:lang w:eastAsia="en-GB"/>
        </w:rPr>
        <w:t>3.</w:t>
      </w:r>
      <w:r w:rsidRPr="00863D9D">
        <w:rPr>
          <w:rFonts w:ascii="Times New Roman" w:eastAsia="Times New Roman" w:hAnsi="Times New Roman" w:cs="Times New Roman"/>
          <w:color w:val="222222"/>
          <w:sz w:val="14"/>
          <w:szCs w:val="14"/>
          <w:lang w:eastAsia="en-GB"/>
        </w:rPr>
        <w:t>      </w:t>
      </w:r>
      <w:r w:rsidRPr="00951363">
        <w:rPr>
          <w:rFonts w:ascii="Times New Roman" w:eastAsia="Times New Roman" w:hAnsi="Times New Roman" w:cs="Times New Roman"/>
          <w:color w:val="222222"/>
          <w:sz w:val="14"/>
          <w:szCs w:val="14"/>
          <w:lang w:eastAsia="en-GB"/>
        </w:rPr>
        <w:t> </w:t>
      </w:r>
      <w:r w:rsidRPr="00863D9D">
        <w:rPr>
          <w:rFonts w:ascii="Calibri" w:eastAsia="Times New Roman" w:hAnsi="Calibri" w:cs="Calibri"/>
          <w:color w:val="222222"/>
          <w:lang w:eastAsia="en-GB"/>
        </w:rPr>
        <w:t>Assist those retailers to do all those things?</w:t>
      </w:r>
    </w:p>
    <w:p w:rsidR="00863D9D" w:rsidRPr="00863D9D" w:rsidRDefault="00863D9D" w:rsidP="00516D6F">
      <w:pPr>
        <w:shd w:val="clear" w:color="auto" w:fill="FFFFFF"/>
        <w:spacing w:after="0" w:line="240" w:lineRule="auto"/>
        <w:ind w:left="720"/>
        <w:jc w:val="both"/>
        <w:rPr>
          <w:rFonts w:ascii="Times New Roman" w:eastAsia="Times New Roman" w:hAnsi="Times New Roman" w:cs="Times New Roman"/>
          <w:color w:val="222222"/>
          <w:sz w:val="24"/>
          <w:szCs w:val="24"/>
          <w:lang w:eastAsia="en-GB"/>
        </w:rPr>
      </w:pPr>
      <w:r w:rsidRPr="00863D9D">
        <w:rPr>
          <w:rFonts w:ascii="Calibri" w:eastAsia="Times New Roman" w:hAnsi="Calibri" w:cs="Calibri"/>
          <w:color w:val="222222"/>
          <w:lang w:eastAsia="en-GB"/>
        </w:rPr>
        <w:t>4.</w:t>
      </w:r>
      <w:r w:rsidRPr="00863D9D">
        <w:rPr>
          <w:rFonts w:ascii="Times New Roman" w:eastAsia="Times New Roman" w:hAnsi="Times New Roman" w:cs="Times New Roman"/>
          <w:color w:val="222222"/>
          <w:sz w:val="14"/>
          <w:szCs w:val="14"/>
          <w:lang w:eastAsia="en-GB"/>
        </w:rPr>
        <w:t>      </w:t>
      </w:r>
      <w:r w:rsidRPr="00951363">
        <w:rPr>
          <w:rFonts w:ascii="Times New Roman" w:eastAsia="Times New Roman" w:hAnsi="Times New Roman" w:cs="Times New Roman"/>
          <w:color w:val="222222"/>
          <w:sz w:val="14"/>
          <w:szCs w:val="14"/>
          <w:lang w:eastAsia="en-GB"/>
        </w:rPr>
        <w:t> </w:t>
      </w:r>
      <w:r w:rsidRPr="00863D9D">
        <w:rPr>
          <w:rFonts w:ascii="Calibri" w:eastAsia="Times New Roman" w:hAnsi="Calibri" w:cs="Calibri"/>
          <w:color w:val="222222"/>
          <w:lang w:eastAsia="en-GB"/>
        </w:rPr>
        <w:t>Ensure those retailers comply with the new laws?</w:t>
      </w:r>
    </w:p>
    <w:p w:rsidR="00863D9D" w:rsidRPr="00863D9D" w:rsidRDefault="00863D9D" w:rsidP="00516D6F">
      <w:pPr>
        <w:shd w:val="clear" w:color="auto" w:fill="FFFFFF"/>
        <w:spacing w:after="0" w:line="240" w:lineRule="auto"/>
        <w:jc w:val="both"/>
        <w:rPr>
          <w:rFonts w:ascii="Arial" w:eastAsia="Times New Roman" w:hAnsi="Arial" w:cs="Arial"/>
          <w:color w:val="222222"/>
          <w:sz w:val="19"/>
          <w:szCs w:val="19"/>
          <w:lang w:eastAsia="en-GB"/>
        </w:rPr>
      </w:pPr>
      <w:r w:rsidRPr="00863D9D">
        <w:rPr>
          <w:rFonts w:ascii="Calibri" w:eastAsia="Times New Roman" w:hAnsi="Calibri" w:cs="Calibri"/>
          <w:color w:val="222222"/>
          <w:lang w:eastAsia="en-GB"/>
        </w:rPr>
        <w:t> </w:t>
      </w:r>
    </w:p>
    <w:p w:rsidR="00863D9D" w:rsidRPr="00863D9D" w:rsidRDefault="00951363" w:rsidP="00516D6F">
      <w:pPr>
        <w:shd w:val="clear" w:color="auto" w:fill="FFFFFF"/>
        <w:spacing w:after="0" w:line="240" w:lineRule="auto"/>
        <w:jc w:val="both"/>
        <w:rPr>
          <w:rFonts w:ascii="Arial" w:eastAsia="Times New Roman" w:hAnsi="Arial" w:cs="Arial"/>
          <w:color w:val="222222"/>
          <w:sz w:val="19"/>
          <w:szCs w:val="19"/>
          <w:lang w:eastAsia="en-GB"/>
        </w:rPr>
      </w:pPr>
      <w:r w:rsidRPr="00951363">
        <w:rPr>
          <w:rFonts w:ascii="Calibri" w:eastAsia="Times New Roman" w:hAnsi="Calibri" w:cs="Calibri"/>
          <w:color w:val="222222"/>
          <w:lang w:eastAsia="en-GB"/>
        </w:rPr>
        <w:t>I believe that</w:t>
      </w:r>
      <w:r w:rsidR="00863D9D" w:rsidRPr="00863D9D">
        <w:rPr>
          <w:rFonts w:ascii="Calibri" w:eastAsia="Times New Roman" w:hAnsi="Calibri" w:cs="Calibri"/>
          <w:color w:val="222222"/>
          <w:lang w:eastAsia="en-GB"/>
        </w:rPr>
        <w:t xml:space="preserve"> if the top 50 or so overseas retailers</w:t>
      </w:r>
      <w:r w:rsidRPr="00951363">
        <w:rPr>
          <w:rFonts w:ascii="Calibri" w:eastAsia="Times New Roman" w:hAnsi="Calibri" w:cs="Calibri"/>
          <w:color w:val="222222"/>
          <w:lang w:eastAsia="en-GB"/>
        </w:rPr>
        <w:t xml:space="preserve"> are captured</w:t>
      </w:r>
      <w:r w:rsidR="00863D9D" w:rsidRPr="00863D9D">
        <w:rPr>
          <w:rFonts w:ascii="Calibri" w:eastAsia="Times New Roman" w:hAnsi="Calibri" w:cs="Calibri"/>
          <w:color w:val="222222"/>
          <w:lang w:eastAsia="en-GB"/>
        </w:rPr>
        <w:t xml:space="preserve"> </w:t>
      </w:r>
      <w:r w:rsidRPr="00951363">
        <w:rPr>
          <w:rFonts w:ascii="Calibri" w:eastAsia="Times New Roman" w:hAnsi="Calibri" w:cs="Calibri"/>
          <w:color w:val="222222"/>
          <w:lang w:eastAsia="en-GB"/>
        </w:rPr>
        <w:t>this will</w:t>
      </w:r>
      <w:r w:rsidR="00863D9D" w:rsidRPr="00863D9D">
        <w:rPr>
          <w:rFonts w:ascii="Calibri" w:eastAsia="Times New Roman" w:hAnsi="Calibri" w:cs="Calibri"/>
          <w:color w:val="222222"/>
          <w:lang w:eastAsia="en-GB"/>
        </w:rPr>
        <w:t xml:space="preserve"> capture about 80</w:t>
      </w:r>
      <w:r w:rsidRPr="00951363">
        <w:rPr>
          <w:rFonts w:ascii="Calibri" w:eastAsia="Times New Roman" w:hAnsi="Calibri" w:cs="Calibri"/>
          <w:color w:val="222222"/>
          <w:lang w:eastAsia="en-GB"/>
        </w:rPr>
        <w:t xml:space="preserve"> per cent</w:t>
      </w:r>
      <w:r w:rsidR="00863D9D" w:rsidRPr="00863D9D">
        <w:rPr>
          <w:rFonts w:ascii="Calibri" w:eastAsia="Times New Roman" w:hAnsi="Calibri" w:cs="Calibri"/>
          <w:color w:val="222222"/>
          <w:lang w:eastAsia="en-GB"/>
        </w:rPr>
        <w:t xml:space="preserve"> of the incoming market. </w:t>
      </w:r>
      <w:r w:rsidRPr="00951363">
        <w:rPr>
          <w:rFonts w:ascii="Calibri" w:eastAsia="Times New Roman" w:hAnsi="Calibri" w:cs="Calibri"/>
          <w:color w:val="222222"/>
          <w:lang w:eastAsia="en-GB"/>
        </w:rPr>
        <w:t xml:space="preserve"> </w:t>
      </w:r>
      <w:r w:rsidR="00863D9D" w:rsidRPr="00863D9D">
        <w:rPr>
          <w:rFonts w:ascii="Calibri" w:eastAsia="Times New Roman" w:hAnsi="Calibri" w:cs="Calibri"/>
          <w:color w:val="222222"/>
          <w:lang w:eastAsia="en-GB"/>
        </w:rPr>
        <w:t xml:space="preserve">That’s fine for fashion apparel and consumer electronics and the like, and will likely pick up companies like wiggle in the sports space, but won’t pick up niche players. </w:t>
      </w:r>
      <w:r w:rsidRPr="00951363">
        <w:rPr>
          <w:rFonts w:ascii="Calibri" w:eastAsia="Times New Roman" w:hAnsi="Calibri" w:cs="Calibri"/>
          <w:color w:val="222222"/>
          <w:lang w:eastAsia="en-GB"/>
        </w:rPr>
        <w:t xml:space="preserve"> </w:t>
      </w:r>
      <w:r w:rsidR="00863D9D" w:rsidRPr="00863D9D">
        <w:rPr>
          <w:rFonts w:ascii="Calibri" w:eastAsia="Times New Roman" w:hAnsi="Calibri" w:cs="Calibri"/>
          <w:color w:val="222222"/>
          <w:lang w:eastAsia="en-GB"/>
        </w:rPr>
        <w:t xml:space="preserve">So there needs to be a mechanism for Australian retailers to identify overseas retailers to be targeted. </w:t>
      </w:r>
      <w:r w:rsidRPr="00951363">
        <w:rPr>
          <w:rFonts w:ascii="Calibri" w:eastAsia="Times New Roman" w:hAnsi="Calibri" w:cs="Calibri"/>
          <w:color w:val="222222"/>
          <w:lang w:eastAsia="en-GB"/>
        </w:rPr>
        <w:t xml:space="preserve"> </w:t>
      </w:r>
      <w:r w:rsidR="00863D9D" w:rsidRPr="00863D9D">
        <w:rPr>
          <w:rFonts w:ascii="Calibri" w:eastAsia="Times New Roman" w:hAnsi="Calibri" w:cs="Calibri"/>
          <w:color w:val="222222"/>
          <w:lang w:eastAsia="en-GB"/>
        </w:rPr>
        <w:t>That doesn’t appear to be in the legislation and I think it should be.</w:t>
      </w:r>
    </w:p>
    <w:p w:rsidR="00863D9D" w:rsidRPr="00863D9D" w:rsidRDefault="00863D9D" w:rsidP="00516D6F">
      <w:pPr>
        <w:shd w:val="clear" w:color="auto" w:fill="FFFFFF"/>
        <w:spacing w:after="0" w:line="240" w:lineRule="auto"/>
        <w:jc w:val="both"/>
        <w:rPr>
          <w:rFonts w:ascii="Arial" w:eastAsia="Times New Roman" w:hAnsi="Arial" w:cs="Arial"/>
          <w:color w:val="222222"/>
          <w:sz w:val="19"/>
          <w:szCs w:val="19"/>
          <w:lang w:eastAsia="en-GB"/>
        </w:rPr>
      </w:pPr>
      <w:r w:rsidRPr="00863D9D">
        <w:rPr>
          <w:rFonts w:ascii="Calibri" w:eastAsia="Times New Roman" w:hAnsi="Calibri" w:cs="Calibri"/>
          <w:color w:val="222222"/>
          <w:lang w:eastAsia="en-GB"/>
        </w:rPr>
        <w:t> </w:t>
      </w:r>
    </w:p>
    <w:p w:rsidR="00863D9D" w:rsidRPr="00863D9D" w:rsidRDefault="00863D9D" w:rsidP="00516D6F">
      <w:pPr>
        <w:shd w:val="clear" w:color="auto" w:fill="FFFFFF"/>
        <w:spacing w:after="0" w:line="240" w:lineRule="auto"/>
        <w:jc w:val="both"/>
        <w:rPr>
          <w:rFonts w:ascii="Arial" w:eastAsia="Times New Roman" w:hAnsi="Arial" w:cs="Arial"/>
          <w:color w:val="222222"/>
          <w:sz w:val="19"/>
          <w:szCs w:val="19"/>
          <w:lang w:eastAsia="en-GB"/>
        </w:rPr>
      </w:pPr>
      <w:r w:rsidRPr="00863D9D">
        <w:rPr>
          <w:rFonts w:ascii="Calibri" w:eastAsia="Times New Roman" w:hAnsi="Calibri" w:cs="Calibri"/>
          <w:color w:val="222222"/>
          <w:lang w:eastAsia="en-GB"/>
        </w:rPr>
        <w:t xml:space="preserve">In terms of enforcement, the legislation talks about ‘international tax agreements’, so that, for example, the US Internal Revenue Service would force a US company to register for GST on behalf of the Australian government, but that is a long, slow and difficult process and won’t work in all countries. What we’d like to see on the enforcement side is, basically, that if an overseas retailer does register for GST, then they go on a list that is given to Customs and any of their goods are just essentially waved through Customs – they’ve done the right thing, registered for, charged and remitted the GST, so they don’t have anything to worry about. </w:t>
      </w:r>
      <w:r w:rsidR="00951363" w:rsidRPr="00951363">
        <w:rPr>
          <w:rFonts w:ascii="Calibri" w:eastAsia="Times New Roman" w:hAnsi="Calibri" w:cs="Calibri"/>
          <w:color w:val="222222"/>
          <w:lang w:eastAsia="en-GB"/>
        </w:rPr>
        <w:t xml:space="preserve"> </w:t>
      </w:r>
      <w:r w:rsidRPr="00863D9D">
        <w:rPr>
          <w:rFonts w:ascii="Calibri" w:eastAsia="Times New Roman" w:hAnsi="Calibri" w:cs="Calibri"/>
          <w:color w:val="222222"/>
          <w:lang w:eastAsia="en-GB"/>
        </w:rPr>
        <w:t xml:space="preserve">However, an overseas retailer that has not registered for GST doesn’t go on that list (because they haven’t charged the GST). </w:t>
      </w:r>
      <w:r w:rsidR="00951363" w:rsidRPr="00951363">
        <w:rPr>
          <w:rFonts w:ascii="Calibri" w:eastAsia="Times New Roman" w:hAnsi="Calibri" w:cs="Calibri"/>
          <w:color w:val="222222"/>
          <w:lang w:eastAsia="en-GB"/>
        </w:rPr>
        <w:t xml:space="preserve"> </w:t>
      </w:r>
      <w:r w:rsidRPr="00863D9D">
        <w:rPr>
          <w:rFonts w:ascii="Calibri" w:eastAsia="Times New Roman" w:hAnsi="Calibri" w:cs="Calibri"/>
          <w:color w:val="222222"/>
          <w:lang w:eastAsia="en-GB"/>
        </w:rPr>
        <w:t xml:space="preserve">That means their goods will be stopped at the border and Customs will require the consumer to pay the GST when they pick up the goods. </w:t>
      </w:r>
      <w:r w:rsidR="00951363" w:rsidRPr="00951363">
        <w:rPr>
          <w:rFonts w:ascii="Calibri" w:eastAsia="Times New Roman" w:hAnsi="Calibri" w:cs="Calibri"/>
          <w:color w:val="222222"/>
          <w:lang w:eastAsia="en-GB"/>
        </w:rPr>
        <w:t xml:space="preserve"> </w:t>
      </w:r>
      <w:r w:rsidRPr="00863D9D">
        <w:rPr>
          <w:rFonts w:ascii="Calibri" w:eastAsia="Times New Roman" w:hAnsi="Calibri" w:cs="Calibri"/>
          <w:color w:val="222222"/>
          <w:lang w:eastAsia="en-GB"/>
        </w:rPr>
        <w:t>The point of that is to make consumers say “I’m not buying from you if I’ forced to go to the post office or Customs and pay GST just to pick up my package, so either just charge me GST at the point-of-purchase or I will go with a retailer who does”.</w:t>
      </w:r>
    </w:p>
    <w:p w:rsidR="00863D9D" w:rsidRPr="00863D9D" w:rsidRDefault="00863D9D" w:rsidP="00516D6F">
      <w:pPr>
        <w:shd w:val="clear" w:color="auto" w:fill="FFFFFF"/>
        <w:spacing w:after="0" w:line="240" w:lineRule="auto"/>
        <w:jc w:val="both"/>
        <w:rPr>
          <w:rFonts w:ascii="Arial" w:eastAsia="Times New Roman" w:hAnsi="Arial" w:cs="Arial"/>
          <w:color w:val="222222"/>
          <w:sz w:val="19"/>
          <w:szCs w:val="19"/>
          <w:lang w:eastAsia="en-GB"/>
        </w:rPr>
      </w:pPr>
      <w:r w:rsidRPr="00863D9D">
        <w:rPr>
          <w:rFonts w:ascii="Calibri" w:eastAsia="Times New Roman" w:hAnsi="Calibri" w:cs="Calibri"/>
          <w:color w:val="222222"/>
          <w:lang w:eastAsia="en-GB"/>
        </w:rPr>
        <w:t> </w:t>
      </w:r>
    </w:p>
    <w:p w:rsidR="00863D9D" w:rsidRPr="00863D9D" w:rsidRDefault="00863D9D" w:rsidP="00516D6F">
      <w:pPr>
        <w:shd w:val="clear" w:color="auto" w:fill="FFFFFF"/>
        <w:spacing w:after="0" w:line="240" w:lineRule="auto"/>
        <w:jc w:val="both"/>
        <w:rPr>
          <w:rFonts w:ascii="Arial" w:eastAsia="Times New Roman" w:hAnsi="Arial" w:cs="Arial"/>
          <w:color w:val="222222"/>
          <w:sz w:val="19"/>
          <w:szCs w:val="19"/>
          <w:lang w:eastAsia="en-GB"/>
        </w:rPr>
      </w:pPr>
      <w:r w:rsidRPr="00863D9D">
        <w:rPr>
          <w:rFonts w:ascii="Calibri" w:eastAsia="Times New Roman" w:hAnsi="Calibri" w:cs="Calibri"/>
          <w:color w:val="222222"/>
          <w:lang w:eastAsia="en-GB"/>
        </w:rPr>
        <w:t xml:space="preserve">There is some concern about the $75k threshold (a company doesn’t have to worry about charging GST if they do less than $75k worth of business with Australia). </w:t>
      </w:r>
      <w:r w:rsidR="00951363" w:rsidRPr="00951363">
        <w:rPr>
          <w:rFonts w:ascii="Calibri" w:eastAsia="Times New Roman" w:hAnsi="Calibri" w:cs="Calibri"/>
          <w:color w:val="222222"/>
          <w:lang w:eastAsia="en-GB"/>
        </w:rPr>
        <w:t xml:space="preserve"> Given</w:t>
      </w:r>
      <w:r w:rsidRPr="00863D9D">
        <w:rPr>
          <w:rFonts w:ascii="Calibri" w:eastAsia="Times New Roman" w:hAnsi="Calibri" w:cs="Calibri"/>
          <w:color w:val="222222"/>
          <w:lang w:eastAsia="en-GB"/>
        </w:rPr>
        <w:t xml:space="preserve"> that </w:t>
      </w:r>
      <w:r w:rsidR="00951363" w:rsidRPr="00951363">
        <w:rPr>
          <w:rFonts w:ascii="Calibri" w:eastAsia="Times New Roman" w:hAnsi="Calibri" w:cs="Calibri"/>
          <w:color w:val="222222"/>
          <w:lang w:eastAsia="en-GB"/>
        </w:rPr>
        <w:t xml:space="preserve">same rule applies to Australian </w:t>
      </w:r>
      <w:r w:rsidRPr="00863D9D">
        <w:rPr>
          <w:rFonts w:ascii="Calibri" w:eastAsia="Times New Roman" w:hAnsi="Calibri" w:cs="Calibri"/>
          <w:color w:val="222222"/>
          <w:lang w:eastAsia="en-GB"/>
        </w:rPr>
        <w:t>business</w:t>
      </w:r>
      <w:r w:rsidR="00951363" w:rsidRPr="00951363">
        <w:rPr>
          <w:rFonts w:ascii="Calibri" w:eastAsia="Times New Roman" w:hAnsi="Calibri" w:cs="Calibri"/>
          <w:color w:val="222222"/>
          <w:lang w:eastAsia="en-GB"/>
        </w:rPr>
        <w:t>es this should not be an issue a</w:t>
      </w:r>
      <w:r w:rsidRPr="00863D9D">
        <w:rPr>
          <w:rFonts w:ascii="Calibri" w:eastAsia="Times New Roman" w:hAnsi="Calibri" w:cs="Calibri"/>
          <w:color w:val="222222"/>
          <w:lang w:eastAsia="en-GB"/>
        </w:rPr>
        <w:t xml:space="preserve">s long as, for example, there is a mechanism to </w:t>
      </w:r>
      <w:r w:rsidRPr="00863D9D">
        <w:rPr>
          <w:rFonts w:ascii="Calibri" w:eastAsia="Times New Roman" w:hAnsi="Calibri" w:cs="Calibri"/>
          <w:color w:val="222222"/>
          <w:lang w:eastAsia="en-GB"/>
        </w:rPr>
        <w:lastRenderedPageBreak/>
        <w:t>recognise when an overseas retailer shifts from doing less than $75k to more than $75k worth of business in a year.</w:t>
      </w:r>
    </w:p>
    <w:p w:rsidR="00863D9D" w:rsidRDefault="00863D9D" w:rsidP="00516D6F">
      <w:pPr>
        <w:shd w:val="clear" w:color="auto" w:fill="FFFFFF"/>
        <w:spacing w:after="0" w:line="240" w:lineRule="auto"/>
        <w:jc w:val="both"/>
        <w:rPr>
          <w:rFonts w:ascii="Calibri" w:eastAsia="Times New Roman" w:hAnsi="Calibri" w:cs="Calibri"/>
          <w:color w:val="222222"/>
          <w:lang w:eastAsia="en-GB"/>
        </w:rPr>
      </w:pPr>
    </w:p>
    <w:p w:rsidR="00863D9D" w:rsidRDefault="00951363" w:rsidP="00516D6F">
      <w:pPr>
        <w:shd w:val="clear" w:color="auto" w:fill="FFFFFF"/>
        <w:spacing w:after="0" w:line="240" w:lineRule="auto"/>
        <w:jc w:val="both"/>
        <w:rPr>
          <w:rFonts w:ascii="Arial" w:eastAsia="Times New Roman" w:hAnsi="Arial" w:cs="Arial"/>
          <w:color w:val="222222"/>
          <w:sz w:val="19"/>
          <w:szCs w:val="19"/>
          <w:lang w:eastAsia="en-GB"/>
        </w:rPr>
      </w:pPr>
      <w:r>
        <w:rPr>
          <w:rFonts w:ascii="Arial" w:eastAsia="Times New Roman" w:hAnsi="Arial" w:cs="Arial"/>
          <w:color w:val="222222"/>
          <w:sz w:val="19"/>
          <w:szCs w:val="19"/>
          <w:lang w:eastAsia="en-GB"/>
        </w:rPr>
        <w:t>Thank you for the opportunity to comment on this legislation.</w:t>
      </w:r>
    </w:p>
    <w:p w:rsidR="00951363" w:rsidRPr="00863D9D" w:rsidRDefault="00951363" w:rsidP="00516D6F">
      <w:pPr>
        <w:shd w:val="clear" w:color="auto" w:fill="FFFFFF"/>
        <w:spacing w:after="0" w:line="240" w:lineRule="auto"/>
        <w:jc w:val="both"/>
        <w:rPr>
          <w:rFonts w:ascii="Arial" w:eastAsia="Times New Roman" w:hAnsi="Arial" w:cs="Arial"/>
          <w:color w:val="222222"/>
          <w:sz w:val="19"/>
          <w:szCs w:val="19"/>
          <w:lang w:eastAsia="en-GB"/>
        </w:rPr>
      </w:pPr>
    </w:p>
    <w:p w:rsidR="00951363" w:rsidRDefault="00951363" w:rsidP="00516D6F">
      <w:pPr>
        <w:spacing w:after="120"/>
        <w:contextualSpacing/>
        <w:jc w:val="both"/>
      </w:pPr>
    </w:p>
    <w:p w:rsidR="00951363" w:rsidRDefault="00951363" w:rsidP="00516D6F">
      <w:pPr>
        <w:spacing w:after="120"/>
        <w:contextualSpacing/>
        <w:jc w:val="both"/>
      </w:pPr>
    </w:p>
    <w:p w:rsidR="00D51F0E" w:rsidRDefault="00D51F0E" w:rsidP="00516D6F">
      <w:pPr>
        <w:spacing w:after="120"/>
        <w:contextualSpacing/>
        <w:jc w:val="both"/>
      </w:pPr>
      <w:r>
        <w:t>Philip Robinson</w:t>
      </w:r>
    </w:p>
    <w:p w:rsidR="00D51F0E" w:rsidRDefault="00D51F0E" w:rsidP="00516D6F">
      <w:pPr>
        <w:spacing w:after="120"/>
        <w:contextualSpacing/>
        <w:jc w:val="both"/>
      </w:pPr>
      <w:r>
        <w:t>Managing Director</w:t>
      </w:r>
    </w:p>
    <w:p w:rsidR="00D51F0E" w:rsidRDefault="00D51F0E" w:rsidP="00516D6F">
      <w:pPr>
        <w:spacing w:after="120"/>
        <w:contextualSpacing/>
        <w:jc w:val="both"/>
      </w:pPr>
      <w:proofErr w:type="spellStart"/>
      <w:r>
        <w:t>Robree</w:t>
      </w:r>
      <w:proofErr w:type="spellEnd"/>
      <w:r>
        <w:t xml:space="preserve"> Investments Pty Ltd</w:t>
      </w:r>
    </w:p>
    <w:p w:rsidR="00D51F0E" w:rsidRDefault="00D51F0E" w:rsidP="00516D6F">
      <w:pPr>
        <w:spacing w:after="120"/>
        <w:contextualSpacing/>
        <w:jc w:val="both"/>
      </w:pPr>
      <w:proofErr w:type="spellStart"/>
      <w:r>
        <w:t>Ph</w:t>
      </w:r>
      <w:proofErr w:type="spellEnd"/>
      <w:r>
        <w:t>: 0428873297</w:t>
      </w:r>
    </w:p>
    <w:p w:rsidR="00D51F0E" w:rsidRDefault="00D51F0E" w:rsidP="00516D6F">
      <w:pPr>
        <w:spacing w:after="120"/>
        <w:contextualSpacing/>
        <w:jc w:val="both"/>
      </w:pPr>
      <w:r>
        <w:t xml:space="preserve">Email: </w:t>
      </w:r>
      <w:hyperlink r:id="rId10" w:history="1">
        <w:r w:rsidRPr="00F36A86">
          <w:rPr>
            <w:rStyle w:val="Hyperlink"/>
          </w:rPr>
          <w:t>philip.robinson648@gnail.com</w:t>
        </w:r>
      </w:hyperlink>
    </w:p>
    <w:p w:rsidR="007519E4" w:rsidRDefault="00DE3205" w:rsidP="00516D6F">
      <w:pPr>
        <w:jc w:val="both"/>
      </w:pPr>
    </w:p>
    <w:sectPr w:rsidR="00751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A2"/>
    <w:rsid w:val="002834EF"/>
    <w:rsid w:val="00516D6F"/>
    <w:rsid w:val="00624DD1"/>
    <w:rsid w:val="00815B4E"/>
    <w:rsid w:val="00863D9D"/>
    <w:rsid w:val="00951363"/>
    <w:rsid w:val="009C30A2"/>
    <w:rsid w:val="00CC754A"/>
    <w:rsid w:val="00D51F0E"/>
    <w:rsid w:val="00DE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0A2"/>
    <w:rPr>
      <w:color w:val="0000FF" w:themeColor="hyperlink"/>
      <w:u w:val="single"/>
    </w:rPr>
  </w:style>
  <w:style w:type="paragraph" w:customStyle="1" w:styleId="m7738075437858546467msolistparagraph">
    <w:name w:val="m_7738075437858546467msolistparagraph"/>
    <w:basedOn w:val="Normal"/>
    <w:rsid w:val="00863D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63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0A2"/>
    <w:rPr>
      <w:color w:val="0000FF" w:themeColor="hyperlink"/>
      <w:u w:val="single"/>
    </w:rPr>
  </w:style>
  <w:style w:type="paragraph" w:customStyle="1" w:styleId="m7738075437858546467msolistparagraph">
    <w:name w:val="m_7738075437858546467msolistparagraph"/>
    <w:basedOn w:val="Normal"/>
    <w:rsid w:val="00863D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6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hilip.robinson648@gnail.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2017RG-293-301</_dlc_DocId>
    <TaxCatchAll xmlns="0f563589-9cf9-4143-b1eb-fb0534803d38">
      <Value>59</Value>
    </TaxCatchAll>
    <_dlc_DocIdUrl xmlns="0f563589-9cf9-4143-b1eb-fb0534803d38">
      <Url>http://tweb/sites/rg/iitd/gs/_layouts/15/DocIdRedir.aspx?ID=2017RG-293-301</Url>
      <Description>2017RG-293-301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CA368-F1BF-458A-8440-921105F5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6B49C-12C3-4402-BEEA-D3FC7163D95A}">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4BBC44E4-5A39-4A9E-9F83-9BF466B7AF89}">
  <ds:schemaRefs>
    <ds:schemaRef ds:uri="http://schemas.microsoft.com/sharepoint/events"/>
  </ds:schemaRefs>
</ds:datastoreItem>
</file>

<file path=customXml/itemProps4.xml><?xml version="1.0" encoding="utf-8"?>
<ds:datastoreItem xmlns:ds="http://schemas.openxmlformats.org/officeDocument/2006/customXml" ds:itemID="{E91E6F15-510B-405A-869C-A5EA5C6C6705}">
  <ds:schemaRefs>
    <ds:schemaRef ds:uri="office.server.policy"/>
  </ds:schemaRefs>
</ds:datastoreItem>
</file>

<file path=customXml/itemProps5.xml><?xml version="1.0" encoding="utf-8"?>
<ds:datastoreItem xmlns:ds="http://schemas.openxmlformats.org/officeDocument/2006/customXml" ds:itemID="{42832C1E-4B94-4F96-AC40-B736C1E96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3336</Characters>
  <Application>Microsoft Office Word</Application>
  <DocSecurity>0</DocSecurity>
  <Lines>58</Lines>
  <Paragraphs>17</Paragraphs>
  <ScaleCrop>false</ScaleCrop>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Robree - Applying GST to low value goods imported by consumers</dc:title>
  <dc:subject/>
  <dc:creator/>
  <cp:keywords/>
  <dc:description/>
  <cp:lastModifiedBy/>
  <cp:revision>1</cp:revision>
  <dcterms:created xsi:type="dcterms:W3CDTF">2018-10-12T00:35:00Z</dcterms:created>
  <dcterms:modified xsi:type="dcterms:W3CDTF">2018-10-12T00:35:00Z</dcterms:modified>
  <dc:language>English</dc:language>
</cp:coreProperties>
</file>