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F4023" w14:textId="77777777" w:rsidR="0083716B" w:rsidRDefault="0083716B" w:rsidP="00B17774">
      <w:pPr>
        <w:pStyle w:val="Baseparagraphcentred"/>
      </w:pPr>
    </w:p>
    <w:p w14:paraId="649B223D" w14:textId="77777777" w:rsidR="0083716B" w:rsidRDefault="0083716B" w:rsidP="00B17774">
      <w:pPr>
        <w:pStyle w:val="Baseparagraphcentred"/>
      </w:pPr>
    </w:p>
    <w:p w14:paraId="2BA9D118" w14:textId="77777777" w:rsidR="0083716B" w:rsidRDefault="0083716B" w:rsidP="00B17774">
      <w:pPr>
        <w:pStyle w:val="Baseparagraphcentred"/>
      </w:pPr>
    </w:p>
    <w:p w14:paraId="3339E731" w14:textId="77777777" w:rsidR="0083716B" w:rsidRDefault="0083716B" w:rsidP="00B17774">
      <w:pPr>
        <w:pStyle w:val="Baseparagraphcentred"/>
      </w:pPr>
    </w:p>
    <w:p w14:paraId="546550D4" w14:textId="77777777" w:rsidR="0083716B" w:rsidRDefault="0083716B" w:rsidP="00B17774">
      <w:pPr>
        <w:pStyle w:val="Baseparagraphcentred"/>
      </w:pPr>
    </w:p>
    <w:p w14:paraId="25E568B8" w14:textId="77777777" w:rsidR="0083716B" w:rsidRDefault="0083716B" w:rsidP="00B17774">
      <w:pPr>
        <w:pStyle w:val="Baseparagraphcentred"/>
      </w:pPr>
    </w:p>
    <w:p w14:paraId="5F09A6AB" w14:textId="77777777" w:rsidR="0083716B" w:rsidRDefault="0083716B" w:rsidP="00B17774">
      <w:pPr>
        <w:pStyle w:val="Baseparagraphcentred"/>
      </w:pPr>
    </w:p>
    <w:p w14:paraId="66D4DD03" w14:textId="77777777" w:rsidR="0083716B" w:rsidRDefault="0083716B" w:rsidP="00B17774">
      <w:pPr>
        <w:pStyle w:val="Baseparagraphcentred"/>
      </w:pPr>
    </w:p>
    <w:p w14:paraId="15844A92" w14:textId="77777777" w:rsidR="00B17774" w:rsidRDefault="00B17774" w:rsidP="00B17774">
      <w:pPr>
        <w:pStyle w:val="Baseparagraphcentred"/>
      </w:pPr>
    </w:p>
    <w:p w14:paraId="0F2D6EE0" w14:textId="77777777" w:rsidR="00B17774" w:rsidRDefault="00B17774" w:rsidP="00B17774">
      <w:pPr>
        <w:pStyle w:val="Baseparagraphcentred"/>
      </w:pPr>
    </w:p>
    <w:p w14:paraId="5D0344D1" w14:textId="0126B246" w:rsidR="00B17774" w:rsidRDefault="00F17CA9" w:rsidP="00B17774">
      <w:pPr>
        <w:pStyle w:val="BillName"/>
      </w:pPr>
      <w:bookmarkStart w:id="0" w:name="BillName"/>
      <w:bookmarkEnd w:id="0"/>
      <w:r>
        <w:t xml:space="preserve">Competition and </w:t>
      </w:r>
      <w:r w:rsidR="006845FE">
        <w:t>C</w:t>
      </w:r>
      <w:r>
        <w:t xml:space="preserve">onsumer </w:t>
      </w:r>
      <w:r w:rsidR="006845FE">
        <w:t>A</w:t>
      </w:r>
      <w:r>
        <w:t>mendment (</w:t>
      </w:r>
      <w:r w:rsidR="006845FE">
        <w:t>G</w:t>
      </w:r>
      <w:r>
        <w:t xml:space="preserve">ift </w:t>
      </w:r>
      <w:r w:rsidR="006845FE">
        <w:t>C</w:t>
      </w:r>
      <w:r>
        <w:t xml:space="preserve">ards) </w:t>
      </w:r>
      <w:r w:rsidR="006845FE">
        <w:t>B</w:t>
      </w:r>
      <w:r>
        <w:t>ill 2018</w:t>
      </w:r>
    </w:p>
    <w:p w14:paraId="6173DDAA" w14:textId="77777777" w:rsidR="00B17774" w:rsidRDefault="00B17774" w:rsidP="00B17774">
      <w:pPr>
        <w:pStyle w:val="Baseparagraphcentred"/>
      </w:pPr>
    </w:p>
    <w:p w14:paraId="350BB77F" w14:textId="77777777" w:rsidR="00B17774" w:rsidRDefault="00B17774" w:rsidP="00B17774">
      <w:pPr>
        <w:pStyle w:val="Baseparagraphcentred"/>
      </w:pPr>
    </w:p>
    <w:p w14:paraId="1D8B5CD4" w14:textId="77777777" w:rsidR="00B17774" w:rsidRDefault="00B17774" w:rsidP="00B17774">
      <w:pPr>
        <w:pStyle w:val="Baseparagraphcentred"/>
      </w:pPr>
    </w:p>
    <w:p w14:paraId="0674F4C1" w14:textId="77777777" w:rsidR="00B17774" w:rsidRDefault="00B17774" w:rsidP="00B17774">
      <w:pPr>
        <w:pStyle w:val="Baseparagraphcentred"/>
      </w:pPr>
    </w:p>
    <w:p w14:paraId="3AAA8FA0" w14:textId="77777777" w:rsidR="0083716B" w:rsidRDefault="0083716B" w:rsidP="00B17774">
      <w:pPr>
        <w:pStyle w:val="Baseparagraphcentred"/>
      </w:pPr>
      <w:r>
        <w:t>EXPOSURE DRAFT EXPLANATORY MATERIALS</w:t>
      </w:r>
    </w:p>
    <w:p w14:paraId="1DFEBC14" w14:textId="77777777" w:rsidR="00B17774" w:rsidRDefault="00B17774" w:rsidP="00B17774">
      <w:pPr>
        <w:pStyle w:val="Baseparagraphcentred"/>
      </w:pPr>
    </w:p>
    <w:p w14:paraId="50821E10" w14:textId="77777777" w:rsidR="00B17774" w:rsidRDefault="00B17774" w:rsidP="00B17774">
      <w:pPr>
        <w:pStyle w:val="Baseparagraphcentred"/>
      </w:pPr>
    </w:p>
    <w:p w14:paraId="2AC81AA4" w14:textId="77777777" w:rsidR="00B17774" w:rsidRDefault="00B17774" w:rsidP="00B17774">
      <w:pPr>
        <w:pStyle w:val="Baseparagraphcentred"/>
      </w:pPr>
    </w:p>
    <w:p w14:paraId="1A0A32CC" w14:textId="77777777" w:rsidR="0083716B" w:rsidRDefault="0083716B" w:rsidP="00773B68">
      <w:pPr>
        <w:pStyle w:val="ParaCentredNoSpacing"/>
      </w:pPr>
    </w:p>
    <w:p w14:paraId="0D6FFA6A" w14:textId="77777777" w:rsidR="0083716B" w:rsidRDefault="0083716B" w:rsidP="00773B68">
      <w:pPr>
        <w:pStyle w:val="ParaCentredNoSpacing"/>
      </w:pPr>
    </w:p>
    <w:p w14:paraId="0153620F" w14:textId="77777777" w:rsidR="00773B68" w:rsidRDefault="00773B68" w:rsidP="00773B68">
      <w:pPr>
        <w:pStyle w:val="ParaCentredNoSpacing"/>
      </w:pPr>
    </w:p>
    <w:p w14:paraId="76E591CB" w14:textId="77777777" w:rsidR="00B17774" w:rsidRDefault="00B17774" w:rsidP="00B17774"/>
    <w:p w14:paraId="6017095D"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6ECF1A4F" w14:textId="77777777" w:rsidR="00B17774" w:rsidRPr="003E0794" w:rsidRDefault="00B17774" w:rsidP="00B17774">
      <w:pPr>
        <w:pStyle w:val="TOCHeading"/>
      </w:pPr>
      <w:r w:rsidRPr="003E0794">
        <w:lastRenderedPageBreak/>
        <w:t>Table of contents</w:t>
      </w:r>
    </w:p>
    <w:p w14:paraId="31F1221F" w14:textId="1F891C19" w:rsidR="0015128F"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5128F">
        <w:t>Glossary</w:t>
      </w:r>
      <w:r w:rsidR="0015128F">
        <w:tab/>
      </w:r>
      <w:r w:rsidR="0015128F">
        <w:fldChar w:fldCharType="begin"/>
      </w:r>
      <w:r w:rsidR="0015128F">
        <w:instrText xml:space="preserve"> PAGEREF _Toc520290069 \h </w:instrText>
      </w:r>
      <w:r w:rsidR="0015128F">
        <w:fldChar w:fldCharType="separate"/>
      </w:r>
      <w:r w:rsidR="0015128F">
        <w:t>1</w:t>
      </w:r>
      <w:r w:rsidR="0015128F">
        <w:fldChar w:fldCharType="end"/>
      </w:r>
    </w:p>
    <w:p w14:paraId="0AB6BD4E" w14:textId="6A07BEDA" w:rsidR="0015128F" w:rsidRDefault="0015128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Gift Card Reforms</w:t>
      </w:r>
      <w:r>
        <w:rPr>
          <w:noProof/>
        </w:rPr>
        <w:tab/>
      </w:r>
      <w:r>
        <w:rPr>
          <w:noProof/>
        </w:rPr>
        <w:fldChar w:fldCharType="begin"/>
      </w:r>
      <w:r>
        <w:rPr>
          <w:noProof/>
        </w:rPr>
        <w:instrText xml:space="preserve"> PAGEREF _Toc520290070 \h </w:instrText>
      </w:r>
      <w:r>
        <w:rPr>
          <w:noProof/>
        </w:rPr>
      </w:r>
      <w:r>
        <w:rPr>
          <w:noProof/>
        </w:rPr>
        <w:fldChar w:fldCharType="separate"/>
      </w:r>
      <w:r>
        <w:rPr>
          <w:noProof/>
        </w:rPr>
        <w:t>3</w:t>
      </w:r>
      <w:r>
        <w:rPr>
          <w:noProof/>
        </w:rPr>
        <w:fldChar w:fldCharType="end"/>
      </w:r>
    </w:p>
    <w:p w14:paraId="1444DCE4" w14:textId="77777777" w:rsidR="00E5385B" w:rsidRDefault="00734F84" w:rsidP="00295ABD">
      <w:pPr>
        <w:rPr>
          <w:rFonts w:ascii="Helvetica" w:hAnsi="Helvetica"/>
          <w:noProof/>
          <w:sz w:val="24"/>
        </w:rPr>
      </w:pPr>
      <w:r>
        <w:rPr>
          <w:rFonts w:ascii="Helvetica" w:hAnsi="Helvetica"/>
          <w:noProof/>
          <w:sz w:val="24"/>
        </w:rPr>
        <w:fldChar w:fldCharType="end"/>
      </w:r>
    </w:p>
    <w:p w14:paraId="30DAC489" w14:textId="77777777" w:rsidR="00B17774" w:rsidRDefault="00B17774" w:rsidP="00B17774">
      <w:pPr>
        <w:pStyle w:val="Hiddentext"/>
      </w:pPr>
    </w:p>
    <w:p w14:paraId="53B28DF7"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03FD208A" w14:textId="77777777" w:rsidR="00B17774" w:rsidRPr="00567602" w:rsidRDefault="00B17774" w:rsidP="00567602">
      <w:pPr>
        <w:pStyle w:val="Chapterheadingsubdocument"/>
      </w:pPr>
      <w:bookmarkStart w:id="1" w:name="_Toc520290069"/>
      <w:r w:rsidRPr="00567602">
        <w:rPr>
          <w:rStyle w:val="ChapterNameOnly"/>
        </w:rPr>
        <w:lastRenderedPageBreak/>
        <w:t>Glossary</w:t>
      </w:r>
      <w:bookmarkEnd w:id="1"/>
    </w:p>
    <w:p w14:paraId="20D5FF83"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2D85DF7" w14:textId="77777777" w:rsidTr="00A57349">
        <w:tc>
          <w:tcPr>
            <w:tcW w:w="2721" w:type="dxa"/>
          </w:tcPr>
          <w:p w14:paraId="4CB812F7" w14:textId="77777777" w:rsidR="00B17774" w:rsidRPr="00123D96" w:rsidRDefault="00B17774" w:rsidP="00A57349">
            <w:pPr>
              <w:pStyle w:val="tableheaderwithintable"/>
            </w:pPr>
            <w:r w:rsidRPr="00123D96">
              <w:t>Abbreviation</w:t>
            </w:r>
          </w:p>
        </w:tc>
        <w:tc>
          <w:tcPr>
            <w:tcW w:w="3885" w:type="dxa"/>
          </w:tcPr>
          <w:p w14:paraId="4CBC676B" w14:textId="77777777" w:rsidR="00B17774" w:rsidRPr="00123D96" w:rsidRDefault="00B17774" w:rsidP="00A57349">
            <w:pPr>
              <w:pStyle w:val="tableheaderwithintable"/>
            </w:pPr>
            <w:r w:rsidRPr="00123D96">
              <w:t>Definition</w:t>
            </w:r>
          </w:p>
        </w:tc>
      </w:tr>
      <w:tr w:rsidR="00B17774" w:rsidRPr="002C43E8" w14:paraId="71D1CC19" w14:textId="77777777" w:rsidTr="00A57349">
        <w:tc>
          <w:tcPr>
            <w:tcW w:w="2721" w:type="dxa"/>
          </w:tcPr>
          <w:p w14:paraId="7199D4B9" w14:textId="7E87C523" w:rsidR="00B17774" w:rsidRPr="002C43E8" w:rsidRDefault="00A513AA" w:rsidP="00A57349">
            <w:pPr>
              <w:pStyle w:val="Glossarytabletext"/>
              <w:rPr>
                <w:lang w:val="en-US" w:eastAsia="en-US"/>
              </w:rPr>
            </w:pPr>
            <w:bookmarkStart w:id="2" w:name="GlossaryTableStart"/>
            <w:bookmarkEnd w:id="2"/>
            <w:r>
              <w:rPr>
                <w:lang w:val="en-US" w:eastAsia="en-US"/>
              </w:rPr>
              <w:t>ACL</w:t>
            </w:r>
          </w:p>
        </w:tc>
        <w:tc>
          <w:tcPr>
            <w:tcW w:w="3885" w:type="dxa"/>
          </w:tcPr>
          <w:p w14:paraId="3582B11F" w14:textId="05E0BCCF" w:rsidR="00B17774" w:rsidRPr="002C43E8" w:rsidRDefault="00A513AA" w:rsidP="00A57349">
            <w:pPr>
              <w:pStyle w:val="Glossarytabletext"/>
              <w:rPr>
                <w:lang w:val="en-US" w:eastAsia="en-US"/>
              </w:rPr>
            </w:pPr>
            <w:r>
              <w:rPr>
                <w:lang w:val="en-US" w:eastAsia="en-US"/>
              </w:rPr>
              <w:t>Australian Consumer Law</w:t>
            </w:r>
            <w:r w:rsidR="00D7066D">
              <w:rPr>
                <w:lang w:val="en-US" w:eastAsia="en-US"/>
              </w:rPr>
              <w:t>; Schedule 2 to the</w:t>
            </w:r>
            <w:r w:rsidR="00D7066D" w:rsidRPr="005C02C3">
              <w:rPr>
                <w:i/>
                <w:lang w:val="en-US" w:eastAsia="en-US"/>
              </w:rPr>
              <w:t xml:space="preserve"> Competition and Consumer Act 2010</w:t>
            </w:r>
            <w:r w:rsidR="00D7066D">
              <w:rPr>
                <w:lang w:val="en-US" w:eastAsia="en-US"/>
              </w:rPr>
              <w:t xml:space="preserve"> </w:t>
            </w:r>
          </w:p>
        </w:tc>
      </w:tr>
      <w:tr w:rsidR="00B17774" w:rsidRPr="002C43E8" w14:paraId="6828881B" w14:textId="77777777" w:rsidTr="00A57349">
        <w:tc>
          <w:tcPr>
            <w:tcW w:w="2721" w:type="dxa"/>
          </w:tcPr>
          <w:p w14:paraId="188FD31F" w14:textId="4686834B" w:rsidR="00B17774" w:rsidRPr="002C43E8" w:rsidRDefault="00A513AA" w:rsidP="00A57349">
            <w:pPr>
              <w:pStyle w:val="Glossarytabletext"/>
              <w:rPr>
                <w:lang w:val="en-US" w:eastAsia="en-US"/>
              </w:rPr>
            </w:pPr>
            <w:r>
              <w:rPr>
                <w:lang w:val="en-US" w:eastAsia="en-US"/>
              </w:rPr>
              <w:t>ACCC</w:t>
            </w:r>
          </w:p>
        </w:tc>
        <w:tc>
          <w:tcPr>
            <w:tcW w:w="3885" w:type="dxa"/>
          </w:tcPr>
          <w:p w14:paraId="60A2FF49" w14:textId="35EBBB11" w:rsidR="00B17774" w:rsidRPr="002C43E8" w:rsidRDefault="00A513AA" w:rsidP="00A57349">
            <w:pPr>
              <w:pStyle w:val="Glossarytabletext"/>
              <w:rPr>
                <w:lang w:val="en-US" w:eastAsia="en-US"/>
              </w:rPr>
            </w:pPr>
            <w:r>
              <w:rPr>
                <w:lang w:val="en-US" w:eastAsia="en-US"/>
              </w:rPr>
              <w:t>Australian Competition and Consumer Commission</w:t>
            </w:r>
          </w:p>
        </w:tc>
      </w:tr>
      <w:tr w:rsidR="004D28AF" w:rsidRPr="002C43E8" w14:paraId="434FEC6B" w14:textId="77777777" w:rsidTr="00A57349">
        <w:tc>
          <w:tcPr>
            <w:tcW w:w="2721" w:type="dxa"/>
          </w:tcPr>
          <w:p w14:paraId="147319A7" w14:textId="5F7880BF" w:rsidR="004D28AF" w:rsidRDefault="004D28AF" w:rsidP="00A57349">
            <w:pPr>
              <w:pStyle w:val="Glossarytabletext"/>
              <w:rPr>
                <w:lang w:val="en-US" w:eastAsia="en-US"/>
              </w:rPr>
            </w:pPr>
            <w:r>
              <w:rPr>
                <w:lang w:val="en-US" w:eastAsia="en-US"/>
              </w:rPr>
              <w:t>ASIC</w:t>
            </w:r>
          </w:p>
        </w:tc>
        <w:tc>
          <w:tcPr>
            <w:tcW w:w="3885" w:type="dxa"/>
          </w:tcPr>
          <w:p w14:paraId="1EABE3D4" w14:textId="3B0F55B5" w:rsidR="004D28AF" w:rsidRPr="00D7066D" w:rsidRDefault="004D28AF" w:rsidP="004D28AF">
            <w:pPr>
              <w:pStyle w:val="Glossarytabletext"/>
              <w:rPr>
                <w:i/>
                <w:lang w:val="en-US" w:eastAsia="en-US"/>
              </w:rPr>
            </w:pPr>
            <w:r>
              <w:rPr>
                <w:lang w:val="en-US" w:eastAsia="en-US"/>
              </w:rPr>
              <w:t>Australian Securities and Investments Commission</w:t>
            </w:r>
          </w:p>
        </w:tc>
      </w:tr>
      <w:tr w:rsidR="00177E01" w:rsidRPr="002C43E8" w14:paraId="4DBD4D42" w14:textId="77777777" w:rsidTr="00A57349">
        <w:tc>
          <w:tcPr>
            <w:tcW w:w="2721" w:type="dxa"/>
          </w:tcPr>
          <w:p w14:paraId="4EEC7E11" w14:textId="1B931BC4" w:rsidR="00177E01" w:rsidRDefault="00177E01" w:rsidP="00A57349">
            <w:pPr>
              <w:pStyle w:val="Glossarytabletext"/>
              <w:rPr>
                <w:lang w:val="en-US" w:eastAsia="en-US"/>
              </w:rPr>
            </w:pPr>
            <w:r>
              <w:rPr>
                <w:lang w:val="en-US" w:eastAsia="en-US"/>
              </w:rPr>
              <w:t>ASIC Act</w:t>
            </w:r>
          </w:p>
        </w:tc>
        <w:tc>
          <w:tcPr>
            <w:tcW w:w="3885" w:type="dxa"/>
          </w:tcPr>
          <w:p w14:paraId="61AD3B00" w14:textId="158E9A82" w:rsidR="00177E01" w:rsidRPr="00D7066D" w:rsidRDefault="00177E01" w:rsidP="00A57349">
            <w:pPr>
              <w:pStyle w:val="Glossarytabletext"/>
              <w:rPr>
                <w:i/>
                <w:lang w:val="en-US" w:eastAsia="en-US"/>
              </w:rPr>
            </w:pPr>
            <w:r w:rsidRPr="00D7066D">
              <w:rPr>
                <w:i/>
                <w:lang w:val="en-US" w:eastAsia="en-US"/>
              </w:rPr>
              <w:t xml:space="preserve">Australian Securities and Investments </w:t>
            </w:r>
            <w:r w:rsidR="004D28AF">
              <w:rPr>
                <w:i/>
                <w:lang w:val="en-US" w:eastAsia="en-US"/>
              </w:rPr>
              <w:t xml:space="preserve">Commission </w:t>
            </w:r>
            <w:r w:rsidRPr="00D7066D">
              <w:rPr>
                <w:i/>
                <w:lang w:val="en-US" w:eastAsia="en-US"/>
              </w:rPr>
              <w:t>Act 2001</w:t>
            </w:r>
          </w:p>
        </w:tc>
      </w:tr>
      <w:tr w:rsidR="00B17774" w:rsidRPr="002C43E8" w14:paraId="00A716CA" w14:textId="77777777" w:rsidTr="00A57349">
        <w:tc>
          <w:tcPr>
            <w:tcW w:w="2721" w:type="dxa"/>
          </w:tcPr>
          <w:p w14:paraId="75FA65EC" w14:textId="7D3455B5" w:rsidR="00B17774" w:rsidRPr="002C43E8" w:rsidRDefault="00A513AA" w:rsidP="00A57349">
            <w:pPr>
              <w:pStyle w:val="Glossarytabletext"/>
              <w:rPr>
                <w:lang w:val="en-US" w:eastAsia="en-US"/>
              </w:rPr>
            </w:pPr>
            <w:r>
              <w:rPr>
                <w:lang w:val="en-US" w:eastAsia="en-US"/>
              </w:rPr>
              <w:t>CCA</w:t>
            </w:r>
          </w:p>
        </w:tc>
        <w:tc>
          <w:tcPr>
            <w:tcW w:w="3885" w:type="dxa"/>
          </w:tcPr>
          <w:p w14:paraId="22250114" w14:textId="3BAC6CFA" w:rsidR="00B17774" w:rsidRPr="00D7066D" w:rsidRDefault="00A513AA" w:rsidP="00A57349">
            <w:pPr>
              <w:pStyle w:val="Glossarytabletext"/>
              <w:rPr>
                <w:i/>
                <w:lang w:val="en-US" w:eastAsia="en-US"/>
              </w:rPr>
            </w:pPr>
            <w:r w:rsidRPr="00D7066D">
              <w:rPr>
                <w:i/>
                <w:lang w:val="en-US" w:eastAsia="en-US"/>
              </w:rPr>
              <w:t>Competition and Consumer Act 2010</w:t>
            </w:r>
          </w:p>
        </w:tc>
      </w:tr>
      <w:tr w:rsidR="00B17774" w:rsidRPr="002C43E8" w14:paraId="755C78DF" w14:textId="77777777" w:rsidTr="00A57349">
        <w:tc>
          <w:tcPr>
            <w:tcW w:w="2721" w:type="dxa"/>
          </w:tcPr>
          <w:p w14:paraId="2521F18A" w14:textId="6EF95B99" w:rsidR="00B17774" w:rsidRPr="002C43E8" w:rsidRDefault="00177E01" w:rsidP="00A57349">
            <w:pPr>
              <w:pStyle w:val="Glossarytabletext"/>
              <w:rPr>
                <w:lang w:val="en-US" w:eastAsia="en-US"/>
              </w:rPr>
            </w:pPr>
            <w:r>
              <w:rPr>
                <w:lang w:val="en-US" w:eastAsia="en-US"/>
              </w:rPr>
              <w:t>Corporations Act</w:t>
            </w:r>
          </w:p>
        </w:tc>
        <w:tc>
          <w:tcPr>
            <w:tcW w:w="3885" w:type="dxa"/>
          </w:tcPr>
          <w:p w14:paraId="223C10C7" w14:textId="56FCC683" w:rsidR="00B17774" w:rsidRPr="00480665" w:rsidRDefault="00177E01" w:rsidP="00A57349">
            <w:pPr>
              <w:pStyle w:val="Glossarytabletext"/>
              <w:rPr>
                <w:i/>
                <w:lang w:val="en-US" w:eastAsia="en-US"/>
              </w:rPr>
            </w:pPr>
            <w:r w:rsidRPr="00480665">
              <w:rPr>
                <w:i/>
                <w:lang w:val="en-US" w:eastAsia="en-US"/>
              </w:rPr>
              <w:t>Corporations Act 2001</w:t>
            </w:r>
          </w:p>
        </w:tc>
      </w:tr>
    </w:tbl>
    <w:p w14:paraId="06F2986C" w14:textId="77777777" w:rsidR="00E5385B" w:rsidRDefault="00E5385B" w:rsidP="00B17774"/>
    <w:p w14:paraId="23CE18D7" w14:textId="77777777" w:rsidR="00B17774" w:rsidRDefault="00B17774" w:rsidP="00B17774"/>
    <w:p w14:paraId="349BAD06"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6C31AF42" w14:textId="14E725F9" w:rsidR="00B17774" w:rsidRPr="007C2B20" w:rsidRDefault="00840701" w:rsidP="000C2A9D">
      <w:pPr>
        <w:pStyle w:val="ChapterHeading"/>
      </w:pPr>
      <w:bookmarkStart w:id="3" w:name="GeneralOutline"/>
      <w:bookmarkEnd w:id="3"/>
      <w:r w:rsidRPr="000C2A9D">
        <w:lastRenderedPageBreak/>
        <w:br/>
      </w:r>
      <w:bookmarkStart w:id="4" w:name="_Toc520290070"/>
      <w:r w:rsidR="00613F53">
        <w:rPr>
          <w:rStyle w:val="ChapterNameOnly"/>
        </w:rPr>
        <w:t>Gift Card Reforms</w:t>
      </w:r>
      <w:bookmarkEnd w:id="4"/>
    </w:p>
    <w:p w14:paraId="491D7036" w14:textId="77777777" w:rsidR="00B17774" w:rsidRDefault="00B17774" w:rsidP="00B17774">
      <w:pPr>
        <w:pStyle w:val="Heading2"/>
      </w:pPr>
      <w:r>
        <w:t>Outline of chapter</w:t>
      </w:r>
    </w:p>
    <w:p w14:paraId="09669D6A" w14:textId="4ADCD102" w:rsidR="00B17774" w:rsidRDefault="00516FBB" w:rsidP="000E75EA">
      <w:pPr>
        <w:pStyle w:val="base-text-paragraph"/>
      </w:pPr>
      <w:r>
        <w:t>T</w:t>
      </w:r>
      <w:r w:rsidR="000E75EA">
        <w:t>his Bill amends the ACL to provide gift cards with a minimum three year expiry</w:t>
      </w:r>
      <w:r w:rsidR="00ED259C">
        <w:t xml:space="preserve"> period, require disclosure of the expiry date </w:t>
      </w:r>
      <w:r w:rsidR="004D28AF">
        <w:t>o</w:t>
      </w:r>
      <w:r w:rsidR="00ED259C">
        <w:t xml:space="preserve">n </w:t>
      </w:r>
      <w:r w:rsidR="0036779C">
        <w:t>gift</w:t>
      </w:r>
      <w:r w:rsidR="00ED259C">
        <w:t xml:space="preserve"> card</w:t>
      </w:r>
      <w:r w:rsidR="0036779C">
        <w:t>s</w:t>
      </w:r>
      <w:r w:rsidR="003D1CB7">
        <w:t xml:space="preserve"> and ban</w:t>
      </w:r>
      <w:r w:rsidR="00ED259C">
        <w:t xml:space="preserve"> certain</w:t>
      </w:r>
      <w:r w:rsidR="003D1CB7">
        <w:t xml:space="preserve"> post-</w:t>
      </w:r>
      <w:r w:rsidR="00F17CA9">
        <w:t xml:space="preserve">supply </w:t>
      </w:r>
      <w:r w:rsidR="003D1CB7">
        <w:t>fees</w:t>
      </w:r>
      <w:r w:rsidR="000E75EA">
        <w:t xml:space="preserve">. </w:t>
      </w:r>
    </w:p>
    <w:p w14:paraId="40B19E29" w14:textId="77777777" w:rsidR="00B17774" w:rsidRDefault="00B17774" w:rsidP="00B17774">
      <w:pPr>
        <w:pStyle w:val="Heading2"/>
      </w:pPr>
      <w:r>
        <w:t>Context of amendments</w:t>
      </w:r>
    </w:p>
    <w:p w14:paraId="3431A941" w14:textId="77777777" w:rsidR="005A4109" w:rsidRDefault="005A4109" w:rsidP="00842F36">
      <w:pPr>
        <w:pStyle w:val="base-text-paragraph"/>
      </w:pPr>
      <w:r>
        <w:t>Gift cards are sold across Australia by a range of businesses, both large and small. One of the commonly used terms and conditions of gift cards are expiry dates. Of the gift cards sold by these businesses a certain percentage are not redeemed before they expire.</w:t>
      </w:r>
    </w:p>
    <w:p w14:paraId="7036E080" w14:textId="72C40A84" w:rsidR="005A4109" w:rsidRDefault="005A4109" w:rsidP="005A4109">
      <w:pPr>
        <w:pStyle w:val="base-text-paragraph"/>
      </w:pPr>
      <w:r>
        <w:t>Many consumers experience the disappointment of an expired gift card, the most recent estimated losses from gift card expiry are considered to be in the order of $70 million annually. When a gift card expires before it can be used a consumer experiences the personal detriment from the loss of value on a gift card. Many recipients of gift cards are not aware of the expiry dates for gift cards they are given. In these circumstances those consumers expect their gift cards to last for a reasonable time.</w:t>
      </w:r>
    </w:p>
    <w:p w14:paraId="03151F12" w14:textId="5D6F478D" w:rsidR="002D38AB" w:rsidRDefault="005A4109" w:rsidP="005A4109">
      <w:pPr>
        <w:pStyle w:val="base-text-paragraph"/>
      </w:pPr>
      <w:r>
        <w:t xml:space="preserve">There is currently no uniform national regulation for the minimum length of time a gift card should </w:t>
      </w:r>
      <w:r w:rsidR="0036779C">
        <w:t>be valid</w:t>
      </w:r>
      <w:r>
        <w:t>.</w:t>
      </w:r>
      <w:r w:rsidRPr="00910649">
        <w:t xml:space="preserve"> </w:t>
      </w:r>
      <w:r>
        <w:t xml:space="preserve">On 18 October 2017, New South Wales (NSW) </w:t>
      </w:r>
      <w:r w:rsidR="002A4203">
        <w:t>Parliament</w:t>
      </w:r>
      <w:r>
        <w:t xml:space="preserve"> passed the </w:t>
      </w:r>
      <w:r w:rsidRPr="00A24EDB">
        <w:rPr>
          <w:i/>
        </w:rPr>
        <w:t xml:space="preserve">Fair Trading Amendment (Ticket Scalping and Gift Cards) </w:t>
      </w:r>
      <w:r w:rsidR="002D38AB">
        <w:rPr>
          <w:i/>
        </w:rPr>
        <w:t>Act</w:t>
      </w:r>
      <w:r w:rsidR="002D38AB" w:rsidRPr="00A24EDB">
        <w:rPr>
          <w:i/>
        </w:rPr>
        <w:t xml:space="preserve"> </w:t>
      </w:r>
      <w:r w:rsidRPr="00A24EDB">
        <w:rPr>
          <w:i/>
        </w:rPr>
        <w:t>2017</w:t>
      </w:r>
      <w:r>
        <w:rPr>
          <w:i/>
        </w:rPr>
        <w:t xml:space="preserve"> </w:t>
      </w:r>
      <w:r w:rsidRPr="000B3DA3">
        <w:t>(NSW)</w:t>
      </w:r>
      <w:r w:rsidR="0036779C">
        <w:t xml:space="preserve"> (the NSW </w:t>
      </w:r>
      <w:r w:rsidR="002D38AB">
        <w:t>Act</w:t>
      </w:r>
      <w:r w:rsidR="0036779C">
        <w:t>)</w:t>
      </w:r>
      <w:r>
        <w:t xml:space="preserve">. The </w:t>
      </w:r>
      <w:r w:rsidR="0036779C">
        <w:t xml:space="preserve">NSW </w:t>
      </w:r>
      <w:r w:rsidR="002D38AB">
        <w:t xml:space="preserve">Act, which commenced on 31 March 2018, </w:t>
      </w:r>
      <w:r w:rsidR="0036779C">
        <w:t>introduced a minimum three year expiry for gift cards sold in NSW</w:t>
      </w:r>
      <w:r>
        <w:t xml:space="preserve">. </w:t>
      </w:r>
    </w:p>
    <w:p w14:paraId="044F900E" w14:textId="056A6141" w:rsidR="005A4109" w:rsidRDefault="0036779C" w:rsidP="005A4109">
      <w:pPr>
        <w:pStyle w:val="base-text-paragraph"/>
      </w:pPr>
      <w:r>
        <w:t>Similarly,</w:t>
      </w:r>
      <w:r w:rsidR="005A4109" w:rsidDel="0036779C">
        <w:t xml:space="preserve"> </w:t>
      </w:r>
      <w:r w:rsidR="005A4109">
        <w:t>the South Australian Parliament</w:t>
      </w:r>
      <w:r>
        <w:t xml:space="preserve"> recently introduced the </w:t>
      </w:r>
      <w:r w:rsidRPr="00A24EDB">
        <w:rPr>
          <w:i/>
        </w:rPr>
        <w:t>Fair Trading (Gift cards) Amendment Bill 2018</w:t>
      </w:r>
      <w:r>
        <w:t xml:space="preserve"> (SA) to impose a three year minimum expiry date for gift cards sold in South Australia.</w:t>
      </w:r>
      <w:r w:rsidR="005A4109">
        <w:t xml:space="preserve"> </w:t>
      </w:r>
    </w:p>
    <w:p w14:paraId="7B561ECE" w14:textId="5D21B2D8" w:rsidR="005A4109" w:rsidRDefault="005A4109" w:rsidP="005A4109">
      <w:pPr>
        <w:pStyle w:val="base-text-paragraph"/>
      </w:pPr>
      <w:r>
        <w:t xml:space="preserve">These reforms will require gift cards to have </w:t>
      </w:r>
      <w:r w:rsidR="004D28AF">
        <w:t xml:space="preserve">a </w:t>
      </w:r>
      <w:r>
        <w:t xml:space="preserve">minimum three year expiry period – providing consumers with a reasonable period to use the </w:t>
      </w:r>
      <w:r w:rsidR="002A4203">
        <w:t>value</w:t>
      </w:r>
      <w:r>
        <w:t xml:space="preserve"> on the card before it expires.</w:t>
      </w:r>
    </w:p>
    <w:p w14:paraId="31E8CE1B" w14:textId="1A3BEEF0" w:rsidR="005A4109" w:rsidRDefault="005A4109" w:rsidP="005A4109">
      <w:pPr>
        <w:pStyle w:val="base-text-paragraph"/>
      </w:pPr>
      <w:r>
        <w:t>To ensure that consumers are aware of the expiry date of the card, the reforms will also require gift card</w:t>
      </w:r>
      <w:r w:rsidR="004D28AF">
        <w:t xml:space="preserve"> expiry dates to be </w:t>
      </w:r>
      <w:r>
        <w:lastRenderedPageBreak/>
        <w:t xml:space="preserve">prominently </w:t>
      </w:r>
      <w:r w:rsidR="002A4203">
        <w:t>displayed</w:t>
      </w:r>
      <w:r w:rsidR="004D28AF">
        <w:t xml:space="preserve"> on the card</w:t>
      </w:r>
      <w:r>
        <w:t>. This is largely consistent with industry practice, with the majority of gift cards already displaying this information.</w:t>
      </w:r>
    </w:p>
    <w:p w14:paraId="4B37B2A8" w14:textId="3BA8FFA8" w:rsidR="005A4109" w:rsidRDefault="005A4109" w:rsidP="005A4109">
      <w:pPr>
        <w:pStyle w:val="base-text-paragraph"/>
      </w:pPr>
      <w:r>
        <w:t xml:space="preserve">The reforms will also prohibit gift card issuers from charging </w:t>
      </w:r>
      <w:r w:rsidR="001A4164">
        <w:t xml:space="preserve">certain </w:t>
      </w:r>
      <w:r>
        <w:t>post</w:t>
      </w:r>
      <w:r w:rsidR="00F17CA9">
        <w:t>-supply</w:t>
      </w:r>
      <w:r>
        <w:t xml:space="preserve"> fees, which can erode the balance on a gift card over time and operate as a de facto expiry date. </w:t>
      </w:r>
    </w:p>
    <w:p w14:paraId="10A7DFF0" w14:textId="433698E4" w:rsidR="00B17774" w:rsidRDefault="00B17774" w:rsidP="00B17774">
      <w:pPr>
        <w:pStyle w:val="Heading2"/>
      </w:pPr>
      <w:r>
        <w:t>Summary of new law</w:t>
      </w:r>
    </w:p>
    <w:p w14:paraId="222FFFF4" w14:textId="7193B80D" w:rsidR="000E75EA" w:rsidRDefault="00516FBB" w:rsidP="000E75EA">
      <w:pPr>
        <w:pStyle w:val="base-text-paragraph"/>
      </w:pPr>
      <w:r>
        <w:t>T</w:t>
      </w:r>
      <w:r w:rsidR="000E75EA">
        <w:t xml:space="preserve">his Bill </w:t>
      </w:r>
      <w:r w:rsidR="00F14EA1">
        <w:t>amends the ACL to provide gift cards with a minimum three year expiry</w:t>
      </w:r>
      <w:r w:rsidR="003D1CB7">
        <w:t xml:space="preserve"> </w:t>
      </w:r>
      <w:r w:rsidR="00655DD9">
        <w:t xml:space="preserve">period; require disclosure of the expiry date on </w:t>
      </w:r>
      <w:r w:rsidR="007B1A9B">
        <w:t>gift</w:t>
      </w:r>
      <w:r w:rsidR="00655DD9">
        <w:t xml:space="preserve"> card</w:t>
      </w:r>
      <w:r w:rsidR="007B1A9B">
        <w:t>s</w:t>
      </w:r>
      <w:r w:rsidR="00655DD9">
        <w:t xml:space="preserve"> </w:t>
      </w:r>
      <w:r w:rsidR="003D1CB7">
        <w:t>and ban</w:t>
      </w:r>
      <w:r w:rsidR="00655DD9">
        <w:t xml:space="preserve"> the charging of</w:t>
      </w:r>
      <w:r w:rsidR="003D1CB7">
        <w:t xml:space="preserve"> </w:t>
      </w:r>
      <w:r w:rsidR="00655DD9">
        <w:t xml:space="preserve">certain </w:t>
      </w:r>
      <w:r w:rsidR="003D1CB7">
        <w:t>post-</w:t>
      </w:r>
      <w:r w:rsidR="007B1A9B">
        <w:t xml:space="preserve">supply </w:t>
      </w:r>
      <w:r w:rsidR="003D1CB7">
        <w:t>fees</w:t>
      </w:r>
      <w:r w:rsidR="00F14EA1">
        <w:t xml:space="preserve">. </w:t>
      </w:r>
    </w:p>
    <w:p w14:paraId="615C1211" w14:textId="313A6A2D" w:rsidR="000E75EA" w:rsidRPr="000E75EA" w:rsidRDefault="000E75EA" w:rsidP="000E75EA">
      <w:pPr>
        <w:pStyle w:val="base-text-paragraph"/>
      </w:pPr>
      <w:r>
        <w:t xml:space="preserve">The amendments apply to gift cards supplied on or after </w:t>
      </w:r>
      <w:r w:rsidR="00516FBB">
        <w:t>1 </w:t>
      </w:r>
      <w:r>
        <w:t xml:space="preserve">November 2019. </w:t>
      </w:r>
    </w:p>
    <w:p w14:paraId="1CE53D60"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18E58DED" w14:textId="77777777" w:rsidTr="00A57349">
        <w:tc>
          <w:tcPr>
            <w:tcW w:w="3275" w:type="dxa"/>
          </w:tcPr>
          <w:p w14:paraId="21705455" w14:textId="77777777" w:rsidR="00B17774" w:rsidRPr="004666B8" w:rsidRDefault="00B17774" w:rsidP="00A57349">
            <w:pPr>
              <w:pStyle w:val="tableheaderwithintable"/>
              <w:rPr>
                <w:lang w:val="en-US" w:eastAsia="en-US"/>
              </w:rPr>
            </w:pPr>
            <w:r w:rsidRPr="004666B8">
              <w:rPr>
                <w:lang w:val="en-US" w:eastAsia="en-US"/>
              </w:rPr>
              <w:t>New law</w:t>
            </w:r>
          </w:p>
        </w:tc>
        <w:tc>
          <w:tcPr>
            <w:tcW w:w="3276" w:type="dxa"/>
          </w:tcPr>
          <w:p w14:paraId="6D600D27" w14:textId="77777777" w:rsidR="00B17774" w:rsidRPr="004666B8" w:rsidRDefault="00B17774" w:rsidP="00A57349">
            <w:pPr>
              <w:pStyle w:val="tableheaderwithintable"/>
              <w:rPr>
                <w:lang w:val="en-US" w:eastAsia="en-US"/>
              </w:rPr>
            </w:pPr>
            <w:r w:rsidRPr="004666B8">
              <w:rPr>
                <w:lang w:val="en-US" w:eastAsia="en-US"/>
              </w:rPr>
              <w:t>Current law</w:t>
            </w:r>
          </w:p>
        </w:tc>
      </w:tr>
      <w:tr w:rsidR="00B17774" w:rsidRPr="004666B8" w14:paraId="48184B05" w14:textId="77777777" w:rsidTr="00A57349">
        <w:tc>
          <w:tcPr>
            <w:tcW w:w="3275" w:type="dxa"/>
          </w:tcPr>
          <w:p w14:paraId="39828135" w14:textId="4CFE1C88" w:rsidR="00B17774" w:rsidRPr="004666B8" w:rsidRDefault="00D7686A" w:rsidP="00655DD9">
            <w:pPr>
              <w:pStyle w:val="tabletext"/>
              <w:rPr>
                <w:lang w:val="en-US" w:eastAsia="en-US"/>
              </w:rPr>
            </w:pPr>
            <w:r>
              <w:rPr>
                <w:lang w:val="en-US" w:eastAsia="en-US"/>
              </w:rPr>
              <w:t>G</w:t>
            </w:r>
            <w:r w:rsidR="00117BB4">
              <w:rPr>
                <w:lang w:val="en-US" w:eastAsia="en-US"/>
              </w:rPr>
              <w:t xml:space="preserve">ift cards will </w:t>
            </w:r>
            <w:r w:rsidR="00655DD9">
              <w:rPr>
                <w:lang w:val="en-US" w:eastAsia="en-US"/>
              </w:rPr>
              <w:t>have</w:t>
            </w:r>
            <w:r w:rsidR="00E802AC">
              <w:rPr>
                <w:lang w:val="en-US" w:eastAsia="en-US"/>
              </w:rPr>
              <w:t xml:space="preserve"> a minimum three year expiry</w:t>
            </w:r>
            <w:r w:rsidR="00655DD9">
              <w:rPr>
                <w:lang w:val="en-US" w:eastAsia="en-US"/>
              </w:rPr>
              <w:t xml:space="preserve"> period</w:t>
            </w:r>
            <w:r w:rsidR="00E802AC">
              <w:rPr>
                <w:lang w:val="en-US" w:eastAsia="en-US"/>
              </w:rPr>
              <w:t>.</w:t>
            </w:r>
          </w:p>
        </w:tc>
        <w:tc>
          <w:tcPr>
            <w:tcW w:w="3276" w:type="dxa"/>
          </w:tcPr>
          <w:p w14:paraId="5EA3AC5D" w14:textId="29D53C6A" w:rsidR="00B17774" w:rsidRPr="004666B8" w:rsidRDefault="00117BB4" w:rsidP="00A57349">
            <w:pPr>
              <w:pStyle w:val="tabletext"/>
              <w:rPr>
                <w:lang w:val="en-US" w:eastAsia="en-US"/>
              </w:rPr>
            </w:pPr>
            <w:r>
              <w:rPr>
                <w:lang w:val="en-US" w:eastAsia="en-US"/>
              </w:rPr>
              <w:t>No equivalent</w:t>
            </w:r>
          </w:p>
        </w:tc>
      </w:tr>
      <w:tr w:rsidR="00E802AC" w:rsidRPr="004666B8" w14:paraId="230ED2A7" w14:textId="77777777" w:rsidTr="00A57349">
        <w:tc>
          <w:tcPr>
            <w:tcW w:w="3275" w:type="dxa"/>
          </w:tcPr>
          <w:p w14:paraId="591557BA" w14:textId="5859BF34" w:rsidR="00E802AC" w:rsidRDefault="00E802AC" w:rsidP="007B1A9B">
            <w:pPr>
              <w:pStyle w:val="tabletext"/>
              <w:rPr>
                <w:lang w:val="en-US" w:eastAsia="en-US"/>
              </w:rPr>
            </w:pPr>
            <w:r>
              <w:rPr>
                <w:lang w:val="en-US" w:eastAsia="en-US"/>
              </w:rPr>
              <w:t xml:space="preserve">Expiry date </w:t>
            </w:r>
            <w:r w:rsidR="007B1A9B">
              <w:rPr>
                <w:lang w:val="en-US" w:eastAsia="en-US"/>
              </w:rPr>
              <w:t xml:space="preserve">must </w:t>
            </w:r>
            <w:r>
              <w:rPr>
                <w:lang w:val="en-US" w:eastAsia="en-US"/>
              </w:rPr>
              <w:t xml:space="preserve">to be </w:t>
            </w:r>
            <w:r w:rsidR="00516FBB">
              <w:rPr>
                <w:lang w:val="en-US" w:eastAsia="en-US"/>
              </w:rPr>
              <w:t xml:space="preserve">displayed </w:t>
            </w:r>
            <w:r>
              <w:rPr>
                <w:lang w:val="en-US" w:eastAsia="en-US"/>
              </w:rPr>
              <w:t xml:space="preserve">prominently on the gift card itself. </w:t>
            </w:r>
          </w:p>
        </w:tc>
        <w:tc>
          <w:tcPr>
            <w:tcW w:w="3276" w:type="dxa"/>
          </w:tcPr>
          <w:p w14:paraId="22D36678" w14:textId="5D0C86F4" w:rsidR="00E802AC" w:rsidRDefault="00E802AC" w:rsidP="00A57349">
            <w:pPr>
              <w:pStyle w:val="tabletext"/>
              <w:rPr>
                <w:lang w:val="en-US" w:eastAsia="en-US"/>
              </w:rPr>
            </w:pPr>
            <w:r>
              <w:rPr>
                <w:lang w:val="en-US" w:eastAsia="en-US"/>
              </w:rPr>
              <w:t>No equivalent</w:t>
            </w:r>
          </w:p>
        </w:tc>
      </w:tr>
      <w:tr w:rsidR="000E75EA" w:rsidRPr="004666B8" w14:paraId="237BC7EA" w14:textId="77777777" w:rsidTr="00A57349">
        <w:tc>
          <w:tcPr>
            <w:tcW w:w="3275" w:type="dxa"/>
          </w:tcPr>
          <w:p w14:paraId="5D8B6E25" w14:textId="60395417" w:rsidR="000E75EA" w:rsidRPr="004666B8" w:rsidRDefault="00516FBB" w:rsidP="007B1A9B">
            <w:pPr>
              <w:pStyle w:val="tabletext"/>
              <w:rPr>
                <w:lang w:val="en-US" w:eastAsia="en-US"/>
              </w:rPr>
            </w:pPr>
            <w:r>
              <w:rPr>
                <w:lang w:val="en-US" w:eastAsia="en-US"/>
              </w:rPr>
              <w:t>Certain p</w:t>
            </w:r>
            <w:r w:rsidR="00117BB4">
              <w:rPr>
                <w:lang w:val="en-US" w:eastAsia="en-US"/>
              </w:rPr>
              <w:t>ost-</w:t>
            </w:r>
            <w:r w:rsidR="007B1A9B">
              <w:rPr>
                <w:lang w:val="en-US" w:eastAsia="en-US"/>
              </w:rPr>
              <w:t>supply</w:t>
            </w:r>
            <w:r w:rsidR="00117BB4">
              <w:rPr>
                <w:lang w:val="en-US" w:eastAsia="en-US"/>
              </w:rPr>
              <w:t xml:space="preserve"> fees cannot be charg</w:t>
            </w:r>
            <w:r w:rsidR="00E802AC">
              <w:rPr>
                <w:lang w:val="en-US" w:eastAsia="en-US"/>
              </w:rPr>
              <w:t>ed after gift cards are issued.</w:t>
            </w:r>
          </w:p>
        </w:tc>
        <w:tc>
          <w:tcPr>
            <w:tcW w:w="3276" w:type="dxa"/>
          </w:tcPr>
          <w:p w14:paraId="490D6F83" w14:textId="23F2F252" w:rsidR="000E75EA" w:rsidRPr="004666B8" w:rsidRDefault="00117BB4" w:rsidP="00A57349">
            <w:pPr>
              <w:pStyle w:val="tabletext"/>
              <w:rPr>
                <w:lang w:val="en-US" w:eastAsia="en-US"/>
              </w:rPr>
            </w:pPr>
            <w:r>
              <w:rPr>
                <w:lang w:val="en-US" w:eastAsia="en-US"/>
              </w:rPr>
              <w:t xml:space="preserve">No equivalent </w:t>
            </w:r>
          </w:p>
        </w:tc>
      </w:tr>
      <w:tr w:rsidR="00117BB4" w:rsidRPr="004666B8" w14:paraId="5AB13CC3" w14:textId="77777777" w:rsidTr="00A57349">
        <w:tc>
          <w:tcPr>
            <w:tcW w:w="3275" w:type="dxa"/>
          </w:tcPr>
          <w:p w14:paraId="6F811020" w14:textId="125BD0F2" w:rsidR="00183650" w:rsidRDefault="00E802AC" w:rsidP="007B1A9B">
            <w:pPr>
              <w:pStyle w:val="tabletext"/>
              <w:rPr>
                <w:lang w:val="en-US" w:eastAsia="en-US"/>
              </w:rPr>
            </w:pPr>
            <w:r>
              <w:rPr>
                <w:lang w:val="en-US" w:eastAsia="en-US"/>
              </w:rPr>
              <w:t xml:space="preserve">Terms and conditions cannot allow </w:t>
            </w:r>
            <w:r w:rsidR="00516FBB">
              <w:rPr>
                <w:lang w:val="en-US" w:eastAsia="en-US"/>
              </w:rPr>
              <w:t xml:space="preserve">certain </w:t>
            </w:r>
            <w:r>
              <w:rPr>
                <w:lang w:val="en-US" w:eastAsia="en-US"/>
              </w:rPr>
              <w:t>post-</w:t>
            </w:r>
            <w:r w:rsidR="007B1A9B">
              <w:rPr>
                <w:lang w:val="en-US" w:eastAsia="en-US"/>
              </w:rPr>
              <w:t xml:space="preserve">supply </w:t>
            </w:r>
            <w:r>
              <w:rPr>
                <w:lang w:val="en-US" w:eastAsia="en-US"/>
              </w:rPr>
              <w:t>fees to be charged.</w:t>
            </w:r>
          </w:p>
        </w:tc>
        <w:tc>
          <w:tcPr>
            <w:tcW w:w="3276" w:type="dxa"/>
          </w:tcPr>
          <w:p w14:paraId="4554A0FF" w14:textId="4DCC85BF" w:rsidR="00117BB4" w:rsidRDefault="00117BB4" w:rsidP="00A57349">
            <w:pPr>
              <w:pStyle w:val="tabletext"/>
              <w:rPr>
                <w:lang w:val="en-US" w:eastAsia="en-US"/>
              </w:rPr>
            </w:pPr>
            <w:r>
              <w:rPr>
                <w:lang w:val="en-US" w:eastAsia="en-US"/>
              </w:rPr>
              <w:t>No equivalent</w:t>
            </w:r>
          </w:p>
        </w:tc>
      </w:tr>
      <w:tr w:rsidR="00117BB4" w:rsidRPr="004666B8" w14:paraId="52F3DF3C" w14:textId="77777777" w:rsidTr="00A57349">
        <w:tc>
          <w:tcPr>
            <w:tcW w:w="3275" w:type="dxa"/>
          </w:tcPr>
          <w:p w14:paraId="5C74F4C8" w14:textId="676B9E8A" w:rsidR="00117BB4" w:rsidRDefault="0084223D" w:rsidP="00045968">
            <w:pPr>
              <w:pStyle w:val="tabletext"/>
              <w:rPr>
                <w:lang w:val="en-US" w:eastAsia="en-US"/>
              </w:rPr>
            </w:pPr>
            <w:r>
              <w:rPr>
                <w:lang w:val="en-US" w:eastAsia="en-US"/>
              </w:rPr>
              <w:t>R</w:t>
            </w:r>
            <w:r w:rsidR="00D7686A">
              <w:rPr>
                <w:lang w:val="en-US" w:eastAsia="en-US"/>
              </w:rPr>
              <w:t xml:space="preserve">egulation-making power can exempt </w:t>
            </w:r>
            <w:r>
              <w:rPr>
                <w:lang w:val="en-US" w:eastAsia="en-US"/>
              </w:rPr>
              <w:t>certain gift cards, persons and gift cards sup</w:t>
            </w:r>
            <w:r w:rsidR="00D7686A">
              <w:rPr>
                <w:lang w:val="en-US" w:eastAsia="en-US"/>
              </w:rPr>
              <w:t xml:space="preserve">plied in certain circumstances </w:t>
            </w:r>
            <w:r>
              <w:rPr>
                <w:lang w:val="en-US" w:eastAsia="en-US"/>
              </w:rPr>
              <w:t xml:space="preserve">from </w:t>
            </w:r>
            <w:r w:rsidDel="00045968">
              <w:rPr>
                <w:lang w:val="en-US" w:eastAsia="en-US"/>
              </w:rPr>
              <w:t xml:space="preserve">the </w:t>
            </w:r>
            <w:r w:rsidR="00045968">
              <w:rPr>
                <w:lang w:val="en-US" w:eastAsia="en-US"/>
              </w:rPr>
              <w:t>reforms</w:t>
            </w:r>
            <w:r>
              <w:rPr>
                <w:lang w:val="en-US" w:eastAsia="en-US"/>
              </w:rPr>
              <w:t xml:space="preserve">. </w:t>
            </w:r>
          </w:p>
        </w:tc>
        <w:tc>
          <w:tcPr>
            <w:tcW w:w="3276" w:type="dxa"/>
          </w:tcPr>
          <w:p w14:paraId="0DDF84BC" w14:textId="18A3B5C1" w:rsidR="00117BB4" w:rsidRDefault="0084223D" w:rsidP="00A57349">
            <w:pPr>
              <w:pStyle w:val="tabletext"/>
              <w:rPr>
                <w:lang w:val="en-US" w:eastAsia="en-US"/>
              </w:rPr>
            </w:pPr>
            <w:r>
              <w:rPr>
                <w:lang w:val="en-US" w:eastAsia="en-US"/>
              </w:rPr>
              <w:t>No equivalent</w:t>
            </w:r>
          </w:p>
        </w:tc>
      </w:tr>
    </w:tbl>
    <w:p w14:paraId="6702D37C" w14:textId="77777777" w:rsidR="00B17774" w:rsidRDefault="00B17774" w:rsidP="00B17774">
      <w:pPr>
        <w:pStyle w:val="Heading2"/>
      </w:pPr>
      <w:r>
        <w:t>Detailed explanation of new law</w:t>
      </w:r>
    </w:p>
    <w:p w14:paraId="197673AA" w14:textId="1FD5F0CD" w:rsidR="00A513AA" w:rsidRPr="00177E01" w:rsidRDefault="00A513AA" w:rsidP="00A513AA">
      <w:pPr>
        <w:pStyle w:val="base-text-paragraph"/>
        <w:rPr>
          <w:rStyle w:val="Referencingstyle"/>
          <w:b w:val="0"/>
          <w:i w:val="0"/>
          <w:sz w:val="22"/>
        </w:rPr>
      </w:pPr>
      <w:r w:rsidRPr="00ED259C">
        <w:t xml:space="preserve">The ACL does not apply </w:t>
      </w:r>
      <w:r w:rsidR="00394677" w:rsidRPr="00ED259C">
        <w:t>to</w:t>
      </w:r>
      <w:r w:rsidRPr="00ED259C">
        <w:t xml:space="preserve"> financial services</w:t>
      </w:r>
      <w:r w:rsidR="00394677" w:rsidRPr="00ED259C">
        <w:t xml:space="preserve"> and products</w:t>
      </w:r>
      <w:r w:rsidR="007B1A9B">
        <w:t>, which instead are regulated by</w:t>
      </w:r>
      <w:r w:rsidRPr="00ED259C" w:rsidDel="007B1A9B">
        <w:t xml:space="preserve"> </w:t>
      </w:r>
      <w:r w:rsidRPr="00ED259C">
        <w:t xml:space="preserve">the ASIC </w:t>
      </w:r>
      <w:r w:rsidR="002A4203">
        <w:t xml:space="preserve">Act </w:t>
      </w:r>
      <w:r w:rsidRPr="00ED259C">
        <w:t>and Corporations Act.</w:t>
      </w:r>
      <w:r w:rsidR="00177E01" w:rsidRPr="00ED259C">
        <w:t xml:space="preserve"> Th</w:t>
      </w:r>
      <w:r w:rsidR="000B1C72">
        <w:t>is</w:t>
      </w:r>
      <w:r w:rsidR="00177E01" w:rsidRPr="00ED259C">
        <w:t xml:space="preserve"> amendment </w:t>
      </w:r>
      <w:r w:rsidR="00516FBB" w:rsidRPr="00ED259C">
        <w:t>provides</w:t>
      </w:r>
      <w:r w:rsidR="002A4203">
        <w:t>, even</w:t>
      </w:r>
      <w:r w:rsidR="00C800C3" w:rsidRPr="00ED259C">
        <w:t xml:space="preserve"> </w:t>
      </w:r>
      <w:r w:rsidR="002A6509" w:rsidRPr="00ED259C">
        <w:t>i</w:t>
      </w:r>
      <w:r w:rsidR="004D28AF">
        <w:t>f</w:t>
      </w:r>
      <w:r w:rsidR="002A6509" w:rsidRPr="00ED259C">
        <w:t xml:space="preserve"> </w:t>
      </w:r>
      <w:r w:rsidR="002A4203">
        <w:t>certain</w:t>
      </w:r>
      <w:r w:rsidR="002A6509" w:rsidRPr="00ED259C">
        <w:t xml:space="preserve"> </w:t>
      </w:r>
      <w:r w:rsidR="00177E01" w:rsidRPr="00ED259C">
        <w:t>gift cards are a financial product, they will now also be regulated by the ACL</w:t>
      </w:r>
      <w:r w:rsidR="00177E01">
        <w:t xml:space="preserve"> </w:t>
      </w:r>
      <w:r w:rsidR="00516FBB">
        <w:t>for the purposes of these reforms</w:t>
      </w:r>
      <w:r w:rsidR="00177E01">
        <w:t xml:space="preserve">. </w:t>
      </w:r>
      <w:r>
        <w:rPr>
          <w:rStyle w:val="Referencingstyle"/>
        </w:rPr>
        <w:t xml:space="preserve">[Schedule </w:t>
      </w:r>
      <w:r w:rsidR="002A6509">
        <w:rPr>
          <w:rStyle w:val="Referencingstyle"/>
        </w:rPr>
        <w:t>1</w:t>
      </w:r>
      <w:r>
        <w:rPr>
          <w:rStyle w:val="Referencingstyle"/>
        </w:rPr>
        <w:t xml:space="preserve">, item 1, subsection 131A(1) of the CCA] </w:t>
      </w:r>
    </w:p>
    <w:p w14:paraId="74D3B868" w14:textId="0F0BD4BD" w:rsidR="00177E01" w:rsidRPr="00F9203B" w:rsidRDefault="00555F86" w:rsidP="00555F86">
      <w:pPr>
        <w:pStyle w:val="base-text-paragraph"/>
        <w:rPr>
          <w:rStyle w:val="Referencingstyle"/>
          <w:b w:val="0"/>
          <w:i w:val="0"/>
          <w:sz w:val="22"/>
        </w:rPr>
      </w:pPr>
      <w:r>
        <w:lastRenderedPageBreak/>
        <w:t xml:space="preserve">The ACL </w:t>
      </w:r>
      <w:r w:rsidR="007B1A9B">
        <w:t xml:space="preserve">currently </w:t>
      </w:r>
      <w:r>
        <w:t xml:space="preserve">provides that a </w:t>
      </w:r>
      <w:r w:rsidR="007B1A9B">
        <w:t>person</w:t>
      </w:r>
      <w:r>
        <w:t xml:space="preserve"> is not</w:t>
      </w:r>
      <w:r w:rsidR="007B1A9B">
        <w:t xml:space="preserve"> considered a consumer if they</w:t>
      </w:r>
      <w:r>
        <w:t xml:space="preserve"> acquir</w:t>
      </w:r>
      <w:r w:rsidR="007B1A9B">
        <w:t>e</w:t>
      </w:r>
      <w:r>
        <w:t xml:space="preserve"> a good</w:t>
      </w:r>
      <w:r w:rsidDel="007B1A9B">
        <w:t xml:space="preserve"> </w:t>
      </w:r>
      <w:r>
        <w:t>for the purposes of re</w:t>
      </w:r>
      <w:r w:rsidR="001438D3">
        <w:noBreakHyphen/>
      </w:r>
      <w:r>
        <w:t xml:space="preserve">supply. </w:t>
      </w:r>
      <w:r w:rsidR="007B1A9B">
        <w:t xml:space="preserve">This Bill provides that in relation to the re-supply of gift cards a person is not considered a consumer </w:t>
      </w:r>
      <w:r w:rsidR="00134C1C">
        <w:t xml:space="preserve">only </w:t>
      </w:r>
      <w:r w:rsidR="007B1A9B">
        <w:t xml:space="preserve">if the re-supply is for trade or commerce. This amendment intends to distinguish between the re-supply of gift cards for business purposes and ad hoc transfers between individuals. </w:t>
      </w:r>
      <w:r>
        <w:rPr>
          <w:rStyle w:val="Referencingstyle"/>
        </w:rPr>
        <w:t xml:space="preserve">[Schedule </w:t>
      </w:r>
      <w:r w:rsidR="00B04552">
        <w:rPr>
          <w:rStyle w:val="Referencingstyle"/>
        </w:rPr>
        <w:t>1</w:t>
      </w:r>
      <w:r>
        <w:rPr>
          <w:rStyle w:val="Referencingstyle"/>
        </w:rPr>
        <w:t>, item 5, paragraph 3(2)(a) of the ACL]</w:t>
      </w:r>
    </w:p>
    <w:p w14:paraId="7F49531E" w14:textId="5AEDA480" w:rsidR="00134C1C" w:rsidRPr="00A22D51" w:rsidRDefault="00134C1C" w:rsidP="00134C1C">
      <w:pPr>
        <w:pStyle w:val="base-text-paragraph"/>
      </w:pPr>
      <w:r>
        <w:t>T</w:t>
      </w:r>
      <w:r w:rsidRPr="00134C1C">
        <w:t>his means that</w:t>
      </w:r>
      <w:r>
        <w:t>, for example,</w:t>
      </w:r>
      <w:r w:rsidRPr="00134C1C">
        <w:t xml:space="preserve"> </w:t>
      </w:r>
      <w:r>
        <w:t xml:space="preserve">when a gift card is bought for the purpose of providing as a gift the purchaser will </w:t>
      </w:r>
      <w:r w:rsidR="001B4D87">
        <w:t xml:space="preserve">still </w:t>
      </w:r>
      <w:r>
        <w:t>be considered a consumer and the transaction will be covered by the reforms.</w:t>
      </w:r>
    </w:p>
    <w:p w14:paraId="0DAF4404" w14:textId="77777777" w:rsidR="002F070C" w:rsidRPr="00A916C2" w:rsidRDefault="002F070C" w:rsidP="000F65EC">
      <w:pPr>
        <w:pStyle w:val="base-text-paragraph"/>
        <w:keepNext/>
        <w:numPr>
          <w:ilvl w:val="0"/>
          <w:numId w:val="0"/>
        </w:numPr>
        <w:ind w:left="1134"/>
        <w:rPr>
          <w:b/>
        </w:rPr>
      </w:pPr>
      <w:r w:rsidRPr="00A916C2">
        <w:rPr>
          <w:b/>
        </w:rPr>
        <w:t xml:space="preserve">Definition of gift card </w:t>
      </w:r>
    </w:p>
    <w:p w14:paraId="02FF6226" w14:textId="122968E4" w:rsidR="002F070C" w:rsidRPr="00A916C2" w:rsidRDefault="00F9203B" w:rsidP="002F070C">
      <w:pPr>
        <w:pStyle w:val="base-text-paragraph"/>
      </w:pPr>
      <w:r w:rsidRPr="00A916C2">
        <w:t xml:space="preserve">A gift card is defined to mean an article that is commonly known to be a gift card or voucher, whether in physical or electronic form and is redeemable for goods </w:t>
      </w:r>
      <w:r w:rsidR="004D28AF">
        <w:t>or</w:t>
      </w:r>
      <w:r w:rsidR="004D28AF" w:rsidRPr="00A916C2">
        <w:t xml:space="preserve"> </w:t>
      </w:r>
      <w:r w:rsidRPr="00A916C2">
        <w:t xml:space="preserve">services. </w:t>
      </w:r>
      <w:r w:rsidRPr="00A916C2">
        <w:rPr>
          <w:rStyle w:val="Referencingstyle"/>
        </w:rPr>
        <w:t xml:space="preserve">[Schedule </w:t>
      </w:r>
      <w:r w:rsidR="00B04552">
        <w:rPr>
          <w:rStyle w:val="Referencingstyle"/>
        </w:rPr>
        <w:t>1</w:t>
      </w:r>
      <w:r w:rsidRPr="00A916C2">
        <w:rPr>
          <w:rStyle w:val="Referencingstyle"/>
        </w:rPr>
        <w:t>, item</w:t>
      </w:r>
      <w:r w:rsidR="00E54B36">
        <w:rPr>
          <w:rStyle w:val="Referencingstyle"/>
        </w:rPr>
        <w:t>s 4 and</w:t>
      </w:r>
      <w:r w:rsidRPr="00A916C2">
        <w:rPr>
          <w:rStyle w:val="Referencingstyle"/>
        </w:rPr>
        <w:t xml:space="preserve"> 6, </w:t>
      </w:r>
      <w:r w:rsidR="00E54B36">
        <w:rPr>
          <w:rStyle w:val="Referencingstyle"/>
        </w:rPr>
        <w:t>subsection 2(1) and</w:t>
      </w:r>
      <w:r w:rsidR="00E54B36" w:rsidRPr="00A916C2">
        <w:rPr>
          <w:rStyle w:val="Referencingstyle"/>
        </w:rPr>
        <w:t xml:space="preserve"> </w:t>
      </w:r>
      <w:r w:rsidRPr="00A916C2">
        <w:rPr>
          <w:rStyle w:val="Referencingstyle"/>
        </w:rPr>
        <w:t xml:space="preserve">section 99A </w:t>
      </w:r>
      <w:r w:rsidR="00E54B36">
        <w:rPr>
          <w:rStyle w:val="Referencingstyle"/>
        </w:rPr>
        <w:t xml:space="preserve">of </w:t>
      </w:r>
      <w:r w:rsidRPr="00A916C2">
        <w:rPr>
          <w:rStyle w:val="Referencingstyle"/>
        </w:rPr>
        <w:t>the ACL]</w:t>
      </w:r>
      <w:r w:rsidR="002F070C" w:rsidRPr="00A916C2">
        <w:t xml:space="preserve"> </w:t>
      </w:r>
    </w:p>
    <w:p w14:paraId="551CDEAA" w14:textId="758F07E2" w:rsidR="00F9203B" w:rsidRPr="00B2699C" w:rsidRDefault="0033022A" w:rsidP="002735F9">
      <w:pPr>
        <w:pStyle w:val="base-text-paragraph"/>
        <w:rPr>
          <w:rStyle w:val="Referencingstyle"/>
          <w:b w:val="0"/>
          <w:i w:val="0"/>
          <w:sz w:val="22"/>
        </w:rPr>
      </w:pPr>
      <w:r>
        <w:t>R</w:t>
      </w:r>
      <w:r w:rsidR="009D1122">
        <w:t xml:space="preserve">egulations </w:t>
      </w:r>
      <w:r>
        <w:t xml:space="preserve">can also be made </w:t>
      </w:r>
      <w:r w:rsidR="009D1122">
        <w:t xml:space="preserve">to add to </w:t>
      </w:r>
      <w:r w:rsidR="00655DD9">
        <w:t xml:space="preserve">or exempt items from </w:t>
      </w:r>
      <w:r w:rsidR="009D1122">
        <w:t xml:space="preserve">the definition of gift card. </w:t>
      </w:r>
      <w:r w:rsidR="00F9203B" w:rsidRPr="002F070C">
        <w:t>A regulation-making power will enable the Government</w:t>
      </w:r>
      <w:r w:rsidR="00F9203B">
        <w:t xml:space="preserve"> to make timely changes taking into account future changes in technology and products and to ensure the definition of gift cards </w:t>
      </w:r>
      <w:r w:rsidR="007B1A9B">
        <w:t>remain</w:t>
      </w:r>
      <w:r w:rsidR="000B1C72">
        <w:t>s</w:t>
      </w:r>
      <w:r w:rsidR="007B1A9B">
        <w:t xml:space="preserve"> </w:t>
      </w:r>
      <w:r w:rsidR="00F9203B">
        <w:t>fit for purpose.</w:t>
      </w:r>
      <w:r w:rsidR="005E6242">
        <w:t xml:space="preserve"> This will ensure only genuine gift cards are subject to the </w:t>
      </w:r>
      <w:r w:rsidR="00655DD9">
        <w:t>reforms and avoidance techniques can be addressed</w:t>
      </w:r>
      <w:r w:rsidR="005E6242">
        <w:t>.</w:t>
      </w:r>
      <w:r w:rsidR="00F9203B">
        <w:t xml:space="preserve"> </w:t>
      </w:r>
      <w:r w:rsidR="004D28AF">
        <w:t>R</w:t>
      </w:r>
      <w:r w:rsidR="00655DD9">
        <w:t>egulations may be made to avoid doubt and provide certainty</w:t>
      </w:r>
      <w:r w:rsidR="00701688">
        <w:t xml:space="preserve"> to industry and consumers</w:t>
      </w:r>
      <w:r w:rsidR="00655DD9">
        <w:t>.</w:t>
      </w:r>
      <w:r w:rsidR="00655DD9">
        <w:rPr>
          <w:rStyle w:val="Referencingstyle"/>
        </w:rPr>
        <w:t xml:space="preserve"> </w:t>
      </w:r>
      <w:r w:rsidR="00F9203B">
        <w:rPr>
          <w:rStyle w:val="Referencingstyle"/>
        </w:rPr>
        <w:t xml:space="preserve">[Schedule </w:t>
      </w:r>
      <w:r w:rsidR="00B04552">
        <w:rPr>
          <w:rStyle w:val="Referencingstyle"/>
        </w:rPr>
        <w:t>1</w:t>
      </w:r>
      <w:r w:rsidR="00F9203B">
        <w:rPr>
          <w:rStyle w:val="Referencingstyle"/>
        </w:rPr>
        <w:t xml:space="preserve">, item 6, </w:t>
      </w:r>
      <w:r w:rsidR="0093135C">
        <w:rPr>
          <w:rStyle w:val="Referencingstyle"/>
        </w:rPr>
        <w:t xml:space="preserve">section </w:t>
      </w:r>
      <w:r w:rsidR="00F9203B">
        <w:rPr>
          <w:rStyle w:val="Referencingstyle"/>
        </w:rPr>
        <w:t>99A of the ACL]</w:t>
      </w:r>
    </w:p>
    <w:p w14:paraId="69300592" w14:textId="24617316" w:rsidR="00EE2692" w:rsidRDefault="00967FC9" w:rsidP="00EE2692">
      <w:pPr>
        <w:pStyle w:val="base-text-paragraph"/>
      </w:pPr>
      <w:r w:rsidRPr="00BC184C">
        <w:t xml:space="preserve">Items that are </w:t>
      </w:r>
      <w:r w:rsidR="00BC184C" w:rsidRPr="00BC184C">
        <w:t xml:space="preserve">not </w:t>
      </w:r>
      <w:r w:rsidRPr="00BC184C">
        <w:t>commonly known to be a gift card include a credit card, charge card</w:t>
      </w:r>
      <w:r w:rsidR="00655DD9">
        <w:t>,</w:t>
      </w:r>
      <w:r w:rsidRPr="00BC184C">
        <w:t xml:space="preserve"> debit card</w:t>
      </w:r>
      <w:r w:rsidR="00BC184C" w:rsidRPr="00BC184C">
        <w:t xml:space="preserve"> and </w:t>
      </w:r>
      <w:r w:rsidR="00EE2692" w:rsidRPr="00BC184C">
        <w:t>public transport tickets.</w:t>
      </w:r>
      <w:r w:rsidR="00BC184C">
        <w:t xml:space="preserve"> These items are therefore not captured by the reforms.</w:t>
      </w:r>
    </w:p>
    <w:p w14:paraId="3616677E" w14:textId="568B8D7F" w:rsidR="00BC184C" w:rsidRDefault="00655DD9" w:rsidP="00EE2692">
      <w:pPr>
        <w:pStyle w:val="base-text-paragraph"/>
      </w:pPr>
      <w:r>
        <w:t>Items d</w:t>
      </w:r>
      <w:r w:rsidR="00BC184C">
        <w:t xml:space="preserve">o not have to be </w:t>
      </w:r>
      <w:r w:rsidR="00BC184C" w:rsidDel="004D28AF">
        <w:t xml:space="preserve">only </w:t>
      </w:r>
      <w:r w:rsidR="00BC184C">
        <w:t xml:space="preserve">promoted as a gift product </w:t>
      </w:r>
      <w:r>
        <w:t>to be captured</w:t>
      </w:r>
      <w:r w:rsidR="000B1C72">
        <w:t xml:space="preserve"> (as is required to </w:t>
      </w:r>
      <w:r w:rsidR="00967688">
        <w:t>obtain</w:t>
      </w:r>
      <w:r w:rsidR="000B1C72">
        <w:t xml:space="preserve"> </w:t>
      </w:r>
      <w:r w:rsidR="000B1C72" w:rsidRPr="000B1C72">
        <w:t xml:space="preserve">relief under </w:t>
      </w:r>
      <w:r w:rsidR="000B1C72" w:rsidRPr="001438D3">
        <w:rPr>
          <w:i/>
        </w:rPr>
        <w:t>ASIC Corporations (Non</w:t>
      </w:r>
      <w:r w:rsidR="00967688" w:rsidRPr="001438D3">
        <w:rPr>
          <w:i/>
        </w:rPr>
        <w:noBreakHyphen/>
      </w:r>
      <w:r w:rsidR="000B1C72" w:rsidRPr="001438D3">
        <w:rPr>
          <w:i/>
        </w:rPr>
        <w:t>cash Payment Facilities 2016/211</w:t>
      </w:r>
      <w:r w:rsidR="000B1C72" w:rsidRPr="000B1C72">
        <w:t>)</w:t>
      </w:r>
      <w:r w:rsidRPr="000B1C72">
        <w:t>.</w:t>
      </w:r>
      <w:r>
        <w:t xml:space="preserve">  </w:t>
      </w:r>
      <w:r w:rsidR="00F74764">
        <w:t>Gift cards ca</w:t>
      </w:r>
      <w:r w:rsidR="00BC184C">
        <w:t xml:space="preserve">n </w:t>
      </w:r>
      <w:r w:rsidR="00F74764">
        <w:t>be purchased for use by the purchaser</w:t>
      </w:r>
      <w:r w:rsidR="00927697">
        <w:t xml:space="preserve"> and do not have to</w:t>
      </w:r>
      <w:r w:rsidR="00F74764">
        <w:t xml:space="preserve"> </w:t>
      </w:r>
      <w:r w:rsidR="00927697">
        <w:t>be</w:t>
      </w:r>
      <w:r w:rsidR="00BC184C">
        <w:t xml:space="preserve"> gifted to others. </w:t>
      </w:r>
      <w:r w:rsidR="009749C3">
        <w:t>For example, people may choose to buy g</w:t>
      </w:r>
      <w:r w:rsidR="00B04552">
        <w:t>ift cards when they are on sale for their own personal use.</w:t>
      </w:r>
    </w:p>
    <w:p w14:paraId="21C4CC09" w14:textId="52E4FC8C" w:rsidR="009749C3" w:rsidRPr="00BC184C" w:rsidRDefault="00C80AD5" w:rsidP="00EE2692">
      <w:pPr>
        <w:pStyle w:val="base-text-paragraph"/>
      </w:pPr>
      <w:r>
        <w:t>Th</w:t>
      </w:r>
      <w:r w:rsidR="00B04552">
        <w:t>e definition</w:t>
      </w:r>
      <w:r>
        <w:t xml:space="preserve"> c</w:t>
      </w:r>
      <w:r w:rsidR="00DA03F9">
        <w:t>an include cards provided by insurance companies</w:t>
      </w:r>
      <w:r>
        <w:t xml:space="preserve"> to policy holders to discharge a legal liability under the terms of a policy</w:t>
      </w:r>
      <w:r w:rsidR="00B04552">
        <w:t>, f</w:t>
      </w:r>
      <w:r>
        <w:t>or example</w:t>
      </w:r>
      <w:r w:rsidR="00B04552">
        <w:t xml:space="preserve"> where</w:t>
      </w:r>
      <w:r>
        <w:t xml:space="preserve"> the card provided </w:t>
      </w:r>
      <w:r w:rsidDel="004D28AF">
        <w:t>is in the same form</w:t>
      </w:r>
      <w:r>
        <w:t xml:space="preserve"> as </w:t>
      </w:r>
      <w:r w:rsidR="007B1A9B">
        <w:t xml:space="preserve">those </w:t>
      </w:r>
      <w:r>
        <w:t>available to the general public</w:t>
      </w:r>
      <w:r w:rsidR="00B04552">
        <w:t xml:space="preserve"> as a gift card.</w:t>
      </w:r>
    </w:p>
    <w:p w14:paraId="0C4E1D7F" w14:textId="77777777" w:rsidR="002F070C" w:rsidRDefault="002F070C" w:rsidP="00A22D51">
      <w:pPr>
        <w:pStyle w:val="base-text-paragraph"/>
        <w:keepNext/>
        <w:keepLines/>
        <w:numPr>
          <w:ilvl w:val="0"/>
          <w:numId w:val="0"/>
        </w:numPr>
        <w:ind w:left="1134"/>
        <w:rPr>
          <w:b/>
        </w:rPr>
      </w:pPr>
      <w:r>
        <w:rPr>
          <w:b/>
        </w:rPr>
        <w:lastRenderedPageBreak/>
        <w:t>Three year minimum expiry period</w:t>
      </w:r>
    </w:p>
    <w:p w14:paraId="7C2BA503" w14:textId="26F30062" w:rsidR="0093135C" w:rsidRDefault="00A916C2" w:rsidP="00A22D51">
      <w:pPr>
        <w:pStyle w:val="base-text-paragraph"/>
        <w:keepNext/>
        <w:keepLines/>
      </w:pPr>
      <w:r w:rsidRPr="00A916C2">
        <w:t>A gift card</w:t>
      </w:r>
      <w:r>
        <w:t xml:space="preserve"> is required to be redeemable for at least three years from the date the gift card is supplied. </w:t>
      </w:r>
      <w:r w:rsidR="0093135C">
        <w:rPr>
          <w:rStyle w:val="Referencingstyle"/>
        </w:rPr>
        <w:t xml:space="preserve">[Schedule 1, item 6, </w:t>
      </w:r>
      <w:r w:rsidR="00BA232B">
        <w:rPr>
          <w:rStyle w:val="Referencingstyle"/>
        </w:rPr>
        <w:t>paragraph</w:t>
      </w:r>
      <w:r w:rsidR="0093135C">
        <w:rPr>
          <w:rStyle w:val="Referencingstyle"/>
        </w:rPr>
        <w:t xml:space="preserve"> 99</w:t>
      </w:r>
      <w:r w:rsidR="00C94B92">
        <w:rPr>
          <w:rStyle w:val="Referencingstyle"/>
        </w:rPr>
        <w:t>B</w:t>
      </w:r>
      <w:r w:rsidR="00BA232B">
        <w:rPr>
          <w:rStyle w:val="Referencingstyle"/>
        </w:rPr>
        <w:t>(1)(a)</w:t>
      </w:r>
      <w:r w:rsidR="0093135C">
        <w:rPr>
          <w:rStyle w:val="Referencingstyle"/>
        </w:rPr>
        <w:t xml:space="preserve"> of the ACL]</w:t>
      </w:r>
    </w:p>
    <w:p w14:paraId="36862E15" w14:textId="63873AD1" w:rsidR="0093135C" w:rsidRDefault="00A916C2" w:rsidP="000F65EC">
      <w:pPr>
        <w:pStyle w:val="base-text-paragraph"/>
      </w:pPr>
      <w:r>
        <w:t xml:space="preserve">The </w:t>
      </w:r>
      <w:r w:rsidR="00410BD7">
        <w:t xml:space="preserve">expiry </w:t>
      </w:r>
      <w:r>
        <w:t xml:space="preserve">date </w:t>
      </w:r>
      <w:r w:rsidR="0093135C">
        <w:t>must</w:t>
      </w:r>
      <w:r>
        <w:t xml:space="preserve"> be set out prominently on the gift card itself.</w:t>
      </w:r>
      <w:r w:rsidR="006555AE">
        <w:t xml:space="preserve"> </w:t>
      </w:r>
      <w:r w:rsidR="0093135C">
        <w:t>Displaying the expiry period</w:t>
      </w:r>
      <w:r w:rsidR="007B1A9B">
        <w:t xml:space="preserve"> on a separate document</w:t>
      </w:r>
      <w:r w:rsidR="0093135C">
        <w:t xml:space="preserve"> at the point of sale is not sufficient as the purchaser will not necessarily be the user of the card. </w:t>
      </w:r>
      <w:r w:rsidR="00967688">
        <w:rPr>
          <w:rStyle w:val="Referencingstyle"/>
        </w:rPr>
        <w:t xml:space="preserve">[Schedule 1, item 6, subparagraph 99B(1)(b)(i) of the ACL] </w:t>
      </w:r>
      <w:r w:rsidR="00967688">
        <w:t xml:space="preserve">Where the date is displayed as MM/YY, that is no day </w:t>
      </w:r>
      <w:r w:rsidR="005F5802">
        <w:t xml:space="preserve">within the month </w:t>
      </w:r>
      <w:r w:rsidR="00967688">
        <w:t>is specified, the expiry date must be the last day of the month</w:t>
      </w:r>
      <w:r w:rsidR="006E00DA">
        <w:t xml:space="preserve"> otherwise that formulation is insufficient</w:t>
      </w:r>
      <w:r w:rsidR="00967688">
        <w:t xml:space="preserve">. </w:t>
      </w:r>
    </w:p>
    <w:p w14:paraId="6DD21360" w14:textId="74250220" w:rsidR="00A916C2" w:rsidRDefault="00117BB4" w:rsidP="00BA232B">
      <w:pPr>
        <w:pStyle w:val="base-text-paragraph"/>
      </w:pPr>
      <w:r>
        <w:t xml:space="preserve">If the gift card does not expire, </w:t>
      </w:r>
      <w:r w:rsidR="0093135C">
        <w:t xml:space="preserve">that must be stated on </w:t>
      </w:r>
      <w:r>
        <w:t>the gift card</w:t>
      </w:r>
      <w:r w:rsidR="0093135C">
        <w:t xml:space="preserve">. </w:t>
      </w:r>
      <w:r w:rsidR="00FA5967" w:rsidRPr="00D9215F">
        <w:t>For example</w:t>
      </w:r>
      <w:r w:rsidR="00BA232B" w:rsidRPr="00D9215F">
        <w:t>,</w:t>
      </w:r>
      <w:r w:rsidR="00D9215F" w:rsidRPr="00D9215F">
        <w:t xml:space="preserve"> </w:t>
      </w:r>
      <w:r w:rsidR="00FA5967" w:rsidRPr="00D9215F">
        <w:t xml:space="preserve">the gift card </w:t>
      </w:r>
      <w:r w:rsidR="0093135C" w:rsidRPr="00D9215F">
        <w:t>must</w:t>
      </w:r>
      <w:r w:rsidR="00FA5967" w:rsidRPr="00D9215F">
        <w:t xml:space="preserve"> </w:t>
      </w:r>
      <w:r w:rsidR="0093135C" w:rsidRPr="00D9215F">
        <w:t>include a statement that it</w:t>
      </w:r>
      <w:r w:rsidR="00FA5967" w:rsidRPr="00D9215F">
        <w:t xml:space="preserve"> ‘does not expire’, ‘never expires’</w:t>
      </w:r>
      <w:r w:rsidR="0093135C" w:rsidRPr="00D9215F">
        <w:t>,</w:t>
      </w:r>
      <w:r w:rsidR="00FA5967" w:rsidRPr="00D9215F">
        <w:t xml:space="preserve"> </w:t>
      </w:r>
      <w:r w:rsidR="00B72D1F">
        <w:t>or</w:t>
      </w:r>
      <w:r w:rsidR="00FA5967" w:rsidRPr="00D9215F">
        <w:t xml:space="preserve"> </w:t>
      </w:r>
      <w:r w:rsidR="0093135C" w:rsidRPr="00D9215F">
        <w:t>has</w:t>
      </w:r>
      <w:r w:rsidR="00FA5967" w:rsidRPr="00D9215F">
        <w:t xml:space="preserve"> ‘no expiry date’</w:t>
      </w:r>
      <w:r w:rsidR="0093135C">
        <w:t>.</w:t>
      </w:r>
      <w:r>
        <w:t xml:space="preserve"> </w:t>
      </w:r>
      <w:r w:rsidR="00A916C2">
        <w:rPr>
          <w:rStyle w:val="Referencingstyle"/>
        </w:rPr>
        <w:t>[Schedule</w:t>
      </w:r>
      <w:r w:rsidR="00B72D1F">
        <w:rPr>
          <w:rStyle w:val="Referencingstyle"/>
        </w:rPr>
        <w:t> </w:t>
      </w:r>
      <w:r w:rsidR="0093135C">
        <w:rPr>
          <w:rStyle w:val="Referencingstyle"/>
        </w:rPr>
        <w:t>1</w:t>
      </w:r>
      <w:r w:rsidR="00A916C2">
        <w:rPr>
          <w:rStyle w:val="Referencingstyle"/>
        </w:rPr>
        <w:t xml:space="preserve">, item 6, </w:t>
      </w:r>
      <w:r w:rsidR="00BA232B">
        <w:rPr>
          <w:rStyle w:val="Referencingstyle"/>
        </w:rPr>
        <w:t>subparagraph 99</w:t>
      </w:r>
      <w:r w:rsidR="00C94B92">
        <w:rPr>
          <w:rStyle w:val="Referencingstyle"/>
        </w:rPr>
        <w:t>B</w:t>
      </w:r>
      <w:r w:rsidR="00BA232B">
        <w:rPr>
          <w:rStyle w:val="Referencingstyle"/>
        </w:rPr>
        <w:t xml:space="preserve">(1)(b)(ii) </w:t>
      </w:r>
      <w:r w:rsidR="00A916C2">
        <w:rPr>
          <w:rStyle w:val="Referencingstyle"/>
        </w:rPr>
        <w:t>of the ACL]</w:t>
      </w:r>
    </w:p>
    <w:p w14:paraId="279448D0" w14:textId="35ACDAC9" w:rsidR="002211EC" w:rsidRDefault="00137812" w:rsidP="002F070C">
      <w:pPr>
        <w:pStyle w:val="base-text-paragraph"/>
      </w:pPr>
      <w:r>
        <w:t>The obligation</w:t>
      </w:r>
      <w:r w:rsidR="002211EC">
        <w:t>s</w:t>
      </w:r>
      <w:r>
        <w:t xml:space="preserve"> sit with the </w:t>
      </w:r>
      <w:r w:rsidR="002211EC">
        <w:t xml:space="preserve">person who supplies </w:t>
      </w:r>
      <w:r>
        <w:t>the gift card</w:t>
      </w:r>
      <w:r w:rsidR="002211EC">
        <w:t xml:space="preserve"> in trade or commerce</w:t>
      </w:r>
      <w:r>
        <w:t xml:space="preserve">, </w:t>
      </w:r>
      <w:r w:rsidR="002211EC">
        <w:t xml:space="preserve">which is </w:t>
      </w:r>
      <w:r>
        <w:t xml:space="preserve">not necessarily the person who gives </w:t>
      </w:r>
      <w:r w:rsidR="00272E2A">
        <w:t xml:space="preserve">the gift card </w:t>
      </w:r>
      <w:r>
        <w:t xml:space="preserve">to the end user. </w:t>
      </w:r>
    </w:p>
    <w:p w14:paraId="2ABCB1A6" w14:textId="3753E190" w:rsidR="0091575C" w:rsidRDefault="002211EC" w:rsidP="002F070C">
      <w:pPr>
        <w:pStyle w:val="base-text-paragraph"/>
      </w:pPr>
      <w:r>
        <w:t>For example,</w:t>
      </w:r>
      <w:r w:rsidRPr="002211EC">
        <w:t xml:space="preserve"> </w:t>
      </w:r>
      <w:r>
        <w:t>an employer buys</w:t>
      </w:r>
      <w:r w:rsidDel="007B1A9B">
        <w:t xml:space="preserve"> </w:t>
      </w:r>
      <w:r>
        <w:t>gift card</w:t>
      </w:r>
      <w:r w:rsidR="007B1A9B">
        <w:t>s</w:t>
      </w:r>
      <w:r>
        <w:t xml:space="preserve"> from a business and gives them to their employees as a Christmas bonus. </w:t>
      </w:r>
      <w:r w:rsidR="00272E2A">
        <w:t xml:space="preserve">The business that supplied the gift cards to the employer must ensure </w:t>
      </w:r>
      <w:r w:rsidR="007B1A9B">
        <w:t>it has</w:t>
      </w:r>
      <w:r w:rsidR="00272E2A">
        <w:t xml:space="preserve"> met </w:t>
      </w:r>
      <w:r w:rsidR="007B1A9B">
        <w:t>its</w:t>
      </w:r>
      <w:r w:rsidR="00272E2A">
        <w:t xml:space="preserve"> obligations. </w:t>
      </w:r>
      <w:r w:rsidR="00EC7050">
        <w:t xml:space="preserve">The employer isn’t providing the gift card </w:t>
      </w:r>
      <w:r>
        <w:t xml:space="preserve">to the employee </w:t>
      </w:r>
      <w:r w:rsidR="00EC7050">
        <w:t>in trade or commerce</w:t>
      </w:r>
      <w:r w:rsidR="00272E2A">
        <w:t xml:space="preserve"> so the obligations do not apply to them.</w:t>
      </w:r>
    </w:p>
    <w:p w14:paraId="2EB8991A" w14:textId="4D373370" w:rsidR="00272E2A" w:rsidRDefault="00272E2A" w:rsidP="002F070C">
      <w:pPr>
        <w:pStyle w:val="base-text-paragraph"/>
      </w:pPr>
      <w:r>
        <w:t xml:space="preserve">Similarly, if a person purchased gift cards to give to their family and friends for their birthdays, the obligations would apply to the person who sold them the cards. </w:t>
      </w:r>
    </w:p>
    <w:p w14:paraId="2694E565" w14:textId="280132CC" w:rsidR="002F070C" w:rsidRDefault="002F070C" w:rsidP="002F070C">
      <w:pPr>
        <w:pStyle w:val="base-text-paragraph"/>
      </w:pPr>
      <w:r w:rsidRPr="00D7066D">
        <w:t xml:space="preserve">Companies donating </w:t>
      </w:r>
      <w:r w:rsidR="00D7066D" w:rsidRPr="00D7066D">
        <w:t xml:space="preserve">gift cards, for example to be used as prizes or to charities, </w:t>
      </w:r>
      <w:r w:rsidRPr="00D7066D">
        <w:t xml:space="preserve">would generally be considered to be </w:t>
      </w:r>
      <w:r w:rsidR="00D7066D" w:rsidRPr="00D7066D">
        <w:t xml:space="preserve">doing so </w:t>
      </w:r>
      <w:r w:rsidRPr="00D7066D">
        <w:t>for promotional purposes.</w:t>
      </w:r>
      <w:r w:rsidR="00D7066D" w:rsidRPr="00D7066D">
        <w:t xml:space="preserve"> As such, </w:t>
      </w:r>
      <w:r w:rsidR="00F051F8">
        <w:t>those companies</w:t>
      </w:r>
      <w:r w:rsidR="00D7066D" w:rsidRPr="00D7066D">
        <w:t xml:space="preserve"> would be </w:t>
      </w:r>
      <w:r w:rsidR="00272E2A">
        <w:t xml:space="preserve">making </w:t>
      </w:r>
      <w:r w:rsidR="00D7066D" w:rsidRPr="00D7066D">
        <w:t xml:space="preserve">a supply under section 5 of </w:t>
      </w:r>
      <w:r w:rsidR="00D7066D">
        <w:t>the</w:t>
      </w:r>
      <w:r w:rsidR="00D7066D" w:rsidRPr="00D7066D">
        <w:t xml:space="preserve"> ACL</w:t>
      </w:r>
      <w:r w:rsidR="00272E2A">
        <w:t xml:space="preserve"> and the obligations would apply to them</w:t>
      </w:r>
      <w:r w:rsidR="00D7066D" w:rsidRPr="00D7066D">
        <w:t>.</w:t>
      </w:r>
    </w:p>
    <w:p w14:paraId="2C75A454" w14:textId="51067BA6" w:rsidR="00BA67C8" w:rsidRPr="005428B7" w:rsidRDefault="00BA67C8" w:rsidP="00BA67C8">
      <w:pPr>
        <w:pStyle w:val="base-text-paragraph"/>
        <w:rPr>
          <w:rStyle w:val="Referencingstyle"/>
          <w:b w:val="0"/>
          <w:i w:val="0"/>
          <w:sz w:val="22"/>
        </w:rPr>
      </w:pPr>
      <w:r>
        <w:t xml:space="preserve">If a gift card is supplied with less than a three year expiry date or if the expiry date is not prominently set out on the gift card, a pecuniary penalty may be imposed. The maximum pecuniary penalty is $30,000 for a body corporate and $6,000 for persons other than a body corporate. </w:t>
      </w:r>
      <w:r>
        <w:rPr>
          <w:rStyle w:val="Referencingstyle"/>
        </w:rPr>
        <w:t xml:space="preserve">[Schedule 1, </w:t>
      </w:r>
      <w:r w:rsidRPr="002211EC">
        <w:rPr>
          <w:rStyle w:val="Referencingstyle"/>
        </w:rPr>
        <w:t>items 6, 8 and 9, section 99</w:t>
      </w:r>
      <w:r w:rsidR="00C94B92">
        <w:rPr>
          <w:rStyle w:val="Referencingstyle"/>
        </w:rPr>
        <w:t>B</w:t>
      </w:r>
      <w:r w:rsidRPr="002211EC">
        <w:rPr>
          <w:rStyle w:val="Referencingstyle"/>
        </w:rPr>
        <w:t>, subparagraph</w:t>
      </w:r>
      <w:r>
        <w:rPr>
          <w:rStyle w:val="Referencingstyle"/>
        </w:rPr>
        <w:t xml:space="preserve"> 224(1)(a)(v), subsection 224(3) (after </w:t>
      </w:r>
      <w:r w:rsidRPr="005428B7">
        <w:rPr>
          <w:rStyle w:val="Referencingstyle"/>
        </w:rPr>
        <w:t>table item 6) of the ACL]</w:t>
      </w:r>
    </w:p>
    <w:p w14:paraId="5C7A69AB" w14:textId="7532A737" w:rsidR="005428B7" w:rsidRPr="00F70E6D" w:rsidRDefault="005428B7" w:rsidP="005428B7">
      <w:pPr>
        <w:pStyle w:val="base-text-paragraph"/>
      </w:pPr>
      <w:r w:rsidRPr="005428B7">
        <w:t xml:space="preserve">The three year minimum expiry period does not change </w:t>
      </w:r>
      <w:r w:rsidRPr="00F70E6D">
        <w:t>consumers’ rights in the event that the supplier of the gift card becomes insolvent or bankrupt. That is, they will continue to be treated as unsecured creditors.</w:t>
      </w:r>
      <w:r>
        <w:t xml:space="preserve"> </w:t>
      </w:r>
    </w:p>
    <w:p w14:paraId="2AD5784F" w14:textId="6896F2F7" w:rsidR="002F070C" w:rsidRPr="001D4432" w:rsidRDefault="00A916C2" w:rsidP="00716F21">
      <w:pPr>
        <w:pStyle w:val="base-text-paragraph"/>
        <w:numPr>
          <w:ilvl w:val="0"/>
          <w:numId w:val="0"/>
        </w:numPr>
        <w:ind w:left="1134"/>
        <w:rPr>
          <w:b/>
        </w:rPr>
      </w:pPr>
      <w:r w:rsidRPr="001D4432">
        <w:rPr>
          <w:b/>
        </w:rPr>
        <w:lastRenderedPageBreak/>
        <w:t>Post</w:t>
      </w:r>
      <w:r>
        <w:rPr>
          <w:b/>
        </w:rPr>
        <w:t>-</w:t>
      </w:r>
      <w:r w:rsidR="00E54B36">
        <w:rPr>
          <w:b/>
        </w:rPr>
        <w:t>supply</w:t>
      </w:r>
      <w:r w:rsidR="00E54B36" w:rsidRPr="001D4432">
        <w:rPr>
          <w:b/>
        </w:rPr>
        <w:t xml:space="preserve"> </w:t>
      </w:r>
      <w:r w:rsidR="002F070C" w:rsidRPr="001D4432">
        <w:rPr>
          <w:b/>
        </w:rPr>
        <w:t>fees</w:t>
      </w:r>
    </w:p>
    <w:p w14:paraId="47DEE196" w14:textId="77777777" w:rsidR="00DE209B" w:rsidRDefault="00DE209B" w:rsidP="00DE209B">
      <w:pPr>
        <w:pStyle w:val="base-text-paragraph"/>
      </w:pPr>
      <w:r>
        <w:t xml:space="preserve">Post-supply fees can erode the balance on a gift card over time and operate as a de facto expiry date. </w:t>
      </w:r>
    </w:p>
    <w:p w14:paraId="5B9B741F" w14:textId="1EB419E9" w:rsidR="00DE209B" w:rsidRPr="00A916C2" w:rsidRDefault="003C5C5A" w:rsidP="00DE209B">
      <w:pPr>
        <w:pStyle w:val="base-text-paragraph"/>
      </w:pPr>
      <w:r>
        <w:t>A person must not supply a gift card with t</w:t>
      </w:r>
      <w:r w:rsidR="00DE209B">
        <w:t xml:space="preserve">erms and conditions </w:t>
      </w:r>
      <w:r w:rsidR="00297A37">
        <w:t xml:space="preserve">that </w:t>
      </w:r>
      <w:r w:rsidR="00DE209B">
        <w:t xml:space="preserve">allow for </w:t>
      </w:r>
      <w:r w:rsidR="00297A37">
        <w:t xml:space="preserve">prohibited </w:t>
      </w:r>
      <w:r w:rsidR="00DE209B">
        <w:t>post-supply fee</w:t>
      </w:r>
      <w:r w:rsidR="00297A37">
        <w:t>s</w:t>
      </w:r>
      <w:r w:rsidR="00DE209B">
        <w:t xml:space="preserve"> to be charged</w:t>
      </w:r>
      <w:r>
        <w:t>.</w:t>
      </w:r>
      <w:r w:rsidR="00DE209B" w:rsidRPr="00DE209B">
        <w:rPr>
          <w:rStyle w:val="Referencingstyle"/>
        </w:rPr>
        <w:t xml:space="preserve"> </w:t>
      </w:r>
      <w:r w:rsidR="00297A37">
        <w:t xml:space="preserve">The reforms will also prohibit the charging </w:t>
      </w:r>
      <w:r w:rsidR="004D28AF">
        <w:t xml:space="preserve">of </w:t>
      </w:r>
      <w:r w:rsidR="00297A37">
        <w:t xml:space="preserve">certain fees after the gift card has been supplied. </w:t>
      </w:r>
      <w:r w:rsidR="00DE209B" w:rsidRPr="00A916C2">
        <w:rPr>
          <w:rStyle w:val="Referencingstyle"/>
        </w:rPr>
        <w:t xml:space="preserve">[Schedule </w:t>
      </w:r>
      <w:r w:rsidR="00DE209B">
        <w:rPr>
          <w:rStyle w:val="Referencingstyle"/>
        </w:rPr>
        <w:t>1</w:t>
      </w:r>
      <w:r w:rsidR="00DE209B" w:rsidRPr="00A916C2">
        <w:rPr>
          <w:rStyle w:val="Referencingstyle"/>
        </w:rPr>
        <w:t>, item 6, section</w:t>
      </w:r>
      <w:r w:rsidR="00297A37">
        <w:rPr>
          <w:rStyle w:val="Referencingstyle"/>
        </w:rPr>
        <w:t>s</w:t>
      </w:r>
      <w:r w:rsidR="00DE209B" w:rsidRPr="00A916C2">
        <w:rPr>
          <w:rStyle w:val="Referencingstyle"/>
        </w:rPr>
        <w:t xml:space="preserve"> 99</w:t>
      </w:r>
      <w:r w:rsidR="00C94B92">
        <w:rPr>
          <w:rStyle w:val="Referencingstyle"/>
        </w:rPr>
        <w:t>C</w:t>
      </w:r>
      <w:r w:rsidR="00297A37">
        <w:rPr>
          <w:rStyle w:val="Referencingstyle"/>
        </w:rPr>
        <w:t xml:space="preserve"> and 99D</w:t>
      </w:r>
      <w:r w:rsidR="00DE209B" w:rsidRPr="00A916C2">
        <w:rPr>
          <w:rStyle w:val="Referencingstyle"/>
        </w:rPr>
        <w:t xml:space="preserve"> </w:t>
      </w:r>
      <w:r w:rsidR="00DE209B">
        <w:rPr>
          <w:rStyle w:val="Referencingstyle"/>
        </w:rPr>
        <w:t xml:space="preserve">of </w:t>
      </w:r>
      <w:r w:rsidR="00DE209B" w:rsidRPr="00A916C2">
        <w:rPr>
          <w:rStyle w:val="Referencingstyle"/>
        </w:rPr>
        <w:t>the ACL]</w:t>
      </w:r>
      <w:r w:rsidR="00DE209B" w:rsidRPr="00A916C2">
        <w:t xml:space="preserve"> </w:t>
      </w:r>
    </w:p>
    <w:p w14:paraId="595B15E9" w14:textId="4A7CC695" w:rsidR="005428B7" w:rsidRPr="00A916C2" w:rsidRDefault="00E54B36" w:rsidP="005428B7">
      <w:pPr>
        <w:pStyle w:val="base-text-paragraph"/>
      </w:pPr>
      <w:r>
        <w:t>The regulations will contain an exhaustive list of fees that can be charged</w:t>
      </w:r>
      <w:r w:rsidR="00F70E6D">
        <w:t xml:space="preserve"> after a card is supplied</w:t>
      </w:r>
      <w:r>
        <w:t>. Using regulations allows the Government to make timely changes based on the environment and changes to technology</w:t>
      </w:r>
      <w:r w:rsidDel="00E54B36">
        <w:t xml:space="preserve"> </w:t>
      </w:r>
      <w:r>
        <w:t xml:space="preserve">to ensure the list </w:t>
      </w:r>
      <w:r w:rsidR="00F051F8">
        <w:t>remains</w:t>
      </w:r>
      <w:r>
        <w:t xml:space="preserve"> fit for purpose. </w:t>
      </w:r>
      <w:r w:rsidR="005428B7" w:rsidRPr="00A916C2">
        <w:rPr>
          <w:rStyle w:val="Referencingstyle"/>
        </w:rPr>
        <w:t xml:space="preserve">[Schedule </w:t>
      </w:r>
      <w:r w:rsidR="005428B7">
        <w:rPr>
          <w:rStyle w:val="Referencingstyle"/>
        </w:rPr>
        <w:t>1</w:t>
      </w:r>
      <w:r w:rsidR="005428B7" w:rsidRPr="00A916C2">
        <w:rPr>
          <w:rStyle w:val="Referencingstyle"/>
        </w:rPr>
        <w:t>, item</w:t>
      </w:r>
      <w:r w:rsidR="00DE209B">
        <w:rPr>
          <w:rStyle w:val="Referencingstyle"/>
        </w:rPr>
        <w:t>s 4 and</w:t>
      </w:r>
      <w:r w:rsidR="005428B7" w:rsidRPr="00A916C2">
        <w:rPr>
          <w:rStyle w:val="Referencingstyle"/>
        </w:rPr>
        <w:t xml:space="preserve"> 6, </w:t>
      </w:r>
      <w:r w:rsidR="00DE209B">
        <w:rPr>
          <w:rStyle w:val="Referencingstyle"/>
        </w:rPr>
        <w:t>subsections 2(1) and</w:t>
      </w:r>
      <w:r w:rsidR="005428B7">
        <w:rPr>
          <w:rStyle w:val="Referencingstyle"/>
        </w:rPr>
        <w:t xml:space="preserve"> </w:t>
      </w:r>
      <w:r w:rsidR="005428B7" w:rsidRPr="00A916C2">
        <w:rPr>
          <w:rStyle w:val="Referencingstyle"/>
        </w:rPr>
        <w:t>99</w:t>
      </w:r>
      <w:r w:rsidR="00C94B92">
        <w:rPr>
          <w:rStyle w:val="Referencingstyle"/>
        </w:rPr>
        <w:t>C</w:t>
      </w:r>
      <w:r w:rsidR="00F70E6D">
        <w:rPr>
          <w:rStyle w:val="Referencingstyle"/>
        </w:rPr>
        <w:t>(2)</w:t>
      </w:r>
      <w:r w:rsidR="005428B7" w:rsidRPr="00A916C2">
        <w:rPr>
          <w:rStyle w:val="Referencingstyle"/>
        </w:rPr>
        <w:t xml:space="preserve"> </w:t>
      </w:r>
      <w:r w:rsidR="005428B7">
        <w:rPr>
          <w:rStyle w:val="Referencingstyle"/>
        </w:rPr>
        <w:t xml:space="preserve">of </w:t>
      </w:r>
      <w:r w:rsidR="005428B7" w:rsidRPr="00A916C2">
        <w:rPr>
          <w:rStyle w:val="Referencingstyle"/>
        </w:rPr>
        <w:t>the ACL]</w:t>
      </w:r>
      <w:r w:rsidR="005428B7" w:rsidRPr="00A916C2">
        <w:t xml:space="preserve"> </w:t>
      </w:r>
    </w:p>
    <w:p w14:paraId="01ADD5BA" w14:textId="7AC1CAFC" w:rsidR="002A5AB6" w:rsidRPr="00ED259C" w:rsidRDefault="00DE209B" w:rsidP="005509BC">
      <w:pPr>
        <w:pStyle w:val="base-text-paragraph"/>
        <w:keepNext/>
        <w:keepLines/>
        <w:rPr>
          <w:rStyle w:val="Referencingstyle"/>
          <w:b w:val="0"/>
          <w:i w:val="0"/>
          <w:sz w:val="22"/>
        </w:rPr>
      </w:pPr>
      <w:r>
        <w:t>A</w:t>
      </w:r>
      <w:r w:rsidR="00830A83">
        <w:t xml:space="preserve"> pecuniary penalty may be imposed</w:t>
      </w:r>
      <w:r>
        <w:t xml:space="preserve"> for contravening these requirements</w:t>
      </w:r>
      <w:r w:rsidR="00830A83">
        <w:t xml:space="preserve">. The maximum pecuniary penalty is $30,000 for a body corporate and $6,000 for </w:t>
      </w:r>
      <w:r>
        <w:t>persons other than a body corporate</w:t>
      </w:r>
      <w:r w:rsidR="00323EA0">
        <w:t>.</w:t>
      </w:r>
      <w:r w:rsidR="00A916C2">
        <w:t xml:space="preserve"> </w:t>
      </w:r>
      <w:r w:rsidR="00A916C2">
        <w:rPr>
          <w:rStyle w:val="Referencingstyle"/>
        </w:rPr>
        <w:t xml:space="preserve">[Schedule </w:t>
      </w:r>
      <w:r>
        <w:rPr>
          <w:rStyle w:val="Referencingstyle"/>
        </w:rPr>
        <w:t>1</w:t>
      </w:r>
      <w:r w:rsidR="00A916C2">
        <w:rPr>
          <w:rStyle w:val="Referencingstyle"/>
        </w:rPr>
        <w:t>, item</w:t>
      </w:r>
      <w:r w:rsidR="007A78C2">
        <w:rPr>
          <w:rStyle w:val="Referencingstyle"/>
        </w:rPr>
        <w:t>s</w:t>
      </w:r>
      <w:r w:rsidR="00A916C2">
        <w:rPr>
          <w:rStyle w:val="Referencingstyle"/>
        </w:rPr>
        <w:t xml:space="preserve"> 6</w:t>
      </w:r>
      <w:r w:rsidR="00830A83">
        <w:rPr>
          <w:rStyle w:val="Referencingstyle"/>
        </w:rPr>
        <w:t>, 8 and 9</w:t>
      </w:r>
      <w:r w:rsidR="00A916C2">
        <w:rPr>
          <w:rStyle w:val="Referencingstyle"/>
        </w:rPr>
        <w:t>, section</w:t>
      </w:r>
      <w:r w:rsidR="00F6577B">
        <w:rPr>
          <w:rStyle w:val="Referencingstyle"/>
        </w:rPr>
        <w:t>s</w:t>
      </w:r>
      <w:r w:rsidR="00A916C2">
        <w:rPr>
          <w:rStyle w:val="Referencingstyle"/>
        </w:rPr>
        <w:t xml:space="preserve"> 99</w:t>
      </w:r>
      <w:r w:rsidR="00C94B92">
        <w:rPr>
          <w:rStyle w:val="Referencingstyle"/>
        </w:rPr>
        <w:t>C</w:t>
      </w:r>
      <w:r w:rsidR="00830A83">
        <w:rPr>
          <w:rStyle w:val="Referencingstyle"/>
        </w:rPr>
        <w:t xml:space="preserve">, </w:t>
      </w:r>
      <w:r w:rsidR="00F6577B">
        <w:rPr>
          <w:rStyle w:val="Referencingstyle"/>
        </w:rPr>
        <w:t>99D</w:t>
      </w:r>
      <w:r w:rsidR="00830A83">
        <w:rPr>
          <w:rStyle w:val="Referencingstyle"/>
        </w:rPr>
        <w:t>,</w:t>
      </w:r>
      <w:r w:rsidR="00A916C2">
        <w:rPr>
          <w:rStyle w:val="Referencingstyle"/>
        </w:rPr>
        <w:t xml:space="preserve"> </w:t>
      </w:r>
      <w:r w:rsidR="00830A83">
        <w:rPr>
          <w:rStyle w:val="Referencingstyle"/>
        </w:rPr>
        <w:t xml:space="preserve">subparagraph 224(1)(a)(v), subsection 224(3) (after table item 6) </w:t>
      </w:r>
      <w:r w:rsidR="00A916C2">
        <w:rPr>
          <w:rStyle w:val="Referencingstyle"/>
        </w:rPr>
        <w:t>of the ACL]</w:t>
      </w:r>
      <w:r w:rsidR="00830A83">
        <w:rPr>
          <w:rStyle w:val="Referencingstyle"/>
        </w:rPr>
        <w:t xml:space="preserve"> </w:t>
      </w:r>
    </w:p>
    <w:p w14:paraId="49189251" w14:textId="72B23825" w:rsidR="00F6577B" w:rsidRPr="007A78C2" w:rsidRDefault="007A78C2" w:rsidP="00F6577B">
      <w:pPr>
        <w:pStyle w:val="base-text-paragraph"/>
        <w:numPr>
          <w:ilvl w:val="0"/>
          <w:numId w:val="0"/>
        </w:numPr>
        <w:ind w:left="1134"/>
        <w:rPr>
          <w:b/>
        </w:rPr>
      </w:pPr>
      <w:r w:rsidRPr="00ED259C">
        <w:rPr>
          <w:b/>
        </w:rPr>
        <w:t xml:space="preserve">Void </w:t>
      </w:r>
      <w:r>
        <w:rPr>
          <w:b/>
        </w:rPr>
        <w:t>t</w:t>
      </w:r>
      <w:r w:rsidR="00F6577B" w:rsidRPr="007A78C2">
        <w:rPr>
          <w:b/>
        </w:rPr>
        <w:t>erms and conditions</w:t>
      </w:r>
    </w:p>
    <w:p w14:paraId="12BC2815" w14:textId="1F464E34" w:rsidR="007A78C2" w:rsidRPr="00F6577B" w:rsidRDefault="00F6577B" w:rsidP="007A78C2">
      <w:pPr>
        <w:pStyle w:val="base-text-paragraph"/>
      </w:pPr>
      <w:r>
        <w:t>The supplier of the gift card must ensure the terms and conditions on the gift card do not reduce the expiry period earlier than three years and do not charge a post-</w:t>
      </w:r>
      <w:r w:rsidR="00524E66">
        <w:t xml:space="preserve">supply </w:t>
      </w:r>
      <w:r>
        <w:t>fee</w:t>
      </w:r>
      <w:r w:rsidR="00323EA0">
        <w:t xml:space="preserve"> otherwise a pecuniary penalty may be imposed. </w:t>
      </w:r>
      <w:r w:rsidR="007A78C2">
        <w:rPr>
          <w:rStyle w:val="Referencingstyle"/>
        </w:rPr>
        <w:t>[Schedule 1, item 6, section 99E of the ACL]</w:t>
      </w:r>
    </w:p>
    <w:p w14:paraId="4C0A967E" w14:textId="2000370F" w:rsidR="00F6577B" w:rsidRPr="007A78C2" w:rsidRDefault="00323EA0" w:rsidP="00F6577B">
      <w:pPr>
        <w:pStyle w:val="base-text-paragraph"/>
        <w:rPr>
          <w:rStyle w:val="Referencingstyle"/>
          <w:b w:val="0"/>
          <w:i w:val="0"/>
          <w:sz w:val="22"/>
        </w:rPr>
      </w:pPr>
      <w:r>
        <w:t xml:space="preserve">The maximum pecuniary penalty is $30,000 for a body corporate and $6,000 for </w:t>
      </w:r>
      <w:r w:rsidR="007A78C2">
        <w:t>persons other than a body corporate</w:t>
      </w:r>
      <w:r w:rsidR="00F6577B">
        <w:t xml:space="preserve">. </w:t>
      </w:r>
      <w:r w:rsidR="00F6577B">
        <w:rPr>
          <w:rStyle w:val="Referencingstyle"/>
        </w:rPr>
        <w:t xml:space="preserve">[Schedule </w:t>
      </w:r>
      <w:r w:rsidR="007A78C2">
        <w:rPr>
          <w:rStyle w:val="Referencingstyle"/>
        </w:rPr>
        <w:t>1</w:t>
      </w:r>
      <w:r w:rsidR="00F6577B">
        <w:rPr>
          <w:rStyle w:val="Referencingstyle"/>
        </w:rPr>
        <w:t>, item</w:t>
      </w:r>
      <w:r w:rsidR="007A78C2">
        <w:rPr>
          <w:rStyle w:val="Referencingstyle"/>
        </w:rPr>
        <w:t>s</w:t>
      </w:r>
      <w:r w:rsidR="00F6577B">
        <w:rPr>
          <w:rStyle w:val="Referencingstyle"/>
        </w:rPr>
        <w:t xml:space="preserve"> 6</w:t>
      </w:r>
      <w:r w:rsidR="007A78C2">
        <w:rPr>
          <w:rStyle w:val="Referencingstyle"/>
        </w:rPr>
        <w:t>, 8 and 9</w:t>
      </w:r>
      <w:r w:rsidR="00F6577B">
        <w:rPr>
          <w:rStyle w:val="Referencingstyle"/>
        </w:rPr>
        <w:t>, section 99E</w:t>
      </w:r>
      <w:r w:rsidR="007A78C2">
        <w:rPr>
          <w:rStyle w:val="Referencingstyle"/>
        </w:rPr>
        <w:t xml:space="preserve">, subparagraph 224(1)(a)(v), subsection 224(3) (after table item 6) </w:t>
      </w:r>
      <w:r w:rsidR="00F6577B">
        <w:rPr>
          <w:rStyle w:val="Referencingstyle"/>
        </w:rPr>
        <w:t>of the ACL]</w:t>
      </w:r>
    </w:p>
    <w:p w14:paraId="55426AEC" w14:textId="77777777" w:rsidR="00F74764" w:rsidRPr="001D4432" w:rsidRDefault="00F74764" w:rsidP="00F74764">
      <w:pPr>
        <w:pStyle w:val="base-text-paragraph"/>
        <w:numPr>
          <w:ilvl w:val="0"/>
          <w:numId w:val="0"/>
        </w:numPr>
        <w:ind w:left="1134"/>
        <w:rPr>
          <w:b/>
        </w:rPr>
      </w:pPr>
      <w:r w:rsidRPr="001D4432">
        <w:rPr>
          <w:b/>
        </w:rPr>
        <w:t>Reg</w:t>
      </w:r>
      <w:r>
        <w:rPr>
          <w:b/>
        </w:rPr>
        <w:t>ulation-</w:t>
      </w:r>
      <w:r w:rsidRPr="001D4432">
        <w:rPr>
          <w:b/>
        </w:rPr>
        <w:t>making power</w:t>
      </w:r>
    </w:p>
    <w:p w14:paraId="6A74CA61" w14:textId="142D3361" w:rsidR="006E00DA" w:rsidRPr="00A22D51" w:rsidRDefault="00D7327E" w:rsidP="006E00DA">
      <w:pPr>
        <w:pStyle w:val="base-text-paragraph"/>
        <w:rPr>
          <w:rStyle w:val="Referencingstyle"/>
        </w:rPr>
      </w:pPr>
      <w:r>
        <w:t>R</w:t>
      </w:r>
      <w:r w:rsidR="00F74764" w:rsidRPr="00D20822">
        <w:t>egulation-making power</w:t>
      </w:r>
      <w:r>
        <w:t>s</w:t>
      </w:r>
      <w:r w:rsidR="00F74764">
        <w:t xml:space="preserve"> ha</w:t>
      </w:r>
      <w:r>
        <w:t>ve</w:t>
      </w:r>
      <w:r w:rsidR="00F74764">
        <w:t xml:space="preserve"> been inserted to provide for the </w:t>
      </w:r>
      <w:r w:rsidR="008F49CB">
        <w:t xml:space="preserve">ability </w:t>
      </w:r>
      <w:r w:rsidR="00F74764">
        <w:t xml:space="preserve">to exempt certain gift cards, persons and gift cards supplied in certain circumstances from </w:t>
      </w:r>
      <w:r w:rsidR="006E00DA">
        <w:t xml:space="preserve">all or some of </w:t>
      </w:r>
      <w:r w:rsidR="00F74764">
        <w:t xml:space="preserve">the </w:t>
      </w:r>
      <w:r w:rsidR="008F49CB">
        <w:t>requirements</w:t>
      </w:r>
      <w:r w:rsidR="001C5B5C">
        <w:t xml:space="preserve"> </w:t>
      </w:r>
      <w:r w:rsidR="00F051F8">
        <w:t xml:space="preserve">imposed by </w:t>
      </w:r>
      <w:r w:rsidR="001C5B5C">
        <w:t>these reforms</w:t>
      </w:r>
      <w:r w:rsidR="00F74764">
        <w:t xml:space="preserve">. </w:t>
      </w:r>
      <w:r w:rsidR="006E00DA" w:rsidRPr="00A22D51">
        <w:rPr>
          <w:rStyle w:val="Referencingstyle"/>
        </w:rPr>
        <w:t xml:space="preserve">[Schedule 1, item 6 and 7 section 99F </w:t>
      </w:r>
      <w:r w:rsidR="00FD6C3D">
        <w:rPr>
          <w:rStyle w:val="Referencingstyle"/>
        </w:rPr>
        <w:t xml:space="preserve">and 191E </w:t>
      </w:r>
      <w:r w:rsidR="006E00DA" w:rsidRPr="00A22D51">
        <w:rPr>
          <w:rStyle w:val="Referencingstyle"/>
        </w:rPr>
        <w:t>of the ACL]</w:t>
      </w:r>
    </w:p>
    <w:p w14:paraId="700CB06E" w14:textId="320F45BF" w:rsidR="00F74764" w:rsidRDefault="00F74764" w:rsidP="00F74764">
      <w:pPr>
        <w:pStyle w:val="base-text-paragraph"/>
      </w:pPr>
      <w:r>
        <w:t>Allowing the regulations to exempt certain gift cards</w:t>
      </w:r>
      <w:r w:rsidR="001C5B5C">
        <w:t xml:space="preserve"> </w:t>
      </w:r>
      <w:r w:rsidR="00DE3399">
        <w:t xml:space="preserve">or those supplied in certain circumstances </w:t>
      </w:r>
      <w:r w:rsidR="001C5B5C">
        <w:t xml:space="preserve">from </w:t>
      </w:r>
      <w:r w:rsidR="00DE3399">
        <w:t>all or some of the requirements</w:t>
      </w:r>
      <w:r>
        <w:t xml:space="preserve"> will provide </w:t>
      </w:r>
      <w:r w:rsidR="00DE3399">
        <w:t>the</w:t>
      </w:r>
      <w:r w:rsidR="004D4D26" w:rsidRPr="005509BC">
        <w:t xml:space="preserve"> Government </w:t>
      </w:r>
      <w:r w:rsidR="00DE3399">
        <w:t>with the necessary</w:t>
      </w:r>
      <w:r>
        <w:t xml:space="preserve"> flexibility to make timely changes </w:t>
      </w:r>
      <w:r w:rsidR="004D4D26">
        <w:t xml:space="preserve">to support industry to adopt innovative marketing techniques to encourage demand and manage stock levels. It </w:t>
      </w:r>
      <w:r w:rsidRPr="005509BC">
        <w:t xml:space="preserve">will </w:t>
      </w:r>
      <w:r w:rsidR="004D4D26">
        <w:t xml:space="preserve">also allow the law to adapt </w:t>
      </w:r>
      <w:r w:rsidRPr="005509BC">
        <w:t xml:space="preserve">to changes developments </w:t>
      </w:r>
      <w:r w:rsidR="004D4D26">
        <w:t>in</w:t>
      </w:r>
      <w:r w:rsidR="004D4D26" w:rsidRPr="005509BC">
        <w:t xml:space="preserve"> </w:t>
      </w:r>
      <w:r w:rsidRPr="005509BC">
        <w:t xml:space="preserve">technology. </w:t>
      </w:r>
      <w:r>
        <w:rPr>
          <w:rStyle w:val="Referencingstyle"/>
        </w:rPr>
        <w:t xml:space="preserve">[Schedule </w:t>
      </w:r>
      <w:r w:rsidR="008F49CB">
        <w:rPr>
          <w:rStyle w:val="Referencingstyle"/>
        </w:rPr>
        <w:t>1</w:t>
      </w:r>
      <w:r>
        <w:rPr>
          <w:rStyle w:val="Referencingstyle"/>
        </w:rPr>
        <w:t xml:space="preserve">, items 6 and 7 section 99F and </w:t>
      </w:r>
      <w:r w:rsidRPr="005509BC">
        <w:rPr>
          <w:rStyle w:val="Referencingstyle"/>
        </w:rPr>
        <w:t>191</w:t>
      </w:r>
      <w:r w:rsidR="009F4F4F" w:rsidRPr="005509BC">
        <w:rPr>
          <w:rStyle w:val="Referencingstyle"/>
        </w:rPr>
        <w:t>E</w:t>
      </w:r>
      <w:r>
        <w:rPr>
          <w:rStyle w:val="Referencingstyle"/>
        </w:rPr>
        <w:t xml:space="preserve"> of the ACL]</w:t>
      </w:r>
    </w:p>
    <w:p w14:paraId="31D95DDA" w14:textId="53ED1CB8" w:rsidR="00F74764" w:rsidRDefault="00F74764" w:rsidP="00F74764">
      <w:pPr>
        <w:pStyle w:val="base-text-paragraph"/>
      </w:pPr>
      <w:r>
        <w:lastRenderedPageBreak/>
        <w:t xml:space="preserve">Allowing the regulations to exempt persons from </w:t>
      </w:r>
      <w:r w:rsidR="00DE3399">
        <w:t>all or some of the requirements</w:t>
      </w:r>
      <w:r>
        <w:t xml:space="preserve"> will provide a flexible approach to ensure the regime </w:t>
      </w:r>
      <w:r w:rsidR="00FD6C3D">
        <w:t>only imposes obligations on the appropriate</w:t>
      </w:r>
      <w:r w:rsidRPr="005509BC">
        <w:t xml:space="preserve"> </w:t>
      </w:r>
      <w:r>
        <w:t>persons</w:t>
      </w:r>
      <w:r w:rsidR="007F4CDB" w:rsidRPr="005509BC">
        <w:t>.</w:t>
      </w:r>
      <w:r>
        <w:t xml:space="preserve"> </w:t>
      </w:r>
      <w:r>
        <w:rPr>
          <w:rStyle w:val="Referencingstyle"/>
        </w:rPr>
        <w:t xml:space="preserve">[Schedule </w:t>
      </w:r>
      <w:r w:rsidR="008F49CB">
        <w:rPr>
          <w:rStyle w:val="Referencingstyle"/>
        </w:rPr>
        <w:t>1</w:t>
      </w:r>
      <w:r>
        <w:rPr>
          <w:rStyle w:val="Referencingstyle"/>
        </w:rPr>
        <w:t xml:space="preserve">, items 6 and 7 section 99F and </w:t>
      </w:r>
      <w:r w:rsidRPr="005509BC">
        <w:rPr>
          <w:rStyle w:val="Referencingstyle"/>
        </w:rPr>
        <w:t>191</w:t>
      </w:r>
      <w:r w:rsidR="009F4F4F" w:rsidRPr="005509BC">
        <w:rPr>
          <w:rStyle w:val="Referencingstyle"/>
        </w:rPr>
        <w:t>E</w:t>
      </w:r>
      <w:r>
        <w:rPr>
          <w:rStyle w:val="Referencingstyle"/>
        </w:rPr>
        <w:t xml:space="preserve"> of the ACL]</w:t>
      </w:r>
      <w:r w:rsidR="00FD6C3D">
        <w:rPr>
          <w:rStyle w:val="Referencingstyle"/>
          <w:b w:val="0"/>
          <w:i w:val="0"/>
        </w:rPr>
        <w:t xml:space="preserve"> </w:t>
      </w:r>
      <w:r w:rsidR="00FD6C3D" w:rsidRPr="00A22D51">
        <w:t>For example,</w:t>
      </w:r>
      <w:r w:rsidR="00FD6C3D">
        <w:t xml:space="preserve"> it may be appropriate to exempt</w:t>
      </w:r>
      <w:r w:rsidR="008C75D1">
        <w:t xml:space="preserve"> gift cards supplied</w:t>
      </w:r>
      <w:r w:rsidR="00FD6C3D">
        <w:t xml:space="preserve"> </w:t>
      </w:r>
      <w:r w:rsidR="008C75D1">
        <w:t xml:space="preserve">by charities. </w:t>
      </w:r>
      <w:r w:rsidR="00FD6C3D" w:rsidRPr="00A22D51">
        <w:t xml:space="preserve"> </w:t>
      </w:r>
    </w:p>
    <w:p w14:paraId="3D327ABC" w14:textId="77777777" w:rsidR="00F74764" w:rsidRDefault="00F74764" w:rsidP="00F74764">
      <w:pPr>
        <w:pStyle w:val="base-text-paragraph"/>
      </w:pPr>
      <w:r w:rsidRPr="00D66CF5">
        <w:t xml:space="preserve">The regulations would be subject to disallowance and therefore any exemptions provided for in the regulations will be subject to appropriate Parliamentary scrutiny. </w:t>
      </w:r>
    </w:p>
    <w:p w14:paraId="74EC7A88" w14:textId="7C0A8AA3" w:rsidR="002F070C" w:rsidRPr="004539A0" w:rsidRDefault="004539A0" w:rsidP="004539A0">
      <w:pPr>
        <w:pStyle w:val="base-text-paragraph"/>
        <w:numPr>
          <w:ilvl w:val="0"/>
          <w:numId w:val="0"/>
        </w:numPr>
        <w:ind w:left="1134"/>
        <w:rPr>
          <w:b/>
        </w:rPr>
      </w:pPr>
      <w:r w:rsidRPr="004539A0">
        <w:rPr>
          <w:b/>
        </w:rPr>
        <w:t>Offences</w:t>
      </w:r>
    </w:p>
    <w:p w14:paraId="0A8C0172" w14:textId="59956DC9" w:rsidR="00F9203B" w:rsidRPr="002735F9" w:rsidRDefault="000E75EA" w:rsidP="00555F86">
      <w:pPr>
        <w:pStyle w:val="base-text-paragraph"/>
        <w:rPr>
          <w:rStyle w:val="Referencingstyle"/>
          <w:b w:val="0"/>
          <w:i w:val="0"/>
          <w:sz w:val="22"/>
        </w:rPr>
      </w:pPr>
      <w:r>
        <w:t>If a gift card is supplied and the expiry date of the gift card is less than three years, a person commit</w:t>
      </w:r>
      <w:r w:rsidR="002735F9">
        <w:t>s</w:t>
      </w:r>
      <w:r>
        <w:t xml:space="preserve"> </w:t>
      </w:r>
      <w:r w:rsidR="00F367E5">
        <w:t>a strict liability</w:t>
      </w:r>
      <w:r>
        <w:t xml:space="preserve"> offence</w:t>
      </w:r>
      <w:r w:rsidR="00EB0FCB">
        <w:t>. T</w:t>
      </w:r>
      <w:r w:rsidR="00C866F2">
        <w:t xml:space="preserve">he maximum penalty </w:t>
      </w:r>
      <w:r w:rsidR="00EB0FCB">
        <w:t xml:space="preserve">is </w:t>
      </w:r>
      <w:r>
        <w:t>$30,000 for a body corporat</w:t>
      </w:r>
      <w:r w:rsidR="00F367E5">
        <w:t xml:space="preserve">e and $6,000 for </w:t>
      </w:r>
      <w:r w:rsidR="005014FA">
        <w:t>persons other than a body corporate</w:t>
      </w:r>
      <w:r w:rsidR="00F367E5">
        <w:t>.</w:t>
      </w:r>
      <w:r w:rsidR="002735F9">
        <w:t xml:space="preserve"> </w:t>
      </w:r>
      <w:r>
        <w:rPr>
          <w:rStyle w:val="Referencingstyle"/>
        </w:rPr>
        <w:t xml:space="preserve">[Schedule </w:t>
      </w:r>
      <w:r w:rsidR="008F49CB">
        <w:rPr>
          <w:rStyle w:val="Referencingstyle"/>
        </w:rPr>
        <w:t>1</w:t>
      </w:r>
      <w:r>
        <w:rPr>
          <w:rStyle w:val="Referencingstyle"/>
        </w:rPr>
        <w:t xml:space="preserve">, item </w:t>
      </w:r>
      <w:r w:rsidR="009D1122">
        <w:rPr>
          <w:rStyle w:val="Referencingstyle"/>
        </w:rPr>
        <w:t>7</w:t>
      </w:r>
      <w:r>
        <w:rPr>
          <w:rStyle w:val="Referencingstyle"/>
        </w:rPr>
        <w:t>, section 191A of the ACL]</w:t>
      </w:r>
    </w:p>
    <w:p w14:paraId="206A2224" w14:textId="77E69B0E" w:rsidR="002735F9" w:rsidRPr="002735F9" w:rsidRDefault="002735F9" w:rsidP="002735F9">
      <w:pPr>
        <w:pStyle w:val="base-text-paragraph"/>
        <w:rPr>
          <w:rStyle w:val="Referencingstyle"/>
          <w:b w:val="0"/>
          <w:i w:val="0"/>
          <w:sz w:val="22"/>
        </w:rPr>
      </w:pPr>
      <w:r>
        <w:t>I</w:t>
      </w:r>
      <w:r w:rsidRPr="002735F9">
        <w:t>f</w:t>
      </w:r>
      <w:r>
        <w:t xml:space="preserve"> a gift card is supplied and the </w:t>
      </w:r>
      <w:r w:rsidR="00C808D8">
        <w:t xml:space="preserve">expiry </w:t>
      </w:r>
      <w:r>
        <w:t xml:space="preserve">date of the gift card does not appear prominently on the gift card itself, </w:t>
      </w:r>
      <w:r w:rsidR="00F367E5">
        <w:t>a person commits a strict liabil</w:t>
      </w:r>
      <w:r w:rsidR="00C866F2">
        <w:t>ity offence</w:t>
      </w:r>
      <w:r w:rsidR="00EB0FCB">
        <w:t>. T</w:t>
      </w:r>
      <w:r w:rsidR="00F367E5">
        <w:t xml:space="preserve">he maximum penalty </w:t>
      </w:r>
      <w:r w:rsidR="00EB0FCB">
        <w:t xml:space="preserve">is </w:t>
      </w:r>
      <w:r w:rsidR="00F367E5">
        <w:t xml:space="preserve">$30,000 for a body corporate and $6,000 for </w:t>
      </w:r>
      <w:r w:rsidR="005014FA">
        <w:t>persons other than a body corporate</w:t>
      </w:r>
      <w:r w:rsidR="00F367E5">
        <w:t xml:space="preserve">. </w:t>
      </w:r>
      <w:r>
        <w:rPr>
          <w:rStyle w:val="Referencingstyle"/>
        </w:rPr>
        <w:t xml:space="preserve">[Schedule </w:t>
      </w:r>
      <w:r w:rsidR="008F49CB">
        <w:rPr>
          <w:rStyle w:val="Referencingstyle"/>
        </w:rPr>
        <w:t>1</w:t>
      </w:r>
      <w:r>
        <w:rPr>
          <w:rStyle w:val="Referencingstyle"/>
        </w:rPr>
        <w:t xml:space="preserve"> item </w:t>
      </w:r>
      <w:r w:rsidR="009D1122">
        <w:rPr>
          <w:rStyle w:val="Referencingstyle"/>
        </w:rPr>
        <w:t>7</w:t>
      </w:r>
      <w:r>
        <w:rPr>
          <w:rStyle w:val="Referencingstyle"/>
        </w:rPr>
        <w:t>, section 191B of the ACL]</w:t>
      </w:r>
    </w:p>
    <w:p w14:paraId="26C38C1E" w14:textId="412E8E44" w:rsidR="00C866F2" w:rsidRDefault="00C808D8" w:rsidP="002735F9">
      <w:pPr>
        <w:pStyle w:val="base-text-paragraph"/>
      </w:pPr>
      <w:r>
        <w:t>I</w:t>
      </w:r>
      <w:r w:rsidRPr="002735F9">
        <w:t>f</w:t>
      </w:r>
      <w:r>
        <w:t xml:space="preserve"> a gift card is supplied and t</w:t>
      </w:r>
      <w:r w:rsidR="00C866F2">
        <w:t xml:space="preserve">he terms and conditions </w:t>
      </w:r>
      <w:r>
        <w:t xml:space="preserve">of </w:t>
      </w:r>
      <w:r w:rsidR="00C866F2">
        <w:t>the gift card allow for a post-</w:t>
      </w:r>
      <w:r w:rsidR="00524E66">
        <w:t xml:space="preserve">supply </w:t>
      </w:r>
      <w:r w:rsidR="00C866F2">
        <w:t>fee to be charged</w:t>
      </w:r>
      <w:r>
        <w:t>, a</w:t>
      </w:r>
      <w:r w:rsidR="00C866F2">
        <w:t xml:space="preserve"> person commits a strict liability offence</w:t>
      </w:r>
      <w:r w:rsidR="00EB0FCB">
        <w:t>. T</w:t>
      </w:r>
      <w:r w:rsidR="00C866F2">
        <w:t xml:space="preserve">he maximum penalty </w:t>
      </w:r>
      <w:r w:rsidR="00EB0FCB">
        <w:t>is</w:t>
      </w:r>
      <w:r w:rsidR="00C866F2">
        <w:t xml:space="preserve"> $30,000 for a body corporate and $6,000 for </w:t>
      </w:r>
      <w:r w:rsidR="005014FA">
        <w:t>persons other than a body corporate</w:t>
      </w:r>
      <w:r w:rsidR="00C866F2">
        <w:t xml:space="preserve">. </w:t>
      </w:r>
      <w:r w:rsidR="009F4F4F">
        <w:rPr>
          <w:rStyle w:val="Referencingstyle"/>
        </w:rPr>
        <w:t>[Schedule 1, item 7, section 191C of the ACL]</w:t>
      </w:r>
    </w:p>
    <w:p w14:paraId="0B13C5FE" w14:textId="4EA9ED9C" w:rsidR="002735F9" w:rsidRPr="00BF5732" w:rsidRDefault="002735F9" w:rsidP="002735F9">
      <w:pPr>
        <w:pStyle w:val="base-text-paragraph"/>
        <w:rPr>
          <w:rStyle w:val="Referencingstyle"/>
          <w:b w:val="0"/>
          <w:i w:val="0"/>
          <w:sz w:val="22"/>
        </w:rPr>
      </w:pPr>
      <w:r>
        <w:t>I</w:t>
      </w:r>
      <w:r w:rsidRPr="002735F9">
        <w:t>f</w:t>
      </w:r>
      <w:r>
        <w:t xml:space="preserve"> a person charges a post-</w:t>
      </w:r>
      <w:r w:rsidR="00524E66">
        <w:t xml:space="preserve">supply </w:t>
      </w:r>
      <w:r>
        <w:t xml:space="preserve">fee, </w:t>
      </w:r>
      <w:r w:rsidR="00F367E5">
        <w:t>a person commits a strict liability offence</w:t>
      </w:r>
      <w:r w:rsidR="00EB0FCB">
        <w:t>. T</w:t>
      </w:r>
      <w:r w:rsidR="00F367E5">
        <w:t xml:space="preserve">he maximum penalty </w:t>
      </w:r>
      <w:r w:rsidR="00EB0FCB">
        <w:t>is</w:t>
      </w:r>
      <w:r w:rsidR="00F367E5">
        <w:t xml:space="preserve"> $30,000 for a body corporate and $6,000 for </w:t>
      </w:r>
      <w:r w:rsidR="005014FA">
        <w:t>persons other than a body corporate</w:t>
      </w:r>
      <w:r w:rsidR="00F367E5">
        <w:t xml:space="preserve">.  </w:t>
      </w:r>
      <w:r>
        <w:rPr>
          <w:rStyle w:val="Referencingstyle"/>
        </w:rPr>
        <w:t xml:space="preserve">[Schedule </w:t>
      </w:r>
      <w:r w:rsidR="008F49CB">
        <w:rPr>
          <w:rStyle w:val="Referencingstyle"/>
        </w:rPr>
        <w:t>1</w:t>
      </w:r>
      <w:r>
        <w:rPr>
          <w:rStyle w:val="Referencingstyle"/>
        </w:rPr>
        <w:t xml:space="preserve">, item </w:t>
      </w:r>
      <w:r w:rsidR="009D1122">
        <w:rPr>
          <w:rStyle w:val="Referencingstyle"/>
        </w:rPr>
        <w:t>7</w:t>
      </w:r>
      <w:r>
        <w:rPr>
          <w:rStyle w:val="Referencingstyle"/>
        </w:rPr>
        <w:t>, section 191</w:t>
      </w:r>
      <w:r w:rsidR="009F4F4F">
        <w:rPr>
          <w:rStyle w:val="Referencingstyle"/>
        </w:rPr>
        <w:t>D</w:t>
      </w:r>
      <w:r>
        <w:rPr>
          <w:rStyle w:val="Referencingstyle"/>
        </w:rPr>
        <w:t xml:space="preserve"> of the ACL]</w:t>
      </w:r>
    </w:p>
    <w:p w14:paraId="23C521B7" w14:textId="0DC28A8F" w:rsidR="003972B8" w:rsidRDefault="00BF5732" w:rsidP="00972B74">
      <w:pPr>
        <w:pStyle w:val="base-text-paragraph"/>
        <w:numPr>
          <w:ilvl w:val="1"/>
          <w:numId w:val="30"/>
        </w:numPr>
        <w:tabs>
          <w:tab w:val="clear" w:pos="2127"/>
          <w:tab w:val="num" w:pos="2552"/>
        </w:tabs>
        <w:ind w:left="1701"/>
        <w:rPr>
          <w:rFonts w:eastAsiaTheme="minorHAnsi"/>
          <w:szCs w:val="22"/>
          <w:lang w:eastAsia="en-US"/>
        </w:rPr>
      </w:pPr>
      <w:r>
        <w:t xml:space="preserve">The </w:t>
      </w:r>
      <w:r w:rsidR="003972B8">
        <w:t xml:space="preserve">penalty provisions contained in this Bill </w:t>
      </w:r>
      <w:r>
        <w:t xml:space="preserve">are consistent with </w:t>
      </w:r>
      <w:r w:rsidR="003972B8">
        <w:t xml:space="preserve">existing </w:t>
      </w:r>
      <w:r>
        <w:t xml:space="preserve">penalties in the ACL for similar </w:t>
      </w:r>
      <w:r w:rsidR="003972B8">
        <w:t>offences</w:t>
      </w:r>
      <w:r>
        <w:t>.</w:t>
      </w:r>
      <w:r w:rsidR="003972B8" w:rsidDel="003972B8">
        <w:t xml:space="preserve"> </w:t>
      </w:r>
      <w:r w:rsidR="003972B8" w:rsidRPr="00D22E67">
        <w:rPr>
          <w:rFonts w:eastAsiaTheme="minorHAnsi"/>
          <w:szCs w:val="22"/>
          <w:lang w:eastAsia="en-US"/>
        </w:rPr>
        <w:t xml:space="preserve">Strict liability offences are appropriate in this </w:t>
      </w:r>
      <w:r w:rsidR="00EB0FCB">
        <w:rPr>
          <w:rFonts w:eastAsiaTheme="minorHAnsi"/>
          <w:szCs w:val="22"/>
          <w:lang w:eastAsia="en-US"/>
        </w:rPr>
        <w:t>circumstance</w:t>
      </w:r>
      <w:r w:rsidR="003972B8" w:rsidRPr="00D22E67">
        <w:rPr>
          <w:rFonts w:eastAsiaTheme="minorHAnsi"/>
          <w:szCs w:val="22"/>
          <w:lang w:eastAsia="en-US"/>
        </w:rPr>
        <w:t xml:space="preserve">, as it is necessary to strongly deter misconduct that can have serious </w:t>
      </w:r>
      <w:r w:rsidR="00F01501">
        <w:rPr>
          <w:rFonts w:eastAsiaTheme="minorHAnsi"/>
          <w:szCs w:val="22"/>
          <w:lang w:eastAsia="en-US"/>
        </w:rPr>
        <w:t>detriment</w:t>
      </w:r>
      <w:r w:rsidR="003972B8" w:rsidRPr="00D22E67">
        <w:rPr>
          <w:rFonts w:eastAsiaTheme="minorHAnsi"/>
          <w:szCs w:val="22"/>
          <w:lang w:eastAsia="en-US"/>
        </w:rPr>
        <w:t xml:space="preserve"> for consumers. Strict lia</w:t>
      </w:r>
      <w:r w:rsidR="003972B8">
        <w:rPr>
          <w:rFonts w:eastAsiaTheme="minorHAnsi"/>
          <w:szCs w:val="22"/>
          <w:lang w:eastAsia="en-US"/>
        </w:rPr>
        <w:t>bility offences also reduce non</w:t>
      </w:r>
      <w:r w:rsidR="003972B8">
        <w:rPr>
          <w:rFonts w:eastAsiaTheme="minorHAnsi"/>
          <w:szCs w:val="22"/>
          <w:lang w:eastAsia="en-US"/>
        </w:rPr>
        <w:noBreakHyphen/>
      </w:r>
      <w:r w:rsidR="003972B8" w:rsidRPr="00D22E67">
        <w:rPr>
          <w:rFonts w:eastAsiaTheme="minorHAnsi"/>
          <w:szCs w:val="22"/>
          <w:lang w:eastAsia="en-US"/>
        </w:rPr>
        <w:t xml:space="preserve">compliance, which bolsters the integrity of the regulatory regime enforced by the ACCC. Strict liability is particularly beneficial to </w:t>
      </w:r>
      <w:r w:rsidR="00EB0FCB">
        <w:rPr>
          <w:rFonts w:eastAsiaTheme="minorHAnsi"/>
          <w:szCs w:val="22"/>
          <w:lang w:eastAsia="en-US"/>
        </w:rPr>
        <w:t>r</w:t>
      </w:r>
      <w:r w:rsidR="003972B8" w:rsidRPr="00D22E67">
        <w:rPr>
          <w:rFonts w:eastAsiaTheme="minorHAnsi"/>
          <w:szCs w:val="22"/>
          <w:lang w:eastAsia="en-US"/>
        </w:rPr>
        <w:t>egulator</w:t>
      </w:r>
      <w:r w:rsidR="00EB0FCB">
        <w:rPr>
          <w:rFonts w:eastAsiaTheme="minorHAnsi"/>
          <w:szCs w:val="22"/>
          <w:lang w:eastAsia="en-US"/>
        </w:rPr>
        <w:t>s</w:t>
      </w:r>
      <w:r w:rsidR="003972B8" w:rsidRPr="00D22E67">
        <w:rPr>
          <w:rFonts w:eastAsiaTheme="minorHAnsi"/>
          <w:szCs w:val="22"/>
          <w:lang w:eastAsia="en-US"/>
        </w:rPr>
        <w:t xml:space="preserve"> as they need to deal with offences expeditiously to maintain public confidence in the regulatory regime. </w:t>
      </w:r>
    </w:p>
    <w:p w14:paraId="53DC5C94" w14:textId="41C6F68F" w:rsidR="003972B8" w:rsidRPr="003972B8" w:rsidRDefault="003972B8" w:rsidP="00972B74">
      <w:pPr>
        <w:pStyle w:val="base-text-paragraph"/>
        <w:numPr>
          <w:ilvl w:val="1"/>
          <w:numId w:val="30"/>
        </w:numPr>
        <w:tabs>
          <w:tab w:val="clear" w:pos="2127"/>
          <w:tab w:val="num" w:pos="2552"/>
        </w:tabs>
        <w:ind w:left="1701"/>
        <w:rPr>
          <w:rFonts w:eastAsiaTheme="minorHAnsi"/>
          <w:szCs w:val="22"/>
          <w:lang w:eastAsia="en-US"/>
        </w:rPr>
      </w:pPr>
      <w:r w:rsidRPr="00D22E67">
        <w:rPr>
          <w:rFonts w:eastAsiaTheme="minorHAnsi"/>
          <w:szCs w:val="22"/>
          <w:lang w:eastAsia="en-US"/>
        </w:rPr>
        <w:t xml:space="preserve">The strict liability offences in this Bill meet all the conditions listed in the </w:t>
      </w:r>
      <w:r w:rsidRPr="009C0015">
        <w:rPr>
          <w:rFonts w:eastAsiaTheme="minorHAnsi"/>
          <w:i/>
          <w:szCs w:val="22"/>
          <w:lang w:eastAsia="en-US"/>
        </w:rPr>
        <w:t>Guide to Framing Commonwealth Offences</w:t>
      </w:r>
      <w:r w:rsidRPr="00D22E67">
        <w:rPr>
          <w:rFonts w:eastAsiaTheme="minorHAnsi"/>
          <w:szCs w:val="22"/>
          <w:lang w:eastAsia="en-US"/>
        </w:rPr>
        <w:t>. For example, the fines for the offences do not exceed 60 penalty units for an individual or 300 penalty units for a body corporate.</w:t>
      </w:r>
      <w:r>
        <w:rPr>
          <w:rFonts w:eastAsiaTheme="minorHAnsi"/>
          <w:szCs w:val="22"/>
          <w:lang w:eastAsia="en-US"/>
        </w:rPr>
        <w:t xml:space="preserve"> </w:t>
      </w:r>
      <w:r w:rsidRPr="003972B8">
        <w:rPr>
          <w:rFonts w:eastAsiaTheme="minorHAnsi"/>
          <w:szCs w:val="22"/>
          <w:lang w:eastAsia="en-US"/>
        </w:rPr>
        <w:t xml:space="preserve">The application of strict liability, as opposed to absolute liability, </w:t>
      </w:r>
      <w:r w:rsidRPr="003972B8">
        <w:rPr>
          <w:rFonts w:eastAsiaTheme="minorHAnsi"/>
          <w:szCs w:val="22"/>
          <w:lang w:eastAsia="en-US"/>
        </w:rPr>
        <w:lastRenderedPageBreak/>
        <w:t xml:space="preserve">preserves the defence of honest and reasonable mistake of fact to be proved by the accused on the balance of probabilities. This defence maintains adequate checks and balances for individuals who may be accused of breaching such offences. </w:t>
      </w:r>
    </w:p>
    <w:p w14:paraId="1E5522A0" w14:textId="77777777" w:rsidR="003972B8" w:rsidRPr="00D22E67" w:rsidRDefault="003972B8" w:rsidP="00972B74">
      <w:pPr>
        <w:pStyle w:val="base-text-paragraph"/>
        <w:numPr>
          <w:ilvl w:val="1"/>
          <w:numId w:val="30"/>
        </w:numPr>
        <w:tabs>
          <w:tab w:val="clear" w:pos="2127"/>
          <w:tab w:val="num" w:pos="2552"/>
        </w:tabs>
        <w:ind w:left="1701"/>
        <w:rPr>
          <w:szCs w:val="22"/>
        </w:rPr>
      </w:pPr>
      <w:r w:rsidRPr="00D22E67">
        <w:rPr>
          <w:rFonts w:eastAsiaTheme="minorHAnsi"/>
          <w:szCs w:val="22"/>
          <w:lang w:eastAsia="en-US"/>
        </w:rPr>
        <w:t>The civil penalty provisions contained in the Bill should not be considered ‘criminal’ for the purposes of human rights law. While a criminal penalty is deterrent or punitive, these provisions are regulatory and disciplinary. Further, the provisions do not apply to the general public, but to a sector or class of people who should reasonably be aware of t</w:t>
      </w:r>
      <w:r>
        <w:rPr>
          <w:rFonts w:eastAsiaTheme="minorHAnsi"/>
          <w:szCs w:val="22"/>
          <w:lang w:eastAsia="en-US"/>
        </w:rPr>
        <w:t>heir obligations under the CCA</w:t>
      </w:r>
      <w:r w:rsidRPr="00D22E67">
        <w:rPr>
          <w:rFonts w:eastAsiaTheme="minorHAnsi"/>
          <w:szCs w:val="22"/>
          <w:lang w:eastAsia="en-US"/>
        </w:rPr>
        <w:t xml:space="preserve"> (e.g. companies and small business owners). Imposing the civil penalties will enable an effective disciplinary response to non-compliance. Finally, the civil penalties are for small amounts, with no sanction of imprisonment for non-payment of the penalty.</w:t>
      </w:r>
    </w:p>
    <w:p w14:paraId="094F6E5B" w14:textId="13B8B938" w:rsidR="00F74764" w:rsidRPr="00F74764" w:rsidRDefault="00F74764" w:rsidP="00493BF2">
      <w:pPr>
        <w:pStyle w:val="base-text-paragraph"/>
        <w:numPr>
          <w:ilvl w:val="0"/>
          <w:numId w:val="0"/>
        </w:numPr>
        <w:ind w:left="414" w:firstLine="720"/>
        <w:rPr>
          <w:b/>
        </w:rPr>
      </w:pPr>
      <w:r w:rsidRPr="00F74764">
        <w:rPr>
          <w:b/>
        </w:rPr>
        <w:t>Enforcement and remedies</w:t>
      </w:r>
    </w:p>
    <w:p w14:paraId="5C3C60BF" w14:textId="28A9707E" w:rsidR="00F74764" w:rsidRPr="00177E01" w:rsidRDefault="00F74764" w:rsidP="00972B74">
      <w:pPr>
        <w:pStyle w:val="base-text-paragraph"/>
        <w:ind w:left="1701"/>
        <w:rPr>
          <w:rStyle w:val="Referencingstyle"/>
          <w:b w:val="0"/>
          <w:i w:val="0"/>
          <w:sz w:val="22"/>
        </w:rPr>
      </w:pPr>
      <w:r w:rsidRPr="00A76835">
        <w:rPr>
          <w:rFonts w:eastAsiaTheme="minorHAnsi"/>
          <w:lang w:eastAsia="en-US"/>
        </w:rPr>
        <w:t xml:space="preserve">The gift cards provision will sit in Chapter 3 of the ACL. The ACCC will have </w:t>
      </w:r>
      <w:r w:rsidR="0048437A" w:rsidRPr="00A76835">
        <w:rPr>
          <w:rFonts w:eastAsiaTheme="minorHAnsi"/>
          <w:lang w:eastAsia="en-US"/>
        </w:rPr>
        <w:t xml:space="preserve">access to a range of </w:t>
      </w:r>
      <w:r w:rsidRPr="00A76835">
        <w:rPr>
          <w:rFonts w:eastAsiaTheme="minorHAnsi"/>
          <w:lang w:eastAsia="en-US"/>
        </w:rPr>
        <w:t>remedies available to use to ensure any misconduct is addressed. For example</w:t>
      </w:r>
      <w:r w:rsidR="0048437A" w:rsidRPr="00A76835">
        <w:rPr>
          <w:rFonts w:eastAsiaTheme="minorHAnsi"/>
          <w:lang w:eastAsia="en-US"/>
        </w:rPr>
        <w:t>,</w:t>
      </w:r>
      <w:r w:rsidRPr="00A76835">
        <w:rPr>
          <w:rFonts w:eastAsiaTheme="minorHAnsi"/>
          <w:lang w:eastAsia="en-US"/>
        </w:rPr>
        <w:t xml:space="preserve"> the ACCC may issue an injunction order to stop a person from supplying </w:t>
      </w:r>
      <w:r w:rsidR="004D28AF" w:rsidRPr="00A76835">
        <w:rPr>
          <w:rFonts w:eastAsiaTheme="minorHAnsi"/>
          <w:lang w:eastAsia="en-US"/>
        </w:rPr>
        <w:t>gift cards</w:t>
      </w:r>
      <w:r w:rsidRPr="00A76835">
        <w:rPr>
          <w:rFonts w:eastAsiaTheme="minorHAnsi"/>
          <w:lang w:eastAsia="en-US"/>
        </w:rPr>
        <w:t xml:space="preserve"> for a specified time period. The ACCC can also apply to make an adverse publicity order, requiring a person to disclose certain information specified</w:t>
      </w:r>
      <w:r>
        <w:rPr>
          <w:rStyle w:val="Referencingstyle"/>
          <w:b w:val="0"/>
          <w:i w:val="0"/>
          <w:sz w:val="22"/>
        </w:rPr>
        <w:t xml:space="preserve"> by the order and for the person to disclose to the public.  </w:t>
      </w:r>
    </w:p>
    <w:p w14:paraId="44247865" w14:textId="6F40E709" w:rsidR="005736DD" w:rsidRDefault="00120B82" w:rsidP="00972B74">
      <w:pPr>
        <w:pStyle w:val="base-text-paragraph"/>
        <w:tabs>
          <w:tab w:val="clear" w:pos="2553"/>
          <w:tab w:val="num" w:pos="2552"/>
        </w:tabs>
        <w:ind w:left="1701"/>
      </w:pPr>
      <w:r>
        <w:t>In addition, t</w:t>
      </w:r>
      <w:r w:rsidR="00F74764">
        <w:t xml:space="preserve">he ACCC may issue an infringement notice if a person </w:t>
      </w:r>
      <w:r w:rsidR="005736DD">
        <w:t>provides a gift card:</w:t>
      </w:r>
    </w:p>
    <w:p w14:paraId="0909C6E3" w14:textId="2ACA0D36" w:rsidR="005736DD" w:rsidRDefault="005736DD" w:rsidP="00A22D51">
      <w:pPr>
        <w:pStyle w:val="dotpoint"/>
        <w:tabs>
          <w:tab w:val="num" w:pos="2552"/>
        </w:tabs>
        <w:ind w:left="2552"/>
      </w:pPr>
      <w:r>
        <w:t xml:space="preserve">without a </w:t>
      </w:r>
      <w:r w:rsidR="00F74764">
        <w:t>minimum three year expiry</w:t>
      </w:r>
      <w:r>
        <w:t xml:space="preserve"> period;</w:t>
      </w:r>
      <w:r w:rsidR="001C5B5C">
        <w:t xml:space="preserve"> </w:t>
      </w:r>
    </w:p>
    <w:p w14:paraId="34402DDB" w14:textId="24699075" w:rsidR="005736DD" w:rsidRDefault="005736DD" w:rsidP="00A22D51">
      <w:pPr>
        <w:pStyle w:val="dotpoint"/>
        <w:tabs>
          <w:tab w:val="num" w:pos="2552"/>
        </w:tabs>
        <w:ind w:left="2552"/>
      </w:pPr>
      <w:r>
        <w:t xml:space="preserve">that </w:t>
      </w:r>
      <w:r w:rsidR="001C5B5C">
        <w:t xml:space="preserve">does not prominently set out </w:t>
      </w:r>
      <w:r>
        <w:t>the</w:t>
      </w:r>
      <w:r w:rsidR="001C5B5C">
        <w:t xml:space="preserve"> expiry date</w:t>
      </w:r>
      <w:r>
        <w:t>;</w:t>
      </w:r>
      <w:r w:rsidR="00F74764">
        <w:t xml:space="preserve"> </w:t>
      </w:r>
    </w:p>
    <w:p w14:paraId="402D4E99" w14:textId="00D7A90E" w:rsidR="005736DD" w:rsidRDefault="00F74764" w:rsidP="00A22D51">
      <w:pPr>
        <w:pStyle w:val="dotpoint"/>
        <w:tabs>
          <w:tab w:val="num" w:pos="2552"/>
        </w:tabs>
        <w:ind w:left="2552"/>
      </w:pPr>
      <w:r>
        <w:t>charges a post-</w:t>
      </w:r>
      <w:r w:rsidR="00524E66">
        <w:t xml:space="preserve">supply </w:t>
      </w:r>
      <w:r>
        <w:t>fee</w:t>
      </w:r>
      <w:r w:rsidR="005736DD">
        <w:t>;</w:t>
      </w:r>
      <w:r w:rsidR="005736DD" w:rsidRPr="005736DD">
        <w:t xml:space="preserve"> </w:t>
      </w:r>
      <w:r w:rsidR="005736DD">
        <w:t>or</w:t>
      </w:r>
    </w:p>
    <w:p w14:paraId="024D0D26" w14:textId="6C7D3BAD" w:rsidR="005736DD" w:rsidRDefault="005736DD" w:rsidP="00A22D51">
      <w:pPr>
        <w:pStyle w:val="dotpoint"/>
        <w:tabs>
          <w:tab w:val="num" w:pos="2552"/>
        </w:tabs>
        <w:ind w:left="2552"/>
      </w:pPr>
      <w:r>
        <w:t xml:space="preserve">with </w:t>
      </w:r>
      <w:r w:rsidR="00365D2B">
        <w:t xml:space="preserve">prohibited </w:t>
      </w:r>
      <w:r>
        <w:t>term and conditions</w:t>
      </w:r>
      <w:r w:rsidR="00F74764" w:rsidDel="005736DD">
        <w:t>.</w:t>
      </w:r>
      <w:r w:rsidR="00F74764">
        <w:t xml:space="preserve"> </w:t>
      </w:r>
    </w:p>
    <w:p w14:paraId="7A126CA0" w14:textId="2078E42F" w:rsidR="00365D2B" w:rsidRDefault="00365D2B" w:rsidP="00A22D51">
      <w:pPr>
        <w:pStyle w:val="dotpoint"/>
        <w:numPr>
          <w:ilvl w:val="0"/>
          <w:numId w:val="0"/>
        </w:numPr>
        <w:tabs>
          <w:tab w:val="num" w:pos="2552"/>
        </w:tabs>
        <w:ind w:left="1701"/>
      </w:pPr>
      <w:r>
        <w:rPr>
          <w:rStyle w:val="Referencingstyle"/>
        </w:rPr>
        <w:t>[Schedule 1, item 2, after paragraph 134A(2)(e) of the CCA]</w:t>
      </w:r>
    </w:p>
    <w:p w14:paraId="3F07D758" w14:textId="4B2195CC" w:rsidR="00F74764" w:rsidRPr="00C80E7E" w:rsidRDefault="00F74764" w:rsidP="00A22D51">
      <w:pPr>
        <w:pStyle w:val="base-text-paragraph"/>
        <w:ind w:left="1701"/>
        <w:rPr>
          <w:rStyle w:val="Referencingstyle"/>
          <w:b w:val="0"/>
          <w:i w:val="0"/>
          <w:sz w:val="22"/>
        </w:rPr>
      </w:pPr>
      <w:r>
        <w:t xml:space="preserve">The penalty for contravening this provision for a body corporate is 55 penalty units (currently $11,500) and for an individual 11 penalty units (currently $2,420). </w:t>
      </w:r>
      <w:r>
        <w:rPr>
          <w:rStyle w:val="Referencingstyle"/>
        </w:rPr>
        <w:t xml:space="preserve">[Schedule </w:t>
      </w:r>
      <w:r w:rsidR="008F49CB">
        <w:rPr>
          <w:rStyle w:val="Referencingstyle"/>
        </w:rPr>
        <w:t>1</w:t>
      </w:r>
      <w:r>
        <w:rPr>
          <w:rStyle w:val="Referencingstyle"/>
        </w:rPr>
        <w:t>, item 3, section 134C</w:t>
      </w:r>
      <w:r w:rsidR="00E53944">
        <w:rPr>
          <w:rStyle w:val="Referencingstyle"/>
        </w:rPr>
        <w:t xml:space="preserve"> </w:t>
      </w:r>
      <w:r>
        <w:rPr>
          <w:rStyle w:val="Referencingstyle"/>
        </w:rPr>
        <w:t xml:space="preserve">(after table item 6) of the CCA] </w:t>
      </w:r>
    </w:p>
    <w:p w14:paraId="3E78BB65" w14:textId="51652312" w:rsidR="00B17774" w:rsidRDefault="00B17774" w:rsidP="00B17774">
      <w:pPr>
        <w:pStyle w:val="Heading2"/>
      </w:pPr>
      <w:r>
        <w:t>Application and transitional provisions</w:t>
      </w:r>
    </w:p>
    <w:p w14:paraId="38B9DFFE" w14:textId="3063EBB2" w:rsidR="00DF631D" w:rsidRDefault="004539A0" w:rsidP="004539A0">
      <w:pPr>
        <w:pStyle w:val="base-text-paragraph"/>
      </w:pPr>
      <w:r>
        <w:t xml:space="preserve">The </w:t>
      </w:r>
      <w:r w:rsidR="00400BD6">
        <w:t xml:space="preserve">amendments </w:t>
      </w:r>
      <w:r>
        <w:t xml:space="preserve">apply to gift </w:t>
      </w:r>
      <w:r w:rsidR="001D4432">
        <w:t xml:space="preserve">cards supplied on or after </w:t>
      </w:r>
      <w:r w:rsidR="00410BD7">
        <w:t>1 </w:t>
      </w:r>
      <w:r w:rsidR="001D4432">
        <w:t>November 2019</w:t>
      </w:r>
      <w:r w:rsidR="00023E38">
        <w:t xml:space="preserve">. </w:t>
      </w:r>
    </w:p>
    <w:p w14:paraId="4DD2E5FE" w14:textId="34800CC8" w:rsidR="00DF631D" w:rsidRDefault="00023E38" w:rsidP="001438D3">
      <w:pPr>
        <w:pStyle w:val="base-text-paragraph"/>
      </w:pPr>
      <w:bookmarkStart w:id="5" w:name="_GoBack"/>
      <w:bookmarkEnd w:id="5"/>
      <w:r>
        <w:t>This provides industry with sufficient time to adjust</w:t>
      </w:r>
      <w:r w:rsidR="00944236">
        <w:t xml:space="preserve"> while </w:t>
      </w:r>
      <w:r w:rsidR="001107A9">
        <w:t>also</w:t>
      </w:r>
      <w:r w:rsidR="00683EA2">
        <w:t xml:space="preserve"> </w:t>
      </w:r>
      <w:r w:rsidR="00944236">
        <w:t>introduc</w:t>
      </w:r>
      <w:r w:rsidR="001107A9">
        <w:t>ing</w:t>
      </w:r>
      <w:r w:rsidR="00944236">
        <w:t xml:space="preserve"> important protections for consumers in time for the 2019 Christmas period.</w:t>
      </w: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D7246" w14:textId="77777777" w:rsidR="001438D3" w:rsidRDefault="001438D3" w:rsidP="00E679CA">
      <w:pPr>
        <w:spacing w:before="0" w:after="0"/>
      </w:pPr>
      <w:r>
        <w:separator/>
      </w:r>
    </w:p>
  </w:endnote>
  <w:endnote w:type="continuationSeparator" w:id="0">
    <w:p w14:paraId="7C93BEF4" w14:textId="77777777" w:rsidR="001438D3" w:rsidRDefault="001438D3" w:rsidP="00E679CA">
      <w:pPr>
        <w:spacing w:before="0" w:after="0"/>
      </w:pPr>
      <w:r>
        <w:continuationSeparator/>
      </w:r>
    </w:p>
  </w:endnote>
  <w:endnote w:type="continuationNotice" w:id="1">
    <w:p w14:paraId="7C75D268" w14:textId="77777777" w:rsidR="001438D3" w:rsidRDefault="001438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3211" w14:textId="77777777" w:rsidR="001438D3" w:rsidRDefault="001438D3" w:rsidP="00A5734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8AA23" w14:textId="77777777" w:rsidR="001438D3" w:rsidRDefault="001438D3" w:rsidP="00A57349">
    <w:pPr>
      <w:pStyle w:val="rightfooter"/>
    </w:pPr>
    <w:r>
      <w:fldChar w:fldCharType="begin"/>
    </w:r>
    <w:r>
      <w:instrText xml:space="preserve"> PAGE   \* MERGEFORMAT </w:instrText>
    </w:r>
    <w:r>
      <w:fldChar w:fldCharType="separate"/>
    </w:r>
    <w:r w:rsidR="0015128F">
      <w:rPr>
        <w:noProof/>
      </w:rPr>
      <w:t>10</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5863B" w14:textId="77777777" w:rsidR="001438D3" w:rsidRDefault="001438D3" w:rsidP="00A57349">
    <w:pPr>
      <w:pStyle w:val="rightfooter"/>
    </w:pPr>
    <w:r>
      <w:fldChar w:fldCharType="begin"/>
    </w:r>
    <w:r>
      <w:instrText xml:space="preserve"> PAGE  \* Arabic  \* MERGEFORMAT </w:instrText>
    </w:r>
    <w:r>
      <w:fldChar w:fldCharType="separate"/>
    </w:r>
    <w:r w:rsidR="0015128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4BD40" w14:textId="77777777" w:rsidR="001438D3" w:rsidRDefault="001438D3" w:rsidP="00A5734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38873" w14:textId="77777777" w:rsidR="001438D3" w:rsidRDefault="001438D3" w:rsidP="00A5734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8D039" w14:textId="77777777" w:rsidR="001438D3" w:rsidRDefault="001438D3" w:rsidP="00A5734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42160" w14:textId="77777777" w:rsidR="001438D3" w:rsidRPr="00B2068E" w:rsidRDefault="001438D3" w:rsidP="00A5734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4DEAD" w14:textId="77777777" w:rsidR="001438D3" w:rsidRDefault="001438D3" w:rsidP="00A5734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6E0CD" w14:textId="77777777" w:rsidR="001438D3" w:rsidRDefault="001438D3" w:rsidP="00A57349">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A232" w14:textId="77777777" w:rsidR="001438D3" w:rsidRDefault="001438D3" w:rsidP="00A57349">
    <w:pPr>
      <w:pStyle w:val="rightfooter"/>
    </w:pPr>
    <w:r>
      <w:fldChar w:fldCharType="begin"/>
    </w:r>
    <w:r>
      <w:instrText xml:space="preserve"> PAGE  \* Arabic  \* MERGEFORMAT </w:instrText>
    </w:r>
    <w:r>
      <w:fldChar w:fldCharType="separate"/>
    </w:r>
    <w:r w:rsidR="0015128F">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C44A5" w14:textId="77777777" w:rsidR="001438D3" w:rsidRDefault="001438D3" w:rsidP="00A57349">
    <w:pPr>
      <w:pStyle w:val="leftfooter"/>
    </w:pPr>
    <w:r>
      <w:fldChar w:fldCharType="begin"/>
    </w:r>
    <w:r>
      <w:instrText xml:space="preserve"> PAGE   \* MERGEFORMAT </w:instrText>
    </w:r>
    <w:r>
      <w:fldChar w:fldCharType="separate"/>
    </w:r>
    <w:r w:rsidR="0015128F">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8752D" w14:textId="77777777" w:rsidR="001438D3" w:rsidRDefault="001438D3" w:rsidP="00E679CA">
      <w:pPr>
        <w:spacing w:before="0" w:after="0"/>
      </w:pPr>
      <w:r>
        <w:separator/>
      </w:r>
    </w:p>
  </w:footnote>
  <w:footnote w:type="continuationSeparator" w:id="0">
    <w:p w14:paraId="6575418C" w14:textId="77777777" w:rsidR="001438D3" w:rsidRDefault="001438D3" w:rsidP="00E679CA">
      <w:pPr>
        <w:spacing w:before="0" w:after="0"/>
      </w:pPr>
      <w:r>
        <w:continuationSeparator/>
      </w:r>
    </w:p>
  </w:footnote>
  <w:footnote w:type="continuationNotice" w:id="1">
    <w:p w14:paraId="39BC5ABD" w14:textId="77777777" w:rsidR="001438D3" w:rsidRDefault="001438D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2CC5" w14:textId="77777777" w:rsidR="001438D3" w:rsidRDefault="001438D3" w:rsidP="00A5734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69CAC" w14:textId="77777777" w:rsidR="001438D3" w:rsidRDefault="001438D3" w:rsidP="00A5734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8A84" w14:textId="73F8624E" w:rsidR="001438D3" w:rsidRDefault="001438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D9819" w14:textId="77777777" w:rsidR="001438D3" w:rsidRDefault="001438D3" w:rsidP="00A57349">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542F8" w14:textId="77777777" w:rsidR="001438D3" w:rsidRDefault="001438D3" w:rsidP="00A57349">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42C8" w14:textId="77777777" w:rsidR="001438D3" w:rsidRDefault="001438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F21E" w14:textId="3FB164AA" w:rsidR="001438D3" w:rsidRPr="00422FA2" w:rsidRDefault="001438D3" w:rsidP="00422FA2">
    <w:pPr>
      <w:pStyle w:val="leftheader"/>
    </w:pPr>
    <w:fldSimple w:instr=" STYLEREF  &quot;Bill Name&quot;  \* MERGEFORMAT ">
      <w:r w:rsidR="0015128F">
        <w:rPr>
          <w:noProof/>
        </w:rPr>
        <w:t>Competition and Consumer Amendment (Gift Cards)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1D5CD" w14:textId="77777777" w:rsidR="001438D3" w:rsidRDefault="001438D3" w:rsidP="00A57349">
    <w:pPr>
      <w:pStyle w:val="rightheader"/>
    </w:pPr>
    <w:fldSimple w:instr=" STYLEREF  &quot;ChapterNameOnly&quot;  \* MERGEFORMAT ">
      <w:r w:rsidR="0015128F">
        <w:rPr>
          <w:noProof/>
        </w:rPr>
        <w:t>Gift Card Reforms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182B36"/>
    <w:multiLevelType w:val="hybridMultilevel"/>
    <w:tmpl w:val="34FE3F4A"/>
    <w:lvl w:ilvl="0" w:tplc="6D748420">
      <w:start w:val="1"/>
      <w:numFmt w:val="decimal"/>
      <w:pStyle w:val="Numbered"/>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31E1F07"/>
    <w:multiLevelType w:val="multilevel"/>
    <w:tmpl w:val="D7D22898"/>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5DF6494"/>
    <w:multiLevelType w:val="multilevel"/>
    <w:tmpl w:val="A316FE50"/>
    <w:numStyleLink w:val="ChapterList"/>
  </w:abstractNum>
  <w:abstractNum w:abstractNumId="21">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1"/>
  </w:num>
  <w:num w:numId="3">
    <w:abstractNumId w:val="22"/>
  </w:num>
  <w:num w:numId="4">
    <w:abstractNumId w:val="15"/>
  </w:num>
  <w:num w:numId="5">
    <w:abstractNumId w:val="16"/>
  </w:num>
  <w:num w:numId="6">
    <w:abstractNumId w:val="17"/>
  </w:num>
  <w:num w:numId="7">
    <w:abstractNumId w:val="17"/>
  </w:num>
  <w:num w:numId="8">
    <w:abstractNumId w:val="19"/>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553"/>
          </w:tabs>
          <w:ind w:left="1702"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1"/>
  </w:num>
  <w:num w:numId="23">
    <w:abstractNumId w:val="10"/>
  </w:num>
  <w:num w:numId="24">
    <w:abstractNumId w:val="18"/>
  </w:num>
  <w:num w:numId="25">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127"/>
          </w:tabs>
          <w:ind w:left="1276"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553"/>
          </w:tabs>
          <w:ind w:left="1702"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trackRevisions/>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13"/>
    <w:rsid w:val="000025D0"/>
    <w:rsid w:val="00014DCC"/>
    <w:rsid w:val="0002054A"/>
    <w:rsid w:val="00023E38"/>
    <w:rsid w:val="000308A2"/>
    <w:rsid w:val="00030A40"/>
    <w:rsid w:val="00045968"/>
    <w:rsid w:val="0006064D"/>
    <w:rsid w:val="0007240F"/>
    <w:rsid w:val="00075D3F"/>
    <w:rsid w:val="00086E51"/>
    <w:rsid w:val="00090E96"/>
    <w:rsid w:val="000A3029"/>
    <w:rsid w:val="000B1C72"/>
    <w:rsid w:val="000C2A9D"/>
    <w:rsid w:val="000C44D7"/>
    <w:rsid w:val="000C4876"/>
    <w:rsid w:val="000C71F6"/>
    <w:rsid w:val="000D04A2"/>
    <w:rsid w:val="000D155A"/>
    <w:rsid w:val="000D2F83"/>
    <w:rsid w:val="000D2F90"/>
    <w:rsid w:val="000D54FE"/>
    <w:rsid w:val="000E147E"/>
    <w:rsid w:val="000E4B50"/>
    <w:rsid w:val="000E75EA"/>
    <w:rsid w:val="000F54A5"/>
    <w:rsid w:val="000F65EC"/>
    <w:rsid w:val="0010317E"/>
    <w:rsid w:val="001075BD"/>
    <w:rsid w:val="00107A5E"/>
    <w:rsid w:val="001107A9"/>
    <w:rsid w:val="00117BB4"/>
    <w:rsid w:val="00120B82"/>
    <w:rsid w:val="001231AF"/>
    <w:rsid w:val="00123B9E"/>
    <w:rsid w:val="00127BE8"/>
    <w:rsid w:val="00134C1C"/>
    <w:rsid w:val="00137812"/>
    <w:rsid w:val="001438D3"/>
    <w:rsid w:val="00143CFC"/>
    <w:rsid w:val="0015128F"/>
    <w:rsid w:val="001618E3"/>
    <w:rsid w:val="001753F4"/>
    <w:rsid w:val="001772F7"/>
    <w:rsid w:val="00177E01"/>
    <w:rsid w:val="00183650"/>
    <w:rsid w:val="001839F5"/>
    <w:rsid w:val="001929F4"/>
    <w:rsid w:val="00194A96"/>
    <w:rsid w:val="00197F11"/>
    <w:rsid w:val="001A4164"/>
    <w:rsid w:val="001B0FDC"/>
    <w:rsid w:val="001B4D87"/>
    <w:rsid w:val="001B7449"/>
    <w:rsid w:val="001C10CB"/>
    <w:rsid w:val="001C1751"/>
    <w:rsid w:val="001C58D4"/>
    <w:rsid w:val="001C5B5C"/>
    <w:rsid w:val="001C5E52"/>
    <w:rsid w:val="001D4432"/>
    <w:rsid w:val="001E0743"/>
    <w:rsid w:val="001E0C1D"/>
    <w:rsid w:val="00203021"/>
    <w:rsid w:val="002211EC"/>
    <w:rsid w:val="00242500"/>
    <w:rsid w:val="00247AFD"/>
    <w:rsid w:val="00251F4F"/>
    <w:rsid w:val="00266536"/>
    <w:rsid w:val="00272E2A"/>
    <w:rsid w:val="002735F9"/>
    <w:rsid w:val="0028232D"/>
    <w:rsid w:val="00285510"/>
    <w:rsid w:val="00295ABD"/>
    <w:rsid w:val="00297A37"/>
    <w:rsid w:val="002A4203"/>
    <w:rsid w:val="002A5AB6"/>
    <w:rsid w:val="002A6509"/>
    <w:rsid w:val="002B3067"/>
    <w:rsid w:val="002B5DCA"/>
    <w:rsid w:val="002D0B7C"/>
    <w:rsid w:val="002D38AB"/>
    <w:rsid w:val="002D4FA5"/>
    <w:rsid w:val="002E1716"/>
    <w:rsid w:val="002E3D72"/>
    <w:rsid w:val="002F070C"/>
    <w:rsid w:val="002F0D2B"/>
    <w:rsid w:val="002F5853"/>
    <w:rsid w:val="00301A15"/>
    <w:rsid w:val="00307165"/>
    <w:rsid w:val="00316A30"/>
    <w:rsid w:val="003175C6"/>
    <w:rsid w:val="003218E5"/>
    <w:rsid w:val="00323EA0"/>
    <w:rsid w:val="0033022A"/>
    <w:rsid w:val="00335786"/>
    <w:rsid w:val="00350B62"/>
    <w:rsid w:val="00365D2B"/>
    <w:rsid w:val="0036779C"/>
    <w:rsid w:val="00371254"/>
    <w:rsid w:val="00371FF2"/>
    <w:rsid w:val="00375E1D"/>
    <w:rsid w:val="00375F1D"/>
    <w:rsid w:val="003823E5"/>
    <w:rsid w:val="00394677"/>
    <w:rsid w:val="003972B8"/>
    <w:rsid w:val="003A54D6"/>
    <w:rsid w:val="003A5823"/>
    <w:rsid w:val="003A657F"/>
    <w:rsid w:val="003B015D"/>
    <w:rsid w:val="003B6B47"/>
    <w:rsid w:val="003B77F0"/>
    <w:rsid w:val="003C5C5A"/>
    <w:rsid w:val="003C60EE"/>
    <w:rsid w:val="003D1CB7"/>
    <w:rsid w:val="003D4F69"/>
    <w:rsid w:val="003E22D2"/>
    <w:rsid w:val="003E5AB0"/>
    <w:rsid w:val="003E7581"/>
    <w:rsid w:val="003E79C1"/>
    <w:rsid w:val="003E7AB0"/>
    <w:rsid w:val="00400BD6"/>
    <w:rsid w:val="00402369"/>
    <w:rsid w:val="00405AEB"/>
    <w:rsid w:val="00405C1F"/>
    <w:rsid w:val="004100BA"/>
    <w:rsid w:val="00410B6E"/>
    <w:rsid w:val="00410BD7"/>
    <w:rsid w:val="00411D94"/>
    <w:rsid w:val="00412387"/>
    <w:rsid w:val="00417F4A"/>
    <w:rsid w:val="004203C1"/>
    <w:rsid w:val="00422FA2"/>
    <w:rsid w:val="0043306F"/>
    <w:rsid w:val="00452141"/>
    <w:rsid w:val="00452B9E"/>
    <w:rsid w:val="004539A0"/>
    <w:rsid w:val="004600B7"/>
    <w:rsid w:val="00467FD7"/>
    <w:rsid w:val="00480665"/>
    <w:rsid w:val="0048437A"/>
    <w:rsid w:val="00493BF2"/>
    <w:rsid w:val="004A058A"/>
    <w:rsid w:val="004A2E27"/>
    <w:rsid w:val="004B0285"/>
    <w:rsid w:val="004B63A1"/>
    <w:rsid w:val="004C1CAD"/>
    <w:rsid w:val="004D28AF"/>
    <w:rsid w:val="004D4D26"/>
    <w:rsid w:val="004F237E"/>
    <w:rsid w:val="004F3C00"/>
    <w:rsid w:val="004F7058"/>
    <w:rsid w:val="005014FA"/>
    <w:rsid w:val="00502D47"/>
    <w:rsid w:val="005121E9"/>
    <w:rsid w:val="0051393B"/>
    <w:rsid w:val="00516FBB"/>
    <w:rsid w:val="00524E66"/>
    <w:rsid w:val="00535F17"/>
    <w:rsid w:val="005428B7"/>
    <w:rsid w:val="0055086F"/>
    <w:rsid w:val="005509BC"/>
    <w:rsid w:val="00551665"/>
    <w:rsid w:val="00555F86"/>
    <w:rsid w:val="00560D15"/>
    <w:rsid w:val="00562D8B"/>
    <w:rsid w:val="00567602"/>
    <w:rsid w:val="005736DD"/>
    <w:rsid w:val="00574CA0"/>
    <w:rsid w:val="005A1822"/>
    <w:rsid w:val="005A4109"/>
    <w:rsid w:val="005A496E"/>
    <w:rsid w:val="005D0EF0"/>
    <w:rsid w:val="005D4BD0"/>
    <w:rsid w:val="005E100E"/>
    <w:rsid w:val="005E3647"/>
    <w:rsid w:val="005E3936"/>
    <w:rsid w:val="005E6242"/>
    <w:rsid w:val="005F5802"/>
    <w:rsid w:val="00601F22"/>
    <w:rsid w:val="00606AFF"/>
    <w:rsid w:val="00613F53"/>
    <w:rsid w:val="006168B0"/>
    <w:rsid w:val="0063127E"/>
    <w:rsid w:val="00645386"/>
    <w:rsid w:val="006555AE"/>
    <w:rsid w:val="00655DD9"/>
    <w:rsid w:val="00663952"/>
    <w:rsid w:val="00670A85"/>
    <w:rsid w:val="00683CE7"/>
    <w:rsid w:val="00683EA2"/>
    <w:rsid w:val="006845FE"/>
    <w:rsid w:val="0069494D"/>
    <w:rsid w:val="00696BA0"/>
    <w:rsid w:val="006A05D6"/>
    <w:rsid w:val="006A72CB"/>
    <w:rsid w:val="006C29EA"/>
    <w:rsid w:val="006C4410"/>
    <w:rsid w:val="006D00C4"/>
    <w:rsid w:val="006E00DA"/>
    <w:rsid w:val="006F233D"/>
    <w:rsid w:val="006F5EF4"/>
    <w:rsid w:val="00701688"/>
    <w:rsid w:val="0070666B"/>
    <w:rsid w:val="00706CE0"/>
    <w:rsid w:val="007070BD"/>
    <w:rsid w:val="00713C13"/>
    <w:rsid w:val="00716F21"/>
    <w:rsid w:val="00721095"/>
    <w:rsid w:val="00734F84"/>
    <w:rsid w:val="00747A03"/>
    <w:rsid w:val="00764744"/>
    <w:rsid w:val="00770A61"/>
    <w:rsid w:val="00773B68"/>
    <w:rsid w:val="007746F9"/>
    <w:rsid w:val="00776019"/>
    <w:rsid w:val="007832C3"/>
    <w:rsid w:val="00795A45"/>
    <w:rsid w:val="00796E8C"/>
    <w:rsid w:val="007A40FD"/>
    <w:rsid w:val="007A78C2"/>
    <w:rsid w:val="007B1A9B"/>
    <w:rsid w:val="007B2613"/>
    <w:rsid w:val="007B3E97"/>
    <w:rsid w:val="007C2588"/>
    <w:rsid w:val="007C2B20"/>
    <w:rsid w:val="007E15D0"/>
    <w:rsid w:val="007F08A9"/>
    <w:rsid w:val="007F4CDB"/>
    <w:rsid w:val="007F603F"/>
    <w:rsid w:val="00803DE4"/>
    <w:rsid w:val="00812E38"/>
    <w:rsid w:val="00813A51"/>
    <w:rsid w:val="00821B57"/>
    <w:rsid w:val="00830A83"/>
    <w:rsid w:val="0083716B"/>
    <w:rsid w:val="00840701"/>
    <w:rsid w:val="0084223D"/>
    <w:rsid w:val="00842F36"/>
    <w:rsid w:val="008457CA"/>
    <w:rsid w:val="0084756D"/>
    <w:rsid w:val="00853A54"/>
    <w:rsid w:val="00863591"/>
    <w:rsid w:val="0086388F"/>
    <w:rsid w:val="008769D3"/>
    <w:rsid w:val="00891F38"/>
    <w:rsid w:val="008923BF"/>
    <w:rsid w:val="008B48AE"/>
    <w:rsid w:val="008C0904"/>
    <w:rsid w:val="008C75D1"/>
    <w:rsid w:val="008C7B76"/>
    <w:rsid w:val="008D0A8B"/>
    <w:rsid w:val="008D4F94"/>
    <w:rsid w:val="008D78FA"/>
    <w:rsid w:val="008E31C6"/>
    <w:rsid w:val="008E6E38"/>
    <w:rsid w:val="008F49CB"/>
    <w:rsid w:val="008F6440"/>
    <w:rsid w:val="00902FC2"/>
    <w:rsid w:val="009072C2"/>
    <w:rsid w:val="00914CCB"/>
    <w:rsid w:val="0091575C"/>
    <w:rsid w:val="00927697"/>
    <w:rsid w:val="0093135C"/>
    <w:rsid w:val="00933539"/>
    <w:rsid w:val="0093363A"/>
    <w:rsid w:val="00942C7E"/>
    <w:rsid w:val="00944236"/>
    <w:rsid w:val="00946B26"/>
    <w:rsid w:val="00952128"/>
    <w:rsid w:val="009576F9"/>
    <w:rsid w:val="00957CAB"/>
    <w:rsid w:val="00966AED"/>
    <w:rsid w:val="00967688"/>
    <w:rsid w:val="00967FC9"/>
    <w:rsid w:val="00972B74"/>
    <w:rsid w:val="00972C11"/>
    <w:rsid w:val="009734D8"/>
    <w:rsid w:val="009749C3"/>
    <w:rsid w:val="009758A8"/>
    <w:rsid w:val="009770C9"/>
    <w:rsid w:val="0098134F"/>
    <w:rsid w:val="00987DEF"/>
    <w:rsid w:val="00995122"/>
    <w:rsid w:val="009958C6"/>
    <w:rsid w:val="009B5E73"/>
    <w:rsid w:val="009C060D"/>
    <w:rsid w:val="009C2FC2"/>
    <w:rsid w:val="009D1122"/>
    <w:rsid w:val="009D7ECD"/>
    <w:rsid w:val="009E4F5C"/>
    <w:rsid w:val="009F3AE1"/>
    <w:rsid w:val="009F4C70"/>
    <w:rsid w:val="009F4F4F"/>
    <w:rsid w:val="00A04AB6"/>
    <w:rsid w:val="00A0653F"/>
    <w:rsid w:val="00A06F89"/>
    <w:rsid w:val="00A07FEE"/>
    <w:rsid w:val="00A21437"/>
    <w:rsid w:val="00A22D51"/>
    <w:rsid w:val="00A22F82"/>
    <w:rsid w:val="00A2308B"/>
    <w:rsid w:val="00A24EDB"/>
    <w:rsid w:val="00A26808"/>
    <w:rsid w:val="00A31D64"/>
    <w:rsid w:val="00A40252"/>
    <w:rsid w:val="00A41EDC"/>
    <w:rsid w:val="00A513AA"/>
    <w:rsid w:val="00A57349"/>
    <w:rsid w:val="00A603AE"/>
    <w:rsid w:val="00A60BB0"/>
    <w:rsid w:val="00A63E0F"/>
    <w:rsid w:val="00A67E72"/>
    <w:rsid w:val="00A71603"/>
    <w:rsid w:val="00A741AF"/>
    <w:rsid w:val="00A75FAC"/>
    <w:rsid w:val="00A76835"/>
    <w:rsid w:val="00A823DB"/>
    <w:rsid w:val="00A90C7B"/>
    <w:rsid w:val="00A916C2"/>
    <w:rsid w:val="00A951F6"/>
    <w:rsid w:val="00A9575C"/>
    <w:rsid w:val="00AA6F43"/>
    <w:rsid w:val="00AA78DB"/>
    <w:rsid w:val="00AB798E"/>
    <w:rsid w:val="00AC4D15"/>
    <w:rsid w:val="00AD5B62"/>
    <w:rsid w:val="00AD5F50"/>
    <w:rsid w:val="00AF1855"/>
    <w:rsid w:val="00AF6C55"/>
    <w:rsid w:val="00B040B3"/>
    <w:rsid w:val="00B04552"/>
    <w:rsid w:val="00B106C7"/>
    <w:rsid w:val="00B10EF7"/>
    <w:rsid w:val="00B15FB4"/>
    <w:rsid w:val="00B17774"/>
    <w:rsid w:val="00B23209"/>
    <w:rsid w:val="00B24BC1"/>
    <w:rsid w:val="00B2699C"/>
    <w:rsid w:val="00B3230B"/>
    <w:rsid w:val="00B72D1F"/>
    <w:rsid w:val="00B85309"/>
    <w:rsid w:val="00BA232B"/>
    <w:rsid w:val="00BA39BF"/>
    <w:rsid w:val="00BA67C8"/>
    <w:rsid w:val="00BB72FC"/>
    <w:rsid w:val="00BC184C"/>
    <w:rsid w:val="00BE27C2"/>
    <w:rsid w:val="00BF5732"/>
    <w:rsid w:val="00C071FD"/>
    <w:rsid w:val="00C1551F"/>
    <w:rsid w:val="00C223CE"/>
    <w:rsid w:val="00C25A75"/>
    <w:rsid w:val="00C5436A"/>
    <w:rsid w:val="00C57486"/>
    <w:rsid w:val="00C6272B"/>
    <w:rsid w:val="00C66C19"/>
    <w:rsid w:val="00C743D3"/>
    <w:rsid w:val="00C800C3"/>
    <w:rsid w:val="00C808D8"/>
    <w:rsid w:val="00C80AD5"/>
    <w:rsid w:val="00C80E7E"/>
    <w:rsid w:val="00C83EC4"/>
    <w:rsid w:val="00C866F2"/>
    <w:rsid w:val="00C873B4"/>
    <w:rsid w:val="00C94B92"/>
    <w:rsid w:val="00CA2B03"/>
    <w:rsid w:val="00CA5523"/>
    <w:rsid w:val="00CA572C"/>
    <w:rsid w:val="00CB3E74"/>
    <w:rsid w:val="00CC41B8"/>
    <w:rsid w:val="00CD1112"/>
    <w:rsid w:val="00CF4C92"/>
    <w:rsid w:val="00D16BA5"/>
    <w:rsid w:val="00D20822"/>
    <w:rsid w:val="00D30FEF"/>
    <w:rsid w:val="00D41ECA"/>
    <w:rsid w:val="00D46961"/>
    <w:rsid w:val="00D66CF5"/>
    <w:rsid w:val="00D67608"/>
    <w:rsid w:val="00D7066D"/>
    <w:rsid w:val="00D70F04"/>
    <w:rsid w:val="00D71AAC"/>
    <w:rsid w:val="00D7327E"/>
    <w:rsid w:val="00D740D0"/>
    <w:rsid w:val="00D763E1"/>
    <w:rsid w:val="00D7686A"/>
    <w:rsid w:val="00D83206"/>
    <w:rsid w:val="00D9215F"/>
    <w:rsid w:val="00DA03F9"/>
    <w:rsid w:val="00DA2BED"/>
    <w:rsid w:val="00DA41F9"/>
    <w:rsid w:val="00DC016A"/>
    <w:rsid w:val="00DC64FD"/>
    <w:rsid w:val="00DE209B"/>
    <w:rsid w:val="00DE3399"/>
    <w:rsid w:val="00DE55C2"/>
    <w:rsid w:val="00DE6337"/>
    <w:rsid w:val="00DF631D"/>
    <w:rsid w:val="00E20915"/>
    <w:rsid w:val="00E20D2E"/>
    <w:rsid w:val="00E27246"/>
    <w:rsid w:val="00E466DF"/>
    <w:rsid w:val="00E533E8"/>
    <w:rsid w:val="00E5385B"/>
    <w:rsid w:val="00E53944"/>
    <w:rsid w:val="00E54B36"/>
    <w:rsid w:val="00E56A6F"/>
    <w:rsid w:val="00E633F9"/>
    <w:rsid w:val="00E679CA"/>
    <w:rsid w:val="00E74E50"/>
    <w:rsid w:val="00E74F2B"/>
    <w:rsid w:val="00E802AC"/>
    <w:rsid w:val="00EA5BB7"/>
    <w:rsid w:val="00EB0FCB"/>
    <w:rsid w:val="00EC0F5E"/>
    <w:rsid w:val="00EC7050"/>
    <w:rsid w:val="00ED259C"/>
    <w:rsid w:val="00ED2A95"/>
    <w:rsid w:val="00EE2692"/>
    <w:rsid w:val="00EE30CA"/>
    <w:rsid w:val="00F01501"/>
    <w:rsid w:val="00F051F8"/>
    <w:rsid w:val="00F1280D"/>
    <w:rsid w:val="00F14EA1"/>
    <w:rsid w:val="00F17CA9"/>
    <w:rsid w:val="00F25E61"/>
    <w:rsid w:val="00F305FA"/>
    <w:rsid w:val="00F34249"/>
    <w:rsid w:val="00F367E5"/>
    <w:rsid w:val="00F41310"/>
    <w:rsid w:val="00F46D06"/>
    <w:rsid w:val="00F51071"/>
    <w:rsid w:val="00F60F68"/>
    <w:rsid w:val="00F653D2"/>
    <w:rsid w:val="00F6577B"/>
    <w:rsid w:val="00F70E6D"/>
    <w:rsid w:val="00F74764"/>
    <w:rsid w:val="00F82C20"/>
    <w:rsid w:val="00F83B70"/>
    <w:rsid w:val="00F9203B"/>
    <w:rsid w:val="00F9382B"/>
    <w:rsid w:val="00FA5967"/>
    <w:rsid w:val="00FA7DDB"/>
    <w:rsid w:val="00FD43B1"/>
    <w:rsid w:val="00FD6C3D"/>
    <w:rsid w:val="00FE6108"/>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B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aliases w:val="Heading 1 Cab"/>
    <w:basedOn w:val="Normal"/>
    <w:next w:val="base-text-paragraph"/>
    <w:link w:val="Heading1Char"/>
    <w:uiPriority w:val="4"/>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aliases w:val="Heading 1 Cab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1"/>
      </w:numPr>
      <w:spacing w:before="0" w:after="0"/>
    </w:pPr>
    <w:rPr>
      <w:b/>
    </w:rPr>
  </w:style>
  <w:style w:type="paragraph" w:customStyle="1" w:styleId="dotpoint">
    <w:name w:val="dot point"/>
    <w:basedOn w:val="Normal"/>
    <w:rsid w:val="00E56A6F"/>
    <w:pPr>
      <w:numPr>
        <w:numId w:val="5"/>
      </w:numPr>
    </w:pPr>
  </w:style>
  <w:style w:type="paragraph" w:customStyle="1" w:styleId="dotpoint2">
    <w:name w:val="dot point 2"/>
    <w:basedOn w:val="Normal"/>
    <w:rsid w:val="00E56A6F"/>
    <w:pPr>
      <w:numPr>
        <w:ilvl w:val="1"/>
        <w:numId w:val="7"/>
      </w:numPr>
    </w:pPr>
  </w:style>
  <w:style w:type="numbering" w:customStyle="1" w:styleId="DotPointList">
    <w:name w:val="Dot Point List"/>
    <w:uiPriority w:val="99"/>
    <w:rsid w:val="00E56A6F"/>
    <w:pPr>
      <w:numPr>
        <w:numId w:val="6"/>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9"/>
      </w:numPr>
      <w:spacing w:before="200" w:after="200"/>
      <w:ind w:left="2269" w:hanging="284"/>
    </w:pPr>
  </w:style>
  <w:style w:type="paragraph" w:customStyle="1" w:styleId="exampledotpoint2">
    <w:name w:val="example dot point 2"/>
    <w:basedOn w:val="exampletext"/>
    <w:rsid w:val="006A05D6"/>
    <w:pPr>
      <w:numPr>
        <w:ilvl w:val="1"/>
        <w:numId w:val="9"/>
      </w:numPr>
      <w:spacing w:before="200" w:after="200"/>
    </w:pPr>
  </w:style>
  <w:style w:type="numbering" w:customStyle="1" w:styleId="ExampleDotPointList">
    <w:name w:val="Example Dot Point List"/>
    <w:uiPriority w:val="99"/>
    <w:rsid w:val="00E56A6F"/>
    <w:pPr>
      <w:numPr>
        <w:numId w:val="8"/>
      </w:numPr>
    </w:pPr>
  </w:style>
  <w:style w:type="paragraph" w:customStyle="1" w:styleId="ExampleHeading">
    <w:name w:val="Example Heading"/>
    <w:basedOn w:val="Normal"/>
    <w:next w:val="exampletext"/>
    <w:rsid w:val="00E56A6F"/>
    <w:pPr>
      <w:keepNext/>
      <w:numPr>
        <w:ilvl w:val="3"/>
        <w:numId w:val="2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0"/>
      </w:numPr>
    </w:pPr>
  </w:style>
  <w:style w:type="paragraph" w:styleId="ListBullet2">
    <w:name w:val="List Bullet 2"/>
    <w:basedOn w:val="Normal"/>
    <w:semiHidden/>
    <w:rsid w:val="00E56A6F"/>
    <w:pPr>
      <w:numPr>
        <w:numId w:val="11"/>
      </w:numPr>
    </w:pPr>
  </w:style>
  <w:style w:type="paragraph" w:styleId="ListBullet3">
    <w:name w:val="List Bullet 3"/>
    <w:basedOn w:val="Normal"/>
    <w:semiHidden/>
    <w:rsid w:val="00E56A6F"/>
    <w:pPr>
      <w:numPr>
        <w:numId w:val="12"/>
      </w:numPr>
    </w:pPr>
  </w:style>
  <w:style w:type="paragraph" w:styleId="ListBullet4">
    <w:name w:val="List Bullet 4"/>
    <w:basedOn w:val="Normal"/>
    <w:semiHidden/>
    <w:rsid w:val="00E56A6F"/>
    <w:pPr>
      <w:numPr>
        <w:numId w:val="13"/>
      </w:numPr>
    </w:pPr>
  </w:style>
  <w:style w:type="paragraph" w:styleId="ListBullet5">
    <w:name w:val="List Bullet 5"/>
    <w:basedOn w:val="Normal"/>
    <w:semiHidden/>
    <w:rsid w:val="00E56A6F"/>
    <w:pPr>
      <w:numPr>
        <w:numId w:val="14"/>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5"/>
      </w:numPr>
    </w:pPr>
  </w:style>
  <w:style w:type="paragraph" w:styleId="ListNumber2">
    <w:name w:val="List Number 2"/>
    <w:basedOn w:val="Normal"/>
    <w:semiHidden/>
    <w:rsid w:val="00E56A6F"/>
    <w:pPr>
      <w:numPr>
        <w:numId w:val="16"/>
      </w:numPr>
    </w:pPr>
  </w:style>
  <w:style w:type="paragraph" w:styleId="ListNumber3">
    <w:name w:val="List Number 3"/>
    <w:basedOn w:val="Normal"/>
    <w:semiHidden/>
    <w:rsid w:val="00E56A6F"/>
    <w:pPr>
      <w:numPr>
        <w:numId w:val="17"/>
      </w:numPr>
    </w:pPr>
  </w:style>
  <w:style w:type="paragraph" w:styleId="ListNumber4">
    <w:name w:val="List Number 4"/>
    <w:basedOn w:val="Normal"/>
    <w:semiHidden/>
    <w:rsid w:val="00E56A6F"/>
    <w:pPr>
      <w:numPr>
        <w:numId w:val="18"/>
      </w:numPr>
    </w:pPr>
  </w:style>
  <w:style w:type="paragraph" w:styleId="ListNumber5">
    <w:name w:val="List Number 5"/>
    <w:basedOn w:val="Normal"/>
    <w:semiHidden/>
    <w:rsid w:val="00E56A6F"/>
    <w:pPr>
      <w:numPr>
        <w:numId w:val="19"/>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A4025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25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D155A"/>
    <w:rPr>
      <w:sz w:val="16"/>
      <w:szCs w:val="16"/>
    </w:rPr>
  </w:style>
  <w:style w:type="paragraph" w:styleId="CommentText">
    <w:name w:val="annotation text"/>
    <w:basedOn w:val="Normal"/>
    <w:link w:val="CommentTextChar"/>
    <w:uiPriority w:val="99"/>
    <w:semiHidden/>
    <w:unhideWhenUsed/>
    <w:rsid w:val="000D155A"/>
    <w:rPr>
      <w:sz w:val="20"/>
    </w:rPr>
  </w:style>
  <w:style w:type="character" w:customStyle="1" w:styleId="CommentTextChar">
    <w:name w:val="Comment Text Char"/>
    <w:basedOn w:val="DefaultParagraphFont"/>
    <w:link w:val="CommentText"/>
    <w:uiPriority w:val="99"/>
    <w:semiHidden/>
    <w:rsid w:val="000D155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D155A"/>
    <w:rPr>
      <w:b/>
      <w:bCs/>
    </w:rPr>
  </w:style>
  <w:style w:type="character" w:customStyle="1" w:styleId="CommentSubjectChar">
    <w:name w:val="Comment Subject Char"/>
    <w:basedOn w:val="CommentTextChar"/>
    <w:link w:val="CommentSubject"/>
    <w:uiPriority w:val="99"/>
    <w:semiHidden/>
    <w:rsid w:val="000D155A"/>
    <w:rPr>
      <w:rFonts w:ascii="Times New Roman" w:eastAsia="Times New Roman" w:hAnsi="Times New Roman" w:cs="Times New Roman"/>
      <w:b/>
      <w:bCs/>
      <w:sz w:val="20"/>
      <w:szCs w:val="20"/>
      <w:lang w:eastAsia="en-AU"/>
    </w:rPr>
  </w:style>
  <w:style w:type="paragraph" w:customStyle="1" w:styleId="CAB-NumberedParagraph">
    <w:name w:val="CAB - Numbered Paragraph"/>
    <w:basedOn w:val="Normal"/>
    <w:uiPriority w:val="98"/>
    <w:rsid w:val="00C57486"/>
    <w:pPr>
      <w:tabs>
        <w:tab w:val="num" w:pos="340"/>
      </w:tabs>
      <w:spacing w:before="0" w:after="200" w:line="276" w:lineRule="auto"/>
      <w:ind w:left="340"/>
    </w:pPr>
    <w:rPr>
      <w:rFonts w:ascii="Arial" w:eastAsiaTheme="minorHAnsi" w:hAnsi="Arial" w:cstheme="minorBidi"/>
      <w:szCs w:val="22"/>
      <w:lang w:eastAsia="en-US"/>
    </w:rPr>
  </w:style>
  <w:style w:type="paragraph" w:customStyle="1" w:styleId="Bullet">
    <w:name w:val="Bullet"/>
    <w:basedOn w:val="Normal"/>
    <w:link w:val="BulletChar"/>
    <w:qFormat/>
    <w:rsid w:val="008C7B76"/>
    <w:pPr>
      <w:numPr>
        <w:numId w:val="22"/>
      </w:numPr>
      <w:spacing w:before="0"/>
    </w:pPr>
    <w:rPr>
      <w:rFonts w:asciiTheme="minorHAnsi" w:eastAsiaTheme="minorHAnsi" w:hAnsiTheme="minorHAnsi" w:cstheme="minorBidi"/>
      <w:color w:val="000000" w:themeColor="text1"/>
      <w:sz w:val="24"/>
      <w:szCs w:val="24"/>
      <w:lang w:eastAsia="en-US"/>
    </w:rPr>
  </w:style>
  <w:style w:type="paragraph" w:customStyle="1" w:styleId="Dash">
    <w:name w:val="Dash"/>
    <w:basedOn w:val="Normal"/>
    <w:rsid w:val="008C7B76"/>
    <w:pPr>
      <w:numPr>
        <w:ilvl w:val="1"/>
        <w:numId w:val="22"/>
      </w:numPr>
      <w:spacing w:before="60" w:after="60"/>
    </w:pPr>
    <w:rPr>
      <w:rFonts w:asciiTheme="minorHAnsi" w:eastAsiaTheme="minorHAnsi" w:hAnsiTheme="minorHAnsi" w:cstheme="minorBidi"/>
      <w:color w:val="000000" w:themeColor="text1"/>
      <w:sz w:val="24"/>
      <w:szCs w:val="24"/>
      <w:lang w:eastAsia="en-US"/>
    </w:rPr>
  </w:style>
  <w:style w:type="paragraph" w:customStyle="1" w:styleId="DoubleDot">
    <w:name w:val="Double Dot"/>
    <w:basedOn w:val="Normal"/>
    <w:rsid w:val="008C7B76"/>
    <w:pPr>
      <w:numPr>
        <w:ilvl w:val="2"/>
        <w:numId w:val="22"/>
      </w:numPr>
      <w:spacing w:before="60" w:after="60"/>
    </w:pPr>
    <w:rPr>
      <w:rFonts w:asciiTheme="minorHAnsi" w:eastAsiaTheme="minorHAnsi" w:hAnsiTheme="minorHAnsi" w:cstheme="minorBidi"/>
      <w:color w:val="000000" w:themeColor="text1"/>
      <w:sz w:val="24"/>
      <w:szCs w:val="24"/>
      <w:lang w:eastAsia="en-US"/>
    </w:rPr>
  </w:style>
  <w:style w:type="character" w:customStyle="1" w:styleId="BulletChar">
    <w:name w:val="Bullet Char"/>
    <w:basedOn w:val="DefaultParagraphFont"/>
    <w:link w:val="Bullet"/>
    <w:rsid w:val="008C7B76"/>
    <w:rPr>
      <w:color w:val="000000" w:themeColor="text1"/>
      <w:sz w:val="24"/>
      <w:szCs w:val="24"/>
    </w:rPr>
  </w:style>
  <w:style w:type="paragraph" w:customStyle="1" w:styleId="Numbered">
    <w:name w:val="Numbered"/>
    <w:basedOn w:val="ListParagraph"/>
    <w:qFormat/>
    <w:rsid w:val="008C7B76"/>
    <w:pPr>
      <w:numPr>
        <w:numId w:val="23"/>
      </w:numPr>
      <w:tabs>
        <w:tab w:val="left" w:pos="425"/>
      </w:tabs>
      <w:spacing w:before="0" w:after="180"/>
      <w:contextualSpacing w:val="0"/>
    </w:pPr>
    <w:rPr>
      <w:rFonts w:asciiTheme="minorHAnsi" w:eastAsiaTheme="minorHAnsi" w:hAnsiTheme="minorHAnsi" w:cstheme="minorBidi"/>
      <w:color w:val="000000" w:themeColor="text1"/>
      <w:sz w:val="24"/>
      <w:szCs w:val="22"/>
      <w:lang w:eastAsia="en-US"/>
    </w:rPr>
  </w:style>
  <w:style w:type="paragraph" w:styleId="Revision">
    <w:name w:val="Revision"/>
    <w:hidden/>
    <w:uiPriority w:val="99"/>
    <w:semiHidden/>
    <w:rsid w:val="004D28AF"/>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aliases w:val="Heading 1 Cab"/>
    <w:basedOn w:val="Normal"/>
    <w:next w:val="base-text-paragraph"/>
    <w:link w:val="Heading1Char"/>
    <w:uiPriority w:val="4"/>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aliases w:val="Heading 1 Cab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1"/>
      </w:numPr>
      <w:spacing w:before="0" w:after="0"/>
    </w:pPr>
    <w:rPr>
      <w:b/>
    </w:rPr>
  </w:style>
  <w:style w:type="paragraph" w:customStyle="1" w:styleId="dotpoint">
    <w:name w:val="dot point"/>
    <w:basedOn w:val="Normal"/>
    <w:rsid w:val="00E56A6F"/>
    <w:pPr>
      <w:numPr>
        <w:numId w:val="5"/>
      </w:numPr>
    </w:pPr>
  </w:style>
  <w:style w:type="paragraph" w:customStyle="1" w:styleId="dotpoint2">
    <w:name w:val="dot point 2"/>
    <w:basedOn w:val="Normal"/>
    <w:rsid w:val="00E56A6F"/>
    <w:pPr>
      <w:numPr>
        <w:ilvl w:val="1"/>
        <w:numId w:val="7"/>
      </w:numPr>
    </w:pPr>
  </w:style>
  <w:style w:type="numbering" w:customStyle="1" w:styleId="DotPointList">
    <w:name w:val="Dot Point List"/>
    <w:uiPriority w:val="99"/>
    <w:rsid w:val="00E56A6F"/>
    <w:pPr>
      <w:numPr>
        <w:numId w:val="6"/>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9"/>
      </w:numPr>
      <w:spacing w:before="200" w:after="200"/>
      <w:ind w:left="2269" w:hanging="284"/>
    </w:pPr>
  </w:style>
  <w:style w:type="paragraph" w:customStyle="1" w:styleId="exampledotpoint2">
    <w:name w:val="example dot point 2"/>
    <w:basedOn w:val="exampletext"/>
    <w:rsid w:val="006A05D6"/>
    <w:pPr>
      <w:numPr>
        <w:ilvl w:val="1"/>
        <w:numId w:val="9"/>
      </w:numPr>
      <w:spacing w:before="200" w:after="200"/>
    </w:pPr>
  </w:style>
  <w:style w:type="numbering" w:customStyle="1" w:styleId="ExampleDotPointList">
    <w:name w:val="Example Dot Point List"/>
    <w:uiPriority w:val="99"/>
    <w:rsid w:val="00E56A6F"/>
    <w:pPr>
      <w:numPr>
        <w:numId w:val="8"/>
      </w:numPr>
    </w:pPr>
  </w:style>
  <w:style w:type="paragraph" w:customStyle="1" w:styleId="ExampleHeading">
    <w:name w:val="Example Heading"/>
    <w:basedOn w:val="Normal"/>
    <w:next w:val="exampletext"/>
    <w:rsid w:val="00E56A6F"/>
    <w:pPr>
      <w:keepNext/>
      <w:numPr>
        <w:ilvl w:val="3"/>
        <w:numId w:val="2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0"/>
      </w:numPr>
    </w:pPr>
  </w:style>
  <w:style w:type="paragraph" w:styleId="ListBullet2">
    <w:name w:val="List Bullet 2"/>
    <w:basedOn w:val="Normal"/>
    <w:semiHidden/>
    <w:rsid w:val="00E56A6F"/>
    <w:pPr>
      <w:numPr>
        <w:numId w:val="11"/>
      </w:numPr>
    </w:pPr>
  </w:style>
  <w:style w:type="paragraph" w:styleId="ListBullet3">
    <w:name w:val="List Bullet 3"/>
    <w:basedOn w:val="Normal"/>
    <w:semiHidden/>
    <w:rsid w:val="00E56A6F"/>
    <w:pPr>
      <w:numPr>
        <w:numId w:val="12"/>
      </w:numPr>
    </w:pPr>
  </w:style>
  <w:style w:type="paragraph" w:styleId="ListBullet4">
    <w:name w:val="List Bullet 4"/>
    <w:basedOn w:val="Normal"/>
    <w:semiHidden/>
    <w:rsid w:val="00E56A6F"/>
    <w:pPr>
      <w:numPr>
        <w:numId w:val="13"/>
      </w:numPr>
    </w:pPr>
  </w:style>
  <w:style w:type="paragraph" w:styleId="ListBullet5">
    <w:name w:val="List Bullet 5"/>
    <w:basedOn w:val="Normal"/>
    <w:semiHidden/>
    <w:rsid w:val="00E56A6F"/>
    <w:pPr>
      <w:numPr>
        <w:numId w:val="14"/>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5"/>
      </w:numPr>
    </w:pPr>
  </w:style>
  <w:style w:type="paragraph" w:styleId="ListNumber2">
    <w:name w:val="List Number 2"/>
    <w:basedOn w:val="Normal"/>
    <w:semiHidden/>
    <w:rsid w:val="00E56A6F"/>
    <w:pPr>
      <w:numPr>
        <w:numId w:val="16"/>
      </w:numPr>
    </w:pPr>
  </w:style>
  <w:style w:type="paragraph" w:styleId="ListNumber3">
    <w:name w:val="List Number 3"/>
    <w:basedOn w:val="Normal"/>
    <w:semiHidden/>
    <w:rsid w:val="00E56A6F"/>
    <w:pPr>
      <w:numPr>
        <w:numId w:val="17"/>
      </w:numPr>
    </w:pPr>
  </w:style>
  <w:style w:type="paragraph" w:styleId="ListNumber4">
    <w:name w:val="List Number 4"/>
    <w:basedOn w:val="Normal"/>
    <w:semiHidden/>
    <w:rsid w:val="00E56A6F"/>
    <w:pPr>
      <w:numPr>
        <w:numId w:val="18"/>
      </w:numPr>
    </w:pPr>
  </w:style>
  <w:style w:type="paragraph" w:styleId="ListNumber5">
    <w:name w:val="List Number 5"/>
    <w:basedOn w:val="Normal"/>
    <w:semiHidden/>
    <w:rsid w:val="00E56A6F"/>
    <w:pPr>
      <w:numPr>
        <w:numId w:val="19"/>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A4025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25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D155A"/>
    <w:rPr>
      <w:sz w:val="16"/>
      <w:szCs w:val="16"/>
    </w:rPr>
  </w:style>
  <w:style w:type="paragraph" w:styleId="CommentText">
    <w:name w:val="annotation text"/>
    <w:basedOn w:val="Normal"/>
    <w:link w:val="CommentTextChar"/>
    <w:uiPriority w:val="99"/>
    <w:semiHidden/>
    <w:unhideWhenUsed/>
    <w:rsid w:val="000D155A"/>
    <w:rPr>
      <w:sz w:val="20"/>
    </w:rPr>
  </w:style>
  <w:style w:type="character" w:customStyle="1" w:styleId="CommentTextChar">
    <w:name w:val="Comment Text Char"/>
    <w:basedOn w:val="DefaultParagraphFont"/>
    <w:link w:val="CommentText"/>
    <w:uiPriority w:val="99"/>
    <w:semiHidden/>
    <w:rsid w:val="000D155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D155A"/>
    <w:rPr>
      <w:b/>
      <w:bCs/>
    </w:rPr>
  </w:style>
  <w:style w:type="character" w:customStyle="1" w:styleId="CommentSubjectChar">
    <w:name w:val="Comment Subject Char"/>
    <w:basedOn w:val="CommentTextChar"/>
    <w:link w:val="CommentSubject"/>
    <w:uiPriority w:val="99"/>
    <w:semiHidden/>
    <w:rsid w:val="000D155A"/>
    <w:rPr>
      <w:rFonts w:ascii="Times New Roman" w:eastAsia="Times New Roman" w:hAnsi="Times New Roman" w:cs="Times New Roman"/>
      <w:b/>
      <w:bCs/>
      <w:sz w:val="20"/>
      <w:szCs w:val="20"/>
      <w:lang w:eastAsia="en-AU"/>
    </w:rPr>
  </w:style>
  <w:style w:type="paragraph" w:customStyle="1" w:styleId="CAB-NumberedParagraph">
    <w:name w:val="CAB - Numbered Paragraph"/>
    <w:basedOn w:val="Normal"/>
    <w:uiPriority w:val="98"/>
    <w:rsid w:val="00C57486"/>
    <w:pPr>
      <w:tabs>
        <w:tab w:val="num" w:pos="340"/>
      </w:tabs>
      <w:spacing w:before="0" w:after="200" w:line="276" w:lineRule="auto"/>
      <w:ind w:left="340"/>
    </w:pPr>
    <w:rPr>
      <w:rFonts w:ascii="Arial" w:eastAsiaTheme="minorHAnsi" w:hAnsi="Arial" w:cstheme="minorBidi"/>
      <w:szCs w:val="22"/>
      <w:lang w:eastAsia="en-US"/>
    </w:rPr>
  </w:style>
  <w:style w:type="paragraph" w:customStyle="1" w:styleId="Bullet">
    <w:name w:val="Bullet"/>
    <w:basedOn w:val="Normal"/>
    <w:link w:val="BulletChar"/>
    <w:qFormat/>
    <w:rsid w:val="008C7B76"/>
    <w:pPr>
      <w:numPr>
        <w:numId w:val="22"/>
      </w:numPr>
      <w:spacing w:before="0"/>
    </w:pPr>
    <w:rPr>
      <w:rFonts w:asciiTheme="minorHAnsi" w:eastAsiaTheme="minorHAnsi" w:hAnsiTheme="minorHAnsi" w:cstheme="minorBidi"/>
      <w:color w:val="000000" w:themeColor="text1"/>
      <w:sz w:val="24"/>
      <w:szCs w:val="24"/>
      <w:lang w:eastAsia="en-US"/>
    </w:rPr>
  </w:style>
  <w:style w:type="paragraph" w:customStyle="1" w:styleId="Dash">
    <w:name w:val="Dash"/>
    <w:basedOn w:val="Normal"/>
    <w:rsid w:val="008C7B76"/>
    <w:pPr>
      <w:numPr>
        <w:ilvl w:val="1"/>
        <w:numId w:val="22"/>
      </w:numPr>
      <w:spacing w:before="60" w:after="60"/>
    </w:pPr>
    <w:rPr>
      <w:rFonts w:asciiTheme="minorHAnsi" w:eastAsiaTheme="minorHAnsi" w:hAnsiTheme="minorHAnsi" w:cstheme="minorBidi"/>
      <w:color w:val="000000" w:themeColor="text1"/>
      <w:sz w:val="24"/>
      <w:szCs w:val="24"/>
      <w:lang w:eastAsia="en-US"/>
    </w:rPr>
  </w:style>
  <w:style w:type="paragraph" w:customStyle="1" w:styleId="DoubleDot">
    <w:name w:val="Double Dot"/>
    <w:basedOn w:val="Normal"/>
    <w:rsid w:val="008C7B76"/>
    <w:pPr>
      <w:numPr>
        <w:ilvl w:val="2"/>
        <w:numId w:val="22"/>
      </w:numPr>
      <w:spacing w:before="60" w:after="60"/>
    </w:pPr>
    <w:rPr>
      <w:rFonts w:asciiTheme="minorHAnsi" w:eastAsiaTheme="minorHAnsi" w:hAnsiTheme="minorHAnsi" w:cstheme="minorBidi"/>
      <w:color w:val="000000" w:themeColor="text1"/>
      <w:sz w:val="24"/>
      <w:szCs w:val="24"/>
      <w:lang w:eastAsia="en-US"/>
    </w:rPr>
  </w:style>
  <w:style w:type="character" w:customStyle="1" w:styleId="BulletChar">
    <w:name w:val="Bullet Char"/>
    <w:basedOn w:val="DefaultParagraphFont"/>
    <w:link w:val="Bullet"/>
    <w:rsid w:val="008C7B76"/>
    <w:rPr>
      <w:color w:val="000000" w:themeColor="text1"/>
      <w:sz w:val="24"/>
      <w:szCs w:val="24"/>
    </w:rPr>
  </w:style>
  <w:style w:type="paragraph" w:customStyle="1" w:styleId="Numbered">
    <w:name w:val="Numbered"/>
    <w:basedOn w:val="ListParagraph"/>
    <w:qFormat/>
    <w:rsid w:val="008C7B76"/>
    <w:pPr>
      <w:numPr>
        <w:numId w:val="23"/>
      </w:numPr>
      <w:tabs>
        <w:tab w:val="left" w:pos="425"/>
      </w:tabs>
      <w:spacing w:before="0" w:after="180"/>
      <w:contextualSpacing w:val="0"/>
    </w:pPr>
    <w:rPr>
      <w:rFonts w:asciiTheme="minorHAnsi" w:eastAsiaTheme="minorHAnsi" w:hAnsiTheme="minorHAnsi" w:cstheme="minorBidi"/>
      <w:color w:val="000000" w:themeColor="text1"/>
      <w:sz w:val="24"/>
      <w:szCs w:val="22"/>
      <w:lang w:eastAsia="en-US"/>
    </w:rPr>
  </w:style>
  <w:style w:type="paragraph" w:styleId="Revision">
    <w:name w:val="Revision"/>
    <w:hidden/>
    <w:uiPriority w:val="99"/>
    <w:semiHidden/>
    <w:rsid w:val="004D28AF"/>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9233">
      <w:bodyDiv w:val="1"/>
      <w:marLeft w:val="0"/>
      <w:marRight w:val="0"/>
      <w:marTop w:val="0"/>
      <w:marBottom w:val="0"/>
      <w:divBdr>
        <w:top w:val="none" w:sz="0" w:space="0" w:color="auto"/>
        <w:left w:val="none" w:sz="0" w:space="0" w:color="auto"/>
        <w:bottom w:val="none" w:sz="0" w:space="0" w:color="auto"/>
        <w:right w:val="none" w:sz="0" w:space="0" w:color="auto"/>
      </w:divBdr>
    </w:div>
    <w:div w:id="61834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12974" ma:contentTypeDescription="" ma:contentTypeScope="" ma:versionID="67f99befbf728cb2053e5278b1c6d50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566d92a9888314abf5f066b788bc0d63"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2018MG-134-11862</_dlc_DocId>
    <TaxCatchAll xmlns="d4dd4adf-ddb3-46a3-8d7c-fab3fb2a6bc7">
      <Value>7</Value>
    </TaxCatchAll>
    <_dlc_DocIdUrl xmlns="d4dd4adf-ddb3-46a3-8d7c-fab3fb2a6bc7">
      <Url>http://tweb/sites/mg/sbccpd/_layouts/15/DocIdRedir.aspx?ID=2018MG-134-11862</Url>
      <Description>2018MG-134-11862</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2.xml><?xml version="1.0" encoding="utf-8"?>
<ds:datastoreItem xmlns:ds="http://schemas.openxmlformats.org/officeDocument/2006/customXml" ds:itemID="{8A8A3D84-E399-470E-8986-ABB2634DBCAC}"/>
</file>

<file path=customXml/itemProps3.xml><?xml version="1.0" encoding="utf-8"?>
<ds:datastoreItem xmlns:ds="http://schemas.openxmlformats.org/officeDocument/2006/customXml" ds:itemID="{E484BCE1-B00C-45BB-B3CA-CEE712E03F53}">
  <ds:schemaRefs>
    <ds:schemaRef ds:uri="http://schemas.microsoft.com/office/infopath/2007/PartnerControls"/>
    <ds:schemaRef ds:uri="http://schemas.openxmlformats.org/package/2006/metadata/core-properties"/>
    <ds:schemaRef ds:uri="http://purl.org/dc/dcmitype/"/>
    <ds:schemaRef ds:uri="http://schemas.microsoft.com/sharepoint/v4"/>
    <ds:schemaRef ds:uri="http://schemas.microsoft.com/office/2006/documentManagement/types"/>
    <ds:schemaRef ds:uri="9f7bc583-7cbe-45b9-a2bd-8bbb6543b37e"/>
    <ds:schemaRef ds:uri="7de72408-0014-4398-bb70-e4e7757d453d"/>
    <ds:schemaRef ds:uri="http://purl.org/dc/terms/"/>
    <ds:schemaRef ds:uri="http://schemas.microsoft.com/office/2006/metadata/properties"/>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0D43E20A-3899-4F92-8523-ABF64C1DE3B4}"/>
</file>

<file path=customXml/itemProps5.xml><?xml version="1.0" encoding="utf-8"?>
<ds:datastoreItem xmlns:ds="http://schemas.openxmlformats.org/officeDocument/2006/customXml" ds:itemID="{0358097C-17D5-4E90-AE64-4B270FFF4141}"/>
</file>

<file path=customXml/itemProps6.xml><?xml version="1.0" encoding="utf-8"?>
<ds:datastoreItem xmlns:ds="http://schemas.openxmlformats.org/officeDocument/2006/customXml" ds:itemID="{6277C3E5-AFB4-414C-BBA8-E1DC6C3F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8</TotalTime>
  <Pages>14</Pages>
  <Words>2678</Words>
  <Characters>13314</Characters>
  <Application>Microsoft Office Word</Application>
  <DocSecurity>0</DocSecurity>
  <Lines>271</Lines>
  <Paragraphs>156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 Anh</dc:creator>
  <cp:lastModifiedBy>Fields, Ruth</cp:lastModifiedBy>
  <cp:revision>6</cp:revision>
  <cp:lastPrinted>2018-07-23T00:35:00Z</cp:lastPrinted>
  <dcterms:created xsi:type="dcterms:W3CDTF">2018-07-25T03:44:00Z</dcterms:created>
  <dcterms:modified xsi:type="dcterms:W3CDTF">2018-07-25T03:52:00Z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b14f2d24-e485-4163-9c4a-948e4672427f</vt:lpwstr>
  </property>
  <property fmtid="{D5CDD505-2E9C-101B-9397-08002B2CF9AE}" pid="3" name="ContentTypeId">
    <vt:lpwstr>0x010100E95D40E5DFEA714B90E88DB5CE07A6B5008BAE5E872871354B819D8DF98018236D</vt:lpwstr>
  </property>
  <property fmtid="{D5CDD505-2E9C-101B-9397-08002B2CF9AE}" pid="4" name="TSYRecordClass">
    <vt:lpwstr>2</vt:lpwstr>
  </property>
  <property fmtid="{D5CDD505-2E9C-101B-9397-08002B2CF9AE}" pid="5" name="RecordPoint_ActiveItemUniqueId">
    <vt:lpwstr>{b14f2d24-e485-4163-9c4a-948e4672427f}</vt:lpwstr>
  </property>
  <property fmtid="{D5CDD505-2E9C-101B-9397-08002B2CF9AE}" pid="6" name="RecordPoint_WorkflowType">
    <vt:lpwstr>ActiveSubmitStub</vt:lpwstr>
  </property>
  <property fmtid="{D5CDD505-2E9C-101B-9397-08002B2CF9AE}" pid="7" name="RecordPoint_ActiveItemListId">
    <vt:lpwstr>{3035e319-fbeb-45d1-8dfc-130035b8d86e}</vt:lpwstr>
  </property>
  <property fmtid="{D5CDD505-2E9C-101B-9397-08002B2CF9AE}" pid="8" name="RecordPoint_ActiveItemWebId">
    <vt:lpwstr>{682871c2-4073-4158-957a-6d924b9ba0a6}</vt:lpwstr>
  </property>
  <property fmtid="{D5CDD505-2E9C-101B-9397-08002B2CF9AE}" pid="9" name="RecordPoint_ActiveItemSiteId">
    <vt:lpwstr>{08cedf7d-7ad2-4b81-a81f-47e3ec332c41}</vt:lpwstr>
  </property>
  <property fmtid="{D5CDD505-2E9C-101B-9397-08002B2CF9AE}" pid="10" name="RecordPoint_RecordNumberSubmitted">
    <vt:lpwstr>R0001809722</vt:lpwstr>
  </property>
  <property fmtid="{D5CDD505-2E9C-101B-9397-08002B2CF9AE}" pid="11" name="RecordPoint_SubmissionCompleted">
    <vt:lpwstr>2018-07-26T09:23:48.3484039+10:00</vt:lpwstr>
  </property>
  <property fmtid="{D5CDD505-2E9C-101B-9397-08002B2CF9AE}" pid="12" name="_AdHocReviewCycleID">
    <vt:i4>263573601</vt:i4>
  </property>
  <property fmtid="{D5CDD505-2E9C-101B-9397-08002B2CF9AE}" pid="13" name="_NewReviewCycle">
    <vt:lpwstr/>
  </property>
  <property fmtid="{D5CDD505-2E9C-101B-9397-08002B2CF9AE}" pid="14" name="_EmailSubject">
    <vt:lpwstr>Docs for website [DLM=For-Official-Use-Only]</vt:lpwstr>
  </property>
  <property fmtid="{D5CDD505-2E9C-101B-9397-08002B2CF9AE}" pid="15" name="_AuthorEmail">
    <vt:lpwstr>Joe.Keshina@TREASURY.GOV.AU</vt:lpwstr>
  </property>
  <property fmtid="{D5CDD505-2E9C-101B-9397-08002B2CF9AE}" pid="16" name="_AuthorEmailDisplayName">
    <vt:lpwstr>Keshina, Joe</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-1090101330</vt:i4>
  </property>
</Properties>
</file>