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C9A0E" w14:textId="77777777" w:rsidR="000E0B74" w:rsidRPr="006D0240" w:rsidRDefault="000E0B74" w:rsidP="008E6292">
      <w:bookmarkStart w:id="0" w:name="_GoBack"/>
      <w:bookmarkEnd w:id="0"/>
    </w:p>
    <w:p w14:paraId="779EC6F3" w14:textId="77777777" w:rsidR="000E0B74" w:rsidRPr="006D0240" w:rsidRDefault="000E0B74" w:rsidP="008076BB">
      <w:pPr>
        <w:pStyle w:val="Crest"/>
        <w:spacing w:after="1080"/>
        <w:jc w:val="left"/>
      </w:pPr>
    </w:p>
    <w:p w14:paraId="21435D81" w14:textId="484399E2" w:rsidR="000E0B74" w:rsidRPr="00D36EEB" w:rsidRDefault="00465D6F" w:rsidP="001D4EAA">
      <w:pPr>
        <w:pStyle w:val="Title"/>
      </w:pPr>
      <w:r w:rsidRPr="00D36EEB">
        <w:t xml:space="preserve">Evaluation of the </w:t>
      </w:r>
      <w:r w:rsidR="001B53B6" w:rsidRPr="00D36EEB">
        <w:t xml:space="preserve">2021 </w:t>
      </w:r>
      <w:r w:rsidRPr="00D36EEB">
        <w:t>foreign investment reforms</w:t>
      </w:r>
      <w:r w:rsidR="008076BB" w:rsidRPr="00D36EEB">
        <w:t>: consultation paper</w:t>
      </w:r>
    </w:p>
    <w:p w14:paraId="73404ADC" w14:textId="57C141AF" w:rsidR="00056880" w:rsidRPr="00D36EEB" w:rsidRDefault="002C433D" w:rsidP="001D4EAA">
      <w:pPr>
        <w:pStyle w:val="ReportDate"/>
        <w:rPr>
          <w:rFonts w:ascii="Rockwell" w:hAnsi="Rockwell"/>
          <w:sz w:val="24"/>
        </w:rPr>
      </w:pPr>
      <w:r w:rsidRPr="00D36EEB">
        <w:rPr>
          <w:rStyle w:val="ReportDateChar"/>
        </w:rPr>
        <w:t>July</w:t>
      </w:r>
      <w:r w:rsidR="007A5F20" w:rsidRPr="00D36EEB">
        <w:rPr>
          <w:rStyle w:val="ReportDateChar"/>
        </w:rPr>
        <w:t xml:space="preserve"> 2021</w:t>
      </w:r>
    </w:p>
    <w:p w14:paraId="787A0651" w14:textId="649ECED8" w:rsidR="002F617F" w:rsidRPr="00D36EEB" w:rsidRDefault="002F617F"/>
    <w:p w14:paraId="3B7232E0" w14:textId="26376B25" w:rsidR="008076BB" w:rsidRPr="00D36EEB" w:rsidRDefault="008076BB"/>
    <w:p w14:paraId="37162171" w14:textId="670DABF6" w:rsidR="008076BB" w:rsidRPr="00D36EEB" w:rsidRDefault="008076BB"/>
    <w:p w14:paraId="128AFA40" w14:textId="78AF22B8" w:rsidR="008076BB" w:rsidRPr="00D36EEB" w:rsidRDefault="008076BB"/>
    <w:p w14:paraId="71D3D2E5" w14:textId="664E8450" w:rsidR="008076BB" w:rsidRPr="00D36EEB" w:rsidRDefault="008076BB"/>
    <w:p w14:paraId="6D36EB45" w14:textId="6EEC99B8" w:rsidR="008076BB" w:rsidRPr="00D36EEB" w:rsidRDefault="008076BB"/>
    <w:p w14:paraId="05D2182A" w14:textId="77777777" w:rsidR="008076BB" w:rsidRPr="00D36EEB" w:rsidRDefault="008076BB"/>
    <w:p w14:paraId="50E36752" w14:textId="77777777" w:rsidR="000E0B74" w:rsidRPr="00D36EEB" w:rsidRDefault="000E0B74" w:rsidP="000E0B74">
      <w:pPr>
        <w:rPr>
          <w:rFonts w:cs="Calibri"/>
          <w:sz w:val="20"/>
        </w:rPr>
      </w:pPr>
    </w:p>
    <w:p w14:paraId="3EFF8D21" w14:textId="77777777" w:rsidR="000E0B74" w:rsidRPr="00D36EEB" w:rsidRDefault="000E0B74" w:rsidP="000E0B74">
      <w:pPr>
        <w:sectPr w:rsidR="000E0B74" w:rsidRPr="00D36EEB" w:rsidSect="00E1136B">
          <w:headerReference w:type="default" r:id="rId13"/>
          <w:pgSz w:w="11906" w:h="16838"/>
          <w:pgMar w:top="1418" w:right="1418" w:bottom="1418" w:left="1418" w:header="709" w:footer="709" w:gutter="0"/>
          <w:pgNumType w:fmt="lowerRoman" w:start="1"/>
          <w:cols w:space="720"/>
        </w:sectPr>
      </w:pPr>
    </w:p>
    <w:p w14:paraId="6CD60ABF" w14:textId="54D431B7" w:rsidR="000E0B74" w:rsidRPr="00D36EEB" w:rsidRDefault="000E0B74" w:rsidP="000E0B74">
      <w:pPr>
        <w:spacing w:before="240"/>
      </w:pPr>
      <w:r w:rsidRPr="00D36EEB">
        <w:lastRenderedPageBreak/>
        <w:t>© Commonwealth of Australia 20</w:t>
      </w:r>
      <w:r w:rsidR="00EF2FBF" w:rsidRPr="00D36EEB">
        <w:t>2</w:t>
      </w:r>
      <w:r w:rsidR="002C433D" w:rsidRPr="00D36EEB">
        <w:t>1</w:t>
      </w:r>
    </w:p>
    <w:p w14:paraId="6A672078" w14:textId="6DEF4EE5" w:rsidR="000E0B74" w:rsidRPr="00D36EEB" w:rsidRDefault="000E0B74" w:rsidP="000E0B74">
      <w:pPr>
        <w:tabs>
          <w:tab w:val="left" w:pos="1650"/>
        </w:tabs>
        <w:spacing w:before="240"/>
        <w:rPr>
          <w:rFonts w:cstheme="minorBidi"/>
          <w:sz w:val="24"/>
          <w:szCs w:val="24"/>
        </w:rPr>
      </w:pPr>
      <w:r w:rsidRPr="00D36EEB">
        <w:t>This publication is available for your use under a</w:t>
      </w:r>
      <w:r w:rsidRPr="00D36EEB">
        <w:rPr>
          <w:rFonts w:cstheme="minorHAnsi"/>
          <w:sz w:val="24"/>
          <w:szCs w:val="24"/>
        </w:rPr>
        <w:t xml:space="preserve"> </w:t>
      </w:r>
      <w:hyperlink r:id="rId14" w:history="1">
        <w:r w:rsidRPr="00D36EEB">
          <w:rPr>
            <w:rStyle w:val="Hyperlink"/>
          </w:rPr>
          <w:t>Creative Commons Attribution 3.0 Australia</w:t>
        </w:r>
      </w:hyperlink>
      <w:r w:rsidRPr="00D36EEB">
        <w:rPr>
          <w:rFonts w:cstheme="minorHAnsi"/>
          <w:sz w:val="24"/>
          <w:szCs w:val="24"/>
        </w:rPr>
        <w:t xml:space="preserve"> </w:t>
      </w:r>
      <w:r w:rsidRPr="00D36EEB">
        <w:t>licence, with the exception of the Commonwealth Coat of Arms, the Treasury logo, photographs, images, signatures and where otherwise stated. The full licence terms are available from</w:t>
      </w:r>
      <w:r w:rsidRPr="00D36EEB">
        <w:rPr>
          <w:rFonts w:cstheme="minorHAnsi"/>
          <w:sz w:val="24"/>
          <w:szCs w:val="24"/>
        </w:rPr>
        <w:t xml:space="preserve"> </w:t>
      </w:r>
      <w:hyperlink r:id="rId15" w:history="1">
        <w:r w:rsidRPr="00D36EEB">
          <w:rPr>
            <w:rStyle w:val="Hyperlink"/>
          </w:rPr>
          <w:t>http://creativecommons.org/licenses/by/3.0/au/legalcode</w:t>
        </w:r>
      </w:hyperlink>
      <w:r w:rsidRPr="00D36EEB">
        <w:rPr>
          <w:rStyle w:val="Hyperlink"/>
        </w:rPr>
        <w:t>.</w:t>
      </w:r>
      <w:r w:rsidRPr="00D36EEB">
        <w:rPr>
          <w:sz w:val="24"/>
          <w:szCs w:val="24"/>
        </w:rPr>
        <w:t xml:space="preserve"> </w:t>
      </w:r>
    </w:p>
    <w:p w14:paraId="115588C4" w14:textId="77777777" w:rsidR="000E0B74" w:rsidRPr="00D36EEB" w:rsidRDefault="000E0B74" w:rsidP="000E0B74">
      <w:pPr>
        <w:pStyle w:val="ChartGraphic"/>
        <w:jc w:val="left"/>
      </w:pPr>
      <w:r w:rsidRPr="00D36EEB">
        <w:rPr>
          <w:noProof/>
        </w:rPr>
        <w:drawing>
          <wp:inline distT="0" distB="0" distL="0" distR="0" wp14:anchorId="64909E24" wp14:editId="1B0FC82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96C93A2" w14:textId="77777777" w:rsidR="000E0B74" w:rsidRPr="00D36EEB" w:rsidRDefault="000E0B74" w:rsidP="000E0B74">
      <w:pPr>
        <w:tabs>
          <w:tab w:val="left" w:pos="1650"/>
        </w:tabs>
        <w:spacing w:before="240"/>
      </w:pPr>
      <w:r w:rsidRPr="00D36EEB">
        <w:t>Use of Treasury material under a</w:t>
      </w:r>
      <w:r w:rsidRPr="00D36EEB">
        <w:rPr>
          <w:rFonts w:cstheme="minorHAnsi"/>
          <w:sz w:val="24"/>
          <w:szCs w:val="24"/>
        </w:rPr>
        <w:t xml:space="preserve"> </w:t>
      </w:r>
      <w:hyperlink r:id="rId17" w:history="1">
        <w:r w:rsidRPr="00D36EEB">
          <w:rPr>
            <w:rStyle w:val="Hyperlink"/>
          </w:rPr>
          <w:t>Creative Commons Attribution 3.0 Australia</w:t>
        </w:r>
      </w:hyperlink>
      <w:r w:rsidRPr="00D36EEB">
        <w:rPr>
          <w:rStyle w:val="Hyperlink"/>
        </w:rPr>
        <w:t xml:space="preserve"> </w:t>
      </w:r>
      <w:r w:rsidRPr="00D36EEB">
        <w:t>licence requires you to attribute the work (but not in any way that suggests that the Treasury endorses you or your use of the work).</w:t>
      </w:r>
    </w:p>
    <w:p w14:paraId="75686BD0" w14:textId="77777777" w:rsidR="000E0B74" w:rsidRPr="00D36EEB" w:rsidRDefault="000E0B74" w:rsidP="000E0B74">
      <w:pPr>
        <w:ind w:left="709"/>
        <w:rPr>
          <w:i/>
        </w:rPr>
      </w:pPr>
      <w:r w:rsidRPr="00D36EEB">
        <w:rPr>
          <w:i/>
        </w:rPr>
        <w:t>Treasury material used ‘as supplied’.</w:t>
      </w:r>
    </w:p>
    <w:p w14:paraId="41FD1315" w14:textId="77777777" w:rsidR="000E0B74" w:rsidRPr="00D36EEB" w:rsidRDefault="000E0B74" w:rsidP="000E0B74">
      <w:pPr>
        <w:spacing w:before="240"/>
      </w:pPr>
      <w:r w:rsidRPr="00D36EEB">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4D1E4AC" w14:textId="5D982436" w:rsidR="000E0B74" w:rsidRPr="00D36EEB" w:rsidRDefault="000E0B74" w:rsidP="000E0B74">
      <w:pPr>
        <w:ind w:firstLine="720"/>
      </w:pPr>
      <w:r w:rsidRPr="00D36EEB">
        <w:rPr>
          <w:i/>
        </w:rPr>
        <w:t xml:space="preserve">Source: The </w:t>
      </w:r>
      <w:r w:rsidRPr="00D36EEB">
        <w:rPr>
          <w:i/>
          <w:iCs/>
        </w:rPr>
        <w:t>Australian Government the Treasury</w:t>
      </w:r>
      <w:r w:rsidRPr="00D36EEB">
        <w:t>.</w:t>
      </w:r>
    </w:p>
    <w:p w14:paraId="233E5E5F" w14:textId="77777777" w:rsidR="000E0B74" w:rsidRPr="00D36EEB" w:rsidRDefault="000E0B74" w:rsidP="000E0B74">
      <w:pPr>
        <w:spacing w:before="240"/>
      </w:pPr>
      <w:r w:rsidRPr="00D36EEB">
        <w:rPr>
          <w:b/>
        </w:rPr>
        <w:t>Derivative</w:t>
      </w:r>
      <w:r w:rsidRPr="00D36EEB">
        <w:t xml:space="preserve"> </w:t>
      </w:r>
      <w:r w:rsidRPr="00D36EEB">
        <w:rPr>
          <w:b/>
        </w:rPr>
        <w:t>material</w:t>
      </w:r>
    </w:p>
    <w:p w14:paraId="2AB72BB8" w14:textId="77777777" w:rsidR="000E0B74" w:rsidRPr="00D36EEB" w:rsidRDefault="000E0B74" w:rsidP="000E0B74">
      <w:r w:rsidRPr="00D36EEB">
        <w:t xml:space="preserve">If you have modified or transformed Treasury material, or derived new material from those of the Treasury in any way, then Treasury prefers the following attribution: </w:t>
      </w:r>
    </w:p>
    <w:p w14:paraId="5014F714" w14:textId="25B1FD82" w:rsidR="000E0B74" w:rsidRPr="00D36EEB" w:rsidRDefault="000E0B74" w:rsidP="000E0B74">
      <w:pPr>
        <w:ind w:firstLine="720"/>
      </w:pPr>
      <w:r w:rsidRPr="00D36EEB">
        <w:rPr>
          <w:i/>
        </w:rPr>
        <w:t>Based on The Australian Government the Treasury data</w:t>
      </w:r>
      <w:r w:rsidRPr="00D36EEB">
        <w:t>.</w:t>
      </w:r>
    </w:p>
    <w:p w14:paraId="4F578DCF" w14:textId="77777777" w:rsidR="000E0B74" w:rsidRPr="00D36EEB" w:rsidRDefault="000E0B74" w:rsidP="000E0B74">
      <w:pPr>
        <w:spacing w:before="240"/>
        <w:rPr>
          <w:b/>
        </w:rPr>
      </w:pPr>
      <w:r w:rsidRPr="00D36EEB">
        <w:rPr>
          <w:b/>
        </w:rPr>
        <w:t>Use of the Coat of Arms</w:t>
      </w:r>
    </w:p>
    <w:p w14:paraId="6CE82C57" w14:textId="77777777" w:rsidR="000E0B74" w:rsidRPr="00D36EEB" w:rsidRDefault="004A7BC2" w:rsidP="000E0B74">
      <w:r w:rsidRPr="00D36EEB">
        <w:t xml:space="preserve">The terms under which the Coat of Arms can be used are set out on the Department of the Prime Minister and Cabinet website (see </w:t>
      </w:r>
      <w:hyperlink r:id="rId18" w:history="1">
        <w:r w:rsidRPr="00D36EEB">
          <w:rPr>
            <w:rStyle w:val="Hyperlink"/>
          </w:rPr>
          <w:t>www.pmc.gov.au/government/commonwealth-coat-arm</w:t>
        </w:r>
      </w:hyperlink>
      <w:r w:rsidRPr="00D36EEB">
        <w:t>s).</w:t>
      </w:r>
    </w:p>
    <w:p w14:paraId="21FA0642" w14:textId="77777777" w:rsidR="000E0B74" w:rsidRPr="00D36EEB" w:rsidRDefault="000E0B74" w:rsidP="000E0B74">
      <w:pPr>
        <w:spacing w:before="240"/>
        <w:rPr>
          <w:b/>
        </w:rPr>
      </w:pPr>
      <w:r w:rsidRPr="00D36EEB">
        <w:rPr>
          <w:b/>
        </w:rPr>
        <w:t>Other uses</w:t>
      </w:r>
    </w:p>
    <w:p w14:paraId="0FCEE72C" w14:textId="77777777" w:rsidR="000E0B74" w:rsidRPr="00D36EEB" w:rsidRDefault="000E0B74" w:rsidP="000E0B74">
      <w:r w:rsidRPr="00D36EEB">
        <w:t>Enquiries regarding this licence and any other use of this document are welcome at:</w:t>
      </w:r>
    </w:p>
    <w:p w14:paraId="0F874A9E" w14:textId="4FE29778" w:rsidR="000E0B74" w:rsidRPr="00D36EEB" w:rsidRDefault="000E0B74" w:rsidP="000E0B74">
      <w:pPr>
        <w:ind w:left="720"/>
        <w:rPr>
          <w:rStyle w:val="Hyperlink"/>
        </w:rPr>
      </w:pPr>
      <w:r w:rsidRPr="00D36EEB">
        <w:t>Manager</w:t>
      </w:r>
      <w:r w:rsidR="009A668A" w:rsidRPr="00D36EEB">
        <w:br/>
      </w:r>
      <w:r w:rsidRPr="00D36EEB">
        <w:t>Media and Speeches Unit</w:t>
      </w:r>
      <w:r w:rsidRPr="00D36EEB">
        <w:br/>
        <w:t>The Treasury</w:t>
      </w:r>
      <w:r w:rsidRPr="00D36EEB">
        <w:br/>
        <w:t xml:space="preserve">Langton Crescent </w:t>
      </w:r>
      <w:r w:rsidRPr="00D36EEB">
        <w:br/>
      </w:r>
      <w:r w:rsidR="00B83384" w:rsidRPr="00D36EEB">
        <w:t xml:space="preserve">PARKES  </w:t>
      </w:r>
      <w:r w:rsidRPr="00D36EEB">
        <w:t>ACT  2600</w:t>
      </w:r>
      <w:r w:rsidRPr="00D36EEB">
        <w:br/>
        <w:t xml:space="preserve">Email: </w:t>
      </w:r>
      <w:hyperlink r:id="rId19" w:history="1">
        <w:r w:rsidR="004A077D" w:rsidRPr="00D36EEB">
          <w:rPr>
            <w:rStyle w:val="Hyperlink"/>
          </w:rPr>
          <w:t>media@treasury.gov.au</w:t>
        </w:r>
      </w:hyperlink>
      <w:r w:rsidR="004A077D" w:rsidRPr="00D36EEB">
        <w:t xml:space="preserve"> </w:t>
      </w:r>
    </w:p>
    <w:p w14:paraId="54465BC0" w14:textId="77777777" w:rsidR="000E0B74" w:rsidRPr="00D36EEB" w:rsidRDefault="000E0B74" w:rsidP="000E0B74">
      <w:pPr>
        <w:pStyle w:val="SingleParagraph"/>
        <w:sectPr w:rsidR="000E0B74" w:rsidRPr="00D36EEB"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2A3AB21D" w14:textId="77777777" w:rsidR="000E0B74" w:rsidRPr="00D36EEB" w:rsidRDefault="000E0B74" w:rsidP="00354FBB">
      <w:pPr>
        <w:pStyle w:val="Heading1"/>
      </w:pPr>
      <w:bookmarkStart w:id="1" w:name="_Toc77769299"/>
      <w:bookmarkStart w:id="2" w:name="_Toc77930205"/>
      <w:r w:rsidRPr="00D36EEB">
        <w:lastRenderedPageBreak/>
        <w:t>Contents</w:t>
      </w:r>
      <w:bookmarkEnd w:id="1"/>
      <w:bookmarkEnd w:id="2"/>
    </w:p>
    <w:p w14:paraId="623AAB2C" w14:textId="5D19F275" w:rsidR="00330260" w:rsidRDefault="00257AEE">
      <w:pPr>
        <w:pStyle w:val="TOC1"/>
        <w:rPr>
          <w:rFonts w:asciiTheme="minorHAnsi" w:eastAsiaTheme="minorEastAsia" w:hAnsiTheme="minorHAnsi" w:cstheme="minorBidi"/>
          <w:b w:val="0"/>
          <w:color w:val="auto"/>
        </w:rPr>
      </w:pPr>
      <w:r w:rsidRPr="00D36EEB">
        <w:fldChar w:fldCharType="begin"/>
      </w:r>
      <w:r w:rsidRPr="00D36EEB">
        <w:instrText xml:space="preserve"> TOC \o "1-2" \h \z \t "Heading 3,3,Chart Main Heading,3,Table Main Heading,3,Heading 3 Numbered,3,Table Heading Continued,3" </w:instrText>
      </w:r>
      <w:r w:rsidRPr="00D36EEB">
        <w:fldChar w:fldCharType="separate"/>
      </w:r>
      <w:hyperlink w:anchor="_Toc77930206" w:history="1">
        <w:r w:rsidR="00330260" w:rsidRPr="00BE153B">
          <w:rPr>
            <w:rStyle w:val="Hyperlink"/>
          </w:rPr>
          <w:t>Consultation Process</w:t>
        </w:r>
        <w:r w:rsidR="00330260">
          <w:rPr>
            <w:webHidden/>
          </w:rPr>
          <w:tab/>
        </w:r>
        <w:r w:rsidR="00330260">
          <w:rPr>
            <w:webHidden/>
          </w:rPr>
          <w:fldChar w:fldCharType="begin"/>
        </w:r>
        <w:r w:rsidR="00330260">
          <w:rPr>
            <w:webHidden/>
          </w:rPr>
          <w:instrText xml:space="preserve"> PAGEREF _Toc77930206 \h </w:instrText>
        </w:r>
        <w:r w:rsidR="00330260">
          <w:rPr>
            <w:webHidden/>
          </w:rPr>
        </w:r>
        <w:r w:rsidR="00330260">
          <w:rPr>
            <w:webHidden/>
          </w:rPr>
          <w:fldChar w:fldCharType="separate"/>
        </w:r>
        <w:r w:rsidR="00330260">
          <w:rPr>
            <w:webHidden/>
          </w:rPr>
          <w:t>1</w:t>
        </w:r>
        <w:r w:rsidR="00330260">
          <w:rPr>
            <w:webHidden/>
          </w:rPr>
          <w:fldChar w:fldCharType="end"/>
        </w:r>
      </w:hyperlink>
    </w:p>
    <w:p w14:paraId="7FC59B62" w14:textId="06FBB011" w:rsidR="00330260" w:rsidRDefault="001F29AC">
      <w:pPr>
        <w:pStyle w:val="TOC2"/>
        <w:rPr>
          <w:rFonts w:asciiTheme="minorHAnsi" w:eastAsiaTheme="minorEastAsia" w:hAnsiTheme="minorHAnsi" w:cstheme="minorBidi"/>
          <w:color w:val="auto"/>
          <w:szCs w:val="22"/>
        </w:rPr>
      </w:pPr>
      <w:hyperlink w:anchor="_Toc77930207" w:history="1">
        <w:r w:rsidR="00330260" w:rsidRPr="00BE153B">
          <w:rPr>
            <w:rStyle w:val="Hyperlink"/>
          </w:rPr>
          <w:t>Request for feedback and comments</w:t>
        </w:r>
        <w:r w:rsidR="00330260">
          <w:rPr>
            <w:webHidden/>
          </w:rPr>
          <w:tab/>
        </w:r>
        <w:r w:rsidR="00330260">
          <w:rPr>
            <w:webHidden/>
          </w:rPr>
          <w:fldChar w:fldCharType="begin"/>
        </w:r>
        <w:r w:rsidR="00330260">
          <w:rPr>
            <w:webHidden/>
          </w:rPr>
          <w:instrText xml:space="preserve"> PAGEREF _Toc77930207 \h </w:instrText>
        </w:r>
        <w:r w:rsidR="00330260">
          <w:rPr>
            <w:webHidden/>
          </w:rPr>
        </w:r>
        <w:r w:rsidR="00330260">
          <w:rPr>
            <w:webHidden/>
          </w:rPr>
          <w:fldChar w:fldCharType="separate"/>
        </w:r>
        <w:r w:rsidR="00330260">
          <w:rPr>
            <w:webHidden/>
          </w:rPr>
          <w:t>1</w:t>
        </w:r>
        <w:r w:rsidR="00330260">
          <w:rPr>
            <w:webHidden/>
          </w:rPr>
          <w:fldChar w:fldCharType="end"/>
        </w:r>
      </w:hyperlink>
    </w:p>
    <w:p w14:paraId="5AE70E17" w14:textId="6C24B59D" w:rsidR="00330260" w:rsidRDefault="001F29AC">
      <w:pPr>
        <w:pStyle w:val="TOC1"/>
        <w:rPr>
          <w:rFonts w:asciiTheme="minorHAnsi" w:eastAsiaTheme="minorEastAsia" w:hAnsiTheme="minorHAnsi" w:cstheme="minorBidi"/>
          <w:b w:val="0"/>
          <w:color w:val="auto"/>
        </w:rPr>
      </w:pPr>
      <w:hyperlink w:anchor="_Toc77930208" w:history="1">
        <w:r w:rsidR="00330260" w:rsidRPr="00BE153B">
          <w:rPr>
            <w:rStyle w:val="Hyperlink"/>
          </w:rPr>
          <w:t>Evaluation of the foreign investment reforms</w:t>
        </w:r>
        <w:r w:rsidR="00330260">
          <w:rPr>
            <w:webHidden/>
          </w:rPr>
          <w:tab/>
        </w:r>
        <w:r w:rsidR="00330260">
          <w:rPr>
            <w:webHidden/>
          </w:rPr>
          <w:fldChar w:fldCharType="begin"/>
        </w:r>
        <w:r w:rsidR="00330260">
          <w:rPr>
            <w:webHidden/>
          </w:rPr>
          <w:instrText xml:space="preserve"> PAGEREF _Toc77930208 \h </w:instrText>
        </w:r>
        <w:r w:rsidR="00330260">
          <w:rPr>
            <w:webHidden/>
          </w:rPr>
        </w:r>
        <w:r w:rsidR="00330260">
          <w:rPr>
            <w:webHidden/>
          </w:rPr>
          <w:fldChar w:fldCharType="separate"/>
        </w:r>
        <w:r w:rsidR="00330260">
          <w:rPr>
            <w:webHidden/>
          </w:rPr>
          <w:t>2</w:t>
        </w:r>
        <w:r w:rsidR="00330260">
          <w:rPr>
            <w:webHidden/>
          </w:rPr>
          <w:fldChar w:fldCharType="end"/>
        </w:r>
      </w:hyperlink>
    </w:p>
    <w:p w14:paraId="6D145C33" w14:textId="577B3D00" w:rsidR="00330260" w:rsidRDefault="001F29AC">
      <w:pPr>
        <w:pStyle w:val="TOC2"/>
        <w:tabs>
          <w:tab w:val="left" w:pos="660"/>
        </w:tabs>
        <w:rPr>
          <w:rFonts w:asciiTheme="minorHAnsi" w:eastAsiaTheme="minorEastAsia" w:hAnsiTheme="minorHAnsi" w:cstheme="minorBidi"/>
          <w:color w:val="auto"/>
          <w:szCs w:val="22"/>
        </w:rPr>
      </w:pPr>
      <w:hyperlink w:anchor="_Toc77930209" w:history="1">
        <w:r w:rsidR="00330260" w:rsidRPr="00BE153B">
          <w:rPr>
            <w:rStyle w:val="Hyperlink"/>
          </w:rPr>
          <w:t>1.</w:t>
        </w:r>
        <w:r w:rsidR="00330260">
          <w:rPr>
            <w:rFonts w:asciiTheme="minorHAnsi" w:eastAsiaTheme="minorEastAsia" w:hAnsiTheme="minorHAnsi" w:cstheme="minorBidi"/>
            <w:color w:val="auto"/>
            <w:szCs w:val="22"/>
          </w:rPr>
          <w:tab/>
        </w:r>
        <w:r w:rsidR="00330260" w:rsidRPr="00BE153B">
          <w:rPr>
            <w:rStyle w:val="Hyperlink"/>
          </w:rPr>
          <w:t>Introduction</w:t>
        </w:r>
        <w:r w:rsidR="00330260">
          <w:rPr>
            <w:webHidden/>
          </w:rPr>
          <w:tab/>
        </w:r>
        <w:r w:rsidR="00330260">
          <w:rPr>
            <w:webHidden/>
          </w:rPr>
          <w:fldChar w:fldCharType="begin"/>
        </w:r>
        <w:r w:rsidR="00330260">
          <w:rPr>
            <w:webHidden/>
          </w:rPr>
          <w:instrText xml:space="preserve"> PAGEREF _Toc77930209 \h </w:instrText>
        </w:r>
        <w:r w:rsidR="00330260">
          <w:rPr>
            <w:webHidden/>
          </w:rPr>
        </w:r>
        <w:r w:rsidR="00330260">
          <w:rPr>
            <w:webHidden/>
          </w:rPr>
          <w:fldChar w:fldCharType="separate"/>
        </w:r>
        <w:r w:rsidR="00330260">
          <w:rPr>
            <w:webHidden/>
          </w:rPr>
          <w:t>2</w:t>
        </w:r>
        <w:r w:rsidR="00330260">
          <w:rPr>
            <w:webHidden/>
          </w:rPr>
          <w:fldChar w:fldCharType="end"/>
        </w:r>
      </w:hyperlink>
    </w:p>
    <w:p w14:paraId="4121F42F" w14:textId="44927FB0" w:rsidR="00330260" w:rsidRDefault="001F29AC">
      <w:pPr>
        <w:pStyle w:val="TOC2"/>
        <w:tabs>
          <w:tab w:val="left" w:pos="660"/>
        </w:tabs>
        <w:rPr>
          <w:rFonts w:asciiTheme="minorHAnsi" w:eastAsiaTheme="minorEastAsia" w:hAnsiTheme="minorHAnsi" w:cstheme="minorBidi"/>
          <w:color w:val="auto"/>
          <w:szCs w:val="22"/>
        </w:rPr>
      </w:pPr>
      <w:hyperlink w:anchor="_Toc77930210" w:history="1">
        <w:r w:rsidR="00330260" w:rsidRPr="00BE153B">
          <w:rPr>
            <w:rStyle w:val="Hyperlink"/>
          </w:rPr>
          <w:t>2.</w:t>
        </w:r>
        <w:r w:rsidR="00330260">
          <w:rPr>
            <w:rFonts w:asciiTheme="minorHAnsi" w:eastAsiaTheme="minorEastAsia" w:hAnsiTheme="minorHAnsi" w:cstheme="minorBidi"/>
            <w:color w:val="auto"/>
            <w:szCs w:val="22"/>
          </w:rPr>
          <w:tab/>
        </w:r>
        <w:r w:rsidR="00330260" w:rsidRPr="00BE153B">
          <w:rPr>
            <w:rStyle w:val="Hyperlink"/>
          </w:rPr>
          <w:t>Implementation</w:t>
        </w:r>
        <w:r w:rsidR="00330260">
          <w:rPr>
            <w:webHidden/>
          </w:rPr>
          <w:tab/>
        </w:r>
        <w:r w:rsidR="00330260">
          <w:rPr>
            <w:webHidden/>
          </w:rPr>
          <w:fldChar w:fldCharType="begin"/>
        </w:r>
        <w:r w:rsidR="00330260">
          <w:rPr>
            <w:webHidden/>
          </w:rPr>
          <w:instrText xml:space="preserve"> PAGEREF _Toc77930210 \h </w:instrText>
        </w:r>
        <w:r w:rsidR="00330260">
          <w:rPr>
            <w:webHidden/>
          </w:rPr>
        </w:r>
        <w:r w:rsidR="00330260">
          <w:rPr>
            <w:webHidden/>
          </w:rPr>
          <w:fldChar w:fldCharType="separate"/>
        </w:r>
        <w:r w:rsidR="00330260">
          <w:rPr>
            <w:webHidden/>
          </w:rPr>
          <w:t>3</w:t>
        </w:r>
        <w:r w:rsidR="00330260">
          <w:rPr>
            <w:webHidden/>
          </w:rPr>
          <w:fldChar w:fldCharType="end"/>
        </w:r>
      </w:hyperlink>
    </w:p>
    <w:p w14:paraId="4EA17907" w14:textId="1819B0BC" w:rsidR="00330260" w:rsidRDefault="001F29AC">
      <w:pPr>
        <w:pStyle w:val="TOC2"/>
        <w:tabs>
          <w:tab w:val="left" w:pos="660"/>
        </w:tabs>
        <w:rPr>
          <w:rFonts w:asciiTheme="minorHAnsi" w:eastAsiaTheme="minorEastAsia" w:hAnsiTheme="minorHAnsi" w:cstheme="minorBidi"/>
          <w:color w:val="auto"/>
          <w:szCs w:val="22"/>
        </w:rPr>
      </w:pPr>
      <w:hyperlink w:anchor="_Toc77930211" w:history="1">
        <w:r w:rsidR="00330260" w:rsidRPr="00BE153B">
          <w:rPr>
            <w:rStyle w:val="Hyperlink"/>
          </w:rPr>
          <w:t>3.</w:t>
        </w:r>
        <w:r w:rsidR="00330260">
          <w:rPr>
            <w:rFonts w:asciiTheme="minorHAnsi" w:eastAsiaTheme="minorEastAsia" w:hAnsiTheme="minorHAnsi" w:cstheme="minorBidi"/>
            <w:color w:val="auto"/>
            <w:szCs w:val="22"/>
          </w:rPr>
          <w:tab/>
        </w:r>
        <w:r w:rsidR="00330260" w:rsidRPr="00BE153B">
          <w:rPr>
            <w:rStyle w:val="Hyperlink"/>
          </w:rPr>
          <w:t>Macroeconomic analysis</w:t>
        </w:r>
        <w:r w:rsidR="00330260">
          <w:rPr>
            <w:webHidden/>
          </w:rPr>
          <w:tab/>
        </w:r>
        <w:r w:rsidR="00330260">
          <w:rPr>
            <w:webHidden/>
          </w:rPr>
          <w:fldChar w:fldCharType="begin"/>
        </w:r>
        <w:r w:rsidR="00330260">
          <w:rPr>
            <w:webHidden/>
          </w:rPr>
          <w:instrText xml:space="preserve"> PAGEREF _Toc77930211 \h </w:instrText>
        </w:r>
        <w:r w:rsidR="00330260">
          <w:rPr>
            <w:webHidden/>
          </w:rPr>
        </w:r>
        <w:r w:rsidR="00330260">
          <w:rPr>
            <w:webHidden/>
          </w:rPr>
          <w:fldChar w:fldCharType="separate"/>
        </w:r>
        <w:r w:rsidR="00330260">
          <w:rPr>
            <w:webHidden/>
          </w:rPr>
          <w:t>4</w:t>
        </w:r>
        <w:r w:rsidR="00330260">
          <w:rPr>
            <w:webHidden/>
          </w:rPr>
          <w:fldChar w:fldCharType="end"/>
        </w:r>
      </w:hyperlink>
    </w:p>
    <w:p w14:paraId="23ACE619" w14:textId="06D54C27" w:rsidR="00330260" w:rsidRDefault="001F29AC">
      <w:pPr>
        <w:pStyle w:val="TOC2"/>
        <w:tabs>
          <w:tab w:val="left" w:pos="660"/>
        </w:tabs>
        <w:rPr>
          <w:rFonts w:asciiTheme="minorHAnsi" w:eastAsiaTheme="minorEastAsia" w:hAnsiTheme="minorHAnsi" w:cstheme="minorBidi"/>
          <w:color w:val="auto"/>
          <w:szCs w:val="22"/>
        </w:rPr>
      </w:pPr>
      <w:hyperlink w:anchor="_Toc77930212" w:history="1">
        <w:r w:rsidR="00330260" w:rsidRPr="00BE153B">
          <w:rPr>
            <w:rStyle w:val="Hyperlink"/>
          </w:rPr>
          <w:t>4.</w:t>
        </w:r>
        <w:r w:rsidR="00330260">
          <w:rPr>
            <w:rFonts w:asciiTheme="minorHAnsi" w:eastAsiaTheme="minorEastAsia" w:hAnsiTheme="minorHAnsi" w:cstheme="minorBidi"/>
            <w:color w:val="auto"/>
            <w:szCs w:val="22"/>
          </w:rPr>
          <w:tab/>
        </w:r>
        <w:r w:rsidR="00330260" w:rsidRPr="00BE153B">
          <w:rPr>
            <w:rStyle w:val="Hyperlink"/>
          </w:rPr>
          <w:t>Reform analysis – national security</w:t>
        </w:r>
        <w:r w:rsidR="00330260">
          <w:rPr>
            <w:webHidden/>
          </w:rPr>
          <w:tab/>
        </w:r>
        <w:r w:rsidR="00330260">
          <w:rPr>
            <w:webHidden/>
          </w:rPr>
          <w:fldChar w:fldCharType="begin"/>
        </w:r>
        <w:r w:rsidR="00330260">
          <w:rPr>
            <w:webHidden/>
          </w:rPr>
          <w:instrText xml:space="preserve"> PAGEREF _Toc77930212 \h </w:instrText>
        </w:r>
        <w:r w:rsidR="00330260">
          <w:rPr>
            <w:webHidden/>
          </w:rPr>
        </w:r>
        <w:r w:rsidR="00330260">
          <w:rPr>
            <w:webHidden/>
          </w:rPr>
          <w:fldChar w:fldCharType="separate"/>
        </w:r>
        <w:r w:rsidR="00330260">
          <w:rPr>
            <w:webHidden/>
          </w:rPr>
          <w:t>4</w:t>
        </w:r>
        <w:r w:rsidR="00330260">
          <w:rPr>
            <w:webHidden/>
          </w:rPr>
          <w:fldChar w:fldCharType="end"/>
        </w:r>
      </w:hyperlink>
    </w:p>
    <w:p w14:paraId="3B041DC8" w14:textId="695A072E" w:rsidR="00330260" w:rsidRDefault="001F29AC">
      <w:pPr>
        <w:pStyle w:val="TOC2"/>
        <w:tabs>
          <w:tab w:val="left" w:pos="660"/>
        </w:tabs>
        <w:rPr>
          <w:rFonts w:asciiTheme="minorHAnsi" w:eastAsiaTheme="minorEastAsia" w:hAnsiTheme="minorHAnsi" w:cstheme="minorBidi"/>
          <w:color w:val="auto"/>
          <w:szCs w:val="22"/>
        </w:rPr>
      </w:pPr>
      <w:hyperlink w:anchor="_Toc77930213" w:history="1">
        <w:r w:rsidR="00330260" w:rsidRPr="00BE153B">
          <w:rPr>
            <w:rStyle w:val="Hyperlink"/>
          </w:rPr>
          <w:t>5.</w:t>
        </w:r>
        <w:r w:rsidR="00330260">
          <w:rPr>
            <w:rFonts w:asciiTheme="minorHAnsi" w:eastAsiaTheme="minorEastAsia" w:hAnsiTheme="minorHAnsi" w:cstheme="minorBidi"/>
            <w:color w:val="auto"/>
            <w:szCs w:val="22"/>
          </w:rPr>
          <w:tab/>
        </w:r>
        <w:r w:rsidR="00330260" w:rsidRPr="00BE153B">
          <w:rPr>
            <w:rStyle w:val="Hyperlink"/>
          </w:rPr>
          <w:t>Reform analysis – compliance</w:t>
        </w:r>
        <w:r w:rsidR="00330260">
          <w:rPr>
            <w:webHidden/>
          </w:rPr>
          <w:tab/>
        </w:r>
        <w:r w:rsidR="00330260">
          <w:rPr>
            <w:webHidden/>
          </w:rPr>
          <w:fldChar w:fldCharType="begin"/>
        </w:r>
        <w:r w:rsidR="00330260">
          <w:rPr>
            <w:webHidden/>
          </w:rPr>
          <w:instrText xml:space="preserve"> PAGEREF _Toc77930213 \h </w:instrText>
        </w:r>
        <w:r w:rsidR="00330260">
          <w:rPr>
            <w:webHidden/>
          </w:rPr>
        </w:r>
        <w:r w:rsidR="00330260">
          <w:rPr>
            <w:webHidden/>
          </w:rPr>
          <w:fldChar w:fldCharType="separate"/>
        </w:r>
        <w:r w:rsidR="00330260">
          <w:rPr>
            <w:webHidden/>
          </w:rPr>
          <w:t>5</w:t>
        </w:r>
        <w:r w:rsidR="00330260">
          <w:rPr>
            <w:webHidden/>
          </w:rPr>
          <w:fldChar w:fldCharType="end"/>
        </w:r>
      </w:hyperlink>
    </w:p>
    <w:p w14:paraId="27F74D30" w14:textId="4616B05B" w:rsidR="00330260" w:rsidRDefault="001F29AC">
      <w:pPr>
        <w:pStyle w:val="TOC2"/>
        <w:tabs>
          <w:tab w:val="left" w:pos="660"/>
        </w:tabs>
        <w:rPr>
          <w:rFonts w:asciiTheme="minorHAnsi" w:eastAsiaTheme="minorEastAsia" w:hAnsiTheme="minorHAnsi" w:cstheme="minorBidi"/>
          <w:color w:val="auto"/>
          <w:szCs w:val="22"/>
        </w:rPr>
      </w:pPr>
      <w:hyperlink w:anchor="_Toc77930214" w:history="1">
        <w:r w:rsidR="00330260" w:rsidRPr="00BE153B">
          <w:rPr>
            <w:rStyle w:val="Hyperlink"/>
          </w:rPr>
          <w:t>6.</w:t>
        </w:r>
        <w:r w:rsidR="00330260">
          <w:rPr>
            <w:rFonts w:asciiTheme="minorHAnsi" w:eastAsiaTheme="minorEastAsia" w:hAnsiTheme="minorHAnsi" w:cstheme="minorBidi"/>
            <w:color w:val="auto"/>
            <w:szCs w:val="22"/>
          </w:rPr>
          <w:tab/>
        </w:r>
        <w:r w:rsidR="00330260" w:rsidRPr="00BE153B">
          <w:rPr>
            <w:rStyle w:val="Hyperlink"/>
          </w:rPr>
          <w:t>Reform analysis – streamlining</w:t>
        </w:r>
        <w:r w:rsidR="00330260">
          <w:rPr>
            <w:webHidden/>
          </w:rPr>
          <w:tab/>
        </w:r>
        <w:r w:rsidR="00330260">
          <w:rPr>
            <w:webHidden/>
          </w:rPr>
          <w:fldChar w:fldCharType="begin"/>
        </w:r>
        <w:r w:rsidR="00330260">
          <w:rPr>
            <w:webHidden/>
          </w:rPr>
          <w:instrText xml:space="preserve"> PAGEREF _Toc77930214 \h </w:instrText>
        </w:r>
        <w:r w:rsidR="00330260">
          <w:rPr>
            <w:webHidden/>
          </w:rPr>
        </w:r>
        <w:r w:rsidR="00330260">
          <w:rPr>
            <w:webHidden/>
          </w:rPr>
          <w:fldChar w:fldCharType="separate"/>
        </w:r>
        <w:r w:rsidR="00330260">
          <w:rPr>
            <w:webHidden/>
          </w:rPr>
          <w:t>5</w:t>
        </w:r>
        <w:r w:rsidR="00330260">
          <w:rPr>
            <w:webHidden/>
          </w:rPr>
          <w:fldChar w:fldCharType="end"/>
        </w:r>
      </w:hyperlink>
    </w:p>
    <w:p w14:paraId="5558E182" w14:textId="7B026D59" w:rsidR="00330260" w:rsidRDefault="001F29AC">
      <w:pPr>
        <w:pStyle w:val="TOC2"/>
        <w:tabs>
          <w:tab w:val="left" w:pos="660"/>
        </w:tabs>
        <w:rPr>
          <w:rFonts w:asciiTheme="minorHAnsi" w:eastAsiaTheme="minorEastAsia" w:hAnsiTheme="minorHAnsi" w:cstheme="minorBidi"/>
          <w:color w:val="auto"/>
          <w:szCs w:val="22"/>
        </w:rPr>
      </w:pPr>
      <w:hyperlink w:anchor="_Toc77930215" w:history="1">
        <w:r w:rsidR="00330260" w:rsidRPr="00BE153B">
          <w:rPr>
            <w:rStyle w:val="Hyperlink"/>
          </w:rPr>
          <w:t>7.</w:t>
        </w:r>
        <w:r w:rsidR="00330260">
          <w:rPr>
            <w:rFonts w:asciiTheme="minorHAnsi" w:eastAsiaTheme="minorEastAsia" w:hAnsiTheme="minorHAnsi" w:cstheme="minorBidi"/>
            <w:color w:val="auto"/>
            <w:szCs w:val="22"/>
          </w:rPr>
          <w:tab/>
        </w:r>
        <w:r w:rsidR="00330260" w:rsidRPr="00BE153B">
          <w:rPr>
            <w:rStyle w:val="Hyperlink"/>
          </w:rPr>
          <w:t>Reform analysis – fees</w:t>
        </w:r>
        <w:r w:rsidR="00330260">
          <w:rPr>
            <w:webHidden/>
          </w:rPr>
          <w:tab/>
        </w:r>
        <w:r w:rsidR="00330260">
          <w:rPr>
            <w:webHidden/>
          </w:rPr>
          <w:fldChar w:fldCharType="begin"/>
        </w:r>
        <w:r w:rsidR="00330260">
          <w:rPr>
            <w:webHidden/>
          </w:rPr>
          <w:instrText xml:space="preserve"> PAGEREF _Toc77930215 \h </w:instrText>
        </w:r>
        <w:r w:rsidR="00330260">
          <w:rPr>
            <w:webHidden/>
          </w:rPr>
        </w:r>
        <w:r w:rsidR="00330260">
          <w:rPr>
            <w:webHidden/>
          </w:rPr>
          <w:fldChar w:fldCharType="separate"/>
        </w:r>
        <w:r w:rsidR="00330260">
          <w:rPr>
            <w:webHidden/>
          </w:rPr>
          <w:t>6</w:t>
        </w:r>
        <w:r w:rsidR="00330260">
          <w:rPr>
            <w:webHidden/>
          </w:rPr>
          <w:fldChar w:fldCharType="end"/>
        </w:r>
      </w:hyperlink>
    </w:p>
    <w:p w14:paraId="4DD02579" w14:textId="51275538" w:rsidR="00330260" w:rsidRDefault="001F29AC">
      <w:pPr>
        <w:pStyle w:val="TOC2"/>
        <w:tabs>
          <w:tab w:val="left" w:pos="660"/>
        </w:tabs>
        <w:rPr>
          <w:rFonts w:asciiTheme="minorHAnsi" w:eastAsiaTheme="minorEastAsia" w:hAnsiTheme="minorHAnsi" w:cstheme="minorBidi"/>
          <w:color w:val="auto"/>
          <w:szCs w:val="22"/>
        </w:rPr>
      </w:pPr>
      <w:hyperlink w:anchor="_Toc77930216" w:history="1">
        <w:r w:rsidR="00330260" w:rsidRPr="00BE153B">
          <w:rPr>
            <w:rStyle w:val="Hyperlink"/>
          </w:rPr>
          <w:t>8.</w:t>
        </w:r>
        <w:r w:rsidR="00330260">
          <w:rPr>
            <w:rFonts w:asciiTheme="minorHAnsi" w:eastAsiaTheme="minorEastAsia" w:hAnsiTheme="minorHAnsi" w:cstheme="minorBidi"/>
            <w:color w:val="auto"/>
            <w:szCs w:val="22"/>
          </w:rPr>
          <w:tab/>
        </w:r>
        <w:r w:rsidR="00330260" w:rsidRPr="00BE153B">
          <w:rPr>
            <w:rStyle w:val="Hyperlink"/>
          </w:rPr>
          <w:t>Other matters</w:t>
        </w:r>
        <w:r w:rsidR="00330260">
          <w:rPr>
            <w:webHidden/>
          </w:rPr>
          <w:tab/>
        </w:r>
        <w:r w:rsidR="00330260">
          <w:rPr>
            <w:webHidden/>
          </w:rPr>
          <w:fldChar w:fldCharType="begin"/>
        </w:r>
        <w:r w:rsidR="00330260">
          <w:rPr>
            <w:webHidden/>
          </w:rPr>
          <w:instrText xml:space="preserve"> PAGEREF _Toc77930216 \h </w:instrText>
        </w:r>
        <w:r w:rsidR="00330260">
          <w:rPr>
            <w:webHidden/>
          </w:rPr>
        </w:r>
        <w:r w:rsidR="00330260">
          <w:rPr>
            <w:webHidden/>
          </w:rPr>
          <w:fldChar w:fldCharType="separate"/>
        </w:r>
        <w:r w:rsidR="00330260">
          <w:rPr>
            <w:webHidden/>
          </w:rPr>
          <w:t>6</w:t>
        </w:r>
        <w:r w:rsidR="00330260">
          <w:rPr>
            <w:webHidden/>
          </w:rPr>
          <w:fldChar w:fldCharType="end"/>
        </w:r>
      </w:hyperlink>
    </w:p>
    <w:p w14:paraId="74CF29E2" w14:textId="453A665A" w:rsidR="000E0B74" w:rsidRPr="00D36EEB" w:rsidRDefault="00257AEE" w:rsidP="00656356">
      <w:pPr>
        <w:pStyle w:val="SingleParagraph"/>
        <w:tabs>
          <w:tab w:val="right" w:leader="dot" w:pos="9072"/>
        </w:tabs>
        <w:ind w:right="-2"/>
        <w:sectPr w:rsidR="000E0B74" w:rsidRPr="00D36EEB" w:rsidSect="00475B7B">
          <w:pgSz w:w="11906" w:h="16838" w:code="9"/>
          <w:pgMar w:top="1418" w:right="1418" w:bottom="1418" w:left="1418" w:header="709" w:footer="709" w:gutter="0"/>
          <w:pgNumType w:fmt="lowerRoman"/>
          <w:cols w:space="708"/>
          <w:titlePg/>
          <w:docGrid w:linePitch="360"/>
        </w:sectPr>
      </w:pPr>
      <w:r w:rsidRPr="00D36EEB">
        <w:rPr>
          <w:noProof/>
          <w:color w:val="004A7F"/>
          <w:szCs w:val="22"/>
        </w:rPr>
        <w:fldChar w:fldCharType="end"/>
      </w:r>
    </w:p>
    <w:p w14:paraId="4A86C6C0" w14:textId="77777777" w:rsidR="000E0B74" w:rsidRPr="00D36EEB" w:rsidRDefault="000E0B74" w:rsidP="00354FBB">
      <w:pPr>
        <w:pStyle w:val="Heading1"/>
      </w:pPr>
      <w:bookmarkStart w:id="3" w:name="_Toc77930206"/>
      <w:bookmarkStart w:id="4" w:name="_Toc432067103"/>
      <w:r w:rsidRPr="00D36EEB">
        <w:lastRenderedPageBreak/>
        <w:t>Consultation Process</w:t>
      </w:r>
      <w:bookmarkEnd w:id="3"/>
    </w:p>
    <w:p w14:paraId="2F839323" w14:textId="77777777" w:rsidR="000E0B74" w:rsidRPr="00D36EEB" w:rsidRDefault="000E0B74" w:rsidP="000E0B74">
      <w:pPr>
        <w:pStyle w:val="Heading2"/>
      </w:pPr>
      <w:bookmarkStart w:id="5" w:name="_Toc77930207"/>
      <w:r w:rsidRPr="00D36EEB">
        <w:t>Request for feedback and comments</w:t>
      </w:r>
      <w:bookmarkEnd w:id="5"/>
    </w:p>
    <w:p w14:paraId="590D1B0C" w14:textId="60FB7C6B" w:rsidR="00154F99" w:rsidRPr="00D36EEB" w:rsidRDefault="00F83CD4" w:rsidP="00154F99">
      <w:pPr>
        <w:jc w:val="both"/>
      </w:pPr>
      <w:r w:rsidRPr="00D36EEB">
        <w:t xml:space="preserve">In accordance with section 4 of the </w:t>
      </w:r>
      <w:r w:rsidRPr="00D36EEB">
        <w:rPr>
          <w:i/>
          <w:iCs/>
        </w:rPr>
        <w:t>Foreign Investment Reform (Protecting Australia’s National Security) Act 2020</w:t>
      </w:r>
      <w:r w:rsidRPr="00D36EEB">
        <w:t>, the Treasury is conducting an evaluation of the operation of the foreign investment reforms, which commenced on 1 January 2021.</w:t>
      </w:r>
      <w:r w:rsidR="00154F99" w:rsidRPr="00D36EEB">
        <w:t xml:space="preserve"> The evaluation is required to be completed by</w:t>
      </w:r>
      <w:r w:rsidR="00654C61" w:rsidRPr="00D36EEB">
        <w:t> </w:t>
      </w:r>
      <w:r w:rsidR="001743F5" w:rsidRPr="00D36EEB">
        <w:t>10</w:t>
      </w:r>
      <w:r w:rsidR="00766EC1" w:rsidRPr="00D36EEB">
        <w:t> </w:t>
      </w:r>
      <w:r w:rsidR="00154F99" w:rsidRPr="00D36EEB">
        <w:t>December 2021.</w:t>
      </w:r>
    </w:p>
    <w:p w14:paraId="65B061F5" w14:textId="263B1833" w:rsidR="000E0B74" w:rsidRPr="00D36EEB" w:rsidRDefault="008076BB" w:rsidP="00154F99">
      <w:pPr>
        <w:jc w:val="both"/>
      </w:pPr>
      <w:r w:rsidRPr="00D36EEB">
        <w:t>The Treasury invites interested stakeholders to make written submissions on the operation and performance of</w:t>
      </w:r>
      <w:r w:rsidR="00F83CD4" w:rsidRPr="00D36EEB">
        <w:t xml:space="preserve"> the reforms </w:t>
      </w:r>
      <w:r w:rsidRPr="00D36EEB">
        <w:t xml:space="preserve">to inform </w:t>
      </w:r>
      <w:r w:rsidR="00F83CD4" w:rsidRPr="00D36EEB">
        <w:t>this</w:t>
      </w:r>
      <w:r w:rsidRPr="00D36EEB">
        <w:t xml:space="preserve"> evaluation. </w:t>
      </w:r>
      <w:r w:rsidR="00F83CD4" w:rsidRPr="00D36EEB">
        <w:t>While stakeholders are welcome to comment on any element of the reforms</w:t>
      </w:r>
      <w:r w:rsidR="005B0D76">
        <w:t>,</w:t>
      </w:r>
      <w:r w:rsidR="00F83CD4" w:rsidRPr="00D36EEB">
        <w:t xml:space="preserve"> </w:t>
      </w:r>
      <w:r w:rsidR="005B0D76">
        <w:t xml:space="preserve">or Australia’s foreign investment framework more broadly, </w:t>
      </w:r>
      <w:r w:rsidR="00F83CD4" w:rsidRPr="00D36EEB">
        <w:t>t</w:t>
      </w:r>
      <w:r w:rsidRPr="00D36EEB">
        <w:t xml:space="preserve">his paper </w:t>
      </w:r>
      <w:r w:rsidR="00154F99" w:rsidRPr="00D36EEB">
        <w:t xml:space="preserve">outlines </w:t>
      </w:r>
      <w:proofErr w:type="gramStart"/>
      <w:r w:rsidR="005B0D76">
        <w:t>a number of</w:t>
      </w:r>
      <w:proofErr w:type="gramEnd"/>
      <w:r w:rsidR="005B0D76">
        <w:t xml:space="preserve"> key</w:t>
      </w:r>
      <w:r w:rsidR="00154F99" w:rsidRPr="00D36EEB">
        <w:t xml:space="preserve"> </w:t>
      </w:r>
      <w:r w:rsidR="001E285C" w:rsidRPr="00D36EEB">
        <w:t xml:space="preserve">matters </w:t>
      </w:r>
      <w:r w:rsidR="005B0D76">
        <w:t>stakeholders</w:t>
      </w:r>
      <w:r w:rsidR="00154F99" w:rsidRPr="00D36EEB">
        <w:t xml:space="preserve"> </w:t>
      </w:r>
      <w:r w:rsidRPr="00D36EEB">
        <w:t xml:space="preserve">may </w:t>
      </w:r>
      <w:r w:rsidR="005B0D76">
        <w:t xml:space="preserve">wish to comment on, in order to </w:t>
      </w:r>
      <w:r w:rsidRPr="00D36EEB">
        <w:t>assist stakeholders in framing their submissions.</w:t>
      </w:r>
    </w:p>
    <w:p w14:paraId="3AAACF58" w14:textId="431F09C8" w:rsidR="000E0B74" w:rsidRPr="00D36EEB" w:rsidRDefault="00654C61" w:rsidP="00B83384">
      <w:pPr>
        <w:spacing w:after="240"/>
      </w:pPr>
      <w:r w:rsidRPr="00D36EEB">
        <w:t>Please note the principles outlined in this paper are intended only to facilitate feedback, and do not represent the final views of the Government.</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4"/>
        <w:gridCol w:w="7546"/>
      </w:tblGrid>
      <w:tr w:rsidR="00654C61" w:rsidRPr="00D36EEB" w14:paraId="67D6197F" w14:textId="77777777" w:rsidTr="00F4570C">
        <w:tc>
          <w:tcPr>
            <w:tcW w:w="9060" w:type="dxa"/>
            <w:gridSpan w:val="2"/>
            <w:shd w:val="clear" w:color="auto" w:fill="auto"/>
          </w:tcPr>
          <w:p w14:paraId="34EC49C0" w14:textId="6C81BE36" w:rsidR="00654C61" w:rsidRPr="00D36EEB" w:rsidRDefault="000A2B9B" w:rsidP="00516785">
            <w:pPr>
              <w:rPr>
                <w:rFonts w:cs="Arial"/>
                <w:sz w:val="28"/>
                <w:szCs w:val="28"/>
              </w:rPr>
            </w:pPr>
            <w:r w:rsidRPr="00D36EEB">
              <w:rPr>
                <w:color w:val="00818F" w:themeColor="accent5"/>
                <w:sz w:val="28"/>
                <w:szCs w:val="28"/>
              </w:rPr>
              <w:t xml:space="preserve">Closing date for submissions: </w:t>
            </w:r>
            <w:r w:rsidR="00BC4606">
              <w:rPr>
                <w:color w:val="00818F" w:themeColor="accent5"/>
                <w:sz w:val="28"/>
                <w:szCs w:val="28"/>
              </w:rPr>
              <w:t>31</w:t>
            </w:r>
            <w:r w:rsidRPr="00BC4606">
              <w:rPr>
                <w:color w:val="00818F" w:themeColor="accent5"/>
                <w:sz w:val="28"/>
                <w:szCs w:val="28"/>
              </w:rPr>
              <w:t xml:space="preserve"> August 2021</w:t>
            </w:r>
          </w:p>
        </w:tc>
      </w:tr>
      <w:tr w:rsidR="000E0B74" w:rsidRPr="00D36EEB" w14:paraId="775244DF" w14:textId="77777777" w:rsidTr="00F4570C">
        <w:tc>
          <w:tcPr>
            <w:tcW w:w="1514" w:type="dxa"/>
            <w:shd w:val="clear" w:color="auto" w:fill="auto"/>
          </w:tcPr>
          <w:p w14:paraId="45E1268E" w14:textId="77777777" w:rsidR="000E0B74" w:rsidRPr="00D36EEB" w:rsidRDefault="000E0B74" w:rsidP="0017089D">
            <w:pPr>
              <w:rPr>
                <w:sz w:val="22"/>
                <w:szCs w:val="22"/>
              </w:rPr>
            </w:pPr>
            <w:r w:rsidRPr="00D36EEB">
              <w:rPr>
                <w:sz w:val="22"/>
                <w:szCs w:val="22"/>
              </w:rPr>
              <w:t>Email</w:t>
            </w:r>
          </w:p>
        </w:tc>
        <w:tc>
          <w:tcPr>
            <w:tcW w:w="7546" w:type="dxa"/>
            <w:shd w:val="clear" w:color="auto" w:fill="auto"/>
          </w:tcPr>
          <w:p w14:paraId="6990E947" w14:textId="79B18793" w:rsidR="000E0B74" w:rsidRPr="00D36EEB" w:rsidRDefault="00774B5E" w:rsidP="00516785">
            <w:pPr>
              <w:rPr>
                <w:sz w:val="22"/>
                <w:szCs w:val="22"/>
              </w:rPr>
            </w:pPr>
            <w:r w:rsidRPr="00D36EEB">
              <w:rPr>
                <w:rFonts w:cs="Arial"/>
                <w:sz w:val="22"/>
                <w:szCs w:val="24"/>
              </w:rPr>
              <w:t>FIRBStakeholders@treasury.gov.au</w:t>
            </w:r>
          </w:p>
        </w:tc>
      </w:tr>
      <w:tr w:rsidR="000E0B74" w:rsidRPr="00D36EEB" w14:paraId="0CAF1FF7" w14:textId="77777777" w:rsidTr="00F4570C">
        <w:tc>
          <w:tcPr>
            <w:tcW w:w="1514" w:type="dxa"/>
            <w:shd w:val="clear" w:color="auto" w:fill="auto"/>
          </w:tcPr>
          <w:p w14:paraId="2A29176C" w14:textId="77777777" w:rsidR="000E0B74" w:rsidRPr="00D36EEB" w:rsidRDefault="000E0B74" w:rsidP="0017089D">
            <w:pPr>
              <w:rPr>
                <w:sz w:val="22"/>
                <w:szCs w:val="22"/>
              </w:rPr>
            </w:pPr>
            <w:r w:rsidRPr="00D36EEB">
              <w:rPr>
                <w:sz w:val="22"/>
                <w:szCs w:val="22"/>
              </w:rPr>
              <w:t>Mail</w:t>
            </w:r>
          </w:p>
          <w:p w14:paraId="0574602E" w14:textId="77777777" w:rsidR="008D7F38" w:rsidRPr="00D36EEB" w:rsidRDefault="008D7F38" w:rsidP="0017089D">
            <w:pPr>
              <w:rPr>
                <w:sz w:val="22"/>
                <w:szCs w:val="22"/>
              </w:rPr>
            </w:pPr>
          </w:p>
          <w:p w14:paraId="5C9A854C" w14:textId="77777777" w:rsidR="008D7F38" w:rsidRPr="00D36EEB" w:rsidRDefault="008D7F38" w:rsidP="0017089D">
            <w:pPr>
              <w:rPr>
                <w:sz w:val="22"/>
                <w:szCs w:val="22"/>
              </w:rPr>
            </w:pPr>
          </w:p>
        </w:tc>
        <w:tc>
          <w:tcPr>
            <w:tcW w:w="7546" w:type="dxa"/>
            <w:shd w:val="clear" w:color="auto" w:fill="auto"/>
          </w:tcPr>
          <w:p w14:paraId="2EF8A47B" w14:textId="41D8BC42" w:rsidR="000E0B74" w:rsidRPr="00D36EEB" w:rsidRDefault="00774B5E" w:rsidP="007D28CE">
            <w:pPr>
              <w:spacing w:after="0"/>
              <w:rPr>
                <w:rFonts w:cs="Arial"/>
                <w:sz w:val="24"/>
                <w:szCs w:val="24"/>
              </w:rPr>
            </w:pPr>
            <w:r w:rsidRPr="00D36EEB">
              <w:rPr>
                <w:sz w:val="22"/>
                <w:szCs w:val="22"/>
              </w:rPr>
              <w:t>Manager</w:t>
            </w:r>
          </w:p>
          <w:p w14:paraId="13CABD6E" w14:textId="70C893AA" w:rsidR="000E0B74" w:rsidRPr="00D36EEB" w:rsidRDefault="00774B5E" w:rsidP="0017089D">
            <w:pPr>
              <w:pStyle w:val="SingleParagraph"/>
              <w:rPr>
                <w:rFonts w:cs="Arial"/>
                <w:sz w:val="22"/>
                <w:szCs w:val="22"/>
              </w:rPr>
            </w:pPr>
            <w:r w:rsidRPr="00D36EEB">
              <w:rPr>
                <w:rFonts w:cs="Arial"/>
                <w:sz w:val="22"/>
                <w:szCs w:val="24"/>
              </w:rPr>
              <w:t>Policy Framework Unit, Foreign Investment Division</w:t>
            </w:r>
          </w:p>
          <w:p w14:paraId="63D1E805" w14:textId="77777777" w:rsidR="000E0B74" w:rsidRPr="00D36EEB" w:rsidRDefault="000E0B74" w:rsidP="0017089D">
            <w:pPr>
              <w:pStyle w:val="SingleParagraph"/>
              <w:rPr>
                <w:rFonts w:cs="Arial"/>
                <w:sz w:val="22"/>
                <w:szCs w:val="22"/>
              </w:rPr>
            </w:pPr>
            <w:r w:rsidRPr="00D36EEB">
              <w:rPr>
                <w:rFonts w:cs="Arial"/>
                <w:sz w:val="22"/>
                <w:szCs w:val="22"/>
              </w:rPr>
              <w:t>The Treasury</w:t>
            </w:r>
          </w:p>
          <w:p w14:paraId="06BEF777" w14:textId="77777777" w:rsidR="000E0B74" w:rsidRPr="00D36EEB" w:rsidRDefault="000E0B74" w:rsidP="0017089D">
            <w:pPr>
              <w:pStyle w:val="SingleParagraph"/>
              <w:rPr>
                <w:rFonts w:cs="Arial"/>
                <w:sz w:val="22"/>
                <w:szCs w:val="22"/>
              </w:rPr>
            </w:pPr>
            <w:r w:rsidRPr="00D36EEB">
              <w:rPr>
                <w:rFonts w:cs="Arial"/>
                <w:sz w:val="22"/>
                <w:szCs w:val="22"/>
              </w:rPr>
              <w:t>Langton Crescent</w:t>
            </w:r>
          </w:p>
          <w:p w14:paraId="67283611" w14:textId="77777777" w:rsidR="000E0B74" w:rsidRPr="00D36EEB" w:rsidRDefault="000E0B74" w:rsidP="00B83384">
            <w:pPr>
              <w:pStyle w:val="SingleParagraph"/>
              <w:spacing w:after="120"/>
              <w:rPr>
                <w:sz w:val="22"/>
                <w:szCs w:val="22"/>
              </w:rPr>
            </w:pPr>
            <w:r w:rsidRPr="00D36EEB">
              <w:rPr>
                <w:sz w:val="22"/>
                <w:szCs w:val="22"/>
              </w:rPr>
              <w:t>PARKES ACT 2600</w:t>
            </w:r>
          </w:p>
        </w:tc>
      </w:tr>
      <w:tr w:rsidR="000E0B74" w:rsidRPr="00D36EEB" w14:paraId="1E384B50" w14:textId="77777777" w:rsidTr="00F4570C">
        <w:tc>
          <w:tcPr>
            <w:tcW w:w="1514" w:type="dxa"/>
            <w:shd w:val="clear" w:color="auto" w:fill="auto"/>
          </w:tcPr>
          <w:p w14:paraId="356A0EE3" w14:textId="77777777" w:rsidR="000E0B74" w:rsidRPr="00D36EEB" w:rsidRDefault="000E0B74" w:rsidP="0017089D">
            <w:pPr>
              <w:rPr>
                <w:sz w:val="22"/>
                <w:szCs w:val="22"/>
              </w:rPr>
            </w:pPr>
            <w:r w:rsidRPr="00D36EEB">
              <w:rPr>
                <w:sz w:val="22"/>
                <w:szCs w:val="22"/>
              </w:rPr>
              <w:t>Enquiries</w:t>
            </w:r>
          </w:p>
        </w:tc>
        <w:tc>
          <w:tcPr>
            <w:tcW w:w="7546" w:type="dxa"/>
            <w:shd w:val="clear" w:color="auto" w:fill="auto"/>
          </w:tcPr>
          <w:p w14:paraId="2C778340" w14:textId="3192DD3A" w:rsidR="000E0B74" w:rsidRPr="00D36EEB" w:rsidRDefault="00154F99" w:rsidP="000A2B9B">
            <w:pPr>
              <w:spacing w:after="0"/>
              <w:rPr>
                <w:rFonts w:cs="Arial"/>
                <w:sz w:val="22"/>
                <w:szCs w:val="24"/>
              </w:rPr>
            </w:pPr>
            <w:r w:rsidRPr="00D36EEB">
              <w:rPr>
                <w:rFonts w:cs="Arial"/>
                <w:sz w:val="22"/>
                <w:szCs w:val="24"/>
              </w:rPr>
              <w:t>FIRBStakeholders@treasury.gov.au</w:t>
            </w:r>
          </w:p>
          <w:p w14:paraId="40C9F13B" w14:textId="79E9FCF5" w:rsidR="00154F99" w:rsidRPr="00D36EEB" w:rsidRDefault="00154F99" w:rsidP="000A2B9B">
            <w:pPr>
              <w:spacing w:before="0"/>
              <w:rPr>
                <w:sz w:val="22"/>
                <w:szCs w:val="22"/>
              </w:rPr>
            </w:pPr>
            <w:r w:rsidRPr="00D36EEB">
              <w:rPr>
                <w:rFonts w:cs="Arial"/>
                <w:sz w:val="22"/>
                <w:szCs w:val="22"/>
              </w:rPr>
              <w:t>02 6263 3795</w:t>
            </w:r>
          </w:p>
        </w:tc>
      </w:tr>
    </w:tbl>
    <w:bookmarkEnd w:id="4"/>
    <w:p w14:paraId="4F0C224C" w14:textId="77777777" w:rsidR="00F4570C" w:rsidRPr="00D36EEB" w:rsidRDefault="00F4570C" w:rsidP="00AF2669">
      <w:pPr>
        <w:spacing w:before="240"/>
        <w:jc w:val="both"/>
      </w:pPr>
      <w:r w:rsidRPr="00D36EEB">
        <w:t>While submissions may be lodged electronically or by post, electronic lodgement is preferred. For accessibility reasons, please submit responses sent via email in a Word or RTF format. An additional PDF version may also be submitted.</w:t>
      </w:r>
    </w:p>
    <w:p w14:paraId="1F8C8E16" w14:textId="77777777" w:rsidR="00F4570C" w:rsidRPr="00D36EEB" w:rsidRDefault="00F4570C" w:rsidP="00AF2669">
      <w:pPr>
        <w:jc w:val="both"/>
      </w:pPr>
      <w:r w:rsidRPr="00D36EEB">
        <w:t>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w:t>
      </w:r>
    </w:p>
    <w:p w14:paraId="6E33989D" w14:textId="77777777" w:rsidR="00F4570C" w:rsidRPr="00D36EEB" w:rsidRDefault="00F4570C" w:rsidP="00AF2669">
      <w:pPr>
        <w:jc w:val="both"/>
      </w:pPr>
      <w:r w:rsidRPr="00D36EEB">
        <w:t>Legal requirements, such as those imposed by the </w:t>
      </w:r>
      <w:r w:rsidRPr="00D36EEB">
        <w:rPr>
          <w:i/>
          <w:iCs/>
        </w:rPr>
        <w:t>Freedom of Information Act 1982</w:t>
      </w:r>
      <w:r w:rsidRPr="00D36EEB">
        <w:t>, may affect the confidentiality of your submission.</w:t>
      </w:r>
    </w:p>
    <w:p w14:paraId="4C72A8D5" w14:textId="6C06AA69" w:rsidR="00F4570C" w:rsidRPr="00D36EEB" w:rsidRDefault="00F4570C" w:rsidP="00AF2669">
      <w:pPr>
        <w:jc w:val="both"/>
      </w:pPr>
      <w:r w:rsidRPr="00D36EEB">
        <w:t xml:space="preserve">View our submission guidelines </w:t>
      </w:r>
      <w:hyperlink r:id="rId23" w:history="1">
        <w:r w:rsidR="00B83384" w:rsidRPr="00D36EEB">
          <w:rPr>
            <w:rStyle w:val="Hyperlink"/>
          </w:rPr>
          <w:t>here</w:t>
        </w:r>
        <w:r w:rsidRPr="00D36EEB">
          <w:rPr>
            <w:rStyle w:val="Hyperlink"/>
          </w:rPr>
          <w:t> </w:t>
        </w:r>
      </w:hyperlink>
      <w:r w:rsidRPr="00D36EEB">
        <w:t>for further information.</w:t>
      </w:r>
    </w:p>
    <w:p w14:paraId="6A6291EB" w14:textId="77777777" w:rsidR="00E10D39" w:rsidRPr="00D36EEB" w:rsidRDefault="00E10D39" w:rsidP="0007102C"/>
    <w:p w14:paraId="1FAEE829" w14:textId="77777777" w:rsidR="008D7F38" w:rsidRPr="00D36EEB" w:rsidRDefault="008D7F38" w:rsidP="008D7F38"/>
    <w:p w14:paraId="140D4324" w14:textId="77777777" w:rsidR="00E10D39" w:rsidRPr="00D36EEB" w:rsidRDefault="00E10D39">
      <w:pPr>
        <w:spacing w:before="0" w:after="160" w:line="259" w:lineRule="auto"/>
        <w:rPr>
          <w:rFonts w:cs="Arial"/>
          <w:color w:val="004A7F"/>
          <w:kern w:val="32"/>
          <w:sz w:val="48"/>
          <w:szCs w:val="36"/>
        </w:rPr>
      </w:pPr>
      <w:r w:rsidRPr="00D36EEB">
        <w:br w:type="page"/>
      </w:r>
    </w:p>
    <w:p w14:paraId="5BD5722D" w14:textId="1A6C1A6E" w:rsidR="000E0B74" w:rsidRPr="00D36EEB" w:rsidRDefault="00774B5E" w:rsidP="00354FBB">
      <w:pPr>
        <w:pStyle w:val="Heading1"/>
      </w:pPr>
      <w:bookmarkStart w:id="6" w:name="_Toc77930208"/>
      <w:r w:rsidRPr="00D36EEB">
        <w:lastRenderedPageBreak/>
        <w:t>Evaluation of the foreign investment reforms</w:t>
      </w:r>
      <w:bookmarkEnd w:id="6"/>
    </w:p>
    <w:p w14:paraId="268A07BC" w14:textId="3477610E" w:rsidR="000E0B74" w:rsidRPr="00D36EEB" w:rsidRDefault="000E0B74" w:rsidP="00DF733B">
      <w:pPr>
        <w:pStyle w:val="Heading2"/>
        <w:numPr>
          <w:ilvl w:val="0"/>
          <w:numId w:val="43"/>
        </w:numPr>
      </w:pPr>
      <w:bookmarkStart w:id="7" w:name="_Toc306887371"/>
      <w:bookmarkStart w:id="8" w:name="_Toc432064635"/>
      <w:bookmarkStart w:id="9" w:name="_Toc77930209"/>
      <w:r w:rsidRPr="00D36EEB">
        <w:t>Introduction</w:t>
      </w:r>
      <w:bookmarkEnd w:id="7"/>
      <w:bookmarkEnd w:id="8"/>
      <w:bookmarkEnd w:id="9"/>
    </w:p>
    <w:p w14:paraId="1E7E217B" w14:textId="77777777" w:rsidR="00BD6CB2" w:rsidRPr="00D36EEB" w:rsidRDefault="00BD6CB2" w:rsidP="009A2D08">
      <w:pPr>
        <w:jc w:val="both"/>
      </w:pPr>
      <w:r w:rsidRPr="00D36EEB">
        <w:t>Foreign investment is, and will continue to be, vital to Australia’s economic growth and prosperity. By supplementing domestic savings, foreign investment facilitates a greater level of investment in the economy than would otherwise be possible.</w:t>
      </w:r>
    </w:p>
    <w:p w14:paraId="67D74033" w14:textId="77777777" w:rsidR="00BD6CB2" w:rsidRPr="00D36EEB" w:rsidRDefault="00BD6CB2" w:rsidP="009A2D08">
      <w:pPr>
        <w:jc w:val="both"/>
      </w:pPr>
      <w:r w:rsidRPr="00D36EEB">
        <w:t>Over recent years however, the risks from foreign investment to Australia’s national interest, particularly our national security, have increased due to a confluence of developments including rapid technological change and changes in the international security environment.</w:t>
      </w:r>
    </w:p>
    <w:p w14:paraId="47C6E089" w14:textId="3A9689F7" w:rsidR="00BD6CB2" w:rsidRPr="00D36EEB" w:rsidRDefault="00BD6CB2" w:rsidP="009A2D08">
      <w:pPr>
        <w:jc w:val="both"/>
      </w:pPr>
      <w:r w:rsidRPr="00D36EEB">
        <w:t xml:space="preserve">On 1 January 2021, major reforms to Australia’s foreign investment review framework came into effect to address these risks and improve the overall operation of the framework. </w:t>
      </w:r>
    </w:p>
    <w:p w14:paraId="33A0B2D9" w14:textId="3A371D74" w:rsidR="00BD6CB2" w:rsidRPr="00D36EEB" w:rsidRDefault="00BE3A44" w:rsidP="009A2D08">
      <w:pPr>
        <w:jc w:val="both"/>
      </w:pPr>
      <w:r w:rsidRPr="00D36EEB">
        <w:t>The reforms updated the framework in three broad ways: they addressed national security risks</w:t>
      </w:r>
      <w:r w:rsidR="008076BB" w:rsidRPr="00D36EEB">
        <w:t>;</w:t>
      </w:r>
      <w:r w:rsidRPr="00D36EEB">
        <w:t xml:space="preserve"> strengthened the existing system, including in relation to compliance</w:t>
      </w:r>
      <w:r w:rsidR="008076BB" w:rsidRPr="00D36EEB">
        <w:t>;</w:t>
      </w:r>
      <w:r w:rsidRPr="00D36EEB">
        <w:t xml:space="preserve"> and streamlined investment in non-sensitive businesses. </w:t>
      </w:r>
      <w:r w:rsidR="00BD6CB2" w:rsidRPr="00D36EEB">
        <w:t>The reforms also set up a framework to establish a register of foreign ownership of Australian assets</w:t>
      </w:r>
      <w:r w:rsidR="00654BA5" w:rsidRPr="00D36EEB">
        <w:t>. The reforms</w:t>
      </w:r>
      <w:r w:rsidR="00BD6CB2" w:rsidRPr="00D36EEB">
        <w:t xml:space="preserve"> are supported by additional funding for the Treasury to upgrade its foreign investment case management system</w:t>
      </w:r>
      <w:r w:rsidR="00CA564A" w:rsidRPr="00D36EEB">
        <w:t xml:space="preserve"> and </w:t>
      </w:r>
      <w:r w:rsidR="002D2213" w:rsidRPr="00D36EEB">
        <w:t>uplift its capability as the regulator of foreign investment in Australia</w:t>
      </w:r>
      <w:r w:rsidR="00BD6CB2" w:rsidRPr="00D36EEB">
        <w:t>.</w:t>
      </w:r>
    </w:p>
    <w:p w14:paraId="36FA08D2" w14:textId="570BEDBF" w:rsidR="00BD6CB2" w:rsidRPr="00D36EEB" w:rsidRDefault="00BD6CB2" w:rsidP="009A2D08">
      <w:pPr>
        <w:jc w:val="both"/>
      </w:pPr>
      <w:r w:rsidRPr="00D36EEB">
        <w:t>Significant stakeholder consultation was undertaken during 2020 to inform the development of these reforms. The Treasury</w:t>
      </w:r>
      <w:r w:rsidR="0064512F" w:rsidRPr="00D36EEB">
        <w:t>’s</w:t>
      </w:r>
      <w:r w:rsidR="0071225D" w:rsidRPr="00D36EEB">
        <w:t xml:space="preserve"> </w:t>
      </w:r>
      <w:r w:rsidR="003C38AE" w:rsidRPr="00D36EEB">
        <w:t>consultation</w:t>
      </w:r>
      <w:r w:rsidR="0064512F" w:rsidRPr="00D36EEB">
        <w:t>s</w:t>
      </w:r>
      <w:r w:rsidRPr="00D36EEB">
        <w:t xml:space="preserve"> reach</w:t>
      </w:r>
      <w:r w:rsidR="0064512F" w:rsidRPr="00D36EEB">
        <w:t>ed</w:t>
      </w:r>
      <w:r w:rsidRPr="00D36EEB">
        <w:t xml:space="preserve"> over </w:t>
      </w:r>
      <w:r w:rsidR="003C38AE" w:rsidRPr="00D36EEB">
        <w:t>2</w:t>
      </w:r>
      <w:r w:rsidRPr="00D36EEB">
        <w:t>,000 stakeholders, including</w:t>
      </w:r>
      <w:r w:rsidR="003C38AE" w:rsidRPr="00D36EEB">
        <w:t xml:space="preserve"> </w:t>
      </w:r>
      <w:r w:rsidRPr="00D36EEB">
        <w:t xml:space="preserve">legal practitioners, foreign governments, institutional investors, business councils and peak bodies, relevant government agencies, and the broader community. </w:t>
      </w:r>
    </w:p>
    <w:p w14:paraId="31313FE6" w14:textId="6819AE0C" w:rsidR="00BD6CB2" w:rsidRPr="00D36EEB" w:rsidRDefault="00BD6CB2" w:rsidP="009A2D08">
      <w:pPr>
        <w:jc w:val="both"/>
      </w:pPr>
      <w:r w:rsidRPr="00D36EEB">
        <w:t xml:space="preserve">The reforms were enacted through the </w:t>
      </w:r>
      <w:r w:rsidRPr="00D36EEB">
        <w:rPr>
          <w:i/>
          <w:iCs/>
        </w:rPr>
        <w:t>Foreign Investment Reform (Protecting Australia’s National Security) Act 2020</w:t>
      </w:r>
      <w:r w:rsidRPr="00D36EEB">
        <w:t xml:space="preserve"> and the </w:t>
      </w:r>
      <w:r w:rsidRPr="00D36EEB">
        <w:rPr>
          <w:i/>
          <w:iCs/>
        </w:rPr>
        <w:t>Foreign Acquisitions and Takeovers Fees Imposition Amendment Act 2020</w:t>
      </w:r>
      <w:r w:rsidRPr="00D36EEB">
        <w:t>, along with supporting regulations</w:t>
      </w:r>
      <w:r w:rsidR="00F46013">
        <w:t>:</w:t>
      </w:r>
      <w:r w:rsidRPr="00D36EEB">
        <w:t xml:space="preserve"> the </w:t>
      </w:r>
      <w:r w:rsidRPr="00D36EEB">
        <w:rPr>
          <w:i/>
          <w:iCs/>
        </w:rPr>
        <w:t>Foreign Investment Reform (Protecting Australia’s National Security) Regulations 2020</w:t>
      </w:r>
      <w:r w:rsidRPr="00D36EEB">
        <w:t xml:space="preserve"> and the </w:t>
      </w:r>
      <w:r w:rsidRPr="00D36EEB">
        <w:rPr>
          <w:i/>
          <w:iCs/>
        </w:rPr>
        <w:t>Foreign Acquisitions and Takeovers Fees Imposition Regulations 2020</w:t>
      </w:r>
      <w:r w:rsidRPr="00D36EEB">
        <w:t xml:space="preserve"> – herein together referred to as the ‘Reform Acts’.</w:t>
      </w:r>
    </w:p>
    <w:p w14:paraId="6B85BB41" w14:textId="17CE1F2C" w:rsidR="00BD6CB2" w:rsidRPr="00D36EEB" w:rsidRDefault="00BD6CB2" w:rsidP="009A2D08">
      <w:pPr>
        <w:jc w:val="both"/>
      </w:pPr>
      <w:r w:rsidRPr="00D36EEB">
        <w:t xml:space="preserve">In accordance with section 4 of the </w:t>
      </w:r>
      <w:r w:rsidRPr="00D36EEB">
        <w:rPr>
          <w:i/>
          <w:iCs/>
        </w:rPr>
        <w:t>Foreign Investment Reform (Protecting Australia’s National Security) Act 2020</w:t>
      </w:r>
      <w:r w:rsidRPr="00D36EEB">
        <w:t xml:space="preserve">, the </w:t>
      </w:r>
      <w:r w:rsidR="00DA0666" w:rsidRPr="00D36EEB">
        <w:t xml:space="preserve">Secretary to the </w:t>
      </w:r>
      <w:r w:rsidRPr="00D36EEB">
        <w:t xml:space="preserve">Treasury is required to </w:t>
      </w:r>
      <w:r w:rsidR="00FA2633" w:rsidRPr="00D36EEB">
        <w:t>complete</w:t>
      </w:r>
      <w:r w:rsidR="00486403" w:rsidRPr="00D36EEB">
        <w:t xml:space="preserve"> </w:t>
      </w:r>
      <w:r w:rsidRPr="00D36EEB">
        <w:t xml:space="preserve">an evaluation of the operation of these reforms by </w:t>
      </w:r>
      <w:r w:rsidR="001D0754" w:rsidRPr="00D36EEB">
        <w:t xml:space="preserve">10 </w:t>
      </w:r>
      <w:r w:rsidRPr="00D36EEB">
        <w:t xml:space="preserve">December 2021. </w:t>
      </w:r>
    </w:p>
    <w:p w14:paraId="046D8B67" w14:textId="7D77D458" w:rsidR="00BD6CB2" w:rsidRPr="00D36EEB" w:rsidRDefault="00BD6CB2" w:rsidP="009A2D08">
      <w:pPr>
        <w:jc w:val="both"/>
      </w:pPr>
      <w:r w:rsidRPr="00D36EEB">
        <w:t xml:space="preserve">The evaluation is </w:t>
      </w:r>
      <w:r w:rsidR="00673317" w:rsidRPr="00D36EEB">
        <w:t xml:space="preserve">to </w:t>
      </w:r>
      <w:r w:rsidRPr="00D36EEB">
        <w:t>consider the impact the reforms and their implementation have had on foreign investment in Australia and the broader Australian economy, and whether the right balance is struck between welcoming foreign investment and protecting Australia’s national interests.</w:t>
      </w:r>
    </w:p>
    <w:p w14:paraId="5C802140" w14:textId="4C352792" w:rsidR="006A6494" w:rsidRPr="00D36EEB" w:rsidRDefault="00BD6CB2" w:rsidP="009A2D08">
      <w:pPr>
        <w:jc w:val="both"/>
      </w:pPr>
      <w:r w:rsidRPr="00D36EEB">
        <w:t>In accordance with the requirements of the Reform Acts to commence the evaluation by 10</w:t>
      </w:r>
      <w:r w:rsidR="009A2D08" w:rsidRPr="00D36EEB">
        <w:t> </w:t>
      </w:r>
      <w:r w:rsidRPr="00D36EEB">
        <w:t>January</w:t>
      </w:r>
      <w:r w:rsidR="009A2D08" w:rsidRPr="00D36EEB">
        <w:t> </w:t>
      </w:r>
      <w:r w:rsidRPr="00D36EEB">
        <w:t>2021, the Terms of Reference (</w:t>
      </w:r>
      <w:proofErr w:type="spellStart"/>
      <w:r w:rsidRPr="00D36EEB">
        <w:t>ToR</w:t>
      </w:r>
      <w:proofErr w:type="spellEnd"/>
      <w:r w:rsidRPr="00D36EEB">
        <w:t xml:space="preserve">) were agreed on 8 January 2021. </w:t>
      </w:r>
    </w:p>
    <w:p w14:paraId="7800CA55" w14:textId="1F8F42B6" w:rsidR="00567A6B" w:rsidRPr="00D36EEB" w:rsidRDefault="00567A6B" w:rsidP="009A2D08">
      <w:pPr>
        <w:jc w:val="both"/>
      </w:pPr>
      <w:r w:rsidRPr="00D36EEB">
        <w:t xml:space="preserve">In a statement posted on the Treasury website on 19 February 2021, the Treasury published the </w:t>
      </w:r>
      <w:proofErr w:type="spellStart"/>
      <w:r w:rsidRPr="00D36EEB">
        <w:t>ToR</w:t>
      </w:r>
      <w:proofErr w:type="spellEnd"/>
      <w:r w:rsidR="00F55790" w:rsidRPr="00D36EEB">
        <w:t xml:space="preserve"> </w:t>
      </w:r>
      <w:r w:rsidR="006E41CA" w:rsidRPr="00D36EEB">
        <w:t>but</w:t>
      </w:r>
      <w:r w:rsidR="00F55790" w:rsidRPr="00D36EEB">
        <w:t xml:space="preserve"> advis</w:t>
      </w:r>
      <w:r w:rsidR="006E41CA" w:rsidRPr="00D36EEB">
        <w:t>ed</w:t>
      </w:r>
      <w:r w:rsidR="00F55790" w:rsidRPr="00D36EEB">
        <w:t xml:space="preserve"> th</w:t>
      </w:r>
      <w:r w:rsidR="006A6494" w:rsidRPr="00D36EEB">
        <w:t>e</w:t>
      </w:r>
      <w:r w:rsidR="00F55790" w:rsidRPr="00D36EEB">
        <w:t xml:space="preserve"> </w:t>
      </w:r>
      <w:proofErr w:type="spellStart"/>
      <w:r w:rsidR="00F55790" w:rsidRPr="00D36EEB">
        <w:t>ToR</w:t>
      </w:r>
      <w:proofErr w:type="spellEnd"/>
      <w:r w:rsidR="00F55790" w:rsidRPr="00D36EEB">
        <w:t xml:space="preserve"> would be reconsidered mid</w:t>
      </w:r>
      <w:r w:rsidR="00F55790" w:rsidRPr="00D36EEB">
        <w:noBreakHyphen/>
        <w:t xml:space="preserve">year to ensure they remain fit for purpose. </w:t>
      </w:r>
      <w:r w:rsidR="001D0754" w:rsidRPr="00D36EEB">
        <w:t xml:space="preserve">The statement also </w:t>
      </w:r>
      <w:r w:rsidR="006A6494" w:rsidRPr="00D36EEB">
        <w:t>a</w:t>
      </w:r>
      <w:r w:rsidRPr="00D36EEB">
        <w:t>nnounc</w:t>
      </w:r>
      <w:r w:rsidR="006A6494" w:rsidRPr="00D36EEB">
        <w:t>ed</w:t>
      </w:r>
      <w:r w:rsidRPr="00D36EEB">
        <w:t xml:space="preserve"> the commencement of the stakeholder consultation process for the evaluation</w:t>
      </w:r>
      <w:r w:rsidR="006A6494" w:rsidRPr="00D36EEB">
        <w:t>,</w:t>
      </w:r>
      <w:r w:rsidR="001D0754" w:rsidRPr="00D36EEB">
        <w:t xml:space="preserve"> yet</w:t>
      </w:r>
      <w:r w:rsidR="006A6494" w:rsidRPr="00D36EEB">
        <w:t xml:space="preserve"> noted that formal written submissions would be invited later in 2021</w:t>
      </w:r>
      <w:r w:rsidR="009A2D08" w:rsidRPr="00D36EEB">
        <w:t xml:space="preserve"> in</w:t>
      </w:r>
      <w:r w:rsidRPr="00D36EEB">
        <w:t xml:space="preserve"> recognition that the reforms had only just commenced and that</w:t>
      </w:r>
      <w:r w:rsidR="009A2D08" w:rsidRPr="00D36EEB">
        <w:t xml:space="preserve"> any</w:t>
      </w:r>
      <w:r w:rsidRPr="00D36EEB">
        <w:t xml:space="preserve"> impacts may take some time to become more</w:t>
      </w:r>
      <w:r w:rsidR="009A2D08" w:rsidRPr="00D36EEB">
        <w:t> </w:t>
      </w:r>
      <w:r w:rsidRPr="00D36EEB">
        <w:t>apparent</w:t>
      </w:r>
      <w:r w:rsidR="006E41CA" w:rsidRPr="00D36EEB">
        <w:t>.</w:t>
      </w:r>
    </w:p>
    <w:p w14:paraId="79899959" w14:textId="16B7E645" w:rsidR="00BD6CB2" w:rsidRPr="00D36EEB" w:rsidRDefault="00F46013" w:rsidP="009A2D08">
      <w:pPr>
        <w:jc w:val="both"/>
      </w:pPr>
      <w:r>
        <w:t>The Treasury can advise that</w:t>
      </w:r>
      <w:r w:rsidR="00BD6CB2" w:rsidRPr="00D36EEB">
        <w:t xml:space="preserve"> the </w:t>
      </w:r>
      <w:proofErr w:type="spellStart"/>
      <w:r w:rsidR="00BD6CB2" w:rsidRPr="00D36EEB">
        <w:t>ToR</w:t>
      </w:r>
      <w:proofErr w:type="spellEnd"/>
      <w:r w:rsidR="00BD6CB2" w:rsidRPr="00D36EEB">
        <w:t xml:space="preserve"> remain unchanged.</w:t>
      </w:r>
    </w:p>
    <w:p w14:paraId="60E4393B" w14:textId="124CCB8B" w:rsidR="00BD6CB2" w:rsidRPr="00D36EEB" w:rsidRDefault="00BD6CB2" w:rsidP="009A2D08">
      <w:pPr>
        <w:jc w:val="both"/>
      </w:pPr>
      <w:r w:rsidRPr="00D36EEB">
        <w:t>This paper now seeks formal written submissions from stakeholders to inform the Treasury’s evaluation process. While stakeholders are welcome to comment on any element of the reforms</w:t>
      </w:r>
      <w:r w:rsidR="00610168" w:rsidRPr="00D36EEB">
        <w:t xml:space="preserve"> or </w:t>
      </w:r>
      <w:r w:rsidR="00610168" w:rsidRPr="00D36EEB">
        <w:lastRenderedPageBreak/>
        <w:t>the foreign investment review framework overall</w:t>
      </w:r>
      <w:r w:rsidRPr="00D36EEB">
        <w:t>, the Treasury is particularly interested in hearing from stakeholders on the following matters</w:t>
      </w:r>
      <w:r w:rsidR="009A2D08" w:rsidRPr="00D36EEB">
        <w:t>.</w:t>
      </w:r>
    </w:p>
    <w:p w14:paraId="6DF85078" w14:textId="6E11B81D" w:rsidR="000E0B74" w:rsidRPr="00D36EEB" w:rsidRDefault="008F3E4C" w:rsidP="00DF733B">
      <w:pPr>
        <w:pStyle w:val="Heading2"/>
        <w:numPr>
          <w:ilvl w:val="0"/>
          <w:numId w:val="43"/>
        </w:numPr>
      </w:pPr>
      <w:bookmarkStart w:id="10" w:name="_Toc77930210"/>
      <w:r w:rsidRPr="00D36EEB">
        <w:t>Implementation</w:t>
      </w:r>
      <w:bookmarkEnd w:id="10"/>
    </w:p>
    <w:p w14:paraId="79CF22B3" w14:textId="11CB5161" w:rsidR="00147EE6" w:rsidRPr="00D36EEB" w:rsidRDefault="00147EE6" w:rsidP="009A2D08">
      <w:pPr>
        <w:jc w:val="both"/>
      </w:pPr>
      <w:r w:rsidRPr="00D36EEB">
        <w:t xml:space="preserve">Since the Reform Acts were passed by the Parliament </w:t>
      </w:r>
      <w:r w:rsidR="006F6A45" w:rsidRPr="00D36EEB">
        <w:t>on 9</w:t>
      </w:r>
      <w:r w:rsidRPr="00D36EEB">
        <w:t xml:space="preserve"> December 2020, the Treasury has worked to bed down the reforms and support investors through the </w:t>
      </w:r>
      <w:r w:rsidR="00AB06F3" w:rsidRPr="00D36EEB">
        <w:t>transition period</w:t>
      </w:r>
      <w:r w:rsidRPr="00D36EEB">
        <w:t>. For example, the</w:t>
      </w:r>
      <w:r w:rsidR="00611A5C">
        <w:t> </w:t>
      </w:r>
      <w:r w:rsidRPr="00D36EEB">
        <w:t>Treasury:</w:t>
      </w:r>
    </w:p>
    <w:p w14:paraId="1A7314CE" w14:textId="77777777" w:rsidR="00147EE6" w:rsidRPr="00D36EEB" w:rsidRDefault="00147EE6" w:rsidP="009A2D08">
      <w:pPr>
        <w:pStyle w:val="Bullet"/>
        <w:jc w:val="both"/>
      </w:pPr>
      <w:r w:rsidRPr="00F323A3">
        <w:t>updated the Foreign Investment Review Board (FIRB) website and Guidance Notes in late 2020, t</w:t>
      </w:r>
      <w:r w:rsidRPr="00D36EEB">
        <w:t>o provide supporting guidance on the new elements of the reforms (most notably, national security), introduce a more coherent structure, and improve useability (including reducing the total number of Guidance Notes from 53 to 15);</w:t>
      </w:r>
    </w:p>
    <w:p w14:paraId="4BF1EC57" w14:textId="6038F6D5" w:rsidR="00147EE6" w:rsidRPr="00D36EEB" w:rsidRDefault="00147EE6" w:rsidP="009A2D08">
      <w:pPr>
        <w:pStyle w:val="Bullet"/>
        <w:jc w:val="both"/>
      </w:pPr>
      <w:r w:rsidRPr="00D36EEB">
        <w:t>published a Transitional Guidance Note to address investors</w:t>
      </w:r>
      <w:r w:rsidR="00D71BAE" w:rsidRPr="00D36EEB">
        <w:t>’</w:t>
      </w:r>
      <w:r w:rsidRPr="00D36EEB">
        <w:t xml:space="preserve"> questions about the transition from the pre-reform system (including the temporary COVID-19 measures) to the post-reform system; </w:t>
      </w:r>
    </w:p>
    <w:p w14:paraId="1B04A6B7" w14:textId="24A2B3C1" w:rsidR="00147EE6" w:rsidRPr="00D36EEB" w:rsidRDefault="00147EE6" w:rsidP="009A2D08">
      <w:pPr>
        <w:pStyle w:val="Bullet"/>
        <w:jc w:val="both"/>
      </w:pPr>
      <w:r w:rsidRPr="00D36EEB">
        <w:t xml:space="preserve">further updated the Guidance Notes on </w:t>
      </w:r>
      <w:r w:rsidR="00E872CE">
        <w:t>21</w:t>
      </w:r>
      <w:r w:rsidRPr="00D36EEB">
        <w:t xml:space="preserve"> July 2021, in response to </w:t>
      </w:r>
      <w:r w:rsidR="005E1846" w:rsidRPr="00D36EEB">
        <w:t xml:space="preserve">matters </w:t>
      </w:r>
      <w:r w:rsidRPr="00D36EEB">
        <w:t>identified by the</w:t>
      </w:r>
      <w:r w:rsidR="007F29D8" w:rsidRPr="00D36EEB">
        <w:t> </w:t>
      </w:r>
      <w:r w:rsidRPr="00D36EEB">
        <w:t>Treasury, the Australian Taxation Office (ATO) and stakeholders during the first six months of the</w:t>
      </w:r>
      <w:r w:rsidR="007F29D8" w:rsidRPr="00D36EEB">
        <w:t> </w:t>
      </w:r>
      <w:r w:rsidRPr="00D36EEB">
        <w:t>reforms;</w:t>
      </w:r>
    </w:p>
    <w:p w14:paraId="1C7C7D8B" w14:textId="04177878" w:rsidR="00147EE6" w:rsidRPr="00D36EEB" w:rsidRDefault="001E285C" w:rsidP="009A2D08">
      <w:pPr>
        <w:pStyle w:val="Bullet"/>
        <w:jc w:val="both"/>
      </w:pPr>
      <w:r w:rsidRPr="00D36EEB">
        <w:t xml:space="preserve">implemented a near doubling in </w:t>
      </w:r>
      <w:r w:rsidR="003A306C" w:rsidRPr="00D36EEB">
        <w:t xml:space="preserve">the budgeted number of permanent staff dedicated to </w:t>
      </w:r>
      <w:r w:rsidR="00147EE6" w:rsidRPr="00D36EEB">
        <w:t xml:space="preserve">the </w:t>
      </w:r>
      <w:r w:rsidR="003A306C" w:rsidRPr="00D36EEB">
        <w:t>f</w:t>
      </w:r>
      <w:r w:rsidR="00147EE6" w:rsidRPr="00D36EEB">
        <w:t xml:space="preserve">oreign </w:t>
      </w:r>
      <w:r w:rsidR="003A306C" w:rsidRPr="00D36EEB">
        <w:t>i</w:t>
      </w:r>
      <w:r w:rsidR="00147EE6" w:rsidRPr="00D36EEB">
        <w:t xml:space="preserve">nvestment </w:t>
      </w:r>
      <w:r w:rsidR="003A306C" w:rsidRPr="00D36EEB">
        <w:t>framework fro</w:t>
      </w:r>
      <w:r w:rsidR="003A306C" w:rsidRPr="00BC4606">
        <w:t>m January 2020</w:t>
      </w:r>
      <w:r w:rsidR="00147EE6" w:rsidRPr="00BC4606">
        <w:t>; a</w:t>
      </w:r>
      <w:r w:rsidR="00147EE6" w:rsidRPr="00D36EEB">
        <w:t xml:space="preserve">nd </w:t>
      </w:r>
    </w:p>
    <w:p w14:paraId="6EE906C6" w14:textId="77777777" w:rsidR="00147EE6" w:rsidRPr="00D36EEB" w:rsidRDefault="00147EE6" w:rsidP="009A2D08">
      <w:pPr>
        <w:pStyle w:val="Bullet"/>
        <w:jc w:val="both"/>
      </w:pPr>
      <w:r w:rsidRPr="00D36EEB">
        <w:t>has continued to engage closely with its stakeholders, both domestic and international, including through face-to-face meetings, online briefings, and via phone and email.</w:t>
      </w:r>
    </w:p>
    <w:p w14:paraId="7CB5CC7E" w14:textId="5D893E2E" w:rsidR="00147EE6" w:rsidRPr="00D36EEB" w:rsidRDefault="00147EE6" w:rsidP="009A2D08">
      <w:pPr>
        <w:jc w:val="both"/>
      </w:pPr>
      <w:r w:rsidRPr="00D36EEB">
        <w:t xml:space="preserve">The reforms commenced amid unusual economic circumstances </w:t>
      </w:r>
      <w:r w:rsidR="00F46013">
        <w:t>due</w:t>
      </w:r>
      <w:r w:rsidRPr="00D36EEB">
        <w:t xml:space="preserve"> to the COVID-19 pandemic. In response to the economic disruption of the pandemic and the risk that the value of many Australian businesses could fall below the existing screening thresholds, in March 2020 the Government temporarily lowered </w:t>
      </w:r>
      <w:proofErr w:type="gramStart"/>
      <w:r w:rsidRPr="00D36EEB">
        <w:t>all of</w:t>
      </w:r>
      <w:proofErr w:type="gramEnd"/>
      <w:r w:rsidRPr="00D36EEB">
        <w:t xml:space="preserve"> the foreign investment monetary screening thresholds to zero dollars. This </w:t>
      </w:r>
      <w:proofErr w:type="gramStart"/>
      <w:r w:rsidRPr="00D36EEB">
        <w:t>zero dollar</w:t>
      </w:r>
      <w:proofErr w:type="gramEnd"/>
      <w:r w:rsidRPr="00D36EEB">
        <w:t xml:space="preserve"> threshold improved the Government’s visibility of foreign investments made into Australia during this period by significantly increasing the number of foreign investment applications submitted for processing. </w:t>
      </w:r>
    </w:p>
    <w:p w14:paraId="36D27C0A" w14:textId="5955FFE2" w:rsidR="00147EE6" w:rsidRPr="00D36EEB" w:rsidRDefault="00147EE6" w:rsidP="009A2D08">
      <w:pPr>
        <w:jc w:val="both"/>
        <w:rPr>
          <w:szCs w:val="22"/>
        </w:rPr>
      </w:pPr>
      <w:r w:rsidRPr="00D36EEB">
        <w:rPr>
          <w:szCs w:val="22"/>
        </w:rPr>
        <w:t xml:space="preserve">The extra caseload arising from </w:t>
      </w:r>
      <w:proofErr w:type="gramStart"/>
      <w:r w:rsidRPr="00D36EEB">
        <w:rPr>
          <w:szCs w:val="22"/>
        </w:rPr>
        <w:t>zero dollar</w:t>
      </w:r>
      <w:proofErr w:type="gramEnd"/>
      <w:r w:rsidRPr="00D36EEB">
        <w:rPr>
          <w:szCs w:val="22"/>
        </w:rPr>
        <w:t xml:space="preserve"> screening resulted in a stock of outstanding cases </w:t>
      </w:r>
      <w:r w:rsidR="00B15385" w:rsidRPr="00D36EEB">
        <w:rPr>
          <w:szCs w:val="22"/>
        </w:rPr>
        <w:t xml:space="preserve">that transitioned into the new system on </w:t>
      </w:r>
      <w:r w:rsidRPr="00D36EEB">
        <w:rPr>
          <w:szCs w:val="22"/>
        </w:rPr>
        <w:t xml:space="preserve">1 January 2021, when the reforms commenced and the zero dollar thresholds were removed. </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F27EE7" w:rsidRPr="00D36EEB" w14:paraId="65CE38D6" w14:textId="77777777" w:rsidTr="004D620D">
        <w:tc>
          <w:tcPr>
            <w:tcW w:w="9016" w:type="dxa"/>
            <w:tcBorders>
              <w:bottom w:val="nil"/>
            </w:tcBorders>
            <w:shd w:val="clear" w:color="auto" w:fill="EBEBEB"/>
          </w:tcPr>
          <w:p w14:paraId="02B78932" w14:textId="77777777" w:rsidR="00F27EE7" w:rsidRPr="00D36EEB" w:rsidRDefault="00F27EE7" w:rsidP="009A2D08">
            <w:pPr>
              <w:rPr>
                <w:b/>
                <w:bCs/>
                <w:sz w:val="22"/>
                <w:szCs w:val="22"/>
              </w:rPr>
            </w:pPr>
            <w:r w:rsidRPr="00D36EEB">
              <w:rPr>
                <w:b/>
                <w:bCs/>
                <w:sz w:val="22"/>
                <w:szCs w:val="22"/>
              </w:rPr>
              <w:t>Consultation questions</w:t>
            </w:r>
          </w:p>
          <w:p w14:paraId="5616EC73" w14:textId="4BE2005C" w:rsidR="00F27EE7" w:rsidRPr="00D36EEB" w:rsidRDefault="00F27EE7" w:rsidP="009A2D08">
            <w:pPr>
              <w:rPr>
                <w:sz w:val="22"/>
                <w:szCs w:val="22"/>
              </w:rPr>
            </w:pPr>
            <w:r w:rsidRPr="00D36EEB">
              <w:rPr>
                <w:sz w:val="22"/>
                <w:szCs w:val="22"/>
              </w:rPr>
              <w:t>To inform the evaluation, the Treasury is interested in hearing from stakeholders with regards to:</w:t>
            </w:r>
          </w:p>
          <w:p w14:paraId="4879D4D7" w14:textId="202BC516" w:rsidR="00F27EE7" w:rsidRPr="00D36EEB" w:rsidRDefault="00F27EE7" w:rsidP="009A2D08">
            <w:pPr>
              <w:pStyle w:val="OutlineNumbered2"/>
              <w:rPr>
                <w:sz w:val="22"/>
                <w:szCs w:val="22"/>
              </w:rPr>
            </w:pPr>
            <w:r w:rsidRPr="00D36EEB">
              <w:rPr>
                <w:sz w:val="22"/>
                <w:szCs w:val="22"/>
              </w:rPr>
              <w:t>whether the updated FIRB website and Guidance Notes have</w:t>
            </w:r>
            <w:r w:rsidR="0071225D" w:rsidRPr="00D36EEB">
              <w:rPr>
                <w:sz w:val="22"/>
                <w:szCs w:val="22"/>
              </w:rPr>
              <w:t xml:space="preserve"> aided</w:t>
            </w:r>
            <w:r w:rsidRPr="00D36EEB">
              <w:rPr>
                <w:sz w:val="22"/>
                <w:szCs w:val="22"/>
              </w:rPr>
              <w:t xml:space="preserve"> </w:t>
            </w:r>
            <w:r w:rsidR="00CC10F2" w:rsidRPr="00D36EEB">
              <w:rPr>
                <w:sz w:val="22"/>
                <w:szCs w:val="22"/>
              </w:rPr>
              <w:t>investors’</w:t>
            </w:r>
            <w:r w:rsidRPr="00D36EEB">
              <w:rPr>
                <w:sz w:val="22"/>
                <w:szCs w:val="22"/>
              </w:rPr>
              <w:t xml:space="preserve"> understanding of the new foreign investment framework and investors</w:t>
            </w:r>
            <w:r w:rsidR="00D71BAE" w:rsidRPr="00D36EEB">
              <w:rPr>
                <w:sz w:val="22"/>
                <w:szCs w:val="22"/>
              </w:rPr>
              <w:t>’</w:t>
            </w:r>
            <w:r w:rsidRPr="00D36EEB">
              <w:rPr>
                <w:sz w:val="22"/>
                <w:szCs w:val="22"/>
              </w:rPr>
              <w:t xml:space="preserve"> obligations under the framework</w:t>
            </w:r>
            <w:r w:rsidR="00A11EDD" w:rsidRPr="00D36EEB">
              <w:rPr>
                <w:sz w:val="22"/>
                <w:szCs w:val="22"/>
              </w:rPr>
              <w:t>;</w:t>
            </w:r>
          </w:p>
          <w:p w14:paraId="04E71D84" w14:textId="31DA633A" w:rsidR="00F27EE7" w:rsidRPr="00D36EEB" w:rsidRDefault="00F27EE7" w:rsidP="009A2D08">
            <w:pPr>
              <w:pStyle w:val="OutlineNumbered2"/>
              <w:rPr>
                <w:sz w:val="22"/>
                <w:szCs w:val="22"/>
              </w:rPr>
            </w:pPr>
            <w:r w:rsidRPr="00D36EEB">
              <w:rPr>
                <w:sz w:val="22"/>
                <w:szCs w:val="22"/>
              </w:rPr>
              <w:t xml:space="preserve">whether the Treasury’s stakeholder engagement efforts have </w:t>
            </w:r>
            <w:r w:rsidR="0071225D" w:rsidRPr="00D36EEB">
              <w:rPr>
                <w:sz w:val="22"/>
                <w:szCs w:val="22"/>
              </w:rPr>
              <w:t>aided</w:t>
            </w:r>
            <w:r w:rsidRPr="00D36EEB">
              <w:rPr>
                <w:sz w:val="22"/>
                <w:szCs w:val="22"/>
              </w:rPr>
              <w:t xml:space="preserve"> </w:t>
            </w:r>
            <w:r w:rsidR="00CC10F2" w:rsidRPr="00D36EEB">
              <w:rPr>
                <w:sz w:val="22"/>
                <w:szCs w:val="22"/>
              </w:rPr>
              <w:t xml:space="preserve">investors’ </w:t>
            </w:r>
            <w:r w:rsidRPr="00D36EEB">
              <w:rPr>
                <w:sz w:val="22"/>
                <w:szCs w:val="22"/>
              </w:rPr>
              <w:t>understanding of the new foreign investment framework and investors</w:t>
            </w:r>
            <w:r w:rsidR="00D71BAE" w:rsidRPr="00D36EEB">
              <w:rPr>
                <w:sz w:val="22"/>
                <w:szCs w:val="22"/>
              </w:rPr>
              <w:t>’</w:t>
            </w:r>
            <w:r w:rsidRPr="00D36EEB">
              <w:rPr>
                <w:sz w:val="22"/>
                <w:szCs w:val="22"/>
              </w:rPr>
              <w:t xml:space="preserve"> obligations under the framework</w:t>
            </w:r>
            <w:r w:rsidR="00A11EDD" w:rsidRPr="00D36EEB">
              <w:rPr>
                <w:sz w:val="22"/>
                <w:szCs w:val="22"/>
              </w:rPr>
              <w:t>; and</w:t>
            </w:r>
          </w:p>
          <w:p w14:paraId="31640986" w14:textId="05BFE776" w:rsidR="00F27EE7" w:rsidRPr="00D36EEB" w:rsidRDefault="00F27EE7">
            <w:pPr>
              <w:pStyle w:val="OutlineNumbered2"/>
            </w:pPr>
            <w:r w:rsidRPr="00D36EEB">
              <w:rPr>
                <w:sz w:val="22"/>
                <w:szCs w:val="22"/>
              </w:rPr>
              <w:t xml:space="preserve">whether the </w:t>
            </w:r>
            <w:r w:rsidRPr="00D36EEB">
              <w:rPr>
                <w:i/>
                <w:iCs/>
                <w:sz w:val="22"/>
                <w:szCs w:val="22"/>
              </w:rPr>
              <w:t>Transitional Guidance Note</w:t>
            </w:r>
            <w:r w:rsidRPr="00D36EEB">
              <w:rPr>
                <w:sz w:val="22"/>
                <w:szCs w:val="22"/>
              </w:rPr>
              <w:t xml:space="preserve">, and the Treasury’s implementation efforts during this period, </w:t>
            </w:r>
            <w:r w:rsidR="003229E1" w:rsidRPr="00D36EEB">
              <w:rPr>
                <w:sz w:val="22"/>
                <w:szCs w:val="22"/>
              </w:rPr>
              <w:t>assisted in</w:t>
            </w:r>
            <w:r w:rsidRPr="00D36EEB">
              <w:rPr>
                <w:sz w:val="22"/>
                <w:szCs w:val="22"/>
              </w:rPr>
              <w:t xml:space="preserve"> navigat</w:t>
            </w:r>
            <w:r w:rsidR="003229E1" w:rsidRPr="00D36EEB">
              <w:rPr>
                <w:sz w:val="22"/>
                <w:szCs w:val="22"/>
              </w:rPr>
              <w:t>ing</w:t>
            </w:r>
            <w:r w:rsidRPr="00D36EEB">
              <w:rPr>
                <w:sz w:val="22"/>
                <w:szCs w:val="22"/>
              </w:rPr>
              <w:t xml:space="preserve"> th</w:t>
            </w:r>
            <w:r w:rsidR="003229E1" w:rsidRPr="00D36EEB">
              <w:rPr>
                <w:sz w:val="22"/>
                <w:szCs w:val="22"/>
              </w:rPr>
              <w:t>e</w:t>
            </w:r>
            <w:r w:rsidRPr="00D36EEB">
              <w:rPr>
                <w:sz w:val="22"/>
                <w:szCs w:val="22"/>
              </w:rPr>
              <w:t xml:space="preserve"> adjustment</w:t>
            </w:r>
            <w:r w:rsidR="003229E1" w:rsidRPr="00D36EEB">
              <w:rPr>
                <w:sz w:val="22"/>
                <w:szCs w:val="22"/>
              </w:rPr>
              <w:t>s</w:t>
            </w:r>
            <w:r w:rsidRPr="00D36EEB">
              <w:rPr>
                <w:sz w:val="22"/>
                <w:szCs w:val="22"/>
              </w:rPr>
              <w:t xml:space="preserve"> on 1 January 2021</w:t>
            </w:r>
            <w:r w:rsidR="004A1396" w:rsidRPr="00D36EEB">
              <w:rPr>
                <w:sz w:val="22"/>
                <w:szCs w:val="22"/>
              </w:rPr>
              <w:t>.</w:t>
            </w:r>
            <w:r w:rsidRPr="00D36EEB">
              <w:rPr>
                <w:sz w:val="22"/>
                <w:szCs w:val="22"/>
              </w:rPr>
              <w:t xml:space="preserve"> </w:t>
            </w:r>
          </w:p>
        </w:tc>
      </w:tr>
    </w:tbl>
    <w:p w14:paraId="665FA957" w14:textId="631C44FE" w:rsidR="000E0B74" w:rsidRPr="00D36EEB" w:rsidRDefault="008F3E4C" w:rsidP="00DF733B">
      <w:pPr>
        <w:pStyle w:val="Heading2"/>
        <w:numPr>
          <w:ilvl w:val="0"/>
          <w:numId w:val="43"/>
        </w:numPr>
      </w:pPr>
      <w:bookmarkStart w:id="11" w:name="_Toc306887373"/>
      <w:bookmarkStart w:id="12" w:name="_Toc432064637"/>
      <w:bookmarkStart w:id="13" w:name="_Toc77930211"/>
      <w:r w:rsidRPr="00D36EEB">
        <w:lastRenderedPageBreak/>
        <w:t>Macro</w:t>
      </w:r>
      <w:r w:rsidR="00AF2669" w:rsidRPr="00D36EEB">
        <w:t>economic</w:t>
      </w:r>
      <w:r w:rsidRPr="00D36EEB">
        <w:t xml:space="preserve"> analysis</w:t>
      </w:r>
      <w:bookmarkEnd w:id="11"/>
      <w:bookmarkEnd w:id="12"/>
      <w:bookmarkEnd w:id="13"/>
    </w:p>
    <w:p w14:paraId="4977F435" w14:textId="52F4F2AC" w:rsidR="0079453B" w:rsidRPr="00D36EEB" w:rsidRDefault="0079453B" w:rsidP="00CC10F2">
      <w:pPr>
        <w:jc w:val="both"/>
      </w:pPr>
      <w:r w:rsidRPr="00D36EEB">
        <w:t>Foreign investment plays an important and beneficial role in the Australian economy. It helps drive economic growth, creates skilled jobs, improves access to overseas markets and enhances</w:t>
      </w:r>
      <w:r w:rsidR="00CC10F2" w:rsidRPr="00D36EEB">
        <w:t> </w:t>
      </w:r>
      <w:r w:rsidRPr="00D36EEB">
        <w:t xml:space="preserve">productivity. </w:t>
      </w:r>
    </w:p>
    <w:p w14:paraId="19E063B5" w14:textId="73006A25" w:rsidR="0079453B" w:rsidRPr="00D36EEB" w:rsidRDefault="0079453B" w:rsidP="00CC10F2">
      <w:pPr>
        <w:jc w:val="both"/>
      </w:pPr>
      <w:r w:rsidRPr="00D36EEB">
        <w:t xml:space="preserve">The reforms to the foreign investment framework were therefore designed to ensure that Australia remains open to foreign investment and the economic benefits it provides, whilst also strengthening Australia’s ability to ensure foreign investment is not contrary to </w:t>
      </w:r>
      <w:r w:rsidR="00CC10F2" w:rsidRPr="00D36EEB">
        <w:t xml:space="preserve">the national interest, particularly </w:t>
      </w:r>
      <w:r w:rsidRPr="00D36EEB">
        <w:t>national security.</w:t>
      </w:r>
    </w:p>
    <w:p w14:paraId="102EDD66" w14:textId="5AFB0272" w:rsidR="00231FDF" w:rsidRPr="00D36EEB" w:rsidRDefault="00231FDF" w:rsidP="00CC10F2">
      <w:pPr>
        <w:jc w:val="both"/>
      </w:pPr>
      <w:r w:rsidRPr="00D36EEB">
        <w:t>The task of identifying the precise impact of the reforms is complicated by the specific global circumstances in which they were introduced. In particular, the COVID-19 pandemic continues to affect investment flows, economic activity and economic policy around the world. Further, many countries, including Australia, have updated their foreign investment screening regimes in recent years in response to a reassessment of the risks of foreign investment globally. When evaluating the impact of Australia’s reforms, it is critical to take account of these circumstances.</w:t>
      </w:r>
    </w:p>
    <w:p w14:paraId="2F43F867" w14:textId="6DDF534F" w:rsidR="0079453B" w:rsidRPr="00D36EEB" w:rsidRDefault="00797889" w:rsidP="00CC10F2">
      <w:pPr>
        <w:jc w:val="both"/>
      </w:pPr>
      <w:r>
        <w:t>Australia will continue to be an attractive destination for foreign investment given its growing and well</w:t>
      </w:r>
      <w:r>
        <w:noBreakHyphen/>
        <w:t>educated population, rich natural resource base, proximity to dynamic and fast-growing markets, strong rule of law and well-managed economy. However, feedback from stakeholders will provide insights into how the investment community viewed the reforms impact on this reputation.</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99135C" w:rsidRPr="00D36EEB" w14:paraId="29BFB981" w14:textId="77777777" w:rsidTr="004D620D">
        <w:tc>
          <w:tcPr>
            <w:tcW w:w="9016" w:type="dxa"/>
            <w:tcBorders>
              <w:bottom w:val="nil"/>
            </w:tcBorders>
            <w:shd w:val="clear" w:color="auto" w:fill="EBEBEB"/>
          </w:tcPr>
          <w:p w14:paraId="5F6315C5" w14:textId="77777777" w:rsidR="0099135C" w:rsidRPr="00D36EEB" w:rsidRDefault="0099135C" w:rsidP="00CC10F2">
            <w:pPr>
              <w:spacing w:after="160" w:line="259" w:lineRule="auto"/>
              <w:rPr>
                <w:b/>
                <w:bCs/>
                <w:sz w:val="22"/>
                <w:szCs w:val="22"/>
              </w:rPr>
            </w:pPr>
            <w:r w:rsidRPr="00D36EEB">
              <w:rPr>
                <w:b/>
                <w:bCs/>
                <w:sz w:val="22"/>
                <w:szCs w:val="22"/>
              </w:rPr>
              <w:t>Consultation questions</w:t>
            </w:r>
          </w:p>
          <w:p w14:paraId="774713E2" w14:textId="0214B265" w:rsidR="0099135C" w:rsidRPr="00D36EEB" w:rsidRDefault="0099135C" w:rsidP="00CC10F2">
            <w:pPr>
              <w:rPr>
                <w:sz w:val="22"/>
                <w:szCs w:val="22"/>
              </w:rPr>
            </w:pPr>
            <w:r w:rsidRPr="00D36EEB">
              <w:rPr>
                <w:sz w:val="22"/>
                <w:szCs w:val="22"/>
              </w:rPr>
              <w:t>To inform the evaluation, the Treasury is interested in hearing from stakeholders with regards to:</w:t>
            </w:r>
          </w:p>
          <w:p w14:paraId="33D81581" w14:textId="38D2804D" w:rsidR="007C5CCE" w:rsidRPr="00D36EEB" w:rsidRDefault="007C5CCE" w:rsidP="00CC10F2">
            <w:pPr>
              <w:pStyle w:val="OutlineNumbered2"/>
              <w:numPr>
                <w:ilvl w:val="1"/>
                <w:numId w:val="23"/>
              </w:numPr>
              <w:rPr>
                <w:sz w:val="22"/>
                <w:szCs w:val="24"/>
              </w:rPr>
            </w:pPr>
            <w:bookmarkStart w:id="14" w:name="tempbookmark"/>
            <w:r w:rsidRPr="00D36EEB">
              <w:rPr>
                <w:sz w:val="22"/>
                <w:szCs w:val="24"/>
              </w:rPr>
              <w:t>what are investors’ key considerations when choosing to invest in Australia, and where foreign investment screening fits among these considerations</w:t>
            </w:r>
            <w:r w:rsidR="00A11EDD" w:rsidRPr="00D36EEB">
              <w:rPr>
                <w:sz w:val="22"/>
                <w:szCs w:val="24"/>
              </w:rPr>
              <w:t>;</w:t>
            </w:r>
          </w:p>
          <w:bookmarkEnd w:id="14"/>
          <w:p w14:paraId="3CFC3241" w14:textId="0E15C4E5" w:rsidR="0099135C" w:rsidRPr="00D36EEB" w:rsidRDefault="0099135C" w:rsidP="00CC10F2">
            <w:pPr>
              <w:pStyle w:val="OutlineNumbered2"/>
              <w:numPr>
                <w:ilvl w:val="1"/>
                <w:numId w:val="23"/>
              </w:numPr>
              <w:rPr>
                <w:sz w:val="22"/>
                <w:szCs w:val="24"/>
              </w:rPr>
            </w:pPr>
            <w:r w:rsidRPr="00D36EEB">
              <w:rPr>
                <w:sz w:val="22"/>
                <w:szCs w:val="24"/>
              </w:rPr>
              <w:t xml:space="preserve">the impact that COVID-19 and the international investment environment has had, or is having, on foreign investment inflows into Australia; </w:t>
            </w:r>
            <w:r w:rsidR="00CD2A1E" w:rsidRPr="00D36EEB">
              <w:rPr>
                <w:sz w:val="22"/>
                <w:szCs w:val="24"/>
              </w:rPr>
              <w:t xml:space="preserve">and </w:t>
            </w:r>
          </w:p>
          <w:p w14:paraId="19CEB342" w14:textId="6D564282" w:rsidR="0099135C" w:rsidRPr="00D36EEB" w:rsidRDefault="0099135C">
            <w:pPr>
              <w:pStyle w:val="OutlineNumbered2"/>
              <w:numPr>
                <w:ilvl w:val="1"/>
                <w:numId w:val="23"/>
              </w:numPr>
            </w:pPr>
            <w:r w:rsidRPr="00D36EEB">
              <w:rPr>
                <w:sz w:val="22"/>
                <w:szCs w:val="24"/>
              </w:rPr>
              <w:t xml:space="preserve">whether, or how, the reforms have </w:t>
            </w:r>
            <w:r w:rsidR="005272DB" w:rsidRPr="00D36EEB">
              <w:rPr>
                <w:sz w:val="22"/>
                <w:szCs w:val="24"/>
              </w:rPr>
              <w:t xml:space="preserve">affected </w:t>
            </w:r>
            <w:r w:rsidRPr="00D36EEB">
              <w:rPr>
                <w:sz w:val="22"/>
                <w:szCs w:val="24"/>
              </w:rPr>
              <w:t>Australia’s attractiveness as a destination for foreign investment</w:t>
            </w:r>
            <w:r w:rsidR="00CD2A1E" w:rsidRPr="00D36EEB">
              <w:rPr>
                <w:sz w:val="22"/>
                <w:szCs w:val="24"/>
              </w:rPr>
              <w:t>.</w:t>
            </w:r>
          </w:p>
        </w:tc>
      </w:tr>
    </w:tbl>
    <w:p w14:paraId="3191EF04" w14:textId="019B0EF7" w:rsidR="008F3E4C" w:rsidRPr="00D36EEB" w:rsidRDefault="0012139C" w:rsidP="00DF733B">
      <w:pPr>
        <w:pStyle w:val="Heading2"/>
        <w:numPr>
          <w:ilvl w:val="0"/>
          <w:numId w:val="43"/>
        </w:numPr>
      </w:pPr>
      <w:bookmarkStart w:id="15" w:name="_Toc77930212"/>
      <w:r w:rsidRPr="00D36EEB">
        <w:t>Reform analysis – national security</w:t>
      </w:r>
      <w:bookmarkEnd w:id="15"/>
    </w:p>
    <w:p w14:paraId="699DBCBA" w14:textId="6A56C3CF" w:rsidR="0012139C" w:rsidRPr="00D36EEB" w:rsidRDefault="0012139C" w:rsidP="002351C8">
      <w:pPr>
        <w:jc w:val="both"/>
      </w:pPr>
      <w:r w:rsidRPr="00D36EEB">
        <w:t xml:space="preserve">An important aspect of the reforms was the introduction of new national security </w:t>
      </w:r>
      <w:r w:rsidR="00A15125" w:rsidRPr="00D36EEB">
        <w:t>powers</w:t>
      </w:r>
      <w:r w:rsidRPr="00D36EEB">
        <w:t xml:space="preserve">, which include mandatory screening of sensitive investments, the ability to </w:t>
      </w:r>
      <w:r w:rsidR="002351C8" w:rsidRPr="00D36EEB">
        <w:t>‘</w:t>
      </w:r>
      <w:r w:rsidRPr="00D36EEB">
        <w:t>call in</w:t>
      </w:r>
      <w:r w:rsidR="002351C8" w:rsidRPr="00D36EEB">
        <w:t>’</w:t>
      </w:r>
      <w:r w:rsidRPr="00D36EEB">
        <w:t xml:space="preserve"> other investments that raise national security concerns, and a last resort power to be used in exceptional circumstances to vary conditions or force divestment. </w:t>
      </w:r>
    </w:p>
    <w:p w14:paraId="15FD6C35" w14:textId="01A0E954" w:rsidR="004D620D" w:rsidRPr="00D36EEB" w:rsidRDefault="0012139C" w:rsidP="002351C8">
      <w:pPr>
        <w:jc w:val="both"/>
      </w:pPr>
      <w:r w:rsidRPr="00D36EEB">
        <w:t xml:space="preserve">The national security </w:t>
      </w:r>
      <w:r w:rsidR="00A15125" w:rsidRPr="00D36EEB">
        <w:t xml:space="preserve">changes </w:t>
      </w:r>
      <w:r w:rsidRPr="00D36EEB">
        <w:t>introduced two new types of actions, notifiable national security actions</w:t>
      </w:r>
      <w:r w:rsidR="003A5471" w:rsidRPr="00D36EEB">
        <w:t> </w:t>
      </w:r>
      <w:r w:rsidRPr="00D36EEB">
        <w:t xml:space="preserve">(NNSA) and reviewable national security actions (RNSA), and new definitions such as national security business and national security land. The new </w:t>
      </w:r>
      <w:r w:rsidRPr="00D36EEB">
        <w:rPr>
          <w:i/>
          <w:iCs/>
        </w:rPr>
        <w:t>National Security Guidance Note</w:t>
      </w:r>
      <w:r w:rsidRPr="00D36EEB">
        <w:t xml:space="preserve">, </w:t>
      </w:r>
      <w:r w:rsidR="00996FCB" w:rsidRPr="00D36EEB">
        <w:t xml:space="preserve">first </w:t>
      </w:r>
      <w:r w:rsidRPr="00D36EEB">
        <w:t>published in late 2020, explain</w:t>
      </w:r>
      <w:r w:rsidR="005272DB" w:rsidRPr="00D36EEB">
        <w:t>s</w:t>
      </w:r>
      <w:r w:rsidRPr="00D36EEB">
        <w:t xml:space="preserve"> these concepts and their intended operation in greater detail. A major objective of this new guidance was to help investors understand the types of investments </w:t>
      </w:r>
      <w:r w:rsidR="00A9696D" w:rsidRPr="00D36EEB">
        <w:t>that may pose national security concerns and may</w:t>
      </w:r>
      <w:r w:rsidRPr="00D36EEB">
        <w:t xml:space="preserve"> be called in, and which they should therefore consider voluntarily notifying. </w:t>
      </w:r>
    </w:p>
    <w:p w14:paraId="54E91D5E" w14:textId="1A5610FC" w:rsidR="00371159" w:rsidRPr="00D36EEB" w:rsidRDefault="008B3320" w:rsidP="002351C8">
      <w:pPr>
        <w:jc w:val="both"/>
      </w:pPr>
      <w:r w:rsidRPr="00D36EEB">
        <w:t>Of the 730 foreign investment applications</w:t>
      </w:r>
      <w:r w:rsidR="006028C2">
        <w:t xml:space="preserve"> we</w:t>
      </w:r>
      <w:r w:rsidRPr="00D36EEB">
        <w:t xml:space="preserve"> received f</w:t>
      </w:r>
      <w:r w:rsidR="002351C8" w:rsidRPr="00D36EEB">
        <w:t>rom 1 January 2021 to</w:t>
      </w:r>
      <w:r w:rsidR="0012139C" w:rsidRPr="00D36EEB">
        <w:t xml:space="preserve"> </w:t>
      </w:r>
      <w:r w:rsidR="0043099A" w:rsidRPr="00D36EEB">
        <w:t>30 June 2021</w:t>
      </w:r>
      <w:r w:rsidR="0012139C" w:rsidRPr="00D36EEB">
        <w:t xml:space="preserve">, </w:t>
      </w:r>
      <w:r w:rsidRPr="00D36EEB">
        <w:t xml:space="preserve">around </w:t>
      </w:r>
      <w:r w:rsidR="0043099A" w:rsidRPr="00D36EEB">
        <w:t xml:space="preserve">60 </w:t>
      </w:r>
      <w:r w:rsidRPr="00D36EEB">
        <w:t>were a result of the new national security rules</w:t>
      </w:r>
      <w:r w:rsidR="00D36EEB" w:rsidRPr="00D36EEB">
        <w:t xml:space="preserve"> – with these broadly </w:t>
      </w:r>
      <w:r w:rsidR="0043099A" w:rsidRPr="00D36EEB">
        <w:t xml:space="preserve">split between </w:t>
      </w:r>
      <w:r w:rsidR="0012139C" w:rsidRPr="00D36EEB">
        <w:t>NNSA and RNSA cases</w:t>
      </w:r>
      <w:r w:rsidR="00D36EEB" w:rsidRPr="00D36EEB">
        <w:t xml:space="preserve">. </w:t>
      </w:r>
      <w:r w:rsidR="00666763" w:rsidRPr="00D36EEB">
        <w:t>Th</w:t>
      </w:r>
      <w:r w:rsidR="000358CB" w:rsidRPr="00D36EEB">
        <w:t xml:space="preserve">ese numbers </w:t>
      </w:r>
      <w:r w:rsidR="000358CB" w:rsidRPr="00BC4606">
        <w:t>are</w:t>
      </w:r>
      <w:r w:rsidR="00666763" w:rsidRPr="00BC4606">
        <w:t xml:space="preserve"> </w:t>
      </w:r>
      <w:r w:rsidR="00BC4606">
        <w:t>broadly</w:t>
      </w:r>
      <w:r w:rsidR="00666763" w:rsidRPr="00BC4606">
        <w:t xml:space="preserve"> </w:t>
      </w:r>
      <w:r w:rsidR="000358CB" w:rsidRPr="00BC4606">
        <w:t>consistent</w:t>
      </w:r>
      <w:r w:rsidR="00666763" w:rsidRPr="00D36EEB">
        <w:t xml:space="preserve"> with the estimate</w:t>
      </w:r>
      <w:r w:rsidR="000358CB" w:rsidRPr="00D36EEB">
        <w:t>s</w:t>
      </w:r>
      <w:r w:rsidR="00666763" w:rsidRPr="00D36EEB">
        <w:t xml:space="preserve"> </w:t>
      </w:r>
      <w:r w:rsidR="000358CB" w:rsidRPr="00D36EEB">
        <w:t>provided</w:t>
      </w:r>
      <w:r w:rsidR="00666763" w:rsidRPr="00D36EEB">
        <w:t xml:space="preserve"> in the Regulation Impact Statement for the reforms.</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EA65A1" w:rsidRPr="00D36EEB" w14:paraId="2460EB7E" w14:textId="77777777" w:rsidTr="004D620D">
        <w:tc>
          <w:tcPr>
            <w:tcW w:w="9016" w:type="dxa"/>
            <w:tcBorders>
              <w:bottom w:val="nil"/>
            </w:tcBorders>
            <w:shd w:val="clear" w:color="auto" w:fill="EBEBEB"/>
          </w:tcPr>
          <w:p w14:paraId="623690FF" w14:textId="77777777" w:rsidR="00EA65A1" w:rsidRPr="00D36EEB" w:rsidRDefault="00EA65A1" w:rsidP="002351C8">
            <w:pPr>
              <w:rPr>
                <w:b/>
                <w:bCs/>
                <w:sz w:val="22"/>
                <w:szCs w:val="22"/>
              </w:rPr>
            </w:pPr>
            <w:r w:rsidRPr="00D36EEB">
              <w:rPr>
                <w:b/>
                <w:bCs/>
                <w:sz w:val="22"/>
                <w:szCs w:val="22"/>
              </w:rPr>
              <w:lastRenderedPageBreak/>
              <w:t>Consultation questions</w:t>
            </w:r>
          </w:p>
          <w:p w14:paraId="62657CDF" w14:textId="38DCEB9B" w:rsidR="00EA65A1" w:rsidRPr="00D36EEB" w:rsidRDefault="00EA65A1" w:rsidP="002351C8">
            <w:pPr>
              <w:rPr>
                <w:sz w:val="22"/>
                <w:szCs w:val="22"/>
              </w:rPr>
            </w:pPr>
            <w:r w:rsidRPr="00D36EEB">
              <w:rPr>
                <w:sz w:val="22"/>
                <w:szCs w:val="22"/>
              </w:rPr>
              <w:t xml:space="preserve">To inform the evaluation, the Treasury is interested in hearing from stakeholders </w:t>
            </w:r>
            <w:r w:rsidR="004D620D" w:rsidRPr="00D36EEB">
              <w:rPr>
                <w:sz w:val="22"/>
                <w:szCs w:val="22"/>
              </w:rPr>
              <w:t>with regards to</w:t>
            </w:r>
            <w:r w:rsidRPr="00D36EEB">
              <w:rPr>
                <w:sz w:val="22"/>
                <w:szCs w:val="22"/>
              </w:rPr>
              <w:t>:</w:t>
            </w:r>
          </w:p>
          <w:p w14:paraId="5C9E7552" w14:textId="23DD4517" w:rsidR="00563244" w:rsidRPr="00D36EEB" w:rsidRDefault="00EA65A1" w:rsidP="002351C8">
            <w:pPr>
              <w:pStyle w:val="OutlineNumbered2"/>
              <w:numPr>
                <w:ilvl w:val="1"/>
                <w:numId w:val="28"/>
              </w:numPr>
              <w:rPr>
                <w:sz w:val="22"/>
                <w:szCs w:val="24"/>
              </w:rPr>
            </w:pPr>
            <w:r w:rsidRPr="00D36EEB">
              <w:rPr>
                <w:sz w:val="22"/>
                <w:szCs w:val="24"/>
              </w:rPr>
              <w:t xml:space="preserve">whether the national security </w:t>
            </w:r>
            <w:r w:rsidR="006E72D2" w:rsidRPr="00D36EEB">
              <w:rPr>
                <w:sz w:val="22"/>
                <w:szCs w:val="24"/>
              </w:rPr>
              <w:t>screening requirements</w:t>
            </w:r>
            <w:r w:rsidRPr="00D36EEB">
              <w:rPr>
                <w:sz w:val="22"/>
                <w:szCs w:val="24"/>
              </w:rPr>
              <w:t>, and the concepts of NNSA, RNSA, and national security business and national security land, are well understood;</w:t>
            </w:r>
          </w:p>
          <w:p w14:paraId="0EEC233A" w14:textId="6FA7F80A" w:rsidR="00EA65A1" w:rsidRPr="00D36EEB" w:rsidRDefault="00EA65A1" w:rsidP="002351C8">
            <w:pPr>
              <w:pStyle w:val="OutlineNumbered2"/>
              <w:numPr>
                <w:ilvl w:val="1"/>
                <w:numId w:val="28"/>
              </w:numPr>
              <w:rPr>
                <w:sz w:val="22"/>
                <w:szCs w:val="24"/>
              </w:rPr>
            </w:pPr>
            <w:r w:rsidRPr="00D36EEB">
              <w:rPr>
                <w:sz w:val="22"/>
                <w:szCs w:val="24"/>
              </w:rPr>
              <w:t>whether the framework for defining these concepts (i</w:t>
            </w:r>
            <w:r w:rsidR="004D620D" w:rsidRPr="00D36EEB">
              <w:rPr>
                <w:sz w:val="22"/>
                <w:szCs w:val="24"/>
              </w:rPr>
              <w:t>.</w:t>
            </w:r>
            <w:r w:rsidRPr="00D36EEB">
              <w:rPr>
                <w:sz w:val="22"/>
                <w:szCs w:val="24"/>
              </w:rPr>
              <w:t>e</w:t>
            </w:r>
            <w:r w:rsidR="004D620D" w:rsidRPr="00D36EEB">
              <w:rPr>
                <w:sz w:val="22"/>
                <w:szCs w:val="24"/>
              </w:rPr>
              <w:t>.</w:t>
            </w:r>
            <w:r w:rsidRPr="00D36EEB">
              <w:rPr>
                <w:sz w:val="22"/>
                <w:szCs w:val="24"/>
              </w:rPr>
              <w:t xml:space="preserve"> across the legislation, regulations and official guidance notes) is appropriate and </w:t>
            </w:r>
            <w:proofErr w:type="gramStart"/>
            <w:r w:rsidRPr="00D36EEB">
              <w:rPr>
                <w:sz w:val="22"/>
                <w:szCs w:val="24"/>
              </w:rPr>
              <w:t>sufficient</w:t>
            </w:r>
            <w:proofErr w:type="gramEnd"/>
            <w:r w:rsidRPr="00D36EEB">
              <w:rPr>
                <w:sz w:val="22"/>
                <w:szCs w:val="24"/>
              </w:rPr>
              <w:t>;</w:t>
            </w:r>
            <w:r w:rsidR="002948F5" w:rsidRPr="00D36EEB">
              <w:rPr>
                <w:sz w:val="22"/>
                <w:szCs w:val="24"/>
              </w:rPr>
              <w:t xml:space="preserve"> and</w:t>
            </w:r>
          </w:p>
          <w:p w14:paraId="4B480126" w14:textId="4D773E2D" w:rsidR="00EA65A1" w:rsidRPr="00D36EEB" w:rsidRDefault="00EA65A1">
            <w:pPr>
              <w:pStyle w:val="OutlineNumbered2"/>
              <w:numPr>
                <w:ilvl w:val="1"/>
                <w:numId w:val="28"/>
              </w:numPr>
            </w:pPr>
            <w:r w:rsidRPr="00D36EEB">
              <w:rPr>
                <w:sz w:val="22"/>
                <w:szCs w:val="24"/>
              </w:rPr>
              <w:t>what factors investors consider when deciding whether to voluntarily notify</w:t>
            </w:r>
            <w:r w:rsidR="002948F5" w:rsidRPr="00D36EEB">
              <w:rPr>
                <w:sz w:val="22"/>
                <w:szCs w:val="24"/>
              </w:rPr>
              <w:t xml:space="preserve">, including the </w:t>
            </w:r>
            <w:r w:rsidR="00547124" w:rsidRPr="00D36EEB">
              <w:rPr>
                <w:sz w:val="22"/>
                <w:szCs w:val="24"/>
              </w:rPr>
              <w:t xml:space="preserve">effectiveness of the </w:t>
            </w:r>
            <w:r w:rsidR="002948F5" w:rsidRPr="00D36EEB">
              <w:rPr>
                <w:sz w:val="22"/>
                <w:szCs w:val="24"/>
              </w:rPr>
              <w:t xml:space="preserve">guidance on voluntary notification of RNSA in </w:t>
            </w:r>
            <w:r w:rsidR="004D620D" w:rsidRPr="00D36EEB">
              <w:rPr>
                <w:sz w:val="22"/>
                <w:szCs w:val="24"/>
              </w:rPr>
              <w:t xml:space="preserve">the </w:t>
            </w:r>
            <w:r w:rsidR="004D620D" w:rsidRPr="00D36EEB">
              <w:rPr>
                <w:i/>
                <w:iCs/>
                <w:sz w:val="22"/>
                <w:szCs w:val="24"/>
              </w:rPr>
              <w:t xml:space="preserve">National Security </w:t>
            </w:r>
            <w:r w:rsidR="002948F5" w:rsidRPr="00D36EEB">
              <w:rPr>
                <w:i/>
                <w:iCs/>
                <w:sz w:val="22"/>
                <w:szCs w:val="24"/>
              </w:rPr>
              <w:t>Guidance Note</w:t>
            </w:r>
            <w:r w:rsidR="002948F5" w:rsidRPr="00D36EEB">
              <w:rPr>
                <w:sz w:val="22"/>
                <w:szCs w:val="24"/>
              </w:rPr>
              <w:t>.</w:t>
            </w:r>
          </w:p>
        </w:tc>
      </w:tr>
    </w:tbl>
    <w:p w14:paraId="654C5026" w14:textId="77777777" w:rsidR="002D2213" w:rsidRPr="00D36EEB" w:rsidRDefault="002D2213" w:rsidP="002D2213">
      <w:pPr>
        <w:pStyle w:val="Heading2"/>
        <w:numPr>
          <w:ilvl w:val="0"/>
          <w:numId w:val="43"/>
        </w:numPr>
        <w:jc w:val="both"/>
      </w:pPr>
      <w:bookmarkStart w:id="16" w:name="_Toc77930213"/>
      <w:r w:rsidRPr="00D36EEB">
        <w:t>Reform analysis – compliance</w:t>
      </w:r>
      <w:bookmarkEnd w:id="16"/>
    </w:p>
    <w:p w14:paraId="3BABA383" w14:textId="77777777" w:rsidR="002D2213" w:rsidRPr="00D36EEB" w:rsidRDefault="002D2213" w:rsidP="002D2213">
      <w:pPr>
        <w:jc w:val="both"/>
      </w:pPr>
      <w:r w:rsidRPr="00D36EEB">
        <w:t>Compliance activities are fundamental to the integrity of any regulatory framework, providing assurance that regulated entities are meeting their obligations.</w:t>
      </w:r>
    </w:p>
    <w:p w14:paraId="42ACAD09" w14:textId="77777777" w:rsidR="002D2213" w:rsidRPr="00D36EEB" w:rsidRDefault="002D2213" w:rsidP="002D2213">
      <w:pPr>
        <w:jc w:val="both"/>
      </w:pPr>
      <w:r w:rsidRPr="00D36EEB">
        <w:t xml:space="preserve">The reforms introduced new compliance and enforcement powers, accompanied by additional resourcing and capability, that strengthened the Government’s ability to prevent, identify and respond to instances of non-compliance with Australia’s foreign investment laws. The reforms have brought the Treasury and ATO’s compliance regime into closer alignment with overseas counterparts and domestic market regulators. </w:t>
      </w:r>
    </w:p>
    <w:p w14:paraId="757700F1" w14:textId="77777777" w:rsidR="002D2213" w:rsidRPr="00D36EEB" w:rsidRDefault="002D2213" w:rsidP="002D2213">
      <w:pPr>
        <w:jc w:val="both"/>
      </w:pPr>
      <w:r w:rsidRPr="00D36EEB">
        <w:t>The Treasury and ATO adopt a risk-based compliance approach that aims to minimise the burden on those who are voluntarily compliant while ensuring that enforcement action is proportionate and undertaken only when necessary.</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2D2213" w:rsidRPr="00D36EEB" w14:paraId="5FAF5E8A" w14:textId="77777777" w:rsidTr="00B85873">
        <w:tc>
          <w:tcPr>
            <w:tcW w:w="9016" w:type="dxa"/>
            <w:tcBorders>
              <w:bottom w:val="nil"/>
            </w:tcBorders>
            <w:shd w:val="clear" w:color="auto" w:fill="EBEBEB"/>
          </w:tcPr>
          <w:p w14:paraId="716C131C" w14:textId="77777777" w:rsidR="002D2213" w:rsidRPr="00D36EEB" w:rsidRDefault="002D2213" w:rsidP="00B85873">
            <w:pPr>
              <w:rPr>
                <w:b/>
                <w:bCs/>
                <w:sz w:val="22"/>
              </w:rPr>
            </w:pPr>
            <w:r w:rsidRPr="00D36EEB">
              <w:rPr>
                <w:b/>
                <w:bCs/>
                <w:sz w:val="22"/>
              </w:rPr>
              <w:t>Consultation questions</w:t>
            </w:r>
          </w:p>
          <w:p w14:paraId="5A261939" w14:textId="77777777" w:rsidR="002D2213" w:rsidRPr="00D36EEB" w:rsidRDefault="002D2213" w:rsidP="00B85873">
            <w:pPr>
              <w:rPr>
                <w:sz w:val="22"/>
              </w:rPr>
            </w:pPr>
            <w:r w:rsidRPr="00D36EEB">
              <w:rPr>
                <w:sz w:val="22"/>
              </w:rPr>
              <w:t>To inform the evaluation, the Treasury is interested in hearing from stakeholders with regards to:</w:t>
            </w:r>
          </w:p>
          <w:p w14:paraId="02A289E2" w14:textId="093BD36E" w:rsidR="002D2213" w:rsidRPr="00D36EEB" w:rsidRDefault="002D2213" w:rsidP="00B85873">
            <w:pPr>
              <w:pStyle w:val="OutlineNumbered2"/>
              <w:numPr>
                <w:ilvl w:val="1"/>
                <w:numId w:val="39"/>
              </w:numPr>
              <w:rPr>
                <w:sz w:val="22"/>
                <w:szCs w:val="22"/>
              </w:rPr>
            </w:pPr>
            <w:r w:rsidRPr="00D36EEB">
              <w:rPr>
                <w:sz w:val="22"/>
                <w:szCs w:val="22"/>
              </w:rPr>
              <w:t>whether the new powers and increased enforcement penalties have resulted in a change in investors’ attitudes and behaviours towards compliance; and</w:t>
            </w:r>
          </w:p>
          <w:p w14:paraId="2E8C83F7" w14:textId="0519BCA9" w:rsidR="002D2213" w:rsidRPr="00D36EEB" w:rsidRDefault="002D2213" w:rsidP="00B21535">
            <w:pPr>
              <w:pStyle w:val="OutlineNumbered2"/>
              <w:numPr>
                <w:ilvl w:val="1"/>
                <w:numId w:val="39"/>
              </w:numPr>
              <w:rPr>
                <w:sz w:val="22"/>
              </w:rPr>
            </w:pPr>
            <w:r w:rsidRPr="00D36EEB">
              <w:rPr>
                <w:sz w:val="22"/>
                <w:szCs w:val="22"/>
              </w:rPr>
              <w:t xml:space="preserve">whether the new compliance obligations of </w:t>
            </w:r>
            <w:r w:rsidR="008D0F2D">
              <w:rPr>
                <w:sz w:val="22"/>
                <w:szCs w:val="22"/>
              </w:rPr>
              <w:t>investors</w:t>
            </w:r>
            <w:r w:rsidRPr="00D36EEB">
              <w:rPr>
                <w:sz w:val="22"/>
                <w:szCs w:val="22"/>
              </w:rPr>
              <w:t xml:space="preserve"> are clear and adequately explained in the available guidance material.</w:t>
            </w:r>
          </w:p>
        </w:tc>
      </w:tr>
    </w:tbl>
    <w:p w14:paraId="78443AAD" w14:textId="53EC5530" w:rsidR="008F3E4C" w:rsidRPr="00D36EEB" w:rsidRDefault="00E15AFE" w:rsidP="00DF733B">
      <w:pPr>
        <w:pStyle w:val="Heading2"/>
        <w:numPr>
          <w:ilvl w:val="0"/>
          <w:numId w:val="43"/>
        </w:numPr>
      </w:pPr>
      <w:bookmarkStart w:id="17" w:name="_Toc77930214"/>
      <w:r w:rsidRPr="00D36EEB">
        <w:t>Reform analysis – streamlining</w:t>
      </w:r>
      <w:bookmarkEnd w:id="17"/>
    </w:p>
    <w:p w14:paraId="3D981F63" w14:textId="3A50EB0F" w:rsidR="002D6FF6" w:rsidRPr="00D36EEB" w:rsidRDefault="002D6FF6" w:rsidP="004D620D">
      <w:pPr>
        <w:jc w:val="both"/>
      </w:pPr>
      <w:r w:rsidRPr="00D36EEB">
        <w:t>Alongside measures to enable greater scrutiny of sensitive investments, the reforms</w:t>
      </w:r>
      <w:r w:rsidR="004D620D" w:rsidRPr="00D36EEB">
        <w:t xml:space="preserve"> also</w:t>
      </w:r>
      <w:r w:rsidRPr="00D36EEB">
        <w:t xml:space="preserve"> included changes to streamline </w:t>
      </w:r>
      <w:proofErr w:type="gramStart"/>
      <w:r w:rsidRPr="00D36EEB">
        <w:t>less</w:t>
      </w:r>
      <w:proofErr w:type="gramEnd"/>
      <w:r w:rsidRPr="00D36EEB">
        <w:t xml:space="preserve"> sensitive investments and reduce red tape. For example, the reforms included a measure that targets the treatment under the framework of certain investment funds with foreign government investors, as well as a measure to exempt certain acquisitions of royalty interests in respect of mining tenements.</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2D6FF6" w:rsidRPr="00D36EEB" w14:paraId="7AA71F46" w14:textId="77777777" w:rsidTr="004D620D">
        <w:tc>
          <w:tcPr>
            <w:tcW w:w="9016" w:type="dxa"/>
            <w:tcBorders>
              <w:bottom w:val="nil"/>
            </w:tcBorders>
            <w:shd w:val="clear" w:color="auto" w:fill="EBEBEB"/>
          </w:tcPr>
          <w:p w14:paraId="155109B3" w14:textId="77777777" w:rsidR="002D6FF6" w:rsidRPr="00D36EEB" w:rsidRDefault="002D6FF6" w:rsidP="004D620D">
            <w:pPr>
              <w:rPr>
                <w:b/>
                <w:bCs/>
                <w:sz w:val="22"/>
              </w:rPr>
            </w:pPr>
            <w:r w:rsidRPr="00D36EEB">
              <w:rPr>
                <w:b/>
                <w:bCs/>
                <w:sz w:val="22"/>
              </w:rPr>
              <w:t>Consultation questions</w:t>
            </w:r>
          </w:p>
          <w:p w14:paraId="60EDE474" w14:textId="0E476943" w:rsidR="002D6FF6" w:rsidRPr="00D36EEB" w:rsidRDefault="002D6FF6" w:rsidP="004D620D">
            <w:pPr>
              <w:rPr>
                <w:sz w:val="22"/>
              </w:rPr>
            </w:pPr>
            <w:r w:rsidRPr="00D36EEB">
              <w:rPr>
                <w:sz w:val="22"/>
              </w:rPr>
              <w:t>To inform the evaluation, the Treasury is interested in hearing from stakeholders with regards to:</w:t>
            </w:r>
          </w:p>
          <w:p w14:paraId="21621A79" w14:textId="10687D0F" w:rsidR="002D6FF6" w:rsidRPr="00D36EEB" w:rsidRDefault="002D6FF6" w:rsidP="004D620D">
            <w:pPr>
              <w:pStyle w:val="OutlineNumbered2"/>
              <w:numPr>
                <w:ilvl w:val="1"/>
                <w:numId w:val="31"/>
              </w:numPr>
              <w:rPr>
                <w:sz w:val="22"/>
                <w:szCs w:val="24"/>
              </w:rPr>
            </w:pPr>
            <w:r w:rsidRPr="00D36EEB">
              <w:rPr>
                <w:sz w:val="22"/>
                <w:szCs w:val="24"/>
              </w:rPr>
              <w:t>whether the streamlining measures have reduced the regulatory burden on investment funds making investments into Australia;</w:t>
            </w:r>
          </w:p>
          <w:p w14:paraId="4B9E4FC0" w14:textId="5D2C3584" w:rsidR="002D6FF6" w:rsidRPr="00D36EEB" w:rsidRDefault="002D6FF6" w:rsidP="004D620D">
            <w:pPr>
              <w:pStyle w:val="OutlineNumbered2"/>
              <w:numPr>
                <w:ilvl w:val="1"/>
                <w:numId w:val="31"/>
              </w:numPr>
              <w:rPr>
                <w:sz w:val="22"/>
                <w:szCs w:val="24"/>
              </w:rPr>
            </w:pPr>
            <w:r w:rsidRPr="00D36EEB">
              <w:rPr>
                <w:sz w:val="22"/>
                <w:szCs w:val="24"/>
              </w:rPr>
              <w:t xml:space="preserve">the </w:t>
            </w:r>
            <w:r w:rsidR="00206170" w:rsidRPr="00D36EEB">
              <w:rPr>
                <w:sz w:val="22"/>
                <w:szCs w:val="24"/>
              </w:rPr>
              <w:t xml:space="preserve">expected </w:t>
            </w:r>
            <w:r w:rsidR="00CF3824" w:rsidRPr="00D36EEB">
              <w:rPr>
                <w:sz w:val="22"/>
                <w:szCs w:val="24"/>
              </w:rPr>
              <w:t xml:space="preserve">utility and </w:t>
            </w:r>
            <w:r w:rsidR="00206170" w:rsidRPr="00D36EEB">
              <w:rPr>
                <w:sz w:val="22"/>
                <w:szCs w:val="24"/>
              </w:rPr>
              <w:t xml:space="preserve">impact of the </w:t>
            </w:r>
            <w:r w:rsidRPr="00D36EEB">
              <w:rPr>
                <w:sz w:val="22"/>
                <w:szCs w:val="24"/>
              </w:rPr>
              <w:t>new passive foreign government investor Exemption Certificate; and</w:t>
            </w:r>
          </w:p>
          <w:p w14:paraId="57307FE4" w14:textId="2719EB24" w:rsidR="002D6FF6" w:rsidRPr="00D36EEB" w:rsidRDefault="002D6FF6">
            <w:pPr>
              <w:pStyle w:val="OutlineNumbered2"/>
              <w:numPr>
                <w:ilvl w:val="1"/>
                <w:numId w:val="31"/>
              </w:numPr>
            </w:pPr>
            <w:r w:rsidRPr="00D36EEB">
              <w:rPr>
                <w:sz w:val="22"/>
                <w:szCs w:val="24"/>
              </w:rPr>
              <w:lastRenderedPageBreak/>
              <w:t xml:space="preserve">other opportunities for streamlining the screening process </w:t>
            </w:r>
            <w:r w:rsidR="00C77EDF" w:rsidRPr="00D36EEB">
              <w:rPr>
                <w:sz w:val="22"/>
                <w:szCs w:val="24"/>
              </w:rPr>
              <w:t>to reduce</w:t>
            </w:r>
            <w:r w:rsidRPr="00D36EEB">
              <w:rPr>
                <w:sz w:val="22"/>
                <w:szCs w:val="24"/>
              </w:rPr>
              <w:t xml:space="preserve"> regulatory burden while </w:t>
            </w:r>
            <w:r w:rsidR="00C77EDF" w:rsidRPr="00D36EEB">
              <w:rPr>
                <w:sz w:val="22"/>
                <w:szCs w:val="24"/>
              </w:rPr>
              <w:t xml:space="preserve">enabling </w:t>
            </w:r>
            <w:r w:rsidRPr="00D36EEB">
              <w:rPr>
                <w:sz w:val="22"/>
                <w:szCs w:val="24"/>
              </w:rPr>
              <w:t>appropriate scrutiny of risk.</w:t>
            </w:r>
          </w:p>
        </w:tc>
      </w:tr>
    </w:tbl>
    <w:p w14:paraId="4D8BA140" w14:textId="7551D7A2" w:rsidR="008F3E4C" w:rsidRPr="00D36EEB" w:rsidRDefault="002C180D" w:rsidP="00DF733B">
      <w:pPr>
        <w:pStyle w:val="Heading2"/>
        <w:numPr>
          <w:ilvl w:val="0"/>
          <w:numId w:val="43"/>
        </w:numPr>
      </w:pPr>
      <w:bookmarkStart w:id="18" w:name="_Toc77930215"/>
      <w:r w:rsidRPr="00D36EEB">
        <w:lastRenderedPageBreak/>
        <w:t>Reform analysis – fees</w:t>
      </w:r>
      <w:bookmarkEnd w:id="18"/>
    </w:p>
    <w:p w14:paraId="4F73CCDE" w14:textId="63130D14" w:rsidR="00205541" w:rsidRPr="00D36EEB" w:rsidRDefault="00EA6614" w:rsidP="00DF733B">
      <w:pPr>
        <w:jc w:val="both"/>
      </w:pPr>
      <w:r w:rsidRPr="00D36EEB">
        <w:t xml:space="preserve">The Government first introduced fees for foreign investment applications in late 2015. </w:t>
      </w:r>
      <w:r w:rsidR="002D2213" w:rsidRPr="00D36EEB">
        <w:t>As part of the foreign investment reforms, the Government maintained its longstanding policy that foreign investors, not Australian taxpayers, should continue to bear the costs of administering the foreign investment regime. The revised fees framework was also intended to be fairer and simpler for investors.</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F305CD" w:rsidRPr="00D36EEB" w14:paraId="0C9E36D6" w14:textId="77777777" w:rsidTr="00DF733B">
        <w:tc>
          <w:tcPr>
            <w:tcW w:w="9016" w:type="dxa"/>
            <w:tcBorders>
              <w:bottom w:val="nil"/>
            </w:tcBorders>
            <w:shd w:val="clear" w:color="auto" w:fill="EBEBEB"/>
          </w:tcPr>
          <w:p w14:paraId="705D7183" w14:textId="77777777" w:rsidR="00F305CD" w:rsidRPr="00D36EEB" w:rsidRDefault="00F305CD" w:rsidP="00DF733B">
            <w:pPr>
              <w:rPr>
                <w:b/>
                <w:bCs/>
                <w:sz w:val="22"/>
                <w:szCs w:val="22"/>
              </w:rPr>
            </w:pPr>
            <w:r w:rsidRPr="00D36EEB">
              <w:rPr>
                <w:b/>
                <w:bCs/>
                <w:sz w:val="22"/>
                <w:szCs w:val="22"/>
              </w:rPr>
              <w:t>Consultation questions</w:t>
            </w:r>
          </w:p>
          <w:p w14:paraId="4EA5E24F" w14:textId="24BAF585" w:rsidR="00F305CD" w:rsidRPr="00D36EEB" w:rsidRDefault="00F305CD" w:rsidP="00DF733B">
            <w:pPr>
              <w:rPr>
                <w:sz w:val="22"/>
                <w:szCs w:val="22"/>
              </w:rPr>
            </w:pPr>
            <w:r w:rsidRPr="00D36EEB">
              <w:rPr>
                <w:sz w:val="22"/>
                <w:szCs w:val="22"/>
              </w:rPr>
              <w:t>To inform the evaluation, the Treasury is interested in hearing from stakeholders with regards to:</w:t>
            </w:r>
          </w:p>
          <w:p w14:paraId="254A740E" w14:textId="21511E06" w:rsidR="00F305CD" w:rsidRPr="00D36EEB" w:rsidRDefault="00484CE2" w:rsidP="00DF733B">
            <w:pPr>
              <w:pStyle w:val="OutlineNumbered2"/>
              <w:numPr>
                <w:ilvl w:val="1"/>
                <w:numId w:val="35"/>
              </w:numPr>
              <w:rPr>
                <w:sz w:val="22"/>
                <w:szCs w:val="22"/>
              </w:rPr>
            </w:pPr>
            <w:r w:rsidRPr="00D36EEB">
              <w:rPr>
                <w:bCs/>
                <w:sz w:val="22"/>
                <w:szCs w:val="22"/>
              </w:rPr>
              <w:t>w</w:t>
            </w:r>
            <w:r w:rsidR="00ED56DA" w:rsidRPr="00D36EEB">
              <w:rPr>
                <w:bCs/>
                <w:sz w:val="22"/>
                <w:szCs w:val="22"/>
              </w:rPr>
              <w:t>hether</w:t>
            </w:r>
            <w:r w:rsidRPr="00D36EEB">
              <w:rPr>
                <w:bCs/>
                <w:sz w:val="22"/>
                <w:szCs w:val="22"/>
              </w:rPr>
              <w:t xml:space="preserve"> </w:t>
            </w:r>
            <w:r w:rsidR="00F305CD" w:rsidRPr="00D36EEB">
              <w:rPr>
                <w:sz w:val="22"/>
                <w:szCs w:val="22"/>
              </w:rPr>
              <w:t xml:space="preserve">the new fees framework </w:t>
            </w:r>
            <w:r w:rsidR="00BE0240" w:rsidRPr="00D36EEB">
              <w:rPr>
                <w:sz w:val="22"/>
                <w:szCs w:val="22"/>
              </w:rPr>
              <w:t xml:space="preserve">affects </w:t>
            </w:r>
            <w:r w:rsidR="00F305CD" w:rsidRPr="00D36EEB">
              <w:rPr>
                <w:sz w:val="22"/>
                <w:szCs w:val="22"/>
              </w:rPr>
              <w:t>investor decision</w:t>
            </w:r>
            <w:r w:rsidR="00B60FC6" w:rsidRPr="00D36EEB">
              <w:rPr>
                <w:sz w:val="22"/>
                <w:szCs w:val="22"/>
              </w:rPr>
              <w:t>s</w:t>
            </w:r>
            <w:r w:rsidR="00ED56DA" w:rsidRPr="00D36EEB">
              <w:rPr>
                <w:sz w:val="22"/>
                <w:szCs w:val="22"/>
              </w:rPr>
              <w:t xml:space="preserve"> </w:t>
            </w:r>
            <w:r w:rsidRPr="00D36EEB">
              <w:rPr>
                <w:sz w:val="22"/>
                <w:szCs w:val="22"/>
              </w:rPr>
              <w:t>on</w:t>
            </w:r>
            <w:r w:rsidR="00F305CD" w:rsidRPr="00D36EEB">
              <w:rPr>
                <w:sz w:val="22"/>
                <w:szCs w:val="22"/>
              </w:rPr>
              <w:t xml:space="preserve"> invest</w:t>
            </w:r>
            <w:r w:rsidRPr="00D36EEB">
              <w:rPr>
                <w:sz w:val="22"/>
                <w:szCs w:val="22"/>
              </w:rPr>
              <w:t>ing</w:t>
            </w:r>
            <w:r w:rsidR="00F305CD" w:rsidRPr="00D36EEB">
              <w:rPr>
                <w:sz w:val="22"/>
                <w:szCs w:val="22"/>
              </w:rPr>
              <w:t xml:space="preserve"> in</w:t>
            </w:r>
            <w:r w:rsidRPr="00D36EEB">
              <w:rPr>
                <w:sz w:val="22"/>
                <w:szCs w:val="22"/>
              </w:rPr>
              <w:t>to</w:t>
            </w:r>
            <w:r w:rsidR="00F305CD" w:rsidRPr="00D36EEB">
              <w:rPr>
                <w:sz w:val="22"/>
                <w:szCs w:val="22"/>
              </w:rPr>
              <w:t xml:space="preserve"> Australia; </w:t>
            </w:r>
          </w:p>
          <w:p w14:paraId="7EDB3FBA" w14:textId="057618AB" w:rsidR="00ED56DA" w:rsidRPr="00D36EEB" w:rsidRDefault="00484CE2" w:rsidP="00DF733B">
            <w:pPr>
              <w:pStyle w:val="OutlineNumbered2"/>
              <w:numPr>
                <w:ilvl w:val="1"/>
                <w:numId w:val="35"/>
              </w:numPr>
              <w:rPr>
                <w:sz w:val="22"/>
                <w:szCs w:val="22"/>
              </w:rPr>
            </w:pPr>
            <w:r w:rsidRPr="00D36EEB">
              <w:rPr>
                <w:sz w:val="22"/>
                <w:szCs w:val="22"/>
              </w:rPr>
              <w:t>w</w:t>
            </w:r>
            <w:r w:rsidR="00ED56DA" w:rsidRPr="00D36EEB">
              <w:rPr>
                <w:sz w:val="22"/>
                <w:szCs w:val="22"/>
              </w:rPr>
              <w:t>hether</w:t>
            </w:r>
            <w:r w:rsidRPr="00D36EEB">
              <w:rPr>
                <w:sz w:val="22"/>
                <w:szCs w:val="22"/>
              </w:rPr>
              <w:t xml:space="preserve"> </w:t>
            </w:r>
            <w:r w:rsidR="00ED56DA" w:rsidRPr="00D36EEB">
              <w:rPr>
                <w:sz w:val="22"/>
                <w:szCs w:val="22"/>
              </w:rPr>
              <w:t xml:space="preserve">the new fees framework affects when and how </w:t>
            </w:r>
            <w:r w:rsidR="007B7784" w:rsidRPr="00D36EEB">
              <w:rPr>
                <w:sz w:val="22"/>
                <w:szCs w:val="22"/>
              </w:rPr>
              <w:t xml:space="preserve">investors </w:t>
            </w:r>
            <w:r w:rsidR="00ED56DA" w:rsidRPr="00D36EEB">
              <w:rPr>
                <w:sz w:val="22"/>
                <w:szCs w:val="22"/>
              </w:rPr>
              <w:t>apply for foreign investment approval; and</w:t>
            </w:r>
          </w:p>
          <w:p w14:paraId="728C54CD" w14:textId="196D4E25" w:rsidR="00166E68" w:rsidRPr="004B181C" w:rsidRDefault="00F305CD" w:rsidP="00DF733B">
            <w:pPr>
              <w:pStyle w:val="OutlineNumbered2"/>
              <w:numPr>
                <w:ilvl w:val="1"/>
                <w:numId w:val="35"/>
              </w:numPr>
              <w:rPr>
                <w:sz w:val="22"/>
                <w:szCs w:val="22"/>
              </w:rPr>
            </w:pPr>
            <w:r w:rsidRPr="004B181C">
              <w:rPr>
                <w:sz w:val="22"/>
                <w:szCs w:val="22"/>
              </w:rPr>
              <w:t>whether</w:t>
            </w:r>
            <w:r w:rsidR="00680673" w:rsidRPr="004B181C">
              <w:rPr>
                <w:sz w:val="22"/>
                <w:szCs w:val="22"/>
              </w:rPr>
              <w:t xml:space="preserve"> there is a need for further</w:t>
            </w:r>
            <w:r w:rsidR="00BC3F7F" w:rsidRPr="004B181C">
              <w:rPr>
                <w:sz w:val="22"/>
                <w:szCs w:val="22"/>
              </w:rPr>
              <w:t xml:space="preserve"> guidance on the </w:t>
            </w:r>
            <w:proofErr w:type="gramStart"/>
            <w:r w:rsidR="00BC3F7F" w:rsidRPr="004B181C">
              <w:rPr>
                <w:sz w:val="22"/>
                <w:szCs w:val="22"/>
              </w:rPr>
              <w:t>fees</w:t>
            </w:r>
            <w:proofErr w:type="gramEnd"/>
            <w:r w:rsidR="00BC3F7F" w:rsidRPr="004B181C">
              <w:rPr>
                <w:sz w:val="22"/>
                <w:szCs w:val="22"/>
              </w:rPr>
              <w:t xml:space="preserve"> framework</w:t>
            </w:r>
            <w:r w:rsidR="00680673" w:rsidRPr="004B181C">
              <w:rPr>
                <w:sz w:val="22"/>
                <w:szCs w:val="22"/>
              </w:rPr>
              <w:t xml:space="preserve"> and</w:t>
            </w:r>
            <w:r w:rsidR="00BC3F7F" w:rsidRPr="004B181C">
              <w:rPr>
                <w:sz w:val="22"/>
                <w:szCs w:val="22"/>
              </w:rPr>
              <w:t>,</w:t>
            </w:r>
            <w:r w:rsidR="00680673" w:rsidRPr="004B181C">
              <w:rPr>
                <w:sz w:val="22"/>
                <w:szCs w:val="22"/>
              </w:rPr>
              <w:t xml:space="preserve"> if so, what that guidance should address and in what format</w:t>
            </w:r>
            <w:r w:rsidR="00C25D14" w:rsidRPr="004B181C">
              <w:rPr>
                <w:sz w:val="22"/>
                <w:szCs w:val="22"/>
              </w:rPr>
              <w:t>.</w:t>
            </w:r>
          </w:p>
        </w:tc>
      </w:tr>
    </w:tbl>
    <w:p w14:paraId="218E4C86" w14:textId="72B47EB9" w:rsidR="008F3E4C" w:rsidRPr="00D36EEB" w:rsidRDefault="00E73F49" w:rsidP="00DF733B">
      <w:pPr>
        <w:pStyle w:val="Heading2"/>
        <w:numPr>
          <w:ilvl w:val="0"/>
          <w:numId w:val="43"/>
        </w:numPr>
      </w:pPr>
      <w:bookmarkStart w:id="19" w:name="_Toc77930216"/>
      <w:r w:rsidRPr="00D36EEB">
        <w:t>O</w:t>
      </w:r>
      <w:r w:rsidR="00D351DB" w:rsidRPr="00D36EEB">
        <w:t xml:space="preserve">ther </w:t>
      </w:r>
      <w:r w:rsidR="001E285C" w:rsidRPr="00D36EEB">
        <w:t>matters</w:t>
      </w:r>
      <w:bookmarkEnd w:id="19"/>
    </w:p>
    <w:p w14:paraId="16252944" w14:textId="7016A846" w:rsidR="00462D56" w:rsidRPr="00D36EEB" w:rsidRDefault="00462D56" w:rsidP="00DF733B">
      <w:pPr>
        <w:jc w:val="both"/>
        <w:rPr>
          <w:szCs w:val="22"/>
        </w:rPr>
      </w:pPr>
      <w:r w:rsidRPr="00D36EEB">
        <w:rPr>
          <w:szCs w:val="22"/>
        </w:rPr>
        <w:t xml:space="preserve">In addition to the major reform </w:t>
      </w:r>
      <w:r w:rsidR="00844A29" w:rsidRPr="00D36EEB">
        <w:rPr>
          <w:szCs w:val="22"/>
        </w:rPr>
        <w:t xml:space="preserve">elements </w:t>
      </w:r>
      <w:r w:rsidRPr="00D36EEB">
        <w:rPr>
          <w:szCs w:val="22"/>
        </w:rPr>
        <w:t xml:space="preserve">discussed above, the reforms </w:t>
      </w:r>
      <w:r w:rsidR="00142FAD" w:rsidRPr="00D36EEB">
        <w:rPr>
          <w:szCs w:val="22"/>
        </w:rPr>
        <w:t xml:space="preserve">also </w:t>
      </w:r>
      <w:r w:rsidRPr="00D36EEB">
        <w:rPr>
          <w:szCs w:val="22"/>
        </w:rPr>
        <w:t>introduced changes to various technical aspects of the foreign investment framework, including the treatment of passive increases in interests, the definition of an Australian media business, the change of control test, and the moneylending exemption.</w:t>
      </w:r>
      <w:r w:rsidR="0071225D" w:rsidRPr="00D36EEB">
        <w:rPr>
          <w:szCs w:val="22"/>
        </w:rPr>
        <w:t xml:space="preserve"> </w:t>
      </w:r>
    </w:p>
    <w:p w14:paraId="3B64F7BA" w14:textId="27A19584" w:rsidR="00E73F49" w:rsidRPr="00D36EEB" w:rsidRDefault="00766EC1" w:rsidP="00DF733B">
      <w:pPr>
        <w:jc w:val="both"/>
        <w:rPr>
          <w:szCs w:val="22"/>
        </w:rPr>
      </w:pPr>
      <w:r w:rsidRPr="00D36EEB">
        <w:rPr>
          <w:szCs w:val="22"/>
        </w:rPr>
        <w:t xml:space="preserve">Many aspects of Australia’s foreign investment framework remain unchanged following the reforms. </w:t>
      </w:r>
      <w:r w:rsidR="009538FA" w:rsidRPr="00D36EEB">
        <w:rPr>
          <w:szCs w:val="22"/>
        </w:rPr>
        <w:t xml:space="preserve">Australia </w:t>
      </w:r>
      <w:r w:rsidR="00A11EDD" w:rsidRPr="00D36EEB">
        <w:rPr>
          <w:szCs w:val="22"/>
        </w:rPr>
        <w:t xml:space="preserve">continues to </w:t>
      </w:r>
      <w:r w:rsidR="009538FA" w:rsidRPr="00D36EEB">
        <w:rPr>
          <w:szCs w:val="22"/>
        </w:rPr>
        <w:t xml:space="preserve">welcome foreign investment for the significant benefits it provides while ensuring that investments are not contrary to the national interest. </w:t>
      </w:r>
      <w:r w:rsidRPr="00D36EEB">
        <w:rPr>
          <w:szCs w:val="22"/>
        </w:rPr>
        <w:t xml:space="preserve">The </w:t>
      </w:r>
      <w:r w:rsidR="009538FA" w:rsidRPr="00D36EEB">
        <w:rPr>
          <w:szCs w:val="22"/>
        </w:rPr>
        <w:t>foreign investment framework remains non</w:t>
      </w:r>
      <w:r w:rsidR="00A11EDD" w:rsidRPr="00D36EEB">
        <w:rPr>
          <w:szCs w:val="22"/>
        </w:rPr>
        <w:noBreakHyphen/>
      </w:r>
      <w:r w:rsidR="009538FA" w:rsidRPr="00D36EEB">
        <w:rPr>
          <w:szCs w:val="22"/>
        </w:rPr>
        <w:t>discriminatory and applications continue to be assessed on a case-by-case basis.</w:t>
      </w:r>
      <w:r w:rsidR="00797889">
        <w:rPr>
          <w:szCs w:val="22"/>
        </w:rPr>
        <w:t xml:space="preserve"> The Treasury seeks feedback from stakeholders as to their views on the operation and effectiveness of other elements in the foreign investment framework.</w:t>
      </w:r>
    </w:p>
    <w:tbl>
      <w:tblPr>
        <w:tblStyle w:val="TableGrid"/>
        <w:tblW w:w="0" w:type="auto"/>
        <w:tblBorders>
          <w:bottom w:val="single" w:sz="12" w:space="0" w:color="336E98"/>
        </w:tblBorders>
        <w:shd w:val="clear" w:color="auto" w:fill="F2F2F2" w:themeFill="background1" w:themeFillShade="F2"/>
        <w:tblLook w:val="04A0" w:firstRow="1" w:lastRow="0" w:firstColumn="1" w:lastColumn="0" w:noHBand="0" w:noVBand="1"/>
      </w:tblPr>
      <w:tblGrid>
        <w:gridCol w:w="9016"/>
      </w:tblGrid>
      <w:tr w:rsidR="00462D56" w:rsidRPr="00DF733B" w14:paraId="54C8741B" w14:textId="77777777" w:rsidTr="00DF733B">
        <w:tc>
          <w:tcPr>
            <w:tcW w:w="9016" w:type="dxa"/>
            <w:tcBorders>
              <w:bottom w:val="nil"/>
            </w:tcBorders>
            <w:shd w:val="clear" w:color="auto" w:fill="EBEBEB"/>
          </w:tcPr>
          <w:p w14:paraId="01D1E33E" w14:textId="77777777" w:rsidR="00462D56" w:rsidRPr="00D36EEB" w:rsidRDefault="00462D56" w:rsidP="00DF733B">
            <w:pPr>
              <w:rPr>
                <w:b/>
                <w:bCs/>
                <w:sz w:val="22"/>
                <w:szCs w:val="22"/>
              </w:rPr>
            </w:pPr>
            <w:r w:rsidRPr="00D36EEB">
              <w:rPr>
                <w:b/>
                <w:bCs/>
                <w:sz w:val="22"/>
                <w:szCs w:val="22"/>
              </w:rPr>
              <w:t>Consultation questions</w:t>
            </w:r>
          </w:p>
          <w:p w14:paraId="6C076BEE" w14:textId="3F273762" w:rsidR="00462D56" w:rsidRPr="00D36EEB" w:rsidRDefault="00462D56" w:rsidP="00DF733B">
            <w:pPr>
              <w:rPr>
                <w:sz w:val="22"/>
                <w:szCs w:val="22"/>
              </w:rPr>
            </w:pPr>
            <w:r w:rsidRPr="00D36EEB">
              <w:rPr>
                <w:sz w:val="22"/>
                <w:szCs w:val="22"/>
              </w:rPr>
              <w:t>To inform the evaluation, the Treasury is interested in hearing from stakeholders with regards to:</w:t>
            </w:r>
          </w:p>
          <w:p w14:paraId="457E98E0" w14:textId="0985CC0B" w:rsidR="00462D56" w:rsidRPr="00D36EEB" w:rsidRDefault="00462D56" w:rsidP="00DF733B">
            <w:pPr>
              <w:pStyle w:val="OutlineNumbered2"/>
              <w:numPr>
                <w:ilvl w:val="1"/>
                <w:numId w:val="42"/>
              </w:numPr>
              <w:rPr>
                <w:sz w:val="22"/>
                <w:szCs w:val="22"/>
              </w:rPr>
            </w:pPr>
            <w:r w:rsidRPr="00D36EEB">
              <w:rPr>
                <w:sz w:val="22"/>
                <w:szCs w:val="22"/>
              </w:rPr>
              <w:t xml:space="preserve">whether any </w:t>
            </w:r>
            <w:r w:rsidR="00E1679A" w:rsidRPr="00D36EEB">
              <w:rPr>
                <w:sz w:val="22"/>
                <w:szCs w:val="22"/>
              </w:rPr>
              <w:t xml:space="preserve">other elements of the </w:t>
            </w:r>
            <w:r w:rsidR="00766EC1" w:rsidRPr="00D36EEB">
              <w:rPr>
                <w:sz w:val="22"/>
                <w:szCs w:val="22"/>
              </w:rPr>
              <w:t>reforms</w:t>
            </w:r>
            <w:r w:rsidRPr="00D36EEB">
              <w:rPr>
                <w:sz w:val="22"/>
                <w:szCs w:val="22"/>
              </w:rPr>
              <w:t xml:space="preserve">, </w:t>
            </w:r>
            <w:r w:rsidR="00CD6770" w:rsidRPr="00D36EEB">
              <w:rPr>
                <w:sz w:val="22"/>
                <w:szCs w:val="22"/>
              </w:rPr>
              <w:t xml:space="preserve">which </w:t>
            </w:r>
            <w:r w:rsidRPr="00D36EEB">
              <w:rPr>
                <w:sz w:val="22"/>
                <w:szCs w:val="22"/>
              </w:rPr>
              <w:t xml:space="preserve">are not already discussed at a consultation question above, have </w:t>
            </w:r>
            <w:r w:rsidR="00A11EDD" w:rsidRPr="00D36EEB">
              <w:rPr>
                <w:sz w:val="22"/>
                <w:szCs w:val="22"/>
              </w:rPr>
              <w:t xml:space="preserve">had </w:t>
            </w:r>
            <w:r w:rsidRPr="00D36EEB">
              <w:rPr>
                <w:sz w:val="22"/>
                <w:szCs w:val="22"/>
              </w:rPr>
              <w:t>a significant impact on stakeholders and</w:t>
            </w:r>
            <w:r w:rsidR="00D9381A" w:rsidRPr="00D36EEB">
              <w:rPr>
                <w:sz w:val="22"/>
                <w:szCs w:val="22"/>
              </w:rPr>
              <w:t>,</w:t>
            </w:r>
            <w:r w:rsidRPr="00D36EEB">
              <w:rPr>
                <w:sz w:val="22"/>
                <w:szCs w:val="22"/>
              </w:rPr>
              <w:t xml:space="preserve"> if so, what those impacts are</w:t>
            </w:r>
            <w:r w:rsidR="00A11EDD" w:rsidRPr="00D36EEB">
              <w:rPr>
                <w:sz w:val="22"/>
                <w:szCs w:val="22"/>
              </w:rPr>
              <w:t>; and</w:t>
            </w:r>
          </w:p>
          <w:p w14:paraId="73C48252" w14:textId="3BD1BCCE" w:rsidR="00766EC1" w:rsidRPr="00D36EEB" w:rsidRDefault="00766EC1">
            <w:pPr>
              <w:pStyle w:val="OutlineNumbered2"/>
              <w:numPr>
                <w:ilvl w:val="1"/>
                <w:numId w:val="42"/>
              </w:numPr>
              <w:rPr>
                <w:sz w:val="22"/>
                <w:szCs w:val="22"/>
              </w:rPr>
            </w:pPr>
            <w:r w:rsidRPr="00D36EEB">
              <w:rPr>
                <w:sz w:val="22"/>
                <w:szCs w:val="22"/>
              </w:rPr>
              <w:t xml:space="preserve">whether any other elements of the foreign investment framework, </w:t>
            </w:r>
            <w:r w:rsidR="00CD6770" w:rsidRPr="00D36EEB">
              <w:rPr>
                <w:sz w:val="22"/>
                <w:szCs w:val="22"/>
              </w:rPr>
              <w:t xml:space="preserve">which </w:t>
            </w:r>
            <w:r w:rsidRPr="00D36EEB">
              <w:rPr>
                <w:sz w:val="22"/>
                <w:szCs w:val="22"/>
              </w:rPr>
              <w:t>are not already discussed at a consultation question above, have a significant impact on stakeholders and</w:t>
            </w:r>
            <w:r w:rsidR="00D9381A" w:rsidRPr="00D36EEB">
              <w:rPr>
                <w:sz w:val="22"/>
                <w:szCs w:val="22"/>
              </w:rPr>
              <w:t>,</w:t>
            </w:r>
            <w:r w:rsidRPr="00D36EEB">
              <w:rPr>
                <w:sz w:val="22"/>
                <w:szCs w:val="22"/>
              </w:rPr>
              <w:t xml:space="preserve"> if so, what those impacts are</w:t>
            </w:r>
            <w:r w:rsidR="00A91CED" w:rsidRPr="00D36EEB">
              <w:rPr>
                <w:sz w:val="22"/>
                <w:szCs w:val="22"/>
              </w:rPr>
              <w:t xml:space="preserve"> and </w:t>
            </w:r>
            <w:r w:rsidR="00CD6770" w:rsidRPr="00D36EEB">
              <w:rPr>
                <w:sz w:val="22"/>
                <w:szCs w:val="22"/>
              </w:rPr>
              <w:t>how they could be addressed</w:t>
            </w:r>
            <w:r w:rsidRPr="00D36EEB">
              <w:rPr>
                <w:sz w:val="22"/>
                <w:szCs w:val="22"/>
              </w:rPr>
              <w:t>.</w:t>
            </w:r>
          </w:p>
        </w:tc>
      </w:tr>
    </w:tbl>
    <w:p w14:paraId="3F33AE35" w14:textId="77777777" w:rsidR="008F3E4C" w:rsidRDefault="008F3E4C" w:rsidP="008361B4"/>
    <w:sectPr w:rsidR="008F3E4C"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D0C98" w14:textId="77777777" w:rsidR="00B60FC6" w:rsidRDefault="00B60FC6">
      <w:pPr>
        <w:spacing w:before="0" w:after="0"/>
      </w:pPr>
      <w:r>
        <w:separator/>
      </w:r>
    </w:p>
  </w:endnote>
  <w:endnote w:type="continuationSeparator" w:id="0">
    <w:p w14:paraId="4D64B38B" w14:textId="77777777" w:rsidR="00B60FC6" w:rsidRDefault="00B60F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4381" w14:textId="77777777" w:rsidR="00B60FC6" w:rsidRPr="00E77C89" w:rsidRDefault="00B60FC6"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8952" w14:textId="77777777" w:rsidR="00B60FC6" w:rsidRPr="00E77C89" w:rsidRDefault="00B60FC6"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BEC2" w14:textId="0F2C6F86" w:rsidR="00B60FC6" w:rsidRPr="00E1136B" w:rsidRDefault="00B60FC6" w:rsidP="00E1136B">
    <w:pPr>
      <w:pStyle w:val="Footer"/>
    </w:pPr>
    <w:r>
      <w:fldChar w:fldCharType="begin"/>
    </w:r>
    <w:r>
      <w:instrText xml:space="preserve"> PAGE   \* MERGEFORMAT </w:instrText>
    </w:r>
    <w:r>
      <w:fldChar w:fldCharType="separate"/>
    </w:r>
    <w:r w:rsidR="00CD6770">
      <w:rPr>
        <w:noProof/>
      </w:rPr>
      <w:t>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9788" w14:textId="77777777" w:rsidR="00B60FC6" w:rsidRDefault="00B60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DA042" w14:textId="77777777" w:rsidR="00B60FC6" w:rsidRDefault="00B60FC6">
      <w:pPr>
        <w:spacing w:before="0" w:after="0"/>
      </w:pPr>
      <w:r>
        <w:separator/>
      </w:r>
    </w:p>
  </w:footnote>
  <w:footnote w:type="continuationSeparator" w:id="0">
    <w:p w14:paraId="161F4B7E" w14:textId="77777777" w:rsidR="00B60FC6" w:rsidRDefault="00B60FC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58A9C" w14:textId="77777777" w:rsidR="00B60FC6" w:rsidRDefault="00B60FC6">
    <w:pPr>
      <w:pStyle w:val="Header"/>
    </w:pPr>
    <w:r>
      <w:rPr>
        <w:noProof/>
      </w:rPr>
      <w:drawing>
        <wp:anchor distT="0" distB="0" distL="114300" distR="114300" simplePos="0" relativeHeight="251661312" behindDoc="1" locked="0" layoutInCell="1" allowOverlap="1" wp14:anchorId="14B5A0A3" wp14:editId="16E04C88">
          <wp:simplePos x="0" y="0"/>
          <wp:positionH relativeFrom="page">
            <wp:posOffset>182880</wp:posOffset>
          </wp:positionH>
          <wp:positionV relativeFrom="page">
            <wp:posOffset>320040</wp:posOffset>
          </wp:positionV>
          <wp:extent cx="7198995" cy="100203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D5D6" w14:textId="77777777" w:rsidR="00B60FC6" w:rsidRPr="001F3912" w:rsidRDefault="00B60FC6"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2C98" w14:textId="77777777" w:rsidR="00B60FC6" w:rsidRPr="001F3912" w:rsidRDefault="00B60FC6"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4C403" w14:textId="77777777" w:rsidR="00B60FC6" w:rsidRPr="001F3912" w:rsidRDefault="00B60FC6"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BDD4" w14:textId="490918C8" w:rsidR="00B60FC6" w:rsidRPr="001F3912" w:rsidRDefault="003462CC" w:rsidP="001606CF">
    <w:pPr>
      <w:pStyle w:val="Header"/>
    </w:pPr>
    <w:fldSimple w:instr=" STYLEREF  Title  \* MERGEFORMAT ">
      <w:r w:rsidR="001F29AC">
        <w:rPr>
          <w:noProof/>
        </w:rPr>
        <w:t>Evaluation of the 2021 foreign investment reforms: consultation paper</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9E55D" w14:textId="77777777" w:rsidR="00B60FC6" w:rsidRDefault="00B60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3EA7CFB"/>
    <w:multiLevelType w:val="multilevel"/>
    <w:tmpl w:val="9A52AF20"/>
    <w:lvl w:ilvl="0">
      <w:start w:val="2"/>
      <w:numFmt w:val="decimal"/>
      <w:lvlText w:val="%1."/>
      <w:lvlJc w:val="left"/>
      <w:pPr>
        <w:tabs>
          <w:tab w:val="num" w:pos="567"/>
        </w:tabs>
        <w:ind w:left="567" w:hanging="567"/>
      </w:pPr>
      <w:rPr>
        <w:rFonts w:hint="default"/>
        <w:b/>
        <w:bCs/>
      </w:rPr>
    </w:lvl>
    <w:lvl w:ilvl="1">
      <w:start w:val="1"/>
      <w:numFmt w:val="decimal"/>
      <w:lvlText w:val="6.%2"/>
      <w:lvlJc w:val="left"/>
      <w:pPr>
        <w:tabs>
          <w:tab w:val="num" w:pos="567"/>
        </w:tabs>
        <w:ind w:left="567" w:hanging="567"/>
      </w:pPr>
      <w:rPr>
        <w:rFonts w:hint="default"/>
        <w:b/>
        <w:bCs/>
        <w:sz w:val="22"/>
        <w:szCs w:val="22"/>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BE589E"/>
    <w:multiLevelType w:val="multilevel"/>
    <w:tmpl w:val="5786216E"/>
    <w:lvl w:ilvl="0">
      <w:start w:val="2"/>
      <w:numFmt w:val="decimal"/>
      <w:lvlText w:val="%1."/>
      <w:lvlJc w:val="left"/>
      <w:pPr>
        <w:tabs>
          <w:tab w:val="num" w:pos="567"/>
        </w:tabs>
        <w:ind w:left="567" w:hanging="567"/>
      </w:pPr>
      <w:rPr>
        <w:rFonts w:hint="default"/>
        <w:b/>
        <w:bCs/>
      </w:rPr>
    </w:lvl>
    <w:lvl w:ilvl="1">
      <w:start w:val="1"/>
      <w:numFmt w:val="decimal"/>
      <w:lvlText w:val="8.%2"/>
      <w:lvlJc w:val="left"/>
      <w:pPr>
        <w:tabs>
          <w:tab w:val="num" w:pos="567"/>
        </w:tabs>
        <w:ind w:left="567" w:hanging="567"/>
      </w:pPr>
      <w:rPr>
        <w:rFonts w:hint="default"/>
        <w:b/>
        <w:bCs/>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929142F"/>
    <w:multiLevelType w:val="multilevel"/>
    <w:tmpl w:val="7A602500"/>
    <w:lvl w:ilvl="0">
      <w:start w:val="2"/>
      <w:numFmt w:val="decimal"/>
      <w:lvlText w:val="%1."/>
      <w:lvlJc w:val="left"/>
      <w:pPr>
        <w:tabs>
          <w:tab w:val="num" w:pos="567"/>
        </w:tabs>
        <w:ind w:left="567" w:hanging="567"/>
      </w:pPr>
      <w:rPr>
        <w:rFonts w:hint="default"/>
        <w:b/>
        <w:bCs/>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0D2021"/>
    <w:multiLevelType w:val="multilevel"/>
    <w:tmpl w:val="6C78A28A"/>
    <w:lvl w:ilvl="0">
      <w:start w:val="2"/>
      <w:numFmt w:val="decimal"/>
      <w:pStyle w:val="OutlineNumbered1"/>
      <w:lvlText w:val="%1."/>
      <w:lvlJc w:val="left"/>
      <w:pPr>
        <w:tabs>
          <w:tab w:val="num" w:pos="567"/>
        </w:tabs>
        <w:ind w:left="567" w:hanging="567"/>
      </w:pPr>
      <w:rPr>
        <w:rFonts w:hint="default"/>
        <w:b/>
        <w:bCs/>
      </w:rPr>
    </w:lvl>
    <w:lvl w:ilvl="1">
      <w:start w:val="1"/>
      <w:numFmt w:val="decimal"/>
      <w:pStyle w:val="OutlineNumbered2"/>
      <w:lvlText w:val="%1.%2"/>
      <w:lvlJc w:val="left"/>
      <w:pPr>
        <w:tabs>
          <w:tab w:val="num" w:pos="567"/>
        </w:tabs>
        <w:ind w:left="567" w:hanging="567"/>
      </w:pPr>
      <w:rPr>
        <w:rFonts w:hint="default"/>
        <w:b/>
        <w:bCs/>
        <w:sz w:val="22"/>
        <w:szCs w:val="22"/>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70815EE"/>
    <w:multiLevelType w:val="multilevel"/>
    <w:tmpl w:val="3A3A4498"/>
    <w:lvl w:ilvl="0">
      <w:start w:val="2"/>
      <w:numFmt w:val="decimal"/>
      <w:lvlText w:val="%1."/>
      <w:lvlJc w:val="left"/>
      <w:pPr>
        <w:tabs>
          <w:tab w:val="num" w:pos="567"/>
        </w:tabs>
        <w:ind w:left="567" w:hanging="567"/>
      </w:pPr>
      <w:rPr>
        <w:rFonts w:hint="default"/>
        <w:b/>
        <w:bCs/>
      </w:rPr>
    </w:lvl>
    <w:lvl w:ilvl="1">
      <w:start w:val="1"/>
      <w:numFmt w:val="decimal"/>
      <w:lvlText w:val="4.%2"/>
      <w:lvlJc w:val="left"/>
      <w:pPr>
        <w:tabs>
          <w:tab w:val="num" w:pos="567"/>
        </w:tabs>
        <w:ind w:left="567" w:hanging="567"/>
      </w:pPr>
      <w:rPr>
        <w:rFonts w:hint="default"/>
        <w:b/>
        <w:bCs/>
        <w:sz w:val="22"/>
        <w:szCs w:val="22"/>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EA5355F"/>
    <w:multiLevelType w:val="multilevel"/>
    <w:tmpl w:val="B920A6E8"/>
    <w:lvl w:ilvl="0">
      <w:start w:val="2"/>
      <w:numFmt w:val="decimal"/>
      <w:lvlText w:val="%1."/>
      <w:lvlJc w:val="left"/>
      <w:pPr>
        <w:tabs>
          <w:tab w:val="num" w:pos="567"/>
        </w:tabs>
        <w:ind w:left="567" w:hanging="567"/>
      </w:pPr>
      <w:rPr>
        <w:rFonts w:hint="default"/>
        <w:b/>
        <w:bCs/>
      </w:rPr>
    </w:lvl>
    <w:lvl w:ilvl="1">
      <w:start w:val="1"/>
      <w:numFmt w:val="decimal"/>
      <w:lvlText w:val="3.%2"/>
      <w:lvlJc w:val="left"/>
      <w:pPr>
        <w:tabs>
          <w:tab w:val="num" w:pos="567"/>
        </w:tabs>
        <w:ind w:left="567" w:hanging="567"/>
      </w:pPr>
      <w:rPr>
        <w:rFonts w:hint="default"/>
        <w:b/>
        <w:bCs/>
        <w:sz w:val="22"/>
        <w:szCs w:val="22"/>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EAC3676"/>
    <w:multiLevelType w:val="multilevel"/>
    <w:tmpl w:val="13AC0A54"/>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2687FC8"/>
    <w:multiLevelType w:val="multilevel"/>
    <w:tmpl w:val="4EA20CBA"/>
    <w:lvl w:ilvl="0">
      <w:start w:val="2"/>
      <w:numFmt w:val="decimal"/>
      <w:lvlText w:val="%1."/>
      <w:lvlJc w:val="left"/>
      <w:pPr>
        <w:tabs>
          <w:tab w:val="num" w:pos="567"/>
        </w:tabs>
        <w:ind w:left="567" w:hanging="567"/>
      </w:pPr>
      <w:rPr>
        <w:rFonts w:hint="default"/>
        <w:b/>
        <w:bCs/>
      </w:rPr>
    </w:lvl>
    <w:lvl w:ilvl="1">
      <w:start w:val="1"/>
      <w:numFmt w:val="decimal"/>
      <w:lvlText w:val="7.%2"/>
      <w:lvlJc w:val="left"/>
      <w:pPr>
        <w:tabs>
          <w:tab w:val="num" w:pos="567"/>
        </w:tabs>
        <w:ind w:left="567" w:hanging="567"/>
      </w:pPr>
      <w:rPr>
        <w:rFonts w:hint="default"/>
        <w:b/>
        <w:bCs/>
        <w:sz w:val="22"/>
        <w:szCs w:val="22"/>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2D25891"/>
    <w:multiLevelType w:val="hybridMultilevel"/>
    <w:tmpl w:val="3B72DF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61051B1"/>
    <w:multiLevelType w:val="multilevel"/>
    <w:tmpl w:val="7A14D604"/>
    <w:lvl w:ilvl="0">
      <w:start w:val="2"/>
      <w:numFmt w:val="decimal"/>
      <w:lvlText w:val="%1."/>
      <w:lvlJc w:val="left"/>
      <w:pPr>
        <w:tabs>
          <w:tab w:val="num" w:pos="567"/>
        </w:tabs>
        <w:ind w:left="567" w:hanging="567"/>
      </w:pPr>
      <w:rPr>
        <w:rFonts w:hint="default"/>
        <w:b/>
        <w:bCs/>
      </w:rPr>
    </w:lvl>
    <w:lvl w:ilvl="1">
      <w:start w:val="1"/>
      <w:numFmt w:val="decimal"/>
      <w:lvlText w:val="5.%2"/>
      <w:lvlJc w:val="left"/>
      <w:pPr>
        <w:tabs>
          <w:tab w:val="num" w:pos="567"/>
        </w:tabs>
        <w:ind w:left="567" w:hanging="567"/>
      </w:pPr>
      <w:rPr>
        <w:rFonts w:hint="default"/>
        <w:b/>
        <w:bCs/>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084464F"/>
    <w:multiLevelType w:val="hybridMultilevel"/>
    <w:tmpl w:val="B7085208"/>
    <w:lvl w:ilvl="0" w:tplc="BDEA709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7"/>
  </w:num>
  <w:num w:numId="2">
    <w:abstractNumId w:val="0"/>
  </w:num>
  <w:num w:numId="3">
    <w:abstractNumId w:val="10"/>
  </w:num>
  <w:num w:numId="4">
    <w:abstractNumId w:val="2"/>
  </w:num>
  <w:num w:numId="5">
    <w:abstractNumId w:val="3"/>
  </w:num>
  <w:num w:numId="6">
    <w:abstractNumId w:val="12"/>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6"/>
  </w:num>
  <w:num w:numId="11">
    <w:abstractNumId w:val="20"/>
  </w:num>
  <w:num w:numId="12">
    <w:abstractNumId w:val="12"/>
  </w:num>
  <w:num w:numId="13">
    <w:abstractNumId w:val="6"/>
  </w:num>
  <w:num w:numId="14">
    <w:abstractNumId w:val="8"/>
  </w:num>
  <w:num w:numId="15">
    <w:abstractNumId w:val="15"/>
  </w:num>
  <w:num w:numId="16">
    <w:abstractNumId w:val="12"/>
  </w:num>
  <w:num w:numId="17">
    <w:abstractNumId w:val="19"/>
  </w:num>
  <w:num w:numId="18">
    <w:abstractNumId w:val="12"/>
  </w:num>
  <w:num w:numId="19">
    <w:abstractNumId w:val="12"/>
  </w:num>
  <w:num w:numId="20">
    <w:abstractNumId w:val="12"/>
    <w:lvlOverride w:ilvl="0">
      <w:lvl w:ilvl="0">
        <w:start w:val="2"/>
        <w:numFmt w:val="decimal"/>
        <w:pStyle w:val="OutlineNumbered1"/>
        <w:lvlText w:val="%1."/>
        <w:lvlJc w:val="left"/>
        <w:pPr>
          <w:tabs>
            <w:tab w:val="num" w:pos="567"/>
          </w:tabs>
          <w:ind w:left="567" w:hanging="567"/>
        </w:pPr>
        <w:rPr>
          <w:rFonts w:hint="default"/>
          <w:b/>
          <w:bCs/>
        </w:rPr>
      </w:lvl>
    </w:lvlOverride>
    <w:lvlOverride w:ilvl="1">
      <w:lvl w:ilvl="1">
        <w:start w:val="1"/>
        <w:numFmt w:val="decimal"/>
        <w:lvlRestart w:val="0"/>
        <w:pStyle w:val="OutlineNumbered2"/>
        <w:lvlText w:val="%2.1"/>
        <w:lvlJc w:val="left"/>
        <w:pPr>
          <w:tabs>
            <w:tab w:val="num" w:pos="567"/>
          </w:tabs>
          <w:ind w:left="567" w:hanging="567"/>
        </w:pPr>
        <w:rPr>
          <w:rFonts w:hint="default"/>
          <w:b/>
          <w:bCs/>
          <w:sz w:val="22"/>
          <w:szCs w:val="24"/>
        </w:rPr>
      </w:lvl>
    </w:lvlOverride>
    <w:lvlOverride w:ilvl="2">
      <w:lvl w:ilvl="2">
        <w:start w:val="1"/>
        <w:numFmt w:val="decimal"/>
        <w:pStyle w:val="OutlineNumbered3"/>
        <w:lvlText w:val="%1.%2.%3"/>
        <w:lvlJc w:val="left"/>
        <w:pPr>
          <w:tabs>
            <w:tab w:val="num" w:pos="1418"/>
          </w:tabs>
          <w:ind w:left="1418" w:hanging="1418"/>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12"/>
  </w:num>
  <w:num w:numId="22">
    <w:abstractNumId w:val="11"/>
  </w:num>
  <w:num w:numId="23">
    <w:abstractNumId w:val="14"/>
  </w:num>
  <w:num w:numId="24">
    <w:abstractNumId w:val="12"/>
  </w:num>
  <w:num w:numId="25">
    <w:abstractNumId w:val="12"/>
  </w:num>
  <w:num w:numId="26">
    <w:abstractNumId w:val="12"/>
    <w:lvlOverride w:ilvl="0">
      <w:startOverride w:val="2"/>
      <w:lvl w:ilvl="0">
        <w:start w:val="2"/>
        <w:numFmt w:val="decimal"/>
        <w:pStyle w:val="OutlineNumbered1"/>
        <w:lvlText w:val="%1."/>
        <w:lvlJc w:val="left"/>
        <w:pPr>
          <w:tabs>
            <w:tab w:val="num" w:pos="567"/>
          </w:tabs>
          <w:ind w:left="567" w:hanging="567"/>
        </w:pPr>
        <w:rPr>
          <w:rFonts w:hint="default"/>
          <w:b/>
          <w:bCs/>
        </w:rPr>
      </w:lvl>
    </w:lvlOverride>
    <w:lvlOverride w:ilvl="1">
      <w:startOverride w:val="4"/>
      <w:lvl w:ilvl="1">
        <w:start w:val="4"/>
        <w:numFmt w:val="decimal"/>
        <w:lvlRestart w:val="0"/>
        <w:pStyle w:val="OutlineNumbered2"/>
        <w:lvlText w:val="%2.1"/>
        <w:lvlJc w:val="left"/>
        <w:pPr>
          <w:tabs>
            <w:tab w:val="num" w:pos="567"/>
          </w:tabs>
          <w:ind w:left="567" w:hanging="567"/>
        </w:pPr>
        <w:rPr>
          <w:rFonts w:hint="default"/>
          <w:b/>
          <w:bCs/>
          <w:sz w:val="22"/>
          <w:szCs w:val="24"/>
        </w:rPr>
      </w:lvl>
    </w:lvlOverride>
    <w:lvlOverride w:ilvl="2">
      <w:startOverride w:val="1"/>
      <w:lvl w:ilvl="2">
        <w:start w:val="1"/>
        <w:numFmt w:val="decimal"/>
        <w:pStyle w:val="OutlineNumbered3"/>
        <w:lvlText w:val="%1.%2.%3"/>
        <w:lvlJc w:val="left"/>
        <w:pPr>
          <w:tabs>
            <w:tab w:val="num" w:pos="1418"/>
          </w:tabs>
          <w:ind w:left="1418" w:hanging="1418"/>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abstractNumId w:val="12"/>
  </w:num>
  <w:num w:numId="28">
    <w:abstractNumId w:val="13"/>
  </w:num>
  <w:num w:numId="29">
    <w:abstractNumId w:val="12"/>
  </w:num>
  <w:num w:numId="30">
    <w:abstractNumId w:val="12"/>
  </w:num>
  <w:num w:numId="31">
    <w:abstractNumId w:val="5"/>
  </w:num>
  <w:num w:numId="32">
    <w:abstractNumId w:val="12"/>
  </w:num>
  <w:num w:numId="33">
    <w:abstractNumId w:val="12"/>
  </w:num>
  <w:num w:numId="34">
    <w:abstractNumId w:val="12"/>
  </w:num>
  <w:num w:numId="35">
    <w:abstractNumId w:val="16"/>
  </w:num>
  <w:num w:numId="36">
    <w:abstractNumId w:val="12"/>
  </w:num>
  <w:num w:numId="37">
    <w:abstractNumId w:val="12"/>
  </w:num>
  <w:num w:numId="38">
    <w:abstractNumId w:val="12"/>
  </w:num>
  <w:num w:numId="39">
    <w:abstractNumId w:val="18"/>
  </w:num>
  <w:num w:numId="40">
    <w:abstractNumId w:val="12"/>
  </w:num>
  <w:num w:numId="41">
    <w:abstractNumId w:val="12"/>
  </w:num>
  <w:num w:numId="42">
    <w:abstractNumId w:val="9"/>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C5"/>
    <w:rsid w:val="00011725"/>
    <w:rsid w:val="00012C62"/>
    <w:rsid w:val="00024281"/>
    <w:rsid w:val="0002544D"/>
    <w:rsid w:val="000358CB"/>
    <w:rsid w:val="00041A8B"/>
    <w:rsid w:val="0004274D"/>
    <w:rsid w:val="00044C0A"/>
    <w:rsid w:val="00056880"/>
    <w:rsid w:val="000675D1"/>
    <w:rsid w:val="0007102C"/>
    <w:rsid w:val="00072352"/>
    <w:rsid w:val="00073521"/>
    <w:rsid w:val="000775DE"/>
    <w:rsid w:val="000858F2"/>
    <w:rsid w:val="00087FAF"/>
    <w:rsid w:val="000A1C05"/>
    <w:rsid w:val="000A2B9B"/>
    <w:rsid w:val="000B701A"/>
    <w:rsid w:val="000C5F40"/>
    <w:rsid w:val="000D3C71"/>
    <w:rsid w:val="000E0B74"/>
    <w:rsid w:val="000E12A6"/>
    <w:rsid w:val="000F08BC"/>
    <w:rsid w:val="000F0BF8"/>
    <w:rsid w:val="000F7517"/>
    <w:rsid w:val="0012139C"/>
    <w:rsid w:val="00132E74"/>
    <w:rsid w:val="00134C86"/>
    <w:rsid w:val="001400A2"/>
    <w:rsid w:val="0014091C"/>
    <w:rsid w:val="00142FAD"/>
    <w:rsid w:val="00147EE6"/>
    <w:rsid w:val="00151672"/>
    <w:rsid w:val="00154F99"/>
    <w:rsid w:val="001606CF"/>
    <w:rsid w:val="0016128D"/>
    <w:rsid w:val="00166E68"/>
    <w:rsid w:val="0017089D"/>
    <w:rsid w:val="001743F5"/>
    <w:rsid w:val="00186FB9"/>
    <w:rsid w:val="0019101A"/>
    <w:rsid w:val="001B3201"/>
    <w:rsid w:val="001B4373"/>
    <w:rsid w:val="001B53B6"/>
    <w:rsid w:val="001C358D"/>
    <w:rsid w:val="001C6AC5"/>
    <w:rsid w:val="001D0754"/>
    <w:rsid w:val="001D38E8"/>
    <w:rsid w:val="001D470E"/>
    <w:rsid w:val="001D4EAA"/>
    <w:rsid w:val="001E285C"/>
    <w:rsid w:val="001F29AC"/>
    <w:rsid w:val="00205541"/>
    <w:rsid w:val="00206170"/>
    <w:rsid w:val="00221438"/>
    <w:rsid w:val="0022190E"/>
    <w:rsid w:val="00231049"/>
    <w:rsid w:val="002314D2"/>
    <w:rsid w:val="00231FDF"/>
    <w:rsid w:val="002351C8"/>
    <w:rsid w:val="0023654B"/>
    <w:rsid w:val="002372A6"/>
    <w:rsid w:val="00251C53"/>
    <w:rsid w:val="00255002"/>
    <w:rsid w:val="00257AEE"/>
    <w:rsid w:val="00260DEF"/>
    <w:rsid w:val="00263B6C"/>
    <w:rsid w:val="002728DF"/>
    <w:rsid w:val="00273B42"/>
    <w:rsid w:val="0027590B"/>
    <w:rsid w:val="00285969"/>
    <w:rsid w:val="002940EC"/>
    <w:rsid w:val="002948F5"/>
    <w:rsid w:val="002B3829"/>
    <w:rsid w:val="002B4D4D"/>
    <w:rsid w:val="002B5C39"/>
    <w:rsid w:val="002C180D"/>
    <w:rsid w:val="002C37DD"/>
    <w:rsid w:val="002C433D"/>
    <w:rsid w:val="002D2213"/>
    <w:rsid w:val="002D488F"/>
    <w:rsid w:val="002D6FF6"/>
    <w:rsid w:val="002E6363"/>
    <w:rsid w:val="002F54D2"/>
    <w:rsid w:val="002F617F"/>
    <w:rsid w:val="003122F4"/>
    <w:rsid w:val="00317DEE"/>
    <w:rsid w:val="003229E1"/>
    <w:rsid w:val="00324A71"/>
    <w:rsid w:val="003268D5"/>
    <w:rsid w:val="00330260"/>
    <w:rsid w:val="0033168E"/>
    <w:rsid w:val="00335284"/>
    <w:rsid w:val="00344779"/>
    <w:rsid w:val="003462CC"/>
    <w:rsid w:val="00354D27"/>
    <w:rsid w:val="00354FBB"/>
    <w:rsid w:val="00357AA7"/>
    <w:rsid w:val="00371159"/>
    <w:rsid w:val="003839F0"/>
    <w:rsid w:val="003858A6"/>
    <w:rsid w:val="003877D3"/>
    <w:rsid w:val="00392DCC"/>
    <w:rsid w:val="003A10AA"/>
    <w:rsid w:val="003A306C"/>
    <w:rsid w:val="003A5471"/>
    <w:rsid w:val="003B502B"/>
    <w:rsid w:val="003C38AE"/>
    <w:rsid w:val="003E38B0"/>
    <w:rsid w:val="003E4D87"/>
    <w:rsid w:val="003E6B30"/>
    <w:rsid w:val="003F71F2"/>
    <w:rsid w:val="004118C2"/>
    <w:rsid w:val="00416762"/>
    <w:rsid w:val="00421351"/>
    <w:rsid w:val="004268C9"/>
    <w:rsid w:val="00430171"/>
    <w:rsid w:val="0043099A"/>
    <w:rsid w:val="00445265"/>
    <w:rsid w:val="004559CE"/>
    <w:rsid w:val="00462D56"/>
    <w:rsid w:val="00464D91"/>
    <w:rsid w:val="00465D6F"/>
    <w:rsid w:val="00473B69"/>
    <w:rsid w:val="00475B7B"/>
    <w:rsid w:val="00475F4D"/>
    <w:rsid w:val="00482AD1"/>
    <w:rsid w:val="00483049"/>
    <w:rsid w:val="00484CE2"/>
    <w:rsid w:val="00486403"/>
    <w:rsid w:val="00492FCB"/>
    <w:rsid w:val="004938D1"/>
    <w:rsid w:val="004951A8"/>
    <w:rsid w:val="004A077D"/>
    <w:rsid w:val="004A1396"/>
    <w:rsid w:val="004A7BC2"/>
    <w:rsid w:val="004B181C"/>
    <w:rsid w:val="004D2C18"/>
    <w:rsid w:val="004D620D"/>
    <w:rsid w:val="004E599C"/>
    <w:rsid w:val="004F1164"/>
    <w:rsid w:val="00516785"/>
    <w:rsid w:val="00520978"/>
    <w:rsid w:val="0052419D"/>
    <w:rsid w:val="005272DB"/>
    <w:rsid w:val="005301F8"/>
    <w:rsid w:val="005312FC"/>
    <w:rsid w:val="0053460B"/>
    <w:rsid w:val="0053603D"/>
    <w:rsid w:val="00547124"/>
    <w:rsid w:val="00563244"/>
    <w:rsid w:val="00567A6B"/>
    <w:rsid w:val="00584632"/>
    <w:rsid w:val="005868DE"/>
    <w:rsid w:val="005B0D76"/>
    <w:rsid w:val="005B2725"/>
    <w:rsid w:val="005C041A"/>
    <w:rsid w:val="005D76E2"/>
    <w:rsid w:val="005E1846"/>
    <w:rsid w:val="006028C2"/>
    <w:rsid w:val="0060595B"/>
    <w:rsid w:val="00605AFD"/>
    <w:rsid w:val="00607C7C"/>
    <w:rsid w:val="00610168"/>
    <w:rsid w:val="00611A5C"/>
    <w:rsid w:val="006123D4"/>
    <w:rsid w:val="0063036C"/>
    <w:rsid w:val="00637C14"/>
    <w:rsid w:val="0064512F"/>
    <w:rsid w:val="00654BA5"/>
    <w:rsid w:val="00654C61"/>
    <w:rsid w:val="00656356"/>
    <w:rsid w:val="00662374"/>
    <w:rsid w:val="00666763"/>
    <w:rsid w:val="00673317"/>
    <w:rsid w:val="006755BF"/>
    <w:rsid w:val="00680673"/>
    <w:rsid w:val="00680A67"/>
    <w:rsid w:val="00686165"/>
    <w:rsid w:val="00691CB5"/>
    <w:rsid w:val="006A4332"/>
    <w:rsid w:val="006A6494"/>
    <w:rsid w:val="006A6EE1"/>
    <w:rsid w:val="006B5E7C"/>
    <w:rsid w:val="006C10EA"/>
    <w:rsid w:val="006C645D"/>
    <w:rsid w:val="006D42C7"/>
    <w:rsid w:val="006E3CC3"/>
    <w:rsid w:val="006E41CA"/>
    <w:rsid w:val="006E72D2"/>
    <w:rsid w:val="006F07AC"/>
    <w:rsid w:val="006F656C"/>
    <w:rsid w:val="006F6A45"/>
    <w:rsid w:val="006F78D8"/>
    <w:rsid w:val="00707014"/>
    <w:rsid w:val="0071225D"/>
    <w:rsid w:val="007123B2"/>
    <w:rsid w:val="00716D48"/>
    <w:rsid w:val="00745A87"/>
    <w:rsid w:val="00757816"/>
    <w:rsid w:val="00766EC1"/>
    <w:rsid w:val="007739DC"/>
    <w:rsid w:val="00774B5E"/>
    <w:rsid w:val="00783CA7"/>
    <w:rsid w:val="0078509F"/>
    <w:rsid w:val="00794499"/>
    <w:rsid w:val="0079453B"/>
    <w:rsid w:val="00797889"/>
    <w:rsid w:val="007A5F20"/>
    <w:rsid w:val="007B7784"/>
    <w:rsid w:val="007C5CCE"/>
    <w:rsid w:val="007D0434"/>
    <w:rsid w:val="007D28CE"/>
    <w:rsid w:val="007D2E9A"/>
    <w:rsid w:val="007D5AA6"/>
    <w:rsid w:val="007E2AB9"/>
    <w:rsid w:val="007E3D67"/>
    <w:rsid w:val="007E6456"/>
    <w:rsid w:val="007F29D8"/>
    <w:rsid w:val="008076BB"/>
    <w:rsid w:val="00834243"/>
    <w:rsid w:val="008361B4"/>
    <w:rsid w:val="00844A29"/>
    <w:rsid w:val="00853CD1"/>
    <w:rsid w:val="00855618"/>
    <w:rsid w:val="00857969"/>
    <w:rsid w:val="00875116"/>
    <w:rsid w:val="008772EB"/>
    <w:rsid w:val="00884D4E"/>
    <w:rsid w:val="008A1187"/>
    <w:rsid w:val="008B1499"/>
    <w:rsid w:val="008B3320"/>
    <w:rsid w:val="008D0F2D"/>
    <w:rsid w:val="008D1705"/>
    <w:rsid w:val="008D2FF7"/>
    <w:rsid w:val="008D339F"/>
    <w:rsid w:val="008D7F38"/>
    <w:rsid w:val="008E6292"/>
    <w:rsid w:val="008F3E4C"/>
    <w:rsid w:val="008F5F84"/>
    <w:rsid w:val="008F7E5C"/>
    <w:rsid w:val="00905D36"/>
    <w:rsid w:val="00925AA5"/>
    <w:rsid w:val="0094019D"/>
    <w:rsid w:val="00942C11"/>
    <w:rsid w:val="00951542"/>
    <w:rsid w:val="009538FA"/>
    <w:rsid w:val="009732EC"/>
    <w:rsid w:val="0098130F"/>
    <w:rsid w:val="009821CE"/>
    <w:rsid w:val="009852CF"/>
    <w:rsid w:val="0099135C"/>
    <w:rsid w:val="00996FCB"/>
    <w:rsid w:val="009A2D08"/>
    <w:rsid w:val="009A658F"/>
    <w:rsid w:val="009A668A"/>
    <w:rsid w:val="009B5D3A"/>
    <w:rsid w:val="009D4E87"/>
    <w:rsid w:val="009F256A"/>
    <w:rsid w:val="009F40DE"/>
    <w:rsid w:val="00A07809"/>
    <w:rsid w:val="00A11EDD"/>
    <w:rsid w:val="00A15125"/>
    <w:rsid w:val="00A16E03"/>
    <w:rsid w:val="00A260CD"/>
    <w:rsid w:val="00A3749B"/>
    <w:rsid w:val="00A56055"/>
    <w:rsid w:val="00A62E42"/>
    <w:rsid w:val="00A64A71"/>
    <w:rsid w:val="00A91CED"/>
    <w:rsid w:val="00A9696D"/>
    <w:rsid w:val="00AB06F3"/>
    <w:rsid w:val="00AD0FBF"/>
    <w:rsid w:val="00AE1A29"/>
    <w:rsid w:val="00AE2F90"/>
    <w:rsid w:val="00AF21C9"/>
    <w:rsid w:val="00AF2669"/>
    <w:rsid w:val="00B06FC5"/>
    <w:rsid w:val="00B15385"/>
    <w:rsid w:val="00B21535"/>
    <w:rsid w:val="00B3149D"/>
    <w:rsid w:val="00B37507"/>
    <w:rsid w:val="00B56540"/>
    <w:rsid w:val="00B60FC6"/>
    <w:rsid w:val="00B770FF"/>
    <w:rsid w:val="00B82EF9"/>
    <w:rsid w:val="00B83384"/>
    <w:rsid w:val="00B84EC0"/>
    <w:rsid w:val="00B85F47"/>
    <w:rsid w:val="00B87927"/>
    <w:rsid w:val="00B91192"/>
    <w:rsid w:val="00B92619"/>
    <w:rsid w:val="00BC3F7F"/>
    <w:rsid w:val="00BC4606"/>
    <w:rsid w:val="00BD5650"/>
    <w:rsid w:val="00BD6CB2"/>
    <w:rsid w:val="00BE0240"/>
    <w:rsid w:val="00BE3A44"/>
    <w:rsid w:val="00BE7804"/>
    <w:rsid w:val="00C07A2C"/>
    <w:rsid w:val="00C10C1C"/>
    <w:rsid w:val="00C16520"/>
    <w:rsid w:val="00C25D14"/>
    <w:rsid w:val="00C30297"/>
    <w:rsid w:val="00C3735D"/>
    <w:rsid w:val="00C513B9"/>
    <w:rsid w:val="00C54E4E"/>
    <w:rsid w:val="00C573DA"/>
    <w:rsid w:val="00C663AB"/>
    <w:rsid w:val="00C676C4"/>
    <w:rsid w:val="00C7736A"/>
    <w:rsid w:val="00C77EDF"/>
    <w:rsid w:val="00C85314"/>
    <w:rsid w:val="00CA46D6"/>
    <w:rsid w:val="00CA4BC0"/>
    <w:rsid w:val="00CA564A"/>
    <w:rsid w:val="00CC10F2"/>
    <w:rsid w:val="00CC559D"/>
    <w:rsid w:val="00CD2A1E"/>
    <w:rsid w:val="00CD654B"/>
    <w:rsid w:val="00CD6770"/>
    <w:rsid w:val="00CD6BD4"/>
    <w:rsid w:val="00CE223E"/>
    <w:rsid w:val="00CE4B81"/>
    <w:rsid w:val="00CE5B0C"/>
    <w:rsid w:val="00CF3824"/>
    <w:rsid w:val="00D145F5"/>
    <w:rsid w:val="00D16856"/>
    <w:rsid w:val="00D3485D"/>
    <w:rsid w:val="00D351DB"/>
    <w:rsid w:val="00D355F0"/>
    <w:rsid w:val="00D36EEB"/>
    <w:rsid w:val="00D45AF8"/>
    <w:rsid w:val="00D51C05"/>
    <w:rsid w:val="00D5676C"/>
    <w:rsid w:val="00D6561F"/>
    <w:rsid w:val="00D71BAE"/>
    <w:rsid w:val="00D7492D"/>
    <w:rsid w:val="00D815C4"/>
    <w:rsid w:val="00D83BD9"/>
    <w:rsid w:val="00D9381A"/>
    <w:rsid w:val="00D94F51"/>
    <w:rsid w:val="00D95FB9"/>
    <w:rsid w:val="00DA0666"/>
    <w:rsid w:val="00DA686B"/>
    <w:rsid w:val="00DA6FF2"/>
    <w:rsid w:val="00DB2431"/>
    <w:rsid w:val="00DB4F77"/>
    <w:rsid w:val="00DB7F09"/>
    <w:rsid w:val="00DC00E8"/>
    <w:rsid w:val="00DF733B"/>
    <w:rsid w:val="00E10D39"/>
    <w:rsid w:val="00E1136B"/>
    <w:rsid w:val="00E15AFE"/>
    <w:rsid w:val="00E1679A"/>
    <w:rsid w:val="00E22D51"/>
    <w:rsid w:val="00E345ED"/>
    <w:rsid w:val="00E35FA1"/>
    <w:rsid w:val="00E41B13"/>
    <w:rsid w:val="00E50E7C"/>
    <w:rsid w:val="00E51545"/>
    <w:rsid w:val="00E55326"/>
    <w:rsid w:val="00E55A10"/>
    <w:rsid w:val="00E711D7"/>
    <w:rsid w:val="00E7130E"/>
    <w:rsid w:val="00E73F49"/>
    <w:rsid w:val="00E872CE"/>
    <w:rsid w:val="00E902B0"/>
    <w:rsid w:val="00E902E8"/>
    <w:rsid w:val="00EA65A1"/>
    <w:rsid w:val="00EA6614"/>
    <w:rsid w:val="00EB030F"/>
    <w:rsid w:val="00EC0F51"/>
    <w:rsid w:val="00EC6B16"/>
    <w:rsid w:val="00ED56DA"/>
    <w:rsid w:val="00ED6D51"/>
    <w:rsid w:val="00EE4060"/>
    <w:rsid w:val="00EE677F"/>
    <w:rsid w:val="00EF2FBF"/>
    <w:rsid w:val="00F0082D"/>
    <w:rsid w:val="00F0228E"/>
    <w:rsid w:val="00F07C90"/>
    <w:rsid w:val="00F20469"/>
    <w:rsid w:val="00F27EE7"/>
    <w:rsid w:val="00F305CD"/>
    <w:rsid w:val="00F323A3"/>
    <w:rsid w:val="00F4570C"/>
    <w:rsid w:val="00F46013"/>
    <w:rsid w:val="00F55790"/>
    <w:rsid w:val="00F66B9F"/>
    <w:rsid w:val="00F71A0E"/>
    <w:rsid w:val="00F83CD4"/>
    <w:rsid w:val="00F92279"/>
    <w:rsid w:val="00FA2633"/>
    <w:rsid w:val="00FA3DB9"/>
    <w:rsid w:val="00FB64AA"/>
    <w:rsid w:val="00FC6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42E5F93"/>
  <w15:docId w15:val="{3F0CF89C-6F36-4619-8FA6-AAA50776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BD6CB2"/>
    <w:rPr>
      <w:sz w:val="16"/>
      <w:szCs w:val="16"/>
    </w:rPr>
  </w:style>
  <w:style w:type="paragraph" w:styleId="CommentText">
    <w:name w:val="annotation text"/>
    <w:basedOn w:val="Normal"/>
    <w:link w:val="CommentTextChar"/>
    <w:uiPriority w:val="99"/>
    <w:semiHidden/>
    <w:unhideWhenUsed/>
    <w:rsid w:val="00BD6CB2"/>
    <w:pPr>
      <w:spacing w:before="0" w:after="160"/>
    </w:pPr>
    <w:rPr>
      <w:rFonts w:eastAsia="Calibri"/>
      <w:sz w:val="20"/>
      <w:lang w:eastAsia="en-US"/>
    </w:rPr>
  </w:style>
  <w:style w:type="character" w:customStyle="1" w:styleId="CommentTextChar">
    <w:name w:val="Comment Text Char"/>
    <w:basedOn w:val="DefaultParagraphFont"/>
    <w:link w:val="CommentText"/>
    <w:uiPriority w:val="99"/>
    <w:semiHidden/>
    <w:rsid w:val="00BD6CB2"/>
    <w:rPr>
      <w:rFonts w:ascii="Calibri" w:eastAsia="Calibri" w:hAnsi="Calibri" w:cs="Times New Roman"/>
      <w:sz w:val="20"/>
      <w:szCs w:val="20"/>
    </w:rPr>
  </w:style>
  <w:style w:type="character" w:customStyle="1" w:styleId="BulletChar">
    <w:name w:val="Bullet Char"/>
    <w:basedOn w:val="DefaultParagraphFont"/>
    <w:link w:val="Bullet"/>
    <w:rsid w:val="00F305CD"/>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DA0666"/>
    <w:pPr>
      <w:spacing w:before="120" w:after="120"/>
    </w:pPr>
    <w:rPr>
      <w:rFonts w:eastAsia="Times New Roman"/>
      <w:b/>
      <w:bCs/>
      <w:lang w:eastAsia="en-AU"/>
    </w:rPr>
  </w:style>
  <w:style w:type="character" w:customStyle="1" w:styleId="CommentSubjectChar">
    <w:name w:val="Comment Subject Char"/>
    <w:basedOn w:val="CommentTextChar"/>
    <w:link w:val="CommentSubject"/>
    <w:uiPriority w:val="99"/>
    <w:semiHidden/>
    <w:rsid w:val="00DA0666"/>
    <w:rPr>
      <w:rFonts w:ascii="Calibri" w:eastAsia="Times New Roman" w:hAnsi="Calibri" w:cs="Times New Roman"/>
      <w:b/>
      <w:bCs/>
      <w:sz w:val="20"/>
      <w:szCs w:val="20"/>
      <w:lang w:eastAsia="en-AU"/>
    </w:rPr>
  </w:style>
  <w:style w:type="paragraph" w:styleId="ListParagraph">
    <w:name w:val="List Paragraph"/>
    <w:basedOn w:val="Normal"/>
    <w:uiPriority w:val="34"/>
    <w:qFormat/>
    <w:rsid w:val="00C10C1C"/>
    <w:pPr>
      <w:ind w:left="720"/>
      <w:contextualSpacing/>
    </w:pPr>
  </w:style>
  <w:style w:type="character" w:customStyle="1" w:styleId="UnresolvedMention1">
    <w:name w:val="Unresolved Mention1"/>
    <w:basedOn w:val="DefaultParagraphFont"/>
    <w:uiPriority w:val="99"/>
    <w:semiHidden/>
    <w:unhideWhenUsed/>
    <w:rsid w:val="00154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540666">
      <w:bodyDiv w:val="1"/>
      <w:marLeft w:val="0"/>
      <w:marRight w:val="0"/>
      <w:marTop w:val="0"/>
      <w:marBottom w:val="0"/>
      <w:divBdr>
        <w:top w:val="none" w:sz="0" w:space="0" w:color="auto"/>
        <w:left w:val="none" w:sz="0" w:space="0" w:color="auto"/>
        <w:bottom w:val="none" w:sz="0" w:space="0" w:color="auto"/>
        <w:right w:val="none" w:sz="0" w:space="0" w:color="auto"/>
      </w:divBdr>
    </w:div>
    <w:div w:id="854878368">
      <w:bodyDiv w:val="1"/>
      <w:marLeft w:val="0"/>
      <w:marRight w:val="0"/>
      <w:marTop w:val="0"/>
      <w:marBottom w:val="0"/>
      <w:divBdr>
        <w:top w:val="none" w:sz="0" w:space="0" w:color="auto"/>
        <w:left w:val="none" w:sz="0" w:space="0" w:color="auto"/>
        <w:bottom w:val="none" w:sz="0" w:space="0" w:color="auto"/>
        <w:right w:val="none" w:sz="0" w:space="0" w:color="auto"/>
      </w:divBdr>
    </w:div>
    <w:div w:id="109871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https://treasury.gov.au/submission-guidelines" TargetMode="Externa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748a1c17def4c93b413435c48ea6417 xmlns="d4dd4adf-ddb3-46a3-8d7c-fab3fb2a6bc7">
      <Terms xmlns="http://schemas.microsoft.com/office/infopath/2007/PartnerControls"/>
    </n748a1c17def4c93b413435c48ea6417>
    <IconOverlay xmlns="http://schemas.microsoft.com/sharepoint/v4" xsi:nil="true"/>
    <TaxCatchAll xmlns="0f563589-9cf9-4143-b1eb-fb0534803d38">
      <Value>16</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_dlc_DocId xmlns="0f563589-9cf9-4143-b1eb-fb0534803d38">2021MG-107-20554</_dlc_DocId>
    <_dlc_DocIdUrl xmlns="0f563589-9cf9-4143-b1eb-fb0534803d38">
      <Url>http://tweb/sites/mg/fitpd/_layouts/15/DocIdRedir.aspx?ID=2021MG-107-20554</Url>
      <Description>2021MG-107-20554</Description>
    </_dlc_DocIdUrl>
    <SecurityClassification xmlns="d4dd4adf-ddb3-46a3-8d7c-fab3fb2a6bc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39567" ma:contentTypeDescription=" " ma:contentTypeScope="" ma:versionID="7d3715134594261014e144c460d58228">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b6adf4ea4ad40bf87645bb3a4547c7d0"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element ref="ns3:n748a1c17def4c93b413435c48ea6417"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976A5-6A9F-4B1A-AEA6-BE7551119CD3}">
  <ds:schemaRefs>
    <ds:schemaRef ds:uri="http://schemas.microsoft.com/sharepoint/events"/>
  </ds:schemaRefs>
</ds:datastoreItem>
</file>

<file path=customXml/itemProps2.xml><?xml version="1.0" encoding="utf-8"?>
<ds:datastoreItem xmlns:ds="http://schemas.openxmlformats.org/officeDocument/2006/customXml" ds:itemID="{AA77A238-E960-4477-829B-1FDBB07B143A}">
  <ds:schemaRefs>
    <ds:schemaRef ds:uri="office.server.policy"/>
  </ds:schemaRefs>
</ds:datastoreItem>
</file>

<file path=customXml/itemProps3.xml><?xml version="1.0" encoding="utf-8"?>
<ds:datastoreItem xmlns:ds="http://schemas.openxmlformats.org/officeDocument/2006/customXml" ds:itemID="{72438297-176C-4D25-A4A6-A9BCB51F32DD}">
  <ds:schemaRefs>
    <ds:schemaRef ds:uri="http://schemas.microsoft.com/sharepoint/v3/contenttype/forms"/>
  </ds:schemaRefs>
</ds:datastoreItem>
</file>

<file path=customXml/itemProps4.xml><?xml version="1.0" encoding="utf-8"?>
<ds:datastoreItem xmlns:ds="http://schemas.openxmlformats.org/officeDocument/2006/customXml" ds:itemID="{C0456106-5031-4774-BEDE-249C49B539BE}">
  <ds:schemaRefs>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4dd4adf-ddb3-46a3-8d7c-fab3fb2a6bc7"/>
    <ds:schemaRef ds:uri="http://www.w3.org/XML/1998/namespace"/>
    <ds:schemaRef ds:uri="http://purl.org/dc/dcmitype/"/>
  </ds:schemaRefs>
</ds:datastoreItem>
</file>

<file path=customXml/itemProps5.xml><?xml version="1.0" encoding="utf-8"?>
<ds:datastoreItem xmlns:ds="http://schemas.openxmlformats.org/officeDocument/2006/customXml" ds:itemID="{30C86188-802D-4CD0-A173-27E21CFFE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B25DDE-79D2-4F09-8FCE-F9706E2C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175</TotalTime>
  <Pages>9</Pages>
  <Words>2740</Words>
  <Characters>16239</Characters>
  <Application>Microsoft Office Word</Application>
  <DocSecurity>0</DocSecurity>
  <Lines>291</Lines>
  <Paragraphs>125</Paragraphs>
  <ScaleCrop>false</ScaleCrop>
  <HeadingPairs>
    <vt:vector size="2" baseType="variant">
      <vt:variant>
        <vt:lpstr>Title</vt:lpstr>
      </vt:variant>
      <vt:variant>
        <vt:i4>1</vt:i4>
      </vt:variant>
    </vt:vector>
  </HeadingPairs>
  <TitlesOfParts>
    <vt:vector size="1" baseType="lpstr">
      <vt:lpstr>Evaluation of the 2021 foreign investment reforms</vt:lpstr>
    </vt:vector>
  </TitlesOfParts>
  <Company>Australian Government - The Treasury</Company>
  <LinksUpToDate>false</LinksUpToDate>
  <CharactersWithSpaces>18890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2021 foreign investment reforms</dc:title>
  <dc:subject/>
  <dc:creator>Treasury</dc:creator>
  <cp:keywords/>
  <dc:description/>
  <cp:lastModifiedBy>Hill, Christine</cp:lastModifiedBy>
  <cp:revision>32</cp:revision>
  <dcterms:created xsi:type="dcterms:W3CDTF">2021-07-20T22:22:00Z</dcterms:created>
  <dcterms:modified xsi:type="dcterms:W3CDTF">2021-07-23T03:54:00Z</dcterms:modified>
  <cp:category/>
</cp:coreProperties>
</file>