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19440" w14:textId="77777777" w:rsidR="00D53FE5" w:rsidRDefault="00F16F12" w:rsidP="00F240E5">
      <w:pPr>
        <w:pStyle w:val="LTU-Date"/>
        <w:tabs>
          <w:tab w:val="clear" w:pos="5280"/>
          <w:tab w:val="left" w:pos="6825"/>
        </w:tabs>
      </w:pPr>
      <w:sdt>
        <w:sdtPr>
          <w:rPr>
            <w:rStyle w:val="LightGrid-Accent11"/>
            <w:color w:val="000000" w:themeColor="text1"/>
          </w:rPr>
          <w:id w:val="-1571964280"/>
          <w:placeholder>
            <w:docPart w:val="D5163A5D2D6E4ED4BCE0E6842CA4372A"/>
          </w:placeholder>
          <w:date w:fullDate="2018-09-10T00:00:00Z">
            <w:dateFormat w:val="d/MM/yyyy"/>
            <w:lid w:val="en-AU"/>
            <w:storeMappedDataAs w:val="dateTime"/>
            <w:calendar w:val="gregorian"/>
          </w:date>
        </w:sdtPr>
        <w:sdtEndPr>
          <w:rPr>
            <w:rStyle w:val="LightGrid-Accent11"/>
          </w:rPr>
        </w:sdtEndPr>
        <w:sdtContent>
          <w:r w:rsidR="00DA3622">
            <w:rPr>
              <w:rStyle w:val="LightGrid-Accent11"/>
              <w:color w:val="000000" w:themeColor="text1"/>
              <w:lang w:val="en-AU"/>
            </w:rPr>
            <w:t>10/09/2018</w:t>
          </w:r>
        </w:sdtContent>
      </w:sdt>
      <w:r w:rsidR="00F240E5" w:rsidRPr="00D05BEB">
        <w:rPr>
          <w:rStyle w:val="LightGrid-Accent11"/>
          <w:color w:val="000000" w:themeColor="text1"/>
        </w:rPr>
        <w:tab/>
      </w:r>
    </w:p>
    <w:p w14:paraId="2164220F" w14:textId="77777777" w:rsidR="003210E6" w:rsidRDefault="003210E6" w:rsidP="00D53FE5">
      <w:pPr>
        <w:pStyle w:val="LTU-RecipientsNameandAddressDetails"/>
        <w:rPr>
          <w:rStyle w:val="LightGrid-Accent11"/>
          <w:color w:val="000000" w:themeColor="text1"/>
        </w:rPr>
      </w:pPr>
    </w:p>
    <w:p w14:paraId="757C8993" w14:textId="77777777" w:rsidR="00CE515C" w:rsidRDefault="00CE515C" w:rsidP="00D53FE5">
      <w:pPr>
        <w:pStyle w:val="LTU-RecipientsNameandAddressDetails"/>
        <w:rPr>
          <w:rStyle w:val="LightGrid-Accent11"/>
          <w:color w:val="000000" w:themeColor="text1"/>
        </w:rPr>
      </w:pPr>
    </w:p>
    <w:p w14:paraId="5A510BF4" w14:textId="77777777" w:rsidR="00D53FE5" w:rsidRDefault="00DA3622" w:rsidP="00D53FE5">
      <w:pPr>
        <w:pStyle w:val="LTU-RecipientsNameandAddressDetails"/>
        <w:rPr>
          <w:rStyle w:val="LightGrid-Accent11"/>
          <w:color w:val="000000" w:themeColor="text1"/>
        </w:rPr>
      </w:pPr>
      <w:r>
        <w:rPr>
          <w:rStyle w:val="LightGrid-Accent11"/>
          <w:color w:val="000000" w:themeColor="text1"/>
        </w:rPr>
        <w:t>Mr Daniel McAuliffe</w:t>
      </w:r>
    </w:p>
    <w:p w14:paraId="72446C07" w14:textId="77777777" w:rsidR="00DA3622" w:rsidRDefault="00DA3622" w:rsidP="00D53FE5">
      <w:pPr>
        <w:pStyle w:val="LTU-RecipientsNameandAddressDetails"/>
        <w:rPr>
          <w:rStyle w:val="LightGrid-Accent11"/>
          <w:color w:val="000000" w:themeColor="text1"/>
        </w:rPr>
      </w:pPr>
      <w:r>
        <w:rPr>
          <w:rStyle w:val="LightGrid-Accent11"/>
          <w:color w:val="000000" w:themeColor="text1"/>
        </w:rPr>
        <w:t>Structural Reform Group</w:t>
      </w:r>
    </w:p>
    <w:p w14:paraId="45F137F6" w14:textId="77777777" w:rsidR="00DA3622" w:rsidRDefault="00DA3622" w:rsidP="00D53FE5">
      <w:pPr>
        <w:pStyle w:val="LTU-RecipientsNameandAddressDetails"/>
        <w:rPr>
          <w:rStyle w:val="LightGrid-Accent11"/>
          <w:color w:val="000000" w:themeColor="text1"/>
        </w:rPr>
      </w:pPr>
      <w:r>
        <w:rPr>
          <w:rStyle w:val="LightGrid-Accent11"/>
          <w:color w:val="000000" w:themeColor="text1"/>
        </w:rPr>
        <w:t>The Treasury</w:t>
      </w:r>
    </w:p>
    <w:p w14:paraId="51FCB61A" w14:textId="77777777" w:rsidR="00DA3622" w:rsidRDefault="00DA3622" w:rsidP="00D53FE5">
      <w:pPr>
        <w:pStyle w:val="LTU-RecipientsNameandAddressDetails"/>
        <w:rPr>
          <w:rStyle w:val="LightGrid-Accent11"/>
          <w:color w:val="000000" w:themeColor="text1"/>
        </w:rPr>
      </w:pPr>
      <w:r>
        <w:rPr>
          <w:rStyle w:val="LightGrid-Accent11"/>
          <w:color w:val="000000" w:themeColor="text1"/>
        </w:rPr>
        <w:t>Langton Crescent</w:t>
      </w:r>
    </w:p>
    <w:p w14:paraId="66E2E633" w14:textId="77777777" w:rsidR="003A71DE" w:rsidRPr="00014DF9" w:rsidRDefault="00DA3622" w:rsidP="00DA3622">
      <w:pPr>
        <w:pStyle w:val="LTU-RecipientsNameandAddressDetails"/>
      </w:pPr>
      <w:r>
        <w:rPr>
          <w:rStyle w:val="LightGrid-Accent11"/>
          <w:color w:val="000000" w:themeColor="text1"/>
        </w:rPr>
        <w:t>PARKES ACT 2600</w:t>
      </w:r>
    </w:p>
    <w:p w14:paraId="29A61BCE" w14:textId="77777777" w:rsidR="00B7329E" w:rsidRDefault="00B7329E" w:rsidP="003A71DE">
      <w:pPr>
        <w:pStyle w:val="LTU-Body"/>
        <w:rPr>
          <w:rStyle w:val="LightGrid-Accent11"/>
          <w:color w:val="000000" w:themeColor="text1"/>
        </w:rPr>
      </w:pPr>
    </w:p>
    <w:p w14:paraId="003FF808" w14:textId="77777777" w:rsidR="0006122A" w:rsidRDefault="0006122A" w:rsidP="003A71DE">
      <w:pPr>
        <w:pStyle w:val="LTU-Body"/>
        <w:rPr>
          <w:rStyle w:val="LightGrid-Accent11"/>
          <w:color w:val="000000" w:themeColor="text1"/>
        </w:rPr>
      </w:pPr>
    </w:p>
    <w:p w14:paraId="6485692D" w14:textId="77777777" w:rsidR="00DA3622" w:rsidRDefault="00DA3622" w:rsidP="003A71DE">
      <w:pPr>
        <w:pStyle w:val="LTU-Body"/>
        <w:rPr>
          <w:rStyle w:val="LightGrid-Accent11"/>
          <w:color w:val="000000" w:themeColor="text1"/>
        </w:rPr>
      </w:pPr>
      <w:r>
        <w:rPr>
          <w:rStyle w:val="LightGrid-Accent11"/>
          <w:color w:val="000000" w:themeColor="text1"/>
        </w:rPr>
        <w:t>Dear Mr McAuliffe</w:t>
      </w:r>
    </w:p>
    <w:p w14:paraId="6D20DE27" w14:textId="77777777" w:rsidR="003A71DE" w:rsidRPr="00541A43" w:rsidRDefault="00DA3622" w:rsidP="003A71DE">
      <w:pPr>
        <w:pStyle w:val="LTU-Body"/>
        <w:rPr>
          <w:sz w:val="22"/>
          <w:szCs w:val="22"/>
        </w:rPr>
      </w:pPr>
      <w:r w:rsidRPr="00541A43">
        <w:rPr>
          <w:rStyle w:val="LightGrid-Accent11"/>
          <w:b/>
          <w:color w:val="000000" w:themeColor="text1"/>
          <w:sz w:val="22"/>
          <w:szCs w:val="22"/>
        </w:rPr>
        <w:t xml:space="preserve">Consumer Data Right – Treasury Laws Amendment (Consumer Data Right) Bill 2018 </w:t>
      </w:r>
      <w:r w:rsidR="003A71DE" w:rsidRPr="00541A43">
        <w:rPr>
          <w:sz w:val="22"/>
          <w:szCs w:val="22"/>
        </w:rPr>
        <w:t xml:space="preserve"> </w:t>
      </w:r>
    </w:p>
    <w:p w14:paraId="20F77335" w14:textId="77777777" w:rsidR="00DA3622" w:rsidRPr="00DA3622" w:rsidRDefault="00DA3622" w:rsidP="00DA3622">
      <w:pPr>
        <w:spacing w:after="120"/>
        <w:rPr>
          <w:rFonts w:asciiTheme="minorHAnsi" w:hAnsiTheme="minorHAnsi"/>
        </w:rPr>
      </w:pPr>
      <w:r w:rsidRPr="00DA3622">
        <w:rPr>
          <w:rFonts w:asciiTheme="minorHAnsi" w:hAnsiTheme="minorHAnsi"/>
        </w:rPr>
        <w:t xml:space="preserve">Thank you for the opportunity to comment on the Treasury Laws Amendment (Consumer Data Right) Bill 2018 (CDR Bill). </w:t>
      </w:r>
    </w:p>
    <w:p w14:paraId="500B879A" w14:textId="376092B3" w:rsidR="00DA3622" w:rsidRPr="00DA3622" w:rsidRDefault="00DA3622" w:rsidP="00DA3622">
      <w:pPr>
        <w:spacing w:after="120"/>
        <w:rPr>
          <w:rFonts w:asciiTheme="minorHAnsi" w:hAnsiTheme="minorHAnsi"/>
        </w:rPr>
      </w:pPr>
      <w:r w:rsidRPr="00DA3622">
        <w:rPr>
          <w:rFonts w:asciiTheme="minorHAnsi" w:hAnsiTheme="minorHAnsi"/>
        </w:rPr>
        <w:t>At the outset I would like to record my thanks to the Treasury staff who have been involved in this consultation process. The consultation session I attended in Melbourne was helpful and info</w:t>
      </w:r>
      <w:r w:rsidR="00623ED2">
        <w:rPr>
          <w:rFonts w:asciiTheme="minorHAnsi" w:hAnsiTheme="minorHAnsi"/>
        </w:rPr>
        <w:t xml:space="preserve">rmative and </w:t>
      </w:r>
      <w:r w:rsidRPr="00DA3622">
        <w:rPr>
          <w:rFonts w:asciiTheme="minorHAnsi" w:hAnsiTheme="minorHAnsi"/>
        </w:rPr>
        <w:t xml:space="preserve">Treasury staff have been </w:t>
      </w:r>
      <w:r w:rsidR="00623ED2">
        <w:rPr>
          <w:rFonts w:asciiTheme="minorHAnsi" w:hAnsiTheme="minorHAnsi"/>
        </w:rPr>
        <w:t xml:space="preserve">available and </w:t>
      </w:r>
      <w:r w:rsidRPr="00DA3622">
        <w:rPr>
          <w:rFonts w:asciiTheme="minorHAnsi" w:hAnsiTheme="minorHAnsi"/>
        </w:rPr>
        <w:t>willing to engage in debate and disc</w:t>
      </w:r>
      <w:r w:rsidR="00623ED2">
        <w:rPr>
          <w:rFonts w:asciiTheme="minorHAnsi" w:hAnsiTheme="minorHAnsi"/>
        </w:rPr>
        <w:t>ussion about the CDR and the CDR Bill</w:t>
      </w:r>
      <w:r w:rsidRPr="00DA3622">
        <w:rPr>
          <w:rFonts w:asciiTheme="minorHAnsi" w:hAnsiTheme="minorHAnsi"/>
        </w:rPr>
        <w:t xml:space="preserve">.  </w:t>
      </w:r>
    </w:p>
    <w:p w14:paraId="655E067F" w14:textId="0EE8A5A3" w:rsidR="00DA3622" w:rsidRDefault="00DA3622" w:rsidP="00DA3622">
      <w:pPr>
        <w:spacing w:after="120"/>
        <w:rPr>
          <w:rFonts w:asciiTheme="minorHAnsi" w:hAnsiTheme="minorHAnsi"/>
        </w:rPr>
      </w:pPr>
      <w:r w:rsidRPr="00DA3622">
        <w:rPr>
          <w:rFonts w:asciiTheme="minorHAnsi" w:hAnsiTheme="minorHAnsi"/>
        </w:rPr>
        <w:t xml:space="preserve">Although submissions are primarily sought about the CDR Bill and not its underlying policy settings, both policy and drafting issues are so closely connected that any meaningful commentary requires consideration of whether the </w:t>
      </w:r>
      <w:r w:rsidR="00623ED2">
        <w:rPr>
          <w:rFonts w:asciiTheme="minorHAnsi" w:hAnsiTheme="minorHAnsi"/>
        </w:rPr>
        <w:t xml:space="preserve">CDR </w:t>
      </w:r>
      <w:r w:rsidRPr="00DA3622">
        <w:rPr>
          <w:rFonts w:asciiTheme="minorHAnsi" w:hAnsiTheme="minorHAnsi"/>
        </w:rPr>
        <w:t>Bill is the most effective means of addressing the relevant policy issues.</w:t>
      </w:r>
    </w:p>
    <w:p w14:paraId="632C1106" w14:textId="77777777" w:rsidR="00DA3622" w:rsidRPr="00541A43" w:rsidRDefault="00DA3622" w:rsidP="00DA3622">
      <w:pPr>
        <w:spacing w:after="120"/>
        <w:rPr>
          <w:rFonts w:asciiTheme="minorHAnsi" w:hAnsiTheme="minorHAnsi"/>
          <w:b/>
          <w:sz w:val="22"/>
          <w:szCs w:val="22"/>
        </w:rPr>
      </w:pPr>
      <w:r w:rsidRPr="00541A43">
        <w:rPr>
          <w:rFonts w:asciiTheme="minorHAnsi" w:hAnsiTheme="minorHAnsi"/>
          <w:b/>
          <w:sz w:val="22"/>
          <w:szCs w:val="22"/>
        </w:rPr>
        <w:t>Submission Summary</w:t>
      </w:r>
    </w:p>
    <w:p w14:paraId="2C95F9AF" w14:textId="5F929EC0" w:rsidR="00DA3622" w:rsidRPr="00DA3622" w:rsidRDefault="00DA3622" w:rsidP="00DA3622">
      <w:pPr>
        <w:spacing w:after="120"/>
        <w:rPr>
          <w:rFonts w:asciiTheme="minorHAnsi" w:hAnsiTheme="minorHAnsi"/>
        </w:rPr>
      </w:pPr>
      <w:r w:rsidRPr="00DA3622">
        <w:rPr>
          <w:rFonts w:asciiTheme="minorHAnsi" w:hAnsiTheme="minorHAnsi"/>
        </w:rPr>
        <w:t>Overall, this submission supports the creation o</w:t>
      </w:r>
      <w:r w:rsidR="000137DB">
        <w:rPr>
          <w:rFonts w:asciiTheme="minorHAnsi" w:hAnsiTheme="minorHAnsi"/>
        </w:rPr>
        <w:t>f a Consume</w:t>
      </w:r>
      <w:r w:rsidR="0005282E">
        <w:rPr>
          <w:rFonts w:asciiTheme="minorHAnsi" w:hAnsiTheme="minorHAnsi"/>
        </w:rPr>
        <w:t xml:space="preserve">r Data Right </w:t>
      </w:r>
      <w:r w:rsidR="0006122A">
        <w:rPr>
          <w:rFonts w:asciiTheme="minorHAnsi" w:hAnsiTheme="minorHAnsi"/>
        </w:rPr>
        <w:t xml:space="preserve">(CDR) </w:t>
      </w:r>
      <w:r w:rsidR="0005282E">
        <w:rPr>
          <w:rFonts w:asciiTheme="minorHAnsi" w:hAnsiTheme="minorHAnsi"/>
        </w:rPr>
        <w:t>but argues that the CDR Bill’s</w:t>
      </w:r>
      <w:r w:rsidR="000137DB">
        <w:rPr>
          <w:rFonts w:asciiTheme="minorHAnsi" w:hAnsiTheme="minorHAnsi"/>
        </w:rPr>
        <w:t xml:space="preserve"> approach is </w:t>
      </w:r>
      <w:r w:rsidRPr="00DA3622">
        <w:rPr>
          <w:rFonts w:asciiTheme="minorHAnsi" w:hAnsiTheme="minorHAnsi"/>
        </w:rPr>
        <w:t xml:space="preserve">flawed. </w:t>
      </w:r>
    </w:p>
    <w:p w14:paraId="109874A3" w14:textId="77777777" w:rsidR="00DA3622" w:rsidRPr="00DA3622" w:rsidRDefault="00DA3622" w:rsidP="00DA3622">
      <w:pPr>
        <w:spacing w:after="120"/>
        <w:rPr>
          <w:rFonts w:asciiTheme="minorHAnsi" w:hAnsiTheme="minorHAnsi"/>
        </w:rPr>
      </w:pPr>
      <w:r w:rsidRPr="00DA3622">
        <w:rPr>
          <w:rFonts w:asciiTheme="minorHAnsi" w:hAnsiTheme="minorHAnsi"/>
        </w:rPr>
        <w:t>The reasons are:</w:t>
      </w:r>
    </w:p>
    <w:p w14:paraId="43BF3E52" w14:textId="77777777" w:rsidR="00DA3622" w:rsidRPr="00DA3622" w:rsidRDefault="000137DB" w:rsidP="00DA3622">
      <w:pPr>
        <w:pStyle w:val="ListParagraph"/>
        <w:numPr>
          <w:ilvl w:val="0"/>
          <w:numId w:val="19"/>
        </w:numPr>
        <w:spacing w:after="120"/>
        <w:rPr>
          <w:rFonts w:asciiTheme="minorHAnsi" w:hAnsiTheme="minorHAnsi"/>
          <w:sz w:val="20"/>
          <w:szCs w:val="20"/>
        </w:rPr>
      </w:pPr>
      <w:r>
        <w:rPr>
          <w:rFonts w:asciiTheme="minorHAnsi" w:hAnsiTheme="minorHAnsi"/>
          <w:sz w:val="20"/>
          <w:szCs w:val="20"/>
        </w:rPr>
        <w:t>Its</w:t>
      </w:r>
      <w:r w:rsidR="00DA3622" w:rsidRPr="00DA3622">
        <w:rPr>
          <w:rFonts w:asciiTheme="minorHAnsi" w:hAnsiTheme="minorHAnsi"/>
          <w:sz w:val="20"/>
          <w:szCs w:val="20"/>
        </w:rPr>
        <w:t xml:space="preserve"> incremental, sec</w:t>
      </w:r>
      <w:r>
        <w:rPr>
          <w:rFonts w:asciiTheme="minorHAnsi" w:hAnsiTheme="minorHAnsi"/>
          <w:sz w:val="20"/>
          <w:szCs w:val="20"/>
        </w:rPr>
        <w:t>tor-by-sector approach</w:t>
      </w:r>
      <w:r w:rsidR="00DA3622" w:rsidRPr="00DA3622">
        <w:rPr>
          <w:rFonts w:asciiTheme="minorHAnsi" w:hAnsiTheme="minorHAnsi"/>
          <w:sz w:val="20"/>
          <w:szCs w:val="20"/>
        </w:rPr>
        <w:t xml:space="preserve"> undermines and delays the competition and innovation dividends the Bill i</w:t>
      </w:r>
      <w:r w:rsidR="00525535">
        <w:rPr>
          <w:rFonts w:asciiTheme="minorHAnsi" w:hAnsiTheme="minorHAnsi"/>
          <w:sz w:val="20"/>
          <w:szCs w:val="20"/>
        </w:rPr>
        <w:t xml:space="preserve">s designed to promote. It </w:t>
      </w:r>
      <w:r w:rsidR="00DA3622" w:rsidRPr="00DA3622">
        <w:rPr>
          <w:rFonts w:asciiTheme="minorHAnsi" w:hAnsiTheme="minorHAnsi"/>
          <w:sz w:val="20"/>
          <w:szCs w:val="20"/>
        </w:rPr>
        <w:t xml:space="preserve">places Australia at a competitive disadvantage </w:t>
      </w:r>
    </w:p>
    <w:p w14:paraId="54660024" w14:textId="16E119AC" w:rsidR="00DA3622" w:rsidRPr="0005282E" w:rsidRDefault="00525535" w:rsidP="0005282E">
      <w:pPr>
        <w:pStyle w:val="ListParagraph"/>
        <w:numPr>
          <w:ilvl w:val="0"/>
          <w:numId w:val="19"/>
        </w:numPr>
        <w:spacing w:after="120"/>
        <w:rPr>
          <w:rFonts w:asciiTheme="minorHAnsi" w:hAnsiTheme="minorHAnsi"/>
          <w:sz w:val="20"/>
          <w:szCs w:val="20"/>
        </w:rPr>
      </w:pPr>
      <w:r>
        <w:rPr>
          <w:rFonts w:asciiTheme="minorHAnsi" w:hAnsiTheme="minorHAnsi"/>
          <w:sz w:val="20"/>
          <w:szCs w:val="20"/>
        </w:rPr>
        <w:t xml:space="preserve">The </w:t>
      </w:r>
      <w:r w:rsidR="0006122A">
        <w:rPr>
          <w:rFonts w:asciiTheme="minorHAnsi" w:hAnsiTheme="minorHAnsi"/>
          <w:sz w:val="20"/>
          <w:szCs w:val="20"/>
        </w:rPr>
        <w:t xml:space="preserve">CDR </w:t>
      </w:r>
      <w:r>
        <w:rPr>
          <w:rFonts w:asciiTheme="minorHAnsi" w:hAnsiTheme="minorHAnsi"/>
          <w:sz w:val="20"/>
          <w:szCs w:val="20"/>
        </w:rPr>
        <w:t>Bill is</w:t>
      </w:r>
      <w:r w:rsidR="000137DB">
        <w:rPr>
          <w:rFonts w:asciiTheme="minorHAnsi" w:hAnsiTheme="minorHAnsi"/>
          <w:sz w:val="20"/>
          <w:szCs w:val="20"/>
        </w:rPr>
        <w:t xml:space="preserve"> </w:t>
      </w:r>
      <w:r w:rsidR="00DA3622" w:rsidRPr="00DA3622">
        <w:rPr>
          <w:rFonts w:asciiTheme="minorHAnsi" w:hAnsiTheme="minorHAnsi"/>
          <w:sz w:val="20"/>
          <w:szCs w:val="20"/>
        </w:rPr>
        <w:t>complex</w:t>
      </w:r>
      <w:r w:rsidR="0005282E">
        <w:rPr>
          <w:rFonts w:asciiTheme="minorHAnsi" w:hAnsiTheme="minorHAnsi"/>
          <w:sz w:val="20"/>
          <w:szCs w:val="20"/>
        </w:rPr>
        <w:t xml:space="preserve"> </w:t>
      </w:r>
      <w:r w:rsidR="003210E6">
        <w:rPr>
          <w:rFonts w:asciiTheme="minorHAnsi" w:hAnsiTheme="minorHAnsi"/>
          <w:sz w:val="20"/>
          <w:szCs w:val="20"/>
        </w:rPr>
        <w:t xml:space="preserve">framework legislation that </w:t>
      </w:r>
      <w:r w:rsidR="00DA3622" w:rsidRPr="0005282E">
        <w:rPr>
          <w:rFonts w:asciiTheme="minorHAnsi" w:hAnsiTheme="minorHAnsi"/>
          <w:sz w:val="20"/>
          <w:szCs w:val="20"/>
        </w:rPr>
        <w:t>inappropriately confers powers and responsibilities on a number of unaccountable entities to ‘make up’ and vary the law. It empowers them to make rules and legislative instruments in a manner that is not transparent. It creates conflicts of interest and imposes significant re</w:t>
      </w:r>
      <w:r w:rsidR="00F052E0" w:rsidRPr="0005282E">
        <w:rPr>
          <w:rFonts w:asciiTheme="minorHAnsi" w:hAnsiTheme="minorHAnsi"/>
          <w:sz w:val="20"/>
          <w:szCs w:val="20"/>
        </w:rPr>
        <w:t>gulatory and compliance burdens</w:t>
      </w:r>
      <w:r w:rsidR="00DA3622" w:rsidRPr="0005282E">
        <w:rPr>
          <w:rFonts w:asciiTheme="minorHAnsi" w:hAnsiTheme="minorHAnsi"/>
          <w:sz w:val="20"/>
          <w:szCs w:val="20"/>
        </w:rPr>
        <w:t xml:space="preserve"> </w:t>
      </w:r>
    </w:p>
    <w:p w14:paraId="682039D2" w14:textId="77777777" w:rsidR="00DA3622" w:rsidRDefault="00DA3622" w:rsidP="00DA3622">
      <w:pPr>
        <w:pStyle w:val="ListParagraph"/>
        <w:numPr>
          <w:ilvl w:val="0"/>
          <w:numId w:val="19"/>
        </w:numPr>
        <w:spacing w:after="120"/>
        <w:rPr>
          <w:rFonts w:asciiTheme="minorHAnsi" w:hAnsiTheme="minorHAnsi"/>
          <w:sz w:val="20"/>
          <w:szCs w:val="20"/>
        </w:rPr>
      </w:pPr>
      <w:r w:rsidRPr="00DA3622">
        <w:rPr>
          <w:rFonts w:asciiTheme="minorHAnsi" w:hAnsiTheme="minorHAnsi"/>
          <w:sz w:val="20"/>
          <w:szCs w:val="20"/>
        </w:rPr>
        <w:t>The CDR scheme lacks</w:t>
      </w:r>
      <w:r w:rsidR="00F052E0">
        <w:rPr>
          <w:rFonts w:asciiTheme="minorHAnsi" w:hAnsiTheme="minorHAnsi"/>
          <w:sz w:val="20"/>
          <w:szCs w:val="20"/>
        </w:rPr>
        <w:t xml:space="preserve"> an overall governance framework</w:t>
      </w:r>
    </w:p>
    <w:p w14:paraId="375717D7" w14:textId="77777777" w:rsidR="00F052E0" w:rsidRPr="00DA3622" w:rsidRDefault="00F052E0" w:rsidP="00DA3622">
      <w:pPr>
        <w:pStyle w:val="ListParagraph"/>
        <w:numPr>
          <w:ilvl w:val="0"/>
          <w:numId w:val="19"/>
        </w:numPr>
        <w:spacing w:after="120"/>
        <w:rPr>
          <w:rFonts w:asciiTheme="minorHAnsi" w:hAnsiTheme="minorHAnsi"/>
          <w:sz w:val="20"/>
          <w:szCs w:val="20"/>
        </w:rPr>
      </w:pPr>
      <w:r>
        <w:rPr>
          <w:rFonts w:asciiTheme="minorHAnsi" w:hAnsiTheme="minorHAnsi"/>
          <w:sz w:val="20"/>
          <w:szCs w:val="20"/>
        </w:rPr>
        <w:t>It uniquely creates a quasi-right to privacy for commercial enterprises</w:t>
      </w:r>
    </w:p>
    <w:p w14:paraId="233A51D3" w14:textId="77777777" w:rsidR="00DA3622" w:rsidRPr="00DA3622" w:rsidRDefault="00DA3622" w:rsidP="00DA3622">
      <w:pPr>
        <w:pStyle w:val="ListParagraph"/>
        <w:numPr>
          <w:ilvl w:val="0"/>
          <w:numId w:val="19"/>
        </w:numPr>
        <w:spacing w:after="120"/>
        <w:rPr>
          <w:rFonts w:asciiTheme="minorHAnsi" w:hAnsiTheme="minorHAnsi"/>
          <w:sz w:val="20"/>
          <w:szCs w:val="20"/>
        </w:rPr>
      </w:pPr>
      <w:r w:rsidRPr="00DA3622">
        <w:rPr>
          <w:rFonts w:asciiTheme="minorHAnsi" w:hAnsiTheme="minorHAnsi"/>
          <w:sz w:val="20"/>
          <w:szCs w:val="20"/>
        </w:rPr>
        <w:t>The Bill does not account for risks posed by advanced data analytics (Big Data)</w:t>
      </w:r>
    </w:p>
    <w:p w14:paraId="0F61C068" w14:textId="77777777" w:rsidR="00DA3622" w:rsidRPr="00DA3622" w:rsidRDefault="00DA3622" w:rsidP="00DA3622">
      <w:pPr>
        <w:pStyle w:val="ListParagraph"/>
        <w:numPr>
          <w:ilvl w:val="0"/>
          <w:numId w:val="19"/>
        </w:numPr>
        <w:spacing w:after="120"/>
        <w:rPr>
          <w:rFonts w:asciiTheme="minorHAnsi" w:hAnsiTheme="minorHAnsi"/>
          <w:sz w:val="20"/>
          <w:szCs w:val="20"/>
        </w:rPr>
      </w:pPr>
      <w:r w:rsidRPr="00DA3622">
        <w:rPr>
          <w:rFonts w:asciiTheme="minorHAnsi" w:hAnsiTheme="minorHAnsi"/>
          <w:sz w:val="20"/>
          <w:szCs w:val="20"/>
        </w:rPr>
        <w:t>The Bill does not adequately address security issues</w:t>
      </w:r>
    </w:p>
    <w:p w14:paraId="341F0476" w14:textId="77777777" w:rsidR="00DA3622" w:rsidRPr="00DA3622" w:rsidRDefault="00DA3622" w:rsidP="00DA3622">
      <w:pPr>
        <w:pStyle w:val="ListParagraph"/>
        <w:numPr>
          <w:ilvl w:val="0"/>
          <w:numId w:val="19"/>
        </w:numPr>
        <w:spacing w:after="120"/>
        <w:rPr>
          <w:rFonts w:asciiTheme="minorHAnsi" w:hAnsiTheme="minorHAnsi"/>
          <w:sz w:val="20"/>
          <w:szCs w:val="20"/>
        </w:rPr>
      </w:pPr>
      <w:r w:rsidRPr="00DA3622">
        <w:rPr>
          <w:rFonts w:asciiTheme="minorHAnsi" w:hAnsiTheme="minorHAnsi"/>
          <w:sz w:val="20"/>
          <w:szCs w:val="20"/>
        </w:rPr>
        <w:t>The Bill does not adequately address intellectual property issues.</w:t>
      </w:r>
    </w:p>
    <w:p w14:paraId="24FB02ED" w14:textId="09D2A067" w:rsidR="00DA3622" w:rsidRPr="00DA3622" w:rsidRDefault="000137DB" w:rsidP="00DA3622">
      <w:pPr>
        <w:spacing w:after="120"/>
        <w:rPr>
          <w:rFonts w:asciiTheme="minorHAnsi" w:hAnsiTheme="minorHAnsi"/>
        </w:rPr>
      </w:pPr>
      <w:r>
        <w:rPr>
          <w:rFonts w:asciiTheme="minorHAnsi" w:hAnsiTheme="minorHAnsi"/>
        </w:rPr>
        <w:t>T</w:t>
      </w:r>
      <w:r w:rsidR="00DA3622" w:rsidRPr="00DA3622">
        <w:rPr>
          <w:rFonts w:asciiTheme="minorHAnsi" w:hAnsiTheme="minorHAnsi"/>
        </w:rPr>
        <w:t>he Bill will p</w:t>
      </w:r>
      <w:r>
        <w:rPr>
          <w:rFonts w:asciiTheme="minorHAnsi" w:hAnsiTheme="minorHAnsi"/>
        </w:rPr>
        <w:t xml:space="preserve">roduce an onerous </w:t>
      </w:r>
      <w:r w:rsidR="00DA3622" w:rsidRPr="00DA3622">
        <w:rPr>
          <w:rFonts w:asciiTheme="minorHAnsi" w:hAnsiTheme="minorHAnsi"/>
        </w:rPr>
        <w:t xml:space="preserve">CDR that will favour </w:t>
      </w:r>
      <w:r w:rsidR="00623ED2">
        <w:rPr>
          <w:rFonts w:asciiTheme="minorHAnsi" w:hAnsiTheme="minorHAnsi"/>
        </w:rPr>
        <w:t xml:space="preserve">established, </w:t>
      </w:r>
      <w:r w:rsidR="00DA3622" w:rsidRPr="00DA3622">
        <w:rPr>
          <w:rFonts w:asciiTheme="minorHAnsi" w:hAnsiTheme="minorHAnsi"/>
        </w:rPr>
        <w:t xml:space="preserve">entrenched </w:t>
      </w:r>
      <w:r w:rsidR="00623ED2">
        <w:rPr>
          <w:rFonts w:asciiTheme="minorHAnsi" w:hAnsiTheme="minorHAnsi"/>
        </w:rPr>
        <w:t>data holders</w:t>
      </w:r>
      <w:r w:rsidR="00DA3622" w:rsidRPr="00DA3622">
        <w:rPr>
          <w:rFonts w:asciiTheme="minorHAnsi" w:hAnsiTheme="minorHAnsi"/>
        </w:rPr>
        <w:t xml:space="preserve"> at the expense</w:t>
      </w:r>
      <w:r w:rsidR="0063543C">
        <w:rPr>
          <w:rFonts w:asciiTheme="minorHAnsi" w:hAnsiTheme="minorHAnsi"/>
        </w:rPr>
        <w:t xml:space="preserve"> of consumers</w:t>
      </w:r>
      <w:r w:rsidR="00DA3622" w:rsidRPr="00DA3622">
        <w:rPr>
          <w:rFonts w:asciiTheme="minorHAnsi" w:hAnsiTheme="minorHAnsi"/>
        </w:rPr>
        <w:t>. It needs to be significa</w:t>
      </w:r>
      <w:r w:rsidR="00623ED2">
        <w:rPr>
          <w:rFonts w:asciiTheme="minorHAnsi" w:hAnsiTheme="minorHAnsi"/>
        </w:rPr>
        <w:t>ntly</w:t>
      </w:r>
      <w:r w:rsidR="003210E6">
        <w:rPr>
          <w:rFonts w:asciiTheme="minorHAnsi" w:hAnsiTheme="minorHAnsi"/>
        </w:rPr>
        <w:t xml:space="preserve"> streamlined and rebalanced in favour of the individuals whose interests it is designed to serve</w:t>
      </w:r>
      <w:r w:rsidR="00623ED2">
        <w:rPr>
          <w:rFonts w:asciiTheme="minorHAnsi" w:hAnsiTheme="minorHAnsi"/>
        </w:rPr>
        <w:t>.</w:t>
      </w:r>
    </w:p>
    <w:p w14:paraId="54A2A0DE" w14:textId="77777777" w:rsidR="0006122A" w:rsidRDefault="0006122A" w:rsidP="0063543C">
      <w:pPr>
        <w:spacing w:after="120"/>
        <w:rPr>
          <w:rFonts w:asciiTheme="minorHAnsi" w:hAnsiTheme="minorHAnsi"/>
          <w:b/>
          <w:sz w:val="22"/>
          <w:szCs w:val="22"/>
        </w:rPr>
      </w:pPr>
    </w:p>
    <w:p w14:paraId="7E024620" w14:textId="77777777" w:rsidR="0006122A" w:rsidRDefault="0006122A" w:rsidP="0063543C">
      <w:pPr>
        <w:spacing w:after="120"/>
        <w:rPr>
          <w:rFonts w:asciiTheme="minorHAnsi" w:hAnsiTheme="minorHAnsi"/>
          <w:b/>
          <w:sz w:val="22"/>
          <w:szCs w:val="22"/>
        </w:rPr>
      </w:pPr>
    </w:p>
    <w:p w14:paraId="384945E4" w14:textId="77777777" w:rsidR="0006122A" w:rsidRDefault="0006122A" w:rsidP="0063543C">
      <w:pPr>
        <w:spacing w:after="120"/>
        <w:rPr>
          <w:rFonts w:asciiTheme="minorHAnsi" w:hAnsiTheme="minorHAnsi"/>
          <w:b/>
          <w:sz w:val="22"/>
          <w:szCs w:val="22"/>
        </w:rPr>
      </w:pPr>
    </w:p>
    <w:p w14:paraId="13BF673A" w14:textId="77777777" w:rsidR="0006122A" w:rsidRDefault="0006122A" w:rsidP="0063543C">
      <w:pPr>
        <w:spacing w:after="120"/>
        <w:rPr>
          <w:rFonts w:asciiTheme="minorHAnsi" w:hAnsiTheme="minorHAnsi"/>
          <w:b/>
          <w:sz w:val="22"/>
          <w:szCs w:val="22"/>
        </w:rPr>
      </w:pPr>
    </w:p>
    <w:p w14:paraId="4CAC12B1" w14:textId="77777777" w:rsidR="0063543C" w:rsidRPr="00541A43" w:rsidRDefault="0063543C" w:rsidP="0063543C">
      <w:pPr>
        <w:spacing w:after="120"/>
        <w:rPr>
          <w:rFonts w:asciiTheme="minorHAnsi" w:hAnsiTheme="minorHAnsi"/>
          <w:b/>
          <w:sz w:val="22"/>
          <w:szCs w:val="22"/>
        </w:rPr>
      </w:pPr>
      <w:r w:rsidRPr="00541A43">
        <w:rPr>
          <w:rFonts w:asciiTheme="minorHAnsi" w:hAnsiTheme="minorHAnsi"/>
          <w:b/>
          <w:sz w:val="22"/>
          <w:szCs w:val="22"/>
        </w:rPr>
        <w:t>Background</w:t>
      </w:r>
    </w:p>
    <w:p w14:paraId="0055ECEB" w14:textId="78494D77" w:rsidR="0063543C" w:rsidRPr="0063543C" w:rsidRDefault="0063543C" w:rsidP="0063543C">
      <w:pPr>
        <w:spacing w:after="120"/>
        <w:rPr>
          <w:rFonts w:asciiTheme="minorHAnsi" w:hAnsiTheme="minorHAnsi"/>
        </w:rPr>
      </w:pPr>
      <w:r w:rsidRPr="0063543C">
        <w:rPr>
          <w:rFonts w:asciiTheme="minorHAnsi" w:hAnsiTheme="minorHAnsi"/>
        </w:rPr>
        <w:t>Individuals have had a right of access to their personal information held by the Commonwealth public sector since 1988.  Since 2001 they have had a right to access their personal information held by the private sector</w:t>
      </w:r>
      <w:r w:rsidR="00C23F72">
        <w:rPr>
          <w:rFonts w:asciiTheme="minorHAnsi" w:hAnsiTheme="minorHAnsi"/>
        </w:rPr>
        <w:t xml:space="preserve"> organisations covered by the </w:t>
      </w:r>
      <w:r w:rsidR="00C23F72">
        <w:rPr>
          <w:rFonts w:asciiTheme="minorHAnsi" w:hAnsiTheme="minorHAnsi"/>
          <w:i/>
        </w:rPr>
        <w:t>Privacy Act 1988</w:t>
      </w:r>
      <w:r w:rsidRPr="0063543C">
        <w:rPr>
          <w:rFonts w:asciiTheme="minorHAnsi" w:hAnsiTheme="minorHAnsi"/>
        </w:rPr>
        <w:t>. State and Territory privacy (and hea</w:t>
      </w:r>
      <w:r w:rsidR="003210E6">
        <w:rPr>
          <w:rFonts w:asciiTheme="minorHAnsi" w:hAnsiTheme="minorHAnsi"/>
        </w:rPr>
        <w:t>lth privacy) legislation confer</w:t>
      </w:r>
      <w:r w:rsidRPr="0063543C">
        <w:rPr>
          <w:rFonts w:asciiTheme="minorHAnsi" w:hAnsiTheme="minorHAnsi"/>
        </w:rPr>
        <w:t xml:space="preserve"> similar rights. There is nothing new about individuals having a right to access their personal information.</w:t>
      </w:r>
    </w:p>
    <w:p w14:paraId="5C2F4518" w14:textId="6E0B16DD" w:rsidR="0063543C" w:rsidRPr="0063543C" w:rsidRDefault="0063543C" w:rsidP="0063543C">
      <w:pPr>
        <w:spacing w:after="120"/>
        <w:rPr>
          <w:rFonts w:asciiTheme="minorHAnsi" w:hAnsiTheme="minorHAnsi"/>
        </w:rPr>
      </w:pPr>
      <w:r w:rsidRPr="0063543C">
        <w:rPr>
          <w:rFonts w:asciiTheme="minorHAnsi" w:hAnsiTheme="minorHAnsi"/>
        </w:rPr>
        <w:t>The effectiveness of these rights has been criticised because:</w:t>
      </w:r>
    </w:p>
    <w:p w14:paraId="1C7A9432" w14:textId="77777777" w:rsidR="0063543C" w:rsidRPr="0063543C" w:rsidRDefault="0063543C" w:rsidP="0063543C">
      <w:pPr>
        <w:pStyle w:val="ListParagraph"/>
        <w:numPr>
          <w:ilvl w:val="0"/>
          <w:numId w:val="20"/>
        </w:numPr>
        <w:spacing w:after="120"/>
        <w:rPr>
          <w:rFonts w:asciiTheme="minorHAnsi" w:hAnsiTheme="minorHAnsi"/>
          <w:sz w:val="20"/>
          <w:szCs w:val="20"/>
        </w:rPr>
      </w:pPr>
      <w:r w:rsidRPr="0063543C">
        <w:rPr>
          <w:rFonts w:asciiTheme="minorHAnsi" w:hAnsiTheme="minorHAnsi"/>
          <w:sz w:val="20"/>
          <w:szCs w:val="20"/>
        </w:rPr>
        <w:t xml:space="preserve">public sector organisations have been able to charge a fee for access and for processing a request; </w:t>
      </w:r>
    </w:p>
    <w:p w14:paraId="2593F9EA" w14:textId="77777777" w:rsidR="0063543C" w:rsidRPr="0063543C" w:rsidRDefault="0063543C" w:rsidP="0063543C">
      <w:pPr>
        <w:pStyle w:val="ListParagraph"/>
        <w:numPr>
          <w:ilvl w:val="0"/>
          <w:numId w:val="20"/>
        </w:numPr>
        <w:spacing w:after="120"/>
        <w:rPr>
          <w:rFonts w:asciiTheme="minorHAnsi" w:hAnsiTheme="minorHAnsi"/>
          <w:sz w:val="20"/>
          <w:szCs w:val="20"/>
        </w:rPr>
      </w:pPr>
      <w:r w:rsidRPr="0063543C">
        <w:rPr>
          <w:rFonts w:asciiTheme="minorHAnsi" w:hAnsiTheme="minorHAnsi"/>
          <w:sz w:val="20"/>
          <w:szCs w:val="20"/>
        </w:rPr>
        <w:t>private sector organisations have been entitled to charge a fee for processing an access request;</w:t>
      </w:r>
    </w:p>
    <w:p w14:paraId="38E73EE1" w14:textId="77777777" w:rsidR="0063543C" w:rsidRPr="0063543C" w:rsidRDefault="0063543C" w:rsidP="0063543C">
      <w:pPr>
        <w:pStyle w:val="ListParagraph"/>
        <w:numPr>
          <w:ilvl w:val="0"/>
          <w:numId w:val="20"/>
        </w:numPr>
        <w:spacing w:after="120"/>
        <w:rPr>
          <w:rFonts w:asciiTheme="minorHAnsi" w:hAnsiTheme="minorHAnsi"/>
          <w:sz w:val="20"/>
          <w:szCs w:val="20"/>
        </w:rPr>
      </w:pPr>
      <w:r w:rsidRPr="0063543C">
        <w:rPr>
          <w:rFonts w:asciiTheme="minorHAnsi" w:hAnsiTheme="minorHAnsi"/>
          <w:sz w:val="20"/>
          <w:szCs w:val="20"/>
        </w:rPr>
        <w:t>for both public and private sectors, the access regime has been paper-based and has lacked incentives to invest in providing access in a digital form.</w:t>
      </w:r>
    </w:p>
    <w:p w14:paraId="1A641269" w14:textId="2F2DB782" w:rsidR="0063543C" w:rsidRPr="0063543C" w:rsidRDefault="0063543C" w:rsidP="0063543C">
      <w:pPr>
        <w:spacing w:after="120"/>
        <w:rPr>
          <w:rFonts w:asciiTheme="minorHAnsi" w:hAnsiTheme="minorHAnsi"/>
        </w:rPr>
      </w:pPr>
      <w:r w:rsidRPr="0063543C">
        <w:rPr>
          <w:rFonts w:asciiTheme="minorHAnsi" w:hAnsiTheme="minorHAnsi"/>
        </w:rPr>
        <w:t xml:space="preserve">The </w:t>
      </w:r>
      <w:r w:rsidR="00C23F72">
        <w:rPr>
          <w:rFonts w:asciiTheme="minorHAnsi" w:hAnsiTheme="minorHAnsi"/>
        </w:rPr>
        <w:t xml:space="preserve">CDR </w:t>
      </w:r>
      <w:r w:rsidRPr="0063543C">
        <w:rPr>
          <w:rFonts w:asciiTheme="minorHAnsi" w:hAnsiTheme="minorHAnsi"/>
        </w:rPr>
        <w:t>Bill does not adequately resolve any of these reform issues.</w:t>
      </w:r>
    </w:p>
    <w:p w14:paraId="0C23035D" w14:textId="77777777" w:rsidR="0063543C" w:rsidRPr="0063543C" w:rsidRDefault="0063543C" w:rsidP="0063543C">
      <w:pPr>
        <w:spacing w:after="120"/>
        <w:rPr>
          <w:rFonts w:asciiTheme="minorHAnsi" w:hAnsiTheme="minorHAnsi"/>
        </w:rPr>
      </w:pPr>
      <w:r w:rsidRPr="0063543C">
        <w:rPr>
          <w:rFonts w:asciiTheme="minorHAnsi" w:hAnsiTheme="minorHAnsi"/>
        </w:rPr>
        <w:t xml:space="preserve">The CDR is an attempt at designing a data portability framework for Australian consumers. Its aim is to empower consumers by enabling them to obtain their own personal information in digital form and/or to direct its transmission to third parties. It is designed to diminish information barriers – digital ‘lock-in’ - that currently impede consumers from changing service providers. </w:t>
      </w:r>
    </w:p>
    <w:p w14:paraId="3644C99F" w14:textId="77777777" w:rsidR="0063543C" w:rsidRPr="0063543C" w:rsidRDefault="0063543C" w:rsidP="0063543C">
      <w:pPr>
        <w:spacing w:after="120"/>
        <w:rPr>
          <w:rFonts w:asciiTheme="minorHAnsi" w:hAnsiTheme="minorHAnsi"/>
        </w:rPr>
      </w:pPr>
      <w:r w:rsidRPr="0063543C">
        <w:rPr>
          <w:rFonts w:asciiTheme="minorHAnsi" w:hAnsiTheme="minorHAnsi"/>
        </w:rPr>
        <w:t xml:space="preserve">It is also intended to facilitate the development of new digital enterprises – providers of financial services known as ‘fintech’ – as well as new and innovative forms of data intermediaries, platforms and service providers, aimed at providing consumers with novel product and service offerings. </w:t>
      </w:r>
    </w:p>
    <w:p w14:paraId="07F7B381" w14:textId="77777777" w:rsidR="0063543C" w:rsidRPr="0063543C" w:rsidRDefault="0063543C" w:rsidP="0063543C">
      <w:pPr>
        <w:spacing w:after="120"/>
        <w:rPr>
          <w:rFonts w:asciiTheme="minorHAnsi" w:hAnsiTheme="minorHAnsi"/>
        </w:rPr>
      </w:pPr>
      <w:r w:rsidRPr="0063543C">
        <w:rPr>
          <w:rFonts w:asciiTheme="minorHAnsi" w:hAnsiTheme="minorHAnsi"/>
        </w:rPr>
        <w:t>The CDR is the first Australian initiative that straddles previously disconnected areas of rights and public policy, these being banking and finance policy, competition policy, security policy and the fundamental rights to privacy. This creates a unique policy dilemma: how to go about providing robust and meaningful protection of the privacy and security of personal (and other consumer) information whilst incentivising its greater use and disclosure to enhance competition and encourage innovation?</w:t>
      </w:r>
    </w:p>
    <w:p w14:paraId="44AE0E11" w14:textId="64C3BBF5" w:rsidR="0063543C" w:rsidRPr="0063543C" w:rsidRDefault="0063543C" w:rsidP="0063543C">
      <w:pPr>
        <w:spacing w:after="120"/>
        <w:rPr>
          <w:rFonts w:asciiTheme="minorHAnsi" w:eastAsia="Times New Roman" w:hAnsiTheme="minorHAnsi"/>
        </w:rPr>
      </w:pPr>
      <w:r w:rsidRPr="0063543C">
        <w:rPr>
          <w:rFonts w:asciiTheme="minorHAnsi" w:hAnsiTheme="minorHAnsi"/>
        </w:rPr>
        <w:t>As a d</w:t>
      </w:r>
      <w:r w:rsidR="00C23F72">
        <w:rPr>
          <w:rFonts w:asciiTheme="minorHAnsi" w:hAnsiTheme="minorHAnsi"/>
        </w:rPr>
        <w:t>ata portability right the CDR can be compared</w:t>
      </w:r>
      <w:r w:rsidRPr="0063543C">
        <w:rPr>
          <w:rFonts w:asciiTheme="minorHAnsi" w:hAnsiTheme="minorHAnsi"/>
        </w:rPr>
        <w:t xml:space="preserve"> to Article 20 of the EU’s </w:t>
      </w:r>
      <w:r w:rsidRPr="0063543C">
        <w:rPr>
          <w:rFonts w:asciiTheme="minorHAnsi" w:hAnsiTheme="minorHAnsi"/>
          <w:i/>
        </w:rPr>
        <w:t xml:space="preserve">General Data Protection Regulation </w:t>
      </w:r>
      <w:r w:rsidRPr="0063543C">
        <w:rPr>
          <w:rFonts w:asciiTheme="minorHAnsi" w:hAnsiTheme="minorHAnsi"/>
        </w:rPr>
        <w:t xml:space="preserve">(GDPR) but </w:t>
      </w:r>
      <w:r w:rsidR="00C23F72">
        <w:rPr>
          <w:rFonts w:asciiTheme="minorHAnsi" w:hAnsiTheme="minorHAnsi"/>
        </w:rPr>
        <w:t xml:space="preserve">it </w:t>
      </w:r>
      <w:r w:rsidRPr="0063543C">
        <w:rPr>
          <w:rFonts w:asciiTheme="minorHAnsi" w:hAnsiTheme="minorHAnsi"/>
        </w:rPr>
        <w:t>differs</w:t>
      </w:r>
      <w:r w:rsidR="00C23F72">
        <w:rPr>
          <w:rFonts w:asciiTheme="minorHAnsi" w:hAnsiTheme="minorHAnsi"/>
        </w:rPr>
        <w:t xml:space="preserve"> from it in important ways. </w:t>
      </w:r>
      <w:r w:rsidRPr="0063543C">
        <w:rPr>
          <w:rFonts w:asciiTheme="minorHAnsi" w:hAnsiTheme="minorHAnsi"/>
        </w:rPr>
        <w:t xml:space="preserve">GDPR </w:t>
      </w:r>
      <w:r w:rsidR="00C23F72">
        <w:rPr>
          <w:rFonts w:asciiTheme="minorHAnsi" w:hAnsiTheme="minorHAnsi"/>
        </w:rPr>
        <w:t xml:space="preserve">data portability </w:t>
      </w:r>
      <w:r w:rsidRPr="0063543C">
        <w:rPr>
          <w:rFonts w:asciiTheme="minorHAnsi" w:hAnsiTheme="minorHAnsi"/>
        </w:rPr>
        <w:t>only applies to information provided by the data subject. It does not apply to directly or indirectly derived data or associated data (see cl. 56AF). Article 20 is not limited by sector whereas the CDR is. Article 20 does not establish elaborate technical standards for data</w:t>
      </w:r>
      <w:r w:rsidR="00C23F72">
        <w:rPr>
          <w:rFonts w:asciiTheme="minorHAnsi" w:hAnsiTheme="minorHAnsi"/>
        </w:rPr>
        <w:t xml:space="preserve"> portability: </w:t>
      </w:r>
      <w:r w:rsidRPr="0063543C">
        <w:rPr>
          <w:rFonts w:asciiTheme="minorHAnsi" w:hAnsiTheme="minorHAnsi"/>
        </w:rPr>
        <w:t>data must be provided to the data subject ‘</w:t>
      </w:r>
      <w:r w:rsidRPr="0063543C">
        <w:rPr>
          <w:rFonts w:asciiTheme="minorHAnsi" w:eastAsia="Times New Roman" w:hAnsiTheme="minorHAnsi"/>
          <w:color w:val="333333"/>
          <w:shd w:val="clear" w:color="auto" w:fill="FFFFFF"/>
        </w:rPr>
        <w:t xml:space="preserve">in a structured, commonly used and machine-readable format.’ </w:t>
      </w:r>
    </w:p>
    <w:p w14:paraId="645E7079" w14:textId="76FD1465" w:rsidR="0063543C" w:rsidRPr="0063543C" w:rsidRDefault="0063543C" w:rsidP="0063543C">
      <w:pPr>
        <w:spacing w:after="120"/>
        <w:rPr>
          <w:rFonts w:asciiTheme="minorHAnsi" w:hAnsiTheme="minorHAnsi"/>
        </w:rPr>
      </w:pPr>
      <w:r w:rsidRPr="0063543C">
        <w:rPr>
          <w:rFonts w:asciiTheme="minorHAnsi" w:hAnsiTheme="minorHAnsi"/>
        </w:rPr>
        <w:t>The GDPR’s data portability regime is simpler and more comprehensive than the CDR. It is not mediat</w:t>
      </w:r>
      <w:r w:rsidR="000137DB">
        <w:rPr>
          <w:rFonts w:asciiTheme="minorHAnsi" w:hAnsiTheme="minorHAnsi"/>
        </w:rPr>
        <w:t xml:space="preserve">ed by </w:t>
      </w:r>
      <w:r w:rsidR="003210E6">
        <w:rPr>
          <w:rFonts w:asciiTheme="minorHAnsi" w:hAnsiTheme="minorHAnsi"/>
        </w:rPr>
        <w:t xml:space="preserve">opaque </w:t>
      </w:r>
      <w:r w:rsidR="000137DB">
        <w:rPr>
          <w:rFonts w:asciiTheme="minorHAnsi" w:hAnsiTheme="minorHAnsi"/>
        </w:rPr>
        <w:t xml:space="preserve">discretionary </w:t>
      </w:r>
      <w:r w:rsidRPr="0063543C">
        <w:rPr>
          <w:rFonts w:asciiTheme="minorHAnsi" w:hAnsiTheme="minorHAnsi"/>
        </w:rPr>
        <w:t>decision-making and complex consultation mechanisms. Because of this it is:</w:t>
      </w:r>
    </w:p>
    <w:p w14:paraId="160DCB0B" w14:textId="34BD4897" w:rsidR="0063543C" w:rsidRPr="0063543C" w:rsidRDefault="0063543C" w:rsidP="0063543C">
      <w:pPr>
        <w:pStyle w:val="ListParagraph"/>
        <w:numPr>
          <w:ilvl w:val="0"/>
          <w:numId w:val="21"/>
        </w:numPr>
        <w:spacing w:after="120"/>
        <w:rPr>
          <w:rFonts w:asciiTheme="minorHAnsi" w:hAnsiTheme="minorHAnsi"/>
          <w:sz w:val="20"/>
          <w:szCs w:val="20"/>
        </w:rPr>
      </w:pPr>
      <w:r w:rsidRPr="0063543C">
        <w:rPr>
          <w:rFonts w:asciiTheme="minorHAnsi" w:hAnsiTheme="minorHAnsi"/>
          <w:sz w:val="20"/>
          <w:szCs w:val="20"/>
        </w:rPr>
        <w:t>more ‘consumer friendly</w:t>
      </w:r>
      <w:r w:rsidR="003210E6">
        <w:rPr>
          <w:rFonts w:asciiTheme="minorHAnsi" w:hAnsiTheme="minorHAnsi"/>
          <w:sz w:val="20"/>
          <w:szCs w:val="20"/>
        </w:rPr>
        <w:t>’</w:t>
      </w:r>
      <w:r w:rsidR="000137DB">
        <w:rPr>
          <w:rFonts w:asciiTheme="minorHAnsi" w:hAnsiTheme="minorHAnsi"/>
          <w:sz w:val="20"/>
          <w:szCs w:val="20"/>
        </w:rPr>
        <w:t>;</w:t>
      </w:r>
    </w:p>
    <w:p w14:paraId="2A332CDB" w14:textId="77777777" w:rsidR="0063543C" w:rsidRPr="0063543C" w:rsidRDefault="0063543C" w:rsidP="0063543C">
      <w:pPr>
        <w:pStyle w:val="ListParagraph"/>
        <w:numPr>
          <w:ilvl w:val="0"/>
          <w:numId w:val="21"/>
        </w:numPr>
        <w:spacing w:after="120"/>
        <w:rPr>
          <w:rFonts w:asciiTheme="minorHAnsi" w:hAnsiTheme="minorHAnsi"/>
          <w:sz w:val="20"/>
          <w:szCs w:val="20"/>
        </w:rPr>
      </w:pPr>
      <w:r w:rsidRPr="0063543C">
        <w:rPr>
          <w:rFonts w:asciiTheme="minorHAnsi" w:hAnsiTheme="minorHAnsi"/>
          <w:sz w:val="20"/>
          <w:szCs w:val="20"/>
        </w:rPr>
        <w:t xml:space="preserve">likely to be more effective; and </w:t>
      </w:r>
    </w:p>
    <w:p w14:paraId="084C8875" w14:textId="77777777" w:rsidR="0063543C" w:rsidRPr="0063543C" w:rsidRDefault="0063543C" w:rsidP="0063543C">
      <w:pPr>
        <w:pStyle w:val="ListParagraph"/>
        <w:numPr>
          <w:ilvl w:val="0"/>
          <w:numId w:val="21"/>
        </w:numPr>
        <w:spacing w:after="120"/>
        <w:rPr>
          <w:rFonts w:asciiTheme="minorHAnsi" w:hAnsiTheme="minorHAnsi"/>
          <w:sz w:val="20"/>
          <w:szCs w:val="20"/>
        </w:rPr>
      </w:pPr>
      <w:r w:rsidRPr="0063543C">
        <w:rPr>
          <w:rFonts w:asciiTheme="minorHAnsi" w:hAnsiTheme="minorHAnsi"/>
          <w:sz w:val="20"/>
          <w:szCs w:val="20"/>
        </w:rPr>
        <w:t>unlikely to produce the high compliance and regulatory costs that will be associated with the CDR.</w:t>
      </w:r>
    </w:p>
    <w:p w14:paraId="7B1B9B23" w14:textId="0899BF88" w:rsidR="0063543C" w:rsidRPr="0063543C" w:rsidRDefault="0063543C" w:rsidP="0063543C">
      <w:pPr>
        <w:spacing w:after="120"/>
        <w:rPr>
          <w:rFonts w:asciiTheme="minorHAnsi" w:hAnsiTheme="minorHAnsi"/>
        </w:rPr>
      </w:pPr>
      <w:r>
        <w:rPr>
          <w:rFonts w:asciiTheme="minorHAnsi" w:hAnsiTheme="minorHAnsi"/>
        </w:rPr>
        <w:t>Th</w:t>
      </w:r>
      <w:r w:rsidRPr="0063543C">
        <w:rPr>
          <w:rFonts w:asciiTheme="minorHAnsi" w:hAnsiTheme="minorHAnsi"/>
        </w:rPr>
        <w:t xml:space="preserve">e GDPR is </w:t>
      </w:r>
      <w:r w:rsidR="003210E6">
        <w:rPr>
          <w:rFonts w:asciiTheme="minorHAnsi" w:hAnsiTheme="minorHAnsi"/>
        </w:rPr>
        <w:t xml:space="preserve">also </w:t>
      </w:r>
      <w:r w:rsidRPr="0063543C">
        <w:rPr>
          <w:rFonts w:asciiTheme="minorHAnsi" w:hAnsiTheme="minorHAnsi"/>
        </w:rPr>
        <w:t xml:space="preserve">recognised as an international benchmark. </w:t>
      </w:r>
      <w:r w:rsidR="003210E6" w:rsidRPr="0063543C">
        <w:rPr>
          <w:rFonts w:asciiTheme="minorHAnsi" w:hAnsiTheme="minorHAnsi"/>
        </w:rPr>
        <w:t>Australian enterprises that control and process EU data or provide services to EU citizens have already been required to take steps to comply with it.</w:t>
      </w:r>
      <w:r w:rsidR="003210E6">
        <w:rPr>
          <w:rFonts w:asciiTheme="minorHAnsi" w:hAnsiTheme="minorHAnsi"/>
        </w:rPr>
        <w:t xml:space="preserve"> M</w:t>
      </w:r>
      <w:r w:rsidRPr="0063543C">
        <w:rPr>
          <w:rFonts w:asciiTheme="minorHAnsi" w:hAnsiTheme="minorHAnsi"/>
        </w:rPr>
        <w:t xml:space="preserve">any of Australia’s trading partners in </w:t>
      </w:r>
      <w:r w:rsidR="003210E6">
        <w:rPr>
          <w:rFonts w:asciiTheme="minorHAnsi" w:hAnsiTheme="minorHAnsi"/>
        </w:rPr>
        <w:t xml:space="preserve">the </w:t>
      </w:r>
      <w:r w:rsidRPr="0063543C">
        <w:rPr>
          <w:rFonts w:asciiTheme="minorHAnsi" w:hAnsiTheme="minorHAnsi"/>
        </w:rPr>
        <w:t>Asia</w:t>
      </w:r>
      <w:r w:rsidR="003210E6">
        <w:rPr>
          <w:rFonts w:asciiTheme="minorHAnsi" w:hAnsiTheme="minorHAnsi"/>
        </w:rPr>
        <w:t>-Pacific region</w:t>
      </w:r>
      <w:r w:rsidRPr="0063543C">
        <w:rPr>
          <w:rFonts w:asciiTheme="minorHAnsi" w:hAnsiTheme="minorHAnsi"/>
        </w:rPr>
        <w:t xml:space="preserve"> and elsewhere ar</w:t>
      </w:r>
      <w:r w:rsidR="003210E6">
        <w:rPr>
          <w:rFonts w:asciiTheme="minorHAnsi" w:hAnsiTheme="minorHAnsi"/>
        </w:rPr>
        <w:t>e actively considering enacting data portability legislation</w:t>
      </w:r>
      <w:r w:rsidRPr="0063543C">
        <w:rPr>
          <w:rFonts w:asciiTheme="minorHAnsi" w:hAnsiTheme="minorHAnsi"/>
        </w:rPr>
        <w:t xml:space="preserve">. This suggests that adopting a </w:t>
      </w:r>
      <w:r w:rsidRPr="0063543C">
        <w:rPr>
          <w:rFonts w:asciiTheme="minorHAnsi" w:hAnsiTheme="minorHAnsi"/>
          <w:i/>
        </w:rPr>
        <w:t xml:space="preserve">sui generis </w:t>
      </w:r>
      <w:r w:rsidRPr="0063543C">
        <w:rPr>
          <w:rFonts w:asciiTheme="minorHAnsi" w:hAnsiTheme="minorHAnsi"/>
        </w:rPr>
        <w:t>incompatible Australian CDR is inadvisable unless there are compelling contrary reasons.</w:t>
      </w:r>
    </w:p>
    <w:p w14:paraId="3A7910B9" w14:textId="77777777" w:rsidR="0006122A" w:rsidRDefault="0006122A" w:rsidP="0063543C">
      <w:pPr>
        <w:spacing w:after="120"/>
        <w:rPr>
          <w:rFonts w:asciiTheme="minorHAnsi" w:hAnsiTheme="minorHAnsi"/>
          <w:b/>
          <w:sz w:val="22"/>
          <w:szCs w:val="22"/>
        </w:rPr>
      </w:pPr>
    </w:p>
    <w:p w14:paraId="51836D89" w14:textId="77777777" w:rsidR="0006122A" w:rsidRDefault="0006122A" w:rsidP="0063543C">
      <w:pPr>
        <w:spacing w:after="120"/>
        <w:rPr>
          <w:rFonts w:asciiTheme="minorHAnsi" w:hAnsiTheme="minorHAnsi"/>
          <w:b/>
          <w:sz w:val="22"/>
          <w:szCs w:val="22"/>
        </w:rPr>
      </w:pPr>
    </w:p>
    <w:p w14:paraId="3A0E02ED" w14:textId="77777777" w:rsidR="0006122A" w:rsidRDefault="0006122A" w:rsidP="0063543C">
      <w:pPr>
        <w:spacing w:after="120"/>
        <w:rPr>
          <w:rFonts w:asciiTheme="minorHAnsi" w:hAnsiTheme="minorHAnsi"/>
          <w:b/>
          <w:sz w:val="22"/>
          <w:szCs w:val="22"/>
        </w:rPr>
      </w:pPr>
    </w:p>
    <w:p w14:paraId="6D1B751D" w14:textId="77777777" w:rsidR="0063543C" w:rsidRPr="00541A43" w:rsidRDefault="0063543C" w:rsidP="0063543C">
      <w:pPr>
        <w:spacing w:after="120"/>
        <w:rPr>
          <w:rFonts w:asciiTheme="minorHAnsi" w:hAnsiTheme="minorHAnsi"/>
          <w:b/>
          <w:sz w:val="22"/>
          <w:szCs w:val="22"/>
        </w:rPr>
      </w:pPr>
      <w:r w:rsidRPr="00541A43">
        <w:rPr>
          <w:rFonts w:asciiTheme="minorHAnsi" w:hAnsiTheme="minorHAnsi"/>
          <w:b/>
          <w:sz w:val="22"/>
          <w:szCs w:val="22"/>
        </w:rPr>
        <w:lastRenderedPageBreak/>
        <w:t>2.</w:t>
      </w:r>
      <w:r w:rsidRPr="00541A43">
        <w:rPr>
          <w:rFonts w:asciiTheme="minorHAnsi" w:hAnsiTheme="minorHAnsi"/>
          <w:b/>
          <w:sz w:val="22"/>
          <w:szCs w:val="22"/>
        </w:rPr>
        <w:tab/>
        <w:t>Commentary</w:t>
      </w:r>
    </w:p>
    <w:p w14:paraId="5168CCD9" w14:textId="77777777" w:rsidR="0063543C" w:rsidRPr="0063543C" w:rsidRDefault="0063543C" w:rsidP="0063543C">
      <w:pPr>
        <w:spacing w:after="120"/>
        <w:rPr>
          <w:rFonts w:asciiTheme="minorHAnsi" w:hAnsiTheme="minorHAnsi"/>
          <w:b/>
        </w:rPr>
      </w:pPr>
      <w:r w:rsidRPr="0063543C">
        <w:rPr>
          <w:rFonts w:asciiTheme="minorHAnsi" w:hAnsiTheme="minorHAnsi"/>
          <w:b/>
        </w:rPr>
        <w:t>2.1</w:t>
      </w:r>
      <w:r w:rsidRPr="0063543C">
        <w:rPr>
          <w:rFonts w:asciiTheme="minorHAnsi" w:hAnsiTheme="minorHAnsi"/>
          <w:b/>
        </w:rPr>
        <w:tab/>
        <w:t>Objects</w:t>
      </w:r>
    </w:p>
    <w:p w14:paraId="3C878FA7" w14:textId="035D2622" w:rsidR="0063543C" w:rsidRPr="0063543C" w:rsidRDefault="0063543C" w:rsidP="0063543C">
      <w:pPr>
        <w:spacing w:after="120"/>
        <w:rPr>
          <w:rFonts w:asciiTheme="minorHAnsi" w:hAnsiTheme="minorHAnsi"/>
        </w:rPr>
      </w:pPr>
      <w:r w:rsidRPr="0063543C">
        <w:rPr>
          <w:rFonts w:asciiTheme="minorHAnsi" w:hAnsiTheme="minorHAnsi"/>
        </w:rPr>
        <w:t>The Bill’s objects are set out in cl 56AA. Although objects clauses are not definitive guides to the interpretation of legislation, courts often take account of them where there is uncertainty or ambigui</w:t>
      </w:r>
      <w:r w:rsidR="000137DB">
        <w:rPr>
          <w:rFonts w:asciiTheme="minorHAnsi" w:hAnsiTheme="minorHAnsi"/>
        </w:rPr>
        <w:t>ty about the operation of a law</w:t>
      </w:r>
      <w:r w:rsidR="000E7F8E">
        <w:rPr>
          <w:rFonts w:asciiTheme="minorHAnsi" w:hAnsiTheme="minorHAnsi"/>
        </w:rPr>
        <w:t>. Objects clauses</w:t>
      </w:r>
      <w:r w:rsidRPr="0063543C">
        <w:rPr>
          <w:rFonts w:asciiTheme="minorHAnsi" w:hAnsiTheme="minorHAnsi"/>
        </w:rPr>
        <w:t xml:space="preserve"> shape and inform the exercise of discretionary</w:t>
      </w:r>
      <w:r w:rsidR="000137DB">
        <w:rPr>
          <w:rFonts w:asciiTheme="minorHAnsi" w:hAnsiTheme="minorHAnsi"/>
        </w:rPr>
        <w:t xml:space="preserve"> powers</w:t>
      </w:r>
      <w:r w:rsidRPr="0063543C">
        <w:rPr>
          <w:rFonts w:asciiTheme="minorHAnsi" w:hAnsiTheme="minorHAnsi"/>
        </w:rPr>
        <w:t>.</w:t>
      </w:r>
    </w:p>
    <w:p w14:paraId="23E4B9BC" w14:textId="05CBDE47" w:rsidR="0063543C" w:rsidRPr="0063543C" w:rsidRDefault="0063543C" w:rsidP="0063543C">
      <w:pPr>
        <w:spacing w:after="120"/>
        <w:rPr>
          <w:rFonts w:asciiTheme="minorHAnsi" w:hAnsiTheme="minorHAnsi"/>
        </w:rPr>
      </w:pPr>
      <w:r w:rsidRPr="0063543C">
        <w:rPr>
          <w:rFonts w:asciiTheme="minorHAnsi" w:hAnsiTheme="minorHAnsi"/>
        </w:rPr>
        <w:t xml:space="preserve">Clause 56AA(b) appears to contradict many of the </w:t>
      </w:r>
      <w:r w:rsidR="003210E6">
        <w:rPr>
          <w:rFonts w:asciiTheme="minorHAnsi" w:hAnsiTheme="minorHAnsi"/>
        </w:rPr>
        <w:t>aims of the CDR</w:t>
      </w:r>
      <w:r w:rsidRPr="0063543C">
        <w:rPr>
          <w:rFonts w:asciiTheme="minorHAnsi" w:hAnsiTheme="minorHAnsi"/>
        </w:rPr>
        <w:t xml:space="preserve"> – significantly its aim to provide individuals with robust privacy protection – by stating that one of the two main objects of the proposed Part IVD of the </w:t>
      </w:r>
      <w:r w:rsidRPr="0063543C">
        <w:rPr>
          <w:rFonts w:asciiTheme="minorHAnsi" w:hAnsiTheme="minorHAnsi"/>
          <w:i/>
        </w:rPr>
        <w:t>Competition and Consumer Act 2010</w:t>
      </w:r>
      <w:r w:rsidRPr="0063543C">
        <w:rPr>
          <w:rFonts w:asciiTheme="minorHAnsi" w:hAnsiTheme="minorHAnsi"/>
        </w:rPr>
        <w:t xml:space="preserve"> is to ‘enable any person to access any information…that does not relate to any identifiable, or reasonably identifiable, </w:t>
      </w:r>
      <w:proofErr w:type="gramStart"/>
      <w:r w:rsidRPr="0063543C">
        <w:rPr>
          <w:rFonts w:asciiTheme="minorHAnsi" w:hAnsiTheme="minorHAnsi"/>
        </w:rPr>
        <w:t>consumers..</w:t>
      </w:r>
      <w:proofErr w:type="gramEnd"/>
      <w:r w:rsidRPr="0063543C">
        <w:rPr>
          <w:rFonts w:asciiTheme="minorHAnsi" w:hAnsiTheme="minorHAnsi"/>
        </w:rPr>
        <w:t>’ Apart from this objective extending</w:t>
      </w:r>
      <w:r w:rsidR="000E7F8E">
        <w:rPr>
          <w:rFonts w:asciiTheme="minorHAnsi" w:hAnsiTheme="minorHAnsi"/>
        </w:rPr>
        <w:t xml:space="preserve"> beyond the policy basis</w:t>
      </w:r>
      <w:r w:rsidRPr="0063543C">
        <w:rPr>
          <w:rFonts w:asciiTheme="minorHAnsi" w:hAnsiTheme="minorHAnsi"/>
        </w:rPr>
        <w:t xml:space="preserve"> of the </w:t>
      </w:r>
      <w:r w:rsidR="000E7F8E">
        <w:rPr>
          <w:rFonts w:asciiTheme="minorHAnsi" w:hAnsiTheme="minorHAnsi"/>
        </w:rPr>
        <w:t xml:space="preserve">CDR </w:t>
      </w:r>
      <w:r w:rsidRPr="0063543C">
        <w:rPr>
          <w:rFonts w:asciiTheme="minorHAnsi" w:hAnsiTheme="minorHAnsi"/>
        </w:rPr>
        <w:t>Bill, it raises complex and highly contested issues about the efficacy of de-identification. It can be interpreted as supporting de-identification as a t</w:t>
      </w:r>
      <w:r w:rsidR="000E7F8E">
        <w:rPr>
          <w:rFonts w:asciiTheme="minorHAnsi" w:hAnsiTheme="minorHAnsi"/>
        </w:rPr>
        <w:t>echnique when there is a significant</w:t>
      </w:r>
      <w:r w:rsidRPr="0063543C">
        <w:rPr>
          <w:rFonts w:asciiTheme="minorHAnsi" w:hAnsiTheme="minorHAnsi"/>
        </w:rPr>
        <w:t xml:space="preserve"> body of expert opinion that casts doubt on </w:t>
      </w:r>
      <w:proofErr w:type="gramStart"/>
      <w:r w:rsidRPr="0063543C">
        <w:rPr>
          <w:rFonts w:asciiTheme="minorHAnsi" w:hAnsiTheme="minorHAnsi"/>
        </w:rPr>
        <w:t>it</w:t>
      </w:r>
      <w:r w:rsidR="000E7F8E">
        <w:rPr>
          <w:rFonts w:asciiTheme="minorHAnsi" w:hAnsiTheme="minorHAnsi"/>
        </w:rPr>
        <w:t>’s</w:t>
      </w:r>
      <w:proofErr w:type="gramEnd"/>
      <w:r w:rsidR="000E7F8E">
        <w:rPr>
          <w:rFonts w:asciiTheme="minorHAnsi" w:hAnsiTheme="minorHAnsi"/>
        </w:rPr>
        <w:t xml:space="preserve"> efficacy</w:t>
      </w:r>
      <w:r w:rsidRPr="0063543C">
        <w:rPr>
          <w:rFonts w:asciiTheme="minorHAnsi" w:hAnsiTheme="minorHAnsi"/>
        </w:rPr>
        <w:t>.</w:t>
      </w:r>
    </w:p>
    <w:p w14:paraId="18B63871" w14:textId="77777777" w:rsidR="0063543C" w:rsidRPr="0063543C" w:rsidRDefault="0063543C" w:rsidP="0063543C">
      <w:pPr>
        <w:spacing w:after="120"/>
        <w:rPr>
          <w:rFonts w:asciiTheme="minorHAnsi" w:hAnsiTheme="minorHAnsi"/>
        </w:rPr>
      </w:pPr>
      <w:r>
        <w:rPr>
          <w:rFonts w:asciiTheme="minorHAnsi" w:hAnsiTheme="minorHAnsi"/>
        </w:rPr>
        <w:t>T</w:t>
      </w:r>
      <w:r w:rsidRPr="0063543C">
        <w:rPr>
          <w:rFonts w:asciiTheme="minorHAnsi" w:hAnsiTheme="minorHAnsi"/>
        </w:rPr>
        <w:t xml:space="preserve">his object </w:t>
      </w:r>
      <w:r w:rsidR="002A19DA">
        <w:rPr>
          <w:rFonts w:asciiTheme="minorHAnsi" w:hAnsiTheme="minorHAnsi"/>
        </w:rPr>
        <w:t xml:space="preserve">should </w:t>
      </w:r>
      <w:r w:rsidRPr="0063543C">
        <w:rPr>
          <w:rFonts w:asciiTheme="minorHAnsi" w:hAnsiTheme="minorHAnsi"/>
        </w:rPr>
        <w:t>be deleted.</w:t>
      </w:r>
    </w:p>
    <w:p w14:paraId="21A0040B" w14:textId="77777777" w:rsidR="0063543C" w:rsidRPr="0063543C" w:rsidRDefault="0063543C" w:rsidP="0063543C">
      <w:pPr>
        <w:spacing w:after="120"/>
        <w:rPr>
          <w:rFonts w:asciiTheme="minorHAnsi" w:hAnsiTheme="minorHAnsi"/>
          <w:b/>
        </w:rPr>
      </w:pPr>
      <w:r w:rsidRPr="0063543C">
        <w:rPr>
          <w:rFonts w:asciiTheme="minorHAnsi" w:hAnsiTheme="minorHAnsi"/>
          <w:b/>
        </w:rPr>
        <w:t>2.2</w:t>
      </w:r>
      <w:r w:rsidRPr="0063543C">
        <w:rPr>
          <w:rFonts w:asciiTheme="minorHAnsi" w:hAnsiTheme="minorHAnsi"/>
          <w:b/>
        </w:rPr>
        <w:tab/>
        <w:t>Complexity</w:t>
      </w:r>
    </w:p>
    <w:p w14:paraId="12C7EE4B" w14:textId="77777777" w:rsidR="0063543C" w:rsidRPr="0063543C" w:rsidRDefault="0063543C" w:rsidP="0063543C">
      <w:pPr>
        <w:spacing w:after="120"/>
        <w:rPr>
          <w:rFonts w:asciiTheme="minorHAnsi" w:hAnsiTheme="minorHAnsi"/>
        </w:rPr>
      </w:pPr>
      <w:r w:rsidRPr="0063543C">
        <w:rPr>
          <w:rFonts w:asciiTheme="minorHAnsi" w:hAnsiTheme="minorHAnsi"/>
        </w:rPr>
        <w:t>The Bill is framework legislation that leaves the substantive determination of legal rights and obligations to an array of entities. These include:</w:t>
      </w:r>
    </w:p>
    <w:p w14:paraId="1B0D73FD" w14:textId="77777777" w:rsidR="0063543C" w:rsidRPr="0063543C" w:rsidRDefault="0063543C" w:rsidP="0063543C">
      <w:pPr>
        <w:pStyle w:val="ListParagraph"/>
        <w:numPr>
          <w:ilvl w:val="0"/>
          <w:numId w:val="22"/>
        </w:numPr>
        <w:spacing w:after="120"/>
        <w:rPr>
          <w:rFonts w:asciiTheme="minorHAnsi" w:hAnsiTheme="minorHAnsi"/>
          <w:sz w:val="20"/>
          <w:szCs w:val="20"/>
        </w:rPr>
      </w:pPr>
      <w:r w:rsidRPr="0063543C">
        <w:rPr>
          <w:rFonts w:asciiTheme="minorHAnsi" w:hAnsiTheme="minorHAnsi"/>
          <w:sz w:val="20"/>
          <w:szCs w:val="20"/>
        </w:rPr>
        <w:t xml:space="preserve">the Minister - sectoral designation, determining what CDR data is, determining who a data holder is, determining who </w:t>
      </w:r>
      <w:r>
        <w:rPr>
          <w:rFonts w:asciiTheme="minorHAnsi" w:hAnsiTheme="minorHAnsi"/>
          <w:sz w:val="20"/>
          <w:szCs w:val="20"/>
        </w:rPr>
        <w:t>an accredited data recipient is</w:t>
      </w:r>
    </w:p>
    <w:p w14:paraId="6E2761FC" w14:textId="77777777" w:rsidR="0063543C" w:rsidRPr="0063543C" w:rsidRDefault="0063543C" w:rsidP="0063543C">
      <w:pPr>
        <w:pStyle w:val="ListParagraph"/>
        <w:numPr>
          <w:ilvl w:val="0"/>
          <w:numId w:val="22"/>
        </w:numPr>
        <w:spacing w:after="120"/>
        <w:rPr>
          <w:rFonts w:asciiTheme="minorHAnsi" w:hAnsiTheme="minorHAnsi"/>
          <w:sz w:val="20"/>
          <w:szCs w:val="20"/>
        </w:rPr>
      </w:pPr>
      <w:r w:rsidRPr="0063543C">
        <w:rPr>
          <w:rFonts w:asciiTheme="minorHAnsi" w:hAnsiTheme="minorHAnsi"/>
          <w:sz w:val="20"/>
          <w:szCs w:val="20"/>
        </w:rPr>
        <w:t xml:space="preserve">the ACCC - non-exhaustively, consulting with the Minister on sectoral designation, making the consumer data rules, determining whether the consumer data rules should not apply to particular persons, rules about reviews of decisions made under the consumer data rules, </w:t>
      </w:r>
      <w:proofErr w:type="gramStart"/>
      <w:r w:rsidRPr="0063543C">
        <w:rPr>
          <w:rFonts w:asciiTheme="minorHAnsi" w:hAnsiTheme="minorHAnsi"/>
          <w:sz w:val="20"/>
          <w:szCs w:val="20"/>
        </w:rPr>
        <w:t>determining  whether</w:t>
      </w:r>
      <w:proofErr w:type="gramEnd"/>
      <w:r w:rsidRPr="0063543C">
        <w:rPr>
          <w:rFonts w:asciiTheme="minorHAnsi" w:hAnsiTheme="minorHAnsi"/>
          <w:sz w:val="20"/>
          <w:szCs w:val="20"/>
        </w:rPr>
        <w:t xml:space="preserve"> particular consumer data rules are civil penalty provisions, determining access fees, enforcing data standards)</w:t>
      </w:r>
    </w:p>
    <w:p w14:paraId="77E6FFC6" w14:textId="77777777" w:rsidR="0063543C" w:rsidRPr="0063543C" w:rsidRDefault="0063543C" w:rsidP="0063543C">
      <w:pPr>
        <w:pStyle w:val="ListParagraph"/>
        <w:numPr>
          <w:ilvl w:val="0"/>
          <w:numId w:val="22"/>
        </w:numPr>
        <w:spacing w:after="120"/>
        <w:rPr>
          <w:rFonts w:asciiTheme="minorHAnsi" w:hAnsiTheme="minorHAnsi"/>
          <w:sz w:val="20"/>
          <w:szCs w:val="20"/>
        </w:rPr>
      </w:pPr>
      <w:r w:rsidRPr="0063543C">
        <w:rPr>
          <w:rFonts w:asciiTheme="minorHAnsi" w:hAnsiTheme="minorHAnsi"/>
          <w:sz w:val="20"/>
          <w:szCs w:val="20"/>
        </w:rPr>
        <w:t>the Data Recipient Accreditor (DRA) - making decisions to accredit persons under the consumer data rules</w:t>
      </w:r>
    </w:p>
    <w:p w14:paraId="73EF3940" w14:textId="77777777" w:rsidR="0063543C" w:rsidRPr="0063543C" w:rsidRDefault="0063543C" w:rsidP="0063543C">
      <w:pPr>
        <w:pStyle w:val="ListParagraph"/>
        <w:numPr>
          <w:ilvl w:val="0"/>
          <w:numId w:val="22"/>
        </w:numPr>
        <w:spacing w:after="120"/>
        <w:rPr>
          <w:rFonts w:asciiTheme="minorHAnsi" w:hAnsiTheme="minorHAnsi"/>
          <w:sz w:val="20"/>
          <w:szCs w:val="20"/>
        </w:rPr>
      </w:pPr>
      <w:r w:rsidRPr="0063543C">
        <w:rPr>
          <w:rFonts w:asciiTheme="minorHAnsi" w:hAnsiTheme="minorHAnsi"/>
          <w:sz w:val="20"/>
          <w:szCs w:val="20"/>
        </w:rPr>
        <w:t>an Accreditation Registrar (AR) - keeping and maintaining a register of accredited data recipients</w:t>
      </w:r>
    </w:p>
    <w:p w14:paraId="3B7442DD" w14:textId="77777777" w:rsidR="0063543C" w:rsidRPr="0063543C" w:rsidRDefault="0063543C" w:rsidP="0063543C">
      <w:pPr>
        <w:pStyle w:val="ListParagraph"/>
        <w:numPr>
          <w:ilvl w:val="0"/>
          <w:numId w:val="22"/>
        </w:numPr>
        <w:spacing w:after="120"/>
        <w:rPr>
          <w:rFonts w:asciiTheme="minorHAnsi" w:hAnsiTheme="minorHAnsi"/>
          <w:sz w:val="20"/>
          <w:szCs w:val="20"/>
        </w:rPr>
      </w:pPr>
      <w:r w:rsidRPr="0063543C">
        <w:rPr>
          <w:rFonts w:asciiTheme="minorHAnsi" w:hAnsiTheme="minorHAnsi"/>
          <w:sz w:val="20"/>
          <w:szCs w:val="20"/>
        </w:rPr>
        <w:t>the OAIC – producing guidelines relating to the privacy safeguards and undertaking awareness raising and educational programs, conducting assessments of the management and handling of CDR data, investigating breaches and undertaking enforcement activities</w:t>
      </w:r>
    </w:p>
    <w:p w14:paraId="7635E070" w14:textId="77777777" w:rsidR="0063543C" w:rsidRPr="0063543C" w:rsidRDefault="0063543C" w:rsidP="0063543C">
      <w:pPr>
        <w:pStyle w:val="ListParagraph"/>
        <w:numPr>
          <w:ilvl w:val="0"/>
          <w:numId w:val="22"/>
        </w:numPr>
        <w:spacing w:after="120"/>
        <w:rPr>
          <w:rFonts w:asciiTheme="minorHAnsi" w:hAnsiTheme="minorHAnsi"/>
          <w:sz w:val="20"/>
          <w:szCs w:val="20"/>
        </w:rPr>
      </w:pPr>
      <w:r w:rsidRPr="0063543C">
        <w:rPr>
          <w:rFonts w:asciiTheme="minorHAnsi" w:hAnsiTheme="minorHAnsi"/>
          <w:sz w:val="20"/>
          <w:szCs w:val="20"/>
        </w:rPr>
        <w:t>a Data Standards Body (DSB) – to determine and regularly review data standards, including the power to determine different standards for different sectors, different classes of CDR data, different classes of persons for a designated sector, different classes of accredited persons</w:t>
      </w:r>
    </w:p>
    <w:p w14:paraId="0BF025D2" w14:textId="7AB5BA05" w:rsidR="0063543C" w:rsidRPr="0063543C" w:rsidRDefault="0063543C" w:rsidP="0063543C">
      <w:pPr>
        <w:spacing w:after="120"/>
        <w:rPr>
          <w:rFonts w:asciiTheme="minorHAnsi" w:hAnsiTheme="minorHAnsi"/>
        </w:rPr>
      </w:pPr>
      <w:r w:rsidRPr="0063543C">
        <w:rPr>
          <w:rFonts w:asciiTheme="minorHAnsi" w:hAnsiTheme="minorHAnsi"/>
        </w:rPr>
        <w:t xml:space="preserve">This is an extraordinarily complex, </w:t>
      </w:r>
      <w:r w:rsidR="002A19DA">
        <w:rPr>
          <w:rFonts w:asciiTheme="minorHAnsi" w:hAnsiTheme="minorHAnsi"/>
        </w:rPr>
        <w:t>expensive and unwieldy</w:t>
      </w:r>
      <w:r w:rsidR="000E7F8E">
        <w:rPr>
          <w:rFonts w:asciiTheme="minorHAnsi" w:hAnsiTheme="minorHAnsi"/>
        </w:rPr>
        <w:t xml:space="preserve"> implementation of a</w:t>
      </w:r>
      <w:r w:rsidR="002A19DA">
        <w:rPr>
          <w:rFonts w:asciiTheme="minorHAnsi" w:hAnsiTheme="minorHAnsi"/>
        </w:rPr>
        <w:t xml:space="preserve"> straightforward concept</w:t>
      </w:r>
      <w:r w:rsidRPr="0063543C">
        <w:rPr>
          <w:rFonts w:asciiTheme="minorHAnsi" w:hAnsiTheme="minorHAnsi"/>
        </w:rPr>
        <w:t xml:space="preserve"> – enabling consumers to obtain their personal information in digital form and/or to direct it to be provided to a third party. </w:t>
      </w:r>
      <w:r w:rsidR="000137DB">
        <w:rPr>
          <w:rFonts w:asciiTheme="minorHAnsi" w:hAnsiTheme="minorHAnsi"/>
        </w:rPr>
        <w:t xml:space="preserve">It can also lead to </w:t>
      </w:r>
      <w:r w:rsidR="000E7F8E">
        <w:rPr>
          <w:rFonts w:asciiTheme="minorHAnsi" w:hAnsiTheme="minorHAnsi"/>
        </w:rPr>
        <w:t>perverse and absurd outcomes</w:t>
      </w:r>
      <w:r w:rsidR="000137DB">
        <w:rPr>
          <w:rFonts w:asciiTheme="minorHAnsi" w:hAnsiTheme="minorHAnsi"/>
        </w:rPr>
        <w:t>. For example, there is no automatic right for an indivi</w:t>
      </w:r>
      <w:r w:rsidR="000E7F8E">
        <w:rPr>
          <w:rFonts w:asciiTheme="minorHAnsi" w:hAnsiTheme="minorHAnsi"/>
        </w:rPr>
        <w:t>dual to receive his or her data unless accredited.</w:t>
      </w:r>
      <w:r w:rsidR="000137DB">
        <w:rPr>
          <w:rFonts w:asciiTheme="minorHAnsi" w:hAnsiTheme="minorHAnsi"/>
        </w:rPr>
        <w:t xml:space="preserve"> </w:t>
      </w:r>
    </w:p>
    <w:p w14:paraId="16E7A9F4" w14:textId="77777777" w:rsidR="002A19DA" w:rsidRDefault="0063543C" w:rsidP="0063543C">
      <w:pPr>
        <w:spacing w:after="120"/>
        <w:rPr>
          <w:rFonts w:asciiTheme="minorHAnsi" w:hAnsiTheme="minorHAnsi"/>
        </w:rPr>
      </w:pPr>
      <w:r w:rsidRPr="0063543C">
        <w:rPr>
          <w:rFonts w:asciiTheme="minorHAnsi" w:hAnsiTheme="minorHAnsi"/>
        </w:rPr>
        <w:t>This complexity appears to have been influenced by the UK’s approach to open banking. But there are significant differen</w:t>
      </w:r>
      <w:r w:rsidR="002A19DA">
        <w:rPr>
          <w:rFonts w:asciiTheme="minorHAnsi" w:hAnsiTheme="minorHAnsi"/>
        </w:rPr>
        <w:t>ces between it and the CDR. UK open banking is designed to</w:t>
      </w:r>
      <w:r w:rsidRPr="0063543C">
        <w:rPr>
          <w:rFonts w:asciiTheme="minorHAnsi" w:hAnsiTheme="minorHAnsi"/>
        </w:rPr>
        <w:t xml:space="preserve"> underpin payment requests </w:t>
      </w:r>
      <w:r w:rsidR="002A19DA">
        <w:rPr>
          <w:rFonts w:asciiTheme="minorHAnsi" w:hAnsiTheme="minorHAnsi"/>
        </w:rPr>
        <w:t>and remittances. Financial</w:t>
      </w:r>
      <w:r w:rsidRPr="0063543C">
        <w:rPr>
          <w:rFonts w:asciiTheme="minorHAnsi" w:hAnsiTheme="minorHAnsi"/>
        </w:rPr>
        <w:t xml:space="preserve"> institutions rightly need to know that they are being validly instructed to make payments and that the recipient meets minimum regulatory standards</w:t>
      </w:r>
      <w:r w:rsidR="002A19DA">
        <w:rPr>
          <w:rFonts w:asciiTheme="minorHAnsi" w:hAnsiTheme="minorHAnsi"/>
        </w:rPr>
        <w:t xml:space="preserve"> in a payment scheme</w:t>
      </w:r>
      <w:r w:rsidRPr="0063543C">
        <w:rPr>
          <w:rFonts w:asciiTheme="minorHAnsi" w:hAnsiTheme="minorHAnsi"/>
        </w:rPr>
        <w:t xml:space="preserve">. </w:t>
      </w:r>
      <w:r w:rsidR="002A19DA">
        <w:rPr>
          <w:rFonts w:asciiTheme="minorHAnsi" w:hAnsiTheme="minorHAnsi"/>
        </w:rPr>
        <w:t xml:space="preserve">The CDR does not establish a payment regime. </w:t>
      </w:r>
    </w:p>
    <w:p w14:paraId="506FC61D" w14:textId="77777777" w:rsidR="0063543C" w:rsidRPr="0063543C" w:rsidRDefault="0063543C" w:rsidP="0063543C">
      <w:pPr>
        <w:spacing w:after="120"/>
        <w:rPr>
          <w:rFonts w:asciiTheme="minorHAnsi" w:hAnsiTheme="minorHAnsi"/>
        </w:rPr>
      </w:pPr>
      <w:r w:rsidRPr="0063543C">
        <w:rPr>
          <w:rFonts w:asciiTheme="minorHAnsi" w:hAnsiTheme="minorHAnsi"/>
        </w:rPr>
        <w:t xml:space="preserve">The </w:t>
      </w:r>
      <w:r w:rsidR="002A19DA">
        <w:rPr>
          <w:rFonts w:asciiTheme="minorHAnsi" w:hAnsiTheme="minorHAnsi"/>
        </w:rPr>
        <w:t>complexity of UK open banking has led to</w:t>
      </w:r>
      <w:r w:rsidRPr="0063543C">
        <w:rPr>
          <w:rFonts w:asciiTheme="minorHAnsi" w:hAnsiTheme="minorHAnsi"/>
        </w:rPr>
        <w:t xml:space="preserve"> substantial delays in obtaining regulatory approvals and significant entry costs for new parti</w:t>
      </w:r>
      <w:r w:rsidR="000137DB">
        <w:rPr>
          <w:rFonts w:asciiTheme="minorHAnsi" w:hAnsiTheme="minorHAnsi"/>
        </w:rPr>
        <w:t>cipants which are in the vicinity of</w:t>
      </w:r>
      <w:r w:rsidRPr="0063543C">
        <w:rPr>
          <w:rFonts w:asciiTheme="minorHAnsi" w:hAnsiTheme="minorHAnsi"/>
        </w:rPr>
        <w:t xml:space="preserve"> £20,000.</w:t>
      </w:r>
    </w:p>
    <w:p w14:paraId="6B102385" w14:textId="77777777" w:rsidR="0063543C" w:rsidRPr="0063543C" w:rsidRDefault="0063543C" w:rsidP="0063543C">
      <w:pPr>
        <w:spacing w:after="120"/>
        <w:rPr>
          <w:rFonts w:asciiTheme="minorHAnsi" w:hAnsiTheme="minorHAnsi"/>
        </w:rPr>
      </w:pPr>
      <w:r w:rsidRPr="0063543C">
        <w:rPr>
          <w:rFonts w:asciiTheme="minorHAnsi" w:hAnsiTheme="minorHAnsi"/>
        </w:rPr>
        <w:t>Despite this the Bill says little about how the discretionary powers it confers on such a broad array of actors are to be exercised or limited. For example, it provides no direction to the DSB, which appears free to develop standards such as security standards that are impossible or impracticable for new market entrants to meet</w:t>
      </w:r>
      <w:r w:rsidR="000137DB">
        <w:rPr>
          <w:rFonts w:asciiTheme="minorHAnsi" w:hAnsiTheme="minorHAnsi"/>
        </w:rPr>
        <w:t>. It does not have to comply with any timelines.</w:t>
      </w:r>
      <w:r w:rsidRPr="0063543C">
        <w:rPr>
          <w:rFonts w:asciiTheme="minorHAnsi" w:hAnsiTheme="minorHAnsi"/>
        </w:rPr>
        <w:t xml:space="preserve"> The only discreti</w:t>
      </w:r>
      <w:r w:rsidR="000137DB">
        <w:rPr>
          <w:rFonts w:asciiTheme="minorHAnsi" w:hAnsiTheme="minorHAnsi"/>
        </w:rPr>
        <w:t>onary guidance in the Bill is</w:t>
      </w:r>
      <w:r w:rsidRPr="0063543C">
        <w:rPr>
          <w:rFonts w:asciiTheme="minorHAnsi" w:hAnsiTheme="minorHAnsi"/>
        </w:rPr>
        <w:t xml:space="preserve"> cl 56AD which applies to Ministerial sectoral designations (and by extension to ACCC consultation).</w:t>
      </w:r>
    </w:p>
    <w:p w14:paraId="652F8F1D" w14:textId="77777777" w:rsidR="0063543C" w:rsidRPr="0063543C" w:rsidRDefault="000137DB" w:rsidP="0063543C">
      <w:pPr>
        <w:spacing w:after="120"/>
        <w:rPr>
          <w:rFonts w:asciiTheme="minorHAnsi" w:hAnsiTheme="minorHAnsi"/>
        </w:rPr>
      </w:pPr>
      <w:r>
        <w:rPr>
          <w:rFonts w:asciiTheme="minorHAnsi" w:hAnsiTheme="minorHAnsi"/>
        </w:rPr>
        <w:lastRenderedPageBreak/>
        <w:t>M</w:t>
      </w:r>
      <w:r w:rsidR="0063543C" w:rsidRPr="0063543C">
        <w:rPr>
          <w:rFonts w:asciiTheme="minorHAnsi" w:hAnsiTheme="minorHAnsi"/>
        </w:rPr>
        <w:t>uch of the Bill’s complexity could be remedied – and its policy objectives better achieved - by:</w:t>
      </w:r>
    </w:p>
    <w:p w14:paraId="6C9237A7" w14:textId="77777777" w:rsidR="0063543C" w:rsidRPr="0063543C" w:rsidRDefault="0063543C" w:rsidP="0063543C">
      <w:pPr>
        <w:pStyle w:val="ListParagraph"/>
        <w:numPr>
          <w:ilvl w:val="0"/>
          <w:numId w:val="23"/>
        </w:numPr>
        <w:spacing w:after="120"/>
        <w:rPr>
          <w:rFonts w:asciiTheme="minorHAnsi" w:hAnsiTheme="minorHAnsi"/>
          <w:sz w:val="20"/>
          <w:szCs w:val="20"/>
        </w:rPr>
      </w:pPr>
      <w:r w:rsidRPr="0063543C">
        <w:rPr>
          <w:rFonts w:asciiTheme="minorHAnsi" w:hAnsiTheme="minorHAnsi"/>
          <w:sz w:val="20"/>
          <w:szCs w:val="20"/>
        </w:rPr>
        <w:t>removing sectoral designation and applying the CDR across all of the private sector</w:t>
      </w:r>
    </w:p>
    <w:p w14:paraId="406E05FE" w14:textId="4E57E3DE" w:rsidR="0063543C" w:rsidRPr="0063543C" w:rsidRDefault="0063543C" w:rsidP="0063543C">
      <w:pPr>
        <w:pStyle w:val="ListParagraph"/>
        <w:numPr>
          <w:ilvl w:val="0"/>
          <w:numId w:val="23"/>
        </w:numPr>
        <w:spacing w:after="120"/>
        <w:rPr>
          <w:rFonts w:asciiTheme="minorHAnsi" w:hAnsiTheme="minorHAnsi"/>
          <w:sz w:val="20"/>
          <w:szCs w:val="20"/>
        </w:rPr>
      </w:pPr>
      <w:r w:rsidRPr="0063543C">
        <w:rPr>
          <w:rFonts w:asciiTheme="minorHAnsi" w:hAnsiTheme="minorHAnsi"/>
          <w:sz w:val="20"/>
          <w:szCs w:val="20"/>
        </w:rPr>
        <w:t xml:space="preserve">developing data standards </w:t>
      </w:r>
      <w:r w:rsidRPr="0063543C">
        <w:rPr>
          <w:rFonts w:asciiTheme="minorHAnsi" w:hAnsiTheme="minorHAnsi"/>
          <w:i/>
          <w:sz w:val="20"/>
          <w:szCs w:val="20"/>
        </w:rPr>
        <w:t xml:space="preserve">before </w:t>
      </w:r>
      <w:r w:rsidRPr="0063543C">
        <w:rPr>
          <w:rFonts w:asciiTheme="minorHAnsi" w:hAnsiTheme="minorHAnsi"/>
          <w:sz w:val="20"/>
          <w:szCs w:val="20"/>
        </w:rPr>
        <w:t>the CDR comes into effect and establishing effective and simplified means by w</w:t>
      </w:r>
      <w:r w:rsidR="000E7F8E">
        <w:rPr>
          <w:rFonts w:asciiTheme="minorHAnsi" w:hAnsiTheme="minorHAnsi"/>
          <w:sz w:val="20"/>
          <w:szCs w:val="20"/>
        </w:rPr>
        <w:t>hich recipients can be accredited as well as ensuring that individuals who seek to access their data do not need to be accredited</w:t>
      </w:r>
    </w:p>
    <w:p w14:paraId="57E8B2B8" w14:textId="77777777" w:rsidR="0063543C" w:rsidRPr="0063543C" w:rsidRDefault="0063543C" w:rsidP="0063543C">
      <w:pPr>
        <w:pStyle w:val="ListParagraph"/>
        <w:numPr>
          <w:ilvl w:val="0"/>
          <w:numId w:val="23"/>
        </w:numPr>
        <w:spacing w:after="120"/>
        <w:rPr>
          <w:rFonts w:asciiTheme="minorHAnsi" w:hAnsiTheme="minorHAnsi"/>
          <w:sz w:val="20"/>
          <w:szCs w:val="20"/>
        </w:rPr>
      </w:pPr>
      <w:r w:rsidRPr="0063543C">
        <w:rPr>
          <w:rFonts w:asciiTheme="minorHAnsi" w:hAnsiTheme="minorHAnsi"/>
          <w:sz w:val="20"/>
          <w:szCs w:val="20"/>
        </w:rPr>
        <w:t>embodying the consumer data rules in the Bill or removing them entirely and relying on the APPs</w:t>
      </w:r>
    </w:p>
    <w:p w14:paraId="151D27B2" w14:textId="77777777" w:rsidR="0063543C" w:rsidRDefault="0063543C" w:rsidP="0063543C">
      <w:pPr>
        <w:pStyle w:val="ListParagraph"/>
        <w:numPr>
          <w:ilvl w:val="0"/>
          <w:numId w:val="23"/>
        </w:numPr>
        <w:spacing w:after="120"/>
        <w:rPr>
          <w:rFonts w:asciiTheme="minorHAnsi" w:hAnsiTheme="minorHAnsi"/>
          <w:sz w:val="20"/>
          <w:szCs w:val="20"/>
        </w:rPr>
      </w:pPr>
      <w:r w:rsidRPr="0063543C">
        <w:rPr>
          <w:rFonts w:asciiTheme="minorHAnsi" w:hAnsiTheme="minorHAnsi"/>
          <w:sz w:val="20"/>
          <w:szCs w:val="20"/>
        </w:rPr>
        <w:t>removing the privacy safeguards and relying instead on the APPs (suitably amended to adopt the Bill’s definition of ‘personal information’).</w:t>
      </w:r>
    </w:p>
    <w:p w14:paraId="4C5F830C" w14:textId="77777777" w:rsidR="0063543C" w:rsidRPr="0063543C" w:rsidRDefault="0063543C" w:rsidP="0063543C">
      <w:pPr>
        <w:spacing w:after="120"/>
        <w:rPr>
          <w:rFonts w:asciiTheme="minorHAnsi" w:hAnsiTheme="minorHAnsi"/>
          <w:b/>
        </w:rPr>
      </w:pPr>
      <w:r w:rsidRPr="0063543C">
        <w:rPr>
          <w:rFonts w:asciiTheme="minorHAnsi" w:hAnsiTheme="minorHAnsi"/>
          <w:b/>
        </w:rPr>
        <w:t>2.3</w:t>
      </w:r>
      <w:r w:rsidRPr="0063543C">
        <w:rPr>
          <w:rFonts w:asciiTheme="minorHAnsi" w:hAnsiTheme="minorHAnsi"/>
          <w:b/>
        </w:rPr>
        <w:tab/>
        <w:t>Inappropriate conferral of powers</w:t>
      </w:r>
    </w:p>
    <w:p w14:paraId="07333556" w14:textId="2935B0F7" w:rsidR="0063543C" w:rsidRPr="0063543C" w:rsidRDefault="0063543C" w:rsidP="0063543C">
      <w:pPr>
        <w:spacing w:after="120"/>
        <w:rPr>
          <w:rFonts w:asciiTheme="minorHAnsi" w:hAnsiTheme="minorHAnsi"/>
        </w:rPr>
      </w:pPr>
      <w:r w:rsidRPr="0063543C">
        <w:rPr>
          <w:rFonts w:asciiTheme="minorHAnsi" w:hAnsiTheme="minorHAnsi"/>
        </w:rPr>
        <w:t>As outlined in paragraph 2.2, the ACCC is given responsibility for establishing laws and rules, regulating them and enforcing them. This is an inappropriate mixing of functions</w:t>
      </w:r>
      <w:r w:rsidR="000E7F8E">
        <w:rPr>
          <w:rFonts w:asciiTheme="minorHAnsi" w:hAnsiTheme="minorHAnsi"/>
        </w:rPr>
        <w:t>. It</w:t>
      </w:r>
      <w:r w:rsidRPr="0063543C">
        <w:rPr>
          <w:rFonts w:asciiTheme="minorHAnsi" w:hAnsiTheme="minorHAnsi"/>
        </w:rPr>
        <w:t xml:space="preserve"> amounts to an unmanageable confli</w:t>
      </w:r>
      <w:r w:rsidR="000E7F8E">
        <w:rPr>
          <w:rFonts w:asciiTheme="minorHAnsi" w:hAnsiTheme="minorHAnsi"/>
        </w:rPr>
        <w:t>ct of interest</w:t>
      </w:r>
      <w:r w:rsidRPr="0063543C">
        <w:rPr>
          <w:rFonts w:asciiTheme="minorHAnsi" w:hAnsiTheme="minorHAnsi"/>
        </w:rPr>
        <w:t>. It is not unlike empowering law enforcement agencies to determine the criminal law as well as investigating and prosecuting breaches.</w:t>
      </w:r>
    </w:p>
    <w:p w14:paraId="3E69D266" w14:textId="77777777" w:rsidR="0063543C" w:rsidRPr="0063543C" w:rsidRDefault="0063543C" w:rsidP="0063543C">
      <w:pPr>
        <w:spacing w:after="120"/>
        <w:rPr>
          <w:rFonts w:asciiTheme="minorHAnsi" w:hAnsiTheme="minorHAnsi"/>
          <w:b/>
        </w:rPr>
      </w:pPr>
      <w:r w:rsidRPr="0063543C">
        <w:rPr>
          <w:rFonts w:asciiTheme="minorHAnsi" w:hAnsiTheme="minorHAnsi"/>
          <w:b/>
        </w:rPr>
        <w:t>2.4</w:t>
      </w:r>
      <w:r w:rsidRPr="0063543C">
        <w:rPr>
          <w:rFonts w:asciiTheme="minorHAnsi" w:hAnsiTheme="minorHAnsi"/>
          <w:b/>
        </w:rPr>
        <w:tab/>
        <w:t>Governance</w:t>
      </w:r>
    </w:p>
    <w:p w14:paraId="7CB9604D" w14:textId="77777777" w:rsidR="0063543C" w:rsidRPr="0063543C" w:rsidRDefault="0063543C" w:rsidP="0063543C">
      <w:pPr>
        <w:spacing w:after="120"/>
        <w:rPr>
          <w:rFonts w:asciiTheme="minorHAnsi" w:hAnsiTheme="minorHAnsi"/>
        </w:rPr>
      </w:pPr>
      <w:r w:rsidRPr="0063543C">
        <w:rPr>
          <w:rFonts w:asciiTheme="minorHAnsi" w:hAnsiTheme="minorHAnsi"/>
        </w:rPr>
        <w:t xml:space="preserve">Although the Bill establishes new offices and functions (such as the DRA) and confers new and additional functions on a variety of offices and existing organisations (such as the ACCC and the OAIC), there is no provision for governance and oversight of the CDR scheme </w:t>
      </w:r>
      <w:r w:rsidRPr="0063543C">
        <w:rPr>
          <w:rFonts w:asciiTheme="minorHAnsi" w:hAnsiTheme="minorHAnsi"/>
          <w:i/>
        </w:rPr>
        <w:t>as a whole.</w:t>
      </w:r>
      <w:r w:rsidRPr="0063543C">
        <w:rPr>
          <w:rFonts w:asciiTheme="minorHAnsi" w:hAnsiTheme="minorHAnsi"/>
        </w:rPr>
        <w:t xml:space="preserve"> </w:t>
      </w:r>
    </w:p>
    <w:p w14:paraId="19D9F4B8" w14:textId="2CEA0E49" w:rsidR="0032028A" w:rsidRDefault="0063543C" w:rsidP="0063543C">
      <w:pPr>
        <w:spacing w:after="120"/>
        <w:rPr>
          <w:rFonts w:asciiTheme="minorHAnsi" w:hAnsiTheme="minorHAnsi"/>
        </w:rPr>
      </w:pPr>
      <w:r w:rsidRPr="0063543C">
        <w:rPr>
          <w:rFonts w:asciiTheme="minorHAnsi" w:hAnsiTheme="minorHAnsi"/>
        </w:rPr>
        <w:t>As currently configured, responsibility for key issues such as overseeing the effectiveness of the CDR scheme, assessing whether it is achieving its goals, whether it is delivering value for money, that risks are properly identified and addressed, and that it operates in a way that minimises friction between participa</w:t>
      </w:r>
      <w:r w:rsidR="000E7F8E">
        <w:rPr>
          <w:rFonts w:asciiTheme="minorHAnsi" w:hAnsiTheme="minorHAnsi"/>
        </w:rPr>
        <w:t>n</w:t>
      </w:r>
      <w:r w:rsidRPr="0063543C">
        <w:rPr>
          <w:rFonts w:asciiTheme="minorHAnsi" w:hAnsiTheme="minorHAnsi"/>
        </w:rPr>
        <w:t>t</w:t>
      </w:r>
      <w:r w:rsidR="000E7F8E">
        <w:rPr>
          <w:rFonts w:asciiTheme="minorHAnsi" w:hAnsiTheme="minorHAnsi"/>
        </w:rPr>
        <w:t>s</w:t>
      </w:r>
      <w:r w:rsidR="00D951F8">
        <w:rPr>
          <w:rFonts w:asciiTheme="minorHAnsi" w:hAnsiTheme="minorHAnsi"/>
        </w:rPr>
        <w:t xml:space="preserve"> is not covered by</w:t>
      </w:r>
      <w:r w:rsidR="002A62C5">
        <w:rPr>
          <w:rFonts w:asciiTheme="minorHAnsi" w:hAnsiTheme="minorHAnsi"/>
        </w:rPr>
        <w:t xml:space="preserve"> the CDR Bill.</w:t>
      </w:r>
      <w:bookmarkStart w:id="0" w:name="_GoBack"/>
      <w:bookmarkEnd w:id="0"/>
      <w:r w:rsidRPr="0063543C">
        <w:rPr>
          <w:rFonts w:asciiTheme="minorHAnsi" w:hAnsiTheme="minorHAnsi"/>
        </w:rPr>
        <w:t xml:space="preserve"> </w:t>
      </w:r>
    </w:p>
    <w:p w14:paraId="34FED7B3" w14:textId="77777777" w:rsidR="0032028A" w:rsidRDefault="0063543C" w:rsidP="0063543C">
      <w:pPr>
        <w:spacing w:after="120"/>
        <w:rPr>
          <w:rFonts w:asciiTheme="minorHAnsi" w:hAnsiTheme="minorHAnsi"/>
        </w:rPr>
      </w:pPr>
      <w:r w:rsidRPr="0063543C">
        <w:rPr>
          <w:rFonts w:asciiTheme="minorHAnsi" w:hAnsiTheme="minorHAnsi"/>
        </w:rPr>
        <w:t>Each of the main government participants in the scheme are subject to mandated functions and responsibilities, for example in rela</w:t>
      </w:r>
      <w:r w:rsidR="0032028A">
        <w:rPr>
          <w:rFonts w:asciiTheme="minorHAnsi" w:hAnsiTheme="minorHAnsi"/>
        </w:rPr>
        <w:t>tion to competition outcomes and</w:t>
      </w:r>
      <w:r w:rsidRPr="0063543C">
        <w:rPr>
          <w:rFonts w:asciiTheme="minorHAnsi" w:hAnsiTheme="minorHAnsi"/>
        </w:rPr>
        <w:t xml:space="preserve"> privacy protection</w:t>
      </w:r>
      <w:r w:rsidR="0032028A">
        <w:rPr>
          <w:rFonts w:asciiTheme="minorHAnsi" w:hAnsiTheme="minorHAnsi"/>
        </w:rPr>
        <w:t>s such as disclosure, use and the security of CDR data</w:t>
      </w:r>
      <w:r w:rsidRPr="0063543C">
        <w:rPr>
          <w:rFonts w:asciiTheme="minorHAnsi" w:hAnsiTheme="minorHAnsi"/>
        </w:rPr>
        <w:t xml:space="preserve">. </w:t>
      </w:r>
      <w:r w:rsidR="0032028A">
        <w:rPr>
          <w:rFonts w:asciiTheme="minorHAnsi" w:hAnsiTheme="minorHAnsi"/>
        </w:rPr>
        <w:t>Some of these are overlapping powers. There is no mechanism for coordinating these.</w:t>
      </w:r>
    </w:p>
    <w:p w14:paraId="0275A032" w14:textId="127AB3FD" w:rsidR="0063543C" w:rsidRPr="0063543C" w:rsidRDefault="0063543C" w:rsidP="0063543C">
      <w:pPr>
        <w:spacing w:after="120"/>
        <w:rPr>
          <w:rFonts w:asciiTheme="minorHAnsi" w:hAnsiTheme="minorHAnsi"/>
        </w:rPr>
      </w:pPr>
      <w:r w:rsidRPr="0063543C">
        <w:rPr>
          <w:rFonts w:asciiTheme="minorHAnsi" w:hAnsiTheme="minorHAnsi"/>
        </w:rPr>
        <w:t>It is recommended that the Bill be amended to establish an office, independent of each of the government participants, whose role is to undertake these functions, to receive comments and complaints</w:t>
      </w:r>
      <w:r w:rsidR="0032028A">
        <w:rPr>
          <w:rFonts w:asciiTheme="minorHAnsi" w:hAnsiTheme="minorHAnsi"/>
        </w:rPr>
        <w:t>, provide coordination</w:t>
      </w:r>
      <w:r w:rsidRPr="0063543C">
        <w:rPr>
          <w:rFonts w:asciiTheme="minorHAnsi" w:hAnsiTheme="minorHAnsi"/>
        </w:rPr>
        <w:t xml:space="preserve"> and to provide public reports on a regular basis on the operation and effectiveness of the scheme.</w:t>
      </w:r>
    </w:p>
    <w:p w14:paraId="428B4715" w14:textId="5C6B854E" w:rsidR="00541A43" w:rsidRDefault="00541A43" w:rsidP="0063543C">
      <w:pPr>
        <w:spacing w:after="120"/>
        <w:rPr>
          <w:rFonts w:asciiTheme="minorHAnsi" w:hAnsiTheme="minorHAnsi"/>
          <w:b/>
        </w:rPr>
      </w:pPr>
      <w:r>
        <w:rPr>
          <w:rFonts w:asciiTheme="minorHAnsi" w:hAnsiTheme="minorHAnsi"/>
          <w:b/>
        </w:rPr>
        <w:t>2.5</w:t>
      </w:r>
      <w:r>
        <w:rPr>
          <w:rFonts w:asciiTheme="minorHAnsi" w:hAnsiTheme="minorHAnsi"/>
          <w:b/>
        </w:rPr>
        <w:tab/>
        <w:t>A corporate right to privacy?</w:t>
      </w:r>
    </w:p>
    <w:p w14:paraId="7432D03C" w14:textId="68607D5C" w:rsidR="00541A43" w:rsidRDefault="00541A43" w:rsidP="0063543C">
      <w:pPr>
        <w:spacing w:after="120"/>
        <w:rPr>
          <w:rFonts w:asciiTheme="minorHAnsi" w:hAnsiTheme="minorHAnsi"/>
        </w:rPr>
      </w:pPr>
      <w:r>
        <w:rPr>
          <w:rFonts w:asciiTheme="minorHAnsi" w:hAnsiTheme="minorHAnsi"/>
        </w:rPr>
        <w:t xml:space="preserve">A right to privacy is an </w:t>
      </w:r>
      <w:r>
        <w:rPr>
          <w:rFonts w:asciiTheme="minorHAnsi" w:hAnsiTheme="minorHAnsi"/>
          <w:i/>
        </w:rPr>
        <w:t xml:space="preserve">individual </w:t>
      </w:r>
      <w:r>
        <w:rPr>
          <w:rFonts w:asciiTheme="minorHAnsi" w:hAnsiTheme="minorHAnsi"/>
        </w:rPr>
        <w:t xml:space="preserve">not a corporate or business right yet cl 56AD(1)(a)(iii) refers to a requirement that the Minister, in making sectoral designations, must have regard to ‘the privacy of consumers, whether the consumers be individuals </w:t>
      </w:r>
      <w:r>
        <w:rPr>
          <w:rFonts w:asciiTheme="minorHAnsi" w:hAnsiTheme="minorHAnsi"/>
          <w:i/>
        </w:rPr>
        <w:t xml:space="preserve">or other persons such as businesses’ </w:t>
      </w:r>
      <w:r>
        <w:rPr>
          <w:rFonts w:asciiTheme="minorHAnsi" w:hAnsiTheme="minorHAnsi"/>
        </w:rPr>
        <w:t>(emphasis added).</w:t>
      </w:r>
    </w:p>
    <w:p w14:paraId="4C8D6B76" w14:textId="5CEDD4E0" w:rsidR="00541A43" w:rsidRDefault="00541A43" w:rsidP="0063543C">
      <w:pPr>
        <w:spacing w:after="120"/>
        <w:rPr>
          <w:rFonts w:asciiTheme="minorHAnsi" w:hAnsiTheme="minorHAnsi"/>
        </w:rPr>
      </w:pPr>
      <w:r>
        <w:rPr>
          <w:rFonts w:asciiTheme="minorHAnsi" w:hAnsiTheme="minorHAnsi"/>
        </w:rPr>
        <w:t>It is inappropriate to include a provision that appears to confer privacy rights on corporations such as Australia’s banks. The CDR is designed to serve individual</w:t>
      </w:r>
      <w:r w:rsidR="0032028A">
        <w:rPr>
          <w:rFonts w:asciiTheme="minorHAnsi" w:hAnsiTheme="minorHAnsi"/>
        </w:rPr>
        <w:t>, not corporate interests. Consumer rights</w:t>
      </w:r>
      <w:r>
        <w:rPr>
          <w:rFonts w:asciiTheme="minorHAnsi" w:hAnsiTheme="minorHAnsi"/>
        </w:rPr>
        <w:t xml:space="preserve"> will be weakened by requiring discretionary decision-making to take account of a corporate right that does not otherwise exist</w:t>
      </w:r>
      <w:r w:rsidR="0032028A">
        <w:rPr>
          <w:rFonts w:asciiTheme="minorHAnsi" w:hAnsiTheme="minorHAnsi"/>
        </w:rPr>
        <w:t xml:space="preserve"> in Australia or anywhere else in the world</w:t>
      </w:r>
      <w:r>
        <w:rPr>
          <w:rFonts w:asciiTheme="minorHAnsi" w:hAnsiTheme="minorHAnsi"/>
        </w:rPr>
        <w:t xml:space="preserve">. </w:t>
      </w:r>
      <w:r w:rsidR="00106FC5">
        <w:rPr>
          <w:rFonts w:asciiTheme="minorHAnsi" w:hAnsiTheme="minorHAnsi"/>
        </w:rPr>
        <w:t>There is nothing in any of the policy analysis or material that supports</w:t>
      </w:r>
      <w:r w:rsidR="0032028A">
        <w:rPr>
          <w:rFonts w:asciiTheme="minorHAnsi" w:hAnsiTheme="minorHAnsi"/>
        </w:rPr>
        <w:t xml:space="preserve"> a corporate</w:t>
      </w:r>
      <w:r w:rsidR="00106FC5">
        <w:rPr>
          <w:rFonts w:asciiTheme="minorHAnsi" w:hAnsiTheme="minorHAnsi"/>
        </w:rPr>
        <w:t xml:space="preserve"> right</w:t>
      </w:r>
      <w:r w:rsidR="0032028A">
        <w:rPr>
          <w:rFonts w:asciiTheme="minorHAnsi" w:hAnsiTheme="minorHAnsi"/>
        </w:rPr>
        <w:t xml:space="preserve"> to privacy</w:t>
      </w:r>
      <w:r w:rsidR="00106FC5">
        <w:rPr>
          <w:rFonts w:asciiTheme="minorHAnsi" w:hAnsiTheme="minorHAnsi"/>
        </w:rPr>
        <w:t>.</w:t>
      </w:r>
    </w:p>
    <w:p w14:paraId="3226B63F" w14:textId="7B90EB11" w:rsidR="00106FC5" w:rsidRPr="00541A43" w:rsidRDefault="00106FC5" w:rsidP="0063543C">
      <w:pPr>
        <w:spacing w:after="120"/>
        <w:rPr>
          <w:rFonts w:asciiTheme="minorHAnsi" w:hAnsiTheme="minorHAnsi"/>
        </w:rPr>
      </w:pPr>
      <w:r>
        <w:rPr>
          <w:rFonts w:asciiTheme="minorHAnsi" w:hAnsiTheme="minorHAnsi"/>
        </w:rPr>
        <w:t>Clause 56AD(1)(a)(iii) should be amended by removing the words ‘consumers, whether the consumers be individuals or other persons such as businesses’ and replacing them with ‘individuals.’</w:t>
      </w:r>
    </w:p>
    <w:p w14:paraId="758F61D2" w14:textId="4837EF6D" w:rsidR="0063543C" w:rsidRPr="0063543C" w:rsidRDefault="00541A43" w:rsidP="0063543C">
      <w:pPr>
        <w:spacing w:after="120"/>
        <w:rPr>
          <w:rFonts w:asciiTheme="minorHAnsi" w:hAnsiTheme="minorHAnsi"/>
          <w:b/>
        </w:rPr>
      </w:pPr>
      <w:r>
        <w:rPr>
          <w:rFonts w:asciiTheme="minorHAnsi" w:hAnsiTheme="minorHAnsi"/>
          <w:b/>
        </w:rPr>
        <w:t>2.6</w:t>
      </w:r>
      <w:r w:rsidR="0063543C" w:rsidRPr="0063543C">
        <w:rPr>
          <w:rFonts w:asciiTheme="minorHAnsi" w:hAnsiTheme="minorHAnsi"/>
          <w:b/>
        </w:rPr>
        <w:tab/>
        <w:t>Big Data</w:t>
      </w:r>
    </w:p>
    <w:p w14:paraId="18A8B652" w14:textId="77777777" w:rsidR="0063543C" w:rsidRPr="0063543C" w:rsidRDefault="0063543C" w:rsidP="0063543C">
      <w:pPr>
        <w:spacing w:after="120"/>
        <w:rPr>
          <w:rFonts w:asciiTheme="minorHAnsi" w:hAnsiTheme="minorHAnsi"/>
        </w:rPr>
      </w:pPr>
      <w:r w:rsidRPr="0063543C">
        <w:rPr>
          <w:rFonts w:asciiTheme="minorHAnsi" w:hAnsiTheme="minorHAnsi"/>
        </w:rPr>
        <w:t xml:space="preserve">Although neither the Bill nor the associated explanatory materials explicitly refer to it, the CDR is designed to fuel Big Data. It will be responsible for the widespread circulation of personal and other information in machine readable form that can be used by advanced data analytics to profile consumers, draw conclusions </w:t>
      </w:r>
      <w:r w:rsidRPr="0063543C">
        <w:rPr>
          <w:rFonts w:asciiTheme="minorHAnsi" w:hAnsiTheme="minorHAnsi"/>
        </w:rPr>
        <w:lastRenderedPageBreak/>
        <w:t xml:space="preserve">about them from multiple sets of data correlations and pattern recognition techniques and to manipulate their preferences and behaviours. </w:t>
      </w:r>
    </w:p>
    <w:p w14:paraId="1B672A1A" w14:textId="77777777" w:rsidR="0063543C" w:rsidRPr="0063543C" w:rsidRDefault="0063543C" w:rsidP="0063543C">
      <w:pPr>
        <w:spacing w:after="120"/>
        <w:rPr>
          <w:rFonts w:asciiTheme="minorHAnsi" w:hAnsiTheme="minorHAnsi"/>
        </w:rPr>
      </w:pPr>
      <w:r w:rsidRPr="0063543C">
        <w:rPr>
          <w:rFonts w:asciiTheme="minorHAnsi" w:hAnsiTheme="minorHAnsi"/>
        </w:rPr>
        <w:t xml:space="preserve">This is likely to occur using the data put in to circulation by the CDR in its own right or in combination with data obtained by other means, almost certainly using sources that include social media, search data, location data, preferences and meta data. </w:t>
      </w:r>
    </w:p>
    <w:p w14:paraId="5FC6F7C4" w14:textId="77777777" w:rsidR="0063543C" w:rsidRPr="0063543C" w:rsidRDefault="0063543C" w:rsidP="0063543C">
      <w:pPr>
        <w:spacing w:after="120"/>
        <w:rPr>
          <w:rFonts w:asciiTheme="minorHAnsi" w:hAnsiTheme="minorHAnsi"/>
        </w:rPr>
      </w:pPr>
      <w:r w:rsidRPr="0063543C">
        <w:rPr>
          <w:rFonts w:asciiTheme="minorHAnsi" w:hAnsiTheme="minorHAnsi"/>
        </w:rPr>
        <w:t>Participants in these techniques will almost certainly include corporations located outside Australia such as Facebook (which currently offers financial services through its WhatsApp application in certain territories) and that are, despite the accreditation regime outlined in the Bill, for all practical purposes beyond the regulatory capability and capacity of any of the entities vested with responsibility to oversee and administer the CDR.</w:t>
      </w:r>
    </w:p>
    <w:p w14:paraId="6F1C0F9D" w14:textId="77777777" w:rsidR="0063543C" w:rsidRPr="0063543C" w:rsidRDefault="0063543C" w:rsidP="0063543C">
      <w:pPr>
        <w:spacing w:after="120"/>
        <w:rPr>
          <w:rFonts w:asciiTheme="minorHAnsi" w:hAnsiTheme="minorHAnsi"/>
        </w:rPr>
      </w:pPr>
      <w:r w:rsidRPr="0063543C">
        <w:rPr>
          <w:rFonts w:asciiTheme="minorHAnsi" w:hAnsiTheme="minorHAnsi"/>
        </w:rPr>
        <w:t>Unlike the EU’s data portability regime, Australia has not developed sufficient or appropriate safeguards to enable consumers to manage these risks. For example, EU data portability is accompanied by a right under Article 22 of the GDPR that enables individuals to opt out of automated decision-making. Every member country of the OECD other than Australia has some form of ‘anchoring’ rights such as enforceable human rights obligations that support privacy and/or civil law actions for privacy infringement.</w:t>
      </w:r>
    </w:p>
    <w:p w14:paraId="228FEC14" w14:textId="2E4DC337" w:rsidR="0063543C" w:rsidRPr="0063543C" w:rsidRDefault="0063543C" w:rsidP="0063543C">
      <w:pPr>
        <w:spacing w:after="120"/>
        <w:rPr>
          <w:rFonts w:asciiTheme="minorHAnsi" w:hAnsiTheme="minorHAnsi"/>
        </w:rPr>
      </w:pPr>
      <w:r w:rsidRPr="0063543C">
        <w:rPr>
          <w:rFonts w:asciiTheme="minorHAnsi" w:hAnsiTheme="minorHAnsi"/>
        </w:rPr>
        <w:t>The absence of these countervailing rights and their corresponding remedies gives rise to significant uncontrolled risks th</w:t>
      </w:r>
      <w:r w:rsidR="003210E6">
        <w:rPr>
          <w:rFonts w:asciiTheme="minorHAnsi" w:hAnsiTheme="minorHAnsi"/>
        </w:rPr>
        <w:t>at are not addressed</w:t>
      </w:r>
      <w:r w:rsidRPr="0063543C">
        <w:rPr>
          <w:rFonts w:asciiTheme="minorHAnsi" w:hAnsiTheme="minorHAnsi"/>
        </w:rPr>
        <w:t xml:space="preserve">. The Bill constitutes a </w:t>
      </w:r>
      <w:r w:rsidRPr="0063543C">
        <w:rPr>
          <w:rFonts w:asciiTheme="minorHAnsi" w:hAnsiTheme="minorHAnsi"/>
          <w:i/>
        </w:rPr>
        <w:t xml:space="preserve">disincentive </w:t>
      </w:r>
      <w:r w:rsidRPr="0063543C">
        <w:rPr>
          <w:rFonts w:asciiTheme="minorHAnsi" w:hAnsiTheme="minorHAnsi"/>
        </w:rPr>
        <w:t xml:space="preserve">to the development of innovative approaches to the control and management of personal information, for example, Privacy Enhancing Technologies and services that, for example, manage and enforce consent, use and disclosure processes or that provide consumers with security solutions. </w:t>
      </w:r>
    </w:p>
    <w:p w14:paraId="0660806E" w14:textId="24E913F9" w:rsidR="0063543C" w:rsidRPr="0063543C" w:rsidRDefault="00541A43" w:rsidP="0063543C">
      <w:pPr>
        <w:spacing w:after="120"/>
        <w:rPr>
          <w:rFonts w:asciiTheme="minorHAnsi" w:hAnsiTheme="minorHAnsi"/>
          <w:b/>
        </w:rPr>
      </w:pPr>
      <w:r>
        <w:rPr>
          <w:rFonts w:asciiTheme="minorHAnsi" w:hAnsiTheme="minorHAnsi"/>
          <w:b/>
        </w:rPr>
        <w:t>2.7</w:t>
      </w:r>
      <w:r>
        <w:rPr>
          <w:rFonts w:asciiTheme="minorHAnsi" w:hAnsiTheme="minorHAnsi"/>
          <w:b/>
        </w:rPr>
        <w:tab/>
      </w:r>
      <w:r w:rsidR="0063543C" w:rsidRPr="0063543C">
        <w:rPr>
          <w:rFonts w:asciiTheme="minorHAnsi" w:hAnsiTheme="minorHAnsi"/>
          <w:b/>
        </w:rPr>
        <w:t>Intellectual Property</w:t>
      </w:r>
    </w:p>
    <w:p w14:paraId="3F2BA22D" w14:textId="3FAD52FF" w:rsidR="0063543C" w:rsidRPr="0063543C" w:rsidRDefault="0063543C" w:rsidP="0063543C">
      <w:pPr>
        <w:spacing w:after="120"/>
        <w:rPr>
          <w:rFonts w:asciiTheme="minorHAnsi" w:hAnsiTheme="minorHAnsi"/>
        </w:rPr>
      </w:pPr>
      <w:r w:rsidRPr="0063543C">
        <w:rPr>
          <w:rFonts w:asciiTheme="minorHAnsi" w:hAnsiTheme="minorHAnsi"/>
        </w:rPr>
        <w:t>The Bill does not address intellec</w:t>
      </w:r>
      <w:r w:rsidR="003210E6">
        <w:rPr>
          <w:rFonts w:asciiTheme="minorHAnsi" w:hAnsiTheme="minorHAnsi"/>
        </w:rPr>
        <w:t>tual property issues – these</w:t>
      </w:r>
      <w:r w:rsidR="002A19DA">
        <w:rPr>
          <w:rFonts w:asciiTheme="minorHAnsi" w:hAnsiTheme="minorHAnsi"/>
        </w:rPr>
        <w:t xml:space="preserve"> primarily relate to </w:t>
      </w:r>
      <w:proofErr w:type="gramStart"/>
      <w:r w:rsidR="002A19DA">
        <w:rPr>
          <w:rFonts w:asciiTheme="minorHAnsi" w:hAnsiTheme="minorHAnsi"/>
        </w:rPr>
        <w:t xml:space="preserve">copyright </w:t>
      </w:r>
      <w:r w:rsidRPr="0063543C">
        <w:rPr>
          <w:rFonts w:asciiTheme="minorHAnsi" w:hAnsiTheme="minorHAnsi"/>
        </w:rPr>
        <w:t xml:space="preserve"> –</w:t>
      </w:r>
      <w:proofErr w:type="gramEnd"/>
      <w:r w:rsidRPr="0063543C">
        <w:rPr>
          <w:rFonts w:asciiTheme="minorHAnsi" w:hAnsiTheme="minorHAnsi"/>
        </w:rPr>
        <w:t xml:space="preserve"> that may be raised by data holders to impede the free flow of information within the CDR env</w:t>
      </w:r>
      <w:r w:rsidR="003210E6">
        <w:rPr>
          <w:rFonts w:asciiTheme="minorHAnsi" w:hAnsiTheme="minorHAnsi"/>
        </w:rPr>
        <w:t>ironment or to impose</w:t>
      </w:r>
      <w:r w:rsidRPr="0063543C">
        <w:rPr>
          <w:rFonts w:asciiTheme="minorHAnsi" w:hAnsiTheme="minorHAnsi"/>
        </w:rPr>
        <w:t xml:space="preserve"> costs</w:t>
      </w:r>
      <w:r w:rsidR="00E74EE0">
        <w:rPr>
          <w:rFonts w:asciiTheme="minorHAnsi" w:hAnsiTheme="minorHAnsi"/>
        </w:rPr>
        <w:t xml:space="preserve"> on it</w:t>
      </w:r>
      <w:r w:rsidRPr="0063543C">
        <w:rPr>
          <w:rFonts w:asciiTheme="minorHAnsi" w:hAnsiTheme="minorHAnsi"/>
        </w:rPr>
        <w:t xml:space="preserve">. </w:t>
      </w:r>
    </w:p>
    <w:p w14:paraId="07F96441" w14:textId="7755CC29" w:rsidR="0063543C" w:rsidRPr="0063543C" w:rsidRDefault="0063543C" w:rsidP="0063543C">
      <w:pPr>
        <w:spacing w:after="120"/>
        <w:rPr>
          <w:rFonts w:asciiTheme="minorHAnsi" w:hAnsiTheme="minorHAnsi"/>
        </w:rPr>
      </w:pPr>
      <w:r w:rsidRPr="0063543C">
        <w:rPr>
          <w:rFonts w:asciiTheme="minorHAnsi" w:hAnsiTheme="minorHAnsi"/>
        </w:rPr>
        <w:t xml:space="preserve">Although data derived only from information provided by a consumer is unlikely to satisfy the originality requirements of the </w:t>
      </w:r>
      <w:r w:rsidRPr="0063543C">
        <w:rPr>
          <w:rFonts w:asciiTheme="minorHAnsi" w:hAnsiTheme="minorHAnsi"/>
          <w:i/>
        </w:rPr>
        <w:t xml:space="preserve">Copyright Act 1968, </w:t>
      </w:r>
      <w:r w:rsidRPr="0063543C">
        <w:rPr>
          <w:rFonts w:asciiTheme="minorHAnsi" w:hAnsiTheme="minorHAnsi"/>
        </w:rPr>
        <w:t xml:space="preserve">the position is less clear in the case of value-added data (i.e., data that has had applied to it </w:t>
      </w:r>
      <w:r w:rsidR="003210E6">
        <w:rPr>
          <w:rFonts w:asciiTheme="minorHAnsi" w:hAnsiTheme="minorHAnsi"/>
        </w:rPr>
        <w:t xml:space="preserve">by advanced </w:t>
      </w:r>
      <w:r w:rsidRPr="0063543C">
        <w:rPr>
          <w:rFonts w:asciiTheme="minorHAnsi" w:hAnsiTheme="minorHAnsi"/>
        </w:rPr>
        <w:t>analytic techniques designed to provide insights into individual consumers and/or which has been combined with other data).</w:t>
      </w:r>
    </w:p>
    <w:p w14:paraId="0587C52B" w14:textId="77777777" w:rsidR="0063543C" w:rsidRPr="0063543C" w:rsidRDefault="0063543C" w:rsidP="0063543C">
      <w:pPr>
        <w:spacing w:after="120"/>
        <w:rPr>
          <w:rFonts w:asciiTheme="minorHAnsi" w:hAnsiTheme="minorHAnsi"/>
        </w:rPr>
      </w:pPr>
      <w:r w:rsidRPr="0063543C">
        <w:rPr>
          <w:rFonts w:asciiTheme="minorHAnsi" w:hAnsiTheme="minorHAnsi"/>
        </w:rPr>
        <w:t xml:space="preserve">The CDR legislation should address this issue. There are a number of methods of doing so including the development of a compulsory licence under the </w:t>
      </w:r>
      <w:r w:rsidRPr="0063543C">
        <w:rPr>
          <w:rFonts w:asciiTheme="minorHAnsi" w:hAnsiTheme="minorHAnsi"/>
          <w:i/>
        </w:rPr>
        <w:t xml:space="preserve">Copyright Act 1968 </w:t>
      </w:r>
      <w:r w:rsidRPr="0063543C">
        <w:rPr>
          <w:rFonts w:asciiTheme="minorHAnsi" w:hAnsiTheme="minorHAnsi"/>
        </w:rPr>
        <w:t xml:space="preserve">or by removing the CDR scheme from its infringement provisions. There is precedent for taking this latter approach in recent amendments to the </w:t>
      </w:r>
      <w:r w:rsidRPr="0063543C">
        <w:rPr>
          <w:rFonts w:asciiTheme="minorHAnsi" w:hAnsiTheme="minorHAnsi"/>
          <w:i/>
        </w:rPr>
        <w:t xml:space="preserve">My Health Records Act 2012. </w:t>
      </w:r>
    </w:p>
    <w:p w14:paraId="44A3B4E6" w14:textId="6138A6C6" w:rsidR="0063543C" w:rsidRPr="0063543C" w:rsidRDefault="0063543C" w:rsidP="0063543C">
      <w:pPr>
        <w:spacing w:after="120"/>
        <w:rPr>
          <w:rFonts w:asciiTheme="minorHAnsi" w:hAnsiTheme="minorHAnsi"/>
        </w:rPr>
      </w:pPr>
      <w:r w:rsidRPr="0063543C">
        <w:rPr>
          <w:rFonts w:asciiTheme="minorHAnsi" w:hAnsiTheme="minorHAnsi"/>
        </w:rPr>
        <w:t>It is recommended that the CDR be amended by removing sub-clauses 56AF(2) and (3).</w:t>
      </w:r>
      <w:r w:rsidR="00E74EE0">
        <w:rPr>
          <w:rFonts w:asciiTheme="minorHAnsi" w:hAnsiTheme="minorHAnsi"/>
        </w:rPr>
        <w:t xml:space="preserve"> Such an amendment would also function to address the question of access costs that are left open for determination by the ACCC under cl 56BC(d) and (e). If copyright does not subsist in the CDR data and there are standardised data formats determined by the DSB </w:t>
      </w:r>
      <w:r w:rsidR="000E7F8E">
        <w:rPr>
          <w:rFonts w:asciiTheme="minorHAnsi" w:hAnsiTheme="minorHAnsi"/>
        </w:rPr>
        <w:t>at</w:t>
      </w:r>
      <w:r w:rsidR="00E74EE0">
        <w:rPr>
          <w:rFonts w:asciiTheme="minorHAnsi" w:hAnsiTheme="minorHAnsi"/>
        </w:rPr>
        <w:t xml:space="preserve"> </w:t>
      </w:r>
      <w:proofErr w:type="gramStart"/>
      <w:r w:rsidR="00E74EE0">
        <w:rPr>
          <w:rFonts w:asciiTheme="minorHAnsi" w:hAnsiTheme="minorHAnsi"/>
        </w:rPr>
        <w:t>taxpayers</w:t>
      </w:r>
      <w:proofErr w:type="gramEnd"/>
      <w:r w:rsidR="000E7F8E">
        <w:rPr>
          <w:rFonts w:asciiTheme="minorHAnsi" w:hAnsiTheme="minorHAnsi"/>
        </w:rPr>
        <w:t xml:space="preserve"> expense</w:t>
      </w:r>
      <w:r w:rsidR="00E74EE0">
        <w:rPr>
          <w:rFonts w:asciiTheme="minorHAnsi" w:hAnsiTheme="minorHAnsi"/>
        </w:rPr>
        <w:t>, there is no justification for the imposition of access fees.</w:t>
      </w:r>
    </w:p>
    <w:p w14:paraId="575FB0D2" w14:textId="1CAFF619" w:rsidR="0063543C" w:rsidRPr="0063543C" w:rsidRDefault="00541A43" w:rsidP="0063543C">
      <w:pPr>
        <w:spacing w:after="120"/>
        <w:rPr>
          <w:rFonts w:asciiTheme="minorHAnsi" w:hAnsiTheme="minorHAnsi"/>
          <w:b/>
        </w:rPr>
      </w:pPr>
      <w:r>
        <w:rPr>
          <w:rFonts w:asciiTheme="minorHAnsi" w:hAnsiTheme="minorHAnsi"/>
          <w:b/>
        </w:rPr>
        <w:t>2.8</w:t>
      </w:r>
      <w:r>
        <w:rPr>
          <w:rFonts w:asciiTheme="minorHAnsi" w:hAnsiTheme="minorHAnsi"/>
          <w:b/>
        </w:rPr>
        <w:tab/>
      </w:r>
      <w:r w:rsidR="0063543C" w:rsidRPr="0063543C">
        <w:rPr>
          <w:rFonts w:asciiTheme="minorHAnsi" w:hAnsiTheme="minorHAnsi"/>
          <w:b/>
        </w:rPr>
        <w:t>Security</w:t>
      </w:r>
    </w:p>
    <w:p w14:paraId="0D0F5D41" w14:textId="56F8BBEC" w:rsidR="0063543C" w:rsidRDefault="00106FC5" w:rsidP="0063543C">
      <w:pPr>
        <w:spacing w:after="120"/>
        <w:rPr>
          <w:rFonts w:asciiTheme="minorHAnsi" w:hAnsiTheme="minorHAnsi"/>
        </w:rPr>
      </w:pPr>
      <w:r w:rsidRPr="00106FC5">
        <w:rPr>
          <w:rFonts w:asciiTheme="minorHAnsi" w:hAnsiTheme="minorHAnsi"/>
        </w:rPr>
        <w:t>Although the CDR Bill does not explicitly confer security functions</w:t>
      </w:r>
      <w:r w:rsidR="00A72897">
        <w:rPr>
          <w:rFonts w:asciiTheme="minorHAnsi" w:hAnsiTheme="minorHAnsi"/>
        </w:rPr>
        <w:t>, it enables the ACCC to make consumer data rules that cover security. Equally, the DSB may make standards about security under cl 56FE(1)(c)</w:t>
      </w:r>
      <w:r w:rsidR="00DF2131">
        <w:rPr>
          <w:rFonts w:asciiTheme="minorHAnsi" w:hAnsiTheme="minorHAnsi"/>
        </w:rPr>
        <w:t>.</w:t>
      </w:r>
      <w:r w:rsidR="00A72897">
        <w:rPr>
          <w:rFonts w:asciiTheme="minorHAnsi" w:hAnsiTheme="minorHAnsi"/>
        </w:rPr>
        <w:t xml:space="preserve"> </w:t>
      </w:r>
      <w:r w:rsidR="0032028A">
        <w:rPr>
          <w:rFonts w:asciiTheme="minorHAnsi" w:hAnsiTheme="minorHAnsi"/>
        </w:rPr>
        <w:t xml:space="preserve">Both powers appear to enable the relevant agencies to impose rules that are equivalent to legal rules and obligations. </w:t>
      </w:r>
      <w:r w:rsidR="000E7F8E">
        <w:rPr>
          <w:rFonts w:asciiTheme="minorHAnsi" w:hAnsiTheme="minorHAnsi"/>
        </w:rPr>
        <w:t xml:space="preserve">It is incongruous that these rule making powers have legal effect but there are no legally binding rules imposed on security within the private sector or </w:t>
      </w:r>
      <w:r w:rsidR="00B0512C">
        <w:rPr>
          <w:rFonts w:asciiTheme="minorHAnsi" w:hAnsiTheme="minorHAnsi"/>
        </w:rPr>
        <w:t>on the Commonwealth public sector.</w:t>
      </w:r>
    </w:p>
    <w:p w14:paraId="2544E83C" w14:textId="1E6F452D" w:rsidR="0032028A" w:rsidRDefault="0032028A" w:rsidP="0063543C">
      <w:pPr>
        <w:spacing w:after="120"/>
        <w:rPr>
          <w:rFonts w:asciiTheme="minorHAnsi" w:hAnsiTheme="minorHAnsi"/>
        </w:rPr>
      </w:pPr>
      <w:r>
        <w:rPr>
          <w:rFonts w:asciiTheme="minorHAnsi" w:hAnsiTheme="minorHAnsi"/>
        </w:rPr>
        <w:t>This submission supports the need for appropriate security safeguards</w:t>
      </w:r>
      <w:r w:rsidR="00E74EE0">
        <w:rPr>
          <w:rFonts w:asciiTheme="minorHAnsi" w:hAnsiTheme="minorHAnsi"/>
        </w:rPr>
        <w:t xml:space="preserve"> for the CDR</w:t>
      </w:r>
      <w:r>
        <w:rPr>
          <w:rFonts w:asciiTheme="minorHAnsi" w:hAnsiTheme="minorHAnsi"/>
        </w:rPr>
        <w:t xml:space="preserve">. That said, security obligations must reflect the variability of risk in the CDR system, including the fact that new participants </w:t>
      </w:r>
      <w:r>
        <w:rPr>
          <w:rFonts w:asciiTheme="minorHAnsi" w:hAnsiTheme="minorHAnsi"/>
        </w:rPr>
        <w:lastRenderedPageBreak/>
        <w:t xml:space="preserve">may have a risk posture that is significantly different from those of banks, telecommunications providers and energy suppliers. </w:t>
      </w:r>
    </w:p>
    <w:p w14:paraId="2DBDA298" w14:textId="5F13737D" w:rsidR="00E74EE0" w:rsidRPr="00106FC5" w:rsidRDefault="00E74EE0" w:rsidP="0063543C">
      <w:pPr>
        <w:spacing w:after="120"/>
        <w:rPr>
          <w:rFonts w:asciiTheme="minorHAnsi" w:hAnsiTheme="minorHAnsi"/>
        </w:rPr>
      </w:pPr>
      <w:r>
        <w:rPr>
          <w:rFonts w:asciiTheme="minorHAnsi" w:hAnsiTheme="minorHAnsi"/>
        </w:rPr>
        <w:t>The rules should also reflect the fact that while individuals have a legitimate right to expect that their personal information will be supplied to them in a secure form, such as being encrypted in transit, they should have the right to store received data in any manner they think fit: security standards should not function as an impediment to individuals exercising access rights.</w:t>
      </w:r>
    </w:p>
    <w:p w14:paraId="1F4E2C7F" w14:textId="150DBCDC" w:rsidR="00B0512C" w:rsidRPr="0063543C" w:rsidRDefault="00B0512C" w:rsidP="0063543C">
      <w:pPr>
        <w:spacing w:after="120"/>
        <w:rPr>
          <w:rFonts w:asciiTheme="minorHAnsi" w:hAnsiTheme="minorHAnsi"/>
        </w:rPr>
      </w:pPr>
      <w:r>
        <w:rPr>
          <w:rFonts w:asciiTheme="minorHAnsi" w:hAnsiTheme="minorHAnsi"/>
        </w:rPr>
        <w:t>Please let me know if you require any further information or clarification.</w:t>
      </w:r>
    </w:p>
    <w:p w14:paraId="4B130AA7" w14:textId="77777777" w:rsidR="00B0512C" w:rsidRDefault="00B0512C" w:rsidP="003A71DE">
      <w:pPr>
        <w:pStyle w:val="LTU-Closing"/>
        <w:rPr>
          <w:rStyle w:val="LightGrid-Accent11"/>
          <w:color w:val="000000" w:themeColor="text1"/>
        </w:rPr>
      </w:pPr>
    </w:p>
    <w:p w14:paraId="45D29234" w14:textId="77777777" w:rsidR="003A71DE" w:rsidRPr="0091474E" w:rsidRDefault="002A19DA" w:rsidP="003A71DE">
      <w:pPr>
        <w:pStyle w:val="LTU-Closing"/>
      </w:pPr>
      <w:r>
        <w:rPr>
          <w:rStyle w:val="LightGrid-Accent11"/>
          <w:color w:val="000000" w:themeColor="text1"/>
        </w:rPr>
        <w:t>Yours sincerely</w:t>
      </w:r>
      <w:r w:rsidR="00D258B9">
        <w:rPr>
          <w:rStyle w:val="LightGrid-Accent11"/>
          <w:color w:val="000000" w:themeColor="text1"/>
        </w:rPr>
        <w:t>,</w:t>
      </w:r>
    </w:p>
    <w:p w14:paraId="30E7C728" w14:textId="77777777" w:rsidR="0006122A" w:rsidRDefault="0006122A" w:rsidP="003A71DE">
      <w:pPr>
        <w:pStyle w:val="LTU-SendersPosition"/>
        <w:rPr>
          <w:b/>
          <w:bCs/>
        </w:rPr>
      </w:pPr>
    </w:p>
    <w:p w14:paraId="46D00E04" w14:textId="77777777" w:rsidR="0006122A" w:rsidRDefault="0006122A" w:rsidP="003A71DE">
      <w:pPr>
        <w:pStyle w:val="LTU-SendersPosition"/>
        <w:rPr>
          <w:b/>
          <w:bCs/>
        </w:rPr>
      </w:pPr>
    </w:p>
    <w:p w14:paraId="3A3FB7A6" w14:textId="77777777" w:rsidR="00B7329E" w:rsidRDefault="00B7329E" w:rsidP="003A71DE">
      <w:pPr>
        <w:pStyle w:val="LTU-SendersPosition"/>
        <w:rPr>
          <w:b/>
          <w:bCs/>
        </w:rPr>
      </w:pPr>
      <w:r>
        <w:rPr>
          <w:b/>
          <w:bCs/>
        </w:rPr>
        <w:t>David Watts</w:t>
      </w:r>
    </w:p>
    <w:p w14:paraId="39751E37" w14:textId="77777777" w:rsidR="00D258B9" w:rsidRDefault="00D258B9" w:rsidP="003A71DE">
      <w:pPr>
        <w:pStyle w:val="LTU-SendersPosition"/>
        <w:rPr>
          <w:color w:val="000000" w:themeColor="text1"/>
        </w:rPr>
      </w:pPr>
      <w:r>
        <w:rPr>
          <w:b/>
          <w:bCs/>
        </w:rPr>
        <w:t xml:space="preserve">Professor </w:t>
      </w:r>
      <w:r w:rsidR="002A19DA">
        <w:rPr>
          <w:b/>
          <w:bCs/>
        </w:rPr>
        <w:t>of Information Law and Policy</w:t>
      </w:r>
      <w:r w:rsidRPr="00D05BEB">
        <w:rPr>
          <w:color w:val="000000" w:themeColor="text1"/>
        </w:rPr>
        <w:t xml:space="preserve"> </w:t>
      </w:r>
    </w:p>
    <w:p w14:paraId="5D1505AF" w14:textId="77777777" w:rsidR="00D258B9" w:rsidRPr="00F052E0" w:rsidRDefault="00D258B9" w:rsidP="00D258B9">
      <w:pPr>
        <w:spacing w:after="0"/>
        <w:rPr>
          <w:rFonts w:asciiTheme="minorHAnsi" w:hAnsiTheme="minorHAnsi"/>
          <w:lang w:eastAsia="en-AU"/>
        </w:rPr>
      </w:pPr>
      <w:r w:rsidRPr="00F052E0">
        <w:rPr>
          <w:rFonts w:asciiTheme="minorHAnsi" w:hAnsiTheme="minorHAnsi"/>
          <w:lang w:eastAsia="en-AU"/>
        </w:rPr>
        <w:t>La Trobe Law School</w:t>
      </w:r>
    </w:p>
    <w:p w14:paraId="0A880563" w14:textId="77777777" w:rsidR="00D258B9" w:rsidRPr="00F052E0" w:rsidRDefault="00D258B9" w:rsidP="00D258B9">
      <w:pPr>
        <w:spacing w:after="0"/>
        <w:rPr>
          <w:rFonts w:asciiTheme="minorHAnsi" w:hAnsiTheme="minorHAnsi"/>
          <w:lang w:eastAsia="en-AU"/>
        </w:rPr>
      </w:pPr>
      <w:r w:rsidRPr="00F052E0">
        <w:rPr>
          <w:rFonts w:asciiTheme="minorHAnsi" w:hAnsiTheme="minorHAnsi"/>
          <w:lang w:eastAsia="en-AU"/>
        </w:rPr>
        <w:t>College of Arts, Social Sciences and Commerce | La Trobe University | Bundoora Victoria 3086</w:t>
      </w:r>
    </w:p>
    <w:p w14:paraId="1F434F47" w14:textId="77777777" w:rsidR="00D258B9" w:rsidRPr="00F052E0" w:rsidRDefault="00D258B9" w:rsidP="00D258B9">
      <w:pPr>
        <w:spacing w:after="0"/>
        <w:rPr>
          <w:rFonts w:asciiTheme="minorHAnsi" w:hAnsiTheme="minorHAnsi"/>
          <w:lang w:eastAsia="en-AU"/>
        </w:rPr>
      </w:pPr>
      <w:r w:rsidRPr="00F052E0">
        <w:rPr>
          <w:rFonts w:asciiTheme="minorHAnsi" w:hAnsiTheme="minorHAnsi"/>
          <w:bCs/>
          <w:lang w:eastAsia="en-AU"/>
        </w:rPr>
        <w:t>T</w:t>
      </w:r>
      <w:r w:rsidR="00B7329E" w:rsidRPr="00F052E0">
        <w:rPr>
          <w:rFonts w:asciiTheme="minorHAnsi" w:hAnsiTheme="minorHAnsi"/>
          <w:lang w:eastAsia="en-AU"/>
        </w:rPr>
        <w:t>: 03 9479 1979</w:t>
      </w:r>
      <w:r w:rsidRPr="00F052E0">
        <w:rPr>
          <w:rFonts w:asciiTheme="minorHAnsi" w:hAnsiTheme="minorHAnsi"/>
          <w:lang w:eastAsia="en-AU"/>
        </w:rPr>
        <w:t xml:space="preserve"> | </w:t>
      </w:r>
      <w:r w:rsidRPr="00F052E0">
        <w:rPr>
          <w:rFonts w:asciiTheme="minorHAnsi" w:hAnsiTheme="minorHAnsi"/>
          <w:bCs/>
          <w:lang w:eastAsia="en-AU"/>
        </w:rPr>
        <w:t>W</w:t>
      </w:r>
      <w:r w:rsidRPr="00F052E0">
        <w:rPr>
          <w:rFonts w:asciiTheme="minorHAnsi" w:hAnsiTheme="minorHAnsi"/>
          <w:lang w:eastAsia="en-AU"/>
        </w:rPr>
        <w:t xml:space="preserve">: </w:t>
      </w:r>
      <w:hyperlink r:id="rId8" w:history="1">
        <w:r w:rsidRPr="00F052E0">
          <w:rPr>
            <w:rStyle w:val="Hyperlink"/>
            <w:rFonts w:asciiTheme="minorHAnsi" w:hAnsiTheme="minorHAnsi"/>
            <w:lang w:eastAsia="en-AU"/>
          </w:rPr>
          <w:t>www.latrobe.edu.au</w:t>
        </w:r>
      </w:hyperlink>
    </w:p>
    <w:p w14:paraId="744525FD" w14:textId="77777777" w:rsidR="003A71DE" w:rsidRDefault="003A71DE" w:rsidP="003A71DE">
      <w:pPr>
        <w:pStyle w:val="LTU-SendersPosition"/>
      </w:pPr>
    </w:p>
    <w:p w14:paraId="1BCF5AE4" w14:textId="77777777" w:rsidR="001608C8" w:rsidRPr="001608C8" w:rsidRDefault="001608C8">
      <w:pPr>
        <w:spacing w:after="0"/>
        <w:rPr>
          <w:lang w:val="en-GB"/>
        </w:rPr>
      </w:pPr>
    </w:p>
    <w:p w14:paraId="7CDE9997" w14:textId="77777777" w:rsidR="003D35A0" w:rsidRDefault="003D35A0" w:rsidP="00302C19"/>
    <w:sectPr w:rsidR="003D35A0" w:rsidSect="00DA3622">
      <w:headerReference w:type="default" r:id="rId9"/>
      <w:footerReference w:type="default" r:id="rId10"/>
      <w:headerReference w:type="first" r:id="rId11"/>
      <w:footerReference w:type="first" r:id="rId12"/>
      <w:pgSz w:w="11906" w:h="16838" w:code="9"/>
      <w:pgMar w:top="3175" w:right="1134" w:bottom="1418" w:left="1985" w:header="720" w:footer="573"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24E8F" w14:textId="77777777" w:rsidR="00F16F12" w:rsidRDefault="00F16F12" w:rsidP="00BE01EF">
      <w:pPr>
        <w:spacing w:after="0"/>
      </w:pPr>
      <w:r>
        <w:separator/>
      </w:r>
    </w:p>
  </w:endnote>
  <w:endnote w:type="continuationSeparator" w:id="0">
    <w:p w14:paraId="13C64971" w14:textId="77777777" w:rsidR="00F16F12" w:rsidRDefault="00F16F12" w:rsidP="00BE01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Medium">
    <w:altName w:val="Times New Roman"/>
    <w:panose1 w:val="020B0604020202020204"/>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Times New Roman"/>
    <w:panose1 w:val="020B0604020202020204"/>
    <w:charset w:val="00"/>
    <w:family w:val="auto"/>
    <w:pitch w:val="variable"/>
    <w:sig w:usb0="E00002FF"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rioni Std Medium">
    <w:panose1 w:val="020B0604020202020204"/>
    <w:charset w:val="00"/>
    <w:family w:val="modern"/>
    <w:notTrueType/>
    <w:pitch w:val="variable"/>
    <w:sig w:usb0="A000003F" w:usb1="5001E47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65DFD" w14:textId="77777777" w:rsidR="000E7F8E" w:rsidRPr="000C34E4" w:rsidRDefault="000E7F8E" w:rsidP="000C34E4">
    <w:pPr>
      <w:pStyle w:val="LTU-Footer-Page"/>
    </w:pPr>
    <w:r w:rsidRPr="000C34E4">
      <w:fldChar w:fldCharType="begin"/>
    </w:r>
    <w:r w:rsidRPr="000C34E4">
      <w:instrText xml:space="preserve"> PAGE </w:instrText>
    </w:r>
    <w:r w:rsidRPr="000C34E4">
      <w:fldChar w:fldCharType="separate"/>
    </w:r>
    <w:r w:rsidR="00CE515C">
      <w:rPr>
        <w:noProof/>
      </w:rPr>
      <w:t>2</w:t>
    </w:r>
    <w:r w:rsidRPr="000C34E4">
      <w:fldChar w:fldCharType="end"/>
    </w:r>
    <w:r w:rsidRPr="000C34E4">
      <w:t xml:space="preserve"> / </w:t>
    </w:r>
    <w:r w:rsidR="00F16F12">
      <w:rPr>
        <w:noProof/>
      </w:rPr>
      <w:fldChar w:fldCharType="begin"/>
    </w:r>
    <w:r w:rsidR="00F16F12">
      <w:rPr>
        <w:noProof/>
      </w:rPr>
      <w:instrText xml:space="preserve"> NUMPAGES  </w:instrText>
    </w:r>
    <w:r w:rsidR="00F16F12">
      <w:rPr>
        <w:noProof/>
      </w:rPr>
      <w:fldChar w:fldCharType="separate"/>
    </w:r>
    <w:r w:rsidR="00CE515C">
      <w:rPr>
        <w:noProof/>
      </w:rPr>
      <w:t>6</w:t>
    </w:r>
    <w:r w:rsidR="00F16F1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A574E" w14:textId="77777777" w:rsidR="000E7F8E" w:rsidRDefault="000E7F8E" w:rsidP="00683A5F">
    <w:pPr>
      <w:pStyle w:val="LTU-FooterABN"/>
      <w:tabs>
        <w:tab w:val="clear" w:pos="142"/>
      </w:tabs>
      <w:ind w:left="7111"/>
    </w:pPr>
    <w:r>
      <w:rPr>
        <w:rStyle w:val="LightGrid-Accent11"/>
      </w:rPr>
      <w:t>ABN 64 804 735 113</w:t>
    </w:r>
  </w:p>
  <w:p w14:paraId="5B540FBE" w14:textId="77777777" w:rsidR="000E7F8E" w:rsidRDefault="000E7F8E" w:rsidP="0055690E">
    <w:pPr>
      <w:pStyle w:val="LTU-FooterABN"/>
      <w:tabs>
        <w:tab w:val="clear" w:pos="142"/>
      </w:tabs>
      <w:ind w:left="7111"/>
    </w:pPr>
    <w:r w:rsidRPr="0055690E">
      <w:t xml:space="preserve">La Trobe University </w:t>
    </w:r>
  </w:p>
  <w:p w14:paraId="42ECE602" w14:textId="77777777" w:rsidR="000E7F8E" w:rsidRDefault="000E7F8E" w:rsidP="0055690E">
    <w:pPr>
      <w:pStyle w:val="LTU-FooterABN"/>
      <w:tabs>
        <w:tab w:val="clear" w:pos="142"/>
      </w:tabs>
      <w:ind w:left="7111"/>
    </w:pPr>
    <w:r w:rsidRPr="0055690E">
      <w:t>CRICOS Provider Code</w:t>
    </w:r>
  </w:p>
  <w:p w14:paraId="1540A97B" w14:textId="77777777" w:rsidR="000E7F8E" w:rsidRPr="00683A5F" w:rsidRDefault="000E7F8E" w:rsidP="0055690E">
    <w:pPr>
      <w:pStyle w:val="LTU-FooterABN"/>
      <w:tabs>
        <w:tab w:val="clear" w:pos="142"/>
      </w:tabs>
      <w:ind w:left="7111"/>
    </w:pPr>
    <w:r w:rsidRPr="0055690E">
      <w:t>Number 00115M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23533" w14:textId="77777777" w:rsidR="00F16F12" w:rsidRDefault="00F16F12" w:rsidP="00BE01EF">
      <w:pPr>
        <w:spacing w:after="0"/>
      </w:pPr>
      <w:r>
        <w:separator/>
      </w:r>
    </w:p>
  </w:footnote>
  <w:footnote w:type="continuationSeparator" w:id="0">
    <w:p w14:paraId="1499B283" w14:textId="77777777" w:rsidR="00F16F12" w:rsidRDefault="00F16F12" w:rsidP="00BE01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BBD6" w14:textId="77777777" w:rsidR="000E7F8E" w:rsidRPr="000762E2" w:rsidRDefault="00F16F12" w:rsidP="00F052E0">
    <w:pPr>
      <w:pStyle w:val="Header"/>
      <w:tabs>
        <w:tab w:val="clear" w:pos="4513"/>
        <w:tab w:val="clear" w:pos="9026"/>
        <w:tab w:val="left" w:pos="7133"/>
        <w:tab w:val="left" w:pos="7466"/>
        <w:tab w:val="left" w:pos="7724"/>
      </w:tabs>
      <w:ind w:left="-504"/>
      <w:jc w:val="both"/>
      <w:rPr>
        <w:noProof/>
        <w:lang w:eastAsia="en-AU"/>
      </w:rPr>
    </w:pPr>
    <w:sdt>
      <w:sdtPr>
        <w:alias w:val="Click to Change logo"/>
        <w:tag w:val="Logo"/>
        <w:id w:val="1233128573"/>
        <w:docPartList>
          <w:docPartGallery w:val="Quick Parts"/>
          <w:docPartCategory w:val="Logos"/>
        </w:docPartList>
      </w:sdtPr>
      <w:sdtEndPr/>
      <w:sdtContent>
        <w:r w:rsidR="000E7F8E" w:rsidRPr="00BF704A">
          <w:rPr>
            <w:noProof/>
            <w:lang w:val="en-US"/>
          </w:rPr>
          <w:drawing>
            <wp:anchor distT="0" distB="0" distL="114300" distR="114300" simplePos="0" relativeHeight="251662336" behindDoc="0" locked="1" layoutInCell="1" allowOverlap="0" wp14:anchorId="04E6AC80" wp14:editId="20746D57">
              <wp:simplePos x="0" y="0"/>
              <wp:positionH relativeFrom="margin">
                <wp:posOffset>-466725</wp:posOffset>
              </wp:positionH>
              <wp:positionV relativeFrom="margin">
                <wp:posOffset>-1657350</wp:posOffset>
              </wp:positionV>
              <wp:extent cx="1922145" cy="665480"/>
              <wp:effectExtent l="0" t="0" r="1905" b="127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rotWithShape="1">
                      <a:blip r:embed="rId1"/>
                      <a:srcRect l="6917"/>
                      <a:stretch/>
                    </pic:blipFill>
                    <pic:spPr bwMode="auto">
                      <a:xfrm>
                        <a:off x="0" y="0"/>
                        <a:ext cx="1922145" cy="66548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sdtContent>
    </w:sdt>
  </w:p>
  <w:p w14:paraId="0EB1DC9C" w14:textId="77777777" w:rsidR="000E7F8E" w:rsidRPr="005A225A" w:rsidRDefault="000E7F8E" w:rsidP="001608C8">
    <w:pPr>
      <w:pStyle w:val="Header"/>
    </w:pPr>
  </w:p>
  <w:p w14:paraId="5868F44F" w14:textId="77777777" w:rsidR="000E7F8E" w:rsidRPr="001608C8" w:rsidRDefault="000E7F8E" w:rsidP="00160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7CB6C" w14:textId="77777777" w:rsidR="000E7F8E" w:rsidRDefault="000E7F8E" w:rsidP="004C518E">
    <w:pPr>
      <w:pStyle w:val="Header"/>
      <w:tabs>
        <w:tab w:val="clear" w:pos="4513"/>
        <w:tab w:val="clear" w:pos="9026"/>
        <w:tab w:val="left" w:pos="7133"/>
        <w:tab w:val="left" w:pos="7466"/>
        <w:tab w:val="left" w:pos="7724"/>
      </w:tabs>
      <w:jc w:val="both"/>
    </w:pPr>
    <w:r>
      <w:rPr>
        <w:noProof/>
        <w:lang w:val="en-US"/>
      </w:rPr>
      <mc:AlternateContent>
        <mc:Choice Requires="wps">
          <w:drawing>
            <wp:anchor distT="0" distB="0" distL="114300" distR="114300" simplePos="0" relativeHeight="251658240" behindDoc="1" locked="1" layoutInCell="0" allowOverlap="0" wp14:anchorId="2D9356FB" wp14:editId="087CB3C1">
              <wp:simplePos x="0" y="0"/>
              <wp:positionH relativeFrom="margin">
                <wp:posOffset>4422775</wp:posOffset>
              </wp:positionH>
              <wp:positionV relativeFrom="page">
                <wp:posOffset>539750</wp:posOffset>
              </wp:positionV>
              <wp:extent cx="1485900" cy="1788160"/>
              <wp:effectExtent l="0" t="0" r="0" b="0"/>
              <wp:wrapNone/>
              <wp:docPr id="30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85900" cy="1788160"/>
                      </a:xfrm>
                      <a:prstGeom prst="rect">
                        <a:avLst/>
                      </a:prstGeom>
                      <a:noFill/>
                      <a:ln w="9525">
                        <a:noFill/>
                        <a:miter lim="800000"/>
                        <a:headEnd/>
                        <a:tailEnd/>
                      </a:ln>
                    </wps:spPr>
                    <wps:txbx>
                      <w:txbxContent>
                        <w:p w14:paraId="0F0C6206" w14:textId="77777777" w:rsidR="000E7F8E" w:rsidRPr="005E2370" w:rsidRDefault="000E7F8E" w:rsidP="008307A0">
                          <w:pPr>
                            <w:pStyle w:val="LTU-Header-ContactDetails"/>
                            <w:pBdr>
                              <w:left w:val="single" w:sz="2" w:space="4" w:color="5F5F5F"/>
                            </w:pBdr>
                            <w:rPr>
                              <w:rStyle w:val="Strong"/>
                              <w:color w:val="EE3124" w:themeColor="accent1"/>
                            </w:rPr>
                          </w:pPr>
                          <w:r w:rsidRPr="005E2370">
                            <w:rPr>
                              <w:rStyle w:val="Strong"/>
                              <w:color w:val="EE3124" w:themeColor="accent1"/>
                            </w:rPr>
                            <w:t>Mailing address</w:t>
                          </w:r>
                        </w:p>
                        <w:p w14:paraId="69193D3E" w14:textId="77777777" w:rsidR="000E7F8E" w:rsidRPr="00D609FC" w:rsidRDefault="000E7F8E" w:rsidP="008307A0">
                          <w:pPr>
                            <w:pStyle w:val="LTU-Header-ContactDetails"/>
                            <w:pBdr>
                              <w:left w:val="single" w:sz="2" w:space="4" w:color="5F5F5F"/>
                            </w:pBdr>
                          </w:pPr>
                          <w:r w:rsidRPr="00D609FC">
                            <w:t>La Trobe University</w:t>
                          </w:r>
                        </w:p>
                        <w:p w14:paraId="084F7527" w14:textId="77777777" w:rsidR="000E7F8E" w:rsidRPr="00D609FC" w:rsidRDefault="000E7F8E" w:rsidP="008307A0">
                          <w:pPr>
                            <w:pStyle w:val="LTU-Header-ContactDetails"/>
                            <w:pBdr>
                              <w:left w:val="single" w:sz="2" w:space="4" w:color="5F5F5F"/>
                            </w:pBdr>
                            <w:spacing w:after="113"/>
                          </w:pPr>
                          <w:r w:rsidRPr="00D609FC">
                            <w:t>Victoria 3086 Australia</w:t>
                          </w:r>
                        </w:p>
                        <w:p w14:paraId="6B4E15C8" w14:textId="77777777" w:rsidR="000E7F8E" w:rsidRPr="00D609FC" w:rsidRDefault="000E7F8E" w:rsidP="008307A0">
                          <w:pPr>
                            <w:pStyle w:val="LTU-Header-ContactDetails"/>
                            <w:pBdr>
                              <w:left w:val="single" w:sz="2" w:space="4" w:color="5F5F5F"/>
                            </w:pBdr>
                          </w:pPr>
                          <w:r w:rsidRPr="00D609FC">
                            <w:rPr>
                              <w:b/>
                            </w:rPr>
                            <w:t>T</w:t>
                          </w:r>
                          <w:r w:rsidRPr="00D609FC">
                            <w:tab/>
                            <w:t xml:space="preserve">+ 61 3 </w:t>
                          </w:r>
                          <w:sdt>
                            <w:sdtPr>
                              <w:id w:val="-1350178199"/>
                              <w:placeholder>
                                <w:docPart w:val="3F9BE79035C04926A642E619E7AAF3FE"/>
                              </w:placeholder>
                              <w:text/>
                            </w:sdtPr>
                            <w:sdtEndPr/>
                            <w:sdtContent>
                              <w:r>
                                <w:t>9479 1979</w:t>
                              </w:r>
                            </w:sdtContent>
                          </w:sdt>
                        </w:p>
                        <w:p w14:paraId="2DA697D6" w14:textId="77777777" w:rsidR="000E7F8E" w:rsidRPr="00D609FC" w:rsidRDefault="000E7F8E" w:rsidP="008307A0">
                          <w:pPr>
                            <w:pStyle w:val="LTU-Header-ContactDetails"/>
                            <w:pBdr>
                              <w:left w:val="single" w:sz="2" w:space="4" w:color="5F5F5F"/>
                            </w:pBdr>
                          </w:pPr>
                          <w:r w:rsidRPr="00D609FC">
                            <w:rPr>
                              <w:b/>
                            </w:rPr>
                            <w:t>E</w:t>
                          </w:r>
                          <w:r w:rsidRPr="00D609FC">
                            <w:tab/>
                          </w:r>
                          <w:hyperlink r:id="rId1" w:history="1">
                            <w:r w:rsidRPr="0034215A">
                              <w:rPr>
                                <w:rStyle w:val="Hyperlink"/>
                                <w:rFonts w:ascii="Roboto" w:hAnsi="Roboto"/>
                              </w:rPr>
                              <w:t xml:space="preserve"> d.watts@latrobe.edu.au </w:t>
                            </w:r>
                          </w:hyperlink>
                        </w:p>
                        <w:p w14:paraId="6B1BC215" w14:textId="77777777" w:rsidR="000E7F8E" w:rsidRDefault="000E7F8E" w:rsidP="008307A0">
                          <w:pPr>
                            <w:pStyle w:val="LTU-Header-ContactDetails"/>
                            <w:pBdr>
                              <w:left w:val="single" w:sz="2" w:space="4" w:color="5F5F5F"/>
                            </w:pBdr>
                            <w:rPr>
                              <w:rStyle w:val="Strong"/>
                            </w:rPr>
                          </w:pPr>
                          <w:r>
                            <w:rPr>
                              <w:rStyle w:val="Strong"/>
                            </w:rPr>
                            <w:t>www.</w:t>
                          </w:r>
                          <w:r w:rsidRPr="00F240E5">
                            <w:rPr>
                              <w:rStyle w:val="Strong"/>
                            </w:rPr>
                            <w:t>latrobe.edu.au/</w:t>
                          </w:r>
                          <w:sdt>
                            <w:sdtPr>
                              <w:rPr>
                                <w:rStyle w:val="Strong"/>
                              </w:rPr>
                              <w:id w:val="241224182"/>
                              <w:text/>
                            </w:sdtPr>
                            <w:sdtEndPr>
                              <w:rPr>
                                <w:rStyle w:val="Strong"/>
                              </w:rPr>
                            </w:sdtEndPr>
                            <w:sdtContent>
                              <w:r>
                                <w:rPr>
                                  <w:rStyle w:val="Strong"/>
                                </w:rPr>
                                <w:t>law</w:t>
                              </w:r>
                            </w:sdtContent>
                          </w:sdt>
                        </w:p>
                        <w:p w14:paraId="22F19B90" w14:textId="77777777" w:rsidR="000E7F8E" w:rsidRPr="00437D8A" w:rsidRDefault="000E7F8E" w:rsidP="00437D8A">
                          <w:pPr>
                            <w:pStyle w:val="LTU-Header-ContactDetailsSubhead"/>
                            <w:rPr>
                              <w:rStyle w:val="Strong"/>
                              <w:bCs w:val="0"/>
                            </w:rPr>
                          </w:pPr>
                          <w:r w:rsidRPr="00437D8A">
                            <w:rPr>
                              <w:rStyle w:val="Strong"/>
                              <w:bCs w:val="0"/>
                            </w:rPr>
                            <w:t>CAMPUSES</w:t>
                          </w:r>
                        </w:p>
                        <w:p w14:paraId="29E9A793" w14:textId="77777777" w:rsidR="000E7F8E" w:rsidRDefault="000E7F8E" w:rsidP="008307A0">
                          <w:pPr>
                            <w:pStyle w:val="LTU-Header-ContactDetails"/>
                            <w:pBdr>
                              <w:left w:val="single" w:sz="2" w:space="4" w:color="5F5F5F"/>
                            </w:pBdr>
                          </w:pPr>
                          <w:r>
                            <w:t>Melbourne (</w:t>
                          </w:r>
                          <w:r w:rsidRPr="00D609FC">
                            <w:t>Bundoora</w:t>
                          </w:r>
                          <w:r>
                            <w:t>)</w:t>
                          </w:r>
                        </w:p>
                        <w:p w14:paraId="03CE7817" w14:textId="77777777" w:rsidR="000E7F8E" w:rsidRPr="00D609FC" w:rsidRDefault="000E7F8E" w:rsidP="00067540">
                          <w:pPr>
                            <w:pStyle w:val="LTU-Header-ContactDetails"/>
                            <w:pBdr>
                              <w:left w:val="single" w:sz="2" w:space="4" w:color="5F5F5F"/>
                            </w:pBdr>
                          </w:pPr>
                          <w:r w:rsidRPr="00D609FC">
                            <w:t>Albury-Wodonga</w:t>
                          </w:r>
                        </w:p>
                        <w:p w14:paraId="22E1BAFC" w14:textId="77777777" w:rsidR="000E7F8E" w:rsidRPr="00D609FC" w:rsidRDefault="000E7F8E" w:rsidP="00067540">
                          <w:pPr>
                            <w:pStyle w:val="LTU-Header-ContactDetails"/>
                            <w:pBdr>
                              <w:left w:val="single" w:sz="2" w:space="4" w:color="5F5F5F"/>
                            </w:pBdr>
                          </w:pPr>
                          <w:r w:rsidRPr="00D609FC">
                            <w:t>Bendigo</w:t>
                          </w:r>
                        </w:p>
                        <w:p w14:paraId="48CF2AF7" w14:textId="77777777" w:rsidR="000E7F8E" w:rsidRPr="00D609FC" w:rsidRDefault="000E7F8E" w:rsidP="00067540">
                          <w:pPr>
                            <w:pStyle w:val="LTU-Header-ContactDetails"/>
                            <w:pBdr>
                              <w:left w:val="single" w:sz="2" w:space="4" w:color="5F5F5F"/>
                            </w:pBdr>
                          </w:pPr>
                          <w:r>
                            <w:t>City (</w:t>
                          </w:r>
                          <w:r w:rsidRPr="00D609FC">
                            <w:t>Collins Street</w:t>
                          </w:r>
                          <w:r>
                            <w:t>)</w:t>
                          </w:r>
                        </w:p>
                        <w:p w14:paraId="4EB02244" w14:textId="77777777" w:rsidR="000E7F8E" w:rsidRPr="00D609FC" w:rsidRDefault="000E7F8E" w:rsidP="00067540">
                          <w:pPr>
                            <w:pStyle w:val="LTU-Header-ContactDetails"/>
                            <w:pBdr>
                              <w:left w:val="single" w:sz="2" w:space="4" w:color="5F5F5F"/>
                            </w:pBdr>
                          </w:pPr>
                          <w:r w:rsidRPr="00D609FC">
                            <w:t>Mildura</w:t>
                          </w:r>
                        </w:p>
                        <w:p w14:paraId="561F710E" w14:textId="77777777" w:rsidR="000E7F8E" w:rsidRDefault="000E7F8E" w:rsidP="00067540">
                          <w:pPr>
                            <w:pStyle w:val="LTU-Header-ContactDetails"/>
                            <w:pBdr>
                              <w:left w:val="single" w:sz="2" w:space="4" w:color="5F5F5F"/>
                            </w:pBdr>
                          </w:pPr>
                          <w:r w:rsidRPr="00D609FC">
                            <w:t>Shepparton</w:t>
                          </w:r>
                        </w:p>
                        <w:p w14:paraId="0F410493" w14:textId="77777777" w:rsidR="000E7F8E" w:rsidRPr="00D609FC" w:rsidRDefault="000E7F8E" w:rsidP="00067540">
                          <w:pPr>
                            <w:pStyle w:val="LTU-Header-ContactDetails"/>
                            <w:pBdr>
                              <w:left w:val="single" w:sz="2" w:space="4" w:color="5F5F5F"/>
                            </w:pBdr>
                          </w:pPr>
                          <w:r>
                            <w:t>Sydney</w:t>
                          </w:r>
                        </w:p>
                      </w:txbxContent>
                    </wps:txbx>
                    <wps:bodyPr rot="0" vert="horz" wrap="square" lIns="91440" tIns="0" rIns="9144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D9356FB" id="_x0000_t202" coordsize="21600,21600" o:spt="202" path="m,l,21600r21600,l21600,xe">
              <v:stroke joinstyle="miter"/>
              <v:path gradientshapeok="t" o:connecttype="rect"/>
            </v:shapetype>
            <v:shape id="Text Box 2" o:spid="_x0000_s1026" type="#_x0000_t202" style="position:absolute;left:0;text-align:left;margin-left:348.25pt;margin-top:42.5pt;width:117pt;height:140.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" o:allowincell="f" o:allowoverlap="f" filled="f" stroked="f">
              <o:lock v:ext="edit" aspectratio="t"/>
              <v:textbox style="mso-fit-shape-to-text:t" inset=",0,,0">
                <w:txbxContent>
                  <w:p w14:paraId="0F0C6206" w14:textId="77777777" w:rsidR="000E7F8E" w:rsidRPr="005E2370" w:rsidRDefault="000E7F8E" w:rsidP="008307A0">
                    <w:pPr>
                      <w:pStyle w:val="LTU-Header-ContactDetails"/>
                      <w:pBdr>
                        <w:left w:val="single" w:sz="2" w:space="4" w:color="5F5F5F"/>
                      </w:pBdr>
                      <w:rPr>
                        <w:rStyle w:val="Strong"/>
                        <w:color w:val="EE3124" w:themeColor="accent1"/>
                      </w:rPr>
                    </w:pPr>
                    <w:r w:rsidRPr="005E2370">
                      <w:rPr>
                        <w:rStyle w:val="Strong"/>
                        <w:color w:val="EE3124" w:themeColor="accent1"/>
                      </w:rPr>
                      <w:t>Mailing address</w:t>
                    </w:r>
                  </w:p>
                  <w:p w14:paraId="69193D3E" w14:textId="77777777" w:rsidR="000E7F8E" w:rsidRPr="00D609FC" w:rsidRDefault="000E7F8E" w:rsidP="008307A0">
                    <w:pPr>
                      <w:pStyle w:val="LTU-Header-ContactDetails"/>
                      <w:pBdr>
                        <w:left w:val="single" w:sz="2" w:space="4" w:color="5F5F5F"/>
                      </w:pBdr>
                    </w:pPr>
                    <w:r w:rsidRPr="00D609FC">
                      <w:t>La Trobe University</w:t>
                    </w:r>
                  </w:p>
                  <w:p w14:paraId="084F7527" w14:textId="77777777" w:rsidR="000E7F8E" w:rsidRPr="00D609FC" w:rsidRDefault="000E7F8E" w:rsidP="008307A0">
                    <w:pPr>
                      <w:pStyle w:val="LTU-Header-ContactDetails"/>
                      <w:pBdr>
                        <w:left w:val="single" w:sz="2" w:space="4" w:color="5F5F5F"/>
                      </w:pBdr>
                      <w:spacing w:after="113"/>
                    </w:pPr>
                    <w:r w:rsidRPr="00D609FC">
                      <w:t>Victoria 3086 Australia</w:t>
                    </w:r>
                  </w:p>
                  <w:p w14:paraId="6B4E15C8" w14:textId="77777777" w:rsidR="000E7F8E" w:rsidRPr="00D609FC" w:rsidRDefault="000E7F8E" w:rsidP="008307A0">
                    <w:pPr>
                      <w:pStyle w:val="LTU-Header-ContactDetails"/>
                      <w:pBdr>
                        <w:left w:val="single" w:sz="2" w:space="4" w:color="5F5F5F"/>
                      </w:pBdr>
                    </w:pPr>
                    <w:r w:rsidRPr="00D609FC">
                      <w:rPr>
                        <w:b/>
                      </w:rPr>
                      <w:t>T</w:t>
                    </w:r>
                    <w:r w:rsidRPr="00D609FC">
                      <w:tab/>
                      <w:t xml:space="preserve">+ 61 3 </w:t>
                    </w:r>
                    <w:sdt>
                      <w:sdtPr>
                        <w:id w:val="-1350178199"/>
                        <w:placeholder>
                          <w:docPart w:val="3F9BE79035C04926A642E619E7AAF3FE"/>
                        </w:placeholder>
                        <w:text/>
                      </w:sdtPr>
                      <w:sdtEndPr/>
                      <w:sdtContent>
                        <w:r>
                          <w:t>9479 1979</w:t>
                        </w:r>
                      </w:sdtContent>
                    </w:sdt>
                  </w:p>
                  <w:p w14:paraId="2DA697D6" w14:textId="77777777" w:rsidR="000E7F8E" w:rsidRPr="00D609FC" w:rsidRDefault="000E7F8E" w:rsidP="008307A0">
                    <w:pPr>
                      <w:pStyle w:val="LTU-Header-ContactDetails"/>
                      <w:pBdr>
                        <w:left w:val="single" w:sz="2" w:space="4" w:color="5F5F5F"/>
                      </w:pBdr>
                    </w:pPr>
                    <w:r w:rsidRPr="00D609FC">
                      <w:rPr>
                        <w:b/>
                      </w:rPr>
                      <w:t>E</w:t>
                    </w:r>
                    <w:r w:rsidRPr="00D609FC">
                      <w:tab/>
                    </w:r>
                    <w:hyperlink r:id="rId2" w:history="1">
                      <w:r w:rsidRPr="0034215A">
                        <w:rPr>
                          <w:rStyle w:val="Hyperlink"/>
                          <w:rFonts w:ascii="Roboto" w:hAnsi="Roboto"/>
                        </w:rPr>
                        <w:t xml:space="preserve"> d.watts@latrobe.edu.au </w:t>
                      </w:r>
                    </w:hyperlink>
                  </w:p>
                  <w:p w14:paraId="6B1BC215" w14:textId="77777777" w:rsidR="000E7F8E" w:rsidRDefault="000E7F8E" w:rsidP="008307A0">
                    <w:pPr>
                      <w:pStyle w:val="LTU-Header-ContactDetails"/>
                      <w:pBdr>
                        <w:left w:val="single" w:sz="2" w:space="4" w:color="5F5F5F"/>
                      </w:pBdr>
                      <w:rPr>
                        <w:rStyle w:val="Strong"/>
                      </w:rPr>
                    </w:pPr>
                    <w:r>
                      <w:rPr>
                        <w:rStyle w:val="Strong"/>
                      </w:rPr>
                      <w:t>www.</w:t>
                    </w:r>
                    <w:r w:rsidRPr="00F240E5">
                      <w:rPr>
                        <w:rStyle w:val="Strong"/>
                      </w:rPr>
                      <w:t>latrobe.edu.au/</w:t>
                    </w:r>
                    <w:sdt>
                      <w:sdtPr>
                        <w:rPr>
                          <w:rStyle w:val="Strong"/>
                        </w:rPr>
                        <w:id w:val="241224182"/>
                        <w:text/>
                      </w:sdtPr>
                      <w:sdtEndPr>
                        <w:rPr>
                          <w:rStyle w:val="Strong"/>
                        </w:rPr>
                      </w:sdtEndPr>
                      <w:sdtContent>
                        <w:r>
                          <w:rPr>
                            <w:rStyle w:val="Strong"/>
                          </w:rPr>
                          <w:t>law</w:t>
                        </w:r>
                      </w:sdtContent>
                    </w:sdt>
                  </w:p>
                  <w:p w14:paraId="22F19B90" w14:textId="77777777" w:rsidR="000E7F8E" w:rsidRPr="00437D8A" w:rsidRDefault="000E7F8E" w:rsidP="00437D8A">
                    <w:pPr>
                      <w:pStyle w:val="LTU-Header-ContactDetailsSubhead"/>
                      <w:rPr>
                        <w:rStyle w:val="Strong"/>
                        <w:bCs w:val="0"/>
                      </w:rPr>
                    </w:pPr>
                    <w:r w:rsidRPr="00437D8A">
                      <w:rPr>
                        <w:rStyle w:val="Strong"/>
                        <w:bCs w:val="0"/>
                      </w:rPr>
                      <w:t>CAMPUSES</w:t>
                    </w:r>
                  </w:p>
                  <w:p w14:paraId="29E9A793" w14:textId="77777777" w:rsidR="000E7F8E" w:rsidRDefault="000E7F8E" w:rsidP="008307A0">
                    <w:pPr>
                      <w:pStyle w:val="LTU-Header-ContactDetails"/>
                      <w:pBdr>
                        <w:left w:val="single" w:sz="2" w:space="4" w:color="5F5F5F"/>
                      </w:pBdr>
                    </w:pPr>
                    <w:r>
                      <w:t>Melbourne (</w:t>
                    </w:r>
                    <w:r w:rsidRPr="00D609FC">
                      <w:t>Bundoora</w:t>
                    </w:r>
                    <w:r>
                      <w:t>)</w:t>
                    </w:r>
                  </w:p>
                  <w:p w14:paraId="03CE7817" w14:textId="77777777" w:rsidR="000E7F8E" w:rsidRPr="00D609FC" w:rsidRDefault="000E7F8E" w:rsidP="00067540">
                    <w:pPr>
                      <w:pStyle w:val="LTU-Header-ContactDetails"/>
                      <w:pBdr>
                        <w:left w:val="single" w:sz="2" w:space="4" w:color="5F5F5F"/>
                      </w:pBdr>
                    </w:pPr>
                    <w:r w:rsidRPr="00D609FC">
                      <w:t>Albury-Wodonga</w:t>
                    </w:r>
                  </w:p>
                  <w:p w14:paraId="22E1BAFC" w14:textId="77777777" w:rsidR="000E7F8E" w:rsidRPr="00D609FC" w:rsidRDefault="000E7F8E" w:rsidP="00067540">
                    <w:pPr>
                      <w:pStyle w:val="LTU-Header-ContactDetails"/>
                      <w:pBdr>
                        <w:left w:val="single" w:sz="2" w:space="4" w:color="5F5F5F"/>
                      </w:pBdr>
                    </w:pPr>
                    <w:r w:rsidRPr="00D609FC">
                      <w:t>Bendigo</w:t>
                    </w:r>
                  </w:p>
                  <w:p w14:paraId="48CF2AF7" w14:textId="77777777" w:rsidR="000E7F8E" w:rsidRPr="00D609FC" w:rsidRDefault="000E7F8E" w:rsidP="00067540">
                    <w:pPr>
                      <w:pStyle w:val="LTU-Header-ContactDetails"/>
                      <w:pBdr>
                        <w:left w:val="single" w:sz="2" w:space="4" w:color="5F5F5F"/>
                      </w:pBdr>
                    </w:pPr>
                    <w:r>
                      <w:t>City (</w:t>
                    </w:r>
                    <w:r w:rsidRPr="00D609FC">
                      <w:t>Collins Street</w:t>
                    </w:r>
                    <w:r>
                      <w:t>)</w:t>
                    </w:r>
                  </w:p>
                  <w:p w14:paraId="4EB02244" w14:textId="77777777" w:rsidR="000E7F8E" w:rsidRPr="00D609FC" w:rsidRDefault="000E7F8E" w:rsidP="00067540">
                    <w:pPr>
                      <w:pStyle w:val="LTU-Header-ContactDetails"/>
                      <w:pBdr>
                        <w:left w:val="single" w:sz="2" w:space="4" w:color="5F5F5F"/>
                      </w:pBdr>
                    </w:pPr>
                    <w:r w:rsidRPr="00D609FC">
                      <w:t>Mildura</w:t>
                    </w:r>
                  </w:p>
                  <w:p w14:paraId="561F710E" w14:textId="77777777" w:rsidR="000E7F8E" w:rsidRDefault="000E7F8E" w:rsidP="00067540">
                    <w:pPr>
                      <w:pStyle w:val="LTU-Header-ContactDetails"/>
                      <w:pBdr>
                        <w:left w:val="single" w:sz="2" w:space="4" w:color="5F5F5F"/>
                      </w:pBdr>
                    </w:pPr>
                    <w:r w:rsidRPr="00D609FC">
                      <w:t>Shepparton</w:t>
                    </w:r>
                  </w:p>
                  <w:p w14:paraId="0F410493" w14:textId="77777777" w:rsidR="000E7F8E" w:rsidRPr="00D609FC" w:rsidRDefault="000E7F8E" w:rsidP="00067540">
                    <w:pPr>
                      <w:pStyle w:val="LTU-Header-ContactDetails"/>
                      <w:pBdr>
                        <w:left w:val="single" w:sz="2" w:space="4" w:color="5F5F5F"/>
                      </w:pBdr>
                    </w:pPr>
                    <w:r>
                      <w:t>Sydney</w:t>
                    </w:r>
                  </w:p>
                </w:txbxContent>
              </v:textbox>
              <w10:wrap anchorx="margin" anchory="page"/>
              <w10:anchorlock/>
            </v:shape>
          </w:pict>
        </mc:Fallback>
      </mc:AlternateContent>
    </w:r>
    <w:r w:rsidRPr="004C518E">
      <w:t xml:space="preserve"> </w:t>
    </w:r>
    <w:sdt>
      <w:sdtPr>
        <w:alias w:val="Click to Change logo"/>
        <w:tag w:val="Logo"/>
        <w:id w:val="-2001184423"/>
        <w:docPartList>
          <w:docPartGallery w:val="Quick Parts"/>
          <w:docPartCategory w:val="Logos"/>
        </w:docPartList>
      </w:sdtPr>
      <w:sdtEndPr/>
      <w:sdtContent>
        <w:r w:rsidRPr="00BF704A">
          <w:rPr>
            <w:noProof/>
            <w:lang w:val="en-US"/>
          </w:rPr>
          <w:drawing>
            <wp:anchor distT="0" distB="0" distL="114300" distR="114300" simplePos="0" relativeHeight="251660288" behindDoc="0" locked="1" layoutInCell="1" allowOverlap="0" wp14:anchorId="33089B0D" wp14:editId="6C311471">
              <wp:simplePos x="0" y="0"/>
              <wp:positionH relativeFrom="margin">
                <wp:posOffset>-466725</wp:posOffset>
              </wp:positionH>
              <wp:positionV relativeFrom="margin">
                <wp:posOffset>-1657350</wp:posOffset>
              </wp:positionV>
              <wp:extent cx="1922145" cy="665480"/>
              <wp:effectExtent l="0" t="0" r="1905" b="127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rotWithShape="1">
                      <a:blip r:embed="rId3"/>
                      <a:srcRect l="6917"/>
                      <a:stretch/>
                    </pic:blipFill>
                    <pic:spPr bwMode="auto">
                      <a:xfrm>
                        <a:off x="0" y="0"/>
                        <a:ext cx="1922145" cy="66548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sdtContent>
    </w:sdt>
  </w:p>
  <w:p w14:paraId="6363B50A" w14:textId="77777777" w:rsidR="000E7F8E" w:rsidRPr="000F350B" w:rsidRDefault="000E7F8E" w:rsidP="00D258B9">
    <w:pPr>
      <w:pStyle w:val="LTU-Header-FacultyDivision"/>
      <w:tabs>
        <w:tab w:val="center" w:pos="4393"/>
      </w:tabs>
      <w:rPr>
        <w:color w:val="auto"/>
      </w:rPr>
    </w:pPr>
    <w:r w:rsidRPr="000F350B">
      <w:rPr>
        <w:color w:val="auto"/>
      </w:rPr>
      <w:t>college of art</w:t>
    </w:r>
    <w:r>
      <w:rPr>
        <w:color w:val="auto"/>
      </w:rPr>
      <w:t>s, soc</w:t>
    </w:r>
  </w:p>
  <w:p w14:paraId="0325336D" w14:textId="77777777" w:rsidR="000E7F8E" w:rsidRPr="000F350B" w:rsidRDefault="000E7F8E" w:rsidP="00D258B9">
    <w:pPr>
      <w:pStyle w:val="LTU-Header-DivisionSchoolResearchCentre"/>
      <w:rPr>
        <w:color w:val="auto"/>
      </w:rPr>
    </w:pPr>
    <w:r w:rsidRPr="000F350B">
      <w:rPr>
        <w:color w:val="auto"/>
      </w:rPr>
      <w:t>La Trobe Law School</w:t>
    </w:r>
  </w:p>
  <w:p w14:paraId="45329A90" w14:textId="77777777" w:rsidR="000E7F8E" w:rsidRPr="00E10B21" w:rsidRDefault="000E7F8E" w:rsidP="00F240E5">
    <w:pPr>
      <w:pStyle w:val="LTU-Header-DivisionSchoolResearchCentre"/>
    </w:pPr>
  </w:p>
  <w:p w14:paraId="41606879" w14:textId="77777777" w:rsidR="000E7F8E" w:rsidRDefault="000E7F8E" w:rsidP="004E3754">
    <w:pPr>
      <w:pStyle w:val="LTU-Header-DivisionSchoolResearchCentre"/>
    </w:pPr>
    <w:r>
      <w:rPr>
        <w:noProof/>
        <w:lang w:val="en-US"/>
      </w:rPr>
      <mc:AlternateContent>
        <mc:Choice Requires="wps">
          <w:drawing>
            <wp:anchor distT="4294967295" distB="4294967295" distL="114300" distR="114300" simplePos="0" relativeHeight="251657216" behindDoc="1" locked="1" layoutInCell="0" allowOverlap="0" wp14:anchorId="31EA2146" wp14:editId="7E0B3565">
              <wp:simplePos x="0" y="0"/>
              <wp:positionH relativeFrom="page">
                <wp:posOffset>7293610</wp:posOffset>
              </wp:positionH>
              <wp:positionV relativeFrom="page">
                <wp:posOffset>3816349</wp:posOffset>
              </wp:positionV>
              <wp:extent cx="25146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146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CCF70C" id="Straight Connector 9" o:spid="_x0000_s1026" style="position:absolute;z-index:-251659264;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margin;mso-height-relative:margin" from="574.3pt,300.5pt" to="594.1pt,3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" o:allowincell="f" o:allowoverlap="f" strokecolor="#7f7f7f" strokeweight=".25pt">
              <o:lock v:ext="edit" shapetype="f"/>
              <w10:wrap anchorx="page" anchory="page"/>
              <w10:anchorlock/>
            </v:line>
          </w:pict>
        </mc:Fallback>
      </mc:AlternateContent>
    </w:r>
    <w:r>
      <w:t>COLLEGE OF ARTS, SOCIAL SCIENCES AND ARTS</w:t>
    </w:r>
  </w:p>
  <w:p w14:paraId="2A94B27D" w14:textId="77777777" w:rsidR="000E7F8E" w:rsidRDefault="000E7F8E" w:rsidP="004E3754">
    <w:pPr>
      <w:pStyle w:val="LTU-Header-DivisionSchoolResearchCentre"/>
    </w:pPr>
    <w:r>
      <w:t>La Trobe Law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C50F7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9323D"/>
    <w:multiLevelType w:val="hybridMultilevel"/>
    <w:tmpl w:val="10ACEEA0"/>
    <w:lvl w:ilvl="0" w:tplc="BA26C6DE">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6841D4"/>
    <w:multiLevelType w:val="hybridMultilevel"/>
    <w:tmpl w:val="23864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1605D9"/>
    <w:multiLevelType w:val="hybridMultilevel"/>
    <w:tmpl w:val="F55084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5956B1"/>
    <w:multiLevelType w:val="hybridMultilevel"/>
    <w:tmpl w:val="015C9D1A"/>
    <w:lvl w:ilvl="0" w:tplc="AB708A4C">
      <w:start w:val="1"/>
      <w:numFmt w:val="bullet"/>
      <w:lvlText w:val=""/>
      <w:lvlJc w:val="left"/>
      <w:pPr>
        <w:ind w:left="360" w:hanging="360"/>
      </w:pPr>
      <w:rPr>
        <w:rFonts w:ascii="Wingdings" w:hAnsi="Wingdings" w:hint="default"/>
        <w:color w:val="AB2328"/>
      </w:rPr>
    </w:lvl>
    <w:lvl w:ilvl="1" w:tplc="582059A4">
      <w:start w:val="1"/>
      <w:numFmt w:val="bullet"/>
      <w:pStyle w:val="LTU-Bulletssub0pt"/>
      <w:lvlText w:val="-"/>
      <w:lvlJc w:val="left"/>
      <w:pPr>
        <w:ind w:left="1080" w:hanging="360"/>
      </w:pPr>
      <w:rPr>
        <w:rFonts w:ascii="Arial" w:hAnsi="Arial" w:hint="default"/>
        <w:color w:val="696766"/>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F4F25AF"/>
    <w:multiLevelType w:val="hybridMultilevel"/>
    <w:tmpl w:val="C9E033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53A21C2"/>
    <w:multiLevelType w:val="hybridMultilevel"/>
    <w:tmpl w:val="A3DE274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AE5245E"/>
    <w:multiLevelType w:val="hybridMultilevel"/>
    <w:tmpl w:val="93DE53B4"/>
    <w:lvl w:ilvl="0" w:tplc="BA26C6DE">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B1F55C8"/>
    <w:multiLevelType w:val="hybridMultilevel"/>
    <w:tmpl w:val="61FEA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093D97"/>
    <w:multiLevelType w:val="hybridMultilevel"/>
    <w:tmpl w:val="F2C4CBF4"/>
    <w:lvl w:ilvl="0" w:tplc="BA26C6DE">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17006C2"/>
    <w:multiLevelType w:val="hybridMultilevel"/>
    <w:tmpl w:val="F1C812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6744C82"/>
    <w:multiLevelType w:val="hybridMultilevel"/>
    <w:tmpl w:val="545E26A4"/>
    <w:lvl w:ilvl="0" w:tplc="B316FA2E">
      <w:start w:val="1"/>
      <w:numFmt w:val="bullet"/>
      <w:pStyle w:val="LTU-Bullets85ptafter"/>
      <w:lvlText w:val=""/>
      <w:lvlJc w:val="left"/>
      <w:pPr>
        <w:ind w:left="360" w:hanging="360"/>
      </w:pPr>
      <w:rPr>
        <w:rFonts w:ascii="Wingdings" w:hAnsi="Wingdings" w:hint="default"/>
        <w:color w:val="EE3124" w:themeColor="accent1"/>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A6B5E24"/>
    <w:multiLevelType w:val="hybridMultilevel"/>
    <w:tmpl w:val="C3E47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4"/>
  </w:num>
  <w:num w:numId="3">
    <w:abstractNumId w:val="11"/>
  </w:num>
  <w:num w:numId="4">
    <w:abstractNumId w:val="4"/>
  </w:num>
  <w:num w:numId="5">
    <w:abstractNumId w:val="11"/>
  </w:num>
  <w:num w:numId="6">
    <w:abstractNumId w:val="4"/>
  </w:num>
  <w:num w:numId="7">
    <w:abstractNumId w:val="11"/>
  </w:num>
  <w:num w:numId="8">
    <w:abstractNumId w:val="4"/>
  </w:num>
  <w:num w:numId="9">
    <w:abstractNumId w:val="11"/>
  </w:num>
  <w:num w:numId="10">
    <w:abstractNumId w:val="4"/>
  </w:num>
  <w:num w:numId="11">
    <w:abstractNumId w:val="11"/>
  </w:num>
  <w:num w:numId="12">
    <w:abstractNumId w:val="4"/>
  </w:num>
  <w:num w:numId="13">
    <w:abstractNumId w:val="6"/>
  </w:num>
  <w:num w:numId="14">
    <w:abstractNumId w:val="7"/>
  </w:num>
  <w:num w:numId="15">
    <w:abstractNumId w:val="1"/>
  </w:num>
  <w:num w:numId="16">
    <w:abstractNumId w:val="9"/>
  </w:num>
  <w:num w:numId="17">
    <w:abstractNumId w:val="5"/>
  </w:num>
  <w:num w:numId="18">
    <w:abstractNumId w:val="0"/>
  </w:num>
  <w:num w:numId="19">
    <w:abstractNumId w:val="2"/>
  </w:num>
  <w:num w:numId="20">
    <w:abstractNumId w:val="3"/>
  </w:num>
  <w:num w:numId="21">
    <w:abstractNumId w:val="10"/>
  </w:num>
  <w:num w:numId="22">
    <w:abstractNumId w:val="1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3"/>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8B9"/>
    <w:rsid w:val="00001671"/>
    <w:rsid w:val="000044AF"/>
    <w:rsid w:val="0000796C"/>
    <w:rsid w:val="000137DB"/>
    <w:rsid w:val="00014061"/>
    <w:rsid w:val="0001486C"/>
    <w:rsid w:val="00014DF9"/>
    <w:rsid w:val="000171C2"/>
    <w:rsid w:val="00022098"/>
    <w:rsid w:val="0003642C"/>
    <w:rsid w:val="0005282E"/>
    <w:rsid w:val="0006122A"/>
    <w:rsid w:val="00061CC0"/>
    <w:rsid w:val="00062DD9"/>
    <w:rsid w:val="00067540"/>
    <w:rsid w:val="00075A46"/>
    <w:rsid w:val="00076417"/>
    <w:rsid w:val="000A01F4"/>
    <w:rsid w:val="000A1E37"/>
    <w:rsid w:val="000A2CB3"/>
    <w:rsid w:val="000C34E4"/>
    <w:rsid w:val="000D283A"/>
    <w:rsid w:val="000E7F8E"/>
    <w:rsid w:val="000F4AC0"/>
    <w:rsid w:val="001036D1"/>
    <w:rsid w:val="00103C28"/>
    <w:rsid w:val="00106FC5"/>
    <w:rsid w:val="001107AB"/>
    <w:rsid w:val="00110F5C"/>
    <w:rsid w:val="00117A1F"/>
    <w:rsid w:val="00137FD6"/>
    <w:rsid w:val="00140F3C"/>
    <w:rsid w:val="001464A6"/>
    <w:rsid w:val="001608C8"/>
    <w:rsid w:val="001608FB"/>
    <w:rsid w:val="00163ADF"/>
    <w:rsid w:val="00165E1B"/>
    <w:rsid w:val="00173326"/>
    <w:rsid w:val="00175F63"/>
    <w:rsid w:val="001900BA"/>
    <w:rsid w:val="00196375"/>
    <w:rsid w:val="001A0565"/>
    <w:rsid w:val="001A55A3"/>
    <w:rsid w:val="001F4E22"/>
    <w:rsid w:val="0024330D"/>
    <w:rsid w:val="00251655"/>
    <w:rsid w:val="002818E1"/>
    <w:rsid w:val="00283067"/>
    <w:rsid w:val="002912A8"/>
    <w:rsid w:val="00296A36"/>
    <w:rsid w:val="002A19DA"/>
    <w:rsid w:val="002A62C5"/>
    <w:rsid w:val="002A768F"/>
    <w:rsid w:val="002C7725"/>
    <w:rsid w:val="002D11F0"/>
    <w:rsid w:val="002E08C2"/>
    <w:rsid w:val="002F23E7"/>
    <w:rsid w:val="00302C19"/>
    <w:rsid w:val="00317950"/>
    <w:rsid w:val="0032028A"/>
    <w:rsid w:val="003210E6"/>
    <w:rsid w:val="00330CB2"/>
    <w:rsid w:val="0033216C"/>
    <w:rsid w:val="003377E7"/>
    <w:rsid w:val="00383909"/>
    <w:rsid w:val="003A4757"/>
    <w:rsid w:val="003A5D82"/>
    <w:rsid w:val="003A71DE"/>
    <w:rsid w:val="003B392D"/>
    <w:rsid w:val="003B47AE"/>
    <w:rsid w:val="003B5EE4"/>
    <w:rsid w:val="003D35A0"/>
    <w:rsid w:val="003E743E"/>
    <w:rsid w:val="003F53B8"/>
    <w:rsid w:val="003F66F0"/>
    <w:rsid w:val="004015EA"/>
    <w:rsid w:val="00423FB7"/>
    <w:rsid w:val="00437D8A"/>
    <w:rsid w:val="004421E4"/>
    <w:rsid w:val="00442BC9"/>
    <w:rsid w:val="0044642B"/>
    <w:rsid w:val="004470A0"/>
    <w:rsid w:val="00485345"/>
    <w:rsid w:val="004915E5"/>
    <w:rsid w:val="004C518E"/>
    <w:rsid w:val="004D011C"/>
    <w:rsid w:val="004E3754"/>
    <w:rsid w:val="004E46D5"/>
    <w:rsid w:val="004E580E"/>
    <w:rsid w:val="004E5F37"/>
    <w:rsid w:val="00525535"/>
    <w:rsid w:val="00526DE4"/>
    <w:rsid w:val="00527078"/>
    <w:rsid w:val="00541A43"/>
    <w:rsid w:val="00543698"/>
    <w:rsid w:val="00544B0C"/>
    <w:rsid w:val="00553FEF"/>
    <w:rsid w:val="0055690E"/>
    <w:rsid w:val="00573693"/>
    <w:rsid w:val="00584C4D"/>
    <w:rsid w:val="00593D5F"/>
    <w:rsid w:val="00594379"/>
    <w:rsid w:val="005A2072"/>
    <w:rsid w:val="005A225A"/>
    <w:rsid w:val="005A65EE"/>
    <w:rsid w:val="005C0AAE"/>
    <w:rsid w:val="005E103E"/>
    <w:rsid w:val="005E2370"/>
    <w:rsid w:val="005E425B"/>
    <w:rsid w:val="005F08BA"/>
    <w:rsid w:val="005F784E"/>
    <w:rsid w:val="00600F47"/>
    <w:rsid w:val="00601824"/>
    <w:rsid w:val="0060798D"/>
    <w:rsid w:val="00623ED2"/>
    <w:rsid w:val="00624A09"/>
    <w:rsid w:val="0063543C"/>
    <w:rsid w:val="00635828"/>
    <w:rsid w:val="00643721"/>
    <w:rsid w:val="00652E72"/>
    <w:rsid w:val="00670885"/>
    <w:rsid w:val="006708B8"/>
    <w:rsid w:val="00683A5F"/>
    <w:rsid w:val="00685D5C"/>
    <w:rsid w:val="00694CDB"/>
    <w:rsid w:val="006A72FA"/>
    <w:rsid w:val="006B0F7B"/>
    <w:rsid w:val="006B2043"/>
    <w:rsid w:val="006D2C93"/>
    <w:rsid w:val="006D595F"/>
    <w:rsid w:val="006D7DE4"/>
    <w:rsid w:val="006E2663"/>
    <w:rsid w:val="006F23D5"/>
    <w:rsid w:val="00701FD7"/>
    <w:rsid w:val="00723786"/>
    <w:rsid w:val="0072477A"/>
    <w:rsid w:val="00747E6D"/>
    <w:rsid w:val="00780C7E"/>
    <w:rsid w:val="00781391"/>
    <w:rsid w:val="007967FF"/>
    <w:rsid w:val="007A68E6"/>
    <w:rsid w:val="007C2EC7"/>
    <w:rsid w:val="008037D5"/>
    <w:rsid w:val="00804494"/>
    <w:rsid w:val="0081492C"/>
    <w:rsid w:val="00826493"/>
    <w:rsid w:val="008307A0"/>
    <w:rsid w:val="00832B33"/>
    <w:rsid w:val="00841723"/>
    <w:rsid w:val="0084300B"/>
    <w:rsid w:val="00860948"/>
    <w:rsid w:val="00873D93"/>
    <w:rsid w:val="00880F41"/>
    <w:rsid w:val="008831D7"/>
    <w:rsid w:val="00895B25"/>
    <w:rsid w:val="008A222B"/>
    <w:rsid w:val="008B3F1F"/>
    <w:rsid w:val="008C5985"/>
    <w:rsid w:val="008D2CD8"/>
    <w:rsid w:val="008E57DE"/>
    <w:rsid w:val="008E6A82"/>
    <w:rsid w:val="008F0736"/>
    <w:rsid w:val="00900E29"/>
    <w:rsid w:val="00905C45"/>
    <w:rsid w:val="009060B7"/>
    <w:rsid w:val="0091474E"/>
    <w:rsid w:val="00915185"/>
    <w:rsid w:val="00916AC1"/>
    <w:rsid w:val="0095109C"/>
    <w:rsid w:val="009624BB"/>
    <w:rsid w:val="00990D26"/>
    <w:rsid w:val="0099243C"/>
    <w:rsid w:val="009B74EF"/>
    <w:rsid w:val="009E748D"/>
    <w:rsid w:val="00A40E99"/>
    <w:rsid w:val="00A60870"/>
    <w:rsid w:val="00A72897"/>
    <w:rsid w:val="00A876F7"/>
    <w:rsid w:val="00A93672"/>
    <w:rsid w:val="00A97D03"/>
    <w:rsid w:val="00AA346D"/>
    <w:rsid w:val="00AF4B34"/>
    <w:rsid w:val="00B0512C"/>
    <w:rsid w:val="00B14F8F"/>
    <w:rsid w:val="00B23724"/>
    <w:rsid w:val="00B32408"/>
    <w:rsid w:val="00B432BE"/>
    <w:rsid w:val="00B618D8"/>
    <w:rsid w:val="00B623C3"/>
    <w:rsid w:val="00B7329E"/>
    <w:rsid w:val="00B8558D"/>
    <w:rsid w:val="00BA3861"/>
    <w:rsid w:val="00BC01D6"/>
    <w:rsid w:val="00BC0CC7"/>
    <w:rsid w:val="00BD5B7F"/>
    <w:rsid w:val="00BE01EF"/>
    <w:rsid w:val="00C1359A"/>
    <w:rsid w:val="00C23F72"/>
    <w:rsid w:val="00C258A8"/>
    <w:rsid w:val="00C2768B"/>
    <w:rsid w:val="00C51498"/>
    <w:rsid w:val="00C700A3"/>
    <w:rsid w:val="00C705F0"/>
    <w:rsid w:val="00C76E9A"/>
    <w:rsid w:val="00C77A76"/>
    <w:rsid w:val="00C8269A"/>
    <w:rsid w:val="00C85066"/>
    <w:rsid w:val="00C942F7"/>
    <w:rsid w:val="00C95367"/>
    <w:rsid w:val="00CB6D5C"/>
    <w:rsid w:val="00CD37B0"/>
    <w:rsid w:val="00CE515C"/>
    <w:rsid w:val="00D05BEB"/>
    <w:rsid w:val="00D258B9"/>
    <w:rsid w:val="00D27822"/>
    <w:rsid w:val="00D50E58"/>
    <w:rsid w:val="00D52538"/>
    <w:rsid w:val="00D53FE5"/>
    <w:rsid w:val="00D609FC"/>
    <w:rsid w:val="00D65747"/>
    <w:rsid w:val="00D72D43"/>
    <w:rsid w:val="00D77143"/>
    <w:rsid w:val="00D819B1"/>
    <w:rsid w:val="00D84062"/>
    <w:rsid w:val="00D872A2"/>
    <w:rsid w:val="00D951F8"/>
    <w:rsid w:val="00DA3622"/>
    <w:rsid w:val="00DB05D2"/>
    <w:rsid w:val="00DB72F3"/>
    <w:rsid w:val="00DC580A"/>
    <w:rsid w:val="00DD40D3"/>
    <w:rsid w:val="00DE60E7"/>
    <w:rsid w:val="00DF2131"/>
    <w:rsid w:val="00E00ACB"/>
    <w:rsid w:val="00E10B21"/>
    <w:rsid w:val="00E11868"/>
    <w:rsid w:val="00E238EE"/>
    <w:rsid w:val="00E23C26"/>
    <w:rsid w:val="00E40639"/>
    <w:rsid w:val="00E54456"/>
    <w:rsid w:val="00E556C6"/>
    <w:rsid w:val="00E56E67"/>
    <w:rsid w:val="00E71CA5"/>
    <w:rsid w:val="00E74EE0"/>
    <w:rsid w:val="00E869C7"/>
    <w:rsid w:val="00ED1CFA"/>
    <w:rsid w:val="00ED26E8"/>
    <w:rsid w:val="00ED7AD2"/>
    <w:rsid w:val="00EE3C4B"/>
    <w:rsid w:val="00EE61AA"/>
    <w:rsid w:val="00EF76C0"/>
    <w:rsid w:val="00F052E0"/>
    <w:rsid w:val="00F16F12"/>
    <w:rsid w:val="00F17C17"/>
    <w:rsid w:val="00F23398"/>
    <w:rsid w:val="00F240E5"/>
    <w:rsid w:val="00F3422D"/>
    <w:rsid w:val="00F57C1C"/>
    <w:rsid w:val="00F8739A"/>
    <w:rsid w:val="00FA3960"/>
    <w:rsid w:val="00FA50BD"/>
    <w:rsid w:val="00FA7FC9"/>
    <w:rsid w:val="00FB2328"/>
    <w:rsid w:val="00FD7672"/>
    <w:rsid w:val="00FF21F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71C311"/>
  <w15:docId w15:val="{43AA9C9E-C762-1B47-90C8-0FF8FB5D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ja-JP" w:bidi="ar-SA"/>
      </w:rPr>
    </w:rPrDefault>
    <w:pPrDefault/>
  </w:docDefaults>
  <w:latentStyles w:defLockedState="0" w:defUIPriority="99" w:defSemiHidden="0" w:defUnhideWhenUsed="0" w:defQFormat="0" w:count="375">
    <w:lsdException w:name="Normal" w:qFormat="1"/>
    <w:lsdException w:name="heading 1" w:locked="1" w:uiPriority="9" w:qFormat="1"/>
    <w:lsdException w:name="heading 2" w:locked="1" w:qFormat="1"/>
    <w:lsdException w:name="heading 3" w:locked="1" w:qFormat="1"/>
    <w:lsdException w:name="heading 4" w:locked="1" w:qFormat="1"/>
    <w:lsdException w:name="heading 5" w:locked="1"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1" w:unhideWhenUsed="1" w:qFormat="1"/>
    <w:lsdException w:name="toc 2" w:locked="1" w:semiHidden="1" w:uiPriority="1" w:unhideWhenUsed="1" w:qFormat="1"/>
    <w:lsdException w:name="toc 3" w:locked="1" w:semiHidden="1" w:uiPriority="1" w:unhideWhenUsed="1" w:qFormat="1"/>
    <w:lsdException w:name="toc 4" w:locked="1" w:semiHidden="1" w:uiPriority="1" w:unhideWhenUsed="1"/>
    <w:lsdException w:name="toc 5" w:locked="1" w:semiHidden="1" w:uiPriority="1" w:unhideWhenUsed="1"/>
    <w:lsdException w:name="toc 6" w:locked="1" w:semiHidden="1" w:uiPriority="1" w:unhideWhenUsed="1"/>
    <w:lsdException w:name="toc 7" w:locked="1" w:semiHidden="1" w:uiPriority="1" w:unhideWhenUsed="1"/>
    <w:lsdException w:name="toc 8" w:locked="1" w:semiHidden="1" w:uiPriority="1" w:unhideWhenUsed="1"/>
    <w:lsdException w:name="toc 9" w:locked="1" w:semiHidden="1" w:uiPriority="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uiPriority="60"/>
    <w:lsdException w:name="Dark List" w:locked="1" w:uiPriority="61"/>
    <w:lsdException w:name="Colorful Shading" w:locked="1" w:uiPriority="62"/>
    <w:lsdException w:name="Colorful List" w:locked="1" w:uiPriority="63"/>
    <w:lsdException w:name="Colorful Grid" w:locked="1" w:uiPriority="64"/>
    <w:lsdException w:name="Light Shading Accent 1" w:locked="1" w:uiPriority="65"/>
    <w:lsdException w:name="Light List Accent 1" w:locked="1" w:uiPriority="66"/>
    <w:lsdException w:name="Light Grid Accent 1" w:locked="1" w:uiPriority="67"/>
    <w:lsdException w:name="Medium Shading 1 Accent 1" w:locked="1" w:uiPriority="68"/>
    <w:lsdException w:name="Medium Shading 2 Accent 1" w:locked="1" w:uiPriority="69"/>
    <w:lsdException w:name="Medium List 1 Accent 1" w:locked="1" w:uiPriority="70"/>
    <w:lsdException w:name="Revision" w:locked="1" w:uiPriority="71"/>
    <w:lsdException w:name="List Paragraph" w:locked="1" w:uiPriority="34" w:qFormat="1"/>
    <w:lsdException w:name="Quote" w:locked="1" w:uiPriority="73" w:qFormat="1"/>
    <w:lsdException w:name="Intense Quote" w:locked="1" w:uiPriority="60" w:qFormat="1"/>
    <w:lsdException w:name="Medium List 2 Accent 1" w:locked="1" w:uiPriority="61"/>
    <w:lsdException w:name="Medium Grid 1 Accent 1" w:locked="1" w:uiPriority="62"/>
    <w:lsdException w:name="Medium Grid 2 Accent 1" w:locked="1" w:uiPriority="63"/>
    <w:lsdException w:name="Medium Grid 3 Accent 1" w:uiPriority="64"/>
    <w:lsdException w:name="Dark List Accent 1" w:locked="1" w:uiPriority="65"/>
    <w:lsdException w:name="Colorful Shading Accent 1"/>
    <w:lsdException w:name="Colorful List Accent 1" w:locked="1" w:uiPriority="34" w:qFormat="1"/>
    <w:lsdException w:name="Colorful Grid Accent 1" w:qFormat="1"/>
    <w:lsdException w:name="Light Shading Accent 2" w:qFormat="1"/>
    <w:lsdException w:name="Light List Accent 2" w:locked="1" w:uiPriority="66"/>
    <w:lsdException w:name="Light Grid Accent 2" w:locked="1" w:uiPriority="67"/>
    <w:lsdException w:name="Medium Shading 1 Accent 2" w:locked="1" w:uiPriority="68"/>
    <w:lsdException w:name="Medium Shading 2 Accent 2" w:locked="1" w:uiPriority="69"/>
    <w:lsdException w:name="Medium List 1 Accent 2" w:locked="1" w:uiPriority="70"/>
    <w:lsdException w:name="Medium List 2 Accent 2" w:locked="1" w:uiPriority="71"/>
    <w:lsdException w:name="Medium Grid 1 Accent 2" w:locked="1" w:uiPriority="72"/>
    <w:lsdException w:name="Medium Grid 2 Accent 2" w:locked="1" w:uiPriority="73"/>
    <w:lsdException w:name="Medium Grid 3 Accent 2" w:locked="1" w:uiPriority="60"/>
    <w:lsdException w:name="Dark List Accent 2" w:locked="1" w:uiPriority="61"/>
    <w:lsdException w:name="Colorful Shading Accent 2" w:locked="1" w:uiPriority="62"/>
    <w:lsdException w:name="Colorful List Accent 2" w:locked="1" w:uiPriority="63"/>
    <w:lsdException w:name="Colorful Grid Accent 2" w:locked="1" w:uiPriority="64"/>
    <w:lsdException w:name="Light Shading Accent 3" w:locked="1" w:uiPriority="65"/>
    <w:lsdException w:name="Light List Accent 3" w:locked="1" w:uiPriority="66"/>
    <w:lsdException w:name="Light Grid Accent 3" w:locked="1" w:uiPriority="67"/>
    <w:lsdException w:name="Medium Shading 1 Accent 3" w:locked="1" w:uiPriority="68"/>
    <w:lsdException w:name="Medium Shading 2 Accent 3" w:locked="1" w:uiPriority="69"/>
    <w:lsdException w:name="Medium List 1 Accent 3" w:locked="1" w:uiPriority="70"/>
    <w:lsdException w:name="Medium List 2 Accent 3" w:locked="1" w:uiPriority="71"/>
    <w:lsdException w:name="Medium Grid 1 Accent 3" w:locked="1" w:uiPriority="72"/>
    <w:lsdException w:name="Medium Grid 2 Accent 3" w:locked="1" w:uiPriority="73"/>
    <w:lsdException w:name="Medium Grid 3 Accent 3" w:locked="1" w:uiPriority="60"/>
    <w:lsdException w:name="Dark List Accent 3" w:locked="1" w:uiPriority="61"/>
    <w:lsdException w:name="Colorful Shading Accent 3" w:locked="1" w:uiPriority="62"/>
    <w:lsdException w:name="Colorful List Accent 3" w:locked="1" w:uiPriority="63"/>
    <w:lsdException w:name="Colorful Grid Accent 3" w:locked="1" w:uiPriority="64"/>
    <w:lsdException w:name="Light Shading Accent 4" w:locked="1" w:uiPriority="65"/>
    <w:lsdException w:name="Light List Accent 4" w:locked="1" w:uiPriority="66"/>
    <w:lsdException w:name="Light Grid Accent 4" w:locked="1" w:uiPriority="67"/>
    <w:lsdException w:name="Medium Shading 1 Accent 4" w:locked="1" w:uiPriority="68"/>
    <w:lsdException w:name="Medium Shading 2 Accent 4" w:locked="1" w:uiPriority="69"/>
    <w:lsdException w:name="Medium List 1 Accent 4" w:locked="1" w:uiPriority="70"/>
    <w:lsdException w:name="Medium List 2 Accent 4" w:locked="1" w:uiPriority="71"/>
    <w:lsdException w:name="Medium Grid 1 Accent 4" w:locked="1" w:uiPriority="72"/>
    <w:lsdException w:name="Medium Grid 2 Accent 4" w:locked="1" w:uiPriority="73"/>
    <w:lsdException w:name="Medium Grid 3 Accent 4" w:locked="1" w:uiPriority="60"/>
    <w:lsdException w:name="Dark List Accent 4" w:locked="1" w:uiPriority="61"/>
    <w:lsdException w:name="Colorful Shading Accent 4" w:locked="1" w:uiPriority="62"/>
    <w:lsdException w:name="Colorful List Accent 4" w:locked="1" w:uiPriority="63"/>
    <w:lsdException w:name="Colorful Grid Accent 4" w:locked="1" w:uiPriority="64"/>
    <w:lsdException w:name="Light Shading Accent 5" w:locked="1" w:uiPriority="65"/>
    <w:lsdException w:name="Light List Accent 5" w:locked="1" w:uiPriority="66"/>
    <w:lsdException w:name="Light Grid Accent 5" w:locked="1" w:uiPriority="67"/>
    <w:lsdException w:name="Medium Shading 1 Accent 5" w:locked="1" w:uiPriority="68"/>
    <w:lsdException w:name="Medium Shading 2 Accent 5" w:locked="1" w:uiPriority="69"/>
    <w:lsdException w:name="Medium List 1 Accent 5" w:locked="1" w:uiPriority="70"/>
    <w:lsdException w:name="Medium List 2 Accent 5" w:locked="1" w:uiPriority="71"/>
    <w:lsdException w:name="Medium Grid 1 Accent 5" w:locked="1" w:uiPriority="72"/>
    <w:lsdException w:name="Medium Grid 2 Accent 5" w:locked="1" w:uiPriority="73"/>
    <w:lsdException w:name="Medium Grid 3 Accent 5" w:locked="1" w:uiPriority="60"/>
    <w:lsdException w:name="Dark List Accent 5" w:locked="1" w:uiPriority="61"/>
    <w:lsdException w:name="Colorful Shading Accent 5" w:locked="1" w:uiPriority="62"/>
    <w:lsdException w:name="Colorful List Accent 5" w:locked="1" w:uiPriority="63"/>
    <w:lsdException w:name="Colorful Grid Accent 5" w:locked="1" w:uiPriority="64"/>
    <w:lsdException w:name="Light Shading Accent 6" w:locked="1" w:uiPriority="65"/>
    <w:lsdException w:name="Light List Accent 6" w:locked="1" w:uiPriority="66"/>
    <w:lsdException w:name="Light Grid Accent 6" w:locked="1" w:uiPriority="67"/>
    <w:lsdException w:name="Medium Shading 1 Accent 6" w:locked="1" w:uiPriority="68"/>
    <w:lsdException w:name="Medium Shading 2 Accent 6" w:locked="1" w:uiPriority="69"/>
    <w:lsdException w:name="Medium List 1 Accent 6" w:locked="1" w:uiPriority="70"/>
    <w:lsdException w:name="Medium List 2 Accent 6" w:locked="1" w:uiPriority="71"/>
    <w:lsdException w:name="Medium Grid 1 Accent 6" w:locked="1" w:uiPriority="72"/>
    <w:lsdException w:name="Medium Grid 2 Accent 6" w:locked="1" w:uiPriority="73"/>
    <w:lsdException w:name="Medium Grid 3 Accent 6" w:locked="1" w:uiPriority="60"/>
    <w:lsdException w:name="Dark List Accent 6" w:locked="1" w:uiPriority="61"/>
    <w:lsdException w:name="Colorful Shading Accent 6" w:locked="1" w:uiPriority="62"/>
    <w:lsdException w:name="Colorful List Accent 6" w:locked="1" w:uiPriority="63"/>
    <w:lsdException w:name="Colorful Grid Accent 6" w:locked="1" w:uiPriority="64"/>
    <w:lsdException w:name="Subtle Emphasis" w:locked="1" w:uiPriority="65" w:qFormat="1"/>
    <w:lsdException w:name="Intense Emphasis" w:locked="1" w:uiPriority="66" w:qFormat="1"/>
    <w:lsdException w:name="Subtle Reference" w:locked="1" w:uiPriority="67" w:qFormat="1"/>
    <w:lsdException w:name="Intense Reference" w:locked="1" w:uiPriority="68" w:qFormat="1"/>
    <w:lsdException w:name="Book Title" w:locked="1" w:uiPriority="69" w:qFormat="1"/>
    <w:lsdException w:name="Bibliography" w:locked="1" w:uiPriority="70"/>
    <w:lsdException w:name="TOC Heading" w:locked="1" w:semiHidden="1" w:uiPriority="71"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D258B9"/>
    <w:pPr>
      <w:spacing w:after="170"/>
    </w:pPr>
    <w:rPr>
      <w:lang w:eastAsia="en-US"/>
    </w:rPr>
  </w:style>
  <w:style w:type="paragraph" w:styleId="Heading1">
    <w:name w:val="heading 1"/>
    <w:basedOn w:val="LTU-Sectionheading"/>
    <w:next w:val="Normal"/>
    <w:link w:val="Heading1Char"/>
    <w:uiPriority w:val="9"/>
    <w:qFormat/>
    <w:locked/>
    <w:rsid w:val="004C518E"/>
    <w:pPr>
      <w:outlineLvl w:val="0"/>
    </w:pPr>
    <w:rPr>
      <w:rFonts w:asciiTheme="majorHAnsi" w:hAnsiTheme="majorHAnsi"/>
      <w:b w:val="0"/>
    </w:rPr>
  </w:style>
  <w:style w:type="paragraph" w:styleId="Heading2">
    <w:name w:val="heading 2"/>
    <w:basedOn w:val="Normal"/>
    <w:next w:val="Normal"/>
    <w:link w:val="Heading2Char"/>
    <w:uiPriority w:val="99"/>
    <w:qFormat/>
    <w:locked/>
    <w:rsid w:val="004C518E"/>
    <w:pPr>
      <w:spacing w:before="240" w:after="80"/>
      <w:outlineLvl w:val="1"/>
    </w:pPr>
    <w:rPr>
      <w:rFonts w:asciiTheme="majorHAnsi" w:eastAsia="MS Mincho" w:hAnsiTheme="majorHAnsi"/>
      <w:spacing w:val="5"/>
      <w:sz w:val="24"/>
      <w:szCs w:val="28"/>
    </w:rPr>
  </w:style>
  <w:style w:type="paragraph" w:styleId="Heading3">
    <w:name w:val="heading 3"/>
    <w:basedOn w:val="Normal"/>
    <w:next w:val="Normal"/>
    <w:link w:val="Heading3Char"/>
    <w:uiPriority w:val="99"/>
    <w:qFormat/>
    <w:locked/>
    <w:rsid w:val="00F17C17"/>
    <w:pPr>
      <w:outlineLvl w:val="2"/>
    </w:pPr>
    <w:rPr>
      <w:rFonts w:ascii="Roboto" w:eastAsia="MS Mincho" w:hAnsi="Roboto"/>
      <w:b/>
      <w:sz w:val="24"/>
      <w:lang w:val="en-US" w:bidi="en-US"/>
    </w:rPr>
  </w:style>
  <w:style w:type="paragraph" w:styleId="Heading4">
    <w:name w:val="heading 4"/>
    <w:basedOn w:val="Normal"/>
    <w:next w:val="Normal"/>
    <w:link w:val="Heading4Char"/>
    <w:uiPriority w:val="99"/>
    <w:qFormat/>
    <w:locked/>
    <w:rsid w:val="00F17C17"/>
    <w:pPr>
      <w:keepNext/>
      <w:keepLines/>
      <w:spacing w:before="200" w:after="0"/>
      <w:outlineLvl w:val="3"/>
    </w:pPr>
    <w:rPr>
      <w:rFonts w:ascii="Cambria" w:eastAsia="MS Gothic"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TU-TableofContents">
    <w:name w:val="LTU - Table of Contents"/>
    <w:basedOn w:val="TableNormal"/>
    <w:uiPriority w:val="99"/>
    <w:rsid w:val="00F17C17"/>
    <w:tblPr>
      <w:tblBorders>
        <w:bottom w:val="single" w:sz="4" w:space="0" w:color="696766"/>
        <w:insideH w:val="single" w:sz="4" w:space="0" w:color="696766"/>
      </w:tblBorders>
    </w:tblPr>
    <w:tcPr>
      <w:tcMar>
        <w:top w:w="57" w:type="dxa"/>
        <w:left w:w="0" w:type="dxa"/>
        <w:bottom w:w="57" w:type="dxa"/>
        <w:right w:w="0" w:type="dxa"/>
      </w:tcMar>
    </w:tcPr>
  </w:style>
  <w:style w:type="table" w:customStyle="1" w:styleId="LTU-Table1">
    <w:name w:val="LTU - Table 1"/>
    <w:basedOn w:val="TableNormal"/>
    <w:uiPriority w:val="99"/>
    <w:rsid w:val="004C518E"/>
    <w:rPr>
      <w:rFonts w:asciiTheme="minorHAnsi" w:hAnsiTheme="minorHAnsi"/>
      <w:color w:val="000000"/>
    </w:rPr>
    <w:tblPr>
      <w:tblInd w:w="57" w:type="dxa"/>
      <w:tblBorders>
        <w:bottom w:val="single" w:sz="2" w:space="0" w:color="696766"/>
        <w:insideH w:val="single" w:sz="2" w:space="0" w:color="696766"/>
        <w:insideV w:val="single" w:sz="2" w:space="0" w:color="696766"/>
      </w:tblBorders>
      <w:tblCellMar>
        <w:top w:w="40" w:type="dxa"/>
        <w:left w:w="40" w:type="dxa"/>
        <w:bottom w:w="40" w:type="dxa"/>
        <w:right w:w="40" w:type="dxa"/>
      </w:tblCellMar>
    </w:tblPr>
    <w:tcPr>
      <w:tcMar>
        <w:top w:w="57" w:type="dxa"/>
        <w:left w:w="57" w:type="dxa"/>
        <w:bottom w:w="57" w:type="dxa"/>
        <w:right w:w="57" w:type="dxa"/>
      </w:tcMar>
      <w:vAlign w:val="center"/>
    </w:tcPr>
    <w:tblStylePr w:type="firstRow">
      <w:rPr>
        <w:rFonts w:ascii="Symbol" w:hAnsi="Symbol"/>
        <w:b/>
        <w:caps/>
        <w:smallCaps w:val="0"/>
        <w:color w:val="FFFFFF"/>
        <w:sz w:val="16"/>
      </w:rPr>
      <w:tblPr/>
      <w:tcPr>
        <w:tcBorders>
          <w:insideV w:val="nil"/>
        </w:tcBorders>
        <w:shd w:val="clear" w:color="auto" w:fill="EE3124" w:themeFill="accent1"/>
      </w:tcPr>
    </w:tblStylePr>
  </w:style>
  <w:style w:type="paragraph" w:customStyle="1" w:styleId="LTU-Cover-Year">
    <w:name w:val="LTU - Cover - Year"/>
    <w:basedOn w:val="Normal"/>
    <w:next w:val="LTU-Cover-Title"/>
    <w:uiPriority w:val="99"/>
    <w:semiHidden/>
    <w:rsid w:val="00F17C17"/>
    <w:pPr>
      <w:widowControl w:val="0"/>
      <w:suppressAutoHyphens/>
      <w:autoSpaceDE w:val="0"/>
      <w:autoSpaceDN w:val="0"/>
      <w:adjustRightInd w:val="0"/>
      <w:spacing w:after="1077" w:line="220" w:lineRule="atLeast"/>
      <w:textAlignment w:val="center"/>
    </w:pPr>
    <w:rPr>
      <w:rFonts w:eastAsia="MS Mincho" w:cs="Arial"/>
      <w:b/>
      <w:bCs/>
      <w:caps/>
      <w:color w:val="FFFFFF"/>
      <w:spacing w:val="-2"/>
      <w:w w:val="90"/>
      <w:sz w:val="24"/>
      <w:szCs w:val="24"/>
      <w:lang w:val="en-GB" w:eastAsia="en-AU"/>
    </w:rPr>
  </w:style>
  <w:style w:type="paragraph" w:customStyle="1" w:styleId="LTU-Cover-Title">
    <w:name w:val="LTU - Cover - Title"/>
    <w:basedOn w:val="Normal"/>
    <w:next w:val="LTU-Cover-Subhead"/>
    <w:uiPriority w:val="99"/>
    <w:semiHidden/>
    <w:rsid w:val="00F17C17"/>
    <w:pPr>
      <w:widowControl w:val="0"/>
      <w:autoSpaceDE w:val="0"/>
      <w:autoSpaceDN w:val="0"/>
      <w:adjustRightInd w:val="0"/>
      <w:spacing w:line="600" w:lineRule="atLeast"/>
      <w:textAlignment w:val="center"/>
    </w:pPr>
    <w:rPr>
      <w:rFonts w:ascii="Georgia" w:eastAsia="MS Mincho" w:hAnsi="Georgia" w:cs="Georgia"/>
      <w:b/>
      <w:bCs/>
      <w:color w:val="FFFFFF"/>
      <w:sz w:val="56"/>
      <w:szCs w:val="56"/>
      <w:lang w:eastAsia="en-AU"/>
    </w:rPr>
  </w:style>
  <w:style w:type="paragraph" w:customStyle="1" w:styleId="LTU-Cover-Subhead">
    <w:name w:val="LTU - Cover - Subhead"/>
    <w:basedOn w:val="Normal"/>
    <w:uiPriority w:val="99"/>
    <w:semiHidden/>
    <w:rsid w:val="00F17C17"/>
    <w:pPr>
      <w:widowControl w:val="0"/>
      <w:autoSpaceDE w:val="0"/>
      <w:autoSpaceDN w:val="0"/>
      <w:adjustRightInd w:val="0"/>
      <w:spacing w:before="85" w:after="0" w:line="320" w:lineRule="atLeast"/>
      <w:textAlignment w:val="center"/>
    </w:pPr>
    <w:rPr>
      <w:rFonts w:ascii="Georgia" w:eastAsia="MS Mincho" w:hAnsi="Georgia" w:cs="Georgia"/>
      <w:color w:val="FFFFFF"/>
      <w:sz w:val="28"/>
      <w:szCs w:val="28"/>
      <w:lang w:val="en-GB" w:eastAsia="en-AU"/>
    </w:rPr>
  </w:style>
  <w:style w:type="character" w:customStyle="1" w:styleId="warmgreyColours">
    <w:name w:val="warm grey (Colours)"/>
    <w:uiPriority w:val="99"/>
    <w:semiHidden/>
    <w:locked/>
    <w:rsid w:val="00F17C17"/>
    <w:rPr>
      <w:color w:val="5C4A3F"/>
    </w:rPr>
  </w:style>
  <w:style w:type="paragraph" w:customStyle="1" w:styleId="Default">
    <w:name w:val="Default"/>
    <w:rsid w:val="00F17C17"/>
    <w:pPr>
      <w:autoSpaceDE w:val="0"/>
      <w:autoSpaceDN w:val="0"/>
      <w:adjustRightInd w:val="0"/>
    </w:pPr>
    <w:rPr>
      <w:rFonts w:eastAsia="MS Mincho" w:cs="Calibri"/>
      <w:color w:val="000000"/>
      <w:sz w:val="24"/>
      <w:szCs w:val="24"/>
      <w:lang w:eastAsia="en-US"/>
    </w:rPr>
  </w:style>
  <w:style w:type="table" w:customStyle="1" w:styleId="LightShading1">
    <w:name w:val="Light Shading1"/>
    <w:basedOn w:val="TableNormal"/>
    <w:uiPriority w:val="60"/>
    <w:locked/>
    <w:rsid w:val="00F17C17"/>
    <w:pPr>
      <w:jc w:val="both"/>
    </w:pPr>
    <w:rPr>
      <w:rFonts w:eastAsia="MS Mincho"/>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LTU-Subhead1">
    <w:name w:val="LTU - Subhead 1"/>
    <w:basedOn w:val="Normal"/>
    <w:qFormat/>
    <w:rsid w:val="004C518E"/>
    <w:pPr>
      <w:autoSpaceDE w:val="0"/>
      <w:autoSpaceDN w:val="0"/>
      <w:adjustRightInd w:val="0"/>
      <w:spacing w:before="340"/>
      <w:textAlignment w:val="center"/>
    </w:pPr>
    <w:rPr>
      <w:rFonts w:asciiTheme="majorHAnsi" w:hAnsiTheme="majorHAnsi" w:cs="Arial"/>
      <w:color w:val="EE3124" w:themeColor="accent1"/>
      <w:lang w:val="en-GB"/>
    </w:rPr>
  </w:style>
  <w:style w:type="paragraph" w:customStyle="1" w:styleId="LTU-Subhead2">
    <w:name w:val="LTU - Subhead 2"/>
    <w:basedOn w:val="Normal"/>
    <w:uiPriority w:val="99"/>
    <w:semiHidden/>
    <w:qFormat/>
    <w:rsid w:val="00F17C17"/>
    <w:pPr>
      <w:autoSpaceDE w:val="0"/>
      <w:autoSpaceDN w:val="0"/>
      <w:adjustRightInd w:val="0"/>
      <w:spacing w:before="226" w:after="113"/>
      <w:textAlignment w:val="center"/>
    </w:pPr>
    <w:rPr>
      <w:rFonts w:ascii="Georgia" w:hAnsi="Georgia" w:cs="Brioni Std Medium"/>
      <w:b/>
      <w:color w:val="000000"/>
      <w:sz w:val="26"/>
      <w:szCs w:val="26"/>
      <w:lang w:val="en-GB"/>
    </w:rPr>
  </w:style>
  <w:style w:type="paragraph" w:customStyle="1" w:styleId="LTU-Bullets">
    <w:name w:val="LTU - Bullets"/>
    <w:basedOn w:val="Normal"/>
    <w:uiPriority w:val="99"/>
    <w:semiHidden/>
    <w:qFormat/>
    <w:rsid w:val="00F17C17"/>
    <w:pPr>
      <w:spacing w:after="0"/>
      <w:ind w:left="170" w:hanging="170"/>
      <w:contextualSpacing/>
    </w:pPr>
    <w:rPr>
      <w:rFonts w:eastAsia="MS Mincho" w:cs="Arial"/>
      <w:lang w:bidi="en-US"/>
    </w:rPr>
  </w:style>
  <w:style w:type="paragraph" w:customStyle="1" w:styleId="LTU-Bullets85ptafter">
    <w:name w:val="LTU - Bullets 8.5pt after"/>
    <w:basedOn w:val="Normal"/>
    <w:next w:val="LTU-Body"/>
    <w:qFormat/>
    <w:rsid w:val="004C518E"/>
    <w:pPr>
      <w:numPr>
        <w:numId w:val="11"/>
      </w:numPr>
      <w:contextualSpacing/>
    </w:pPr>
    <w:rPr>
      <w:rFonts w:ascii="Roboto" w:eastAsia="Times New Roman" w:hAnsi="Roboto" w:cs="Arial"/>
      <w:color w:val="000000"/>
      <w:lang w:eastAsia="en-AU" w:bidi="en-US"/>
    </w:rPr>
  </w:style>
  <w:style w:type="paragraph" w:customStyle="1" w:styleId="LTU-Body10pt">
    <w:name w:val="LTU - Body 10pt"/>
    <w:basedOn w:val="BasicParagraph"/>
    <w:uiPriority w:val="99"/>
    <w:semiHidden/>
    <w:qFormat/>
    <w:rsid w:val="00990D26"/>
    <w:pPr>
      <w:spacing w:after="170" w:line="240" w:lineRule="auto"/>
    </w:pPr>
    <w:rPr>
      <w:rFonts w:ascii="Calibri" w:hAnsi="Calibri" w:cs="Calibri"/>
      <w:sz w:val="20"/>
      <w:szCs w:val="20"/>
    </w:rPr>
  </w:style>
  <w:style w:type="paragraph" w:customStyle="1" w:styleId="LTU-Body5pt">
    <w:name w:val="LTU - Body 5pt"/>
    <w:basedOn w:val="LTU-Body10pt"/>
    <w:uiPriority w:val="99"/>
    <w:semiHidden/>
    <w:qFormat/>
    <w:rsid w:val="00F17C17"/>
    <w:pPr>
      <w:spacing w:after="100"/>
    </w:pPr>
  </w:style>
  <w:style w:type="paragraph" w:customStyle="1" w:styleId="LTU-Bulletssub0pt">
    <w:name w:val="LTU - Bullets (sub) 0pt"/>
    <w:basedOn w:val="LTU-Bullets"/>
    <w:uiPriority w:val="99"/>
    <w:semiHidden/>
    <w:qFormat/>
    <w:rsid w:val="00F17C17"/>
    <w:pPr>
      <w:numPr>
        <w:ilvl w:val="1"/>
        <w:numId w:val="12"/>
      </w:numPr>
    </w:pPr>
  </w:style>
  <w:style w:type="paragraph" w:customStyle="1" w:styleId="LTU-Bullets0ptafter">
    <w:name w:val="LTU - Bullets 0pt after"/>
    <w:basedOn w:val="LTU-Bullets85ptafter"/>
    <w:qFormat/>
    <w:rsid w:val="004421E4"/>
  </w:style>
  <w:style w:type="paragraph" w:customStyle="1" w:styleId="LTU-Figuresubhead">
    <w:name w:val="LTU - Figure subhead"/>
    <w:basedOn w:val="Caption"/>
    <w:uiPriority w:val="99"/>
    <w:semiHidden/>
    <w:qFormat/>
    <w:rsid w:val="00F17C17"/>
    <w:pPr>
      <w:spacing w:after="100"/>
      <w:jc w:val="both"/>
    </w:pPr>
    <w:rPr>
      <w:rFonts w:cs="Arial"/>
      <w:color w:val="5D4B3F"/>
      <w:szCs w:val="16"/>
      <w:lang w:val="en-AU" w:eastAsia="en-AU"/>
    </w:rPr>
  </w:style>
  <w:style w:type="paragraph" w:styleId="Caption">
    <w:name w:val="caption"/>
    <w:basedOn w:val="Normal"/>
    <w:next w:val="Normal"/>
    <w:uiPriority w:val="99"/>
    <w:qFormat/>
    <w:locked/>
    <w:rsid w:val="00F17C17"/>
    <w:rPr>
      <w:rFonts w:ascii="Roboto" w:eastAsia="MS Mincho" w:hAnsi="Roboto"/>
      <w:b/>
      <w:bCs/>
      <w:caps/>
      <w:szCs w:val="18"/>
      <w:lang w:val="en-US" w:bidi="en-US"/>
    </w:rPr>
  </w:style>
  <w:style w:type="paragraph" w:customStyle="1" w:styleId="LTU-Sectionheading">
    <w:name w:val="LTU - Section heading"/>
    <w:basedOn w:val="LTU-Body10pt"/>
    <w:uiPriority w:val="99"/>
    <w:semiHidden/>
    <w:qFormat/>
    <w:rsid w:val="00F17C17"/>
    <w:pPr>
      <w:spacing w:after="800" w:line="560" w:lineRule="exact"/>
    </w:pPr>
    <w:rPr>
      <w:rFonts w:ascii="Georgia" w:hAnsi="Georgia"/>
      <w:b/>
      <w:color w:val="696766"/>
      <w:spacing w:val="5"/>
      <w:sz w:val="56"/>
      <w:szCs w:val="56"/>
      <w:lang w:bidi="en-US"/>
    </w:rPr>
  </w:style>
  <w:style w:type="paragraph" w:customStyle="1" w:styleId="LTU-Subhead10pt">
    <w:name w:val="LTU - Subhead 1 0pt"/>
    <w:basedOn w:val="LTU-Subhead1"/>
    <w:qFormat/>
    <w:rsid w:val="0091474E"/>
    <w:pPr>
      <w:spacing w:before="0"/>
    </w:pPr>
  </w:style>
  <w:style w:type="paragraph" w:customStyle="1" w:styleId="LTU-Bulletssub10pt">
    <w:name w:val="LTU - Bullets (sub) 10pt"/>
    <w:basedOn w:val="LTU-Bulletssub0pt"/>
    <w:uiPriority w:val="99"/>
    <w:semiHidden/>
    <w:qFormat/>
    <w:rsid w:val="00F17C17"/>
    <w:pPr>
      <w:numPr>
        <w:ilvl w:val="0"/>
        <w:numId w:val="0"/>
      </w:numPr>
      <w:spacing w:after="200"/>
    </w:pPr>
  </w:style>
  <w:style w:type="paragraph" w:customStyle="1" w:styleId="LTU-Header">
    <w:name w:val="LTU - Header"/>
    <w:basedOn w:val="Normal"/>
    <w:uiPriority w:val="99"/>
    <w:semiHidden/>
    <w:qFormat/>
    <w:rsid w:val="00F17C17"/>
    <w:pPr>
      <w:tabs>
        <w:tab w:val="center" w:pos="4513"/>
        <w:tab w:val="right" w:pos="9026"/>
      </w:tabs>
      <w:spacing w:after="0" w:line="240" w:lineRule="exact"/>
    </w:pPr>
    <w:rPr>
      <w:rFonts w:ascii="Arial Narrow" w:hAnsi="Arial Narrow" w:cs="Arial"/>
      <w:b/>
      <w:bCs/>
      <w:caps/>
      <w:color w:val="AB2328"/>
      <w:sz w:val="24"/>
      <w:szCs w:val="24"/>
    </w:rPr>
  </w:style>
  <w:style w:type="paragraph" w:customStyle="1" w:styleId="LTU-TableHeader">
    <w:name w:val="LTU - Table Header"/>
    <w:basedOn w:val="Normal"/>
    <w:qFormat/>
    <w:rsid w:val="002D11F0"/>
    <w:pPr>
      <w:spacing w:after="0"/>
    </w:pPr>
    <w:rPr>
      <w:rFonts w:ascii="Roboto" w:hAnsi="Roboto"/>
      <w:b/>
      <w:caps/>
      <w:color w:val="FFFFFF"/>
    </w:rPr>
  </w:style>
  <w:style w:type="paragraph" w:customStyle="1" w:styleId="LTU-Tablebody">
    <w:name w:val="LTU - Table body"/>
    <w:basedOn w:val="LTU-Body10pt"/>
    <w:qFormat/>
    <w:rsid w:val="004C518E"/>
    <w:pPr>
      <w:spacing w:after="0"/>
    </w:pPr>
    <w:rPr>
      <w:rFonts w:asciiTheme="minorHAnsi" w:hAnsiTheme="minorHAnsi"/>
      <w:lang w:bidi="en-US"/>
    </w:rPr>
  </w:style>
  <w:style w:type="paragraph" w:customStyle="1" w:styleId="LTU-Pagenumber-Right">
    <w:name w:val="LTU - Page number - Right"/>
    <w:basedOn w:val="Normal"/>
    <w:uiPriority w:val="99"/>
    <w:semiHidden/>
    <w:qFormat/>
    <w:rsid w:val="00F17C17"/>
    <w:pPr>
      <w:spacing w:after="0"/>
    </w:pPr>
    <w:rPr>
      <w:rFonts w:cs="Arial"/>
      <w:b/>
      <w:color w:val="FFFFFF"/>
    </w:rPr>
  </w:style>
  <w:style w:type="paragraph" w:customStyle="1" w:styleId="LTU-Footer-Right">
    <w:name w:val="LTU - Footer - Right"/>
    <w:basedOn w:val="Normal"/>
    <w:uiPriority w:val="99"/>
    <w:semiHidden/>
    <w:qFormat/>
    <w:rsid w:val="00F17C17"/>
    <w:pPr>
      <w:spacing w:after="0"/>
      <w:jc w:val="right"/>
    </w:pPr>
    <w:rPr>
      <w:rFonts w:cs="Arial"/>
      <w:color w:val="696766"/>
    </w:rPr>
  </w:style>
  <w:style w:type="paragraph" w:customStyle="1" w:styleId="LTU-Footer-Left">
    <w:name w:val="LTU - Footer - Left"/>
    <w:basedOn w:val="LTU-Footer-Right"/>
    <w:uiPriority w:val="99"/>
    <w:semiHidden/>
    <w:qFormat/>
    <w:rsid w:val="00F17C17"/>
    <w:pPr>
      <w:jc w:val="left"/>
    </w:pPr>
  </w:style>
  <w:style w:type="paragraph" w:customStyle="1" w:styleId="LTU-Cover-URL">
    <w:name w:val="LTU - Cover - URL"/>
    <w:basedOn w:val="Normal"/>
    <w:uiPriority w:val="99"/>
    <w:semiHidden/>
    <w:qFormat/>
    <w:rsid w:val="00F17C17"/>
    <w:pPr>
      <w:spacing w:after="0"/>
    </w:pPr>
    <w:rPr>
      <w:rFonts w:cs="Arial"/>
      <w:b/>
    </w:rPr>
  </w:style>
  <w:style w:type="paragraph" w:customStyle="1" w:styleId="LTU-Coverinside-Body">
    <w:name w:val="LTU - Cover (inside) - Body"/>
    <w:basedOn w:val="Normal"/>
    <w:uiPriority w:val="99"/>
    <w:semiHidden/>
    <w:qFormat/>
    <w:rsid w:val="00F17C17"/>
    <w:pPr>
      <w:tabs>
        <w:tab w:val="left" w:pos="2977"/>
      </w:tabs>
      <w:ind w:right="6944"/>
    </w:pPr>
    <w:rPr>
      <w:rFonts w:cs="Arial"/>
    </w:rPr>
  </w:style>
  <w:style w:type="paragraph" w:customStyle="1" w:styleId="LTU-Footnote">
    <w:name w:val="LTU - Footnote"/>
    <w:basedOn w:val="FootnoteText"/>
    <w:link w:val="LTU-FootnoteChar"/>
    <w:uiPriority w:val="99"/>
    <w:semiHidden/>
    <w:qFormat/>
    <w:rsid w:val="00F17C17"/>
    <w:pPr>
      <w:autoSpaceDE w:val="0"/>
      <w:autoSpaceDN w:val="0"/>
      <w:adjustRightInd w:val="0"/>
      <w:spacing w:after="75"/>
      <w:ind w:left="227" w:hanging="227"/>
    </w:pPr>
    <w:rPr>
      <w:rFonts w:cs="Calibri"/>
      <w:color w:val="5D4B3F"/>
      <w:sz w:val="14"/>
      <w:szCs w:val="18"/>
    </w:rPr>
  </w:style>
  <w:style w:type="character" w:customStyle="1" w:styleId="LTU-FootnoteChar">
    <w:name w:val="LTU - Footnote Char"/>
    <w:link w:val="LTU-Footnote"/>
    <w:uiPriority w:val="99"/>
    <w:semiHidden/>
    <w:rsid w:val="0091474E"/>
    <w:rPr>
      <w:rFonts w:cs="Calibri"/>
      <w:color w:val="5D4B3F"/>
      <w:sz w:val="14"/>
      <w:szCs w:val="18"/>
    </w:rPr>
  </w:style>
  <w:style w:type="paragraph" w:styleId="FootnoteText">
    <w:name w:val="footnote text"/>
    <w:basedOn w:val="Normal"/>
    <w:link w:val="FootnoteTextChar"/>
    <w:uiPriority w:val="99"/>
    <w:semiHidden/>
    <w:unhideWhenUsed/>
    <w:rsid w:val="00F17C17"/>
    <w:pPr>
      <w:spacing w:after="0"/>
    </w:pPr>
    <w:rPr>
      <w:rFonts w:ascii="Roboto" w:hAnsi="Roboto"/>
    </w:rPr>
  </w:style>
  <w:style w:type="character" w:customStyle="1" w:styleId="FootnoteTextChar">
    <w:name w:val="Footnote Text Char"/>
    <w:link w:val="FootnoteText"/>
    <w:uiPriority w:val="99"/>
    <w:semiHidden/>
    <w:rsid w:val="00F17C17"/>
    <w:rPr>
      <w:sz w:val="20"/>
      <w:szCs w:val="20"/>
    </w:rPr>
  </w:style>
  <w:style w:type="paragraph" w:customStyle="1" w:styleId="LTU-CCorEnclosures">
    <w:name w:val="LTU - CC: or Enclosures"/>
    <w:basedOn w:val="LTU-SendersPosition"/>
    <w:uiPriority w:val="99"/>
    <w:qFormat/>
    <w:rsid w:val="009B74EF"/>
    <w:rPr>
      <w:sz w:val="16"/>
    </w:rPr>
  </w:style>
  <w:style w:type="character" w:customStyle="1" w:styleId="Heading1Char">
    <w:name w:val="Heading 1 Char"/>
    <w:link w:val="Heading1"/>
    <w:uiPriority w:val="9"/>
    <w:rsid w:val="004C518E"/>
    <w:rPr>
      <w:rFonts w:asciiTheme="majorHAnsi" w:eastAsia="MS Mincho" w:hAnsiTheme="majorHAnsi" w:cs="Calibri"/>
      <w:color w:val="696766"/>
      <w:spacing w:val="5"/>
      <w:sz w:val="56"/>
      <w:szCs w:val="56"/>
      <w:lang w:val="en-GB" w:eastAsia="en-AU" w:bidi="en-US"/>
    </w:rPr>
  </w:style>
  <w:style w:type="character" w:customStyle="1" w:styleId="Heading2Char">
    <w:name w:val="Heading 2 Char"/>
    <w:link w:val="Heading2"/>
    <w:uiPriority w:val="99"/>
    <w:rsid w:val="004C518E"/>
    <w:rPr>
      <w:rFonts w:asciiTheme="majorHAnsi" w:eastAsia="MS Mincho" w:hAnsiTheme="majorHAnsi"/>
      <w:spacing w:val="5"/>
      <w:sz w:val="24"/>
      <w:szCs w:val="28"/>
      <w:lang w:eastAsia="en-US"/>
    </w:rPr>
  </w:style>
  <w:style w:type="character" w:customStyle="1" w:styleId="Heading3Char">
    <w:name w:val="Heading 3 Char"/>
    <w:link w:val="Heading3"/>
    <w:uiPriority w:val="99"/>
    <w:semiHidden/>
    <w:rsid w:val="0091474E"/>
    <w:rPr>
      <w:rFonts w:eastAsia="MS Mincho"/>
      <w:b/>
      <w:sz w:val="24"/>
      <w:lang w:val="en-US" w:bidi="en-US"/>
    </w:rPr>
  </w:style>
  <w:style w:type="character" w:customStyle="1" w:styleId="Heading4Char">
    <w:name w:val="Heading 4 Char"/>
    <w:link w:val="Heading4"/>
    <w:uiPriority w:val="99"/>
    <w:semiHidden/>
    <w:rsid w:val="0091474E"/>
    <w:rPr>
      <w:rFonts w:ascii="Cambria" w:eastAsia="MS Gothic" w:hAnsi="Cambria" w:cs="Times New Roman"/>
      <w:b/>
      <w:bCs/>
      <w:i/>
      <w:iCs/>
      <w:color w:val="4F81BD"/>
    </w:rPr>
  </w:style>
  <w:style w:type="paragraph" w:styleId="TOC1">
    <w:name w:val="toc 1"/>
    <w:basedOn w:val="TOC2"/>
    <w:next w:val="Normal"/>
    <w:autoRedefine/>
    <w:uiPriority w:val="99"/>
    <w:semiHidden/>
    <w:qFormat/>
    <w:locked/>
    <w:rsid w:val="00F17C17"/>
    <w:rPr>
      <w:b/>
      <w:bCs/>
      <w:iCs w:val="0"/>
      <w:caps/>
      <w:lang w:bidi="en-US"/>
    </w:rPr>
  </w:style>
  <w:style w:type="paragraph" w:styleId="TOC2">
    <w:name w:val="toc 2"/>
    <w:basedOn w:val="TOC4"/>
    <w:next w:val="Normal"/>
    <w:autoRedefine/>
    <w:uiPriority w:val="99"/>
    <w:semiHidden/>
    <w:qFormat/>
    <w:locked/>
    <w:rsid w:val="00F17C17"/>
    <w:pPr>
      <w:pBdr>
        <w:between w:val="single" w:sz="4" w:space="2" w:color="696766"/>
      </w:pBdr>
      <w:tabs>
        <w:tab w:val="right" w:pos="9769"/>
      </w:tabs>
      <w:ind w:left="0"/>
    </w:pPr>
    <w:rPr>
      <w:rFonts w:ascii="Arial" w:hAnsi="Arial" w:cs="Arial"/>
      <w:iCs/>
      <w:noProof/>
      <w:color w:val="000000"/>
    </w:rPr>
  </w:style>
  <w:style w:type="paragraph" w:styleId="TOC4">
    <w:name w:val="toc 4"/>
    <w:basedOn w:val="Normal"/>
    <w:next w:val="Normal"/>
    <w:autoRedefine/>
    <w:uiPriority w:val="99"/>
    <w:semiHidden/>
    <w:locked/>
    <w:rsid w:val="00F17C17"/>
    <w:pPr>
      <w:spacing w:after="0"/>
      <w:ind w:left="600"/>
    </w:pPr>
    <w:rPr>
      <w:rFonts w:ascii="Roboto" w:hAnsi="Roboto"/>
    </w:rPr>
  </w:style>
  <w:style w:type="paragraph" w:styleId="TOC3">
    <w:name w:val="toc 3"/>
    <w:basedOn w:val="Normal"/>
    <w:next w:val="Normal"/>
    <w:autoRedefine/>
    <w:uiPriority w:val="99"/>
    <w:semiHidden/>
    <w:qFormat/>
    <w:locked/>
    <w:rsid w:val="00F17C17"/>
    <w:pPr>
      <w:spacing w:after="0"/>
      <w:ind w:left="400"/>
    </w:pPr>
    <w:rPr>
      <w:rFonts w:ascii="Roboto" w:hAnsi="Roboto"/>
    </w:rPr>
  </w:style>
  <w:style w:type="paragraph" w:styleId="TOC5">
    <w:name w:val="toc 5"/>
    <w:basedOn w:val="Normal"/>
    <w:next w:val="Normal"/>
    <w:autoRedefine/>
    <w:uiPriority w:val="99"/>
    <w:semiHidden/>
    <w:locked/>
    <w:rsid w:val="00F17C17"/>
    <w:pPr>
      <w:spacing w:after="0"/>
      <w:ind w:left="800"/>
    </w:pPr>
    <w:rPr>
      <w:rFonts w:ascii="Roboto" w:hAnsi="Roboto"/>
    </w:rPr>
  </w:style>
  <w:style w:type="paragraph" w:styleId="TOC6">
    <w:name w:val="toc 6"/>
    <w:basedOn w:val="Normal"/>
    <w:next w:val="Normal"/>
    <w:autoRedefine/>
    <w:uiPriority w:val="99"/>
    <w:semiHidden/>
    <w:locked/>
    <w:rsid w:val="00F17C17"/>
    <w:pPr>
      <w:spacing w:after="0"/>
      <w:ind w:left="1000"/>
    </w:pPr>
    <w:rPr>
      <w:rFonts w:ascii="Roboto" w:hAnsi="Roboto"/>
    </w:rPr>
  </w:style>
  <w:style w:type="paragraph" w:styleId="TOC7">
    <w:name w:val="toc 7"/>
    <w:basedOn w:val="Normal"/>
    <w:next w:val="Normal"/>
    <w:autoRedefine/>
    <w:uiPriority w:val="99"/>
    <w:semiHidden/>
    <w:locked/>
    <w:rsid w:val="00F17C17"/>
    <w:pPr>
      <w:spacing w:after="0"/>
      <w:ind w:left="1200"/>
    </w:pPr>
    <w:rPr>
      <w:rFonts w:ascii="Roboto" w:hAnsi="Roboto"/>
    </w:rPr>
  </w:style>
  <w:style w:type="paragraph" w:styleId="TOC8">
    <w:name w:val="toc 8"/>
    <w:basedOn w:val="Normal"/>
    <w:next w:val="Normal"/>
    <w:autoRedefine/>
    <w:uiPriority w:val="99"/>
    <w:semiHidden/>
    <w:locked/>
    <w:rsid w:val="00F17C17"/>
    <w:pPr>
      <w:spacing w:after="0"/>
      <w:ind w:left="1400"/>
    </w:pPr>
    <w:rPr>
      <w:rFonts w:ascii="Roboto" w:hAnsi="Roboto"/>
    </w:rPr>
  </w:style>
  <w:style w:type="paragraph" w:styleId="TOC9">
    <w:name w:val="toc 9"/>
    <w:basedOn w:val="Normal"/>
    <w:next w:val="Normal"/>
    <w:autoRedefine/>
    <w:uiPriority w:val="99"/>
    <w:semiHidden/>
    <w:locked/>
    <w:rsid w:val="00F17C17"/>
    <w:pPr>
      <w:spacing w:after="0"/>
      <w:ind w:left="1600"/>
    </w:pPr>
    <w:rPr>
      <w:rFonts w:ascii="Roboto" w:hAnsi="Roboto"/>
    </w:rPr>
  </w:style>
  <w:style w:type="paragraph" w:styleId="Header">
    <w:name w:val="header"/>
    <w:basedOn w:val="Normal"/>
    <w:link w:val="HeaderChar"/>
    <w:uiPriority w:val="99"/>
    <w:unhideWhenUsed/>
    <w:rsid w:val="00F17C17"/>
    <w:pPr>
      <w:tabs>
        <w:tab w:val="center" w:pos="4513"/>
        <w:tab w:val="right" w:pos="9026"/>
      </w:tabs>
      <w:spacing w:after="0"/>
    </w:pPr>
    <w:rPr>
      <w:rFonts w:ascii="Roboto" w:hAnsi="Roboto"/>
    </w:rPr>
  </w:style>
  <w:style w:type="character" w:customStyle="1" w:styleId="HeaderChar">
    <w:name w:val="Header Char"/>
    <w:basedOn w:val="DefaultParagraphFont"/>
    <w:link w:val="Header"/>
    <w:uiPriority w:val="99"/>
    <w:rsid w:val="0091474E"/>
  </w:style>
  <w:style w:type="paragraph" w:styleId="Footer">
    <w:name w:val="footer"/>
    <w:basedOn w:val="Normal"/>
    <w:link w:val="FooterChar"/>
    <w:uiPriority w:val="99"/>
    <w:unhideWhenUsed/>
    <w:rsid w:val="00F17C17"/>
    <w:pPr>
      <w:tabs>
        <w:tab w:val="center" w:pos="4513"/>
        <w:tab w:val="right" w:pos="9026"/>
      </w:tabs>
      <w:spacing w:after="0"/>
    </w:pPr>
    <w:rPr>
      <w:rFonts w:ascii="Roboto" w:hAnsi="Roboto"/>
    </w:rPr>
  </w:style>
  <w:style w:type="character" w:customStyle="1" w:styleId="FooterChar">
    <w:name w:val="Footer Char"/>
    <w:basedOn w:val="DefaultParagraphFont"/>
    <w:link w:val="Footer"/>
    <w:uiPriority w:val="99"/>
    <w:rsid w:val="0091474E"/>
  </w:style>
  <w:style w:type="character" w:styleId="Hyperlink">
    <w:name w:val="Hyperlink"/>
    <w:rsid w:val="004C518E"/>
    <w:rPr>
      <w:rFonts w:asciiTheme="majorHAnsi" w:hAnsiTheme="majorHAnsi"/>
      <w:b w:val="0"/>
      <w:color w:val="5F5F5F"/>
      <w:u w:val="none"/>
    </w:rPr>
  </w:style>
  <w:style w:type="paragraph" w:styleId="BalloonText">
    <w:name w:val="Balloon Text"/>
    <w:basedOn w:val="Normal"/>
    <w:link w:val="BalloonTextChar"/>
    <w:uiPriority w:val="99"/>
    <w:semiHidden/>
    <w:locked/>
    <w:rsid w:val="00F17C17"/>
    <w:pPr>
      <w:spacing w:after="0"/>
    </w:pPr>
    <w:rPr>
      <w:rFonts w:ascii="Tahoma" w:hAnsi="Tahoma" w:cs="Tahoma"/>
    </w:rPr>
  </w:style>
  <w:style w:type="character" w:customStyle="1" w:styleId="BalloonTextChar">
    <w:name w:val="Balloon Text Char"/>
    <w:link w:val="BalloonText"/>
    <w:uiPriority w:val="99"/>
    <w:semiHidden/>
    <w:rsid w:val="0091474E"/>
    <w:rPr>
      <w:rFonts w:ascii="Tahoma" w:hAnsi="Tahoma" w:cs="Tahoma"/>
    </w:rPr>
  </w:style>
  <w:style w:type="table" w:styleId="TableGrid">
    <w:name w:val="Table Grid"/>
    <w:basedOn w:val="TableNormal"/>
    <w:uiPriority w:val="59"/>
    <w:rsid w:val="00F17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ghtGrid-Accent11">
    <w:name w:val="Light Grid - Accent 11"/>
    <w:uiPriority w:val="99"/>
    <w:rsid w:val="00F240E5"/>
    <w:rPr>
      <w:rFonts w:asciiTheme="minorHAnsi" w:hAnsiTheme="minorHAnsi"/>
      <w:color w:val="808080"/>
    </w:rPr>
  </w:style>
  <w:style w:type="table" w:styleId="MediumShading2-Accent1">
    <w:name w:val="Medium Shading 2 Accent 1"/>
    <w:basedOn w:val="TableNormal"/>
    <w:uiPriority w:val="60"/>
    <w:rsid w:val="00F17C17"/>
    <w:pPr>
      <w:jc w:val="both"/>
    </w:pPr>
    <w:rPr>
      <w:rFonts w:eastAsia="MS Mincho"/>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Shading2-Accent2">
    <w:name w:val="Medium Shading 2 Accent 2"/>
    <w:basedOn w:val="TableNormal"/>
    <w:uiPriority w:val="64"/>
    <w:rsid w:val="00F17C17"/>
    <w:pPr>
      <w:jc w:val="both"/>
    </w:pPr>
    <w:rPr>
      <w:rFonts w:eastAsia="MS Mincho"/>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diumGrid1-Accent21">
    <w:name w:val="Medium Grid 1 - Accent 21"/>
    <w:basedOn w:val="Normal"/>
    <w:uiPriority w:val="99"/>
    <w:unhideWhenUsed/>
    <w:qFormat/>
    <w:locked/>
    <w:rsid w:val="00F17C17"/>
    <w:pPr>
      <w:ind w:left="720"/>
      <w:contextualSpacing/>
    </w:pPr>
    <w:rPr>
      <w:rFonts w:ascii="Roboto" w:hAnsi="Roboto"/>
    </w:rPr>
  </w:style>
  <w:style w:type="paragraph" w:customStyle="1" w:styleId="GridTable31">
    <w:name w:val="Grid Table 31"/>
    <w:basedOn w:val="Heading1"/>
    <w:next w:val="Normal"/>
    <w:uiPriority w:val="99"/>
    <w:semiHidden/>
    <w:qFormat/>
    <w:locked/>
    <w:rsid w:val="00F17C17"/>
    <w:pPr>
      <w:keepNext/>
      <w:keepLines/>
      <w:spacing w:before="480" w:after="0"/>
      <w:outlineLvl w:val="9"/>
    </w:pPr>
    <w:rPr>
      <w:rFonts w:ascii="Cambria" w:eastAsia="MS Gothic" w:hAnsi="Cambria" w:cs="Times New Roman"/>
      <w:bCs/>
      <w:color w:val="365F91"/>
      <w:spacing w:val="0"/>
      <w:szCs w:val="28"/>
      <w:lang w:val="en-US" w:eastAsia="ja-JP" w:bidi="ar-SA"/>
    </w:rPr>
  </w:style>
  <w:style w:type="paragraph" w:customStyle="1" w:styleId="BasicParagraph">
    <w:name w:val="[Basic Paragraph]"/>
    <w:basedOn w:val="Normal"/>
    <w:uiPriority w:val="99"/>
    <w:semiHidden/>
    <w:unhideWhenUsed/>
    <w:rsid w:val="00ED7AD2"/>
    <w:pPr>
      <w:widowControl w:val="0"/>
      <w:suppressAutoHyphens/>
      <w:autoSpaceDE w:val="0"/>
      <w:autoSpaceDN w:val="0"/>
      <w:adjustRightInd w:val="0"/>
      <w:spacing w:after="0" w:line="288" w:lineRule="auto"/>
      <w:textAlignment w:val="center"/>
    </w:pPr>
    <w:rPr>
      <w:rFonts w:ascii="Minion Pro" w:eastAsia="MS Mincho" w:hAnsi="Minion Pro" w:cs="Minion Pro"/>
      <w:color w:val="000000"/>
      <w:sz w:val="24"/>
      <w:szCs w:val="24"/>
      <w:lang w:val="en-GB" w:eastAsia="en-AU"/>
    </w:rPr>
  </w:style>
  <w:style w:type="paragraph" w:customStyle="1" w:styleId="LTU-Date">
    <w:name w:val="LTU - Date"/>
    <w:basedOn w:val="BasicParagraph"/>
    <w:next w:val="LTU-RecipientsNameandAddressDetails"/>
    <w:qFormat/>
    <w:rsid w:val="00990D26"/>
    <w:pPr>
      <w:tabs>
        <w:tab w:val="left" w:pos="5280"/>
      </w:tabs>
      <w:spacing w:after="340" w:line="240" w:lineRule="auto"/>
    </w:pPr>
    <w:rPr>
      <w:rFonts w:ascii="Calibri" w:hAnsi="Calibri" w:cs="Calibri"/>
      <w:sz w:val="20"/>
      <w:szCs w:val="20"/>
    </w:rPr>
  </w:style>
  <w:style w:type="paragraph" w:customStyle="1" w:styleId="LTU-RecipientsNameandAddressDetails">
    <w:name w:val="LTU - Recipient's Name and Address Details"/>
    <w:basedOn w:val="BasicParagraph"/>
    <w:qFormat/>
    <w:rsid w:val="004C518E"/>
    <w:pPr>
      <w:spacing w:line="240" w:lineRule="auto"/>
    </w:pPr>
    <w:rPr>
      <w:rFonts w:asciiTheme="minorHAnsi" w:hAnsiTheme="minorHAnsi" w:cs="Calibri"/>
      <w:sz w:val="20"/>
      <w:szCs w:val="20"/>
    </w:rPr>
  </w:style>
  <w:style w:type="paragraph" w:customStyle="1" w:styleId="LTU-StudentandorReferenceNo">
    <w:name w:val="LTU - Student and/or Reference No."/>
    <w:basedOn w:val="BasicParagraph"/>
    <w:qFormat/>
    <w:rsid w:val="004C518E"/>
    <w:pPr>
      <w:tabs>
        <w:tab w:val="left" w:pos="5280"/>
      </w:tabs>
      <w:spacing w:before="680" w:line="240" w:lineRule="auto"/>
    </w:pPr>
    <w:rPr>
      <w:rFonts w:asciiTheme="minorHAnsi" w:hAnsiTheme="minorHAnsi" w:cs="Calibri"/>
      <w:sz w:val="20"/>
      <w:szCs w:val="20"/>
    </w:rPr>
  </w:style>
  <w:style w:type="paragraph" w:customStyle="1" w:styleId="LTU-Salutation">
    <w:name w:val="LTU - Salutation"/>
    <w:basedOn w:val="BasicParagraph"/>
    <w:next w:val="LTU-Body"/>
    <w:qFormat/>
    <w:rsid w:val="004C518E"/>
    <w:pPr>
      <w:spacing w:before="680" w:after="170" w:line="240" w:lineRule="auto"/>
    </w:pPr>
    <w:rPr>
      <w:rFonts w:asciiTheme="minorHAnsi" w:hAnsiTheme="minorHAnsi" w:cs="Calibri"/>
      <w:sz w:val="20"/>
      <w:szCs w:val="20"/>
    </w:rPr>
  </w:style>
  <w:style w:type="paragraph" w:customStyle="1" w:styleId="LTU-Body">
    <w:name w:val="LTU - Body"/>
    <w:basedOn w:val="LTU-Body10pt"/>
    <w:qFormat/>
    <w:rsid w:val="004C518E"/>
    <w:rPr>
      <w:rFonts w:asciiTheme="minorHAnsi" w:hAnsiTheme="minorHAnsi"/>
    </w:rPr>
  </w:style>
  <w:style w:type="paragraph" w:customStyle="1" w:styleId="LTU-Closing">
    <w:name w:val="LTU - Closing"/>
    <w:basedOn w:val="BasicParagraph"/>
    <w:next w:val="LTU-SendersName"/>
    <w:qFormat/>
    <w:rsid w:val="0091474E"/>
    <w:pPr>
      <w:spacing w:after="170" w:line="240" w:lineRule="auto"/>
    </w:pPr>
    <w:rPr>
      <w:rFonts w:ascii="Calibri" w:hAnsi="Calibri" w:cs="Calibri"/>
      <w:sz w:val="20"/>
      <w:szCs w:val="20"/>
    </w:rPr>
  </w:style>
  <w:style w:type="paragraph" w:customStyle="1" w:styleId="LTU-SendersName">
    <w:name w:val="LTU - Sender's Name"/>
    <w:basedOn w:val="BasicParagraph"/>
    <w:next w:val="LTU-SendersPosition"/>
    <w:qFormat/>
    <w:rsid w:val="004C518E"/>
    <w:pPr>
      <w:spacing w:line="240" w:lineRule="auto"/>
    </w:pPr>
    <w:rPr>
      <w:rFonts w:asciiTheme="minorHAnsi" w:hAnsiTheme="minorHAnsi" w:cs="Calibri"/>
      <w:bCs/>
      <w:sz w:val="20"/>
      <w:szCs w:val="20"/>
    </w:rPr>
  </w:style>
  <w:style w:type="paragraph" w:customStyle="1" w:styleId="LTU-SendersPosition">
    <w:name w:val="LTU - Sender's Position"/>
    <w:aliases w:val="etc."/>
    <w:basedOn w:val="BasicParagraph"/>
    <w:qFormat/>
    <w:rsid w:val="004C518E"/>
    <w:pPr>
      <w:spacing w:line="240" w:lineRule="auto"/>
    </w:pPr>
    <w:rPr>
      <w:rFonts w:asciiTheme="minorHAnsi" w:hAnsiTheme="minorHAnsi" w:cs="Calibri"/>
      <w:sz w:val="20"/>
      <w:szCs w:val="20"/>
    </w:rPr>
  </w:style>
  <w:style w:type="paragraph" w:customStyle="1" w:styleId="LTU-Header-DivisionSchoolResearchCentre">
    <w:name w:val="LTU - Header - Division / School / Research Centre"/>
    <w:basedOn w:val="Header"/>
    <w:qFormat/>
    <w:rsid w:val="00D05BEB"/>
    <w:pPr>
      <w:tabs>
        <w:tab w:val="clear" w:pos="4513"/>
        <w:tab w:val="clear" w:pos="9026"/>
      </w:tabs>
    </w:pPr>
    <w:rPr>
      <w:color w:val="000000" w:themeColor="text1"/>
      <w:sz w:val="18"/>
      <w:szCs w:val="18"/>
    </w:rPr>
  </w:style>
  <w:style w:type="paragraph" w:customStyle="1" w:styleId="LTU-Header-FacultyDivision">
    <w:name w:val="LTU - Header - Faculty / Division"/>
    <w:basedOn w:val="LTU-Header-DivisionSchoolResearchCentre"/>
    <w:next w:val="LTU-Header-DivisionSchoolResearchCentre"/>
    <w:qFormat/>
    <w:rsid w:val="004E3754"/>
    <w:pPr>
      <w:spacing w:before="70"/>
    </w:pPr>
    <w:rPr>
      <w:caps/>
      <w:color w:val="5F5F5F"/>
    </w:rPr>
  </w:style>
  <w:style w:type="paragraph" w:customStyle="1" w:styleId="LTU-FooterABN">
    <w:name w:val="LTU - Footer (ABN"/>
    <w:aliases w:val="CRICOS,etc.)"/>
    <w:basedOn w:val="LTU-Header-ContactDetails"/>
    <w:uiPriority w:val="99"/>
    <w:qFormat/>
    <w:rsid w:val="00CB6D5C"/>
    <w:pPr>
      <w:pBdr>
        <w:left w:val="single" w:sz="2" w:space="4" w:color="5F5F5F"/>
      </w:pBdr>
    </w:pPr>
    <w:rPr>
      <w:color w:val="696766"/>
      <w:sz w:val="12"/>
      <w:szCs w:val="12"/>
    </w:rPr>
  </w:style>
  <w:style w:type="paragraph" w:customStyle="1" w:styleId="LTU-Header-Address">
    <w:name w:val="LTU - Header- Address"/>
    <w:basedOn w:val="Header"/>
    <w:qFormat/>
    <w:rsid w:val="008D2CD8"/>
    <w:pPr>
      <w:tabs>
        <w:tab w:val="clear" w:pos="4513"/>
        <w:tab w:val="clear" w:pos="9026"/>
        <w:tab w:val="left" w:pos="142"/>
      </w:tabs>
    </w:pPr>
    <w:rPr>
      <w:color w:val="696766"/>
      <w:sz w:val="16"/>
    </w:rPr>
  </w:style>
  <w:style w:type="paragraph" w:customStyle="1" w:styleId="LTU-Header-ContactDetails">
    <w:name w:val="LTU - Header - Contact Details"/>
    <w:basedOn w:val="Header"/>
    <w:qFormat/>
    <w:rsid w:val="00D609FC"/>
    <w:pPr>
      <w:tabs>
        <w:tab w:val="clear" w:pos="4513"/>
        <w:tab w:val="clear" w:pos="9026"/>
        <w:tab w:val="left" w:pos="142"/>
      </w:tabs>
    </w:pPr>
    <w:rPr>
      <w:color w:val="5F5F5F"/>
      <w:sz w:val="16"/>
    </w:rPr>
  </w:style>
  <w:style w:type="paragraph" w:customStyle="1" w:styleId="LTU-Header-URL">
    <w:name w:val="LTU - Header - URL"/>
    <w:basedOn w:val="Header"/>
    <w:qFormat/>
    <w:rsid w:val="00C942F7"/>
    <w:pPr>
      <w:tabs>
        <w:tab w:val="clear" w:pos="4513"/>
        <w:tab w:val="clear" w:pos="9026"/>
        <w:tab w:val="left" w:pos="142"/>
      </w:tabs>
    </w:pPr>
    <w:rPr>
      <w:b/>
      <w:color w:val="696766"/>
    </w:rPr>
  </w:style>
  <w:style w:type="paragraph" w:customStyle="1" w:styleId="LTU-Header-ContactDetailsSubhead">
    <w:name w:val="LTU - Header - Contact Details Subhead"/>
    <w:basedOn w:val="LTU-Header-ContactDetails"/>
    <w:uiPriority w:val="99"/>
    <w:qFormat/>
    <w:rsid w:val="00437D8A"/>
    <w:pPr>
      <w:pBdr>
        <w:left w:val="single" w:sz="4" w:space="4" w:color="5F5F5F"/>
      </w:pBdr>
      <w:spacing w:before="113"/>
    </w:pPr>
    <w:rPr>
      <w:rFonts w:asciiTheme="majorHAnsi" w:hAnsiTheme="majorHAnsi"/>
      <w:caps/>
      <w:color w:val="595959" w:themeColor="text1" w:themeTint="A6"/>
    </w:rPr>
  </w:style>
  <w:style w:type="paragraph" w:customStyle="1" w:styleId="LTU-Footer-Page">
    <w:name w:val="LTU - Footer - Page #"/>
    <w:basedOn w:val="Footer"/>
    <w:uiPriority w:val="99"/>
    <w:qFormat/>
    <w:rsid w:val="000C34E4"/>
    <w:pPr>
      <w:jc w:val="right"/>
    </w:pPr>
    <w:rPr>
      <w:bCs/>
      <w:color w:val="696766"/>
      <w:sz w:val="18"/>
      <w:szCs w:val="18"/>
    </w:rPr>
  </w:style>
  <w:style w:type="paragraph" w:customStyle="1" w:styleId="Notes">
    <w:name w:val="Notes"/>
    <w:basedOn w:val="Normal"/>
    <w:uiPriority w:val="99"/>
    <w:qFormat/>
    <w:rsid w:val="00302C19"/>
    <w:pPr>
      <w:spacing w:after="80"/>
    </w:pPr>
    <w:rPr>
      <w:rFonts w:ascii="Roboto" w:hAnsi="Roboto"/>
      <w:color w:val="CC3399"/>
      <w:sz w:val="16"/>
    </w:rPr>
  </w:style>
  <w:style w:type="character" w:styleId="Strong">
    <w:name w:val="Strong"/>
    <w:basedOn w:val="DefaultParagraphFont"/>
    <w:uiPriority w:val="99"/>
    <w:qFormat/>
    <w:rsid w:val="00F240E5"/>
    <w:rPr>
      <w:rFonts w:asciiTheme="majorHAnsi" w:hAnsiTheme="majorHAnsi"/>
      <w:b w:val="0"/>
      <w:bCs/>
    </w:rPr>
  </w:style>
  <w:style w:type="character" w:styleId="PlaceholderText">
    <w:name w:val="Placeholder Text"/>
    <w:basedOn w:val="DefaultParagraphFont"/>
    <w:uiPriority w:val="99"/>
    <w:unhideWhenUsed/>
    <w:rsid w:val="00F240E5"/>
    <w:rPr>
      <w:color w:val="808080"/>
    </w:rPr>
  </w:style>
  <w:style w:type="paragraph" w:styleId="ListParagraph">
    <w:name w:val="List Paragraph"/>
    <w:basedOn w:val="Normal"/>
    <w:uiPriority w:val="34"/>
    <w:qFormat/>
    <w:locked/>
    <w:rsid w:val="00DA3622"/>
    <w:pPr>
      <w:spacing w:after="0"/>
      <w:ind w:left="720"/>
      <w:contextualSpacing/>
    </w:pPr>
    <w:rPr>
      <w:rFonts w:asciiTheme="majorHAnsi" w:eastAsiaTheme="minorEastAsia" w:hAnsiTheme="maj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5073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te.latrobe.edu.au/sites/lm/FBELMarketing/Public%20Documents/Faculty%20Templates/Email%20Signature/www.latrobe.edu.au"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20d.watts@latrobe.edu.au%20" TargetMode="External"/><Relationship Id="rId1" Type="http://schemas.openxmlformats.org/officeDocument/2006/relationships/hyperlink" Target="mailto:%20d.watts@latrobe.edu.au%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asfs.ltu.edu.au\Common\LTUOfficeTemplatesNew\WD\LetterMer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163A5D2D6E4ED4BCE0E6842CA4372A"/>
        <w:category>
          <w:name w:val="General"/>
          <w:gallery w:val="placeholder"/>
        </w:category>
        <w:types>
          <w:type w:val="bbPlcHdr"/>
        </w:types>
        <w:behaviors>
          <w:behavior w:val="content"/>
        </w:behaviors>
        <w:guid w:val="{128DA6FE-0E2C-4243-94BD-8FDD79353FE9}"/>
      </w:docPartPr>
      <w:docPartBody>
        <w:p w:rsidR="00F52A1C" w:rsidRDefault="00C600A8">
          <w:pPr>
            <w:pStyle w:val="D5163A5D2D6E4ED4BCE0E6842CA4372A"/>
          </w:pPr>
          <w:r>
            <w:rPr>
              <w:rStyle w:val="LightGrid-Accent11"/>
            </w:rPr>
            <w:t>[C</w:t>
          </w:r>
          <w:r w:rsidRPr="003F6B99">
            <w:rPr>
              <w:rStyle w:val="LightGrid-Accent11"/>
            </w:rPr>
            <w:t xml:space="preserve">lick here to </w:t>
          </w:r>
          <w:r>
            <w:rPr>
              <w:rStyle w:val="LightGrid-Accent11"/>
            </w:rPr>
            <w:t xml:space="preserve">insert </w:t>
          </w:r>
          <w:r w:rsidRPr="003F6B99">
            <w:rPr>
              <w:rStyle w:val="LightGrid-Accent11"/>
            </w:rPr>
            <w:t>date</w:t>
          </w:r>
          <w:r>
            <w:rPr>
              <w:rStyle w:val="LightGrid-Accent11"/>
            </w:rPr>
            <w:t xml:space="preserve"> from drop-down menu on right]</w:t>
          </w:r>
        </w:p>
      </w:docPartBody>
    </w:docPart>
    <w:docPart>
      <w:docPartPr>
        <w:name w:val="3F9BE79035C04926A642E619E7AAF3FE"/>
        <w:category>
          <w:name w:val="General"/>
          <w:gallery w:val="placeholder"/>
        </w:category>
        <w:types>
          <w:type w:val="bbPlcHdr"/>
        </w:types>
        <w:behaviors>
          <w:behavior w:val="content"/>
        </w:behaviors>
        <w:guid w:val="{6FF62718-0557-4FF6-8C94-C271816D4EE3}"/>
      </w:docPartPr>
      <w:docPartBody>
        <w:p w:rsidR="00F52A1C" w:rsidRDefault="00C600A8">
          <w:pPr>
            <w:pStyle w:val="3F9BE79035C04926A642E619E7AAF3FE"/>
          </w:pPr>
          <w:r>
            <w:t>[Click to enter N</w:t>
          </w:r>
          <w:r w:rsidRPr="00F240E5">
            <w:rPr>
              <w:vertAlign w:val="superscript"/>
            </w:rPr>
            <w:t>o</w:t>
          </w: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Medium">
    <w:altName w:val="Times New Roman"/>
    <w:panose1 w:val="020B0604020202020204"/>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Times New Roman"/>
    <w:panose1 w:val="020B0604020202020204"/>
    <w:charset w:val="00"/>
    <w:family w:val="auto"/>
    <w:pitch w:val="variable"/>
    <w:sig w:usb0="E00002FF"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rioni Std Medium">
    <w:panose1 w:val="020B0604020202020204"/>
    <w:charset w:val="00"/>
    <w:family w:val="modern"/>
    <w:notTrueType/>
    <w:pitch w:val="variable"/>
    <w:sig w:usb0="A000003F" w:usb1="5001E47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auto"/>
    <w:pitch w:val="variable"/>
    <w:sig w:usb0="60000287" w:usb1="00000001"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0A8"/>
    <w:rsid w:val="000B79BF"/>
    <w:rsid w:val="009B7CDF"/>
    <w:rsid w:val="00A0719F"/>
    <w:rsid w:val="00C600A8"/>
    <w:rsid w:val="00F52A1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ghtGrid-Accent11">
    <w:name w:val="Light Grid - Accent 11"/>
    <w:uiPriority w:val="99"/>
    <w:rPr>
      <w:rFonts w:asciiTheme="minorHAnsi" w:hAnsiTheme="minorHAnsi"/>
      <w:color w:val="808080"/>
    </w:rPr>
  </w:style>
  <w:style w:type="paragraph" w:customStyle="1" w:styleId="D5163A5D2D6E4ED4BCE0E6842CA4372A">
    <w:name w:val="D5163A5D2D6E4ED4BCE0E6842CA4372A"/>
  </w:style>
  <w:style w:type="paragraph" w:customStyle="1" w:styleId="3F9BE79035C04926A642E619E7AAF3FE">
    <w:name w:val="3F9BE79035C04926A642E619E7AAF3FE"/>
  </w:style>
  <w:style w:type="paragraph" w:customStyle="1" w:styleId="69FBC95801244F9B845B04844E38ED4D">
    <w:name w:val="69FBC95801244F9B845B04844E38ED4D"/>
  </w:style>
  <w:style w:type="character" w:styleId="PlaceholderText">
    <w:name w:val="Placeholder Text"/>
    <w:basedOn w:val="DefaultParagraphFont"/>
    <w:uiPriority w:val="99"/>
    <w:unhideWhenUsed/>
    <w:rPr>
      <w:color w:val="808080"/>
    </w:rPr>
  </w:style>
  <w:style w:type="paragraph" w:customStyle="1" w:styleId="C7E127D005124031AE95556CD5701076">
    <w:name w:val="C7E127D005124031AE95556CD5701076"/>
  </w:style>
  <w:style w:type="character" w:styleId="Strong">
    <w:name w:val="Strong"/>
    <w:basedOn w:val="DefaultParagraphFont"/>
    <w:uiPriority w:val="99"/>
    <w:qFormat/>
    <w:rPr>
      <w:rFonts w:asciiTheme="majorHAnsi" w:hAnsiTheme="majorHAnsi"/>
      <w:b w:val="0"/>
      <w:bCs/>
    </w:rPr>
  </w:style>
  <w:style w:type="paragraph" w:customStyle="1" w:styleId="3BCC8F6C897149F68FE3E0ED50BDF829">
    <w:name w:val="3BCC8F6C897149F68FE3E0ED50BDF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LTU 2017">
      <a:dk1>
        <a:srgbClr val="000000"/>
      </a:dk1>
      <a:lt1>
        <a:sysClr val="window" lastClr="FFFFFF"/>
      </a:lt1>
      <a:dk2>
        <a:srgbClr val="000000"/>
      </a:dk2>
      <a:lt2>
        <a:srgbClr val="FFFFFF"/>
      </a:lt2>
      <a:accent1>
        <a:srgbClr val="EE3124"/>
      </a:accent1>
      <a:accent2>
        <a:srgbClr val="EE3124"/>
      </a:accent2>
      <a:accent3>
        <a:srgbClr val="EE3124"/>
      </a:accent3>
      <a:accent4>
        <a:srgbClr val="EE3124"/>
      </a:accent4>
      <a:accent5>
        <a:srgbClr val="EE3124"/>
      </a:accent5>
      <a:accent6>
        <a:srgbClr val="EE3124"/>
      </a:accent6>
      <a:hlink>
        <a:srgbClr val="EE3124"/>
      </a:hlink>
      <a:folHlink>
        <a:srgbClr val="EE3124"/>
      </a:folHlink>
    </a:clrScheme>
    <a:fontScheme name="LTU 2017">
      <a:majorFont>
        <a:latin typeface="Roboto Medium"/>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4258" ma:contentTypeDescription="" ma:contentTypeScope="" ma:versionID="be6ff70404880fcef315cf05a6fd465c">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16f59817d12c356334f63fdd4cbf933c"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2018MG-133-34929</_dlc_DocId>
    <TaxCatchAll xmlns="0f563589-9cf9-4143-b1eb-fb0534803d38"/>
    <_dlc_DocIdUrl xmlns="0f563589-9cf9-4143-b1eb-fb0534803d38">
      <Url>http://tweb/sites/mg/sbccpd/_layouts/15/DocIdRedir.aspx?ID=2018MG-133-34929</Url>
      <Description>2018MG-133-34929</Description>
    </_dlc_DocIdUrl>
    <TaxKeywordTaxHTField xmlns="0f563589-9cf9-4143-b1eb-fb0534803d38">
      <Terms xmlns="http://schemas.microsoft.com/office/infopath/2007/PartnerControls"/>
    </TaxKeywordTaxHTField>
    <IconOverlay xmlns="http://schemas.microsoft.com/sharepoint/v4" xsi:nil="true"/>
  </documentManagement>
</p:properties>
</file>

<file path=customXml/itemProps1.xml><?xml version="1.0" encoding="utf-8"?>
<ds:datastoreItem xmlns:ds="http://schemas.openxmlformats.org/officeDocument/2006/customXml" ds:itemID="{C07747A2-8767-5D46-86B2-B5416C845E77}">
  <ds:schemaRefs>
    <ds:schemaRef ds:uri="http://schemas.openxmlformats.org/officeDocument/2006/bibliography"/>
  </ds:schemaRefs>
</ds:datastoreItem>
</file>

<file path=customXml/itemProps2.xml><?xml version="1.0" encoding="utf-8"?>
<ds:datastoreItem xmlns:ds="http://schemas.openxmlformats.org/officeDocument/2006/customXml" ds:itemID="{EA1F7A2D-0D97-444F-8BA7-99DD804F8114}"/>
</file>

<file path=customXml/itemProps3.xml><?xml version="1.0" encoding="utf-8"?>
<ds:datastoreItem xmlns:ds="http://schemas.openxmlformats.org/officeDocument/2006/customXml" ds:itemID="{89E9AA90-3F1D-4A33-B3D1-8C503C417BD9}"/>
</file>

<file path=customXml/itemProps4.xml><?xml version="1.0" encoding="utf-8"?>
<ds:datastoreItem xmlns:ds="http://schemas.openxmlformats.org/officeDocument/2006/customXml" ds:itemID="{9782F19D-085E-4CB1-A9C5-535490639D83}"/>
</file>

<file path=customXml/itemProps5.xml><?xml version="1.0" encoding="utf-8"?>
<ds:datastoreItem xmlns:ds="http://schemas.openxmlformats.org/officeDocument/2006/customXml" ds:itemID="{8B2F5680-62DF-496D-96ED-D90C42991C09}"/>
</file>

<file path=customXml/itemProps6.xml><?xml version="1.0" encoding="utf-8"?>
<ds:datastoreItem xmlns:ds="http://schemas.openxmlformats.org/officeDocument/2006/customXml" ds:itemID="{9295AB72-7615-47FC-BCB1-C9CD87E63162}"/>
</file>

<file path=docProps/app.xml><?xml version="1.0" encoding="utf-8"?>
<Properties xmlns="http://schemas.openxmlformats.org/officeDocument/2006/extended-properties" xmlns:vt="http://schemas.openxmlformats.org/officeDocument/2006/docPropsVTypes">
  <Template>nasfs.ltu.edu.au\Common\LTUOfficeTemplatesNew\WD\LetterMerge.dotx</Template>
  <TotalTime>1</TotalTime>
  <Pages>6</Pages>
  <Words>2756</Words>
  <Characters>15714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18434</CharactersWithSpaces>
  <SharedDoc>false</SharedDoc>
  <HLinks>
    <vt:vector size="6" baseType="variant">
      <vt:variant>
        <vt:i4>1114130</vt:i4>
      </vt:variant>
      <vt:variant>
        <vt:i4>0</vt:i4>
      </vt:variant>
      <vt:variant>
        <vt:i4>0</vt:i4>
      </vt:variant>
      <vt:variant>
        <vt:i4>5</vt:i4>
      </vt:variant>
      <vt:variant>
        <vt:lpwstr>mailto: l.damevski@latrobe.edu.au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Preston</dc:creator>
  <cp:keywords/>
  <cp:lastModifiedBy>David Watts</cp:lastModifiedBy>
  <cp:revision>2</cp:revision>
  <cp:lastPrinted>2018-09-10T05:25:00Z</cp:lastPrinted>
  <dcterms:created xsi:type="dcterms:W3CDTF">2018-09-10T07:25:00Z</dcterms:created>
  <dcterms:modified xsi:type="dcterms:W3CDTF">2018-09-10T07:25:00Z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0x010100E95D40E5DFEA714B90E88DB5CE07A6B500DDAFF7E1A29DE64F981B4EA50562BA75</vt:lpwstr>
  </property>
  <property fmtid="{D5CDD505-2E9C-101B-9397-08002B2CF9AE}" pid="4" name="TSYRecordClass">
    <vt:lpwstr>2;#TSY RA-9081 - Retain as national archives|bbf0bcde-1687-4ff2-bc57-f31b5d545d4b</vt:lpwstr>
  </property>
  <property fmtid="{D5CDD505-2E9C-101B-9397-08002B2CF9AE}" pid="5" name="_dlc_DocIdItemGuid">
    <vt:lpwstr>af519229-fc00-48f5-8c97-4d5342e6f95c</vt:lpwstr>
  </property>
  <property fmtid="{D5CDD505-2E9C-101B-9397-08002B2CF9AE}" pid="6" name="RecordPoint_WorkflowType">
    <vt:lpwstr>ActiveSubmitStub</vt:lpwstr>
  </property>
  <property fmtid="{D5CDD505-2E9C-101B-9397-08002B2CF9AE}" pid="7" name="RecordPoint_ActiveItemSiteId">
    <vt:lpwstr>{08cedf7d-7ad2-4b81-a81f-47e3ec332c41}</vt:lpwstr>
  </property>
  <property fmtid="{D5CDD505-2E9C-101B-9397-08002B2CF9AE}" pid="8" name="RecordPoint_ActiveItemListId">
    <vt:lpwstr>{020b99f8-d659-456c-88bf-b1c791ab809a}</vt:lpwstr>
  </property>
  <property fmtid="{D5CDD505-2E9C-101B-9397-08002B2CF9AE}" pid="9" name="RecordPoint_ActiveItemUniqueId">
    <vt:lpwstr>{af519229-fc00-48f5-8c97-4d5342e6f95c}</vt:lpwstr>
  </property>
  <property fmtid="{D5CDD505-2E9C-101B-9397-08002B2CF9AE}" pid="10" name="RecordPoint_ActiveItemWebId">
    <vt:lpwstr>{682871c2-4073-4158-957a-6d924b9ba0a6}</vt:lpwstr>
  </property>
  <property fmtid="{D5CDD505-2E9C-101B-9397-08002B2CF9AE}" pid="11" name="RecordPoint_RecordNumberSubmitted">
    <vt:lpwstr>R0001869130</vt:lpwstr>
  </property>
  <property fmtid="{D5CDD505-2E9C-101B-9397-08002B2CF9AE}" pid="12" name="RecordPoint_SubmissionCompleted">
    <vt:lpwstr>2018-09-10T18:01:29.3357205+10:00</vt:lpwstr>
  </property>
  <property fmtid="{D5CDD505-2E9C-101B-9397-08002B2CF9AE}" pid="13" name="_AdHocReviewCycleID">
    <vt:i4>-409290861</vt:i4>
  </property>
  <property fmtid="{D5CDD505-2E9C-101B-9397-08002B2CF9AE}" pid="14" name="_NewReviewCycle">
    <vt:lpwstr/>
  </property>
  <property fmtid="{D5CDD505-2E9C-101B-9397-08002B2CF9AE}" pid="15" name="_EmailSubject">
    <vt:lpwstr>#S79744 has been logged with the Publishing &amp; Design Team. [SEC=UNCLASSIFIED]</vt:lpwstr>
  </property>
  <property fmtid="{D5CDD505-2E9C-101B-9397-08002B2CF9AE}" pid="16" name="_AuthorEmail">
    <vt:lpwstr>Kathryn.Wardell@TREASURY.GOV.AU</vt:lpwstr>
  </property>
  <property fmtid="{D5CDD505-2E9C-101B-9397-08002B2CF9AE}" pid="17" name="_AuthorEmailDisplayName">
    <vt:lpwstr>Wardell, Kathryn</vt:lpwstr>
  </property>
</Properties>
</file>