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4B59DF" w:rsidTr="004B59DF">
        <w:tc>
          <w:tcPr>
            <w:tcW w:w="5000" w:type="pct"/>
            <w:shd w:val="clear" w:color="auto" w:fill="auto"/>
          </w:tcPr>
          <w:p w:rsidR="004B59DF" w:rsidRDefault="004B59DF" w:rsidP="004B59DF">
            <w:pPr>
              <w:jc w:val="center"/>
              <w:rPr>
                <w:b/>
                <w:sz w:val="26"/>
              </w:rPr>
            </w:pPr>
            <w:bookmarkStart w:id="0" w:name="_GoBack"/>
            <w:bookmarkEnd w:id="0"/>
            <w:r>
              <w:rPr>
                <w:b/>
                <w:sz w:val="26"/>
              </w:rPr>
              <w:t>EXPOSURE DRAFT</w:t>
            </w:r>
          </w:p>
          <w:p w:rsidR="004B59DF" w:rsidRPr="004B59DF" w:rsidRDefault="004B59DF" w:rsidP="004B59DF">
            <w:pPr>
              <w:rPr>
                <w:b/>
                <w:sz w:val="20"/>
              </w:rPr>
            </w:pPr>
          </w:p>
        </w:tc>
      </w:tr>
    </w:tbl>
    <w:p w:rsidR="004B59DF" w:rsidRDefault="004B59DF" w:rsidP="00932FA3">
      <w:pPr>
        <w:rPr>
          <w:sz w:val="32"/>
          <w:szCs w:val="32"/>
        </w:rPr>
      </w:pPr>
    </w:p>
    <w:p w:rsidR="00664C63" w:rsidRPr="00932FA3" w:rsidRDefault="00664C63" w:rsidP="00932FA3">
      <w:pPr>
        <w:rPr>
          <w:sz w:val="32"/>
          <w:szCs w:val="32"/>
        </w:rPr>
      </w:pPr>
      <w:r w:rsidRPr="00932FA3">
        <w:rPr>
          <w:sz w:val="32"/>
          <w:szCs w:val="32"/>
        </w:rPr>
        <w:t>Inserts for</w:t>
      </w:r>
    </w:p>
    <w:p w:rsidR="0018089B" w:rsidRPr="00037E64" w:rsidRDefault="00803107" w:rsidP="00803107">
      <w:pPr>
        <w:pStyle w:val="ShortT"/>
      </w:pPr>
      <w:r>
        <w:t>Foreign Investment Reform (Protecting Australia</w:t>
      </w:r>
      <w:bookmarkStart w:id="1" w:name="BK_S1P1L3C10"/>
      <w:bookmarkEnd w:id="1"/>
      <w:r w:rsidR="00BE5C05">
        <w:t>’</w:t>
      </w:r>
      <w:r>
        <w:t>s National Security) Bill</w:t>
      </w:r>
      <w:bookmarkStart w:id="2" w:name="BK_S1P1L3C36"/>
      <w:bookmarkEnd w:id="2"/>
      <w:r>
        <w:t xml:space="preserve"> 2020</w:t>
      </w:r>
      <w:r w:rsidR="0018089B">
        <w:t>:</w:t>
      </w:r>
      <w:bookmarkStart w:id="3" w:name="BK_S1P1L4C1"/>
      <w:bookmarkEnd w:id="3"/>
      <w:r w:rsidR="00A7389D">
        <w:t>Technical amendments</w:t>
      </w:r>
    </w:p>
    <w:p w:rsidR="00664C63" w:rsidRDefault="00664C63" w:rsidP="00664C63">
      <w:pPr>
        <w:jc w:val="center"/>
      </w:pPr>
    </w:p>
    <w:p w:rsidR="00664C63" w:rsidRDefault="00664C63" w:rsidP="00664C63">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402376" w:rsidTr="00836951">
        <w:trPr>
          <w:tblHeader/>
        </w:trPr>
        <w:tc>
          <w:tcPr>
            <w:tcW w:w="7111" w:type="dxa"/>
            <w:gridSpan w:val="3"/>
            <w:tcBorders>
              <w:top w:val="single" w:sz="12" w:space="0" w:color="auto"/>
              <w:bottom w:val="single" w:sz="6" w:space="0" w:color="auto"/>
            </w:tcBorders>
            <w:shd w:val="clear" w:color="auto" w:fill="auto"/>
          </w:tcPr>
          <w:p w:rsidR="00664C63" w:rsidRPr="00402376" w:rsidRDefault="00664C63" w:rsidP="00402376">
            <w:pPr>
              <w:pStyle w:val="TableHeading"/>
            </w:pPr>
            <w:r w:rsidRPr="00402376">
              <w:t>Commencement information</w:t>
            </w:r>
          </w:p>
        </w:tc>
      </w:tr>
      <w:tr w:rsidR="00664C63" w:rsidRPr="00402376" w:rsidTr="00836951">
        <w:trPr>
          <w:tblHeader/>
        </w:trPr>
        <w:tc>
          <w:tcPr>
            <w:tcW w:w="1701" w:type="dxa"/>
            <w:tcBorders>
              <w:top w:val="single" w:sz="6" w:space="0" w:color="auto"/>
              <w:bottom w:val="single" w:sz="6" w:space="0" w:color="auto"/>
            </w:tcBorders>
            <w:shd w:val="clear" w:color="auto" w:fill="auto"/>
          </w:tcPr>
          <w:p w:rsidR="00664C63" w:rsidRPr="00402376" w:rsidRDefault="00664C63" w:rsidP="00402376">
            <w:pPr>
              <w:pStyle w:val="TableHeading"/>
            </w:pPr>
            <w:r w:rsidRPr="00402376">
              <w:t>Column 1</w:t>
            </w:r>
          </w:p>
        </w:tc>
        <w:tc>
          <w:tcPr>
            <w:tcW w:w="3828" w:type="dxa"/>
            <w:tcBorders>
              <w:top w:val="single" w:sz="6" w:space="0" w:color="auto"/>
              <w:bottom w:val="single" w:sz="6" w:space="0" w:color="auto"/>
            </w:tcBorders>
            <w:shd w:val="clear" w:color="auto" w:fill="auto"/>
          </w:tcPr>
          <w:p w:rsidR="00664C63" w:rsidRPr="00402376" w:rsidRDefault="00664C63" w:rsidP="00402376">
            <w:pPr>
              <w:pStyle w:val="TableHeading"/>
            </w:pPr>
            <w:r w:rsidRPr="00402376">
              <w:t>Column 2</w:t>
            </w:r>
          </w:p>
        </w:tc>
        <w:tc>
          <w:tcPr>
            <w:tcW w:w="1582" w:type="dxa"/>
            <w:tcBorders>
              <w:top w:val="single" w:sz="6" w:space="0" w:color="auto"/>
              <w:bottom w:val="single" w:sz="6" w:space="0" w:color="auto"/>
            </w:tcBorders>
            <w:shd w:val="clear" w:color="auto" w:fill="auto"/>
          </w:tcPr>
          <w:p w:rsidR="00664C63" w:rsidRPr="00402376" w:rsidRDefault="00664C63" w:rsidP="00402376">
            <w:pPr>
              <w:pStyle w:val="TableHeading"/>
            </w:pPr>
            <w:r w:rsidRPr="00402376">
              <w:t>Column 3</w:t>
            </w:r>
          </w:p>
        </w:tc>
      </w:tr>
      <w:tr w:rsidR="00664C63" w:rsidTr="00836951">
        <w:trPr>
          <w:tblHeader/>
        </w:trPr>
        <w:tc>
          <w:tcPr>
            <w:tcW w:w="1701" w:type="dxa"/>
            <w:tcBorders>
              <w:top w:val="single" w:sz="6" w:space="0" w:color="auto"/>
              <w:bottom w:val="single" w:sz="12" w:space="0" w:color="auto"/>
            </w:tcBorders>
            <w:shd w:val="clear" w:color="auto" w:fill="auto"/>
          </w:tcPr>
          <w:p w:rsidR="00664C63" w:rsidRPr="00402376" w:rsidRDefault="00664C63" w:rsidP="00B61C25">
            <w:pPr>
              <w:pStyle w:val="TableHeading"/>
            </w:pPr>
            <w:r w:rsidRPr="00402376">
              <w:t>Provisions</w:t>
            </w:r>
          </w:p>
        </w:tc>
        <w:tc>
          <w:tcPr>
            <w:tcW w:w="3828" w:type="dxa"/>
            <w:tcBorders>
              <w:top w:val="single" w:sz="6" w:space="0" w:color="auto"/>
              <w:bottom w:val="single" w:sz="12" w:space="0" w:color="auto"/>
            </w:tcBorders>
            <w:shd w:val="clear" w:color="auto" w:fill="auto"/>
          </w:tcPr>
          <w:p w:rsidR="00664C63" w:rsidRPr="00402376" w:rsidRDefault="00664C63" w:rsidP="00402376">
            <w:pPr>
              <w:pStyle w:val="TableHeading"/>
            </w:pPr>
            <w:r w:rsidRPr="00402376">
              <w:t>Commencement</w:t>
            </w:r>
          </w:p>
        </w:tc>
        <w:tc>
          <w:tcPr>
            <w:tcW w:w="1582" w:type="dxa"/>
            <w:tcBorders>
              <w:top w:val="single" w:sz="6" w:space="0" w:color="auto"/>
              <w:bottom w:val="single" w:sz="12" w:space="0" w:color="auto"/>
            </w:tcBorders>
            <w:shd w:val="clear" w:color="auto" w:fill="auto"/>
          </w:tcPr>
          <w:p w:rsidR="00664C63" w:rsidRPr="00402376" w:rsidRDefault="00664C63" w:rsidP="00402376">
            <w:pPr>
              <w:pStyle w:val="TableHeading"/>
            </w:pPr>
            <w:r w:rsidRPr="00402376">
              <w:t>Date/Details</w:t>
            </w:r>
          </w:p>
        </w:tc>
      </w:tr>
      <w:tr w:rsidR="00664C63" w:rsidTr="00836951">
        <w:tc>
          <w:tcPr>
            <w:tcW w:w="1701" w:type="dxa"/>
            <w:tcBorders>
              <w:top w:val="single" w:sz="12" w:space="0" w:color="auto"/>
              <w:bottom w:val="single" w:sz="12" w:space="0" w:color="auto"/>
            </w:tcBorders>
            <w:shd w:val="clear" w:color="auto" w:fill="auto"/>
          </w:tcPr>
          <w:p w:rsidR="00664C63" w:rsidRDefault="00664C63" w:rsidP="00464672">
            <w:pPr>
              <w:pStyle w:val="Tabletext"/>
            </w:pPr>
            <w:r>
              <w:t xml:space="preserve">1.  </w:t>
            </w:r>
            <w:r w:rsidR="00836951">
              <w:rPr>
                <w:noProof/>
              </w:rPr>
              <w:t xml:space="preserve">Schedule </w:t>
            </w:r>
            <w:bookmarkStart w:id="4" w:name="BK_S1P1L23C15"/>
            <w:bookmarkEnd w:id="4"/>
            <w:r w:rsidR="00F70BA7">
              <w:rPr>
                <w:noProof/>
              </w:rPr>
              <w:t>6</w:t>
            </w:r>
          </w:p>
        </w:tc>
        <w:tc>
          <w:tcPr>
            <w:tcW w:w="3828" w:type="dxa"/>
            <w:tcBorders>
              <w:top w:val="single" w:sz="12" w:space="0" w:color="auto"/>
              <w:bottom w:val="single" w:sz="12" w:space="0" w:color="auto"/>
            </w:tcBorders>
            <w:shd w:val="clear" w:color="auto" w:fill="auto"/>
          </w:tcPr>
          <w:p w:rsidR="00664C63" w:rsidRDefault="005A168D" w:rsidP="001D142E">
            <w:pPr>
              <w:pStyle w:val="Tabletext"/>
            </w:pPr>
            <w:r>
              <w:t>1 January 2021.</w:t>
            </w:r>
          </w:p>
        </w:tc>
        <w:tc>
          <w:tcPr>
            <w:tcW w:w="1582" w:type="dxa"/>
            <w:tcBorders>
              <w:top w:val="single" w:sz="12" w:space="0" w:color="auto"/>
              <w:bottom w:val="single" w:sz="12" w:space="0" w:color="auto"/>
            </w:tcBorders>
            <w:shd w:val="clear" w:color="auto" w:fill="auto"/>
          </w:tcPr>
          <w:p w:rsidR="00664C63" w:rsidRDefault="005A168D" w:rsidP="001D142E">
            <w:pPr>
              <w:pStyle w:val="Tabletext"/>
            </w:pPr>
            <w:r>
              <w:t>1 January 2021</w:t>
            </w:r>
          </w:p>
        </w:tc>
      </w:tr>
    </w:tbl>
    <w:p w:rsidR="00B967BD" w:rsidRDefault="00B967BD" w:rsidP="00B967BD">
      <w:pPr>
        <w:rPr>
          <w:sz w:val="32"/>
        </w:rPr>
      </w:pPr>
    </w:p>
    <w:p w:rsidR="00B967BD" w:rsidRDefault="00B967BD" w:rsidP="00B967BD">
      <w:pPr>
        <w:rPr>
          <w:sz w:val="32"/>
        </w:rPr>
      </w:pPr>
      <w:r>
        <w:rPr>
          <w:sz w:val="32"/>
        </w:rPr>
        <w:t>Contents</w:t>
      </w:r>
    </w:p>
    <w:bookmarkStart w:id="5" w:name="BKCheck15B_1"/>
    <w:bookmarkEnd w:id="5"/>
    <w:p w:rsidR="00BE5C05" w:rsidRDefault="00BE5C05">
      <w:pPr>
        <w:pStyle w:val="TOC6"/>
        <w:rPr>
          <w:rFonts w:asciiTheme="minorHAnsi" w:eastAsiaTheme="minorEastAsia" w:hAnsiTheme="minorHAnsi" w:cstheme="minorBidi"/>
          <w:b w:val="0"/>
          <w:noProof/>
          <w:kern w:val="0"/>
          <w:sz w:val="22"/>
          <w:szCs w:val="22"/>
        </w:rPr>
      </w:pPr>
      <w:r>
        <w:rPr>
          <w:sz w:val="32"/>
        </w:rPr>
        <w:fldChar w:fldCharType="begin"/>
      </w:r>
      <w:r>
        <w:rPr>
          <w:sz w:val="32"/>
        </w:rPr>
        <w:instrText xml:space="preserve"> TOC \o "1-9" </w:instrText>
      </w:r>
      <w:r>
        <w:rPr>
          <w:sz w:val="32"/>
        </w:rPr>
        <w:fldChar w:fldCharType="separate"/>
      </w:r>
      <w:r>
        <w:rPr>
          <w:noProof/>
        </w:rPr>
        <w:t>Schedule 6—Technical amendments</w:t>
      </w:r>
      <w:r w:rsidRPr="00BE5C05">
        <w:rPr>
          <w:b w:val="0"/>
          <w:noProof/>
          <w:sz w:val="18"/>
        </w:rPr>
        <w:tab/>
      </w:r>
      <w:r w:rsidRPr="00BE5C05">
        <w:rPr>
          <w:b w:val="0"/>
          <w:noProof/>
          <w:sz w:val="18"/>
        </w:rPr>
        <w:fldChar w:fldCharType="begin"/>
      </w:r>
      <w:r w:rsidRPr="00BE5C05">
        <w:rPr>
          <w:b w:val="0"/>
          <w:noProof/>
          <w:sz w:val="18"/>
        </w:rPr>
        <w:instrText xml:space="preserve"> PAGEREF _Toc45793476 \h </w:instrText>
      </w:r>
      <w:r w:rsidRPr="00BE5C05">
        <w:rPr>
          <w:b w:val="0"/>
          <w:noProof/>
          <w:sz w:val="18"/>
        </w:rPr>
      </w:r>
      <w:r w:rsidRPr="00BE5C05">
        <w:rPr>
          <w:b w:val="0"/>
          <w:noProof/>
          <w:sz w:val="18"/>
        </w:rPr>
        <w:fldChar w:fldCharType="separate"/>
      </w:r>
      <w:r w:rsidR="00371950">
        <w:rPr>
          <w:b w:val="0"/>
          <w:noProof/>
          <w:sz w:val="18"/>
        </w:rPr>
        <w:t>2</w:t>
      </w:r>
      <w:r w:rsidRPr="00BE5C05">
        <w:rPr>
          <w:b w:val="0"/>
          <w:noProof/>
          <w:sz w:val="18"/>
        </w:rPr>
        <w:fldChar w:fldCharType="end"/>
      </w:r>
    </w:p>
    <w:p w:rsidR="00BE5C05" w:rsidRDefault="00BE5C05">
      <w:pPr>
        <w:pStyle w:val="TOC7"/>
        <w:rPr>
          <w:rFonts w:asciiTheme="minorHAnsi" w:eastAsiaTheme="minorEastAsia" w:hAnsiTheme="minorHAnsi" w:cstheme="minorBidi"/>
          <w:noProof/>
          <w:kern w:val="0"/>
          <w:sz w:val="22"/>
          <w:szCs w:val="22"/>
        </w:rPr>
      </w:pPr>
      <w:r>
        <w:rPr>
          <w:noProof/>
        </w:rPr>
        <w:t>Part 1—Interests acquired by entering agreements</w:t>
      </w:r>
      <w:r w:rsidRPr="00BE5C05">
        <w:rPr>
          <w:noProof/>
          <w:sz w:val="18"/>
        </w:rPr>
        <w:tab/>
      </w:r>
      <w:r w:rsidRPr="00BE5C05">
        <w:rPr>
          <w:noProof/>
          <w:sz w:val="18"/>
        </w:rPr>
        <w:fldChar w:fldCharType="begin"/>
      </w:r>
      <w:r w:rsidRPr="00BE5C05">
        <w:rPr>
          <w:noProof/>
          <w:sz w:val="18"/>
        </w:rPr>
        <w:instrText xml:space="preserve"> PAGEREF _Toc45793477 \h </w:instrText>
      </w:r>
      <w:r w:rsidRPr="00BE5C05">
        <w:rPr>
          <w:noProof/>
          <w:sz w:val="18"/>
        </w:rPr>
      </w:r>
      <w:r w:rsidRPr="00BE5C05">
        <w:rPr>
          <w:noProof/>
          <w:sz w:val="18"/>
        </w:rPr>
        <w:fldChar w:fldCharType="separate"/>
      </w:r>
      <w:r w:rsidR="00371950">
        <w:rPr>
          <w:noProof/>
          <w:sz w:val="18"/>
        </w:rPr>
        <w:t>2</w:t>
      </w:r>
      <w:r w:rsidRPr="00BE5C05">
        <w:rPr>
          <w:noProof/>
          <w:sz w:val="18"/>
        </w:rPr>
        <w:fldChar w:fldCharType="end"/>
      </w:r>
    </w:p>
    <w:p w:rsidR="00BE5C05" w:rsidRDefault="00BE5C05">
      <w:pPr>
        <w:pStyle w:val="TOC9"/>
        <w:rPr>
          <w:rFonts w:asciiTheme="minorHAnsi" w:eastAsiaTheme="minorEastAsia" w:hAnsiTheme="minorHAnsi" w:cstheme="minorBidi"/>
          <w:i w:val="0"/>
          <w:noProof/>
          <w:kern w:val="0"/>
          <w:sz w:val="22"/>
          <w:szCs w:val="22"/>
        </w:rPr>
      </w:pPr>
      <w:r>
        <w:rPr>
          <w:noProof/>
        </w:rPr>
        <w:t>Foreign Acquisitions and Takeovers Act 1975</w:t>
      </w:r>
      <w:r w:rsidRPr="00BE5C05">
        <w:rPr>
          <w:i w:val="0"/>
          <w:noProof/>
          <w:sz w:val="18"/>
        </w:rPr>
        <w:tab/>
      </w:r>
      <w:r w:rsidRPr="00BE5C05">
        <w:rPr>
          <w:i w:val="0"/>
          <w:noProof/>
          <w:sz w:val="18"/>
        </w:rPr>
        <w:fldChar w:fldCharType="begin"/>
      </w:r>
      <w:r w:rsidRPr="00BE5C05">
        <w:rPr>
          <w:i w:val="0"/>
          <w:noProof/>
          <w:sz w:val="18"/>
        </w:rPr>
        <w:instrText xml:space="preserve"> PAGEREF _Toc45793478 \h </w:instrText>
      </w:r>
      <w:r w:rsidRPr="00BE5C05">
        <w:rPr>
          <w:i w:val="0"/>
          <w:noProof/>
          <w:sz w:val="18"/>
        </w:rPr>
      </w:r>
      <w:r w:rsidRPr="00BE5C05">
        <w:rPr>
          <w:i w:val="0"/>
          <w:noProof/>
          <w:sz w:val="18"/>
        </w:rPr>
        <w:fldChar w:fldCharType="separate"/>
      </w:r>
      <w:r w:rsidR="00371950">
        <w:rPr>
          <w:i w:val="0"/>
          <w:noProof/>
          <w:sz w:val="18"/>
        </w:rPr>
        <w:t>2</w:t>
      </w:r>
      <w:r w:rsidRPr="00BE5C05">
        <w:rPr>
          <w:i w:val="0"/>
          <w:noProof/>
          <w:sz w:val="18"/>
        </w:rPr>
        <w:fldChar w:fldCharType="end"/>
      </w:r>
    </w:p>
    <w:p w:rsidR="00BE5C05" w:rsidRDefault="00BE5C05">
      <w:pPr>
        <w:pStyle w:val="TOC7"/>
        <w:rPr>
          <w:rFonts w:asciiTheme="minorHAnsi" w:eastAsiaTheme="minorEastAsia" w:hAnsiTheme="minorHAnsi" w:cstheme="minorBidi"/>
          <w:noProof/>
          <w:kern w:val="0"/>
          <w:sz w:val="22"/>
          <w:szCs w:val="22"/>
        </w:rPr>
      </w:pPr>
      <w:r>
        <w:rPr>
          <w:noProof/>
        </w:rPr>
        <w:t>Part 2—Extension of decision period</w:t>
      </w:r>
      <w:r w:rsidRPr="00BE5C05">
        <w:rPr>
          <w:noProof/>
          <w:sz w:val="18"/>
        </w:rPr>
        <w:tab/>
      </w:r>
      <w:r w:rsidRPr="00BE5C05">
        <w:rPr>
          <w:noProof/>
          <w:sz w:val="18"/>
        </w:rPr>
        <w:fldChar w:fldCharType="begin"/>
      </w:r>
      <w:r w:rsidRPr="00BE5C05">
        <w:rPr>
          <w:noProof/>
          <w:sz w:val="18"/>
        </w:rPr>
        <w:instrText xml:space="preserve"> PAGEREF _Toc45793479 \h </w:instrText>
      </w:r>
      <w:r w:rsidRPr="00BE5C05">
        <w:rPr>
          <w:noProof/>
          <w:sz w:val="18"/>
        </w:rPr>
      </w:r>
      <w:r w:rsidRPr="00BE5C05">
        <w:rPr>
          <w:noProof/>
          <w:sz w:val="18"/>
        </w:rPr>
        <w:fldChar w:fldCharType="separate"/>
      </w:r>
      <w:r w:rsidR="00371950">
        <w:rPr>
          <w:noProof/>
          <w:sz w:val="18"/>
        </w:rPr>
        <w:t>4</w:t>
      </w:r>
      <w:r w:rsidRPr="00BE5C05">
        <w:rPr>
          <w:noProof/>
          <w:sz w:val="18"/>
        </w:rPr>
        <w:fldChar w:fldCharType="end"/>
      </w:r>
    </w:p>
    <w:p w:rsidR="00BE5C05" w:rsidRDefault="00BE5C05">
      <w:pPr>
        <w:pStyle w:val="TOC9"/>
        <w:rPr>
          <w:rFonts w:asciiTheme="minorHAnsi" w:eastAsiaTheme="minorEastAsia" w:hAnsiTheme="minorHAnsi" w:cstheme="minorBidi"/>
          <w:i w:val="0"/>
          <w:noProof/>
          <w:kern w:val="0"/>
          <w:sz w:val="22"/>
          <w:szCs w:val="22"/>
        </w:rPr>
      </w:pPr>
      <w:r>
        <w:rPr>
          <w:noProof/>
        </w:rPr>
        <w:t>Foreign Acquisitions and Takeovers Act 1975</w:t>
      </w:r>
      <w:r w:rsidRPr="00BE5C05">
        <w:rPr>
          <w:i w:val="0"/>
          <w:noProof/>
          <w:sz w:val="18"/>
        </w:rPr>
        <w:tab/>
      </w:r>
      <w:r w:rsidRPr="00BE5C05">
        <w:rPr>
          <w:i w:val="0"/>
          <w:noProof/>
          <w:sz w:val="18"/>
        </w:rPr>
        <w:fldChar w:fldCharType="begin"/>
      </w:r>
      <w:r w:rsidRPr="00BE5C05">
        <w:rPr>
          <w:i w:val="0"/>
          <w:noProof/>
          <w:sz w:val="18"/>
        </w:rPr>
        <w:instrText xml:space="preserve"> PAGEREF _Toc45793480 \h </w:instrText>
      </w:r>
      <w:r w:rsidRPr="00BE5C05">
        <w:rPr>
          <w:i w:val="0"/>
          <w:noProof/>
          <w:sz w:val="18"/>
        </w:rPr>
      </w:r>
      <w:r w:rsidRPr="00BE5C05">
        <w:rPr>
          <w:i w:val="0"/>
          <w:noProof/>
          <w:sz w:val="18"/>
        </w:rPr>
        <w:fldChar w:fldCharType="separate"/>
      </w:r>
      <w:r w:rsidR="00371950">
        <w:rPr>
          <w:i w:val="0"/>
          <w:noProof/>
          <w:sz w:val="18"/>
        </w:rPr>
        <w:t>4</w:t>
      </w:r>
      <w:r w:rsidRPr="00BE5C05">
        <w:rPr>
          <w:i w:val="0"/>
          <w:noProof/>
          <w:sz w:val="18"/>
        </w:rPr>
        <w:fldChar w:fldCharType="end"/>
      </w:r>
    </w:p>
    <w:p w:rsidR="00BE5C05" w:rsidRDefault="00BE5C05">
      <w:pPr>
        <w:pStyle w:val="TOC7"/>
        <w:rPr>
          <w:rFonts w:asciiTheme="minorHAnsi" w:eastAsiaTheme="minorEastAsia" w:hAnsiTheme="minorHAnsi" w:cstheme="minorBidi"/>
          <w:noProof/>
          <w:kern w:val="0"/>
          <w:sz w:val="22"/>
          <w:szCs w:val="22"/>
        </w:rPr>
      </w:pPr>
      <w:r>
        <w:rPr>
          <w:noProof/>
        </w:rPr>
        <w:t>Part 3—Time limit on making orders and decisions</w:t>
      </w:r>
      <w:r w:rsidRPr="00BE5C05">
        <w:rPr>
          <w:noProof/>
          <w:sz w:val="18"/>
        </w:rPr>
        <w:tab/>
      </w:r>
      <w:r w:rsidRPr="00BE5C05">
        <w:rPr>
          <w:noProof/>
          <w:sz w:val="18"/>
        </w:rPr>
        <w:fldChar w:fldCharType="begin"/>
      </w:r>
      <w:r w:rsidRPr="00BE5C05">
        <w:rPr>
          <w:noProof/>
          <w:sz w:val="18"/>
        </w:rPr>
        <w:instrText xml:space="preserve"> PAGEREF _Toc45793482 \h </w:instrText>
      </w:r>
      <w:r w:rsidRPr="00BE5C05">
        <w:rPr>
          <w:noProof/>
          <w:sz w:val="18"/>
        </w:rPr>
      </w:r>
      <w:r w:rsidRPr="00BE5C05">
        <w:rPr>
          <w:noProof/>
          <w:sz w:val="18"/>
        </w:rPr>
        <w:fldChar w:fldCharType="separate"/>
      </w:r>
      <w:r w:rsidR="00371950">
        <w:rPr>
          <w:noProof/>
          <w:sz w:val="18"/>
        </w:rPr>
        <w:t>6</w:t>
      </w:r>
      <w:r w:rsidRPr="00BE5C05">
        <w:rPr>
          <w:noProof/>
          <w:sz w:val="18"/>
        </w:rPr>
        <w:fldChar w:fldCharType="end"/>
      </w:r>
    </w:p>
    <w:p w:rsidR="00BE5C05" w:rsidRDefault="00BE5C05">
      <w:pPr>
        <w:pStyle w:val="TOC9"/>
        <w:rPr>
          <w:rFonts w:asciiTheme="minorHAnsi" w:eastAsiaTheme="minorEastAsia" w:hAnsiTheme="minorHAnsi" w:cstheme="minorBidi"/>
          <w:i w:val="0"/>
          <w:noProof/>
          <w:kern w:val="0"/>
          <w:sz w:val="22"/>
          <w:szCs w:val="22"/>
        </w:rPr>
      </w:pPr>
      <w:r>
        <w:rPr>
          <w:noProof/>
        </w:rPr>
        <w:t>Foreign Acquisitions and Takeovers Act 1975</w:t>
      </w:r>
      <w:r w:rsidRPr="00BE5C05">
        <w:rPr>
          <w:i w:val="0"/>
          <w:noProof/>
          <w:sz w:val="18"/>
        </w:rPr>
        <w:tab/>
      </w:r>
      <w:r w:rsidRPr="00BE5C05">
        <w:rPr>
          <w:i w:val="0"/>
          <w:noProof/>
          <w:sz w:val="18"/>
        </w:rPr>
        <w:fldChar w:fldCharType="begin"/>
      </w:r>
      <w:r w:rsidRPr="00BE5C05">
        <w:rPr>
          <w:i w:val="0"/>
          <w:noProof/>
          <w:sz w:val="18"/>
        </w:rPr>
        <w:instrText xml:space="preserve"> PAGEREF _Toc45793483 \h </w:instrText>
      </w:r>
      <w:r w:rsidRPr="00BE5C05">
        <w:rPr>
          <w:i w:val="0"/>
          <w:noProof/>
          <w:sz w:val="18"/>
        </w:rPr>
      </w:r>
      <w:r w:rsidRPr="00BE5C05">
        <w:rPr>
          <w:i w:val="0"/>
          <w:noProof/>
          <w:sz w:val="18"/>
        </w:rPr>
        <w:fldChar w:fldCharType="separate"/>
      </w:r>
      <w:r w:rsidR="00371950">
        <w:rPr>
          <w:i w:val="0"/>
          <w:noProof/>
          <w:sz w:val="18"/>
        </w:rPr>
        <w:t>6</w:t>
      </w:r>
      <w:r w:rsidRPr="00BE5C05">
        <w:rPr>
          <w:i w:val="0"/>
          <w:noProof/>
          <w:sz w:val="18"/>
        </w:rPr>
        <w:fldChar w:fldCharType="end"/>
      </w:r>
    </w:p>
    <w:p w:rsidR="00BE5C05" w:rsidRDefault="00BE5C05">
      <w:pPr>
        <w:pStyle w:val="TOC7"/>
        <w:rPr>
          <w:rFonts w:asciiTheme="minorHAnsi" w:eastAsiaTheme="minorEastAsia" w:hAnsiTheme="minorHAnsi" w:cstheme="minorBidi"/>
          <w:noProof/>
          <w:kern w:val="0"/>
          <w:sz w:val="22"/>
          <w:szCs w:val="22"/>
        </w:rPr>
      </w:pPr>
      <w:r>
        <w:rPr>
          <w:noProof/>
        </w:rPr>
        <w:t>Part 4—Court orders</w:t>
      </w:r>
      <w:r w:rsidRPr="00BE5C05">
        <w:rPr>
          <w:noProof/>
          <w:sz w:val="18"/>
        </w:rPr>
        <w:tab/>
      </w:r>
      <w:r w:rsidRPr="00BE5C05">
        <w:rPr>
          <w:noProof/>
          <w:sz w:val="18"/>
        </w:rPr>
        <w:fldChar w:fldCharType="begin"/>
      </w:r>
      <w:r w:rsidRPr="00BE5C05">
        <w:rPr>
          <w:noProof/>
          <w:sz w:val="18"/>
        </w:rPr>
        <w:instrText xml:space="preserve"> PAGEREF _Toc45793484 \h </w:instrText>
      </w:r>
      <w:r w:rsidRPr="00BE5C05">
        <w:rPr>
          <w:noProof/>
          <w:sz w:val="18"/>
        </w:rPr>
      </w:r>
      <w:r w:rsidRPr="00BE5C05">
        <w:rPr>
          <w:noProof/>
          <w:sz w:val="18"/>
        </w:rPr>
        <w:fldChar w:fldCharType="separate"/>
      </w:r>
      <w:r w:rsidR="00371950">
        <w:rPr>
          <w:noProof/>
          <w:sz w:val="18"/>
        </w:rPr>
        <w:t>7</w:t>
      </w:r>
      <w:r w:rsidRPr="00BE5C05">
        <w:rPr>
          <w:noProof/>
          <w:sz w:val="18"/>
        </w:rPr>
        <w:fldChar w:fldCharType="end"/>
      </w:r>
    </w:p>
    <w:p w:rsidR="00BE5C05" w:rsidRDefault="00BE5C05">
      <w:pPr>
        <w:pStyle w:val="TOC9"/>
        <w:rPr>
          <w:rFonts w:asciiTheme="minorHAnsi" w:eastAsiaTheme="minorEastAsia" w:hAnsiTheme="minorHAnsi" w:cstheme="minorBidi"/>
          <w:i w:val="0"/>
          <w:noProof/>
          <w:kern w:val="0"/>
          <w:sz w:val="22"/>
          <w:szCs w:val="22"/>
        </w:rPr>
      </w:pPr>
      <w:r>
        <w:rPr>
          <w:noProof/>
        </w:rPr>
        <w:t>Foreign Acquisitions and Takeovers Act 1975</w:t>
      </w:r>
      <w:r w:rsidRPr="00BE5C05">
        <w:rPr>
          <w:i w:val="0"/>
          <w:noProof/>
          <w:sz w:val="18"/>
        </w:rPr>
        <w:tab/>
      </w:r>
      <w:r w:rsidRPr="00BE5C05">
        <w:rPr>
          <w:i w:val="0"/>
          <w:noProof/>
          <w:sz w:val="18"/>
        </w:rPr>
        <w:fldChar w:fldCharType="begin"/>
      </w:r>
      <w:r w:rsidRPr="00BE5C05">
        <w:rPr>
          <w:i w:val="0"/>
          <w:noProof/>
          <w:sz w:val="18"/>
        </w:rPr>
        <w:instrText xml:space="preserve"> PAGEREF _Toc45793485 \h </w:instrText>
      </w:r>
      <w:r w:rsidRPr="00BE5C05">
        <w:rPr>
          <w:i w:val="0"/>
          <w:noProof/>
          <w:sz w:val="18"/>
        </w:rPr>
      </w:r>
      <w:r w:rsidRPr="00BE5C05">
        <w:rPr>
          <w:i w:val="0"/>
          <w:noProof/>
          <w:sz w:val="18"/>
        </w:rPr>
        <w:fldChar w:fldCharType="separate"/>
      </w:r>
      <w:r w:rsidR="00371950">
        <w:rPr>
          <w:i w:val="0"/>
          <w:noProof/>
          <w:sz w:val="18"/>
        </w:rPr>
        <w:t>7</w:t>
      </w:r>
      <w:r w:rsidRPr="00BE5C05">
        <w:rPr>
          <w:i w:val="0"/>
          <w:noProof/>
          <w:sz w:val="18"/>
        </w:rPr>
        <w:fldChar w:fldCharType="end"/>
      </w:r>
    </w:p>
    <w:p w:rsidR="00BE5C05" w:rsidRDefault="00BE5C05">
      <w:pPr>
        <w:pStyle w:val="TOC7"/>
        <w:rPr>
          <w:rFonts w:asciiTheme="minorHAnsi" w:eastAsiaTheme="minorEastAsia" w:hAnsiTheme="minorHAnsi" w:cstheme="minorBidi"/>
          <w:noProof/>
          <w:kern w:val="0"/>
          <w:sz w:val="22"/>
          <w:szCs w:val="22"/>
        </w:rPr>
      </w:pPr>
      <w:r>
        <w:rPr>
          <w:noProof/>
        </w:rPr>
        <w:t>Part 5—Other amendments</w:t>
      </w:r>
      <w:r w:rsidRPr="00BE5C05">
        <w:rPr>
          <w:noProof/>
          <w:sz w:val="18"/>
        </w:rPr>
        <w:tab/>
      </w:r>
      <w:r w:rsidRPr="00BE5C05">
        <w:rPr>
          <w:noProof/>
          <w:sz w:val="18"/>
        </w:rPr>
        <w:fldChar w:fldCharType="begin"/>
      </w:r>
      <w:r w:rsidRPr="00BE5C05">
        <w:rPr>
          <w:noProof/>
          <w:sz w:val="18"/>
        </w:rPr>
        <w:instrText xml:space="preserve"> PAGEREF _Toc45793486 \h </w:instrText>
      </w:r>
      <w:r w:rsidRPr="00BE5C05">
        <w:rPr>
          <w:noProof/>
          <w:sz w:val="18"/>
        </w:rPr>
      </w:r>
      <w:r w:rsidRPr="00BE5C05">
        <w:rPr>
          <w:noProof/>
          <w:sz w:val="18"/>
        </w:rPr>
        <w:fldChar w:fldCharType="separate"/>
      </w:r>
      <w:r w:rsidR="00371950">
        <w:rPr>
          <w:noProof/>
          <w:sz w:val="18"/>
        </w:rPr>
        <w:t>8</w:t>
      </w:r>
      <w:r w:rsidRPr="00BE5C05">
        <w:rPr>
          <w:noProof/>
          <w:sz w:val="18"/>
        </w:rPr>
        <w:fldChar w:fldCharType="end"/>
      </w:r>
    </w:p>
    <w:p w:rsidR="00BE5C05" w:rsidRDefault="00BE5C05">
      <w:pPr>
        <w:pStyle w:val="TOC9"/>
        <w:rPr>
          <w:rFonts w:asciiTheme="minorHAnsi" w:eastAsiaTheme="minorEastAsia" w:hAnsiTheme="minorHAnsi" w:cstheme="minorBidi"/>
          <w:i w:val="0"/>
          <w:noProof/>
          <w:kern w:val="0"/>
          <w:sz w:val="22"/>
          <w:szCs w:val="22"/>
        </w:rPr>
      </w:pPr>
      <w:r>
        <w:rPr>
          <w:noProof/>
        </w:rPr>
        <w:t>Foreign Acquisitions and Takeovers Act 1975</w:t>
      </w:r>
      <w:r w:rsidRPr="00BE5C05">
        <w:rPr>
          <w:i w:val="0"/>
          <w:noProof/>
          <w:sz w:val="18"/>
        </w:rPr>
        <w:tab/>
      </w:r>
      <w:r w:rsidRPr="00BE5C05">
        <w:rPr>
          <w:i w:val="0"/>
          <w:noProof/>
          <w:sz w:val="18"/>
        </w:rPr>
        <w:fldChar w:fldCharType="begin"/>
      </w:r>
      <w:r w:rsidRPr="00BE5C05">
        <w:rPr>
          <w:i w:val="0"/>
          <w:noProof/>
          <w:sz w:val="18"/>
        </w:rPr>
        <w:instrText xml:space="preserve"> PAGEREF _Toc45793487 \h </w:instrText>
      </w:r>
      <w:r w:rsidRPr="00BE5C05">
        <w:rPr>
          <w:i w:val="0"/>
          <w:noProof/>
          <w:sz w:val="18"/>
        </w:rPr>
      </w:r>
      <w:r w:rsidRPr="00BE5C05">
        <w:rPr>
          <w:i w:val="0"/>
          <w:noProof/>
          <w:sz w:val="18"/>
        </w:rPr>
        <w:fldChar w:fldCharType="separate"/>
      </w:r>
      <w:r w:rsidR="00371950">
        <w:rPr>
          <w:i w:val="0"/>
          <w:noProof/>
          <w:sz w:val="18"/>
        </w:rPr>
        <w:t>8</w:t>
      </w:r>
      <w:r w:rsidRPr="00BE5C05">
        <w:rPr>
          <w:i w:val="0"/>
          <w:noProof/>
          <w:sz w:val="18"/>
        </w:rPr>
        <w:fldChar w:fldCharType="end"/>
      </w:r>
    </w:p>
    <w:p w:rsidR="00DA67DC" w:rsidRDefault="00BE5C05" w:rsidP="00836951">
      <w:pPr>
        <w:rPr>
          <w:sz w:val="32"/>
        </w:rPr>
      </w:pPr>
      <w:r>
        <w:rPr>
          <w:sz w:val="32"/>
        </w:rPr>
        <w:fldChar w:fldCharType="end"/>
      </w:r>
    </w:p>
    <w:p w:rsidR="005A168D" w:rsidRPr="005A168D" w:rsidRDefault="005A168D" w:rsidP="005A168D">
      <w:pPr>
        <w:pStyle w:val="ActHead6"/>
        <w:pageBreakBefore/>
      </w:pPr>
      <w:bookmarkStart w:id="6" w:name="_Toc45793476"/>
      <w:bookmarkStart w:id="7" w:name="opcAmSched"/>
      <w:bookmarkStart w:id="8" w:name="opcCurrentFind"/>
      <w:r w:rsidRPr="004B59DF">
        <w:rPr>
          <w:rStyle w:val="CharAmSchNo"/>
        </w:rPr>
        <w:lastRenderedPageBreak/>
        <w:t>Schedule</w:t>
      </w:r>
      <w:bookmarkStart w:id="9" w:name="BK_S1P3L1C9"/>
      <w:bookmarkEnd w:id="9"/>
      <w:r w:rsidRPr="004B59DF">
        <w:rPr>
          <w:rStyle w:val="CharAmSchNo"/>
        </w:rPr>
        <w:t xml:space="preserve"> </w:t>
      </w:r>
      <w:bookmarkStart w:id="10" w:name="BK_S1P3L1C11"/>
      <w:bookmarkEnd w:id="10"/>
      <w:r w:rsidR="00F70BA7" w:rsidRPr="004B59DF">
        <w:rPr>
          <w:rStyle w:val="CharAmSchNo"/>
        </w:rPr>
        <w:t>6</w:t>
      </w:r>
      <w:r>
        <w:t>—</w:t>
      </w:r>
      <w:r w:rsidR="001A600E" w:rsidRPr="004B59DF">
        <w:rPr>
          <w:rStyle w:val="CharAmSchText"/>
        </w:rPr>
        <w:t>T</w:t>
      </w:r>
      <w:r w:rsidRPr="004B59DF">
        <w:rPr>
          <w:rStyle w:val="CharAmSchText"/>
        </w:rPr>
        <w:t>echnical amendments</w:t>
      </w:r>
      <w:bookmarkEnd w:id="6"/>
    </w:p>
    <w:p w:rsidR="00836951" w:rsidRPr="00195B74" w:rsidRDefault="00836951" w:rsidP="00F17CD6">
      <w:pPr>
        <w:pStyle w:val="ActHead7"/>
      </w:pPr>
      <w:bookmarkStart w:id="11" w:name="_Toc45793477"/>
      <w:bookmarkEnd w:id="7"/>
      <w:bookmarkEnd w:id="8"/>
      <w:r w:rsidRPr="004B59DF">
        <w:rPr>
          <w:rStyle w:val="CharAmPartNo"/>
        </w:rPr>
        <w:t>Part 1</w:t>
      </w:r>
      <w:r>
        <w:t>—</w:t>
      </w:r>
      <w:r w:rsidRPr="004B59DF">
        <w:rPr>
          <w:rStyle w:val="CharAmPartText"/>
        </w:rPr>
        <w:t>Interests acquired by entering agreements</w:t>
      </w:r>
      <w:bookmarkEnd w:id="11"/>
    </w:p>
    <w:p w:rsidR="00836951" w:rsidRPr="00E8128E" w:rsidRDefault="00836951" w:rsidP="00836951">
      <w:pPr>
        <w:pStyle w:val="ActHead9"/>
        <w:rPr>
          <w:i w:val="0"/>
        </w:rPr>
      </w:pPr>
      <w:bookmarkStart w:id="12" w:name="_Toc45793478"/>
      <w:r w:rsidRPr="00B96C26">
        <w:t>Foreign Acquisitions and Takeovers Act 1975</w:t>
      </w:r>
      <w:bookmarkEnd w:id="12"/>
    </w:p>
    <w:p w:rsidR="00836951" w:rsidRDefault="00F70BA7" w:rsidP="00836951">
      <w:pPr>
        <w:pStyle w:val="ItemHead"/>
      </w:pPr>
      <w:r>
        <w:t>1</w:t>
      </w:r>
      <w:r w:rsidR="00836951">
        <w:t xml:space="preserve">  Section 4 (note to the definition of </w:t>
      </w:r>
      <w:r w:rsidR="00836951" w:rsidRPr="00B867E6">
        <w:rPr>
          <w:i/>
        </w:rPr>
        <w:t>new dwelling</w:t>
      </w:r>
      <w:r w:rsidR="00836951">
        <w:t>)</w:t>
      </w:r>
    </w:p>
    <w:p w:rsidR="00836951" w:rsidRDefault="00836951" w:rsidP="00836951">
      <w:pPr>
        <w:pStyle w:val="Item"/>
      </w:pPr>
      <w:r>
        <w:t>Omit “subsections 15(4) and (5)”, substitute “section 15”.</w:t>
      </w:r>
    </w:p>
    <w:p w:rsidR="00836951" w:rsidRDefault="00F70BA7" w:rsidP="00836951">
      <w:pPr>
        <w:pStyle w:val="ItemHead"/>
      </w:pPr>
      <w:r>
        <w:t>2</w:t>
      </w:r>
      <w:r w:rsidR="00836951">
        <w:t xml:space="preserve">  Subsection 15(1)</w:t>
      </w:r>
    </w:p>
    <w:p w:rsidR="00836951" w:rsidRPr="00026F7E" w:rsidRDefault="00836951" w:rsidP="00836951">
      <w:pPr>
        <w:pStyle w:val="Item"/>
      </w:pPr>
      <w:r>
        <w:t>Omit “subsections (4) and (5)”, substitute “subsection (4)”.</w:t>
      </w:r>
    </w:p>
    <w:p w:rsidR="00836951" w:rsidRDefault="00F70BA7" w:rsidP="00836951">
      <w:pPr>
        <w:pStyle w:val="ItemHead"/>
      </w:pPr>
      <w:r>
        <w:t>3</w:t>
      </w:r>
      <w:r w:rsidR="00836951">
        <w:t xml:space="preserve">  Subsections 15(4) and (5)</w:t>
      </w:r>
    </w:p>
    <w:p w:rsidR="00836951" w:rsidRDefault="00836951" w:rsidP="00836951">
      <w:pPr>
        <w:pStyle w:val="Item"/>
      </w:pPr>
      <w:r>
        <w:t>Repeal the subsections (including the heading), substitute:</w:t>
      </w:r>
    </w:p>
    <w:p w:rsidR="00836951" w:rsidRPr="00F06862" w:rsidRDefault="00836951" w:rsidP="00836951">
      <w:pPr>
        <w:pStyle w:val="SubsectionHead"/>
      </w:pPr>
      <w:r>
        <w:t>Agreements that are conditional on approval under this Act</w:t>
      </w:r>
    </w:p>
    <w:p w:rsidR="00836951" w:rsidRDefault="00836951" w:rsidP="00836951">
      <w:pPr>
        <w:pStyle w:val="subsection"/>
      </w:pPr>
      <w:r>
        <w:tab/>
        <w:t>(4)</w:t>
      </w:r>
      <w:r>
        <w:tab/>
        <w:t>For the purposes of this Act (other than section 95 (acquisition of interests in established dwellings)), if:</w:t>
      </w:r>
    </w:p>
    <w:p w:rsidR="00836951" w:rsidRDefault="00836951" w:rsidP="00836951">
      <w:pPr>
        <w:pStyle w:val="paragraph"/>
      </w:pPr>
      <w:r>
        <w:tab/>
        <w:t>(a)</w:t>
      </w:r>
      <w:r>
        <w:tab/>
        <w:t>a person proposes to take an action to acquire or sell an interest in a security, asset, trust or Australian land; and</w:t>
      </w:r>
    </w:p>
    <w:p w:rsidR="00BC5FE0" w:rsidRDefault="00BC5FE0" w:rsidP="00BC5FE0">
      <w:pPr>
        <w:pStyle w:val="paragraph"/>
      </w:pPr>
      <w:r>
        <w:tab/>
        <w:t>(b)</w:t>
      </w:r>
      <w:r>
        <w:tab/>
        <w:t>the agreement, right or option to acquire or sell the interest requires the fulfilment of a condition relating to the operation of this Act;</w:t>
      </w:r>
    </w:p>
    <w:p w:rsidR="00836951" w:rsidRDefault="00836951" w:rsidP="00836951">
      <w:pPr>
        <w:pStyle w:val="subsection2"/>
      </w:pPr>
      <w:r>
        <w:t xml:space="preserve">the person takes the action to acquire or sell the interest, and </w:t>
      </w:r>
      <w:r w:rsidR="00AE210E">
        <w:t xml:space="preserve">(where relevant) </w:t>
      </w:r>
      <w:r>
        <w:t>enters the agreement, when that condition is fulfilled (even if other conditions remain unfulfilled at that time).</w:t>
      </w:r>
    </w:p>
    <w:p w:rsidR="00836951" w:rsidRDefault="00836951" w:rsidP="00836951">
      <w:pPr>
        <w:pStyle w:val="notetext"/>
      </w:pPr>
      <w:r>
        <w:t>Note:</w:t>
      </w:r>
      <w:r>
        <w:tab/>
        <w:t>As a result of this subsection, the person acquires or sells the interest when the condition relating to the operation of this Act is fulfilled.</w:t>
      </w:r>
    </w:p>
    <w:p w:rsidR="00836951" w:rsidRDefault="00F70BA7" w:rsidP="00836951">
      <w:pPr>
        <w:pStyle w:val="ItemHead"/>
      </w:pPr>
      <w:r>
        <w:t>4</w:t>
      </w:r>
      <w:r w:rsidR="00836951">
        <w:t xml:space="preserve">  Subsection 8</w:t>
      </w:r>
      <w:r w:rsidR="00BC5FE0">
        <w:t>1</w:t>
      </w:r>
      <w:r w:rsidR="00836951">
        <w:t>(2) (note)</w:t>
      </w:r>
    </w:p>
    <w:p w:rsidR="00836951" w:rsidRDefault="00836951" w:rsidP="00836951">
      <w:pPr>
        <w:pStyle w:val="Item"/>
      </w:pPr>
      <w:r>
        <w:t>Omit “subsections 15(4) and (5) (provisions of agreements that are not currently binding)”, substitute “section 15 (interests acquired by entering agreements or acquiring options)”.</w:t>
      </w:r>
    </w:p>
    <w:p w:rsidR="00836951" w:rsidRDefault="00F70BA7" w:rsidP="00836951">
      <w:pPr>
        <w:pStyle w:val="ItemHead"/>
      </w:pPr>
      <w:r>
        <w:t>5</w:t>
      </w:r>
      <w:r w:rsidR="00836951">
        <w:t xml:space="preserve">  </w:t>
      </w:r>
      <w:r w:rsidR="00BC5FE0">
        <w:t>Subsection 81</w:t>
      </w:r>
      <w:r w:rsidR="00836951">
        <w:t>(2) (note</w:t>
      </w:r>
      <w:r w:rsidR="00DE41BF">
        <w:t xml:space="preserve"> 1</w:t>
      </w:r>
      <w:r w:rsidR="00836951">
        <w:t>)</w:t>
      </w:r>
    </w:p>
    <w:p w:rsidR="00836951" w:rsidRDefault="00836951" w:rsidP="00836951">
      <w:pPr>
        <w:pStyle w:val="Item"/>
      </w:pPr>
      <w:r>
        <w:t>Omit “Note 1”, substitute “Note”.</w:t>
      </w:r>
    </w:p>
    <w:p w:rsidR="00836951" w:rsidRDefault="00F70BA7" w:rsidP="00836951">
      <w:pPr>
        <w:pStyle w:val="ItemHead"/>
      </w:pPr>
      <w:r>
        <w:t>6</w:t>
      </w:r>
      <w:r w:rsidR="00BC5FE0">
        <w:t xml:space="preserve">  Subsection 81</w:t>
      </w:r>
      <w:r w:rsidR="00836951">
        <w:t>(2) (note 2)</w:t>
      </w:r>
    </w:p>
    <w:p w:rsidR="00836951" w:rsidRDefault="00836951" w:rsidP="00836951">
      <w:pPr>
        <w:pStyle w:val="Item"/>
      </w:pPr>
      <w:r>
        <w:t>Repeal the note.</w:t>
      </w:r>
    </w:p>
    <w:p w:rsidR="00836951" w:rsidRDefault="00F70BA7" w:rsidP="00836951">
      <w:pPr>
        <w:pStyle w:val="ItemHead"/>
      </w:pPr>
      <w:r>
        <w:lastRenderedPageBreak/>
        <w:t>7</w:t>
      </w:r>
      <w:r w:rsidR="00836951">
        <w:t xml:space="preserve">  Section 84 (note)</w:t>
      </w:r>
    </w:p>
    <w:p w:rsidR="00836951" w:rsidRDefault="00836951" w:rsidP="00836951">
      <w:pPr>
        <w:pStyle w:val="Item"/>
      </w:pPr>
      <w:r>
        <w:t>Repeal the note.</w:t>
      </w:r>
    </w:p>
    <w:p w:rsidR="00836951" w:rsidRDefault="00F70BA7" w:rsidP="00836951">
      <w:pPr>
        <w:pStyle w:val="ItemHead"/>
      </w:pPr>
      <w:r>
        <w:t>8</w:t>
      </w:r>
      <w:bookmarkStart w:id="13" w:name="BK_S1P11L13C8"/>
      <w:bookmarkEnd w:id="13"/>
      <w:r w:rsidR="00836951">
        <w:t xml:space="preserve">  Section 85 (note 1)</w:t>
      </w:r>
    </w:p>
    <w:p w:rsidR="00836951" w:rsidRDefault="00836951" w:rsidP="00836951">
      <w:pPr>
        <w:pStyle w:val="Item"/>
      </w:pPr>
      <w:r>
        <w:t>Repeal the note.</w:t>
      </w:r>
    </w:p>
    <w:p w:rsidR="00836951" w:rsidRDefault="00F70BA7" w:rsidP="00836951">
      <w:pPr>
        <w:pStyle w:val="ItemHead"/>
      </w:pPr>
      <w:bookmarkStart w:id="14" w:name="BK_S1P13L15C1"/>
      <w:bookmarkEnd w:id="14"/>
      <w:r>
        <w:t>9</w:t>
      </w:r>
      <w:r w:rsidR="00836951">
        <w:t xml:space="preserve">  Section 8</w:t>
      </w:r>
      <w:r w:rsidR="00895D67">
        <w:t>5</w:t>
      </w:r>
      <w:r w:rsidR="00836951">
        <w:t xml:space="preserve"> (note 2)</w:t>
      </w:r>
    </w:p>
    <w:p w:rsidR="00836951" w:rsidRDefault="00836951" w:rsidP="00836951">
      <w:pPr>
        <w:pStyle w:val="Item"/>
      </w:pPr>
      <w:r>
        <w:t>Omit “Note 2”, substitute “Note”.</w:t>
      </w:r>
    </w:p>
    <w:p w:rsidR="00836951" w:rsidRDefault="00F70BA7" w:rsidP="00836951">
      <w:pPr>
        <w:pStyle w:val="ItemHead"/>
      </w:pPr>
      <w:r>
        <w:t>10</w:t>
      </w:r>
      <w:r w:rsidR="00836951">
        <w:t xml:space="preserve">  Section 91 (note)</w:t>
      </w:r>
    </w:p>
    <w:p w:rsidR="00836951" w:rsidRDefault="00836951" w:rsidP="00836951">
      <w:pPr>
        <w:pStyle w:val="Item"/>
      </w:pPr>
      <w:r>
        <w:t>Repeal the note.</w:t>
      </w:r>
    </w:p>
    <w:p w:rsidR="00836951" w:rsidRDefault="00F70BA7" w:rsidP="00836951">
      <w:pPr>
        <w:pStyle w:val="ItemHead"/>
      </w:pPr>
      <w:r>
        <w:t>11</w:t>
      </w:r>
      <w:r w:rsidR="00836951">
        <w:t xml:space="preserve">  Section 92 (note 1)</w:t>
      </w:r>
    </w:p>
    <w:p w:rsidR="00836951" w:rsidRDefault="00836951" w:rsidP="00836951">
      <w:pPr>
        <w:pStyle w:val="Item"/>
      </w:pPr>
      <w:r>
        <w:t>Repeal the note.</w:t>
      </w:r>
    </w:p>
    <w:p w:rsidR="00836951" w:rsidRDefault="00F70BA7" w:rsidP="00836951">
      <w:pPr>
        <w:pStyle w:val="ItemHead"/>
      </w:pPr>
      <w:bookmarkStart w:id="15" w:name="BK_S1P13L21C1"/>
      <w:bookmarkStart w:id="16" w:name="BK_S1P7L23C1"/>
      <w:bookmarkEnd w:id="15"/>
      <w:bookmarkEnd w:id="16"/>
      <w:r>
        <w:t>12</w:t>
      </w:r>
      <w:r w:rsidR="00836951">
        <w:t xml:space="preserve">  Section 92 (note 2)</w:t>
      </w:r>
    </w:p>
    <w:p w:rsidR="00836951" w:rsidRDefault="00836951" w:rsidP="00836951">
      <w:pPr>
        <w:pStyle w:val="Item"/>
      </w:pPr>
      <w:r>
        <w:t>Omit “Note 2”, substitute “Note”.</w:t>
      </w:r>
    </w:p>
    <w:p w:rsidR="00836951" w:rsidRDefault="00F70BA7" w:rsidP="00836951">
      <w:pPr>
        <w:pStyle w:val="ItemHead"/>
      </w:pPr>
      <w:r>
        <w:t>13</w:t>
      </w:r>
      <w:r w:rsidR="00836951">
        <w:t xml:space="preserve">  S</w:t>
      </w:r>
      <w:r w:rsidR="00233D04">
        <w:t>ubs</w:t>
      </w:r>
      <w:r w:rsidR="00836951">
        <w:t>ection 94</w:t>
      </w:r>
      <w:r w:rsidR="00233D04">
        <w:t>(1)</w:t>
      </w:r>
      <w:r w:rsidR="00836951">
        <w:t xml:space="preserve"> (note)</w:t>
      </w:r>
    </w:p>
    <w:p w:rsidR="00836951" w:rsidRDefault="00836951" w:rsidP="00836951">
      <w:pPr>
        <w:pStyle w:val="Item"/>
      </w:pPr>
      <w:r>
        <w:t>Repeal the note.</w:t>
      </w:r>
    </w:p>
    <w:p w:rsidR="00836951" w:rsidRDefault="00F70BA7" w:rsidP="00836951">
      <w:pPr>
        <w:pStyle w:val="Transitional"/>
      </w:pPr>
      <w:r>
        <w:t>14</w:t>
      </w:r>
      <w:bookmarkStart w:id="17" w:name="BK_S1P11L25C8"/>
      <w:bookmarkEnd w:id="17"/>
      <w:r w:rsidR="00836951">
        <w:t xml:space="preserve">  Application—interests acquired by entering agreements</w:t>
      </w:r>
    </w:p>
    <w:p w:rsidR="00836951" w:rsidRDefault="00836951" w:rsidP="00836951">
      <w:pPr>
        <w:pStyle w:val="Item"/>
      </w:pPr>
      <w:r>
        <w:t>The amendments made by this Part apply in relation to agreements entered into</w:t>
      </w:r>
      <w:r w:rsidR="001A600E">
        <w:t>, and rights and options acquired,</w:t>
      </w:r>
      <w:r>
        <w:t xml:space="preserve"> on or after 1 January 2021.</w:t>
      </w:r>
    </w:p>
    <w:p w:rsidR="00836951" w:rsidRPr="00195B74" w:rsidRDefault="00836951" w:rsidP="00836951">
      <w:pPr>
        <w:pStyle w:val="ActHead7"/>
        <w:pageBreakBefore/>
      </w:pPr>
      <w:bookmarkStart w:id="18" w:name="_Toc45793479"/>
      <w:r w:rsidRPr="004B59DF">
        <w:rPr>
          <w:rStyle w:val="CharAmPartNo"/>
        </w:rPr>
        <w:lastRenderedPageBreak/>
        <w:t>Part 2</w:t>
      </w:r>
      <w:r>
        <w:t>—</w:t>
      </w:r>
      <w:r w:rsidRPr="004B59DF">
        <w:rPr>
          <w:rStyle w:val="CharAmPartText"/>
        </w:rPr>
        <w:t>Extension of decision period</w:t>
      </w:r>
      <w:bookmarkEnd w:id="18"/>
    </w:p>
    <w:p w:rsidR="00836951" w:rsidRPr="00E8128E" w:rsidRDefault="00836951" w:rsidP="00836951">
      <w:pPr>
        <w:pStyle w:val="ActHead9"/>
        <w:rPr>
          <w:i w:val="0"/>
        </w:rPr>
      </w:pPr>
      <w:bookmarkStart w:id="19" w:name="_Toc45793480"/>
      <w:r w:rsidRPr="00B96C26">
        <w:t>Foreign Acquisitions and Takeovers Act 1975</w:t>
      </w:r>
      <w:bookmarkEnd w:id="19"/>
    </w:p>
    <w:p w:rsidR="00836951" w:rsidRDefault="00F70BA7" w:rsidP="00836951">
      <w:pPr>
        <w:pStyle w:val="ItemHead"/>
      </w:pPr>
      <w:r>
        <w:t>15</w:t>
      </w:r>
      <w:r w:rsidR="00836951">
        <w:t xml:space="preserve">  Paragraph 77(5)(b)</w:t>
      </w:r>
    </w:p>
    <w:p w:rsidR="00836951" w:rsidRDefault="00836951" w:rsidP="00836951">
      <w:pPr>
        <w:pStyle w:val="Item"/>
      </w:pPr>
      <w:r>
        <w:t>After “this paragraph”, insert “or paragraph (c)”.</w:t>
      </w:r>
    </w:p>
    <w:p w:rsidR="00836951" w:rsidRDefault="00F70BA7" w:rsidP="00836951">
      <w:pPr>
        <w:pStyle w:val="ItemHead"/>
      </w:pPr>
      <w:r>
        <w:t>16</w:t>
      </w:r>
      <w:r w:rsidR="00836951">
        <w:t xml:space="preserve">  At the end of subsection 77(5)</w:t>
      </w:r>
    </w:p>
    <w:p w:rsidR="00836951" w:rsidRDefault="00836951" w:rsidP="00836951">
      <w:pPr>
        <w:pStyle w:val="Item"/>
      </w:pPr>
      <w:r>
        <w:t>Add:</w:t>
      </w:r>
    </w:p>
    <w:p w:rsidR="00836951" w:rsidRDefault="00836951" w:rsidP="00836951">
      <w:pPr>
        <w:pStyle w:val="paragraph"/>
      </w:pPr>
      <w:r>
        <w:tab/>
        <w:t>; or (c)</w:t>
      </w:r>
      <w:r>
        <w:tab/>
        <w:t>if, before the end of a decision period (including a decision period as extended under this paragraph or paragraph (b)), the Treasurer</w:t>
      </w:r>
      <w:bookmarkStart w:id="20" w:name="BK_S1P9L11C14"/>
      <w:bookmarkStart w:id="21" w:name="BK_S1P5L11C14"/>
      <w:bookmarkEnd w:id="20"/>
      <w:bookmarkEnd w:id="21"/>
      <w:r>
        <w:t xml:space="preserve"> extends the period under section 77A—the period as so extended.</w:t>
      </w:r>
    </w:p>
    <w:p w:rsidR="00836951" w:rsidRDefault="00836951" w:rsidP="00836951">
      <w:pPr>
        <w:pStyle w:val="ActHead5"/>
      </w:pPr>
      <w:bookmarkStart w:id="22" w:name="_Toc45793481"/>
      <w:r w:rsidRPr="004B59DF">
        <w:rPr>
          <w:rStyle w:val="CharSectno"/>
        </w:rPr>
        <w:t>77A</w:t>
      </w:r>
      <w:r>
        <w:t xml:space="preserve">  Treasurer</w:t>
      </w:r>
      <w:bookmarkStart w:id="23" w:name="BK_S1P9L13C15"/>
      <w:bookmarkStart w:id="24" w:name="BK_S1P5L13C15"/>
      <w:bookmarkEnd w:id="23"/>
      <w:bookmarkEnd w:id="24"/>
      <w:r>
        <w:t xml:space="preserve"> may extend decision period by up to 90 days</w:t>
      </w:r>
      <w:bookmarkEnd w:id="22"/>
    </w:p>
    <w:p w:rsidR="00DE41BF" w:rsidRDefault="00DE41BF" w:rsidP="00DE41BF">
      <w:pPr>
        <w:pStyle w:val="subsection"/>
      </w:pPr>
      <w:r>
        <w:tab/>
        <w:t>(1)</w:t>
      </w:r>
      <w:r>
        <w:tab/>
        <w:t>Before the end of a decision period, the Treasurer</w:t>
      </w:r>
      <w:bookmarkStart w:id="25" w:name="BK_S1P5L14C56"/>
      <w:bookmarkEnd w:id="25"/>
      <w:r>
        <w:t xml:space="preserve"> may, by notice in writing given to the person mentioned in subsection (2), extend (or further extend) the period. The Treasurer</w:t>
      </w:r>
      <w:bookmarkStart w:id="26" w:name="BK_S1P5L16C46"/>
      <w:bookmarkEnd w:id="26"/>
      <w:r>
        <w:t xml:space="preserve"> may do so more than once.</w:t>
      </w:r>
    </w:p>
    <w:p w:rsidR="00DE41BF" w:rsidRDefault="00DE41BF" w:rsidP="00DE41BF">
      <w:pPr>
        <w:pStyle w:val="subsection"/>
      </w:pPr>
      <w:r>
        <w:tab/>
        <w:t>(2)</w:t>
      </w:r>
      <w:r>
        <w:tab/>
        <w:t>The person to whom the notice is to be given is:</w:t>
      </w:r>
    </w:p>
    <w:p w:rsidR="00DE41BF" w:rsidRDefault="00DE41BF" w:rsidP="00DE41BF">
      <w:pPr>
        <w:pStyle w:val="paragraph"/>
      </w:pPr>
      <w:r>
        <w:tab/>
        <w:t>(a)</w:t>
      </w:r>
      <w:r>
        <w:tab/>
        <w:t>if subsection 77(1) applies—the person from whom the Treasurer</w:t>
      </w:r>
      <w:bookmarkStart w:id="27" w:name="BK_S1P5L20C10"/>
      <w:bookmarkEnd w:id="27"/>
      <w:r>
        <w:t xml:space="preserve"> received the notice mentioned in that subsection; or</w:t>
      </w:r>
    </w:p>
    <w:p w:rsidR="00DE41BF" w:rsidRDefault="00DE41BF" w:rsidP="00DE41BF">
      <w:pPr>
        <w:pStyle w:val="paragraph"/>
      </w:pPr>
      <w:r>
        <w:tab/>
        <w:t>(b)</w:t>
      </w:r>
      <w:r>
        <w:tab/>
        <w:t>in any other case—the person to whom the Treasurer</w:t>
      </w:r>
      <w:bookmarkStart w:id="28" w:name="BK_S1P5L21C56"/>
      <w:bookmarkEnd w:id="28"/>
      <w:r>
        <w:t xml:space="preserve"> g</w:t>
      </w:r>
      <w:r w:rsidR="00E11AD3">
        <w:t>ave</w:t>
      </w:r>
      <w:r>
        <w:t xml:space="preserve"> a notice under subsection 37C(</w:t>
      </w:r>
      <w:r w:rsidR="00773D28">
        <w:t>3</w:t>
      </w:r>
      <w:r>
        <w:t>) (about national security review of actions).</w:t>
      </w:r>
    </w:p>
    <w:p w:rsidR="00836951" w:rsidRDefault="00836951" w:rsidP="00836951">
      <w:pPr>
        <w:pStyle w:val="subsection"/>
      </w:pPr>
      <w:r>
        <w:tab/>
        <w:t>(</w:t>
      </w:r>
      <w:r w:rsidR="00DE41BF">
        <w:t>3</w:t>
      </w:r>
      <w:r>
        <w:t>)</w:t>
      </w:r>
      <w:r>
        <w:tab/>
        <w:t>The total number of days by which the Treasurer</w:t>
      </w:r>
      <w:bookmarkStart w:id="29" w:name="BK_S1P9L18C53"/>
      <w:bookmarkStart w:id="30" w:name="BK_S1P5L24C53"/>
      <w:bookmarkEnd w:id="29"/>
      <w:bookmarkEnd w:id="30"/>
      <w:r>
        <w:t xml:space="preserve"> may extend a decision period by notices given under this section must not exceed 90 days.</w:t>
      </w:r>
    </w:p>
    <w:p w:rsidR="00836951" w:rsidRDefault="00DE41BF" w:rsidP="00836951">
      <w:pPr>
        <w:pStyle w:val="subsection"/>
      </w:pPr>
      <w:r>
        <w:tab/>
        <w:t>(4</w:t>
      </w:r>
      <w:r w:rsidR="00836951">
        <w:t>)</w:t>
      </w:r>
      <w:r w:rsidR="00836951">
        <w:tab/>
        <w:t>The notice:</w:t>
      </w:r>
    </w:p>
    <w:p w:rsidR="00836951" w:rsidRDefault="00836951" w:rsidP="00836951">
      <w:pPr>
        <w:pStyle w:val="paragraph"/>
      </w:pPr>
      <w:r>
        <w:tab/>
        <w:t>(a)</w:t>
      </w:r>
      <w:r>
        <w:tab/>
        <w:t>must include the reasons for the decision; and</w:t>
      </w:r>
    </w:p>
    <w:p w:rsidR="00836951" w:rsidRDefault="00836951" w:rsidP="00836951">
      <w:pPr>
        <w:pStyle w:val="paragraph"/>
      </w:pPr>
      <w:r>
        <w:tab/>
        <w:t>(b)</w:t>
      </w:r>
      <w:r>
        <w:tab/>
      </w:r>
      <w:r w:rsidR="00E11AD3">
        <w:t>if subsection 77(1) applies—</w:t>
      </w:r>
      <w:r>
        <w:t>may be given to the person at an address (including an electronic address) specified in the notice relating to the action as the address for service of notices relating to the action.</w:t>
      </w:r>
    </w:p>
    <w:p w:rsidR="00836951" w:rsidRDefault="00DE41BF" w:rsidP="00836951">
      <w:pPr>
        <w:pStyle w:val="subsection"/>
      </w:pPr>
      <w:r>
        <w:tab/>
        <w:t>(5</w:t>
      </w:r>
      <w:r w:rsidR="00836951">
        <w:t>)</w:t>
      </w:r>
      <w:r w:rsidR="00836951">
        <w:tab/>
      </w:r>
      <w:r w:rsidR="00836951" w:rsidRPr="00AE118E">
        <w:t xml:space="preserve">The rules of natural justice do not apply in </w:t>
      </w:r>
      <w:r w:rsidR="00836951">
        <w:t>connection with the making of a decision under subsection (1).</w:t>
      </w:r>
    </w:p>
    <w:p w:rsidR="00836951" w:rsidRDefault="00F70BA7" w:rsidP="00836951">
      <w:pPr>
        <w:pStyle w:val="Transitional"/>
      </w:pPr>
      <w:r>
        <w:lastRenderedPageBreak/>
        <w:t>17</w:t>
      </w:r>
      <w:r w:rsidR="00836951">
        <w:t xml:space="preserve">  Application—extension of decision period</w:t>
      </w:r>
    </w:p>
    <w:p w:rsidR="00836951" w:rsidRDefault="00836951" w:rsidP="00836951">
      <w:pPr>
        <w:pStyle w:val="Item"/>
      </w:pPr>
      <w:r>
        <w:t xml:space="preserve">Section 77 of the </w:t>
      </w:r>
      <w:r w:rsidRPr="005A168D">
        <w:rPr>
          <w:i/>
        </w:rPr>
        <w:t>Foreign Acquisitions and Takeovers Act 1975</w:t>
      </w:r>
      <w:r>
        <w:t xml:space="preserve">, as amended by this Part, and section 77A of that Act, as inserted by this </w:t>
      </w:r>
      <w:r w:rsidR="003A4A5E">
        <w:t>Part</w:t>
      </w:r>
      <w:r>
        <w:t>, apply in relation to notices received</w:t>
      </w:r>
      <w:r w:rsidR="005977C3">
        <w:t xml:space="preserve"> or given</w:t>
      </w:r>
      <w:r>
        <w:t xml:space="preserve"> by the Treasurer</w:t>
      </w:r>
      <w:bookmarkStart w:id="31" w:name="BK_S1P10L7C72"/>
      <w:bookmarkStart w:id="32" w:name="BK_S1P6L11C68"/>
      <w:bookmarkEnd w:id="31"/>
      <w:bookmarkEnd w:id="32"/>
      <w:r>
        <w:t xml:space="preserve"> on or after 1 January 2021.</w:t>
      </w:r>
    </w:p>
    <w:p w:rsidR="00836951" w:rsidRPr="00640721" w:rsidRDefault="00836951" w:rsidP="00836951">
      <w:pPr>
        <w:pStyle w:val="ActHead7"/>
        <w:pageBreakBefore/>
      </w:pPr>
      <w:bookmarkStart w:id="33" w:name="_Toc45793482"/>
      <w:r w:rsidRPr="004B59DF">
        <w:rPr>
          <w:rStyle w:val="CharAmPartNo"/>
        </w:rPr>
        <w:lastRenderedPageBreak/>
        <w:t>Part 3</w:t>
      </w:r>
      <w:r>
        <w:t>—</w:t>
      </w:r>
      <w:r w:rsidRPr="004B59DF">
        <w:rPr>
          <w:rStyle w:val="CharAmPartText"/>
        </w:rPr>
        <w:t>Time limit on making orders and decisions</w:t>
      </w:r>
      <w:bookmarkEnd w:id="33"/>
    </w:p>
    <w:p w:rsidR="00836951" w:rsidRPr="00E8128E" w:rsidRDefault="00836951" w:rsidP="00836951">
      <w:pPr>
        <w:pStyle w:val="ActHead9"/>
        <w:rPr>
          <w:i w:val="0"/>
        </w:rPr>
      </w:pPr>
      <w:bookmarkStart w:id="34" w:name="_Toc45793483"/>
      <w:r w:rsidRPr="00B96C26">
        <w:t>Foreign Acquisitions and Takeovers Act 1975</w:t>
      </w:r>
      <w:bookmarkEnd w:id="34"/>
    </w:p>
    <w:p w:rsidR="00836951" w:rsidRDefault="00F70BA7" w:rsidP="00836951">
      <w:pPr>
        <w:pStyle w:val="ItemHead"/>
      </w:pPr>
      <w:r>
        <w:t>18</w:t>
      </w:r>
      <w:r w:rsidR="00836951">
        <w:t xml:space="preserve">  Subparagraph 77(2)(c)(i)</w:t>
      </w:r>
    </w:p>
    <w:p w:rsidR="00836951" w:rsidRDefault="00836951" w:rsidP="00836951">
      <w:pPr>
        <w:pStyle w:val="Item"/>
      </w:pPr>
      <w:r>
        <w:t>After “made”, insert “, or purported to make,”.</w:t>
      </w:r>
    </w:p>
    <w:p w:rsidR="00836951" w:rsidRDefault="00F70BA7" w:rsidP="00836951">
      <w:pPr>
        <w:pStyle w:val="ItemHead"/>
      </w:pPr>
      <w:r>
        <w:t>19</w:t>
      </w:r>
      <w:r w:rsidR="00836951">
        <w:t xml:space="preserve">  Subparagraph 77(2)(c)(ii)</w:t>
      </w:r>
    </w:p>
    <w:p w:rsidR="00836951" w:rsidRDefault="00836951" w:rsidP="00836951">
      <w:pPr>
        <w:pStyle w:val="Item"/>
      </w:pPr>
      <w:r>
        <w:t>After “made”, insert “, or purported to make,”.</w:t>
      </w:r>
    </w:p>
    <w:p w:rsidR="00836951" w:rsidRDefault="00F70BA7" w:rsidP="00836951">
      <w:pPr>
        <w:pStyle w:val="ItemHead"/>
      </w:pPr>
      <w:r>
        <w:t>20</w:t>
      </w:r>
      <w:r w:rsidR="00836951">
        <w:t xml:space="preserve">  Subparagraph 77(3)(d)(i)</w:t>
      </w:r>
    </w:p>
    <w:p w:rsidR="00836951" w:rsidRDefault="00836951" w:rsidP="00836951">
      <w:pPr>
        <w:pStyle w:val="Item"/>
      </w:pPr>
      <w:r>
        <w:t>After “made”, insert “, or purported to make,”.</w:t>
      </w:r>
    </w:p>
    <w:p w:rsidR="00836951" w:rsidRDefault="00F70BA7" w:rsidP="00836951">
      <w:pPr>
        <w:pStyle w:val="ItemHead"/>
      </w:pPr>
      <w:r>
        <w:t>21</w:t>
      </w:r>
      <w:r w:rsidR="00836951">
        <w:t xml:space="preserve">  Subparagraph 77(3)(d)(ii)</w:t>
      </w:r>
    </w:p>
    <w:p w:rsidR="00836951" w:rsidRDefault="00836951" w:rsidP="00836951">
      <w:pPr>
        <w:pStyle w:val="Item"/>
      </w:pPr>
      <w:r>
        <w:t>After “made”, insert “, or purported to make,”.</w:t>
      </w:r>
    </w:p>
    <w:p w:rsidR="00836951" w:rsidRDefault="00F70BA7" w:rsidP="00836951">
      <w:pPr>
        <w:pStyle w:val="Transitional"/>
      </w:pPr>
      <w:r>
        <w:t>22</w:t>
      </w:r>
      <w:r w:rsidR="00836951">
        <w:t xml:space="preserve">  Application—time limit on making orders and decisions</w:t>
      </w:r>
    </w:p>
    <w:p w:rsidR="00836951" w:rsidRDefault="00836951" w:rsidP="00836951">
      <w:pPr>
        <w:pStyle w:val="Item"/>
      </w:pPr>
      <w:r>
        <w:t xml:space="preserve">Section 77 of the </w:t>
      </w:r>
      <w:r w:rsidRPr="005A168D">
        <w:rPr>
          <w:i/>
        </w:rPr>
        <w:t>Foreign Acquisitions and Takeovers Act 1975</w:t>
      </w:r>
      <w:r>
        <w:t>, as amended by this Part, applies in relation to notices received by the Treasurer</w:t>
      </w:r>
      <w:bookmarkStart w:id="35" w:name="BK_S1P11L16C10"/>
      <w:bookmarkStart w:id="36" w:name="BK_S1P7L15C10"/>
      <w:bookmarkEnd w:id="35"/>
      <w:bookmarkEnd w:id="36"/>
      <w:r>
        <w:t xml:space="preserve"> on or after 1 January 2021.</w:t>
      </w:r>
    </w:p>
    <w:p w:rsidR="00836951" w:rsidRPr="00195B74" w:rsidRDefault="00836951" w:rsidP="00836951">
      <w:pPr>
        <w:pStyle w:val="ActHead7"/>
        <w:pageBreakBefore/>
      </w:pPr>
      <w:bookmarkStart w:id="37" w:name="_Toc45793484"/>
      <w:r w:rsidRPr="004B59DF">
        <w:rPr>
          <w:rStyle w:val="CharAmPartNo"/>
        </w:rPr>
        <w:lastRenderedPageBreak/>
        <w:t>Part 4</w:t>
      </w:r>
      <w:r>
        <w:t>—</w:t>
      </w:r>
      <w:r w:rsidRPr="004B59DF">
        <w:rPr>
          <w:rStyle w:val="CharAmPartText"/>
        </w:rPr>
        <w:t>Court orders</w:t>
      </w:r>
      <w:bookmarkEnd w:id="37"/>
    </w:p>
    <w:p w:rsidR="00836951" w:rsidRPr="00E8128E" w:rsidRDefault="00836951" w:rsidP="00836951">
      <w:pPr>
        <w:pStyle w:val="ActHead9"/>
        <w:rPr>
          <w:i w:val="0"/>
        </w:rPr>
      </w:pPr>
      <w:bookmarkStart w:id="38" w:name="_Toc45793485"/>
      <w:r w:rsidRPr="00B96C26">
        <w:t>Foreign Acquisitions and Takeovers Act 1975</w:t>
      </w:r>
      <w:bookmarkEnd w:id="38"/>
    </w:p>
    <w:p w:rsidR="00836951" w:rsidRDefault="00F70BA7" w:rsidP="00836951">
      <w:pPr>
        <w:pStyle w:val="ItemHead"/>
      </w:pPr>
      <w:r>
        <w:t>23</w:t>
      </w:r>
      <w:r w:rsidR="00836951">
        <w:t xml:space="preserve">  After paragraph 132(1)(a)</w:t>
      </w:r>
    </w:p>
    <w:p w:rsidR="00836951" w:rsidRDefault="00836951" w:rsidP="00836951">
      <w:pPr>
        <w:pStyle w:val="Item"/>
      </w:pPr>
      <w:r>
        <w:t>Insert:</w:t>
      </w:r>
    </w:p>
    <w:p w:rsidR="00836951" w:rsidRDefault="00836951" w:rsidP="007F6E63">
      <w:pPr>
        <w:pStyle w:val="paragraph"/>
      </w:pPr>
      <w:r>
        <w:tab/>
        <w:t>(aa)</w:t>
      </w:r>
      <w:r>
        <w:tab/>
        <w:t>if the contravention was holding an interest in more than one established dwelling at the same time, or acquiring an interest in an established dwelling (see section 95)—to preserve the interest; or</w:t>
      </w:r>
    </w:p>
    <w:p w:rsidR="00836951" w:rsidRDefault="00F70BA7" w:rsidP="00836951">
      <w:pPr>
        <w:pStyle w:val="Transitional"/>
      </w:pPr>
      <w:r>
        <w:t>24</w:t>
      </w:r>
      <w:r w:rsidR="00836951">
        <w:t xml:space="preserve">  Application—court orders</w:t>
      </w:r>
    </w:p>
    <w:p w:rsidR="00836951" w:rsidRPr="00B24FDE" w:rsidRDefault="00836951" w:rsidP="00836951">
      <w:pPr>
        <w:pStyle w:val="Item"/>
      </w:pPr>
      <w:r>
        <w:t xml:space="preserve">Section 132 of the </w:t>
      </w:r>
      <w:r w:rsidRPr="005A168D">
        <w:rPr>
          <w:i/>
        </w:rPr>
        <w:t>Foreign Acquisitions and Takeovers Act 1975</w:t>
      </w:r>
      <w:r>
        <w:t xml:space="preserve">, as amended by this </w:t>
      </w:r>
      <w:r w:rsidR="006927CD">
        <w:t>Part</w:t>
      </w:r>
      <w:r>
        <w:t>, applies in relation to contraventions occurring on or after 1 January 2021.</w:t>
      </w:r>
    </w:p>
    <w:p w:rsidR="00836951" w:rsidRPr="00195B74" w:rsidRDefault="00B967BD" w:rsidP="00836951">
      <w:pPr>
        <w:pStyle w:val="ActHead7"/>
        <w:pageBreakBefore/>
      </w:pPr>
      <w:bookmarkStart w:id="39" w:name="_Toc45793486"/>
      <w:r w:rsidRPr="004B59DF">
        <w:rPr>
          <w:rStyle w:val="CharAmPartNo"/>
        </w:rPr>
        <w:lastRenderedPageBreak/>
        <w:t xml:space="preserve">Part </w:t>
      </w:r>
      <w:r w:rsidR="00836951" w:rsidRPr="004B59DF">
        <w:rPr>
          <w:rStyle w:val="CharAmPartNo"/>
        </w:rPr>
        <w:t>5</w:t>
      </w:r>
      <w:r w:rsidRPr="00F17CD6">
        <w:t>—</w:t>
      </w:r>
      <w:r w:rsidR="00836951" w:rsidRPr="004B59DF">
        <w:rPr>
          <w:rStyle w:val="CharAmPartText"/>
        </w:rPr>
        <w:t>Other amendments</w:t>
      </w:r>
      <w:bookmarkEnd w:id="39"/>
    </w:p>
    <w:p w:rsidR="00836951" w:rsidRPr="00E8128E" w:rsidRDefault="00836951" w:rsidP="00836951">
      <w:pPr>
        <w:pStyle w:val="ActHead9"/>
        <w:rPr>
          <w:i w:val="0"/>
        </w:rPr>
      </w:pPr>
      <w:bookmarkStart w:id="40" w:name="_Toc45793487"/>
      <w:r w:rsidRPr="00B96C26">
        <w:t>Foreign Acquisitions and Takeovers Act 1975</w:t>
      </w:r>
      <w:bookmarkEnd w:id="40"/>
    </w:p>
    <w:p w:rsidR="00836951" w:rsidRDefault="00F70BA7" w:rsidP="00836951">
      <w:pPr>
        <w:pStyle w:val="ItemHead"/>
      </w:pPr>
      <w:r>
        <w:t>25</w:t>
      </w:r>
      <w:r w:rsidR="00836951">
        <w:t xml:space="preserve">  Subsection 37(5)</w:t>
      </w:r>
    </w:p>
    <w:p w:rsidR="00836951" w:rsidRDefault="00836951" w:rsidP="00836951">
      <w:pPr>
        <w:pStyle w:val="Item"/>
      </w:pPr>
      <w:r>
        <w:t>Omit “paragraph (4)(a)”, substitute “subsection (4)”.</w:t>
      </w:r>
      <w:bookmarkStart w:id="41" w:name="BK_S1P17L6C1"/>
      <w:bookmarkEnd w:id="41"/>
    </w:p>
    <w:p w:rsidR="00836951" w:rsidRDefault="00F70BA7" w:rsidP="00836951">
      <w:pPr>
        <w:pStyle w:val="ItemHead"/>
      </w:pPr>
      <w:r>
        <w:t>26</w:t>
      </w:r>
      <w:r w:rsidR="00836951">
        <w:t xml:space="preserve">  Paragraph 47(2)(a)</w:t>
      </w:r>
    </w:p>
    <w:p w:rsidR="00836951" w:rsidRDefault="00836951" w:rsidP="00836951">
      <w:pPr>
        <w:pStyle w:val="Item"/>
      </w:pPr>
      <w:r>
        <w:t>Repeal the paragraph, substitute:</w:t>
      </w:r>
    </w:p>
    <w:p w:rsidR="00836951" w:rsidRDefault="00836951" w:rsidP="00836951">
      <w:pPr>
        <w:pStyle w:val="paragraph"/>
      </w:pPr>
      <w:r>
        <w:tab/>
        <w:t>(a)</w:t>
      </w:r>
      <w:r>
        <w:tab/>
      </w:r>
      <w:r w:rsidRPr="001507F0">
        <w:t>t</w:t>
      </w:r>
      <w:r>
        <w:t>o acquire a direct interest in:</w:t>
      </w:r>
    </w:p>
    <w:p w:rsidR="00836951" w:rsidRDefault="00836951" w:rsidP="00836951">
      <w:pPr>
        <w:pStyle w:val="paragraphsub"/>
      </w:pPr>
      <w:r>
        <w:tab/>
        <w:t>(i)</w:t>
      </w:r>
      <w:r>
        <w:tab/>
        <w:t>an Australian entity that is an agribusiness; or</w:t>
      </w:r>
    </w:p>
    <w:p w:rsidR="00836951" w:rsidRDefault="00836951" w:rsidP="00836951">
      <w:pPr>
        <w:pStyle w:val="paragraphsub"/>
      </w:pPr>
      <w:r>
        <w:tab/>
        <w:t>(ii)</w:t>
      </w:r>
      <w:r>
        <w:tab/>
        <w:t>an Australian business that is an agribusiness;</w:t>
      </w:r>
    </w:p>
    <w:p w:rsidR="00836951" w:rsidRDefault="00F70BA7" w:rsidP="00836951">
      <w:pPr>
        <w:pStyle w:val="ItemHead"/>
      </w:pPr>
      <w:r>
        <w:t>27</w:t>
      </w:r>
      <w:r w:rsidR="00836951">
        <w:t xml:space="preserve">  Subsection 47(4)</w:t>
      </w:r>
    </w:p>
    <w:p w:rsidR="00836951" w:rsidRPr="001507F0" w:rsidRDefault="00836951" w:rsidP="00836951">
      <w:pPr>
        <w:pStyle w:val="Item"/>
      </w:pPr>
      <w:r>
        <w:t>Omit “</w:t>
      </w:r>
      <w:r w:rsidRPr="001507F0">
        <w:t>paragraph (2)(a) or (b)</w:t>
      </w:r>
      <w:r>
        <w:t>”, substitute “subparagraph (2)(a)(i) or paragraph (b)”.</w:t>
      </w:r>
    </w:p>
    <w:p w:rsidR="00051D3A" w:rsidRDefault="00F70BA7" w:rsidP="00051D3A">
      <w:pPr>
        <w:pStyle w:val="ItemHead"/>
      </w:pPr>
      <w:r>
        <w:t>28</w:t>
      </w:r>
      <w:r w:rsidR="00051D3A">
        <w:t xml:space="preserve">  Section 50</w:t>
      </w:r>
      <w:r w:rsidR="008F7839">
        <w:t xml:space="preserve"> (paragraph beginning “Two important tests”)</w:t>
      </w:r>
    </w:p>
    <w:p w:rsidR="00051D3A" w:rsidRDefault="00051D3A" w:rsidP="00051D3A">
      <w:pPr>
        <w:pStyle w:val="Item"/>
      </w:pPr>
      <w:r>
        <w:t>After “whether there has been a change in control.”, insert “The threshold test is also important in determining whether an action is a notifiable action.”.</w:t>
      </w:r>
    </w:p>
    <w:p w:rsidR="00051D3A" w:rsidRDefault="00F70BA7" w:rsidP="00051D3A">
      <w:pPr>
        <w:pStyle w:val="ItemHead"/>
      </w:pPr>
      <w:r>
        <w:t>29</w:t>
      </w:r>
      <w:r w:rsidR="00051D3A">
        <w:t xml:space="preserve">  Section 51</w:t>
      </w:r>
    </w:p>
    <w:p w:rsidR="00051D3A" w:rsidRDefault="00051D3A" w:rsidP="00051D3A">
      <w:pPr>
        <w:pStyle w:val="Item"/>
      </w:pPr>
      <w:r>
        <w:t>Omit “a significant”, substitute “an”.</w:t>
      </w:r>
    </w:p>
    <w:p w:rsidR="00051D3A" w:rsidRDefault="00F70BA7" w:rsidP="00051D3A">
      <w:pPr>
        <w:pStyle w:val="ItemHead"/>
      </w:pPr>
      <w:r>
        <w:t>30</w:t>
      </w:r>
      <w:r w:rsidR="00051D3A">
        <w:t xml:space="preserve">  Section 51 (table, heading to column 1)</w:t>
      </w:r>
    </w:p>
    <w:p w:rsidR="00051D3A" w:rsidRDefault="00051D3A" w:rsidP="00051D3A">
      <w:pPr>
        <w:pStyle w:val="Item"/>
      </w:pPr>
      <w:r>
        <w:t>Omit “</w:t>
      </w:r>
      <w:r w:rsidRPr="00172A2A">
        <w:rPr>
          <w:b/>
        </w:rPr>
        <w:t>Significant action</w:t>
      </w:r>
      <w:r>
        <w:t>”, substitute “</w:t>
      </w:r>
      <w:r w:rsidRPr="00172A2A">
        <w:rPr>
          <w:b/>
        </w:rPr>
        <w:t>Kind of action</w:t>
      </w:r>
      <w:r>
        <w:t>”.</w:t>
      </w:r>
    </w:p>
    <w:p w:rsidR="00051D3A" w:rsidRDefault="00F70BA7" w:rsidP="00051D3A">
      <w:pPr>
        <w:pStyle w:val="ItemHead"/>
      </w:pPr>
      <w:r>
        <w:t>31</w:t>
      </w:r>
      <w:r w:rsidR="00051D3A">
        <w:t xml:space="preserve">  Section 51 (after table item 2)</w:t>
      </w:r>
    </w:p>
    <w:p w:rsidR="00051D3A" w:rsidRPr="00C40FCF" w:rsidRDefault="00051D3A" w:rsidP="00051D3A">
      <w:pPr>
        <w:pStyle w:val="Item"/>
      </w:pPr>
      <w:r>
        <w:t>Insert:</w:t>
      </w:r>
    </w:p>
    <w:p w:rsidR="00051D3A" w:rsidRPr="00C40FCF" w:rsidRDefault="00051D3A" w:rsidP="00051D3A">
      <w:pPr>
        <w:pStyle w:val="Tabletext"/>
      </w:pPr>
    </w:p>
    <w:tbl>
      <w:tblPr>
        <w:tblW w:w="0" w:type="auto"/>
        <w:tblInd w:w="113" w:type="dxa"/>
        <w:tblLayout w:type="fixed"/>
        <w:tblLook w:val="0000" w:firstRow="0" w:lastRow="0" w:firstColumn="0" w:lastColumn="0" w:noHBand="0" w:noVBand="0"/>
      </w:tblPr>
      <w:tblGrid>
        <w:gridCol w:w="714"/>
        <w:gridCol w:w="2400"/>
        <w:gridCol w:w="3974"/>
      </w:tblGrid>
      <w:tr w:rsidR="00051D3A" w:rsidRPr="00C453CE" w:rsidTr="00BA7791">
        <w:tc>
          <w:tcPr>
            <w:tcW w:w="714" w:type="dxa"/>
            <w:shd w:val="clear" w:color="auto" w:fill="auto"/>
          </w:tcPr>
          <w:p w:rsidR="00051D3A" w:rsidRPr="00112F17" w:rsidRDefault="00051D3A" w:rsidP="00BA7791">
            <w:pPr>
              <w:pStyle w:val="Tabletext"/>
            </w:pPr>
            <w:r w:rsidRPr="00112F17">
              <w:t>2</w:t>
            </w:r>
            <w:r>
              <w:t>A</w:t>
            </w:r>
          </w:p>
        </w:tc>
        <w:tc>
          <w:tcPr>
            <w:tcW w:w="2400" w:type="dxa"/>
            <w:shd w:val="clear" w:color="auto" w:fill="auto"/>
          </w:tcPr>
          <w:p w:rsidR="00051D3A" w:rsidRPr="00112F17" w:rsidRDefault="00051D3A" w:rsidP="00BA7791">
            <w:pPr>
              <w:pStyle w:val="Tabletext"/>
            </w:pPr>
            <w:r w:rsidRPr="00112F17">
              <w:t>Acquiring</w:t>
            </w:r>
            <w:r>
              <w:t xml:space="preserve"> a substantial interest in an Australian entity</w:t>
            </w:r>
          </w:p>
        </w:tc>
        <w:tc>
          <w:tcPr>
            <w:tcW w:w="3974" w:type="dxa"/>
            <w:shd w:val="clear" w:color="auto" w:fill="auto"/>
          </w:tcPr>
          <w:p w:rsidR="00051D3A" w:rsidRDefault="00051D3A" w:rsidP="00BA7791">
            <w:pPr>
              <w:pStyle w:val="Tabletext"/>
            </w:pPr>
            <w:r>
              <w:t>The higher of the following:</w:t>
            </w:r>
          </w:p>
          <w:p w:rsidR="00051D3A" w:rsidRDefault="00051D3A" w:rsidP="00BA7791">
            <w:pPr>
              <w:pStyle w:val="Tablea"/>
            </w:pPr>
            <w:r>
              <w:t>(a) the total asset value for the entity;</w:t>
            </w:r>
          </w:p>
          <w:p w:rsidR="00051D3A" w:rsidRPr="00112F17" w:rsidRDefault="00051D3A" w:rsidP="00BA7791">
            <w:pPr>
              <w:pStyle w:val="Tablea"/>
            </w:pPr>
            <w:r>
              <w:t>(b) the total issued securities value for the entity</w:t>
            </w:r>
          </w:p>
        </w:tc>
      </w:tr>
    </w:tbl>
    <w:p w:rsidR="00051D3A" w:rsidRDefault="00051D3A" w:rsidP="00051D3A">
      <w:pPr>
        <w:pStyle w:val="Tabletext"/>
      </w:pPr>
    </w:p>
    <w:p w:rsidR="00051D3A" w:rsidRDefault="00F70BA7" w:rsidP="00051D3A">
      <w:pPr>
        <w:pStyle w:val="ItemHead"/>
      </w:pPr>
      <w:r>
        <w:lastRenderedPageBreak/>
        <w:t>32</w:t>
      </w:r>
      <w:r w:rsidR="00051D3A">
        <w:t xml:space="preserve">  Subsection 53(1)</w:t>
      </w:r>
    </w:p>
    <w:p w:rsidR="00051D3A" w:rsidRDefault="00051D3A" w:rsidP="00051D3A">
      <w:pPr>
        <w:pStyle w:val="Item"/>
      </w:pPr>
      <w:r>
        <w:t>Repeal the subsection (not including the heading), substitute:</w:t>
      </w:r>
    </w:p>
    <w:p w:rsidR="00051D3A" w:rsidRDefault="00051D3A" w:rsidP="00051D3A">
      <w:pPr>
        <w:pStyle w:val="subsection"/>
      </w:pPr>
      <w:r w:rsidRPr="0019276D">
        <w:tab/>
        <w:t>(1)</w:t>
      </w:r>
      <w:r w:rsidRPr="0019276D">
        <w:tab/>
        <w:t>If</w:t>
      </w:r>
      <w:r>
        <w:t>:</w:t>
      </w:r>
    </w:p>
    <w:p w:rsidR="00051D3A" w:rsidRDefault="00051D3A" w:rsidP="00051D3A">
      <w:pPr>
        <w:pStyle w:val="paragraph"/>
      </w:pPr>
      <w:r>
        <w:tab/>
        <w:t>(a)</w:t>
      </w:r>
      <w:r>
        <w:tab/>
      </w:r>
      <w:r w:rsidRPr="0019276D">
        <w:t>an action relating to an entity, business or land is covered b</w:t>
      </w:r>
      <w:r>
        <w:t>y an agreement; and</w:t>
      </w:r>
    </w:p>
    <w:p w:rsidR="00051D3A" w:rsidRDefault="00051D3A" w:rsidP="00051D3A">
      <w:pPr>
        <w:pStyle w:val="paragraph"/>
      </w:pPr>
      <w:r>
        <w:tab/>
        <w:t>(b)</w:t>
      </w:r>
      <w:r>
        <w:tab/>
      </w:r>
      <w:r w:rsidRPr="0019276D">
        <w:t>the</w:t>
      </w:r>
      <w:r>
        <w:t xml:space="preserve"> </w:t>
      </w:r>
      <w:r w:rsidRPr="004C7A3B">
        <w:t>threshold test is met</w:t>
      </w:r>
      <w:r w:rsidRPr="0019276D">
        <w:t xml:space="preserve"> in relation to the </w:t>
      </w:r>
      <w:r>
        <w:t>action and the entity, business or land;</w:t>
      </w:r>
    </w:p>
    <w:p w:rsidR="00051D3A" w:rsidRDefault="00051D3A" w:rsidP="00051D3A">
      <w:pPr>
        <w:pStyle w:val="subsection2"/>
      </w:pPr>
      <w:r w:rsidRPr="0019276D">
        <w:t xml:space="preserve">the </w:t>
      </w:r>
      <w:r w:rsidRPr="00D71395">
        <w:rPr>
          <w:b/>
          <w:i/>
        </w:rPr>
        <w:t>threshold test is met</w:t>
      </w:r>
      <w:r w:rsidRPr="0019276D">
        <w:t xml:space="preserve"> </w:t>
      </w:r>
      <w:r>
        <w:t xml:space="preserve">for the action even if the test is not met for another action </w:t>
      </w:r>
      <w:r w:rsidRPr="0019276D">
        <w:t>covered by the agreement (whether or not relating to the same entity, business or land).</w:t>
      </w:r>
    </w:p>
    <w:p w:rsidR="00051D3A" w:rsidRDefault="00F70BA7" w:rsidP="00051D3A">
      <w:pPr>
        <w:pStyle w:val="ItemHead"/>
      </w:pPr>
      <w:r>
        <w:t>33</w:t>
      </w:r>
      <w:r w:rsidR="00051D3A">
        <w:t xml:space="preserve">  Subsection 53(2)</w:t>
      </w:r>
    </w:p>
    <w:p w:rsidR="00051D3A" w:rsidRDefault="00051D3A" w:rsidP="00051D3A">
      <w:pPr>
        <w:pStyle w:val="Item"/>
      </w:pPr>
      <w:r>
        <w:t>Omit “threshold test is met”, substitute “</w:t>
      </w:r>
      <w:r w:rsidRPr="0019276D">
        <w:rPr>
          <w:b/>
          <w:i/>
        </w:rPr>
        <w:t>threshold test is met</w:t>
      </w:r>
      <w:r>
        <w:t>”.</w:t>
      </w:r>
    </w:p>
    <w:p w:rsidR="00836951" w:rsidRDefault="00F70BA7" w:rsidP="00836951">
      <w:pPr>
        <w:pStyle w:val="ItemHead"/>
      </w:pPr>
      <w:r>
        <w:t>34</w:t>
      </w:r>
      <w:r w:rsidR="00836951">
        <w:t xml:space="preserve">  Section 114</w:t>
      </w:r>
    </w:p>
    <w:p w:rsidR="00836951" w:rsidRDefault="00836951" w:rsidP="00836951">
      <w:pPr>
        <w:pStyle w:val="Item"/>
      </w:pPr>
      <w:r>
        <w:t>Omit “or remi</w:t>
      </w:r>
      <w:bookmarkStart w:id="42" w:name="BK_S1P16L23C14"/>
      <w:bookmarkEnd w:id="42"/>
      <w:r>
        <w:t>tted”.</w:t>
      </w:r>
    </w:p>
    <w:sectPr w:rsidR="00836951" w:rsidSect="00BD1655">
      <w:headerReference w:type="even" r:id="rId12"/>
      <w:headerReference w:type="default" r:id="rId13"/>
      <w:footerReference w:type="even" r:id="rId14"/>
      <w:footerReference w:type="default" r:id="rId15"/>
      <w:headerReference w:type="first" r:id="rId16"/>
      <w:footerReference w:type="first" r:id="rId17"/>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42E" w:rsidRDefault="001D142E" w:rsidP="00664C63">
      <w:pPr>
        <w:spacing w:line="240" w:lineRule="auto"/>
      </w:pPr>
      <w:r>
        <w:separator/>
      </w:r>
    </w:p>
  </w:endnote>
  <w:endnote w:type="continuationSeparator" w:id="0">
    <w:p w:rsidR="001D142E" w:rsidRDefault="001D142E"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42E" w:rsidRPr="00BB4623" w:rsidRDefault="001D142E" w:rsidP="00FA3991">
    <w:pPr>
      <w:pBdr>
        <w:top w:val="single" w:sz="6" w:space="1" w:color="auto"/>
      </w:pBdr>
      <w:spacing w:before="120"/>
      <w:jc w:val="right"/>
      <w:rPr>
        <w:sz w:val="18"/>
      </w:rPr>
    </w:pPr>
  </w:p>
  <w:p w:rsidR="001D142E" w:rsidRPr="00BB4623" w:rsidRDefault="001D142E"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DA67DC">
      <w:rPr>
        <w:i/>
        <w:noProof/>
        <w:sz w:val="18"/>
      </w:rPr>
      <w:t>16</w:t>
    </w:r>
    <w:r w:rsidRPr="00BB4623">
      <w:rPr>
        <w:i/>
        <w:sz w:val="18"/>
      </w:rPr>
      <w:fldChar w:fldCharType="end"/>
    </w:r>
  </w:p>
  <w:p w:rsidR="001D142E" w:rsidRPr="00BB4623" w:rsidRDefault="001D142E"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42E" w:rsidRDefault="004B59DF" w:rsidP="0095602D">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62336" behindDoc="1" locked="0" layoutInCell="1" allowOverlap="1" wp14:anchorId="606E216F" wp14:editId="7C057C02">
              <wp:simplePos x="0" y="0"/>
              <wp:positionH relativeFrom="column">
                <wp:align>center</wp:align>
              </wp:positionH>
              <wp:positionV relativeFrom="page">
                <wp:posOffset>9737725</wp:posOffset>
              </wp:positionV>
              <wp:extent cx="4410075" cy="40005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B59DF" w:rsidRPr="004B59DF" w:rsidRDefault="004B59DF" w:rsidP="004B59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E216F" id="_x0000_t202" coordsize="21600,21600" o:spt="202" path="m,l,21600r21600,l21600,xe">
              <v:stroke joinstyle="miter"/>
              <v:path gradientshapeok="t" o:connecttype="rect"/>
            </v:shapetype>
            <v:shape id="Text Box 7" o:spid="_x0000_s1028" type="#_x0000_t202" style="position:absolute;margin-left:0;margin-top:766.75pt;width:347.25pt;height:3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" stroked="f" strokeweight=".5pt">
              <v:path arrowok="t"/>
              <v:textbox>
                <w:txbxContent>
                  <w:p w:rsidR="004B59DF" w:rsidRPr="004B59DF" w:rsidRDefault="004B59DF" w:rsidP="004B59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61312" behindDoc="1" locked="0" layoutInCell="1" allowOverlap="1" wp14:anchorId="79734D03" wp14:editId="575E68B2">
              <wp:simplePos x="0" y="0"/>
              <wp:positionH relativeFrom="column">
                <wp:align>center</wp:align>
              </wp:positionH>
              <wp:positionV relativeFrom="page">
                <wp:posOffset>10079990</wp:posOffset>
              </wp:positionV>
              <wp:extent cx="4410075" cy="400050"/>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B59DF" w:rsidRPr="004B59DF" w:rsidRDefault="004B59DF" w:rsidP="004B59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10B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34D03" id="Text Box 6" o:spid="_x0000_s1029" type="#_x0000_t202" style="position:absolute;margin-left:0;margin-top:793.7pt;width:347.25pt;height:3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" stroked="f" strokeweight=".5pt">
              <v:path arrowok="t"/>
              <v:textbox>
                <w:txbxContent>
                  <w:p w:rsidR="004B59DF" w:rsidRPr="004B59DF" w:rsidRDefault="004B59DF" w:rsidP="004B59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10B70">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ayout w:type="fixed"/>
      <w:tblLook w:val="0000" w:firstRow="0" w:lastRow="0" w:firstColumn="0" w:lastColumn="0" w:noHBand="0" w:noVBand="0"/>
    </w:tblPr>
    <w:tblGrid>
      <w:gridCol w:w="7087"/>
    </w:tblGrid>
    <w:tr w:rsidR="001D142E" w:rsidRPr="00B3608C" w:rsidTr="001D142E">
      <w:trPr>
        <w:trHeight w:val="280"/>
      </w:trPr>
      <w:tc>
        <w:tcPr>
          <w:tcW w:w="7087" w:type="dxa"/>
        </w:tcPr>
        <w:p w:rsidR="001D142E" w:rsidRPr="00B3608C" w:rsidRDefault="001D142E" w:rsidP="001D142E">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F83ADB">
            <w:rPr>
              <w:i/>
              <w:noProof/>
              <w:sz w:val="18"/>
            </w:rPr>
            <w:t>1</w:t>
          </w:r>
          <w:r w:rsidRPr="00BB4623">
            <w:rPr>
              <w:i/>
              <w:sz w:val="18"/>
            </w:rPr>
            <w:fldChar w:fldCharType="end"/>
          </w:r>
        </w:p>
      </w:tc>
    </w:tr>
    <w:tr w:rsidR="001D142E" w:rsidRPr="00B3608C" w:rsidTr="001D142E">
      <w:tc>
        <w:tcPr>
          <w:tcW w:w="7087" w:type="dxa"/>
        </w:tcPr>
        <w:p w:rsidR="001D142E" w:rsidRPr="00B3608C" w:rsidRDefault="001D142E" w:rsidP="001D142E">
          <w:pPr>
            <w:rPr>
              <w:i/>
              <w:sz w:val="18"/>
            </w:rPr>
          </w:pPr>
          <w:r w:rsidRPr="00BB4623">
            <w:rPr>
              <w:i/>
              <w:sz w:val="18"/>
            </w:rPr>
            <w:t xml:space="preserve">  </w:t>
          </w:r>
        </w:p>
      </w:tc>
    </w:tr>
  </w:tbl>
  <w:p w:rsidR="001D142E" w:rsidRPr="00BB4623" w:rsidRDefault="001D142E" w:rsidP="00B3608C">
    <w:pPr>
      <w:pStyle w:val="Tabletext"/>
      <w:spacing w:befor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42E" w:rsidRPr="00BB4623" w:rsidRDefault="001D142E" w:rsidP="00FA3991">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42E" w:rsidRDefault="001D142E" w:rsidP="00664C63">
      <w:pPr>
        <w:spacing w:line="240" w:lineRule="auto"/>
      </w:pPr>
      <w:r>
        <w:separator/>
      </w:r>
    </w:p>
  </w:footnote>
  <w:footnote w:type="continuationSeparator" w:id="0">
    <w:p w:rsidR="001D142E" w:rsidRDefault="001D142E"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42E" w:rsidRPr="00BB4623" w:rsidRDefault="001D142E" w:rsidP="00664C63">
    <w:pPr>
      <w:rPr>
        <w:sz w:val="24"/>
      </w:rPr>
    </w:pPr>
  </w:p>
  <w:p w:rsidR="001D142E" w:rsidRPr="00BB4623" w:rsidRDefault="001D142E"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42E" w:rsidRPr="00BB4623" w:rsidRDefault="004B59DF" w:rsidP="00664C63">
    <w:pPr>
      <w:jc w:val="right"/>
      <w:rPr>
        <w:sz w:val="24"/>
      </w:rPr>
    </w:pPr>
    <w:r>
      <w:rPr>
        <w:noProof/>
        <w:sz w:val="24"/>
        <w:lang w:eastAsia="en-AU"/>
      </w:rPr>
      <mc:AlternateContent>
        <mc:Choice Requires="wps">
          <w:drawing>
            <wp:anchor distT="0" distB="0" distL="114300" distR="114300" simplePos="0" relativeHeight="251660288" behindDoc="1" locked="0" layoutInCell="1" allowOverlap="1" wp14:anchorId="28C3C3D9" wp14:editId="793D276E">
              <wp:simplePos x="0" y="0"/>
              <wp:positionH relativeFrom="column">
                <wp:align>center</wp:align>
              </wp:positionH>
              <wp:positionV relativeFrom="page">
                <wp:posOffset>443230</wp:posOffset>
              </wp:positionV>
              <wp:extent cx="4410075" cy="40005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B59DF" w:rsidRPr="004B59DF" w:rsidRDefault="004B59DF" w:rsidP="004B59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3C3D9" id="_x0000_t202" coordsize="21600,21600" o:spt="202" path="m,l,21600r21600,l21600,xe">
              <v:stroke joinstyle="miter"/>
              <v:path gradientshapeok="t" o:connecttype="rect"/>
            </v:shapetype>
            <v:shape id="Text Box 5" o:spid="_x0000_s1026" type="#_x0000_t202" style="position:absolute;left:0;text-align:left;margin-left:0;margin-top:34.9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" stroked="f" strokeweight=".5pt">
              <v:path arrowok="t"/>
              <v:textbox>
                <w:txbxContent>
                  <w:p w:rsidR="004B59DF" w:rsidRPr="004B59DF" w:rsidRDefault="004B59DF" w:rsidP="004B59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4"/>
        <w:lang w:eastAsia="en-AU"/>
      </w:rPr>
      <mc:AlternateContent>
        <mc:Choice Requires="wps">
          <w:drawing>
            <wp:anchor distT="0" distB="0" distL="114300" distR="114300" simplePos="0" relativeHeight="251659264" behindDoc="1" locked="0" layoutInCell="1" allowOverlap="1" wp14:anchorId="3A1EB1BB" wp14:editId="469515B2">
              <wp:simplePos x="0" y="0"/>
              <wp:positionH relativeFrom="column">
                <wp:align>center</wp:align>
              </wp:positionH>
              <wp:positionV relativeFrom="page">
                <wp:posOffset>143510</wp:posOffset>
              </wp:positionV>
              <wp:extent cx="4410075" cy="40005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B59DF" w:rsidRPr="004B59DF" w:rsidRDefault="004B59DF" w:rsidP="004B59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10B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EB1BB" id="Text Box 4" o:spid="_x0000_s1027" type="#_x0000_t202" style="position:absolute;left:0;text-align:left;margin-left:0;margin-top:11.3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" stroked="f" strokeweight=".5pt">
              <v:path arrowok="t"/>
              <v:textbox>
                <w:txbxContent>
                  <w:p w:rsidR="004B59DF" w:rsidRPr="004B59DF" w:rsidRDefault="004B59DF" w:rsidP="004B59D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10B70">
                      <w:rPr>
                        <w:rFonts w:ascii="Arial" w:hAnsi="Arial" w:cs="Arial"/>
                        <w:b/>
                        <w:sz w:val="40"/>
                      </w:rPr>
                      <w:t>EXPOSURE DRAFT</w:t>
                    </w:r>
                    <w:r>
                      <w:rPr>
                        <w:rFonts w:ascii="Arial" w:hAnsi="Arial" w:cs="Arial"/>
                        <w:b/>
                        <w:sz w:val="40"/>
                      </w:rPr>
                      <w:fldChar w:fldCharType="end"/>
                    </w:r>
                  </w:p>
                </w:txbxContent>
              </v:textbox>
              <w10:wrap anchory="page"/>
            </v:shape>
          </w:pict>
        </mc:Fallback>
      </mc:AlternateContent>
    </w:r>
  </w:p>
  <w:p w:rsidR="001D142E" w:rsidRPr="00BB4623" w:rsidRDefault="001D142E"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42E" w:rsidRPr="00BB4623" w:rsidRDefault="001D142E"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89B"/>
    <w:rsid w:val="00002CA2"/>
    <w:rsid w:val="000136AF"/>
    <w:rsid w:val="00014B9A"/>
    <w:rsid w:val="00024D08"/>
    <w:rsid w:val="00026F7E"/>
    <w:rsid w:val="000419F9"/>
    <w:rsid w:val="00051D3A"/>
    <w:rsid w:val="00055D20"/>
    <w:rsid w:val="00057715"/>
    <w:rsid w:val="000614BF"/>
    <w:rsid w:val="000620B2"/>
    <w:rsid w:val="00070257"/>
    <w:rsid w:val="00073C5A"/>
    <w:rsid w:val="00087033"/>
    <w:rsid w:val="0009025C"/>
    <w:rsid w:val="00093A68"/>
    <w:rsid w:val="000A36BC"/>
    <w:rsid w:val="000B0171"/>
    <w:rsid w:val="000C74F9"/>
    <w:rsid w:val="000D05EF"/>
    <w:rsid w:val="000D3899"/>
    <w:rsid w:val="000D409C"/>
    <w:rsid w:val="000F21C1"/>
    <w:rsid w:val="000F4126"/>
    <w:rsid w:val="000F53E9"/>
    <w:rsid w:val="001016D1"/>
    <w:rsid w:val="0010240E"/>
    <w:rsid w:val="0010745C"/>
    <w:rsid w:val="0011206D"/>
    <w:rsid w:val="00132A34"/>
    <w:rsid w:val="001507F0"/>
    <w:rsid w:val="00166C2F"/>
    <w:rsid w:val="001751C7"/>
    <w:rsid w:val="00176A1D"/>
    <w:rsid w:val="0018089B"/>
    <w:rsid w:val="001816B7"/>
    <w:rsid w:val="00182C9A"/>
    <w:rsid w:val="0018435F"/>
    <w:rsid w:val="00185EC7"/>
    <w:rsid w:val="001939E1"/>
    <w:rsid w:val="00195382"/>
    <w:rsid w:val="00195B74"/>
    <w:rsid w:val="001A600E"/>
    <w:rsid w:val="001B0F61"/>
    <w:rsid w:val="001C3593"/>
    <w:rsid w:val="001C5E5F"/>
    <w:rsid w:val="001C69C4"/>
    <w:rsid w:val="001D142E"/>
    <w:rsid w:val="001D5DC6"/>
    <w:rsid w:val="001E1968"/>
    <w:rsid w:val="001E3590"/>
    <w:rsid w:val="001E6C25"/>
    <w:rsid w:val="001E7407"/>
    <w:rsid w:val="001F1614"/>
    <w:rsid w:val="001F3376"/>
    <w:rsid w:val="001F5ABD"/>
    <w:rsid w:val="0021250A"/>
    <w:rsid w:val="00216FDB"/>
    <w:rsid w:val="002212E2"/>
    <w:rsid w:val="002277A0"/>
    <w:rsid w:val="00233D04"/>
    <w:rsid w:val="00240749"/>
    <w:rsid w:val="00244C9F"/>
    <w:rsid w:val="00266E73"/>
    <w:rsid w:val="00282A41"/>
    <w:rsid w:val="00284BAE"/>
    <w:rsid w:val="00296415"/>
    <w:rsid w:val="00296970"/>
    <w:rsid w:val="00297ECB"/>
    <w:rsid w:val="002C085A"/>
    <w:rsid w:val="002D043A"/>
    <w:rsid w:val="002F08B3"/>
    <w:rsid w:val="002F688B"/>
    <w:rsid w:val="003025FD"/>
    <w:rsid w:val="0030750C"/>
    <w:rsid w:val="00313C6F"/>
    <w:rsid w:val="0033411C"/>
    <w:rsid w:val="00334771"/>
    <w:rsid w:val="003415D3"/>
    <w:rsid w:val="00344609"/>
    <w:rsid w:val="00352B0F"/>
    <w:rsid w:val="00371950"/>
    <w:rsid w:val="00371BDC"/>
    <w:rsid w:val="0038098B"/>
    <w:rsid w:val="00381384"/>
    <w:rsid w:val="003906A7"/>
    <w:rsid w:val="003A4A5E"/>
    <w:rsid w:val="003B0F1E"/>
    <w:rsid w:val="003D0317"/>
    <w:rsid w:val="003D0BFE"/>
    <w:rsid w:val="003D5700"/>
    <w:rsid w:val="003F60D2"/>
    <w:rsid w:val="00402376"/>
    <w:rsid w:val="004043EE"/>
    <w:rsid w:val="0040616D"/>
    <w:rsid w:val="004116CD"/>
    <w:rsid w:val="004153B9"/>
    <w:rsid w:val="004168B4"/>
    <w:rsid w:val="00420A74"/>
    <w:rsid w:val="00424CA9"/>
    <w:rsid w:val="00427D10"/>
    <w:rsid w:val="0044291A"/>
    <w:rsid w:val="00452D0A"/>
    <w:rsid w:val="004557B4"/>
    <w:rsid w:val="00464672"/>
    <w:rsid w:val="00496F97"/>
    <w:rsid w:val="004B59DF"/>
    <w:rsid w:val="004C0257"/>
    <w:rsid w:val="004C4C2C"/>
    <w:rsid w:val="004C6D6B"/>
    <w:rsid w:val="004C7A3B"/>
    <w:rsid w:val="004D5EBA"/>
    <w:rsid w:val="004E3680"/>
    <w:rsid w:val="004E7688"/>
    <w:rsid w:val="004E7FE3"/>
    <w:rsid w:val="004F3666"/>
    <w:rsid w:val="004F7297"/>
    <w:rsid w:val="005104CE"/>
    <w:rsid w:val="00516B8D"/>
    <w:rsid w:val="005367AE"/>
    <w:rsid w:val="00537FBC"/>
    <w:rsid w:val="00543850"/>
    <w:rsid w:val="00547B54"/>
    <w:rsid w:val="00584052"/>
    <w:rsid w:val="00584811"/>
    <w:rsid w:val="00593AA6"/>
    <w:rsid w:val="00594161"/>
    <w:rsid w:val="00594749"/>
    <w:rsid w:val="005977C3"/>
    <w:rsid w:val="005A168D"/>
    <w:rsid w:val="005A6F34"/>
    <w:rsid w:val="005B4067"/>
    <w:rsid w:val="005B5A49"/>
    <w:rsid w:val="005C3F41"/>
    <w:rsid w:val="005C5800"/>
    <w:rsid w:val="005C5D99"/>
    <w:rsid w:val="005D4DEA"/>
    <w:rsid w:val="005D7786"/>
    <w:rsid w:val="005F4CD0"/>
    <w:rsid w:val="005F75B4"/>
    <w:rsid w:val="005F7C86"/>
    <w:rsid w:val="00600219"/>
    <w:rsid w:val="00611C2E"/>
    <w:rsid w:val="006151A3"/>
    <w:rsid w:val="00637F39"/>
    <w:rsid w:val="00640721"/>
    <w:rsid w:val="006444FB"/>
    <w:rsid w:val="00646D3A"/>
    <w:rsid w:val="0065106B"/>
    <w:rsid w:val="006527A6"/>
    <w:rsid w:val="00664C63"/>
    <w:rsid w:val="006731C3"/>
    <w:rsid w:val="0067343F"/>
    <w:rsid w:val="00674F30"/>
    <w:rsid w:val="00677CC2"/>
    <w:rsid w:val="00681A4A"/>
    <w:rsid w:val="00690C1A"/>
    <w:rsid w:val="0069207B"/>
    <w:rsid w:val="006927CD"/>
    <w:rsid w:val="00694016"/>
    <w:rsid w:val="006959DC"/>
    <w:rsid w:val="006A15A8"/>
    <w:rsid w:val="006A19DB"/>
    <w:rsid w:val="006B51F1"/>
    <w:rsid w:val="006C7F8C"/>
    <w:rsid w:val="006D3764"/>
    <w:rsid w:val="006F3A09"/>
    <w:rsid w:val="006F5653"/>
    <w:rsid w:val="00700B2C"/>
    <w:rsid w:val="007016F6"/>
    <w:rsid w:val="00713084"/>
    <w:rsid w:val="007173B8"/>
    <w:rsid w:val="00722BFE"/>
    <w:rsid w:val="00731E00"/>
    <w:rsid w:val="00732A85"/>
    <w:rsid w:val="007440B7"/>
    <w:rsid w:val="0075041C"/>
    <w:rsid w:val="0075226A"/>
    <w:rsid w:val="007627F4"/>
    <w:rsid w:val="007715C9"/>
    <w:rsid w:val="00773D28"/>
    <w:rsid w:val="00774EDD"/>
    <w:rsid w:val="007757EC"/>
    <w:rsid w:val="007845BF"/>
    <w:rsid w:val="00790E98"/>
    <w:rsid w:val="00795FCE"/>
    <w:rsid w:val="007A659A"/>
    <w:rsid w:val="007B081F"/>
    <w:rsid w:val="007D0080"/>
    <w:rsid w:val="007E4CC8"/>
    <w:rsid w:val="007E5399"/>
    <w:rsid w:val="007F6E63"/>
    <w:rsid w:val="00803107"/>
    <w:rsid w:val="00816E95"/>
    <w:rsid w:val="00817CD3"/>
    <w:rsid w:val="00824C2F"/>
    <w:rsid w:val="00830815"/>
    <w:rsid w:val="00836951"/>
    <w:rsid w:val="00850F08"/>
    <w:rsid w:val="00856A31"/>
    <w:rsid w:val="008601B7"/>
    <w:rsid w:val="008754D0"/>
    <w:rsid w:val="00883892"/>
    <w:rsid w:val="00894AA9"/>
    <w:rsid w:val="00895D67"/>
    <w:rsid w:val="0089730C"/>
    <w:rsid w:val="008A6470"/>
    <w:rsid w:val="008B0D7F"/>
    <w:rsid w:val="008B136D"/>
    <w:rsid w:val="008D0EE0"/>
    <w:rsid w:val="008D6F17"/>
    <w:rsid w:val="008E05CA"/>
    <w:rsid w:val="008F448F"/>
    <w:rsid w:val="008F7839"/>
    <w:rsid w:val="009060E8"/>
    <w:rsid w:val="00932377"/>
    <w:rsid w:val="00932FA3"/>
    <w:rsid w:val="009351E9"/>
    <w:rsid w:val="00946F3F"/>
    <w:rsid w:val="0095602D"/>
    <w:rsid w:val="00956CD0"/>
    <w:rsid w:val="0096123C"/>
    <w:rsid w:val="009620C2"/>
    <w:rsid w:val="00990C34"/>
    <w:rsid w:val="00992B1D"/>
    <w:rsid w:val="00997B42"/>
    <w:rsid w:val="009A0EF0"/>
    <w:rsid w:val="009A2242"/>
    <w:rsid w:val="009B0D27"/>
    <w:rsid w:val="009D369A"/>
    <w:rsid w:val="009E41AB"/>
    <w:rsid w:val="009E4E17"/>
    <w:rsid w:val="009F2AEE"/>
    <w:rsid w:val="00A120DD"/>
    <w:rsid w:val="00A1603C"/>
    <w:rsid w:val="00A231E2"/>
    <w:rsid w:val="00A25627"/>
    <w:rsid w:val="00A25FF4"/>
    <w:rsid w:val="00A406F1"/>
    <w:rsid w:val="00A415B9"/>
    <w:rsid w:val="00A504D4"/>
    <w:rsid w:val="00A5052E"/>
    <w:rsid w:val="00A557E0"/>
    <w:rsid w:val="00A64912"/>
    <w:rsid w:val="00A64D0D"/>
    <w:rsid w:val="00A70A74"/>
    <w:rsid w:val="00A7389D"/>
    <w:rsid w:val="00A73D32"/>
    <w:rsid w:val="00A74AF8"/>
    <w:rsid w:val="00A80B79"/>
    <w:rsid w:val="00A84EEB"/>
    <w:rsid w:val="00A90A28"/>
    <w:rsid w:val="00AA3A57"/>
    <w:rsid w:val="00AA5445"/>
    <w:rsid w:val="00AA623C"/>
    <w:rsid w:val="00AA6785"/>
    <w:rsid w:val="00AB5A90"/>
    <w:rsid w:val="00AB6E52"/>
    <w:rsid w:val="00AB7A08"/>
    <w:rsid w:val="00AC617B"/>
    <w:rsid w:val="00AD27B3"/>
    <w:rsid w:val="00AD3D10"/>
    <w:rsid w:val="00AD5641"/>
    <w:rsid w:val="00AE118E"/>
    <w:rsid w:val="00AE17F4"/>
    <w:rsid w:val="00AE210E"/>
    <w:rsid w:val="00AE59F7"/>
    <w:rsid w:val="00AE7BD7"/>
    <w:rsid w:val="00AF5D42"/>
    <w:rsid w:val="00B04818"/>
    <w:rsid w:val="00B053EB"/>
    <w:rsid w:val="00B05DED"/>
    <w:rsid w:val="00B10B70"/>
    <w:rsid w:val="00B20412"/>
    <w:rsid w:val="00B24FDE"/>
    <w:rsid w:val="00B26413"/>
    <w:rsid w:val="00B26541"/>
    <w:rsid w:val="00B30BBF"/>
    <w:rsid w:val="00B33B3C"/>
    <w:rsid w:val="00B340B6"/>
    <w:rsid w:val="00B3608C"/>
    <w:rsid w:val="00B372A6"/>
    <w:rsid w:val="00B429C2"/>
    <w:rsid w:val="00B52C63"/>
    <w:rsid w:val="00B61C25"/>
    <w:rsid w:val="00B6546C"/>
    <w:rsid w:val="00B667BF"/>
    <w:rsid w:val="00B70E56"/>
    <w:rsid w:val="00B77568"/>
    <w:rsid w:val="00B867E6"/>
    <w:rsid w:val="00B935E6"/>
    <w:rsid w:val="00B94625"/>
    <w:rsid w:val="00B94943"/>
    <w:rsid w:val="00B967BD"/>
    <w:rsid w:val="00BA046B"/>
    <w:rsid w:val="00BB0956"/>
    <w:rsid w:val="00BC30F2"/>
    <w:rsid w:val="00BC5FE0"/>
    <w:rsid w:val="00BC74DC"/>
    <w:rsid w:val="00BD1655"/>
    <w:rsid w:val="00BD727E"/>
    <w:rsid w:val="00BE5C05"/>
    <w:rsid w:val="00BE719A"/>
    <w:rsid w:val="00BE720A"/>
    <w:rsid w:val="00BF5A42"/>
    <w:rsid w:val="00C257F9"/>
    <w:rsid w:val="00C2684D"/>
    <w:rsid w:val="00C27E65"/>
    <w:rsid w:val="00C37F55"/>
    <w:rsid w:val="00C40FCF"/>
    <w:rsid w:val="00C42BF8"/>
    <w:rsid w:val="00C44A58"/>
    <w:rsid w:val="00C45143"/>
    <w:rsid w:val="00C50043"/>
    <w:rsid w:val="00C51361"/>
    <w:rsid w:val="00C53114"/>
    <w:rsid w:val="00C545B2"/>
    <w:rsid w:val="00C70571"/>
    <w:rsid w:val="00C723B9"/>
    <w:rsid w:val="00C7485D"/>
    <w:rsid w:val="00C7573B"/>
    <w:rsid w:val="00C77D10"/>
    <w:rsid w:val="00C81B9C"/>
    <w:rsid w:val="00C924A5"/>
    <w:rsid w:val="00CB0EA8"/>
    <w:rsid w:val="00CB5843"/>
    <w:rsid w:val="00CC4AC2"/>
    <w:rsid w:val="00CC7A09"/>
    <w:rsid w:val="00CF0BB2"/>
    <w:rsid w:val="00CF1AF2"/>
    <w:rsid w:val="00CF4975"/>
    <w:rsid w:val="00D06C09"/>
    <w:rsid w:val="00D13441"/>
    <w:rsid w:val="00D206C4"/>
    <w:rsid w:val="00D3213F"/>
    <w:rsid w:val="00D374CE"/>
    <w:rsid w:val="00D40252"/>
    <w:rsid w:val="00D46E6D"/>
    <w:rsid w:val="00D52529"/>
    <w:rsid w:val="00D7017A"/>
    <w:rsid w:val="00D70DFB"/>
    <w:rsid w:val="00D71395"/>
    <w:rsid w:val="00D7186F"/>
    <w:rsid w:val="00D766DF"/>
    <w:rsid w:val="00D85AF5"/>
    <w:rsid w:val="00D9284D"/>
    <w:rsid w:val="00D950C5"/>
    <w:rsid w:val="00DA42F1"/>
    <w:rsid w:val="00DA67DC"/>
    <w:rsid w:val="00DA733E"/>
    <w:rsid w:val="00DB1C0E"/>
    <w:rsid w:val="00DD314D"/>
    <w:rsid w:val="00DE41BF"/>
    <w:rsid w:val="00DE609E"/>
    <w:rsid w:val="00E05704"/>
    <w:rsid w:val="00E11AD3"/>
    <w:rsid w:val="00E12700"/>
    <w:rsid w:val="00E1363F"/>
    <w:rsid w:val="00E217AC"/>
    <w:rsid w:val="00E27F44"/>
    <w:rsid w:val="00E46E7F"/>
    <w:rsid w:val="00E54CAB"/>
    <w:rsid w:val="00E55A34"/>
    <w:rsid w:val="00E74DC7"/>
    <w:rsid w:val="00E8128E"/>
    <w:rsid w:val="00E85CB9"/>
    <w:rsid w:val="00E8621E"/>
    <w:rsid w:val="00E94998"/>
    <w:rsid w:val="00EA38BC"/>
    <w:rsid w:val="00ED1A6C"/>
    <w:rsid w:val="00EE2EB7"/>
    <w:rsid w:val="00EE6DCC"/>
    <w:rsid w:val="00EF2E3A"/>
    <w:rsid w:val="00F0132A"/>
    <w:rsid w:val="00F06862"/>
    <w:rsid w:val="00F078DC"/>
    <w:rsid w:val="00F17CD6"/>
    <w:rsid w:val="00F34A4D"/>
    <w:rsid w:val="00F40D7B"/>
    <w:rsid w:val="00F4457B"/>
    <w:rsid w:val="00F4488E"/>
    <w:rsid w:val="00F5076A"/>
    <w:rsid w:val="00F57A95"/>
    <w:rsid w:val="00F60339"/>
    <w:rsid w:val="00F65784"/>
    <w:rsid w:val="00F70BA7"/>
    <w:rsid w:val="00F71234"/>
    <w:rsid w:val="00F8103A"/>
    <w:rsid w:val="00F83ADB"/>
    <w:rsid w:val="00F92639"/>
    <w:rsid w:val="00FA0C9D"/>
    <w:rsid w:val="00FA3991"/>
    <w:rsid w:val="00FB430B"/>
    <w:rsid w:val="00FD210D"/>
    <w:rsid w:val="00FD5A43"/>
    <w:rsid w:val="00FE4B50"/>
    <w:rsid w:val="00FF0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667BF"/>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667BF"/>
  </w:style>
  <w:style w:type="paragraph" w:customStyle="1" w:styleId="OPCParaBase">
    <w:name w:val="OPCParaBase"/>
    <w:qFormat/>
    <w:rsid w:val="00B667BF"/>
    <w:pPr>
      <w:spacing w:line="260" w:lineRule="atLeast"/>
    </w:pPr>
    <w:rPr>
      <w:rFonts w:eastAsia="Times New Roman" w:cs="Times New Roman"/>
      <w:sz w:val="22"/>
      <w:lang w:eastAsia="en-AU"/>
    </w:rPr>
  </w:style>
  <w:style w:type="paragraph" w:customStyle="1" w:styleId="ShortT">
    <w:name w:val="ShortT"/>
    <w:basedOn w:val="OPCParaBase"/>
    <w:next w:val="Normal"/>
    <w:qFormat/>
    <w:rsid w:val="00B667BF"/>
    <w:pPr>
      <w:spacing w:line="240" w:lineRule="auto"/>
    </w:pPr>
    <w:rPr>
      <w:b/>
      <w:sz w:val="40"/>
    </w:rPr>
  </w:style>
  <w:style w:type="paragraph" w:customStyle="1" w:styleId="ActHead1">
    <w:name w:val="ActHead 1"/>
    <w:aliases w:val="c"/>
    <w:basedOn w:val="OPCParaBase"/>
    <w:next w:val="Normal"/>
    <w:qFormat/>
    <w:rsid w:val="00B667B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667B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667B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667B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667B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667B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667B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667B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667B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667BF"/>
  </w:style>
  <w:style w:type="paragraph" w:customStyle="1" w:styleId="Blocks">
    <w:name w:val="Blocks"/>
    <w:aliases w:val="bb"/>
    <w:basedOn w:val="OPCParaBase"/>
    <w:qFormat/>
    <w:rsid w:val="00B667BF"/>
    <w:pPr>
      <w:spacing w:line="240" w:lineRule="auto"/>
    </w:pPr>
    <w:rPr>
      <w:sz w:val="24"/>
    </w:rPr>
  </w:style>
  <w:style w:type="paragraph" w:customStyle="1" w:styleId="BoxText">
    <w:name w:val="BoxText"/>
    <w:aliases w:val="bt"/>
    <w:basedOn w:val="OPCParaBase"/>
    <w:qFormat/>
    <w:rsid w:val="00B667B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667BF"/>
    <w:rPr>
      <w:b/>
    </w:rPr>
  </w:style>
  <w:style w:type="paragraph" w:customStyle="1" w:styleId="BoxHeadItalic">
    <w:name w:val="BoxHeadItalic"/>
    <w:aliases w:val="bhi"/>
    <w:basedOn w:val="BoxText"/>
    <w:next w:val="BoxStep"/>
    <w:qFormat/>
    <w:rsid w:val="00B667BF"/>
    <w:rPr>
      <w:i/>
    </w:rPr>
  </w:style>
  <w:style w:type="paragraph" w:customStyle="1" w:styleId="BoxList">
    <w:name w:val="BoxList"/>
    <w:aliases w:val="bl"/>
    <w:basedOn w:val="BoxText"/>
    <w:qFormat/>
    <w:rsid w:val="00B667BF"/>
    <w:pPr>
      <w:ind w:left="1559" w:hanging="425"/>
    </w:pPr>
  </w:style>
  <w:style w:type="paragraph" w:customStyle="1" w:styleId="BoxNote">
    <w:name w:val="BoxNote"/>
    <w:aliases w:val="bn"/>
    <w:basedOn w:val="BoxText"/>
    <w:qFormat/>
    <w:rsid w:val="00B667BF"/>
    <w:pPr>
      <w:tabs>
        <w:tab w:val="left" w:pos="1985"/>
      </w:tabs>
      <w:spacing w:before="122" w:line="198" w:lineRule="exact"/>
      <w:ind w:left="2948" w:hanging="1814"/>
    </w:pPr>
    <w:rPr>
      <w:sz w:val="18"/>
    </w:rPr>
  </w:style>
  <w:style w:type="paragraph" w:customStyle="1" w:styleId="BoxPara">
    <w:name w:val="BoxPara"/>
    <w:aliases w:val="bp"/>
    <w:basedOn w:val="BoxText"/>
    <w:qFormat/>
    <w:rsid w:val="00B667BF"/>
    <w:pPr>
      <w:tabs>
        <w:tab w:val="right" w:pos="2268"/>
      </w:tabs>
      <w:ind w:left="2552" w:hanging="1418"/>
    </w:pPr>
  </w:style>
  <w:style w:type="paragraph" w:customStyle="1" w:styleId="BoxStep">
    <w:name w:val="BoxStep"/>
    <w:aliases w:val="bs"/>
    <w:basedOn w:val="BoxText"/>
    <w:qFormat/>
    <w:rsid w:val="00B667BF"/>
    <w:pPr>
      <w:ind w:left="1985" w:hanging="851"/>
    </w:pPr>
  </w:style>
  <w:style w:type="character" w:customStyle="1" w:styleId="CharAmPartNo">
    <w:name w:val="CharAmPartNo"/>
    <w:basedOn w:val="OPCCharBase"/>
    <w:qFormat/>
    <w:rsid w:val="00B667BF"/>
  </w:style>
  <w:style w:type="character" w:customStyle="1" w:styleId="CharAmPartText">
    <w:name w:val="CharAmPartText"/>
    <w:basedOn w:val="OPCCharBase"/>
    <w:qFormat/>
    <w:rsid w:val="00B667BF"/>
  </w:style>
  <w:style w:type="character" w:customStyle="1" w:styleId="CharAmSchNo">
    <w:name w:val="CharAmSchNo"/>
    <w:basedOn w:val="OPCCharBase"/>
    <w:qFormat/>
    <w:rsid w:val="00B667BF"/>
  </w:style>
  <w:style w:type="character" w:customStyle="1" w:styleId="CharAmSchText">
    <w:name w:val="CharAmSchText"/>
    <w:basedOn w:val="OPCCharBase"/>
    <w:qFormat/>
    <w:rsid w:val="00B667BF"/>
  </w:style>
  <w:style w:type="character" w:customStyle="1" w:styleId="CharBoldItalic">
    <w:name w:val="CharBoldItalic"/>
    <w:basedOn w:val="OPCCharBase"/>
    <w:uiPriority w:val="1"/>
    <w:qFormat/>
    <w:rsid w:val="00B667BF"/>
    <w:rPr>
      <w:b/>
      <w:i/>
    </w:rPr>
  </w:style>
  <w:style w:type="character" w:customStyle="1" w:styleId="CharChapNo">
    <w:name w:val="CharChapNo"/>
    <w:basedOn w:val="OPCCharBase"/>
    <w:uiPriority w:val="1"/>
    <w:qFormat/>
    <w:rsid w:val="00B667BF"/>
  </w:style>
  <w:style w:type="character" w:customStyle="1" w:styleId="CharChapText">
    <w:name w:val="CharChapText"/>
    <w:basedOn w:val="OPCCharBase"/>
    <w:uiPriority w:val="1"/>
    <w:qFormat/>
    <w:rsid w:val="00B667BF"/>
  </w:style>
  <w:style w:type="character" w:customStyle="1" w:styleId="CharDivNo">
    <w:name w:val="CharDivNo"/>
    <w:basedOn w:val="OPCCharBase"/>
    <w:uiPriority w:val="1"/>
    <w:qFormat/>
    <w:rsid w:val="00B667BF"/>
  </w:style>
  <w:style w:type="character" w:customStyle="1" w:styleId="CharDivText">
    <w:name w:val="CharDivText"/>
    <w:basedOn w:val="OPCCharBase"/>
    <w:uiPriority w:val="1"/>
    <w:qFormat/>
    <w:rsid w:val="00B667BF"/>
  </w:style>
  <w:style w:type="character" w:customStyle="1" w:styleId="CharItalic">
    <w:name w:val="CharItalic"/>
    <w:basedOn w:val="OPCCharBase"/>
    <w:uiPriority w:val="1"/>
    <w:qFormat/>
    <w:rsid w:val="00B667BF"/>
    <w:rPr>
      <w:i/>
    </w:rPr>
  </w:style>
  <w:style w:type="character" w:customStyle="1" w:styleId="CharPartNo">
    <w:name w:val="CharPartNo"/>
    <w:basedOn w:val="OPCCharBase"/>
    <w:uiPriority w:val="1"/>
    <w:qFormat/>
    <w:rsid w:val="00B667BF"/>
  </w:style>
  <w:style w:type="character" w:customStyle="1" w:styleId="CharPartText">
    <w:name w:val="CharPartText"/>
    <w:basedOn w:val="OPCCharBase"/>
    <w:uiPriority w:val="1"/>
    <w:qFormat/>
    <w:rsid w:val="00B667BF"/>
  </w:style>
  <w:style w:type="character" w:customStyle="1" w:styleId="CharSectno">
    <w:name w:val="CharSectno"/>
    <w:basedOn w:val="OPCCharBase"/>
    <w:qFormat/>
    <w:rsid w:val="00B667BF"/>
  </w:style>
  <w:style w:type="character" w:customStyle="1" w:styleId="CharSubdNo">
    <w:name w:val="CharSubdNo"/>
    <w:basedOn w:val="OPCCharBase"/>
    <w:uiPriority w:val="1"/>
    <w:qFormat/>
    <w:rsid w:val="00B667BF"/>
  </w:style>
  <w:style w:type="character" w:customStyle="1" w:styleId="CharSubdText">
    <w:name w:val="CharSubdText"/>
    <w:basedOn w:val="OPCCharBase"/>
    <w:uiPriority w:val="1"/>
    <w:qFormat/>
    <w:rsid w:val="00B667BF"/>
  </w:style>
  <w:style w:type="paragraph" w:customStyle="1" w:styleId="CTA--">
    <w:name w:val="CTA --"/>
    <w:basedOn w:val="OPCParaBase"/>
    <w:next w:val="Normal"/>
    <w:rsid w:val="00B667BF"/>
    <w:pPr>
      <w:spacing w:before="60" w:line="240" w:lineRule="atLeast"/>
      <w:ind w:left="142" w:hanging="142"/>
    </w:pPr>
    <w:rPr>
      <w:sz w:val="20"/>
    </w:rPr>
  </w:style>
  <w:style w:type="paragraph" w:customStyle="1" w:styleId="CTA-">
    <w:name w:val="CTA -"/>
    <w:basedOn w:val="OPCParaBase"/>
    <w:rsid w:val="00B667BF"/>
    <w:pPr>
      <w:spacing w:before="60" w:line="240" w:lineRule="atLeast"/>
      <w:ind w:left="85" w:hanging="85"/>
    </w:pPr>
    <w:rPr>
      <w:sz w:val="20"/>
    </w:rPr>
  </w:style>
  <w:style w:type="paragraph" w:customStyle="1" w:styleId="CTA---">
    <w:name w:val="CTA ---"/>
    <w:basedOn w:val="OPCParaBase"/>
    <w:next w:val="Normal"/>
    <w:rsid w:val="00B667BF"/>
    <w:pPr>
      <w:spacing w:before="60" w:line="240" w:lineRule="atLeast"/>
      <w:ind w:left="198" w:hanging="198"/>
    </w:pPr>
    <w:rPr>
      <w:sz w:val="20"/>
    </w:rPr>
  </w:style>
  <w:style w:type="paragraph" w:customStyle="1" w:styleId="CTA----">
    <w:name w:val="CTA ----"/>
    <w:basedOn w:val="OPCParaBase"/>
    <w:next w:val="Normal"/>
    <w:rsid w:val="00B667BF"/>
    <w:pPr>
      <w:spacing w:before="60" w:line="240" w:lineRule="atLeast"/>
      <w:ind w:left="255" w:hanging="255"/>
    </w:pPr>
    <w:rPr>
      <w:sz w:val="20"/>
    </w:rPr>
  </w:style>
  <w:style w:type="paragraph" w:customStyle="1" w:styleId="CTA1a">
    <w:name w:val="CTA 1(a)"/>
    <w:basedOn w:val="OPCParaBase"/>
    <w:rsid w:val="00B667BF"/>
    <w:pPr>
      <w:tabs>
        <w:tab w:val="right" w:pos="414"/>
      </w:tabs>
      <w:spacing w:before="40" w:line="240" w:lineRule="atLeast"/>
      <w:ind w:left="675" w:hanging="675"/>
    </w:pPr>
    <w:rPr>
      <w:sz w:val="20"/>
    </w:rPr>
  </w:style>
  <w:style w:type="paragraph" w:customStyle="1" w:styleId="CTA1ai">
    <w:name w:val="CTA 1(a)(i)"/>
    <w:basedOn w:val="OPCParaBase"/>
    <w:rsid w:val="00B667BF"/>
    <w:pPr>
      <w:tabs>
        <w:tab w:val="right" w:pos="1004"/>
      </w:tabs>
      <w:spacing w:before="40" w:line="240" w:lineRule="atLeast"/>
      <w:ind w:left="1253" w:hanging="1253"/>
    </w:pPr>
    <w:rPr>
      <w:sz w:val="20"/>
    </w:rPr>
  </w:style>
  <w:style w:type="paragraph" w:customStyle="1" w:styleId="CTA2a">
    <w:name w:val="CTA 2(a)"/>
    <w:basedOn w:val="OPCParaBase"/>
    <w:rsid w:val="00B667BF"/>
    <w:pPr>
      <w:tabs>
        <w:tab w:val="right" w:pos="482"/>
      </w:tabs>
      <w:spacing w:before="40" w:line="240" w:lineRule="atLeast"/>
      <w:ind w:left="748" w:hanging="748"/>
    </w:pPr>
    <w:rPr>
      <w:sz w:val="20"/>
    </w:rPr>
  </w:style>
  <w:style w:type="paragraph" w:customStyle="1" w:styleId="CTA2ai">
    <w:name w:val="CTA 2(a)(i)"/>
    <w:basedOn w:val="OPCParaBase"/>
    <w:rsid w:val="00B667BF"/>
    <w:pPr>
      <w:tabs>
        <w:tab w:val="right" w:pos="1089"/>
      </w:tabs>
      <w:spacing w:before="40" w:line="240" w:lineRule="atLeast"/>
      <w:ind w:left="1327" w:hanging="1327"/>
    </w:pPr>
    <w:rPr>
      <w:sz w:val="20"/>
    </w:rPr>
  </w:style>
  <w:style w:type="paragraph" w:customStyle="1" w:styleId="CTA3a">
    <w:name w:val="CTA 3(a)"/>
    <w:basedOn w:val="OPCParaBase"/>
    <w:rsid w:val="00B667BF"/>
    <w:pPr>
      <w:tabs>
        <w:tab w:val="right" w:pos="556"/>
      </w:tabs>
      <w:spacing w:before="40" w:line="240" w:lineRule="atLeast"/>
      <w:ind w:left="805" w:hanging="805"/>
    </w:pPr>
    <w:rPr>
      <w:sz w:val="20"/>
    </w:rPr>
  </w:style>
  <w:style w:type="paragraph" w:customStyle="1" w:styleId="CTA3ai">
    <w:name w:val="CTA 3(a)(i)"/>
    <w:basedOn w:val="OPCParaBase"/>
    <w:rsid w:val="00B667BF"/>
    <w:pPr>
      <w:tabs>
        <w:tab w:val="right" w:pos="1140"/>
      </w:tabs>
      <w:spacing w:before="40" w:line="240" w:lineRule="atLeast"/>
      <w:ind w:left="1361" w:hanging="1361"/>
    </w:pPr>
    <w:rPr>
      <w:sz w:val="20"/>
    </w:rPr>
  </w:style>
  <w:style w:type="paragraph" w:customStyle="1" w:styleId="CTA4a">
    <w:name w:val="CTA 4(a)"/>
    <w:basedOn w:val="OPCParaBase"/>
    <w:rsid w:val="00B667BF"/>
    <w:pPr>
      <w:tabs>
        <w:tab w:val="right" w:pos="624"/>
      </w:tabs>
      <w:spacing w:before="40" w:line="240" w:lineRule="atLeast"/>
      <w:ind w:left="873" w:hanging="873"/>
    </w:pPr>
    <w:rPr>
      <w:sz w:val="20"/>
    </w:rPr>
  </w:style>
  <w:style w:type="paragraph" w:customStyle="1" w:styleId="CTA4ai">
    <w:name w:val="CTA 4(a)(i)"/>
    <w:basedOn w:val="OPCParaBase"/>
    <w:rsid w:val="00B667BF"/>
    <w:pPr>
      <w:tabs>
        <w:tab w:val="right" w:pos="1213"/>
      </w:tabs>
      <w:spacing w:before="40" w:line="240" w:lineRule="atLeast"/>
      <w:ind w:left="1452" w:hanging="1452"/>
    </w:pPr>
    <w:rPr>
      <w:sz w:val="20"/>
    </w:rPr>
  </w:style>
  <w:style w:type="paragraph" w:customStyle="1" w:styleId="CTACAPS">
    <w:name w:val="CTA CAPS"/>
    <w:basedOn w:val="OPCParaBase"/>
    <w:rsid w:val="00B667BF"/>
    <w:pPr>
      <w:spacing w:before="60" w:line="240" w:lineRule="atLeast"/>
    </w:pPr>
    <w:rPr>
      <w:sz w:val="20"/>
    </w:rPr>
  </w:style>
  <w:style w:type="paragraph" w:customStyle="1" w:styleId="CTAright">
    <w:name w:val="CTA right"/>
    <w:basedOn w:val="OPCParaBase"/>
    <w:rsid w:val="00B667BF"/>
    <w:pPr>
      <w:spacing w:before="60" w:line="240" w:lineRule="auto"/>
      <w:jc w:val="right"/>
    </w:pPr>
    <w:rPr>
      <w:sz w:val="20"/>
    </w:rPr>
  </w:style>
  <w:style w:type="paragraph" w:customStyle="1" w:styleId="subsection">
    <w:name w:val="subsection"/>
    <w:aliases w:val="ss"/>
    <w:basedOn w:val="OPCParaBase"/>
    <w:rsid w:val="00B667BF"/>
    <w:pPr>
      <w:tabs>
        <w:tab w:val="right" w:pos="1021"/>
      </w:tabs>
      <w:spacing w:before="180" w:line="240" w:lineRule="auto"/>
      <w:ind w:left="1134" w:hanging="1134"/>
    </w:pPr>
  </w:style>
  <w:style w:type="paragraph" w:customStyle="1" w:styleId="Definition">
    <w:name w:val="Definition"/>
    <w:aliases w:val="dd"/>
    <w:basedOn w:val="OPCParaBase"/>
    <w:rsid w:val="00B667BF"/>
    <w:pPr>
      <w:spacing w:before="180" w:line="240" w:lineRule="auto"/>
      <w:ind w:left="1134"/>
    </w:pPr>
  </w:style>
  <w:style w:type="paragraph" w:customStyle="1" w:styleId="ETAsubitem">
    <w:name w:val="ETA(subitem)"/>
    <w:basedOn w:val="OPCParaBase"/>
    <w:rsid w:val="00B667BF"/>
    <w:pPr>
      <w:tabs>
        <w:tab w:val="right" w:pos="340"/>
      </w:tabs>
      <w:spacing w:before="60" w:line="240" w:lineRule="auto"/>
      <w:ind w:left="454" w:hanging="454"/>
    </w:pPr>
    <w:rPr>
      <w:sz w:val="20"/>
    </w:rPr>
  </w:style>
  <w:style w:type="paragraph" w:customStyle="1" w:styleId="ETApara">
    <w:name w:val="ETA(para)"/>
    <w:basedOn w:val="OPCParaBase"/>
    <w:rsid w:val="00B667BF"/>
    <w:pPr>
      <w:tabs>
        <w:tab w:val="right" w:pos="754"/>
      </w:tabs>
      <w:spacing w:before="60" w:line="240" w:lineRule="auto"/>
      <w:ind w:left="828" w:hanging="828"/>
    </w:pPr>
    <w:rPr>
      <w:sz w:val="20"/>
    </w:rPr>
  </w:style>
  <w:style w:type="paragraph" w:customStyle="1" w:styleId="ETAsubpara">
    <w:name w:val="ETA(subpara)"/>
    <w:basedOn w:val="OPCParaBase"/>
    <w:rsid w:val="00B667BF"/>
    <w:pPr>
      <w:tabs>
        <w:tab w:val="right" w:pos="1083"/>
      </w:tabs>
      <w:spacing w:before="60" w:line="240" w:lineRule="auto"/>
      <w:ind w:left="1191" w:hanging="1191"/>
    </w:pPr>
    <w:rPr>
      <w:sz w:val="20"/>
    </w:rPr>
  </w:style>
  <w:style w:type="paragraph" w:customStyle="1" w:styleId="ETAsub-subpara">
    <w:name w:val="ETA(sub-subpara)"/>
    <w:basedOn w:val="OPCParaBase"/>
    <w:rsid w:val="00B667BF"/>
    <w:pPr>
      <w:tabs>
        <w:tab w:val="right" w:pos="1412"/>
      </w:tabs>
      <w:spacing w:before="60" w:line="240" w:lineRule="auto"/>
      <w:ind w:left="1525" w:hanging="1525"/>
    </w:pPr>
    <w:rPr>
      <w:sz w:val="20"/>
    </w:rPr>
  </w:style>
  <w:style w:type="paragraph" w:customStyle="1" w:styleId="Formula">
    <w:name w:val="Formula"/>
    <w:basedOn w:val="OPCParaBase"/>
    <w:rsid w:val="00B667BF"/>
    <w:pPr>
      <w:spacing w:line="240" w:lineRule="auto"/>
      <w:ind w:left="1134"/>
    </w:pPr>
    <w:rPr>
      <w:sz w:val="20"/>
    </w:rPr>
  </w:style>
  <w:style w:type="paragraph" w:styleId="Header">
    <w:name w:val="header"/>
    <w:basedOn w:val="OPCParaBase"/>
    <w:link w:val="HeaderChar"/>
    <w:unhideWhenUsed/>
    <w:rsid w:val="00B667B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667BF"/>
    <w:rPr>
      <w:rFonts w:eastAsia="Times New Roman" w:cs="Times New Roman"/>
      <w:sz w:val="16"/>
      <w:lang w:eastAsia="en-AU"/>
    </w:rPr>
  </w:style>
  <w:style w:type="paragraph" w:customStyle="1" w:styleId="House">
    <w:name w:val="House"/>
    <w:basedOn w:val="OPCParaBase"/>
    <w:rsid w:val="00B667BF"/>
    <w:pPr>
      <w:spacing w:line="240" w:lineRule="auto"/>
    </w:pPr>
    <w:rPr>
      <w:sz w:val="28"/>
    </w:rPr>
  </w:style>
  <w:style w:type="paragraph" w:customStyle="1" w:styleId="Item">
    <w:name w:val="Item"/>
    <w:aliases w:val="i"/>
    <w:basedOn w:val="OPCParaBase"/>
    <w:next w:val="ItemHead"/>
    <w:link w:val="ItemChar"/>
    <w:rsid w:val="00B667BF"/>
    <w:pPr>
      <w:keepLines/>
      <w:spacing w:before="80" w:line="240" w:lineRule="auto"/>
      <w:ind w:left="709"/>
    </w:pPr>
  </w:style>
  <w:style w:type="paragraph" w:customStyle="1" w:styleId="ItemHead">
    <w:name w:val="ItemHead"/>
    <w:aliases w:val="ih"/>
    <w:basedOn w:val="OPCParaBase"/>
    <w:next w:val="Item"/>
    <w:link w:val="ItemHeadChar"/>
    <w:rsid w:val="00B667B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667BF"/>
    <w:pPr>
      <w:spacing w:line="240" w:lineRule="auto"/>
    </w:pPr>
    <w:rPr>
      <w:b/>
      <w:sz w:val="32"/>
    </w:rPr>
  </w:style>
  <w:style w:type="paragraph" w:customStyle="1" w:styleId="notedraft">
    <w:name w:val="note(draft)"/>
    <w:aliases w:val="nd"/>
    <w:basedOn w:val="OPCParaBase"/>
    <w:rsid w:val="00B667BF"/>
    <w:pPr>
      <w:spacing w:before="240" w:line="240" w:lineRule="auto"/>
      <w:ind w:left="284" w:hanging="284"/>
    </w:pPr>
    <w:rPr>
      <w:i/>
      <w:sz w:val="24"/>
    </w:rPr>
  </w:style>
  <w:style w:type="paragraph" w:customStyle="1" w:styleId="notemargin">
    <w:name w:val="note(margin)"/>
    <w:aliases w:val="nm"/>
    <w:basedOn w:val="OPCParaBase"/>
    <w:rsid w:val="00B667BF"/>
    <w:pPr>
      <w:tabs>
        <w:tab w:val="left" w:pos="709"/>
      </w:tabs>
      <w:spacing w:before="122" w:line="198" w:lineRule="exact"/>
      <w:ind w:left="709" w:hanging="709"/>
    </w:pPr>
    <w:rPr>
      <w:sz w:val="18"/>
    </w:rPr>
  </w:style>
  <w:style w:type="paragraph" w:customStyle="1" w:styleId="noteToPara">
    <w:name w:val="noteToPara"/>
    <w:aliases w:val="ntp"/>
    <w:basedOn w:val="OPCParaBase"/>
    <w:rsid w:val="00B667BF"/>
    <w:pPr>
      <w:spacing w:before="122" w:line="198" w:lineRule="exact"/>
      <w:ind w:left="2353" w:hanging="709"/>
    </w:pPr>
    <w:rPr>
      <w:sz w:val="18"/>
    </w:rPr>
  </w:style>
  <w:style w:type="paragraph" w:customStyle="1" w:styleId="noteParlAmend">
    <w:name w:val="note(ParlAmend)"/>
    <w:aliases w:val="npp"/>
    <w:basedOn w:val="OPCParaBase"/>
    <w:next w:val="ParlAmend"/>
    <w:rsid w:val="00B667BF"/>
    <w:pPr>
      <w:spacing w:line="240" w:lineRule="auto"/>
      <w:jc w:val="right"/>
    </w:pPr>
    <w:rPr>
      <w:rFonts w:ascii="Arial" w:hAnsi="Arial"/>
      <w:b/>
      <w:i/>
    </w:rPr>
  </w:style>
  <w:style w:type="paragraph" w:customStyle="1" w:styleId="Page1">
    <w:name w:val="Page1"/>
    <w:basedOn w:val="OPCParaBase"/>
    <w:rsid w:val="00B667BF"/>
    <w:pPr>
      <w:spacing w:before="5600" w:line="240" w:lineRule="auto"/>
    </w:pPr>
    <w:rPr>
      <w:b/>
      <w:sz w:val="32"/>
    </w:rPr>
  </w:style>
  <w:style w:type="paragraph" w:customStyle="1" w:styleId="PageBreak">
    <w:name w:val="PageBreak"/>
    <w:aliases w:val="pb"/>
    <w:basedOn w:val="OPCParaBase"/>
    <w:rsid w:val="00B667BF"/>
    <w:pPr>
      <w:spacing w:line="240" w:lineRule="auto"/>
    </w:pPr>
    <w:rPr>
      <w:sz w:val="20"/>
    </w:rPr>
  </w:style>
  <w:style w:type="paragraph" w:customStyle="1" w:styleId="paragraphsub">
    <w:name w:val="paragraph(sub)"/>
    <w:aliases w:val="aa"/>
    <w:basedOn w:val="OPCParaBase"/>
    <w:rsid w:val="00B667BF"/>
    <w:pPr>
      <w:tabs>
        <w:tab w:val="right" w:pos="1985"/>
      </w:tabs>
      <w:spacing w:before="40" w:line="240" w:lineRule="auto"/>
      <w:ind w:left="2098" w:hanging="2098"/>
    </w:pPr>
  </w:style>
  <w:style w:type="paragraph" w:customStyle="1" w:styleId="paragraphsub-sub">
    <w:name w:val="paragraph(sub-sub)"/>
    <w:aliases w:val="aaa"/>
    <w:basedOn w:val="OPCParaBase"/>
    <w:rsid w:val="00B667BF"/>
    <w:pPr>
      <w:tabs>
        <w:tab w:val="right" w:pos="2722"/>
      </w:tabs>
      <w:spacing w:before="40" w:line="240" w:lineRule="auto"/>
      <w:ind w:left="2835" w:hanging="2835"/>
    </w:pPr>
  </w:style>
  <w:style w:type="paragraph" w:customStyle="1" w:styleId="paragraph">
    <w:name w:val="paragraph"/>
    <w:aliases w:val="a"/>
    <w:basedOn w:val="OPCParaBase"/>
    <w:link w:val="paragraphChar"/>
    <w:rsid w:val="00B667BF"/>
    <w:pPr>
      <w:tabs>
        <w:tab w:val="right" w:pos="1531"/>
      </w:tabs>
      <w:spacing w:before="40" w:line="240" w:lineRule="auto"/>
      <w:ind w:left="1644" w:hanging="1644"/>
    </w:pPr>
  </w:style>
  <w:style w:type="paragraph" w:customStyle="1" w:styleId="ParlAmend">
    <w:name w:val="ParlAmend"/>
    <w:aliases w:val="pp"/>
    <w:basedOn w:val="OPCParaBase"/>
    <w:rsid w:val="00B667BF"/>
    <w:pPr>
      <w:spacing w:before="240" w:line="240" w:lineRule="atLeast"/>
      <w:ind w:hanging="567"/>
    </w:pPr>
    <w:rPr>
      <w:sz w:val="24"/>
    </w:rPr>
  </w:style>
  <w:style w:type="paragraph" w:customStyle="1" w:styleId="Penalty">
    <w:name w:val="Penalty"/>
    <w:basedOn w:val="OPCParaBase"/>
    <w:rsid w:val="00B667BF"/>
    <w:pPr>
      <w:tabs>
        <w:tab w:val="left" w:pos="2977"/>
      </w:tabs>
      <w:spacing w:before="180" w:line="240" w:lineRule="auto"/>
      <w:ind w:left="1985" w:hanging="851"/>
    </w:pPr>
  </w:style>
  <w:style w:type="paragraph" w:customStyle="1" w:styleId="Portfolio">
    <w:name w:val="Portfolio"/>
    <w:basedOn w:val="OPCParaBase"/>
    <w:rsid w:val="00B667BF"/>
    <w:pPr>
      <w:spacing w:line="240" w:lineRule="auto"/>
    </w:pPr>
    <w:rPr>
      <w:i/>
      <w:sz w:val="20"/>
    </w:rPr>
  </w:style>
  <w:style w:type="paragraph" w:customStyle="1" w:styleId="Preamble">
    <w:name w:val="Preamble"/>
    <w:basedOn w:val="OPCParaBase"/>
    <w:next w:val="Normal"/>
    <w:rsid w:val="00B667B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667BF"/>
    <w:pPr>
      <w:spacing w:line="240" w:lineRule="auto"/>
    </w:pPr>
    <w:rPr>
      <w:i/>
      <w:sz w:val="20"/>
    </w:rPr>
  </w:style>
  <w:style w:type="paragraph" w:customStyle="1" w:styleId="Session">
    <w:name w:val="Session"/>
    <w:basedOn w:val="OPCParaBase"/>
    <w:rsid w:val="00B667BF"/>
    <w:pPr>
      <w:spacing w:line="240" w:lineRule="auto"/>
    </w:pPr>
    <w:rPr>
      <w:sz w:val="28"/>
    </w:rPr>
  </w:style>
  <w:style w:type="paragraph" w:customStyle="1" w:styleId="Sponsor">
    <w:name w:val="Sponsor"/>
    <w:basedOn w:val="OPCParaBase"/>
    <w:rsid w:val="00B667BF"/>
    <w:pPr>
      <w:spacing w:line="240" w:lineRule="auto"/>
    </w:pPr>
    <w:rPr>
      <w:i/>
    </w:rPr>
  </w:style>
  <w:style w:type="paragraph" w:customStyle="1" w:styleId="Subitem">
    <w:name w:val="Subitem"/>
    <w:aliases w:val="iss"/>
    <w:basedOn w:val="OPCParaBase"/>
    <w:rsid w:val="00B667BF"/>
    <w:pPr>
      <w:spacing w:before="180" w:line="240" w:lineRule="auto"/>
      <w:ind w:left="709" w:hanging="709"/>
    </w:pPr>
  </w:style>
  <w:style w:type="paragraph" w:customStyle="1" w:styleId="SubitemHead">
    <w:name w:val="SubitemHead"/>
    <w:aliases w:val="issh"/>
    <w:basedOn w:val="OPCParaBase"/>
    <w:rsid w:val="00B667B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667BF"/>
    <w:pPr>
      <w:spacing w:before="40" w:line="240" w:lineRule="auto"/>
      <w:ind w:left="1134"/>
    </w:pPr>
  </w:style>
  <w:style w:type="paragraph" w:customStyle="1" w:styleId="SubsectionHead">
    <w:name w:val="SubsectionHead"/>
    <w:aliases w:val="ssh"/>
    <w:basedOn w:val="OPCParaBase"/>
    <w:next w:val="subsection"/>
    <w:rsid w:val="00B667BF"/>
    <w:pPr>
      <w:keepNext/>
      <w:keepLines/>
      <w:spacing w:before="240" w:line="240" w:lineRule="auto"/>
      <w:ind w:left="1134"/>
    </w:pPr>
    <w:rPr>
      <w:i/>
    </w:rPr>
  </w:style>
  <w:style w:type="paragraph" w:customStyle="1" w:styleId="Tablea">
    <w:name w:val="Table(a)"/>
    <w:aliases w:val="ta"/>
    <w:basedOn w:val="OPCParaBase"/>
    <w:rsid w:val="00B667BF"/>
    <w:pPr>
      <w:spacing w:before="60" w:line="240" w:lineRule="auto"/>
      <w:ind w:left="284" w:hanging="284"/>
    </w:pPr>
    <w:rPr>
      <w:sz w:val="20"/>
    </w:rPr>
  </w:style>
  <w:style w:type="paragraph" w:customStyle="1" w:styleId="TableAA">
    <w:name w:val="Table(AA)"/>
    <w:aliases w:val="taaa"/>
    <w:basedOn w:val="OPCParaBase"/>
    <w:rsid w:val="00B667B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667B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667BF"/>
    <w:pPr>
      <w:spacing w:before="60" w:line="240" w:lineRule="atLeast"/>
    </w:pPr>
    <w:rPr>
      <w:sz w:val="20"/>
    </w:rPr>
  </w:style>
  <w:style w:type="paragraph" w:customStyle="1" w:styleId="TLPBoxTextnote">
    <w:name w:val="TLPBoxText(note"/>
    <w:aliases w:val="right)"/>
    <w:basedOn w:val="OPCParaBase"/>
    <w:rsid w:val="00B667B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667B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667BF"/>
    <w:pPr>
      <w:spacing w:before="122" w:line="198" w:lineRule="exact"/>
      <w:ind w:left="1985" w:hanging="851"/>
      <w:jc w:val="right"/>
    </w:pPr>
    <w:rPr>
      <w:sz w:val="18"/>
    </w:rPr>
  </w:style>
  <w:style w:type="paragraph" w:customStyle="1" w:styleId="TLPTableBullet">
    <w:name w:val="TLPTableBullet"/>
    <w:aliases w:val="ttb"/>
    <w:basedOn w:val="OPCParaBase"/>
    <w:rsid w:val="00B667BF"/>
    <w:pPr>
      <w:spacing w:line="240" w:lineRule="exact"/>
      <w:ind w:left="284" w:hanging="284"/>
    </w:pPr>
    <w:rPr>
      <w:sz w:val="20"/>
    </w:rPr>
  </w:style>
  <w:style w:type="paragraph" w:styleId="TOC1">
    <w:name w:val="toc 1"/>
    <w:basedOn w:val="OPCParaBase"/>
    <w:next w:val="Normal"/>
    <w:uiPriority w:val="39"/>
    <w:semiHidden/>
    <w:unhideWhenUsed/>
    <w:rsid w:val="00B667BF"/>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B667BF"/>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B667BF"/>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B667BF"/>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667B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667B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667B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667B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667B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667BF"/>
    <w:pPr>
      <w:keepLines/>
      <w:spacing w:before="240" w:after="120" w:line="240" w:lineRule="auto"/>
      <w:ind w:left="794"/>
    </w:pPr>
    <w:rPr>
      <w:b/>
      <w:kern w:val="28"/>
      <w:sz w:val="20"/>
    </w:rPr>
  </w:style>
  <w:style w:type="paragraph" w:customStyle="1" w:styleId="TofSectsHeading">
    <w:name w:val="TofSects(Heading)"/>
    <w:basedOn w:val="OPCParaBase"/>
    <w:rsid w:val="00B667BF"/>
    <w:pPr>
      <w:spacing w:before="240" w:after="120" w:line="240" w:lineRule="auto"/>
    </w:pPr>
    <w:rPr>
      <w:b/>
      <w:sz w:val="24"/>
    </w:rPr>
  </w:style>
  <w:style w:type="paragraph" w:customStyle="1" w:styleId="TofSectsSection">
    <w:name w:val="TofSects(Section)"/>
    <w:basedOn w:val="OPCParaBase"/>
    <w:rsid w:val="00B667BF"/>
    <w:pPr>
      <w:keepLines/>
      <w:spacing w:before="40" w:line="240" w:lineRule="auto"/>
      <w:ind w:left="1588" w:hanging="794"/>
    </w:pPr>
    <w:rPr>
      <w:kern w:val="28"/>
      <w:sz w:val="18"/>
    </w:rPr>
  </w:style>
  <w:style w:type="paragraph" w:customStyle="1" w:styleId="TofSectsSubdiv">
    <w:name w:val="TofSects(Subdiv)"/>
    <w:basedOn w:val="OPCParaBase"/>
    <w:rsid w:val="00B667BF"/>
    <w:pPr>
      <w:keepLines/>
      <w:spacing w:before="80" w:line="240" w:lineRule="auto"/>
      <w:ind w:left="1588" w:hanging="794"/>
    </w:pPr>
    <w:rPr>
      <w:kern w:val="28"/>
    </w:rPr>
  </w:style>
  <w:style w:type="paragraph" w:customStyle="1" w:styleId="WRStyle">
    <w:name w:val="WR Style"/>
    <w:aliases w:val="WR"/>
    <w:basedOn w:val="OPCParaBase"/>
    <w:rsid w:val="00B667BF"/>
    <w:pPr>
      <w:spacing w:before="240" w:line="240" w:lineRule="auto"/>
      <w:ind w:left="284" w:hanging="284"/>
    </w:pPr>
    <w:rPr>
      <w:b/>
      <w:i/>
      <w:kern w:val="28"/>
      <w:sz w:val="24"/>
    </w:rPr>
  </w:style>
  <w:style w:type="paragraph" w:customStyle="1" w:styleId="notepara">
    <w:name w:val="note(para)"/>
    <w:aliases w:val="na"/>
    <w:basedOn w:val="OPCParaBase"/>
    <w:rsid w:val="00B667BF"/>
    <w:pPr>
      <w:spacing w:before="40" w:line="198" w:lineRule="exact"/>
      <w:ind w:left="2354" w:hanging="369"/>
    </w:pPr>
    <w:rPr>
      <w:sz w:val="18"/>
    </w:rPr>
  </w:style>
  <w:style w:type="paragraph" w:styleId="Footer">
    <w:name w:val="footer"/>
    <w:link w:val="FooterChar"/>
    <w:rsid w:val="00B667B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667BF"/>
    <w:rPr>
      <w:rFonts w:eastAsia="Times New Roman" w:cs="Times New Roman"/>
      <w:sz w:val="22"/>
      <w:szCs w:val="24"/>
      <w:lang w:eastAsia="en-AU"/>
    </w:rPr>
  </w:style>
  <w:style w:type="character" w:styleId="LineNumber">
    <w:name w:val="line number"/>
    <w:basedOn w:val="OPCCharBase"/>
    <w:uiPriority w:val="99"/>
    <w:semiHidden/>
    <w:unhideWhenUsed/>
    <w:rsid w:val="00B667BF"/>
    <w:rPr>
      <w:sz w:val="16"/>
    </w:rPr>
  </w:style>
  <w:style w:type="table" w:customStyle="1" w:styleId="CFlag">
    <w:name w:val="CFlag"/>
    <w:basedOn w:val="TableNormal"/>
    <w:uiPriority w:val="99"/>
    <w:rsid w:val="00B667BF"/>
    <w:rPr>
      <w:rFonts w:eastAsia="Times New Roman" w:cs="Times New Roman"/>
      <w:lang w:eastAsia="en-AU"/>
    </w:rPr>
    <w:tblPr/>
  </w:style>
  <w:style w:type="paragraph" w:customStyle="1" w:styleId="CompiledActNo">
    <w:name w:val="CompiledActNo"/>
    <w:basedOn w:val="OPCParaBase"/>
    <w:next w:val="Normal"/>
    <w:rsid w:val="00B667BF"/>
    <w:rPr>
      <w:b/>
      <w:sz w:val="24"/>
      <w:szCs w:val="24"/>
    </w:rPr>
  </w:style>
  <w:style w:type="paragraph" w:customStyle="1" w:styleId="CompiledMadeUnder">
    <w:name w:val="CompiledMadeUnder"/>
    <w:basedOn w:val="OPCParaBase"/>
    <w:next w:val="Normal"/>
    <w:rsid w:val="00B667BF"/>
    <w:rPr>
      <w:i/>
      <w:sz w:val="24"/>
      <w:szCs w:val="24"/>
    </w:rPr>
  </w:style>
  <w:style w:type="paragraph" w:customStyle="1" w:styleId="ENotesText">
    <w:name w:val="ENotesText"/>
    <w:aliases w:val="Ent"/>
    <w:basedOn w:val="OPCParaBase"/>
    <w:next w:val="Normal"/>
    <w:rsid w:val="00B667BF"/>
    <w:pPr>
      <w:spacing w:before="120"/>
    </w:pPr>
  </w:style>
  <w:style w:type="paragraph" w:customStyle="1" w:styleId="Paragraphsub-sub-sub">
    <w:name w:val="Paragraph(sub-sub-sub)"/>
    <w:aliases w:val="aaaa"/>
    <w:basedOn w:val="OPCParaBase"/>
    <w:rsid w:val="00B667BF"/>
    <w:pPr>
      <w:tabs>
        <w:tab w:val="right" w:pos="3402"/>
      </w:tabs>
      <w:spacing w:before="40" w:line="240" w:lineRule="auto"/>
      <w:ind w:left="3402" w:hanging="3402"/>
    </w:pPr>
  </w:style>
  <w:style w:type="paragraph" w:customStyle="1" w:styleId="NoteToSubpara">
    <w:name w:val="NoteToSubpara"/>
    <w:aliases w:val="nts"/>
    <w:basedOn w:val="OPCParaBase"/>
    <w:rsid w:val="00B667BF"/>
    <w:pPr>
      <w:spacing w:before="40" w:line="198" w:lineRule="exact"/>
      <w:ind w:left="2835" w:hanging="709"/>
    </w:pPr>
    <w:rPr>
      <w:sz w:val="18"/>
    </w:rPr>
  </w:style>
  <w:style w:type="paragraph" w:customStyle="1" w:styleId="ENoteTableHeading">
    <w:name w:val="ENoteTableHeading"/>
    <w:aliases w:val="enth"/>
    <w:basedOn w:val="OPCParaBase"/>
    <w:rsid w:val="00B667BF"/>
    <w:pPr>
      <w:keepNext/>
      <w:spacing w:before="60" w:line="240" w:lineRule="atLeast"/>
    </w:pPr>
    <w:rPr>
      <w:rFonts w:ascii="Arial" w:hAnsi="Arial"/>
      <w:b/>
      <w:sz w:val="16"/>
    </w:rPr>
  </w:style>
  <w:style w:type="paragraph" w:customStyle="1" w:styleId="ENoteTTi">
    <w:name w:val="ENoteTTi"/>
    <w:aliases w:val="entti"/>
    <w:basedOn w:val="OPCParaBase"/>
    <w:rsid w:val="00B667BF"/>
    <w:pPr>
      <w:keepNext/>
      <w:spacing w:before="60" w:line="240" w:lineRule="atLeast"/>
      <w:ind w:left="170"/>
    </w:pPr>
    <w:rPr>
      <w:sz w:val="16"/>
    </w:rPr>
  </w:style>
  <w:style w:type="paragraph" w:customStyle="1" w:styleId="ENotesHeading1">
    <w:name w:val="ENotesHeading 1"/>
    <w:aliases w:val="Enh1"/>
    <w:basedOn w:val="OPCParaBase"/>
    <w:next w:val="Normal"/>
    <w:rsid w:val="00B667BF"/>
    <w:pPr>
      <w:spacing w:before="120"/>
      <w:outlineLvl w:val="1"/>
    </w:pPr>
    <w:rPr>
      <w:b/>
      <w:sz w:val="28"/>
      <w:szCs w:val="28"/>
    </w:rPr>
  </w:style>
  <w:style w:type="paragraph" w:customStyle="1" w:styleId="ENotesHeading2">
    <w:name w:val="ENotesHeading 2"/>
    <w:aliases w:val="Enh2"/>
    <w:basedOn w:val="OPCParaBase"/>
    <w:next w:val="Normal"/>
    <w:rsid w:val="00B667BF"/>
    <w:pPr>
      <w:spacing w:before="120" w:after="120"/>
      <w:outlineLvl w:val="2"/>
    </w:pPr>
    <w:rPr>
      <w:b/>
      <w:sz w:val="24"/>
      <w:szCs w:val="28"/>
    </w:rPr>
  </w:style>
  <w:style w:type="paragraph" w:customStyle="1" w:styleId="ENoteTTIndentHeading">
    <w:name w:val="ENoteTTIndentHeading"/>
    <w:aliases w:val="enTTHi"/>
    <w:basedOn w:val="OPCParaBase"/>
    <w:rsid w:val="00B667B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667BF"/>
    <w:pPr>
      <w:spacing w:before="60" w:line="240" w:lineRule="atLeast"/>
    </w:pPr>
    <w:rPr>
      <w:sz w:val="16"/>
    </w:rPr>
  </w:style>
  <w:style w:type="paragraph" w:customStyle="1" w:styleId="MadeunderText">
    <w:name w:val="MadeunderText"/>
    <w:basedOn w:val="OPCParaBase"/>
    <w:next w:val="Normal"/>
    <w:rsid w:val="00B667BF"/>
    <w:pPr>
      <w:spacing w:before="240"/>
    </w:pPr>
    <w:rPr>
      <w:sz w:val="24"/>
      <w:szCs w:val="24"/>
    </w:rPr>
  </w:style>
  <w:style w:type="paragraph" w:customStyle="1" w:styleId="ENotesHeading3">
    <w:name w:val="ENotesHeading 3"/>
    <w:aliases w:val="Enh3"/>
    <w:basedOn w:val="OPCParaBase"/>
    <w:next w:val="Normal"/>
    <w:rsid w:val="00B667BF"/>
    <w:pPr>
      <w:keepNext/>
      <w:spacing w:before="120" w:line="240" w:lineRule="auto"/>
      <w:outlineLvl w:val="4"/>
    </w:pPr>
    <w:rPr>
      <w:b/>
      <w:szCs w:val="24"/>
    </w:rPr>
  </w:style>
  <w:style w:type="character" w:customStyle="1" w:styleId="CharSubPartTextCASA">
    <w:name w:val="CharSubPartText(CASA)"/>
    <w:basedOn w:val="OPCCharBase"/>
    <w:uiPriority w:val="1"/>
    <w:rsid w:val="00B667BF"/>
  </w:style>
  <w:style w:type="character" w:customStyle="1" w:styleId="CharSubPartNoCASA">
    <w:name w:val="CharSubPartNo(CASA)"/>
    <w:basedOn w:val="OPCCharBase"/>
    <w:uiPriority w:val="1"/>
    <w:rsid w:val="00B667BF"/>
  </w:style>
  <w:style w:type="paragraph" w:customStyle="1" w:styleId="ENoteTTIndentHeadingSub">
    <w:name w:val="ENoteTTIndentHeadingSub"/>
    <w:aliases w:val="enTTHis"/>
    <w:basedOn w:val="OPCParaBase"/>
    <w:rsid w:val="00B667BF"/>
    <w:pPr>
      <w:keepNext/>
      <w:spacing w:before="60" w:line="240" w:lineRule="atLeast"/>
      <w:ind w:left="340"/>
    </w:pPr>
    <w:rPr>
      <w:b/>
      <w:sz w:val="16"/>
    </w:rPr>
  </w:style>
  <w:style w:type="paragraph" w:customStyle="1" w:styleId="ENoteTTiSub">
    <w:name w:val="ENoteTTiSub"/>
    <w:aliases w:val="enttis"/>
    <w:basedOn w:val="OPCParaBase"/>
    <w:rsid w:val="00B667BF"/>
    <w:pPr>
      <w:keepNext/>
      <w:spacing w:before="60" w:line="240" w:lineRule="atLeast"/>
      <w:ind w:left="340"/>
    </w:pPr>
    <w:rPr>
      <w:sz w:val="16"/>
    </w:rPr>
  </w:style>
  <w:style w:type="paragraph" w:customStyle="1" w:styleId="SubDivisionMigration">
    <w:name w:val="SubDivisionMigration"/>
    <w:aliases w:val="sdm"/>
    <w:basedOn w:val="OPCParaBase"/>
    <w:rsid w:val="00B667B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667BF"/>
    <w:pPr>
      <w:keepNext/>
      <w:keepLines/>
      <w:spacing w:before="240" w:line="240" w:lineRule="auto"/>
      <w:ind w:left="1134" w:hanging="1134"/>
    </w:pPr>
    <w:rPr>
      <w:b/>
      <w:sz w:val="28"/>
    </w:rPr>
  </w:style>
  <w:style w:type="paragraph" w:customStyle="1" w:styleId="notetext">
    <w:name w:val="note(text)"/>
    <w:aliases w:val="n"/>
    <w:basedOn w:val="OPCParaBase"/>
    <w:rsid w:val="00B667BF"/>
    <w:pPr>
      <w:spacing w:before="122" w:line="240" w:lineRule="auto"/>
      <w:ind w:left="1985" w:hanging="851"/>
    </w:pPr>
    <w:rPr>
      <w:sz w:val="18"/>
    </w:rPr>
  </w:style>
  <w:style w:type="paragraph" w:customStyle="1" w:styleId="FreeForm">
    <w:name w:val="FreeForm"/>
    <w:rsid w:val="00E85CB9"/>
    <w:rPr>
      <w:rFonts w:ascii="Arial" w:hAnsi="Arial"/>
      <w:sz w:val="22"/>
    </w:rPr>
  </w:style>
  <w:style w:type="paragraph" w:customStyle="1" w:styleId="SOText">
    <w:name w:val="SO Text"/>
    <w:aliases w:val="sot"/>
    <w:link w:val="SOTextChar"/>
    <w:rsid w:val="00B667B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667BF"/>
    <w:rPr>
      <w:sz w:val="22"/>
    </w:rPr>
  </w:style>
  <w:style w:type="paragraph" w:customStyle="1" w:styleId="SOTextNote">
    <w:name w:val="SO TextNote"/>
    <w:aliases w:val="sont"/>
    <w:basedOn w:val="SOText"/>
    <w:qFormat/>
    <w:rsid w:val="00B667BF"/>
    <w:pPr>
      <w:spacing w:before="122" w:line="198" w:lineRule="exact"/>
      <w:ind w:left="1843" w:hanging="709"/>
    </w:pPr>
    <w:rPr>
      <w:sz w:val="18"/>
    </w:rPr>
  </w:style>
  <w:style w:type="paragraph" w:customStyle="1" w:styleId="SOPara">
    <w:name w:val="SO Para"/>
    <w:aliases w:val="soa"/>
    <w:basedOn w:val="SOText"/>
    <w:link w:val="SOParaChar"/>
    <w:qFormat/>
    <w:rsid w:val="00B667BF"/>
    <w:pPr>
      <w:tabs>
        <w:tab w:val="right" w:pos="1786"/>
      </w:tabs>
      <w:spacing w:before="40"/>
      <w:ind w:left="2070" w:hanging="936"/>
    </w:pPr>
  </w:style>
  <w:style w:type="character" w:customStyle="1" w:styleId="SOParaChar">
    <w:name w:val="SO Para Char"/>
    <w:aliases w:val="soa Char"/>
    <w:basedOn w:val="DefaultParagraphFont"/>
    <w:link w:val="SOPara"/>
    <w:rsid w:val="00B667BF"/>
    <w:rPr>
      <w:sz w:val="22"/>
    </w:rPr>
  </w:style>
  <w:style w:type="paragraph" w:customStyle="1" w:styleId="FileName">
    <w:name w:val="FileName"/>
    <w:basedOn w:val="Normal"/>
    <w:rsid w:val="00B667BF"/>
  </w:style>
  <w:style w:type="paragraph" w:customStyle="1" w:styleId="TableHeading">
    <w:name w:val="TableHeading"/>
    <w:aliases w:val="th"/>
    <w:basedOn w:val="OPCParaBase"/>
    <w:next w:val="Tabletext"/>
    <w:rsid w:val="00B667BF"/>
    <w:pPr>
      <w:keepNext/>
      <w:spacing w:before="60" w:line="240" w:lineRule="atLeast"/>
    </w:pPr>
    <w:rPr>
      <w:b/>
      <w:sz w:val="20"/>
    </w:rPr>
  </w:style>
  <w:style w:type="paragraph" w:customStyle="1" w:styleId="SOHeadBold">
    <w:name w:val="SO HeadBold"/>
    <w:aliases w:val="sohb"/>
    <w:basedOn w:val="SOText"/>
    <w:next w:val="SOText"/>
    <w:link w:val="SOHeadBoldChar"/>
    <w:qFormat/>
    <w:rsid w:val="00B667BF"/>
    <w:rPr>
      <w:b/>
    </w:rPr>
  </w:style>
  <w:style w:type="character" w:customStyle="1" w:styleId="SOHeadBoldChar">
    <w:name w:val="SO HeadBold Char"/>
    <w:aliases w:val="sohb Char"/>
    <w:basedOn w:val="DefaultParagraphFont"/>
    <w:link w:val="SOHeadBold"/>
    <w:rsid w:val="00B667BF"/>
    <w:rPr>
      <w:b/>
      <w:sz w:val="22"/>
    </w:rPr>
  </w:style>
  <w:style w:type="paragraph" w:customStyle="1" w:styleId="SOHeadItalic">
    <w:name w:val="SO HeadItalic"/>
    <w:aliases w:val="sohi"/>
    <w:basedOn w:val="SOText"/>
    <w:next w:val="SOText"/>
    <w:link w:val="SOHeadItalicChar"/>
    <w:qFormat/>
    <w:rsid w:val="00B667BF"/>
    <w:rPr>
      <w:i/>
    </w:rPr>
  </w:style>
  <w:style w:type="character" w:customStyle="1" w:styleId="SOHeadItalicChar">
    <w:name w:val="SO HeadItalic Char"/>
    <w:aliases w:val="sohi Char"/>
    <w:basedOn w:val="DefaultParagraphFont"/>
    <w:link w:val="SOHeadItalic"/>
    <w:rsid w:val="00B667BF"/>
    <w:rPr>
      <w:i/>
      <w:sz w:val="22"/>
    </w:rPr>
  </w:style>
  <w:style w:type="paragraph" w:customStyle="1" w:styleId="SOBullet">
    <w:name w:val="SO Bullet"/>
    <w:aliases w:val="sotb"/>
    <w:basedOn w:val="SOText"/>
    <w:link w:val="SOBulletChar"/>
    <w:qFormat/>
    <w:rsid w:val="00B667BF"/>
    <w:pPr>
      <w:ind w:left="1559" w:hanging="425"/>
    </w:pPr>
  </w:style>
  <w:style w:type="character" w:customStyle="1" w:styleId="SOBulletChar">
    <w:name w:val="SO Bullet Char"/>
    <w:aliases w:val="sotb Char"/>
    <w:basedOn w:val="DefaultParagraphFont"/>
    <w:link w:val="SOBullet"/>
    <w:rsid w:val="00B667BF"/>
    <w:rPr>
      <w:sz w:val="22"/>
    </w:rPr>
  </w:style>
  <w:style w:type="paragraph" w:customStyle="1" w:styleId="SOBulletNote">
    <w:name w:val="SO BulletNote"/>
    <w:aliases w:val="sonb"/>
    <w:basedOn w:val="SOTextNote"/>
    <w:link w:val="SOBulletNoteChar"/>
    <w:qFormat/>
    <w:rsid w:val="00B667BF"/>
    <w:pPr>
      <w:tabs>
        <w:tab w:val="left" w:pos="1560"/>
      </w:tabs>
      <w:ind w:left="2268" w:hanging="1134"/>
    </w:pPr>
  </w:style>
  <w:style w:type="character" w:customStyle="1" w:styleId="SOBulletNoteChar">
    <w:name w:val="SO BulletNote Char"/>
    <w:aliases w:val="sonb Char"/>
    <w:basedOn w:val="DefaultParagraphFont"/>
    <w:link w:val="SOBulletNote"/>
    <w:rsid w:val="00B667BF"/>
    <w:rPr>
      <w:sz w:val="18"/>
    </w:rPr>
  </w:style>
  <w:style w:type="paragraph" w:customStyle="1" w:styleId="SOText2">
    <w:name w:val="SO Text2"/>
    <w:aliases w:val="sot2"/>
    <w:basedOn w:val="Normal"/>
    <w:next w:val="SOText"/>
    <w:link w:val="SOText2Char"/>
    <w:rsid w:val="00B667B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667BF"/>
    <w:rPr>
      <w:sz w:val="22"/>
    </w:rPr>
  </w:style>
  <w:style w:type="paragraph" w:customStyle="1" w:styleId="SubPartCASA">
    <w:name w:val="SubPart(CASA)"/>
    <w:aliases w:val="csp"/>
    <w:basedOn w:val="OPCParaBase"/>
    <w:next w:val="ActHead3"/>
    <w:rsid w:val="00B667BF"/>
    <w:pPr>
      <w:keepNext/>
      <w:keepLines/>
      <w:spacing w:before="280"/>
      <w:ind w:left="1134" w:hanging="1134"/>
      <w:outlineLvl w:val="1"/>
    </w:pPr>
    <w:rPr>
      <w:b/>
      <w:kern w:val="28"/>
      <w:sz w:val="32"/>
    </w:rPr>
  </w:style>
  <w:style w:type="paragraph" w:customStyle="1" w:styleId="NotesHeading1">
    <w:name w:val="NotesHeading 1"/>
    <w:basedOn w:val="OPCParaBase"/>
    <w:next w:val="Normal"/>
    <w:rsid w:val="00B667BF"/>
    <w:rPr>
      <w:b/>
      <w:sz w:val="28"/>
      <w:szCs w:val="28"/>
    </w:rPr>
  </w:style>
  <w:style w:type="paragraph" w:customStyle="1" w:styleId="NotesHeading2">
    <w:name w:val="NotesHeading 2"/>
    <w:basedOn w:val="OPCParaBase"/>
    <w:next w:val="Normal"/>
    <w:rsid w:val="00B667BF"/>
    <w:rPr>
      <w:b/>
      <w:sz w:val="28"/>
      <w:szCs w:val="28"/>
    </w:rPr>
  </w:style>
  <w:style w:type="paragraph" w:customStyle="1" w:styleId="SignCoverPageEnd">
    <w:name w:val="SignCoverPageEnd"/>
    <w:basedOn w:val="OPCParaBase"/>
    <w:next w:val="Normal"/>
    <w:rsid w:val="00B667B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667BF"/>
    <w:pPr>
      <w:pBdr>
        <w:top w:val="single" w:sz="4" w:space="1" w:color="auto"/>
      </w:pBdr>
      <w:spacing w:before="360"/>
      <w:ind w:right="397"/>
      <w:jc w:val="both"/>
    </w:pPr>
  </w:style>
  <w:style w:type="paragraph" w:customStyle="1" w:styleId="EndNotespara">
    <w:name w:val="EndNotes(para)"/>
    <w:aliases w:val="eta"/>
    <w:basedOn w:val="OPCParaBase"/>
    <w:next w:val="EndNotessubpara"/>
    <w:rsid w:val="00B667B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667B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667B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667B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667BF"/>
    <w:pPr>
      <w:spacing w:before="60" w:line="240" w:lineRule="auto"/>
    </w:pPr>
    <w:rPr>
      <w:rFonts w:cs="Arial"/>
      <w:sz w:val="20"/>
      <w:szCs w:val="22"/>
    </w:rPr>
  </w:style>
  <w:style w:type="table" w:styleId="TableGrid">
    <w:name w:val="Table Grid"/>
    <w:basedOn w:val="TableNormal"/>
    <w:uiPriority w:val="59"/>
    <w:rsid w:val="00B66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B667BF"/>
  </w:style>
  <w:style w:type="character" w:customStyle="1" w:styleId="ItemHeadChar">
    <w:name w:val="ItemHead Char"/>
    <w:aliases w:val="ih Char"/>
    <w:basedOn w:val="DefaultParagraphFont"/>
    <w:link w:val="ItemHead"/>
    <w:rsid w:val="00816E95"/>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816E95"/>
    <w:rPr>
      <w:rFonts w:eastAsia="Times New Roman" w:cs="Times New Roman"/>
      <w:sz w:val="22"/>
      <w:lang w:eastAsia="en-AU"/>
    </w:rPr>
  </w:style>
  <w:style w:type="character" w:customStyle="1" w:styleId="paragraphChar">
    <w:name w:val="paragraph Char"/>
    <w:aliases w:val="a Char"/>
    <w:link w:val="paragraph"/>
    <w:rsid w:val="00BC5FE0"/>
    <w:rPr>
      <w:rFonts w:eastAsia="Times New Roman" w:cs="Times New Roman"/>
      <w:sz w:val="22"/>
      <w:lang w:eastAsia="en-AU"/>
    </w:rPr>
  </w:style>
  <w:style w:type="paragraph" w:styleId="BalloonText">
    <w:name w:val="Balloon Text"/>
    <w:basedOn w:val="Normal"/>
    <w:link w:val="BalloonTextChar"/>
    <w:uiPriority w:val="99"/>
    <w:semiHidden/>
    <w:unhideWhenUsed/>
    <w:rsid w:val="00773D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D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65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82</Value>
    </TaxCatchAll>
    <_dlc_DocId xmlns="0f563589-9cf9-4143-b1eb-fb0534803d38">2020MG-107-17889</_dlc_DocId>
    <_dlc_DocIdUrl xmlns="0f563589-9cf9-4143-b1eb-fb0534803d38">
      <Url>http://tweb/sites/mg/fitpd/_layouts/15/DocIdRedir.aspx?ID=2020MG-107-17889</Url>
      <Description>2020MG-107-17889</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RA-8745 - Retain as national archives</TermName>
          <TermId xmlns="http://schemas.microsoft.com/office/infopath/2007/PartnerControls">e7c0cb1f-c7bc-47da-a214-9f543417fceb</TermId>
        </TermInfo>
      </Terms>
    </lb508a4dc5e84436a0fe496b536466a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B296F03498E9448202E36B7829D846" ma:contentTypeVersion="30949" ma:contentTypeDescription=" " ma:contentTypeScope="" ma:versionID="ed2537b09aa16d867cd3e308dcd45ea0">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f75837bff50338e5e9d97543dceb0ca4"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PersistId" minOccurs="0"/>
                <xsd:element ref="ns2:_dlc_DocIdUrl"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6;#TSY RA-8909 - Retain as national archives|783df9f6-6a3b-4626-95aa-7d6467e087f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3617628F-85C4-441C-82B0-E2DC7106757A}">
  <ds:schemaRefs>
    <ds:schemaRef ds:uri="office.server.policy"/>
  </ds:schemaRefs>
</ds:datastoreItem>
</file>

<file path=customXml/itemProps2.xml><?xml version="1.0" encoding="utf-8"?>
<ds:datastoreItem xmlns:ds="http://schemas.openxmlformats.org/officeDocument/2006/customXml" ds:itemID="{056AEC24-ABEF-4F88-9CE8-A239CF01BB54}">
  <ds:schemaRef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d4dd4adf-ddb3-46a3-8d7c-fab3fb2a6bc7"/>
    <ds:schemaRef ds:uri="http://www.w3.org/XML/1998/namespace"/>
    <ds:schemaRef ds:uri="http://purl.org/dc/dcmitype/"/>
  </ds:schemaRefs>
</ds:datastoreItem>
</file>

<file path=customXml/itemProps3.xml><?xml version="1.0" encoding="utf-8"?>
<ds:datastoreItem xmlns:ds="http://schemas.openxmlformats.org/officeDocument/2006/customXml" ds:itemID="{96866889-9366-41AA-9285-63EB9163CEB0}">
  <ds:schemaRefs>
    <ds:schemaRef ds:uri="http://schemas.microsoft.com/sharepoint/v3/contenttype/forms"/>
  </ds:schemaRefs>
</ds:datastoreItem>
</file>

<file path=customXml/itemProps4.xml><?xml version="1.0" encoding="utf-8"?>
<ds:datastoreItem xmlns:ds="http://schemas.openxmlformats.org/officeDocument/2006/customXml" ds:itemID="{01F06D2E-99B6-4671-971F-EAC933649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957DB9-CC65-4A48-8499-EC05A57BDFD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9</Pages>
  <Words>1243</Words>
  <Characters>6429</Characters>
  <Application>Microsoft Office Word</Application>
  <DocSecurity>2</DocSecurity>
  <PresentationFormat/>
  <Lines>200</Lines>
  <Paragraphs>166</Paragraphs>
  <ScaleCrop>false</ScaleCrop>
  <HeadingPairs>
    <vt:vector size="2" baseType="variant">
      <vt:variant>
        <vt:lpstr>Title</vt:lpstr>
      </vt:variant>
      <vt:variant>
        <vt:i4>1</vt:i4>
      </vt:variant>
    </vt:vector>
  </HeadingPairs>
  <TitlesOfParts>
    <vt:vector size="1" baseType="lpstr">
      <vt:lpstr>Exposure Draft Bill (Technical amendments)</vt:lpstr>
    </vt:vector>
  </TitlesOfParts>
  <Manager/>
  <Company/>
  <LinksUpToDate>false</LinksUpToDate>
  <CharactersWithSpaces>7506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Bill (Technical amendments)</dc:title>
  <dc:subject/>
  <dc:creator/>
  <cp:keywords/>
  <dc:description/>
  <cp:lastModifiedBy/>
  <cp:revision>1</cp:revision>
  <cp:lastPrinted>2020-07-02T01:49:00Z</cp:lastPrinted>
  <dcterms:created xsi:type="dcterms:W3CDTF">2020-07-16T23:58:00Z</dcterms:created>
  <dcterms:modified xsi:type="dcterms:W3CDTF">2020-07-31T00:56:00Z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EXPOSURE DRAFT</vt:lpwstr>
  </property>
  <property fmtid="{D5CDD505-2E9C-101B-9397-08002B2CF9AE}" pid="3" name="DLM">
    <vt:lpwstr/>
  </property>
  <property fmtid="{D5CDD505-2E9C-101B-9397-08002B2CF9AE}" pid="4" name="DocType">
    <vt:lpwstr>INS</vt:lpwstr>
  </property>
  <property fmtid="{D5CDD505-2E9C-101B-9397-08002B2CF9AE}" pid="5" name="ShortT">
    <vt:lpwstr>Foreign Investment Reform (Protecting Australia’s National Security) Bill 2020:Technical amendments</vt:lpwstr>
  </property>
  <property fmtid="{D5CDD505-2E9C-101B-9397-08002B2CF9AE}" pid="6" name="Actno">
    <vt:lpwstr/>
  </property>
  <property fmtid="{D5CDD505-2E9C-101B-9397-08002B2CF9AE}" pid="7" name="ID">
    <vt:lpwstr>OPC7503</vt:lpwstr>
  </property>
  <property fmtid="{D5CDD505-2E9C-101B-9397-08002B2CF9AE}" pid="8" name="DoNotAsk">
    <vt:lpwstr>0</vt:lpwstr>
  </property>
  <property fmtid="{D5CDD505-2E9C-101B-9397-08002B2CF9AE}" pid="9" name="ChangedTitle">
    <vt:lpwstr/>
  </property>
  <property fmtid="{D5CDD505-2E9C-101B-9397-08002B2CF9AE}" pid="10" name="TrimID">
    <vt:lpwstr>PC:D20/9956</vt:lpwstr>
  </property>
  <property fmtid="{D5CDD505-2E9C-101B-9397-08002B2CF9AE}" pid="11" name="ProtectionType">
    <vt:i4>1</vt:i4>
  </property>
  <property fmtid="{D5CDD505-2E9C-101B-9397-08002B2CF9AE}" pid="12" name="ContentTypeId">
    <vt:lpwstr>0x010100E95D40E5DFEA714B90E88DB5CE07A6B500DDB296F03498E9448202E36B7829D846</vt:lpwstr>
  </property>
  <property fmtid="{D5CDD505-2E9C-101B-9397-08002B2CF9AE}" pid="13" name="TSYTopic">
    <vt:lpwstr/>
  </property>
  <property fmtid="{D5CDD505-2E9C-101B-9397-08002B2CF9AE}" pid="14" name="TSYRecordClass">
    <vt:lpwstr>82;#TSY RA-8745 - Retain as national archives|e7c0cb1f-c7bc-47da-a214-9f543417fceb</vt:lpwstr>
  </property>
  <property fmtid="{D5CDD505-2E9C-101B-9397-08002B2CF9AE}" pid="15" name="_dlc_DocIdItemGuid">
    <vt:lpwstr>6173e7a2-54af-44c8-8804-6de1019bfc3b</vt:lpwstr>
  </property>
  <property fmtid="{D5CDD505-2E9C-101B-9397-08002B2CF9AE}" pid="16" name="Order">
    <vt:r8>199000</vt:r8>
  </property>
  <property fmtid="{D5CDD505-2E9C-101B-9397-08002B2CF9AE}" pid="17" name="oae75e2df9d943898d59cb03ca0993c5">
    <vt:lpwstr/>
  </property>
  <property fmtid="{D5CDD505-2E9C-101B-9397-08002B2CF9AE}" pid="18" name="Topics">
    <vt:lpwstr/>
  </property>
  <property fmtid="{D5CDD505-2E9C-101B-9397-08002B2CF9AE}" pid="19" name="RecordPoint_WorkflowType">
    <vt:lpwstr>ActiveSubmitStub</vt:lpwstr>
  </property>
  <property fmtid="{D5CDD505-2E9C-101B-9397-08002B2CF9AE}" pid="20" name="RecordPoint_ActiveItemUniqueId">
    <vt:lpwstr>{7e4bb549-8ac4-4c4e-99d6-c788f0b9e0b7}</vt:lpwstr>
  </property>
  <property fmtid="{D5CDD505-2E9C-101B-9397-08002B2CF9AE}" pid="21" name="RecordPoint_ActiveItemWebId">
    <vt:lpwstr>{09392e0d-4618-463d-b4d2-50a90b9447cf}</vt:lpwstr>
  </property>
  <property fmtid="{D5CDD505-2E9C-101B-9397-08002B2CF9AE}" pid="22" name="RecordPoint_ActiveItemSiteId">
    <vt:lpwstr>{5b52b9a5-e5b2-4521-8814-a1e24ca2869d}</vt:lpwstr>
  </property>
  <property fmtid="{D5CDD505-2E9C-101B-9397-08002B2CF9AE}" pid="23" name="RecordPoint_ActiveItemListId">
    <vt:lpwstr>{30b135ad-fcc1-4fb7-9c42-fc31816c69eb}</vt:lpwstr>
  </property>
</Properties>
</file>