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21546F" w14:paraId="2C3E4EF3" w14:textId="77777777" w:rsidTr="0021546F">
        <w:tc>
          <w:tcPr>
            <w:tcW w:w="5000" w:type="pct"/>
            <w:shd w:val="clear" w:color="auto" w:fill="auto"/>
          </w:tcPr>
          <w:p w14:paraId="336274D4" w14:textId="77777777" w:rsidR="0021546F" w:rsidRDefault="0021546F" w:rsidP="0021546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328B896" w14:textId="77777777" w:rsidR="0021546F" w:rsidRPr="0021546F" w:rsidRDefault="0021546F" w:rsidP="0021546F">
            <w:pPr>
              <w:rPr>
                <w:b/>
                <w:sz w:val="20"/>
              </w:rPr>
            </w:pPr>
          </w:p>
        </w:tc>
      </w:tr>
    </w:tbl>
    <w:p w14:paraId="6D678ECD" w14:textId="77777777" w:rsidR="0021546F" w:rsidRDefault="0021546F" w:rsidP="00664C63">
      <w:pPr>
        <w:rPr>
          <w:sz w:val="32"/>
          <w:szCs w:val="32"/>
        </w:rPr>
      </w:pPr>
    </w:p>
    <w:p w14:paraId="38DE3619" w14:textId="77777777" w:rsidR="00664C63" w:rsidRPr="00134CF0" w:rsidRDefault="00664C63" w:rsidP="00664C63">
      <w:pPr>
        <w:rPr>
          <w:sz w:val="32"/>
          <w:szCs w:val="32"/>
        </w:rPr>
      </w:pPr>
      <w:r w:rsidRPr="00134CF0">
        <w:rPr>
          <w:sz w:val="32"/>
          <w:szCs w:val="32"/>
        </w:rPr>
        <w:t>Inserts for</w:t>
      </w:r>
    </w:p>
    <w:p w14:paraId="3FCE3F03" w14:textId="77777777" w:rsidR="00664C63" w:rsidRPr="00134CF0" w:rsidRDefault="002D4CA4" w:rsidP="00664C63">
      <w:pPr>
        <w:pStyle w:val="ShortT"/>
      </w:pPr>
      <w:r w:rsidRPr="00134CF0">
        <w:t>Treasury Laws Amendment Instrument</w:t>
      </w:r>
      <w:r w:rsidR="00F336B7" w:rsidRPr="00134CF0">
        <w:t xml:space="preserve"> </w:t>
      </w:r>
      <w:r w:rsidR="005A1112" w:rsidRPr="00134CF0">
        <w:t>202</w:t>
      </w:r>
      <w:r w:rsidR="00C75653" w:rsidRPr="00134CF0">
        <w:t>4</w:t>
      </w:r>
      <w:r w:rsidR="00664C63" w:rsidRPr="00134CF0">
        <w:t xml:space="preserve">: </w:t>
      </w:r>
      <w:r w:rsidRPr="00134CF0">
        <w:t>Better Targeted Superannuation Concessions</w:t>
      </w:r>
    </w:p>
    <w:p w14:paraId="66543F70" w14:textId="77777777" w:rsidR="00DF4689" w:rsidRPr="00134CF0" w:rsidRDefault="00DF4689" w:rsidP="0022597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F4689" w:rsidRPr="00134CF0" w14:paraId="68D2841B" w14:textId="77777777" w:rsidTr="0054314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12945D" w14:textId="77777777" w:rsidR="00DF4689" w:rsidRPr="00134CF0" w:rsidRDefault="00DF4689" w:rsidP="0022597E">
            <w:pPr>
              <w:pStyle w:val="TableHeading"/>
            </w:pPr>
            <w:r w:rsidRPr="00134CF0">
              <w:t>Commencement information</w:t>
            </w:r>
          </w:p>
        </w:tc>
      </w:tr>
      <w:tr w:rsidR="00DF4689" w:rsidRPr="00134CF0" w14:paraId="25703634" w14:textId="77777777" w:rsidTr="0054314D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22F538" w14:textId="77777777" w:rsidR="00DF4689" w:rsidRPr="00134CF0" w:rsidRDefault="00DF4689" w:rsidP="0022597E">
            <w:pPr>
              <w:pStyle w:val="TableHeading"/>
            </w:pPr>
            <w:r w:rsidRPr="00134CF0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265763" w14:textId="77777777" w:rsidR="00DF4689" w:rsidRPr="00134CF0" w:rsidRDefault="00DF4689" w:rsidP="0022597E">
            <w:pPr>
              <w:pStyle w:val="TableHeading"/>
            </w:pPr>
            <w:r w:rsidRPr="00134CF0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F3361F" w14:textId="77777777" w:rsidR="00DF4689" w:rsidRPr="00134CF0" w:rsidRDefault="00DF4689" w:rsidP="0022597E">
            <w:pPr>
              <w:pStyle w:val="TableHeading"/>
            </w:pPr>
            <w:r w:rsidRPr="00134CF0">
              <w:t>Column 3</w:t>
            </w:r>
          </w:p>
        </w:tc>
      </w:tr>
      <w:tr w:rsidR="00DF4689" w:rsidRPr="00134CF0" w14:paraId="1FE3FBF2" w14:textId="77777777" w:rsidTr="0054314D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DC34F1" w14:textId="77777777" w:rsidR="00DF4689" w:rsidRPr="00134CF0" w:rsidRDefault="00DF4689" w:rsidP="0022597E">
            <w:pPr>
              <w:pStyle w:val="TableHeading"/>
            </w:pPr>
            <w:r w:rsidRPr="00134CF0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E7E968" w14:textId="77777777" w:rsidR="00DF4689" w:rsidRPr="00134CF0" w:rsidRDefault="00DF4689" w:rsidP="0022597E">
            <w:pPr>
              <w:pStyle w:val="TableHeading"/>
            </w:pPr>
            <w:r w:rsidRPr="00134CF0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F1E4D2" w14:textId="77777777" w:rsidR="00DF4689" w:rsidRPr="00134CF0" w:rsidRDefault="00DF4689" w:rsidP="0022597E">
            <w:pPr>
              <w:pStyle w:val="TableHeading"/>
            </w:pPr>
            <w:r w:rsidRPr="00134CF0">
              <w:t>Date/Details</w:t>
            </w:r>
          </w:p>
        </w:tc>
      </w:tr>
      <w:tr w:rsidR="00CF5681" w:rsidRPr="00134CF0" w14:paraId="1497FA83" w14:textId="77777777" w:rsidTr="0054314D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08453A79" w14:textId="77777777" w:rsidR="00CF5681" w:rsidRPr="00134CF0" w:rsidRDefault="004464EF" w:rsidP="00EF4284">
            <w:pPr>
              <w:pStyle w:val="Tabletext"/>
            </w:pPr>
            <w:r w:rsidRPr="00134CF0">
              <w:t>1</w:t>
            </w:r>
            <w:r w:rsidR="00CF5681" w:rsidRPr="00134CF0">
              <w:t xml:space="preserve">.  </w:t>
            </w:r>
            <w:r w:rsidR="00C96F3A" w:rsidRPr="00134CF0">
              <w:t>Schedule 1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</w:tcPr>
          <w:p w14:paraId="62E0F957" w14:textId="77777777" w:rsidR="00CF5681" w:rsidRPr="00134CF0" w:rsidRDefault="00CF5681" w:rsidP="00EF4284">
            <w:pPr>
              <w:pStyle w:val="Tabletext"/>
            </w:pPr>
            <w:r w:rsidRPr="00134CF0">
              <w:t>The later of:</w:t>
            </w:r>
          </w:p>
          <w:p w14:paraId="6BCA6016" w14:textId="77777777" w:rsidR="00CF5681" w:rsidRPr="00134CF0" w:rsidRDefault="00CF5681" w:rsidP="00EF4284">
            <w:pPr>
              <w:pStyle w:val="Tablea"/>
            </w:pPr>
            <w:r w:rsidRPr="00134CF0">
              <w:t>(a) the day after this instrument is registered; and</w:t>
            </w:r>
          </w:p>
          <w:p w14:paraId="4DD511E5" w14:textId="77777777" w:rsidR="00CF5681" w:rsidRPr="00134CF0" w:rsidRDefault="00CF5681" w:rsidP="00EF4284">
            <w:pPr>
              <w:pStyle w:val="Tablea"/>
            </w:pPr>
            <w:r w:rsidRPr="00134CF0">
              <w:t xml:space="preserve">(b) the day </w:t>
            </w:r>
            <w:r w:rsidR="00C96F3A" w:rsidRPr="00134CF0">
              <w:t>Schedule 1</w:t>
            </w:r>
            <w:r w:rsidRPr="00134CF0">
              <w:t xml:space="preserve"> to the </w:t>
            </w:r>
            <w:r w:rsidRPr="00134CF0">
              <w:rPr>
                <w:i/>
              </w:rPr>
              <w:t>Treasury Laws Amendment (Better Targeted Superannuation Concessions and Other Measures) Act 2023</w:t>
            </w:r>
            <w:r w:rsidRPr="00134CF0">
              <w:t xml:space="preserve"> commences</w:t>
            </w:r>
            <w:r w:rsidRPr="00134CF0">
              <w:rPr>
                <w:i/>
              </w:rPr>
              <w:t>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021C593C" w14:textId="77777777" w:rsidR="00CF5681" w:rsidRPr="00134CF0" w:rsidRDefault="00CF5681" w:rsidP="00EF4284">
            <w:pPr>
              <w:pStyle w:val="Tabletext"/>
            </w:pPr>
          </w:p>
        </w:tc>
      </w:tr>
      <w:tr w:rsidR="00DF4689" w:rsidRPr="00134CF0" w14:paraId="354DD2FC" w14:textId="77777777" w:rsidTr="0054314D">
        <w:tc>
          <w:tcPr>
            <w:tcW w:w="1196" w:type="pct"/>
            <w:shd w:val="clear" w:color="auto" w:fill="auto"/>
            <w:hideMark/>
          </w:tcPr>
          <w:p w14:paraId="25723169" w14:textId="77777777" w:rsidR="00DF4689" w:rsidRPr="00134CF0" w:rsidRDefault="004464EF" w:rsidP="0022597E">
            <w:pPr>
              <w:pStyle w:val="Tabletext"/>
            </w:pPr>
            <w:r w:rsidRPr="00134CF0">
              <w:t>2</w:t>
            </w:r>
            <w:r w:rsidR="00DF4689" w:rsidRPr="00134CF0">
              <w:t xml:space="preserve">.  </w:t>
            </w:r>
            <w:r w:rsidR="00C96F3A" w:rsidRPr="00134CF0">
              <w:t>Schedule 2</w:t>
            </w:r>
          </w:p>
        </w:tc>
        <w:tc>
          <w:tcPr>
            <w:tcW w:w="2692" w:type="pct"/>
            <w:shd w:val="clear" w:color="auto" w:fill="auto"/>
          </w:tcPr>
          <w:p w14:paraId="28DE4E01" w14:textId="77777777" w:rsidR="0009005A" w:rsidRPr="00134CF0" w:rsidRDefault="0009005A" w:rsidP="0022597E">
            <w:pPr>
              <w:pStyle w:val="Tabletext"/>
            </w:pPr>
            <w:r w:rsidRPr="00134CF0">
              <w:t>The later of:</w:t>
            </w:r>
          </w:p>
          <w:p w14:paraId="7363536D" w14:textId="77777777" w:rsidR="0009005A" w:rsidRPr="00134CF0" w:rsidRDefault="0009005A" w:rsidP="0009005A">
            <w:pPr>
              <w:pStyle w:val="Tablea"/>
            </w:pPr>
            <w:r w:rsidRPr="00134CF0">
              <w:t xml:space="preserve">(a) </w:t>
            </w:r>
            <w:r w:rsidR="00B31AAE" w:rsidRPr="00134CF0">
              <w:t xml:space="preserve">immediately </w:t>
            </w:r>
            <w:r w:rsidR="00C94E18" w:rsidRPr="00134CF0">
              <w:t xml:space="preserve">after </w:t>
            </w:r>
            <w:r w:rsidR="00B31AAE" w:rsidRPr="00134CF0">
              <w:t xml:space="preserve">the </w:t>
            </w:r>
            <w:r w:rsidR="00C94E18" w:rsidRPr="00134CF0">
              <w:t xml:space="preserve">commencement of the provisions covered by table </w:t>
            </w:r>
            <w:r w:rsidR="003766C6" w:rsidRPr="00134CF0">
              <w:t>item 5</w:t>
            </w:r>
            <w:r w:rsidRPr="00134CF0">
              <w:t>; and</w:t>
            </w:r>
          </w:p>
          <w:p w14:paraId="44847F59" w14:textId="77777777" w:rsidR="00DF4689" w:rsidRPr="00134CF0" w:rsidRDefault="0009005A" w:rsidP="0009005A">
            <w:pPr>
              <w:pStyle w:val="Tablea"/>
            </w:pPr>
            <w:r w:rsidRPr="00134CF0">
              <w:t xml:space="preserve">(b) the </w:t>
            </w:r>
            <w:r w:rsidR="00C94E18" w:rsidRPr="00134CF0">
              <w:t>time</w:t>
            </w:r>
            <w:r w:rsidR="007456AE" w:rsidRPr="00134CF0">
              <w:t xml:space="preserve"> </w:t>
            </w:r>
            <w:r w:rsidR="00C96F3A" w:rsidRPr="00134CF0">
              <w:t>Schedule 2</w:t>
            </w:r>
            <w:r w:rsidRPr="00134CF0">
              <w:t xml:space="preserve"> to the </w:t>
            </w:r>
            <w:r w:rsidRPr="00134CF0">
              <w:rPr>
                <w:i/>
              </w:rPr>
              <w:t>Treasury Laws Amendment (Better Targeted Superannuation Concessions and Other Measures) Act 2023</w:t>
            </w:r>
            <w:r w:rsidR="007456AE" w:rsidRPr="00134CF0">
              <w:t xml:space="preserve"> commences</w:t>
            </w:r>
            <w:r w:rsidRPr="00134CF0">
              <w:rPr>
                <w:i/>
              </w:rPr>
              <w:t>.</w:t>
            </w:r>
          </w:p>
        </w:tc>
        <w:tc>
          <w:tcPr>
            <w:tcW w:w="1112" w:type="pct"/>
            <w:shd w:val="clear" w:color="auto" w:fill="auto"/>
          </w:tcPr>
          <w:p w14:paraId="2A1651D3" w14:textId="77777777" w:rsidR="00DF4689" w:rsidRPr="00134CF0" w:rsidRDefault="00DF4689" w:rsidP="0022597E">
            <w:pPr>
              <w:pStyle w:val="Tabletext"/>
            </w:pPr>
          </w:p>
        </w:tc>
      </w:tr>
      <w:tr w:rsidR="0054314D" w:rsidRPr="00134CF0" w14:paraId="55D2907F" w14:textId="77777777" w:rsidTr="0054314D">
        <w:tc>
          <w:tcPr>
            <w:tcW w:w="1196" w:type="pct"/>
            <w:shd w:val="clear" w:color="auto" w:fill="auto"/>
          </w:tcPr>
          <w:p w14:paraId="05A3E465" w14:textId="77777777" w:rsidR="0054314D" w:rsidRPr="00134CF0" w:rsidRDefault="0054314D" w:rsidP="00357AA3">
            <w:pPr>
              <w:pStyle w:val="Tabletext"/>
            </w:pPr>
            <w:r w:rsidRPr="00134CF0">
              <w:t xml:space="preserve">3.  </w:t>
            </w:r>
            <w:r w:rsidR="003766C6" w:rsidRPr="00134CF0">
              <w:t>Schedule 3</w:t>
            </w:r>
            <w:r w:rsidRPr="00134CF0">
              <w:t xml:space="preserve">, </w:t>
            </w:r>
            <w:r w:rsidR="003766C6" w:rsidRPr="00134CF0">
              <w:t>Part 1</w:t>
            </w:r>
          </w:p>
        </w:tc>
        <w:tc>
          <w:tcPr>
            <w:tcW w:w="2692" w:type="pct"/>
            <w:shd w:val="clear" w:color="auto" w:fill="auto"/>
          </w:tcPr>
          <w:p w14:paraId="7B7D97CE" w14:textId="77777777" w:rsidR="0054314D" w:rsidRPr="00134CF0" w:rsidRDefault="0054314D" w:rsidP="00357AA3">
            <w:pPr>
              <w:pStyle w:val="Tabletext"/>
            </w:pPr>
            <w:r w:rsidRPr="00134CF0">
              <w:t xml:space="preserve">Immediately after the commencement of the provisions covered by table </w:t>
            </w:r>
            <w:r w:rsidR="003766C6" w:rsidRPr="00134CF0">
              <w:t>item 1</w:t>
            </w:r>
            <w:r w:rsidRPr="00134CF0">
              <w:t>.</w:t>
            </w:r>
          </w:p>
        </w:tc>
        <w:tc>
          <w:tcPr>
            <w:tcW w:w="1112" w:type="pct"/>
            <w:shd w:val="clear" w:color="auto" w:fill="auto"/>
          </w:tcPr>
          <w:p w14:paraId="1C35C4FB" w14:textId="77777777" w:rsidR="0054314D" w:rsidRPr="00134CF0" w:rsidRDefault="0054314D" w:rsidP="00357AA3">
            <w:pPr>
              <w:pStyle w:val="Tabletext"/>
            </w:pPr>
          </w:p>
        </w:tc>
      </w:tr>
      <w:tr w:rsidR="0054314D" w:rsidRPr="00134CF0" w14:paraId="3D77881F" w14:textId="77777777" w:rsidTr="0054314D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14:paraId="09FE44A3" w14:textId="77777777" w:rsidR="0054314D" w:rsidRPr="00134CF0" w:rsidRDefault="0054314D" w:rsidP="00357AA3">
            <w:pPr>
              <w:pStyle w:val="Tabletext"/>
            </w:pPr>
            <w:r w:rsidRPr="00134CF0">
              <w:t xml:space="preserve">4.  </w:t>
            </w:r>
            <w:r w:rsidR="003766C6" w:rsidRPr="00134CF0">
              <w:t>Schedule 3</w:t>
            </w:r>
            <w:r w:rsidRPr="00134CF0">
              <w:t xml:space="preserve">, </w:t>
            </w:r>
            <w:r w:rsidR="003766C6" w:rsidRPr="00134CF0">
              <w:t>Part 2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7A9BD549" w14:textId="77777777" w:rsidR="0054314D" w:rsidRPr="00134CF0" w:rsidRDefault="0054314D" w:rsidP="00357AA3">
            <w:pPr>
              <w:pStyle w:val="Tabletext"/>
            </w:pPr>
            <w:r w:rsidRPr="00134CF0">
              <w:t xml:space="preserve">Immediately after the commencement of the provisions covered by table </w:t>
            </w:r>
            <w:r w:rsidR="003766C6" w:rsidRPr="00134CF0">
              <w:t>item 2</w:t>
            </w:r>
            <w:r w:rsidRPr="00134CF0">
              <w:t>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47525AF0" w14:textId="77777777" w:rsidR="0054314D" w:rsidRPr="00134CF0" w:rsidRDefault="0054314D" w:rsidP="00357AA3">
            <w:pPr>
              <w:pStyle w:val="Tabletext"/>
            </w:pPr>
          </w:p>
        </w:tc>
      </w:tr>
      <w:tr w:rsidR="00DF4689" w:rsidRPr="00134CF0" w14:paraId="33B74D81" w14:textId="77777777" w:rsidTr="0054314D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DADEC6C" w14:textId="77777777" w:rsidR="00DF4689" w:rsidRPr="00134CF0" w:rsidRDefault="007E63C6" w:rsidP="009C4ABE">
            <w:pPr>
              <w:pStyle w:val="Tabletext"/>
            </w:pPr>
            <w:r w:rsidRPr="00134CF0">
              <w:t>5</w:t>
            </w:r>
            <w:r w:rsidR="00DF4689" w:rsidRPr="00134CF0">
              <w:t xml:space="preserve">.  </w:t>
            </w:r>
            <w:r w:rsidR="003766C6" w:rsidRPr="00134CF0">
              <w:t>Schedule 4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53B8F0" w14:textId="77777777" w:rsidR="00DF4689" w:rsidRPr="00134CF0" w:rsidRDefault="00B06819" w:rsidP="0022597E">
            <w:pPr>
              <w:pStyle w:val="Tabletext"/>
            </w:pPr>
            <w:r w:rsidRPr="00134CF0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EA9087" w14:textId="77777777" w:rsidR="00DF4689" w:rsidRPr="00134CF0" w:rsidRDefault="00DF4689" w:rsidP="0022597E">
            <w:pPr>
              <w:pStyle w:val="Tabletext"/>
            </w:pPr>
          </w:p>
        </w:tc>
      </w:tr>
    </w:tbl>
    <w:p w14:paraId="1A252C20" w14:textId="77777777" w:rsidR="00DF4689" w:rsidRPr="00134CF0" w:rsidRDefault="00C96F3A" w:rsidP="00387248">
      <w:pPr>
        <w:pStyle w:val="ActHead6"/>
        <w:pageBreakBefore/>
      </w:pPr>
      <w:r w:rsidRPr="0021546F">
        <w:rPr>
          <w:rStyle w:val="CharAmSchNo"/>
        </w:rPr>
        <w:lastRenderedPageBreak/>
        <w:t>Schedule 1</w:t>
      </w:r>
      <w:r w:rsidR="00387248" w:rsidRPr="00134CF0">
        <w:t>—</w:t>
      </w:r>
      <w:r w:rsidR="00387248" w:rsidRPr="0021546F">
        <w:rPr>
          <w:rStyle w:val="CharAmSchText"/>
        </w:rPr>
        <w:t>Better targeted superannuation concessions</w:t>
      </w:r>
    </w:p>
    <w:p w14:paraId="1F1A8E6F" w14:textId="77777777" w:rsidR="00816D82" w:rsidRPr="0021546F" w:rsidRDefault="00816D82" w:rsidP="00816D82">
      <w:pPr>
        <w:pStyle w:val="Header"/>
      </w:pPr>
      <w:r w:rsidRPr="0021546F">
        <w:rPr>
          <w:rStyle w:val="CharAmPartNo"/>
        </w:rPr>
        <w:t xml:space="preserve"> </w:t>
      </w:r>
      <w:r w:rsidRPr="0021546F">
        <w:rPr>
          <w:rStyle w:val="CharAmPartText"/>
        </w:rPr>
        <w:t xml:space="preserve"> </w:t>
      </w:r>
    </w:p>
    <w:p w14:paraId="58D704C0" w14:textId="77777777" w:rsidR="009C4ABE" w:rsidRPr="00134CF0" w:rsidRDefault="009C4ABE" w:rsidP="009C4ABE">
      <w:pPr>
        <w:pStyle w:val="ActHead9"/>
      </w:pPr>
      <w:r w:rsidRPr="00134CF0">
        <w:t xml:space="preserve">Income Tax Assessment (1997 Act) </w:t>
      </w:r>
      <w:r w:rsidR="00C96F3A" w:rsidRPr="00134CF0">
        <w:t>Regulations 2</w:t>
      </w:r>
      <w:r w:rsidRPr="00134CF0">
        <w:t>021</w:t>
      </w:r>
    </w:p>
    <w:p w14:paraId="4BDE1E14" w14:textId="77777777" w:rsidR="009C4ABE" w:rsidRPr="00134CF0" w:rsidRDefault="009C4ABE" w:rsidP="009C4ABE">
      <w:pPr>
        <w:pStyle w:val="ItemHead"/>
      </w:pPr>
      <w:r w:rsidRPr="00134CF0">
        <w:t xml:space="preserve">1  </w:t>
      </w:r>
      <w:r w:rsidR="00272AE1" w:rsidRPr="00134CF0">
        <w:t xml:space="preserve">After </w:t>
      </w:r>
      <w:r w:rsidR="003766C6" w:rsidRPr="00134CF0">
        <w:t>Division 2</w:t>
      </w:r>
      <w:r w:rsidR="00272AE1" w:rsidRPr="00134CF0">
        <w:t>9</w:t>
      </w:r>
      <w:r w:rsidR="004F09C2" w:rsidRPr="00134CF0">
        <w:t>5</w:t>
      </w:r>
    </w:p>
    <w:p w14:paraId="2334C76C" w14:textId="77777777" w:rsidR="00272AE1" w:rsidRPr="00134CF0" w:rsidRDefault="00272AE1" w:rsidP="00272AE1">
      <w:pPr>
        <w:pStyle w:val="Item"/>
      </w:pPr>
      <w:r w:rsidRPr="00134CF0">
        <w:t>Insert:</w:t>
      </w:r>
    </w:p>
    <w:p w14:paraId="3AD35220" w14:textId="77777777" w:rsidR="00272AE1" w:rsidRPr="00134CF0" w:rsidRDefault="003766C6" w:rsidP="00272AE1">
      <w:pPr>
        <w:pStyle w:val="ActHead3"/>
      </w:pPr>
      <w:r w:rsidRPr="0021546F">
        <w:rPr>
          <w:rStyle w:val="CharDivNo"/>
        </w:rPr>
        <w:t>Division 2</w:t>
      </w:r>
      <w:r w:rsidR="00272AE1" w:rsidRPr="0021546F">
        <w:rPr>
          <w:rStyle w:val="CharDivNo"/>
        </w:rPr>
        <w:t>96</w:t>
      </w:r>
      <w:r w:rsidR="00272AE1" w:rsidRPr="00134CF0">
        <w:t>—</w:t>
      </w:r>
      <w:r w:rsidR="00272AE1" w:rsidRPr="0021546F">
        <w:rPr>
          <w:rStyle w:val="CharDivText"/>
        </w:rPr>
        <w:t>Better targeted superannuation concessions</w:t>
      </w:r>
    </w:p>
    <w:p w14:paraId="580271EF" w14:textId="77777777" w:rsidR="00272AE1" w:rsidRPr="00134CF0" w:rsidRDefault="003766C6" w:rsidP="00272AE1">
      <w:pPr>
        <w:pStyle w:val="ActHead4"/>
      </w:pPr>
      <w:r w:rsidRPr="0021546F">
        <w:rPr>
          <w:rStyle w:val="CharSubdNo"/>
        </w:rPr>
        <w:t>Subdivision 2</w:t>
      </w:r>
      <w:r w:rsidR="00272AE1" w:rsidRPr="0021546F">
        <w:rPr>
          <w:rStyle w:val="CharSubdNo"/>
        </w:rPr>
        <w:t>96</w:t>
      </w:r>
      <w:r w:rsidR="006D7098" w:rsidRPr="0021546F">
        <w:rPr>
          <w:rStyle w:val="CharSubdNo"/>
        </w:rPr>
        <w:noBreakHyphen/>
      </w:r>
      <w:r w:rsidR="00272AE1" w:rsidRPr="0021546F">
        <w:rPr>
          <w:rStyle w:val="CharSubdNo"/>
        </w:rPr>
        <w:t>B</w:t>
      </w:r>
      <w:r w:rsidR="00272AE1" w:rsidRPr="00134CF0">
        <w:t>—</w:t>
      </w:r>
      <w:r w:rsidR="00272AE1" w:rsidRPr="0021546F">
        <w:rPr>
          <w:rStyle w:val="CharSubdText"/>
        </w:rPr>
        <w:t>Better targeted superannuation concessions</w:t>
      </w:r>
    </w:p>
    <w:p w14:paraId="70D9D5A2" w14:textId="77777777" w:rsidR="00272AE1" w:rsidRPr="00134CF0" w:rsidRDefault="00272AE1" w:rsidP="00272AE1">
      <w:pPr>
        <w:pStyle w:val="ActHead5"/>
      </w:pPr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55.01</w:t>
      </w:r>
      <w:r w:rsidRPr="00134CF0">
        <w:t xml:space="preserve">  </w:t>
      </w:r>
      <w:r w:rsidR="006C6703" w:rsidRPr="00134CF0">
        <w:t>Your adjusted total superannuation balance—y</w:t>
      </w:r>
      <w:r w:rsidRPr="00134CF0">
        <w:t>our contributions total</w:t>
      </w:r>
      <w:r w:rsidR="00FD3041" w:rsidRPr="00134CF0">
        <w:t xml:space="preserve"> includes </w:t>
      </w:r>
      <w:r w:rsidR="001E1CAF" w:rsidRPr="00134CF0">
        <w:t>defined benefit contributions</w:t>
      </w:r>
    </w:p>
    <w:p w14:paraId="6FE592B2" w14:textId="77777777" w:rsidR="004461F0" w:rsidRPr="00134CF0" w:rsidRDefault="00AD6A33" w:rsidP="007E19EC">
      <w:pPr>
        <w:pStyle w:val="subsection"/>
      </w:pPr>
      <w:r w:rsidRPr="00134CF0">
        <w:tab/>
      </w:r>
      <w:r w:rsidR="000E64CD" w:rsidRPr="00134CF0">
        <w:t>(1)</w:t>
      </w:r>
      <w:r w:rsidRPr="00134CF0">
        <w:tab/>
      </w:r>
      <w:r w:rsidR="007E19EC" w:rsidRPr="00134CF0">
        <w:t xml:space="preserve">For the purposes of </w:t>
      </w:r>
      <w:r w:rsidR="0060057B" w:rsidRPr="00134CF0">
        <w:t>paragraph 2</w:t>
      </w:r>
      <w:r w:rsidR="004461F0" w:rsidRPr="00134CF0">
        <w:t>9</w:t>
      </w:r>
      <w:r w:rsidR="007E19EC" w:rsidRPr="00134CF0">
        <w:t>6</w:t>
      </w:r>
      <w:r w:rsidR="006D7098">
        <w:noBreakHyphen/>
      </w:r>
      <w:r w:rsidR="007E19EC" w:rsidRPr="00134CF0">
        <w:t>55(1)(j)</w:t>
      </w:r>
      <w:r w:rsidR="00D944A5" w:rsidRPr="00134CF0">
        <w:t xml:space="preserve"> of the Act</w:t>
      </w:r>
      <w:r w:rsidR="007E19EC" w:rsidRPr="00134CF0">
        <w:t>, the sum of the amounts of your defined benefit contributions</w:t>
      </w:r>
      <w:r w:rsidR="004461F0" w:rsidRPr="00134CF0">
        <w:t>:</w:t>
      </w:r>
    </w:p>
    <w:p w14:paraId="5539B7C4" w14:textId="77777777" w:rsidR="004461F0" w:rsidRPr="00134CF0" w:rsidRDefault="004461F0" w:rsidP="004461F0">
      <w:pPr>
        <w:pStyle w:val="paragraph"/>
      </w:pPr>
      <w:r w:rsidRPr="00134CF0">
        <w:tab/>
        <w:t>(a)</w:t>
      </w:r>
      <w:r w:rsidRPr="00134CF0">
        <w:tab/>
      </w:r>
      <w:r w:rsidR="007E19EC" w:rsidRPr="00134CF0">
        <w:t>for a</w:t>
      </w:r>
      <w:r w:rsidR="007634D9" w:rsidRPr="00134CF0">
        <w:t xml:space="preserve"> financial year</w:t>
      </w:r>
      <w:r w:rsidR="00943E18" w:rsidRPr="00134CF0">
        <w:t xml:space="preserve"> that corresponds to an income year of yours</w:t>
      </w:r>
      <w:r w:rsidRPr="00134CF0">
        <w:t>; and</w:t>
      </w:r>
    </w:p>
    <w:p w14:paraId="224BB2D8" w14:textId="77777777" w:rsidR="004461F0" w:rsidRPr="00134CF0" w:rsidRDefault="004461F0" w:rsidP="004461F0">
      <w:pPr>
        <w:pStyle w:val="paragraph"/>
      </w:pPr>
      <w:r w:rsidRPr="00134CF0">
        <w:tab/>
        <w:t>(b)</w:t>
      </w:r>
      <w:r w:rsidRPr="00134CF0">
        <w:tab/>
      </w:r>
      <w:r w:rsidR="007E19EC" w:rsidRPr="00134CF0">
        <w:t>in respect of each defined benefit interest</w:t>
      </w:r>
      <w:r w:rsidR="002913CA" w:rsidRPr="00134CF0">
        <w:t xml:space="preserve"> (if any)</w:t>
      </w:r>
      <w:r w:rsidR="00EA55E6" w:rsidRPr="00134CF0">
        <w:t xml:space="preserve"> </w:t>
      </w:r>
      <w:r w:rsidR="007E19EC" w:rsidRPr="00134CF0">
        <w:t xml:space="preserve">you have in a superannuation </w:t>
      </w:r>
      <w:r w:rsidR="001933E1" w:rsidRPr="00134CF0">
        <w:t xml:space="preserve">fund </w:t>
      </w:r>
      <w:r w:rsidR="007E19EC" w:rsidRPr="00134CF0">
        <w:t xml:space="preserve">during the </w:t>
      </w:r>
      <w:r w:rsidR="00943E18" w:rsidRPr="00134CF0">
        <w:t xml:space="preserve">income </w:t>
      </w:r>
      <w:r w:rsidR="007E19EC" w:rsidRPr="00134CF0">
        <w:t>year</w:t>
      </w:r>
      <w:r w:rsidRPr="00134CF0">
        <w:t>;</w:t>
      </w:r>
    </w:p>
    <w:p w14:paraId="4D18DDBD" w14:textId="77777777" w:rsidR="007E19EC" w:rsidRPr="00134CF0" w:rsidRDefault="007E19EC" w:rsidP="004461F0">
      <w:pPr>
        <w:pStyle w:val="subsection2"/>
      </w:pPr>
      <w:r w:rsidRPr="00134CF0">
        <w:t xml:space="preserve">is prescribed in relation to the </w:t>
      </w:r>
      <w:r w:rsidR="00943E18" w:rsidRPr="00134CF0">
        <w:t xml:space="preserve">income </w:t>
      </w:r>
      <w:r w:rsidRPr="00134CF0">
        <w:t>year.</w:t>
      </w:r>
    </w:p>
    <w:p w14:paraId="4DFF6A42" w14:textId="77777777" w:rsidR="007E19EC" w:rsidRPr="00134CF0" w:rsidRDefault="007E19EC" w:rsidP="007E19EC">
      <w:pPr>
        <w:pStyle w:val="notetext"/>
      </w:pPr>
      <w:r w:rsidRPr="00134CF0">
        <w:t>Note:</w:t>
      </w:r>
      <w:r w:rsidRPr="00134CF0">
        <w:tab/>
        <w:t xml:space="preserve">This section does not apply in relation to a defined benefit interest in a foreign superannuation fund: see </w:t>
      </w:r>
      <w:r w:rsidR="00EF0325" w:rsidRPr="00134CF0">
        <w:t>sub</w:t>
      </w:r>
      <w:r w:rsidR="003766C6" w:rsidRPr="00134CF0">
        <w:t>section 2</w:t>
      </w:r>
      <w:r w:rsidRPr="00134CF0">
        <w:t>96</w:t>
      </w:r>
      <w:r w:rsidR="006D7098">
        <w:noBreakHyphen/>
      </w:r>
      <w:r w:rsidRPr="00134CF0">
        <w:t>55(9) of the Act.</w:t>
      </w:r>
    </w:p>
    <w:p w14:paraId="5A9C5492" w14:textId="77777777" w:rsidR="000E64CD" w:rsidRPr="00134CF0" w:rsidRDefault="000E64CD" w:rsidP="000E64CD">
      <w:pPr>
        <w:pStyle w:val="subsection"/>
      </w:pPr>
      <w:r w:rsidRPr="00134CF0">
        <w:tab/>
        <w:t>(2)</w:t>
      </w:r>
      <w:r w:rsidRPr="00134CF0">
        <w:tab/>
        <w:t xml:space="preserve">In working out </w:t>
      </w:r>
      <w:r w:rsidR="00042724" w:rsidRPr="00134CF0">
        <w:t xml:space="preserve">the amount of </w:t>
      </w:r>
      <w:r w:rsidRPr="00134CF0">
        <w:t xml:space="preserve">your defined benefit contributions for </w:t>
      </w:r>
      <w:r w:rsidR="00042724" w:rsidRPr="00134CF0">
        <w:t xml:space="preserve">a </w:t>
      </w:r>
      <w:r w:rsidRPr="00134CF0">
        <w:t xml:space="preserve">financial year for the purposes of </w:t>
      </w:r>
      <w:r w:rsidR="00C96F3A" w:rsidRPr="00134CF0">
        <w:t>subsection (</w:t>
      </w:r>
      <w:r w:rsidR="00BF5A95" w:rsidRPr="00134CF0">
        <w:t>1) of this section</w:t>
      </w:r>
      <w:r w:rsidRPr="00134CF0">
        <w:t>:</w:t>
      </w:r>
    </w:p>
    <w:p w14:paraId="3A6542C6" w14:textId="77777777" w:rsidR="000E64CD" w:rsidRPr="00134CF0" w:rsidRDefault="000E64CD" w:rsidP="000E64CD">
      <w:pPr>
        <w:pStyle w:val="paragraph"/>
      </w:pPr>
      <w:r w:rsidRPr="00134CF0">
        <w:tab/>
        <w:t>(a)</w:t>
      </w:r>
      <w:r w:rsidRPr="00134CF0">
        <w:tab/>
        <w:t xml:space="preserve">if </w:t>
      </w:r>
      <w:r w:rsidR="003766C6" w:rsidRPr="00134CF0">
        <w:t>Subdivision 2</w:t>
      </w:r>
      <w:r w:rsidRPr="00134CF0">
        <w:t>93</w:t>
      </w:r>
      <w:r w:rsidR="006D7098">
        <w:noBreakHyphen/>
      </w:r>
      <w:r w:rsidRPr="00134CF0">
        <w:t>E</w:t>
      </w:r>
      <w:r w:rsidR="00042724" w:rsidRPr="00134CF0">
        <w:t xml:space="preserve"> of the Act</w:t>
      </w:r>
      <w:r w:rsidRPr="00134CF0">
        <w:t xml:space="preserve"> applies to you for the income year corresponding to the financial year—disregard sub</w:t>
      </w:r>
      <w:r w:rsidR="003766C6" w:rsidRPr="00134CF0">
        <w:t>section 2</w:t>
      </w:r>
      <w:r w:rsidRPr="00134CF0">
        <w:t>93</w:t>
      </w:r>
      <w:r w:rsidR="006D7098">
        <w:noBreakHyphen/>
      </w:r>
      <w:r w:rsidRPr="00134CF0">
        <w:t>150(3)</w:t>
      </w:r>
      <w:r w:rsidR="00042724" w:rsidRPr="00134CF0">
        <w:t xml:space="preserve"> of the Act</w:t>
      </w:r>
      <w:r w:rsidRPr="00134CF0">
        <w:t>; and</w:t>
      </w:r>
    </w:p>
    <w:p w14:paraId="59BF88AF" w14:textId="77777777" w:rsidR="000E64CD" w:rsidRPr="00134CF0" w:rsidRDefault="000E64CD" w:rsidP="000E64CD">
      <w:pPr>
        <w:pStyle w:val="paragraph"/>
      </w:pPr>
      <w:r w:rsidRPr="00134CF0">
        <w:tab/>
        <w:t>(b)</w:t>
      </w:r>
      <w:r w:rsidRPr="00134CF0">
        <w:tab/>
        <w:t xml:space="preserve">if </w:t>
      </w:r>
      <w:r w:rsidR="003766C6" w:rsidRPr="00134CF0">
        <w:t>Subdivision 2</w:t>
      </w:r>
      <w:r w:rsidRPr="00134CF0">
        <w:t>93</w:t>
      </w:r>
      <w:r w:rsidR="006D7098">
        <w:noBreakHyphen/>
      </w:r>
      <w:r w:rsidRPr="00134CF0">
        <w:t xml:space="preserve">F </w:t>
      </w:r>
      <w:r w:rsidR="00042724" w:rsidRPr="00134CF0">
        <w:t xml:space="preserve">of the Act </w:t>
      </w:r>
      <w:r w:rsidRPr="00134CF0">
        <w:t>applies to you—disregard sub</w:t>
      </w:r>
      <w:r w:rsidR="003766C6" w:rsidRPr="00134CF0">
        <w:t>section 2</w:t>
      </w:r>
      <w:r w:rsidRPr="00134CF0">
        <w:t>93</w:t>
      </w:r>
      <w:r w:rsidR="006D7098">
        <w:noBreakHyphen/>
      </w:r>
      <w:r w:rsidRPr="00134CF0">
        <w:t>195(2)</w:t>
      </w:r>
      <w:r w:rsidR="00042724" w:rsidRPr="00134CF0">
        <w:t xml:space="preserve"> of the Act</w:t>
      </w:r>
      <w:r w:rsidRPr="00134CF0">
        <w:t>.</w:t>
      </w:r>
    </w:p>
    <w:p w14:paraId="23EB8ADA" w14:textId="77777777" w:rsidR="00B52EB1" w:rsidRPr="00134CF0" w:rsidRDefault="00B52EB1" w:rsidP="00B52EB1">
      <w:pPr>
        <w:pStyle w:val="ActHead5"/>
      </w:pPr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60.01</w:t>
      </w:r>
      <w:r w:rsidRPr="00134CF0">
        <w:t xml:space="preserve">  </w:t>
      </w:r>
      <w:r w:rsidR="00E5494B" w:rsidRPr="00134CF0">
        <w:t xml:space="preserve">Your adjusted total superannuation balance—modifications: </w:t>
      </w:r>
      <w:r w:rsidR="00684B3F" w:rsidRPr="00134CF0">
        <w:t xml:space="preserve">contributions in respect of </w:t>
      </w:r>
      <w:r w:rsidRPr="00134CF0">
        <w:t xml:space="preserve">defined benefit </w:t>
      </w:r>
      <w:r w:rsidR="00684B3F" w:rsidRPr="00134CF0">
        <w:t>interests</w:t>
      </w:r>
    </w:p>
    <w:p w14:paraId="1E3A888A" w14:textId="77777777" w:rsidR="00425378" w:rsidRPr="00134CF0" w:rsidRDefault="00B52EB1" w:rsidP="00B52EB1">
      <w:pPr>
        <w:pStyle w:val="subsection"/>
      </w:pPr>
      <w:r w:rsidRPr="00134CF0">
        <w:tab/>
        <w:t>(1)</w:t>
      </w:r>
      <w:r w:rsidRPr="00134CF0">
        <w:tab/>
      </w:r>
      <w:r w:rsidR="00391627" w:rsidRPr="00134CF0">
        <w:t>F</w:t>
      </w:r>
      <w:r w:rsidR="00425378" w:rsidRPr="00134CF0">
        <w:t>or the p</w:t>
      </w:r>
      <w:r w:rsidRPr="00134CF0">
        <w:t xml:space="preserve">urposes of </w:t>
      </w:r>
      <w:r w:rsidR="00EF0325" w:rsidRPr="00134CF0">
        <w:t>sub</w:t>
      </w:r>
      <w:r w:rsidR="003766C6" w:rsidRPr="00134CF0">
        <w:t>section 2</w:t>
      </w:r>
      <w:r w:rsidRPr="00134CF0">
        <w:t>96</w:t>
      </w:r>
      <w:r w:rsidR="006D7098">
        <w:noBreakHyphen/>
      </w:r>
      <w:r w:rsidR="00425378" w:rsidRPr="00134CF0">
        <w:t>60</w:t>
      </w:r>
      <w:r w:rsidRPr="00134CF0">
        <w:t>(1) of the Act</w:t>
      </w:r>
      <w:r w:rsidR="00391627" w:rsidRPr="00134CF0">
        <w:t xml:space="preserve">, the modification set out in </w:t>
      </w:r>
      <w:r w:rsidR="00C96F3A" w:rsidRPr="00134CF0">
        <w:t>subsection (</w:t>
      </w:r>
      <w:r w:rsidR="00391627" w:rsidRPr="00134CF0">
        <w:t>2) of this section is prescribed</w:t>
      </w:r>
      <w:r w:rsidR="00425378" w:rsidRPr="00134CF0">
        <w:t>.</w:t>
      </w:r>
    </w:p>
    <w:p w14:paraId="4694EA94" w14:textId="77777777" w:rsidR="00CE7423" w:rsidRPr="00134CF0" w:rsidRDefault="00425378" w:rsidP="00CE7423">
      <w:pPr>
        <w:pStyle w:val="subsection"/>
      </w:pPr>
      <w:r w:rsidRPr="00134CF0">
        <w:tab/>
        <w:t>(2)</w:t>
      </w:r>
      <w:r w:rsidRPr="00134CF0">
        <w:tab/>
      </w:r>
      <w:r w:rsidR="007E19EC" w:rsidRPr="00134CF0">
        <w:t xml:space="preserve">For the purposes of </w:t>
      </w:r>
      <w:r w:rsidR="0060057B" w:rsidRPr="00134CF0">
        <w:t>paragraph 2</w:t>
      </w:r>
      <w:r w:rsidR="001E1CAF" w:rsidRPr="00134CF0">
        <w:t>96</w:t>
      </w:r>
      <w:r w:rsidR="006D7098">
        <w:noBreakHyphen/>
      </w:r>
      <w:r w:rsidR="001E1CAF" w:rsidRPr="00134CF0">
        <w:t xml:space="preserve">55(1)(a) of the Act, disregard the amount of a contribution made to a superannuation </w:t>
      </w:r>
      <w:r w:rsidR="00CF2903" w:rsidRPr="00134CF0">
        <w:t>fund</w:t>
      </w:r>
      <w:r w:rsidR="001E1CAF" w:rsidRPr="00134CF0">
        <w:t xml:space="preserve"> for you during </w:t>
      </w:r>
      <w:r w:rsidR="00FC399B" w:rsidRPr="00134CF0">
        <w:t>an</w:t>
      </w:r>
      <w:r w:rsidR="001E1CAF" w:rsidRPr="00134CF0">
        <w:t xml:space="preserve"> </w:t>
      </w:r>
      <w:r w:rsidR="00447404" w:rsidRPr="00134CF0">
        <w:t xml:space="preserve">income </w:t>
      </w:r>
      <w:r w:rsidR="001E1CAF" w:rsidRPr="00134CF0">
        <w:t>year in respect of a defined benefit interest</w:t>
      </w:r>
      <w:r w:rsidR="00244DD7" w:rsidRPr="00134CF0">
        <w:t xml:space="preserve"> </w:t>
      </w:r>
      <w:r w:rsidR="006626A1" w:rsidRPr="00134CF0">
        <w:t xml:space="preserve">you have in </w:t>
      </w:r>
      <w:r w:rsidR="00CF2903" w:rsidRPr="00134CF0">
        <w:t>the</w:t>
      </w:r>
      <w:r w:rsidR="006626A1" w:rsidRPr="00134CF0">
        <w:t xml:space="preserve"> fund</w:t>
      </w:r>
      <w:r w:rsidR="0035628E" w:rsidRPr="00134CF0">
        <w:t>,</w:t>
      </w:r>
      <w:r w:rsidR="00FC399B" w:rsidRPr="00134CF0">
        <w:t xml:space="preserve"> if</w:t>
      </w:r>
      <w:r w:rsidR="00CE7423" w:rsidRPr="00134CF0">
        <w:t xml:space="preserve"> you are an accruing member of the fund for the financial year corresponding to the income year.</w:t>
      </w:r>
    </w:p>
    <w:p w14:paraId="59F7FE70" w14:textId="77777777" w:rsidR="00241280" w:rsidRPr="00134CF0" w:rsidRDefault="006A4086" w:rsidP="001E1CAF">
      <w:pPr>
        <w:pStyle w:val="subsection"/>
      </w:pPr>
      <w:r w:rsidRPr="00134CF0">
        <w:tab/>
        <w:t>(3)</w:t>
      </w:r>
      <w:r w:rsidRPr="00134CF0">
        <w:tab/>
      </w:r>
      <w:r w:rsidR="00EF0325" w:rsidRPr="00134CF0">
        <w:t>Subsection (</w:t>
      </w:r>
      <w:r w:rsidRPr="00134CF0">
        <w:t>2)</w:t>
      </w:r>
      <w:r w:rsidR="005B4FFC" w:rsidRPr="00134CF0">
        <w:t xml:space="preserve"> of this section</w:t>
      </w:r>
      <w:r w:rsidRPr="00134CF0">
        <w:t xml:space="preserve"> does not apply to the extent that the amount </w:t>
      </w:r>
      <w:r w:rsidR="00C05002" w:rsidRPr="00134CF0">
        <w:t xml:space="preserve">of the contribution </w:t>
      </w:r>
      <w:r w:rsidRPr="00134CF0">
        <w:t>is included in</w:t>
      </w:r>
      <w:r w:rsidR="00241280" w:rsidRPr="00134CF0">
        <w:t>:</w:t>
      </w:r>
    </w:p>
    <w:p w14:paraId="19E90441" w14:textId="77777777" w:rsidR="006D1CF6" w:rsidRPr="00134CF0" w:rsidRDefault="006D1CF6" w:rsidP="00241280">
      <w:pPr>
        <w:pStyle w:val="paragraph"/>
      </w:pPr>
      <w:r w:rsidRPr="00134CF0">
        <w:tab/>
        <w:t>(a)</w:t>
      </w:r>
      <w:r w:rsidRPr="00134CF0">
        <w:tab/>
        <w:t xml:space="preserve">if </w:t>
      </w:r>
      <w:r w:rsidR="00EF0325" w:rsidRPr="00134CF0">
        <w:t>paragraph (</w:t>
      </w:r>
      <w:r w:rsidRPr="00134CF0">
        <w:t xml:space="preserve">b) </w:t>
      </w:r>
      <w:r w:rsidR="00A23765" w:rsidRPr="00134CF0">
        <w:t xml:space="preserve">of this subsection </w:t>
      </w:r>
      <w:r w:rsidRPr="00134CF0">
        <w:t xml:space="preserve">does not apply—the member contributions amount (within the meaning of </w:t>
      </w:r>
      <w:r w:rsidR="00EF0325" w:rsidRPr="00134CF0">
        <w:t>clause 1</w:t>
      </w:r>
      <w:r w:rsidRPr="00134CF0">
        <w:t xml:space="preserve">.7 of </w:t>
      </w:r>
      <w:r w:rsidR="00C96F3A" w:rsidRPr="00134CF0">
        <w:t>Schedule 1</w:t>
      </w:r>
      <w:r w:rsidRPr="00134CF0">
        <w:t>A) for the financial year</w:t>
      </w:r>
      <w:r w:rsidR="00983A3C" w:rsidRPr="00134CF0">
        <w:t>; or</w:t>
      </w:r>
    </w:p>
    <w:p w14:paraId="1B54E4DE" w14:textId="77777777" w:rsidR="001E1CAF" w:rsidRPr="00134CF0" w:rsidRDefault="00241280" w:rsidP="00241280">
      <w:pPr>
        <w:pStyle w:val="paragraph"/>
      </w:pPr>
      <w:r w:rsidRPr="00134CF0">
        <w:lastRenderedPageBreak/>
        <w:tab/>
        <w:t>(</w:t>
      </w:r>
      <w:r w:rsidR="006E6D6F" w:rsidRPr="00134CF0">
        <w:t>b</w:t>
      </w:r>
      <w:r w:rsidRPr="00134CF0">
        <w:t>)</w:t>
      </w:r>
      <w:r w:rsidRPr="00134CF0">
        <w:tab/>
        <w:t xml:space="preserve">if </w:t>
      </w:r>
      <w:r w:rsidR="003766C6" w:rsidRPr="00134CF0">
        <w:t>section 2</w:t>
      </w:r>
      <w:r w:rsidRPr="00134CF0">
        <w:t>93</w:t>
      </w:r>
      <w:r w:rsidR="006D7098">
        <w:noBreakHyphen/>
      </w:r>
      <w:r w:rsidRPr="00134CF0">
        <w:t xml:space="preserve">115.20 applies in relation to the </w:t>
      </w:r>
      <w:r w:rsidR="00983A3C" w:rsidRPr="00134CF0">
        <w:t xml:space="preserve">defined benefit </w:t>
      </w:r>
      <w:r w:rsidR="0079346C" w:rsidRPr="00134CF0">
        <w:t>interest for the financial year</w:t>
      </w:r>
      <w:r w:rsidR="006D1CF6" w:rsidRPr="00134CF0">
        <w:t>—</w:t>
      </w:r>
      <w:r w:rsidR="00656CFF" w:rsidRPr="00134CF0">
        <w:t xml:space="preserve">the member contributions amount </w:t>
      </w:r>
      <w:r w:rsidR="001E1CAF" w:rsidRPr="00134CF0">
        <w:t xml:space="preserve">(within the meaning of </w:t>
      </w:r>
      <w:r w:rsidR="0060057B" w:rsidRPr="00134CF0">
        <w:t>subclause 4</w:t>
      </w:r>
      <w:r w:rsidR="001E1CAF" w:rsidRPr="00134CF0">
        <w:t xml:space="preserve">(3) of </w:t>
      </w:r>
      <w:r w:rsidR="00C96F3A" w:rsidRPr="00134CF0">
        <w:t>Schedule 1</w:t>
      </w:r>
      <w:r w:rsidR="00AA4D3B" w:rsidRPr="00134CF0">
        <w:t>A</w:t>
      </w:r>
      <w:r w:rsidR="001E1CAF" w:rsidRPr="00134CF0">
        <w:t>A)</w:t>
      </w:r>
      <w:r w:rsidR="00656CFF" w:rsidRPr="00134CF0">
        <w:t xml:space="preserve"> for the financial year</w:t>
      </w:r>
      <w:r w:rsidR="001E1CAF" w:rsidRPr="00134CF0">
        <w:t>.</w:t>
      </w:r>
    </w:p>
    <w:p w14:paraId="22DCD56B" w14:textId="77777777" w:rsidR="00B53A98" w:rsidRPr="00134CF0" w:rsidRDefault="003766C6" w:rsidP="00B53A98">
      <w:pPr>
        <w:pStyle w:val="ActHead4"/>
      </w:pPr>
      <w:r w:rsidRPr="0021546F">
        <w:rPr>
          <w:rStyle w:val="CharSubdNo"/>
        </w:rPr>
        <w:t>Subdivision 2</w:t>
      </w:r>
      <w:r w:rsidR="00B53A98" w:rsidRPr="0021546F">
        <w:rPr>
          <w:rStyle w:val="CharSubdNo"/>
        </w:rPr>
        <w:t>96</w:t>
      </w:r>
      <w:r w:rsidR="006D7098" w:rsidRPr="0021546F">
        <w:rPr>
          <w:rStyle w:val="CharSubdNo"/>
        </w:rPr>
        <w:noBreakHyphen/>
      </w:r>
      <w:r w:rsidR="00B53A98" w:rsidRPr="0021546F">
        <w:rPr>
          <w:rStyle w:val="CharSubdNo"/>
        </w:rPr>
        <w:t>E</w:t>
      </w:r>
      <w:r w:rsidR="00B53A98" w:rsidRPr="00134CF0">
        <w:t>—</w:t>
      </w:r>
      <w:r w:rsidR="00B53A98" w:rsidRPr="0021546F">
        <w:rPr>
          <w:rStyle w:val="CharSubdText"/>
        </w:rPr>
        <w:t>Exclusion of certain earnings</w:t>
      </w:r>
    </w:p>
    <w:p w14:paraId="0CF42944" w14:textId="77777777" w:rsidR="00B53A98" w:rsidRPr="00134CF0" w:rsidRDefault="00B53A98" w:rsidP="00B53A98">
      <w:pPr>
        <w:pStyle w:val="ActHead5"/>
      </w:pPr>
      <w:bookmarkStart w:id="0" w:name="_Toc138947877"/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310.01</w:t>
      </w:r>
      <w:r w:rsidRPr="00134CF0">
        <w:t xml:space="preserve">  </w:t>
      </w:r>
      <w:r w:rsidR="00730AAE" w:rsidRPr="00134CF0">
        <w:t xml:space="preserve">Meaning of </w:t>
      </w:r>
      <w:r w:rsidR="003766C6" w:rsidRPr="00134CF0">
        <w:rPr>
          <w:i/>
        </w:rPr>
        <w:t>Division 2</w:t>
      </w:r>
      <w:r w:rsidR="00730AAE" w:rsidRPr="00134CF0">
        <w:rPr>
          <w:i/>
        </w:rPr>
        <w:t>96 excluded interest</w:t>
      </w:r>
      <w:r w:rsidRPr="00134CF0">
        <w:t>—current and former constitutionally protected State higher level office holders</w:t>
      </w:r>
      <w:bookmarkEnd w:id="0"/>
    </w:p>
    <w:p w14:paraId="0DDFBC72" w14:textId="77777777" w:rsidR="00B53A98" w:rsidRPr="00134CF0" w:rsidRDefault="00B53A98" w:rsidP="00B53A98">
      <w:pPr>
        <w:pStyle w:val="subsection"/>
      </w:pPr>
      <w:r w:rsidRPr="00134CF0">
        <w:tab/>
      </w:r>
      <w:r w:rsidRPr="00134CF0">
        <w:tab/>
        <w:t xml:space="preserve">For the purposes of </w:t>
      </w:r>
      <w:r w:rsidR="003766C6" w:rsidRPr="00134CF0">
        <w:t>item 1</w:t>
      </w:r>
      <w:r w:rsidRPr="00134CF0">
        <w:t xml:space="preserve"> of the table in </w:t>
      </w:r>
      <w:r w:rsidR="003766C6" w:rsidRPr="00134CF0">
        <w:t>section 2</w:t>
      </w:r>
      <w:r w:rsidRPr="00134CF0">
        <w:t>96</w:t>
      </w:r>
      <w:r w:rsidR="006D7098">
        <w:noBreakHyphen/>
      </w:r>
      <w:r w:rsidRPr="00134CF0">
        <w:t>310 of the Act, an individual who is or has ever been a State higher level office holder is declared.</w:t>
      </w:r>
    </w:p>
    <w:p w14:paraId="5B4D115E" w14:textId="77777777" w:rsidR="00CE7423" w:rsidRPr="00134CF0" w:rsidRDefault="00CE7423" w:rsidP="00CE7423">
      <w:pPr>
        <w:pStyle w:val="ItemHead"/>
      </w:pPr>
      <w:r w:rsidRPr="00134CF0">
        <w:t xml:space="preserve">2  </w:t>
      </w:r>
      <w:r w:rsidR="006C00AD" w:rsidRPr="00134CF0">
        <w:t>Section 9</w:t>
      </w:r>
      <w:r w:rsidRPr="00134CF0">
        <w:t>95</w:t>
      </w:r>
      <w:r w:rsidR="006D7098">
        <w:noBreakHyphen/>
      </w:r>
      <w:r w:rsidRPr="00134CF0">
        <w:t>1.01 (</w:t>
      </w:r>
      <w:r w:rsidR="00EF0325" w:rsidRPr="00134CF0">
        <w:t>paragraph (</w:t>
      </w:r>
      <w:r w:rsidRPr="00134CF0">
        <w:t xml:space="preserve">b) of the definition of </w:t>
      </w:r>
      <w:r w:rsidRPr="00134CF0">
        <w:rPr>
          <w:i/>
        </w:rPr>
        <w:t>accruing member</w:t>
      </w:r>
      <w:r w:rsidRPr="00134CF0">
        <w:t>)</w:t>
      </w:r>
    </w:p>
    <w:p w14:paraId="36A02694" w14:textId="77777777" w:rsidR="00CE7423" w:rsidRPr="00134CF0" w:rsidRDefault="00CE7423" w:rsidP="00CE7423">
      <w:pPr>
        <w:pStyle w:val="Item"/>
      </w:pPr>
      <w:r w:rsidRPr="00134CF0">
        <w:t xml:space="preserve">After </w:t>
      </w:r>
      <w:r w:rsidR="00813F6B" w:rsidRPr="00134CF0">
        <w:t>“</w:t>
      </w:r>
      <w:r w:rsidR="003766C6" w:rsidRPr="00134CF0">
        <w:t>Subdivision 2</w:t>
      </w:r>
      <w:r w:rsidRPr="00134CF0">
        <w:t>93</w:t>
      </w:r>
      <w:r w:rsidR="006D7098">
        <w:noBreakHyphen/>
      </w:r>
      <w:r w:rsidRPr="00134CF0">
        <w:t>D</w:t>
      </w:r>
      <w:r w:rsidR="00813F6B" w:rsidRPr="00134CF0">
        <w:t>”</w:t>
      </w:r>
      <w:r w:rsidRPr="00134CF0">
        <w:t xml:space="preserve">, insert </w:t>
      </w:r>
      <w:r w:rsidR="00813F6B" w:rsidRPr="00134CF0">
        <w:t>“</w:t>
      </w:r>
      <w:r w:rsidRPr="00134CF0">
        <w:t xml:space="preserve">, </w:t>
      </w:r>
      <w:r w:rsidR="00EF0325" w:rsidRPr="00134CF0">
        <w:t>sub</w:t>
      </w:r>
      <w:r w:rsidR="003766C6" w:rsidRPr="00134CF0">
        <w:t>section 2</w:t>
      </w:r>
      <w:r w:rsidRPr="00134CF0">
        <w:t>96</w:t>
      </w:r>
      <w:r w:rsidR="006D7098">
        <w:noBreakHyphen/>
      </w:r>
      <w:r w:rsidRPr="00134CF0">
        <w:t>60.01</w:t>
      </w:r>
      <w:r w:rsidR="007F5C86" w:rsidRPr="00134CF0">
        <w:t>(2)</w:t>
      </w:r>
      <w:r w:rsidR="00813F6B" w:rsidRPr="00134CF0">
        <w:t>”</w:t>
      </w:r>
      <w:r w:rsidRPr="00134CF0">
        <w:t>.</w:t>
      </w:r>
    </w:p>
    <w:p w14:paraId="38F4D707" w14:textId="77777777" w:rsidR="002D4CA4" w:rsidRPr="00134CF0" w:rsidRDefault="00C96F3A" w:rsidP="0094189E">
      <w:pPr>
        <w:pStyle w:val="ActHead6"/>
        <w:pageBreakBefore/>
      </w:pPr>
      <w:r w:rsidRPr="0021546F">
        <w:rPr>
          <w:rStyle w:val="CharAmSchNo"/>
        </w:rPr>
        <w:lastRenderedPageBreak/>
        <w:t>Schedule 2</w:t>
      </w:r>
      <w:r w:rsidR="002D4CA4" w:rsidRPr="00134CF0">
        <w:t>—</w:t>
      </w:r>
      <w:r w:rsidR="004F769B" w:rsidRPr="0021546F">
        <w:rPr>
          <w:rStyle w:val="CharAmSchText"/>
        </w:rPr>
        <w:t>Definition of t</w:t>
      </w:r>
      <w:r w:rsidR="00157F1C" w:rsidRPr="0021546F">
        <w:rPr>
          <w:rStyle w:val="CharAmSchText"/>
        </w:rPr>
        <w:t>otal superannuation balance</w:t>
      </w:r>
    </w:p>
    <w:p w14:paraId="23EA0A86" w14:textId="77777777" w:rsidR="0094189E" w:rsidRPr="00134CF0" w:rsidRDefault="003766C6" w:rsidP="0094189E">
      <w:pPr>
        <w:pStyle w:val="ActHead7"/>
      </w:pPr>
      <w:r w:rsidRPr="0021546F">
        <w:rPr>
          <w:rStyle w:val="CharAmPartNo"/>
        </w:rPr>
        <w:t>Part 1</w:t>
      </w:r>
      <w:r w:rsidR="0094189E" w:rsidRPr="00134CF0">
        <w:t>—</w:t>
      </w:r>
      <w:r w:rsidR="0094189E" w:rsidRPr="0021546F">
        <w:rPr>
          <w:rStyle w:val="CharAmPartText"/>
        </w:rPr>
        <w:t>Amendments consequential on the Treasury Laws Amendment (Better Targeted Superannuation Concessions and Other Measures) Act 2023</w:t>
      </w:r>
    </w:p>
    <w:p w14:paraId="64A28E7E" w14:textId="77777777" w:rsidR="002D4CA4" w:rsidRPr="00134CF0" w:rsidRDefault="002D4CA4" w:rsidP="002D4CA4">
      <w:pPr>
        <w:pStyle w:val="ActHead9"/>
      </w:pPr>
      <w:r w:rsidRPr="00134CF0">
        <w:t xml:space="preserve">Income Tax Assessment (1997 Act) </w:t>
      </w:r>
      <w:r w:rsidR="00C96F3A" w:rsidRPr="00134CF0">
        <w:t>Regulations 2</w:t>
      </w:r>
      <w:r w:rsidRPr="00134CF0">
        <w:t>021</w:t>
      </w:r>
    </w:p>
    <w:p w14:paraId="4B41737B" w14:textId="77777777" w:rsidR="0013169D" w:rsidRPr="00134CF0" w:rsidRDefault="0013169D" w:rsidP="0013169D">
      <w:pPr>
        <w:pStyle w:val="ItemHead"/>
      </w:pPr>
      <w:r w:rsidRPr="00134CF0">
        <w:t xml:space="preserve">1  </w:t>
      </w:r>
      <w:r w:rsidR="00206E9C" w:rsidRPr="00134CF0">
        <w:t>Sub</w:t>
      </w:r>
      <w:r w:rsidR="0022597E" w:rsidRPr="00134CF0">
        <w:t>sections 3</w:t>
      </w:r>
      <w:r w:rsidRPr="00134CF0">
        <w:t>07</w:t>
      </w:r>
      <w:r w:rsidR="006D7098">
        <w:noBreakHyphen/>
      </w:r>
      <w:r w:rsidRPr="00134CF0">
        <w:t>205.01(1) and 307</w:t>
      </w:r>
      <w:r w:rsidR="006D7098">
        <w:noBreakHyphen/>
      </w:r>
      <w:r w:rsidRPr="00134CF0">
        <w:t>205.02(1)</w:t>
      </w:r>
    </w:p>
    <w:p w14:paraId="28F80B41" w14:textId="77777777" w:rsidR="0013169D" w:rsidRPr="00134CF0" w:rsidRDefault="0013169D" w:rsidP="0013169D">
      <w:pPr>
        <w:pStyle w:val="Item"/>
      </w:pPr>
      <w:r w:rsidRPr="00134CF0">
        <w:t xml:space="preserve">Omit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205(1)(a)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205(a)</w:t>
      </w:r>
      <w:r w:rsidR="00813F6B" w:rsidRPr="00134CF0">
        <w:t>”</w:t>
      </w:r>
      <w:r w:rsidRPr="00134CF0">
        <w:t>.</w:t>
      </w:r>
    </w:p>
    <w:p w14:paraId="4ED480B9" w14:textId="77777777" w:rsidR="0013169D" w:rsidRPr="00134CF0" w:rsidRDefault="0013169D" w:rsidP="0013169D">
      <w:pPr>
        <w:pStyle w:val="ItemHead"/>
      </w:pPr>
      <w:r w:rsidRPr="00134CF0">
        <w:t xml:space="preserve">2  </w:t>
      </w:r>
      <w:r w:rsidR="006C00AD" w:rsidRPr="00134CF0">
        <w:t>Sections 3</w:t>
      </w:r>
      <w:r w:rsidRPr="00134CF0">
        <w:t>07</w:t>
      </w:r>
      <w:r w:rsidR="006D7098">
        <w:noBreakHyphen/>
      </w:r>
      <w:r w:rsidRPr="00134CF0">
        <w:t>205.02A and 307</w:t>
      </w:r>
      <w:r w:rsidR="006D7098">
        <w:noBreakHyphen/>
      </w:r>
      <w:r w:rsidRPr="00134CF0">
        <w:t>205.02B</w:t>
      </w:r>
    </w:p>
    <w:p w14:paraId="495B1751" w14:textId="77777777" w:rsidR="0013169D" w:rsidRPr="00134CF0" w:rsidRDefault="0013169D" w:rsidP="0013169D">
      <w:pPr>
        <w:pStyle w:val="Item"/>
      </w:pPr>
      <w:r w:rsidRPr="00134CF0">
        <w:t xml:space="preserve">Omit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205(1)(a)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205(a)</w:t>
      </w:r>
      <w:r w:rsidR="00813F6B" w:rsidRPr="00134CF0">
        <w:t>”</w:t>
      </w:r>
      <w:r w:rsidRPr="00134CF0">
        <w:t>.</w:t>
      </w:r>
    </w:p>
    <w:p w14:paraId="469A5DA9" w14:textId="77777777" w:rsidR="0013169D" w:rsidRPr="00134CF0" w:rsidRDefault="0013169D" w:rsidP="0013169D">
      <w:pPr>
        <w:pStyle w:val="ItemHead"/>
      </w:pPr>
      <w:r w:rsidRPr="00134CF0">
        <w:t xml:space="preserve">3  </w:t>
      </w:r>
      <w:r w:rsidR="00206E9C" w:rsidRPr="00134CF0">
        <w:t>Sub</w:t>
      </w:r>
      <w:r w:rsidR="0022597E" w:rsidRPr="00134CF0">
        <w:t>sections 3</w:t>
      </w:r>
      <w:r w:rsidRPr="00134CF0">
        <w:t>07</w:t>
      </w:r>
      <w:r w:rsidR="006D7098">
        <w:noBreakHyphen/>
      </w:r>
      <w:r w:rsidRPr="00134CF0">
        <w:t>205.02C(1), 307</w:t>
      </w:r>
      <w:r w:rsidR="006D7098">
        <w:noBreakHyphen/>
      </w:r>
      <w:r w:rsidRPr="00134CF0">
        <w:t>205.02D(1) and 307</w:t>
      </w:r>
      <w:r w:rsidR="006D7098">
        <w:noBreakHyphen/>
      </w:r>
      <w:r w:rsidRPr="00134CF0">
        <w:t>205.02E(1)</w:t>
      </w:r>
    </w:p>
    <w:p w14:paraId="2B07F111" w14:textId="77777777" w:rsidR="0013169D" w:rsidRPr="00134CF0" w:rsidRDefault="0013169D" w:rsidP="0013169D">
      <w:pPr>
        <w:pStyle w:val="Item"/>
      </w:pPr>
      <w:r w:rsidRPr="00134CF0">
        <w:t xml:space="preserve">Omit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205(1)(a)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205(a)</w:t>
      </w:r>
      <w:r w:rsidR="00813F6B" w:rsidRPr="00134CF0">
        <w:t>”</w:t>
      </w:r>
      <w:r w:rsidRPr="00134CF0">
        <w:t>.</w:t>
      </w:r>
    </w:p>
    <w:p w14:paraId="6AB7D664" w14:textId="77777777" w:rsidR="00816D82" w:rsidRPr="00134CF0" w:rsidRDefault="003766C6" w:rsidP="00816D82">
      <w:pPr>
        <w:pStyle w:val="ActHead7"/>
        <w:pageBreakBefore/>
      </w:pPr>
      <w:r w:rsidRPr="0021546F">
        <w:rPr>
          <w:rStyle w:val="CharAmPartNo"/>
        </w:rPr>
        <w:lastRenderedPageBreak/>
        <w:t>Part 2</w:t>
      </w:r>
      <w:r w:rsidR="00816D82" w:rsidRPr="00134CF0">
        <w:t>—</w:t>
      </w:r>
      <w:r w:rsidR="00A46106" w:rsidRPr="0021546F">
        <w:rPr>
          <w:rStyle w:val="CharAmPartText"/>
        </w:rPr>
        <w:t>T</w:t>
      </w:r>
      <w:r w:rsidR="00491282" w:rsidRPr="0021546F">
        <w:rPr>
          <w:rStyle w:val="CharAmPartText"/>
        </w:rPr>
        <w:t>otal superannuation balance value</w:t>
      </w:r>
    </w:p>
    <w:p w14:paraId="29A8A387" w14:textId="77777777" w:rsidR="0094189E" w:rsidRPr="00134CF0" w:rsidRDefault="0094189E" w:rsidP="0094189E">
      <w:pPr>
        <w:pStyle w:val="ActHead9"/>
      </w:pPr>
      <w:r w:rsidRPr="00134CF0">
        <w:t xml:space="preserve">Income Tax Assessment (1997 Act) </w:t>
      </w:r>
      <w:r w:rsidR="00C96F3A" w:rsidRPr="00134CF0">
        <w:t>Regulations 2</w:t>
      </w:r>
      <w:r w:rsidRPr="00134CF0">
        <w:t>021</w:t>
      </w:r>
    </w:p>
    <w:p w14:paraId="45964CC8" w14:textId="77777777" w:rsidR="000850CA" w:rsidRPr="00134CF0" w:rsidRDefault="0013169D" w:rsidP="0013169D">
      <w:pPr>
        <w:pStyle w:val="ItemHead"/>
      </w:pPr>
      <w:r w:rsidRPr="00134CF0">
        <w:t xml:space="preserve">4  At the end of </w:t>
      </w:r>
      <w:r w:rsidR="0022597E" w:rsidRPr="00134CF0">
        <w:t>Subdivision 3</w:t>
      </w:r>
      <w:r w:rsidRPr="00134CF0">
        <w:t>07</w:t>
      </w:r>
      <w:r w:rsidR="006D7098">
        <w:noBreakHyphen/>
      </w:r>
      <w:r w:rsidRPr="00134CF0">
        <w:t>D</w:t>
      </w:r>
    </w:p>
    <w:p w14:paraId="320C6D39" w14:textId="77777777" w:rsidR="0013169D" w:rsidRPr="00134CF0" w:rsidRDefault="0013169D" w:rsidP="0013169D">
      <w:pPr>
        <w:pStyle w:val="Item"/>
      </w:pPr>
      <w:r w:rsidRPr="00134CF0">
        <w:t>Add:</w:t>
      </w:r>
    </w:p>
    <w:p w14:paraId="21C6F202" w14:textId="77777777" w:rsidR="00E20409" w:rsidRPr="00134CF0" w:rsidRDefault="009045D1" w:rsidP="00E20409">
      <w:pPr>
        <w:pStyle w:val="ActHead5"/>
      </w:pPr>
      <w:r w:rsidRPr="0021546F">
        <w:rPr>
          <w:rStyle w:val="CharSectno"/>
        </w:rPr>
        <w:t>3</w:t>
      </w:r>
      <w:r w:rsidR="00E20409" w:rsidRPr="0021546F">
        <w:rPr>
          <w:rStyle w:val="CharSectno"/>
        </w:rPr>
        <w:t>07</w:t>
      </w:r>
      <w:r w:rsidR="006D7098" w:rsidRPr="0021546F">
        <w:rPr>
          <w:rStyle w:val="CharSectno"/>
        </w:rPr>
        <w:noBreakHyphen/>
      </w:r>
      <w:r w:rsidR="00E20409" w:rsidRPr="0021546F">
        <w:rPr>
          <w:rStyle w:val="CharSectno"/>
        </w:rPr>
        <w:t>230A.01</w:t>
      </w:r>
      <w:r w:rsidR="00E20409" w:rsidRPr="00134CF0">
        <w:t xml:space="preserve">  Total superannuation balance value—</w:t>
      </w:r>
      <w:r w:rsidR="002E188D" w:rsidRPr="00134CF0">
        <w:t xml:space="preserve">defined benefit </w:t>
      </w:r>
      <w:r w:rsidR="00E20409" w:rsidRPr="00134CF0">
        <w:t>interests not in retirement phase</w:t>
      </w:r>
    </w:p>
    <w:p w14:paraId="683F0972" w14:textId="77777777" w:rsidR="00E46646" w:rsidRPr="00134CF0" w:rsidRDefault="00E46646" w:rsidP="00CA6D49">
      <w:pPr>
        <w:pStyle w:val="subsection"/>
      </w:pPr>
      <w:r w:rsidRPr="00134CF0">
        <w:tab/>
        <w:t>(1)</w:t>
      </w:r>
      <w:r w:rsidRPr="00134CF0">
        <w:tab/>
      </w:r>
      <w:r w:rsidR="00EF0325" w:rsidRPr="00134CF0">
        <w:t>Subsection (</w:t>
      </w:r>
      <w:r w:rsidRPr="00134CF0">
        <w:t xml:space="preserve">2) applies to a </w:t>
      </w:r>
      <w:r w:rsidR="00FC53EA" w:rsidRPr="00134CF0">
        <w:t>defined benefit interest at a particular time if, at that time</w:t>
      </w:r>
      <w:r w:rsidRPr="00134CF0">
        <w:t>:</w:t>
      </w:r>
    </w:p>
    <w:p w14:paraId="555A48A2" w14:textId="77777777" w:rsidR="00E46646" w:rsidRPr="00134CF0" w:rsidRDefault="00E46646" w:rsidP="00E46646">
      <w:pPr>
        <w:pStyle w:val="paragraph"/>
      </w:pPr>
      <w:r w:rsidRPr="00134CF0">
        <w:tab/>
        <w:t>(a)</w:t>
      </w:r>
      <w:r w:rsidRPr="00134CF0">
        <w:tab/>
      </w:r>
      <w:r w:rsidR="00FC53EA" w:rsidRPr="00134CF0">
        <w:t xml:space="preserve">the interest </w:t>
      </w:r>
      <w:r w:rsidRPr="00134CF0">
        <w:t>is not in the retirement phase; and</w:t>
      </w:r>
    </w:p>
    <w:p w14:paraId="03A1501D" w14:textId="77777777" w:rsidR="00450E2B" w:rsidRPr="00134CF0" w:rsidRDefault="00E46646" w:rsidP="00E46646">
      <w:pPr>
        <w:pStyle w:val="paragraph"/>
      </w:pPr>
      <w:r w:rsidRPr="00134CF0">
        <w:tab/>
        <w:t>(</w:t>
      </w:r>
      <w:r w:rsidR="00FC53EA" w:rsidRPr="00134CF0">
        <w:t>b</w:t>
      </w:r>
      <w:r w:rsidRPr="00134CF0">
        <w:t>)</w:t>
      </w:r>
      <w:r w:rsidRPr="00134CF0">
        <w:tab/>
      </w:r>
      <w:r w:rsidR="00450E2B" w:rsidRPr="00134CF0">
        <w:t>the interest has a</w:t>
      </w:r>
      <w:r w:rsidR="00E97949" w:rsidRPr="00134CF0">
        <w:t xml:space="preserve"> f</w:t>
      </w:r>
      <w:r w:rsidR="00450E2B" w:rsidRPr="00134CF0">
        <w:t xml:space="preserve">amily </w:t>
      </w:r>
      <w:r w:rsidR="00E97949" w:rsidRPr="00134CF0">
        <w:t>l</w:t>
      </w:r>
      <w:r w:rsidR="00450E2B" w:rsidRPr="00134CF0">
        <w:t>aw value; and</w:t>
      </w:r>
    </w:p>
    <w:p w14:paraId="5E8B132B" w14:textId="77777777" w:rsidR="00977688" w:rsidRPr="00134CF0" w:rsidRDefault="00977688" w:rsidP="00E46646">
      <w:pPr>
        <w:pStyle w:val="paragraph"/>
      </w:pPr>
      <w:r w:rsidRPr="00134CF0">
        <w:tab/>
        <w:t>(c)</w:t>
      </w:r>
      <w:r w:rsidRPr="00134CF0">
        <w:tab/>
      </w:r>
      <w:r w:rsidR="00C96F3A" w:rsidRPr="00134CF0">
        <w:t>subsection (</w:t>
      </w:r>
      <w:r w:rsidRPr="00134CF0">
        <w:t>4) of this section</w:t>
      </w:r>
      <w:r w:rsidR="00570DF2" w:rsidRPr="00134CF0">
        <w:t xml:space="preserve"> </w:t>
      </w:r>
      <w:r w:rsidR="00666951" w:rsidRPr="00134CF0">
        <w:t>d</w:t>
      </w:r>
      <w:r w:rsidRPr="00134CF0">
        <w:t>oes not apply to the interest.</w:t>
      </w:r>
    </w:p>
    <w:p w14:paraId="186B4006" w14:textId="77777777" w:rsidR="00CA6D49" w:rsidRPr="00134CF0" w:rsidRDefault="00E20409" w:rsidP="00E20409">
      <w:pPr>
        <w:pStyle w:val="subsection"/>
      </w:pPr>
      <w:r w:rsidRPr="00134CF0">
        <w:tab/>
        <w:t>(</w:t>
      </w:r>
      <w:r w:rsidR="00CA6D49" w:rsidRPr="00134CF0">
        <w:t>2</w:t>
      </w:r>
      <w:r w:rsidRPr="00134CF0">
        <w:t>)</w:t>
      </w:r>
      <w:r w:rsidRPr="00134CF0">
        <w:tab/>
        <w:t xml:space="preserve">For the purposes of 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230A(1)(a) of the Act</w:t>
      </w:r>
      <w:r w:rsidR="00CA6D49" w:rsidRPr="00134CF0">
        <w:t>:</w:t>
      </w:r>
    </w:p>
    <w:p w14:paraId="6583F321" w14:textId="77777777" w:rsidR="004C0CA3" w:rsidRPr="00134CF0" w:rsidRDefault="00033D1E" w:rsidP="001E4F12">
      <w:pPr>
        <w:pStyle w:val="paragraph"/>
      </w:pPr>
      <w:bookmarkStart w:id="1" w:name="_Hlk152082867"/>
      <w:r w:rsidRPr="00134CF0">
        <w:tab/>
        <w:t>(a)</w:t>
      </w:r>
      <w:r w:rsidRPr="00134CF0">
        <w:tab/>
      </w:r>
      <w:r w:rsidR="00F327A1" w:rsidRPr="00134CF0">
        <w:t>if there is no alternative valuation method for the interest</w:t>
      </w:r>
      <w:r w:rsidRPr="00134CF0">
        <w:t>—</w:t>
      </w:r>
      <w:r w:rsidR="00425A60" w:rsidRPr="00134CF0">
        <w:t>the total superannuation balance value of the interest</w:t>
      </w:r>
      <w:r w:rsidR="007C1231" w:rsidRPr="00134CF0">
        <w:t xml:space="preserve"> </w:t>
      </w:r>
      <w:r w:rsidR="006E1BE5" w:rsidRPr="00134CF0">
        <w:t xml:space="preserve">at that time </w:t>
      </w:r>
      <w:r w:rsidR="00425A60" w:rsidRPr="00134CF0">
        <w:t xml:space="preserve">is </w:t>
      </w:r>
      <w:r w:rsidR="008A1593" w:rsidRPr="00134CF0">
        <w:t xml:space="preserve">the </w:t>
      </w:r>
      <w:r w:rsidR="00E97949" w:rsidRPr="00134CF0">
        <w:t>f</w:t>
      </w:r>
      <w:r w:rsidR="00D463AB" w:rsidRPr="00134CF0">
        <w:t xml:space="preserve">amily </w:t>
      </w:r>
      <w:r w:rsidR="00E97949" w:rsidRPr="00134CF0">
        <w:t>l</w:t>
      </w:r>
      <w:r w:rsidR="00D463AB" w:rsidRPr="00134CF0">
        <w:t>aw value</w:t>
      </w:r>
      <w:r w:rsidR="004C0CA3" w:rsidRPr="00134CF0">
        <w:t>;</w:t>
      </w:r>
      <w:r w:rsidR="007A0FDA" w:rsidRPr="00134CF0">
        <w:t xml:space="preserve"> or</w:t>
      </w:r>
    </w:p>
    <w:p w14:paraId="121327BC" w14:textId="77777777" w:rsidR="009349C5" w:rsidRPr="00134CF0" w:rsidRDefault="00033D1E" w:rsidP="00FC79D3">
      <w:pPr>
        <w:pStyle w:val="paragraph"/>
      </w:pPr>
      <w:r w:rsidRPr="00134CF0">
        <w:tab/>
        <w:t>(</w:t>
      </w:r>
      <w:r w:rsidR="009349C5" w:rsidRPr="00134CF0">
        <w:t>b</w:t>
      </w:r>
      <w:r w:rsidRPr="00134CF0">
        <w:t>)</w:t>
      </w:r>
      <w:r w:rsidRPr="00134CF0">
        <w:tab/>
      </w:r>
      <w:r w:rsidR="00286834" w:rsidRPr="00134CF0">
        <w:t>if the</w:t>
      </w:r>
      <w:r w:rsidR="00F327A1" w:rsidRPr="00134CF0">
        <w:t>re is a</w:t>
      </w:r>
      <w:r w:rsidR="00286834" w:rsidRPr="00134CF0">
        <w:t>n alternative valuation method</w:t>
      </w:r>
      <w:r w:rsidR="00F327A1" w:rsidRPr="00134CF0">
        <w:t xml:space="preserve"> for the interest</w:t>
      </w:r>
      <w:r w:rsidR="00286834" w:rsidRPr="00134CF0">
        <w:t>—</w:t>
      </w:r>
      <w:r w:rsidR="007C1231" w:rsidRPr="00134CF0">
        <w:t xml:space="preserve">the method for determining the total superannuation balance value of the interest </w:t>
      </w:r>
      <w:r w:rsidR="006E1BE5" w:rsidRPr="00134CF0">
        <w:t xml:space="preserve">at that time </w:t>
      </w:r>
      <w:r w:rsidR="007C1231" w:rsidRPr="00134CF0">
        <w:t xml:space="preserve">is </w:t>
      </w:r>
      <w:r w:rsidR="00286834" w:rsidRPr="00134CF0">
        <w:t xml:space="preserve">the </w:t>
      </w:r>
      <w:r w:rsidR="00D463AB" w:rsidRPr="00134CF0">
        <w:t>alternative valuation method</w:t>
      </w:r>
      <w:r w:rsidR="007A7214" w:rsidRPr="00134CF0">
        <w:t>.</w:t>
      </w:r>
    </w:p>
    <w:bookmarkEnd w:id="1"/>
    <w:p w14:paraId="03E81C9C" w14:textId="77777777" w:rsidR="00977688" w:rsidRPr="00134CF0" w:rsidRDefault="00176D35" w:rsidP="00FA7D95">
      <w:pPr>
        <w:pStyle w:val="SubsectionHead"/>
      </w:pPr>
      <w:r w:rsidRPr="00134CF0">
        <w:t>Certain n</w:t>
      </w:r>
      <w:r w:rsidR="00666951" w:rsidRPr="00134CF0">
        <w:t>on</w:t>
      </w:r>
      <w:r w:rsidR="006D7098">
        <w:noBreakHyphen/>
      </w:r>
      <w:r w:rsidR="00666951" w:rsidRPr="00134CF0">
        <w:t xml:space="preserve">public sector </w:t>
      </w:r>
      <w:r w:rsidR="00570DF2" w:rsidRPr="00134CF0">
        <w:t>lump sum</w:t>
      </w:r>
      <w:r w:rsidR="006D7098">
        <w:noBreakHyphen/>
      </w:r>
      <w:r w:rsidR="00570DF2" w:rsidRPr="00134CF0">
        <w:t>only interests</w:t>
      </w:r>
    </w:p>
    <w:p w14:paraId="7A9E40D2" w14:textId="77777777" w:rsidR="00977688" w:rsidRPr="00134CF0" w:rsidRDefault="00977688" w:rsidP="00977688">
      <w:pPr>
        <w:pStyle w:val="subsection"/>
      </w:pPr>
      <w:r w:rsidRPr="00134CF0">
        <w:tab/>
        <w:t>(3)</w:t>
      </w:r>
      <w:r w:rsidRPr="00134CF0">
        <w:tab/>
      </w:r>
      <w:r w:rsidR="00EF0325" w:rsidRPr="00134CF0">
        <w:t>Subsection (</w:t>
      </w:r>
      <w:r w:rsidRPr="00134CF0">
        <w:t>4) applies to a defined benefit interest at a particular time if, at that time:</w:t>
      </w:r>
    </w:p>
    <w:p w14:paraId="2429A251" w14:textId="77777777" w:rsidR="00977688" w:rsidRPr="00134CF0" w:rsidRDefault="00977688" w:rsidP="00977688">
      <w:pPr>
        <w:pStyle w:val="paragraph"/>
      </w:pPr>
      <w:r w:rsidRPr="00134CF0">
        <w:tab/>
        <w:t>(a)</w:t>
      </w:r>
      <w:r w:rsidRPr="00134CF0">
        <w:tab/>
        <w:t>the interest is not in the retirement phase; and</w:t>
      </w:r>
    </w:p>
    <w:p w14:paraId="6C44B1CC" w14:textId="77777777" w:rsidR="00977688" w:rsidRPr="00134CF0" w:rsidRDefault="00977688" w:rsidP="00977688">
      <w:pPr>
        <w:pStyle w:val="paragraph"/>
      </w:pPr>
      <w:r w:rsidRPr="00134CF0">
        <w:tab/>
        <w:t>(b)</w:t>
      </w:r>
      <w:r w:rsidRPr="00134CF0">
        <w:tab/>
      </w:r>
      <w:r w:rsidR="003766C6" w:rsidRPr="00134CF0">
        <w:t>section 3</w:t>
      </w:r>
      <w:r w:rsidR="00F15F15" w:rsidRPr="00134CF0">
        <w:t>07</w:t>
      </w:r>
      <w:r w:rsidR="006D7098">
        <w:noBreakHyphen/>
      </w:r>
      <w:r w:rsidR="00F15F15" w:rsidRPr="00134CF0">
        <w:t xml:space="preserve">230A.07 applies to </w:t>
      </w:r>
      <w:r w:rsidR="00286834" w:rsidRPr="00134CF0">
        <w:t>the</w:t>
      </w:r>
      <w:r w:rsidR="00CD56AC" w:rsidRPr="00134CF0">
        <w:t xml:space="preserve"> interest</w:t>
      </w:r>
      <w:r w:rsidRPr="00134CF0">
        <w:t>.</w:t>
      </w:r>
    </w:p>
    <w:p w14:paraId="2265DE0A" w14:textId="77777777" w:rsidR="00977688" w:rsidRPr="00134CF0" w:rsidRDefault="00977688" w:rsidP="00977688">
      <w:pPr>
        <w:pStyle w:val="subsection"/>
      </w:pPr>
      <w:r w:rsidRPr="00134CF0">
        <w:tab/>
        <w:t>(</w:t>
      </w:r>
      <w:r w:rsidR="00933D99" w:rsidRPr="00134CF0">
        <w:t>4</w:t>
      </w:r>
      <w:r w:rsidRPr="00134CF0">
        <w:t>)</w:t>
      </w:r>
      <w:r w:rsidRPr="00134CF0">
        <w:tab/>
        <w:t xml:space="preserve">For the purposes of 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230A(1)(a) of the Act:</w:t>
      </w:r>
    </w:p>
    <w:p w14:paraId="3903F415" w14:textId="77777777" w:rsidR="00703134" w:rsidRPr="00134CF0" w:rsidRDefault="00703134" w:rsidP="00703134">
      <w:pPr>
        <w:pStyle w:val="paragraph"/>
      </w:pPr>
      <w:r w:rsidRPr="00134CF0">
        <w:tab/>
        <w:t>(a)</w:t>
      </w:r>
      <w:r w:rsidRPr="00134CF0">
        <w:tab/>
        <w:t xml:space="preserve">if there is no alternative valuation method for the interest—the total superannuation balance value of the interest </w:t>
      </w:r>
      <w:r w:rsidR="006E1BE5" w:rsidRPr="00134CF0">
        <w:t xml:space="preserve">at that time </w:t>
      </w:r>
      <w:r w:rsidRPr="00134CF0">
        <w:t>is the vested benefit</w:t>
      </w:r>
      <w:r w:rsidR="003E1C92" w:rsidRPr="00134CF0">
        <w:t>s total</w:t>
      </w:r>
      <w:r w:rsidRPr="00134CF0">
        <w:t xml:space="preserve"> of the interest; or</w:t>
      </w:r>
    </w:p>
    <w:p w14:paraId="67B7AA49" w14:textId="77777777" w:rsidR="00703134" w:rsidRPr="00134CF0" w:rsidRDefault="00703134" w:rsidP="00703134">
      <w:pPr>
        <w:pStyle w:val="paragraph"/>
      </w:pPr>
      <w:r w:rsidRPr="00134CF0">
        <w:tab/>
        <w:t>(b)</w:t>
      </w:r>
      <w:r w:rsidRPr="00134CF0">
        <w:tab/>
        <w:t xml:space="preserve">if there is an alternative valuation method for the interest—the method for determining the total superannuation balance value of the interest </w:t>
      </w:r>
      <w:r w:rsidR="006E1BE5" w:rsidRPr="00134CF0">
        <w:t xml:space="preserve">at that time </w:t>
      </w:r>
      <w:r w:rsidRPr="00134CF0">
        <w:t>is the alternative valuation method.</w:t>
      </w:r>
    </w:p>
    <w:p w14:paraId="0C0C9880" w14:textId="77777777" w:rsidR="00073B2D" w:rsidRPr="00134CF0" w:rsidRDefault="00073B2D" w:rsidP="00073B2D">
      <w:pPr>
        <w:pStyle w:val="notetext"/>
      </w:pPr>
      <w:r w:rsidRPr="00134CF0">
        <w:t>Note:</w:t>
      </w:r>
      <w:r w:rsidRPr="00134CF0">
        <w:tab/>
        <w:t xml:space="preserve">For the total superannuation balance value of a superannuation interest to which this section and 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230A.02 of this instrument do not apply, see paragraph 307</w:t>
      </w:r>
      <w:r w:rsidR="006D7098">
        <w:noBreakHyphen/>
      </w:r>
      <w:r w:rsidRPr="00134CF0">
        <w:t>230A(1)(b) of the Act.</w:t>
      </w:r>
    </w:p>
    <w:p w14:paraId="5A432224" w14:textId="77777777" w:rsidR="007A7214" w:rsidRPr="00134CF0" w:rsidRDefault="009045D1" w:rsidP="007A7214">
      <w:pPr>
        <w:pStyle w:val="ActHead5"/>
      </w:pPr>
      <w:r w:rsidRPr="0021546F">
        <w:rPr>
          <w:rStyle w:val="CharSectno"/>
        </w:rPr>
        <w:t>3</w:t>
      </w:r>
      <w:r w:rsidR="007A7214" w:rsidRPr="0021546F">
        <w:rPr>
          <w:rStyle w:val="CharSectno"/>
        </w:rPr>
        <w:t>07</w:t>
      </w:r>
      <w:r w:rsidR="006D7098" w:rsidRPr="0021546F">
        <w:rPr>
          <w:rStyle w:val="CharSectno"/>
        </w:rPr>
        <w:noBreakHyphen/>
      </w:r>
      <w:r w:rsidR="007A7214" w:rsidRPr="0021546F">
        <w:rPr>
          <w:rStyle w:val="CharSectno"/>
        </w:rPr>
        <w:t>230A.0</w:t>
      </w:r>
      <w:r w:rsidR="005733A9" w:rsidRPr="0021546F">
        <w:rPr>
          <w:rStyle w:val="CharSectno"/>
        </w:rPr>
        <w:t>2</w:t>
      </w:r>
      <w:r w:rsidR="007A7214" w:rsidRPr="00134CF0">
        <w:t xml:space="preserve">  Total superannuation balance value—superannuation interests in retirement phase</w:t>
      </w:r>
    </w:p>
    <w:p w14:paraId="5C81AF65" w14:textId="77777777" w:rsidR="00FC3044" w:rsidRPr="00134CF0" w:rsidRDefault="00FC3044" w:rsidP="00FC3044">
      <w:pPr>
        <w:pStyle w:val="SubsectionHead"/>
      </w:pPr>
      <w:r w:rsidRPr="00134CF0">
        <w:t xml:space="preserve">Superannuation interests </w:t>
      </w:r>
      <w:r w:rsidR="007C061F" w:rsidRPr="00134CF0">
        <w:t xml:space="preserve">that have </w:t>
      </w:r>
      <w:r w:rsidR="00E97949" w:rsidRPr="00134CF0">
        <w:t>f</w:t>
      </w:r>
      <w:r w:rsidRPr="00134CF0">
        <w:t xml:space="preserve">amily law </w:t>
      </w:r>
      <w:r w:rsidR="007C061F" w:rsidRPr="00134CF0">
        <w:t>values</w:t>
      </w:r>
    </w:p>
    <w:p w14:paraId="76329A3E" w14:textId="77777777" w:rsidR="007A7214" w:rsidRPr="00134CF0" w:rsidRDefault="007A7214" w:rsidP="007A7214">
      <w:pPr>
        <w:pStyle w:val="subsection"/>
      </w:pPr>
      <w:r w:rsidRPr="00134CF0">
        <w:tab/>
        <w:t>(1)</w:t>
      </w:r>
      <w:r w:rsidRPr="00134CF0">
        <w:tab/>
      </w:r>
      <w:r w:rsidR="009F7CB4" w:rsidRPr="00134CF0">
        <w:t xml:space="preserve">Subject to </w:t>
      </w:r>
      <w:r w:rsidR="00C96F3A" w:rsidRPr="00134CF0">
        <w:t>subsection (</w:t>
      </w:r>
      <w:r w:rsidR="000E2BD6" w:rsidRPr="00134CF0">
        <w:t>5</w:t>
      </w:r>
      <w:r w:rsidR="009F7CB4" w:rsidRPr="00134CF0">
        <w:t xml:space="preserve">), </w:t>
      </w:r>
      <w:r w:rsidR="00C96F3A" w:rsidRPr="00134CF0">
        <w:t>subsection (</w:t>
      </w:r>
      <w:r w:rsidRPr="00134CF0">
        <w:t xml:space="preserve">2) applies to a superannuation interest </w:t>
      </w:r>
      <w:r w:rsidR="004E040A" w:rsidRPr="00134CF0">
        <w:t>at a particular time if, at that time</w:t>
      </w:r>
      <w:r w:rsidRPr="00134CF0">
        <w:t>:</w:t>
      </w:r>
    </w:p>
    <w:p w14:paraId="0E543396" w14:textId="77777777" w:rsidR="007A7214" w:rsidRPr="00134CF0" w:rsidRDefault="007A7214" w:rsidP="007A7214">
      <w:pPr>
        <w:pStyle w:val="paragraph"/>
      </w:pPr>
      <w:r w:rsidRPr="00134CF0">
        <w:tab/>
        <w:t>(a)</w:t>
      </w:r>
      <w:r w:rsidRPr="00134CF0">
        <w:tab/>
        <w:t>th</w:t>
      </w:r>
      <w:r w:rsidR="00FC53EA" w:rsidRPr="00134CF0">
        <w:t xml:space="preserve">e interest </w:t>
      </w:r>
      <w:r w:rsidR="001A3B5B" w:rsidRPr="00134CF0">
        <w:t xml:space="preserve">is </w:t>
      </w:r>
      <w:r w:rsidR="00FC53EA" w:rsidRPr="00134CF0">
        <w:t xml:space="preserve">in </w:t>
      </w:r>
      <w:r w:rsidRPr="00134CF0">
        <w:t>the retirement phase; and</w:t>
      </w:r>
    </w:p>
    <w:p w14:paraId="4F4BCD18" w14:textId="77777777" w:rsidR="009F7CB4" w:rsidRPr="00134CF0" w:rsidRDefault="00B05E8E" w:rsidP="009F1EF5">
      <w:pPr>
        <w:pStyle w:val="paragraph"/>
      </w:pPr>
      <w:r w:rsidRPr="00134CF0">
        <w:tab/>
        <w:t>(b)</w:t>
      </w:r>
      <w:r w:rsidRPr="00134CF0">
        <w:tab/>
        <w:t xml:space="preserve">the interest has a </w:t>
      </w:r>
      <w:r w:rsidR="00E97949" w:rsidRPr="00134CF0">
        <w:t>f</w:t>
      </w:r>
      <w:r w:rsidRPr="00134CF0">
        <w:t xml:space="preserve">amily </w:t>
      </w:r>
      <w:r w:rsidR="00E97949" w:rsidRPr="00134CF0">
        <w:t>l</w:t>
      </w:r>
      <w:r w:rsidRPr="00134CF0">
        <w:t>aw value</w:t>
      </w:r>
      <w:r w:rsidR="009F7CB4" w:rsidRPr="00134CF0">
        <w:t>.</w:t>
      </w:r>
    </w:p>
    <w:p w14:paraId="2A07F620" w14:textId="77777777" w:rsidR="007A0FDA" w:rsidRPr="00134CF0" w:rsidRDefault="007A0FDA" w:rsidP="007A0FDA">
      <w:pPr>
        <w:pStyle w:val="subsection"/>
      </w:pPr>
      <w:r w:rsidRPr="00134CF0">
        <w:lastRenderedPageBreak/>
        <w:tab/>
        <w:t>(2)</w:t>
      </w:r>
      <w:r w:rsidRPr="00134CF0">
        <w:tab/>
        <w:t xml:space="preserve">For the purposes of 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230A(1)(a) of the Act:</w:t>
      </w:r>
    </w:p>
    <w:p w14:paraId="0E79EC64" w14:textId="77777777" w:rsidR="007C1231" w:rsidRPr="00134CF0" w:rsidRDefault="007C1231" w:rsidP="007C1231">
      <w:pPr>
        <w:pStyle w:val="paragraph"/>
      </w:pPr>
      <w:r w:rsidRPr="00134CF0">
        <w:tab/>
        <w:t>(a)</w:t>
      </w:r>
      <w:r w:rsidRPr="00134CF0">
        <w:tab/>
        <w:t xml:space="preserve">if there is no alternative valuation method for the interest—the total superannuation balance value of the interest </w:t>
      </w:r>
      <w:r w:rsidR="006E1BE5" w:rsidRPr="00134CF0">
        <w:t xml:space="preserve">at that time </w:t>
      </w:r>
      <w:r w:rsidRPr="00134CF0">
        <w:t xml:space="preserve">is the </w:t>
      </w:r>
      <w:r w:rsidR="00E97949" w:rsidRPr="00134CF0">
        <w:t>f</w:t>
      </w:r>
      <w:r w:rsidRPr="00134CF0">
        <w:t xml:space="preserve">amily </w:t>
      </w:r>
      <w:r w:rsidR="00E97949" w:rsidRPr="00134CF0">
        <w:t>l</w:t>
      </w:r>
      <w:r w:rsidRPr="00134CF0">
        <w:t>aw value; or</w:t>
      </w:r>
    </w:p>
    <w:p w14:paraId="766E65BB" w14:textId="77777777" w:rsidR="007C1231" w:rsidRPr="00134CF0" w:rsidRDefault="007C1231" w:rsidP="007C1231">
      <w:pPr>
        <w:pStyle w:val="paragraph"/>
      </w:pPr>
      <w:bookmarkStart w:id="2" w:name="_Hlk152082982"/>
      <w:r w:rsidRPr="00134CF0">
        <w:tab/>
        <w:t>(b)</w:t>
      </w:r>
      <w:r w:rsidRPr="00134CF0">
        <w:tab/>
        <w:t xml:space="preserve">if there is an alternative valuation method for the interest—the method for determining the total superannuation balance value of the interest </w:t>
      </w:r>
      <w:r w:rsidR="006E1BE5" w:rsidRPr="00134CF0">
        <w:t xml:space="preserve">at that time </w:t>
      </w:r>
      <w:r w:rsidRPr="00134CF0">
        <w:t>is the alternative valuation method.</w:t>
      </w:r>
    </w:p>
    <w:bookmarkEnd w:id="2"/>
    <w:p w14:paraId="0441B9FD" w14:textId="77777777" w:rsidR="0006105A" w:rsidRPr="00134CF0" w:rsidRDefault="00127BB0" w:rsidP="007116F3">
      <w:pPr>
        <w:pStyle w:val="SubsectionHead"/>
      </w:pPr>
      <w:r w:rsidRPr="00134CF0">
        <w:t>Other superannuation interests</w:t>
      </w:r>
    </w:p>
    <w:p w14:paraId="6888C68C" w14:textId="77777777" w:rsidR="0006105A" w:rsidRPr="00134CF0" w:rsidRDefault="0006105A" w:rsidP="0006105A">
      <w:pPr>
        <w:pStyle w:val="subsection"/>
      </w:pPr>
      <w:r w:rsidRPr="00134CF0">
        <w:tab/>
        <w:t>(</w:t>
      </w:r>
      <w:r w:rsidR="007116F3" w:rsidRPr="00134CF0">
        <w:t>3</w:t>
      </w:r>
      <w:r w:rsidRPr="00134CF0">
        <w:t>)</w:t>
      </w:r>
      <w:r w:rsidRPr="00134CF0">
        <w:tab/>
        <w:t>S</w:t>
      </w:r>
      <w:r w:rsidR="003D4331" w:rsidRPr="00134CF0">
        <w:t xml:space="preserve">ubject to </w:t>
      </w:r>
      <w:r w:rsidR="00C96F3A" w:rsidRPr="00134CF0">
        <w:t>subsection (</w:t>
      </w:r>
      <w:r w:rsidR="000E2BD6" w:rsidRPr="00134CF0">
        <w:t>5</w:t>
      </w:r>
      <w:r w:rsidR="003D4331" w:rsidRPr="00134CF0">
        <w:t xml:space="preserve">), </w:t>
      </w:r>
      <w:r w:rsidR="00C96F3A" w:rsidRPr="00134CF0">
        <w:t>subsection (</w:t>
      </w:r>
      <w:r w:rsidR="007116F3" w:rsidRPr="00134CF0">
        <w:t>4</w:t>
      </w:r>
      <w:r w:rsidRPr="00134CF0">
        <w:t xml:space="preserve">) applies to a superannuation interest </w:t>
      </w:r>
      <w:r w:rsidR="008F5C49" w:rsidRPr="00134CF0">
        <w:t xml:space="preserve">at a particular time </w:t>
      </w:r>
      <w:r w:rsidR="00821BAE" w:rsidRPr="00134CF0">
        <w:t>if</w:t>
      </w:r>
      <w:r w:rsidR="008F5C49" w:rsidRPr="00134CF0">
        <w:t>, at that time</w:t>
      </w:r>
      <w:r w:rsidRPr="00134CF0">
        <w:t>:</w:t>
      </w:r>
    </w:p>
    <w:p w14:paraId="6235C612" w14:textId="77777777" w:rsidR="0006105A" w:rsidRPr="00134CF0" w:rsidRDefault="0006105A" w:rsidP="0006105A">
      <w:pPr>
        <w:pStyle w:val="paragraph"/>
      </w:pPr>
      <w:r w:rsidRPr="00134CF0">
        <w:tab/>
        <w:t>(a)</w:t>
      </w:r>
      <w:r w:rsidRPr="00134CF0">
        <w:tab/>
      </w:r>
      <w:r w:rsidR="00821BAE" w:rsidRPr="00134CF0">
        <w:t xml:space="preserve">the interest is </w:t>
      </w:r>
      <w:r w:rsidRPr="00134CF0">
        <w:t>in the retirement phase; and</w:t>
      </w:r>
    </w:p>
    <w:p w14:paraId="43FC78E1" w14:textId="77777777" w:rsidR="000668C3" w:rsidRPr="00134CF0" w:rsidRDefault="00CD39AF" w:rsidP="00FB4406">
      <w:pPr>
        <w:pStyle w:val="paragraph"/>
      </w:pPr>
      <w:r w:rsidRPr="00134CF0">
        <w:tab/>
        <w:t>(b)</w:t>
      </w:r>
      <w:r w:rsidRPr="00134CF0">
        <w:tab/>
        <w:t>the interest does not have a family law value</w:t>
      </w:r>
      <w:r w:rsidR="00A81C1F" w:rsidRPr="00134CF0">
        <w:t>.</w:t>
      </w:r>
    </w:p>
    <w:p w14:paraId="47B62F7F" w14:textId="77777777" w:rsidR="00D0693D" w:rsidRPr="00134CF0" w:rsidRDefault="007A0FDA" w:rsidP="00CD39AF">
      <w:pPr>
        <w:pStyle w:val="subsection"/>
      </w:pPr>
      <w:r w:rsidRPr="00134CF0">
        <w:tab/>
        <w:t>(4)</w:t>
      </w:r>
      <w:r w:rsidRPr="00134CF0">
        <w:tab/>
        <w:t xml:space="preserve">For the purposes of 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230A(1)(a) of the Act</w:t>
      </w:r>
      <w:r w:rsidR="00CD39AF" w:rsidRPr="00134CF0">
        <w:t xml:space="preserve">, </w:t>
      </w:r>
      <w:r w:rsidR="007A719D" w:rsidRPr="00134CF0">
        <w:t xml:space="preserve">the total superannuation balance value of the interest </w:t>
      </w:r>
      <w:r w:rsidR="006E1BE5" w:rsidRPr="00134CF0">
        <w:t xml:space="preserve">at that time </w:t>
      </w:r>
      <w:r w:rsidR="007A719D" w:rsidRPr="00134CF0">
        <w:t>is</w:t>
      </w:r>
      <w:r w:rsidR="00D0693D" w:rsidRPr="00134CF0">
        <w:t>:</w:t>
      </w:r>
    </w:p>
    <w:p w14:paraId="3348FA39" w14:textId="77777777" w:rsidR="00127BB0" w:rsidRPr="00134CF0" w:rsidRDefault="00127BB0" w:rsidP="00127BB0">
      <w:pPr>
        <w:pStyle w:val="paragraph"/>
      </w:pPr>
      <w:r w:rsidRPr="00134CF0">
        <w:tab/>
        <w:t>(a)</w:t>
      </w:r>
      <w:r w:rsidRPr="00134CF0">
        <w:tab/>
        <w:t xml:space="preserve">if 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230A.08 applies to the interest—the maximum commutation amount of the interest</w:t>
      </w:r>
      <w:r w:rsidR="000E2BD6" w:rsidRPr="00134CF0">
        <w:t>; or</w:t>
      </w:r>
    </w:p>
    <w:p w14:paraId="11B42371" w14:textId="77777777" w:rsidR="00371ABA" w:rsidRPr="00134CF0" w:rsidRDefault="000E2BD6" w:rsidP="00CD39AF">
      <w:pPr>
        <w:pStyle w:val="paragraph"/>
      </w:pPr>
      <w:r w:rsidRPr="00134CF0">
        <w:tab/>
        <w:t>(b)</w:t>
      </w:r>
      <w:r w:rsidRPr="00134CF0">
        <w:tab/>
        <w:t>otherwise—</w:t>
      </w:r>
      <w:r w:rsidR="00371ABA" w:rsidRPr="00134CF0">
        <w:t>the value of the interest</w:t>
      </w:r>
      <w:r w:rsidR="00FF4AFF" w:rsidRPr="00134CF0">
        <w:t xml:space="preserve"> (within the meaning of </w:t>
      </w:r>
      <w:r w:rsidR="003766C6" w:rsidRPr="00134CF0">
        <w:t>section 3</w:t>
      </w:r>
      <w:r w:rsidR="00FF4AFF" w:rsidRPr="00134CF0">
        <w:t>07</w:t>
      </w:r>
      <w:r w:rsidR="006D7098">
        <w:noBreakHyphen/>
      </w:r>
      <w:r w:rsidR="00FF4AFF" w:rsidRPr="00134CF0">
        <w:t>205 of the Act)</w:t>
      </w:r>
      <w:r w:rsidRPr="00134CF0">
        <w:t>.</w:t>
      </w:r>
    </w:p>
    <w:p w14:paraId="46C06B82" w14:textId="77777777" w:rsidR="009F7CB4" w:rsidRPr="00134CF0" w:rsidRDefault="009F7CB4" w:rsidP="009F7CB4">
      <w:pPr>
        <w:pStyle w:val="SubsectionHead"/>
      </w:pPr>
      <w:r w:rsidRPr="00134CF0">
        <w:t>Superannuation interests to which this section does not apply</w:t>
      </w:r>
    </w:p>
    <w:p w14:paraId="5EE942AD" w14:textId="77777777" w:rsidR="009F7CB4" w:rsidRPr="00134CF0" w:rsidRDefault="009F7CB4" w:rsidP="009F7CB4">
      <w:pPr>
        <w:pStyle w:val="subsection"/>
      </w:pPr>
      <w:r w:rsidRPr="00134CF0">
        <w:tab/>
        <w:t>(</w:t>
      </w:r>
      <w:r w:rsidR="000E2BD6" w:rsidRPr="00134CF0">
        <w:t>5</w:t>
      </w:r>
      <w:r w:rsidRPr="00134CF0">
        <w:t>)</w:t>
      </w:r>
      <w:r w:rsidRPr="00134CF0">
        <w:tab/>
        <w:t xml:space="preserve">This section does not apply to a superannuation interest </w:t>
      </w:r>
      <w:r w:rsidR="00FD072A" w:rsidRPr="00134CF0">
        <w:t xml:space="preserve">at a particular time if the interest </w:t>
      </w:r>
      <w:r w:rsidRPr="00134CF0">
        <w:t>supports any of the following superannuation income streams</w:t>
      </w:r>
      <w:r w:rsidR="009C764F" w:rsidRPr="00134CF0">
        <w:t xml:space="preserve"> at that time</w:t>
      </w:r>
      <w:r w:rsidRPr="00134CF0">
        <w:t>:</w:t>
      </w:r>
    </w:p>
    <w:p w14:paraId="35AFC8A1" w14:textId="77777777" w:rsidR="009F7CB4" w:rsidRPr="00134CF0" w:rsidRDefault="009F7CB4" w:rsidP="009F7CB4">
      <w:pPr>
        <w:pStyle w:val="paragraph"/>
      </w:pPr>
      <w:r w:rsidRPr="00134CF0">
        <w:tab/>
        <w:t>(a)</w:t>
      </w:r>
      <w:r w:rsidRPr="00134CF0">
        <w:tab/>
        <w:t>an allocated annuity;</w:t>
      </w:r>
    </w:p>
    <w:p w14:paraId="33B0A3E7" w14:textId="77777777" w:rsidR="009F7CB4" w:rsidRPr="00134CF0" w:rsidRDefault="009F7CB4" w:rsidP="009F7CB4">
      <w:pPr>
        <w:pStyle w:val="paragraph"/>
      </w:pPr>
      <w:r w:rsidRPr="00134CF0">
        <w:tab/>
        <w:t>(b)</w:t>
      </w:r>
      <w:r w:rsidRPr="00134CF0">
        <w:tab/>
        <w:t>an allocated pension;</w:t>
      </w:r>
    </w:p>
    <w:p w14:paraId="1A8C9F79" w14:textId="77777777" w:rsidR="009F7CB4" w:rsidRPr="00134CF0" w:rsidRDefault="009F7CB4" w:rsidP="009F7CB4">
      <w:pPr>
        <w:pStyle w:val="paragraph"/>
      </w:pPr>
      <w:r w:rsidRPr="00134CF0">
        <w:tab/>
        <w:t>(c)</w:t>
      </w:r>
      <w:r w:rsidRPr="00134CF0">
        <w:tab/>
        <w:t>an allocated pension (within the meaning of the RSA Regulations);</w:t>
      </w:r>
    </w:p>
    <w:p w14:paraId="1FCEB488" w14:textId="77777777" w:rsidR="009F7CB4" w:rsidRPr="00134CF0" w:rsidRDefault="009F7CB4" w:rsidP="009F7CB4">
      <w:pPr>
        <w:pStyle w:val="paragraph"/>
      </w:pPr>
      <w:r w:rsidRPr="00134CF0">
        <w:tab/>
        <w:t>(d)</w:t>
      </w:r>
      <w:r w:rsidRPr="00134CF0">
        <w:tab/>
        <w:t>an account</w:t>
      </w:r>
      <w:r w:rsidR="006D7098">
        <w:noBreakHyphen/>
      </w:r>
      <w:r w:rsidRPr="00134CF0">
        <w:t>based annuity;</w:t>
      </w:r>
    </w:p>
    <w:p w14:paraId="57F09B7F" w14:textId="77777777" w:rsidR="009F7CB4" w:rsidRPr="00134CF0" w:rsidRDefault="009F7CB4" w:rsidP="009F7CB4">
      <w:pPr>
        <w:pStyle w:val="paragraph"/>
      </w:pPr>
      <w:r w:rsidRPr="00134CF0">
        <w:tab/>
        <w:t>(e)</w:t>
      </w:r>
      <w:r w:rsidRPr="00134CF0">
        <w:tab/>
        <w:t>an account</w:t>
      </w:r>
      <w:r w:rsidR="006D7098">
        <w:noBreakHyphen/>
      </w:r>
      <w:r w:rsidRPr="00134CF0">
        <w:t>based pension (within the meaning of the SIS Regulations);</w:t>
      </w:r>
    </w:p>
    <w:p w14:paraId="448A4C06" w14:textId="77777777" w:rsidR="009F7CB4" w:rsidRPr="00134CF0" w:rsidRDefault="009F7CB4" w:rsidP="009F7CB4">
      <w:pPr>
        <w:pStyle w:val="paragraph"/>
      </w:pPr>
      <w:r w:rsidRPr="00134CF0">
        <w:tab/>
        <w:t>(f)</w:t>
      </w:r>
      <w:r w:rsidRPr="00134CF0">
        <w:tab/>
        <w:t>an account based pension (within the meaning of the RSA Regulations);</w:t>
      </w:r>
    </w:p>
    <w:p w14:paraId="089369CF" w14:textId="77777777" w:rsidR="009F7CB4" w:rsidRPr="00134CF0" w:rsidRDefault="009F7CB4" w:rsidP="009F7CB4">
      <w:pPr>
        <w:pStyle w:val="paragraph"/>
      </w:pPr>
      <w:r w:rsidRPr="00134CF0">
        <w:tab/>
        <w:t>(g)</w:t>
      </w:r>
      <w:r w:rsidRPr="00134CF0">
        <w:tab/>
        <w:t>a market linked annuity (within the meaning of the SIS Regulations);</w:t>
      </w:r>
    </w:p>
    <w:p w14:paraId="1A4EE5B2" w14:textId="77777777" w:rsidR="009F7CB4" w:rsidRPr="00134CF0" w:rsidRDefault="009F7CB4" w:rsidP="009F7CB4">
      <w:pPr>
        <w:pStyle w:val="paragraph"/>
      </w:pPr>
      <w:r w:rsidRPr="00134CF0">
        <w:tab/>
        <w:t>(h)</w:t>
      </w:r>
      <w:r w:rsidRPr="00134CF0">
        <w:tab/>
        <w:t>a market linked pension (within the meaning of the SIS Regulations);</w:t>
      </w:r>
    </w:p>
    <w:p w14:paraId="5FCE99AE" w14:textId="77777777" w:rsidR="009F7CB4" w:rsidRPr="00134CF0" w:rsidRDefault="009F7CB4" w:rsidP="009F7CB4">
      <w:pPr>
        <w:pStyle w:val="paragraph"/>
      </w:pPr>
      <w:r w:rsidRPr="00134CF0">
        <w:tab/>
        <w:t>(i)</w:t>
      </w:r>
      <w:r w:rsidRPr="00134CF0">
        <w:tab/>
        <w:t>a market linked pension (within the meaning of the RSA Regulations).</w:t>
      </w:r>
    </w:p>
    <w:p w14:paraId="13EA9503" w14:textId="77777777" w:rsidR="00821BAE" w:rsidRPr="00134CF0" w:rsidRDefault="00821BAE" w:rsidP="00821BAE">
      <w:pPr>
        <w:pStyle w:val="notetext"/>
      </w:pPr>
      <w:r w:rsidRPr="00134CF0">
        <w:t>Note:</w:t>
      </w:r>
      <w:r w:rsidRPr="00134CF0">
        <w:tab/>
        <w:t xml:space="preserve">For the total superannuation balance </w:t>
      </w:r>
      <w:r w:rsidR="00250F06" w:rsidRPr="00134CF0">
        <w:t xml:space="preserve">value </w:t>
      </w:r>
      <w:r w:rsidRPr="00134CF0">
        <w:t>of a superannuation interest</w:t>
      </w:r>
      <w:r w:rsidR="007219B2" w:rsidRPr="00134CF0">
        <w:t xml:space="preserve"> that supports a</w:t>
      </w:r>
      <w:r w:rsidR="00343017" w:rsidRPr="00134CF0">
        <w:t>ny of those</w:t>
      </w:r>
      <w:r w:rsidR="007219B2" w:rsidRPr="00134CF0">
        <w:t xml:space="preserve"> </w:t>
      </w:r>
      <w:r w:rsidR="00343017" w:rsidRPr="00134CF0">
        <w:t>superannuation income streams</w:t>
      </w:r>
      <w:r w:rsidRPr="00134CF0">
        <w:t xml:space="preserve">, see </w:t>
      </w:r>
      <w:r w:rsidR="00EF0325" w:rsidRPr="00134CF0">
        <w:t>paragraph 3</w:t>
      </w:r>
      <w:r w:rsidRPr="00134CF0">
        <w:t>07</w:t>
      </w:r>
      <w:r w:rsidR="006D7098">
        <w:noBreakHyphen/>
      </w:r>
      <w:r w:rsidRPr="00134CF0">
        <w:t>230A(1)(b) of the Act.</w:t>
      </w:r>
    </w:p>
    <w:p w14:paraId="29633DAD" w14:textId="77777777" w:rsidR="00CF6F87" w:rsidRPr="00134CF0" w:rsidRDefault="00CF6F87" w:rsidP="00CF6F87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230A.03</w:t>
      </w:r>
      <w:r w:rsidRPr="00134CF0">
        <w:t xml:space="preserve">  Total superannuation balance value—</w:t>
      </w:r>
      <w:r w:rsidR="007C061F" w:rsidRPr="00134CF0">
        <w:t>f</w:t>
      </w:r>
      <w:r w:rsidRPr="00134CF0">
        <w:t xml:space="preserve">amily </w:t>
      </w:r>
      <w:r w:rsidR="007C061F" w:rsidRPr="00134CF0">
        <w:t>l</w:t>
      </w:r>
      <w:r w:rsidRPr="00134CF0">
        <w:t xml:space="preserve">aw </w:t>
      </w:r>
      <w:r w:rsidR="00146E95" w:rsidRPr="00134CF0">
        <w:t>value</w:t>
      </w:r>
    </w:p>
    <w:p w14:paraId="5F41E86B" w14:textId="77777777" w:rsidR="00CF6F87" w:rsidRPr="00134CF0" w:rsidRDefault="003F3B98" w:rsidP="00747668">
      <w:pPr>
        <w:pStyle w:val="subsection"/>
      </w:pPr>
      <w:r w:rsidRPr="00134CF0">
        <w:tab/>
        <w:t>(1)</w:t>
      </w:r>
      <w:r w:rsidRPr="00134CF0">
        <w:tab/>
      </w:r>
      <w:r w:rsidR="00747668" w:rsidRPr="00134CF0">
        <w:t xml:space="preserve">This section applies in relation to </w:t>
      </w:r>
      <w:r w:rsidR="0026176B" w:rsidRPr="00134CF0">
        <w:t>a superannuation interest</w:t>
      </w:r>
      <w:r w:rsidRPr="00134CF0">
        <w:t xml:space="preserve"> </w:t>
      </w:r>
      <w:r w:rsidR="008039C1" w:rsidRPr="00134CF0">
        <w:t>at a time occurring on a particular day</w:t>
      </w:r>
      <w:r w:rsidR="00345BB0" w:rsidRPr="00134CF0">
        <w:t xml:space="preserve"> </w:t>
      </w:r>
      <w:r w:rsidR="00CF6F87" w:rsidRPr="00134CF0">
        <w:t>if:</w:t>
      </w:r>
    </w:p>
    <w:p w14:paraId="7E7E3127" w14:textId="77777777" w:rsidR="00CF6F87" w:rsidRPr="00134CF0" w:rsidRDefault="00CF6F87" w:rsidP="00CF6F87">
      <w:pPr>
        <w:pStyle w:val="paragraph"/>
      </w:pPr>
      <w:r w:rsidRPr="00134CF0">
        <w:tab/>
        <w:t>(a)</w:t>
      </w:r>
      <w:r w:rsidRPr="00134CF0">
        <w:tab/>
        <w:t>a method or factor is approved to be used to determine the gross value of the interest</w:t>
      </w:r>
      <w:r w:rsidR="008039C1" w:rsidRPr="00134CF0">
        <w:t xml:space="preserve"> on that day</w:t>
      </w:r>
      <w:r w:rsidR="00345BB0" w:rsidRPr="00134CF0">
        <w:t xml:space="preserve"> </w:t>
      </w:r>
      <w:r w:rsidRPr="00134CF0">
        <w:t xml:space="preserve">under </w:t>
      </w:r>
      <w:r w:rsidR="0022597E" w:rsidRPr="00134CF0">
        <w:t>regulation 3</w:t>
      </w:r>
      <w:r w:rsidRPr="00134CF0">
        <w:t xml:space="preserve">8 or 43A of the </w:t>
      </w:r>
      <w:r w:rsidRPr="00134CF0">
        <w:rPr>
          <w:i/>
        </w:rPr>
        <w:t xml:space="preserve">Family Law (Superannuation) </w:t>
      </w:r>
      <w:r w:rsidR="00C96F3A" w:rsidRPr="00134CF0">
        <w:rPr>
          <w:i/>
        </w:rPr>
        <w:t>Regulations 2</w:t>
      </w:r>
      <w:r w:rsidRPr="00134CF0">
        <w:rPr>
          <w:i/>
        </w:rPr>
        <w:t>001</w:t>
      </w:r>
      <w:r w:rsidRPr="00134CF0">
        <w:t>; or</w:t>
      </w:r>
    </w:p>
    <w:p w14:paraId="4A308EAB" w14:textId="77777777" w:rsidR="00CF6F87" w:rsidRPr="00134CF0" w:rsidRDefault="00CF6F87" w:rsidP="00CF6F87">
      <w:pPr>
        <w:pStyle w:val="paragraph"/>
      </w:pPr>
      <w:r w:rsidRPr="00134CF0">
        <w:tab/>
        <w:t>(b)</w:t>
      </w:r>
      <w:r w:rsidRPr="00134CF0">
        <w:tab/>
      </w:r>
      <w:r w:rsidR="00C96F3A" w:rsidRPr="00134CF0">
        <w:t>Schedule 2</w:t>
      </w:r>
      <w:r w:rsidRPr="00134CF0">
        <w:t xml:space="preserve">, 4 or 5 to those Regulations </w:t>
      </w:r>
      <w:r w:rsidR="00345BB0" w:rsidRPr="00134CF0">
        <w:t xml:space="preserve">sets out a method for determining the gross value of the interest </w:t>
      </w:r>
      <w:r w:rsidR="008039C1" w:rsidRPr="00134CF0">
        <w:t>on that day</w:t>
      </w:r>
      <w:r w:rsidR="003427AE" w:rsidRPr="00134CF0">
        <w:t>; or</w:t>
      </w:r>
    </w:p>
    <w:p w14:paraId="43DE065F" w14:textId="77777777" w:rsidR="00715132" w:rsidRPr="00134CF0" w:rsidRDefault="003427AE" w:rsidP="00CF6F87">
      <w:pPr>
        <w:pStyle w:val="paragraph"/>
      </w:pPr>
      <w:r w:rsidRPr="00134CF0">
        <w:tab/>
        <w:t>(c)</w:t>
      </w:r>
      <w:r w:rsidRPr="00134CF0">
        <w:tab/>
      </w:r>
      <w:r w:rsidR="003766C6" w:rsidRPr="00134CF0">
        <w:t>Schedule 4</w:t>
      </w:r>
      <w:r w:rsidRPr="00134CF0">
        <w:t>A</w:t>
      </w:r>
      <w:r w:rsidR="00444EC3" w:rsidRPr="00134CF0">
        <w:t xml:space="preserve"> or 5A</w:t>
      </w:r>
      <w:r w:rsidRPr="00134CF0">
        <w:t xml:space="preserve"> to those Regulations sets out a method for </w:t>
      </w:r>
      <w:r w:rsidR="00715132" w:rsidRPr="00134CF0">
        <w:t xml:space="preserve">determining </w:t>
      </w:r>
      <w:r w:rsidRPr="00134CF0">
        <w:t>the value of the interest on that day</w:t>
      </w:r>
      <w:r w:rsidR="00BD5E04" w:rsidRPr="00134CF0">
        <w:t>.</w:t>
      </w:r>
    </w:p>
    <w:p w14:paraId="37A73298" w14:textId="77777777" w:rsidR="000474FE" w:rsidRPr="00134CF0" w:rsidRDefault="00CF6F87" w:rsidP="00146E95">
      <w:pPr>
        <w:pStyle w:val="subsection"/>
      </w:pPr>
      <w:r w:rsidRPr="00134CF0">
        <w:tab/>
        <w:t>(2)</w:t>
      </w:r>
      <w:r w:rsidRPr="00134CF0">
        <w:tab/>
      </w:r>
      <w:r w:rsidR="003F3B98" w:rsidRPr="00134CF0">
        <w:t xml:space="preserve">The </w:t>
      </w:r>
      <w:r w:rsidR="00A26210" w:rsidRPr="00134CF0">
        <w:t xml:space="preserve">superannuation interest has </w:t>
      </w:r>
      <w:r w:rsidR="00065931" w:rsidRPr="00134CF0">
        <w:t>a</w:t>
      </w:r>
      <w:r w:rsidR="00747668" w:rsidRPr="00134CF0">
        <w:t xml:space="preserve"> </w:t>
      </w:r>
      <w:r w:rsidR="007C061F" w:rsidRPr="00134CF0">
        <w:rPr>
          <w:b/>
          <w:i/>
        </w:rPr>
        <w:t>f</w:t>
      </w:r>
      <w:r w:rsidR="00A26210" w:rsidRPr="00134CF0">
        <w:rPr>
          <w:b/>
          <w:i/>
        </w:rPr>
        <w:t xml:space="preserve">amily </w:t>
      </w:r>
      <w:r w:rsidR="007C061F" w:rsidRPr="00134CF0">
        <w:rPr>
          <w:b/>
          <w:i/>
        </w:rPr>
        <w:t>l</w:t>
      </w:r>
      <w:r w:rsidR="00A26210" w:rsidRPr="00134CF0">
        <w:rPr>
          <w:b/>
          <w:i/>
        </w:rPr>
        <w:t>aw value</w:t>
      </w:r>
      <w:r w:rsidR="00065931" w:rsidRPr="00134CF0">
        <w:t xml:space="preserve"> equal to</w:t>
      </w:r>
      <w:r w:rsidR="00146E95" w:rsidRPr="00134CF0">
        <w:t>:</w:t>
      </w:r>
    </w:p>
    <w:p w14:paraId="244CC105" w14:textId="77777777" w:rsidR="00164AE3" w:rsidRPr="00134CF0" w:rsidRDefault="00164AE3" w:rsidP="00164AE3">
      <w:pPr>
        <w:pStyle w:val="paragraph"/>
      </w:pPr>
      <w:r w:rsidRPr="00134CF0">
        <w:lastRenderedPageBreak/>
        <w:tab/>
        <w:t>(a)</w:t>
      </w:r>
      <w:r w:rsidRPr="00134CF0">
        <w:tab/>
        <w:t xml:space="preserve">if </w:t>
      </w:r>
      <w:r w:rsidR="00EF0325" w:rsidRPr="00134CF0">
        <w:t>paragraph (</w:t>
      </w:r>
      <w:r w:rsidRPr="00134CF0">
        <w:t xml:space="preserve">1)(a) of this subsection applies—the gross value of the interest on that day, determined using the method or factors approved for the interest as mentioned in </w:t>
      </w:r>
      <w:r w:rsidR="00EF0325" w:rsidRPr="00134CF0">
        <w:t>paragraph (</w:t>
      </w:r>
      <w:r w:rsidRPr="00134CF0">
        <w:t>1)(a)</w:t>
      </w:r>
      <w:r w:rsidR="00065931" w:rsidRPr="00134CF0">
        <w:t>; or</w:t>
      </w:r>
    </w:p>
    <w:p w14:paraId="2F95A174" w14:textId="77777777" w:rsidR="00164AE3" w:rsidRPr="00134CF0" w:rsidRDefault="00164AE3" w:rsidP="00164AE3">
      <w:pPr>
        <w:pStyle w:val="paragraph"/>
      </w:pPr>
      <w:r w:rsidRPr="00134CF0">
        <w:tab/>
        <w:t>(b)</w:t>
      </w:r>
      <w:r w:rsidRPr="00134CF0">
        <w:tab/>
        <w:t xml:space="preserve">if </w:t>
      </w:r>
      <w:r w:rsidR="00EF0325" w:rsidRPr="00134CF0">
        <w:t>paragraph (</w:t>
      </w:r>
      <w:r w:rsidRPr="00134CF0">
        <w:t xml:space="preserve">1)(a) does not apply, but </w:t>
      </w:r>
      <w:r w:rsidR="00EF0325" w:rsidRPr="00134CF0">
        <w:t>paragraph (</w:t>
      </w:r>
      <w:r w:rsidRPr="00134CF0">
        <w:t xml:space="preserve">1)(b) applies—the gross value of the interest on that day, determined using the method mentioned in </w:t>
      </w:r>
      <w:r w:rsidR="00EF0325" w:rsidRPr="00134CF0">
        <w:t>paragraph (</w:t>
      </w:r>
      <w:r w:rsidRPr="00134CF0">
        <w:t>1)(b);</w:t>
      </w:r>
      <w:r w:rsidR="00065931" w:rsidRPr="00134CF0">
        <w:t xml:space="preserve"> or</w:t>
      </w:r>
    </w:p>
    <w:p w14:paraId="1A5FA14E" w14:textId="77777777" w:rsidR="00164AE3" w:rsidRPr="00134CF0" w:rsidRDefault="00164AE3" w:rsidP="00164AE3">
      <w:pPr>
        <w:pStyle w:val="paragraph"/>
      </w:pPr>
      <w:r w:rsidRPr="00134CF0">
        <w:tab/>
        <w:t>(c)</w:t>
      </w:r>
      <w:r w:rsidRPr="00134CF0">
        <w:tab/>
        <w:t xml:space="preserve">if </w:t>
      </w:r>
      <w:r w:rsidR="00EF0325" w:rsidRPr="00134CF0">
        <w:t>paragraphs (</w:t>
      </w:r>
      <w:r w:rsidRPr="00134CF0">
        <w:t xml:space="preserve">1)(a) and (b) do not apply, but </w:t>
      </w:r>
      <w:r w:rsidR="00EF0325" w:rsidRPr="00134CF0">
        <w:t>paragraph (</w:t>
      </w:r>
      <w:r w:rsidRPr="00134CF0">
        <w:t>1)(c) applies—</w:t>
      </w:r>
      <w:r w:rsidR="00980848" w:rsidRPr="00134CF0">
        <w:t xml:space="preserve">the value of the interest on that day, determined using the method mentioned in </w:t>
      </w:r>
      <w:r w:rsidR="00EF0325" w:rsidRPr="00134CF0">
        <w:t>paragraph (</w:t>
      </w:r>
      <w:r w:rsidR="00980848" w:rsidRPr="00134CF0">
        <w:t>1)(c).</w:t>
      </w:r>
    </w:p>
    <w:p w14:paraId="61BBEFB8" w14:textId="77777777" w:rsidR="00500A19" w:rsidRPr="00134CF0" w:rsidRDefault="00CF6F87" w:rsidP="00CF6F87">
      <w:pPr>
        <w:pStyle w:val="subsection"/>
      </w:pPr>
      <w:r w:rsidRPr="00134CF0">
        <w:tab/>
        <w:t>(3)</w:t>
      </w:r>
      <w:r w:rsidRPr="00134CF0">
        <w:tab/>
        <w:t xml:space="preserve">For the purposes of </w:t>
      </w:r>
      <w:r w:rsidR="004B2640" w:rsidRPr="00134CF0">
        <w:t>this section</w:t>
      </w:r>
      <w:r w:rsidR="00500A19" w:rsidRPr="00134CF0">
        <w:t>:</w:t>
      </w:r>
    </w:p>
    <w:p w14:paraId="01E86381" w14:textId="77777777" w:rsidR="000C58F0" w:rsidRPr="00134CF0" w:rsidRDefault="000C58F0" w:rsidP="00462F67">
      <w:pPr>
        <w:pStyle w:val="paragraph"/>
      </w:pPr>
      <w:r w:rsidRPr="00134CF0">
        <w:tab/>
        <w:t>(a)</w:t>
      </w:r>
      <w:r w:rsidRPr="00134CF0">
        <w:tab/>
        <w:t xml:space="preserve">treat a reference in </w:t>
      </w:r>
      <w:r w:rsidR="00C96F3A" w:rsidRPr="00134CF0">
        <w:t>Schedule 2</w:t>
      </w:r>
      <w:r w:rsidR="00980848" w:rsidRPr="00134CF0">
        <w:t>,</w:t>
      </w:r>
      <w:r w:rsidRPr="00134CF0">
        <w:t xml:space="preserve"> 4</w:t>
      </w:r>
      <w:r w:rsidR="004A5124" w:rsidRPr="00134CF0">
        <w:t xml:space="preserve">, </w:t>
      </w:r>
      <w:r w:rsidR="00980848" w:rsidRPr="00134CF0">
        <w:t>4A</w:t>
      </w:r>
      <w:r w:rsidR="004A5124" w:rsidRPr="00134CF0">
        <w:t xml:space="preserve"> or 5A</w:t>
      </w:r>
      <w:r w:rsidRPr="00134CF0">
        <w:t xml:space="preserve"> to the </w:t>
      </w:r>
      <w:r w:rsidRPr="00134CF0">
        <w:rPr>
          <w:i/>
        </w:rPr>
        <w:t xml:space="preserve">Family Law (Superannuation) </w:t>
      </w:r>
      <w:r w:rsidR="00C96F3A" w:rsidRPr="00134CF0">
        <w:rPr>
          <w:i/>
        </w:rPr>
        <w:t>Regulations 2</w:t>
      </w:r>
      <w:r w:rsidRPr="00134CF0">
        <w:rPr>
          <w:i/>
        </w:rPr>
        <w:t>001</w:t>
      </w:r>
      <w:r w:rsidRPr="00134CF0">
        <w:t xml:space="preserve"> </w:t>
      </w:r>
      <w:r w:rsidR="004964A0" w:rsidRPr="00134CF0">
        <w:t xml:space="preserve">to </w:t>
      </w:r>
      <w:r w:rsidR="00813F6B" w:rsidRPr="00134CF0">
        <w:t>“</w:t>
      </w:r>
      <w:r w:rsidR="004964A0" w:rsidRPr="00134CF0">
        <w:t>member spouse</w:t>
      </w:r>
      <w:r w:rsidR="00813F6B" w:rsidRPr="00134CF0">
        <w:t>”</w:t>
      </w:r>
      <w:r w:rsidR="004964A0" w:rsidRPr="00134CF0">
        <w:t xml:space="preserve"> </w:t>
      </w:r>
      <w:r w:rsidRPr="00134CF0">
        <w:t xml:space="preserve">as being a reference to </w:t>
      </w:r>
      <w:r w:rsidR="00813F6B" w:rsidRPr="00134CF0">
        <w:t>“</w:t>
      </w:r>
      <w:r w:rsidR="00E9740C" w:rsidRPr="00134CF0">
        <w:t>member</w:t>
      </w:r>
      <w:r w:rsidR="00813F6B" w:rsidRPr="00134CF0">
        <w:t>”</w:t>
      </w:r>
      <w:r w:rsidRPr="00134CF0">
        <w:t>; and</w:t>
      </w:r>
    </w:p>
    <w:p w14:paraId="4B3DF06E" w14:textId="77777777" w:rsidR="004B2640" w:rsidRPr="00134CF0" w:rsidRDefault="004B2640" w:rsidP="00500A19">
      <w:pPr>
        <w:pStyle w:val="paragraph"/>
      </w:pPr>
      <w:r w:rsidRPr="00134CF0">
        <w:tab/>
        <w:t>(b)</w:t>
      </w:r>
      <w:r w:rsidRPr="00134CF0">
        <w:tab/>
        <w:t xml:space="preserve">treat a reference in </w:t>
      </w:r>
      <w:r w:rsidR="00C96F3A" w:rsidRPr="00134CF0">
        <w:t>Schedule 2</w:t>
      </w:r>
      <w:r w:rsidRPr="00134CF0">
        <w:t xml:space="preserve">, 4 or 5 to those Regulations to the relevant </w:t>
      </w:r>
      <w:r w:rsidR="00FC2E4B" w:rsidRPr="00134CF0">
        <w:t>date</w:t>
      </w:r>
      <w:r w:rsidRPr="00134CF0">
        <w:t xml:space="preserve"> as being a reference to the </w:t>
      </w:r>
      <w:r w:rsidR="00FC2E4B" w:rsidRPr="00134CF0">
        <w:t xml:space="preserve">day </w:t>
      </w:r>
      <w:r w:rsidR="008039C1" w:rsidRPr="00134CF0">
        <w:t xml:space="preserve">mentioned in </w:t>
      </w:r>
      <w:r w:rsidR="00C96F3A" w:rsidRPr="00134CF0">
        <w:t>subsection (</w:t>
      </w:r>
      <w:r w:rsidRPr="00134CF0">
        <w:t>1) of this section; and</w:t>
      </w:r>
    </w:p>
    <w:p w14:paraId="223D7805" w14:textId="77777777" w:rsidR="00E817F0" w:rsidRPr="00134CF0" w:rsidRDefault="00E817F0" w:rsidP="00500A19">
      <w:pPr>
        <w:pStyle w:val="paragraph"/>
      </w:pPr>
      <w:r w:rsidRPr="00134CF0">
        <w:tab/>
        <w:t>(</w:t>
      </w:r>
      <w:r w:rsidR="00663F87" w:rsidRPr="00134CF0">
        <w:t>c</w:t>
      </w:r>
      <w:r w:rsidRPr="00134CF0">
        <w:t>)</w:t>
      </w:r>
      <w:r w:rsidRPr="00134CF0">
        <w:tab/>
        <w:t xml:space="preserve">treat a reference in </w:t>
      </w:r>
      <w:r w:rsidR="003766C6" w:rsidRPr="00134CF0">
        <w:t>Schedule 4</w:t>
      </w:r>
      <w:r w:rsidRPr="00134CF0">
        <w:t>A or 5A</w:t>
      </w:r>
      <w:r w:rsidR="004A5124" w:rsidRPr="00134CF0">
        <w:t xml:space="preserve"> to those Regulations</w:t>
      </w:r>
      <w:r w:rsidRPr="00134CF0">
        <w:t xml:space="preserve"> to the termination </w:t>
      </w:r>
      <w:r w:rsidR="00444EC3" w:rsidRPr="00134CF0">
        <w:t>time</w:t>
      </w:r>
      <w:r w:rsidRPr="00134CF0">
        <w:t xml:space="preserve"> as being a reference to the </w:t>
      </w:r>
      <w:r w:rsidR="005F59BA" w:rsidRPr="00134CF0">
        <w:t xml:space="preserve">time </w:t>
      </w:r>
      <w:r w:rsidR="00444EC3" w:rsidRPr="00134CF0">
        <w:t xml:space="preserve">mentioned in </w:t>
      </w:r>
      <w:r w:rsidR="00C96F3A" w:rsidRPr="00134CF0">
        <w:t>subsection (</w:t>
      </w:r>
      <w:r w:rsidR="00444EC3" w:rsidRPr="00134CF0">
        <w:t>1) of this section; and</w:t>
      </w:r>
    </w:p>
    <w:p w14:paraId="2B3209F2" w14:textId="77777777" w:rsidR="00E20020" w:rsidRPr="00134CF0" w:rsidRDefault="00500A19" w:rsidP="00500A19">
      <w:pPr>
        <w:pStyle w:val="paragraph"/>
      </w:pPr>
      <w:r w:rsidRPr="00134CF0">
        <w:tab/>
        <w:t>(</w:t>
      </w:r>
      <w:r w:rsidR="00663F87" w:rsidRPr="00134CF0">
        <w:t>d</w:t>
      </w:r>
      <w:r w:rsidRPr="00134CF0">
        <w:t>)</w:t>
      </w:r>
      <w:r w:rsidRPr="00134CF0">
        <w:tab/>
        <w:t xml:space="preserve">disregard the words </w:t>
      </w:r>
      <w:r w:rsidR="00813F6B" w:rsidRPr="00134CF0">
        <w:t>“</w:t>
      </w:r>
      <w:r w:rsidRPr="00134CF0">
        <w:t xml:space="preserve">provided by the trustee under </w:t>
      </w:r>
      <w:r w:rsidR="0022597E" w:rsidRPr="00134CF0">
        <w:t>section 9</w:t>
      </w:r>
      <w:r w:rsidRPr="00134CF0">
        <w:t>0XZB or 90YZR of the Act</w:t>
      </w:r>
      <w:r w:rsidR="00813F6B" w:rsidRPr="00134CF0">
        <w:t>”</w:t>
      </w:r>
      <w:r w:rsidRPr="00134CF0">
        <w:t xml:space="preserve"> in </w:t>
      </w:r>
      <w:r w:rsidR="0022597E" w:rsidRPr="00134CF0">
        <w:t>subclauses 3</w:t>
      </w:r>
      <w:r w:rsidRPr="00134CF0">
        <w:t xml:space="preserve">0(1) and (2) of </w:t>
      </w:r>
      <w:r w:rsidR="00C96F3A" w:rsidRPr="00134CF0">
        <w:t>Schedule 2</w:t>
      </w:r>
      <w:r w:rsidRPr="00134CF0">
        <w:t xml:space="preserve"> to th</w:t>
      </w:r>
      <w:r w:rsidR="000C58F0" w:rsidRPr="00134CF0">
        <w:t>ose Regulations</w:t>
      </w:r>
      <w:r w:rsidRPr="00134CF0">
        <w:t>; and</w:t>
      </w:r>
    </w:p>
    <w:p w14:paraId="39B4503F" w14:textId="77777777" w:rsidR="00500A19" w:rsidRPr="00134CF0" w:rsidRDefault="00500A19" w:rsidP="00E20020">
      <w:pPr>
        <w:pStyle w:val="paragraph"/>
      </w:pPr>
      <w:r w:rsidRPr="00134CF0">
        <w:tab/>
        <w:t>(</w:t>
      </w:r>
      <w:r w:rsidR="00663F87" w:rsidRPr="00134CF0">
        <w:t>e</w:t>
      </w:r>
      <w:r w:rsidRPr="00134CF0">
        <w:t>)</w:t>
      </w:r>
      <w:r w:rsidRPr="00134CF0">
        <w:tab/>
        <w:t xml:space="preserve">disregard </w:t>
      </w:r>
      <w:r w:rsidR="00E20020" w:rsidRPr="00134CF0">
        <w:t xml:space="preserve">the </w:t>
      </w:r>
      <w:r w:rsidR="0044522D" w:rsidRPr="00134CF0">
        <w:t xml:space="preserve">words </w:t>
      </w:r>
      <w:r w:rsidR="00813F6B" w:rsidRPr="00134CF0">
        <w:t>“</w:t>
      </w:r>
      <w:r w:rsidR="0044522D" w:rsidRPr="00134CF0">
        <w:t xml:space="preserve">as provided by the trustee under </w:t>
      </w:r>
      <w:r w:rsidR="0022597E" w:rsidRPr="00134CF0">
        <w:t>section 9</w:t>
      </w:r>
      <w:r w:rsidR="0044522D" w:rsidRPr="00134CF0">
        <w:t>0XZB or 90YZR of the Act</w:t>
      </w:r>
      <w:r w:rsidR="00813F6B" w:rsidRPr="00134CF0">
        <w:t>”</w:t>
      </w:r>
      <w:r w:rsidR="0044522D" w:rsidRPr="00134CF0">
        <w:t xml:space="preserve"> </w:t>
      </w:r>
      <w:r w:rsidRPr="00134CF0">
        <w:t xml:space="preserve">wherever they occur in </w:t>
      </w:r>
      <w:r w:rsidR="0022597E" w:rsidRPr="00134CF0">
        <w:t>Schedules 2</w:t>
      </w:r>
      <w:r w:rsidRPr="00134CF0">
        <w:t xml:space="preserve"> and 4 to those Regulations.</w:t>
      </w:r>
    </w:p>
    <w:p w14:paraId="557757BA" w14:textId="77777777" w:rsidR="00464C2F" w:rsidRPr="00134CF0" w:rsidRDefault="00464C2F" w:rsidP="00464C2F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</w:t>
      </w:r>
      <w:r w:rsidR="005733A9" w:rsidRPr="0021546F">
        <w:rPr>
          <w:rStyle w:val="CharSectno"/>
        </w:rPr>
        <w:t>4</w:t>
      </w:r>
      <w:r w:rsidRPr="00134CF0">
        <w:t xml:space="preserve">  Total superannuation balance value—alternative valuation method</w:t>
      </w:r>
    </w:p>
    <w:p w14:paraId="5E6D686A" w14:textId="77777777" w:rsidR="00DB314B" w:rsidRPr="00134CF0" w:rsidRDefault="00FE6B37" w:rsidP="00481BD3">
      <w:pPr>
        <w:pStyle w:val="subsection"/>
      </w:pPr>
      <w:r w:rsidRPr="00134CF0">
        <w:tab/>
        <w:t>(1)</w:t>
      </w:r>
      <w:r w:rsidRPr="00134CF0">
        <w:tab/>
      </w:r>
      <w:r w:rsidR="0026176B" w:rsidRPr="00134CF0">
        <w:t>Th</w:t>
      </w:r>
      <w:r w:rsidR="00A26210" w:rsidRPr="00134CF0">
        <w:t>is section applies in relation to</w:t>
      </w:r>
      <w:r w:rsidR="0026176B" w:rsidRPr="00134CF0">
        <w:t xml:space="preserve"> a superannuation </w:t>
      </w:r>
      <w:r w:rsidR="00481BD3" w:rsidRPr="00134CF0">
        <w:t>interest at a particular time if, at that time</w:t>
      </w:r>
      <w:r w:rsidR="00DB314B" w:rsidRPr="00134CF0">
        <w:t>:</w:t>
      </w:r>
    </w:p>
    <w:p w14:paraId="264B8F4A" w14:textId="77777777" w:rsidR="0047686D" w:rsidRPr="00134CF0" w:rsidRDefault="00DB314B" w:rsidP="00DB314B">
      <w:pPr>
        <w:pStyle w:val="paragraph"/>
      </w:pPr>
      <w:r w:rsidRPr="00134CF0">
        <w:tab/>
        <w:t>(a)</w:t>
      </w:r>
      <w:r w:rsidRPr="00134CF0">
        <w:tab/>
      </w:r>
      <w:r w:rsidR="0047686D" w:rsidRPr="00134CF0">
        <w:t>the</w:t>
      </w:r>
      <w:r w:rsidR="002E03FF" w:rsidRPr="00134CF0">
        <w:t xml:space="preserve"> interest has a </w:t>
      </w:r>
      <w:r w:rsidR="007C061F" w:rsidRPr="00134CF0">
        <w:t>f</w:t>
      </w:r>
      <w:r w:rsidR="0047686D" w:rsidRPr="00134CF0">
        <w:t xml:space="preserve">amily </w:t>
      </w:r>
      <w:r w:rsidR="007C061F" w:rsidRPr="00134CF0">
        <w:t>l</w:t>
      </w:r>
      <w:r w:rsidR="0047686D" w:rsidRPr="00134CF0">
        <w:t>aw value; and</w:t>
      </w:r>
    </w:p>
    <w:p w14:paraId="3BC4C91F" w14:textId="77777777" w:rsidR="009D6A85" w:rsidRPr="00134CF0" w:rsidRDefault="0047686D" w:rsidP="0047686D">
      <w:pPr>
        <w:pStyle w:val="paragraph"/>
      </w:pPr>
      <w:r w:rsidRPr="00134CF0">
        <w:tab/>
        <w:t>(b)</w:t>
      </w:r>
      <w:r w:rsidRPr="00134CF0">
        <w:tab/>
      </w:r>
      <w:r w:rsidR="00CD26EE" w:rsidRPr="00134CF0">
        <w:t>a</w:t>
      </w:r>
      <w:r w:rsidR="00EB4516" w:rsidRPr="00134CF0">
        <w:t xml:space="preserve"> </w:t>
      </w:r>
      <w:r w:rsidR="00CD26EE" w:rsidRPr="00134CF0">
        <w:t>certificate</w:t>
      </w:r>
      <w:r w:rsidR="000F184B" w:rsidRPr="00134CF0">
        <w:t xml:space="preserve"> </w:t>
      </w:r>
      <w:r w:rsidR="00C55AA7" w:rsidRPr="00134CF0">
        <w:t>is in force in relation to the interest</w:t>
      </w:r>
      <w:r w:rsidR="00956D57" w:rsidRPr="00134CF0">
        <w:t xml:space="preserve"> under </w:t>
      </w:r>
      <w:r w:rsidR="003766C6" w:rsidRPr="00134CF0">
        <w:t>section 3</w:t>
      </w:r>
      <w:r w:rsidR="00956D57" w:rsidRPr="00134CF0">
        <w:t>07</w:t>
      </w:r>
      <w:r w:rsidR="006D7098">
        <w:noBreakHyphen/>
      </w:r>
      <w:r w:rsidR="00956D57" w:rsidRPr="00134CF0">
        <w:t>230A.05</w:t>
      </w:r>
      <w:r w:rsidR="009D6A85" w:rsidRPr="00134CF0">
        <w:t>.</w:t>
      </w:r>
    </w:p>
    <w:p w14:paraId="07648FCB" w14:textId="77777777" w:rsidR="00002A06" w:rsidRPr="00134CF0" w:rsidRDefault="00002A06" w:rsidP="00002A06">
      <w:pPr>
        <w:pStyle w:val="subsection"/>
      </w:pPr>
      <w:r w:rsidRPr="00134CF0">
        <w:tab/>
        <w:t>(2)</w:t>
      </w:r>
      <w:r w:rsidRPr="00134CF0">
        <w:tab/>
      </w:r>
      <w:r w:rsidR="00EB4516" w:rsidRPr="00134CF0">
        <w:t>The</w:t>
      </w:r>
      <w:r w:rsidR="00F6315C" w:rsidRPr="00134CF0">
        <w:t xml:space="preserve"> method specified in the certificate is the </w:t>
      </w:r>
      <w:r w:rsidR="00A26210" w:rsidRPr="00134CF0">
        <w:rPr>
          <w:b/>
          <w:i/>
        </w:rPr>
        <w:t>alternative valuation method</w:t>
      </w:r>
      <w:r w:rsidR="00F6315C" w:rsidRPr="00134CF0">
        <w:t xml:space="preserve"> for the interest</w:t>
      </w:r>
      <w:r w:rsidRPr="00134CF0">
        <w:t>.</w:t>
      </w:r>
    </w:p>
    <w:p w14:paraId="37ED16F1" w14:textId="77777777" w:rsidR="00124CD2" w:rsidRPr="00134CF0" w:rsidRDefault="00124CD2" w:rsidP="00124CD2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</w:t>
      </w:r>
      <w:r w:rsidR="00B84A43" w:rsidRPr="0021546F">
        <w:rPr>
          <w:rStyle w:val="CharSectno"/>
        </w:rPr>
        <w:t>5</w:t>
      </w:r>
      <w:r w:rsidRPr="00134CF0">
        <w:t xml:space="preserve">  Total superannuation balance value—alternative valuation </w:t>
      </w:r>
      <w:r w:rsidR="00002A06" w:rsidRPr="00134CF0">
        <w:t xml:space="preserve">method: </w:t>
      </w:r>
      <w:r w:rsidR="00E80468" w:rsidRPr="00134CF0">
        <w:t xml:space="preserve">issuing </w:t>
      </w:r>
      <w:r w:rsidRPr="00134CF0">
        <w:t>certificates</w:t>
      </w:r>
    </w:p>
    <w:p w14:paraId="1D95FE3C" w14:textId="77777777" w:rsidR="001435AA" w:rsidRPr="00134CF0" w:rsidRDefault="001435AA" w:rsidP="001435AA">
      <w:pPr>
        <w:pStyle w:val="SubsectionHead"/>
      </w:pPr>
      <w:r w:rsidRPr="00134CF0">
        <w:t>Issuing certificates</w:t>
      </w:r>
    </w:p>
    <w:p w14:paraId="1E46FFBE" w14:textId="77777777" w:rsidR="00405FA0" w:rsidRPr="00134CF0" w:rsidRDefault="000F184B" w:rsidP="00AE4221">
      <w:pPr>
        <w:pStyle w:val="subsection"/>
      </w:pPr>
      <w:r w:rsidRPr="00134CF0">
        <w:tab/>
        <w:t>(</w:t>
      </w:r>
      <w:r w:rsidR="00124CD2" w:rsidRPr="00134CF0">
        <w:t>1</w:t>
      </w:r>
      <w:r w:rsidRPr="00134CF0">
        <w:t>)</w:t>
      </w:r>
      <w:r w:rsidRPr="00134CF0">
        <w:tab/>
      </w:r>
      <w:r w:rsidR="001F7A31" w:rsidRPr="00134CF0">
        <w:t>A</w:t>
      </w:r>
      <w:r w:rsidR="009C7B10" w:rsidRPr="00134CF0">
        <w:t xml:space="preserve"> superannuation</w:t>
      </w:r>
      <w:r w:rsidR="0022242A" w:rsidRPr="00134CF0">
        <w:t xml:space="preserve"> actuary may</w:t>
      </w:r>
      <w:r w:rsidR="00405FA0" w:rsidRPr="00134CF0">
        <w:t xml:space="preserve"> issue a certificate under this subsection in relation to specified superannuation interests in a particular </w:t>
      </w:r>
      <w:r w:rsidR="005C5E21" w:rsidRPr="00134CF0">
        <w:t xml:space="preserve">defined benefit fund </w:t>
      </w:r>
      <w:r w:rsidR="00AE4221" w:rsidRPr="00134CF0">
        <w:t>if</w:t>
      </w:r>
      <w:r w:rsidR="00405FA0" w:rsidRPr="00134CF0">
        <w:t>:</w:t>
      </w:r>
    </w:p>
    <w:p w14:paraId="24CDDB7D" w14:textId="77777777" w:rsidR="00405FA0" w:rsidRPr="00134CF0" w:rsidRDefault="00405FA0" w:rsidP="00405FA0">
      <w:pPr>
        <w:pStyle w:val="paragraph"/>
      </w:pPr>
      <w:r w:rsidRPr="00134CF0">
        <w:tab/>
        <w:t>(a)</w:t>
      </w:r>
      <w:r w:rsidRPr="00134CF0">
        <w:tab/>
        <w:t xml:space="preserve">the </w:t>
      </w:r>
      <w:r w:rsidR="0090275A" w:rsidRPr="00134CF0">
        <w:t xml:space="preserve">superannuation </w:t>
      </w:r>
      <w:r w:rsidRPr="00134CF0">
        <w:t>actuary is requested to do so by the</w:t>
      </w:r>
      <w:r w:rsidR="005205B3" w:rsidRPr="00134CF0">
        <w:t xml:space="preserve"> trustee of the fund</w:t>
      </w:r>
      <w:r w:rsidRPr="00134CF0">
        <w:t>; and</w:t>
      </w:r>
    </w:p>
    <w:p w14:paraId="086A1E7C" w14:textId="77777777" w:rsidR="00942109" w:rsidRPr="00134CF0" w:rsidRDefault="00405FA0" w:rsidP="00405FA0">
      <w:pPr>
        <w:pStyle w:val="paragraph"/>
      </w:pPr>
      <w:r w:rsidRPr="00134CF0">
        <w:tab/>
        <w:t>(</w:t>
      </w:r>
      <w:r w:rsidR="005C5E21" w:rsidRPr="00134CF0">
        <w:t>b</w:t>
      </w:r>
      <w:r w:rsidRPr="00134CF0">
        <w:t>)</w:t>
      </w:r>
      <w:r w:rsidRPr="00134CF0">
        <w:tab/>
      </w:r>
      <w:r w:rsidR="00FB0EA2" w:rsidRPr="00134CF0">
        <w:t xml:space="preserve">in the opinion of the </w:t>
      </w:r>
      <w:r w:rsidR="0090275A" w:rsidRPr="00134CF0">
        <w:t xml:space="preserve">superannuation </w:t>
      </w:r>
      <w:r w:rsidR="00FB0EA2" w:rsidRPr="00134CF0">
        <w:t>actuary,</w:t>
      </w:r>
      <w:r w:rsidR="00464C2F" w:rsidRPr="00134CF0">
        <w:t xml:space="preserve"> a specified method of valuing</w:t>
      </w:r>
      <w:r w:rsidR="00D20162" w:rsidRPr="00134CF0">
        <w:t xml:space="preserve"> </w:t>
      </w:r>
      <w:r w:rsidR="00942109" w:rsidRPr="00134CF0">
        <w:t>the interests</w:t>
      </w:r>
      <w:r w:rsidR="00D20162" w:rsidRPr="00134CF0">
        <w:t xml:space="preserve"> </w:t>
      </w:r>
      <w:r w:rsidR="00464C2F" w:rsidRPr="00134CF0">
        <w:t xml:space="preserve">meets the requirements of </w:t>
      </w:r>
      <w:r w:rsidR="00C96F3A" w:rsidRPr="00134CF0">
        <w:t>subsection (</w:t>
      </w:r>
      <w:r w:rsidR="00942109" w:rsidRPr="00134CF0">
        <w:t>3</w:t>
      </w:r>
      <w:r w:rsidR="00464C2F" w:rsidRPr="00134CF0">
        <w:t>)</w:t>
      </w:r>
      <w:r w:rsidR="00FF4F9E" w:rsidRPr="00134CF0">
        <w:t xml:space="preserve"> at a specified time</w:t>
      </w:r>
      <w:r w:rsidR="00B45A4D" w:rsidRPr="00134CF0">
        <w:t>.</w:t>
      </w:r>
    </w:p>
    <w:p w14:paraId="6A2026E1" w14:textId="77777777" w:rsidR="00B45A4D" w:rsidRPr="00134CF0" w:rsidRDefault="00942109" w:rsidP="00942109">
      <w:pPr>
        <w:pStyle w:val="subsection"/>
      </w:pPr>
      <w:r w:rsidRPr="00134CF0">
        <w:tab/>
        <w:t>(2)</w:t>
      </w:r>
      <w:r w:rsidRPr="00134CF0">
        <w:tab/>
      </w:r>
      <w:r w:rsidR="00B45A4D" w:rsidRPr="00134CF0">
        <w:t>The specified superannuation interests must be:</w:t>
      </w:r>
    </w:p>
    <w:p w14:paraId="6E80698A" w14:textId="77777777" w:rsidR="00D20162" w:rsidRPr="00134CF0" w:rsidRDefault="00D20162" w:rsidP="00D20162">
      <w:pPr>
        <w:pStyle w:val="paragraph"/>
      </w:pPr>
      <w:r w:rsidRPr="00134CF0">
        <w:tab/>
        <w:t>(a)</w:t>
      </w:r>
      <w:r w:rsidRPr="00134CF0">
        <w:tab/>
        <w:t xml:space="preserve">all superannuation interests in </w:t>
      </w:r>
      <w:r w:rsidR="00B45A4D" w:rsidRPr="00134CF0">
        <w:t>the fund</w:t>
      </w:r>
      <w:r w:rsidRPr="00134CF0">
        <w:t>; or</w:t>
      </w:r>
    </w:p>
    <w:p w14:paraId="4F5DD13D" w14:textId="77777777" w:rsidR="00D20162" w:rsidRPr="00134CF0" w:rsidRDefault="00D20162" w:rsidP="00D20162">
      <w:pPr>
        <w:pStyle w:val="paragraph"/>
      </w:pPr>
      <w:r w:rsidRPr="00134CF0">
        <w:lastRenderedPageBreak/>
        <w:tab/>
        <w:t>(b)</w:t>
      </w:r>
      <w:r w:rsidRPr="00134CF0">
        <w:tab/>
        <w:t xml:space="preserve">all superannuation interests in </w:t>
      </w:r>
      <w:r w:rsidR="00B45A4D" w:rsidRPr="00134CF0">
        <w:t xml:space="preserve">the fund </w:t>
      </w:r>
      <w:r w:rsidRPr="00134CF0">
        <w:t>of members who belong to a specified benefit category.</w:t>
      </w:r>
    </w:p>
    <w:p w14:paraId="5D30DF9C" w14:textId="77777777" w:rsidR="00AA7EE5" w:rsidRPr="00134CF0" w:rsidRDefault="00AA7EE5" w:rsidP="00AA7EE5">
      <w:pPr>
        <w:pStyle w:val="subsection"/>
      </w:pPr>
      <w:r w:rsidRPr="00134CF0">
        <w:tab/>
        <w:t>(</w:t>
      </w:r>
      <w:r w:rsidR="00942109" w:rsidRPr="00134CF0">
        <w:t>3</w:t>
      </w:r>
      <w:r w:rsidRPr="00134CF0">
        <w:t>)</w:t>
      </w:r>
      <w:r w:rsidRPr="00134CF0">
        <w:tab/>
      </w:r>
      <w:r w:rsidR="009E698F" w:rsidRPr="00134CF0">
        <w:t xml:space="preserve">The </w:t>
      </w:r>
      <w:r w:rsidR="00447E04" w:rsidRPr="00134CF0">
        <w:t xml:space="preserve">specified </w:t>
      </w:r>
      <w:r w:rsidR="009E698F" w:rsidRPr="00134CF0">
        <w:t xml:space="preserve">method meets the requirements of this subsection at a particular time if, </w:t>
      </w:r>
      <w:r w:rsidRPr="00134CF0">
        <w:t xml:space="preserve">were </w:t>
      </w:r>
      <w:r w:rsidR="00FE3153" w:rsidRPr="00134CF0">
        <w:t>the method used to determine the value</w:t>
      </w:r>
      <w:r w:rsidR="00801E9D" w:rsidRPr="00134CF0">
        <w:t>, at that time,</w:t>
      </w:r>
      <w:r w:rsidR="00FE3153" w:rsidRPr="00134CF0">
        <w:t xml:space="preserve"> of </w:t>
      </w:r>
      <w:r w:rsidR="0033728C" w:rsidRPr="00134CF0">
        <w:t xml:space="preserve">all of </w:t>
      </w:r>
      <w:r w:rsidRPr="00134CF0">
        <w:t xml:space="preserve">the </w:t>
      </w:r>
      <w:r w:rsidR="00DB314B" w:rsidRPr="00134CF0">
        <w:t xml:space="preserve">specified </w:t>
      </w:r>
      <w:r w:rsidRPr="00134CF0">
        <w:t>superannuation interest</w:t>
      </w:r>
      <w:r w:rsidR="007C7284" w:rsidRPr="00134CF0">
        <w:t>s</w:t>
      </w:r>
      <w:r w:rsidR="00FE3153" w:rsidRPr="00134CF0">
        <w:t xml:space="preserve">, </w:t>
      </w:r>
      <w:r w:rsidRPr="00134CF0">
        <w:t xml:space="preserve">the value </w:t>
      </w:r>
      <w:r w:rsidR="00FE3153" w:rsidRPr="00134CF0">
        <w:t xml:space="preserve">determined </w:t>
      </w:r>
      <w:r w:rsidRPr="00134CF0">
        <w:t xml:space="preserve">for each </w:t>
      </w:r>
      <w:r w:rsidR="00D44085" w:rsidRPr="00134CF0">
        <w:t>interest</w:t>
      </w:r>
      <w:r w:rsidRPr="00134CF0">
        <w:t xml:space="preserve"> would be:</w:t>
      </w:r>
    </w:p>
    <w:p w14:paraId="36FF4455" w14:textId="77777777" w:rsidR="00AA7EE5" w:rsidRPr="00134CF0" w:rsidRDefault="00AA7EE5" w:rsidP="00AA7EE5">
      <w:pPr>
        <w:pStyle w:val="paragraph"/>
      </w:pPr>
      <w:r w:rsidRPr="00134CF0">
        <w:tab/>
        <w:t>(</w:t>
      </w:r>
      <w:r w:rsidR="00D5546F" w:rsidRPr="00134CF0">
        <w:t>a</w:t>
      </w:r>
      <w:r w:rsidRPr="00134CF0">
        <w:t>)</w:t>
      </w:r>
      <w:r w:rsidRPr="00134CF0">
        <w:tab/>
      </w:r>
      <w:r w:rsidR="00A93DF1" w:rsidRPr="00134CF0">
        <w:t xml:space="preserve">not less than </w:t>
      </w:r>
      <w:r w:rsidRPr="00134CF0">
        <w:t>90%</w:t>
      </w:r>
      <w:r w:rsidR="00504FA1" w:rsidRPr="00134CF0">
        <w:t xml:space="preserve"> of the family law value of the interest</w:t>
      </w:r>
      <w:r w:rsidRPr="00134CF0">
        <w:t>; and</w:t>
      </w:r>
    </w:p>
    <w:p w14:paraId="79ED307D" w14:textId="77777777" w:rsidR="00AA7EE5" w:rsidRPr="00134CF0" w:rsidRDefault="00AA7EE5" w:rsidP="00504FA1">
      <w:pPr>
        <w:pStyle w:val="paragraph"/>
      </w:pPr>
      <w:r w:rsidRPr="00134CF0">
        <w:tab/>
        <w:t>(</w:t>
      </w:r>
      <w:r w:rsidR="00D5546F" w:rsidRPr="00134CF0">
        <w:t>b</w:t>
      </w:r>
      <w:r w:rsidRPr="00134CF0">
        <w:t>)</w:t>
      </w:r>
      <w:r w:rsidRPr="00134CF0">
        <w:tab/>
      </w:r>
      <w:r w:rsidR="00AF3CA8" w:rsidRPr="00134CF0">
        <w:t>no</w:t>
      </w:r>
      <w:r w:rsidR="00A93DF1" w:rsidRPr="00134CF0">
        <w:t xml:space="preserve">t greater than </w:t>
      </w:r>
      <w:r w:rsidRPr="00134CF0">
        <w:t>110%</w:t>
      </w:r>
      <w:r w:rsidR="00504FA1" w:rsidRPr="00134CF0">
        <w:t xml:space="preserve"> of the family law value of the interest.</w:t>
      </w:r>
    </w:p>
    <w:p w14:paraId="1B6A33C8" w14:textId="77777777" w:rsidR="00D44085" w:rsidRPr="00134CF0" w:rsidRDefault="00D44085" w:rsidP="00D44085">
      <w:pPr>
        <w:pStyle w:val="subsection"/>
      </w:pPr>
      <w:r w:rsidRPr="00134CF0">
        <w:tab/>
        <w:t>(</w:t>
      </w:r>
      <w:r w:rsidR="00942109" w:rsidRPr="00134CF0">
        <w:t>4</w:t>
      </w:r>
      <w:r w:rsidRPr="00134CF0">
        <w:t>)</w:t>
      </w:r>
      <w:r w:rsidRPr="00134CF0">
        <w:tab/>
        <w:t xml:space="preserve">To avoid doubt, the requirement </w:t>
      </w:r>
      <w:r w:rsidR="0006089A" w:rsidRPr="00134CF0">
        <w:t xml:space="preserve">in </w:t>
      </w:r>
      <w:r w:rsidR="00C96F3A" w:rsidRPr="00134CF0">
        <w:t>subsection (</w:t>
      </w:r>
      <w:r w:rsidR="00942109" w:rsidRPr="00134CF0">
        <w:t>3</w:t>
      </w:r>
      <w:r w:rsidR="0006089A" w:rsidRPr="00134CF0">
        <w:t xml:space="preserve">) </w:t>
      </w:r>
      <w:r w:rsidRPr="00134CF0">
        <w:t>is not met</w:t>
      </w:r>
      <w:r w:rsidR="00F958E6" w:rsidRPr="00134CF0">
        <w:t xml:space="preserve"> </w:t>
      </w:r>
      <w:r w:rsidR="00022986" w:rsidRPr="00134CF0">
        <w:t xml:space="preserve">at a particular </w:t>
      </w:r>
      <w:r w:rsidR="00F958E6" w:rsidRPr="00134CF0">
        <w:t>time</w:t>
      </w:r>
      <w:r w:rsidRPr="00134CF0">
        <w:t xml:space="preserve"> </w:t>
      </w:r>
      <w:r w:rsidR="0006089A" w:rsidRPr="00134CF0">
        <w:t>unless</w:t>
      </w:r>
      <w:r w:rsidRPr="00134CF0">
        <w:t xml:space="preserve"> all of the specified interests</w:t>
      </w:r>
      <w:r w:rsidR="00F958E6" w:rsidRPr="00134CF0">
        <w:t xml:space="preserve"> </w:t>
      </w:r>
      <w:r w:rsidR="00DA136C" w:rsidRPr="00134CF0">
        <w:t xml:space="preserve">have </w:t>
      </w:r>
      <w:r w:rsidR="007C061F" w:rsidRPr="00134CF0">
        <w:t>f</w:t>
      </w:r>
      <w:r w:rsidR="00DA136C" w:rsidRPr="00134CF0">
        <w:t xml:space="preserve">amily </w:t>
      </w:r>
      <w:r w:rsidR="007C061F" w:rsidRPr="00134CF0">
        <w:t>l</w:t>
      </w:r>
      <w:r w:rsidR="00DA136C" w:rsidRPr="00134CF0">
        <w:t xml:space="preserve">aw values </w:t>
      </w:r>
      <w:r w:rsidR="00F958E6" w:rsidRPr="00134CF0">
        <w:t>at that time</w:t>
      </w:r>
      <w:r w:rsidRPr="00134CF0">
        <w:t>.</w:t>
      </w:r>
    </w:p>
    <w:p w14:paraId="5451499C" w14:textId="77777777" w:rsidR="00464C2F" w:rsidRPr="00134CF0" w:rsidRDefault="00464C2F" w:rsidP="00464C2F">
      <w:pPr>
        <w:pStyle w:val="subsection"/>
      </w:pPr>
      <w:r w:rsidRPr="00134CF0">
        <w:tab/>
        <w:t>(</w:t>
      </w:r>
      <w:r w:rsidR="00D20960" w:rsidRPr="00134CF0">
        <w:t>5</w:t>
      </w:r>
      <w:r w:rsidRPr="00134CF0">
        <w:t>)</w:t>
      </w:r>
      <w:r w:rsidRPr="00134CF0">
        <w:tab/>
      </w:r>
      <w:r w:rsidR="00942109" w:rsidRPr="00134CF0">
        <w:t>The certificate must</w:t>
      </w:r>
      <w:r w:rsidRPr="00134CF0">
        <w:t>:</w:t>
      </w:r>
    </w:p>
    <w:p w14:paraId="4D81CA3A" w14:textId="77777777" w:rsidR="00464C2F" w:rsidRPr="00134CF0" w:rsidRDefault="00464C2F" w:rsidP="00464C2F">
      <w:pPr>
        <w:pStyle w:val="paragraph"/>
      </w:pPr>
      <w:r w:rsidRPr="00134CF0">
        <w:tab/>
        <w:t>(a)</w:t>
      </w:r>
      <w:r w:rsidRPr="00134CF0">
        <w:tab/>
        <w:t>be in writing; and</w:t>
      </w:r>
    </w:p>
    <w:p w14:paraId="0737E3C6" w14:textId="77777777" w:rsidR="004605A4" w:rsidRPr="00134CF0" w:rsidRDefault="00464C2F" w:rsidP="00464C2F">
      <w:pPr>
        <w:pStyle w:val="paragraph"/>
      </w:pPr>
      <w:r w:rsidRPr="00134CF0">
        <w:tab/>
        <w:t>(b)</w:t>
      </w:r>
      <w:r w:rsidRPr="00134CF0">
        <w:tab/>
        <w:t>state</w:t>
      </w:r>
      <w:r w:rsidR="004605A4" w:rsidRPr="00134CF0">
        <w:t>:</w:t>
      </w:r>
    </w:p>
    <w:p w14:paraId="0629C819" w14:textId="77777777" w:rsidR="00464C2F" w:rsidRPr="00134CF0" w:rsidRDefault="004605A4" w:rsidP="004605A4">
      <w:pPr>
        <w:pStyle w:val="paragraphsub"/>
      </w:pPr>
      <w:r w:rsidRPr="00134CF0">
        <w:tab/>
        <w:t>(i)</w:t>
      </w:r>
      <w:r w:rsidRPr="00134CF0">
        <w:tab/>
      </w:r>
      <w:r w:rsidR="00464C2F" w:rsidRPr="00134CF0">
        <w:t xml:space="preserve">the name of the </w:t>
      </w:r>
      <w:r w:rsidR="00584AA7" w:rsidRPr="00134CF0">
        <w:t>fund</w:t>
      </w:r>
      <w:r w:rsidR="00464C2F" w:rsidRPr="00134CF0">
        <w:t>; and</w:t>
      </w:r>
    </w:p>
    <w:p w14:paraId="0BEE1E28" w14:textId="77777777" w:rsidR="00BB44D0" w:rsidRPr="00134CF0" w:rsidRDefault="00464C2F" w:rsidP="004605A4">
      <w:pPr>
        <w:pStyle w:val="paragraphsub"/>
      </w:pPr>
      <w:r w:rsidRPr="00134CF0">
        <w:tab/>
        <w:t>(</w:t>
      </w:r>
      <w:r w:rsidR="004605A4" w:rsidRPr="00134CF0">
        <w:t>ii</w:t>
      </w:r>
      <w:r w:rsidRPr="00134CF0">
        <w:t>)</w:t>
      </w:r>
      <w:r w:rsidRPr="00134CF0">
        <w:tab/>
        <w:t xml:space="preserve">the name of the </w:t>
      </w:r>
      <w:r w:rsidR="0090275A" w:rsidRPr="00134CF0">
        <w:t xml:space="preserve">superannuation </w:t>
      </w:r>
      <w:r w:rsidRPr="00134CF0">
        <w:t>actuary</w:t>
      </w:r>
      <w:r w:rsidR="00942109" w:rsidRPr="00134CF0">
        <w:t>; and</w:t>
      </w:r>
    </w:p>
    <w:p w14:paraId="4907AB6A" w14:textId="77777777" w:rsidR="00942109" w:rsidRPr="00134CF0" w:rsidRDefault="00942109" w:rsidP="004605A4">
      <w:pPr>
        <w:pStyle w:val="paragraphsub"/>
      </w:pPr>
      <w:r w:rsidRPr="00134CF0">
        <w:tab/>
        <w:t>(iii)</w:t>
      </w:r>
      <w:r w:rsidRPr="00134CF0">
        <w:tab/>
      </w:r>
      <w:r w:rsidR="00ED7F32" w:rsidRPr="00134CF0">
        <w:t xml:space="preserve">that, in the opinion of the </w:t>
      </w:r>
      <w:r w:rsidR="0090275A" w:rsidRPr="00134CF0">
        <w:t xml:space="preserve">superannuation </w:t>
      </w:r>
      <w:r w:rsidR="00ED7F32" w:rsidRPr="00134CF0">
        <w:t xml:space="preserve">actuary, the specified method of valuing the specified interests meets the requirements of </w:t>
      </w:r>
      <w:r w:rsidR="00C96F3A" w:rsidRPr="00134CF0">
        <w:t>subsection (</w:t>
      </w:r>
      <w:r w:rsidR="00ED7F32" w:rsidRPr="00134CF0">
        <w:t>3) at the specified time.</w:t>
      </w:r>
    </w:p>
    <w:p w14:paraId="4647D4E7" w14:textId="77777777" w:rsidR="00AB05F4" w:rsidRPr="00134CF0" w:rsidRDefault="00AB05F4" w:rsidP="00AB05F4">
      <w:pPr>
        <w:pStyle w:val="SubsectionHead"/>
      </w:pPr>
      <w:r w:rsidRPr="00134CF0">
        <w:t>When certificate is in force</w:t>
      </w:r>
    </w:p>
    <w:p w14:paraId="4CBF8220" w14:textId="77777777" w:rsidR="00E775F6" w:rsidRPr="00134CF0" w:rsidRDefault="004605A4" w:rsidP="004605A4">
      <w:pPr>
        <w:pStyle w:val="subsection"/>
      </w:pPr>
      <w:r w:rsidRPr="00134CF0">
        <w:tab/>
        <w:t>(</w:t>
      </w:r>
      <w:r w:rsidR="00650DBA" w:rsidRPr="00134CF0">
        <w:t>6</w:t>
      </w:r>
      <w:r w:rsidR="00D20960" w:rsidRPr="00134CF0">
        <w:t>)</w:t>
      </w:r>
      <w:r w:rsidRPr="00134CF0">
        <w:tab/>
      </w:r>
      <w:r w:rsidR="00110B38" w:rsidRPr="00134CF0">
        <w:t xml:space="preserve">Subject to </w:t>
      </w:r>
      <w:r w:rsidR="00C96F3A" w:rsidRPr="00134CF0">
        <w:t>subsection (</w:t>
      </w:r>
      <w:r w:rsidR="00110B38" w:rsidRPr="00134CF0">
        <w:t>7), a</w:t>
      </w:r>
      <w:r w:rsidRPr="00134CF0">
        <w:t xml:space="preserve"> certificate </w:t>
      </w:r>
      <w:r w:rsidR="008B52D2" w:rsidRPr="00134CF0">
        <w:t xml:space="preserve">(the </w:t>
      </w:r>
      <w:r w:rsidR="008B52D2" w:rsidRPr="00134CF0">
        <w:rPr>
          <w:b/>
          <w:i/>
        </w:rPr>
        <w:t>current certificate</w:t>
      </w:r>
      <w:r w:rsidR="008B52D2" w:rsidRPr="00134CF0">
        <w:t xml:space="preserve">) </w:t>
      </w:r>
      <w:r w:rsidRPr="00134CF0">
        <w:t xml:space="preserve">issued under </w:t>
      </w:r>
      <w:r w:rsidR="00C96F3A" w:rsidRPr="00134CF0">
        <w:t>subsection (</w:t>
      </w:r>
      <w:r w:rsidRPr="00134CF0">
        <w:t>1)</w:t>
      </w:r>
      <w:r w:rsidR="00E775F6" w:rsidRPr="00134CF0">
        <w:t xml:space="preserve"> in relation to superannuation interests in a defined benefit fund:</w:t>
      </w:r>
    </w:p>
    <w:p w14:paraId="69EFE827" w14:textId="77777777" w:rsidR="004605A4" w:rsidRPr="00134CF0" w:rsidRDefault="004605A4" w:rsidP="004605A4">
      <w:pPr>
        <w:pStyle w:val="paragraph"/>
      </w:pPr>
      <w:r w:rsidRPr="00134CF0">
        <w:tab/>
        <w:t>(a)</w:t>
      </w:r>
      <w:r w:rsidRPr="00134CF0">
        <w:tab/>
        <w:t>comes into force at the</w:t>
      </w:r>
      <w:r w:rsidR="0097194C" w:rsidRPr="00134CF0">
        <w:t xml:space="preserve"> specified</w:t>
      </w:r>
      <w:r w:rsidRPr="00134CF0">
        <w:t xml:space="preserve"> time </w:t>
      </w:r>
      <w:r w:rsidR="0097194C" w:rsidRPr="00134CF0">
        <w:t xml:space="preserve">mentioned in </w:t>
      </w:r>
      <w:r w:rsidR="00C96F3A" w:rsidRPr="00134CF0">
        <w:t>subsection (</w:t>
      </w:r>
      <w:r w:rsidR="008046AD" w:rsidRPr="00134CF0">
        <w:t>1</w:t>
      </w:r>
      <w:r w:rsidRPr="00134CF0">
        <w:t>) (even if that time occurs before the certificate is issued); and</w:t>
      </w:r>
    </w:p>
    <w:p w14:paraId="33AA1AE7" w14:textId="77777777" w:rsidR="00DE35C5" w:rsidRPr="00134CF0" w:rsidRDefault="004605A4" w:rsidP="004605A4">
      <w:pPr>
        <w:pStyle w:val="paragraph"/>
      </w:pPr>
      <w:r w:rsidRPr="00134CF0">
        <w:tab/>
        <w:t>(b)</w:t>
      </w:r>
      <w:r w:rsidRPr="00134CF0">
        <w:tab/>
        <w:t>ceases to be in force</w:t>
      </w:r>
      <w:r w:rsidR="00DE35C5" w:rsidRPr="00134CF0">
        <w:t xml:space="preserve"> at the earlie</w:t>
      </w:r>
      <w:r w:rsidR="00321C78" w:rsidRPr="00134CF0">
        <w:t>st of the following times</w:t>
      </w:r>
      <w:r w:rsidR="00DE35C5" w:rsidRPr="00134CF0">
        <w:t>:</w:t>
      </w:r>
    </w:p>
    <w:p w14:paraId="1FD6D7A0" w14:textId="77777777" w:rsidR="00DE35C5" w:rsidRPr="00134CF0" w:rsidRDefault="00DE35C5" w:rsidP="00DE35C5">
      <w:pPr>
        <w:pStyle w:val="paragraphsub"/>
      </w:pPr>
      <w:r w:rsidRPr="00134CF0">
        <w:tab/>
        <w:t>(i)</w:t>
      </w:r>
      <w:r w:rsidRPr="00134CF0">
        <w:tab/>
      </w:r>
      <w:r w:rsidR="008046AD" w:rsidRPr="00134CF0">
        <w:t xml:space="preserve">the end of </w:t>
      </w:r>
      <w:r w:rsidRPr="00134CF0">
        <w:t xml:space="preserve">3 years </w:t>
      </w:r>
      <w:r w:rsidR="008046AD" w:rsidRPr="00134CF0">
        <w:t xml:space="preserve">starting when </w:t>
      </w:r>
      <w:r w:rsidR="00321C78" w:rsidRPr="00134CF0">
        <w:t>the certificate</w:t>
      </w:r>
      <w:r w:rsidRPr="00134CF0">
        <w:t xml:space="preserve"> comes into force;</w:t>
      </w:r>
    </w:p>
    <w:p w14:paraId="101AE873" w14:textId="77777777" w:rsidR="00DE35C5" w:rsidRPr="00134CF0" w:rsidRDefault="00DE35C5" w:rsidP="00DE35C5">
      <w:pPr>
        <w:pStyle w:val="paragraphsub"/>
      </w:pPr>
      <w:r w:rsidRPr="00134CF0">
        <w:tab/>
        <w:t>(ii)</w:t>
      </w:r>
      <w:r w:rsidRPr="00134CF0">
        <w:tab/>
      </w:r>
      <w:r w:rsidR="00321C78" w:rsidRPr="00134CF0">
        <w:t xml:space="preserve">when the certificate is </w:t>
      </w:r>
      <w:r w:rsidR="009F7C81" w:rsidRPr="00134CF0">
        <w:t>withdrawn</w:t>
      </w:r>
      <w:r w:rsidR="00321C78" w:rsidRPr="00134CF0">
        <w:t xml:space="preserve"> under </w:t>
      </w:r>
      <w:r w:rsidR="003766C6" w:rsidRPr="00134CF0">
        <w:t>section 3</w:t>
      </w:r>
      <w:r w:rsidR="006B38B8" w:rsidRPr="00134CF0">
        <w:t>07</w:t>
      </w:r>
      <w:r w:rsidR="006D7098">
        <w:noBreakHyphen/>
      </w:r>
      <w:r w:rsidR="006B38B8" w:rsidRPr="00134CF0">
        <w:t>230A.0</w:t>
      </w:r>
      <w:r w:rsidR="009D1D66" w:rsidRPr="00134CF0">
        <w:t>6</w:t>
      </w:r>
      <w:r w:rsidR="00321C78" w:rsidRPr="00134CF0">
        <w:t>;</w:t>
      </w:r>
    </w:p>
    <w:p w14:paraId="735436A7" w14:textId="77777777" w:rsidR="00041A78" w:rsidRPr="00134CF0" w:rsidRDefault="00491C85" w:rsidP="000836FE">
      <w:pPr>
        <w:pStyle w:val="paragraphsub"/>
      </w:pPr>
      <w:r w:rsidRPr="00134CF0">
        <w:tab/>
        <w:t>(iii)</w:t>
      </w:r>
      <w:r w:rsidRPr="00134CF0">
        <w:tab/>
      </w:r>
      <w:r w:rsidR="004B550F" w:rsidRPr="00134CF0">
        <w:t>when a</w:t>
      </w:r>
      <w:r w:rsidR="000836FE" w:rsidRPr="00134CF0">
        <w:t xml:space="preserve">nother certificate that is issued under </w:t>
      </w:r>
      <w:r w:rsidR="00C96F3A" w:rsidRPr="00134CF0">
        <w:t>subsection (</w:t>
      </w:r>
      <w:r w:rsidR="000836FE" w:rsidRPr="00134CF0">
        <w:t>1)</w:t>
      </w:r>
      <w:r w:rsidR="00C817CB" w:rsidRPr="00134CF0">
        <w:t xml:space="preserve"> and that relates to any of the superannuation interests to which the current certificate relates</w:t>
      </w:r>
      <w:r w:rsidR="000836FE" w:rsidRPr="00134CF0">
        <w:t xml:space="preserve"> comes into force</w:t>
      </w:r>
      <w:r w:rsidR="00041A78" w:rsidRPr="00134CF0">
        <w:t>.</w:t>
      </w:r>
    </w:p>
    <w:p w14:paraId="00C18B53" w14:textId="77777777" w:rsidR="005E3AC1" w:rsidRPr="00134CF0" w:rsidRDefault="00695E53" w:rsidP="005E3AC1">
      <w:pPr>
        <w:pStyle w:val="subsection"/>
      </w:pPr>
      <w:r w:rsidRPr="00134CF0">
        <w:tab/>
        <w:t>(7)</w:t>
      </w:r>
      <w:r w:rsidRPr="00134CF0">
        <w:tab/>
      </w:r>
      <w:r w:rsidR="00410737" w:rsidRPr="00134CF0">
        <w:t>However</w:t>
      </w:r>
      <w:r w:rsidR="00405D63" w:rsidRPr="00134CF0">
        <w:t>, the certificate is not in force</w:t>
      </w:r>
      <w:r w:rsidR="003557F7" w:rsidRPr="00134CF0">
        <w:t xml:space="preserve"> at a particular time if</w:t>
      </w:r>
      <w:r w:rsidR="005E3AC1" w:rsidRPr="00134CF0">
        <w:t>:</w:t>
      </w:r>
    </w:p>
    <w:p w14:paraId="1C0A9CF0" w14:textId="77777777" w:rsidR="00A07A0D" w:rsidRPr="00134CF0" w:rsidRDefault="005E3AC1" w:rsidP="005E3AC1">
      <w:pPr>
        <w:pStyle w:val="paragraph"/>
      </w:pPr>
      <w:r w:rsidRPr="00134CF0">
        <w:tab/>
        <w:t>(a)</w:t>
      </w:r>
      <w:r w:rsidRPr="00134CF0">
        <w:tab/>
      </w:r>
      <w:r w:rsidR="00A07A0D" w:rsidRPr="00134CF0">
        <w:t xml:space="preserve">before the certificate is issued, the </w:t>
      </w:r>
      <w:r w:rsidR="002E3886" w:rsidRPr="00134CF0">
        <w:t xml:space="preserve">trustee </w:t>
      </w:r>
      <w:r w:rsidR="005C3121" w:rsidRPr="00134CF0">
        <w:t xml:space="preserve">of the fund </w:t>
      </w:r>
      <w:r w:rsidR="002E3886" w:rsidRPr="00134CF0">
        <w:t xml:space="preserve">gives to the Commissioner </w:t>
      </w:r>
      <w:r w:rsidR="00A07A0D" w:rsidRPr="00134CF0">
        <w:t>a statement under</w:t>
      </w:r>
      <w:r w:rsidR="00EA25AA" w:rsidRPr="00134CF0">
        <w:t xml:space="preserve"> </w:t>
      </w:r>
      <w:r w:rsidR="00C96F3A" w:rsidRPr="00134CF0">
        <w:t>sub</w:t>
      </w:r>
      <w:r w:rsidR="003766C6" w:rsidRPr="00134CF0">
        <w:t>section 3</w:t>
      </w:r>
      <w:r w:rsidR="00F71741" w:rsidRPr="00134CF0">
        <w:t>90</w:t>
      </w:r>
      <w:r w:rsidR="006D7098">
        <w:noBreakHyphen/>
      </w:r>
      <w:r w:rsidR="00F71741" w:rsidRPr="00134CF0">
        <w:t>5</w:t>
      </w:r>
      <w:r w:rsidR="00822495" w:rsidRPr="00134CF0">
        <w:t xml:space="preserve">(1) in </w:t>
      </w:r>
      <w:r w:rsidR="00C96F3A" w:rsidRPr="00134CF0">
        <w:t>Schedule 1</w:t>
      </w:r>
      <w:r w:rsidR="00266D3E" w:rsidRPr="00134CF0">
        <w:t xml:space="preserve"> to the </w:t>
      </w:r>
      <w:r w:rsidR="00266D3E" w:rsidRPr="00134CF0">
        <w:rPr>
          <w:i/>
        </w:rPr>
        <w:t>Taxation Administration Act 1953</w:t>
      </w:r>
      <w:r w:rsidR="00A07A0D" w:rsidRPr="00134CF0">
        <w:t xml:space="preserve"> in relation to an individual who holds any of the specified interests; and</w:t>
      </w:r>
    </w:p>
    <w:p w14:paraId="5E3355FD" w14:textId="77777777" w:rsidR="00822495" w:rsidRPr="00134CF0" w:rsidRDefault="005E3AC1" w:rsidP="005E3AC1">
      <w:pPr>
        <w:pStyle w:val="paragraph"/>
      </w:pPr>
      <w:r w:rsidRPr="00134CF0">
        <w:tab/>
        <w:t>(b</w:t>
      </w:r>
      <w:r w:rsidR="00A07A0D" w:rsidRPr="00134CF0">
        <w:t>)</w:t>
      </w:r>
      <w:r w:rsidR="00A07A0D" w:rsidRPr="00134CF0">
        <w:tab/>
        <w:t xml:space="preserve">the statement contains </w:t>
      </w:r>
      <w:r w:rsidR="00822495" w:rsidRPr="00134CF0">
        <w:t xml:space="preserve">the total superannuation balance value </w:t>
      </w:r>
      <w:r w:rsidR="00BB57C6" w:rsidRPr="00134CF0">
        <w:t>at that tim</w:t>
      </w:r>
      <w:r w:rsidR="00EC62AD" w:rsidRPr="00134CF0">
        <w:t>e</w:t>
      </w:r>
      <w:r w:rsidR="00BB57C6" w:rsidRPr="00134CF0">
        <w:t xml:space="preserve"> </w:t>
      </w:r>
      <w:r w:rsidR="00822495" w:rsidRPr="00134CF0">
        <w:t xml:space="preserve">of </w:t>
      </w:r>
      <w:r w:rsidR="00D76023" w:rsidRPr="00134CF0">
        <w:t>any of the specified interests</w:t>
      </w:r>
      <w:r w:rsidR="00C57283" w:rsidRPr="00134CF0">
        <w:t>.</w:t>
      </w:r>
    </w:p>
    <w:p w14:paraId="7276B618" w14:textId="77777777" w:rsidR="00D20960" w:rsidRPr="00134CF0" w:rsidRDefault="00D20960" w:rsidP="00D20960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</w:t>
      </w:r>
      <w:r w:rsidR="002B0E47" w:rsidRPr="0021546F">
        <w:rPr>
          <w:rStyle w:val="CharSectno"/>
        </w:rPr>
        <w:t>6</w:t>
      </w:r>
      <w:r w:rsidRPr="00134CF0">
        <w:t xml:space="preserve">  Total superannuation balance value—alternative valuation method: </w:t>
      </w:r>
      <w:r w:rsidR="009F7C81" w:rsidRPr="00134CF0">
        <w:t>withdrawing</w:t>
      </w:r>
      <w:r w:rsidRPr="00134CF0">
        <w:t xml:space="preserve"> certificates</w:t>
      </w:r>
    </w:p>
    <w:p w14:paraId="4F349D85" w14:textId="77777777" w:rsidR="00264D34" w:rsidRPr="00134CF0" w:rsidRDefault="009F7C81" w:rsidP="00264D34">
      <w:pPr>
        <w:pStyle w:val="SubsectionHead"/>
      </w:pPr>
      <w:r w:rsidRPr="00134CF0">
        <w:t>Withdrawal</w:t>
      </w:r>
      <w:r w:rsidR="00264D34" w:rsidRPr="00134CF0">
        <w:t xml:space="preserve"> by</w:t>
      </w:r>
      <w:r w:rsidR="0090275A" w:rsidRPr="00134CF0">
        <w:t xml:space="preserve"> superannuation</w:t>
      </w:r>
      <w:r w:rsidR="00264D34" w:rsidRPr="00134CF0">
        <w:t xml:space="preserve"> actuary</w:t>
      </w:r>
    </w:p>
    <w:p w14:paraId="308BD940" w14:textId="77777777" w:rsidR="00E263CD" w:rsidRPr="00134CF0" w:rsidRDefault="0003608F" w:rsidP="00A917D1">
      <w:pPr>
        <w:pStyle w:val="subsection"/>
      </w:pPr>
      <w:r w:rsidRPr="00134CF0">
        <w:tab/>
        <w:t>(</w:t>
      </w:r>
      <w:r w:rsidR="00D20960" w:rsidRPr="00134CF0">
        <w:t>1</w:t>
      </w:r>
      <w:r w:rsidRPr="00134CF0">
        <w:t>)</w:t>
      </w:r>
      <w:r w:rsidRPr="00134CF0">
        <w:tab/>
      </w:r>
      <w:r w:rsidR="00374E0B" w:rsidRPr="00134CF0">
        <w:t>A</w:t>
      </w:r>
      <w:r w:rsidR="0090275A" w:rsidRPr="00134CF0">
        <w:t xml:space="preserve"> superannuation</w:t>
      </w:r>
      <w:r w:rsidR="00374E0B" w:rsidRPr="00134CF0">
        <w:t xml:space="preserve"> actuary must</w:t>
      </w:r>
      <w:r w:rsidR="00002A06" w:rsidRPr="00134CF0">
        <w:t xml:space="preserve">, </w:t>
      </w:r>
      <w:r w:rsidR="000B7B9E" w:rsidRPr="00134CF0">
        <w:t>at a particular</w:t>
      </w:r>
      <w:r w:rsidR="00A917D1" w:rsidRPr="00134CF0">
        <w:t xml:space="preserve"> time</w:t>
      </w:r>
      <w:r w:rsidR="00002A06" w:rsidRPr="00134CF0">
        <w:t>,</w:t>
      </w:r>
      <w:r w:rsidR="00374E0B" w:rsidRPr="00134CF0">
        <w:t xml:space="preserve"> </w:t>
      </w:r>
      <w:r w:rsidR="009F7C81" w:rsidRPr="00134CF0">
        <w:t>withdraw</w:t>
      </w:r>
      <w:r w:rsidR="00374E0B" w:rsidRPr="00134CF0">
        <w:t xml:space="preserve"> a certificate</w:t>
      </w:r>
      <w:r w:rsidR="00AB05F4" w:rsidRPr="00134CF0">
        <w:t xml:space="preserve"> issued under </w:t>
      </w:r>
      <w:r w:rsidR="003766C6" w:rsidRPr="00134CF0">
        <w:t>section 3</w:t>
      </w:r>
      <w:r w:rsidR="00D20960" w:rsidRPr="00134CF0">
        <w:t>07</w:t>
      </w:r>
      <w:r w:rsidR="006D7098">
        <w:noBreakHyphen/>
      </w:r>
      <w:r w:rsidR="00D20960" w:rsidRPr="00134CF0">
        <w:t>230A.05</w:t>
      </w:r>
      <w:r w:rsidR="00AB05F4" w:rsidRPr="00134CF0">
        <w:t xml:space="preserve"> </w:t>
      </w:r>
      <w:r w:rsidR="00E263CD" w:rsidRPr="00134CF0">
        <w:t>in relation to superannuation interests in a defined benefit fund if:</w:t>
      </w:r>
    </w:p>
    <w:p w14:paraId="001A2F3D" w14:textId="77777777" w:rsidR="00E263CD" w:rsidRPr="00134CF0" w:rsidRDefault="00E263CD" w:rsidP="00E263CD">
      <w:pPr>
        <w:pStyle w:val="paragraph"/>
      </w:pPr>
      <w:r w:rsidRPr="00134CF0">
        <w:tab/>
        <w:t>(a)</w:t>
      </w:r>
      <w:r w:rsidRPr="00134CF0">
        <w:tab/>
        <w:t>the certificate is in force; and</w:t>
      </w:r>
    </w:p>
    <w:p w14:paraId="0792F97A" w14:textId="77777777" w:rsidR="00A917D1" w:rsidRPr="00134CF0" w:rsidRDefault="00E263CD" w:rsidP="009F7C81">
      <w:pPr>
        <w:pStyle w:val="paragraph"/>
      </w:pPr>
      <w:r w:rsidRPr="00134CF0">
        <w:lastRenderedPageBreak/>
        <w:tab/>
        <w:t>(b)</w:t>
      </w:r>
      <w:r w:rsidRPr="00134CF0">
        <w:tab/>
      </w:r>
      <w:r w:rsidR="009F7C81" w:rsidRPr="00134CF0">
        <w:t xml:space="preserve">the </w:t>
      </w:r>
      <w:r w:rsidR="0090275A" w:rsidRPr="00134CF0">
        <w:t xml:space="preserve">superannuation </w:t>
      </w:r>
      <w:r w:rsidR="009F7C81" w:rsidRPr="00134CF0">
        <w:t xml:space="preserve">actuary, in the performance of </w:t>
      </w:r>
      <w:r w:rsidR="0072400B" w:rsidRPr="00134CF0">
        <w:t xml:space="preserve">the </w:t>
      </w:r>
      <w:r w:rsidR="0090275A" w:rsidRPr="00134CF0">
        <w:t xml:space="preserve">superannuation </w:t>
      </w:r>
      <w:r w:rsidR="0072400B" w:rsidRPr="00134CF0">
        <w:t>actuary</w:t>
      </w:r>
      <w:r w:rsidR="00813F6B" w:rsidRPr="00134CF0">
        <w:t>’</w:t>
      </w:r>
      <w:r w:rsidR="0072400B" w:rsidRPr="00134CF0">
        <w:t xml:space="preserve">s </w:t>
      </w:r>
      <w:r w:rsidR="009F7C81" w:rsidRPr="00134CF0">
        <w:t>functions under</w:t>
      </w:r>
      <w:r w:rsidR="0072400B" w:rsidRPr="00134CF0">
        <w:t xml:space="preserve"> the Act, this instrument, the SIS Act or the SIS Regulations</w:t>
      </w:r>
      <w:r w:rsidR="009F7C81" w:rsidRPr="00134CF0">
        <w:t>, forms the opinion that</w:t>
      </w:r>
      <w:r w:rsidR="00374E0B" w:rsidRPr="00134CF0">
        <w:t xml:space="preserve"> the method specified in the certificate</w:t>
      </w:r>
      <w:r w:rsidR="00137A0B" w:rsidRPr="00134CF0">
        <w:t xml:space="preserve"> </w:t>
      </w:r>
      <w:r w:rsidR="009C764F" w:rsidRPr="00134CF0">
        <w:t>does not</w:t>
      </w:r>
      <w:r w:rsidR="00A917D1" w:rsidRPr="00134CF0">
        <w:t>, at that time,</w:t>
      </w:r>
      <w:r w:rsidR="009C764F" w:rsidRPr="00134CF0">
        <w:t xml:space="preserve"> </w:t>
      </w:r>
      <w:r w:rsidR="00F93AE7" w:rsidRPr="00134CF0">
        <w:t xml:space="preserve">meet the </w:t>
      </w:r>
      <w:r w:rsidR="00374E0B" w:rsidRPr="00134CF0">
        <w:t xml:space="preserve">requirements of </w:t>
      </w:r>
      <w:r w:rsidR="00C96F3A" w:rsidRPr="00134CF0">
        <w:t>sub</w:t>
      </w:r>
      <w:r w:rsidR="003766C6" w:rsidRPr="00134CF0">
        <w:t>section 3</w:t>
      </w:r>
      <w:r w:rsidR="00D20960" w:rsidRPr="00134CF0">
        <w:t>07</w:t>
      </w:r>
      <w:r w:rsidR="006D7098">
        <w:noBreakHyphen/>
      </w:r>
      <w:r w:rsidR="00D20960" w:rsidRPr="00134CF0">
        <w:t>230A.05</w:t>
      </w:r>
      <w:r w:rsidR="00374E0B" w:rsidRPr="00134CF0">
        <w:t>(</w:t>
      </w:r>
      <w:r w:rsidR="00D20960" w:rsidRPr="00134CF0">
        <w:t>3</w:t>
      </w:r>
      <w:r w:rsidR="00374E0B" w:rsidRPr="00134CF0">
        <w:t xml:space="preserve">) </w:t>
      </w:r>
      <w:r w:rsidR="00BB0F1C" w:rsidRPr="00134CF0">
        <w:t xml:space="preserve">of this instrument </w:t>
      </w:r>
      <w:r w:rsidR="00AB05F4" w:rsidRPr="00134CF0">
        <w:t>i</w:t>
      </w:r>
      <w:r w:rsidR="00F93AE7" w:rsidRPr="00134CF0">
        <w:t>n relation to</w:t>
      </w:r>
      <w:r w:rsidR="00593D91" w:rsidRPr="00134CF0">
        <w:t xml:space="preserve"> the</w:t>
      </w:r>
      <w:r w:rsidR="00AB05F4" w:rsidRPr="00134CF0">
        <w:t xml:space="preserve"> </w:t>
      </w:r>
      <w:r w:rsidRPr="00134CF0">
        <w:t>interests</w:t>
      </w:r>
      <w:r w:rsidR="00593D91" w:rsidRPr="00134CF0">
        <w:t>.</w:t>
      </w:r>
    </w:p>
    <w:p w14:paraId="2C796748" w14:textId="77777777" w:rsidR="008C24A4" w:rsidRPr="00134CF0" w:rsidRDefault="00A917D1" w:rsidP="0003608F">
      <w:pPr>
        <w:pStyle w:val="subsection"/>
      </w:pPr>
      <w:r w:rsidRPr="00134CF0">
        <w:tab/>
        <w:t>(2)</w:t>
      </w:r>
      <w:r w:rsidRPr="00134CF0">
        <w:tab/>
        <w:t xml:space="preserve">A </w:t>
      </w:r>
      <w:r w:rsidR="009F7C81" w:rsidRPr="00134CF0">
        <w:t>withdrawal</w:t>
      </w:r>
      <w:r w:rsidRPr="00134CF0">
        <w:t xml:space="preserve"> under </w:t>
      </w:r>
      <w:r w:rsidR="00C96F3A" w:rsidRPr="00134CF0">
        <w:t>subsection (</w:t>
      </w:r>
      <w:r w:rsidRPr="00134CF0">
        <w:t xml:space="preserve">1) </w:t>
      </w:r>
      <w:r w:rsidR="007458E4" w:rsidRPr="00134CF0">
        <w:t xml:space="preserve">of this section </w:t>
      </w:r>
      <w:r w:rsidRPr="00134CF0">
        <w:t>must be</w:t>
      </w:r>
      <w:r w:rsidR="008C24A4" w:rsidRPr="00134CF0">
        <w:t>:</w:t>
      </w:r>
    </w:p>
    <w:p w14:paraId="487C1295" w14:textId="77777777" w:rsidR="008C24A4" w:rsidRPr="00134CF0" w:rsidRDefault="008C24A4" w:rsidP="008C24A4">
      <w:pPr>
        <w:pStyle w:val="paragraph"/>
      </w:pPr>
      <w:r w:rsidRPr="00134CF0">
        <w:tab/>
        <w:t>(a)</w:t>
      </w:r>
      <w:r w:rsidRPr="00134CF0">
        <w:tab/>
      </w:r>
      <w:r w:rsidR="00A917D1" w:rsidRPr="00134CF0">
        <w:t>in writin</w:t>
      </w:r>
      <w:r w:rsidRPr="00134CF0">
        <w:t>g; and</w:t>
      </w:r>
    </w:p>
    <w:p w14:paraId="5AE1BC20" w14:textId="77777777" w:rsidR="00264D34" w:rsidRPr="00134CF0" w:rsidRDefault="008C24A4" w:rsidP="008C24A4">
      <w:pPr>
        <w:pStyle w:val="paragraph"/>
      </w:pPr>
      <w:r w:rsidRPr="00134CF0">
        <w:tab/>
        <w:t>(b)</w:t>
      </w:r>
      <w:r w:rsidRPr="00134CF0">
        <w:tab/>
      </w:r>
      <w:r w:rsidR="00264D34" w:rsidRPr="00134CF0">
        <w:t>given to the trustee of the defined benefit fund.</w:t>
      </w:r>
    </w:p>
    <w:p w14:paraId="20FAFFA1" w14:textId="77777777" w:rsidR="008C24A4" w:rsidRPr="00134CF0" w:rsidRDefault="009F7C81" w:rsidP="008C24A4">
      <w:pPr>
        <w:pStyle w:val="SubsectionHead"/>
      </w:pPr>
      <w:r w:rsidRPr="00134CF0">
        <w:t>Withdrawal</w:t>
      </w:r>
      <w:r w:rsidR="008C24A4" w:rsidRPr="00134CF0">
        <w:t xml:space="preserve"> by trustee</w:t>
      </w:r>
    </w:p>
    <w:p w14:paraId="582D7B75" w14:textId="77777777" w:rsidR="00374E0B" w:rsidRPr="00134CF0" w:rsidRDefault="00F93AE7" w:rsidP="0003608F">
      <w:pPr>
        <w:pStyle w:val="subsection"/>
      </w:pPr>
      <w:r w:rsidRPr="00134CF0">
        <w:tab/>
        <w:t>(</w:t>
      </w:r>
      <w:r w:rsidR="00264D34" w:rsidRPr="00134CF0">
        <w:t>3</w:t>
      </w:r>
      <w:r w:rsidRPr="00134CF0">
        <w:t>)</w:t>
      </w:r>
      <w:r w:rsidRPr="00134CF0">
        <w:tab/>
      </w:r>
      <w:r w:rsidR="00593D91" w:rsidRPr="00134CF0">
        <w:t>A</w:t>
      </w:r>
      <w:r w:rsidRPr="00134CF0">
        <w:t xml:space="preserve"> </w:t>
      </w:r>
      <w:r w:rsidR="006A114E" w:rsidRPr="00134CF0">
        <w:t xml:space="preserve">trustee of a defined benefit fund </w:t>
      </w:r>
      <w:r w:rsidRPr="00134CF0">
        <w:t>may</w:t>
      </w:r>
      <w:r w:rsidR="008C24A4" w:rsidRPr="00134CF0">
        <w:t xml:space="preserve"> </w:t>
      </w:r>
      <w:r w:rsidR="009F7C81" w:rsidRPr="00134CF0">
        <w:t>withdraw</w:t>
      </w:r>
      <w:r w:rsidRPr="00134CF0">
        <w:t xml:space="preserve"> </w:t>
      </w:r>
      <w:r w:rsidR="00593D91" w:rsidRPr="00134CF0">
        <w:t xml:space="preserve">a certificate issued under </w:t>
      </w:r>
      <w:r w:rsidR="003766C6" w:rsidRPr="00134CF0">
        <w:t>section 3</w:t>
      </w:r>
      <w:r w:rsidR="002962A3" w:rsidRPr="00134CF0">
        <w:t>07</w:t>
      </w:r>
      <w:r w:rsidR="006D7098">
        <w:noBreakHyphen/>
      </w:r>
      <w:r w:rsidR="002962A3" w:rsidRPr="00134CF0">
        <w:t>230A.05</w:t>
      </w:r>
      <w:r w:rsidR="00450878" w:rsidRPr="00134CF0">
        <w:t xml:space="preserve"> in relation to </w:t>
      </w:r>
      <w:r w:rsidR="002962A3" w:rsidRPr="00134CF0">
        <w:t xml:space="preserve">superannuation interests in the </w:t>
      </w:r>
      <w:r w:rsidR="006A114E" w:rsidRPr="00134CF0">
        <w:t>fund</w:t>
      </w:r>
      <w:r w:rsidR="00450878" w:rsidRPr="00134CF0">
        <w:t xml:space="preserve"> </w:t>
      </w:r>
      <w:r w:rsidRPr="00134CF0">
        <w:t xml:space="preserve">at any time </w:t>
      </w:r>
      <w:r w:rsidR="002C0552" w:rsidRPr="00134CF0">
        <w:t xml:space="preserve">while </w:t>
      </w:r>
      <w:r w:rsidRPr="00134CF0">
        <w:t xml:space="preserve">the </w:t>
      </w:r>
      <w:r w:rsidR="00896C88" w:rsidRPr="00134CF0">
        <w:t xml:space="preserve">certificate </w:t>
      </w:r>
      <w:r w:rsidR="002C0552" w:rsidRPr="00134CF0">
        <w:t>is in</w:t>
      </w:r>
      <w:r w:rsidR="00896C88" w:rsidRPr="00134CF0">
        <w:t xml:space="preserve"> force</w:t>
      </w:r>
      <w:r w:rsidR="001F7A31" w:rsidRPr="00134CF0">
        <w:t>.</w:t>
      </w:r>
    </w:p>
    <w:p w14:paraId="63E62BA4" w14:textId="77777777" w:rsidR="008C24A4" w:rsidRPr="00134CF0" w:rsidRDefault="008C24A4" w:rsidP="008C24A4">
      <w:pPr>
        <w:pStyle w:val="subsection"/>
      </w:pPr>
      <w:r w:rsidRPr="00134CF0">
        <w:tab/>
        <w:t>(4)</w:t>
      </w:r>
      <w:r w:rsidRPr="00134CF0">
        <w:tab/>
        <w:t xml:space="preserve">A </w:t>
      </w:r>
      <w:r w:rsidR="009F7C81" w:rsidRPr="00134CF0">
        <w:t>withdrawal</w:t>
      </w:r>
      <w:r w:rsidRPr="00134CF0">
        <w:t xml:space="preserve"> under </w:t>
      </w:r>
      <w:r w:rsidR="00C96F3A" w:rsidRPr="00134CF0">
        <w:t>subsection (</w:t>
      </w:r>
      <w:r w:rsidRPr="00134CF0">
        <w:t>3) must be in writing.</w:t>
      </w:r>
    </w:p>
    <w:p w14:paraId="10252140" w14:textId="77777777" w:rsidR="0011683F" w:rsidRPr="00134CF0" w:rsidRDefault="0011683F" w:rsidP="0011683F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</w:t>
      </w:r>
      <w:r w:rsidR="009D1D66" w:rsidRPr="0021546F">
        <w:rPr>
          <w:rStyle w:val="CharSectno"/>
        </w:rPr>
        <w:t>7</w:t>
      </w:r>
      <w:r w:rsidRPr="00134CF0">
        <w:t xml:space="preserve">  Total superannuation balance value—</w:t>
      </w:r>
      <w:r w:rsidR="002F3415" w:rsidRPr="00134CF0">
        <w:t>vested benefits</w:t>
      </w:r>
      <w:r w:rsidR="003E1C92" w:rsidRPr="00134CF0">
        <w:t xml:space="preserve"> total</w:t>
      </w:r>
    </w:p>
    <w:p w14:paraId="7B795296" w14:textId="77777777" w:rsidR="00CE1C8E" w:rsidRPr="00134CF0" w:rsidRDefault="008A694B" w:rsidP="008A694B">
      <w:pPr>
        <w:pStyle w:val="subsection"/>
      </w:pPr>
      <w:r w:rsidRPr="00134CF0">
        <w:tab/>
        <w:t>(1)</w:t>
      </w:r>
      <w:r w:rsidRPr="00134CF0">
        <w:tab/>
        <w:t>Th</w:t>
      </w:r>
      <w:r w:rsidR="007F5DD0" w:rsidRPr="00134CF0">
        <w:t xml:space="preserve">is section applies in relation to </w:t>
      </w:r>
      <w:r w:rsidRPr="00134CF0">
        <w:t xml:space="preserve">a </w:t>
      </w:r>
      <w:r w:rsidR="00CE1C8E" w:rsidRPr="00134CF0">
        <w:t xml:space="preserve">superannuation interest </w:t>
      </w:r>
      <w:r w:rsidR="00C4041E" w:rsidRPr="00134CF0">
        <w:t xml:space="preserve">of an individual </w:t>
      </w:r>
      <w:r w:rsidR="00A90BF8" w:rsidRPr="00134CF0">
        <w:t>in a superannua</w:t>
      </w:r>
      <w:r w:rsidR="004A6B39" w:rsidRPr="00134CF0">
        <w:t xml:space="preserve">tion fund </w:t>
      </w:r>
      <w:r w:rsidR="000C6D56" w:rsidRPr="00134CF0">
        <w:t xml:space="preserve">at a particular time </w:t>
      </w:r>
      <w:r w:rsidR="00CE1C8E" w:rsidRPr="00134CF0">
        <w:t>if:</w:t>
      </w:r>
    </w:p>
    <w:p w14:paraId="7862497D" w14:textId="77777777" w:rsidR="00763ED8" w:rsidRPr="00134CF0" w:rsidRDefault="00B85E0E" w:rsidP="00A90BF8">
      <w:pPr>
        <w:pStyle w:val="paragraph"/>
      </w:pPr>
      <w:r w:rsidRPr="00134CF0">
        <w:tab/>
        <w:t>(a)</w:t>
      </w:r>
      <w:r w:rsidRPr="00134CF0">
        <w:tab/>
      </w:r>
      <w:r w:rsidR="003679DB" w:rsidRPr="00134CF0">
        <w:t xml:space="preserve">under the </w:t>
      </w:r>
      <w:r w:rsidR="00F81C19" w:rsidRPr="00134CF0">
        <w:t xml:space="preserve">rules of the </w:t>
      </w:r>
      <w:r w:rsidR="004A6B39" w:rsidRPr="00134CF0">
        <w:t>fund</w:t>
      </w:r>
      <w:r w:rsidR="00F81C19" w:rsidRPr="00134CF0">
        <w:t>, a superannuation interest in the fund can</w:t>
      </w:r>
      <w:r w:rsidR="00A90BF8" w:rsidRPr="00134CF0">
        <w:t xml:space="preserve"> never </w:t>
      </w:r>
      <w:r w:rsidR="00763ED8" w:rsidRPr="00134CF0">
        <w:t>support a superannuation income stream; and</w:t>
      </w:r>
    </w:p>
    <w:p w14:paraId="6DAA2A22" w14:textId="77777777" w:rsidR="00763ED8" w:rsidRPr="00134CF0" w:rsidRDefault="00A90BF8" w:rsidP="00A90BF8">
      <w:pPr>
        <w:pStyle w:val="paragraph"/>
      </w:pPr>
      <w:r w:rsidRPr="00134CF0">
        <w:tab/>
        <w:t>(b)</w:t>
      </w:r>
      <w:r w:rsidRPr="00134CF0">
        <w:tab/>
      </w:r>
      <w:r w:rsidR="004A6B39" w:rsidRPr="00134CF0">
        <w:t>the fund is not</w:t>
      </w:r>
      <w:r w:rsidR="00763ED8" w:rsidRPr="00134CF0">
        <w:t xml:space="preserve"> a public sector superannuation scheme; and</w:t>
      </w:r>
    </w:p>
    <w:p w14:paraId="341F3F95" w14:textId="77777777" w:rsidR="000C6D56" w:rsidRPr="00134CF0" w:rsidRDefault="000C6D56" w:rsidP="00CE1C8E">
      <w:pPr>
        <w:pStyle w:val="paragraph"/>
      </w:pPr>
      <w:r w:rsidRPr="00134CF0">
        <w:tab/>
        <w:t>(</w:t>
      </w:r>
      <w:r w:rsidR="00EA03FC" w:rsidRPr="00134CF0">
        <w:t>c</w:t>
      </w:r>
      <w:r w:rsidRPr="00134CF0">
        <w:t>)</w:t>
      </w:r>
      <w:r w:rsidRPr="00134CF0">
        <w:tab/>
        <w:t>12 months before that time:</w:t>
      </w:r>
    </w:p>
    <w:p w14:paraId="2DD6F9E4" w14:textId="77777777" w:rsidR="00897965" w:rsidRPr="00134CF0" w:rsidRDefault="00D45A43" w:rsidP="00680BEF">
      <w:pPr>
        <w:pStyle w:val="paragraphsub"/>
      </w:pPr>
      <w:r w:rsidRPr="00134CF0">
        <w:tab/>
        <w:t>(i)</w:t>
      </w:r>
      <w:r w:rsidRPr="00134CF0">
        <w:tab/>
      </w:r>
      <w:r w:rsidR="00DA136C" w:rsidRPr="00134CF0">
        <w:t>th</w:t>
      </w:r>
      <w:r w:rsidR="00355782" w:rsidRPr="00134CF0">
        <w:t>is section applied in relation to the interest</w:t>
      </w:r>
      <w:r w:rsidR="00680BEF" w:rsidRPr="00134CF0">
        <w:t xml:space="preserve">, and the </w:t>
      </w:r>
      <w:r w:rsidR="00F36658" w:rsidRPr="00134CF0">
        <w:t>vested benefits</w:t>
      </w:r>
      <w:r w:rsidR="003E1C92" w:rsidRPr="00134CF0">
        <w:t xml:space="preserve"> total</w:t>
      </w:r>
      <w:r w:rsidR="00F36658" w:rsidRPr="00134CF0">
        <w:t xml:space="preserve"> </w:t>
      </w:r>
      <w:r w:rsidR="002F3415" w:rsidRPr="00134CF0">
        <w:t xml:space="preserve">of the interest </w:t>
      </w:r>
      <w:r w:rsidR="00897965" w:rsidRPr="00134CF0">
        <w:t xml:space="preserve">was </w:t>
      </w:r>
      <w:r w:rsidR="005A4B5C" w:rsidRPr="00134CF0">
        <w:t>$1 million or less</w:t>
      </w:r>
      <w:r w:rsidR="00876EF2" w:rsidRPr="00134CF0">
        <w:t>; or</w:t>
      </w:r>
    </w:p>
    <w:p w14:paraId="2B3D7399" w14:textId="77777777" w:rsidR="00876EF2" w:rsidRPr="00134CF0" w:rsidRDefault="00876EF2" w:rsidP="00F36658">
      <w:pPr>
        <w:pStyle w:val="paragraphsub"/>
      </w:pPr>
      <w:r w:rsidRPr="00134CF0">
        <w:tab/>
        <w:t>(ii)</w:t>
      </w:r>
      <w:r w:rsidRPr="00134CF0">
        <w:tab/>
        <w:t>the interest did not exist.</w:t>
      </w:r>
    </w:p>
    <w:p w14:paraId="6F889144" w14:textId="77777777" w:rsidR="0081691D" w:rsidRPr="00134CF0" w:rsidRDefault="00CE1C8E" w:rsidP="0081691D">
      <w:pPr>
        <w:pStyle w:val="subsection"/>
      </w:pPr>
      <w:r w:rsidRPr="00134CF0">
        <w:tab/>
        <w:t>(</w:t>
      </w:r>
      <w:r w:rsidR="005A4B5C" w:rsidRPr="00134CF0">
        <w:t>2</w:t>
      </w:r>
      <w:r w:rsidRPr="00134CF0">
        <w:t>)</w:t>
      </w:r>
      <w:r w:rsidRPr="00134CF0">
        <w:tab/>
      </w:r>
      <w:r w:rsidR="007F5DD0" w:rsidRPr="00134CF0">
        <w:t>The</w:t>
      </w:r>
      <w:r w:rsidR="00993130" w:rsidRPr="00134CF0">
        <w:t xml:space="preserve"> </w:t>
      </w:r>
      <w:r w:rsidR="007F5DD0" w:rsidRPr="00134CF0">
        <w:rPr>
          <w:b/>
          <w:i/>
        </w:rPr>
        <w:t>vested benefit</w:t>
      </w:r>
      <w:r w:rsidR="00210AAC" w:rsidRPr="00134CF0">
        <w:rPr>
          <w:b/>
          <w:i/>
        </w:rPr>
        <w:t>s</w:t>
      </w:r>
      <w:r w:rsidR="003E1C92" w:rsidRPr="00134CF0">
        <w:rPr>
          <w:b/>
          <w:i/>
        </w:rPr>
        <w:t xml:space="preserve"> total</w:t>
      </w:r>
      <w:r w:rsidR="00210AAC" w:rsidRPr="00134CF0">
        <w:t xml:space="preserve"> of the interest is </w:t>
      </w:r>
      <w:r w:rsidR="00993130" w:rsidRPr="00134CF0">
        <w:t>the</w:t>
      </w:r>
      <w:r w:rsidR="0081691D" w:rsidRPr="00134CF0">
        <w:t xml:space="preserve"> total value of the superannuation benefits </w:t>
      </w:r>
      <w:r w:rsidR="00D6052E" w:rsidRPr="00134CF0">
        <w:t>to which the individual</w:t>
      </w:r>
      <w:r w:rsidR="00C4041E" w:rsidRPr="00134CF0">
        <w:t xml:space="preserve"> </w:t>
      </w:r>
      <w:r w:rsidR="00D6052E" w:rsidRPr="00134CF0">
        <w:t>would be</w:t>
      </w:r>
      <w:r w:rsidR="00A93ECF" w:rsidRPr="00134CF0">
        <w:t>come</w:t>
      </w:r>
      <w:r w:rsidR="00D6052E" w:rsidRPr="00134CF0">
        <w:t xml:space="preserve"> entitled</w:t>
      </w:r>
      <w:r w:rsidR="0081691D" w:rsidRPr="00134CF0">
        <w:t xml:space="preserve"> if</w:t>
      </w:r>
      <w:r w:rsidR="00CB6E75" w:rsidRPr="00134CF0">
        <w:t>, at that time</w:t>
      </w:r>
      <w:r w:rsidR="0081691D" w:rsidRPr="00134CF0">
        <w:t>:</w:t>
      </w:r>
    </w:p>
    <w:p w14:paraId="6539D1FD" w14:textId="77777777" w:rsidR="0081691D" w:rsidRPr="00134CF0" w:rsidRDefault="0081691D" w:rsidP="0081691D">
      <w:pPr>
        <w:pStyle w:val="paragraph"/>
      </w:pPr>
      <w:r w:rsidRPr="00134CF0">
        <w:tab/>
        <w:t>(a)</w:t>
      </w:r>
      <w:r w:rsidRPr="00134CF0">
        <w:tab/>
      </w:r>
      <w:r w:rsidR="00D6052E" w:rsidRPr="00134CF0">
        <w:t>the individual</w:t>
      </w:r>
      <w:r w:rsidRPr="00134CF0">
        <w:t>:</w:t>
      </w:r>
    </w:p>
    <w:p w14:paraId="7639D383" w14:textId="77777777" w:rsidR="0081691D" w:rsidRPr="00134CF0" w:rsidRDefault="0081691D" w:rsidP="0081691D">
      <w:pPr>
        <w:pStyle w:val="paragraphsub"/>
      </w:pPr>
      <w:r w:rsidRPr="00134CF0">
        <w:tab/>
        <w:t>(i)</w:t>
      </w:r>
      <w:r w:rsidRPr="00134CF0">
        <w:tab/>
        <w:t>had the right to cause the superannuation interest to cease; and</w:t>
      </w:r>
    </w:p>
    <w:p w14:paraId="23744B6B" w14:textId="77777777" w:rsidR="0081691D" w:rsidRPr="00134CF0" w:rsidRDefault="0081691D" w:rsidP="0081691D">
      <w:pPr>
        <w:pStyle w:val="paragraphsub"/>
      </w:pPr>
      <w:r w:rsidRPr="00134CF0">
        <w:tab/>
        <w:t>(ii)</w:t>
      </w:r>
      <w:r w:rsidRPr="00134CF0">
        <w:tab/>
        <w:t>voluntarily caused the superannuation interest to cease; or</w:t>
      </w:r>
    </w:p>
    <w:p w14:paraId="3F7E010B" w14:textId="77777777" w:rsidR="0081691D" w:rsidRPr="00134CF0" w:rsidRDefault="0081691D" w:rsidP="0081691D">
      <w:pPr>
        <w:pStyle w:val="paragraph"/>
      </w:pPr>
      <w:r w:rsidRPr="00134CF0">
        <w:tab/>
        <w:t>(b)</w:t>
      </w:r>
      <w:r w:rsidRPr="00134CF0">
        <w:tab/>
        <w:t xml:space="preserve">became entitled to a </w:t>
      </w:r>
      <w:r w:rsidR="00813F6B" w:rsidRPr="00134CF0">
        <w:t xml:space="preserve">SIS </w:t>
      </w:r>
      <w:r w:rsidRPr="00134CF0">
        <w:t>pension</w:t>
      </w:r>
      <w:r w:rsidR="00813F6B" w:rsidRPr="00134CF0">
        <w:t>, RSA pension</w:t>
      </w:r>
      <w:r w:rsidRPr="00134CF0">
        <w:t xml:space="preserve"> or deferred benefit.</w:t>
      </w:r>
    </w:p>
    <w:p w14:paraId="5FFACD2C" w14:textId="77777777" w:rsidR="00DA2E74" w:rsidRPr="00134CF0" w:rsidRDefault="00DA2E74" w:rsidP="00DA2E74">
      <w:pPr>
        <w:pStyle w:val="subsection"/>
      </w:pPr>
      <w:r w:rsidRPr="00134CF0">
        <w:tab/>
        <w:t>(3)</w:t>
      </w:r>
      <w:r w:rsidRPr="00134CF0">
        <w:tab/>
        <w:t xml:space="preserve">For the purposes of </w:t>
      </w:r>
      <w:r w:rsidR="00C96F3A" w:rsidRPr="00134CF0">
        <w:t>subsection (</w:t>
      </w:r>
      <w:r w:rsidR="00003AF5" w:rsidRPr="00134CF0">
        <w:t>2)</w:t>
      </w:r>
      <w:r w:rsidRPr="00134CF0">
        <w:t xml:space="preserve">, </w:t>
      </w:r>
      <w:r w:rsidR="00003AF5" w:rsidRPr="00134CF0">
        <w:t xml:space="preserve">the </w:t>
      </w:r>
      <w:r w:rsidR="003B6964" w:rsidRPr="00134CF0">
        <w:t xml:space="preserve">total </w:t>
      </w:r>
      <w:r w:rsidR="00003AF5" w:rsidRPr="00134CF0">
        <w:t xml:space="preserve">value mentioned in that subsection </w:t>
      </w:r>
      <w:r w:rsidR="00C51DEA" w:rsidRPr="00134CF0">
        <w:t xml:space="preserve">is to be worked out in accordance with </w:t>
      </w:r>
      <w:r w:rsidRPr="00134CF0">
        <w:t xml:space="preserve">accounting standards in force at the time (even if the standard does not otherwise apply to </w:t>
      </w:r>
      <w:r w:rsidR="00B540F0" w:rsidRPr="00134CF0">
        <w:t xml:space="preserve">the </w:t>
      </w:r>
      <w:r w:rsidR="00C51DEA" w:rsidRPr="00134CF0">
        <w:t>superannuation fund</w:t>
      </w:r>
      <w:r w:rsidRPr="00134CF0">
        <w:t>).</w:t>
      </w:r>
    </w:p>
    <w:p w14:paraId="339E0A72" w14:textId="77777777" w:rsidR="003F3084" w:rsidRPr="00134CF0" w:rsidRDefault="003F3084" w:rsidP="003F3084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</w:t>
      </w:r>
      <w:r w:rsidR="009D1D66" w:rsidRPr="0021546F">
        <w:rPr>
          <w:rStyle w:val="CharSectno"/>
        </w:rPr>
        <w:t>8</w:t>
      </w:r>
      <w:r w:rsidRPr="00134CF0">
        <w:t xml:space="preserve">  Total superannuation balance value—maximum co</w:t>
      </w:r>
      <w:r w:rsidR="00427382" w:rsidRPr="00134CF0">
        <w:t>mmutation</w:t>
      </w:r>
      <w:r w:rsidRPr="00134CF0">
        <w:t xml:space="preserve"> amount</w:t>
      </w:r>
    </w:p>
    <w:p w14:paraId="51037BBF" w14:textId="77777777" w:rsidR="005A6F79" w:rsidRPr="00134CF0" w:rsidRDefault="003F3084" w:rsidP="00FF62E6">
      <w:pPr>
        <w:pStyle w:val="subsection"/>
      </w:pPr>
      <w:r w:rsidRPr="00134CF0">
        <w:tab/>
        <w:t>(1)</w:t>
      </w:r>
      <w:r w:rsidRPr="00134CF0">
        <w:tab/>
        <w:t>This</w:t>
      </w:r>
      <w:r w:rsidR="007D7DDB" w:rsidRPr="00134CF0">
        <w:t xml:space="preserve"> section</w:t>
      </w:r>
      <w:r w:rsidRPr="00134CF0">
        <w:t xml:space="preserve"> applies to a superannuation interest </w:t>
      </w:r>
      <w:r w:rsidR="005E36B3" w:rsidRPr="00134CF0">
        <w:t>at a particular time if, at that time</w:t>
      </w:r>
      <w:r w:rsidR="005A6F79" w:rsidRPr="00134CF0">
        <w:t>:</w:t>
      </w:r>
    </w:p>
    <w:p w14:paraId="0DAF4168" w14:textId="77777777" w:rsidR="000529F7" w:rsidRPr="00134CF0" w:rsidRDefault="005A6F79" w:rsidP="00437732">
      <w:pPr>
        <w:pStyle w:val="paragraph"/>
      </w:pPr>
      <w:r w:rsidRPr="00134CF0">
        <w:tab/>
        <w:t>(a)</w:t>
      </w:r>
      <w:r w:rsidRPr="00134CF0">
        <w:tab/>
      </w:r>
      <w:r w:rsidR="005E36B3" w:rsidRPr="00134CF0">
        <w:t xml:space="preserve">the interest </w:t>
      </w:r>
      <w:r w:rsidR="00CF15EB" w:rsidRPr="00134CF0">
        <w:t>supports</w:t>
      </w:r>
      <w:r w:rsidR="00FF62E6" w:rsidRPr="00134CF0">
        <w:t xml:space="preserve"> </w:t>
      </w:r>
      <w:r w:rsidR="00DE5E63" w:rsidRPr="00134CF0">
        <w:t>a</w:t>
      </w:r>
      <w:r w:rsidR="00FF62E6" w:rsidRPr="00134CF0">
        <w:t xml:space="preserve"> superannuation income stream</w:t>
      </w:r>
      <w:r w:rsidR="003133EB" w:rsidRPr="00134CF0">
        <w:t xml:space="preserve"> </w:t>
      </w:r>
      <w:r w:rsidR="00FF62E6" w:rsidRPr="00134CF0">
        <w:t xml:space="preserve">provided under a contract or rules that meet the standards of </w:t>
      </w:r>
      <w:r w:rsidR="00C96F3A" w:rsidRPr="00134CF0">
        <w:t>subregulation 1</w:t>
      </w:r>
      <w:r w:rsidR="00FF62E6" w:rsidRPr="00134CF0">
        <w:t>.06A(2) of the SIS Regulations</w:t>
      </w:r>
      <w:r w:rsidRPr="00134CF0">
        <w:t>; and</w:t>
      </w:r>
    </w:p>
    <w:p w14:paraId="176CDF4B" w14:textId="77777777" w:rsidR="005A6F79" w:rsidRPr="00134CF0" w:rsidRDefault="005A6F79" w:rsidP="005A6F79">
      <w:pPr>
        <w:pStyle w:val="paragraph"/>
      </w:pPr>
      <w:r w:rsidRPr="00134CF0">
        <w:tab/>
        <w:t>(b)</w:t>
      </w:r>
      <w:r w:rsidRPr="00134CF0">
        <w:tab/>
        <w:t>sections 307</w:t>
      </w:r>
      <w:r w:rsidR="006D7098">
        <w:noBreakHyphen/>
      </w:r>
      <w:r w:rsidRPr="00134CF0">
        <w:t>205.02C, 307.205.02D and 307.205.02E of this instrument do not apply to the interest</w:t>
      </w:r>
      <w:r w:rsidR="00417A91" w:rsidRPr="00134CF0">
        <w:t>.</w:t>
      </w:r>
    </w:p>
    <w:p w14:paraId="46BEEFAD" w14:textId="77777777" w:rsidR="003F3084" w:rsidRPr="00134CF0" w:rsidRDefault="00CF15EB" w:rsidP="000668C3">
      <w:pPr>
        <w:pStyle w:val="subsection"/>
      </w:pPr>
      <w:r w:rsidRPr="00134CF0">
        <w:lastRenderedPageBreak/>
        <w:tab/>
        <w:t>(2)</w:t>
      </w:r>
      <w:r w:rsidRPr="00134CF0">
        <w:tab/>
      </w:r>
      <w:r w:rsidR="00993130" w:rsidRPr="00134CF0">
        <w:t>The</w:t>
      </w:r>
      <w:r w:rsidR="00F05AA0" w:rsidRPr="00134CF0">
        <w:t xml:space="preserve"> </w:t>
      </w:r>
      <w:r w:rsidR="007D7DDB" w:rsidRPr="00134CF0">
        <w:rPr>
          <w:b/>
          <w:i/>
        </w:rPr>
        <w:t>maximum co</w:t>
      </w:r>
      <w:r w:rsidR="00427382" w:rsidRPr="00134CF0">
        <w:rPr>
          <w:b/>
          <w:i/>
        </w:rPr>
        <w:t>mmutation</w:t>
      </w:r>
      <w:r w:rsidR="007D7DDB" w:rsidRPr="00134CF0">
        <w:rPr>
          <w:b/>
          <w:i/>
        </w:rPr>
        <w:t xml:space="preserve"> amount</w:t>
      </w:r>
      <w:r w:rsidR="00A23493" w:rsidRPr="00134CF0">
        <w:t xml:space="preserve"> </w:t>
      </w:r>
      <w:r w:rsidR="004852CE" w:rsidRPr="00134CF0">
        <w:t xml:space="preserve">of the interest is </w:t>
      </w:r>
      <w:r w:rsidR="000E757E" w:rsidRPr="00134CF0">
        <w:t xml:space="preserve">the amount </w:t>
      </w:r>
      <w:r w:rsidR="003F3084" w:rsidRPr="00134CF0">
        <w:t xml:space="preserve">worked out </w:t>
      </w:r>
      <w:r w:rsidR="009852A9" w:rsidRPr="00134CF0">
        <w:t xml:space="preserve">under paragraph 1.06B(1)(c) of the SIS Regulations for </w:t>
      </w:r>
      <w:r w:rsidR="000E757E" w:rsidRPr="00134CF0">
        <w:t xml:space="preserve">the </w:t>
      </w:r>
      <w:r w:rsidR="00136C39" w:rsidRPr="00134CF0">
        <w:t>superannuation income stream</w:t>
      </w:r>
      <w:r w:rsidR="000E757E" w:rsidRPr="00134CF0">
        <w:t xml:space="preserve"> at that time</w:t>
      </w:r>
      <w:r w:rsidR="003F3084" w:rsidRPr="00134CF0">
        <w:t>.</w:t>
      </w:r>
    </w:p>
    <w:p w14:paraId="25FD98DD" w14:textId="77777777" w:rsidR="009D5D75" w:rsidRPr="00134CF0" w:rsidRDefault="009D5D75" w:rsidP="009D5D75">
      <w:pPr>
        <w:pStyle w:val="ItemHead"/>
      </w:pPr>
      <w:r w:rsidRPr="00134CF0">
        <w:t xml:space="preserve">5  </w:t>
      </w:r>
      <w:r w:rsidR="006C00AD" w:rsidRPr="00134CF0">
        <w:t>Section 9</w:t>
      </w:r>
      <w:r w:rsidRPr="00134CF0">
        <w:t>95</w:t>
      </w:r>
      <w:r w:rsidR="006D7098">
        <w:noBreakHyphen/>
      </w:r>
      <w:r w:rsidRPr="00134CF0">
        <w:t>1.01 (</w:t>
      </w:r>
      <w:r w:rsidR="00EF0325" w:rsidRPr="00134CF0">
        <w:t>paragraph (</w:t>
      </w:r>
      <w:r w:rsidRPr="00134CF0">
        <w:t xml:space="preserve">b) of the definition of </w:t>
      </w:r>
      <w:r w:rsidRPr="00134CF0">
        <w:rPr>
          <w:i/>
        </w:rPr>
        <w:t>benefit category</w:t>
      </w:r>
      <w:r w:rsidRPr="00134CF0">
        <w:t>)</w:t>
      </w:r>
    </w:p>
    <w:p w14:paraId="0CDE2809" w14:textId="77777777" w:rsidR="009D5D75" w:rsidRPr="00134CF0" w:rsidRDefault="009D5D75" w:rsidP="009D5D75">
      <w:pPr>
        <w:pStyle w:val="Item"/>
      </w:pPr>
      <w:r w:rsidRPr="00134CF0">
        <w:t xml:space="preserve">After </w:t>
      </w:r>
      <w:r w:rsidR="00813F6B" w:rsidRPr="00134CF0">
        <w:t>“</w:t>
      </w:r>
      <w:r w:rsidRPr="00134CF0">
        <w:t>for the purposes of</w:t>
      </w:r>
      <w:r w:rsidR="00813F6B" w:rsidRPr="00134CF0">
        <w:t>”</w:t>
      </w:r>
      <w:r w:rsidRPr="00134CF0">
        <w:t xml:space="preserve">, insert </w:t>
      </w:r>
      <w:r w:rsidR="00813F6B" w:rsidRPr="00134CF0">
        <w:t>“</w:t>
      </w:r>
      <w:r w:rsidR="0022597E" w:rsidRPr="00134CF0">
        <w:t>Subdivision 3</w:t>
      </w:r>
      <w:r w:rsidRPr="00134CF0">
        <w:t>07</w:t>
      </w:r>
      <w:r w:rsidR="006D7098">
        <w:noBreakHyphen/>
      </w:r>
      <w:r w:rsidRPr="00134CF0">
        <w:t>D and</w:t>
      </w:r>
      <w:r w:rsidR="00813F6B" w:rsidRPr="00134CF0">
        <w:t>”</w:t>
      </w:r>
      <w:r w:rsidRPr="00134CF0">
        <w:t>.</w:t>
      </w:r>
    </w:p>
    <w:p w14:paraId="41B29B44" w14:textId="77777777" w:rsidR="005D6F4C" w:rsidRPr="00134CF0" w:rsidRDefault="00ED2966" w:rsidP="00E42CF0">
      <w:pPr>
        <w:pStyle w:val="ItemHead"/>
      </w:pPr>
      <w:r w:rsidRPr="00134CF0">
        <w:t>6</w:t>
      </w:r>
      <w:r w:rsidR="005D6F4C" w:rsidRPr="00134CF0">
        <w:t xml:space="preserve">  </w:t>
      </w:r>
      <w:r w:rsidR="006C00AD" w:rsidRPr="00134CF0">
        <w:t>Section 9</w:t>
      </w:r>
      <w:r w:rsidR="005D6F4C" w:rsidRPr="00134CF0">
        <w:t>95</w:t>
      </w:r>
      <w:r w:rsidR="006D7098">
        <w:noBreakHyphen/>
      </w:r>
      <w:r w:rsidR="005D6F4C" w:rsidRPr="00134CF0">
        <w:t>1.01 (</w:t>
      </w:r>
      <w:r w:rsidR="00EF0325" w:rsidRPr="00134CF0">
        <w:t>paragraph (</w:t>
      </w:r>
      <w:r w:rsidR="005D6F4C" w:rsidRPr="00134CF0">
        <w:t xml:space="preserve">b) of the definition of </w:t>
      </w:r>
      <w:r w:rsidR="005B08D9" w:rsidRPr="00134CF0">
        <w:rPr>
          <w:i/>
        </w:rPr>
        <w:t>defined benefit fund</w:t>
      </w:r>
      <w:r w:rsidR="005B08D9" w:rsidRPr="00134CF0">
        <w:t>)</w:t>
      </w:r>
    </w:p>
    <w:p w14:paraId="7BFB49CE" w14:textId="77777777" w:rsidR="009D5D75" w:rsidRPr="00134CF0" w:rsidRDefault="009D5D75" w:rsidP="009D5D75">
      <w:pPr>
        <w:pStyle w:val="Item"/>
      </w:pPr>
      <w:r w:rsidRPr="00134CF0">
        <w:t xml:space="preserve">After </w:t>
      </w:r>
      <w:r w:rsidR="00813F6B" w:rsidRPr="00134CF0">
        <w:t>“</w:t>
      </w:r>
      <w:r w:rsidRPr="00134CF0">
        <w:t>for the purposes of</w:t>
      </w:r>
      <w:r w:rsidR="00813F6B" w:rsidRPr="00134CF0">
        <w:t>”</w:t>
      </w:r>
      <w:r w:rsidRPr="00134CF0">
        <w:t xml:space="preserve">, insert </w:t>
      </w:r>
      <w:r w:rsidR="00813F6B" w:rsidRPr="00134CF0">
        <w:t>“</w:t>
      </w:r>
      <w:r w:rsidR="0022597E" w:rsidRPr="00134CF0">
        <w:t>Subdivision 3</w:t>
      </w:r>
      <w:r w:rsidRPr="00134CF0">
        <w:t>07</w:t>
      </w:r>
      <w:r w:rsidR="006D7098">
        <w:noBreakHyphen/>
      </w:r>
      <w:r w:rsidRPr="00134CF0">
        <w:t>D and</w:t>
      </w:r>
      <w:r w:rsidR="00813F6B" w:rsidRPr="00134CF0">
        <w:t>”</w:t>
      </w:r>
      <w:r w:rsidRPr="00134CF0">
        <w:t>.</w:t>
      </w:r>
    </w:p>
    <w:p w14:paraId="724B5653" w14:textId="77777777" w:rsidR="00F05AA0" w:rsidRPr="00134CF0" w:rsidRDefault="00ED2966" w:rsidP="00F05AA0">
      <w:pPr>
        <w:pStyle w:val="ItemHead"/>
      </w:pPr>
      <w:r w:rsidRPr="00134CF0">
        <w:t>7</w:t>
      </w:r>
      <w:r w:rsidR="00F05AA0" w:rsidRPr="00134CF0">
        <w:t xml:space="preserve">  </w:t>
      </w:r>
      <w:r w:rsidR="006C00AD" w:rsidRPr="00134CF0">
        <w:t>Section 9</w:t>
      </w:r>
      <w:r w:rsidR="00F05AA0" w:rsidRPr="00134CF0">
        <w:t>95</w:t>
      </w:r>
      <w:r w:rsidR="006D7098">
        <w:noBreakHyphen/>
      </w:r>
      <w:r w:rsidR="00F05AA0" w:rsidRPr="00134CF0">
        <w:t>1.01</w:t>
      </w:r>
    </w:p>
    <w:p w14:paraId="4F3B9CF8" w14:textId="77777777" w:rsidR="00F05AA0" w:rsidRPr="00134CF0" w:rsidRDefault="00F05AA0" w:rsidP="00F05AA0">
      <w:pPr>
        <w:pStyle w:val="Item"/>
      </w:pPr>
      <w:r w:rsidRPr="00134CF0">
        <w:t>Insert:</w:t>
      </w:r>
    </w:p>
    <w:p w14:paraId="3D01C8CF" w14:textId="77777777" w:rsidR="002B78D7" w:rsidRPr="00134CF0" w:rsidRDefault="002B78D7" w:rsidP="002B78D7">
      <w:pPr>
        <w:pStyle w:val="Definition"/>
      </w:pPr>
      <w:r w:rsidRPr="00134CF0">
        <w:rPr>
          <w:b/>
          <w:i/>
        </w:rPr>
        <w:t>alternative valuation method</w:t>
      </w:r>
      <w:r w:rsidRPr="00134CF0">
        <w:t xml:space="preserve"> has the meaning given by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230A.04(2).</w:t>
      </w:r>
    </w:p>
    <w:p w14:paraId="08818A90" w14:textId="77777777" w:rsidR="00B03483" w:rsidRPr="00134CF0" w:rsidRDefault="00B03483" w:rsidP="00B03483">
      <w:pPr>
        <w:pStyle w:val="Definition"/>
      </w:pPr>
      <w:r w:rsidRPr="00134CF0">
        <w:rPr>
          <w:b/>
          <w:i/>
        </w:rPr>
        <w:t>family law value</w:t>
      </w:r>
      <w:r w:rsidRPr="00134CF0">
        <w:t xml:space="preserve"> has the meaning given by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230A.03(2).</w:t>
      </w:r>
    </w:p>
    <w:p w14:paraId="6CAD7639" w14:textId="77777777" w:rsidR="00B03483" w:rsidRPr="00134CF0" w:rsidRDefault="00B03483" w:rsidP="00B03483">
      <w:pPr>
        <w:pStyle w:val="Definition"/>
      </w:pPr>
      <w:r w:rsidRPr="00134CF0">
        <w:rPr>
          <w:b/>
          <w:i/>
        </w:rPr>
        <w:t>maximum commutation amount</w:t>
      </w:r>
      <w:r w:rsidRPr="00134CF0">
        <w:t xml:space="preserve"> has the meaning given by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230A.08(2).</w:t>
      </w:r>
    </w:p>
    <w:p w14:paraId="559D6696" w14:textId="77777777" w:rsidR="0090275A" w:rsidRPr="00134CF0" w:rsidRDefault="0090275A" w:rsidP="0090275A">
      <w:pPr>
        <w:pStyle w:val="Definition"/>
      </w:pPr>
      <w:r w:rsidRPr="00134CF0">
        <w:rPr>
          <w:b/>
          <w:i/>
        </w:rPr>
        <w:t>superannuation actuary</w:t>
      </w:r>
      <w:r w:rsidRPr="00134CF0">
        <w:t xml:space="preserve"> has the same meaning as in the SIS Act.</w:t>
      </w:r>
    </w:p>
    <w:p w14:paraId="12756854" w14:textId="77777777" w:rsidR="00F66A8C" w:rsidRPr="00134CF0" w:rsidRDefault="00FB5D56" w:rsidP="00B629F2">
      <w:pPr>
        <w:pStyle w:val="Definition"/>
      </w:pPr>
      <w:r w:rsidRPr="00134CF0">
        <w:rPr>
          <w:b/>
          <w:i/>
        </w:rPr>
        <w:t>vested benefit</w:t>
      </w:r>
      <w:r w:rsidR="00B629F2" w:rsidRPr="00134CF0">
        <w:rPr>
          <w:b/>
          <w:i/>
        </w:rPr>
        <w:t>s</w:t>
      </w:r>
      <w:r w:rsidR="003E1C92" w:rsidRPr="00134CF0">
        <w:rPr>
          <w:b/>
          <w:i/>
        </w:rPr>
        <w:t xml:space="preserve"> total</w:t>
      </w:r>
      <w:r w:rsidR="00B629F2" w:rsidRPr="00134CF0">
        <w:t xml:space="preserve"> has the meaning given by </w:t>
      </w:r>
      <w:r w:rsidR="00C96F3A" w:rsidRPr="00134CF0">
        <w:t>sub</w:t>
      </w:r>
      <w:r w:rsidR="003766C6" w:rsidRPr="00134CF0">
        <w:t>section 3</w:t>
      </w:r>
      <w:r w:rsidR="00B629F2" w:rsidRPr="00134CF0">
        <w:t>07</w:t>
      </w:r>
      <w:r w:rsidR="006D7098">
        <w:noBreakHyphen/>
      </w:r>
      <w:r w:rsidR="00B629F2" w:rsidRPr="00134CF0">
        <w:t>230A.07(2).</w:t>
      </w:r>
    </w:p>
    <w:p w14:paraId="3D301E35" w14:textId="77777777" w:rsidR="00F144DD" w:rsidRPr="00134CF0" w:rsidRDefault="00F144DD" w:rsidP="00F144DD">
      <w:pPr>
        <w:pStyle w:val="ItemHead"/>
      </w:pPr>
      <w:r w:rsidRPr="00134CF0">
        <w:t xml:space="preserve">8  In the appropriate position in </w:t>
      </w:r>
      <w:r w:rsidR="003766C6" w:rsidRPr="00134CF0">
        <w:t>Part 1</w:t>
      </w:r>
      <w:r w:rsidR="003E1C92" w:rsidRPr="00134CF0">
        <w:t>000</w:t>
      </w:r>
      <w:r w:rsidR="006D7098">
        <w:noBreakHyphen/>
      </w:r>
      <w:r w:rsidR="003E1C92" w:rsidRPr="00134CF0">
        <w:t>5</w:t>
      </w:r>
    </w:p>
    <w:p w14:paraId="7A0399DD" w14:textId="77777777" w:rsidR="00F144DD" w:rsidRPr="00134CF0" w:rsidRDefault="00F144DD" w:rsidP="00F144DD">
      <w:pPr>
        <w:pStyle w:val="Item"/>
      </w:pPr>
      <w:r w:rsidRPr="00134CF0">
        <w:t>Insert:</w:t>
      </w:r>
    </w:p>
    <w:p w14:paraId="77329F7B" w14:textId="77777777" w:rsidR="00F144DD" w:rsidRPr="00134CF0" w:rsidRDefault="002E6A7A" w:rsidP="00F144DD">
      <w:pPr>
        <w:pStyle w:val="ActHead5"/>
      </w:pPr>
      <w:r w:rsidRPr="0021546F">
        <w:rPr>
          <w:rStyle w:val="CharSectno"/>
        </w:rPr>
        <w:t>1000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5.03</w:t>
      </w:r>
      <w:r w:rsidRPr="00134CF0">
        <w:t xml:space="preserve">  Transitional provision—v</w:t>
      </w:r>
      <w:r w:rsidR="00F144DD" w:rsidRPr="00134CF0">
        <w:t>ested benefits</w:t>
      </w:r>
      <w:r w:rsidR="003E1C92" w:rsidRPr="00134CF0">
        <w:t xml:space="preserve"> total</w:t>
      </w:r>
    </w:p>
    <w:p w14:paraId="6C1D169C" w14:textId="77777777" w:rsidR="005B5D35" w:rsidRPr="00134CF0" w:rsidRDefault="00722F26" w:rsidP="00DC3434">
      <w:pPr>
        <w:pStyle w:val="subsection"/>
      </w:pPr>
      <w:r w:rsidRPr="00134CF0">
        <w:tab/>
      </w:r>
      <w:r w:rsidRPr="00134CF0">
        <w:tab/>
      </w:r>
      <w:r w:rsidR="002C4B96" w:rsidRPr="00134CF0">
        <w:t xml:space="preserve">For the purposes of </w:t>
      </w:r>
      <w:r w:rsidRPr="00134CF0">
        <w:t>working ou</w:t>
      </w:r>
      <w:r w:rsidR="00BA5BF8" w:rsidRPr="00134CF0">
        <w:t>t</w:t>
      </w:r>
      <w:r w:rsidRPr="00134CF0">
        <w:t xml:space="preserve"> whether 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230A.07</w:t>
      </w:r>
      <w:r w:rsidR="00B249CF" w:rsidRPr="00134CF0">
        <w:t xml:space="preserve">, as inserted by </w:t>
      </w:r>
      <w:r w:rsidR="003766C6" w:rsidRPr="00134CF0">
        <w:t>Part 2</w:t>
      </w:r>
      <w:r w:rsidR="005C3121" w:rsidRPr="00134CF0">
        <w:t xml:space="preserve"> of </w:t>
      </w:r>
      <w:r w:rsidR="00C96F3A" w:rsidRPr="00134CF0">
        <w:t>Schedule 2</w:t>
      </w:r>
      <w:r w:rsidR="00B249CF" w:rsidRPr="00134CF0">
        <w:t xml:space="preserve"> to the</w:t>
      </w:r>
      <w:r w:rsidR="007F55F9" w:rsidRPr="00134CF0">
        <w:t xml:space="preserve"> </w:t>
      </w:r>
      <w:r w:rsidR="007F55F9" w:rsidRPr="00134CF0">
        <w:rPr>
          <w:i/>
        </w:rPr>
        <w:t>Treasury Laws Amendment Instrument</w:t>
      </w:r>
      <w:r w:rsidR="00C96F3A" w:rsidRPr="00134CF0">
        <w:rPr>
          <w:i/>
        </w:rPr>
        <w:t> 2</w:t>
      </w:r>
      <w:r w:rsidR="00B249CF" w:rsidRPr="00134CF0">
        <w:rPr>
          <w:i/>
        </w:rPr>
        <w:t>02</w:t>
      </w:r>
      <w:r w:rsidR="00646548" w:rsidRPr="00134CF0">
        <w:rPr>
          <w:i/>
        </w:rPr>
        <w:t>4</w:t>
      </w:r>
      <w:r w:rsidR="00B249CF" w:rsidRPr="00134CF0">
        <w:t>,</w:t>
      </w:r>
      <w:r w:rsidRPr="00134CF0">
        <w:t xml:space="preserve"> applies to a superannuation interest at a particular time</w:t>
      </w:r>
      <w:r w:rsidR="00DC3434" w:rsidRPr="00134CF0">
        <w:t xml:space="preserve"> occurring before </w:t>
      </w:r>
      <w:r w:rsidR="00C96F3A" w:rsidRPr="00134CF0">
        <w:t>30 June</w:t>
      </w:r>
      <w:r w:rsidR="00DC3434" w:rsidRPr="00134CF0">
        <w:t xml:space="preserve"> 2026</w:t>
      </w:r>
      <w:r w:rsidR="005B5D35" w:rsidRPr="00134CF0">
        <w:t>:</w:t>
      </w:r>
    </w:p>
    <w:p w14:paraId="32F9524A" w14:textId="77777777" w:rsidR="005B5D35" w:rsidRPr="00134CF0" w:rsidRDefault="005B5D35" w:rsidP="005B5D35">
      <w:pPr>
        <w:pStyle w:val="paragraph"/>
      </w:pPr>
      <w:r w:rsidRPr="00134CF0">
        <w:tab/>
        <w:t>(a)</w:t>
      </w:r>
      <w:r w:rsidRPr="00134CF0">
        <w:tab/>
      </w:r>
      <w:r w:rsidR="00722F26" w:rsidRPr="00134CF0">
        <w:t xml:space="preserve">disregard </w:t>
      </w:r>
      <w:r w:rsidR="00DC3434" w:rsidRPr="00134CF0">
        <w:t xml:space="preserve">the reference in </w:t>
      </w:r>
      <w:r w:rsidR="00C96F3A" w:rsidRPr="00134CF0">
        <w:t>subparagraph 3</w:t>
      </w:r>
      <w:r w:rsidR="00722F26" w:rsidRPr="00134CF0">
        <w:t>07</w:t>
      </w:r>
      <w:r w:rsidR="006D7098">
        <w:noBreakHyphen/>
      </w:r>
      <w:r w:rsidR="00722F26" w:rsidRPr="00134CF0">
        <w:t>230A.07(1)(</w:t>
      </w:r>
      <w:r w:rsidR="00BA3734" w:rsidRPr="00134CF0">
        <w:t>c</w:t>
      </w:r>
      <w:r w:rsidR="00722F26" w:rsidRPr="00134CF0">
        <w:t xml:space="preserve">)(i) </w:t>
      </w:r>
      <w:r w:rsidR="00DC3434" w:rsidRPr="00134CF0">
        <w:t>to that section having appl</w:t>
      </w:r>
      <w:r w:rsidR="005C3121" w:rsidRPr="00134CF0">
        <w:t>ied</w:t>
      </w:r>
      <w:r w:rsidR="00DC3434" w:rsidRPr="00134CF0">
        <w:t xml:space="preserve"> 12 months before that time</w:t>
      </w:r>
      <w:r w:rsidRPr="00134CF0">
        <w:t>; and</w:t>
      </w:r>
    </w:p>
    <w:p w14:paraId="21D69EDA" w14:textId="77777777" w:rsidR="00DF35CF" w:rsidRPr="00134CF0" w:rsidRDefault="005B5D35" w:rsidP="005B5D35">
      <w:pPr>
        <w:pStyle w:val="paragraph"/>
      </w:pPr>
      <w:r w:rsidRPr="00134CF0">
        <w:tab/>
        <w:t>(b)</w:t>
      </w:r>
      <w:r w:rsidRPr="00134CF0">
        <w:tab/>
        <w:t xml:space="preserve">treat the reference in </w:t>
      </w:r>
      <w:r w:rsidR="005C3121" w:rsidRPr="00134CF0">
        <w:t xml:space="preserve">that </w:t>
      </w:r>
      <w:r w:rsidR="00EF0325" w:rsidRPr="00134CF0">
        <w:t>subparagraph</w:t>
      </w:r>
      <w:r w:rsidR="001D1566" w:rsidRPr="00134CF0">
        <w:t xml:space="preserve"> to the vested benefit</w:t>
      </w:r>
      <w:r w:rsidR="00EF0325" w:rsidRPr="00134CF0">
        <w:t>s</w:t>
      </w:r>
      <w:r w:rsidR="003E1C92" w:rsidRPr="00134CF0">
        <w:t xml:space="preserve"> total</w:t>
      </w:r>
      <w:r w:rsidR="001D1566" w:rsidRPr="00134CF0">
        <w:t xml:space="preserve"> of </w:t>
      </w:r>
      <w:r w:rsidR="005C3121" w:rsidRPr="00134CF0">
        <w:t xml:space="preserve">the </w:t>
      </w:r>
      <w:r w:rsidR="001D1566" w:rsidRPr="00134CF0">
        <w:t>interest a</w:t>
      </w:r>
      <w:r w:rsidR="00514712" w:rsidRPr="00134CF0">
        <w:t xml:space="preserve">s being </w:t>
      </w:r>
      <w:r w:rsidR="001D1566" w:rsidRPr="00134CF0">
        <w:t>a reference to the value of the interest</w:t>
      </w:r>
      <w:r w:rsidR="0080603B" w:rsidRPr="00134CF0">
        <w:t>.</w:t>
      </w:r>
    </w:p>
    <w:p w14:paraId="4198CCFD" w14:textId="77777777" w:rsidR="0054314D" w:rsidRPr="00134CF0" w:rsidRDefault="003766C6" w:rsidP="0054314D">
      <w:pPr>
        <w:pStyle w:val="ActHead6"/>
        <w:pageBreakBefore/>
      </w:pPr>
      <w:r w:rsidRPr="0021546F">
        <w:rPr>
          <w:rStyle w:val="CharAmSchNo"/>
        </w:rPr>
        <w:lastRenderedPageBreak/>
        <w:t>Schedule 3</w:t>
      </w:r>
      <w:r w:rsidR="0054314D" w:rsidRPr="00134CF0">
        <w:t>—</w:t>
      </w:r>
      <w:r w:rsidR="0054314D" w:rsidRPr="0021546F">
        <w:rPr>
          <w:rStyle w:val="CharAmSchText"/>
        </w:rPr>
        <w:t>Family law splits</w:t>
      </w:r>
    </w:p>
    <w:p w14:paraId="1DFCDDCE" w14:textId="77777777" w:rsidR="0054314D" w:rsidRPr="00134CF0" w:rsidRDefault="003766C6" w:rsidP="0054314D">
      <w:pPr>
        <w:pStyle w:val="ActHead7"/>
      </w:pPr>
      <w:r w:rsidRPr="0021546F">
        <w:rPr>
          <w:rStyle w:val="CharAmPartNo"/>
        </w:rPr>
        <w:t>Part 1</w:t>
      </w:r>
      <w:r w:rsidR="0054314D" w:rsidRPr="00134CF0">
        <w:t>—</w:t>
      </w:r>
      <w:r w:rsidR="0054314D" w:rsidRPr="0021546F">
        <w:rPr>
          <w:rStyle w:val="CharAmPartText"/>
        </w:rPr>
        <w:t>Better targeted superannuation concessions</w:t>
      </w:r>
    </w:p>
    <w:p w14:paraId="08D5DDCA" w14:textId="77777777" w:rsidR="0054314D" w:rsidRPr="00134CF0" w:rsidRDefault="0054314D" w:rsidP="0054314D">
      <w:pPr>
        <w:pStyle w:val="ActHead9"/>
      </w:pPr>
      <w:r w:rsidRPr="00134CF0">
        <w:t>Income Tax Assessment (1997 Act) Regulations 2021</w:t>
      </w:r>
    </w:p>
    <w:p w14:paraId="0FAA3978" w14:textId="77777777" w:rsidR="0054314D" w:rsidRPr="00134CF0" w:rsidRDefault="001731D8" w:rsidP="0054314D">
      <w:pPr>
        <w:pStyle w:val="ItemHead"/>
      </w:pPr>
      <w:r w:rsidRPr="00134CF0">
        <w:t>1</w:t>
      </w:r>
      <w:r w:rsidR="0054314D" w:rsidRPr="00134CF0">
        <w:t xml:space="preserve">  Before </w:t>
      </w:r>
      <w:r w:rsidR="003766C6" w:rsidRPr="00134CF0">
        <w:t>section 2</w:t>
      </w:r>
      <w:r w:rsidR="0054314D" w:rsidRPr="00134CF0">
        <w:t>96</w:t>
      </w:r>
      <w:r w:rsidR="006D7098">
        <w:noBreakHyphen/>
      </w:r>
      <w:r w:rsidR="0054314D" w:rsidRPr="00134CF0">
        <w:t>5</w:t>
      </w:r>
      <w:r w:rsidR="004C7622" w:rsidRPr="00134CF0">
        <w:t>5</w:t>
      </w:r>
      <w:r w:rsidR="0054314D" w:rsidRPr="00134CF0">
        <w:t>.0</w:t>
      </w:r>
      <w:r w:rsidR="004C7622" w:rsidRPr="00134CF0">
        <w:t>1</w:t>
      </w:r>
    </w:p>
    <w:p w14:paraId="106B7515" w14:textId="77777777" w:rsidR="0054314D" w:rsidRPr="00134CF0" w:rsidRDefault="0054314D" w:rsidP="0054314D">
      <w:pPr>
        <w:pStyle w:val="Item"/>
      </w:pPr>
      <w:r w:rsidRPr="00134CF0">
        <w:t>Insert:</w:t>
      </w:r>
    </w:p>
    <w:p w14:paraId="05775ADC" w14:textId="77777777" w:rsidR="0054314D" w:rsidRPr="00134CF0" w:rsidRDefault="0054314D" w:rsidP="0054314D">
      <w:pPr>
        <w:pStyle w:val="ActHead5"/>
      </w:pPr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50.01</w:t>
      </w:r>
      <w:r w:rsidRPr="00134CF0">
        <w:t xml:space="preserve">  Your adjusted total superannuation balance—your withdrawals total</w:t>
      </w:r>
      <w:r w:rsidR="00000B40" w:rsidRPr="00134CF0">
        <w:t>: family law split (member spouse)</w:t>
      </w:r>
    </w:p>
    <w:p w14:paraId="4EE54E30" w14:textId="77777777" w:rsidR="0054314D" w:rsidRPr="00134CF0" w:rsidRDefault="0054314D" w:rsidP="0054314D">
      <w:pPr>
        <w:pStyle w:val="subsection"/>
      </w:pPr>
      <w:r w:rsidRPr="00134CF0">
        <w:tab/>
        <w:t>(1)</w:t>
      </w:r>
      <w:r w:rsidRPr="00134CF0">
        <w:tab/>
        <w:t>For the purposes of paragraph 296</w:t>
      </w:r>
      <w:r w:rsidR="006D7098">
        <w:noBreakHyphen/>
      </w:r>
      <w:r w:rsidRPr="00134CF0">
        <w:t>50(1)(h) of the Act, the amount mentioned in subsection (2) of this section is prescribed in relation to an income year of yours if:</w:t>
      </w:r>
    </w:p>
    <w:p w14:paraId="4DF55DFB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>a superannuation interest of yours becomes subject to a payment split at a time occurring during the year; and</w:t>
      </w:r>
    </w:p>
    <w:p w14:paraId="59233827" w14:textId="77777777" w:rsidR="0054314D" w:rsidRPr="00134CF0" w:rsidRDefault="0054314D" w:rsidP="0054314D">
      <w:pPr>
        <w:pStyle w:val="paragraph"/>
      </w:pPr>
      <w:r w:rsidRPr="00134CF0">
        <w:tab/>
        <w:t>(b)</w:t>
      </w:r>
      <w:r w:rsidRPr="00134CF0">
        <w:tab/>
        <w:t>at that time, the non</w:t>
      </w:r>
      <w:r w:rsidR="006D7098">
        <w:noBreakHyphen/>
      </w:r>
      <w:r w:rsidRPr="00134CF0">
        <w:t>member spouse in relation to the interest is treated,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 xml:space="preserve">230(3) of the Act, as having a superannuation interest (the </w:t>
      </w:r>
      <w:r w:rsidRPr="00134CF0">
        <w:rPr>
          <w:b/>
          <w:i/>
        </w:rPr>
        <w:t>non</w:t>
      </w:r>
      <w:r w:rsidR="006D7098">
        <w:rPr>
          <w:b/>
          <w:i/>
        </w:rPr>
        <w:noBreakHyphen/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because of the payment split.</w:t>
      </w:r>
    </w:p>
    <w:p w14:paraId="372E256E" w14:textId="77777777" w:rsidR="0054314D" w:rsidRPr="00134CF0" w:rsidRDefault="0054314D" w:rsidP="0054314D">
      <w:pPr>
        <w:pStyle w:val="subsection"/>
      </w:pPr>
      <w:r w:rsidRPr="00134CF0">
        <w:tab/>
        <w:t>(2)</w:t>
      </w:r>
      <w:r w:rsidRPr="00134CF0">
        <w:tab/>
        <w:t>The amount is the total superannuation balance value of the non</w:t>
      </w:r>
      <w:r w:rsidR="006D7098">
        <w:noBreakHyphen/>
      </w:r>
      <w:r w:rsidRPr="00134CF0">
        <w:t>member spouse</w:t>
      </w:r>
      <w:r w:rsidR="00813F6B" w:rsidRPr="00134CF0">
        <w:t>’</w:t>
      </w:r>
      <w:r w:rsidRPr="00134CF0">
        <w:t>s interest at that time.</w:t>
      </w:r>
    </w:p>
    <w:p w14:paraId="005ED112" w14:textId="77777777" w:rsidR="00F33EEB" w:rsidRPr="00134CF0" w:rsidRDefault="00F33EEB" w:rsidP="00F33EEB">
      <w:pPr>
        <w:pStyle w:val="ActHead5"/>
      </w:pPr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50.0</w:t>
      </w:r>
      <w:r w:rsidR="004C7622" w:rsidRPr="0021546F">
        <w:rPr>
          <w:rStyle w:val="CharSectno"/>
        </w:rPr>
        <w:t>2</w:t>
      </w:r>
      <w:r w:rsidRPr="00134CF0">
        <w:t xml:space="preserve">  Your adjusted total superannuation balance—your withdrawals total</w:t>
      </w:r>
      <w:r w:rsidR="00000B40" w:rsidRPr="00134CF0">
        <w:t>: family law split (non</w:t>
      </w:r>
      <w:r w:rsidR="006D7098">
        <w:noBreakHyphen/>
      </w:r>
      <w:r w:rsidR="00000B40" w:rsidRPr="00134CF0">
        <w:t>member spouse)</w:t>
      </w:r>
    </w:p>
    <w:p w14:paraId="5087466D" w14:textId="77777777" w:rsidR="0054314D" w:rsidRPr="00134CF0" w:rsidRDefault="0054314D" w:rsidP="0054314D">
      <w:pPr>
        <w:pStyle w:val="subsection"/>
      </w:pPr>
      <w:r w:rsidRPr="00134CF0">
        <w:tab/>
      </w:r>
      <w:r w:rsidRPr="00134CF0">
        <w:tab/>
        <w:t>For the purposes of paragraph 296</w:t>
      </w:r>
      <w:r w:rsidR="006D7098">
        <w:noBreakHyphen/>
      </w:r>
      <w:r w:rsidRPr="00134CF0">
        <w:t>50(1)(h) of the Act, the amount of a family law superannuation payment that is made to you is prescribed in relation to the income year of yours in which the payment is made if:</w:t>
      </w:r>
    </w:p>
    <w:p w14:paraId="70A5A7DA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 xml:space="preserve">the payment is made because a superannuation interest of another person (the </w:t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is subject to a payment split; and</w:t>
      </w:r>
    </w:p>
    <w:p w14:paraId="1E253FC6" w14:textId="77777777" w:rsidR="0054314D" w:rsidRPr="00134CF0" w:rsidRDefault="0054314D" w:rsidP="0054314D">
      <w:pPr>
        <w:pStyle w:val="paragraph"/>
      </w:pPr>
      <w:r w:rsidRPr="00134CF0">
        <w:tab/>
        <w:t>(b)</w:t>
      </w:r>
      <w:r w:rsidRPr="00134CF0">
        <w:tab/>
        <w:t>when the payment is made, you are taken,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to have a superannuation interest because the member spouse</w:t>
      </w:r>
      <w:r w:rsidR="00813F6B" w:rsidRPr="00134CF0">
        <w:t>’</w:t>
      </w:r>
      <w:r w:rsidRPr="00134CF0">
        <w:t>s interest is subject to the payment split.</w:t>
      </w:r>
    </w:p>
    <w:p w14:paraId="160C3FDC" w14:textId="77777777" w:rsidR="0054314D" w:rsidRPr="00134CF0" w:rsidRDefault="001731D8" w:rsidP="0054314D">
      <w:pPr>
        <w:pStyle w:val="ItemHead"/>
      </w:pPr>
      <w:r w:rsidRPr="00134CF0">
        <w:t>2</w:t>
      </w:r>
      <w:r w:rsidR="0054314D" w:rsidRPr="00134CF0">
        <w:t xml:space="preserve">  After </w:t>
      </w:r>
      <w:r w:rsidR="003766C6" w:rsidRPr="00134CF0">
        <w:t>section 2</w:t>
      </w:r>
      <w:r w:rsidR="0054314D" w:rsidRPr="00134CF0">
        <w:t>96</w:t>
      </w:r>
      <w:r w:rsidR="006D7098">
        <w:noBreakHyphen/>
      </w:r>
      <w:r w:rsidR="0054314D" w:rsidRPr="00134CF0">
        <w:t>55.01</w:t>
      </w:r>
    </w:p>
    <w:p w14:paraId="6EFAA5D9" w14:textId="77777777" w:rsidR="0054314D" w:rsidRPr="00134CF0" w:rsidRDefault="0054314D" w:rsidP="0054314D">
      <w:pPr>
        <w:pStyle w:val="Item"/>
      </w:pPr>
      <w:r w:rsidRPr="00134CF0">
        <w:t>Insert:</w:t>
      </w:r>
    </w:p>
    <w:p w14:paraId="20B96840" w14:textId="77777777" w:rsidR="0054314D" w:rsidRPr="00134CF0" w:rsidRDefault="0054314D" w:rsidP="0054314D">
      <w:pPr>
        <w:pStyle w:val="ActHead5"/>
      </w:pPr>
      <w:r w:rsidRPr="0021546F">
        <w:rPr>
          <w:rStyle w:val="CharSectno"/>
        </w:rPr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55.02</w:t>
      </w:r>
      <w:r w:rsidRPr="00134CF0">
        <w:t xml:space="preserve">  Your adjusted total superannuation balance—your contributions total: family law splits</w:t>
      </w:r>
      <w:r w:rsidR="00682ADF" w:rsidRPr="00134CF0">
        <w:t xml:space="preserve"> (non</w:t>
      </w:r>
      <w:r w:rsidR="006D7098">
        <w:noBreakHyphen/>
      </w:r>
      <w:r w:rsidR="00682ADF" w:rsidRPr="00134CF0">
        <w:t>member spouse)</w:t>
      </w:r>
    </w:p>
    <w:p w14:paraId="03E120D1" w14:textId="77777777" w:rsidR="0054314D" w:rsidRPr="00134CF0" w:rsidRDefault="0054314D" w:rsidP="0054314D">
      <w:pPr>
        <w:pStyle w:val="subsection"/>
      </w:pPr>
      <w:r w:rsidRPr="00134CF0">
        <w:tab/>
        <w:t>(1)</w:t>
      </w:r>
      <w:r w:rsidRPr="00134CF0">
        <w:tab/>
        <w:t>For the purposes of paragraph 296</w:t>
      </w:r>
      <w:r w:rsidR="006D7098">
        <w:noBreakHyphen/>
      </w:r>
      <w:r w:rsidRPr="00134CF0">
        <w:t>55(1)(j) of the Act, the amount mentioned in subsection (2) of this section is prescribed in relation to an income year of yours if, at a time occurring during the year, you begin to be taken,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to have a superannuation interest.</w:t>
      </w:r>
    </w:p>
    <w:p w14:paraId="6EB4A2ED" w14:textId="77777777" w:rsidR="0054314D" w:rsidRPr="00134CF0" w:rsidRDefault="0054314D" w:rsidP="0054314D">
      <w:pPr>
        <w:pStyle w:val="subsection"/>
      </w:pPr>
      <w:r w:rsidRPr="00134CF0">
        <w:tab/>
        <w:t>(2)</w:t>
      </w:r>
      <w:r w:rsidRPr="00134CF0">
        <w:tab/>
        <w:t>The amount is the total superannuation balance value of the interest at that time.</w:t>
      </w:r>
    </w:p>
    <w:p w14:paraId="22DB565C" w14:textId="77777777" w:rsidR="0054314D" w:rsidRPr="00134CF0" w:rsidRDefault="001731D8" w:rsidP="0054314D">
      <w:pPr>
        <w:pStyle w:val="ItemHead"/>
      </w:pPr>
      <w:r w:rsidRPr="00134CF0">
        <w:t>3</w:t>
      </w:r>
      <w:r w:rsidR="0054314D" w:rsidRPr="00134CF0">
        <w:t xml:space="preserve">  At the end of </w:t>
      </w:r>
      <w:r w:rsidR="003766C6" w:rsidRPr="00134CF0">
        <w:t>Subdivision 2</w:t>
      </w:r>
      <w:r w:rsidR="0054314D" w:rsidRPr="00134CF0">
        <w:t>96</w:t>
      </w:r>
      <w:r w:rsidR="006D7098">
        <w:noBreakHyphen/>
      </w:r>
      <w:r w:rsidR="0054314D" w:rsidRPr="00134CF0">
        <w:t>B</w:t>
      </w:r>
    </w:p>
    <w:p w14:paraId="538CCF6D" w14:textId="77777777" w:rsidR="0054314D" w:rsidRPr="00134CF0" w:rsidRDefault="0054314D" w:rsidP="0054314D">
      <w:pPr>
        <w:pStyle w:val="Item"/>
      </w:pPr>
      <w:r w:rsidRPr="00134CF0">
        <w:t>Add:</w:t>
      </w:r>
    </w:p>
    <w:p w14:paraId="5BFE77CA" w14:textId="77777777" w:rsidR="0054314D" w:rsidRPr="00134CF0" w:rsidRDefault="0054314D" w:rsidP="0054314D">
      <w:pPr>
        <w:pStyle w:val="ActHead5"/>
      </w:pPr>
      <w:r w:rsidRPr="0021546F">
        <w:rPr>
          <w:rStyle w:val="CharSectno"/>
        </w:rPr>
        <w:lastRenderedPageBreak/>
        <w:t>296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60.02</w:t>
      </w:r>
      <w:r w:rsidRPr="00134CF0">
        <w:t xml:space="preserve">  Your adjusted total superannuation balance—modifications: family law splits</w:t>
      </w:r>
      <w:r w:rsidR="00682ADF" w:rsidRPr="00134CF0">
        <w:t xml:space="preserve"> (member spouse)</w:t>
      </w:r>
    </w:p>
    <w:p w14:paraId="4C466F80" w14:textId="77777777" w:rsidR="0054314D" w:rsidRPr="00134CF0" w:rsidRDefault="0054314D" w:rsidP="0054314D">
      <w:pPr>
        <w:pStyle w:val="subsection"/>
      </w:pPr>
      <w:r w:rsidRPr="00134CF0">
        <w:tab/>
        <w:t>(1)</w:t>
      </w:r>
      <w:r w:rsidRPr="00134CF0">
        <w:tab/>
        <w:t>For the purposes of sub</w:t>
      </w:r>
      <w:r w:rsidR="003766C6" w:rsidRPr="00134CF0">
        <w:t>section 2</w:t>
      </w:r>
      <w:r w:rsidRPr="00134CF0">
        <w:t>96</w:t>
      </w:r>
      <w:r w:rsidR="006D7098">
        <w:noBreakHyphen/>
      </w:r>
      <w:r w:rsidRPr="00134CF0">
        <w:t>60(1) of the Act, the modification</w:t>
      </w:r>
      <w:r w:rsidR="00845CCD" w:rsidRPr="00134CF0">
        <w:t>s</w:t>
      </w:r>
      <w:r w:rsidRPr="00134CF0">
        <w:t xml:space="preserve"> set out in subsection</w:t>
      </w:r>
      <w:r w:rsidR="00932AAD" w:rsidRPr="00134CF0">
        <w:t>s</w:t>
      </w:r>
      <w:r w:rsidRPr="00134CF0">
        <w:t> (2)</w:t>
      </w:r>
      <w:r w:rsidR="00932AAD" w:rsidRPr="00134CF0">
        <w:t xml:space="preserve"> and (3)</w:t>
      </w:r>
      <w:r w:rsidRPr="00134CF0">
        <w:t xml:space="preserve"> of this section </w:t>
      </w:r>
      <w:r w:rsidR="00932AAD" w:rsidRPr="00134CF0">
        <w:t>are</w:t>
      </w:r>
      <w:r w:rsidRPr="00134CF0">
        <w:t xml:space="preserve"> prescribed.</w:t>
      </w:r>
    </w:p>
    <w:p w14:paraId="453069A6" w14:textId="77777777" w:rsidR="0054314D" w:rsidRPr="00134CF0" w:rsidRDefault="0054314D" w:rsidP="0054314D">
      <w:pPr>
        <w:pStyle w:val="subsection"/>
      </w:pPr>
      <w:r w:rsidRPr="00134CF0">
        <w:tab/>
        <w:t>(2)</w:t>
      </w:r>
      <w:r w:rsidRPr="00134CF0">
        <w:tab/>
        <w:t>For the purposes of paragraph 296</w:t>
      </w:r>
      <w:r w:rsidR="006D7098">
        <w:noBreakHyphen/>
      </w:r>
      <w:r w:rsidRPr="00134CF0">
        <w:t xml:space="preserve">50(1)(c) of the Act, disregard a family law superannuation payment from a superannuation interest of yours (the </w:t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if:</w:t>
      </w:r>
    </w:p>
    <w:p w14:paraId="6D51F193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>the payment is made because the member spouse</w:t>
      </w:r>
      <w:r w:rsidR="00813F6B" w:rsidRPr="00134CF0">
        <w:t>’</w:t>
      </w:r>
      <w:r w:rsidRPr="00134CF0">
        <w:t>s interest is subject to a payment split; and</w:t>
      </w:r>
    </w:p>
    <w:p w14:paraId="7BAD804C" w14:textId="77777777" w:rsidR="0054314D" w:rsidRPr="00134CF0" w:rsidRDefault="0054314D" w:rsidP="0054314D">
      <w:pPr>
        <w:pStyle w:val="paragraph"/>
      </w:pPr>
      <w:r w:rsidRPr="00134CF0">
        <w:tab/>
        <w:t>(b)</w:t>
      </w:r>
      <w:r w:rsidRPr="00134CF0">
        <w:tab/>
        <w:t>when the payment is made, the non</w:t>
      </w:r>
      <w:r w:rsidR="006D7098">
        <w:noBreakHyphen/>
      </w:r>
      <w:r w:rsidRPr="00134CF0">
        <w:t>member spouse in relation to the member spouse</w:t>
      </w:r>
      <w:r w:rsidR="00813F6B" w:rsidRPr="00134CF0">
        <w:t>’</w:t>
      </w:r>
      <w:r w:rsidRPr="00134CF0">
        <w:t>s interest is treated,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as having a superannuation interest because the member spouse</w:t>
      </w:r>
      <w:r w:rsidR="00813F6B" w:rsidRPr="00134CF0">
        <w:t>’</w:t>
      </w:r>
      <w:r w:rsidRPr="00134CF0">
        <w:t>s interest is subject to the payment split.</w:t>
      </w:r>
    </w:p>
    <w:p w14:paraId="4A1FD307" w14:textId="77777777" w:rsidR="00CB3462" w:rsidRPr="00134CF0" w:rsidRDefault="00845CCD" w:rsidP="00845CCD">
      <w:pPr>
        <w:pStyle w:val="subsection"/>
      </w:pPr>
      <w:r w:rsidRPr="00134CF0">
        <w:tab/>
        <w:t>(3)</w:t>
      </w:r>
      <w:r w:rsidRPr="00134CF0">
        <w:tab/>
        <w:t>For the purposes of paragraph 296</w:t>
      </w:r>
      <w:r w:rsidR="006D7098">
        <w:noBreakHyphen/>
      </w:r>
      <w:r w:rsidRPr="00134CF0">
        <w:t xml:space="preserve">50(1)(d) of the Act, disregard a </w:t>
      </w:r>
      <w:r w:rsidR="00CB3462" w:rsidRPr="00134CF0">
        <w:t>superannuation death benefit if:</w:t>
      </w:r>
    </w:p>
    <w:p w14:paraId="41EF9147" w14:textId="77777777" w:rsidR="00845CCD" w:rsidRPr="00134CF0" w:rsidRDefault="00CB3462" w:rsidP="00845CCD">
      <w:pPr>
        <w:pStyle w:val="paragraph"/>
      </w:pPr>
      <w:r w:rsidRPr="00134CF0">
        <w:tab/>
        <w:t>(a)</w:t>
      </w:r>
      <w:r w:rsidRPr="00134CF0">
        <w:tab/>
        <w:t xml:space="preserve">the benefit is paid </w:t>
      </w:r>
      <w:r w:rsidR="002A2E83" w:rsidRPr="00134CF0">
        <w:t xml:space="preserve">because a superannuation interest of yours </w:t>
      </w:r>
      <w:r w:rsidR="00845CCD" w:rsidRPr="00134CF0">
        <w:t xml:space="preserve">(the </w:t>
      </w:r>
      <w:r w:rsidR="00845CCD"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="00845CCD" w:rsidRPr="00134CF0">
        <w:rPr>
          <w:b/>
          <w:i/>
        </w:rPr>
        <w:t>s interest</w:t>
      </w:r>
      <w:r w:rsidR="00845CCD" w:rsidRPr="00134CF0">
        <w:t>) is subject to a payment split; and</w:t>
      </w:r>
    </w:p>
    <w:p w14:paraId="1EA5338D" w14:textId="77777777" w:rsidR="00845CCD" w:rsidRPr="00134CF0" w:rsidRDefault="00845CCD" w:rsidP="00845CCD">
      <w:pPr>
        <w:pStyle w:val="paragraph"/>
      </w:pPr>
      <w:r w:rsidRPr="00134CF0">
        <w:tab/>
        <w:t>(b)</w:t>
      </w:r>
      <w:r w:rsidRPr="00134CF0">
        <w:tab/>
        <w:t xml:space="preserve">when the </w:t>
      </w:r>
      <w:r w:rsidR="002A2E83" w:rsidRPr="00134CF0">
        <w:t>benefit</w:t>
      </w:r>
      <w:r w:rsidRPr="00134CF0">
        <w:t xml:space="preserve"> is </w:t>
      </w:r>
      <w:r w:rsidR="002A2E83" w:rsidRPr="00134CF0">
        <w:t>paid</w:t>
      </w:r>
      <w:r w:rsidRPr="00134CF0">
        <w:t>, the non</w:t>
      </w:r>
      <w:r w:rsidR="006D7098">
        <w:noBreakHyphen/>
      </w:r>
      <w:r w:rsidRPr="00134CF0">
        <w:t>member spouse in relation to the member spouse</w:t>
      </w:r>
      <w:r w:rsidR="00813F6B" w:rsidRPr="00134CF0">
        <w:t>’</w:t>
      </w:r>
      <w:r w:rsidRPr="00134CF0">
        <w:t>s interest is treated,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as having a superannuation interest because the member spouse</w:t>
      </w:r>
      <w:r w:rsidR="00813F6B" w:rsidRPr="00134CF0">
        <w:t>’</w:t>
      </w:r>
      <w:r w:rsidRPr="00134CF0">
        <w:t>s interest is subject to the payment split.</w:t>
      </w:r>
    </w:p>
    <w:p w14:paraId="42B76B22" w14:textId="77777777" w:rsidR="0054314D" w:rsidRPr="00134CF0" w:rsidRDefault="003766C6" w:rsidP="0054314D">
      <w:pPr>
        <w:pStyle w:val="ActHead7"/>
        <w:pageBreakBefore/>
      </w:pPr>
      <w:r w:rsidRPr="0021546F">
        <w:rPr>
          <w:rStyle w:val="CharAmPartNo"/>
        </w:rPr>
        <w:lastRenderedPageBreak/>
        <w:t>Part 2</w:t>
      </w:r>
      <w:r w:rsidR="0054314D" w:rsidRPr="00134CF0">
        <w:t>—</w:t>
      </w:r>
      <w:r w:rsidR="0054314D" w:rsidRPr="0021546F">
        <w:rPr>
          <w:rStyle w:val="CharAmPartText"/>
        </w:rPr>
        <w:t>Total superannuation balance</w:t>
      </w:r>
    </w:p>
    <w:p w14:paraId="1195D910" w14:textId="77777777" w:rsidR="006D37CC" w:rsidRPr="00134CF0" w:rsidRDefault="003766C6" w:rsidP="006D37CC">
      <w:pPr>
        <w:pStyle w:val="ActHead8"/>
      </w:pPr>
      <w:r w:rsidRPr="00134CF0">
        <w:t>Division 1</w:t>
      </w:r>
      <w:r w:rsidR="006D37CC" w:rsidRPr="00134CF0">
        <w:t>—Main amendments</w:t>
      </w:r>
    </w:p>
    <w:p w14:paraId="3CB4E8E5" w14:textId="77777777" w:rsidR="0054314D" w:rsidRPr="00134CF0" w:rsidRDefault="0054314D" w:rsidP="0054314D">
      <w:pPr>
        <w:pStyle w:val="ActHead9"/>
      </w:pPr>
      <w:r w:rsidRPr="00134CF0">
        <w:t>Income Tax Assessment (1997 Act) Regulations 2021</w:t>
      </w:r>
    </w:p>
    <w:p w14:paraId="035767DF" w14:textId="77777777" w:rsidR="0054314D" w:rsidRPr="00134CF0" w:rsidRDefault="001731D8" w:rsidP="0054314D">
      <w:pPr>
        <w:pStyle w:val="ItemHead"/>
      </w:pPr>
      <w:r w:rsidRPr="00134CF0">
        <w:t>4</w:t>
      </w:r>
      <w:r w:rsidR="0054314D" w:rsidRPr="00134CF0">
        <w:t xml:space="preserve">  Before </w:t>
      </w:r>
      <w:r w:rsidR="003766C6" w:rsidRPr="00134CF0">
        <w:t>section 3</w:t>
      </w:r>
      <w:r w:rsidR="0054314D" w:rsidRPr="00134CF0">
        <w:t>07</w:t>
      </w:r>
      <w:r w:rsidR="006D7098">
        <w:noBreakHyphen/>
      </w:r>
      <w:r w:rsidR="0054314D" w:rsidRPr="00134CF0">
        <w:t>230A.01</w:t>
      </w:r>
    </w:p>
    <w:p w14:paraId="4B387ED9" w14:textId="77777777" w:rsidR="0054314D" w:rsidRPr="00134CF0" w:rsidRDefault="0054314D" w:rsidP="0054314D">
      <w:pPr>
        <w:pStyle w:val="Item"/>
      </w:pPr>
      <w:r w:rsidRPr="00134CF0">
        <w:t>Insert:</w:t>
      </w:r>
    </w:p>
    <w:p w14:paraId="51672472" w14:textId="77777777" w:rsidR="0054314D" w:rsidRPr="00134CF0" w:rsidRDefault="0054314D" w:rsidP="0054314D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230.01</w:t>
      </w:r>
      <w:r w:rsidRPr="00134CF0">
        <w:t xml:space="preserve">  Total superannuation balance—family law payment splitting</w:t>
      </w:r>
    </w:p>
    <w:p w14:paraId="7CEE0C8A" w14:textId="77777777" w:rsidR="0054314D" w:rsidRPr="00134CF0" w:rsidRDefault="0054314D" w:rsidP="0054314D">
      <w:pPr>
        <w:pStyle w:val="subsection"/>
      </w:pPr>
      <w:r w:rsidRPr="00134CF0">
        <w:tab/>
        <w:t>(1)</w:t>
      </w:r>
      <w:r w:rsidRPr="00134CF0">
        <w:tab/>
        <w:t>For the purposes of paragraph 307</w:t>
      </w:r>
      <w:r w:rsidR="006D7098">
        <w:noBreakHyphen/>
      </w:r>
      <w:r w:rsidRPr="00134CF0">
        <w:t>230(3)(b) of the Act, the circumstance mentioned in subsection (2) of this section is prescribed.</w:t>
      </w:r>
    </w:p>
    <w:p w14:paraId="5364163F" w14:textId="77777777" w:rsidR="0054314D" w:rsidRPr="00134CF0" w:rsidRDefault="0054314D" w:rsidP="0054314D">
      <w:pPr>
        <w:pStyle w:val="subsection"/>
      </w:pPr>
      <w:r w:rsidRPr="00134CF0">
        <w:tab/>
        <w:t>(2)</w:t>
      </w:r>
      <w:r w:rsidRPr="00134CF0">
        <w:tab/>
        <w:t>The circumstance is that:</w:t>
      </w:r>
    </w:p>
    <w:p w14:paraId="41B66280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>the superannuation interest mentioned in paragraph 307</w:t>
      </w:r>
      <w:r w:rsidR="006D7098">
        <w:noBreakHyphen/>
      </w:r>
      <w:r w:rsidRPr="00134CF0">
        <w:t>230(3)(a) of the Act is a defined benefit interest; and</w:t>
      </w:r>
    </w:p>
    <w:p w14:paraId="0CEDACC2" w14:textId="77777777" w:rsidR="004B0868" w:rsidRPr="00134CF0" w:rsidRDefault="004B0868" w:rsidP="004B0868">
      <w:pPr>
        <w:pStyle w:val="paragraph"/>
      </w:pPr>
      <w:r w:rsidRPr="00134CF0">
        <w:tab/>
        <w:t>(b)</w:t>
      </w:r>
      <w:r w:rsidRPr="00134CF0">
        <w:tab/>
        <w:t>either:</w:t>
      </w:r>
    </w:p>
    <w:p w14:paraId="1509434E" w14:textId="77777777" w:rsidR="004B0868" w:rsidRPr="00134CF0" w:rsidRDefault="004B0868" w:rsidP="004B0868">
      <w:pPr>
        <w:pStyle w:val="paragraphsub"/>
      </w:pPr>
      <w:r w:rsidRPr="00134CF0">
        <w:tab/>
        <w:t>(i)</w:t>
      </w:r>
      <w:r w:rsidRPr="00134CF0">
        <w:tab/>
        <w:t>the interest is not in the retirement phase; or</w:t>
      </w:r>
    </w:p>
    <w:p w14:paraId="1F67BCFD" w14:textId="77777777" w:rsidR="004B0868" w:rsidRPr="00134CF0" w:rsidRDefault="004B0868" w:rsidP="004B0868">
      <w:pPr>
        <w:pStyle w:val="paragraphsub"/>
      </w:pPr>
      <w:r w:rsidRPr="00134CF0">
        <w:tab/>
        <w:t>(ii)</w:t>
      </w:r>
      <w:r w:rsidRPr="00134CF0">
        <w:tab/>
        <w:t>the interest is in the retirement phase and supports a superannuation income stream that is a</w:t>
      </w:r>
      <w:r w:rsidR="00813F6B" w:rsidRPr="00134CF0">
        <w:t xml:space="preserve"> SIS pension, RSA pension, SIS annuity or RSA annuity</w:t>
      </w:r>
      <w:r w:rsidRPr="00134CF0">
        <w:t>; and</w:t>
      </w:r>
    </w:p>
    <w:p w14:paraId="69C9EB7B" w14:textId="77777777" w:rsidR="006B3ABD" w:rsidRPr="00134CF0" w:rsidRDefault="006B3ABD" w:rsidP="0054314D">
      <w:pPr>
        <w:pStyle w:val="paragraph"/>
      </w:pPr>
      <w:r w:rsidRPr="00134CF0">
        <w:tab/>
        <w:t>(</w:t>
      </w:r>
      <w:r w:rsidR="00C01367" w:rsidRPr="00134CF0">
        <w:t>c</w:t>
      </w:r>
      <w:r w:rsidRPr="00134CF0">
        <w:t>)</w:t>
      </w:r>
      <w:r w:rsidRPr="00134CF0">
        <w:tab/>
      </w:r>
      <w:r w:rsidR="00527BF8" w:rsidRPr="00134CF0">
        <w:t xml:space="preserve">the governing rules of the </w:t>
      </w:r>
      <w:r w:rsidR="003D7E14" w:rsidRPr="00134CF0">
        <w:t xml:space="preserve">superannuation </w:t>
      </w:r>
      <w:r w:rsidR="00FA783E" w:rsidRPr="00134CF0">
        <w:t>plan</w:t>
      </w:r>
      <w:r w:rsidR="003D7E14" w:rsidRPr="00134CF0">
        <w:t xml:space="preserve"> in which the interest </w:t>
      </w:r>
      <w:r w:rsidR="00417E72" w:rsidRPr="00134CF0">
        <w:t>exists</w:t>
      </w:r>
      <w:r w:rsidR="003D7E14" w:rsidRPr="00134CF0">
        <w:t xml:space="preserve"> </w:t>
      </w:r>
      <w:r w:rsidR="00527BF8" w:rsidRPr="00134CF0">
        <w:t>do not allow the non</w:t>
      </w:r>
      <w:r w:rsidR="006D7098">
        <w:noBreakHyphen/>
      </w:r>
      <w:r w:rsidR="00527BF8" w:rsidRPr="00134CF0">
        <w:t xml:space="preserve">member spouse in relation to the interest to become a member of the </w:t>
      </w:r>
      <w:r w:rsidR="00417E72" w:rsidRPr="00134CF0">
        <w:t>plan</w:t>
      </w:r>
      <w:r w:rsidR="00527BF8" w:rsidRPr="00134CF0">
        <w:t>; and</w:t>
      </w:r>
    </w:p>
    <w:p w14:paraId="025BC905" w14:textId="77777777" w:rsidR="00987E2F" w:rsidRPr="00134CF0" w:rsidRDefault="004B0868" w:rsidP="0054314D">
      <w:pPr>
        <w:pStyle w:val="paragraph"/>
      </w:pPr>
      <w:r w:rsidRPr="00134CF0">
        <w:tab/>
        <w:t>(</w:t>
      </w:r>
      <w:r w:rsidR="00C01367" w:rsidRPr="00134CF0">
        <w:t>d</w:t>
      </w:r>
      <w:r w:rsidRPr="00134CF0">
        <w:t>)</w:t>
      </w:r>
      <w:r w:rsidRPr="00134CF0">
        <w:tab/>
      </w:r>
      <w:r w:rsidR="00043032" w:rsidRPr="00134CF0">
        <w:t>at least part of the amount to which the non</w:t>
      </w:r>
      <w:r w:rsidR="006D7098">
        <w:noBreakHyphen/>
      </w:r>
      <w:r w:rsidR="00043032" w:rsidRPr="00134CF0">
        <w:t>member spouse is entitled under the payment split</w:t>
      </w:r>
      <w:r w:rsidR="0039603E" w:rsidRPr="00134CF0">
        <w:t xml:space="preserve"> to which the </w:t>
      </w:r>
      <w:r w:rsidR="00BE0CDE" w:rsidRPr="00134CF0">
        <w:t>interest</w:t>
      </w:r>
      <w:r w:rsidR="0039603E" w:rsidRPr="00134CF0">
        <w:t xml:space="preserve"> is subject, as mentioned in subparagraph 307</w:t>
      </w:r>
      <w:r w:rsidR="006D7098">
        <w:noBreakHyphen/>
      </w:r>
      <w:r w:rsidR="0039603E" w:rsidRPr="00134CF0">
        <w:t>230(3)(a)(ii) of the Act,</w:t>
      </w:r>
      <w:r w:rsidR="00043032" w:rsidRPr="00134CF0">
        <w:t xml:space="preserve"> has not been</w:t>
      </w:r>
      <w:r w:rsidR="00987E2F" w:rsidRPr="00134CF0">
        <w:t xml:space="preserve"> </w:t>
      </w:r>
      <w:r w:rsidR="00026340" w:rsidRPr="00134CF0">
        <w:t>rolled</w:t>
      </w:r>
      <w:r w:rsidR="006D7098">
        <w:noBreakHyphen/>
      </w:r>
      <w:r w:rsidR="00026340" w:rsidRPr="00134CF0">
        <w:t>over, transferred or allotted</w:t>
      </w:r>
      <w:r w:rsidR="005239C4" w:rsidRPr="00134CF0">
        <w:t xml:space="preserve"> to another superannuation interest</w:t>
      </w:r>
      <w:r w:rsidR="00026340" w:rsidRPr="00134CF0">
        <w:t xml:space="preserve"> for the benefit of the non</w:t>
      </w:r>
      <w:r w:rsidR="006D7098">
        <w:noBreakHyphen/>
      </w:r>
      <w:r w:rsidR="00026340" w:rsidRPr="00134CF0">
        <w:t>member spouse.</w:t>
      </w:r>
    </w:p>
    <w:p w14:paraId="163B778C" w14:textId="77777777" w:rsidR="004C046D" w:rsidRPr="00134CF0" w:rsidRDefault="0054314D" w:rsidP="0054314D">
      <w:pPr>
        <w:pStyle w:val="subsection"/>
      </w:pPr>
      <w:r w:rsidRPr="00134CF0">
        <w:tab/>
        <w:t>(3)</w:t>
      </w:r>
      <w:r w:rsidRPr="00134CF0">
        <w:tab/>
        <w:t>For the purposes of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230(4) of the Act, a superannuation interest that you are treated as having 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 in the circumstance prescribed by subsection (2) of this section is to be treated as being a defined benefit interest.</w:t>
      </w:r>
    </w:p>
    <w:p w14:paraId="0265E838" w14:textId="77777777" w:rsidR="0054314D" w:rsidRPr="00134CF0" w:rsidRDefault="001731D8" w:rsidP="0054314D">
      <w:pPr>
        <w:pStyle w:val="ItemHead"/>
      </w:pPr>
      <w:r w:rsidRPr="00134CF0">
        <w:t>5</w:t>
      </w:r>
      <w:r w:rsidR="0054314D" w:rsidRPr="00134CF0">
        <w:t xml:space="preserve">  At the end of Subdivision 307</w:t>
      </w:r>
      <w:r w:rsidR="006D7098">
        <w:noBreakHyphen/>
      </w:r>
      <w:r w:rsidR="0054314D" w:rsidRPr="00134CF0">
        <w:t>D</w:t>
      </w:r>
    </w:p>
    <w:p w14:paraId="1A8A52DC" w14:textId="77777777" w:rsidR="0054314D" w:rsidRPr="00134CF0" w:rsidRDefault="0054314D" w:rsidP="0054314D">
      <w:pPr>
        <w:pStyle w:val="Item"/>
      </w:pPr>
      <w:r w:rsidRPr="00134CF0">
        <w:t>Add:</w:t>
      </w:r>
    </w:p>
    <w:p w14:paraId="47998356" w14:textId="77777777" w:rsidR="0054314D" w:rsidRPr="00134CF0" w:rsidRDefault="0054314D" w:rsidP="0054314D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230A.09</w:t>
      </w:r>
      <w:r w:rsidRPr="00134CF0">
        <w:t xml:space="preserve">  Total superannuation balance value—family law payment splitting</w:t>
      </w:r>
      <w:r w:rsidR="00682ADF" w:rsidRPr="00134CF0">
        <w:t xml:space="preserve"> (non</w:t>
      </w:r>
      <w:r w:rsidR="006D7098">
        <w:noBreakHyphen/>
      </w:r>
      <w:r w:rsidR="00682ADF" w:rsidRPr="00134CF0">
        <w:t>member spouse)</w:t>
      </w:r>
    </w:p>
    <w:p w14:paraId="67505AAC" w14:textId="77777777" w:rsidR="0054314D" w:rsidRPr="00134CF0" w:rsidRDefault="0054314D" w:rsidP="0054314D">
      <w:pPr>
        <w:pStyle w:val="subsection"/>
      </w:pPr>
      <w:r w:rsidRPr="00134CF0">
        <w:tab/>
        <w:t>(1)</w:t>
      </w:r>
      <w:r w:rsidRPr="00134CF0">
        <w:tab/>
        <w:t>This section applies at a particular time if:</w:t>
      </w:r>
    </w:p>
    <w:p w14:paraId="10B36FEC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 xml:space="preserve">a superannuation interest (the </w:t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is subject to a payment split; and</w:t>
      </w:r>
    </w:p>
    <w:p w14:paraId="4ED978BD" w14:textId="77777777" w:rsidR="0054314D" w:rsidRPr="00134CF0" w:rsidRDefault="0054314D" w:rsidP="0054314D">
      <w:pPr>
        <w:pStyle w:val="paragraph"/>
      </w:pPr>
      <w:r w:rsidRPr="00134CF0">
        <w:tab/>
        <w:t>(b)</w:t>
      </w:r>
      <w:r w:rsidRPr="00134CF0">
        <w:tab/>
        <w:t>the circumstance prescribed by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230.01(1) exists in relation to the member spouse</w:t>
      </w:r>
      <w:r w:rsidR="00813F6B" w:rsidRPr="00134CF0">
        <w:t>’</w:t>
      </w:r>
      <w:r w:rsidRPr="00134CF0">
        <w:t>s interest; and</w:t>
      </w:r>
    </w:p>
    <w:p w14:paraId="07F9D9DC" w14:textId="77777777" w:rsidR="0054314D" w:rsidRPr="00134CF0" w:rsidRDefault="0054314D" w:rsidP="0054314D">
      <w:pPr>
        <w:pStyle w:val="paragraph"/>
      </w:pPr>
      <w:r w:rsidRPr="00134CF0">
        <w:tab/>
        <w:t>(c)</w:t>
      </w:r>
      <w:r w:rsidRPr="00134CF0">
        <w:tab/>
        <w:t>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the non</w:t>
      </w:r>
      <w:r w:rsidR="006D7098">
        <w:noBreakHyphen/>
      </w:r>
      <w:r w:rsidRPr="00134CF0">
        <w:t>member spouse in relation to the member spouse</w:t>
      </w:r>
      <w:r w:rsidR="00813F6B" w:rsidRPr="00134CF0">
        <w:t>’</w:t>
      </w:r>
      <w:r w:rsidRPr="00134CF0">
        <w:t xml:space="preserve">s interest is treated as having a superannuation </w:t>
      </w:r>
      <w:r w:rsidRPr="00134CF0">
        <w:lastRenderedPageBreak/>
        <w:t xml:space="preserve">interest (the </w:t>
      </w:r>
      <w:r w:rsidRPr="00134CF0">
        <w:rPr>
          <w:b/>
          <w:i/>
        </w:rPr>
        <w:t>non</w:t>
      </w:r>
      <w:r w:rsidR="006D7098">
        <w:rPr>
          <w:b/>
          <w:i/>
        </w:rPr>
        <w:noBreakHyphen/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because the member spouse</w:t>
      </w:r>
      <w:r w:rsidR="00813F6B" w:rsidRPr="00134CF0">
        <w:t>’</w:t>
      </w:r>
      <w:r w:rsidRPr="00134CF0">
        <w:t>s interest is subject to the payment split; and</w:t>
      </w:r>
    </w:p>
    <w:p w14:paraId="17276F51" w14:textId="77777777" w:rsidR="0054314D" w:rsidRPr="00134CF0" w:rsidRDefault="0054314D" w:rsidP="0054314D">
      <w:pPr>
        <w:pStyle w:val="paragraph"/>
      </w:pPr>
      <w:r w:rsidRPr="00134CF0">
        <w:tab/>
        <w:t>(d)</w:t>
      </w:r>
      <w:r w:rsidRPr="00134CF0">
        <w:tab/>
        <w:t>the unsplit total superannuation balance value is greater than nil.</w:t>
      </w:r>
    </w:p>
    <w:p w14:paraId="5EE63836" w14:textId="77777777" w:rsidR="0054314D" w:rsidRPr="00134CF0" w:rsidRDefault="0054314D" w:rsidP="0054314D">
      <w:pPr>
        <w:pStyle w:val="subsection"/>
      </w:pPr>
      <w:r w:rsidRPr="00134CF0">
        <w:tab/>
        <w:t>(2)</w:t>
      </w:r>
      <w:r w:rsidRPr="00134CF0">
        <w:tab/>
        <w:t xml:space="preserve">The </w:t>
      </w:r>
      <w:r w:rsidRPr="00134CF0">
        <w:rPr>
          <w:b/>
          <w:i/>
        </w:rPr>
        <w:t>unsplit total superannuation balance value</w:t>
      </w:r>
      <w:r w:rsidRPr="00134CF0">
        <w:t xml:space="preserve"> is the value that would be the total superannuation balance value of the member spouse</w:t>
      </w:r>
      <w:r w:rsidR="00813F6B" w:rsidRPr="00134CF0">
        <w:t>’</w:t>
      </w:r>
      <w:r w:rsidRPr="00134CF0">
        <w:t>s interest at that time apart from this section.</w:t>
      </w:r>
    </w:p>
    <w:p w14:paraId="41075BE4" w14:textId="77777777" w:rsidR="0054314D" w:rsidRPr="00134CF0" w:rsidRDefault="0054314D" w:rsidP="0054314D">
      <w:pPr>
        <w:pStyle w:val="subsection"/>
      </w:pPr>
      <w:r w:rsidRPr="00134CF0">
        <w:tab/>
        <w:t>(3)</w:t>
      </w:r>
      <w:r w:rsidRPr="00134CF0">
        <w:tab/>
        <w:t>For the purposes of paragraph 307</w:t>
      </w:r>
      <w:r w:rsidR="006D7098">
        <w:noBreakHyphen/>
      </w:r>
      <w:r w:rsidRPr="00134CF0">
        <w:t>230A(1)(a) of the Act, if the payment split is a base amount payment split, the total superannuation balance value of the non</w:t>
      </w:r>
      <w:r w:rsidR="006D7098">
        <w:noBreakHyphen/>
      </w:r>
      <w:r w:rsidRPr="00134CF0">
        <w:t>member spouse</w:t>
      </w:r>
      <w:r w:rsidR="00813F6B" w:rsidRPr="00134CF0">
        <w:t>’</w:t>
      </w:r>
      <w:r w:rsidRPr="00134CF0">
        <w:t>s interest at that time is:</w:t>
      </w:r>
    </w:p>
    <w:p w14:paraId="525CFF5C" w14:textId="77777777" w:rsidR="0054314D" w:rsidRPr="00134CF0" w:rsidRDefault="0054314D" w:rsidP="0054314D">
      <w:pPr>
        <w:pStyle w:val="paragraph"/>
      </w:pPr>
      <w:r w:rsidRPr="00134CF0">
        <w:tab/>
        <w:t>(a)</w:t>
      </w:r>
      <w:r w:rsidRPr="00134CF0">
        <w:tab/>
        <w:t>if paragraph (b) of this subsection does not apply:</w:t>
      </w:r>
    </w:p>
    <w:p w14:paraId="54BD5BD7" w14:textId="77777777" w:rsidR="0054314D" w:rsidRPr="00134CF0" w:rsidRDefault="0054314D" w:rsidP="0054314D">
      <w:pPr>
        <w:pStyle w:val="paragraphsub"/>
      </w:pPr>
      <w:r w:rsidRPr="00134CF0">
        <w:tab/>
        <w:t>(i)</w:t>
      </w:r>
      <w:r w:rsidRPr="00134CF0">
        <w:tab/>
        <w:t>in a case in which an adjusted base amount applies to the non</w:t>
      </w:r>
      <w:r w:rsidR="006D7098">
        <w:noBreakHyphen/>
      </w:r>
      <w:r w:rsidRPr="00134CF0">
        <w:t>member spouse at that time—the adjusted base amount in relation to the non</w:t>
      </w:r>
      <w:r w:rsidR="006D7098">
        <w:noBreakHyphen/>
      </w:r>
      <w:r w:rsidRPr="00134CF0">
        <w:t>member spouse on the day on which that time occurs; or</w:t>
      </w:r>
    </w:p>
    <w:p w14:paraId="7F7924C3" w14:textId="77777777" w:rsidR="0054314D" w:rsidRPr="00134CF0" w:rsidRDefault="0054314D" w:rsidP="0054314D">
      <w:pPr>
        <w:pStyle w:val="paragraphsub"/>
      </w:pPr>
      <w:r w:rsidRPr="00134CF0">
        <w:tab/>
        <w:t>(ii)</w:t>
      </w:r>
      <w:r w:rsidRPr="00134CF0">
        <w:tab/>
        <w:t>in any other case—the base amount allocated to the non</w:t>
      </w:r>
      <w:r w:rsidR="006D7098">
        <w:noBreakHyphen/>
      </w:r>
      <w:r w:rsidRPr="00134CF0">
        <w:t xml:space="preserve">member spouse, within the meaning of regulation 45 of the </w:t>
      </w:r>
      <w:r w:rsidRPr="00134CF0">
        <w:rPr>
          <w:i/>
        </w:rPr>
        <w:t>Family Law (Superannuation) Regulations 2001</w:t>
      </w:r>
      <w:r w:rsidRPr="00134CF0">
        <w:t>; or</w:t>
      </w:r>
    </w:p>
    <w:p w14:paraId="65844EFD" w14:textId="77777777" w:rsidR="0054314D" w:rsidRPr="00134CF0" w:rsidRDefault="0054314D" w:rsidP="0054314D">
      <w:pPr>
        <w:pStyle w:val="paragraph"/>
      </w:pPr>
      <w:r w:rsidRPr="00134CF0">
        <w:tab/>
        <w:t>(b)</w:t>
      </w:r>
      <w:r w:rsidRPr="00134CF0">
        <w:tab/>
        <w:t>if:</w:t>
      </w:r>
    </w:p>
    <w:p w14:paraId="1FD72D62" w14:textId="77777777" w:rsidR="0054314D" w:rsidRPr="00134CF0" w:rsidRDefault="0054314D" w:rsidP="0054314D">
      <w:pPr>
        <w:pStyle w:val="paragraphsub"/>
      </w:pPr>
      <w:r w:rsidRPr="00134CF0">
        <w:tab/>
        <w:t>(i)</w:t>
      </w:r>
      <w:r w:rsidRPr="00134CF0">
        <w:tab/>
        <w:t>the member spouse</w:t>
      </w:r>
      <w:r w:rsidR="00813F6B" w:rsidRPr="00134CF0">
        <w:t>’</w:t>
      </w:r>
      <w:r w:rsidRPr="00134CF0">
        <w:t>s interest is in the retirement phase; and</w:t>
      </w:r>
    </w:p>
    <w:p w14:paraId="1CF4CA8A" w14:textId="77777777" w:rsidR="0054314D" w:rsidRPr="00134CF0" w:rsidRDefault="0054314D" w:rsidP="0054314D">
      <w:pPr>
        <w:pStyle w:val="paragraphsub"/>
      </w:pPr>
      <w:r w:rsidRPr="00134CF0">
        <w:tab/>
        <w:t>(ii)</w:t>
      </w:r>
      <w:r w:rsidRPr="00134CF0">
        <w:tab/>
        <w:t xml:space="preserve">paragraph 54(1)(a) of the </w:t>
      </w:r>
      <w:r w:rsidRPr="00134CF0">
        <w:rPr>
          <w:i/>
        </w:rPr>
        <w:t>Family Law (Superannuation) Regulations 2001</w:t>
      </w:r>
      <w:r w:rsidRPr="00134CF0">
        <w:t xml:space="preserve"> applies in relation to the member spouse</w:t>
      </w:r>
      <w:r w:rsidR="00813F6B" w:rsidRPr="00134CF0">
        <w:t>’</w:t>
      </w:r>
      <w:r w:rsidRPr="00134CF0">
        <w:t>s interest;</w:t>
      </w:r>
    </w:p>
    <w:p w14:paraId="760AE3F9" w14:textId="77777777" w:rsidR="0054314D" w:rsidRPr="00134CF0" w:rsidRDefault="0054314D" w:rsidP="0054314D">
      <w:pPr>
        <w:pStyle w:val="paragraph"/>
      </w:pPr>
      <w:r w:rsidRPr="00134CF0">
        <w:tab/>
      </w:r>
      <w:r w:rsidRPr="00134CF0">
        <w:tab/>
        <w:t>the value worked out using the following formula:</w:t>
      </w:r>
    </w:p>
    <w:p w14:paraId="1AD8D17A" w14:textId="77777777" w:rsidR="0054314D" w:rsidRPr="00134CF0" w:rsidRDefault="0054314D" w:rsidP="0054314D">
      <w:pPr>
        <w:pStyle w:val="paragraph"/>
      </w:pPr>
      <w:r w:rsidRPr="00134CF0">
        <w:tab/>
      </w:r>
      <w:r w:rsidRPr="00134CF0">
        <w:tab/>
      </w:r>
      <w:r w:rsidR="00500AC2" w:rsidRPr="00134CF0">
        <w:rPr>
          <w:position w:val="-74"/>
        </w:rPr>
        <w:object w:dxaOrig="6100" w:dyaOrig="1579" w14:anchorId="3DBC6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2pt;height:79.8pt" o:ole="">
            <v:imagedata r:id="rId12" o:title=""/>
          </v:shape>
          <o:OLEObject Type="Embed" ProgID="Equation.DSMT4" ShapeID="_x0000_i1025" DrawAspect="Content" ObjectID="_1771055248" r:id="rId13"/>
        </w:object>
      </w:r>
    </w:p>
    <w:p w14:paraId="0AE8FF47" w14:textId="77777777" w:rsidR="0054314D" w:rsidRPr="00134CF0" w:rsidRDefault="0054314D" w:rsidP="0054314D">
      <w:pPr>
        <w:pStyle w:val="subsection"/>
      </w:pPr>
      <w:r w:rsidRPr="00134CF0">
        <w:tab/>
        <w:t>(4)</w:t>
      </w:r>
      <w:r w:rsidRPr="00134CF0">
        <w:tab/>
        <w:t>For the purposes of paragraph 307</w:t>
      </w:r>
      <w:r w:rsidR="006D7098">
        <w:noBreakHyphen/>
      </w:r>
      <w:r w:rsidRPr="00134CF0">
        <w:t>230A(1)(a) of the Act, if the payment split is a percentage payment split, the total superannuation balance value of the non</w:t>
      </w:r>
      <w:r w:rsidR="006D7098">
        <w:noBreakHyphen/>
      </w:r>
      <w:r w:rsidRPr="00134CF0">
        <w:t>member spouse</w:t>
      </w:r>
      <w:r w:rsidR="00813F6B" w:rsidRPr="00134CF0">
        <w:t>’</w:t>
      </w:r>
      <w:r w:rsidRPr="00134CF0">
        <w:t>s interest at that time is the value worked out using the following formula:</w:t>
      </w:r>
    </w:p>
    <w:p w14:paraId="279604FC" w14:textId="77777777" w:rsidR="0054314D" w:rsidRPr="00134CF0" w:rsidRDefault="006A2AA6" w:rsidP="0054314D">
      <w:pPr>
        <w:pStyle w:val="subsection2"/>
      </w:pPr>
      <w:r w:rsidRPr="00134CF0">
        <w:rPr>
          <w:position w:val="-20"/>
        </w:rPr>
        <w:object w:dxaOrig="6259" w:dyaOrig="620" w14:anchorId="00E2876F">
          <v:shape id="_x0000_i1026" type="#_x0000_t75" style="width:312.6pt;height:31.2pt" o:ole="">
            <v:imagedata r:id="rId14" o:title=""/>
          </v:shape>
          <o:OLEObject Type="Embed" ProgID="Equation.DSMT4" ShapeID="_x0000_i1026" DrawAspect="Content" ObjectID="_1771055249" r:id="rId15"/>
        </w:object>
      </w:r>
    </w:p>
    <w:p w14:paraId="414A083F" w14:textId="77777777" w:rsidR="008D19C4" w:rsidRPr="00134CF0" w:rsidRDefault="008D19C4" w:rsidP="008D19C4">
      <w:pPr>
        <w:pStyle w:val="SubsectionHead"/>
      </w:pPr>
      <w:r w:rsidRPr="00134CF0">
        <w:t>Interaction with other provisions of this Subdivision</w:t>
      </w:r>
    </w:p>
    <w:p w14:paraId="502B246A" w14:textId="77777777" w:rsidR="008D19C4" w:rsidRPr="00134CF0" w:rsidRDefault="008D19C4" w:rsidP="008D19C4">
      <w:pPr>
        <w:pStyle w:val="subsection"/>
      </w:pPr>
      <w:r w:rsidRPr="00134CF0">
        <w:tab/>
        <w:t>(5)</w:t>
      </w:r>
      <w:r w:rsidRPr="00134CF0">
        <w:tab/>
        <w:t>Sections 307</w:t>
      </w:r>
      <w:r w:rsidR="006D7098">
        <w:noBreakHyphen/>
      </w:r>
      <w:r w:rsidRPr="00134CF0">
        <w:t>230A.01 and 307</w:t>
      </w:r>
      <w:r w:rsidR="006D7098">
        <w:noBreakHyphen/>
      </w:r>
      <w:r w:rsidRPr="00134CF0">
        <w:t>230A.02 have effect subject to this section.</w:t>
      </w:r>
    </w:p>
    <w:p w14:paraId="2220D3F2" w14:textId="77777777" w:rsidR="008D19C4" w:rsidRPr="00134CF0" w:rsidRDefault="008D19C4" w:rsidP="008D19C4">
      <w:pPr>
        <w:pStyle w:val="ActHead5"/>
      </w:pPr>
      <w:r w:rsidRPr="0021546F">
        <w:rPr>
          <w:rStyle w:val="CharSectno"/>
        </w:rPr>
        <w:t>307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230A.10</w:t>
      </w:r>
      <w:r w:rsidRPr="00134CF0">
        <w:t xml:space="preserve">  Total superannuation balance value—family law payment splitting (member spouse)</w:t>
      </w:r>
    </w:p>
    <w:p w14:paraId="606FB1CB" w14:textId="77777777" w:rsidR="008D19C4" w:rsidRPr="00134CF0" w:rsidRDefault="008D19C4" w:rsidP="008D19C4">
      <w:pPr>
        <w:pStyle w:val="subsection"/>
      </w:pPr>
      <w:r w:rsidRPr="00134CF0">
        <w:tab/>
        <w:t>(1)</w:t>
      </w:r>
      <w:r w:rsidRPr="00134CF0">
        <w:tab/>
        <w:t>This section applies at a particular time if:</w:t>
      </w:r>
    </w:p>
    <w:p w14:paraId="3804B281" w14:textId="77777777" w:rsidR="008D19C4" w:rsidRPr="00134CF0" w:rsidRDefault="008D19C4" w:rsidP="008D19C4">
      <w:pPr>
        <w:pStyle w:val="paragraph"/>
      </w:pPr>
      <w:r w:rsidRPr="00134CF0">
        <w:tab/>
        <w:t>(a)</w:t>
      </w:r>
      <w:r w:rsidRPr="00134CF0">
        <w:tab/>
        <w:t xml:space="preserve">a superannuation interest (the </w:t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is subject to a payment split; and</w:t>
      </w:r>
    </w:p>
    <w:p w14:paraId="2740DF13" w14:textId="77777777" w:rsidR="008D19C4" w:rsidRPr="00134CF0" w:rsidRDefault="008D19C4" w:rsidP="008D19C4">
      <w:pPr>
        <w:pStyle w:val="paragraph"/>
      </w:pPr>
      <w:r w:rsidRPr="00134CF0">
        <w:tab/>
        <w:t>(b)</w:t>
      </w:r>
      <w:r w:rsidRPr="00134CF0">
        <w:tab/>
        <w:t>the circumstance prescribed by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230.01(1) exists in relation to the member spouse</w:t>
      </w:r>
      <w:r w:rsidR="00813F6B" w:rsidRPr="00134CF0">
        <w:t>’</w:t>
      </w:r>
      <w:r w:rsidRPr="00134CF0">
        <w:t>s interest; and</w:t>
      </w:r>
    </w:p>
    <w:p w14:paraId="7EBA9811" w14:textId="77777777" w:rsidR="008D19C4" w:rsidRPr="00134CF0" w:rsidRDefault="008D19C4" w:rsidP="008D19C4">
      <w:pPr>
        <w:pStyle w:val="paragraph"/>
      </w:pPr>
      <w:r w:rsidRPr="00134CF0">
        <w:tab/>
        <w:t>(c)</w:t>
      </w:r>
      <w:r w:rsidRPr="00134CF0">
        <w:tab/>
        <w:t>under sub</w:t>
      </w:r>
      <w:r w:rsidR="003766C6" w:rsidRPr="00134CF0">
        <w:t>section 3</w:t>
      </w:r>
      <w:r w:rsidRPr="00134CF0">
        <w:t>07</w:t>
      </w:r>
      <w:r w:rsidR="006D7098">
        <w:noBreakHyphen/>
      </w:r>
      <w:r w:rsidRPr="00134CF0">
        <w:t>230(3) of the Act, the non</w:t>
      </w:r>
      <w:r w:rsidR="006D7098">
        <w:noBreakHyphen/>
      </w:r>
      <w:r w:rsidRPr="00134CF0">
        <w:t>member spouse in relation to the member spouse</w:t>
      </w:r>
      <w:r w:rsidR="00813F6B" w:rsidRPr="00134CF0">
        <w:t>’</w:t>
      </w:r>
      <w:r w:rsidRPr="00134CF0">
        <w:t xml:space="preserve">s interest is treated as having a superannuation </w:t>
      </w:r>
      <w:r w:rsidRPr="00134CF0">
        <w:lastRenderedPageBreak/>
        <w:t xml:space="preserve">interest (the </w:t>
      </w:r>
      <w:r w:rsidRPr="00134CF0">
        <w:rPr>
          <w:b/>
          <w:i/>
        </w:rPr>
        <w:t>non</w:t>
      </w:r>
      <w:r w:rsidR="006D7098">
        <w:rPr>
          <w:b/>
          <w:i/>
        </w:rPr>
        <w:noBreakHyphen/>
      </w:r>
      <w:r w:rsidRPr="00134CF0">
        <w:rPr>
          <w:b/>
          <w:i/>
        </w:rPr>
        <w:t>member spouse</w:t>
      </w:r>
      <w:r w:rsidR="00813F6B" w:rsidRPr="00134CF0">
        <w:rPr>
          <w:b/>
          <w:i/>
        </w:rPr>
        <w:t>’</w:t>
      </w:r>
      <w:r w:rsidRPr="00134CF0">
        <w:rPr>
          <w:b/>
          <w:i/>
        </w:rPr>
        <w:t>s interest</w:t>
      </w:r>
      <w:r w:rsidRPr="00134CF0">
        <w:t>) because the member spouse</w:t>
      </w:r>
      <w:r w:rsidR="00813F6B" w:rsidRPr="00134CF0">
        <w:t>’</w:t>
      </w:r>
      <w:r w:rsidRPr="00134CF0">
        <w:t>s interest is subject to the payment split; and</w:t>
      </w:r>
    </w:p>
    <w:p w14:paraId="5768BEE8" w14:textId="77777777" w:rsidR="008D19C4" w:rsidRPr="00134CF0" w:rsidRDefault="008D19C4" w:rsidP="008D19C4">
      <w:pPr>
        <w:pStyle w:val="paragraph"/>
      </w:pPr>
      <w:r w:rsidRPr="00134CF0">
        <w:tab/>
        <w:t>(d)</w:t>
      </w:r>
      <w:r w:rsidRPr="00134CF0">
        <w:tab/>
        <w:t>the unsplit total superannuation balance value is greater than nil.</w:t>
      </w:r>
    </w:p>
    <w:p w14:paraId="6870B880" w14:textId="77777777" w:rsidR="008D19C4" w:rsidRPr="00134CF0" w:rsidRDefault="008D19C4" w:rsidP="008D19C4">
      <w:pPr>
        <w:pStyle w:val="subsection"/>
      </w:pPr>
      <w:r w:rsidRPr="00134CF0">
        <w:tab/>
        <w:t>(2)</w:t>
      </w:r>
      <w:r w:rsidRPr="00134CF0">
        <w:tab/>
        <w:t xml:space="preserve">The </w:t>
      </w:r>
      <w:r w:rsidRPr="00134CF0">
        <w:rPr>
          <w:b/>
          <w:i/>
        </w:rPr>
        <w:t>unsplit total superannuation balance value</w:t>
      </w:r>
      <w:r w:rsidRPr="00134CF0">
        <w:t xml:space="preserve"> is the value that would be the total superannuation balance value of the member spouse</w:t>
      </w:r>
      <w:r w:rsidR="00813F6B" w:rsidRPr="00134CF0">
        <w:t>’</w:t>
      </w:r>
      <w:r w:rsidRPr="00134CF0">
        <w:t>s interest at that time apart from this section.</w:t>
      </w:r>
    </w:p>
    <w:p w14:paraId="4762E7C2" w14:textId="77777777" w:rsidR="0054314D" w:rsidRPr="00134CF0" w:rsidRDefault="0054314D" w:rsidP="0054314D">
      <w:pPr>
        <w:pStyle w:val="subsection"/>
      </w:pPr>
      <w:r w:rsidRPr="00134CF0">
        <w:tab/>
        <w:t>(</w:t>
      </w:r>
      <w:r w:rsidR="008D19C4" w:rsidRPr="00134CF0">
        <w:t>3</w:t>
      </w:r>
      <w:r w:rsidRPr="00134CF0">
        <w:t>)</w:t>
      </w:r>
      <w:r w:rsidRPr="00134CF0">
        <w:tab/>
        <w:t>For the purposes of paragraph 307</w:t>
      </w:r>
      <w:r w:rsidR="006D7098">
        <w:noBreakHyphen/>
      </w:r>
      <w:r w:rsidRPr="00134CF0">
        <w:t>230A(1)(a) of the Act, the total superannuation balance value of the member spouse</w:t>
      </w:r>
      <w:r w:rsidR="00813F6B" w:rsidRPr="00134CF0">
        <w:t>’</w:t>
      </w:r>
      <w:r w:rsidRPr="00134CF0">
        <w:t>s interest at that time is the value worked out using the following formula:</w:t>
      </w:r>
    </w:p>
    <w:p w14:paraId="3861CE7A" w14:textId="77777777" w:rsidR="0054314D" w:rsidRPr="00134CF0" w:rsidRDefault="00B24115" w:rsidP="0054314D">
      <w:pPr>
        <w:pStyle w:val="subsection2"/>
      </w:pPr>
      <w:r w:rsidRPr="00134CF0">
        <w:rPr>
          <w:position w:val="-20"/>
        </w:rPr>
        <w:object w:dxaOrig="6420" w:dyaOrig="620" w14:anchorId="0D724FCB">
          <v:shape id="_x0000_i1027" type="#_x0000_t75" style="width:322.8pt;height:31.2pt" o:ole="">
            <v:imagedata r:id="rId16" o:title=""/>
          </v:shape>
          <o:OLEObject Type="Embed" ProgID="Equation.DSMT4" ShapeID="_x0000_i1027" DrawAspect="Content" ObjectID="_1771055250" r:id="rId17"/>
        </w:object>
      </w:r>
    </w:p>
    <w:p w14:paraId="1B3ADF5C" w14:textId="77777777" w:rsidR="0054314D" w:rsidRPr="00134CF0" w:rsidRDefault="0054314D" w:rsidP="0054314D">
      <w:pPr>
        <w:pStyle w:val="subsection"/>
      </w:pPr>
      <w:r w:rsidRPr="00134CF0">
        <w:tab/>
        <w:t>(</w:t>
      </w:r>
      <w:r w:rsidR="008D19C4" w:rsidRPr="00134CF0">
        <w:t>4</w:t>
      </w:r>
      <w:r w:rsidRPr="00134CF0">
        <w:t>)</w:t>
      </w:r>
      <w:r w:rsidRPr="00134CF0">
        <w:tab/>
        <w:t>However, if the result of the formula in subsection (</w:t>
      </w:r>
      <w:r w:rsidR="005C1F10" w:rsidRPr="00134CF0">
        <w:t>3</w:t>
      </w:r>
      <w:r w:rsidRPr="00134CF0">
        <w:t>) is less than nil, the total superannuation balance value of the member spouse</w:t>
      </w:r>
      <w:r w:rsidR="00813F6B" w:rsidRPr="00134CF0">
        <w:t>’</w:t>
      </w:r>
      <w:r w:rsidRPr="00134CF0">
        <w:t>s interest is nil.</w:t>
      </w:r>
    </w:p>
    <w:p w14:paraId="3C979960" w14:textId="77777777" w:rsidR="0054314D" w:rsidRPr="00134CF0" w:rsidRDefault="0054314D" w:rsidP="0054314D">
      <w:pPr>
        <w:pStyle w:val="SubsectionHead"/>
      </w:pPr>
      <w:r w:rsidRPr="00134CF0">
        <w:t>Interaction with other provisions of this Subdivision</w:t>
      </w:r>
    </w:p>
    <w:p w14:paraId="1EE3C042" w14:textId="77777777" w:rsidR="0054314D" w:rsidRPr="00134CF0" w:rsidRDefault="0054314D" w:rsidP="0054314D">
      <w:pPr>
        <w:pStyle w:val="subsection"/>
      </w:pPr>
      <w:r w:rsidRPr="00134CF0">
        <w:tab/>
        <w:t>(</w:t>
      </w:r>
      <w:r w:rsidR="008D19C4" w:rsidRPr="00134CF0">
        <w:t>5</w:t>
      </w:r>
      <w:r w:rsidRPr="00134CF0">
        <w:t>)</w:t>
      </w:r>
      <w:r w:rsidRPr="00134CF0">
        <w:tab/>
        <w:t>Sections 307</w:t>
      </w:r>
      <w:r w:rsidR="006D7098">
        <w:noBreakHyphen/>
      </w:r>
      <w:r w:rsidRPr="00134CF0">
        <w:t>230A.01 and 307</w:t>
      </w:r>
      <w:r w:rsidR="006D7098">
        <w:noBreakHyphen/>
      </w:r>
      <w:r w:rsidRPr="00134CF0">
        <w:t>230A.02 have effect subject to this section.</w:t>
      </w:r>
    </w:p>
    <w:p w14:paraId="2253694A" w14:textId="77777777" w:rsidR="00464F34" w:rsidRPr="00134CF0" w:rsidRDefault="001731D8" w:rsidP="00464F34">
      <w:pPr>
        <w:pStyle w:val="ItemHead"/>
      </w:pPr>
      <w:r w:rsidRPr="00134CF0">
        <w:t>6</w:t>
      </w:r>
      <w:r w:rsidR="00464F34" w:rsidRPr="00134CF0">
        <w:t xml:space="preserve">  Section 995</w:t>
      </w:r>
      <w:r w:rsidR="006D7098">
        <w:noBreakHyphen/>
      </w:r>
      <w:r w:rsidR="00464F34" w:rsidRPr="00134CF0">
        <w:t>1.01</w:t>
      </w:r>
    </w:p>
    <w:p w14:paraId="74FAF008" w14:textId="77777777" w:rsidR="00464F34" w:rsidRPr="00134CF0" w:rsidRDefault="00464F34" w:rsidP="00464F34">
      <w:pPr>
        <w:pStyle w:val="Item"/>
      </w:pPr>
      <w:r w:rsidRPr="00134CF0">
        <w:t>Insert:</w:t>
      </w:r>
    </w:p>
    <w:p w14:paraId="59D74CEE" w14:textId="77777777" w:rsidR="00464F34" w:rsidRPr="00134CF0" w:rsidRDefault="00464F34" w:rsidP="00464F34">
      <w:pPr>
        <w:pStyle w:val="Definition"/>
      </w:pPr>
      <w:r w:rsidRPr="00134CF0">
        <w:rPr>
          <w:b/>
          <w:i/>
        </w:rPr>
        <w:t>adjusted base amount</w:t>
      </w:r>
      <w:r w:rsidRPr="00134CF0">
        <w:t xml:space="preserve"> has the same meaning as in the SIS Regulations.</w:t>
      </w:r>
    </w:p>
    <w:p w14:paraId="33AF2133" w14:textId="77777777" w:rsidR="00464F34" w:rsidRPr="00134CF0" w:rsidRDefault="00464F34" w:rsidP="00464F34">
      <w:pPr>
        <w:pStyle w:val="Definition"/>
      </w:pPr>
      <w:r w:rsidRPr="00134CF0">
        <w:rPr>
          <w:b/>
          <w:i/>
        </w:rPr>
        <w:t>base amount payment split</w:t>
      </w:r>
      <w:r w:rsidRPr="00134CF0">
        <w:t xml:space="preserve"> has the same meaning as in the SIS Regulations.</w:t>
      </w:r>
    </w:p>
    <w:p w14:paraId="60997A17" w14:textId="77777777" w:rsidR="00464F34" w:rsidRPr="00134CF0" w:rsidRDefault="00464F34" w:rsidP="00464F34">
      <w:pPr>
        <w:pStyle w:val="Definition"/>
      </w:pPr>
      <w:r w:rsidRPr="00134CF0">
        <w:rPr>
          <w:b/>
          <w:i/>
        </w:rPr>
        <w:t>percentage payment split</w:t>
      </w:r>
      <w:r w:rsidRPr="00134CF0">
        <w:t xml:space="preserve"> has the same meaning as in the SIS Regulations.</w:t>
      </w:r>
    </w:p>
    <w:p w14:paraId="7AEDB904" w14:textId="77777777" w:rsidR="00813F6B" w:rsidRPr="00134CF0" w:rsidRDefault="00813F6B" w:rsidP="00813F6B">
      <w:pPr>
        <w:pStyle w:val="Definition"/>
      </w:pPr>
      <w:r w:rsidRPr="00134CF0">
        <w:rPr>
          <w:b/>
          <w:i/>
        </w:rPr>
        <w:t>RSA annuity</w:t>
      </w:r>
      <w:r w:rsidRPr="00134CF0">
        <w:t xml:space="preserve"> means an annuity (within the meaning of the RSA Act).</w:t>
      </w:r>
    </w:p>
    <w:p w14:paraId="0CDFC78A" w14:textId="77777777" w:rsidR="00813F6B" w:rsidRPr="00134CF0" w:rsidRDefault="00813F6B" w:rsidP="00813F6B">
      <w:pPr>
        <w:pStyle w:val="Definition"/>
      </w:pPr>
      <w:r w:rsidRPr="00134CF0">
        <w:rPr>
          <w:b/>
          <w:i/>
        </w:rPr>
        <w:t>RSA pension</w:t>
      </w:r>
      <w:r w:rsidRPr="00134CF0">
        <w:t xml:space="preserve"> means a pension (within the meaning of the RSA Act).</w:t>
      </w:r>
    </w:p>
    <w:p w14:paraId="7FF6C0FC" w14:textId="77777777" w:rsidR="00813F6B" w:rsidRPr="00134CF0" w:rsidRDefault="00813F6B" w:rsidP="00813F6B">
      <w:pPr>
        <w:pStyle w:val="Definition"/>
      </w:pPr>
      <w:r w:rsidRPr="00134CF0">
        <w:rPr>
          <w:b/>
          <w:i/>
        </w:rPr>
        <w:t>SIS annuity</w:t>
      </w:r>
      <w:r w:rsidRPr="00134CF0">
        <w:t xml:space="preserve"> means an annuity (within the meaning of the SIS Act).</w:t>
      </w:r>
    </w:p>
    <w:p w14:paraId="38568B2B" w14:textId="77777777" w:rsidR="00813F6B" w:rsidRPr="00134CF0" w:rsidRDefault="00813F6B" w:rsidP="00813F6B">
      <w:pPr>
        <w:pStyle w:val="Definition"/>
      </w:pPr>
      <w:r w:rsidRPr="00134CF0">
        <w:rPr>
          <w:b/>
          <w:i/>
        </w:rPr>
        <w:t>SIS pension</w:t>
      </w:r>
      <w:r w:rsidRPr="00134CF0">
        <w:t xml:space="preserve"> means a pension (within the meaning of the SIS Act).</w:t>
      </w:r>
    </w:p>
    <w:p w14:paraId="6B25C1C4" w14:textId="77777777" w:rsidR="00464F34" w:rsidRPr="00134CF0" w:rsidRDefault="00464F34" w:rsidP="00464F34">
      <w:pPr>
        <w:pStyle w:val="Definition"/>
      </w:pPr>
      <w:r w:rsidRPr="00134CF0">
        <w:rPr>
          <w:b/>
          <w:i/>
        </w:rPr>
        <w:t>splitting order</w:t>
      </w:r>
      <w:r w:rsidRPr="00134CF0">
        <w:t xml:space="preserve"> has the same meaning as in the SIS Regulations.</w:t>
      </w:r>
    </w:p>
    <w:p w14:paraId="2287718B" w14:textId="77777777" w:rsidR="006A2AA6" w:rsidRPr="00134CF0" w:rsidRDefault="006A2AA6" w:rsidP="00464F34">
      <w:pPr>
        <w:pStyle w:val="Definition"/>
      </w:pPr>
      <w:r w:rsidRPr="00134CF0">
        <w:rPr>
          <w:b/>
          <w:i/>
        </w:rPr>
        <w:t>superannuation agreement</w:t>
      </w:r>
      <w:r w:rsidRPr="00134CF0">
        <w:t xml:space="preserve"> has the same meaning as in the SIS Regulations.</w:t>
      </w:r>
    </w:p>
    <w:p w14:paraId="411BA65B" w14:textId="77777777" w:rsidR="006D37CC" w:rsidRPr="00134CF0" w:rsidRDefault="003766C6" w:rsidP="006D37CC">
      <w:pPr>
        <w:pStyle w:val="ActHead8"/>
      </w:pPr>
      <w:r w:rsidRPr="00134CF0">
        <w:t>Division 2</w:t>
      </w:r>
      <w:r w:rsidR="006D37CC" w:rsidRPr="00134CF0">
        <w:t>—Consequential amendments</w:t>
      </w:r>
    </w:p>
    <w:p w14:paraId="5CC9C820" w14:textId="77777777" w:rsidR="006D37CC" w:rsidRPr="00134CF0" w:rsidRDefault="006D37CC" w:rsidP="006D37CC">
      <w:pPr>
        <w:pStyle w:val="ActHead9"/>
      </w:pPr>
      <w:r w:rsidRPr="00134CF0">
        <w:t>Income Tax Assessment (1997 Act) Regulations 2021</w:t>
      </w:r>
    </w:p>
    <w:p w14:paraId="440F5003" w14:textId="77777777" w:rsidR="006D37CC" w:rsidRPr="00134CF0" w:rsidRDefault="001731D8" w:rsidP="006D37CC">
      <w:pPr>
        <w:pStyle w:val="ItemHead"/>
      </w:pPr>
      <w:r w:rsidRPr="00134CF0">
        <w:t>7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25.02</w:t>
      </w:r>
      <w:r w:rsidRPr="00134CF0">
        <w:t>(1)</w:t>
      </w:r>
      <w:r w:rsidR="006D37CC" w:rsidRPr="00134CF0">
        <w:t xml:space="preserve"> (table </w:t>
      </w:r>
      <w:r w:rsidR="003766C6" w:rsidRPr="00134CF0">
        <w:t>item 1</w:t>
      </w:r>
      <w:r w:rsidR="006D37CC" w:rsidRPr="00134CF0">
        <w:t>)</w:t>
      </w:r>
    </w:p>
    <w:p w14:paraId="1A7D5B82" w14:textId="77777777" w:rsidR="006D37CC" w:rsidRPr="00134CF0" w:rsidRDefault="006D37CC" w:rsidP="006D37CC">
      <w:pPr>
        <w:pStyle w:val="Item"/>
      </w:pPr>
      <w:r w:rsidRPr="00134CF0">
        <w:t>Omit “pension for the purposes of the SIS Act”, substitute “SIS pension”.</w:t>
      </w:r>
    </w:p>
    <w:p w14:paraId="562C4A97" w14:textId="77777777" w:rsidR="006D37CC" w:rsidRPr="00134CF0" w:rsidRDefault="001731D8" w:rsidP="006D37CC">
      <w:pPr>
        <w:pStyle w:val="ItemHead"/>
      </w:pPr>
      <w:r w:rsidRPr="00134CF0">
        <w:t>8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25.02</w:t>
      </w:r>
      <w:r w:rsidRPr="00134CF0">
        <w:t>(1)</w:t>
      </w:r>
      <w:r w:rsidR="006D37CC" w:rsidRPr="00134CF0">
        <w:t xml:space="preserve"> (table </w:t>
      </w:r>
      <w:r w:rsidR="003766C6" w:rsidRPr="00134CF0">
        <w:t>item 2</w:t>
      </w:r>
      <w:r w:rsidR="006D37CC" w:rsidRPr="00134CF0">
        <w:t>)</w:t>
      </w:r>
    </w:p>
    <w:p w14:paraId="7C365DD1" w14:textId="77777777" w:rsidR="006D37CC" w:rsidRPr="00134CF0" w:rsidRDefault="006D37CC" w:rsidP="006D37CC">
      <w:pPr>
        <w:pStyle w:val="Item"/>
      </w:pPr>
      <w:r w:rsidRPr="00134CF0">
        <w:t>Omit “an annuity for the purposes of the SIS Act”, substitute “a SIS annuity”.</w:t>
      </w:r>
    </w:p>
    <w:p w14:paraId="4CBA0865" w14:textId="77777777" w:rsidR="006D37CC" w:rsidRPr="00134CF0" w:rsidRDefault="001731D8" w:rsidP="006D37CC">
      <w:pPr>
        <w:pStyle w:val="ItemHead"/>
      </w:pPr>
      <w:r w:rsidRPr="00134CF0">
        <w:t>9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25.02</w:t>
      </w:r>
      <w:r w:rsidRPr="00134CF0">
        <w:t>(1)</w:t>
      </w:r>
      <w:r w:rsidR="006D37CC" w:rsidRPr="00134CF0">
        <w:t xml:space="preserve"> (table </w:t>
      </w:r>
      <w:r w:rsidR="003766C6" w:rsidRPr="00134CF0">
        <w:t>item 3</w:t>
      </w:r>
      <w:r w:rsidR="006D37CC" w:rsidRPr="00134CF0">
        <w:t>)</w:t>
      </w:r>
    </w:p>
    <w:p w14:paraId="17E0F312" w14:textId="77777777" w:rsidR="006D37CC" w:rsidRPr="00134CF0" w:rsidRDefault="006D37CC" w:rsidP="006D37CC">
      <w:pPr>
        <w:pStyle w:val="Item"/>
      </w:pPr>
      <w:r w:rsidRPr="00134CF0">
        <w:t>Omit “pension for the purposes of the SIS Act”, substitute “SIS pension”.</w:t>
      </w:r>
    </w:p>
    <w:p w14:paraId="2BD9ADFE" w14:textId="77777777" w:rsidR="006D37CC" w:rsidRPr="00134CF0" w:rsidRDefault="001731D8" w:rsidP="006D37CC">
      <w:pPr>
        <w:pStyle w:val="ItemHead"/>
      </w:pPr>
      <w:r w:rsidRPr="00134CF0">
        <w:lastRenderedPageBreak/>
        <w:t>10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25.02</w:t>
      </w:r>
      <w:r w:rsidRPr="00134CF0">
        <w:t>(1)</w:t>
      </w:r>
      <w:r w:rsidR="006D37CC" w:rsidRPr="00134CF0">
        <w:t xml:space="preserve"> (table </w:t>
      </w:r>
      <w:r w:rsidR="003766C6" w:rsidRPr="00134CF0">
        <w:t>item 4</w:t>
      </w:r>
      <w:r w:rsidR="006D37CC" w:rsidRPr="00134CF0">
        <w:t>)</w:t>
      </w:r>
    </w:p>
    <w:p w14:paraId="58F4A271" w14:textId="77777777" w:rsidR="006D37CC" w:rsidRPr="00134CF0" w:rsidRDefault="006D37CC" w:rsidP="006D37CC">
      <w:pPr>
        <w:pStyle w:val="Item"/>
      </w:pPr>
      <w:r w:rsidRPr="00134CF0">
        <w:t>Omit “an annuity for the purposes of the SIS Act”, substitute “a SIS annuity”.</w:t>
      </w:r>
    </w:p>
    <w:p w14:paraId="3C08B998" w14:textId="77777777" w:rsidR="006D37CC" w:rsidRPr="00134CF0" w:rsidRDefault="001731D8" w:rsidP="006D37CC">
      <w:pPr>
        <w:pStyle w:val="ItemHead"/>
      </w:pPr>
      <w:r w:rsidRPr="00134CF0">
        <w:t>11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25.02</w:t>
      </w:r>
      <w:r w:rsidRPr="00134CF0">
        <w:t>(1)</w:t>
      </w:r>
      <w:r w:rsidR="006D37CC" w:rsidRPr="00134CF0">
        <w:t xml:space="preserve"> (table </w:t>
      </w:r>
      <w:r w:rsidR="003766C6" w:rsidRPr="00134CF0">
        <w:t>item 5</w:t>
      </w:r>
      <w:r w:rsidR="006D37CC" w:rsidRPr="00134CF0">
        <w:t>)</w:t>
      </w:r>
    </w:p>
    <w:p w14:paraId="35C4CF51" w14:textId="77777777" w:rsidR="006D37CC" w:rsidRPr="00134CF0" w:rsidRDefault="006D37CC" w:rsidP="006D37CC">
      <w:pPr>
        <w:pStyle w:val="Item"/>
      </w:pPr>
      <w:r w:rsidRPr="00134CF0">
        <w:t>Omit “a pension for the purposes of the RSA Act”, substitute “an RSA pension”.</w:t>
      </w:r>
    </w:p>
    <w:p w14:paraId="5A521AC2" w14:textId="77777777" w:rsidR="006D37CC" w:rsidRPr="00134CF0" w:rsidRDefault="001731D8" w:rsidP="006D37CC">
      <w:pPr>
        <w:pStyle w:val="ItemHead"/>
      </w:pPr>
      <w:r w:rsidRPr="00134CF0">
        <w:t>12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130.01(2)</w:t>
      </w:r>
    </w:p>
    <w:p w14:paraId="1AD9777E" w14:textId="77777777" w:rsidR="006D37CC" w:rsidRPr="00134CF0" w:rsidRDefault="006D37CC" w:rsidP="006D37CC">
      <w:pPr>
        <w:pStyle w:val="Item"/>
      </w:pPr>
      <w:r w:rsidRPr="00134CF0">
        <w:t>Omit “pension for the purposes of the SIS Act”, substitute “SIS pension”.</w:t>
      </w:r>
    </w:p>
    <w:p w14:paraId="23C9EFA5" w14:textId="77777777" w:rsidR="006D37CC" w:rsidRPr="00134CF0" w:rsidRDefault="001731D8" w:rsidP="006D37CC">
      <w:pPr>
        <w:pStyle w:val="ItemHead"/>
      </w:pPr>
      <w:r w:rsidRPr="00134CF0">
        <w:t>13</w:t>
      </w:r>
      <w:r w:rsidR="006D37CC" w:rsidRPr="00134CF0">
        <w:t xml:space="preserve">  </w:t>
      </w:r>
      <w:r w:rsidR="003766C6" w:rsidRPr="00134CF0">
        <w:t>Paragraph 2</w:t>
      </w:r>
      <w:r w:rsidR="006D37CC" w:rsidRPr="00134CF0">
        <w:t>94</w:t>
      </w:r>
      <w:r w:rsidR="006D7098">
        <w:noBreakHyphen/>
      </w:r>
      <w:r w:rsidR="006D37CC" w:rsidRPr="00134CF0">
        <w:t>130.01(3)(b)</w:t>
      </w:r>
    </w:p>
    <w:p w14:paraId="14FB62BD" w14:textId="77777777" w:rsidR="006D37CC" w:rsidRPr="00134CF0" w:rsidRDefault="006D37CC" w:rsidP="006D37CC">
      <w:pPr>
        <w:pStyle w:val="Item"/>
      </w:pPr>
      <w:r w:rsidRPr="00134CF0">
        <w:t>Omit “pension for the purposes of the SIS Act”, substitute “SIS pension”.</w:t>
      </w:r>
    </w:p>
    <w:p w14:paraId="0B079F51" w14:textId="77777777" w:rsidR="006D37CC" w:rsidRPr="00134CF0" w:rsidRDefault="001731D8" w:rsidP="006D37CC">
      <w:pPr>
        <w:pStyle w:val="ItemHead"/>
      </w:pPr>
      <w:r w:rsidRPr="00134CF0">
        <w:t>14</w:t>
      </w:r>
      <w:r w:rsidR="006D37CC" w:rsidRPr="00134CF0">
        <w:t xml:space="preserve">  </w:t>
      </w:r>
      <w:r w:rsidR="003766C6" w:rsidRPr="00134CF0">
        <w:t>Subsection 2</w:t>
      </w:r>
      <w:r w:rsidR="006D37CC" w:rsidRPr="00134CF0">
        <w:t>94</w:t>
      </w:r>
      <w:r w:rsidR="006D7098">
        <w:noBreakHyphen/>
      </w:r>
      <w:r w:rsidR="006D37CC" w:rsidRPr="00134CF0">
        <w:t>130.01(6)</w:t>
      </w:r>
    </w:p>
    <w:p w14:paraId="3E7791CF" w14:textId="77777777" w:rsidR="006D37CC" w:rsidRPr="00134CF0" w:rsidRDefault="006D37CC" w:rsidP="006D37CC">
      <w:pPr>
        <w:pStyle w:val="Item"/>
      </w:pPr>
      <w:r w:rsidRPr="00134CF0">
        <w:t>Omit “pension for the purposes of the SIS Act”, substitute “SIS pension”.</w:t>
      </w:r>
    </w:p>
    <w:p w14:paraId="0C21928F" w14:textId="77777777" w:rsidR="006D37CC" w:rsidRPr="00134CF0" w:rsidRDefault="001731D8" w:rsidP="006D37CC">
      <w:pPr>
        <w:pStyle w:val="ItemHead"/>
      </w:pPr>
      <w:r w:rsidRPr="00134CF0">
        <w:t>15</w:t>
      </w:r>
      <w:r w:rsidR="006D37CC" w:rsidRPr="00134CF0">
        <w:t xml:space="preserve">  </w:t>
      </w:r>
      <w:r w:rsidR="003766C6" w:rsidRPr="00134CF0">
        <w:t>Subparagraph 3</w:t>
      </w:r>
      <w:r w:rsidR="006D37CC" w:rsidRPr="00134CF0">
        <w:t>07</w:t>
      </w:r>
      <w:r w:rsidR="006D7098">
        <w:noBreakHyphen/>
      </w:r>
      <w:r w:rsidR="006D37CC" w:rsidRPr="00134CF0">
        <w:t>70.02(1)(b)(i)</w:t>
      </w:r>
    </w:p>
    <w:p w14:paraId="7F00420D" w14:textId="77777777" w:rsidR="006D37CC" w:rsidRPr="00134CF0" w:rsidRDefault="006D37CC" w:rsidP="006D37CC">
      <w:pPr>
        <w:pStyle w:val="Item"/>
      </w:pPr>
      <w:r w:rsidRPr="00134CF0">
        <w:t>Omit “an annuity or pension within the meaning of the SIS Act</w:t>
      </w:r>
      <w:r w:rsidR="008D49E7" w:rsidRPr="00134CF0">
        <w:t>”, substitute</w:t>
      </w:r>
      <w:r w:rsidRPr="00134CF0">
        <w:t xml:space="preserve"> “a SIS annuity or SIS pension”.</w:t>
      </w:r>
    </w:p>
    <w:p w14:paraId="47F2DF37" w14:textId="77777777" w:rsidR="00D2414C" w:rsidRPr="00134CF0" w:rsidRDefault="001731D8" w:rsidP="00D2414C">
      <w:pPr>
        <w:pStyle w:val="ItemHead"/>
      </w:pPr>
      <w:r w:rsidRPr="00134CF0">
        <w:t>16</w:t>
      </w:r>
      <w:r w:rsidR="00D2414C" w:rsidRPr="00134CF0">
        <w:t xml:space="preserve">  </w:t>
      </w:r>
      <w:r w:rsidR="003766C6" w:rsidRPr="00134CF0">
        <w:t>Subparagraph 9</w:t>
      </w:r>
      <w:r w:rsidR="00D2414C" w:rsidRPr="00134CF0">
        <w:t>95</w:t>
      </w:r>
      <w:r w:rsidR="006D7098">
        <w:noBreakHyphen/>
      </w:r>
      <w:r w:rsidR="00D2414C" w:rsidRPr="00134CF0">
        <w:t>1.05(a)(iii)</w:t>
      </w:r>
    </w:p>
    <w:p w14:paraId="4B6A0970" w14:textId="77777777" w:rsidR="00D2414C" w:rsidRPr="00134CF0" w:rsidRDefault="00D2414C" w:rsidP="00D2414C">
      <w:pPr>
        <w:pStyle w:val="Item"/>
      </w:pPr>
      <w:r w:rsidRPr="00134CF0">
        <w:t>Omit “an annuity within the meaning of subsection 10(1) of the SIS Act”, substitute “a SIS annuity”</w:t>
      </w:r>
      <w:r w:rsidR="001731D8" w:rsidRPr="00134CF0">
        <w:t>.</w:t>
      </w:r>
    </w:p>
    <w:p w14:paraId="3DF8D9F7" w14:textId="77777777" w:rsidR="00776ACD" w:rsidRPr="00134CF0" w:rsidRDefault="003766C6" w:rsidP="00776ACD">
      <w:pPr>
        <w:pStyle w:val="ActHead6"/>
        <w:pageBreakBefore/>
      </w:pPr>
      <w:r w:rsidRPr="0021546F">
        <w:rPr>
          <w:rStyle w:val="CharAmSchNo"/>
        </w:rPr>
        <w:lastRenderedPageBreak/>
        <w:t>Schedule 4</w:t>
      </w:r>
      <w:r w:rsidR="00776ACD" w:rsidRPr="00134CF0">
        <w:t>—</w:t>
      </w:r>
      <w:r w:rsidR="00776ACD" w:rsidRPr="0021546F">
        <w:rPr>
          <w:rStyle w:val="CharAmSchText"/>
        </w:rPr>
        <w:t>Other amendments</w:t>
      </w:r>
    </w:p>
    <w:p w14:paraId="0ECEAF20" w14:textId="77777777" w:rsidR="00776ACD" w:rsidRPr="00134CF0" w:rsidRDefault="003766C6" w:rsidP="00776ACD">
      <w:pPr>
        <w:pStyle w:val="ActHead7"/>
      </w:pPr>
      <w:r w:rsidRPr="0021546F">
        <w:rPr>
          <w:rStyle w:val="CharAmPartNo"/>
        </w:rPr>
        <w:t>Part 1</w:t>
      </w:r>
      <w:r w:rsidR="00776ACD" w:rsidRPr="00134CF0">
        <w:t>—</w:t>
      </w:r>
      <w:r w:rsidR="00B23531" w:rsidRPr="0021546F">
        <w:rPr>
          <w:rStyle w:val="CharAmPartText"/>
        </w:rPr>
        <w:t>Valuation parameters</w:t>
      </w:r>
    </w:p>
    <w:p w14:paraId="2A2122A9" w14:textId="77777777" w:rsidR="00F80398" w:rsidRPr="00134CF0" w:rsidRDefault="003766C6" w:rsidP="00F80398">
      <w:pPr>
        <w:pStyle w:val="ActHead8"/>
      </w:pPr>
      <w:r w:rsidRPr="00134CF0">
        <w:t>Division 1</w:t>
      </w:r>
      <w:r w:rsidR="00F80398" w:rsidRPr="00134CF0">
        <w:t>—Main amendments</w:t>
      </w:r>
    </w:p>
    <w:p w14:paraId="543B8489" w14:textId="77777777" w:rsidR="00776ACD" w:rsidRPr="00134CF0" w:rsidRDefault="008B16F8" w:rsidP="008B16F8">
      <w:pPr>
        <w:pStyle w:val="ActHead9"/>
      </w:pPr>
      <w:r w:rsidRPr="00134CF0">
        <w:t xml:space="preserve">Income Tax Assessment (1997 Act) </w:t>
      </w:r>
      <w:r w:rsidR="00C96F3A" w:rsidRPr="00134CF0">
        <w:t>Regulations 2</w:t>
      </w:r>
      <w:r w:rsidRPr="00134CF0">
        <w:t>021</w:t>
      </w:r>
    </w:p>
    <w:p w14:paraId="0A585F21" w14:textId="77777777" w:rsidR="008B16F8" w:rsidRPr="00134CF0" w:rsidRDefault="00C113D4" w:rsidP="008B16F8">
      <w:pPr>
        <w:pStyle w:val="ItemHead"/>
      </w:pPr>
      <w:r w:rsidRPr="00134CF0">
        <w:t>1</w:t>
      </w:r>
      <w:r w:rsidR="008B16F8" w:rsidRPr="00134CF0">
        <w:t xml:space="preserve">  </w:t>
      </w:r>
      <w:r w:rsidR="00085D14" w:rsidRPr="00134CF0">
        <w:t>Subclause 3</w:t>
      </w:r>
      <w:r w:rsidR="008B16F8" w:rsidRPr="00134CF0">
        <w:t>.2(1)</w:t>
      </w:r>
      <w:r w:rsidR="00803D88" w:rsidRPr="00134CF0">
        <w:t xml:space="preserve"> of </w:t>
      </w:r>
      <w:r w:rsidR="00C96F3A" w:rsidRPr="00134CF0">
        <w:t>Schedule 1</w:t>
      </w:r>
      <w:r w:rsidR="00803D88" w:rsidRPr="00134CF0">
        <w:t>A</w:t>
      </w:r>
    </w:p>
    <w:p w14:paraId="7B4622EB" w14:textId="77777777" w:rsidR="008B16F8" w:rsidRPr="00134CF0" w:rsidRDefault="008B16F8" w:rsidP="008B16F8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8%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="00803D88" w:rsidRPr="00134CF0">
        <w:t>6%</w:t>
      </w:r>
      <w:r w:rsidR="00813F6B" w:rsidRPr="00134CF0">
        <w:t>”</w:t>
      </w:r>
      <w:r w:rsidR="00803D88" w:rsidRPr="00134CF0">
        <w:t>.</w:t>
      </w:r>
    </w:p>
    <w:p w14:paraId="4CB67879" w14:textId="77777777" w:rsidR="00803D88" w:rsidRPr="00134CF0" w:rsidRDefault="00C113D4" w:rsidP="00803D88">
      <w:pPr>
        <w:pStyle w:val="ItemHead"/>
      </w:pPr>
      <w:r w:rsidRPr="00134CF0">
        <w:t>2</w:t>
      </w:r>
      <w:r w:rsidR="00803D88" w:rsidRPr="00134CF0">
        <w:t xml:space="preserve">  </w:t>
      </w:r>
      <w:r w:rsidR="00085D14" w:rsidRPr="00134CF0">
        <w:t>Subclause 3</w:t>
      </w:r>
      <w:r w:rsidR="00803D88" w:rsidRPr="00134CF0">
        <w:t xml:space="preserve">.3(1) of </w:t>
      </w:r>
      <w:r w:rsidR="00C96F3A" w:rsidRPr="00134CF0">
        <w:t>Schedule 1</w:t>
      </w:r>
      <w:r w:rsidR="00803D88" w:rsidRPr="00134CF0">
        <w:t>A</w:t>
      </w:r>
    </w:p>
    <w:p w14:paraId="0F389167" w14:textId="77777777" w:rsidR="00803D88" w:rsidRPr="00134CF0" w:rsidRDefault="00803D88" w:rsidP="00803D88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8%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6%</w:t>
      </w:r>
      <w:r w:rsidR="00813F6B" w:rsidRPr="00134CF0">
        <w:t>”</w:t>
      </w:r>
      <w:r w:rsidRPr="00134CF0">
        <w:t>.</w:t>
      </w:r>
    </w:p>
    <w:p w14:paraId="082ECEEC" w14:textId="77777777" w:rsidR="00970ABE" w:rsidRPr="00134CF0" w:rsidRDefault="00C113D4" w:rsidP="00970ABE">
      <w:pPr>
        <w:pStyle w:val="ItemHead"/>
      </w:pPr>
      <w:r w:rsidRPr="00134CF0">
        <w:t>3</w:t>
      </w:r>
      <w:r w:rsidR="00970ABE" w:rsidRPr="00134CF0">
        <w:t xml:space="preserve">  </w:t>
      </w:r>
      <w:r w:rsidR="00085D14" w:rsidRPr="00134CF0">
        <w:t>Subclause 3</w:t>
      </w:r>
      <w:r w:rsidR="00970ABE" w:rsidRPr="00134CF0">
        <w:t xml:space="preserve">.4(1) of </w:t>
      </w:r>
      <w:r w:rsidR="00C96F3A" w:rsidRPr="00134CF0">
        <w:t>Schedule 1</w:t>
      </w:r>
      <w:r w:rsidR="00970ABE" w:rsidRPr="00134CF0">
        <w:t>A</w:t>
      </w:r>
    </w:p>
    <w:p w14:paraId="06C4F78C" w14:textId="77777777" w:rsidR="00970ABE" w:rsidRPr="00134CF0" w:rsidRDefault="00970ABE" w:rsidP="00970ABE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4.5%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3.5%</w:t>
      </w:r>
      <w:r w:rsidR="00813F6B" w:rsidRPr="00134CF0">
        <w:t>”</w:t>
      </w:r>
      <w:r w:rsidRPr="00134CF0">
        <w:t>.</w:t>
      </w:r>
    </w:p>
    <w:p w14:paraId="4D597818" w14:textId="77777777" w:rsidR="00D97F0E" w:rsidRPr="00134CF0" w:rsidRDefault="00C113D4" w:rsidP="00D97F0E">
      <w:pPr>
        <w:pStyle w:val="ItemHead"/>
      </w:pPr>
      <w:r w:rsidRPr="00134CF0">
        <w:t>4</w:t>
      </w:r>
      <w:r w:rsidR="00D97F0E" w:rsidRPr="00134CF0">
        <w:t xml:space="preserve">  </w:t>
      </w:r>
      <w:r w:rsidR="00085D14" w:rsidRPr="00134CF0">
        <w:t>Subclause 3</w:t>
      </w:r>
      <w:r w:rsidR="00D97F0E" w:rsidRPr="00134CF0">
        <w:t xml:space="preserve">.7(1) of </w:t>
      </w:r>
      <w:r w:rsidR="00C96F3A" w:rsidRPr="00134CF0">
        <w:t>Schedule 1</w:t>
      </w:r>
      <w:r w:rsidR="00D97F0E" w:rsidRPr="00134CF0">
        <w:t>A</w:t>
      </w:r>
    </w:p>
    <w:p w14:paraId="7C61206F" w14:textId="77777777" w:rsidR="00D97F0E" w:rsidRPr="00134CF0" w:rsidRDefault="00D97F0E" w:rsidP="00D97F0E">
      <w:pPr>
        <w:pStyle w:val="Item"/>
      </w:pPr>
      <w:r w:rsidRPr="00134CF0">
        <w:t>Repeal the subclause, substitute:</w:t>
      </w:r>
    </w:p>
    <w:p w14:paraId="35263BDC" w14:textId="77777777" w:rsidR="00D97F0E" w:rsidRPr="00134CF0" w:rsidRDefault="00D97F0E" w:rsidP="00D97F0E">
      <w:pPr>
        <w:pStyle w:val="subsection"/>
      </w:pPr>
      <w:r w:rsidRPr="00134CF0">
        <w:rPr>
          <w:color w:val="000000"/>
        </w:rPr>
        <w:tab/>
        <w:t>(1)</w:t>
      </w:r>
      <w:r w:rsidRPr="00134CF0">
        <w:rPr>
          <w:color w:val="000000"/>
        </w:rPr>
        <w:tab/>
      </w:r>
      <w:r w:rsidR="00C52F54" w:rsidRPr="00134CF0">
        <w:rPr>
          <w:color w:val="000000"/>
        </w:rPr>
        <w:t xml:space="preserve">Subject to </w:t>
      </w:r>
      <w:r w:rsidR="00C96F3A" w:rsidRPr="00134CF0">
        <w:rPr>
          <w:color w:val="000000"/>
        </w:rPr>
        <w:t>subsection (</w:t>
      </w:r>
      <w:r w:rsidR="00C52F54" w:rsidRPr="00134CF0">
        <w:rPr>
          <w:color w:val="000000"/>
        </w:rPr>
        <w:t>1A), t</w:t>
      </w:r>
      <w:r w:rsidRPr="00134CF0">
        <w:rPr>
          <w:color w:val="000000"/>
        </w:rPr>
        <w:t>he following table sets out the rates of voluntary exit from the fund that are to be assumed.</w:t>
      </w:r>
    </w:p>
    <w:p w14:paraId="16D33261" w14:textId="77777777" w:rsidR="00D97F0E" w:rsidRPr="00134CF0" w:rsidRDefault="00D97F0E" w:rsidP="00D97F0E">
      <w:pPr>
        <w:pStyle w:val="Tabletext"/>
      </w:pPr>
    </w:p>
    <w:tbl>
      <w:tblPr>
        <w:tblW w:w="1904" w:type="pct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1"/>
        <w:gridCol w:w="1362"/>
        <w:gridCol w:w="1149"/>
        <w:gridCol w:w="6"/>
      </w:tblGrid>
      <w:tr w:rsidR="00D97F0E" w:rsidRPr="00134CF0" w14:paraId="242FF1F9" w14:textId="77777777" w:rsidTr="00247B6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406358" w14:textId="77777777" w:rsidR="00D97F0E" w:rsidRPr="00134CF0" w:rsidRDefault="00D97F0E" w:rsidP="00247B60">
            <w:pPr>
              <w:pStyle w:val="TableHeading"/>
            </w:pPr>
            <w:bookmarkStart w:id="3" w:name="_Hlk150770624"/>
            <w:r w:rsidRPr="00134CF0">
              <w:rPr>
                <w:color w:val="000000"/>
              </w:rPr>
              <w:t>Voluntary exit rates</w:t>
            </w:r>
          </w:p>
        </w:tc>
      </w:tr>
      <w:tr w:rsidR="00D97F0E" w:rsidRPr="00134CF0" w14:paraId="62A9ADE0" w14:textId="77777777" w:rsidTr="00426FEE">
        <w:trPr>
          <w:gridAfter w:val="1"/>
          <w:wAfter w:w="9" w:type="pct"/>
          <w:tblHeader/>
        </w:trPr>
        <w:tc>
          <w:tcPr>
            <w:tcW w:w="112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62B07A" w14:textId="77777777" w:rsidR="00D97F0E" w:rsidRPr="00134CF0" w:rsidRDefault="00D97F0E" w:rsidP="00247B60">
            <w:pPr>
              <w:pStyle w:val="TableHeading"/>
            </w:pPr>
            <w:r w:rsidRPr="00134CF0">
              <w:t>Item</w:t>
            </w:r>
          </w:p>
        </w:tc>
        <w:tc>
          <w:tcPr>
            <w:tcW w:w="20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191C0E" w14:textId="77777777" w:rsidR="00D97F0E" w:rsidRPr="00134CF0" w:rsidRDefault="00D97F0E" w:rsidP="00426FEE">
            <w:pPr>
              <w:pStyle w:val="TableHeading"/>
              <w:jc w:val="center"/>
            </w:pPr>
            <w:r w:rsidRPr="00134CF0">
              <w:t>Column 1</w:t>
            </w:r>
          </w:p>
          <w:p w14:paraId="5D55EF7E" w14:textId="77777777" w:rsidR="00D97F0E" w:rsidRPr="00134CF0" w:rsidRDefault="00D97F0E" w:rsidP="00426FEE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76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D1ADA2" w14:textId="77777777" w:rsidR="00D97F0E" w:rsidRPr="00134CF0" w:rsidRDefault="00D97F0E" w:rsidP="00426FEE">
            <w:pPr>
              <w:pStyle w:val="TableHeading"/>
              <w:jc w:val="right"/>
            </w:pPr>
            <w:r w:rsidRPr="00134CF0">
              <w:t>Column 2</w:t>
            </w:r>
          </w:p>
          <w:p w14:paraId="3AFEF92B" w14:textId="77777777" w:rsidR="00D97F0E" w:rsidRPr="00134CF0" w:rsidRDefault="00D97F0E" w:rsidP="00426FEE">
            <w:pPr>
              <w:pStyle w:val="TableHeading"/>
              <w:jc w:val="right"/>
            </w:pPr>
            <w:r w:rsidRPr="00134CF0">
              <w:t>Exit rate</w:t>
            </w:r>
          </w:p>
        </w:tc>
      </w:tr>
      <w:tr w:rsidR="00D97F0E" w:rsidRPr="00134CF0" w14:paraId="67494585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12" w:space="0" w:color="auto"/>
            </w:tcBorders>
            <w:shd w:val="clear" w:color="auto" w:fill="auto"/>
          </w:tcPr>
          <w:p w14:paraId="2280609D" w14:textId="77777777" w:rsidR="00D97F0E" w:rsidRPr="00134CF0" w:rsidRDefault="00D97F0E" w:rsidP="00426FEE">
            <w:pPr>
              <w:pStyle w:val="Tabletext"/>
            </w:pPr>
            <w:r w:rsidRPr="00134CF0">
              <w:t>1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</w:tcPr>
          <w:p w14:paraId="320732A4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16</w:t>
            </w:r>
          </w:p>
        </w:tc>
        <w:tc>
          <w:tcPr>
            <w:tcW w:w="1769" w:type="pct"/>
            <w:tcBorders>
              <w:top w:val="single" w:sz="12" w:space="0" w:color="auto"/>
            </w:tcBorders>
            <w:shd w:val="clear" w:color="auto" w:fill="auto"/>
          </w:tcPr>
          <w:p w14:paraId="592E7B9E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97F0E" w:rsidRPr="00134CF0" w14:paraId="4E37CC4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0FCF974" w14:textId="77777777" w:rsidR="00D97F0E" w:rsidRPr="00134CF0" w:rsidRDefault="00D97F0E" w:rsidP="00426FEE">
            <w:pPr>
              <w:pStyle w:val="Tabletext"/>
            </w:pPr>
            <w:r w:rsidRPr="00134CF0">
              <w:t>2</w:t>
            </w:r>
          </w:p>
        </w:tc>
        <w:tc>
          <w:tcPr>
            <w:tcW w:w="2097" w:type="pct"/>
            <w:shd w:val="clear" w:color="auto" w:fill="auto"/>
          </w:tcPr>
          <w:p w14:paraId="03FA8D7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17</w:t>
            </w:r>
          </w:p>
        </w:tc>
        <w:tc>
          <w:tcPr>
            <w:tcW w:w="1769" w:type="pct"/>
            <w:shd w:val="clear" w:color="auto" w:fill="auto"/>
          </w:tcPr>
          <w:p w14:paraId="3E11DC28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97F0E" w:rsidRPr="00134CF0" w14:paraId="2324664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DA45692" w14:textId="77777777" w:rsidR="00D97F0E" w:rsidRPr="00134CF0" w:rsidRDefault="00D97F0E" w:rsidP="00426FEE">
            <w:pPr>
              <w:pStyle w:val="Tabletext"/>
            </w:pPr>
            <w:r w:rsidRPr="00134CF0">
              <w:t>3</w:t>
            </w:r>
          </w:p>
        </w:tc>
        <w:tc>
          <w:tcPr>
            <w:tcW w:w="2097" w:type="pct"/>
            <w:shd w:val="clear" w:color="auto" w:fill="auto"/>
          </w:tcPr>
          <w:p w14:paraId="349A0145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18</w:t>
            </w:r>
          </w:p>
        </w:tc>
        <w:tc>
          <w:tcPr>
            <w:tcW w:w="1769" w:type="pct"/>
            <w:shd w:val="clear" w:color="auto" w:fill="auto"/>
          </w:tcPr>
          <w:p w14:paraId="132F92EE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97F0E" w:rsidRPr="00134CF0" w14:paraId="5B0C378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674F6B4" w14:textId="77777777" w:rsidR="00D97F0E" w:rsidRPr="00134CF0" w:rsidRDefault="00D97F0E" w:rsidP="00426FEE">
            <w:pPr>
              <w:pStyle w:val="Tabletext"/>
            </w:pPr>
            <w:r w:rsidRPr="00134CF0">
              <w:t>4</w:t>
            </w:r>
          </w:p>
        </w:tc>
        <w:tc>
          <w:tcPr>
            <w:tcW w:w="2097" w:type="pct"/>
            <w:shd w:val="clear" w:color="auto" w:fill="auto"/>
          </w:tcPr>
          <w:p w14:paraId="10293EB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19</w:t>
            </w:r>
          </w:p>
        </w:tc>
        <w:tc>
          <w:tcPr>
            <w:tcW w:w="1769" w:type="pct"/>
            <w:shd w:val="clear" w:color="auto" w:fill="auto"/>
          </w:tcPr>
          <w:p w14:paraId="1957DED4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97F0E" w:rsidRPr="00134CF0" w14:paraId="5A19C2A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EBAAE3F" w14:textId="77777777" w:rsidR="00D97F0E" w:rsidRPr="00134CF0" w:rsidRDefault="00D97F0E" w:rsidP="00426FEE">
            <w:pPr>
              <w:pStyle w:val="Tabletext"/>
            </w:pPr>
            <w:r w:rsidRPr="00134CF0">
              <w:t>5</w:t>
            </w:r>
          </w:p>
        </w:tc>
        <w:tc>
          <w:tcPr>
            <w:tcW w:w="2097" w:type="pct"/>
            <w:shd w:val="clear" w:color="auto" w:fill="auto"/>
          </w:tcPr>
          <w:p w14:paraId="5ABBAB49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20</w:t>
            </w:r>
          </w:p>
        </w:tc>
        <w:tc>
          <w:tcPr>
            <w:tcW w:w="1769" w:type="pct"/>
            <w:shd w:val="clear" w:color="auto" w:fill="auto"/>
          </w:tcPr>
          <w:p w14:paraId="6CA6E7DC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5E64F57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94E6C72" w14:textId="77777777" w:rsidR="00D97F0E" w:rsidRPr="00134CF0" w:rsidRDefault="00D97F0E" w:rsidP="00426FEE">
            <w:pPr>
              <w:pStyle w:val="Tabletext"/>
            </w:pPr>
            <w:r w:rsidRPr="00134CF0">
              <w:t>6</w:t>
            </w:r>
          </w:p>
        </w:tc>
        <w:tc>
          <w:tcPr>
            <w:tcW w:w="2097" w:type="pct"/>
            <w:shd w:val="clear" w:color="auto" w:fill="auto"/>
          </w:tcPr>
          <w:p w14:paraId="40A32615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21</w:t>
            </w:r>
          </w:p>
        </w:tc>
        <w:tc>
          <w:tcPr>
            <w:tcW w:w="1769" w:type="pct"/>
            <w:shd w:val="clear" w:color="auto" w:fill="auto"/>
          </w:tcPr>
          <w:p w14:paraId="4DF8D735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271446F0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2293DE1" w14:textId="77777777" w:rsidR="00D97F0E" w:rsidRPr="00134CF0" w:rsidRDefault="00D97F0E" w:rsidP="00426FEE">
            <w:pPr>
              <w:pStyle w:val="Tabletext"/>
            </w:pPr>
            <w:r w:rsidRPr="00134CF0">
              <w:t>7</w:t>
            </w:r>
          </w:p>
        </w:tc>
        <w:tc>
          <w:tcPr>
            <w:tcW w:w="2097" w:type="pct"/>
            <w:shd w:val="clear" w:color="auto" w:fill="auto"/>
          </w:tcPr>
          <w:p w14:paraId="6337B94D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22</w:t>
            </w:r>
          </w:p>
        </w:tc>
        <w:tc>
          <w:tcPr>
            <w:tcW w:w="1769" w:type="pct"/>
            <w:shd w:val="clear" w:color="auto" w:fill="auto"/>
          </w:tcPr>
          <w:p w14:paraId="6BCCB3A2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565FBE1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FF22D0B" w14:textId="77777777" w:rsidR="00D97F0E" w:rsidRPr="00134CF0" w:rsidRDefault="00D97F0E" w:rsidP="00426FEE">
            <w:pPr>
              <w:pStyle w:val="Tabletext"/>
            </w:pPr>
            <w:r w:rsidRPr="00134CF0">
              <w:t>8</w:t>
            </w:r>
          </w:p>
        </w:tc>
        <w:tc>
          <w:tcPr>
            <w:tcW w:w="2097" w:type="pct"/>
            <w:shd w:val="clear" w:color="auto" w:fill="auto"/>
          </w:tcPr>
          <w:p w14:paraId="18B6E041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23</w:t>
            </w:r>
          </w:p>
        </w:tc>
        <w:tc>
          <w:tcPr>
            <w:tcW w:w="1769" w:type="pct"/>
            <w:shd w:val="clear" w:color="auto" w:fill="auto"/>
          </w:tcPr>
          <w:p w14:paraId="3AC5EE9D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6E10646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20BABDB" w14:textId="77777777" w:rsidR="00D97F0E" w:rsidRPr="00134CF0" w:rsidRDefault="00D97F0E" w:rsidP="00426FEE">
            <w:pPr>
              <w:pStyle w:val="Tabletext"/>
            </w:pPr>
            <w:r w:rsidRPr="00134CF0">
              <w:t>9</w:t>
            </w:r>
          </w:p>
        </w:tc>
        <w:tc>
          <w:tcPr>
            <w:tcW w:w="2097" w:type="pct"/>
            <w:shd w:val="clear" w:color="auto" w:fill="auto"/>
          </w:tcPr>
          <w:p w14:paraId="04CCB8F1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24</w:t>
            </w:r>
          </w:p>
        </w:tc>
        <w:tc>
          <w:tcPr>
            <w:tcW w:w="1769" w:type="pct"/>
            <w:shd w:val="clear" w:color="auto" w:fill="auto"/>
          </w:tcPr>
          <w:p w14:paraId="3CDFBADC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97F0E" w:rsidRPr="00134CF0" w14:paraId="5FA7324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5E9E05A" w14:textId="77777777" w:rsidR="00D97F0E" w:rsidRPr="00134CF0" w:rsidRDefault="00D97F0E" w:rsidP="00426FEE">
            <w:pPr>
              <w:pStyle w:val="Tabletext"/>
            </w:pPr>
            <w:r w:rsidRPr="00134CF0">
              <w:t>10</w:t>
            </w:r>
          </w:p>
        </w:tc>
        <w:tc>
          <w:tcPr>
            <w:tcW w:w="2097" w:type="pct"/>
            <w:shd w:val="clear" w:color="auto" w:fill="auto"/>
          </w:tcPr>
          <w:p w14:paraId="78509111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25</w:t>
            </w:r>
          </w:p>
        </w:tc>
        <w:tc>
          <w:tcPr>
            <w:tcW w:w="1769" w:type="pct"/>
            <w:shd w:val="clear" w:color="auto" w:fill="auto"/>
          </w:tcPr>
          <w:p w14:paraId="45DA381B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97F0E" w:rsidRPr="00134CF0" w14:paraId="29EB8D23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C3FEEA3" w14:textId="77777777" w:rsidR="00D97F0E" w:rsidRPr="00134CF0" w:rsidRDefault="00D97F0E" w:rsidP="00426FEE">
            <w:pPr>
              <w:pStyle w:val="Tabletext"/>
            </w:pPr>
            <w:r w:rsidRPr="00134CF0">
              <w:t>11</w:t>
            </w:r>
          </w:p>
        </w:tc>
        <w:tc>
          <w:tcPr>
            <w:tcW w:w="2097" w:type="pct"/>
            <w:shd w:val="clear" w:color="auto" w:fill="auto"/>
          </w:tcPr>
          <w:p w14:paraId="2BB2A2D5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26</w:t>
            </w:r>
          </w:p>
        </w:tc>
        <w:tc>
          <w:tcPr>
            <w:tcW w:w="1769" w:type="pct"/>
            <w:shd w:val="clear" w:color="auto" w:fill="auto"/>
          </w:tcPr>
          <w:p w14:paraId="7F1D8105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0.045</w:t>
            </w:r>
          </w:p>
        </w:tc>
      </w:tr>
      <w:tr w:rsidR="00D97F0E" w:rsidRPr="00134CF0" w14:paraId="471678C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C9235FB" w14:textId="77777777" w:rsidR="00D97F0E" w:rsidRPr="00134CF0" w:rsidRDefault="00D97F0E" w:rsidP="00426FEE">
            <w:pPr>
              <w:pStyle w:val="Tabletext"/>
            </w:pPr>
            <w:r w:rsidRPr="00134CF0">
              <w:t>12</w:t>
            </w:r>
          </w:p>
        </w:tc>
        <w:tc>
          <w:tcPr>
            <w:tcW w:w="2097" w:type="pct"/>
            <w:shd w:val="clear" w:color="auto" w:fill="auto"/>
          </w:tcPr>
          <w:p w14:paraId="202DB5DA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27</w:t>
            </w:r>
          </w:p>
        </w:tc>
        <w:tc>
          <w:tcPr>
            <w:tcW w:w="1769" w:type="pct"/>
            <w:shd w:val="clear" w:color="auto" w:fill="auto"/>
          </w:tcPr>
          <w:p w14:paraId="14A6339B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97F0E" w:rsidRPr="00134CF0" w14:paraId="67931C5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4236DD6" w14:textId="77777777" w:rsidR="00D97F0E" w:rsidRPr="00134CF0" w:rsidRDefault="00D97F0E" w:rsidP="00426FEE">
            <w:pPr>
              <w:pStyle w:val="Tabletext"/>
            </w:pPr>
            <w:r w:rsidRPr="00134CF0">
              <w:t>13</w:t>
            </w:r>
          </w:p>
        </w:tc>
        <w:tc>
          <w:tcPr>
            <w:tcW w:w="2097" w:type="pct"/>
            <w:shd w:val="clear" w:color="auto" w:fill="auto"/>
          </w:tcPr>
          <w:p w14:paraId="1E398FE6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28</w:t>
            </w:r>
          </w:p>
        </w:tc>
        <w:tc>
          <w:tcPr>
            <w:tcW w:w="1769" w:type="pct"/>
            <w:shd w:val="clear" w:color="auto" w:fill="auto"/>
          </w:tcPr>
          <w:p w14:paraId="21522646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0.043</w:t>
            </w:r>
          </w:p>
        </w:tc>
      </w:tr>
      <w:tr w:rsidR="00D97F0E" w:rsidRPr="00134CF0" w14:paraId="11D0621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1B38922" w14:textId="77777777" w:rsidR="00D97F0E" w:rsidRPr="00134CF0" w:rsidRDefault="00D97F0E" w:rsidP="00426FEE">
            <w:pPr>
              <w:pStyle w:val="Tabletext"/>
            </w:pPr>
            <w:r w:rsidRPr="00134CF0">
              <w:t>14</w:t>
            </w:r>
          </w:p>
        </w:tc>
        <w:tc>
          <w:tcPr>
            <w:tcW w:w="2097" w:type="pct"/>
            <w:shd w:val="clear" w:color="auto" w:fill="auto"/>
          </w:tcPr>
          <w:p w14:paraId="2FA08810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29</w:t>
            </w:r>
          </w:p>
        </w:tc>
        <w:tc>
          <w:tcPr>
            <w:tcW w:w="1769" w:type="pct"/>
            <w:shd w:val="clear" w:color="auto" w:fill="auto"/>
          </w:tcPr>
          <w:p w14:paraId="3C9095D2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97F0E" w:rsidRPr="00134CF0" w14:paraId="35D5B1E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2510805" w14:textId="77777777" w:rsidR="00D97F0E" w:rsidRPr="00134CF0" w:rsidRDefault="00D97F0E" w:rsidP="00426FEE">
            <w:pPr>
              <w:pStyle w:val="Tabletext"/>
            </w:pPr>
            <w:r w:rsidRPr="00134CF0">
              <w:t>15</w:t>
            </w:r>
          </w:p>
        </w:tc>
        <w:tc>
          <w:tcPr>
            <w:tcW w:w="2097" w:type="pct"/>
            <w:shd w:val="clear" w:color="auto" w:fill="auto"/>
          </w:tcPr>
          <w:p w14:paraId="79AD699A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30</w:t>
            </w:r>
          </w:p>
        </w:tc>
        <w:tc>
          <w:tcPr>
            <w:tcW w:w="1769" w:type="pct"/>
            <w:shd w:val="clear" w:color="auto" w:fill="auto"/>
          </w:tcPr>
          <w:p w14:paraId="0CB9253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0.040</w:t>
            </w:r>
          </w:p>
        </w:tc>
      </w:tr>
      <w:tr w:rsidR="00D97F0E" w:rsidRPr="00134CF0" w14:paraId="6142865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215EB17" w14:textId="77777777" w:rsidR="00D97F0E" w:rsidRPr="00134CF0" w:rsidRDefault="00D97F0E" w:rsidP="00426FEE">
            <w:pPr>
              <w:pStyle w:val="Tabletext"/>
            </w:pPr>
            <w:r w:rsidRPr="00134CF0">
              <w:t>16</w:t>
            </w:r>
          </w:p>
        </w:tc>
        <w:tc>
          <w:tcPr>
            <w:tcW w:w="2097" w:type="pct"/>
            <w:shd w:val="clear" w:color="auto" w:fill="auto"/>
          </w:tcPr>
          <w:p w14:paraId="7DE8AFD6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769" w:type="pct"/>
            <w:shd w:val="clear" w:color="auto" w:fill="auto"/>
          </w:tcPr>
          <w:p w14:paraId="62AEA6D1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0.039</w:t>
            </w:r>
          </w:p>
        </w:tc>
      </w:tr>
      <w:tr w:rsidR="00D97F0E" w:rsidRPr="00134CF0" w14:paraId="1AA4E9B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0291026" w14:textId="77777777" w:rsidR="00D97F0E" w:rsidRPr="00134CF0" w:rsidRDefault="00D97F0E" w:rsidP="00426FEE">
            <w:pPr>
              <w:pStyle w:val="Tabletext"/>
            </w:pPr>
            <w:r w:rsidRPr="00134CF0">
              <w:t>17</w:t>
            </w:r>
          </w:p>
        </w:tc>
        <w:tc>
          <w:tcPr>
            <w:tcW w:w="2097" w:type="pct"/>
            <w:shd w:val="clear" w:color="auto" w:fill="auto"/>
          </w:tcPr>
          <w:p w14:paraId="525D5965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769" w:type="pct"/>
            <w:shd w:val="clear" w:color="auto" w:fill="auto"/>
          </w:tcPr>
          <w:p w14:paraId="623B5E7E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0.038</w:t>
            </w:r>
          </w:p>
        </w:tc>
      </w:tr>
      <w:tr w:rsidR="00D97F0E" w:rsidRPr="00134CF0" w14:paraId="3DB186B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3A687BD" w14:textId="77777777" w:rsidR="00D97F0E" w:rsidRPr="00134CF0" w:rsidRDefault="00D97F0E" w:rsidP="00426FEE">
            <w:pPr>
              <w:pStyle w:val="Tabletext"/>
            </w:pPr>
            <w:r w:rsidRPr="00134CF0">
              <w:t>18</w:t>
            </w:r>
          </w:p>
        </w:tc>
        <w:tc>
          <w:tcPr>
            <w:tcW w:w="2097" w:type="pct"/>
            <w:shd w:val="clear" w:color="auto" w:fill="auto"/>
          </w:tcPr>
          <w:p w14:paraId="66B24655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769" w:type="pct"/>
            <w:shd w:val="clear" w:color="auto" w:fill="auto"/>
          </w:tcPr>
          <w:p w14:paraId="60412190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0.037</w:t>
            </w:r>
          </w:p>
        </w:tc>
      </w:tr>
      <w:tr w:rsidR="00D97F0E" w:rsidRPr="00134CF0" w14:paraId="07DF125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E8A593F" w14:textId="77777777" w:rsidR="00D97F0E" w:rsidRPr="00134CF0" w:rsidRDefault="00D97F0E" w:rsidP="00426FEE">
            <w:pPr>
              <w:pStyle w:val="Tabletext"/>
            </w:pPr>
            <w:r w:rsidRPr="00134CF0">
              <w:t>19</w:t>
            </w:r>
          </w:p>
        </w:tc>
        <w:tc>
          <w:tcPr>
            <w:tcW w:w="2097" w:type="pct"/>
            <w:shd w:val="clear" w:color="auto" w:fill="auto"/>
          </w:tcPr>
          <w:p w14:paraId="7C8EB141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769" w:type="pct"/>
            <w:shd w:val="clear" w:color="auto" w:fill="auto"/>
          </w:tcPr>
          <w:p w14:paraId="093315FC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0.036</w:t>
            </w:r>
          </w:p>
        </w:tc>
      </w:tr>
      <w:tr w:rsidR="00D97F0E" w:rsidRPr="00134CF0" w14:paraId="6C21658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3CEF9AF" w14:textId="77777777" w:rsidR="00D97F0E" w:rsidRPr="00134CF0" w:rsidRDefault="00D97F0E" w:rsidP="00426FEE">
            <w:pPr>
              <w:pStyle w:val="Tabletext"/>
            </w:pPr>
            <w:r w:rsidRPr="00134CF0">
              <w:t>20</w:t>
            </w:r>
          </w:p>
        </w:tc>
        <w:tc>
          <w:tcPr>
            <w:tcW w:w="2097" w:type="pct"/>
            <w:shd w:val="clear" w:color="auto" w:fill="auto"/>
          </w:tcPr>
          <w:p w14:paraId="064D67E6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769" w:type="pct"/>
            <w:shd w:val="clear" w:color="auto" w:fill="auto"/>
          </w:tcPr>
          <w:p w14:paraId="6297944E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0.035</w:t>
            </w:r>
          </w:p>
        </w:tc>
      </w:tr>
      <w:tr w:rsidR="00D97F0E" w:rsidRPr="00134CF0" w14:paraId="52AC8B7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841BDAB" w14:textId="77777777" w:rsidR="00D97F0E" w:rsidRPr="00134CF0" w:rsidRDefault="00D97F0E" w:rsidP="00426FEE">
            <w:pPr>
              <w:pStyle w:val="Tabletext"/>
            </w:pPr>
            <w:r w:rsidRPr="00134CF0">
              <w:lastRenderedPageBreak/>
              <w:t>21</w:t>
            </w:r>
          </w:p>
        </w:tc>
        <w:tc>
          <w:tcPr>
            <w:tcW w:w="2097" w:type="pct"/>
            <w:shd w:val="clear" w:color="auto" w:fill="auto"/>
          </w:tcPr>
          <w:p w14:paraId="6D16353D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769" w:type="pct"/>
            <w:shd w:val="clear" w:color="auto" w:fill="auto"/>
          </w:tcPr>
          <w:p w14:paraId="0805697D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0.034</w:t>
            </w:r>
          </w:p>
        </w:tc>
      </w:tr>
      <w:tr w:rsidR="00D97F0E" w:rsidRPr="00134CF0" w14:paraId="5E3B26B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0704B9F" w14:textId="77777777" w:rsidR="00D97F0E" w:rsidRPr="00134CF0" w:rsidRDefault="00D97F0E" w:rsidP="00426FEE">
            <w:pPr>
              <w:pStyle w:val="Tabletext"/>
            </w:pPr>
            <w:r w:rsidRPr="00134CF0">
              <w:t>22</w:t>
            </w:r>
          </w:p>
        </w:tc>
        <w:tc>
          <w:tcPr>
            <w:tcW w:w="2097" w:type="pct"/>
            <w:shd w:val="clear" w:color="auto" w:fill="auto"/>
          </w:tcPr>
          <w:p w14:paraId="2F11ED5A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769" w:type="pct"/>
            <w:shd w:val="clear" w:color="auto" w:fill="auto"/>
          </w:tcPr>
          <w:p w14:paraId="5DCB6053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0.033</w:t>
            </w:r>
          </w:p>
        </w:tc>
      </w:tr>
      <w:tr w:rsidR="00D97F0E" w:rsidRPr="00134CF0" w14:paraId="47A1C4D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E484CA3" w14:textId="77777777" w:rsidR="00D97F0E" w:rsidRPr="00134CF0" w:rsidRDefault="00D97F0E" w:rsidP="00426FEE">
            <w:pPr>
              <w:pStyle w:val="Tabletext"/>
            </w:pPr>
            <w:r w:rsidRPr="00134CF0">
              <w:t>23</w:t>
            </w:r>
          </w:p>
        </w:tc>
        <w:tc>
          <w:tcPr>
            <w:tcW w:w="2097" w:type="pct"/>
            <w:shd w:val="clear" w:color="auto" w:fill="auto"/>
          </w:tcPr>
          <w:p w14:paraId="56B0D81D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769" w:type="pct"/>
            <w:shd w:val="clear" w:color="auto" w:fill="auto"/>
          </w:tcPr>
          <w:p w14:paraId="595FB4A3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0.032</w:t>
            </w:r>
          </w:p>
        </w:tc>
      </w:tr>
      <w:tr w:rsidR="00D97F0E" w:rsidRPr="00134CF0" w14:paraId="4804FE10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408DD46" w14:textId="77777777" w:rsidR="00D97F0E" w:rsidRPr="00134CF0" w:rsidRDefault="00D97F0E" w:rsidP="00426FEE">
            <w:pPr>
              <w:pStyle w:val="Tabletext"/>
            </w:pPr>
            <w:r w:rsidRPr="00134CF0">
              <w:t>24</w:t>
            </w:r>
          </w:p>
        </w:tc>
        <w:tc>
          <w:tcPr>
            <w:tcW w:w="2097" w:type="pct"/>
            <w:shd w:val="clear" w:color="auto" w:fill="auto"/>
          </w:tcPr>
          <w:p w14:paraId="031D7B42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769" w:type="pct"/>
            <w:shd w:val="clear" w:color="auto" w:fill="auto"/>
          </w:tcPr>
          <w:p w14:paraId="1D0E48A1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0.031</w:t>
            </w:r>
          </w:p>
        </w:tc>
      </w:tr>
      <w:tr w:rsidR="00D97F0E" w:rsidRPr="00134CF0" w14:paraId="3E4237E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29397CA" w14:textId="77777777" w:rsidR="00D97F0E" w:rsidRPr="00134CF0" w:rsidRDefault="00D97F0E" w:rsidP="00426FEE">
            <w:pPr>
              <w:pStyle w:val="Tabletext"/>
            </w:pPr>
            <w:r w:rsidRPr="00134CF0">
              <w:t>25</w:t>
            </w:r>
          </w:p>
        </w:tc>
        <w:tc>
          <w:tcPr>
            <w:tcW w:w="2097" w:type="pct"/>
            <w:shd w:val="clear" w:color="auto" w:fill="auto"/>
          </w:tcPr>
          <w:p w14:paraId="7332CA0A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769" w:type="pct"/>
            <w:shd w:val="clear" w:color="auto" w:fill="auto"/>
          </w:tcPr>
          <w:p w14:paraId="7E7DE18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0.030</w:t>
            </w:r>
          </w:p>
        </w:tc>
      </w:tr>
      <w:tr w:rsidR="00D97F0E" w:rsidRPr="00134CF0" w14:paraId="13C8BAF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D68ACB6" w14:textId="77777777" w:rsidR="00D97F0E" w:rsidRPr="00134CF0" w:rsidRDefault="00D97F0E" w:rsidP="00426FEE">
            <w:pPr>
              <w:pStyle w:val="Tabletext"/>
            </w:pPr>
            <w:r w:rsidRPr="00134CF0">
              <w:t>26</w:t>
            </w:r>
          </w:p>
        </w:tc>
        <w:tc>
          <w:tcPr>
            <w:tcW w:w="2097" w:type="pct"/>
            <w:shd w:val="clear" w:color="auto" w:fill="auto"/>
          </w:tcPr>
          <w:p w14:paraId="03B67047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769" w:type="pct"/>
            <w:shd w:val="clear" w:color="auto" w:fill="auto"/>
          </w:tcPr>
          <w:p w14:paraId="08FE0314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0.029</w:t>
            </w:r>
          </w:p>
        </w:tc>
      </w:tr>
      <w:tr w:rsidR="00D97F0E" w:rsidRPr="00134CF0" w14:paraId="5D66B93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6BA092D" w14:textId="77777777" w:rsidR="00D97F0E" w:rsidRPr="00134CF0" w:rsidRDefault="00D97F0E" w:rsidP="00426FEE">
            <w:pPr>
              <w:pStyle w:val="Tabletext"/>
            </w:pPr>
            <w:r w:rsidRPr="00134CF0">
              <w:t>27</w:t>
            </w:r>
          </w:p>
        </w:tc>
        <w:tc>
          <w:tcPr>
            <w:tcW w:w="2097" w:type="pct"/>
            <w:shd w:val="clear" w:color="auto" w:fill="auto"/>
          </w:tcPr>
          <w:p w14:paraId="79FEBC97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769" w:type="pct"/>
            <w:shd w:val="clear" w:color="auto" w:fill="auto"/>
          </w:tcPr>
          <w:p w14:paraId="3C95E45E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0.028</w:t>
            </w:r>
          </w:p>
        </w:tc>
      </w:tr>
      <w:tr w:rsidR="00D97F0E" w:rsidRPr="00134CF0" w14:paraId="35BBF61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8DBA534" w14:textId="77777777" w:rsidR="00D97F0E" w:rsidRPr="00134CF0" w:rsidRDefault="00D97F0E" w:rsidP="00426FEE">
            <w:pPr>
              <w:pStyle w:val="Tabletext"/>
            </w:pPr>
            <w:r w:rsidRPr="00134CF0">
              <w:t>28</w:t>
            </w:r>
          </w:p>
        </w:tc>
        <w:tc>
          <w:tcPr>
            <w:tcW w:w="2097" w:type="pct"/>
            <w:shd w:val="clear" w:color="auto" w:fill="auto"/>
          </w:tcPr>
          <w:p w14:paraId="2D5DA744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769" w:type="pct"/>
            <w:shd w:val="clear" w:color="auto" w:fill="auto"/>
          </w:tcPr>
          <w:p w14:paraId="7CE69A57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0.027</w:t>
            </w:r>
          </w:p>
        </w:tc>
      </w:tr>
      <w:tr w:rsidR="00D97F0E" w:rsidRPr="00134CF0" w14:paraId="76098BE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6DD8FC7" w14:textId="77777777" w:rsidR="00D97F0E" w:rsidRPr="00134CF0" w:rsidRDefault="00D97F0E" w:rsidP="00426FEE">
            <w:pPr>
              <w:pStyle w:val="Tabletext"/>
            </w:pPr>
            <w:r w:rsidRPr="00134CF0">
              <w:t>29</w:t>
            </w:r>
          </w:p>
        </w:tc>
        <w:tc>
          <w:tcPr>
            <w:tcW w:w="2097" w:type="pct"/>
            <w:shd w:val="clear" w:color="auto" w:fill="auto"/>
          </w:tcPr>
          <w:p w14:paraId="7CE18594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769" w:type="pct"/>
            <w:shd w:val="clear" w:color="auto" w:fill="auto"/>
          </w:tcPr>
          <w:p w14:paraId="72CE791F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0.026</w:t>
            </w:r>
          </w:p>
        </w:tc>
      </w:tr>
      <w:tr w:rsidR="00D97F0E" w:rsidRPr="00134CF0" w14:paraId="7960CF5B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749F210" w14:textId="77777777" w:rsidR="00D97F0E" w:rsidRPr="00134CF0" w:rsidRDefault="00D97F0E" w:rsidP="00426FEE">
            <w:pPr>
              <w:pStyle w:val="Tabletext"/>
            </w:pPr>
            <w:r w:rsidRPr="00134CF0">
              <w:t>30</w:t>
            </w:r>
          </w:p>
        </w:tc>
        <w:tc>
          <w:tcPr>
            <w:tcW w:w="2097" w:type="pct"/>
            <w:shd w:val="clear" w:color="auto" w:fill="auto"/>
          </w:tcPr>
          <w:p w14:paraId="1AD8507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769" w:type="pct"/>
            <w:shd w:val="clear" w:color="auto" w:fill="auto"/>
          </w:tcPr>
          <w:p w14:paraId="7793BA5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221953A9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1FFCCF9" w14:textId="77777777" w:rsidR="00D97F0E" w:rsidRPr="00134CF0" w:rsidRDefault="00D97F0E" w:rsidP="00426FEE">
            <w:pPr>
              <w:pStyle w:val="Tabletext"/>
            </w:pPr>
            <w:r w:rsidRPr="00134CF0">
              <w:t>31</w:t>
            </w:r>
          </w:p>
        </w:tc>
        <w:tc>
          <w:tcPr>
            <w:tcW w:w="2097" w:type="pct"/>
            <w:shd w:val="clear" w:color="auto" w:fill="auto"/>
          </w:tcPr>
          <w:p w14:paraId="1D672A20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769" w:type="pct"/>
            <w:shd w:val="clear" w:color="auto" w:fill="auto"/>
          </w:tcPr>
          <w:p w14:paraId="19C7D3E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43086B9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0AB2ED8" w14:textId="77777777" w:rsidR="00D97F0E" w:rsidRPr="00134CF0" w:rsidRDefault="00D97F0E" w:rsidP="00426FEE">
            <w:pPr>
              <w:pStyle w:val="Tabletext"/>
            </w:pPr>
            <w:r w:rsidRPr="00134CF0">
              <w:t>32</w:t>
            </w:r>
          </w:p>
        </w:tc>
        <w:tc>
          <w:tcPr>
            <w:tcW w:w="2097" w:type="pct"/>
            <w:shd w:val="clear" w:color="auto" w:fill="auto"/>
          </w:tcPr>
          <w:p w14:paraId="0230F402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769" w:type="pct"/>
            <w:shd w:val="clear" w:color="auto" w:fill="auto"/>
          </w:tcPr>
          <w:p w14:paraId="2B0D948B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65F2B80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514818F" w14:textId="77777777" w:rsidR="00D97F0E" w:rsidRPr="00134CF0" w:rsidRDefault="00D97F0E" w:rsidP="00426FEE">
            <w:pPr>
              <w:pStyle w:val="Tabletext"/>
            </w:pPr>
            <w:r w:rsidRPr="00134CF0">
              <w:t>33</w:t>
            </w:r>
          </w:p>
        </w:tc>
        <w:tc>
          <w:tcPr>
            <w:tcW w:w="2097" w:type="pct"/>
            <w:shd w:val="clear" w:color="auto" w:fill="auto"/>
          </w:tcPr>
          <w:p w14:paraId="6EBB0E8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769" w:type="pct"/>
            <w:shd w:val="clear" w:color="auto" w:fill="auto"/>
          </w:tcPr>
          <w:p w14:paraId="19297178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5A7DA99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B8A9732" w14:textId="77777777" w:rsidR="00D97F0E" w:rsidRPr="00134CF0" w:rsidRDefault="00D97F0E" w:rsidP="00426FEE">
            <w:pPr>
              <w:pStyle w:val="Tabletext"/>
            </w:pPr>
            <w:r w:rsidRPr="00134CF0">
              <w:t>34</w:t>
            </w:r>
          </w:p>
        </w:tc>
        <w:tc>
          <w:tcPr>
            <w:tcW w:w="2097" w:type="pct"/>
            <w:shd w:val="clear" w:color="auto" w:fill="auto"/>
          </w:tcPr>
          <w:p w14:paraId="7ED72AE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769" w:type="pct"/>
            <w:shd w:val="clear" w:color="auto" w:fill="auto"/>
          </w:tcPr>
          <w:p w14:paraId="1F960D01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544D7166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1E0EC77" w14:textId="77777777" w:rsidR="00D97F0E" w:rsidRPr="00134CF0" w:rsidRDefault="00D97F0E" w:rsidP="00426FEE">
            <w:pPr>
              <w:pStyle w:val="Tabletext"/>
            </w:pPr>
            <w:r w:rsidRPr="00134CF0">
              <w:t>35</w:t>
            </w:r>
          </w:p>
        </w:tc>
        <w:tc>
          <w:tcPr>
            <w:tcW w:w="2097" w:type="pct"/>
            <w:shd w:val="clear" w:color="auto" w:fill="auto"/>
          </w:tcPr>
          <w:p w14:paraId="4CDC5172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769" w:type="pct"/>
            <w:shd w:val="clear" w:color="auto" w:fill="auto"/>
          </w:tcPr>
          <w:p w14:paraId="3B2D4F71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4EF9682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A043D9B" w14:textId="77777777" w:rsidR="00D97F0E" w:rsidRPr="00134CF0" w:rsidRDefault="00D97F0E" w:rsidP="00426FEE">
            <w:pPr>
              <w:pStyle w:val="Tabletext"/>
            </w:pPr>
            <w:r w:rsidRPr="00134CF0">
              <w:t>36</w:t>
            </w:r>
          </w:p>
        </w:tc>
        <w:tc>
          <w:tcPr>
            <w:tcW w:w="2097" w:type="pct"/>
            <w:shd w:val="clear" w:color="auto" w:fill="auto"/>
          </w:tcPr>
          <w:p w14:paraId="4FBC3E32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769" w:type="pct"/>
            <w:shd w:val="clear" w:color="auto" w:fill="auto"/>
          </w:tcPr>
          <w:p w14:paraId="03AAEAAC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2EC4631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11E802E" w14:textId="77777777" w:rsidR="00D97F0E" w:rsidRPr="00134CF0" w:rsidRDefault="00D97F0E" w:rsidP="00426FEE">
            <w:pPr>
              <w:pStyle w:val="Tabletext"/>
            </w:pPr>
            <w:r w:rsidRPr="00134CF0">
              <w:t>37</w:t>
            </w:r>
          </w:p>
        </w:tc>
        <w:tc>
          <w:tcPr>
            <w:tcW w:w="2097" w:type="pct"/>
            <w:shd w:val="clear" w:color="auto" w:fill="auto"/>
          </w:tcPr>
          <w:p w14:paraId="1A284BE4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769" w:type="pct"/>
            <w:shd w:val="clear" w:color="auto" w:fill="auto"/>
          </w:tcPr>
          <w:p w14:paraId="16F421E1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5C424F8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F1B6072" w14:textId="77777777" w:rsidR="00D97F0E" w:rsidRPr="00134CF0" w:rsidRDefault="00D97F0E" w:rsidP="00426FEE">
            <w:pPr>
              <w:pStyle w:val="Tabletext"/>
            </w:pPr>
            <w:r w:rsidRPr="00134CF0">
              <w:t>38</w:t>
            </w:r>
          </w:p>
        </w:tc>
        <w:tc>
          <w:tcPr>
            <w:tcW w:w="2097" w:type="pct"/>
            <w:shd w:val="clear" w:color="auto" w:fill="auto"/>
          </w:tcPr>
          <w:p w14:paraId="184FDA7F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769" w:type="pct"/>
            <w:shd w:val="clear" w:color="auto" w:fill="auto"/>
          </w:tcPr>
          <w:p w14:paraId="4A7DEEE3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7AF38CA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6F10E48" w14:textId="77777777" w:rsidR="00D97F0E" w:rsidRPr="00134CF0" w:rsidRDefault="00D97F0E" w:rsidP="00426FEE">
            <w:pPr>
              <w:pStyle w:val="Tabletext"/>
            </w:pPr>
            <w:r w:rsidRPr="00134CF0">
              <w:t>39</w:t>
            </w:r>
          </w:p>
        </w:tc>
        <w:tc>
          <w:tcPr>
            <w:tcW w:w="2097" w:type="pct"/>
            <w:shd w:val="clear" w:color="auto" w:fill="auto"/>
          </w:tcPr>
          <w:p w14:paraId="18BDDB1E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769" w:type="pct"/>
            <w:shd w:val="clear" w:color="auto" w:fill="auto"/>
          </w:tcPr>
          <w:p w14:paraId="468BC43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4B77B316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C66F917" w14:textId="77777777" w:rsidR="00D97F0E" w:rsidRPr="00134CF0" w:rsidRDefault="00D97F0E" w:rsidP="00426FEE">
            <w:pPr>
              <w:pStyle w:val="Tabletext"/>
            </w:pPr>
            <w:r w:rsidRPr="00134CF0">
              <w:t>40</w:t>
            </w:r>
          </w:p>
        </w:tc>
        <w:tc>
          <w:tcPr>
            <w:tcW w:w="2097" w:type="pct"/>
            <w:shd w:val="clear" w:color="auto" w:fill="auto"/>
          </w:tcPr>
          <w:p w14:paraId="456EEA41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769" w:type="pct"/>
            <w:shd w:val="clear" w:color="auto" w:fill="auto"/>
          </w:tcPr>
          <w:p w14:paraId="4B1DA60A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0.100</w:t>
            </w:r>
          </w:p>
        </w:tc>
      </w:tr>
      <w:tr w:rsidR="00D97F0E" w:rsidRPr="00134CF0" w14:paraId="68681DA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A1E2A95" w14:textId="77777777" w:rsidR="00D97F0E" w:rsidRPr="00134CF0" w:rsidRDefault="00D97F0E" w:rsidP="00426FEE">
            <w:pPr>
              <w:pStyle w:val="Tabletext"/>
            </w:pPr>
            <w:r w:rsidRPr="00134CF0">
              <w:t>41</w:t>
            </w:r>
          </w:p>
        </w:tc>
        <w:tc>
          <w:tcPr>
            <w:tcW w:w="2097" w:type="pct"/>
            <w:shd w:val="clear" w:color="auto" w:fill="auto"/>
          </w:tcPr>
          <w:p w14:paraId="02547CEF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769" w:type="pct"/>
            <w:shd w:val="clear" w:color="auto" w:fill="auto"/>
          </w:tcPr>
          <w:p w14:paraId="7E499864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97F0E" w:rsidRPr="00134CF0" w14:paraId="71B9D0A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D477599" w14:textId="77777777" w:rsidR="00D97F0E" w:rsidRPr="00134CF0" w:rsidRDefault="00D97F0E" w:rsidP="00426FEE">
            <w:pPr>
              <w:pStyle w:val="Tabletext"/>
            </w:pPr>
            <w:r w:rsidRPr="00134CF0">
              <w:t>42</w:t>
            </w:r>
          </w:p>
        </w:tc>
        <w:tc>
          <w:tcPr>
            <w:tcW w:w="2097" w:type="pct"/>
            <w:shd w:val="clear" w:color="auto" w:fill="auto"/>
          </w:tcPr>
          <w:p w14:paraId="3977632C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769" w:type="pct"/>
            <w:shd w:val="clear" w:color="auto" w:fill="auto"/>
          </w:tcPr>
          <w:p w14:paraId="34245ABD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97F0E" w:rsidRPr="00134CF0" w14:paraId="75A34753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085DE1A" w14:textId="77777777" w:rsidR="00D97F0E" w:rsidRPr="00134CF0" w:rsidRDefault="00D97F0E" w:rsidP="00426FEE">
            <w:pPr>
              <w:pStyle w:val="Tabletext"/>
            </w:pPr>
            <w:r w:rsidRPr="00134CF0">
              <w:t>43</w:t>
            </w:r>
          </w:p>
        </w:tc>
        <w:tc>
          <w:tcPr>
            <w:tcW w:w="2097" w:type="pct"/>
            <w:shd w:val="clear" w:color="auto" w:fill="auto"/>
          </w:tcPr>
          <w:p w14:paraId="2AA639AD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769" w:type="pct"/>
            <w:shd w:val="clear" w:color="auto" w:fill="auto"/>
          </w:tcPr>
          <w:p w14:paraId="45FF7E76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97F0E" w:rsidRPr="00134CF0" w14:paraId="19C2818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3F42434" w14:textId="77777777" w:rsidR="00D97F0E" w:rsidRPr="00134CF0" w:rsidRDefault="00D97F0E" w:rsidP="00426FEE">
            <w:pPr>
              <w:pStyle w:val="Tabletext"/>
            </w:pPr>
            <w:r w:rsidRPr="00134CF0">
              <w:t>44</w:t>
            </w:r>
          </w:p>
        </w:tc>
        <w:tc>
          <w:tcPr>
            <w:tcW w:w="2097" w:type="pct"/>
            <w:shd w:val="clear" w:color="auto" w:fill="auto"/>
          </w:tcPr>
          <w:p w14:paraId="181DABD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769" w:type="pct"/>
            <w:shd w:val="clear" w:color="auto" w:fill="auto"/>
          </w:tcPr>
          <w:p w14:paraId="455645D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97F0E" w:rsidRPr="00134CF0" w14:paraId="7807E7F0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5EF0C60" w14:textId="77777777" w:rsidR="00D97F0E" w:rsidRPr="00134CF0" w:rsidRDefault="00D97F0E" w:rsidP="00426FEE">
            <w:pPr>
              <w:pStyle w:val="Tabletext"/>
            </w:pPr>
            <w:r w:rsidRPr="00134CF0">
              <w:t>45</w:t>
            </w:r>
          </w:p>
        </w:tc>
        <w:tc>
          <w:tcPr>
            <w:tcW w:w="2097" w:type="pct"/>
            <w:shd w:val="clear" w:color="auto" w:fill="auto"/>
          </w:tcPr>
          <w:p w14:paraId="4EBAA8E6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769" w:type="pct"/>
            <w:shd w:val="clear" w:color="auto" w:fill="auto"/>
          </w:tcPr>
          <w:p w14:paraId="69EE5A37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7CB5C37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259DAF8" w14:textId="77777777" w:rsidR="00D97F0E" w:rsidRPr="00134CF0" w:rsidRDefault="00D97F0E" w:rsidP="00426FEE">
            <w:pPr>
              <w:pStyle w:val="Tabletext"/>
            </w:pPr>
            <w:r w:rsidRPr="00134CF0">
              <w:t>46</w:t>
            </w:r>
          </w:p>
        </w:tc>
        <w:tc>
          <w:tcPr>
            <w:tcW w:w="2097" w:type="pct"/>
            <w:shd w:val="clear" w:color="auto" w:fill="auto"/>
          </w:tcPr>
          <w:p w14:paraId="2C3254CE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61</w:t>
            </w:r>
          </w:p>
        </w:tc>
        <w:tc>
          <w:tcPr>
            <w:tcW w:w="1769" w:type="pct"/>
            <w:shd w:val="clear" w:color="auto" w:fill="auto"/>
          </w:tcPr>
          <w:p w14:paraId="21EC2E37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571CBC3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41914CE" w14:textId="77777777" w:rsidR="00D97F0E" w:rsidRPr="00134CF0" w:rsidRDefault="00D97F0E" w:rsidP="00426FEE">
            <w:pPr>
              <w:pStyle w:val="Tabletext"/>
            </w:pPr>
            <w:r w:rsidRPr="00134CF0">
              <w:t>47</w:t>
            </w:r>
          </w:p>
        </w:tc>
        <w:tc>
          <w:tcPr>
            <w:tcW w:w="2097" w:type="pct"/>
            <w:shd w:val="clear" w:color="auto" w:fill="auto"/>
          </w:tcPr>
          <w:p w14:paraId="31401BD9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62</w:t>
            </w:r>
          </w:p>
        </w:tc>
        <w:tc>
          <w:tcPr>
            <w:tcW w:w="1769" w:type="pct"/>
            <w:shd w:val="clear" w:color="auto" w:fill="auto"/>
          </w:tcPr>
          <w:p w14:paraId="037914B9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1BF8858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46DA755" w14:textId="77777777" w:rsidR="00D97F0E" w:rsidRPr="00134CF0" w:rsidRDefault="00D97F0E" w:rsidP="00426FEE">
            <w:pPr>
              <w:pStyle w:val="Tabletext"/>
            </w:pPr>
            <w:r w:rsidRPr="00134CF0">
              <w:t>48</w:t>
            </w:r>
          </w:p>
        </w:tc>
        <w:tc>
          <w:tcPr>
            <w:tcW w:w="2097" w:type="pct"/>
            <w:shd w:val="clear" w:color="auto" w:fill="auto"/>
          </w:tcPr>
          <w:p w14:paraId="7DB92C6F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63</w:t>
            </w:r>
          </w:p>
        </w:tc>
        <w:tc>
          <w:tcPr>
            <w:tcW w:w="1769" w:type="pct"/>
            <w:shd w:val="clear" w:color="auto" w:fill="auto"/>
          </w:tcPr>
          <w:p w14:paraId="43EAA63F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3F24761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bottom w:val="single" w:sz="2" w:space="0" w:color="auto"/>
            </w:tcBorders>
            <w:shd w:val="clear" w:color="auto" w:fill="auto"/>
          </w:tcPr>
          <w:p w14:paraId="28280A5A" w14:textId="77777777" w:rsidR="00D97F0E" w:rsidRPr="00134CF0" w:rsidRDefault="00D97F0E" w:rsidP="00426FEE">
            <w:pPr>
              <w:pStyle w:val="Tabletext"/>
            </w:pPr>
            <w:r w:rsidRPr="00134CF0">
              <w:t>49</w:t>
            </w:r>
          </w:p>
        </w:tc>
        <w:tc>
          <w:tcPr>
            <w:tcW w:w="2097" w:type="pct"/>
            <w:tcBorders>
              <w:bottom w:val="single" w:sz="2" w:space="0" w:color="auto"/>
            </w:tcBorders>
            <w:shd w:val="clear" w:color="auto" w:fill="auto"/>
          </w:tcPr>
          <w:p w14:paraId="2321E4E8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64</w:t>
            </w:r>
          </w:p>
        </w:tc>
        <w:tc>
          <w:tcPr>
            <w:tcW w:w="1769" w:type="pct"/>
            <w:tcBorders>
              <w:bottom w:val="single" w:sz="2" w:space="0" w:color="auto"/>
            </w:tcBorders>
            <w:shd w:val="clear" w:color="auto" w:fill="auto"/>
          </w:tcPr>
          <w:p w14:paraId="66575353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0806D508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4D30926" w14:textId="77777777" w:rsidR="00D97F0E" w:rsidRPr="00134CF0" w:rsidRDefault="00D97F0E" w:rsidP="00426FEE">
            <w:pPr>
              <w:pStyle w:val="Tabletext"/>
            </w:pPr>
            <w:r w:rsidRPr="00134CF0">
              <w:t>50</w:t>
            </w:r>
          </w:p>
        </w:tc>
        <w:tc>
          <w:tcPr>
            <w:tcW w:w="20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F12EADE" w14:textId="77777777" w:rsidR="00D97F0E" w:rsidRPr="00134CF0" w:rsidRDefault="00D97F0E" w:rsidP="00426FEE">
            <w:pPr>
              <w:pStyle w:val="Tabletext"/>
              <w:jc w:val="center"/>
            </w:pPr>
            <w:r w:rsidRPr="00134CF0">
              <w:t>65</w:t>
            </w:r>
          </w:p>
        </w:tc>
        <w:tc>
          <w:tcPr>
            <w:tcW w:w="176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3C92E6C" w14:textId="77777777" w:rsidR="00D97F0E" w:rsidRPr="00134CF0" w:rsidRDefault="00D97F0E" w:rsidP="00426FEE">
            <w:pPr>
              <w:pStyle w:val="Tabletext"/>
              <w:jc w:val="right"/>
            </w:pPr>
            <w:r w:rsidRPr="00134CF0">
              <w:t>1.000</w:t>
            </w:r>
          </w:p>
        </w:tc>
      </w:tr>
    </w:tbl>
    <w:bookmarkEnd w:id="3"/>
    <w:p w14:paraId="092747AF" w14:textId="77777777" w:rsidR="00D97F0E" w:rsidRPr="00134CF0" w:rsidRDefault="00D97F0E" w:rsidP="00747C3C">
      <w:pPr>
        <w:pStyle w:val="subsection"/>
      </w:pPr>
      <w:r w:rsidRPr="00134CF0">
        <w:rPr>
          <w:color w:val="000000"/>
        </w:rPr>
        <w:tab/>
        <w:t>(1A)</w:t>
      </w:r>
      <w:r w:rsidRPr="00134CF0">
        <w:rPr>
          <w:color w:val="000000"/>
        </w:rPr>
        <w:tab/>
        <w:t>The following table sets out the rates of voluntary exit from the fund that are to be assumed</w:t>
      </w:r>
      <w:r w:rsidR="00CE1B47" w:rsidRPr="00134CF0">
        <w:rPr>
          <w:color w:val="000000"/>
        </w:rPr>
        <w:t xml:space="preserve"> </w:t>
      </w:r>
      <w:r w:rsidRPr="00134CF0">
        <w:rPr>
          <w:color w:val="000000"/>
        </w:rPr>
        <w:t>if</w:t>
      </w:r>
      <w:r w:rsidR="000B5313" w:rsidRPr="00134CF0">
        <w:rPr>
          <w:color w:val="000000"/>
        </w:rPr>
        <w:t xml:space="preserve">, under the rules of the fund, </w:t>
      </w:r>
      <w:r w:rsidR="00747C3C" w:rsidRPr="00134CF0">
        <w:t xml:space="preserve">the </w:t>
      </w:r>
      <w:r w:rsidRPr="00134CF0">
        <w:t>normal retirement age</w:t>
      </w:r>
      <w:r w:rsidR="00747C3C" w:rsidRPr="00134CF0">
        <w:t xml:space="preserve"> </w:t>
      </w:r>
      <w:r w:rsidR="0085116A" w:rsidRPr="00134CF0">
        <w:t xml:space="preserve">of the fund </w:t>
      </w:r>
      <w:r w:rsidR="00747C3C" w:rsidRPr="00134CF0">
        <w:t xml:space="preserve">is </w:t>
      </w:r>
      <w:r w:rsidRPr="00134CF0">
        <w:t>60 years.</w:t>
      </w:r>
    </w:p>
    <w:p w14:paraId="42F5CBC2" w14:textId="77777777" w:rsidR="00D97F0E" w:rsidRPr="00134CF0" w:rsidRDefault="00D97F0E" w:rsidP="00D97F0E">
      <w:pPr>
        <w:pStyle w:val="Tabletext"/>
      </w:pPr>
    </w:p>
    <w:tbl>
      <w:tblPr>
        <w:tblW w:w="1904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362"/>
        <w:gridCol w:w="1149"/>
        <w:gridCol w:w="6"/>
      </w:tblGrid>
      <w:tr w:rsidR="00D97F0E" w:rsidRPr="00134CF0" w14:paraId="2EAD7154" w14:textId="77777777" w:rsidTr="00247B6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969A61" w14:textId="77777777" w:rsidR="00D97F0E" w:rsidRPr="00134CF0" w:rsidRDefault="00D97F0E" w:rsidP="00EF4284">
            <w:pPr>
              <w:pStyle w:val="TableHeading"/>
            </w:pPr>
            <w:r w:rsidRPr="00134CF0">
              <w:rPr>
                <w:color w:val="000000"/>
              </w:rPr>
              <w:t>Voluntary exit rates</w:t>
            </w:r>
          </w:p>
        </w:tc>
      </w:tr>
      <w:tr w:rsidR="00D97F0E" w:rsidRPr="00134CF0" w14:paraId="74D3916D" w14:textId="77777777" w:rsidTr="00D944A5">
        <w:trPr>
          <w:gridAfter w:val="1"/>
          <w:wAfter w:w="9" w:type="pct"/>
          <w:tblHeader/>
        </w:trPr>
        <w:tc>
          <w:tcPr>
            <w:tcW w:w="1125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E1612E" w14:textId="77777777" w:rsidR="00D97F0E" w:rsidRPr="00134CF0" w:rsidRDefault="00D97F0E" w:rsidP="00EF4284">
            <w:pPr>
              <w:pStyle w:val="TableHeading"/>
            </w:pPr>
            <w:r w:rsidRPr="00134CF0">
              <w:t>Item</w:t>
            </w:r>
          </w:p>
        </w:tc>
        <w:tc>
          <w:tcPr>
            <w:tcW w:w="2097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5A0E5C" w14:textId="77777777" w:rsidR="00D97F0E" w:rsidRPr="00134CF0" w:rsidRDefault="00D97F0E" w:rsidP="00D944A5">
            <w:pPr>
              <w:pStyle w:val="TableHeading"/>
              <w:jc w:val="center"/>
            </w:pPr>
            <w:r w:rsidRPr="00134CF0">
              <w:t>Column 1</w:t>
            </w:r>
          </w:p>
          <w:p w14:paraId="14E5A170" w14:textId="77777777" w:rsidR="00D97F0E" w:rsidRPr="00134CF0" w:rsidRDefault="00D97F0E" w:rsidP="00D944A5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76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6EFA23" w14:textId="77777777" w:rsidR="00D97F0E" w:rsidRPr="00134CF0" w:rsidRDefault="00D97F0E" w:rsidP="00D944A5">
            <w:pPr>
              <w:pStyle w:val="TableHeading"/>
              <w:jc w:val="right"/>
            </w:pPr>
            <w:r w:rsidRPr="00134CF0">
              <w:t>Column 2</w:t>
            </w:r>
          </w:p>
          <w:p w14:paraId="647EF03F" w14:textId="77777777" w:rsidR="00D97F0E" w:rsidRPr="00134CF0" w:rsidRDefault="00D97F0E" w:rsidP="00D944A5">
            <w:pPr>
              <w:pStyle w:val="TableHeading"/>
              <w:jc w:val="right"/>
            </w:pPr>
            <w:r w:rsidRPr="00134CF0">
              <w:t>Exit rate</w:t>
            </w:r>
          </w:p>
        </w:tc>
      </w:tr>
      <w:tr w:rsidR="00D97F0E" w:rsidRPr="00134CF0" w14:paraId="0244891F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7EFC0E" w14:textId="77777777" w:rsidR="00D97F0E" w:rsidRPr="00134CF0" w:rsidRDefault="00D97F0E" w:rsidP="00426FEE">
            <w:pPr>
              <w:pStyle w:val="Tabletext"/>
            </w:pPr>
            <w:r w:rsidRPr="00134CF0">
              <w:t>1</w:t>
            </w:r>
          </w:p>
        </w:tc>
        <w:tc>
          <w:tcPr>
            <w:tcW w:w="2097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988FDB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16</w:t>
            </w:r>
          </w:p>
        </w:tc>
        <w:tc>
          <w:tcPr>
            <w:tcW w:w="1769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3BE9F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97F0E" w:rsidRPr="00134CF0" w14:paraId="24235B81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D15F3" w14:textId="77777777" w:rsidR="00D97F0E" w:rsidRPr="00134CF0" w:rsidRDefault="00D97F0E" w:rsidP="00426FEE">
            <w:pPr>
              <w:pStyle w:val="Tabletext"/>
            </w:pPr>
            <w:r w:rsidRPr="00134CF0">
              <w:t>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FBAC9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17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D81A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97F0E" w:rsidRPr="00134CF0" w14:paraId="4986FD21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A1F21" w14:textId="77777777" w:rsidR="00D97F0E" w:rsidRPr="00134CF0" w:rsidRDefault="00D97F0E" w:rsidP="00426FEE">
            <w:pPr>
              <w:pStyle w:val="Tabletext"/>
            </w:pPr>
            <w:r w:rsidRPr="00134CF0">
              <w:t>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0928D5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18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701FF6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97F0E" w:rsidRPr="00134CF0" w14:paraId="51D2B65C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A9AFE1" w14:textId="77777777" w:rsidR="00D97F0E" w:rsidRPr="00134CF0" w:rsidRDefault="00D97F0E" w:rsidP="00426FEE">
            <w:pPr>
              <w:pStyle w:val="Tabletext"/>
            </w:pPr>
            <w:r w:rsidRPr="00134CF0">
              <w:t>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D4339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19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8BE8A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97F0E" w:rsidRPr="00134CF0" w14:paraId="33377A5A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AB593" w14:textId="77777777" w:rsidR="00D97F0E" w:rsidRPr="00134CF0" w:rsidRDefault="00D97F0E" w:rsidP="00426FEE">
            <w:pPr>
              <w:pStyle w:val="Tabletext"/>
            </w:pPr>
            <w:r w:rsidRPr="00134CF0">
              <w:lastRenderedPageBreak/>
              <w:t>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048D2F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93A89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79757C77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5DADC7" w14:textId="77777777" w:rsidR="00D97F0E" w:rsidRPr="00134CF0" w:rsidRDefault="00D97F0E" w:rsidP="00426FEE">
            <w:pPr>
              <w:pStyle w:val="Tabletext"/>
            </w:pPr>
            <w:r w:rsidRPr="00134CF0">
              <w:t>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E09864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42F9C9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4CB0FA27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34E960" w14:textId="77777777" w:rsidR="00D97F0E" w:rsidRPr="00134CF0" w:rsidRDefault="00D97F0E" w:rsidP="00426FEE">
            <w:pPr>
              <w:pStyle w:val="Tabletext"/>
            </w:pPr>
            <w:r w:rsidRPr="00134CF0">
              <w:t>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9E35D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C4384E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44EA4684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980A3" w14:textId="77777777" w:rsidR="00D97F0E" w:rsidRPr="00134CF0" w:rsidRDefault="00D97F0E" w:rsidP="00426FEE">
            <w:pPr>
              <w:pStyle w:val="Tabletext"/>
            </w:pPr>
            <w:r w:rsidRPr="00134CF0">
              <w:t>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48B838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D00F5E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97F0E" w:rsidRPr="00134CF0" w14:paraId="70E33A07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A006B9" w14:textId="77777777" w:rsidR="00D97F0E" w:rsidRPr="00134CF0" w:rsidRDefault="00D97F0E" w:rsidP="00426FEE">
            <w:pPr>
              <w:pStyle w:val="Tabletext"/>
            </w:pPr>
            <w:r w:rsidRPr="00134CF0">
              <w:t>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2EE012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6C57D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97F0E" w:rsidRPr="00134CF0" w14:paraId="48953625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614C7" w14:textId="77777777" w:rsidR="00D97F0E" w:rsidRPr="00134CF0" w:rsidRDefault="00D97F0E" w:rsidP="00426FEE">
            <w:pPr>
              <w:pStyle w:val="Tabletext"/>
            </w:pPr>
            <w:r w:rsidRPr="00134CF0">
              <w:t>10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80869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F7701F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97F0E" w:rsidRPr="00134CF0" w14:paraId="3AAE9DD0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AFE0A" w14:textId="77777777" w:rsidR="00D97F0E" w:rsidRPr="00134CF0" w:rsidRDefault="00D97F0E" w:rsidP="00426FEE">
            <w:pPr>
              <w:pStyle w:val="Tabletext"/>
            </w:pPr>
            <w:r w:rsidRPr="00134CF0">
              <w:t>11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07BE2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D540E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0.045</w:t>
            </w:r>
          </w:p>
        </w:tc>
      </w:tr>
      <w:tr w:rsidR="00D97F0E" w:rsidRPr="00134CF0" w14:paraId="3D6A021A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910CC" w14:textId="77777777" w:rsidR="00D97F0E" w:rsidRPr="00134CF0" w:rsidRDefault="00D97F0E" w:rsidP="00426FEE">
            <w:pPr>
              <w:pStyle w:val="Tabletext"/>
            </w:pPr>
            <w:r w:rsidRPr="00134CF0">
              <w:t>12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652F4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19233E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97F0E" w:rsidRPr="00134CF0" w14:paraId="0FF5C266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F6D99" w14:textId="77777777" w:rsidR="00D97F0E" w:rsidRPr="00134CF0" w:rsidRDefault="00D97F0E" w:rsidP="00426FEE">
            <w:pPr>
              <w:pStyle w:val="Tabletext"/>
            </w:pPr>
            <w:r w:rsidRPr="00134CF0">
              <w:t>13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7C4B5D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642540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0.043</w:t>
            </w:r>
          </w:p>
        </w:tc>
      </w:tr>
      <w:tr w:rsidR="00D97F0E" w:rsidRPr="00134CF0" w14:paraId="18A54765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F74BB" w14:textId="77777777" w:rsidR="00D97F0E" w:rsidRPr="00134CF0" w:rsidRDefault="00D97F0E" w:rsidP="00426FEE">
            <w:pPr>
              <w:pStyle w:val="Tabletext"/>
            </w:pPr>
            <w:r w:rsidRPr="00134CF0">
              <w:t>14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E142E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29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91848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97F0E" w:rsidRPr="00134CF0" w14:paraId="0FF0A87C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09AE0" w14:textId="77777777" w:rsidR="00D97F0E" w:rsidRPr="00134CF0" w:rsidRDefault="00D97F0E" w:rsidP="00426FEE">
            <w:pPr>
              <w:pStyle w:val="Tabletext"/>
            </w:pPr>
            <w:r w:rsidRPr="00134CF0">
              <w:t>15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324B27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7A17D2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0.040</w:t>
            </w:r>
          </w:p>
        </w:tc>
      </w:tr>
      <w:tr w:rsidR="00D97F0E" w:rsidRPr="00134CF0" w14:paraId="2B25C4C3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7C64AE" w14:textId="77777777" w:rsidR="00D97F0E" w:rsidRPr="00134CF0" w:rsidRDefault="00D97F0E" w:rsidP="00426FEE">
            <w:pPr>
              <w:pStyle w:val="Tabletext"/>
            </w:pPr>
            <w:r w:rsidRPr="00134CF0">
              <w:t>16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F3391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D9F8AD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0.039</w:t>
            </w:r>
          </w:p>
        </w:tc>
      </w:tr>
      <w:tr w:rsidR="00D97F0E" w:rsidRPr="00134CF0" w14:paraId="4F74D6B6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A445B" w14:textId="77777777" w:rsidR="00D97F0E" w:rsidRPr="00134CF0" w:rsidRDefault="00D97F0E" w:rsidP="00426FEE">
            <w:pPr>
              <w:pStyle w:val="Tabletext"/>
            </w:pPr>
            <w:r w:rsidRPr="00134CF0">
              <w:t>17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1D36E5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CFAEE2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0.038</w:t>
            </w:r>
          </w:p>
        </w:tc>
      </w:tr>
      <w:tr w:rsidR="00D97F0E" w:rsidRPr="00134CF0" w14:paraId="5261BB10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DF050" w14:textId="77777777" w:rsidR="00D97F0E" w:rsidRPr="00134CF0" w:rsidRDefault="00D97F0E" w:rsidP="00426FEE">
            <w:pPr>
              <w:pStyle w:val="Tabletext"/>
            </w:pPr>
            <w:r w:rsidRPr="00134CF0">
              <w:t>18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D911FE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940A7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0.037</w:t>
            </w:r>
          </w:p>
        </w:tc>
      </w:tr>
      <w:tr w:rsidR="00D97F0E" w:rsidRPr="00134CF0" w14:paraId="76A27BA9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523420" w14:textId="77777777" w:rsidR="00D97F0E" w:rsidRPr="00134CF0" w:rsidRDefault="00D97F0E" w:rsidP="00426FEE">
            <w:pPr>
              <w:pStyle w:val="Tabletext"/>
            </w:pPr>
            <w:r w:rsidRPr="00134CF0">
              <w:t>19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A664E7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79AB0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0.036</w:t>
            </w:r>
          </w:p>
        </w:tc>
      </w:tr>
      <w:tr w:rsidR="00D97F0E" w:rsidRPr="00134CF0" w14:paraId="090BD97F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EFFF9" w14:textId="77777777" w:rsidR="00D97F0E" w:rsidRPr="00134CF0" w:rsidRDefault="00D97F0E" w:rsidP="00426FEE">
            <w:pPr>
              <w:pStyle w:val="Tabletext"/>
            </w:pPr>
            <w:r w:rsidRPr="00134CF0">
              <w:t>20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EDDC9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F11D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0.035</w:t>
            </w:r>
          </w:p>
        </w:tc>
      </w:tr>
      <w:tr w:rsidR="00D97F0E" w:rsidRPr="00134CF0" w14:paraId="6933F6CC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38AB2" w14:textId="77777777" w:rsidR="00D97F0E" w:rsidRPr="00134CF0" w:rsidRDefault="00D97F0E" w:rsidP="00426FEE">
            <w:pPr>
              <w:pStyle w:val="Tabletext"/>
            </w:pPr>
            <w:r w:rsidRPr="00134CF0">
              <w:t>21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C92EC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D53C8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0.034</w:t>
            </w:r>
          </w:p>
        </w:tc>
      </w:tr>
      <w:tr w:rsidR="00D97F0E" w:rsidRPr="00134CF0" w14:paraId="55E6CF19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FD378" w14:textId="77777777" w:rsidR="00D97F0E" w:rsidRPr="00134CF0" w:rsidRDefault="00D97F0E" w:rsidP="00426FEE">
            <w:pPr>
              <w:pStyle w:val="Tabletext"/>
            </w:pPr>
            <w:r w:rsidRPr="00134CF0">
              <w:t>22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05086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E0BC9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0.033</w:t>
            </w:r>
          </w:p>
        </w:tc>
      </w:tr>
      <w:tr w:rsidR="00D97F0E" w:rsidRPr="00134CF0" w14:paraId="23548493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3CAF3" w14:textId="77777777" w:rsidR="00D97F0E" w:rsidRPr="00134CF0" w:rsidRDefault="00D97F0E" w:rsidP="00426FEE">
            <w:pPr>
              <w:pStyle w:val="Tabletext"/>
            </w:pPr>
            <w:r w:rsidRPr="00134CF0">
              <w:t>23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AD9017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7D8498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0.032</w:t>
            </w:r>
          </w:p>
        </w:tc>
      </w:tr>
      <w:tr w:rsidR="00D97F0E" w:rsidRPr="00134CF0" w14:paraId="5F84D3A2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6ECE92" w14:textId="77777777" w:rsidR="00D97F0E" w:rsidRPr="00134CF0" w:rsidRDefault="00D97F0E" w:rsidP="00426FEE">
            <w:pPr>
              <w:pStyle w:val="Tabletext"/>
            </w:pPr>
            <w:r w:rsidRPr="00134CF0">
              <w:t>24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F7A8B5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0FF05C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0.031</w:t>
            </w:r>
          </w:p>
        </w:tc>
      </w:tr>
      <w:tr w:rsidR="00D97F0E" w:rsidRPr="00134CF0" w14:paraId="7FC8F250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7E25E" w14:textId="77777777" w:rsidR="00D97F0E" w:rsidRPr="00134CF0" w:rsidRDefault="00D97F0E" w:rsidP="00426FEE">
            <w:pPr>
              <w:pStyle w:val="Tabletext"/>
            </w:pPr>
            <w:r w:rsidRPr="00134CF0">
              <w:t>25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3F4EE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8844EC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0.030</w:t>
            </w:r>
          </w:p>
        </w:tc>
      </w:tr>
      <w:tr w:rsidR="00D97F0E" w:rsidRPr="00134CF0" w14:paraId="22907DEC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04EC6F" w14:textId="77777777" w:rsidR="00D97F0E" w:rsidRPr="00134CF0" w:rsidRDefault="00D97F0E" w:rsidP="00426FEE">
            <w:pPr>
              <w:pStyle w:val="Tabletext"/>
            </w:pPr>
            <w:r w:rsidRPr="00134CF0">
              <w:t>26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EF4473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21DFB9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0.029</w:t>
            </w:r>
          </w:p>
        </w:tc>
      </w:tr>
      <w:tr w:rsidR="00D97F0E" w:rsidRPr="00134CF0" w14:paraId="15EEBDAE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3B85AD" w14:textId="77777777" w:rsidR="00D97F0E" w:rsidRPr="00134CF0" w:rsidRDefault="00D97F0E" w:rsidP="00426FEE">
            <w:pPr>
              <w:pStyle w:val="Tabletext"/>
            </w:pPr>
            <w:r w:rsidRPr="00134CF0">
              <w:t>27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40781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0A88C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0.028</w:t>
            </w:r>
          </w:p>
        </w:tc>
      </w:tr>
      <w:tr w:rsidR="00D97F0E" w:rsidRPr="00134CF0" w14:paraId="22E64E13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F863F" w14:textId="77777777" w:rsidR="00D97F0E" w:rsidRPr="00134CF0" w:rsidRDefault="00D97F0E" w:rsidP="00426FEE">
            <w:pPr>
              <w:pStyle w:val="Tabletext"/>
            </w:pPr>
            <w:r w:rsidRPr="00134CF0">
              <w:t>28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FDBDAF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62AF27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0.027</w:t>
            </w:r>
          </w:p>
        </w:tc>
      </w:tr>
      <w:tr w:rsidR="00D97F0E" w:rsidRPr="00134CF0" w14:paraId="3761FEB9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DFFBF" w14:textId="77777777" w:rsidR="00D97F0E" w:rsidRPr="00134CF0" w:rsidRDefault="00D97F0E" w:rsidP="00426FEE">
            <w:pPr>
              <w:pStyle w:val="Tabletext"/>
            </w:pPr>
            <w:r w:rsidRPr="00134CF0">
              <w:t>29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94236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E0D52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0.026</w:t>
            </w:r>
          </w:p>
        </w:tc>
      </w:tr>
      <w:tr w:rsidR="00D97F0E" w:rsidRPr="00134CF0" w14:paraId="02159E71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75C377" w14:textId="77777777" w:rsidR="00D97F0E" w:rsidRPr="00134CF0" w:rsidRDefault="00D97F0E" w:rsidP="00426FEE">
            <w:pPr>
              <w:pStyle w:val="Tabletext"/>
            </w:pPr>
            <w:r w:rsidRPr="00134CF0">
              <w:t>30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D89847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56B2C8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6E659DD5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6C0B3A" w14:textId="77777777" w:rsidR="00D97F0E" w:rsidRPr="00134CF0" w:rsidRDefault="00D97F0E" w:rsidP="00426FEE">
            <w:pPr>
              <w:pStyle w:val="Tabletext"/>
            </w:pPr>
            <w:r w:rsidRPr="00134CF0">
              <w:t>31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F7700F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92E4F1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5351EAEB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64DBA1" w14:textId="77777777" w:rsidR="00D97F0E" w:rsidRPr="00134CF0" w:rsidRDefault="00D97F0E" w:rsidP="00426FEE">
            <w:pPr>
              <w:pStyle w:val="Tabletext"/>
            </w:pPr>
            <w:r w:rsidRPr="00134CF0">
              <w:t>32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A9503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43990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76AA74B6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AE299F" w14:textId="77777777" w:rsidR="00D97F0E" w:rsidRPr="00134CF0" w:rsidRDefault="00D97F0E" w:rsidP="00426FEE">
            <w:pPr>
              <w:pStyle w:val="Tabletext"/>
            </w:pPr>
            <w:r w:rsidRPr="00134CF0">
              <w:t>33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7F60A0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AAA5E0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3C9D3C27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C715E" w14:textId="77777777" w:rsidR="00D97F0E" w:rsidRPr="00134CF0" w:rsidRDefault="00D97F0E" w:rsidP="00426FEE">
            <w:pPr>
              <w:pStyle w:val="Tabletext"/>
            </w:pPr>
            <w:r w:rsidRPr="00134CF0">
              <w:t>34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A5D162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E52DA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1EDD52EE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97E87" w14:textId="77777777" w:rsidR="00D97F0E" w:rsidRPr="00134CF0" w:rsidRDefault="00D97F0E" w:rsidP="00426FEE">
            <w:pPr>
              <w:pStyle w:val="Tabletext"/>
            </w:pPr>
            <w:r w:rsidRPr="00134CF0">
              <w:t>35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8037F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4ADBC1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25BE1F04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C349CE" w14:textId="77777777" w:rsidR="00D97F0E" w:rsidRPr="00134CF0" w:rsidRDefault="00D97F0E" w:rsidP="00426FEE">
            <w:pPr>
              <w:pStyle w:val="Tabletext"/>
            </w:pPr>
            <w:r w:rsidRPr="00134CF0">
              <w:t>36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F33967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EE0EE3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23DFFCE9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89C5F" w14:textId="77777777" w:rsidR="00D97F0E" w:rsidRPr="00134CF0" w:rsidRDefault="00D97F0E" w:rsidP="00426FEE">
            <w:pPr>
              <w:pStyle w:val="Tabletext"/>
            </w:pPr>
            <w:r w:rsidRPr="00134CF0">
              <w:t>37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5399AB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AEE97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5BA88F2A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63941" w14:textId="77777777" w:rsidR="00D97F0E" w:rsidRPr="00134CF0" w:rsidRDefault="00D97F0E" w:rsidP="00426FEE">
            <w:pPr>
              <w:pStyle w:val="Tabletext"/>
            </w:pPr>
            <w:r w:rsidRPr="00134CF0">
              <w:t>38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F5ED0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51020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2FFFA56B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891B8B" w14:textId="77777777" w:rsidR="00D97F0E" w:rsidRPr="00134CF0" w:rsidRDefault="00D97F0E" w:rsidP="00426FEE">
            <w:pPr>
              <w:pStyle w:val="Tabletext"/>
            </w:pPr>
            <w:r w:rsidRPr="00134CF0">
              <w:t>39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282CE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90F47A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97F0E" w:rsidRPr="00134CF0" w14:paraId="19EFF0EC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9BD14" w14:textId="77777777" w:rsidR="00D97F0E" w:rsidRPr="00134CF0" w:rsidRDefault="00D97F0E" w:rsidP="00426FEE">
            <w:pPr>
              <w:pStyle w:val="Tabletext"/>
            </w:pPr>
            <w:r w:rsidRPr="00134CF0">
              <w:t>40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57A5D8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239CB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31C5B68F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FA4ED9" w14:textId="77777777" w:rsidR="00D97F0E" w:rsidRPr="00134CF0" w:rsidRDefault="00D97F0E" w:rsidP="00426FEE">
            <w:pPr>
              <w:pStyle w:val="Tabletext"/>
            </w:pPr>
            <w:r w:rsidRPr="00134CF0">
              <w:t>41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AFAEC1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CFE660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3ABC20D7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F962F2" w14:textId="77777777" w:rsidR="00D97F0E" w:rsidRPr="00134CF0" w:rsidRDefault="00D97F0E" w:rsidP="00426FEE">
            <w:pPr>
              <w:pStyle w:val="Tabletext"/>
            </w:pPr>
            <w:r w:rsidRPr="00134CF0">
              <w:t>42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558CF8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0DE2A2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277B31E6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44B697" w14:textId="77777777" w:rsidR="00D97F0E" w:rsidRPr="00134CF0" w:rsidRDefault="00D97F0E" w:rsidP="00426FEE">
            <w:pPr>
              <w:pStyle w:val="Tabletext"/>
            </w:pPr>
            <w:r w:rsidRPr="00134CF0">
              <w:t>43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1D9A92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BF931A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3148557E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361C25" w14:textId="77777777" w:rsidR="00D97F0E" w:rsidRPr="00134CF0" w:rsidRDefault="00D97F0E" w:rsidP="00426FEE">
            <w:pPr>
              <w:pStyle w:val="Tabletext"/>
            </w:pPr>
            <w:r w:rsidRPr="00134CF0">
              <w:t>44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29E3F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DD9274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97F0E" w:rsidRPr="00134CF0" w14:paraId="05EFC140" w14:textId="77777777" w:rsidTr="00D944A5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049C17" w14:textId="77777777" w:rsidR="00D97F0E" w:rsidRPr="00134CF0" w:rsidRDefault="00D97F0E" w:rsidP="00426FEE">
            <w:pPr>
              <w:pStyle w:val="Tabletext"/>
            </w:pPr>
            <w:r w:rsidRPr="00134CF0">
              <w:t>45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E4E59D" w14:textId="77777777" w:rsidR="00D97F0E" w:rsidRPr="00134CF0" w:rsidRDefault="00D97F0E" w:rsidP="00D944A5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4987E9" w14:textId="77777777" w:rsidR="00D97F0E" w:rsidRPr="00134CF0" w:rsidRDefault="00D97F0E" w:rsidP="00D944A5">
            <w:pPr>
              <w:pStyle w:val="Tabletext"/>
              <w:jc w:val="right"/>
            </w:pPr>
            <w:r w:rsidRPr="00134CF0">
              <w:t>1.000</w:t>
            </w:r>
          </w:p>
        </w:tc>
      </w:tr>
    </w:tbl>
    <w:p w14:paraId="59D5724A" w14:textId="77777777" w:rsidR="001E6B56" w:rsidRPr="00134CF0" w:rsidRDefault="00C113D4" w:rsidP="001E6B56">
      <w:pPr>
        <w:pStyle w:val="ItemHead"/>
      </w:pPr>
      <w:r w:rsidRPr="00134CF0">
        <w:lastRenderedPageBreak/>
        <w:t>5</w:t>
      </w:r>
      <w:r w:rsidR="001E6B56" w:rsidRPr="00134CF0">
        <w:t xml:space="preserve">  </w:t>
      </w:r>
      <w:r w:rsidR="00085D14" w:rsidRPr="00134CF0">
        <w:t>Subclause 3</w:t>
      </w:r>
      <w:r w:rsidR="001E6B56" w:rsidRPr="00134CF0">
        <w:t xml:space="preserve">.8(2) of </w:t>
      </w:r>
      <w:r w:rsidR="00C96F3A" w:rsidRPr="00134CF0">
        <w:t>Schedule 1</w:t>
      </w:r>
      <w:r w:rsidR="001E6B56" w:rsidRPr="00134CF0">
        <w:t>A</w:t>
      </w:r>
    </w:p>
    <w:p w14:paraId="6C8E6A01" w14:textId="77777777" w:rsidR="001E6B56" w:rsidRPr="00134CF0" w:rsidRDefault="001E6B56" w:rsidP="001E6B56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10%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2.5%</w:t>
      </w:r>
      <w:r w:rsidR="00813F6B" w:rsidRPr="00134CF0">
        <w:t>”</w:t>
      </w:r>
      <w:r w:rsidRPr="00134CF0">
        <w:t>.</w:t>
      </w:r>
    </w:p>
    <w:p w14:paraId="2E85A27F" w14:textId="77777777" w:rsidR="001E6B56" w:rsidRPr="00134CF0" w:rsidRDefault="00C113D4" w:rsidP="001E6B56">
      <w:pPr>
        <w:pStyle w:val="ItemHead"/>
      </w:pPr>
      <w:r w:rsidRPr="00134CF0">
        <w:t>6</w:t>
      </w:r>
      <w:r w:rsidR="001E6B56" w:rsidRPr="00134CF0">
        <w:t xml:space="preserve">  </w:t>
      </w:r>
      <w:r w:rsidR="00085D14" w:rsidRPr="00134CF0">
        <w:t>Clause 3</w:t>
      </w:r>
      <w:r w:rsidR="001E6B56" w:rsidRPr="00134CF0">
        <w:t xml:space="preserve">.9 </w:t>
      </w:r>
      <w:r w:rsidR="00D97F0E" w:rsidRPr="00134CF0">
        <w:t>of</w:t>
      </w:r>
      <w:r w:rsidR="001E6B56" w:rsidRPr="00134CF0">
        <w:t xml:space="preserve"> </w:t>
      </w:r>
      <w:r w:rsidR="00C96F3A" w:rsidRPr="00134CF0">
        <w:t>Schedule 1</w:t>
      </w:r>
      <w:r w:rsidR="001E6B56" w:rsidRPr="00134CF0">
        <w:t>A (table)</w:t>
      </w:r>
    </w:p>
    <w:p w14:paraId="57B7BEF9" w14:textId="77777777" w:rsidR="001E6B56" w:rsidRPr="00134CF0" w:rsidRDefault="001E6B56" w:rsidP="001E6B56">
      <w:pPr>
        <w:pStyle w:val="Item"/>
      </w:pPr>
      <w:r w:rsidRPr="00134CF0">
        <w:t>Repeal the table, substitute:</w:t>
      </w:r>
    </w:p>
    <w:p w14:paraId="3F263252" w14:textId="77777777" w:rsidR="001E6B56" w:rsidRPr="00134CF0" w:rsidRDefault="001E6B56" w:rsidP="001E6B56">
      <w:pPr>
        <w:pStyle w:val="Tabletext"/>
      </w:pPr>
    </w:p>
    <w:tbl>
      <w:tblPr>
        <w:tblW w:w="0" w:type="auto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49"/>
        <w:gridCol w:w="1276"/>
        <w:gridCol w:w="1559"/>
      </w:tblGrid>
      <w:tr w:rsidR="001E6B56" w:rsidRPr="00134CF0" w14:paraId="4299BF98" w14:textId="77777777" w:rsidTr="00247B60">
        <w:trPr>
          <w:tblHeader/>
        </w:trPr>
        <w:tc>
          <w:tcPr>
            <w:tcW w:w="509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6541CA" w14:textId="77777777" w:rsidR="001E6B56" w:rsidRPr="00134CF0" w:rsidRDefault="001E6B56" w:rsidP="00EF4284">
            <w:pPr>
              <w:pStyle w:val="TableHeading"/>
            </w:pPr>
            <w:r w:rsidRPr="00134CF0">
              <w:t>Pensioner mortality (qx) rates</w:t>
            </w:r>
          </w:p>
        </w:tc>
      </w:tr>
      <w:tr w:rsidR="001E6B56" w:rsidRPr="00134CF0" w14:paraId="2868DD70" w14:textId="77777777" w:rsidTr="00F414C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580290" w14:textId="77777777" w:rsidR="001E6B56" w:rsidRPr="00134CF0" w:rsidRDefault="001E6B56" w:rsidP="00EF4284">
            <w:pPr>
              <w:pStyle w:val="TableHeading"/>
            </w:pPr>
            <w:r w:rsidRPr="00134CF0">
              <w:t>Item</w:t>
            </w:r>
          </w:p>
        </w:tc>
        <w:tc>
          <w:tcPr>
            <w:tcW w:w="15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6707B6" w14:textId="77777777" w:rsidR="001E6B56" w:rsidRPr="00134CF0" w:rsidRDefault="001E6B56" w:rsidP="00426FEE">
            <w:pPr>
              <w:pStyle w:val="TableHeading"/>
              <w:jc w:val="center"/>
            </w:pPr>
            <w:r w:rsidRPr="00134CF0">
              <w:t>Column 1</w:t>
            </w:r>
          </w:p>
          <w:p w14:paraId="219F89D7" w14:textId="77777777" w:rsidR="001E6B56" w:rsidRPr="00134CF0" w:rsidRDefault="001E6B56" w:rsidP="00426FEE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77C3D8" w14:textId="77777777" w:rsidR="001E6B56" w:rsidRPr="00134CF0" w:rsidRDefault="001E6B56" w:rsidP="00F414CE">
            <w:pPr>
              <w:pStyle w:val="TableHeading"/>
              <w:jc w:val="right"/>
            </w:pPr>
            <w:r w:rsidRPr="00134CF0">
              <w:t>Column 2</w:t>
            </w:r>
          </w:p>
          <w:p w14:paraId="0DA0D491" w14:textId="77777777" w:rsidR="001E6B56" w:rsidRPr="00134CF0" w:rsidRDefault="001E6B56" w:rsidP="00F414CE">
            <w:pPr>
              <w:pStyle w:val="TableHeading"/>
              <w:jc w:val="right"/>
            </w:pPr>
            <w:r w:rsidRPr="00134CF0">
              <w:t>qx (male)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0780C3" w14:textId="77777777" w:rsidR="001E6B56" w:rsidRPr="00134CF0" w:rsidRDefault="001E6B56" w:rsidP="00F414CE">
            <w:pPr>
              <w:pStyle w:val="TableHeading"/>
              <w:jc w:val="right"/>
            </w:pPr>
            <w:r w:rsidRPr="00134CF0">
              <w:t>Column 3</w:t>
            </w:r>
          </w:p>
          <w:p w14:paraId="30E3A620" w14:textId="77777777" w:rsidR="001E6B56" w:rsidRPr="00134CF0" w:rsidRDefault="001E6B56" w:rsidP="00F414CE">
            <w:pPr>
              <w:pStyle w:val="TableHeading"/>
              <w:jc w:val="right"/>
            </w:pPr>
            <w:r w:rsidRPr="00134CF0">
              <w:t>qx (female)</w:t>
            </w:r>
          </w:p>
        </w:tc>
      </w:tr>
      <w:tr w:rsidR="001E6B56" w:rsidRPr="00134CF0" w14:paraId="65C1E7AD" w14:textId="77777777" w:rsidTr="00426FE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A03D3EC" w14:textId="77777777" w:rsidR="001E6B56" w:rsidRPr="00134CF0" w:rsidRDefault="001E6B56" w:rsidP="00EF4284">
            <w:pPr>
              <w:pStyle w:val="Tabletext"/>
            </w:pPr>
            <w:r w:rsidRPr="00134CF0">
              <w:t>1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shd w:val="clear" w:color="auto" w:fill="auto"/>
          </w:tcPr>
          <w:p w14:paraId="5FE5F473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DFD950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A09D5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0.00016</w:t>
            </w:r>
          </w:p>
        </w:tc>
      </w:tr>
      <w:tr w:rsidR="001E6B56" w:rsidRPr="00134CF0" w14:paraId="2978E3D7" w14:textId="77777777" w:rsidTr="00426FEE">
        <w:tc>
          <w:tcPr>
            <w:tcW w:w="714" w:type="dxa"/>
            <w:shd w:val="clear" w:color="auto" w:fill="auto"/>
          </w:tcPr>
          <w:p w14:paraId="5AE1D174" w14:textId="77777777" w:rsidR="001E6B56" w:rsidRPr="00134CF0" w:rsidRDefault="001E6B56" w:rsidP="00EF4284">
            <w:pPr>
              <w:pStyle w:val="Tabletext"/>
            </w:pPr>
            <w:r w:rsidRPr="00134CF0">
              <w:t>2</w:t>
            </w:r>
          </w:p>
        </w:tc>
        <w:tc>
          <w:tcPr>
            <w:tcW w:w="1549" w:type="dxa"/>
            <w:shd w:val="clear" w:color="auto" w:fill="auto"/>
          </w:tcPr>
          <w:p w14:paraId="242D47C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761B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C0A0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0.00017</w:t>
            </w:r>
          </w:p>
        </w:tc>
      </w:tr>
      <w:tr w:rsidR="001E6B56" w:rsidRPr="00134CF0" w14:paraId="0A6D4131" w14:textId="77777777" w:rsidTr="00426FEE">
        <w:tc>
          <w:tcPr>
            <w:tcW w:w="714" w:type="dxa"/>
            <w:shd w:val="clear" w:color="auto" w:fill="auto"/>
          </w:tcPr>
          <w:p w14:paraId="1DC98547" w14:textId="77777777" w:rsidR="001E6B56" w:rsidRPr="00134CF0" w:rsidRDefault="001E6B56" w:rsidP="00EF4284">
            <w:pPr>
              <w:pStyle w:val="Tabletext"/>
            </w:pPr>
            <w:r w:rsidRPr="00134CF0">
              <w:t>3</w:t>
            </w:r>
          </w:p>
        </w:tc>
        <w:tc>
          <w:tcPr>
            <w:tcW w:w="1549" w:type="dxa"/>
            <w:shd w:val="clear" w:color="auto" w:fill="auto"/>
          </w:tcPr>
          <w:p w14:paraId="570AA3E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F783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F49E6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0.00019</w:t>
            </w:r>
          </w:p>
        </w:tc>
      </w:tr>
      <w:tr w:rsidR="001E6B56" w:rsidRPr="00134CF0" w14:paraId="0CEB6E49" w14:textId="77777777" w:rsidTr="00426FEE">
        <w:tc>
          <w:tcPr>
            <w:tcW w:w="714" w:type="dxa"/>
            <w:shd w:val="clear" w:color="auto" w:fill="auto"/>
          </w:tcPr>
          <w:p w14:paraId="1C6AA6C8" w14:textId="77777777" w:rsidR="001E6B56" w:rsidRPr="00134CF0" w:rsidRDefault="001E6B56" w:rsidP="00EF4284">
            <w:pPr>
              <w:pStyle w:val="Tabletext"/>
            </w:pPr>
            <w:r w:rsidRPr="00134CF0">
              <w:t>4</w:t>
            </w:r>
          </w:p>
        </w:tc>
        <w:tc>
          <w:tcPr>
            <w:tcW w:w="1549" w:type="dxa"/>
            <w:shd w:val="clear" w:color="auto" w:fill="auto"/>
          </w:tcPr>
          <w:p w14:paraId="428D000D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7D1C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48B8E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0.00020</w:t>
            </w:r>
          </w:p>
        </w:tc>
      </w:tr>
      <w:tr w:rsidR="001E6B56" w:rsidRPr="00134CF0" w14:paraId="5AE16513" w14:textId="77777777" w:rsidTr="00426FEE">
        <w:tc>
          <w:tcPr>
            <w:tcW w:w="714" w:type="dxa"/>
            <w:shd w:val="clear" w:color="auto" w:fill="auto"/>
          </w:tcPr>
          <w:p w14:paraId="3EF2A8AE" w14:textId="77777777" w:rsidR="001E6B56" w:rsidRPr="00134CF0" w:rsidRDefault="001E6B56" w:rsidP="00EF4284">
            <w:pPr>
              <w:pStyle w:val="Tabletext"/>
            </w:pPr>
            <w:r w:rsidRPr="00134CF0">
              <w:t>5</w:t>
            </w:r>
          </w:p>
        </w:tc>
        <w:tc>
          <w:tcPr>
            <w:tcW w:w="1549" w:type="dxa"/>
            <w:shd w:val="clear" w:color="auto" w:fill="auto"/>
          </w:tcPr>
          <w:p w14:paraId="7E3E03F5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ACBA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3DD6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0.00022</w:t>
            </w:r>
          </w:p>
        </w:tc>
      </w:tr>
      <w:tr w:rsidR="001E6B56" w:rsidRPr="00134CF0" w14:paraId="42312A8C" w14:textId="77777777" w:rsidTr="00426FEE">
        <w:tc>
          <w:tcPr>
            <w:tcW w:w="714" w:type="dxa"/>
            <w:shd w:val="clear" w:color="auto" w:fill="auto"/>
          </w:tcPr>
          <w:p w14:paraId="13EF6DA3" w14:textId="77777777" w:rsidR="001E6B56" w:rsidRPr="00134CF0" w:rsidRDefault="001E6B56" w:rsidP="00EF4284">
            <w:pPr>
              <w:pStyle w:val="Tabletext"/>
            </w:pPr>
            <w:r w:rsidRPr="00134CF0">
              <w:t>6</w:t>
            </w:r>
          </w:p>
        </w:tc>
        <w:tc>
          <w:tcPr>
            <w:tcW w:w="1549" w:type="dxa"/>
            <w:shd w:val="clear" w:color="auto" w:fill="auto"/>
          </w:tcPr>
          <w:p w14:paraId="634DBC16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588D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F425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0.00024</w:t>
            </w:r>
          </w:p>
        </w:tc>
      </w:tr>
      <w:tr w:rsidR="001E6B56" w:rsidRPr="00134CF0" w14:paraId="5C4C7233" w14:textId="77777777" w:rsidTr="00426FEE">
        <w:tc>
          <w:tcPr>
            <w:tcW w:w="714" w:type="dxa"/>
            <w:shd w:val="clear" w:color="auto" w:fill="auto"/>
          </w:tcPr>
          <w:p w14:paraId="733A0B02" w14:textId="77777777" w:rsidR="001E6B56" w:rsidRPr="00134CF0" w:rsidRDefault="001E6B56" w:rsidP="00EF4284">
            <w:pPr>
              <w:pStyle w:val="Tabletext"/>
            </w:pPr>
            <w:r w:rsidRPr="00134CF0">
              <w:t>7</w:t>
            </w:r>
          </w:p>
        </w:tc>
        <w:tc>
          <w:tcPr>
            <w:tcW w:w="1549" w:type="dxa"/>
            <w:shd w:val="clear" w:color="auto" w:fill="auto"/>
          </w:tcPr>
          <w:p w14:paraId="14C536E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6FF9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9653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0.00026</w:t>
            </w:r>
          </w:p>
        </w:tc>
      </w:tr>
      <w:tr w:rsidR="001E6B56" w:rsidRPr="00134CF0" w14:paraId="052B4157" w14:textId="77777777" w:rsidTr="00426FEE">
        <w:tc>
          <w:tcPr>
            <w:tcW w:w="714" w:type="dxa"/>
            <w:shd w:val="clear" w:color="auto" w:fill="auto"/>
          </w:tcPr>
          <w:p w14:paraId="7BC60775" w14:textId="77777777" w:rsidR="001E6B56" w:rsidRPr="00134CF0" w:rsidRDefault="001E6B56" w:rsidP="00EF4284">
            <w:pPr>
              <w:pStyle w:val="Tabletext"/>
            </w:pPr>
            <w:r w:rsidRPr="00134CF0">
              <w:t>8</w:t>
            </w:r>
          </w:p>
        </w:tc>
        <w:tc>
          <w:tcPr>
            <w:tcW w:w="1549" w:type="dxa"/>
            <w:shd w:val="clear" w:color="auto" w:fill="auto"/>
          </w:tcPr>
          <w:p w14:paraId="77191A26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D0D6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7198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0.00028</w:t>
            </w:r>
          </w:p>
        </w:tc>
      </w:tr>
      <w:tr w:rsidR="001E6B56" w:rsidRPr="00134CF0" w14:paraId="37B780F3" w14:textId="77777777" w:rsidTr="00426FEE">
        <w:tc>
          <w:tcPr>
            <w:tcW w:w="714" w:type="dxa"/>
            <w:shd w:val="clear" w:color="auto" w:fill="auto"/>
          </w:tcPr>
          <w:p w14:paraId="67764C4B" w14:textId="77777777" w:rsidR="001E6B56" w:rsidRPr="00134CF0" w:rsidRDefault="001E6B56" w:rsidP="00EF4284">
            <w:pPr>
              <w:pStyle w:val="Tabletext"/>
            </w:pPr>
            <w:r w:rsidRPr="00134CF0">
              <w:t>9</w:t>
            </w:r>
          </w:p>
        </w:tc>
        <w:tc>
          <w:tcPr>
            <w:tcW w:w="1549" w:type="dxa"/>
            <w:shd w:val="clear" w:color="auto" w:fill="auto"/>
          </w:tcPr>
          <w:p w14:paraId="4059C11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1AC7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2C0B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0.00031</w:t>
            </w:r>
          </w:p>
        </w:tc>
      </w:tr>
      <w:tr w:rsidR="001E6B56" w:rsidRPr="00134CF0" w14:paraId="4E10DCEB" w14:textId="77777777" w:rsidTr="00426FEE">
        <w:tc>
          <w:tcPr>
            <w:tcW w:w="714" w:type="dxa"/>
            <w:shd w:val="clear" w:color="auto" w:fill="auto"/>
          </w:tcPr>
          <w:p w14:paraId="15DAAFAA" w14:textId="77777777" w:rsidR="001E6B56" w:rsidRPr="00134CF0" w:rsidRDefault="001E6B56" w:rsidP="00EF4284">
            <w:pPr>
              <w:pStyle w:val="Tabletext"/>
            </w:pPr>
            <w:r w:rsidRPr="00134CF0">
              <w:t>10</w:t>
            </w:r>
          </w:p>
        </w:tc>
        <w:tc>
          <w:tcPr>
            <w:tcW w:w="1549" w:type="dxa"/>
            <w:shd w:val="clear" w:color="auto" w:fill="auto"/>
          </w:tcPr>
          <w:p w14:paraId="0191C7E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DC24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02F8D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0.00033</w:t>
            </w:r>
          </w:p>
        </w:tc>
      </w:tr>
      <w:tr w:rsidR="001E6B56" w:rsidRPr="00134CF0" w14:paraId="662B4DE6" w14:textId="77777777" w:rsidTr="00426FEE">
        <w:tc>
          <w:tcPr>
            <w:tcW w:w="714" w:type="dxa"/>
            <w:shd w:val="clear" w:color="auto" w:fill="auto"/>
          </w:tcPr>
          <w:p w14:paraId="77F7FF88" w14:textId="77777777" w:rsidR="001E6B56" w:rsidRPr="00134CF0" w:rsidRDefault="001E6B56" w:rsidP="00EF4284">
            <w:pPr>
              <w:pStyle w:val="Tabletext"/>
            </w:pPr>
            <w:r w:rsidRPr="00134CF0">
              <w:t>11</w:t>
            </w:r>
          </w:p>
        </w:tc>
        <w:tc>
          <w:tcPr>
            <w:tcW w:w="1549" w:type="dxa"/>
            <w:shd w:val="clear" w:color="auto" w:fill="auto"/>
          </w:tcPr>
          <w:p w14:paraId="0012EE4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C0CF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9F3D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0.00037</w:t>
            </w:r>
          </w:p>
        </w:tc>
      </w:tr>
      <w:tr w:rsidR="001E6B56" w:rsidRPr="00134CF0" w14:paraId="7C8C8E7C" w14:textId="77777777" w:rsidTr="00426FEE">
        <w:tc>
          <w:tcPr>
            <w:tcW w:w="714" w:type="dxa"/>
            <w:shd w:val="clear" w:color="auto" w:fill="auto"/>
          </w:tcPr>
          <w:p w14:paraId="26585A81" w14:textId="77777777" w:rsidR="001E6B56" w:rsidRPr="00134CF0" w:rsidRDefault="001E6B56" w:rsidP="00EF4284">
            <w:pPr>
              <w:pStyle w:val="Tabletext"/>
            </w:pPr>
            <w:r w:rsidRPr="00134CF0">
              <w:t>12</w:t>
            </w:r>
          </w:p>
        </w:tc>
        <w:tc>
          <w:tcPr>
            <w:tcW w:w="1549" w:type="dxa"/>
            <w:shd w:val="clear" w:color="auto" w:fill="auto"/>
          </w:tcPr>
          <w:p w14:paraId="2694DA8F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175A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BF32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0.00040</w:t>
            </w:r>
          </w:p>
        </w:tc>
      </w:tr>
      <w:tr w:rsidR="001E6B56" w:rsidRPr="00134CF0" w14:paraId="6F62AA68" w14:textId="77777777" w:rsidTr="00426FEE">
        <w:tc>
          <w:tcPr>
            <w:tcW w:w="714" w:type="dxa"/>
            <w:shd w:val="clear" w:color="auto" w:fill="auto"/>
          </w:tcPr>
          <w:p w14:paraId="37433165" w14:textId="77777777" w:rsidR="001E6B56" w:rsidRPr="00134CF0" w:rsidRDefault="001E6B56" w:rsidP="00EF4284">
            <w:pPr>
              <w:pStyle w:val="Tabletext"/>
            </w:pPr>
            <w:r w:rsidRPr="00134CF0">
              <w:t>13</w:t>
            </w:r>
          </w:p>
        </w:tc>
        <w:tc>
          <w:tcPr>
            <w:tcW w:w="1549" w:type="dxa"/>
            <w:shd w:val="clear" w:color="auto" w:fill="auto"/>
          </w:tcPr>
          <w:p w14:paraId="27CABD65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08D0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F2E5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0.00044</w:t>
            </w:r>
          </w:p>
        </w:tc>
      </w:tr>
      <w:tr w:rsidR="001E6B56" w:rsidRPr="00134CF0" w14:paraId="2F6927EA" w14:textId="77777777" w:rsidTr="00426FEE">
        <w:tc>
          <w:tcPr>
            <w:tcW w:w="714" w:type="dxa"/>
            <w:shd w:val="clear" w:color="auto" w:fill="auto"/>
          </w:tcPr>
          <w:p w14:paraId="373044F4" w14:textId="77777777" w:rsidR="001E6B56" w:rsidRPr="00134CF0" w:rsidRDefault="001E6B56" w:rsidP="00EF4284">
            <w:pPr>
              <w:pStyle w:val="Tabletext"/>
            </w:pPr>
            <w:r w:rsidRPr="00134CF0">
              <w:t>14</w:t>
            </w:r>
          </w:p>
        </w:tc>
        <w:tc>
          <w:tcPr>
            <w:tcW w:w="1549" w:type="dxa"/>
            <w:shd w:val="clear" w:color="auto" w:fill="auto"/>
          </w:tcPr>
          <w:p w14:paraId="51D2112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87D6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EA9E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0.00048</w:t>
            </w:r>
          </w:p>
        </w:tc>
      </w:tr>
      <w:tr w:rsidR="001E6B56" w:rsidRPr="00134CF0" w14:paraId="1B3B9FF1" w14:textId="77777777" w:rsidTr="00426FEE">
        <w:tc>
          <w:tcPr>
            <w:tcW w:w="714" w:type="dxa"/>
            <w:shd w:val="clear" w:color="auto" w:fill="auto"/>
          </w:tcPr>
          <w:p w14:paraId="702D056F" w14:textId="77777777" w:rsidR="001E6B56" w:rsidRPr="00134CF0" w:rsidRDefault="001E6B56" w:rsidP="00EF4284">
            <w:pPr>
              <w:pStyle w:val="Tabletext"/>
            </w:pPr>
            <w:r w:rsidRPr="00134CF0">
              <w:t>15</w:t>
            </w:r>
          </w:p>
        </w:tc>
        <w:tc>
          <w:tcPr>
            <w:tcW w:w="1549" w:type="dxa"/>
            <w:shd w:val="clear" w:color="auto" w:fill="auto"/>
          </w:tcPr>
          <w:p w14:paraId="0A3673D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6534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B574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0.00052</w:t>
            </w:r>
          </w:p>
        </w:tc>
      </w:tr>
      <w:tr w:rsidR="001E6B56" w:rsidRPr="00134CF0" w14:paraId="7B359870" w14:textId="77777777" w:rsidTr="00426FEE">
        <w:tc>
          <w:tcPr>
            <w:tcW w:w="714" w:type="dxa"/>
            <w:shd w:val="clear" w:color="auto" w:fill="auto"/>
          </w:tcPr>
          <w:p w14:paraId="59739E97" w14:textId="77777777" w:rsidR="001E6B56" w:rsidRPr="00134CF0" w:rsidRDefault="001E6B56" w:rsidP="00EF4284">
            <w:pPr>
              <w:pStyle w:val="Tabletext"/>
            </w:pPr>
            <w:r w:rsidRPr="00134CF0">
              <w:t>16</w:t>
            </w:r>
          </w:p>
        </w:tc>
        <w:tc>
          <w:tcPr>
            <w:tcW w:w="1549" w:type="dxa"/>
            <w:shd w:val="clear" w:color="auto" w:fill="auto"/>
          </w:tcPr>
          <w:p w14:paraId="4397EFF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E43F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1C45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0.00057</w:t>
            </w:r>
          </w:p>
        </w:tc>
      </w:tr>
      <w:tr w:rsidR="001E6B56" w:rsidRPr="00134CF0" w14:paraId="2F5AB355" w14:textId="77777777" w:rsidTr="00426FEE">
        <w:tc>
          <w:tcPr>
            <w:tcW w:w="714" w:type="dxa"/>
            <w:shd w:val="clear" w:color="auto" w:fill="auto"/>
          </w:tcPr>
          <w:p w14:paraId="5225FD4B" w14:textId="77777777" w:rsidR="001E6B56" w:rsidRPr="00134CF0" w:rsidRDefault="001E6B56" w:rsidP="00EF4284">
            <w:pPr>
              <w:pStyle w:val="Tabletext"/>
            </w:pPr>
            <w:r w:rsidRPr="00134CF0">
              <w:t>17</w:t>
            </w:r>
          </w:p>
        </w:tc>
        <w:tc>
          <w:tcPr>
            <w:tcW w:w="1549" w:type="dxa"/>
            <w:shd w:val="clear" w:color="auto" w:fill="auto"/>
          </w:tcPr>
          <w:p w14:paraId="167302C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E990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0C03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0.00062</w:t>
            </w:r>
          </w:p>
        </w:tc>
      </w:tr>
      <w:tr w:rsidR="001E6B56" w:rsidRPr="00134CF0" w14:paraId="332992DB" w14:textId="77777777" w:rsidTr="00426FEE">
        <w:tc>
          <w:tcPr>
            <w:tcW w:w="714" w:type="dxa"/>
            <w:shd w:val="clear" w:color="auto" w:fill="auto"/>
          </w:tcPr>
          <w:p w14:paraId="459E83F1" w14:textId="77777777" w:rsidR="001E6B56" w:rsidRPr="00134CF0" w:rsidRDefault="001E6B56" w:rsidP="00EF4284">
            <w:pPr>
              <w:pStyle w:val="Tabletext"/>
            </w:pPr>
            <w:r w:rsidRPr="00134CF0">
              <w:t>18</w:t>
            </w:r>
          </w:p>
        </w:tc>
        <w:tc>
          <w:tcPr>
            <w:tcW w:w="1549" w:type="dxa"/>
            <w:shd w:val="clear" w:color="auto" w:fill="auto"/>
          </w:tcPr>
          <w:p w14:paraId="6D389A00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8EFF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A4A8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0.00067</w:t>
            </w:r>
          </w:p>
        </w:tc>
      </w:tr>
      <w:tr w:rsidR="001E6B56" w:rsidRPr="00134CF0" w14:paraId="2ED89423" w14:textId="77777777" w:rsidTr="00426FEE">
        <w:tc>
          <w:tcPr>
            <w:tcW w:w="714" w:type="dxa"/>
            <w:shd w:val="clear" w:color="auto" w:fill="auto"/>
          </w:tcPr>
          <w:p w14:paraId="5CF39A6C" w14:textId="77777777" w:rsidR="001E6B56" w:rsidRPr="00134CF0" w:rsidRDefault="001E6B56" w:rsidP="00EF4284">
            <w:pPr>
              <w:pStyle w:val="Tabletext"/>
            </w:pPr>
            <w:r w:rsidRPr="00134CF0">
              <w:t>19</w:t>
            </w:r>
          </w:p>
        </w:tc>
        <w:tc>
          <w:tcPr>
            <w:tcW w:w="1549" w:type="dxa"/>
            <w:shd w:val="clear" w:color="auto" w:fill="auto"/>
          </w:tcPr>
          <w:p w14:paraId="08780A4A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F5F5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8AD9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0.00073</w:t>
            </w:r>
          </w:p>
        </w:tc>
      </w:tr>
      <w:tr w:rsidR="001E6B56" w:rsidRPr="00134CF0" w14:paraId="5E3E732E" w14:textId="77777777" w:rsidTr="00426FEE">
        <w:tc>
          <w:tcPr>
            <w:tcW w:w="714" w:type="dxa"/>
            <w:shd w:val="clear" w:color="auto" w:fill="auto"/>
          </w:tcPr>
          <w:p w14:paraId="45B7C480" w14:textId="77777777" w:rsidR="001E6B56" w:rsidRPr="00134CF0" w:rsidRDefault="001E6B56" w:rsidP="00EF4284">
            <w:pPr>
              <w:pStyle w:val="Tabletext"/>
            </w:pPr>
            <w:r w:rsidRPr="00134CF0">
              <w:t>20</w:t>
            </w:r>
          </w:p>
        </w:tc>
        <w:tc>
          <w:tcPr>
            <w:tcW w:w="1549" w:type="dxa"/>
            <w:shd w:val="clear" w:color="auto" w:fill="auto"/>
          </w:tcPr>
          <w:p w14:paraId="35FA4EC6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CC77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CE94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0.00079</w:t>
            </w:r>
          </w:p>
        </w:tc>
      </w:tr>
      <w:tr w:rsidR="001E6B56" w:rsidRPr="00134CF0" w14:paraId="6FD7F167" w14:textId="77777777" w:rsidTr="00426FEE">
        <w:tc>
          <w:tcPr>
            <w:tcW w:w="714" w:type="dxa"/>
            <w:shd w:val="clear" w:color="auto" w:fill="auto"/>
          </w:tcPr>
          <w:p w14:paraId="1CD58780" w14:textId="77777777" w:rsidR="001E6B56" w:rsidRPr="00134CF0" w:rsidRDefault="001E6B56" w:rsidP="00EF4284">
            <w:pPr>
              <w:pStyle w:val="Tabletext"/>
            </w:pPr>
            <w:r w:rsidRPr="00134CF0">
              <w:t>21</w:t>
            </w:r>
          </w:p>
        </w:tc>
        <w:tc>
          <w:tcPr>
            <w:tcW w:w="1549" w:type="dxa"/>
            <w:shd w:val="clear" w:color="auto" w:fill="auto"/>
          </w:tcPr>
          <w:p w14:paraId="46BC0088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D42B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624A0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0.00081</w:t>
            </w:r>
          </w:p>
        </w:tc>
      </w:tr>
      <w:tr w:rsidR="001E6B56" w:rsidRPr="00134CF0" w14:paraId="79CE06E2" w14:textId="77777777" w:rsidTr="00426FEE">
        <w:tc>
          <w:tcPr>
            <w:tcW w:w="714" w:type="dxa"/>
            <w:shd w:val="clear" w:color="auto" w:fill="auto"/>
          </w:tcPr>
          <w:p w14:paraId="4A54F01B" w14:textId="77777777" w:rsidR="001E6B56" w:rsidRPr="00134CF0" w:rsidRDefault="001E6B56" w:rsidP="00EF4284">
            <w:pPr>
              <w:pStyle w:val="Tabletext"/>
            </w:pPr>
            <w:r w:rsidRPr="00134CF0">
              <w:t>22</w:t>
            </w:r>
          </w:p>
        </w:tc>
        <w:tc>
          <w:tcPr>
            <w:tcW w:w="1549" w:type="dxa"/>
            <w:shd w:val="clear" w:color="auto" w:fill="auto"/>
          </w:tcPr>
          <w:p w14:paraId="378C2708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234F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710D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0.00086</w:t>
            </w:r>
          </w:p>
        </w:tc>
      </w:tr>
      <w:tr w:rsidR="001E6B56" w:rsidRPr="00134CF0" w14:paraId="35E16D2A" w14:textId="77777777" w:rsidTr="00426FEE">
        <w:tc>
          <w:tcPr>
            <w:tcW w:w="714" w:type="dxa"/>
            <w:shd w:val="clear" w:color="auto" w:fill="auto"/>
          </w:tcPr>
          <w:p w14:paraId="6FEAF2D3" w14:textId="77777777" w:rsidR="001E6B56" w:rsidRPr="00134CF0" w:rsidRDefault="001E6B56" w:rsidP="00EF4284">
            <w:pPr>
              <w:pStyle w:val="Tabletext"/>
            </w:pPr>
            <w:r w:rsidRPr="00134CF0">
              <w:t>23</w:t>
            </w:r>
          </w:p>
        </w:tc>
        <w:tc>
          <w:tcPr>
            <w:tcW w:w="1549" w:type="dxa"/>
            <w:shd w:val="clear" w:color="auto" w:fill="auto"/>
          </w:tcPr>
          <w:p w14:paraId="23728A0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7093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A2DF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0.00090</w:t>
            </w:r>
          </w:p>
        </w:tc>
      </w:tr>
      <w:tr w:rsidR="001E6B56" w:rsidRPr="00134CF0" w14:paraId="4FF51CAE" w14:textId="77777777" w:rsidTr="00426FEE">
        <w:tc>
          <w:tcPr>
            <w:tcW w:w="714" w:type="dxa"/>
            <w:shd w:val="clear" w:color="auto" w:fill="auto"/>
          </w:tcPr>
          <w:p w14:paraId="2425AC58" w14:textId="77777777" w:rsidR="001E6B56" w:rsidRPr="00134CF0" w:rsidRDefault="001E6B56" w:rsidP="00EF4284">
            <w:pPr>
              <w:pStyle w:val="Tabletext"/>
            </w:pPr>
            <w:r w:rsidRPr="00134CF0">
              <w:t>24</w:t>
            </w:r>
          </w:p>
        </w:tc>
        <w:tc>
          <w:tcPr>
            <w:tcW w:w="1549" w:type="dxa"/>
            <w:shd w:val="clear" w:color="auto" w:fill="auto"/>
          </w:tcPr>
          <w:p w14:paraId="545160D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E07A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783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0.00101</w:t>
            </w:r>
          </w:p>
        </w:tc>
      </w:tr>
      <w:tr w:rsidR="001E6B56" w:rsidRPr="00134CF0" w14:paraId="69470947" w14:textId="77777777" w:rsidTr="00426FEE">
        <w:tc>
          <w:tcPr>
            <w:tcW w:w="714" w:type="dxa"/>
            <w:shd w:val="clear" w:color="auto" w:fill="auto"/>
          </w:tcPr>
          <w:p w14:paraId="095A14C8" w14:textId="77777777" w:rsidR="001E6B56" w:rsidRPr="00134CF0" w:rsidRDefault="001E6B56" w:rsidP="00EF4284">
            <w:pPr>
              <w:pStyle w:val="Tabletext"/>
            </w:pPr>
            <w:r w:rsidRPr="00134CF0">
              <w:t>25</w:t>
            </w:r>
          </w:p>
        </w:tc>
        <w:tc>
          <w:tcPr>
            <w:tcW w:w="1549" w:type="dxa"/>
            <w:shd w:val="clear" w:color="auto" w:fill="auto"/>
          </w:tcPr>
          <w:p w14:paraId="5FDC00C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63D5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B054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0.00113</w:t>
            </w:r>
          </w:p>
        </w:tc>
      </w:tr>
      <w:tr w:rsidR="001E6B56" w:rsidRPr="00134CF0" w14:paraId="119C6FAB" w14:textId="77777777" w:rsidTr="00426FEE">
        <w:tc>
          <w:tcPr>
            <w:tcW w:w="714" w:type="dxa"/>
            <w:shd w:val="clear" w:color="auto" w:fill="auto"/>
          </w:tcPr>
          <w:p w14:paraId="653BCC85" w14:textId="77777777" w:rsidR="001E6B56" w:rsidRPr="00134CF0" w:rsidRDefault="001E6B56" w:rsidP="00EF4284">
            <w:pPr>
              <w:pStyle w:val="Tabletext"/>
            </w:pPr>
            <w:r w:rsidRPr="00134CF0">
              <w:t>26</w:t>
            </w:r>
          </w:p>
        </w:tc>
        <w:tc>
          <w:tcPr>
            <w:tcW w:w="1549" w:type="dxa"/>
            <w:shd w:val="clear" w:color="auto" w:fill="auto"/>
          </w:tcPr>
          <w:p w14:paraId="4222017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E91A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5F38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0.00125</w:t>
            </w:r>
          </w:p>
        </w:tc>
      </w:tr>
      <w:tr w:rsidR="001E6B56" w:rsidRPr="00134CF0" w14:paraId="7DA7FC87" w14:textId="77777777" w:rsidTr="00426FEE">
        <w:tc>
          <w:tcPr>
            <w:tcW w:w="714" w:type="dxa"/>
            <w:shd w:val="clear" w:color="auto" w:fill="auto"/>
          </w:tcPr>
          <w:p w14:paraId="39749CA2" w14:textId="77777777" w:rsidR="001E6B56" w:rsidRPr="00134CF0" w:rsidRDefault="001E6B56" w:rsidP="00EF4284">
            <w:pPr>
              <w:pStyle w:val="Tabletext"/>
            </w:pPr>
            <w:r w:rsidRPr="00134CF0">
              <w:t>27</w:t>
            </w:r>
          </w:p>
        </w:tc>
        <w:tc>
          <w:tcPr>
            <w:tcW w:w="1549" w:type="dxa"/>
            <w:shd w:val="clear" w:color="auto" w:fill="auto"/>
          </w:tcPr>
          <w:p w14:paraId="49A9BE7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C4C8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1599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0.00133</w:t>
            </w:r>
          </w:p>
        </w:tc>
      </w:tr>
      <w:tr w:rsidR="001E6B56" w:rsidRPr="00134CF0" w14:paraId="0D6C9A5C" w14:textId="77777777" w:rsidTr="00426FEE">
        <w:tc>
          <w:tcPr>
            <w:tcW w:w="714" w:type="dxa"/>
            <w:shd w:val="clear" w:color="auto" w:fill="auto"/>
          </w:tcPr>
          <w:p w14:paraId="308FCA18" w14:textId="77777777" w:rsidR="001E6B56" w:rsidRPr="00134CF0" w:rsidRDefault="001E6B56" w:rsidP="00EF4284">
            <w:pPr>
              <w:pStyle w:val="Tabletext"/>
            </w:pPr>
            <w:r w:rsidRPr="00134CF0">
              <w:t>28</w:t>
            </w:r>
          </w:p>
        </w:tc>
        <w:tc>
          <w:tcPr>
            <w:tcW w:w="1549" w:type="dxa"/>
            <w:shd w:val="clear" w:color="auto" w:fill="auto"/>
          </w:tcPr>
          <w:p w14:paraId="1748C8B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9180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CA96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0.00141</w:t>
            </w:r>
          </w:p>
        </w:tc>
      </w:tr>
      <w:tr w:rsidR="001E6B56" w:rsidRPr="00134CF0" w14:paraId="339251CE" w14:textId="77777777" w:rsidTr="00426FEE">
        <w:tc>
          <w:tcPr>
            <w:tcW w:w="714" w:type="dxa"/>
            <w:shd w:val="clear" w:color="auto" w:fill="auto"/>
          </w:tcPr>
          <w:p w14:paraId="1A6A7425" w14:textId="77777777" w:rsidR="001E6B56" w:rsidRPr="00134CF0" w:rsidRDefault="001E6B56" w:rsidP="00EF4284">
            <w:pPr>
              <w:pStyle w:val="Tabletext"/>
            </w:pPr>
            <w:r w:rsidRPr="00134CF0">
              <w:t>29</w:t>
            </w:r>
          </w:p>
        </w:tc>
        <w:tc>
          <w:tcPr>
            <w:tcW w:w="1549" w:type="dxa"/>
            <w:shd w:val="clear" w:color="auto" w:fill="auto"/>
          </w:tcPr>
          <w:p w14:paraId="00F6762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061C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5044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0.00148</w:t>
            </w:r>
          </w:p>
        </w:tc>
      </w:tr>
      <w:tr w:rsidR="001E6B56" w:rsidRPr="00134CF0" w14:paraId="23BAA277" w14:textId="77777777" w:rsidTr="00426FEE">
        <w:tc>
          <w:tcPr>
            <w:tcW w:w="714" w:type="dxa"/>
            <w:shd w:val="clear" w:color="auto" w:fill="auto"/>
          </w:tcPr>
          <w:p w14:paraId="0F590F89" w14:textId="77777777" w:rsidR="001E6B56" w:rsidRPr="00134CF0" w:rsidRDefault="001E6B56" w:rsidP="00EF4284">
            <w:pPr>
              <w:pStyle w:val="Tabletext"/>
            </w:pPr>
            <w:r w:rsidRPr="00134CF0">
              <w:t>30</w:t>
            </w:r>
          </w:p>
        </w:tc>
        <w:tc>
          <w:tcPr>
            <w:tcW w:w="1549" w:type="dxa"/>
            <w:shd w:val="clear" w:color="auto" w:fill="auto"/>
          </w:tcPr>
          <w:p w14:paraId="66B5C5B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FA00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A8C0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0.00153</w:t>
            </w:r>
          </w:p>
        </w:tc>
      </w:tr>
      <w:tr w:rsidR="001E6B56" w:rsidRPr="00134CF0" w14:paraId="1E728B97" w14:textId="77777777" w:rsidTr="00426FEE">
        <w:tc>
          <w:tcPr>
            <w:tcW w:w="714" w:type="dxa"/>
            <w:shd w:val="clear" w:color="auto" w:fill="auto"/>
          </w:tcPr>
          <w:p w14:paraId="49F7725E" w14:textId="77777777" w:rsidR="001E6B56" w:rsidRPr="00134CF0" w:rsidRDefault="001E6B56" w:rsidP="00EF4284">
            <w:pPr>
              <w:pStyle w:val="Tabletext"/>
            </w:pPr>
            <w:r w:rsidRPr="00134CF0">
              <w:t>31</w:t>
            </w:r>
          </w:p>
        </w:tc>
        <w:tc>
          <w:tcPr>
            <w:tcW w:w="1549" w:type="dxa"/>
            <w:shd w:val="clear" w:color="auto" w:fill="auto"/>
          </w:tcPr>
          <w:p w14:paraId="34EB5066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8212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C0B8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0.00164</w:t>
            </w:r>
          </w:p>
        </w:tc>
      </w:tr>
      <w:tr w:rsidR="001E6B56" w:rsidRPr="00134CF0" w14:paraId="077DEE6B" w14:textId="77777777" w:rsidTr="00426FEE">
        <w:tc>
          <w:tcPr>
            <w:tcW w:w="714" w:type="dxa"/>
            <w:shd w:val="clear" w:color="auto" w:fill="auto"/>
          </w:tcPr>
          <w:p w14:paraId="2B61E205" w14:textId="77777777" w:rsidR="001E6B56" w:rsidRPr="00134CF0" w:rsidRDefault="001E6B56" w:rsidP="00EF4284">
            <w:pPr>
              <w:pStyle w:val="Tabletext"/>
            </w:pPr>
            <w:r w:rsidRPr="00134CF0">
              <w:t>32</w:t>
            </w:r>
          </w:p>
        </w:tc>
        <w:tc>
          <w:tcPr>
            <w:tcW w:w="1549" w:type="dxa"/>
            <w:shd w:val="clear" w:color="auto" w:fill="auto"/>
          </w:tcPr>
          <w:p w14:paraId="65289C33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D4E2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AD2C0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0.00176</w:t>
            </w:r>
          </w:p>
        </w:tc>
      </w:tr>
      <w:tr w:rsidR="001E6B56" w:rsidRPr="00134CF0" w14:paraId="680C8A5C" w14:textId="77777777" w:rsidTr="00426FEE">
        <w:tc>
          <w:tcPr>
            <w:tcW w:w="714" w:type="dxa"/>
            <w:shd w:val="clear" w:color="auto" w:fill="auto"/>
          </w:tcPr>
          <w:p w14:paraId="0530405D" w14:textId="77777777" w:rsidR="001E6B56" w:rsidRPr="00134CF0" w:rsidRDefault="001E6B56" w:rsidP="00EF4284">
            <w:pPr>
              <w:pStyle w:val="Tabletext"/>
            </w:pPr>
            <w:r w:rsidRPr="00134CF0">
              <w:t>33</w:t>
            </w:r>
          </w:p>
        </w:tc>
        <w:tc>
          <w:tcPr>
            <w:tcW w:w="1549" w:type="dxa"/>
            <w:shd w:val="clear" w:color="auto" w:fill="auto"/>
          </w:tcPr>
          <w:p w14:paraId="2721D9D2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E23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D554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0.00190</w:t>
            </w:r>
          </w:p>
        </w:tc>
      </w:tr>
      <w:tr w:rsidR="001E6B56" w:rsidRPr="00134CF0" w14:paraId="43AD1F09" w14:textId="77777777" w:rsidTr="00426FEE">
        <w:tc>
          <w:tcPr>
            <w:tcW w:w="714" w:type="dxa"/>
            <w:shd w:val="clear" w:color="auto" w:fill="auto"/>
          </w:tcPr>
          <w:p w14:paraId="4424CCE7" w14:textId="77777777" w:rsidR="001E6B56" w:rsidRPr="00134CF0" w:rsidRDefault="001E6B56" w:rsidP="00EF4284">
            <w:pPr>
              <w:pStyle w:val="Tabletext"/>
            </w:pPr>
            <w:r w:rsidRPr="00134CF0">
              <w:t>34</w:t>
            </w:r>
          </w:p>
        </w:tc>
        <w:tc>
          <w:tcPr>
            <w:tcW w:w="1549" w:type="dxa"/>
            <w:shd w:val="clear" w:color="auto" w:fill="auto"/>
          </w:tcPr>
          <w:p w14:paraId="52D59FD2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1165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A2629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0.00215</w:t>
            </w:r>
          </w:p>
        </w:tc>
      </w:tr>
      <w:tr w:rsidR="001E6B56" w:rsidRPr="00134CF0" w14:paraId="7087BE66" w14:textId="77777777" w:rsidTr="00426FEE">
        <w:tc>
          <w:tcPr>
            <w:tcW w:w="714" w:type="dxa"/>
            <w:shd w:val="clear" w:color="auto" w:fill="auto"/>
          </w:tcPr>
          <w:p w14:paraId="638C7090" w14:textId="77777777" w:rsidR="001E6B56" w:rsidRPr="00134CF0" w:rsidRDefault="001E6B56" w:rsidP="00EF4284">
            <w:pPr>
              <w:pStyle w:val="Tabletext"/>
            </w:pPr>
            <w:r w:rsidRPr="00134CF0">
              <w:t>35</w:t>
            </w:r>
          </w:p>
        </w:tc>
        <w:tc>
          <w:tcPr>
            <w:tcW w:w="1549" w:type="dxa"/>
            <w:shd w:val="clear" w:color="auto" w:fill="auto"/>
          </w:tcPr>
          <w:p w14:paraId="1DC72B6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958F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63B2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0.00246</w:t>
            </w:r>
          </w:p>
        </w:tc>
      </w:tr>
      <w:tr w:rsidR="001E6B56" w:rsidRPr="00134CF0" w14:paraId="4DEA6B20" w14:textId="77777777" w:rsidTr="00426FEE">
        <w:tc>
          <w:tcPr>
            <w:tcW w:w="714" w:type="dxa"/>
            <w:shd w:val="clear" w:color="auto" w:fill="auto"/>
          </w:tcPr>
          <w:p w14:paraId="22A04598" w14:textId="77777777" w:rsidR="001E6B56" w:rsidRPr="00134CF0" w:rsidRDefault="001E6B56" w:rsidP="00EF4284">
            <w:pPr>
              <w:pStyle w:val="Tabletext"/>
            </w:pPr>
            <w:r w:rsidRPr="00134CF0">
              <w:lastRenderedPageBreak/>
              <w:t>36</w:t>
            </w:r>
          </w:p>
        </w:tc>
        <w:tc>
          <w:tcPr>
            <w:tcW w:w="1549" w:type="dxa"/>
            <w:shd w:val="clear" w:color="auto" w:fill="auto"/>
          </w:tcPr>
          <w:p w14:paraId="799A997A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EE58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0.00425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8C1A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0.00292</w:t>
            </w:r>
          </w:p>
        </w:tc>
      </w:tr>
      <w:tr w:rsidR="001E6B56" w:rsidRPr="00134CF0" w14:paraId="65EB7A7A" w14:textId="77777777" w:rsidTr="00426FEE">
        <w:tc>
          <w:tcPr>
            <w:tcW w:w="714" w:type="dxa"/>
            <w:shd w:val="clear" w:color="auto" w:fill="auto"/>
          </w:tcPr>
          <w:p w14:paraId="351C98B2" w14:textId="77777777" w:rsidR="001E6B56" w:rsidRPr="00134CF0" w:rsidRDefault="001E6B56" w:rsidP="00EF4284">
            <w:pPr>
              <w:pStyle w:val="Tabletext"/>
            </w:pPr>
            <w:r w:rsidRPr="00134CF0">
              <w:t>37</w:t>
            </w:r>
          </w:p>
        </w:tc>
        <w:tc>
          <w:tcPr>
            <w:tcW w:w="1549" w:type="dxa"/>
            <w:shd w:val="clear" w:color="auto" w:fill="auto"/>
          </w:tcPr>
          <w:p w14:paraId="251AB7F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117C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0.00491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A60A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0.00334</w:t>
            </w:r>
          </w:p>
        </w:tc>
      </w:tr>
      <w:tr w:rsidR="001E6B56" w:rsidRPr="00134CF0" w14:paraId="66E612F5" w14:textId="77777777" w:rsidTr="00426FEE">
        <w:tc>
          <w:tcPr>
            <w:tcW w:w="714" w:type="dxa"/>
            <w:shd w:val="clear" w:color="auto" w:fill="auto"/>
          </w:tcPr>
          <w:p w14:paraId="15C68BEA" w14:textId="77777777" w:rsidR="001E6B56" w:rsidRPr="00134CF0" w:rsidRDefault="001E6B56" w:rsidP="00EF4284">
            <w:pPr>
              <w:pStyle w:val="Tabletext"/>
            </w:pPr>
            <w:r w:rsidRPr="00134CF0">
              <w:t>38</w:t>
            </w:r>
          </w:p>
        </w:tc>
        <w:tc>
          <w:tcPr>
            <w:tcW w:w="1549" w:type="dxa"/>
            <w:shd w:val="clear" w:color="auto" w:fill="auto"/>
          </w:tcPr>
          <w:p w14:paraId="7CF2519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0256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0.00561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17D8D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0.00378</w:t>
            </w:r>
          </w:p>
        </w:tc>
      </w:tr>
      <w:tr w:rsidR="001E6B56" w:rsidRPr="00134CF0" w14:paraId="083C5A9F" w14:textId="77777777" w:rsidTr="00426FEE">
        <w:tc>
          <w:tcPr>
            <w:tcW w:w="714" w:type="dxa"/>
            <w:shd w:val="clear" w:color="auto" w:fill="auto"/>
          </w:tcPr>
          <w:p w14:paraId="237227F5" w14:textId="77777777" w:rsidR="001E6B56" w:rsidRPr="00134CF0" w:rsidRDefault="001E6B56" w:rsidP="00EF4284">
            <w:pPr>
              <w:pStyle w:val="Tabletext"/>
            </w:pPr>
            <w:r w:rsidRPr="00134CF0">
              <w:t>39</w:t>
            </w:r>
          </w:p>
        </w:tc>
        <w:tc>
          <w:tcPr>
            <w:tcW w:w="1549" w:type="dxa"/>
            <w:shd w:val="clear" w:color="auto" w:fill="auto"/>
          </w:tcPr>
          <w:p w14:paraId="6D73AB82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77B5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0.00633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355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0.00425</w:t>
            </w:r>
          </w:p>
        </w:tc>
      </w:tr>
      <w:tr w:rsidR="001E6B56" w:rsidRPr="00134CF0" w14:paraId="214E7758" w14:textId="77777777" w:rsidTr="00426FEE">
        <w:tc>
          <w:tcPr>
            <w:tcW w:w="714" w:type="dxa"/>
            <w:shd w:val="clear" w:color="auto" w:fill="auto"/>
          </w:tcPr>
          <w:p w14:paraId="0E6D2B9B" w14:textId="77777777" w:rsidR="001E6B56" w:rsidRPr="00134CF0" w:rsidRDefault="001E6B56" w:rsidP="00EF4284">
            <w:pPr>
              <w:pStyle w:val="Tabletext"/>
            </w:pPr>
            <w:r w:rsidRPr="00134CF0">
              <w:t>40</w:t>
            </w:r>
          </w:p>
        </w:tc>
        <w:tc>
          <w:tcPr>
            <w:tcW w:w="1549" w:type="dxa"/>
            <w:shd w:val="clear" w:color="auto" w:fill="auto"/>
          </w:tcPr>
          <w:p w14:paraId="0D2E825F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C3EA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0.00706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CFCE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0.00488</w:t>
            </w:r>
          </w:p>
        </w:tc>
      </w:tr>
      <w:tr w:rsidR="001E6B56" w:rsidRPr="00134CF0" w14:paraId="0D8B20F1" w14:textId="77777777" w:rsidTr="00426FEE">
        <w:tc>
          <w:tcPr>
            <w:tcW w:w="714" w:type="dxa"/>
            <w:shd w:val="clear" w:color="auto" w:fill="auto"/>
          </w:tcPr>
          <w:p w14:paraId="5A452D81" w14:textId="77777777" w:rsidR="001E6B56" w:rsidRPr="00134CF0" w:rsidRDefault="001E6B56" w:rsidP="00EF4284">
            <w:pPr>
              <w:pStyle w:val="Tabletext"/>
            </w:pPr>
            <w:r w:rsidRPr="00134CF0">
              <w:t>41</w:t>
            </w:r>
          </w:p>
        </w:tc>
        <w:tc>
          <w:tcPr>
            <w:tcW w:w="1549" w:type="dxa"/>
            <w:shd w:val="clear" w:color="auto" w:fill="auto"/>
          </w:tcPr>
          <w:p w14:paraId="2AEF9318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AC26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0.00801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0DC9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0.00565</w:t>
            </w:r>
          </w:p>
        </w:tc>
      </w:tr>
      <w:tr w:rsidR="001E6B56" w:rsidRPr="00134CF0" w14:paraId="79EE4DC4" w14:textId="77777777" w:rsidTr="00426FEE">
        <w:tc>
          <w:tcPr>
            <w:tcW w:w="714" w:type="dxa"/>
            <w:shd w:val="clear" w:color="auto" w:fill="auto"/>
          </w:tcPr>
          <w:p w14:paraId="2D7B64BD" w14:textId="77777777" w:rsidR="001E6B56" w:rsidRPr="00134CF0" w:rsidRDefault="001E6B56" w:rsidP="00EF4284">
            <w:pPr>
              <w:pStyle w:val="Tabletext"/>
            </w:pPr>
            <w:r w:rsidRPr="00134CF0">
              <w:t>42</w:t>
            </w:r>
          </w:p>
        </w:tc>
        <w:tc>
          <w:tcPr>
            <w:tcW w:w="1549" w:type="dxa"/>
            <w:shd w:val="clear" w:color="auto" w:fill="auto"/>
          </w:tcPr>
          <w:p w14:paraId="71D4806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FA0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58790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0.00653</w:t>
            </w:r>
          </w:p>
        </w:tc>
      </w:tr>
      <w:tr w:rsidR="001E6B56" w:rsidRPr="00134CF0" w14:paraId="0A308D56" w14:textId="77777777" w:rsidTr="00426FEE">
        <w:tc>
          <w:tcPr>
            <w:tcW w:w="714" w:type="dxa"/>
            <w:shd w:val="clear" w:color="auto" w:fill="auto"/>
          </w:tcPr>
          <w:p w14:paraId="462A5819" w14:textId="77777777" w:rsidR="001E6B56" w:rsidRPr="00134CF0" w:rsidRDefault="001E6B56" w:rsidP="00EF4284">
            <w:pPr>
              <w:pStyle w:val="Tabletext"/>
            </w:pPr>
            <w:r w:rsidRPr="00134CF0">
              <w:t>43</w:t>
            </w:r>
          </w:p>
        </w:tc>
        <w:tc>
          <w:tcPr>
            <w:tcW w:w="1549" w:type="dxa"/>
            <w:shd w:val="clear" w:color="auto" w:fill="auto"/>
          </w:tcPr>
          <w:p w14:paraId="61828408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015A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1B6CF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0.00750</w:t>
            </w:r>
          </w:p>
        </w:tc>
      </w:tr>
      <w:tr w:rsidR="001E6B56" w:rsidRPr="00134CF0" w14:paraId="0310A3A0" w14:textId="77777777" w:rsidTr="00426FEE">
        <w:tc>
          <w:tcPr>
            <w:tcW w:w="714" w:type="dxa"/>
            <w:shd w:val="clear" w:color="auto" w:fill="auto"/>
          </w:tcPr>
          <w:p w14:paraId="03AADFE8" w14:textId="77777777" w:rsidR="001E6B56" w:rsidRPr="00134CF0" w:rsidRDefault="001E6B56" w:rsidP="00EF4284">
            <w:pPr>
              <w:pStyle w:val="Tabletext"/>
            </w:pPr>
            <w:r w:rsidRPr="00134CF0">
              <w:t>44</w:t>
            </w:r>
          </w:p>
        </w:tc>
        <w:tc>
          <w:tcPr>
            <w:tcW w:w="1549" w:type="dxa"/>
            <w:shd w:val="clear" w:color="auto" w:fill="auto"/>
          </w:tcPr>
          <w:p w14:paraId="4D5C7B95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DD4B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6B5F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0.00852</w:t>
            </w:r>
          </w:p>
        </w:tc>
      </w:tr>
      <w:tr w:rsidR="001E6B56" w:rsidRPr="00134CF0" w14:paraId="19495C17" w14:textId="77777777" w:rsidTr="00426FEE">
        <w:tc>
          <w:tcPr>
            <w:tcW w:w="714" w:type="dxa"/>
            <w:shd w:val="clear" w:color="auto" w:fill="auto"/>
          </w:tcPr>
          <w:p w14:paraId="3061D637" w14:textId="77777777" w:rsidR="001E6B56" w:rsidRPr="00134CF0" w:rsidRDefault="001E6B56" w:rsidP="00EF4284">
            <w:pPr>
              <w:pStyle w:val="Tabletext"/>
            </w:pPr>
            <w:r w:rsidRPr="00134CF0">
              <w:t>45</w:t>
            </w:r>
          </w:p>
        </w:tc>
        <w:tc>
          <w:tcPr>
            <w:tcW w:w="1549" w:type="dxa"/>
            <w:shd w:val="clear" w:color="auto" w:fill="auto"/>
          </w:tcPr>
          <w:p w14:paraId="3463D273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D67C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D353F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0.00953</w:t>
            </w:r>
          </w:p>
        </w:tc>
      </w:tr>
      <w:tr w:rsidR="001E6B56" w:rsidRPr="00134CF0" w14:paraId="6BC16234" w14:textId="77777777" w:rsidTr="00426FEE">
        <w:tc>
          <w:tcPr>
            <w:tcW w:w="714" w:type="dxa"/>
            <w:shd w:val="clear" w:color="auto" w:fill="auto"/>
          </w:tcPr>
          <w:p w14:paraId="2E5E8FBC" w14:textId="77777777" w:rsidR="001E6B56" w:rsidRPr="00134CF0" w:rsidRDefault="001E6B56" w:rsidP="00EF4284">
            <w:pPr>
              <w:pStyle w:val="Tabletext"/>
            </w:pPr>
            <w:r w:rsidRPr="00134CF0">
              <w:t>46</w:t>
            </w:r>
          </w:p>
        </w:tc>
        <w:tc>
          <w:tcPr>
            <w:tcW w:w="1549" w:type="dxa"/>
            <w:shd w:val="clear" w:color="auto" w:fill="auto"/>
          </w:tcPr>
          <w:p w14:paraId="7CBCEDA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6B92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0.01586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AB72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0.01085</w:t>
            </w:r>
          </w:p>
        </w:tc>
      </w:tr>
      <w:tr w:rsidR="001E6B56" w:rsidRPr="00134CF0" w14:paraId="596D38E4" w14:textId="77777777" w:rsidTr="00426FEE">
        <w:tc>
          <w:tcPr>
            <w:tcW w:w="714" w:type="dxa"/>
            <w:shd w:val="clear" w:color="auto" w:fill="auto"/>
          </w:tcPr>
          <w:p w14:paraId="74E15BA6" w14:textId="77777777" w:rsidR="001E6B56" w:rsidRPr="00134CF0" w:rsidRDefault="001E6B56" w:rsidP="00EF4284">
            <w:pPr>
              <w:pStyle w:val="Tabletext"/>
            </w:pPr>
            <w:r w:rsidRPr="00134CF0">
              <w:t>47</w:t>
            </w:r>
          </w:p>
        </w:tc>
        <w:tc>
          <w:tcPr>
            <w:tcW w:w="1549" w:type="dxa"/>
            <w:shd w:val="clear" w:color="auto" w:fill="auto"/>
          </w:tcPr>
          <w:p w14:paraId="0485EBC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2667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0.01837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0C54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0.01252</w:t>
            </w:r>
          </w:p>
        </w:tc>
      </w:tr>
      <w:tr w:rsidR="001E6B56" w:rsidRPr="00134CF0" w14:paraId="5A19B795" w14:textId="77777777" w:rsidTr="00426FEE">
        <w:tc>
          <w:tcPr>
            <w:tcW w:w="714" w:type="dxa"/>
            <w:shd w:val="clear" w:color="auto" w:fill="auto"/>
          </w:tcPr>
          <w:p w14:paraId="4E2C65A8" w14:textId="77777777" w:rsidR="001E6B56" w:rsidRPr="00134CF0" w:rsidRDefault="001E6B56" w:rsidP="00EF4284">
            <w:pPr>
              <w:pStyle w:val="Tabletext"/>
            </w:pPr>
            <w:r w:rsidRPr="00134CF0">
              <w:t>48</w:t>
            </w:r>
          </w:p>
        </w:tc>
        <w:tc>
          <w:tcPr>
            <w:tcW w:w="1549" w:type="dxa"/>
            <w:shd w:val="clear" w:color="auto" w:fill="auto"/>
          </w:tcPr>
          <w:p w14:paraId="1844CE4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A310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0.02158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73B4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0.01468</w:t>
            </w:r>
          </w:p>
        </w:tc>
      </w:tr>
      <w:tr w:rsidR="001E6B56" w:rsidRPr="00134CF0" w14:paraId="1511AC77" w14:textId="77777777" w:rsidTr="00426FEE">
        <w:tc>
          <w:tcPr>
            <w:tcW w:w="714" w:type="dxa"/>
            <w:shd w:val="clear" w:color="auto" w:fill="auto"/>
          </w:tcPr>
          <w:p w14:paraId="27A4B02A" w14:textId="77777777" w:rsidR="001E6B56" w:rsidRPr="00134CF0" w:rsidRDefault="001E6B56" w:rsidP="00EF4284">
            <w:pPr>
              <w:pStyle w:val="Tabletext"/>
            </w:pPr>
            <w:r w:rsidRPr="00134CF0">
              <w:t>49</w:t>
            </w:r>
          </w:p>
        </w:tc>
        <w:tc>
          <w:tcPr>
            <w:tcW w:w="1549" w:type="dxa"/>
            <w:shd w:val="clear" w:color="auto" w:fill="auto"/>
          </w:tcPr>
          <w:p w14:paraId="7406F75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C051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6C5BF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0.01731</w:t>
            </w:r>
          </w:p>
        </w:tc>
      </w:tr>
      <w:tr w:rsidR="001E6B56" w:rsidRPr="00134CF0" w14:paraId="70018390" w14:textId="77777777" w:rsidTr="00426FEE">
        <w:tc>
          <w:tcPr>
            <w:tcW w:w="714" w:type="dxa"/>
            <w:shd w:val="clear" w:color="auto" w:fill="auto"/>
          </w:tcPr>
          <w:p w14:paraId="62120381" w14:textId="77777777" w:rsidR="001E6B56" w:rsidRPr="00134CF0" w:rsidRDefault="001E6B56" w:rsidP="00EF4284">
            <w:pPr>
              <w:pStyle w:val="Tabletext"/>
            </w:pPr>
            <w:r w:rsidRPr="00134CF0">
              <w:t>50</w:t>
            </w:r>
          </w:p>
        </w:tc>
        <w:tc>
          <w:tcPr>
            <w:tcW w:w="1549" w:type="dxa"/>
            <w:shd w:val="clear" w:color="auto" w:fill="auto"/>
          </w:tcPr>
          <w:p w14:paraId="681D677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841B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EB7E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0.02049</w:t>
            </w:r>
          </w:p>
        </w:tc>
      </w:tr>
      <w:tr w:rsidR="001E6B56" w:rsidRPr="00134CF0" w14:paraId="186D7906" w14:textId="77777777" w:rsidTr="00426FEE">
        <w:tc>
          <w:tcPr>
            <w:tcW w:w="714" w:type="dxa"/>
            <w:shd w:val="clear" w:color="auto" w:fill="auto"/>
          </w:tcPr>
          <w:p w14:paraId="05210E26" w14:textId="77777777" w:rsidR="001E6B56" w:rsidRPr="00134CF0" w:rsidRDefault="001E6B56" w:rsidP="00EF4284">
            <w:pPr>
              <w:pStyle w:val="Tabletext"/>
            </w:pPr>
            <w:r w:rsidRPr="00134CF0">
              <w:t>51</w:t>
            </w:r>
          </w:p>
        </w:tc>
        <w:tc>
          <w:tcPr>
            <w:tcW w:w="1549" w:type="dxa"/>
            <w:shd w:val="clear" w:color="auto" w:fill="auto"/>
          </w:tcPr>
          <w:p w14:paraId="60286B65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CE640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0.03594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9CF9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0.02462</w:t>
            </w:r>
          </w:p>
        </w:tc>
      </w:tr>
      <w:tr w:rsidR="001E6B56" w:rsidRPr="00134CF0" w14:paraId="769EBF90" w14:textId="77777777" w:rsidTr="00426FEE">
        <w:tc>
          <w:tcPr>
            <w:tcW w:w="714" w:type="dxa"/>
            <w:shd w:val="clear" w:color="auto" w:fill="auto"/>
          </w:tcPr>
          <w:p w14:paraId="3AC89241" w14:textId="77777777" w:rsidR="001E6B56" w:rsidRPr="00134CF0" w:rsidRDefault="001E6B56" w:rsidP="00EF4284">
            <w:pPr>
              <w:pStyle w:val="Tabletext"/>
            </w:pPr>
            <w:r w:rsidRPr="00134CF0">
              <w:t>52</w:t>
            </w:r>
          </w:p>
        </w:tc>
        <w:tc>
          <w:tcPr>
            <w:tcW w:w="1549" w:type="dxa"/>
            <w:shd w:val="clear" w:color="auto" w:fill="auto"/>
          </w:tcPr>
          <w:p w14:paraId="3B9F8E7F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A718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0.04203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24E9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0.02936</w:t>
            </w:r>
          </w:p>
        </w:tc>
      </w:tr>
      <w:tr w:rsidR="001E6B56" w:rsidRPr="00134CF0" w14:paraId="3DCC73AD" w14:textId="77777777" w:rsidTr="00426FEE">
        <w:tc>
          <w:tcPr>
            <w:tcW w:w="714" w:type="dxa"/>
            <w:shd w:val="clear" w:color="auto" w:fill="auto"/>
          </w:tcPr>
          <w:p w14:paraId="4327F20C" w14:textId="77777777" w:rsidR="001E6B56" w:rsidRPr="00134CF0" w:rsidRDefault="001E6B56" w:rsidP="00EF4284">
            <w:pPr>
              <w:pStyle w:val="Tabletext"/>
            </w:pPr>
            <w:r w:rsidRPr="00134CF0">
              <w:t>53</w:t>
            </w:r>
          </w:p>
        </w:tc>
        <w:tc>
          <w:tcPr>
            <w:tcW w:w="1549" w:type="dxa"/>
            <w:shd w:val="clear" w:color="auto" w:fill="auto"/>
          </w:tcPr>
          <w:p w14:paraId="6E7D7E3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FE53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0.04912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A264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0.03489</w:t>
            </w:r>
          </w:p>
        </w:tc>
      </w:tr>
      <w:tr w:rsidR="001E6B56" w:rsidRPr="00134CF0" w14:paraId="57BF1BF0" w14:textId="77777777" w:rsidTr="00426FEE">
        <w:tc>
          <w:tcPr>
            <w:tcW w:w="714" w:type="dxa"/>
            <w:shd w:val="clear" w:color="auto" w:fill="auto"/>
          </w:tcPr>
          <w:p w14:paraId="677E78B4" w14:textId="77777777" w:rsidR="001E6B56" w:rsidRPr="00134CF0" w:rsidRDefault="001E6B56" w:rsidP="00EF4284">
            <w:pPr>
              <w:pStyle w:val="Tabletext"/>
            </w:pPr>
            <w:r w:rsidRPr="00134CF0">
              <w:t>54</w:t>
            </w:r>
          </w:p>
        </w:tc>
        <w:tc>
          <w:tcPr>
            <w:tcW w:w="1549" w:type="dxa"/>
            <w:shd w:val="clear" w:color="auto" w:fill="auto"/>
          </w:tcPr>
          <w:p w14:paraId="79E98ED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8EAA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0.05696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FC75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0.04000</w:t>
            </w:r>
          </w:p>
        </w:tc>
      </w:tr>
      <w:tr w:rsidR="001E6B56" w:rsidRPr="00134CF0" w14:paraId="28471EA8" w14:textId="77777777" w:rsidTr="00426FEE">
        <w:tc>
          <w:tcPr>
            <w:tcW w:w="714" w:type="dxa"/>
            <w:shd w:val="clear" w:color="auto" w:fill="auto"/>
          </w:tcPr>
          <w:p w14:paraId="599F9D07" w14:textId="77777777" w:rsidR="001E6B56" w:rsidRPr="00134CF0" w:rsidRDefault="001E6B56" w:rsidP="00EF4284">
            <w:pPr>
              <w:pStyle w:val="Tabletext"/>
            </w:pPr>
            <w:r w:rsidRPr="00134CF0">
              <w:t>55</w:t>
            </w:r>
          </w:p>
        </w:tc>
        <w:tc>
          <w:tcPr>
            <w:tcW w:w="1549" w:type="dxa"/>
            <w:shd w:val="clear" w:color="auto" w:fill="auto"/>
          </w:tcPr>
          <w:p w14:paraId="5B580363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6D1B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0.06606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94BA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0.04558</w:t>
            </w:r>
          </w:p>
        </w:tc>
      </w:tr>
      <w:tr w:rsidR="001E6B56" w:rsidRPr="00134CF0" w14:paraId="03ADF927" w14:textId="77777777" w:rsidTr="00426FEE">
        <w:tc>
          <w:tcPr>
            <w:tcW w:w="714" w:type="dxa"/>
            <w:shd w:val="clear" w:color="auto" w:fill="auto"/>
          </w:tcPr>
          <w:p w14:paraId="4B6FCB3A" w14:textId="77777777" w:rsidR="001E6B56" w:rsidRPr="00134CF0" w:rsidRDefault="001E6B56" w:rsidP="00EF4284">
            <w:pPr>
              <w:pStyle w:val="Tabletext"/>
            </w:pPr>
            <w:r w:rsidRPr="00134CF0">
              <w:t>56</w:t>
            </w:r>
          </w:p>
        </w:tc>
        <w:tc>
          <w:tcPr>
            <w:tcW w:w="1549" w:type="dxa"/>
            <w:shd w:val="clear" w:color="auto" w:fill="auto"/>
          </w:tcPr>
          <w:p w14:paraId="1AD45E4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0AE3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0.07601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9571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0.05334</w:t>
            </w:r>
          </w:p>
        </w:tc>
      </w:tr>
      <w:tr w:rsidR="001E6B56" w:rsidRPr="00134CF0" w14:paraId="10F86489" w14:textId="77777777" w:rsidTr="00426FEE">
        <w:tc>
          <w:tcPr>
            <w:tcW w:w="714" w:type="dxa"/>
            <w:shd w:val="clear" w:color="auto" w:fill="auto"/>
          </w:tcPr>
          <w:p w14:paraId="443BF5B4" w14:textId="77777777" w:rsidR="001E6B56" w:rsidRPr="00134CF0" w:rsidRDefault="001E6B56" w:rsidP="00EF4284">
            <w:pPr>
              <w:pStyle w:val="Tabletext"/>
            </w:pPr>
            <w:r w:rsidRPr="00134CF0">
              <w:t>57</w:t>
            </w:r>
          </w:p>
        </w:tc>
        <w:tc>
          <w:tcPr>
            <w:tcW w:w="1549" w:type="dxa"/>
            <w:shd w:val="clear" w:color="auto" w:fill="auto"/>
          </w:tcPr>
          <w:p w14:paraId="4B4DDE7F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D7B6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0.08693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3693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0.06278</w:t>
            </w:r>
          </w:p>
        </w:tc>
      </w:tr>
      <w:tr w:rsidR="001E6B56" w:rsidRPr="00134CF0" w14:paraId="72E9D733" w14:textId="77777777" w:rsidTr="00426FEE">
        <w:tc>
          <w:tcPr>
            <w:tcW w:w="714" w:type="dxa"/>
            <w:shd w:val="clear" w:color="auto" w:fill="auto"/>
          </w:tcPr>
          <w:p w14:paraId="2435917F" w14:textId="77777777" w:rsidR="001E6B56" w:rsidRPr="00134CF0" w:rsidRDefault="001E6B56" w:rsidP="00EF4284">
            <w:pPr>
              <w:pStyle w:val="Tabletext"/>
            </w:pPr>
            <w:r w:rsidRPr="00134CF0">
              <w:t>58</w:t>
            </w:r>
          </w:p>
        </w:tc>
        <w:tc>
          <w:tcPr>
            <w:tcW w:w="1549" w:type="dxa"/>
            <w:shd w:val="clear" w:color="auto" w:fill="auto"/>
          </w:tcPr>
          <w:p w14:paraId="361B71A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4F10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0.09992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00A5E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0.07424</w:t>
            </w:r>
          </w:p>
        </w:tc>
      </w:tr>
      <w:tr w:rsidR="001E6B56" w:rsidRPr="00134CF0" w14:paraId="7B09A4B2" w14:textId="77777777" w:rsidTr="00426FEE">
        <w:tc>
          <w:tcPr>
            <w:tcW w:w="714" w:type="dxa"/>
            <w:shd w:val="clear" w:color="auto" w:fill="auto"/>
          </w:tcPr>
          <w:p w14:paraId="0FF1AD86" w14:textId="77777777" w:rsidR="001E6B56" w:rsidRPr="00134CF0" w:rsidRDefault="001E6B56" w:rsidP="00EF4284">
            <w:pPr>
              <w:pStyle w:val="Tabletext"/>
            </w:pPr>
            <w:r w:rsidRPr="00134CF0">
              <w:t>59</w:t>
            </w:r>
          </w:p>
        </w:tc>
        <w:tc>
          <w:tcPr>
            <w:tcW w:w="1549" w:type="dxa"/>
            <w:shd w:val="clear" w:color="auto" w:fill="auto"/>
          </w:tcPr>
          <w:p w14:paraId="459ABA08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FA24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0.11362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0F0F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0.08999</w:t>
            </w:r>
          </w:p>
        </w:tc>
      </w:tr>
      <w:tr w:rsidR="001E6B56" w:rsidRPr="00134CF0" w14:paraId="26F7F368" w14:textId="77777777" w:rsidTr="00426FEE">
        <w:tc>
          <w:tcPr>
            <w:tcW w:w="714" w:type="dxa"/>
            <w:shd w:val="clear" w:color="auto" w:fill="auto"/>
          </w:tcPr>
          <w:p w14:paraId="3C0046DC" w14:textId="77777777" w:rsidR="001E6B56" w:rsidRPr="00134CF0" w:rsidRDefault="001E6B56" w:rsidP="00EF4284">
            <w:pPr>
              <w:pStyle w:val="Tabletext"/>
            </w:pPr>
            <w:r w:rsidRPr="00134CF0">
              <w:t>60</w:t>
            </w:r>
          </w:p>
        </w:tc>
        <w:tc>
          <w:tcPr>
            <w:tcW w:w="1549" w:type="dxa"/>
            <w:shd w:val="clear" w:color="auto" w:fill="auto"/>
          </w:tcPr>
          <w:p w14:paraId="71AB4C0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1584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0.13041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56A3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0.10302</w:t>
            </w:r>
          </w:p>
        </w:tc>
      </w:tr>
      <w:tr w:rsidR="001E6B56" w:rsidRPr="00134CF0" w14:paraId="42021D37" w14:textId="77777777" w:rsidTr="00426FEE">
        <w:tc>
          <w:tcPr>
            <w:tcW w:w="714" w:type="dxa"/>
            <w:shd w:val="clear" w:color="auto" w:fill="auto"/>
          </w:tcPr>
          <w:p w14:paraId="11419E32" w14:textId="77777777" w:rsidR="001E6B56" w:rsidRPr="00134CF0" w:rsidRDefault="001E6B56" w:rsidP="00EF4284">
            <w:pPr>
              <w:pStyle w:val="Tabletext"/>
            </w:pPr>
            <w:r w:rsidRPr="00134CF0">
              <w:t>61</w:t>
            </w:r>
          </w:p>
        </w:tc>
        <w:tc>
          <w:tcPr>
            <w:tcW w:w="1549" w:type="dxa"/>
            <w:shd w:val="clear" w:color="auto" w:fill="auto"/>
          </w:tcPr>
          <w:p w14:paraId="1D5EAD99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67A5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0.14792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0E29B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0.11725</w:t>
            </w:r>
          </w:p>
        </w:tc>
      </w:tr>
      <w:tr w:rsidR="001E6B56" w:rsidRPr="00134CF0" w14:paraId="2CD18555" w14:textId="77777777" w:rsidTr="00426FEE">
        <w:tc>
          <w:tcPr>
            <w:tcW w:w="714" w:type="dxa"/>
            <w:shd w:val="clear" w:color="auto" w:fill="auto"/>
          </w:tcPr>
          <w:p w14:paraId="662796B4" w14:textId="77777777" w:rsidR="001E6B56" w:rsidRPr="00134CF0" w:rsidRDefault="001E6B56" w:rsidP="00EF4284">
            <w:pPr>
              <w:pStyle w:val="Tabletext"/>
            </w:pPr>
            <w:r w:rsidRPr="00134CF0">
              <w:t>62</w:t>
            </w:r>
          </w:p>
        </w:tc>
        <w:tc>
          <w:tcPr>
            <w:tcW w:w="1549" w:type="dxa"/>
            <w:shd w:val="clear" w:color="auto" w:fill="auto"/>
          </w:tcPr>
          <w:p w14:paraId="17CD5B6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9048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0.16773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F2453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0.12866</w:t>
            </w:r>
          </w:p>
        </w:tc>
      </w:tr>
      <w:tr w:rsidR="001E6B56" w:rsidRPr="00134CF0" w14:paraId="531E8AF7" w14:textId="77777777" w:rsidTr="00426FEE">
        <w:tc>
          <w:tcPr>
            <w:tcW w:w="714" w:type="dxa"/>
            <w:shd w:val="clear" w:color="auto" w:fill="auto"/>
          </w:tcPr>
          <w:p w14:paraId="7CF4C70C" w14:textId="77777777" w:rsidR="001E6B56" w:rsidRPr="00134CF0" w:rsidRDefault="001E6B56" w:rsidP="00EF4284">
            <w:pPr>
              <w:pStyle w:val="Tabletext"/>
            </w:pPr>
            <w:r w:rsidRPr="00134CF0">
              <w:t>63</w:t>
            </w:r>
          </w:p>
        </w:tc>
        <w:tc>
          <w:tcPr>
            <w:tcW w:w="1549" w:type="dxa"/>
            <w:shd w:val="clear" w:color="auto" w:fill="auto"/>
          </w:tcPr>
          <w:p w14:paraId="558507E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CFC2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0.18808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2A98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0.14165</w:t>
            </w:r>
          </w:p>
        </w:tc>
      </w:tr>
      <w:tr w:rsidR="001E6B56" w:rsidRPr="00134CF0" w14:paraId="66C459E6" w14:textId="77777777" w:rsidTr="00426FEE">
        <w:tc>
          <w:tcPr>
            <w:tcW w:w="714" w:type="dxa"/>
            <w:shd w:val="clear" w:color="auto" w:fill="auto"/>
          </w:tcPr>
          <w:p w14:paraId="55C60749" w14:textId="77777777" w:rsidR="001E6B56" w:rsidRPr="00134CF0" w:rsidRDefault="001E6B56" w:rsidP="00EF4284">
            <w:pPr>
              <w:pStyle w:val="Tabletext"/>
            </w:pPr>
            <w:r w:rsidRPr="00134CF0">
              <w:t>64</w:t>
            </w:r>
          </w:p>
        </w:tc>
        <w:tc>
          <w:tcPr>
            <w:tcW w:w="1549" w:type="dxa"/>
            <w:shd w:val="clear" w:color="auto" w:fill="auto"/>
          </w:tcPr>
          <w:p w14:paraId="29126864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B9B3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0.20295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F8E5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0.15826</w:t>
            </w:r>
          </w:p>
        </w:tc>
      </w:tr>
      <w:tr w:rsidR="001E6B56" w:rsidRPr="00134CF0" w14:paraId="37C013EF" w14:textId="77777777" w:rsidTr="00426FEE">
        <w:tc>
          <w:tcPr>
            <w:tcW w:w="714" w:type="dxa"/>
            <w:shd w:val="clear" w:color="auto" w:fill="auto"/>
          </w:tcPr>
          <w:p w14:paraId="15B9B289" w14:textId="77777777" w:rsidR="001E6B56" w:rsidRPr="00134CF0" w:rsidRDefault="001E6B56" w:rsidP="00EF4284">
            <w:pPr>
              <w:pStyle w:val="Tabletext"/>
            </w:pPr>
            <w:r w:rsidRPr="00134CF0">
              <w:t>65</w:t>
            </w:r>
          </w:p>
        </w:tc>
        <w:tc>
          <w:tcPr>
            <w:tcW w:w="1549" w:type="dxa"/>
            <w:shd w:val="clear" w:color="auto" w:fill="auto"/>
          </w:tcPr>
          <w:p w14:paraId="1002ED6A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AC57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0.21812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6246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0.17393</w:t>
            </w:r>
          </w:p>
        </w:tc>
      </w:tr>
      <w:tr w:rsidR="001E6B56" w:rsidRPr="00134CF0" w14:paraId="24C4B0C1" w14:textId="77777777" w:rsidTr="00426FEE">
        <w:tc>
          <w:tcPr>
            <w:tcW w:w="714" w:type="dxa"/>
            <w:shd w:val="clear" w:color="auto" w:fill="auto"/>
          </w:tcPr>
          <w:p w14:paraId="5EC9835A" w14:textId="77777777" w:rsidR="001E6B56" w:rsidRPr="00134CF0" w:rsidRDefault="001E6B56" w:rsidP="00EF4284">
            <w:pPr>
              <w:pStyle w:val="Tabletext"/>
            </w:pPr>
            <w:r w:rsidRPr="00134CF0">
              <w:t>66</w:t>
            </w:r>
          </w:p>
        </w:tc>
        <w:tc>
          <w:tcPr>
            <w:tcW w:w="1549" w:type="dxa"/>
            <w:shd w:val="clear" w:color="auto" w:fill="auto"/>
          </w:tcPr>
          <w:p w14:paraId="73C0F12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F6C3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0.23360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80D5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0.19003</w:t>
            </w:r>
          </w:p>
        </w:tc>
      </w:tr>
      <w:tr w:rsidR="001E6B56" w:rsidRPr="00134CF0" w14:paraId="36015657" w14:textId="77777777" w:rsidTr="00426FEE">
        <w:tc>
          <w:tcPr>
            <w:tcW w:w="714" w:type="dxa"/>
            <w:shd w:val="clear" w:color="auto" w:fill="auto"/>
          </w:tcPr>
          <w:p w14:paraId="28BD900A" w14:textId="77777777" w:rsidR="001E6B56" w:rsidRPr="00134CF0" w:rsidRDefault="001E6B56" w:rsidP="00EF4284">
            <w:pPr>
              <w:pStyle w:val="Tabletext"/>
            </w:pPr>
            <w:r w:rsidRPr="00134CF0">
              <w:t>67</w:t>
            </w:r>
          </w:p>
        </w:tc>
        <w:tc>
          <w:tcPr>
            <w:tcW w:w="1549" w:type="dxa"/>
            <w:shd w:val="clear" w:color="auto" w:fill="auto"/>
          </w:tcPr>
          <w:p w14:paraId="0B4BA4C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C40C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0.24937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DE2C4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0.20870</w:t>
            </w:r>
          </w:p>
        </w:tc>
      </w:tr>
      <w:tr w:rsidR="001E6B56" w:rsidRPr="00134CF0" w14:paraId="71E5D3F6" w14:textId="77777777" w:rsidTr="00426FEE">
        <w:tc>
          <w:tcPr>
            <w:tcW w:w="714" w:type="dxa"/>
            <w:shd w:val="clear" w:color="auto" w:fill="auto"/>
          </w:tcPr>
          <w:p w14:paraId="6C5A18FA" w14:textId="77777777" w:rsidR="001E6B56" w:rsidRPr="00134CF0" w:rsidRDefault="001E6B56" w:rsidP="00EF4284">
            <w:pPr>
              <w:pStyle w:val="Tabletext"/>
            </w:pPr>
            <w:r w:rsidRPr="00134CF0">
              <w:t>68</w:t>
            </w:r>
          </w:p>
        </w:tc>
        <w:tc>
          <w:tcPr>
            <w:tcW w:w="1549" w:type="dxa"/>
            <w:shd w:val="clear" w:color="auto" w:fill="auto"/>
          </w:tcPr>
          <w:p w14:paraId="577D12B3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33BC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0.26539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A6BC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0.22796</w:t>
            </w:r>
          </w:p>
        </w:tc>
      </w:tr>
      <w:tr w:rsidR="001E6B56" w:rsidRPr="00134CF0" w14:paraId="7F0564F2" w14:textId="77777777" w:rsidTr="00426FEE">
        <w:tc>
          <w:tcPr>
            <w:tcW w:w="714" w:type="dxa"/>
            <w:shd w:val="clear" w:color="auto" w:fill="auto"/>
          </w:tcPr>
          <w:p w14:paraId="19016B52" w14:textId="77777777" w:rsidR="001E6B56" w:rsidRPr="00134CF0" w:rsidRDefault="001E6B56" w:rsidP="00EF4284">
            <w:pPr>
              <w:pStyle w:val="Tabletext"/>
            </w:pPr>
            <w:r w:rsidRPr="00134CF0">
              <w:t>69</w:t>
            </w:r>
          </w:p>
        </w:tc>
        <w:tc>
          <w:tcPr>
            <w:tcW w:w="1549" w:type="dxa"/>
            <w:shd w:val="clear" w:color="auto" w:fill="auto"/>
          </w:tcPr>
          <w:p w14:paraId="667EF271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7C819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0.28163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421E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0.25031</w:t>
            </w:r>
          </w:p>
        </w:tc>
      </w:tr>
      <w:tr w:rsidR="001E6B56" w:rsidRPr="00134CF0" w14:paraId="6C06AF8C" w14:textId="77777777" w:rsidTr="00426FEE">
        <w:tc>
          <w:tcPr>
            <w:tcW w:w="714" w:type="dxa"/>
            <w:shd w:val="clear" w:color="auto" w:fill="auto"/>
          </w:tcPr>
          <w:p w14:paraId="0CFE8371" w14:textId="77777777" w:rsidR="001E6B56" w:rsidRPr="00134CF0" w:rsidRDefault="001E6B56" w:rsidP="00EF4284">
            <w:pPr>
              <w:pStyle w:val="Tabletext"/>
            </w:pPr>
            <w:r w:rsidRPr="00134CF0">
              <w:t>70</w:t>
            </w:r>
          </w:p>
        </w:tc>
        <w:tc>
          <w:tcPr>
            <w:tcW w:w="1549" w:type="dxa"/>
            <w:shd w:val="clear" w:color="auto" w:fill="auto"/>
          </w:tcPr>
          <w:p w14:paraId="1B052C5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2D87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0.29802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7961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0.27339</w:t>
            </w:r>
          </w:p>
        </w:tc>
      </w:tr>
      <w:tr w:rsidR="001E6B56" w:rsidRPr="00134CF0" w14:paraId="713B2E1C" w14:textId="77777777" w:rsidTr="00426FEE">
        <w:tc>
          <w:tcPr>
            <w:tcW w:w="714" w:type="dxa"/>
            <w:shd w:val="clear" w:color="auto" w:fill="auto"/>
          </w:tcPr>
          <w:p w14:paraId="578985F8" w14:textId="77777777" w:rsidR="001E6B56" w:rsidRPr="00134CF0" w:rsidRDefault="001E6B56" w:rsidP="00EF4284">
            <w:pPr>
              <w:pStyle w:val="Tabletext"/>
            </w:pPr>
            <w:r w:rsidRPr="00134CF0">
              <w:t>71</w:t>
            </w:r>
          </w:p>
        </w:tc>
        <w:tc>
          <w:tcPr>
            <w:tcW w:w="1549" w:type="dxa"/>
            <w:shd w:val="clear" w:color="auto" w:fill="auto"/>
          </w:tcPr>
          <w:p w14:paraId="51E55B87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51B1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0.31547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E15E7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0.32838</w:t>
            </w:r>
          </w:p>
        </w:tc>
      </w:tr>
      <w:tr w:rsidR="001E6B56" w:rsidRPr="00134CF0" w14:paraId="4A412525" w14:textId="77777777" w:rsidTr="00426FEE">
        <w:tc>
          <w:tcPr>
            <w:tcW w:w="714" w:type="dxa"/>
            <w:shd w:val="clear" w:color="auto" w:fill="auto"/>
          </w:tcPr>
          <w:p w14:paraId="0664D74B" w14:textId="77777777" w:rsidR="001E6B56" w:rsidRPr="00134CF0" w:rsidRDefault="001E6B56" w:rsidP="00EF4284">
            <w:pPr>
              <w:pStyle w:val="Tabletext"/>
            </w:pPr>
            <w:r w:rsidRPr="00134CF0">
              <w:t>72</w:t>
            </w:r>
          </w:p>
        </w:tc>
        <w:tc>
          <w:tcPr>
            <w:tcW w:w="1549" w:type="dxa"/>
            <w:shd w:val="clear" w:color="auto" w:fill="auto"/>
          </w:tcPr>
          <w:p w14:paraId="65A41A1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A710C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0.33194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FC12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0.35236</w:t>
            </w:r>
          </w:p>
        </w:tc>
      </w:tr>
      <w:tr w:rsidR="001E6B56" w:rsidRPr="00134CF0" w14:paraId="041794F6" w14:textId="77777777" w:rsidTr="00426FEE">
        <w:tc>
          <w:tcPr>
            <w:tcW w:w="714" w:type="dxa"/>
            <w:shd w:val="clear" w:color="auto" w:fill="auto"/>
          </w:tcPr>
          <w:p w14:paraId="403AD695" w14:textId="77777777" w:rsidR="001E6B56" w:rsidRPr="00134CF0" w:rsidRDefault="001E6B56" w:rsidP="00EF4284">
            <w:pPr>
              <w:pStyle w:val="Tabletext"/>
            </w:pPr>
            <w:r w:rsidRPr="00134CF0">
              <w:t>73</w:t>
            </w:r>
          </w:p>
        </w:tc>
        <w:tc>
          <w:tcPr>
            <w:tcW w:w="1549" w:type="dxa"/>
            <w:shd w:val="clear" w:color="auto" w:fill="auto"/>
          </w:tcPr>
          <w:p w14:paraId="2C46D950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B9AF8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0.34839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4EBD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0.37645</w:t>
            </w:r>
          </w:p>
        </w:tc>
      </w:tr>
      <w:tr w:rsidR="001E6B56" w:rsidRPr="00134CF0" w14:paraId="7C9AE7BB" w14:textId="77777777" w:rsidTr="00426FEE">
        <w:tc>
          <w:tcPr>
            <w:tcW w:w="714" w:type="dxa"/>
            <w:shd w:val="clear" w:color="auto" w:fill="auto"/>
          </w:tcPr>
          <w:p w14:paraId="17BA414A" w14:textId="77777777" w:rsidR="001E6B56" w:rsidRPr="00134CF0" w:rsidRDefault="001E6B56" w:rsidP="00EF4284">
            <w:pPr>
              <w:pStyle w:val="Tabletext"/>
            </w:pPr>
            <w:r w:rsidRPr="00134CF0">
              <w:t>74</w:t>
            </w:r>
          </w:p>
        </w:tc>
        <w:tc>
          <w:tcPr>
            <w:tcW w:w="1549" w:type="dxa"/>
            <w:shd w:val="clear" w:color="auto" w:fill="auto"/>
          </w:tcPr>
          <w:p w14:paraId="5F6775E5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2AD0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0.36480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3DEE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0.40045</w:t>
            </w:r>
          </w:p>
        </w:tc>
      </w:tr>
      <w:tr w:rsidR="001E6B56" w:rsidRPr="00134CF0" w14:paraId="39F6DA44" w14:textId="77777777" w:rsidTr="00426FEE">
        <w:tc>
          <w:tcPr>
            <w:tcW w:w="714" w:type="dxa"/>
            <w:shd w:val="clear" w:color="auto" w:fill="auto"/>
          </w:tcPr>
          <w:p w14:paraId="5DB8EA64" w14:textId="77777777" w:rsidR="001E6B56" w:rsidRPr="00134CF0" w:rsidRDefault="001E6B56" w:rsidP="00EF4284">
            <w:pPr>
              <w:pStyle w:val="Tabletext"/>
            </w:pPr>
            <w:r w:rsidRPr="00134CF0">
              <w:t>75</w:t>
            </w:r>
          </w:p>
        </w:tc>
        <w:tc>
          <w:tcPr>
            <w:tcW w:w="1549" w:type="dxa"/>
            <w:shd w:val="clear" w:color="auto" w:fill="auto"/>
          </w:tcPr>
          <w:p w14:paraId="1A04E91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F5E11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0.38109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880ED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0.42406</w:t>
            </w:r>
          </w:p>
        </w:tc>
      </w:tr>
      <w:tr w:rsidR="001E6B56" w:rsidRPr="00134CF0" w14:paraId="3F70DDC7" w14:textId="77777777" w:rsidTr="00426FEE">
        <w:tc>
          <w:tcPr>
            <w:tcW w:w="714" w:type="dxa"/>
            <w:shd w:val="clear" w:color="auto" w:fill="auto"/>
          </w:tcPr>
          <w:p w14:paraId="4E203832" w14:textId="77777777" w:rsidR="001E6B56" w:rsidRPr="00134CF0" w:rsidRDefault="001E6B56" w:rsidP="00EF4284">
            <w:pPr>
              <w:pStyle w:val="Tabletext"/>
            </w:pPr>
            <w:r w:rsidRPr="00134CF0">
              <w:t>76</w:t>
            </w:r>
          </w:p>
        </w:tc>
        <w:tc>
          <w:tcPr>
            <w:tcW w:w="1549" w:type="dxa"/>
            <w:shd w:val="clear" w:color="auto" w:fill="auto"/>
          </w:tcPr>
          <w:p w14:paraId="4518B9A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7B75A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0.39765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1D68E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0.44606</w:t>
            </w:r>
          </w:p>
        </w:tc>
      </w:tr>
      <w:tr w:rsidR="001E6B56" w:rsidRPr="00134CF0" w14:paraId="4D3B18F9" w14:textId="77777777" w:rsidTr="00426FEE">
        <w:tc>
          <w:tcPr>
            <w:tcW w:w="714" w:type="dxa"/>
            <w:shd w:val="clear" w:color="auto" w:fill="auto"/>
          </w:tcPr>
          <w:p w14:paraId="67F8ED1D" w14:textId="77777777" w:rsidR="001E6B56" w:rsidRPr="00134CF0" w:rsidRDefault="001E6B56" w:rsidP="00EF4284">
            <w:pPr>
              <w:pStyle w:val="Tabletext"/>
            </w:pPr>
            <w:r w:rsidRPr="00134CF0">
              <w:lastRenderedPageBreak/>
              <w:t>77</w:t>
            </w:r>
          </w:p>
        </w:tc>
        <w:tc>
          <w:tcPr>
            <w:tcW w:w="1549" w:type="dxa"/>
            <w:shd w:val="clear" w:color="auto" w:fill="auto"/>
          </w:tcPr>
          <w:p w14:paraId="53AD58DC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6DC4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0.41280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D0F9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0.46709</w:t>
            </w:r>
          </w:p>
        </w:tc>
      </w:tr>
      <w:tr w:rsidR="001E6B56" w:rsidRPr="00134CF0" w14:paraId="17DE9331" w14:textId="77777777" w:rsidTr="00426FE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F39E67D" w14:textId="77777777" w:rsidR="001E6B56" w:rsidRPr="00134CF0" w:rsidRDefault="001E6B56" w:rsidP="00EF4284">
            <w:pPr>
              <w:pStyle w:val="Tabletext"/>
            </w:pPr>
            <w:r w:rsidRPr="00134CF0">
              <w:t>78</w:t>
            </w:r>
          </w:p>
        </w:tc>
        <w:tc>
          <w:tcPr>
            <w:tcW w:w="1549" w:type="dxa"/>
            <w:tcBorders>
              <w:bottom w:val="single" w:sz="2" w:space="0" w:color="auto"/>
            </w:tcBorders>
            <w:shd w:val="clear" w:color="auto" w:fill="auto"/>
          </w:tcPr>
          <w:p w14:paraId="1B4C480B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108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748092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0.42760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75522F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0.48695</w:t>
            </w:r>
          </w:p>
        </w:tc>
      </w:tr>
      <w:tr w:rsidR="001E6B56" w:rsidRPr="00134CF0" w14:paraId="28370842" w14:textId="77777777" w:rsidTr="00426FE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C18888" w14:textId="77777777" w:rsidR="001E6B56" w:rsidRPr="00134CF0" w:rsidRDefault="001E6B56" w:rsidP="00EF4284">
            <w:pPr>
              <w:pStyle w:val="Tabletext"/>
            </w:pPr>
            <w:r w:rsidRPr="00134CF0">
              <w:t>79</w:t>
            </w:r>
          </w:p>
        </w:tc>
        <w:tc>
          <w:tcPr>
            <w:tcW w:w="15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9F990E" w14:textId="77777777" w:rsidR="001E6B56" w:rsidRPr="00134CF0" w:rsidRDefault="001E6B56" w:rsidP="00426FEE">
            <w:pPr>
              <w:pStyle w:val="Tabletext"/>
              <w:jc w:val="center"/>
            </w:pPr>
            <w:r w:rsidRPr="00134CF0">
              <w:t>109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F8B26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0.44200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49FB35" w14:textId="77777777" w:rsidR="001E6B56" w:rsidRPr="00134CF0" w:rsidRDefault="001E6B56" w:rsidP="00EF4284">
            <w:pPr>
              <w:pStyle w:val="Tabletext"/>
              <w:tabs>
                <w:tab w:val="decimal" w:pos="940"/>
              </w:tabs>
            </w:pPr>
            <w:r w:rsidRPr="00134CF0">
              <w:t>0.50538</w:t>
            </w:r>
          </w:p>
        </w:tc>
      </w:tr>
    </w:tbl>
    <w:p w14:paraId="624483F2" w14:textId="77777777" w:rsidR="00970ABE" w:rsidRPr="00134CF0" w:rsidRDefault="00C113D4" w:rsidP="00970ABE">
      <w:pPr>
        <w:pStyle w:val="ItemHead"/>
      </w:pPr>
      <w:r w:rsidRPr="00134CF0">
        <w:t>7</w:t>
      </w:r>
      <w:r w:rsidR="00970ABE" w:rsidRPr="00134CF0">
        <w:t xml:space="preserve">  </w:t>
      </w:r>
      <w:r w:rsidR="0060057B" w:rsidRPr="00134CF0">
        <w:t>Sub</w:t>
      </w:r>
      <w:r w:rsidR="00EF0325" w:rsidRPr="00134CF0">
        <w:t>clause 1</w:t>
      </w:r>
      <w:r w:rsidR="00C21D5E" w:rsidRPr="00134CF0">
        <w:t>1</w:t>
      </w:r>
      <w:r w:rsidR="00970ABE" w:rsidRPr="00134CF0">
        <w:t xml:space="preserve">(1) of </w:t>
      </w:r>
      <w:r w:rsidR="00C96F3A" w:rsidRPr="00134CF0">
        <w:t>Schedule 1</w:t>
      </w:r>
      <w:r w:rsidR="00970ABE" w:rsidRPr="00134CF0">
        <w:t>A</w:t>
      </w:r>
      <w:r w:rsidR="00C21D5E" w:rsidRPr="00134CF0">
        <w:t>A</w:t>
      </w:r>
    </w:p>
    <w:p w14:paraId="7986CF0D" w14:textId="77777777" w:rsidR="00970ABE" w:rsidRPr="00134CF0" w:rsidRDefault="00970ABE" w:rsidP="00970ABE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8%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6%</w:t>
      </w:r>
      <w:r w:rsidR="00813F6B" w:rsidRPr="00134CF0">
        <w:t>”</w:t>
      </w:r>
      <w:r w:rsidRPr="00134CF0">
        <w:t>.</w:t>
      </w:r>
    </w:p>
    <w:p w14:paraId="43C21464" w14:textId="77777777" w:rsidR="00970ABE" w:rsidRPr="00134CF0" w:rsidRDefault="00C113D4" w:rsidP="00970ABE">
      <w:pPr>
        <w:pStyle w:val="ItemHead"/>
      </w:pPr>
      <w:r w:rsidRPr="00134CF0">
        <w:t>8</w:t>
      </w:r>
      <w:r w:rsidR="00970ABE" w:rsidRPr="00134CF0">
        <w:t xml:space="preserve">  </w:t>
      </w:r>
      <w:r w:rsidR="0060057B" w:rsidRPr="00134CF0">
        <w:t>Sub</w:t>
      </w:r>
      <w:r w:rsidR="00EF0325" w:rsidRPr="00134CF0">
        <w:t>clause 1</w:t>
      </w:r>
      <w:r w:rsidR="00C21D5E" w:rsidRPr="00134CF0">
        <w:t>2</w:t>
      </w:r>
      <w:r w:rsidR="00970ABE" w:rsidRPr="00134CF0">
        <w:t xml:space="preserve">(1) of </w:t>
      </w:r>
      <w:r w:rsidR="00C96F3A" w:rsidRPr="00134CF0">
        <w:t>Schedule 1</w:t>
      </w:r>
      <w:r w:rsidR="00970ABE" w:rsidRPr="00134CF0">
        <w:t>A</w:t>
      </w:r>
      <w:r w:rsidR="00C21D5E" w:rsidRPr="00134CF0">
        <w:t>A</w:t>
      </w:r>
    </w:p>
    <w:p w14:paraId="0795251C" w14:textId="77777777" w:rsidR="00970ABE" w:rsidRPr="00134CF0" w:rsidRDefault="00970ABE" w:rsidP="00970ABE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8%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6%</w:t>
      </w:r>
      <w:r w:rsidR="00813F6B" w:rsidRPr="00134CF0">
        <w:t>”</w:t>
      </w:r>
      <w:r w:rsidRPr="00134CF0">
        <w:t>.</w:t>
      </w:r>
    </w:p>
    <w:p w14:paraId="7FBD6268" w14:textId="77777777" w:rsidR="00970ABE" w:rsidRPr="00134CF0" w:rsidRDefault="00C113D4" w:rsidP="00970ABE">
      <w:pPr>
        <w:pStyle w:val="ItemHead"/>
      </w:pPr>
      <w:r w:rsidRPr="00134CF0">
        <w:t>9</w:t>
      </w:r>
      <w:r w:rsidR="00970ABE" w:rsidRPr="00134CF0">
        <w:t xml:space="preserve">  </w:t>
      </w:r>
      <w:r w:rsidR="0060057B" w:rsidRPr="00134CF0">
        <w:t>Sub</w:t>
      </w:r>
      <w:r w:rsidR="00EF0325" w:rsidRPr="00134CF0">
        <w:t>clause 1</w:t>
      </w:r>
      <w:r w:rsidR="00C21D5E" w:rsidRPr="00134CF0">
        <w:t>3</w:t>
      </w:r>
      <w:r w:rsidR="00970ABE" w:rsidRPr="00134CF0">
        <w:t xml:space="preserve">(1) of </w:t>
      </w:r>
      <w:r w:rsidR="00C96F3A" w:rsidRPr="00134CF0">
        <w:t>Schedule 1</w:t>
      </w:r>
      <w:r w:rsidR="00970ABE" w:rsidRPr="00134CF0">
        <w:t>A</w:t>
      </w:r>
      <w:r w:rsidR="00C21D5E" w:rsidRPr="00134CF0">
        <w:t>A</w:t>
      </w:r>
    </w:p>
    <w:p w14:paraId="1F753BAD" w14:textId="77777777" w:rsidR="00970ABE" w:rsidRPr="00134CF0" w:rsidRDefault="00970ABE" w:rsidP="00970ABE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4.5%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3.5%</w:t>
      </w:r>
      <w:r w:rsidR="00813F6B" w:rsidRPr="00134CF0">
        <w:t>”</w:t>
      </w:r>
      <w:r w:rsidRPr="00134CF0">
        <w:t>.</w:t>
      </w:r>
    </w:p>
    <w:p w14:paraId="6F7F141E" w14:textId="77777777" w:rsidR="00611B3D" w:rsidRPr="00134CF0" w:rsidRDefault="00C113D4" w:rsidP="00611B3D">
      <w:pPr>
        <w:pStyle w:val="ItemHead"/>
      </w:pPr>
      <w:r w:rsidRPr="00134CF0">
        <w:t>10</w:t>
      </w:r>
      <w:r w:rsidR="00611B3D" w:rsidRPr="00134CF0">
        <w:t xml:space="preserve">  </w:t>
      </w:r>
      <w:r w:rsidR="0060057B" w:rsidRPr="00134CF0">
        <w:t>Sub</w:t>
      </w:r>
      <w:r w:rsidR="00EF0325" w:rsidRPr="00134CF0">
        <w:t>clause 1</w:t>
      </w:r>
      <w:r w:rsidR="00611B3D" w:rsidRPr="00134CF0">
        <w:t xml:space="preserve">6(1) of </w:t>
      </w:r>
      <w:r w:rsidR="00C96F3A" w:rsidRPr="00134CF0">
        <w:t>Schedule 1</w:t>
      </w:r>
      <w:r w:rsidR="00611B3D" w:rsidRPr="00134CF0">
        <w:t>AA</w:t>
      </w:r>
    </w:p>
    <w:p w14:paraId="7933AC8B" w14:textId="77777777" w:rsidR="00611B3D" w:rsidRPr="00134CF0" w:rsidRDefault="00611B3D" w:rsidP="00611B3D">
      <w:pPr>
        <w:pStyle w:val="Item"/>
      </w:pPr>
      <w:r w:rsidRPr="00134CF0">
        <w:t>Repeal the subclause, substitute:</w:t>
      </w:r>
    </w:p>
    <w:p w14:paraId="4E6F5532" w14:textId="77777777" w:rsidR="00DB154A" w:rsidRPr="00134CF0" w:rsidRDefault="00DB154A" w:rsidP="00DB154A">
      <w:pPr>
        <w:pStyle w:val="subsection"/>
      </w:pPr>
      <w:r w:rsidRPr="00134CF0">
        <w:rPr>
          <w:color w:val="000000"/>
        </w:rPr>
        <w:tab/>
        <w:t>(1)</w:t>
      </w:r>
      <w:r w:rsidRPr="00134CF0">
        <w:rPr>
          <w:color w:val="000000"/>
        </w:rPr>
        <w:tab/>
      </w:r>
      <w:r w:rsidR="00CE1B47" w:rsidRPr="00134CF0">
        <w:rPr>
          <w:color w:val="000000"/>
        </w:rPr>
        <w:t xml:space="preserve">Subject to </w:t>
      </w:r>
      <w:r w:rsidR="00C96F3A" w:rsidRPr="00134CF0">
        <w:rPr>
          <w:color w:val="000000"/>
        </w:rPr>
        <w:t>subsection (</w:t>
      </w:r>
      <w:r w:rsidR="00CE1B47" w:rsidRPr="00134CF0">
        <w:rPr>
          <w:color w:val="000000"/>
        </w:rPr>
        <w:t>1A), t</w:t>
      </w:r>
      <w:r w:rsidRPr="00134CF0">
        <w:rPr>
          <w:color w:val="000000"/>
        </w:rPr>
        <w:t>he following table sets out the rates of voluntary exit from the fund that are to be assumed.</w:t>
      </w:r>
    </w:p>
    <w:p w14:paraId="20242D04" w14:textId="77777777" w:rsidR="00DB154A" w:rsidRPr="00134CF0" w:rsidRDefault="00DB154A" w:rsidP="00DB154A">
      <w:pPr>
        <w:pStyle w:val="Tabletext"/>
      </w:pPr>
    </w:p>
    <w:tbl>
      <w:tblPr>
        <w:tblW w:w="1904" w:type="pct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1"/>
        <w:gridCol w:w="1362"/>
        <w:gridCol w:w="1149"/>
        <w:gridCol w:w="6"/>
      </w:tblGrid>
      <w:tr w:rsidR="00DB154A" w:rsidRPr="00134CF0" w14:paraId="7117DD26" w14:textId="77777777" w:rsidTr="00247B6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DFC1BB" w14:textId="77777777" w:rsidR="00DB154A" w:rsidRPr="00134CF0" w:rsidRDefault="00DB154A" w:rsidP="00DB154A">
            <w:pPr>
              <w:pStyle w:val="TableHeading"/>
            </w:pPr>
            <w:r w:rsidRPr="00134CF0">
              <w:rPr>
                <w:color w:val="000000"/>
              </w:rPr>
              <w:t>Voluntary exit rates</w:t>
            </w:r>
          </w:p>
        </w:tc>
      </w:tr>
      <w:tr w:rsidR="00DB154A" w:rsidRPr="00134CF0" w14:paraId="6B37B645" w14:textId="77777777" w:rsidTr="00426FEE">
        <w:trPr>
          <w:gridAfter w:val="1"/>
          <w:wAfter w:w="9" w:type="pct"/>
          <w:tblHeader/>
        </w:trPr>
        <w:tc>
          <w:tcPr>
            <w:tcW w:w="112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8C002D" w14:textId="77777777" w:rsidR="00DB154A" w:rsidRPr="00134CF0" w:rsidRDefault="00DB154A" w:rsidP="00DB154A">
            <w:pPr>
              <w:pStyle w:val="TableHeading"/>
            </w:pPr>
            <w:r w:rsidRPr="00134CF0">
              <w:t>Item</w:t>
            </w:r>
          </w:p>
        </w:tc>
        <w:tc>
          <w:tcPr>
            <w:tcW w:w="20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EFA47B" w14:textId="77777777" w:rsidR="00DB154A" w:rsidRPr="00134CF0" w:rsidRDefault="00DB154A" w:rsidP="00426FEE">
            <w:pPr>
              <w:pStyle w:val="TableHeading"/>
              <w:jc w:val="center"/>
            </w:pPr>
            <w:r w:rsidRPr="00134CF0">
              <w:t>Column 1</w:t>
            </w:r>
          </w:p>
          <w:p w14:paraId="7885A5E6" w14:textId="77777777" w:rsidR="00DB154A" w:rsidRPr="00134CF0" w:rsidRDefault="00DB154A" w:rsidP="00426FEE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76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3A50A1" w14:textId="77777777" w:rsidR="00DB154A" w:rsidRPr="00134CF0" w:rsidRDefault="00DB154A" w:rsidP="00426FEE">
            <w:pPr>
              <w:pStyle w:val="TableHeading"/>
              <w:jc w:val="right"/>
            </w:pPr>
            <w:r w:rsidRPr="00134CF0">
              <w:t>Column 2</w:t>
            </w:r>
          </w:p>
          <w:p w14:paraId="6A3415DD" w14:textId="77777777" w:rsidR="00DB154A" w:rsidRPr="00134CF0" w:rsidRDefault="00DB154A" w:rsidP="00426FEE">
            <w:pPr>
              <w:pStyle w:val="TableHeading"/>
              <w:jc w:val="right"/>
            </w:pPr>
            <w:r w:rsidRPr="00134CF0">
              <w:t>Exit rate</w:t>
            </w:r>
          </w:p>
        </w:tc>
      </w:tr>
      <w:tr w:rsidR="00DB154A" w:rsidRPr="00134CF0" w14:paraId="3C01DE41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12" w:space="0" w:color="auto"/>
            </w:tcBorders>
            <w:shd w:val="clear" w:color="auto" w:fill="auto"/>
          </w:tcPr>
          <w:p w14:paraId="53585FFD" w14:textId="77777777" w:rsidR="00DB154A" w:rsidRPr="00134CF0" w:rsidRDefault="00DB154A" w:rsidP="00426FEE">
            <w:pPr>
              <w:pStyle w:val="Tabletext"/>
            </w:pPr>
            <w:r w:rsidRPr="00134CF0">
              <w:t>1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</w:tcPr>
          <w:p w14:paraId="00674E8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16</w:t>
            </w:r>
          </w:p>
        </w:tc>
        <w:tc>
          <w:tcPr>
            <w:tcW w:w="1769" w:type="pct"/>
            <w:tcBorders>
              <w:top w:val="single" w:sz="12" w:space="0" w:color="auto"/>
            </w:tcBorders>
            <w:shd w:val="clear" w:color="auto" w:fill="auto"/>
          </w:tcPr>
          <w:p w14:paraId="163CF7F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B154A" w:rsidRPr="00134CF0" w14:paraId="558DAE7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EB840CF" w14:textId="77777777" w:rsidR="00DB154A" w:rsidRPr="00134CF0" w:rsidRDefault="00DB154A" w:rsidP="00426FEE">
            <w:pPr>
              <w:pStyle w:val="Tabletext"/>
            </w:pPr>
            <w:r w:rsidRPr="00134CF0">
              <w:t>2</w:t>
            </w:r>
          </w:p>
        </w:tc>
        <w:tc>
          <w:tcPr>
            <w:tcW w:w="2097" w:type="pct"/>
            <w:shd w:val="clear" w:color="auto" w:fill="auto"/>
          </w:tcPr>
          <w:p w14:paraId="6D9AFF0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17</w:t>
            </w:r>
          </w:p>
        </w:tc>
        <w:tc>
          <w:tcPr>
            <w:tcW w:w="1769" w:type="pct"/>
            <w:shd w:val="clear" w:color="auto" w:fill="auto"/>
          </w:tcPr>
          <w:p w14:paraId="6E372B8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B154A" w:rsidRPr="00134CF0" w14:paraId="3FB3D5D7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76BC029" w14:textId="77777777" w:rsidR="00DB154A" w:rsidRPr="00134CF0" w:rsidRDefault="00DB154A" w:rsidP="00426FEE">
            <w:pPr>
              <w:pStyle w:val="Tabletext"/>
            </w:pPr>
            <w:r w:rsidRPr="00134CF0">
              <w:t>3</w:t>
            </w:r>
          </w:p>
        </w:tc>
        <w:tc>
          <w:tcPr>
            <w:tcW w:w="2097" w:type="pct"/>
            <w:shd w:val="clear" w:color="auto" w:fill="auto"/>
          </w:tcPr>
          <w:p w14:paraId="3BB7BB10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18</w:t>
            </w:r>
          </w:p>
        </w:tc>
        <w:tc>
          <w:tcPr>
            <w:tcW w:w="1769" w:type="pct"/>
            <w:shd w:val="clear" w:color="auto" w:fill="auto"/>
          </w:tcPr>
          <w:p w14:paraId="12902A4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B154A" w:rsidRPr="00134CF0" w14:paraId="247660C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11F7B55" w14:textId="77777777" w:rsidR="00DB154A" w:rsidRPr="00134CF0" w:rsidRDefault="00DB154A" w:rsidP="00426FEE">
            <w:pPr>
              <w:pStyle w:val="Tabletext"/>
            </w:pPr>
            <w:r w:rsidRPr="00134CF0">
              <w:t>4</w:t>
            </w:r>
          </w:p>
        </w:tc>
        <w:tc>
          <w:tcPr>
            <w:tcW w:w="2097" w:type="pct"/>
            <w:shd w:val="clear" w:color="auto" w:fill="auto"/>
          </w:tcPr>
          <w:p w14:paraId="5FCB711A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19</w:t>
            </w:r>
          </w:p>
        </w:tc>
        <w:tc>
          <w:tcPr>
            <w:tcW w:w="1769" w:type="pct"/>
            <w:shd w:val="clear" w:color="auto" w:fill="auto"/>
          </w:tcPr>
          <w:p w14:paraId="1ABECAC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B154A" w:rsidRPr="00134CF0" w14:paraId="78A5768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C6B9160" w14:textId="77777777" w:rsidR="00DB154A" w:rsidRPr="00134CF0" w:rsidRDefault="00DB154A" w:rsidP="00426FEE">
            <w:pPr>
              <w:pStyle w:val="Tabletext"/>
            </w:pPr>
            <w:r w:rsidRPr="00134CF0">
              <w:t>5</w:t>
            </w:r>
          </w:p>
        </w:tc>
        <w:tc>
          <w:tcPr>
            <w:tcW w:w="2097" w:type="pct"/>
            <w:shd w:val="clear" w:color="auto" w:fill="auto"/>
          </w:tcPr>
          <w:p w14:paraId="75B4FCF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20</w:t>
            </w:r>
          </w:p>
        </w:tc>
        <w:tc>
          <w:tcPr>
            <w:tcW w:w="1769" w:type="pct"/>
            <w:shd w:val="clear" w:color="auto" w:fill="auto"/>
          </w:tcPr>
          <w:p w14:paraId="3B59A1E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5B7AFDD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EC12827" w14:textId="77777777" w:rsidR="00DB154A" w:rsidRPr="00134CF0" w:rsidRDefault="00DB154A" w:rsidP="00426FEE">
            <w:pPr>
              <w:pStyle w:val="Tabletext"/>
            </w:pPr>
            <w:r w:rsidRPr="00134CF0">
              <w:t>6</w:t>
            </w:r>
          </w:p>
        </w:tc>
        <w:tc>
          <w:tcPr>
            <w:tcW w:w="2097" w:type="pct"/>
            <w:shd w:val="clear" w:color="auto" w:fill="auto"/>
          </w:tcPr>
          <w:p w14:paraId="532E5DF9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21</w:t>
            </w:r>
          </w:p>
        </w:tc>
        <w:tc>
          <w:tcPr>
            <w:tcW w:w="1769" w:type="pct"/>
            <w:shd w:val="clear" w:color="auto" w:fill="auto"/>
          </w:tcPr>
          <w:p w14:paraId="34D7F26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24D0DF7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868B8DC" w14:textId="77777777" w:rsidR="00DB154A" w:rsidRPr="00134CF0" w:rsidRDefault="00DB154A" w:rsidP="00426FEE">
            <w:pPr>
              <w:pStyle w:val="Tabletext"/>
            </w:pPr>
            <w:r w:rsidRPr="00134CF0">
              <w:t>7</w:t>
            </w:r>
          </w:p>
        </w:tc>
        <w:tc>
          <w:tcPr>
            <w:tcW w:w="2097" w:type="pct"/>
            <w:shd w:val="clear" w:color="auto" w:fill="auto"/>
          </w:tcPr>
          <w:p w14:paraId="048899A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22</w:t>
            </w:r>
          </w:p>
        </w:tc>
        <w:tc>
          <w:tcPr>
            <w:tcW w:w="1769" w:type="pct"/>
            <w:shd w:val="clear" w:color="auto" w:fill="auto"/>
          </w:tcPr>
          <w:p w14:paraId="077B6B5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5EFBAB1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C1A88D0" w14:textId="77777777" w:rsidR="00DB154A" w:rsidRPr="00134CF0" w:rsidRDefault="00DB154A" w:rsidP="00426FEE">
            <w:pPr>
              <w:pStyle w:val="Tabletext"/>
            </w:pPr>
            <w:r w:rsidRPr="00134CF0">
              <w:t>8</w:t>
            </w:r>
          </w:p>
        </w:tc>
        <w:tc>
          <w:tcPr>
            <w:tcW w:w="2097" w:type="pct"/>
            <w:shd w:val="clear" w:color="auto" w:fill="auto"/>
          </w:tcPr>
          <w:p w14:paraId="20FF7B9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23</w:t>
            </w:r>
          </w:p>
        </w:tc>
        <w:tc>
          <w:tcPr>
            <w:tcW w:w="1769" w:type="pct"/>
            <w:shd w:val="clear" w:color="auto" w:fill="auto"/>
          </w:tcPr>
          <w:p w14:paraId="043421A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367D447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7DF0CEE" w14:textId="77777777" w:rsidR="00DB154A" w:rsidRPr="00134CF0" w:rsidRDefault="00DB154A" w:rsidP="00426FEE">
            <w:pPr>
              <w:pStyle w:val="Tabletext"/>
            </w:pPr>
            <w:r w:rsidRPr="00134CF0">
              <w:t>9</w:t>
            </w:r>
          </w:p>
        </w:tc>
        <w:tc>
          <w:tcPr>
            <w:tcW w:w="2097" w:type="pct"/>
            <w:shd w:val="clear" w:color="auto" w:fill="auto"/>
          </w:tcPr>
          <w:p w14:paraId="43001187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24</w:t>
            </w:r>
          </w:p>
        </w:tc>
        <w:tc>
          <w:tcPr>
            <w:tcW w:w="1769" w:type="pct"/>
            <w:shd w:val="clear" w:color="auto" w:fill="auto"/>
          </w:tcPr>
          <w:p w14:paraId="74AD46AD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B154A" w:rsidRPr="00134CF0" w14:paraId="67EF0563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EB99A78" w14:textId="77777777" w:rsidR="00DB154A" w:rsidRPr="00134CF0" w:rsidRDefault="00DB154A" w:rsidP="00426FEE">
            <w:pPr>
              <w:pStyle w:val="Tabletext"/>
            </w:pPr>
            <w:r w:rsidRPr="00134CF0">
              <w:t>10</w:t>
            </w:r>
          </w:p>
        </w:tc>
        <w:tc>
          <w:tcPr>
            <w:tcW w:w="2097" w:type="pct"/>
            <w:shd w:val="clear" w:color="auto" w:fill="auto"/>
          </w:tcPr>
          <w:p w14:paraId="3167E1B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25</w:t>
            </w:r>
          </w:p>
        </w:tc>
        <w:tc>
          <w:tcPr>
            <w:tcW w:w="1769" w:type="pct"/>
            <w:shd w:val="clear" w:color="auto" w:fill="auto"/>
          </w:tcPr>
          <w:p w14:paraId="794BB1C0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B154A" w:rsidRPr="00134CF0" w14:paraId="3A834E8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7AEA3DF" w14:textId="77777777" w:rsidR="00DB154A" w:rsidRPr="00134CF0" w:rsidRDefault="00DB154A" w:rsidP="00426FEE">
            <w:pPr>
              <w:pStyle w:val="Tabletext"/>
            </w:pPr>
            <w:r w:rsidRPr="00134CF0">
              <w:t>11</w:t>
            </w:r>
          </w:p>
        </w:tc>
        <w:tc>
          <w:tcPr>
            <w:tcW w:w="2097" w:type="pct"/>
            <w:shd w:val="clear" w:color="auto" w:fill="auto"/>
          </w:tcPr>
          <w:p w14:paraId="61D173F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26</w:t>
            </w:r>
          </w:p>
        </w:tc>
        <w:tc>
          <w:tcPr>
            <w:tcW w:w="1769" w:type="pct"/>
            <w:shd w:val="clear" w:color="auto" w:fill="auto"/>
          </w:tcPr>
          <w:p w14:paraId="3B5B597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0.045</w:t>
            </w:r>
          </w:p>
        </w:tc>
      </w:tr>
      <w:tr w:rsidR="00DB154A" w:rsidRPr="00134CF0" w14:paraId="02A8705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A681191" w14:textId="77777777" w:rsidR="00DB154A" w:rsidRPr="00134CF0" w:rsidRDefault="00DB154A" w:rsidP="00426FEE">
            <w:pPr>
              <w:pStyle w:val="Tabletext"/>
            </w:pPr>
            <w:r w:rsidRPr="00134CF0">
              <w:t>12</w:t>
            </w:r>
          </w:p>
        </w:tc>
        <w:tc>
          <w:tcPr>
            <w:tcW w:w="2097" w:type="pct"/>
            <w:shd w:val="clear" w:color="auto" w:fill="auto"/>
          </w:tcPr>
          <w:p w14:paraId="6576CBEE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27</w:t>
            </w:r>
          </w:p>
        </w:tc>
        <w:tc>
          <w:tcPr>
            <w:tcW w:w="1769" w:type="pct"/>
            <w:shd w:val="clear" w:color="auto" w:fill="auto"/>
          </w:tcPr>
          <w:p w14:paraId="197A44A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B154A" w:rsidRPr="00134CF0" w14:paraId="22F1FBE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2E9AF5E" w14:textId="77777777" w:rsidR="00DB154A" w:rsidRPr="00134CF0" w:rsidRDefault="00DB154A" w:rsidP="00426FEE">
            <w:pPr>
              <w:pStyle w:val="Tabletext"/>
            </w:pPr>
            <w:r w:rsidRPr="00134CF0">
              <w:t>13</w:t>
            </w:r>
          </w:p>
        </w:tc>
        <w:tc>
          <w:tcPr>
            <w:tcW w:w="2097" w:type="pct"/>
            <w:shd w:val="clear" w:color="auto" w:fill="auto"/>
          </w:tcPr>
          <w:p w14:paraId="29F957C2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28</w:t>
            </w:r>
          </w:p>
        </w:tc>
        <w:tc>
          <w:tcPr>
            <w:tcW w:w="1769" w:type="pct"/>
            <w:shd w:val="clear" w:color="auto" w:fill="auto"/>
          </w:tcPr>
          <w:p w14:paraId="5DA8773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0.043</w:t>
            </w:r>
          </w:p>
        </w:tc>
      </w:tr>
      <w:tr w:rsidR="00DB154A" w:rsidRPr="00134CF0" w14:paraId="11EC861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859A9FB" w14:textId="77777777" w:rsidR="00DB154A" w:rsidRPr="00134CF0" w:rsidRDefault="00DB154A" w:rsidP="00426FEE">
            <w:pPr>
              <w:pStyle w:val="Tabletext"/>
            </w:pPr>
            <w:r w:rsidRPr="00134CF0">
              <w:t>14</w:t>
            </w:r>
          </w:p>
        </w:tc>
        <w:tc>
          <w:tcPr>
            <w:tcW w:w="2097" w:type="pct"/>
            <w:shd w:val="clear" w:color="auto" w:fill="auto"/>
          </w:tcPr>
          <w:p w14:paraId="62DACC9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29</w:t>
            </w:r>
          </w:p>
        </w:tc>
        <w:tc>
          <w:tcPr>
            <w:tcW w:w="1769" w:type="pct"/>
            <w:shd w:val="clear" w:color="auto" w:fill="auto"/>
          </w:tcPr>
          <w:p w14:paraId="7EE77E7D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B154A" w:rsidRPr="00134CF0" w14:paraId="35AF153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9E1AE06" w14:textId="77777777" w:rsidR="00DB154A" w:rsidRPr="00134CF0" w:rsidRDefault="00DB154A" w:rsidP="00426FEE">
            <w:pPr>
              <w:pStyle w:val="Tabletext"/>
            </w:pPr>
            <w:r w:rsidRPr="00134CF0">
              <w:t>15</w:t>
            </w:r>
          </w:p>
        </w:tc>
        <w:tc>
          <w:tcPr>
            <w:tcW w:w="2097" w:type="pct"/>
            <w:shd w:val="clear" w:color="auto" w:fill="auto"/>
          </w:tcPr>
          <w:p w14:paraId="21DDEB7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30</w:t>
            </w:r>
          </w:p>
        </w:tc>
        <w:tc>
          <w:tcPr>
            <w:tcW w:w="1769" w:type="pct"/>
            <w:shd w:val="clear" w:color="auto" w:fill="auto"/>
          </w:tcPr>
          <w:p w14:paraId="599EA1B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0.040</w:t>
            </w:r>
          </w:p>
        </w:tc>
      </w:tr>
      <w:tr w:rsidR="00DB154A" w:rsidRPr="00134CF0" w14:paraId="548F48F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8CDC51C" w14:textId="77777777" w:rsidR="00DB154A" w:rsidRPr="00134CF0" w:rsidRDefault="00DB154A" w:rsidP="00426FEE">
            <w:pPr>
              <w:pStyle w:val="Tabletext"/>
            </w:pPr>
            <w:r w:rsidRPr="00134CF0">
              <w:t>16</w:t>
            </w:r>
          </w:p>
        </w:tc>
        <w:tc>
          <w:tcPr>
            <w:tcW w:w="2097" w:type="pct"/>
            <w:shd w:val="clear" w:color="auto" w:fill="auto"/>
          </w:tcPr>
          <w:p w14:paraId="290F8CC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769" w:type="pct"/>
            <w:shd w:val="clear" w:color="auto" w:fill="auto"/>
          </w:tcPr>
          <w:p w14:paraId="549789D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0.039</w:t>
            </w:r>
          </w:p>
        </w:tc>
      </w:tr>
      <w:tr w:rsidR="00DB154A" w:rsidRPr="00134CF0" w14:paraId="7FE3EC0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7EEA8A9" w14:textId="77777777" w:rsidR="00DB154A" w:rsidRPr="00134CF0" w:rsidRDefault="00DB154A" w:rsidP="00426FEE">
            <w:pPr>
              <w:pStyle w:val="Tabletext"/>
            </w:pPr>
            <w:r w:rsidRPr="00134CF0">
              <w:t>17</w:t>
            </w:r>
          </w:p>
        </w:tc>
        <w:tc>
          <w:tcPr>
            <w:tcW w:w="2097" w:type="pct"/>
            <w:shd w:val="clear" w:color="auto" w:fill="auto"/>
          </w:tcPr>
          <w:p w14:paraId="39C9241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769" w:type="pct"/>
            <w:shd w:val="clear" w:color="auto" w:fill="auto"/>
          </w:tcPr>
          <w:p w14:paraId="7479CE15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0.038</w:t>
            </w:r>
          </w:p>
        </w:tc>
      </w:tr>
      <w:tr w:rsidR="00DB154A" w:rsidRPr="00134CF0" w14:paraId="189C81A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5E26756" w14:textId="77777777" w:rsidR="00DB154A" w:rsidRPr="00134CF0" w:rsidRDefault="00DB154A" w:rsidP="00426FEE">
            <w:pPr>
              <w:pStyle w:val="Tabletext"/>
            </w:pPr>
            <w:r w:rsidRPr="00134CF0">
              <w:t>18</w:t>
            </w:r>
          </w:p>
        </w:tc>
        <w:tc>
          <w:tcPr>
            <w:tcW w:w="2097" w:type="pct"/>
            <w:shd w:val="clear" w:color="auto" w:fill="auto"/>
          </w:tcPr>
          <w:p w14:paraId="39A34142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769" w:type="pct"/>
            <w:shd w:val="clear" w:color="auto" w:fill="auto"/>
          </w:tcPr>
          <w:p w14:paraId="470B53D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0.037</w:t>
            </w:r>
          </w:p>
        </w:tc>
      </w:tr>
      <w:tr w:rsidR="00DB154A" w:rsidRPr="00134CF0" w14:paraId="7778363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725B024" w14:textId="77777777" w:rsidR="00DB154A" w:rsidRPr="00134CF0" w:rsidRDefault="00DB154A" w:rsidP="00426FEE">
            <w:pPr>
              <w:pStyle w:val="Tabletext"/>
            </w:pPr>
            <w:r w:rsidRPr="00134CF0">
              <w:t>19</w:t>
            </w:r>
          </w:p>
        </w:tc>
        <w:tc>
          <w:tcPr>
            <w:tcW w:w="2097" w:type="pct"/>
            <w:shd w:val="clear" w:color="auto" w:fill="auto"/>
          </w:tcPr>
          <w:p w14:paraId="0BE326D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769" w:type="pct"/>
            <w:shd w:val="clear" w:color="auto" w:fill="auto"/>
          </w:tcPr>
          <w:p w14:paraId="24554D0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0.036</w:t>
            </w:r>
          </w:p>
        </w:tc>
      </w:tr>
      <w:tr w:rsidR="00DB154A" w:rsidRPr="00134CF0" w14:paraId="22777C8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9C3E84A" w14:textId="77777777" w:rsidR="00DB154A" w:rsidRPr="00134CF0" w:rsidRDefault="00DB154A" w:rsidP="00426FEE">
            <w:pPr>
              <w:pStyle w:val="Tabletext"/>
            </w:pPr>
            <w:r w:rsidRPr="00134CF0">
              <w:t>20</w:t>
            </w:r>
          </w:p>
        </w:tc>
        <w:tc>
          <w:tcPr>
            <w:tcW w:w="2097" w:type="pct"/>
            <w:shd w:val="clear" w:color="auto" w:fill="auto"/>
          </w:tcPr>
          <w:p w14:paraId="4BB34DB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769" w:type="pct"/>
            <w:shd w:val="clear" w:color="auto" w:fill="auto"/>
          </w:tcPr>
          <w:p w14:paraId="38B8BEA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0.035</w:t>
            </w:r>
          </w:p>
        </w:tc>
      </w:tr>
      <w:tr w:rsidR="00DB154A" w:rsidRPr="00134CF0" w14:paraId="31390D90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CF097FD" w14:textId="77777777" w:rsidR="00DB154A" w:rsidRPr="00134CF0" w:rsidRDefault="00DB154A" w:rsidP="00426FEE">
            <w:pPr>
              <w:pStyle w:val="Tabletext"/>
            </w:pPr>
            <w:r w:rsidRPr="00134CF0">
              <w:t>21</w:t>
            </w:r>
          </w:p>
        </w:tc>
        <w:tc>
          <w:tcPr>
            <w:tcW w:w="2097" w:type="pct"/>
            <w:shd w:val="clear" w:color="auto" w:fill="auto"/>
          </w:tcPr>
          <w:p w14:paraId="15039C0E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769" w:type="pct"/>
            <w:shd w:val="clear" w:color="auto" w:fill="auto"/>
          </w:tcPr>
          <w:p w14:paraId="4686821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0.034</w:t>
            </w:r>
          </w:p>
        </w:tc>
      </w:tr>
      <w:tr w:rsidR="00DB154A" w:rsidRPr="00134CF0" w14:paraId="5501634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4CA0E0C" w14:textId="77777777" w:rsidR="00DB154A" w:rsidRPr="00134CF0" w:rsidRDefault="00DB154A" w:rsidP="00426FEE">
            <w:pPr>
              <w:pStyle w:val="Tabletext"/>
            </w:pPr>
            <w:r w:rsidRPr="00134CF0">
              <w:lastRenderedPageBreak/>
              <w:t>22</w:t>
            </w:r>
          </w:p>
        </w:tc>
        <w:tc>
          <w:tcPr>
            <w:tcW w:w="2097" w:type="pct"/>
            <w:shd w:val="clear" w:color="auto" w:fill="auto"/>
          </w:tcPr>
          <w:p w14:paraId="0689E02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769" w:type="pct"/>
            <w:shd w:val="clear" w:color="auto" w:fill="auto"/>
          </w:tcPr>
          <w:p w14:paraId="7269843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0.033</w:t>
            </w:r>
          </w:p>
        </w:tc>
      </w:tr>
      <w:tr w:rsidR="00DB154A" w:rsidRPr="00134CF0" w14:paraId="389606A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14B8BF7" w14:textId="77777777" w:rsidR="00DB154A" w:rsidRPr="00134CF0" w:rsidRDefault="00DB154A" w:rsidP="00426FEE">
            <w:pPr>
              <w:pStyle w:val="Tabletext"/>
            </w:pPr>
            <w:r w:rsidRPr="00134CF0">
              <w:t>23</w:t>
            </w:r>
          </w:p>
        </w:tc>
        <w:tc>
          <w:tcPr>
            <w:tcW w:w="2097" w:type="pct"/>
            <w:shd w:val="clear" w:color="auto" w:fill="auto"/>
          </w:tcPr>
          <w:p w14:paraId="3A455A6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769" w:type="pct"/>
            <w:shd w:val="clear" w:color="auto" w:fill="auto"/>
          </w:tcPr>
          <w:p w14:paraId="11A9C27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0.032</w:t>
            </w:r>
          </w:p>
        </w:tc>
      </w:tr>
      <w:tr w:rsidR="00DB154A" w:rsidRPr="00134CF0" w14:paraId="3655ADC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E8B0492" w14:textId="77777777" w:rsidR="00DB154A" w:rsidRPr="00134CF0" w:rsidRDefault="00DB154A" w:rsidP="00426FEE">
            <w:pPr>
              <w:pStyle w:val="Tabletext"/>
            </w:pPr>
            <w:r w:rsidRPr="00134CF0">
              <w:t>24</w:t>
            </w:r>
          </w:p>
        </w:tc>
        <w:tc>
          <w:tcPr>
            <w:tcW w:w="2097" w:type="pct"/>
            <w:shd w:val="clear" w:color="auto" w:fill="auto"/>
          </w:tcPr>
          <w:p w14:paraId="663B3A3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769" w:type="pct"/>
            <w:shd w:val="clear" w:color="auto" w:fill="auto"/>
          </w:tcPr>
          <w:p w14:paraId="09344C0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0.031</w:t>
            </w:r>
          </w:p>
        </w:tc>
      </w:tr>
      <w:tr w:rsidR="00DB154A" w:rsidRPr="00134CF0" w14:paraId="0EA0495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FF81066" w14:textId="77777777" w:rsidR="00DB154A" w:rsidRPr="00134CF0" w:rsidRDefault="00DB154A" w:rsidP="00426FEE">
            <w:pPr>
              <w:pStyle w:val="Tabletext"/>
            </w:pPr>
            <w:r w:rsidRPr="00134CF0">
              <w:t>25</w:t>
            </w:r>
          </w:p>
        </w:tc>
        <w:tc>
          <w:tcPr>
            <w:tcW w:w="2097" w:type="pct"/>
            <w:shd w:val="clear" w:color="auto" w:fill="auto"/>
          </w:tcPr>
          <w:p w14:paraId="3A99C48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769" w:type="pct"/>
            <w:shd w:val="clear" w:color="auto" w:fill="auto"/>
          </w:tcPr>
          <w:p w14:paraId="3814BCE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0.030</w:t>
            </w:r>
          </w:p>
        </w:tc>
      </w:tr>
      <w:tr w:rsidR="00DB154A" w:rsidRPr="00134CF0" w14:paraId="0C023101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62AF490" w14:textId="77777777" w:rsidR="00DB154A" w:rsidRPr="00134CF0" w:rsidRDefault="00DB154A" w:rsidP="00426FEE">
            <w:pPr>
              <w:pStyle w:val="Tabletext"/>
            </w:pPr>
            <w:r w:rsidRPr="00134CF0">
              <w:t>26</w:t>
            </w:r>
          </w:p>
        </w:tc>
        <w:tc>
          <w:tcPr>
            <w:tcW w:w="2097" w:type="pct"/>
            <w:shd w:val="clear" w:color="auto" w:fill="auto"/>
          </w:tcPr>
          <w:p w14:paraId="28F4FD40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769" w:type="pct"/>
            <w:shd w:val="clear" w:color="auto" w:fill="auto"/>
          </w:tcPr>
          <w:p w14:paraId="59A437EC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0.029</w:t>
            </w:r>
          </w:p>
        </w:tc>
      </w:tr>
      <w:tr w:rsidR="00DB154A" w:rsidRPr="00134CF0" w14:paraId="2927130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B1EA5CA" w14:textId="77777777" w:rsidR="00DB154A" w:rsidRPr="00134CF0" w:rsidRDefault="00DB154A" w:rsidP="00426FEE">
            <w:pPr>
              <w:pStyle w:val="Tabletext"/>
            </w:pPr>
            <w:r w:rsidRPr="00134CF0">
              <w:t>27</w:t>
            </w:r>
          </w:p>
        </w:tc>
        <w:tc>
          <w:tcPr>
            <w:tcW w:w="2097" w:type="pct"/>
            <w:shd w:val="clear" w:color="auto" w:fill="auto"/>
          </w:tcPr>
          <w:p w14:paraId="71CB199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769" w:type="pct"/>
            <w:shd w:val="clear" w:color="auto" w:fill="auto"/>
          </w:tcPr>
          <w:p w14:paraId="17A17C3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0.028</w:t>
            </w:r>
          </w:p>
        </w:tc>
      </w:tr>
      <w:tr w:rsidR="00DB154A" w:rsidRPr="00134CF0" w14:paraId="3F35987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B121DEE" w14:textId="77777777" w:rsidR="00DB154A" w:rsidRPr="00134CF0" w:rsidRDefault="00DB154A" w:rsidP="00426FEE">
            <w:pPr>
              <w:pStyle w:val="Tabletext"/>
            </w:pPr>
            <w:r w:rsidRPr="00134CF0">
              <w:t>28</w:t>
            </w:r>
          </w:p>
        </w:tc>
        <w:tc>
          <w:tcPr>
            <w:tcW w:w="2097" w:type="pct"/>
            <w:shd w:val="clear" w:color="auto" w:fill="auto"/>
          </w:tcPr>
          <w:p w14:paraId="61130F3F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769" w:type="pct"/>
            <w:shd w:val="clear" w:color="auto" w:fill="auto"/>
          </w:tcPr>
          <w:p w14:paraId="333CD148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0.027</w:t>
            </w:r>
          </w:p>
        </w:tc>
      </w:tr>
      <w:tr w:rsidR="00DB154A" w:rsidRPr="00134CF0" w14:paraId="669A68C7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627CB61" w14:textId="77777777" w:rsidR="00DB154A" w:rsidRPr="00134CF0" w:rsidRDefault="00DB154A" w:rsidP="00426FEE">
            <w:pPr>
              <w:pStyle w:val="Tabletext"/>
            </w:pPr>
            <w:r w:rsidRPr="00134CF0">
              <w:t>29</w:t>
            </w:r>
          </w:p>
        </w:tc>
        <w:tc>
          <w:tcPr>
            <w:tcW w:w="2097" w:type="pct"/>
            <w:shd w:val="clear" w:color="auto" w:fill="auto"/>
          </w:tcPr>
          <w:p w14:paraId="3FB2052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769" w:type="pct"/>
            <w:shd w:val="clear" w:color="auto" w:fill="auto"/>
          </w:tcPr>
          <w:p w14:paraId="2B7C9CDC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0.026</w:t>
            </w:r>
          </w:p>
        </w:tc>
      </w:tr>
      <w:tr w:rsidR="00DB154A" w:rsidRPr="00134CF0" w14:paraId="2F02E09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CB297B9" w14:textId="77777777" w:rsidR="00DB154A" w:rsidRPr="00134CF0" w:rsidRDefault="00DB154A" w:rsidP="00426FEE">
            <w:pPr>
              <w:pStyle w:val="Tabletext"/>
            </w:pPr>
            <w:r w:rsidRPr="00134CF0">
              <w:t>30</w:t>
            </w:r>
          </w:p>
        </w:tc>
        <w:tc>
          <w:tcPr>
            <w:tcW w:w="2097" w:type="pct"/>
            <w:shd w:val="clear" w:color="auto" w:fill="auto"/>
          </w:tcPr>
          <w:p w14:paraId="7A737097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769" w:type="pct"/>
            <w:shd w:val="clear" w:color="auto" w:fill="auto"/>
          </w:tcPr>
          <w:p w14:paraId="39B34FA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7F800CAA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1C6E68BB" w14:textId="77777777" w:rsidR="00DB154A" w:rsidRPr="00134CF0" w:rsidRDefault="00DB154A" w:rsidP="00426FEE">
            <w:pPr>
              <w:pStyle w:val="Tabletext"/>
            </w:pPr>
            <w:r w:rsidRPr="00134CF0">
              <w:t>31</w:t>
            </w:r>
          </w:p>
        </w:tc>
        <w:tc>
          <w:tcPr>
            <w:tcW w:w="2097" w:type="pct"/>
            <w:shd w:val="clear" w:color="auto" w:fill="auto"/>
          </w:tcPr>
          <w:p w14:paraId="52B4950A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769" w:type="pct"/>
            <w:shd w:val="clear" w:color="auto" w:fill="auto"/>
          </w:tcPr>
          <w:p w14:paraId="74C688E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38F83DE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E72DFD9" w14:textId="77777777" w:rsidR="00DB154A" w:rsidRPr="00134CF0" w:rsidRDefault="00DB154A" w:rsidP="00426FEE">
            <w:pPr>
              <w:pStyle w:val="Tabletext"/>
            </w:pPr>
            <w:r w:rsidRPr="00134CF0">
              <w:t>32</w:t>
            </w:r>
          </w:p>
        </w:tc>
        <w:tc>
          <w:tcPr>
            <w:tcW w:w="2097" w:type="pct"/>
            <w:shd w:val="clear" w:color="auto" w:fill="auto"/>
          </w:tcPr>
          <w:p w14:paraId="48027F0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769" w:type="pct"/>
            <w:shd w:val="clear" w:color="auto" w:fill="auto"/>
          </w:tcPr>
          <w:p w14:paraId="22D0A28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31F2D17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66CBD56" w14:textId="77777777" w:rsidR="00DB154A" w:rsidRPr="00134CF0" w:rsidRDefault="00DB154A" w:rsidP="00426FEE">
            <w:pPr>
              <w:pStyle w:val="Tabletext"/>
            </w:pPr>
            <w:r w:rsidRPr="00134CF0">
              <w:t>33</w:t>
            </w:r>
          </w:p>
        </w:tc>
        <w:tc>
          <w:tcPr>
            <w:tcW w:w="2097" w:type="pct"/>
            <w:shd w:val="clear" w:color="auto" w:fill="auto"/>
          </w:tcPr>
          <w:p w14:paraId="34A858F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769" w:type="pct"/>
            <w:shd w:val="clear" w:color="auto" w:fill="auto"/>
          </w:tcPr>
          <w:p w14:paraId="3969FBE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44EFB54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B5BCE87" w14:textId="77777777" w:rsidR="00DB154A" w:rsidRPr="00134CF0" w:rsidRDefault="00DB154A" w:rsidP="00426FEE">
            <w:pPr>
              <w:pStyle w:val="Tabletext"/>
            </w:pPr>
            <w:r w:rsidRPr="00134CF0">
              <w:t>34</w:t>
            </w:r>
          </w:p>
        </w:tc>
        <w:tc>
          <w:tcPr>
            <w:tcW w:w="2097" w:type="pct"/>
            <w:shd w:val="clear" w:color="auto" w:fill="auto"/>
          </w:tcPr>
          <w:p w14:paraId="1C0EDF4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769" w:type="pct"/>
            <w:shd w:val="clear" w:color="auto" w:fill="auto"/>
          </w:tcPr>
          <w:p w14:paraId="019825D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0A0E89A7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B09D296" w14:textId="77777777" w:rsidR="00DB154A" w:rsidRPr="00134CF0" w:rsidRDefault="00DB154A" w:rsidP="00426FEE">
            <w:pPr>
              <w:pStyle w:val="Tabletext"/>
            </w:pPr>
            <w:r w:rsidRPr="00134CF0">
              <w:t>35</w:t>
            </w:r>
          </w:p>
        </w:tc>
        <w:tc>
          <w:tcPr>
            <w:tcW w:w="2097" w:type="pct"/>
            <w:shd w:val="clear" w:color="auto" w:fill="auto"/>
          </w:tcPr>
          <w:p w14:paraId="02E0A47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769" w:type="pct"/>
            <w:shd w:val="clear" w:color="auto" w:fill="auto"/>
          </w:tcPr>
          <w:p w14:paraId="7F12A9F1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53BA4976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AC382E3" w14:textId="77777777" w:rsidR="00DB154A" w:rsidRPr="00134CF0" w:rsidRDefault="00DB154A" w:rsidP="00426FEE">
            <w:pPr>
              <w:pStyle w:val="Tabletext"/>
            </w:pPr>
            <w:r w:rsidRPr="00134CF0">
              <w:t>36</w:t>
            </w:r>
          </w:p>
        </w:tc>
        <w:tc>
          <w:tcPr>
            <w:tcW w:w="2097" w:type="pct"/>
            <w:shd w:val="clear" w:color="auto" w:fill="auto"/>
          </w:tcPr>
          <w:p w14:paraId="698139A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769" w:type="pct"/>
            <w:shd w:val="clear" w:color="auto" w:fill="auto"/>
          </w:tcPr>
          <w:p w14:paraId="1D8D607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18C5CC99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CA10F5B" w14:textId="77777777" w:rsidR="00DB154A" w:rsidRPr="00134CF0" w:rsidRDefault="00DB154A" w:rsidP="00426FEE">
            <w:pPr>
              <w:pStyle w:val="Tabletext"/>
            </w:pPr>
            <w:r w:rsidRPr="00134CF0">
              <w:t>37</w:t>
            </w:r>
          </w:p>
        </w:tc>
        <w:tc>
          <w:tcPr>
            <w:tcW w:w="2097" w:type="pct"/>
            <w:shd w:val="clear" w:color="auto" w:fill="auto"/>
          </w:tcPr>
          <w:p w14:paraId="39D6E79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769" w:type="pct"/>
            <w:shd w:val="clear" w:color="auto" w:fill="auto"/>
          </w:tcPr>
          <w:p w14:paraId="047F0A9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013A04A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746D495" w14:textId="77777777" w:rsidR="00DB154A" w:rsidRPr="00134CF0" w:rsidRDefault="00DB154A" w:rsidP="00426FEE">
            <w:pPr>
              <w:pStyle w:val="Tabletext"/>
            </w:pPr>
            <w:r w:rsidRPr="00134CF0">
              <w:t>38</w:t>
            </w:r>
          </w:p>
        </w:tc>
        <w:tc>
          <w:tcPr>
            <w:tcW w:w="2097" w:type="pct"/>
            <w:shd w:val="clear" w:color="auto" w:fill="auto"/>
          </w:tcPr>
          <w:p w14:paraId="7356518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769" w:type="pct"/>
            <w:shd w:val="clear" w:color="auto" w:fill="auto"/>
          </w:tcPr>
          <w:p w14:paraId="5181F25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7F297DF8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29D0BAAE" w14:textId="77777777" w:rsidR="00DB154A" w:rsidRPr="00134CF0" w:rsidRDefault="00DB154A" w:rsidP="00426FEE">
            <w:pPr>
              <w:pStyle w:val="Tabletext"/>
            </w:pPr>
            <w:r w:rsidRPr="00134CF0">
              <w:t>39</w:t>
            </w:r>
          </w:p>
        </w:tc>
        <w:tc>
          <w:tcPr>
            <w:tcW w:w="2097" w:type="pct"/>
            <w:shd w:val="clear" w:color="auto" w:fill="auto"/>
          </w:tcPr>
          <w:p w14:paraId="47967A6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769" w:type="pct"/>
            <w:shd w:val="clear" w:color="auto" w:fill="auto"/>
          </w:tcPr>
          <w:p w14:paraId="72E2BAE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5A5D138F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5D280B6" w14:textId="77777777" w:rsidR="00DB154A" w:rsidRPr="00134CF0" w:rsidRDefault="00DB154A" w:rsidP="00426FEE">
            <w:pPr>
              <w:pStyle w:val="Tabletext"/>
            </w:pPr>
            <w:r w:rsidRPr="00134CF0">
              <w:t>40</w:t>
            </w:r>
          </w:p>
        </w:tc>
        <w:tc>
          <w:tcPr>
            <w:tcW w:w="2097" w:type="pct"/>
            <w:shd w:val="clear" w:color="auto" w:fill="auto"/>
          </w:tcPr>
          <w:p w14:paraId="27A0BC6E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769" w:type="pct"/>
            <w:shd w:val="clear" w:color="auto" w:fill="auto"/>
          </w:tcPr>
          <w:p w14:paraId="5C699A9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0.100</w:t>
            </w:r>
          </w:p>
        </w:tc>
      </w:tr>
      <w:tr w:rsidR="00DB154A" w:rsidRPr="00134CF0" w14:paraId="5DF634C5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FC43A54" w14:textId="77777777" w:rsidR="00DB154A" w:rsidRPr="00134CF0" w:rsidRDefault="00DB154A" w:rsidP="00426FEE">
            <w:pPr>
              <w:pStyle w:val="Tabletext"/>
            </w:pPr>
            <w:r w:rsidRPr="00134CF0">
              <w:t>41</w:t>
            </w:r>
          </w:p>
        </w:tc>
        <w:tc>
          <w:tcPr>
            <w:tcW w:w="2097" w:type="pct"/>
            <w:shd w:val="clear" w:color="auto" w:fill="auto"/>
          </w:tcPr>
          <w:p w14:paraId="65FE792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769" w:type="pct"/>
            <w:shd w:val="clear" w:color="auto" w:fill="auto"/>
          </w:tcPr>
          <w:p w14:paraId="6E7A1EA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B154A" w:rsidRPr="00134CF0" w14:paraId="0C7F008B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49535696" w14:textId="77777777" w:rsidR="00DB154A" w:rsidRPr="00134CF0" w:rsidRDefault="00DB154A" w:rsidP="00426FEE">
            <w:pPr>
              <w:pStyle w:val="Tabletext"/>
            </w:pPr>
            <w:r w:rsidRPr="00134CF0">
              <w:t>42</w:t>
            </w:r>
          </w:p>
        </w:tc>
        <w:tc>
          <w:tcPr>
            <w:tcW w:w="2097" w:type="pct"/>
            <w:shd w:val="clear" w:color="auto" w:fill="auto"/>
          </w:tcPr>
          <w:p w14:paraId="1D2D9D59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769" w:type="pct"/>
            <w:shd w:val="clear" w:color="auto" w:fill="auto"/>
          </w:tcPr>
          <w:p w14:paraId="79FA258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B154A" w:rsidRPr="00134CF0" w14:paraId="7B4478FD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F448D10" w14:textId="77777777" w:rsidR="00DB154A" w:rsidRPr="00134CF0" w:rsidRDefault="00DB154A" w:rsidP="00426FEE">
            <w:pPr>
              <w:pStyle w:val="Tabletext"/>
            </w:pPr>
            <w:r w:rsidRPr="00134CF0">
              <w:t>43</w:t>
            </w:r>
          </w:p>
        </w:tc>
        <w:tc>
          <w:tcPr>
            <w:tcW w:w="2097" w:type="pct"/>
            <w:shd w:val="clear" w:color="auto" w:fill="auto"/>
          </w:tcPr>
          <w:p w14:paraId="03E4A457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769" w:type="pct"/>
            <w:shd w:val="clear" w:color="auto" w:fill="auto"/>
          </w:tcPr>
          <w:p w14:paraId="7581451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B154A" w:rsidRPr="00134CF0" w14:paraId="43DAAAB6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0CE28902" w14:textId="77777777" w:rsidR="00DB154A" w:rsidRPr="00134CF0" w:rsidRDefault="00DB154A" w:rsidP="00426FEE">
            <w:pPr>
              <w:pStyle w:val="Tabletext"/>
            </w:pPr>
            <w:r w:rsidRPr="00134CF0">
              <w:t>44</w:t>
            </w:r>
          </w:p>
        </w:tc>
        <w:tc>
          <w:tcPr>
            <w:tcW w:w="2097" w:type="pct"/>
            <w:shd w:val="clear" w:color="auto" w:fill="auto"/>
          </w:tcPr>
          <w:p w14:paraId="69AED862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769" w:type="pct"/>
            <w:shd w:val="clear" w:color="auto" w:fill="auto"/>
          </w:tcPr>
          <w:p w14:paraId="73B00C7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0.075</w:t>
            </w:r>
          </w:p>
        </w:tc>
      </w:tr>
      <w:tr w:rsidR="00DB154A" w:rsidRPr="00134CF0" w14:paraId="7A2F0224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36D3E99A" w14:textId="77777777" w:rsidR="00DB154A" w:rsidRPr="00134CF0" w:rsidRDefault="00DB154A" w:rsidP="00426FEE">
            <w:pPr>
              <w:pStyle w:val="Tabletext"/>
            </w:pPr>
            <w:r w:rsidRPr="00134CF0">
              <w:t>45</w:t>
            </w:r>
          </w:p>
        </w:tc>
        <w:tc>
          <w:tcPr>
            <w:tcW w:w="2097" w:type="pct"/>
            <w:shd w:val="clear" w:color="auto" w:fill="auto"/>
          </w:tcPr>
          <w:p w14:paraId="7AB5787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769" w:type="pct"/>
            <w:shd w:val="clear" w:color="auto" w:fill="auto"/>
          </w:tcPr>
          <w:p w14:paraId="1EDC081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3EFBC2AE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78720A39" w14:textId="77777777" w:rsidR="00DB154A" w:rsidRPr="00134CF0" w:rsidRDefault="00DB154A" w:rsidP="00426FEE">
            <w:pPr>
              <w:pStyle w:val="Tabletext"/>
            </w:pPr>
            <w:r w:rsidRPr="00134CF0">
              <w:t>46</w:t>
            </w:r>
          </w:p>
        </w:tc>
        <w:tc>
          <w:tcPr>
            <w:tcW w:w="2097" w:type="pct"/>
            <w:shd w:val="clear" w:color="auto" w:fill="auto"/>
          </w:tcPr>
          <w:p w14:paraId="49FF235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61</w:t>
            </w:r>
          </w:p>
        </w:tc>
        <w:tc>
          <w:tcPr>
            <w:tcW w:w="1769" w:type="pct"/>
            <w:shd w:val="clear" w:color="auto" w:fill="auto"/>
          </w:tcPr>
          <w:p w14:paraId="5BFAC8F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794EEA22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5B687416" w14:textId="77777777" w:rsidR="00DB154A" w:rsidRPr="00134CF0" w:rsidRDefault="00DB154A" w:rsidP="00426FEE">
            <w:pPr>
              <w:pStyle w:val="Tabletext"/>
            </w:pPr>
            <w:r w:rsidRPr="00134CF0">
              <w:t>47</w:t>
            </w:r>
          </w:p>
        </w:tc>
        <w:tc>
          <w:tcPr>
            <w:tcW w:w="2097" w:type="pct"/>
            <w:shd w:val="clear" w:color="auto" w:fill="auto"/>
          </w:tcPr>
          <w:p w14:paraId="513A58E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62</w:t>
            </w:r>
          </w:p>
        </w:tc>
        <w:tc>
          <w:tcPr>
            <w:tcW w:w="1769" w:type="pct"/>
            <w:shd w:val="clear" w:color="auto" w:fill="auto"/>
          </w:tcPr>
          <w:p w14:paraId="4671080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1FBB96FC" w14:textId="77777777" w:rsidTr="00426FEE">
        <w:trPr>
          <w:gridAfter w:val="1"/>
          <w:wAfter w:w="9" w:type="pct"/>
        </w:trPr>
        <w:tc>
          <w:tcPr>
            <w:tcW w:w="1125" w:type="pct"/>
            <w:shd w:val="clear" w:color="auto" w:fill="auto"/>
          </w:tcPr>
          <w:p w14:paraId="63790D84" w14:textId="77777777" w:rsidR="00DB154A" w:rsidRPr="00134CF0" w:rsidRDefault="00DB154A" w:rsidP="00426FEE">
            <w:pPr>
              <w:pStyle w:val="Tabletext"/>
            </w:pPr>
            <w:r w:rsidRPr="00134CF0">
              <w:t>48</w:t>
            </w:r>
          </w:p>
        </w:tc>
        <w:tc>
          <w:tcPr>
            <w:tcW w:w="2097" w:type="pct"/>
            <w:shd w:val="clear" w:color="auto" w:fill="auto"/>
          </w:tcPr>
          <w:p w14:paraId="360861D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63</w:t>
            </w:r>
          </w:p>
        </w:tc>
        <w:tc>
          <w:tcPr>
            <w:tcW w:w="1769" w:type="pct"/>
            <w:shd w:val="clear" w:color="auto" w:fill="auto"/>
          </w:tcPr>
          <w:p w14:paraId="7A9E234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60D07488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bottom w:val="single" w:sz="2" w:space="0" w:color="auto"/>
            </w:tcBorders>
            <w:shd w:val="clear" w:color="auto" w:fill="auto"/>
          </w:tcPr>
          <w:p w14:paraId="7A9C0CB2" w14:textId="77777777" w:rsidR="00DB154A" w:rsidRPr="00134CF0" w:rsidRDefault="00DB154A" w:rsidP="00426FEE">
            <w:pPr>
              <w:pStyle w:val="Tabletext"/>
            </w:pPr>
            <w:r w:rsidRPr="00134CF0">
              <w:t>49</w:t>
            </w:r>
          </w:p>
        </w:tc>
        <w:tc>
          <w:tcPr>
            <w:tcW w:w="2097" w:type="pct"/>
            <w:tcBorders>
              <w:bottom w:val="single" w:sz="2" w:space="0" w:color="auto"/>
            </w:tcBorders>
            <w:shd w:val="clear" w:color="auto" w:fill="auto"/>
          </w:tcPr>
          <w:p w14:paraId="4FA00FF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64</w:t>
            </w:r>
          </w:p>
        </w:tc>
        <w:tc>
          <w:tcPr>
            <w:tcW w:w="1769" w:type="pct"/>
            <w:tcBorders>
              <w:bottom w:val="single" w:sz="2" w:space="0" w:color="auto"/>
            </w:tcBorders>
            <w:shd w:val="clear" w:color="auto" w:fill="auto"/>
          </w:tcPr>
          <w:p w14:paraId="4A92122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3A7E1A6A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8136EFB" w14:textId="77777777" w:rsidR="00DB154A" w:rsidRPr="00134CF0" w:rsidRDefault="00DB154A" w:rsidP="00426FEE">
            <w:pPr>
              <w:pStyle w:val="Tabletext"/>
            </w:pPr>
            <w:r w:rsidRPr="00134CF0">
              <w:t>50</w:t>
            </w:r>
          </w:p>
        </w:tc>
        <w:tc>
          <w:tcPr>
            <w:tcW w:w="20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956A6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65</w:t>
            </w:r>
          </w:p>
        </w:tc>
        <w:tc>
          <w:tcPr>
            <w:tcW w:w="176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B1FB560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1.000</w:t>
            </w:r>
          </w:p>
        </w:tc>
      </w:tr>
    </w:tbl>
    <w:p w14:paraId="12C815C6" w14:textId="77777777" w:rsidR="00DB154A" w:rsidRPr="00134CF0" w:rsidRDefault="00DB154A" w:rsidP="00DB154A">
      <w:pPr>
        <w:pStyle w:val="subsection"/>
      </w:pPr>
      <w:r w:rsidRPr="00134CF0">
        <w:rPr>
          <w:color w:val="000000"/>
        </w:rPr>
        <w:tab/>
        <w:t>(1A)</w:t>
      </w:r>
      <w:r w:rsidRPr="00134CF0">
        <w:rPr>
          <w:color w:val="000000"/>
        </w:rPr>
        <w:tab/>
        <w:t>The following table sets out the rates of voluntary exit from the fund that are to be assumed i</w:t>
      </w:r>
      <w:r w:rsidR="000B5313" w:rsidRPr="00134CF0">
        <w:rPr>
          <w:color w:val="000000"/>
        </w:rPr>
        <w:t>f, under the rules of the fund,</w:t>
      </w:r>
      <w:r w:rsidRPr="00134CF0">
        <w:rPr>
          <w:color w:val="000000"/>
        </w:rPr>
        <w:t xml:space="preserve"> the normal retirement age of the fund is 60 years.</w:t>
      </w:r>
    </w:p>
    <w:p w14:paraId="20F8086D" w14:textId="77777777" w:rsidR="00DB154A" w:rsidRPr="00134CF0" w:rsidRDefault="00DB154A" w:rsidP="00DB154A">
      <w:pPr>
        <w:pStyle w:val="Tabletext"/>
      </w:pPr>
    </w:p>
    <w:tbl>
      <w:tblPr>
        <w:tblW w:w="1904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362"/>
        <w:gridCol w:w="1149"/>
        <w:gridCol w:w="6"/>
      </w:tblGrid>
      <w:tr w:rsidR="00DB154A" w:rsidRPr="00134CF0" w14:paraId="3DDFE8D5" w14:textId="77777777" w:rsidTr="00247B6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67F99D" w14:textId="77777777" w:rsidR="00DB154A" w:rsidRPr="00134CF0" w:rsidRDefault="00DB154A" w:rsidP="00DB154A">
            <w:pPr>
              <w:pStyle w:val="TableHeading"/>
            </w:pPr>
            <w:r w:rsidRPr="00134CF0">
              <w:rPr>
                <w:color w:val="000000"/>
              </w:rPr>
              <w:t>Voluntary exit rates</w:t>
            </w:r>
          </w:p>
        </w:tc>
      </w:tr>
      <w:tr w:rsidR="00DB154A" w:rsidRPr="00134CF0" w14:paraId="5556D246" w14:textId="77777777" w:rsidTr="00426FEE">
        <w:trPr>
          <w:gridAfter w:val="1"/>
          <w:wAfter w:w="9" w:type="pct"/>
          <w:tblHeader/>
        </w:trPr>
        <w:tc>
          <w:tcPr>
            <w:tcW w:w="1125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F40354" w14:textId="77777777" w:rsidR="00DB154A" w:rsidRPr="00134CF0" w:rsidRDefault="00DB154A" w:rsidP="00DB154A">
            <w:pPr>
              <w:pStyle w:val="TableHeading"/>
            </w:pPr>
            <w:r w:rsidRPr="00134CF0">
              <w:t>Item</w:t>
            </w:r>
          </w:p>
        </w:tc>
        <w:tc>
          <w:tcPr>
            <w:tcW w:w="2097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308017" w14:textId="77777777" w:rsidR="00DB154A" w:rsidRPr="00134CF0" w:rsidRDefault="00DB154A" w:rsidP="00426FEE">
            <w:pPr>
              <w:pStyle w:val="TableHeading"/>
              <w:jc w:val="center"/>
            </w:pPr>
            <w:r w:rsidRPr="00134CF0">
              <w:t>Column 1</w:t>
            </w:r>
          </w:p>
          <w:p w14:paraId="74AEAC46" w14:textId="77777777" w:rsidR="00DB154A" w:rsidRPr="00134CF0" w:rsidRDefault="00DB154A" w:rsidP="00426FEE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76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13E2ED" w14:textId="77777777" w:rsidR="00DB154A" w:rsidRPr="00134CF0" w:rsidRDefault="00DB154A" w:rsidP="00426FEE">
            <w:pPr>
              <w:pStyle w:val="TableHeading"/>
              <w:jc w:val="right"/>
            </w:pPr>
            <w:r w:rsidRPr="00134CF0">
              <w:t>Column 2</w:t>
            </w:r>
          </w:p>
          <w:p w14:paraId="51F594B5" w14:textId="77777777" w:rsidR="00DB154A" w:rsidRPr="00134CF0" w:rsidRDefault="00DB154A" w:rsidP="00426FEE">
            <w:pPr>
              <w:pStyle w:val="TableHeading"/>
              <w:jc w:val="right"/>
            </w:pPr>
            <w:r w:rsidRPr="00134CF0">
              <w:t>Exit rate</w:t>
            </w:r>
          </w:p>
        </w:tc>
      </w:tr>
      <w:tr w:rsidR="00DB154A" w:rsidRPr="00134CF0" w14:paraId="16D85182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CD9E31" w14:textId="77777777" w:rsidR="00DB154A" w:rsidRPr="00134CF0" w:rsidRDefault="00DB154A" w:rsidP="00426FEE">
            <w:pPr>
              <w:pStyle w:val="Tabletext"/>
            </w:pPr>
            <w:r w:rsidRPr="00134CF0">
              <w:t>1</w:t>
            </w:r>
          </w:p>
        </w:tc>
        <w:tc>
          <w:tcPr>
            <w:tcW w:w="2097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ACB0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16</w:t>
            </w:r>
          </w:p>
        </w:tc>
        <w:tc>
          <w:tcPr>
            <w:tcW w:w="1769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C279C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B154A" w:rsidRPr="00134CF0" w14:paraId="27F64421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BA6CC" w14:textId="77777777" w:rsidR="00DB154A" w:rsidRPr="00134CF0" w:rsidRDefault="00DB154A" w:rsidP="00426FEE">
            <w:pPr>
              <w:pStyle w:val="Tabletext"/>
            </w:pPr>
            <w:r w:rsidRPr="00134CF0">
              <w:t>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A86E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16E905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B154A" w:rsidRPr="00134CF0" w14:paraId="207077DE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A05B44" w14:textId="77777777" w:rsidR="00DB154A" w:rsidRPr="00134CF0" w:rsidRDefault="00DB154A" w:rsidP="00426FEE">
            <w:pPr>
              <w:pStyle w:val="Tabletext"/>
            </w:pPr>
            <w:r w:rsidRPr="00134CF0">
              <w:t>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9F8C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2A93A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B154A" w:rsidRPr="00134CF0" w14:paraId="71989AE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34AA8" w14:textId="77777777" w:rsidR="00DB154A" w:rsidRPr="00134CF0" w:rsidRDefault="00DB154A" w:rsidP="00426FEE">
            <w:pPr>
              <w:pStyle w:val="Tabletext"/>
            </w:pPr>
            <w:r w:rsidRPr="00134CF0">
              <w:t>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3BBB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19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432A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B154A" w:rsidRPr="00134CF0" w14:paraId="1DEAC2C7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7B15B1" w14:textId="77777777" w:rsidR="00DB154A" w:rsidRPr="00134CF0" w:rsidRDefault="00DB154A" w:rsidP="00426FEE">
            <w:pPr>
              <w:pStyle w:val="Tabletext"/>
            </w:pPr>
            <w:r w:rsidRPr="00134CF0">
              <w:t>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FBDA5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396BD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6E5FE4F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F1858" w14:textId="77777777" w:rsidR="00DB154A" w:rsidRPr="00134CF0" w:rsidRDefault="00DB154A" w:rsidP="00426FEE">
            <w:pPr>
              <w:pStyle w:val="Tabletext"/>
            </w:pPr>
            <w:r w:rsidRPr="00134CF0">
              <w:lastRenderedPageBreak/>
              <w:t>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95CFD1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27BA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13E7CC1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DF528F" w14:textId="77777777" w:rsidR="00DB154A" w:rsidRPr="00134CF0" w:rsidRDefault="00DB154A" w:rsidP="00426FEE">
            <w:pPr>
              <w:pStyle w:val="Tabletext"/>
            </w:pPr>
            <w:r w:rsidRPr="00134CF0">
              <w:t>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6F23C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C251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3A84ED5B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8DFF40" w14:textId="77777777" w:rsidR="00DB154A" w:rsidRPr="00134CF0" w:rsidRDefault="00DB154A" w:rsidP="00426FEE">
            <w:pPr>
              <w:pStyle w:val="Tabletext"/>
            </w:pPr>
            <w:r w:rsidRPr="00134CF0">
              <w:t>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86131D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9829B5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0.048</w:t>
            </w:r>
          </w:p>
        </w:tc>
      </w:tr>
      <w:tr w:rsidR="00DB154A" w:rsidRPr="00134CF0" w14:paraId="5522EC7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92856B" w14:textId="77777777" w:rsidR="00DB154A" w:rsidRPr="00134CF0" w:rsidRDefault="00DB154A" w:rsidP="00426FEE">
            <w:pPr>
              <w:pStyle w:val="Tabletext"/>
            </w:pPr>
            <w:r w:rsidRPr="00134CF0">
              <w:t>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1506AE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E0C83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0.047</w:t>
            </w:r>
          </w:p>
        </w:tc>
      </w:tr>
      <w:tr w:rsidR="00DB154A" w:rsidRPr="00134CF0" w14:paraId="61BFD830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7244B" w14:textId="77777777" w:rsidR="00DB154A" w:rsidRPr="00134CF0" w:rsidRDefault="00DB154A" w:rsidP="00426FEE">
            <w:pPr>
              <w:pStyle w:val="Tabletext"/>
            </w:pPr>
            <w:r w:rsidRPr="00134CF0">
              <w:t>10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98238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769B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0.046</w:t>
            </w:r>
          </w:p>
        </w:tc>
      </w:tr>
      <w:tr w:rsidR="00DB154A" w:rsidRPr="00134CF0" w14:paraId="53EF4DDE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D59E8E" w14:textId="77777777" w:rsidR="00DB154A" w:rsidRPr="00134CF0" w:rsidRDefault="00DB154A" w:rsidP="00426FEE">
            <w:pPr>
              <w:pStyle w:val="Tabletext"/>
            </w:pPr>
            <w:r w:rsidRPr="00134CF0">
              <w:t>11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05D6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B9AD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0.045</w:t>
            </w:r>
          </w:p>
        </w:tc>
      </w:tr>
      <w:tr w:rsidR="00DB154A" w:rsidRPr="00134CF0" w14:paraId="7561929B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B26DA" w14:textId="77777777" w:rsidR="00DB154A" w:rsidRPr="00134CF0" w:rsidRDefault="00DB154A" w:rsidP="00426FEE">
            <w:pPr>
              <w:pStyle w:val="Tabletext"/>
            </w:pPr>
            <w:r w:rsidRPr="00134CF0">
              <w:t>12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5E2D92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07129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0.044</w:t>
            </w:r>
          </w:p>
        </w:tc>
      </w:tr>
      <w:tr w:rsidR="00DB154A" w:rsidRPr="00134CF0" w14:paraId="26A6270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423D65" w14:textId="77777777" w:rsidR="00DB154A" w:rsidRPr="00134CF0" w:rsidRDefault="00DB154A" w:rsidP="00426FEE">
            <w:pPr>
              <w:pStyle w:val="Tabletext"/>
            </w:pPr>
            <w:r w:rsidRPr="00134CF0">
              <w:t>13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A138B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0CC31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0.043</w:t>
            </w:r>
          </w:p>
        </w:tc>
      </w:tr>
      <w:tr w:rsidR="00DB154A" w:rsidRPr="00134CF0" w14:paraId="1874BC33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34C655" w14:textId="77777777" w:rsidR="00DB154A" w:rsidRPr="00134CF0" w:rsidRDefault="00DB154A" w:rsidP="00426FEE">
            <w:pPr>
              <w:pStyle w:val="Tabletext"/>
            </w:pPr>
            <w:r w:rsidRPr="00134CF0">
              <w:t>14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995F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29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EA7AC6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0.041</w:t>
            </w:r>
          </w:p>
        </w:tc>
      </w:tr>
      <w:tr w:rsidR="00DB154A" w:rsidRPr="00134CF0" w14:paraId="667321BD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4A1D4" w14:textId="77777777" w:rsidR="00DB154A" w:rsidRPr="00134CF0" w:rsidRDefault="00DB154A" w:rsidP="00426FEE">
            <w:pPr>
              <w:pStyle w:val="Tabletext"/>
            </w:pPr>
            <w:r w:rsidRPr="00134CF0">
              <w:t>15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A12FCA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B30FD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0.040</w:t>
            </w:r>
          </w:p>
        </w:tc>
      </w:tr>
      <w:tr w:rsidR="00DB154A" w:rsidRPr="00134CF0" w14:paraId="41D3A9E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234E3" w14:textId="77777777" w:rsidR="00DB154A" w:rsidRPr="00134CF0" w:rsidRDefault="00DB154A" w:rsidP="00426FEE">
            <w:pPr>
              <w:pStyle w:val="Tabletext"/>
            </w:pPr>
            <w:r w:rsidRPr="00134CF0">
              <w:t>16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3D18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5981C1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0.039</w:t>
            </w:r>
          </w:p>
        </w:tc>
      </w:tr>
      <w:tr w:rsidR="00DB154A" w:rsidRPr="00134CF0" w14:paraId="25A080F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A9048" w14:textId="77777777" w:rsidR="00DB154A" w:rsidRPr="00134CF0" w:rsidRDefault="00DB154A" w:rsidP="00426FEE">
            <w:pPr>
              <w:pStyle w:val="Tabletext"/>
            </w:pPr>
            <w:r w:rsidRPr="00134CF0">
              <w:t>17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EE1A49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732D5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0.038</w:t>
            </w:r>
          </w:p>
        </w:tc>
      </w:tr>
      <w:tr w:rsidR="00DB154A" w:rsidRPr="00134CF0" w14:paraId="030220E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022FA" w14:textId="77777777" w:rsidR="00DB154A" w:rsidRPr="00134CF0" w:rsidRDefault="00DB154A" w:rsidP="00426FEE">
            <w:pPr>
              <w:pStyle w:val="Tabletext"/>
            </w:pPr>
            <w:r w:rsidRPr="00134CF0">
              <w:t>18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AA0D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95801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0.037</w:t>
            </w:r>
          </w:p>
        </w:tc>
      </w:tr>
      <w:tr w:rsidR="00DB154A" w:rsidRPr="00134CF0" w14:paraId="79806B3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48E7E" w14:textId="77777777" w:rsidR="00DB154A" w:rsidRPr="00134CF0" w:rsidRDefault="00DB154A" w:rsidP="00426FEE">
            <w:pPr>
              <w:pStyle w:val="Tabletext"/>
            </w:pPr>
            <w:r w:rsidRPr="00134CF0">
              <w:t>19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B2C1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6BD7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0.036</w:t>
            </w:r>
          </w:p>
        </w:tc>
      </w:tr>
      <w:tr w:rsidR="00DB154A" w:rsidRPr="00134CF0" w14:paraId="38987A21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9DA153" w14:textId="77777777" w:rsidR="00DB154A" w:rsidRPr="00134CF0" w:rsidRDefault="00DB154A" w:rsidP="00426FEE">
            <w:pPr>
              <w:pStyle w:val="Tabletext"/>
            </w:pPr>
            <w:r w:rsidRPr="00134CF0">
              <w:t>20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42DBAD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F22C40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0.035</w:t>
            </w:r>
          </w:p>
        </w:tc>
      </w:tr>
      <w:tr w:rsidR="00DB154A" w:rsidRPr="00134CF0" w14:paraId="03A851E3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920699" w14:textId="77777777" w:rsidR="00DB154A" w:rsidRPr="00134CF0" w:rsidRDefault="00DB154A" w:rsidP="00426FEE">
            <w:pPr>
              <w:pStyle w:val="Tabletext"/>
            </w:pPr>
            <w:r w:rsidRPr="00134CF0">
              <w:t>21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407C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B423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0.034</w:t>
            </w:r>
          </w:p>
        </w:tc>
      </w:tr>
      <w:tr w:rsidR="00DB154A" w:rsidRPr="00134CF0" w14:paraId="3225A5B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5A2863" w14:textId="77777777" w:rsidR="00DB154A" w:rsidRPr="00134CF0" w:rsidRDefault="00DB154A" w:rsidP="00426FEE">
            <w:pPr>
              <w:pStyle w:val="Tabletext"/>
            </w:pPr>
            <w:r w:rsidRPr="00134CF0">
              <w:t>22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C3D4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578211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0.033</w:t>
            </w:r>
          </w:p>
        </w:tc>
      </w:tr>
      <w:tr w:rsidR="00DB154A" w:rsidRPr="00134CF0" w14:paraId="0EAD7E03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53014B" w14:textId="77777777" w:rsidR="00DB154A" w:rsidRPr="00134CF0" w:rsidRDefault="00DB154A" w:rsidP="00426FEE">
            <w:pPr>
              <w:pStyle w:val="Tabletext"/>
            </w:pPr>
            <w:r w:rsidRPr="00134CF0">
              <w:t>23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593B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E04B1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0.032</w:t>
            </w:r>
          </w:p>
        </w:tc>
      </w:tr>
      <w:tr w:rsidR="00DB154A" w:rsidRPr="00134CF0" w14:paraId="0FAFFF9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C7E599" w14:textId="77777777" w:rsidR="00DB154A" w:rsidRPr="00134CF0" w:rsidRDefault="00DB154A" w:rsidP="00426FEE">
            <w:pPr>
              <w:pStyle w:val="Tabletext"/>
            </w:pPr>
            <w:r w:rsidRPr="00134CF0">
              <w:t>24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FF45F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0EDFE5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0.031</w:t>
            </w:r>
          </w:p>
        </w:tc>
      </w:tr>
      <w:tr w:rsidR="00DB154A" w:rsidRPr="00134CF0" w14:paraId="07967EE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EC8AC3" w14:textId="77777777" w:rsidR="00DB154A" w:rsidRPr="00134CF0" w:rsidRDefault="00DB154A" w:rsidP="00426FEE">
            <w:pPr>
              <w:pStyle w:val="Tabletext"/>
            </w:pPr>
            <w:r w:rsidRPr="00134CF0">
              <w:t>25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43BF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CC9C57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0.030</w:t>
            </w:r>
          </w:p>
        </w:tc>
      </w:tr>
      <w:tr w:rsidR="00DB154A" w:rsidRPr="00134CF0" w14:paraId="045C5C3A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E96AB" w14:textId="77777777" w:rsidR="00DB154A" w:rsidRPr="00134CF0" w:rsidRDefault="00DB154A" w:rsidP="00426FEE">
            <w:pPr>
              <w:pStyle w:val="Tabletext"/>
            </w:pPr>
            <w:r w:rsidRPr="00134CF0">
              <w:t>26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36ED8D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3DC0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0.029</w:t>
            </w:r>
          </w:p>
        </w:tc>
      </w:tr>
      <w:tr w:rsidR="00DB154A" w:rsidRPr="00134CF0" w14:paraId="5A6EF0BB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AC59B" w14:textId="77777777" w:rsidR="00DB154A" w:rsidRPr="00134CF0" w:rsidRDefault="00DB154A" w:rsidP="00426FEE">
            <w:pPr>
              <w:pStyle w:val="Tabletext"/>
            </w:pPr>
            <w:r w:rsidRPr="00134CF0">
              <w:t>27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8BAF69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D542C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0.028</w:t>
            </w:r>
          </w:p>
        </w:tc>
      </w:tr>
      <w:tr w:rsidR="00DB154A" w:rsidRPr="00134CF0" w14:paraId="377DDE1F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6111E" w14:textId="77777777" w:rsidR="00DB154A" w:rsidRPr="00134CF0" w:rsidRDefault="00DB154A" w:rsidP="00426FEE">
            <w:pPr>
              <w:pStyle w:val="Tabletext"/>
            </w:pPr>
            <w:r w:rsidRPr="00134CF0">
              <w:t>28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9BAE47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798F5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0.027</w:t>
            </w:r>
          </w:p>
        </w:tc>
      </w:tr>
      <w:tr w:rsidR="00DB154A" w:rsidRPr="00134CF0" w14:paraId="703EC962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BF14FD" w14:textId="77777777" w:rsidR="00DB154A" w:rsidRPr="00134CF0" w:rsidRDefault="00DB154A" w:rsidP="00426FEE">
            <w:pPr>
              <w:pStyle w:val="Tabletext"/>
            </w:pPr>
            <w:r w:rsidRPr="00134CF0">
              <w:t>29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9523ED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FF1DF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0.026</w:t>
            </w:r>
          </w:p>
        </w:tc>
      </w:tr>
      <w:tr w:rsidR="00DB154A" w:rsidRPr="00134CF0" w14:paraId="2393B0DF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C0987B" w14:textId="77777777" w:rsidR="00DB154A" w:rsidRPr="00134CF0" w:rsidRDefault="00DB154A" w:rsidP="00426FEE">
            <w:pPr>
              <w:pStyle w:val="Tabletext"/>
            </w:pPr>
            <w:r w:rsidRPr="00134CF0">
              <w:t>30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A68577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5B1DD1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1B7CDF6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51B99" w14:textId="77777777" w:rsidR="00DB154A" w:rsidRPr="00134CF0" w:rsidRDefault="00DB154A" w:rsidP="00426FEE">
            <w:pPr>
              <w:pStyle w:val="Tabletext"/>
            </w:pPr>
            <w:r w:rsidRPr="00134CF0">
              <w:t>31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0AC7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5498F5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5820691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31137" w14:textId="77777777" w:rsidR="00DB154A" w:rsidRPr="00134CF0" w:rsidRDefault="00DB154A" w:rsidP="00426FEE">
            <w:pPr>
              <w:pStyle w:val="Tabletext"/>
            </w:pPr>
            <w:r w:rsidRPr="00134CF0">
              <w:t>32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8378F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834D9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2153453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D2FCF" w14:textId="77777777" w:rsidR="00DB154A" w:rsidRPr="00134CF0" w:rsidRDefault="00DB154A" w:rsidP="00426FEE">
            <w:pPr>
              <w:pStyle w:val="Tabletext"/>
            </w:pPr>
            <w:r w:rsidRPr="00134CF0">
              <w:t>33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013D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95A120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7DF7AE10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3C4E6" w14:textId="77777777" w:rsidR="00DB154A" w:rsidRPr="00134CF0" w:rsidRDefault="00DB154A" w:rsidP="00426FEE">
            <w:pPr>
              <w:pStyle w:val="Tabletext"/>
            </w:pPr>
            <w:r w:rsidRPr="00134CF0">
              <w:t>34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56493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203E0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71B42F3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DD85C3" w14:textId="77777777" w:rsidR="00DB154A" w:rsidRPr="00134CF0" w:rsidRDefault="00DB154A" w:rsidP="00426FEE">
            <w:pPr>
              <w:pStyle w:val="Tabletext"/>
            </w:pPr>
            <w:r w:rsidRPr="00134CF0">
              <w:t>35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615DAF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53E63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0B3D17E2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850DC7" w14:textId="77777777" w:rsidR="00DB154A" w:rsidRPr="00134CF0" w:rsidRDefault="00DB154A" w:rsidP="00426FEE">
            <w:pPr>
              <w:pStyle w:val="Tabletext"/>
            </w:pPr>
            <w:r w:rsidRPr="00134CF0">
              <w:t>36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E643C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81C94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217786DD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A02D5" w14:textId="77777777" w:rsidR="00DB154A" w:rsidRPr="00134CF0" w:rsidRDefault="00DB154A" w:rsidP="00426FEE">
            <w:pPr>
              <w:pStyle w:val="Tabletext"/>
            </w:pPr>
            <w:r w:rsidRPr="00134CF0">
              <w:t>37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DB7506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56A9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2FF399E9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7D9BDD" w14:textId="77777777" w:rsidR="00DB154A" w:rsidRPr="00134CF0" w:rsidRDefault="00DB154A" w:rsidP="00426FEE">
            <w:pPr>
              <w:pStyle w:val="Tabletext"/>
            </w:pPr>
            <w:r w:rsidRPr="00134CF0">
              <w:t>38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D11D04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2F0F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3A3FDB0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64597C" w14:textId="77777777" w:rsidR="00DB154A" w:rsidRPr="00134CF0" w:rsidRDefault="00DB154A" w:rsidP="00426FEE">
            <w:pPr>
              <w:pStyle w:val="Tabletext"/>
            </w:pPr>
            <w:r w:rsidRPr="00134CF0">
              <w:t>39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9BBB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35B3C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0.025</w:t>
            </w:r>
          </w:p>
        </w:tc>
      </w:tr>
      <w:tr w:rsidR="00DB154A" w:rsidRPr="00134CF0" w14:paraId="4EC8C894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C240EF" w14:textId="77777777" w:rsidR="00DB154A" w:rsidRPr="00134CF0" w:rsidRDefault="00DB154A" w:rsidP="00426FEE">
            <w:pPr>
              <w:pStyle w:val="Tabletext"/>
            </w:pPr>
            <w:r w:rsidRPr="00134CF0">
              <w:t>40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1DCCD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0855B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26403659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C3AB6A" w14:textId="77777777" w:rsidR="00DB154A" w:rsidRPr="00134CF0" w:rsidRDefault="00DB154A" w:rsidP="00426FEE">
            <w:pPr>
              <w:pStyle w:val="Tabletext"/>
            </w:pPr>
            <w:r w:rsidRPr="00134CF0">
              <w:t>41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3A638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CB2B2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1BE16DCC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71CC74" w14:textId="77777777" w:rsidR="00DB154A" w:rsidRPr="00134CF0" w:rsidRDefault="00DB154A" w:rsidP="00426FEE">
            <w:pPr>
              <w:pStyle w:val="Tabletext"/>
            </w:pPr>
            <w:r w:rsidRPr="00134CF0">
              <w:t>42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BD22A2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E665F0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0D7D21CA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3DFB22" w14:textId="77777777" w:rsidR="00DB154A" w:rsidRPr="00134CF0" w:rsidRDefault="00DB154A" w:rsidP="00426FEE">
            <w:pPr>
              <w:pStyle w:val="Tabletext"/>
            </w:pPr>
            <w:r w:rsidRPr="00134CF0">
              <w:t>43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D820E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2A6F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18081591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5E8C0" w14:textId="77777777" w:rsidR="00DB154A" w:rsidRPr="00134CF0" w:rsidRDefault="00DB154A" w:rsidP="00426FEE">
            <w:pPr>
              <w:pStyle w:val="Tabletext"/>
            </w:pPr>
            <w:r w:rsidRPr="00134CF0">
              <w:t>44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3EC139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79FBE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0.150</w:t>
            </w:r>
          </w:p>
        </w:tc>
      </w:tr>
      <w:tr w:rsidR="00DB154A" w:rsidRPr="00134CF0" w14:paraId="4756B5A6" w14:textId="77777777" w:rsidTr="00426FEE">
        <w:trPr>
          <w:gridAfter w:val="1"/>
          <w:wAfter w:w="9" w:type="pct"/>
        </w:trPr>
        <w:tc>
          <w:tcPr>
            <w:tcW w:w="1125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30117A" w14:textId="77777777" w:rsidR="00DB154A" w:rsidRPr="00134CF0" w:rsidRDefault="00DB154A" w:rsidP="00426FEE">
            <w:pPr>
              <w:pStyle w:val="Tabletext"/>
            </w:pPr>
            <w:r w:rsidRPr="00134CF0">
              <w:t>45</w:t>
            </w:r>
          </w:p>
        </w:tc>
        <w:tc>
          <w:tcPr>
            <w:tcW w:w="209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1B38D5" w14:textId="77777777" w:rsidR="00DB154A" w:rsidRPr="00134CF0" w:rsidRDefault="00DB154A" w:rsidP="00426FEE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769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60101A" w14:textId="77777777" w:rsidR="00DB154A" w:rsidRPr="00134CF0" w:rsidRDefault="00DB154A" w:rsidP="00426FEE">
            <w:pPr>
              <w:pStyle w:val="Tabletext"/>
              <w:jc w:val="right"/>
            </w:pPr>
            <w:r w:rsidRPr="00134CF0">
              <w:t>1.000</w:t>
            </w:r>
          </w:p>
        </w:tc>
      </w:tr>
    </w:tbl>
    <w:p w14:paraId="6483730D" w14:textId="77777777" w:rsidR="005417B3" w:rsidRPr="00134CF0" w:rsidRDefault="005417B3" w:rsidP="00D97F0E">
      <w:pPr>
        <w:pStyle w:val="ItemHead"/>
      </w:pPr>
      <w:r w:rsidRPr="00134CF0">
        <w:lastRenderedPageBreak/>
        <w:t>1</w:t>
      </w:r>
      <w:r w:rsidR="009F4D3D" w:rsidRPr="00134CF0">
        <w:t>1</w:t>
      </w:r>
      <w:r w:rsidRPr="00134CF0">
        <w:t xml:space="preserve">  </w:t>
      </w:r>
      <w:r w:rsidR="0060057B" w:rsidRPr="00134CF0">
        <w:t>Sub</w:t>
      </w:r>
      <w:r w:rsidR="00EF0325" w:rsidRPr="00134CF0">
        <w:t>clause 1</w:t>
      </w:r>
      <w:r w:rsidRPr="00134CF0">
        <w:t xml:space="preserve">6(2) of </w:t>
      </w:r>
      <w:r w:rsidR="00C96F3A" w:rsidRPr="00134CF0">
        <w:t>Schedule 1</w:t>
      </w:r>
      <w:r w:rsidRPr="00134CF0">
        <w:t>AA</w:t>
      </w:r>
    </w:p>
    <w:p w14:paraId="21E19A15" w14:textId="77777777" w:rsidR="005417B3" w:rsidRPr="00134CF0" w:rsidRDefault="005417B3" w:rsidP="005417B3">
      <w:pPr>
        <w:pStyle w:val="Item"/>
      </w:pPr>
      <w:r w:rsidRPr="00134CF0">
        <w:t xml:space="preserve">After </w:t>
      </w:r>
      <w:r w:rsidR="00813F6B" w:rsidRPr="00134CF0">
        <w:t>“</w:t>
      </w:r>
      <w:r w:rsidR="0060057B" w:rsidRPr="00134CF0">
        <w:t>subclause (</w:t>
      </w:r>
      <w:r w:rsidR="009F4D3D" w:rsidRPr="00134CF0">
        <w:t>1)</w:t>
      </w:r>
      <w:r w:rsidR="00813F6B" w:rsidRPr="00134CF0">
        <w:t>”</w:t>
      </w:r>
      <w:r w:rsidR="009F4D3D" w:rsidRPr="00134CF0">
        <w:t xml:space="preserve">, insert </w:t>
      </w:r>
      <w:r w:rsidR="00813F6B" w:rsidRPr="00134CF0">
        <w:t>“</w:t>
      </w:r>
      <w:r w:rsidR="009F4D3D" w:rsidRPr="00134CF0">
        <w:t>or (1A)</w:t>
      </w:r>
      <w:r w:rsidR="00813F6B" w:rsidRPr="00134CF0">
        <w:t>”</w:t>
      </w:r>
      <w:r w:rsidR="009F4D3D" w:rsidRPr="00134CF0">
        <w:t>.</w:t>
      </w:r>
    </w:p>
    <w:p w14:paraId="66E0E1BB" w14:textId="77777777" w:rsidR="00D97F0E" w:rsidRPr="00134CF0" w:rsidRDefault="00C113D4" w:rsidP="00D97F0E">
      <w:pPr>
        <w:pStyle w:val="ItemHead"/>
      </w:pPr>
      <w:r w:rsidRPr="00134CF0">
        <w:t>1</w:t>
      </w:r>
      <w:r w:rsidR="009F4D3D" w:rsidRPr="00134CF0">
        <w:t>2</w:t>
      </w:r>
      <w:r w:rsidR="00D97F0E" w:rsidRPr="00134CF0">
        <w:t xml:space="preserve">  </w:t>
      </w:r>
      <w:r w:rsidR="0060057B" w:rsidRPr="00134CF0">
        <w:t>Sub</w:t>
      </w:r>
      <w:r w:rsidR="00EF0325" w:rsidRPr="00134CF0">
        <w:t>clause 1</w:t>
      </w:r>
      <w:r w:rsidR="00D97F0E" w:rsidRPr="00134CF0">
        <w:t xml:space="preserve">7(2) of </w:t>
      </w:r>
      <w:r w:rsidR="00C96F3A" w:rsidRPr="00134CF0">
        <w:t>Schedule 1</w:t>
      </w:r>
      <w:r w:rsidR="00D97F0E" w:rsidRPr="00134CF0">
        <w:t>AA</w:t>
      </w:r>
    </w:p>
    <w:p w14:paraId="5C40B56C" w14:textId="77777777" w:rsidR="00D97F0E" w:rsidRPr="00134CF0" w:rsidRDefault="00D97F0E" w:rsidP="00D97F0E">
      <w:pPr>
        <w:pStyle w:val="Item"/>
      </w:pPr>
      <w:r w:rsidRPr="00134CF0">
        <w:t xml:space="preserve">Omit </w:t>
      </w:r>
      <w:r w:rsidR="00813F6B" w:rsidRPr="00134CF0">
        <w:t>“</w:t>
      </w:r>
      <w:r w:rsidRPr="00134CF0">
        <w:t>10%</w:t>
      </w:r>
      <w:r w:rsidR="00813F6B" w:rsidRPr="00134CF0">
        <w:t>”</w:t>
      </w:r>
      <w:r w:rsidRPr="00134CF0">
        <w:t xml:space="preserve">, substitute </w:t>
      </w:r>
      <w:r w:rsidR="00813F6B" w:rsidRPr="00134CF0">
        <w:t>“</w:t>
      </w:r>
      <w:r w:rsidRPr="00134CF0">
        <w:t>2.5%</w:t>
      </w:r>
      <w:r w:rsidR="00813F6B" w:rsidRPr="00134CF0">
        <w:t>”</w:t>
      </w:r>
      <w:r w:rsidRPr="00134CF0">
        <w:t>.</w:t>
      </w:r>
    </w:p>
    <w:p w14:paraId="397CDF0E" w14:textId="77777777" w:rsidR="00660031" w:rsidRPr="00134CF0" w:rsidRDefault="00C113D4" w:rsidP="00660031">
      <w:pPr>
        <w:pStyle w:val="ItemHead"/>
      </w:pPr>
      <w:r w:rsidRPr="00134CF0">
        <w:t>1</w:t>
      </w:r>
      <w:r w:rsidR="009F4D3D" w:rsidRPr="00134CF0">
        <w:t>3</w:t>
      </w:r>
      <w:r w:rsidR="00660031" w:rsidRPr="00134CF0">
        <w:t xml:space="preserve">  </w:t>
      </w:r>
      <w:r w:rsidR="00085D14" w:rsidRPr="00134CF0">
        <w:t>Clause 1</w:t>
      </w:r>
      <w:r w:rsidR="00660031" w:rsidRPr="00134CF0">
        <w:t xml:space="preserve">8 in </w:t>
      </w:r>
      <w:r w:rsidR="00C96F3A" w:rsidRPr="00134CF0">
        <w:t>Schedule 1</w:t>
      </w:r>
      <w:r w:rsidR="00660031" w:rsidRPr="00134CF0">
        <w:t>AA (table)</w:t>
      </w:r>
    </w:p>
    <w:p w14:paraId="0685E85E" w14:textId="77777777" w:rsidR="00660031" w:rsidRPr="00134CF0" w:rsidRDefault="00660031" w:rsidP="00660031">
      <w:pPr>
        <w:pStyle w:val="Item"/>
      </w:pPr>
      <w:r w:rsidRPr="00134CF0">
        <w:t>Repeal the table, substitute:</w:t>
      </w:r>
    </w:p>
    <w:p w14:paraId="5A300E2D" w14:textId="77777777" w:rsidR="00660031" w:rsidRPr="00134CF0" w:rsidRDefault="00660031" w:rsidP="00660031">
      <w:pPr>
        <w:pStyle w:val="Tabletext"/>
      </w:pPr>
    </w:p>
    <w:tbl>
      <w:tblPr>
        <w:tblW w:w="0" w:type="auto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49"/>
        <w:gridCol w:w="1276"/>
        <w:gridCol w:w="1559"/>
      </w:tblGrid>
      <w:tr w:rsidR="00660031" w:rsidRPr="00134CF0" w14:paraId="184E7C88" w14:textId="77777777" w:rsidTr="00247B60">
        <w:trPr>
          <w:tblHeader/>
        </w:trPr>
        <w:tc>
          <w:tcPr>
            <w:tcW w:w="509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09CBEC0" w14:textId="77777777" w:rsidR="00660031" w:rsidRPr="00134CF0" w:rsidRDefault="00660031" w:rsidP="00660031">
            <w:pPr>
              <w:pStyle w:val="TableHeading"/>
            </w:pPr>
            <w:r w:rsidRPr="00134CF0">
              <w:t>Pensioner mortality (qx) rates</w:t>
            </w:r>
          </w:p>
        </w:tc>
      </w:tr>
      <w:tr w:rsidR="00660031" w:rsidRPr="00134CF0" w14:paraId="171D0A93" w14:textId="77777777" w:rsidTr="00426FE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0C2A67" w14:textId="77777777" w:rsidR="00660031" w:rsidRPr="00134CF0" w:rsidRDefault="00660031" w:rsidP="00426FEE">
            <w:pPr>
              <w:pStyle w:val="TableHeading"/>
            </w:pPr>
            <w:r w:rsidRPr="00134CF0">
              <w:t>Item</w:t>
            </w:r>
          </w:p>
        </w:tc>
        <w:tc>
          <w:tcPr>
            <w:tcW w:w="154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C36AD9" w14:textId="77777777" w:rsidR="00660031" w:rsidRPr="00134CF0" w:rsidRDefault="00660031" w:rsidP="00426FEE">
            <w:pPr>
              <w:pStyle w:val="TableHeading"/>
              <w:jc w:val="center"/>
            </w:pPr>
            <w:r w:rsidRPr="00134CF0">
              <w:t>Column 1</w:t>
            </w:r>
          </w:p>
          <w:p w14:paraId="42E6FC95" w14:textId="77777777" w:rsidR="00660031" w:rsidRPr="00134CF0" w:rsidRDefault="00660031" w:rsidP="00426FEE">
            <w:pPr>
              <w:pStyle w:val="TableHeading"/>
              <w:jc w:val="center"/>
            </w:pPr>
            <w:r w:rsidRPr="00134CF0">
              <w:t>Age in years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274B805" w14:textId="77777777" w:rsidR="00660031" w:rsidRPr="00134CF0" w:rsidRDefault="00660031" w:rsidP="00426FEE">
            <w:pPr>
              <w:pStyle w:val="TableHeading"/>
              <w:jc w:val="right"/>
            </w:pPr>
            <w:r w:rsidRPr="00134CF0">
              <w:t>Column 2</w:t>
            </w:r>
          </w:p>
          <w:p w14:paraId="42C47421" w14:textId="77777777" w:rsidR="00660031" w:rsidRPr="00134CF0" w:rsidRDefault="00660031" w:rsidP="00426FEE">
            <w:pPr>
              <w:pStyle w:val="TableHeading"/>
              <w:jc w:val="right"/>
            </w:pPr>
            <w:r w:rsidRPr="00134CF0">
              <w:t>qx (male)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A7E770" w14:textId="77777777" w:rsidR="00660031" w:rsidRPr="00134CF0" w:rsidRDefault="00660031" w:rsidP="00426FEE">
            <w:pPr>
              <w:pStyle w:val="TableHeading"/>
              <w:jc w:val="right"/>
            </w:pPr>
            <w:r w:rsidRPr="00134CF0">
              <w:t>Column 3</w:t>
            </w:r>
          </w:p>
          <w:p w14:paraId="1566782D" w14:textId="77777777" w:rsidR="00660031" w:rsidRPr="00134CF0" w:rsidRDefault="00660031" w:rsidP="00426FEE">
            <w:pPr>
              <w:pStyle w:val="TableHeading"/>
              <w:jc w:val="right"/>
            </w:pPr>
            <w:r w:rsidRPr="00134CF0">
              <w:t>qx (female)</w:t>
            </w:r>
          </w:p>
        </w:tc>
      </w:tr>
      <w:tr w:rsidR="00660031" w:rsidRPr="00134CF0" w14:paraId="2ADD9E69" w14:textId="77777777" w:rsidTr="00426FE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02B7408" w14:textId="77777777" w:rsidR="00660031" w:rsidRPr="00134CF0" w:rsidRDefault="00660031" w:rsidP="00660031">
            <w:pPr>
              <w:pStyle w:val="Tabletext"/>
            </w:pPr>
            <w:r w:rsidRPr="00134CF0">
              <w:t>1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shd w:val="clear" w:color="auto" w:fill="auto"/>
          </w:tcPr>
          <w:p w14:paraId="2E0F2D73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4F66C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25A2A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0.00016</w:t>
            </w:r>
          </w:p>
        </w:tc>
      </w:tr>
      <w:tr w:rsidR="00660031" w:rsidRPr="00134CF0" w14:paraId="1A291572" w14:textId="77777777" w:rsidTr="00426FEE">
        <w:tc>
          <w:tcPr>
            <w:tcW w:w="714" w:type="dxa"/>
            <w:shd w:val="clear" w:color="auto" w:fill="auto"/>
          </w:tcPr>
          <w:p w14:paraId="1312EF66" w14:textId="77777777" w:rsidR="00660031" w:rsidRPr="00134CF0" w:rsidRDefault="00660031" w:rsidP="00660031">
            <w:pPr>
              <w:pStyle w:val="Tabletext"/>
            </w:pPr>
            <w:r w:rsidRPr="00134CF0">
              <w:t>2</w:t>
            </w:r>
          </w:p>
        </w:tc>
        <w:tc>
          <w:tcPr>
            <w:tcW w:w="1549" w:type="dxa"/>
            <w:shd w:val="clear" w:color="auto" w:fill="auto"/>
          </w:tcPr>
          <w:p w14:paraId="5876D9F2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3F41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8657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0.00017</w:t>
            </w:r>
          </w:p>
        </w:tc>
      </w:tr>
      <w:tr w:rsidR="00660031" w:rsidRPr="00134CF0" w14:paraId="2896CEDB" w14:textId="77777777" w:rsidTr="00426FEE">
        <w:tc>
          <w:tcPr>
            <w:tcW w:w="714" w:type="dxa"/>
            <w:shd w:val="clear" w:color="auto" w:fill="auto"/>
          </w:tcPr>
          <w:p w14:paraId="35286505" w14:textId="77777777" w:rsidR="00660031" w:rsidRPr="00134CF0" w:rsidRDefault="00660031" w:rsidP="00660031">
            <w:pPr>
              <w:pStyle w:val="Tabletext"/>
            </w:pPr>
            <w:r w:rsidRPr="00134CF0">
              <w:t>3</w:t>
            </w:r>
          </w:p>
        </w:tc>
        <w:tc>
          <w:tcPr>
            <w:tcW w:w="1549" w:type="dxa"/>
            <w:shd w:val="clear" w:color="auto" w:fill="auto"/>
          </w:tcPr>
          <w:p w14:paraId="69B849E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821F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D0FE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0.00019</w:t>
            </w:r>
          </w:p>
        </w:tc>
      </w:tr>
      <w:tr w:rsidR="00660031" w:rsidRPr="00134CF0" w14:paraId="42B67E1A" w14:textId="77777777" w:rsidTr="00426FEE">
        <w:tc>
          <w:tcPr>
            <w:tcW w:w="714" w:type="dxa"/>
            <w:shd w:val="clear" w:color="auto" w:fill="auto"/>
          </w:tcPr>
          <w:p w14:paraId="3C8A702A" w14:textId="77777777" w:rsidR="00660031" w:rsidRPr="00134CF0" w:rsidRDefault="00660031" w:rsidP="00660031">
            <w:pPr>
              <w:pStyle w:val="Tabletext"/>
            </w:pPr>
            <w:r w:rsidRPr="00134CF0">
              <w:t>4</w:t>
            </w:r>
          </w:p>
        </w:tc>
        <w:tc>
          <w:tcPr>
            <w:tcW w:w="1549" w:type="dxa"/>
            <w:shd w:val="clear" w:color="auto" w:fill="auto"/>
          </w:tcPr>
          <w:p w14:paraId="25FDD579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3511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B63F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0.00020</w:t>
            </w:r>
          </w:p>
        </w:tc>
      </w:tr>
      <w:tr w:rsidR="00660031" w:rsidRPr="00134CF0" w14:paraId="0342C808" w14:textId="77777777" w:rsidTr="00426FEE">
        <w:tc>
          <w:tcPr>
            <w:tcW w:w="714" w:type="dxa"/>
            <w:shd w:val="clear" w:color="auto" w:fill="auto"/>
          </w:tcPr>
          <w:p w14:paraId="6E108BF3" w14:textId="77777777" w:rsidR="00660031" w:rsidRPr="00134CF0" w:rsidRDefault="00660031" w:rsidP="00660031">
            <w:pPr>
              <w:pStyle w:val="Tabletext"/>
            </w:pPr>
            <w:r w:rsidRPr="00134CF0">
              <w:t>5</w:t>
            </w:r>
          </w:p>
        </w:tc>
        <w:tc>
          <w:tcPr>
            <w:tcW w:w="1549" w:type="dxa"/>
            <w:shd w:val="clear" w:color="auto" w:fill="auto"/>
          </w:tcPr>
          <w:p w14:paraId="0BD5E7A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5E88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69FF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0.00022</w:t>
            </w:r>
          </w:p>
        </w:tc>
      </w:tr>
      <w:tr w:rsidR="00660031" w:rsidRPr="00134CF0" w14:paraId="2E2080FD" w14:textId="77777777" w:rsidTr="00426FEE">
        <w:tc>
          <w:tcPr>
            <w:tcW w:w="714" w:type="dxa"/>
            <w:shd w:val="clear" w:color="auto" w:fill="auto"/>
          </w:tcPr>
          <w:p w14:paraId="34008877" w14:textId="77777777" w:rsidR="00660031" w:rsidRPr="00134CF0" w:rsidRDefault="00660031" w:rsidP="00660031">
            <w:pPr>
              <w:pStyle w:val="Tabletext"/>
            </w:pPr>
            <w:r w:rsidRPr="00134CF0">
              <w:t>6</w:t>
            </w:r>
          </w:p>
        </w:tc>
        <w:tc>
          <w:tcPr>
            <w:tcW w:w="1549" w:type="dxa"/>
            <w:shd w:val="clear" w:color="auto" w:fill="auto"/>
          </w:tcPr>
          <w:p w14:paraId="1380017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61B7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84BC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0.00024</w:t>
            </w:r>
          </w:p>
        </w:tc>
      </w:tr>
      <w:tr w:rsidR="00660031" w:rsidRPr="00134CF0" w14:paraId="139C505E" w14:textId="77777777" w:rsidTr="00426FEE">
        <w:tc>
          <w:tcPr>
            <w:tcW w:w="714" w:type="dxa"/>
            <w:shd w:val="clear" w:color="auto" w:fill="auto"/>
          </w:tcPr>
          <w:p w14:paraId="3001465F" w14:textId="77777777" w:rsidR="00660031" w:rsidRPr="00134CF0" w:rsidRDefault="00660031" w:rsidP="00660031">
            <w:pPr>
              <w:pStyle w:val="Tabletext"/>
            </w:pPr>
            <w:r w:rsidRPr="00134CF0">
              <w:t>7</w:t>
            </w:r>
          </w:p>
        </w:tc>
        <w:tc>
          <w:tcPr>
            <w:tcW w:w="1549" w:type="dxa"/>
            <w:shd w:val="clear" w:color="auto" w:fill="auto"/>
          </w:tcPr>
          <w:p w14:paraId="3BF589E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7F8C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0857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0.00026</w:t>
            </w:r>
          </w:p>
        </w:tc>
      </w:tr>
      <w:tr w:rsidR="00660031" w:rsidRPr="00134CF0" w14:paraId="3F435E11" w14:textId="77777777" w:rsidTr="00426FEE">
        <w:tc>
          <w:tcPr>
            <w:tcW w:w="714" w:type="dxa"/>
            <w:shd w:val="clear" w:color="auto" w:fill="auto"/>
          </w:tcPr>
          <w:p w14:paraId="6EC3D37A" w14:textId="77777777" w:rsidR="00660031" w:rsidRPr="00134CF0" w:rsidRDefault="00660031" w:rsidP="00660031">
            <w:pPr>
              <w:pStyle w:val="Tabletext"/>
            </w:pPr>
            <w:r w:rsidRPr="00134CF0">
              <w:t>8</w:t>
            </w:r>
          </w:p>
        </w:tc>
        <w:tc>
          <w:tcPr>
            <w:tcW w:w="1549" w:type="dxa"/>
            <w:shd w:val="clear" w:color="auto" w:fill="auto"/>
          </w:tcPr>
          <w:p w14:paraId="6994EB6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7A07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73CB1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0.00028</w:t>
            </w:r>
          </w:p>
        </w:tc>
      </w:tr>
      <w:tr w:rsidR="00660031" w:rsidRPr="00134CF0" w14:paraId="426F18D1" w14:textId="77777777" w:rsidTr="00426FEE">
        <w:tc>
          <w:tcPr>
            <w:tcW w:w="714" w:type="dxa"/>
            <w:shd w:val="clear" w:color="auto" w:fill="auto"/>
          </w:tcPr>
          <w:p w14:paraId="167C7FCE" w14:textId="77777777" w:rsidR="00660031" w:rsidRPr="00134CF0" w:rsidRDefault="00660031" w:rsidP="00660031">
            <w:pPr>
              <w:pStyle w:val="Tabletext"/>
            </w:pPr>
            <w:r w:rsidRPr="00134CF0">
              <w:t>9</w:t>
            </w:r>
          </w:p>
        </w:tc>
        <w:tc>
          <w:tcPr>
            <w:tcW w:w="1549" w:type="dxa"/>
            <w:shd w:val="clear" w:color="auto" w:fill="auto"/>
          </w:tcPr>
          <w:p w14:paraId="413FBC3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403D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406A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0.00031</w:t>
            </w:r>
          </w:p>
        </w:tc>
      </w:tr>
      <w:tr w:rsidR="00660031" w:rsidRPr="00134CF0" w14:paraId="3249E123" w14:textId="77777777" w:rsidTr="00426FEE">
        <w:tc>
          <w:tcPr>
            <w:tcW w:w="714" w:type="dxa"/>
            <w:shd w:val="clear" w:color="auto" w:fill="auto"/>
          </w:tcPr>
          <w:p w14:paraId="3B17EAF5" w14:textId="77777777" w:rsidR="00660031" w:rsidRPr="00134CF0" w:rsidRDefault="00660031" w:rsidP="00660031">
            <w:pPr>
              <w:pStyle w:val="Tabletext"/>
            </w:pPr>
            <w:r w:rsidRPr="00134CF0">
              <w:t>10</w:t>
            </w:r>
          </w:p>
        </w:tc>
        <w:tc>
          <w:tcPr>
            <w:tcW w:w="1549" w:type="dxa"/>
            <w:shd w:val="clear" w:color="auto" w:fill="auto"/>
          </w:tcPr>
          <w:p w14:paraId="1F9D9B7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1CB4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FE1E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0.00033</w:t>
            </w:r>
          </w:p>
        </w:tc>
      </w:tr>
      <w:tr w:rsidR="00660031" w:rsidRPr="00134CF0" w14:paraId="6ADD9917" w14:textId="77777777" w:rsidTr="00426FEE">
        <w:tc>
          <w:tcPr>
            <w:tcW w:w="714" w:type="dxa"/>
            <w:shd w:val="clear" w:color="auto" w:fill="auto"/>
          </w:tcPr>
          <w:p w14:paraId="574ED87A" w14:textId="77777777" w:rsidR="00660031" w:rsidRPr="00134CF0" w:rsidRDefault="00660031" w:rsidP="00660031">
            <w:pPr>
              <w:pStyle w:val="Tabletext"/>
            </w:pPr>
            <w:r w:rsidRPr="00134CF0">
              <w:t>11</w:t>
            </w:r>
          </w:p>
        </w:tc>
        <w:tc>
          <w:tcPr>
            <w:tcW w:w="1549" w:type="dxa"/>
            <w:shd w:val="clear" w:color="auto" w:fill="auto"/>
          </w:tcPr>
          <w:p w14:paraId="06D39538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0311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88F4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0.00037</w:t>
            </w:r>
          </w:p>
        </w:tc>
      </w:tr>
      <w:tr w:rsidR="00660031" w:rsidRPr="00134CF0" w14:paraId="597DF4DD" w14:textId="77777777" w:rsidTr="00426FEE">
        <w:tc>
          <w:tcPr>
            <w:tcW w:w="714" w:type="dxa"/>
            <w:shd w:val="clear" w:color="auto" w:fill="auto"/>
          </w:tcPr>
          <w:p w14:paraId="524702B0" w14:textId="77777777" w:rsidR="00660031" w:rsidRPr="00134CF0" w:rsidRDefault="00660031" w:rsidP="00660031">
            <w:pPr>
              <w:pStyle w:val="Tabletext"/>
            </w:pPr>
            <w:r w:rsidRPr="00134CF0">
              <w:t>12</w:t>
            </w:r>
          </w:p>
        </w:tc>
        <w:tc>
          <w:tcPr>
            <w:tcW w:w="1549" w:type="dxa"/>
            <w:shd w:val="clear" w:color="auto" w:fill="auto"/>
          </w:tcPr>
          <w:p w14:paraId="093EF32E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3EC0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18FF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0.00040</w:t>
            </w:r>
          </w:p>
        </w:tc>
      </w:tr>
      <w:tr w:rsidR="00660031" w:rsidRPr="00134CF0" w14:paraId="7299CE31" w14:textId="77777777" w:rsidTr="00426FEE">
        <w:tc>
          <w:tcPr>
            <w:tcW w:w="714" w:type="dxa"/>
            <w:shd w:val="clear" w:color="auto" w:fill="auto"/>
          </w:tcPr>
          <w:p w14:paraId="5027AA36" w14:textId="77777777" w:rsidR="00660031" w:rsidRPr="00134CF0" w:rsidRDefault="00660031" w:rsidP="00660031">
            <w:pPr>
              <w:pStyle w:val="Tabletext"/>
            </w:pPr>
            <w:r w:rsidRPr="00134CF0">
              <w:t>13</w:t>
            </w:r>
          </w:p>
        </w:tc>
        <w:tc>
          <w:tcPr>
            <w:tcW w:w="1549" w:type="dxa"/>
            <w:shd w:val="clear" w:color="auto" w:fill="auto"/>
          </w:tcPr>
          <w:p w14:paraId="1CB9B0FC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78572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72E5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0.00044</w:t>
            </w:r>
          </w:p>
        </w:tc>
      </w:tr>
      <w:tr w:rsidR="00660031" w:rsidRPr="00134CF0" w14:paraId="22DFE140" w14:textId="77777777" w:rsidTr="00426FEE">
        <w:tc>
          <w:tcPr>
            <w:tcW w:w="714" w:type="dxa"/>
            <w:shd w:val="clear" w:color="auto" w:fill="auto"/>
          </w:tcPr>
          <w:p w14:paraId="1188211E" w14:textId="77777777" w:rsidR="00660031" w:rsidRPr="00134CF0" w:rsidRDefault="00660031" w:rsidP="00660031">
            <w:pPr>
              <w:pStyle w:val="Tabletext"/>
            </w:pPr>
            <w:r w:rsidRPr="00134CF0">
              <w:t>14</w:t>
            </w:r>
          </w:p>
        </w:tc>
        <w:tc>
          <w:tcPr>
            <w:tcW w:w="1549" w:type="dxa"/>
            <w:shd w:val="clear" w:color="auto" w:fill="auto"/>
          </w:tcPr>
          <w:p w14:paraId="2E6B445B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A235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A70A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0.00048</w:t>
            </w:r>
          </w:p>
        </w:tc>
      </w:tr>
      <w:tr w:rsidR="00660031" w:rsidRPr="00134CF0" w14:paraId="50DA5F7D" w14:textId="77777777" w:rsidTr="00426FEE">
        <w:tc>
          <w:tcPr>
            <w:tcW w:w="714" w:type="dxa"/>
            <w:shd w:val="clear" w:color="auto" w:fill="auto"/>
          </w:tcPr>
          <w:p w14:paraId="01D12B65" w14:textId="77777777" w:rsidR="00660031" w:rsidRPr="00134CF0" w:rsidRDefault="00660031" w:rsidP="00660031">
            <w:pPr>
              <w:pStyle w:val="Tabletext"/>
            </w:pPr>
            <w:r w:rsidRPr="00134CF0">
              <w:t>15</w:t>
            </w:r>
          </w:p>
        </w:tc>
        <w:tc>
          <w:tcPr>
            <w:tcW w:w="1549" w:type="dxa"/>
            <w:shd w:val="clear" w:color="auto" w:fill="auto"/>
          </w:tcPr>
          <w:p w14:paraId="507A7EA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AD3E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EE9C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0.00052</w:t>
            </w:r>
          </w:p>
        </w:tc>
      </w:tr>
      <w:tr w:rsidR="00660031" w:rsidRPr="00134CF0" w14:paraId="7ED62C35" w14:textId="77777777" w:rsidTr="00426FEE">
        <w:tc>
          <w:tcPr>
            <w:tcW w:w="714" w:type="dxa"/>
            <w:shd w:val="clear" w:color="auto" w:fill="auto"/>
          </w:tcPr>
          <w:p w14:paraId="648E1819" w14:textId="77777777" w:rsidR="00660031" w:rsidRPr="00134CF0" w:rsidRDefault="00660031" w:rsidP="00660031">
            <w:pPr>
              <w:pStyle w:val="Tabletext"/>
            </w:pPr>
            <w:r w:rsidRPr="00134CF0">
              <w:t>16</w:t>
            </w:r>
          </w:p>
        </w:tc>
        <w:tc>
          <w:tcPr>
            <w:tcW w:w="1549" w:type="dxa"/>
            <w:shd w:val="clear" w:color="auto" w:fill="auto"/>
          </w:tcPr>
          <w:p w14:paraId="3A3F612E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0035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D1472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0.00057</w:t>
            </w:r>
          </w:p>
        </w:tc>
      </w:tr>
      <w:tr w:rsidR="00660031" w:rsidRPr="00134CF0" w14:paraId="4734FCDE" w14:textId="77777777" w:rsidTr="00426FEE">
        <w:tc>
          <w:tcPr>
            <w:tcW w:w="714" w:type="dxa"/>
            <w:shd w:val="clear" w:color="auto" w:fill="auto"/>
          </w:tcPr>
          <w:p w14:paraId="796AE270" w14:textId="77777777" w:rsidR="00660031" w:rsidRPr="00134CF0" w:rsidRDefault="00660031" w:rsidP="00660031">
            <w:pPr>
              <w:pStyle w:val="Tabletext"/>
            </w:pPr>
            <w:r w:rsidRPr="00134CF0">
              <w:t>17</w:t>
            </w:r>
          </w:p>
        </w:tc>
        <w:tc>
          <w:tcPr>
            <w:tcW w:w="1549" w:type="dxa"/>
            <w:shd w:val="clear" w:color="auto" w:fill="auto"/>
          </w:tcPr>
          <w:p w14:paraId="147DE631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490E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6718F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0.00062</w:t>
            </w:r>
          </w:p>
        </w:tc>
      </w:tr>
      <w:tr w:rsidR="00660031" w:rsidRPr="00134CF0" w14:paraId="00F201EC" w14:textId="77777777" w:rsidTr="00426FEE">
        <w:tc>
          <w:tcPr>
            <w:tcW w:w="714" w:type="dxa"/>
            <w:shd w:val="clear" w:color="auto" w:fill="auto"/>
          </w:tcPr>
          <w:p w14:paraId="56D59B47" w14:textId="77777777" w:rsidR="00660031" w:rsidRPr="00134CF0" w:rsidRDefault="00660031" w:rsidP="00660031">
            <w:pPr>
              <w:pStyle w:val="Tabletext"/>
            </w:pPr>
            <w:r w:rsidRPr="00134CF0">
              <w:t>18</w:t>
            </w:r>
          </w:p>
        </w:tc>
        <w:tc>
          <w:tcPr>
            <w:tcW w:w="1549" w:type="dxa"/>
            <w:shd w:val="clear" w:color="auto" w:fill="auto"/>
          </w:tcPr>
          <w:p w14:paraId="5BB2C95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2BA3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E9EE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0.00067</w:t>
            </w:r>
          </w:p>
        </w:tc>
      </w:tr>
      <w:tr w:rsidR="00660031" w:rsidRPr="00134CF0" w14:paraId="38FC3362" w14:textId="77777777" w:rsidTr="00426FEE">
        <w:tc>
          <w:tcPr>
            <w:tcW w:w="714" w:type="dxa"/>
            <w:shd w:val="clear" w:color="auto" w:fill="auto"/>
          </w:tcPr>
          <w:p w14:paraId="5F406897" w14:textId="77777777" w:rsidR="00660031" w:rsidRPr="00134CF0" w:rsidRDefault="00660031" w:rsidP="00660031">
            <w:pPr>
              <w:pStyle w:val="Tabletext"/>
            </w:pPr>
            <w:r w:rsidRPr="00134CF0">
              <w:t>19</w:t>
            </w:r>
          </w:p>
        </w:tc>
        <w:tc>
          <w:tcPr>
            <w:tcW w:w="1549" w:type="dxa"/>
            <w:shd w:val="clear" w:color="auto" w:fill="auto"/>
          </w:tcPr>
          <w:p w14:paraId="44F948F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1F8F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67DFA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0.00073</w:t>
            </w:r>
          </w:p>
        </w:tc>
      </w:tr>
      <w:tr w:rsidR="00660031" w:rsidRPr="00134CF0" w14:paraId="3E707DFE" w14:textId="77777777" w:rsidTr="00426FEE">
        <w:tc>
          <w:tcPr>
            <w:tcW w:w="714" w:type="dxa"/>
            <w:shd w:val="clear" w:color="auto" w:fill="auto"/>
          </w:tcPr>
          <w:p w14:paraId="3E4BFA1D" w14:textId="77777777" w:rsidR="00660031" w:rsidRPr="00134CF0" w:rsidRDefault="00660031" w:rsidP="00660031">
            <w:pPr>
              <w:pStyle w:val="Tabletext"/>
            </w:pPr>
            <w:r w:rsidRPr="00134CF0">
              <w:t>20</w:t>
            </w:r>
          </w:p>
        </w:tc>
        <w:tc>
          <w:tcPr>
            <w:tcW w:w="1549" w:type="dxa"/>
            <w:shd w:val="clear" w:color="auto" w:fill="auto"/>
          </w:tcPr>
          <w:p w14:paraId="03C6F744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89F2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F796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0.00079</w:t>
            </w:r>
          </w:p>
        </w:tc>
      </w:tr>
      <w:tr w:rsidR="00660031" w:rsidRPr="00134CF0" w14:paraId="0733883F" w14:textId="77777777" w:rsidTr="00426FEE">
        <w:tc>
          <w:tcPr>
            <w:tcW w:w="714" w:type="dxa"/>
            <w:shd w:val="clear" w:color="auto" w:fill="auto"/>
          </w:tcPr>
          <w:p w14:paraId="7C9E5E80" w14:textId="77777777" w:rsidR="00660031" w:rsidRPr="00134CF0" w:rsidRDefault="00660031" w:rsidP="00660031">
            <w:pPr>
              <w:pStyle w:val="Tabletext"/>
            </w:pPr>
            <w:r w:rsidRPr="00134CF0">
              <w:t>21</w:t>
            </w:r>
          </w:p>
        </w:tc>
        <w:tc>
          <w:tcPr>
            <w:tcW w:w="1549" w:type="dxa"/>
            <w:shd w:val="clear" w:color="auto" w:fill="auto"/>
          </w:tcPr>
          <w:p w14:paraId="629C3D8C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2172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FE1B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0.00081</w:t>
            </w:r>
          </w:p>
        </w:tc>
      </w:tr>
      <w:tr w:rsidR="00660031" w:rsidRPr="00134CF0" w14:paraId="4665E3F2" w14:textId="77777777" w:rsidTr="00426FEE">
        <w:tc>
          <w:tcPr>
            <w:tcW w:w="714" w:type="dxa"/>
            <w:shd w:val="clear" w:color="auto" w:fill="auto"/>
          </w:tcPr>
          <w:p w14:paraId="5EFE8D09" w14:textId="77777777" w:rsidR="00660031" w:rsidRPr="00134CF0" w:rsidRDefault="00660031" w:rsidP="00660031">
            <w:pPr>
              <w:pStyle w:val="Tabletext"/>
            </w:pPr>
            <w:r w:rsidRPr="00134CF0">
              <w:t>22</w:t>
            </w:r>
          </w:p>
        </w:tc>
        <w:tc>
          <w:tcPr>
            <w:tcW w:w="1549" w:type="dxa"/>
            <w:shd w:val="clear" w:color="auto" w:fill="auto"/>
          </w:tcPr>
          <w:p w14:paraId="66757C4B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23E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4733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0.00086</w:t>
            </w:r>
          </w:p>
        </w:tc>
      </w:tr>
      <w:tr w:rsidR="00660031" w:rsidRPr="00134CF0" w14:paraId="7939465D" w14:textId="77777777" w:rsidTr="00426FEE">
        <w:tc>
          <w:tcPr>
            <w:tcW w:w="714" w:type="dxa"/>
            <w:shd w:val="clear" w:color="auto" w:fill="auto"/>
          </w:tcPr>
          <w:p w14:paraId="4DE68D42" w14:textId="77777777" w:rsidR="00660031" w:rsidRPr="00134CF0" w:rsidRDefault="00660031" w:rsidP="00660031">
            <w:pPr>
              <w:pStyle w:val="Tabletext"/>
            </w:pPr>
            <w:r w:rsidRPr="00134CF0">
              <w:t>23</w:t>
            </w:r>
          </w:p>
        </w:tc>
        <w:tc>
          <w:tcPr>
            <w:tcW w:w="1549" w:type="dxa"/>
            <w:shd w:val="clear" w:color="auto" w:fill="auto"/>
          </w:tcPr>
          <w:p w14:paraId="20C60EB8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F785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8971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0.00090</w:t>
            </w:r>
          </w:p>
        </w:tc>
      </w:tr>
      <w:tr w:rsidR="00660031" w:rsidRPr="00134CF0" w14:paraId="12CF4FC8" w14:textId="77777777" w:rsidTr="00426FEE">
        <w:tc>
          <w:tcPr>
            <w:tcW w:w="714" w:type="dxa"/>
            <w:shd w:val="clear" w:color="auto" w:fill="auto"/>
          </w:tcPr>
          <w:p w14:paraId="254D450A" w14:textId="77777777" w:rsidR="00660031" w:rsidRPr="00134CF0" w:rsidRDefault="00660031" w:rsidP="00660031">
            <w:pPr>
              <w:pStyle w:val="Tabletext"/>
            </w:pPr>
            <w:r w:rsidRPr="00134CF0">
              <w:t>24</w:t>
            </w:r>
          </w:p>
        </w:tc>
        <w:tc>
          <w:tcPr>
            <w:tcW w:w="1549" w:type="dxa"/>
            <w:shd w:val="clear" w:color="auto" w:fill="auto"/>
          </w:tcPr>
          <w:p w14:paraId="205E4FC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823A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D39C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0.00101</w:t>
            </w:r>
          </w:p>
        </w:tc>
      </w:tr>
      <w:tr w:rsidR="00660031" w:rsidRPr="00134CF0" w14:paraId="3D23427F" w14:textId="77777777" w:rsidTr="00426FEE">
        <w:tc>
          <w:tcPr>
            <w:tcW w:w="714" w:type="dxa"/>
            <w:shd w:val="clear" w:color="auto" w:fill="auto"/>
          </w:tcPr>
          <w:p w14:paraId="36346B1F" w14:textId="77777777" w:rsidR="00660031" w:rsidRPr="00134CF0" w:rsidRDefault="00660031" w:rsidP="00660031">
            <w:pPr>
              <w:pStyle w:val="Tabletext"/>
            </w:pPr>
            <w:r w:rsidRPr="00134CF0">
              <w:t>25</w:t>
            </w:r>
          </w:p>
        </w:tc>
        <w:tc>
          <w:tcPr>
            <w:tcW w:w="1549" w:type="dxa"/>
            <w:shd w:val="clear" w:color="auto" w:fill="auto"/>
          </w:tcPr>
          <w:p w14:paraId="13FE585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F871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DC7B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0.00113</w:t>
            </w:r>
          </w:p>
        </w:tc>
      </w:tr>
      <w:tr w:rsidR="00660031" w:rsidRPr="00134CF0" w14:paraId="2982C458" w14:textId="77777777" w:rsidTr="00426FEE">
        <w:tc>
          <w:tcPr>
            <w:tcW w:w="714" w:type="dxa"/>
            <w:shd w:val="clear" w:color="auto" w:fill="auto"/>
          </w:tcPr>
          <w:p w14:paraId="0CBAD084" w14:textId="77777777" w:rsidR="00660031" w:rsidRPr="00134CF0" w:rsidRDefault="00660031" w:rsidP="00660031">
            <w:pPr>
              <w:pStyle w:val="Tabletext"/>
            </w:pPr>
            <w:r w:rsidRPr="00134CF0">
              <w:t>26</w:t>
            </w:r>
          </w:p>
        </w:tc>
        <w:tc>
          <w:tcPr>
            <w:tcW w:w="1549" w:type="dxa"/>
            <w:shd w:val="clear" w:color="auto" w:fill="auto"/>
          </w:tcPr>
          <w:p w14:paraId="75DE0B4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38CE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0E87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0.00125</w:t>
            </w:r>
          </w:p>
        </w:tc>
      </w:tr>
      <w:tr w:rsidR="00660031" w:rsidRPr="00134CF0" w14:paraId="02D8F903" w14:textId="77777777" w:rsidTr="00426FEE">
        <w:tc>
          <w:tcPr>
            <w:tcW w:w="714" w:type="dxa"/>
            <w:shd w:val="clear" w:color="auto" w:fill="auto"/>
          </w:tcPr>
          <w:p w14:paraId="18B336C4" w14:textId="77777777" w:rsidR="00660031" w:rsidRPr="00134CF0" w:rsidRDefault="00660031" w:rsidP="00660031">
            <w:pPr>
              <w:pStyle w:val="Tabletext"/>
            </w:pPr>
            <w:r w:rsidRPr="00134CF0">
              <w:t>27</w:t>
            </w:r>
          </w:p>
        </w:tc>
        <w:tc>
          <w:tcPr>
            <w:tcW w:w="1549" w:type="dxa"/>
            <w:shd w:val="clear" w:color="auto" w:fill="auto"/>
          </w:tcPr>
          <w:p w14:paraId="2E48CC0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805A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EB59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0.00133</w:t>
            </w:r>
          </w:p>
        </w:tc>
      </w:tr>
      <w:tr w:rsidR="00660031" w:rsidRPr="00134CF0" w14:paraId="5837527E" w14:textId="77777777" w:rsidTr="00426FEE">
        <w:tc>
          <w:tcPr>
            <w:tcW w:w="714" w:type="dxa"/>
            <w:shd w:val="clear" w:color="auto" w:fill="auto"/>
          </w:tcPr>
          <w:p w14:paraId="58D5A06F" w14:textId="77777777" w:rsidR="00660031" w:rsidRPr="00134CF0" w:rsidRDefault="00660031" w:rsidP="00660031">
            <w:pPr>
              <w:pStyle w:val="Tabletext"/>
            </w:pPr>
            <w:r w:rsidRPr="00134CF0">
              <w:t>28</w:t>
            </w:r>
          </w:p>
        </w:tc>
        <w:tc>
          <w:tcPr>
            <w:tcW w:w="1549" w:type="dxa"/>
            <w:shd w:val="clear" w:color="auto" w:fill="auto"/>
          </w:tcPr>
          <w:p w14:paraId="1678B2F2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5B89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3862E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0.00141</w:t>
            </w:r>
          </w:p>
        </w:tc>
      </w:tr>
      <w:tr w:rsidR="00660031" w:rsidRPr="00134CF0" w14:paraId="265FACD9" w14:textId="77777777" w:rsidTr="00426FEE">
        <w:tc>
          <w:tcPr>
            <w:tcW w:w="714" w:type="dxa"/>
            <w:shd w:val="clear" w:color="auto" w:fill="auto"/>
          </w:tcPr>
          <w:p w14:paraId="5D64A169" w14:textId="77777777" w:rsidR="00660031" w:rsidRPr="00134CF0" w:rsidRDefault="00660031" w:rsidP="00660031">
            <w:pPr>
              <w:pStyle w:val="Tabletext"/>
            </w:pPr>
            <w:r w:rsidRPr="00134CF0">
              <w:t>29</w:t>
            </w:r>
          </w:p>
        </w:tc>
        <w:tc>
          <w:tcPr>
            <w:tcW w:w="1549" w:type="dxa"/>
            <w:shd w:val="clear" w:color="auto" w:fill="auto"/>
          </w:tcPr>
          <w:p w14:paraId="789119B9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4D39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5BAE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0.00148</w:t>
            </w:r>
          </w:p>
        </w:tc>
      </w:tr>
      <w:tr w:rsidR="00660031" w:rsidRPr="00134CF0" w14:paraId="269838FE" w14:textId="77777777" w:rsidTr="00426FEE">
        <w:tc>
          <w:tcPr>
            <w:tcW w:w="714" w:type="dxa"/>
            <w:shd w:val="clear" w:color="auto" w:fill="auto"/>
          </w:tcPr>
          <w:p w14:paraId="3F76C996" w14:textId="77777777" w:rsidR="00660031" w:rsidRPr="00134CF0" w:rsidRDefault="00660031" w:rsidP="00660031">
            <w:pPr>
              <w:pStyle w:val="Tabletext"/>
            </w:pPr>
            <w:r w:rsidRPr="00134CF0">
              <w:t>30</w:t>
            </w:r>
          </w:p>
        </w:tc>
        <w:tc>
          <w:tcPr>
            <w:tcW w:w="1549" w:type="dxa"/>
            <w:shd w:val="clear" w:color="auto" w:fill="auto"/>
          </w:tcPr>
          <w:p w14:paraId="4B2067A4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4EAD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2272B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0.00153</w:t>
            </w:r>
          </w:p>
        </w:tc>
      </w:tr>
      <w:tr w:rsidR="00660031" w:rsidRPr="00134CF0" w14:paraId="7F9F1E43" w14:textId="77777777" w:rsidTr="00426FEE">
        <w:tc>
          <w:tcPr>
            <w:tcW w:w="714" w:type="dxa"/>
            <w:shd w:val="clear" w:color="auto" w:fill="auto"/>
          </w:tcPr>
          <w:p w14:paraId="38CF1F92" w14:textId="77777777" w:rsidR="00660031" w:rsidRPr="00134CF0" w:rsidRDefault="00660031" w:rsidP="00660031">
            <w:pPr>
              <w:pStyle w:val="Tabletext"/>
            </w:pPr>
            <w:r w:rsidRPr="00134CF0">
              <w:t>31</w:t>
            </w:r>
          </w:p>
        </w:tc>
        <w:tc>
          <w:tcPr>
            <w:tcW w:w="1549" w:type="dxa"/>
            <w:shd w:val="clear" w:color="auto" w:fill="auto"/>
          </w:tcPr>
          <w:p w14:paraId="7CFAFFD3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52F0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AC0B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0.00164</w:t>
            </w:r>
          </w:p>
        </w:tc>
      </w:tr>
      <w:tr w:rsidR="00660031" w:rsidRPr="00134CF0" w14:paraId="4D0EEDE0" w14:textId="77777777" w:rsidTr="00426FEE">
        <w:tc>
          <w:tcPr>
            <w:tcW w:w="714" w:type="dxa"/>
            <w:shd w:val="clear" w:color="auto" w:fill="auto"/>
          </w:tcPr>
          <w:p w14:paraId="1658F9FC" w14:textId="77777777" w:rsidR="00660031" w:rsidRPr="00134CF0" w:rsidRDefault="00660031" w:rsidP="00660031">
            <w:pPr>
              <w:pStyle w:val="Tabletext"/>
            </w:pPr>
            <w:r w:rsidRPr="00134CF0">
              <w:t>32</w:t>
            </w:r>
          </w:p>
        </w:tc>
        <w:tc>
          <w:tcPr>
            <w:tcW w:w="1549" w:type="dxa"/>
            <w:shd w:val="clear" w:color="auto" w:fill="auto"/>
          </w:tcPr>
          <w:p w14:paraId="6E7B05F2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0071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D69C2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0.00176</w:t>
            </w:r>
          </w:p>
        </w:tc>
      </w:tr>
      <w:tr w:rsidR="00660031" w:rsidRPr="00134CF0" w14:paraId="113A257E" w14:textId="77777777" w:rsidTr="00426FEE">
        <w:tc>
          <w:tcPr>
            <w:tcW w:w="714" w:type="dxa"/>
            <w:shd w:val="clear" w:color="auto" w:fill="auto"/>
          </w:tcPr>
          <w:p w14:paraId="50C88AC5" w14:textId="77777777" w:rsidR="00660031" w:rsidRPr="00134CF0" w:rsidRDefault="00660031" w:rsidP="00660031">
            <w:pPr>
              <w:pStyle w:val="Tabletext"/>
            </w:pPr>
            <w:r w:rsidRPr="00134CF0">
              <w:lastRenderedPageBreak/>
              <w:t>33</w:t>
            </w:r>
          </w:p>
        </w:tc>
        <w:tc>
          <w:tcPr>
            <w:tcW w:w="1549" w:type="dxa"/>
            <w:shd w:val="clear" w:color="auto" w:fill="auto"/>
          </w:tcPr>
          <w:p w14:paraId="38808860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C986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70675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0.00190</w:t>
            </w:r>
          </w:p>
        </w:tc>
      </w:tr>
      <w:tr w:rsidR="00660031" w:rsidRPr="00134CF0" w14:paraId="4139CC12" w14:textId="77777777" w:rsidTr="00426FEE">
        <w:tc>
          <w:tcPr>
            <w:tcW w:w="714" w:type="dxa"/>
            <w:shd w:val="clear" w:color="auto" w:fill="auto"/>
          </w:tcPr>
          <w:p w14:paraId="7EBD09EB" w14:textId="77777777" w:rsidR="00660031" w:rsidRPr="00134CF0" w:rsidRDefault="00660031" w:rsidP="00660031">
            <w:pPr>
              <w:pStyle w:val="Tabletext"/>
            </w:pPr>
            <w:r w:rsidRPr="00134CF0">
              <w:t>34</w:t>
            </w:r>
          </w:p>
        </w:tc>
        <w:tc>
          <w:tcPr>
            <w:tcW w:w="1549" w:type="dxa"/>
            <w:shd w:val="clear" w:color="auto" w:fill="auto"/>
          </w:tcPr>
          <w:p w14:paraId="3532709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5F9D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E94A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0.00215</w:t>
            </w:r>
          </w:p>
        </w:tc>
      </w:tr>
      <w:tr w:rsidR="00660031" w:rsidRPr="00134CF0" w14:paraId="39CEB7F5" w14:textId="77777777" w:rsidTr="00426FEE">
        <w:tc>
          <w:tcPr>
            <w:tcW w:w="714" w:type="dxa"/>
            <w:shd w:val="clear" w:color="auto" w:fill="auto"/>
          </w:tcPr>
          <w:p w14:paraId="61569C9D" w14:textId="77777777" w:rsidR="00660031" w:rsidRPr="00134CF0" w:rsidRDefault="00660031" w:rsidP="00660031">
            <w:pPr>
              <w:pStyle w:val="Tabletext"/>
            </w:pPr>
            <w:r w:rsidRPr="00134CF0">
              <w:t>35</w:t>
            </w:r>
          </w:p>
        </w:tc>
        <w:tc>
          <w:tcPr>
            <w:tcW w:w="1549" w:type="dxa"/>
            <w:shd w:val="clear" w:color="auto" w:fill="auto"/>
          </w:tcPr>
          <w:p w14:paraId="52C3173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E6D3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01DA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0.00246</w:t>
            </w:r>
          </w:p>
        </w:tc>
      </w:tr>
      <w:tr w:rsidR="00660031" w:rsidRPr="00134CF0" w14:paraId="4986BD66" w14:textId="77777777" w:rsidTr="00426FEE">
        <w:tc>
          <w:tcPr>
            <w:tcW w:w="714" w:type="dxa"/>
            <w:shd w:val="clear" w:color="auto" w:fill="auto"/>
          </w:tcPr>
          <w:p w14:paraId="4A740A7E" w14:textId="77777777" w:rsidR="00660031" w:rsidRPr="00134CF0" w:rsidRDefault="00660031" w:rsidP="00660031">
            <w:pPr>
              <w:pStyle w:val="Tabletext"/>
            </w:pPr>
            <w:r w:rsidRPr="00134CF0">
              <w:t>36</w:t>
            </w:r>
          </w:p>
        </w:tc>
        <w:tc>
          <w:tcPr>
            <w:tcW w:w="1549" w:type="dxa"/>
            <w:shd w:val="clear" w:color="auto" w:fill="auto"/>
          </w:tcPr>
          <w:p w14:paraId="60C3717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4DF7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0.00425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C932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0.00292</w:t>
            </w:r>
          </w:p>
        </w:tc>
      </w:tr>
      <w:tr w:rsidR="00660031" w:rsidRPr="00134CF0" w14:paraId="66A3FC96" w14:textId="77777777" w:rsidTr="00426FEE">
        <w:tc>
          <w:tcPr>
            <w:tcW w:w="714" w:type="dxa"/>
            <w:shd w:val="clear" w:color="auto" w:fill="auto"/>
          </w:tcPr>
          <w:p w14:paraId="511CD7A8" w14:textId="77777777" w:rsidR="00660031" w:rsidRPr="00134CF0" w:rsidRDefault="00660031" w:rsidP="00660031">
            <w:pPr>
              <w:pStyle w:val="Tabletext"/>
            </w:pPr>
            <w:r w:rsidRPr="00134CF0">
              <w:t>37</w:t>
            </w:r>
          </w:p>
        </w:tc>
        <w:tc>
          <w:tcPr>
            <w:tcW w:w="1549" w:type="dxa"/>
            <w:shd w:val="clear" w:color="auto" w:fill="auto"/>
          </w:tcPr>
          <w:p w14:paraId="5A8A2D8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2A58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0.00491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44EE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0.00334</w:t>
            </w:r>
          </w:p>
        </w:tc>
      </w:tr>
      <w:tr w:rsidR="00660031" w:rsidRPr="00134CF0" w14:paraId="7E838869" w14:textId="77777777" w:rsidTr="00426FEE">
        <w:tc>
          <w:tcPr>
            <w:tcW w:w="714" w:type="dxa"/>
            <w:shd w:val="clear" w:color="auto" w:fill="auto"/>
          </w:tcPr>
          <w:p w14:paraId="3C1E0353" w14:textId="77777777" w:rsidR="00660031" w:rsidRPr="00134CF0" w:rsidRDefault="00660031" w:rsidP="00660031">
            <w:pPr>
              <w:pStyle w:val="Tabletext"/>
            </w:pPr>
            <w:r w:rsidRPr="00134CF0">
              <w:t>38</w:t>
            </w:r>
          </w:p>
        </w:tc>
        <w:tc>
          <w:tcPr>
            <w:tcW w:w="1549" w:type="dxa"/>
            <w:shd w:val="clear" w:color="auto" w:fill="auto"/>
          </w:tcPr>
          <w:p w14:paraId="6672522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69B8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0.00561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A53F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0.00378</w:t>
            </w:r>
          </w:p>
        </w:tc>
      </w:tr>
      <w:tr w:rsidR="00660031" w:rsidRPr="00134CF0" w14:paraId="0390A867" w14:textId="77777777" w:rsidTr="00426FEE">
        <w:tc>
          <w:tcPr>
            <w:tcW w:w="714" w:type="dxa"/>
            <w:shd w:val="clear" w:color="auto" w:fill="auto"/>
          </w:tcPr>
          <w:p w14:paraId="17151D02" w14:textId="77777777" w:rsidR="00660031" w:rsidRPr="00134CF0" w:rsidRDefault="00660031" w:rsidP="00660031">
            <w:pPr>
              <w:pStyle w:val="Tabletext"/>
            </w:pPr>
            <w:r w:rsidRPr="00134CF0">
              <w:t>39</w:t>
            </w:r>
          </w:p>
        </w:tc>
        <w:tc>
          <w:tcPr>
            <w:tcW w:w="1549" w:type="dxa"/>
            <w:shd w:val="clear" w:color="auto" w:fill="auto"/>
          </w:tcPr>
          <w:p w14:paraId="200688C1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9225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0.00633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72F5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0.00425</w:t>
            </w:r>
          </w:p>
        </w:tc>
      </w:tr>
      <w:tr w:rsidR="00660031" w:rsidRPr="00134CF0" w14:paraId="02D18B7F" w14:textId="77777777" w:rsidTr="00426FEE">
        <w:tc>
          <w:tcPr>
            <w:tcW w:w="714" w:type="dxa"/>
            <w:shd w:val="clear" w:color="auto" w:fill="auto"/>
          </w:tcPr>
          <w:p w14:paraId="5F9931EF" w14:textId="77777777" w:rsidR="00660031" w:rsidRPr="00134CF0" w:rsidRDefault="00660031" w:rsidP="00660031">
            <w:pPr>
              <w:pStyle w:val="Tabletext"/>
            </w:pPr>
            <w:r w:rsidRPr="00134CF0">
              <w:t>40</w:t>
            </w:r>
          </w:p>
        </w:tc>
        <w:tc>
          <w:tcPr>
            <w:tcW w:w="1549" w:type="dxa"/>
            <w:shd w:val="clear" w:color="auto" w:fill="auto"/>
          </w:tcPr>
          <w:p w14:paraId="131D98B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82D6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0.00706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26D22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0.00488</w:t>
            </w:r>
          </w:p>
        </w:tc>
      </w:tr>
      <w:tr w:rsidR="00660031" w:rsidRPr="00134CF0" w14:paraId="47E9D56D" w14:textId="77777777" w:rsidTr="00426FEE">
        <w:tc>
          <w:tcPr>
            <w:tcW w:w="714" w:type="dxa"/>
            <w:shd w:val="clear" w:color="auto" w:fill="auto"/>
          </w:tcPr>
          <w:p w14:paraId="3BE127F5" w14:textId="77777777" w:rsidR="00660031" w:rsidRPr="00134CF0" w:rsidRDefault="00660031" w:rsidP="00660031">
            <w:pPr>
              <w:pStyle w:val="Tabletext"/>
            </w:pPr>
            <w:r w:rsidRPr="00134CF0">
              <w:t>41</w:t>
            </w:r>
          </w:p>
        </w:tc>
        <w:tc>
          <w:tcPr>
            <w:tcW w:w="1549" w:type="dxa"/>
            <w:shd w:val="clear" w:color="auto" w:fill="auto"/>
          </w:tcPr>
          <w:p w14:paraId="47C6AAE9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7935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0.00801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D7E7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0.00565</w:t>
            </w:r>
          </w:p>
        </w:tc>
      </w:tr>
      <w:tr w:rsidR="00660031" w:rsidRPr="00134CF0" w14:paraId="3F077FDF" w14:textId="77777777" w:rsidTr="00426FEE">
        <w:tc>
          <w:tcPr>
            <w:tcW w:w="714" w:type="dxa"/>
            <w:shd w:val="clear" w:color="auto" w:fill="auto"/>
          </w:tcPr>
          <w:p w14:paraId="70AD9EF8" w14:textId="77777777" w:rsidR="00660031" w:rsidRPr="00134CF0" w:rsidRDefault="00660031" w:rsidP="00660031">
            <w:pPr>
              <w:pStyle w:val="Tabletext"/>
            </w:pPr>
            <w:r w:rsidRPr="00134CF0">
              <w:t>42</w:t>
            </w:r>
          </w:p>
        </w:tc>
        <w:tc>
          <w:tcPr>
            <w:tcW w:w="1549" w:type="dxa"/>
            <w:shd w:val="clear" w:color="auto" w:fill="auto"/>
          </w:tcPr>
          <w:p w14:paraId="4FB8914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9E39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D551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0.00653</w:t>
            </w:r>
          </w:p>
        </w:tc>
      </w:tr>
      <w:tr w:rsidR="00660031" w:rsidRPr="00134CF0" w14:paraId="7D6EACC5" w14:textId="77777777" w:rsidTr="00426FEE">
        <w:tc>
          <w:tcPr>
            <w:tcW w:w="714" w:type="dxa"/>
            <w:shd w:val="clear" w:color="auto" w:fill="auto"/>
          </w:tcPr>
          <w:p w14:paraId="1DC1605C" w14:textId="77777777" w:rsidR="00660031" w:rsidRPr="00134CF0" w:rsidRDefault="00660031" w:rsidP="00660031">
            <w:pPr>
              <w:pStyle w:val="Tabletext"/>
            </w:pPr>
            <w:r w:rsidRPr="00134CF0">
              <w:t>43</w:t>
            </w:r>
          </w:p>
        </w:tc>
        <w:tc>
          <w:tcPr>
            <w:tcW w:w="1549" w:type="dxa"/>
            <w:shd w:val="clear" w:color="auto" w:fill="auto"/>
          </w:tcPr>
          <w:p w14:paraId="1E9A74C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FABF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53E9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0.00750</w:t>
            </w:r>
          </w:p>
        </w:tc>
      </w:tr>
      <w:tr w:rsidR="00660031" w:rsidRPr="00134CF0" w14:paraId="73D23B0F" w14:textId="77777777" w:rsidTr="00426FEE">
        <w:tc>
          <w:tcPr>
            <w:tcW w:w="714" w:type="dxa"/>
            <w:shd w:val="clear" w:color="auto" w:fill="auto"/>
          </w:tcPr>
          <w:p w14:paraId="19E70F2F" w14:textId="77777777" w:rsidR="00660031" w:rsidRPr="00134CF0" w:rsidRDefault="00660031" w:rsidP="00660031">
            <w:pPr>
              <w:pStyle w:val="Tabletext"/>
            </w:pPr>
            <w:r w:rsidRPr="00134CF0">
              <w:t>44</w:t>
            </w:r>
          </w:p>
        </w:tc>
        <w:tc>
          <w:tcPr>
            <w:tcW w:w="1549" w:type="dxa"/>
            <w:shd w:val="clear" w:color="auto" w:fill="auto"/>
          </w:tcPr>
          <w:p w14:paraId="503E3D3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02BB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A148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0.00852</w:t>
            </w:r>
          </w:p>
        </w:tc>
      </w:tr>
      <w:tr w:rsidR="00660031" w:rsidRPr="00134CF0" w14:paraId="4CFE3178" w14:textId="77777777" w:rsidTr="00426FEE">
        <w:tc>
          <w:tcPr>
            <w:tcW w:w="714" w:type="dxa"/>
            <w:shd w:val="clear" w:color="auto" w:fill="auto"/>
          </w:tcPr>
          <w:p w14:paraId="63309B3E" w14:textId="77777777" w:rsidR="00660031" w:rsidRPr="00134CF0" w:rsidRDefault="00660031" w:rsidP="00660031">
            <w:pPr>
              <w:pStyle w:val="Tabletext"/>
            </w:pPr>
            <w:r w:rsidRPr="00134CF0">
              <w:t>45</w:t>
            </w:r>
          </w:p>
        </w:tc>
        <w:tc>
          <w:tcPr>
            <w:tcW w:w="1549" w:type="dxa"/>
            <w:shd w:val="clear" w:color="auto" w:fill="auto"/>
          </w:tcPr>
          <w:p w14:paraId="5AC08FD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AD75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2F85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0.00953</w:t>
            </w:r>
          </w:p>
        </w:tc>
      </w:tr>
      <w:tr w:rsidR="00660031" w:rsidRPr="00134CF0" w14:paraId="6AA3E516" w14:textId="77777777" w:rsidTr="00426FEE">
        <w:tc>
          <w:tcPr>
            <w:tcW w:w="714" w:type="dxa"/>
            <w:shd w:val="clear" w:color="auto" w:fill="auto"/>
          </w:tcPr>
          <w:p w14:paraId="4EBC98D7" w14:textId="77777777" w:rsidR="00660031" w:rsidRPr="00134CF0" w:rsidRDefault="00660031" w:rsidP="00660031">
            <w:pPr>
              <w:pStyle w:val="Tabletext"/>
            </w:pPr>
            <w:r w:rsidRPr="00134CF0">
              <w:t>46</w:t>
            </w:r>
          </w:p>
        </w:tc>
        <w:tc>
          <w:tcPr>
            <w:tcW w:w="1549" w:type="dxa"/>
            <w:shd w:val="clear" w:color="auto" w:fill="auto"/>
          </w:tcPr>
          <w:p w14:paraId="34405E8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8170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0.01586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1805D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0.01085</w:t>
            </w:r>
          </w:p>
        </w:tc>
      </w:tr>
      <w:tr w:rsidR="00660031" w:rsidRPr="00134CF0" w14:paraId="37CA5019" w14:textId="77777777" w:rsidTr="00426FEE">
        <w:tc>
          <w:tcPr>
            <w:tcW w:w="714" w:type="dxa"/>
            <w:shd w:val="clear" w:color="auto" w:fill="auto"/>
          </w:tcPr>
          <w:p w14:paraId="2C9865BE" w14:textId="77777777" w:rsidR="00660031" w:rsidRPr="00134CF0" w:rsidRDefault="00660031" w:rsidP="00660031">
            <w:pPr>
              <w:pStyle w:val="Tabletext"/>
            </w:pPr>
            <w:r w:rsidRPr="00134CF0">
              <w:t>47</w:t>
            </w:r>
          </w:p>
        </w:tc>
        <w:tc>
          <w:tcPr>
            <w:tcW w:w="1549" w:type="dxa"/>
            <w:shd w:val="clear" w:color="auto" w:fill="auto"/>
          </w:tcPr>
          <w:p w14:paraId="6D840150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34B5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0.01837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EAE1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0.01252</w:t>
            </w:r>
          </w:p>
        </w:tc>
      </w:tr>
      <w:tr w:rsidR="00660031" w:rsidRPr="00134CF0" w14:paraId="58386831" w14:textId="77777777" w:rsidTr="00426FEE">
        <w:tc>
          <w:tcPr>
            <w:tcW w:w="714" w:type="dxa"/>
            <w:shd w:val="clear" w:color="auto" w:fill="auto"/>
          </w:tcPr>
          <w:p w14:paraId="676FA672" w14:textId="77777777" w:rsidR="00660031" w:rsidRPr="00134CF0" w:rsidRDefault="00660031" w:rsidP="00660031">
            <w:pPr>
              <w:pStyle w:val="Tabletext"/>
            </w:pPr>
            <w:r w:rsidRPr="00134CF0">
              <w:t>48</w:t>
            </w:r>
          </w:p>
        </w:tc>
        <w:tc>
          <w:tcPr>
            <w:tcW w:w="1549" w:type="dxa"/>
            <w:shd w:val="clear" w:color="auto" w:fill="auto"/>
          </w:tcPr>
          <w:p w14:paraId="41515BA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6C3C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0.02158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1918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0.01468</w:t>
            </w:r>
          </w:p>
        </w:tc>
      </w:tr>
      <w:tr w:rsidR="00660031" w:rsidRPr="00134CF0" w14:paraId="690322D4" w14:textId="77777777" w:rsidTr="00426FEE">
        <w:tc>
          <w:tcPr>
            <w:tcW w:w="714" w:type="dxa"/>
            <w:shd w:val="clear" w:color="auto" w:fill="auto"/>
          </w:tcPr>
          <w:p w14:paraId="070207BB" w14:textId="77777777" w:rsidR="00660031" w:rsidRPr="00134CF0" w:rsidRDefault="00660031" w:rsidP="00660031">
            <w:pPr>
              <w:pStyle w:val="Tabletext"/>
            </w:pPr>
            <w:r w:rsidRPr="00134CF0">
              <w:t>49</w:t>
            </w:r>
          </w:p>
        </w:tc>
        <w:tc>
          <w:tcPr>
            <w:tcW w:w="1549" w:type="dxa"/>
            <w:shd w:val="clear" w:color="auto" w:fill="auto"/>
          </w:tcPr>
          <w:p w14:paraId="73EF41E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1661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0.02540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621F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0.01731</w:t>
            </w:r>
          </w:p>
        </w:tc>
      </w:tr>
      <w:tr w:rsidR="00660031" w:rsidRPr="00134CF0" w14:paraId="0FD9834A" w14:textId="77777777" w:rsidTr="00426FEE">
        <w:tc>
          <w:tcPr>
            <w:tcW w:w="714" w:type="dxa"/>
            <w:shd w:val="clear" w:color="auto" w:fill="auto"/>
          </w:tcPr>
          <w:p w14:paraId="385C0E23" w14:textId="77777777" w:rsidR="00660031" w:rsidRPr="00134CF0" w:rsidRDefault="00660031" w:rsidP="00660031">
            <w:pPr>
              <w:pStyle w:val="Tabletext"/>
            </w:pPr>
            <w:r w:rsidRPr="00134CF0">
              <w:t>50</w:t>
            </w:r>
          </w:p>
        </w:tc>
        <w:tc>
          <w:tcPr>
            <w:tcW w:w="1549" w:type="dxa"/>
            <w:shd w:val="clear" w:color="auto" w:fill="auto"/>
          </w:tcPr>
          <w:p w14:paraId="3E971681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718C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0.02999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E297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0.02049</w:t>
            </w:r>
          </w:p>
        </w:tc>
      </w:tr>
      <w:tr w:rsidR="00660031" w:rsidRPr="00134CF0" w14:paraId="2F48B6A1" w14:textId="77777777" w:rsidTr="00426FEE">
        <w:tc>
          <w:tcPr>
            <w:tcW w:w="714" w:type="dxa"/>
            <w:shd w:val="clear" w:color="auto" w:fill="auto"/>
          </w:tcPr>
          <w:p w14:paraId="268E652F" w14:textId="77777777" w:rsidR="00660031" w:rsidRPr="00134CF0" w:rsidRDefault="00660031" w:rsidP="00660031">
            <w:pPr>
              <w:pStyle w:val="Tabletext"/>
            </w:pPr>
            <w:r w:rsidRPr="00134CF0">
              <w:t>51</w:t>
            </w:r>
          </w:p>
        </w:tc>
        <w:tc>
          <w:tcPr>
            <w:tcW w:w="1549" w:type="dxa"/>
            <w:shd w:val="clear" w:color="auto" w:fill="auto"/>
          </w:tcPr>
          <w:p w14:paraId="3FCC7180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B028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0.03594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CFCB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0.02462</w:t>
            </w:r>
          </w:p>
        </w:tc>
      </w:tr>
      <w:tr w:rsidR="00660031" w:rsidRPr="00134CF0" w14:paraId="60303AD8" w14:textId="77777777" w:rsidTr="00426FEE">
        <w:tc>
          <w:tcPr>
            <w:tcW w:w="714" w:type="dxa"/>
            <w:shd w:val="clear" w:color="auto" w:fill="auto"/>
          </w:tcPr>
          <w:p w14:paraId="1392FB68" w14:textId="77777777" w:rsidR="00660031" w:rsidRPr="00134CF0" w:rsidRDefault="00660031" w:rsidP="00660031">
            <w:pPr>
              <w:pStyle w:val="Tabletext"/>
            </w:pPr>
            <w:r w:rsidRPr="00134CF0">
              <w:t>52</w:t>
            </w:r>
          </w:p>
        </w:tc>
        <w:tc>
          <w:tcPr>
            <w:tcW w:w="1549" w:type="dxa"/>
            <w:shd w:val="clear" w:color="auto" w:fill="auto"/>
          </w:tcPr>
          <w:p w14:paraId="08C3921C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9010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0.04203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966F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0.02936</w:t>
            </w:r>
          </w:p>
        </w:tc>
      </w:tr>
      <w:tr w:rsidR="00660031" w:rsidRPr="00134CF0" w14:paraId="0094C630" w14:textId="77777777" w:rsidTr="00426FEE">
        <w:tc>
          <w:tcPr>
            <w:tcW w:w="714" w:type="dxa"/>
            <w:shd w:val="clear" w:color="auto" w:fill="auto"/>
          </w:tcPr>
          <w:p w14:paraId="354E48E3" w14:textId="77777777" w:rsidR="00660031" w:rsidRPr="00134CF0" w:rsidRDefault="00660031" w:rsidP="00660031">
            <w:pPr>
              <w:pStyle w:val="Tabletext"/>
            </w:pPr>
            <w:r w:rsidRPr="00134CF0">
              <w:t>53</w:t>
            </w:r>
          </w:p>
        </w:tc>
        <w:tc>
          <w:tcPr>
            <w:tcW w:w="1549" w:type="dxa"/>
            <w:shd w:val="clear" w:color="auto" w:fill="auto"/>
          </w:tcPr>
          <w:p w14:paraId="174EECD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05BF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0.04912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35734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0.03489</w:t>
            </w:r>
          </w:p>
        </w:tc>
      </w:tr>
      <w:tr w:rsidR="00660031" w:rsidRPr="00134CF0" w14:paraId="73E1A17C" w14:textId="77777777" w:rsidTr="00426FEE">
        <w:tc>
          <w:tcPr>
            <w:tcW w:w="714" w:type="dxa"/>
            <w:shd w:val="clear" w:color="auto" w:fill="auto"/>
          </w:tcPr>
          <w:p w14:paraId="6683CCEB" w14:textId="77777777" w:rsidR="00660031" w:rsidRPr="00134CF0" w:rsidRDefault="00660031" w:rsidP="00660031">
            <w:pPr>
              <w:pStyle w:val="Tabletext"/>
            </w:pPr>
            <w:r w:rsidRPr="00134CF0">
              <w:t>54</w:t>
            </w:r>
          </w:p>
        </w:tc>
        <w:tc>
          <w:tcPr>
            <w:tcW w:w="1549" w:type="dxa"/>
            <w:shd w:val="clear" w:color="auto" w:fill="auto"/>
          </w:tcPr>
          <w:p w14:paraId="69593706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0DCD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0.05696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3E62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0.04000</w:t>
            </w:r>
          </w:p>
        </w:tc>
      </w:tr>
      <w:tr w:rsidR="00660031" w:rsidRPr="00134CF0" w14:paraId="06400458" w14:textId="77777777" w:rsidTr="00426FEE">
        <w:tc>
          <w:tcPr>
            <w:tcW w:w="714" w:type="dxa"/>
            <w:shd w:val="clear" w:color="auto" w:fill="auto"/>
          </w:tcPr>
          <w:p w14:paraId="31FD1626" w14:textId="77777777" w:rsidR="00660031" w:rsidRPr="00134CF0" w:rsidRDefault="00660031" w:rsidP="00660031">
            <w:pPr>
              <w:pStyle w:val="Tabletext"/>
            </w:pPr>
            <w:r w:rsidRPr="00134CF0">
              <w:t>55</w:t>
            </w:r>
          </w:p>
        </w:tc>
        <w:tc>
          <w:tcPr>
            <w:tcW w:w="1549" w:type="dxa"/>
            <w:shd w:val="clear" w:color="auto" w:fill="auto"/>
          </w:tcPr>
          <w:p w14:paraId="55476C4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1834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0.06606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74B4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0.04558</w:t>
            </w:r>
          </w:p>
        </w:tc>
      </w:tr>
      <w:tr w:rsidR="00660031" w:rsidRPr="00134CF0" w14:paraId="734B8C50" w14:textId="77777777" w:rsidTr="00426FEE">
        <w:tc>
          <w:tcPr>
            <w:tcW w:w="714" w:type="dxa"/>
            <w:shd w:val="clear" w:color="auto" w:fill="auto"/>
          </w:tcPr>
          <w:p w14:paraId="60F348C2" w14:textId="77777777" w:rsidR="00660031" w:rsidRPr="00134CF0" w:rsidRDefault="00660031" w:rsidP="00660031">
            <w:pPr>
              <w:pStyle w:val="Tabletext"/>
            </w:pPr>
            <w:r w:rsidRPr="00134CF0">
              <w:t>56</w:t>
            </w:r>
          </w:p>
        </w:tc>
        <w:tc>
          <w:tcPr>
            <w:tcW w:w="1549" w:type="dxa"/>
            <w:shd w:val="clear" w:color="auto" w:fill="auto"/>
          </w:tcPr>
          <w:p w14:paraId="703B1B6E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84CD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0.07601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7992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0.05334</w:t>
            </w:r>
          </w:p>
        </w:tc>
      </w:tr>
      <w:tr w:rsidR="00660031" w:rsidRPr="00134CF0" w14:paraId="445A3A97" w14:textId="77777777" w:rsidTr="00426FEE">
        <w:tc>
          <w:tcPr>
            <w:tcW w:w="714" w:type="dxa"/>
            <w:shd w:val="clear" w:color="auto" w:fill="auto"/>
          </w:tcPr>
          <w:p w14:paraId="3452D1C6" w14:textId="77777777" w:rsidR="00660031" w:rsidRPr="00134CF0" w:rsidRDefault="00660031" w:rsidP="00660031">
            <w:pPr>
              <w:pStyle w:val="Tabletext"/>
            </w:pPr>
            <w:r w:rsidRPr="00134CF0">
              <w:t>57</w:t>
            </w:r>
          </w:p>
        </w:tc>
        <w:tc>
          <w:tcPr>
            <w:tcW w:w="1549" w:type="dxa"/>
            <w:shd w:val="clear" w:color="auto" w:fill="auto"/>
          </w:tcPr>
          <w:p w14:paraId="68466461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5DA1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0.08693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BAF8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0.06278</w:t>
            </w:r>
          </w:p>
        </w:tc>
      </w:tr>
      <w:tr w:rsidR="00660031" w:rsidRPr="00134CF0" w14:paraId="3E06EB69" w14:textId="77777777" w:rsidTr="00426FEE">
        <w:tc>
          <w:tcPr>
            <w:tcW w:w="714" w:type="dxa"/>
            <w:shd w:val="clear" w:color="auto" w:fill="auto"/>
          </w:tcPr>
          <w:p w14:paraId="54869DA1" w14:textId="77777777" w:rsidR="00660031" w:rsidRPr="00134CF0" w:rsidRDefault="00660031" w:rsidP="00660031">
            <w:pPr>
              <w:pStyle w:val="Tabletext"/>
            </w:pPr>
            <w:r w:rsidRPr="00134CF0">
              <w:t>58</w:t>
            </w:r>
          </w:p>
        </w:tc>
        <w:tc>
          <w:tcPr>
            <w:tcW w:w="1549" w:type="dxa"/>
            <w:shd w:val="clear" w:color="auto" w:fill="auto"/>
          </w:tcPr>
          <w:p w14:paraId="4B59FD1C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FE9E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0.09992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DD8E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0.07424</w:t>
            </w:r>
          </w:p>
        </w:tc>
      </w:tr>
      <w:tr w:rsidR="00660031" w:rsidRPr="00134CF0" w14:paraId="328B3B1C" w14:textId="77777777" w:rsidTr="00426FEE">
        <w:tc>
          <w:tcPr>
            <w:tcW w:w="714" w:type="dxa"/>
            <w:shd w:val="clear" w:color="auto" w:fill="auto"/>
          </w:tcPr>
          <w:p w14:paraId="2A81FEA7" w14:textId="77777777" w:rsidR="00660031" w:rsidRPr="00134CF0" w:rsidRDefault="00660031" w:rsidP="00660031">
            <w:pPr>
              <w:pStyle w:val="Tabletext"/>
            </w:pPr>
            <w:r w:rsidRPr="00134CF0">
              <w:t>59</w:t>
            </w:r>
          </w:p>
        </w:tc>
        <w:tc>
          <w:tcPr>
            <w:tcW w:w="1549" w:type="dxa"/>
            <w:shd w:val="clear" w:color="auto" w:fill="auto"/>
          </w:tcPr>
          <w:p w14:paraId="58130889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B4EA0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0.11362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444EA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0.08999</w:t>
            </w:r>
          </w:p>
        </w:tc>
      </w:tr>
      <w:tr w:rsidR="00660031" w:rsidRPr="00134CF0" w14:paraId="530A9FB3" w14:textId="77777777" w:rsidTr="00426FEE">
        <w:tc>
          <w:tcPr>
            <w:tcW w:w="714" w:type="dxa"/>
            <w:shd w:val="clear" w:color="auto" w:fill="auto"/>
          </w:tcPr>
          <w:p w14:paraId="2267691B" w14:textId="77777777" w:rsidR="00660031" w:rsidRPr="00134CF0" w:rsidRDefault="00660031" w:rsidP="00660031">
            <w:pPr>
              <w:pStyle w:val="Tabletext"/>
            </w:pPr>
            <w:r w:rsidRPr="00134CF0">
              <w:t>60</w:t>
            </w:r>
          </w:p>
        </w:tc>
        <w:tc>
          <w:tcPr>
            <w:tcW w:w="1549" w:type="dxa"/>
            <w:shd w:val="clear" w:color="auto" w:fill="auto"/>
          </w:tcPr>
          <w:p w14:paraId="7437F2AB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57D5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0.13041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71A5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0.10302</w:t>
            </w:r>
          </w:p>
        </w:tc>
      </w:tr>
      <w:tr w:rsidR="00660031" w:rsidRPr="00134CF0" w14:paraId="1E05C7D4" w14:textId="77777777" w:rsidTr="00426FEE">
        <w:tc>
          <w:tcPr>
            <w:tcW w:w="714" w:type="dxa"/>
            <w:shd w:val="clear" w:color="auto" w:fill="auto"/>
          </w:tcPr>
          <w:p w14:paraId="599D67EC" w14:textId="77777777" w:rsidR="00660031" w:rsidRPr="00134CF0" w:rsidRDefault="00660031" w:rsidP="00660031">
            <w:pPr>
              <w:pStyle w:val="Tabletext"/>
            </w:pPr>
            <w:r w:rsidRPr="00134CF0">
              <w:t>61</w:t>
            </w:r>
          </w:p>
        </w:tc>
        <w:tc>
          <w:tcPr>
            <w:tcW w:w="1549" w:type="dxa"/>
            <w:shd w:val="clear" w:color="auto" w:fill="auto"/>
          </w:tcPr>
          <w:p w14:paraId="06A8B708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826FC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0.14792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6A57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0.11725</w:t>
            </w:r>
          </w:p>
        </w:tc>
      </w:tr>
      <w:tr w:rsidR="00660031" w:rsidRPr="00134CF0" w14:paraId="347119AF" w14:textId="77777777" w:rsidTr="00426FEE">
        <w:tc>
          <w:tcPr>
            <w:tcW w:w="714" w:type="dxa"/>
            <w:shd w:val="clear" w:color="auto" w:fill="auto"/>
          </w:tcPr>
          <w:p w14:paraId="5ECFD972" w14:textId="77777777" w:rsidR="00660031" w:rsidRPr="00134CF0" w:rsidRDefault="00660031" w:rsidP="00660031">
            <w:pPr>
              <w:pStyle w:val="Tabletext"/>
            </w:pPr>
            <w:r w:rsidRPr="00134CF0">
              <w:t>62</w:t>
            </w:r>
          </w:p>
        </w:tc>
        <w:tc>
          <w:tcPr>
            <w:tcW w:w="1549" w:type="dxa"/>
            <w:shd w:val="clear" w:color="auto" w:fill="auto"/>
          </w:tcPr>
          <w:p w14:paraId="66D5C48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242C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0.16773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8487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0.12866</w:t>
            </w:r>
          </w:p>
        </w:tc>
      </w:tr>
      <w:tr w:rsidR="00660031" w:rsidRPr="00134CF0" w14:paraId="4FAB7446" w14:textId="77777777" w:rsidTr="00426FEE">
        <w:tc>
          <w:tcPr>
            <w:tcW w:w="714" w:type="dxa"/>
            <w:shd w:val="clear" w:color="auto" w:fill="auto"/>
          </w:tcPr>
          <w:p w14:paraId="71F30C3D" w14:textId="77777777" w:rsidR="00660031" w:rsidRPr="00134CF0" w:rsidRDefault="00660031" w:rsidP="00660031">
            <w:pPr>
              <w:pStyle w:val="Tabletext"/>
            </w:pPr>
            <w:r w:rsidRPr="00134CF0">
              <w:t>63</w:t>
            </w:r>
          </w:p>
        </w:tc>
        <w:tc>
          <w:tcPr>
            <w:tcW w:w="1549" w:type="dxa"/>
            <w:shd w:val="clear" w:color="auto" w:fill="auto"/>
          </w:tcPr>
          <w:p w14:paraId="14296CCF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0035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0.18808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CDC92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0.14165</w:t>
            </w:r>
          </w:p>
        </w:tc>
      </w:tr>
      <w:tr w:rsidR="00660031" w:rsidRPr="00134CF0" w14:paraId="49D1DEE5" w14:textId="77777777" w:rsidTr="00426FEE">
        <w:tc>
          <w:tcPr>
            <w:tcW w:w="714" w:type="dxa"/>
            <w:shd w:val="clear" w:color="auto" w:fill="auto"/>
          </w:tcPr>
          <w:p w14:paraId="7F9892CB" w14:textId="77777777" w:rsidR="00660031" w:rsidRPr="00134CF0" w:rsidRDefault="00660031" w:rsidP="00660031">
            <w:pPr>
              <w:pStyle w:val="Tabletext"/>
            </w:pPr>
            <w:r w:rsidRPr="00134CF0">
              <w:t>64</w:t>
            </w:r>
          </w:p>
        </w:tc>
        <w:tc>
          <w:tcPr>
            <w:tcW w:w="1549" w:type="dxa"/>
            <w:shd w:val="clear" w:color="auto" w:fill="auto"/>
          </w:tcPr>
          <w:p w14:paraId="1B446F22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828B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0.20295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EEB9E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0.15826</w:t>
            </w:r>
          </w:p>
        </w:tc>
      </w:tr>
      <w:tr w:rsidR="00660031" w:rsidRPr="00134CF0" w14:paraId="1D134AA6" w14:textId="77777777" w:rsidTr="00426FEE">
        <w:tc>
          <w:tcPr>
            <w:tcW w:w="714" w:type="dxa"/>
            <w:shd w:val="clear" w:color="auto" w:fill="auto"/>
          </w:tcPr>
          <w:p w14:paraId="1360D082" w14:textId="77777777" w:rsidR="00660031" w:rsidRPr="00134CF0" w:rsidRDefault="00660031" w:rsidP="00660031">
            <w:pPr>
              <w:pStyle w:val="Tabletext"/>
            </w:pPr>
            <w:r w:rsidRPr="00134CF0">
              <w:t>65</w:t>
            </w:r>
          </w:p>
        </w:tc>
        <w:tc>
          <w:tcPr>
            <w:tcW w:w="1549" w:type="dxa"/>
            <w:shd w:val="clear" w:color="auto" w:fill="auto"/>
          </w:tcPr>
          <w:p w14:paraId="042BD27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6AEEC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0.21812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E15F5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0.17393</w:t>
            </w:r>
          </w:p>
        </w:tc>
      </w:tr>
      <w:tr w:rsidR="00660031" w:rsidRPr="00134CF0" w14:paraId="2ED68E41" w14:textId="77777777" w:rsidTr="00426FEE">
        <w:tc>
          <w:tcPr>
            <w:tcW w:w="714" w:type="dxa"/>
            <w:shd w:val="clear" w:color="auto" w:fill="auto"/>
          </w:tcPr>
          <w:p w14:paraId="08238512" w14:textId="77777777" w:rsidR="00660031" w:rsidRPr="00134CF0" w:rsidRDefault="00660031" w:rsidP="00660031">
            <w:pPr>
              <w:pStyle w:val="Tabletext"/>
            </w:pPr>
            <w:r w:rsidRPr="00134CF0">
              <w:t>66</w:t>
            </w:r>
          </w:p>
        </w:tc>
        <w:tc>
          <w:tcPr>
            <w:tcW w:w="1549" w:type="dxa"/>
            <w:shd w:val="clear" w:color="auto" w:fill="auto"/>
          </w:tcPr>
          <w:p w14:paraId="55B4B0F2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5109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0.23360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AB1DF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0.19003</w:t>
            </w:r>
          </w:p>
        </w:tc>
      </w:tr>
      <w:tr w:rsidR="00660031" w:rsidRPr="00134CF0" w14:paraId="2465D214" w14:textId="77777777" w:rsidTr="00426FEE">
        <w:tc>
          <w:tcPr>
            <w:tcW w:w="714" w:type="dxa"/>
            <w:shd w:val="clear" w:color="auto" w:fill="auto"/>
          </w:tcPr>
          <w:p w14:paraId="781C3012" w14:textId="77777777" w:rsidR="00660031" w:rsidRPr="00134CF0" w:rsidRDefault="00660031" w:rsidP="00660031">
            <w:pPr>
              <w:pStyle w:val="Tabletext"/>
            </w:pPr>
            <w:r w:rsidRPr="00134CF0">
              <w:t>67</w:t>
            </w:r>
          </w:p>
        </w:tc>
        <w:tc>
          <w:tcPr>
            <w:tcW w:w="1549" w:type="dxa"/>
            <w:shd w:val="clear" w:color="auto" w:fill="auto"/>
          </w:tcPr>
          <w:p w14:paraId="6C6D2849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F5B3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0.24937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A95E9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0.20870</w:t>
            </w:r>
          </w:p>
        </w:tc>
      </w:tr>
      <w:tr w:rsidR="00660031" w:rsidRPr="00134CF0" w14:paraId="77979BD0" w14:textId="77777777" w:rsidTr="00426FEE">
        <w:tc>
          <w:tcPr>
            <w:tcW w:w="714" w:type="dxa"/>
            <w:shd w:val="clear" w:color="auto" w:fill="auto"/>
          </w:tcPr>
          <w:p w14:paraId="71391936" w14:textId="77777777" w:rsidR="00660031" w:rsidRPr="00134CF0" w:rsidRDefault="00660031" w:rsidP="00660031">
            <w:pPr>
              <w:pStyle w:val="Tabletext"/>
            </w:pPr>
            <w:r w:rsidRPr="00134CF0">
              <w:t>68</w:t>
            </w:r>
          </w:p>
        </w:tc>
        <w:tc>
          <w:tcPr>
            <w:tcW w:w="1549" w:type="dxa"/>
            <w:shd w:val="clear" w:color="auto" w:fill="auto"/>
          </w:tcPr>
          <w:p w14:paraId="3689258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272A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0.26539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5681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0.22796</w:t>
            </w:r>
          </w:p>
        </w:tc>
      </w:tr>
      <w:tr w:rsidR="00660031" w:rsidRPr="00134CF0" w14:paraId="56152BB2" w14:textId="77777777" w:rsidTr="00426FEE">
        <w:tc>
          <w:tcPr>
            <w:tcW w:w="714" w:type="dxa"/>
            <w:shd w:val="clear" w:color="auto" w:fill="auto"/>
          </w:tcPr>
          <w:p w14:paraId="0E4169C2" w14:textId="77777777" w:rsidR="00660031" w:rsidRPr="00134CF0" w:rsidRDefault="00660031" w:rsidP="00660031">
            <w:pPr>
              <w:pStyle w:val="Tabletext"/>
            </w:pPr>
            <w:r w:rsidRPr="00134CF0">
              <w:t>69</w:t>
            </w:r>
          </w:p>
        </w:tc>
        <w:tc>
          <w:tcPr>
            <w:tcW w:w="1549" w:type="dxa"/>
            <w:shd w:val="clear" w:color="auto" w:fill="auto"/>
          </w:tcPr>
          <w:p w14:paraId="7E83003A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CBF9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0.28163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EA38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0.25031</w:t>
            </w:r>
          </w:p>
        </w:tc>
      </w:tr>
      <w:tr w:rsidR="00660031" w:rsidRPr="00134CF0" w14:paraId="1F8D1D0E" w14:textId="77777777" w:rsidTr="00426FEE">
        <w:tc>
          <w:tcPr>
            <w:tcW w:w="714" w:type="dxa"/>
            <w:shd w:val="clear" w:color="auto" w:fill="auto"/>
          </w:tcPr>
          <w:p w14:paraId="053A237C" w14:textId="77777777" w:rsidR="00660031" w:rsidRPr="00134CF0" w:rsidRDefault="00660031" w:rsidP="00660031">
            <w:pPr>
              <w:pStyle w:val="Tabletext"/>
            </w:pPr>
            <w:r w:rsidRPr="00134CF0">
              <w:t>70</w:t>
            </w:r>
          </w:p>
        </w:tc>
        <w:tc>
          <w:tcPr>
            <w:tcW w:w="1549" w:type="dxa"/>
            <w:shd w:val="clear" w:color="auto" w:fill="auto"/>
          </w:tcPr>
          <w:p w14:paraId="226FFB0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E111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0.29802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349A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0.27339</w:t>
            </w:r>
          </w:p>
        </w:tc>
      </w:tr>
      <w:tr w:rsidR="00660031" w:rsidRPr="00134CF0" w14:paraId="6FE3ABD3" w14:textId="77777777" w:rsidTr="00426FEE">
        <w:tc>
          <w:tcPr>
            <w:tcW w:w="714" w:type="dxa"/>
            <w:shd w:val="clear" w:color="auto" w:fill="auto"/>
          </w:tcPr>
          <w:p w14:paraId="03A05AF6" w14:textId="77777777" w:rsidR="00660031" w:rsidRPr="00134CF0" w:rsidRDefault="00660031" w:rsidP="00660031">
            <w:pPr>
              <w:pStyle w:val="Tabletext"/>
            </w:pPr>
            <w:r w:rsidRPr="00134CF0">
              <w:t>71</w:t>
            </w:r>
          </w:p>
        </w:tc>
        <w:tc>
          <w:tcPr>
            <w:tcW w:w="1549" w:type="dxa"/>
            <w:shd w:val="clear" w:color="auto" w:fill="auto"/>
          </w:tcPr>
          <w:p w14:paraId="39CE3DAC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0D31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0.31547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DF60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0.32838</w:t>
            </w:r>
          </w:p>
        </w:tc>
      </w:tr>
      <w:tr w:rsidR="00660031" w:rsidRPr="00134CF0" w14:paraId="2BCFBEA0" w14:textId="77777777" w:rsidTr="00426FEE">
        <w:tc>
          <w:tcPr>
            <w:tcW w:w="714" w:type="dxa"/>
            <w:shd w:val="clear" w:color="auto" w:fill="auto"/>
          </w:tcPr>
          <w:p w14:paraId="0C43BC96" w14:textId="77777777" w:rsidR="00660031" w:rsidRPr="00134CF0" w:rsidRDefault="00660031" w:rsidP="00660031">
            <w:pPr>
              <w:pStyle w:val="Tabletext"/>
            </w:pPr>
            <w:r w:rsidRPr="00134CF0">
              <w:t>72</w:t>
            </w:r>
          </w:p>
        </w:tc>
        <w:tc>
          <w:tcPr>
            <w:tcW w:w="1549" w:type="dxa"/>
            <w:shd w:val="clear" w:color="auto" w:fill="auto"/>
          </w:tcPr>
          <w:p w14:paraId="1DA66E95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D046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0.33194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F893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0.35236</w:t>
            </w:r>
          </w:p>
        </w:tc>
      </w:tr>
      <w:tr w:rsidR="00660031" w:rsidRPr="00134CF0" w14:paraId="02B927FF" w14:textId="77777777" w:rsidTr="00426FEE">
        <w:tc>
          <w:tcPr>
            <w:tcW w:w="714" w:type="dxa"/>
            <w:shd w:val="clear" w:color="auto" w:fill="auto"/>
          </w:tcPr>
          <w:p w14:paraId="5BD0CA14" w14:textId="77777777" w:rsidR="00660031" w:rsidRPr="00134CF0" w:rsidRDefault="00660031" w:rsidP="00660031">
            <w:pPr>
              <w:pStyle w:val="Tabletext"/>
            </w:pPr>
            <w:r w:rsidRPr="00134CF0">
              <w:t>73</w:t>
            </w:r>
          </w:p>
        </w:tc>
        <w:tc>
          <w:tcPr>
            <w:tcW w:w="1549" w:type="dxa"/>
            <w:shd w:val="clear" w:color="auto" w:fill="auto"/>
          </w:tcPr>
          <w:p w14:paraId="73E545D1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459F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0.34839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ED0A8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0.37645</w:t>
            </w:r>
          </w:p>
        </w:tc>
      </w:tr>
      <w:tr w:rsidR="00660031" w:rsidRPr="00134CF0" w14:paraId="61E0D215" w14:textId="77777777" w:rsidTr="00426FEE">
        <w:tc>
          <w:tcPr>
            <w:tcW w:w="714" w:type="dxa"/>
            <w:shd w:val="clear" w:color="auto" w:fill="auto"/>
          </w:tcPr>
          <w:p w14:paraId="14402467" w14:textId="77777777" w:rsidR="00660031" w:rsidRPr="00134CF0" w:rsidRDefault="00660031" w:rsidP="00660031">
            <w:pPr>
              <w:pStyle w:val="Tabletext"/>
            </w:pPr>
            <w:r w:rsidRPr="00134CF0">
              <w:lastRenderedPageBreak/>
              <w:t>74</w:t>
            </w:r>
          </w:p>
        </w:tc>
        <w:tc>
          <w:tcPr>
            <w:tcW w:w="1549" w:type="dxa"/>
            <w:shd w:val="clear" w:color="auto" w:fill="auto"/>
          </w:tcPr>
          <w:p w14:paraId="7BC130D3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B0258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0.36480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15AED4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0.40045</w:t>
            </w:r>
          </w:p>
        </w:tc>
      </w:tr>
      <w:tr w:rsidR="00660031" w:rsidRPr="00134CF0" w14:paraId="67E42C36" w14:textId="77777777" w:rsidTr="00426FEE">
        <w:tc>
          <w:tcPr>
            <w:tcW w:w="714" w:type="dxa"/>
            <w:shd w:val="clear" w:color="auto" w:fill="auto"/>
          </w:tcPr>
          <w:p w14:paraId="08E84C05" w14:textId="77777777" w:rsidR="00660031" w:rsidRPr="00134CF0" w:rsidRDefault="00660031" w:rsidP="00660031">
            <w:pPr>
              <w:pStyle w:val="Tabletext"/>
            </w:pPr>
            <w:r w:rsidRPr="00134CF0">
              <w:t>75</w:t>
            </w:r>
          </w:p>
        </w:tc>
        <w:tc>
          <w:tcPr>
            <w:tcW w:w="1549" w:type="dxa"/>
            <w:shd w:val="clear" w:color="auto" w:fill="auto"/>
          </w:tcPr>
          <w:p w14:paraId="52B90DDE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5E461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0.38109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711D7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0.42406</w:t>
            </w:r>
          </w:p>
        </w:tc>
      </w:tr>
      <w:tr w:rsidR="00660031" w:rsidRPr="00134CF0" w14:paraId="30829C6F" w14:textId="77777777" w:rsidTr="00426FEE">
        <w:tc>
          <w:tcPr>
            <w:tcW w:w="714" w:type="dxa"/>
            <w:shd w:val="clear" w:color="auto" w:fill="auto"/>
          </w:tcPr>
          <w:p w14:paraId="3780FBEB" w14:textId="77777777" w:rsidR="00660031" w:rsidRPr="00134CF0" w:rsidRDefault="00660031" w:rsidP="00660031">
            <w:pPr>
              <w:pStyle w:val="Tabletext"/>
            </w:pPr>
            <w:r w:rsidRPr="00134CF0">
              <w:t>76</w:t>
            </w:r>
          </w:p>
        </w:tc>
        <w:tc>
          <w:tcPr>
            <w:tcW w:w="1549" w:type="dxa"/>
            <w:shd w:val="clear" w:color="auto" w:fill="auto"/>
          </w:tcPr>
          <w:p w14:paraId="6A4D3A37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F33A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0.39765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CBE05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0.44606</w:t>
            </w:r>
          </w:p>
        </w:tc>
      </w:tr>
      <w:tr w:rsidR="00660031" w:rsidRPr="00134CF0" w14:paraId="368BE68F" w14:textId="77777777" w:rsidTr="00426FEE">
        <w:tc>
          <w:tcPr>
            <w:tcW w:w="714" w:type="dxa"/>
            <w:shd w:val="clear" w:color="auto" w:fill="auto"/>
          </w:tcPr>
          <w:p w14:paraId="1DB82744" w14:textId="77777777" w:rsidR="00660031" w:rsidRPr="00134CF0" w:rsidRDefault="00660031" w:rsidP="00660031">
            <w:pPr>
              <w:pStyle w:val="Tabletext"/>
            </w:pPr>
            <w:r w:rsidRPr="00134CF0">
              <w:t>77</w:t>
            </w:r>
          </w:p>
        </w:tc>
        <w:tc>
          <w:tcPr>
            <w:tcW w:w="1549" w:type="dxa"/>
            <w:shd w:val="clear" w:color="auto" w:fill="auto"/>
          </w:tcPr>
          <w:p w14:paraId="3CC7267B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C212A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0.41280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3111FD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0.46709</w:t>
            </w:r>
          </w:p>
        </w:tc>
      </w:tr>
      <w:tr w:rsidR="00660031" w:rsidRPr="00134CF0" w14:paraId="0DE34B7B" w14:textId="77777777" w:rsidTr="00426FE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018D903" w14:textId="77777777" w:rsidR="00660031" w:rsidRPr="00134CF0" w:rsidRDefault="00660031" w:rsidP="00660031">
            <w:pPr>
              <w:pStyle w:val="Tabletext"/>
            </w:pPr>
            <w:r w:rsidRPr="00134CF0">
              <w:t>78</w:t>
            </w:r>
          </w:p>
        </w:tc>
        <w:tc>
          <w:tcPr>
            <w:tcW w:w="1549" w:type="dxa"/>
            <w:tcBorders>
              <w:bottom w:val="single" w:sz="2" w:space="0" w:color="auto"/>
            </w:tcBorders>
            <w:shd w:val="clear" w:color="auto" w:fill="auto"/>
          </w:tcPr>
          <w:p w14:paraId="444A127E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108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B453C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0.42760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FEB143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0.48695</w:t>
            </w:r>
          </w:p>
        </w:tc>
      </w:tr>
      <w:tr w:rsidR="00660031" w:rsidRPr="00134CF0" w14:paraId="704800C0" w14:textId="77777777" w:rsidTr="00426FE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3D375FD" w14:textId="77777777" w:rsidR="00660031" w:rsidRPr="00134CF0" w:rsidRDefault="00660031" w:rsidP="00660031">
            <w:pPr>
              <w:pStyle w:val="Tabletext"/>
            </w:pPr>
            <w:r w:rsidRPr="00134CF0">
              <w:t>79</w:t>
            </w:r>
          </w:p>
        </w:tc>
        <w:tc>
          <w:tcPr>
            <w:tcW w:w="15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2624F9D" w14:textId="77777777" w:rsidR="00660031" w:rsidRPr="00134CF0" w:rsidRDefault="00660031" w:rsidP="00426FEE">
            <w:pPr>
              <w:pStyle w:val="Tabletext"/>
              <w:jc w:val="center"/>
            </w:pPr>
            <w:r w:rsidRPr="00134CF0">
              <w:t>109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518AB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0.44200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E041C6" w14:textId="77777777" w:rsidR="00660031" w:rsidRPr="00134CF0" w:rsidRDefault="00660031" w:rsidP="00660031">
            <w:pPr>
              <w:pStyle w:val="Tabletext"/>
              <w:tabs>
                <w:tab w:val="decimal" w:pos="940"/>
              </w:tabs>
            </w:pPr>
            <w:r w:rsidRPr="00134CF0">
              <w:t>0.50538</w:t>
            </w:r>
          </w:p>
        </w:tc>
      </w:tr>
    </w:tbl>
    <w:p w14:paraId="1551ABF5" w14:textId="77777777" w:rsidR="00B23531" w:rsidRPr="00134CF0" w:rsidRDefault="003766C6" w:rsidP="00B23531">
      <w:pPr>
        <w:pStyle w:val="ActHead8"/>
      </w:pPr>
      <w:r w:rsidRPr="00134CF0">
        <w:t>Division 2</w:t>
      </w:r>
      <w:r w:rsidR="00B23531" w:rsidRPr="00134CF0">
        <w:t>—</w:t>
      </w:r>
      <w:r w:rsidR="00BC4B9B" w:rsidRPr="00134CF0">
        <w:t>Other</w:t>
      </w:r>
      <w:r w:rsidR="00B23531" w:rsidRPr="00134CF0">
        <w:t xml:space="preserve"> amendments</w:t>
      </w:r>
    </w:p>
    <w:p w14:paraId="793E9743" w14:textId="77777777" w:rsidR="00AC38CD" w:rsidRPr="00134CF0" w:rsidRDefault="00AC38CD" w:rsidP="00AC38CD">
      <w:pPr>
        <w:pStyle w:val="ActHead9"/>
      </w:pPr>
      <w:r w:rsidRPr="00134CF0">
        <w:t xml:space="preserve">Income Tax Assessment (1997 Act) </w:t>
      </w:r>
      <w:r w:rsidR="00C96F3A" w:rsidRPr="00134CF0">
        <w:t>Regulations 2</w:t>
      </w:r>
      <w:r w:rsidRPr="00134CF0">
        <w:t>021</w:t>
      </w:r>
    </w:p>
    <w:p w14:paraId="713DED8F" w14:textId="77777777" w:rsidR="00AC38CD" w:rsidRPr="00134CF0" w:rsidRDefault="007C750B" w:rsidP="00447E04">
      <w:pPr>
        <w:pStyle w:val="ItemHead"/>
      </w:pPr>
      <w:r w:rsidRPr="00134CF0">
        <w:t>1</w:t>
      </w:r>
      <w:r w:rsidR="009F4D3D" w:rsidRPr="00134CF0">
        <w:t>4</w:t>
      </w:r>
      <w:r w:rsidR="00AC38CD" w:rsidRPr="00134CF0">
        <w:t xml:space="preserve">  </w:t>
      </w:r>
      <w:r w:rsidR="003766C6" w:rsidRPr="00134CF0">
        <w:t>Paragraph 2</w:t>
      </w:r>
      <w:r w:rsidR="00AC38CD" w:rsidRPr="00134CF0">
        <w:t>91</w:t>
      </w:r>
      <w:r w:rsidR="006D7098">
        <w:noBreakHyphen/>
      </w:r>
      <w:r w:rsidR="00AC38CD" w:rsidRPr="00134CF0">
        <w:t>170.05(3)(b)</w:t>
      </w:r>
    </w:p>
    <w:p w14:paraId="6FCF697A" w14:textId="77777777" w:rsidR="009F4D3D" w:rsidRPr="00134CF0" w:rsidRDefault="009F4D3D" w:rsidP="009F4D3D">
      <w:pPr>
        <w:pStyle w:val="Item"/>
      </w:pPr>
      <w:r w:rsidRPr="00134CF0">
        <w:t>Repeal the paragraph, substitute:</w:t>
      </w:r>
    </w:p>
    <w:p w14:paraId="030E6822" w14:textId="77777777" w:rsidR="009F4D3D" w:rsidRPr="00134CF0" w:rsidRDefault="009F4D3D" w:rsidP="009F4D3D">
      <w:pPr>
        <w:pStyle w:val="paragraph"/>
      </w:pPr>
      <w:r w:rsidRPr="00134CF0">
        <w:tab/>
        <w:t>(b)</w:t>
      </w:r>
      <w:r w:rsidRPr="00134CF0">
        <w:tab/>
        <w:t xml:space="preserve">on or after </w:t>
      </w:r>
      <w:r w:rsidR="006C00AD" w:rsidRPr="00134CF0">
        <w:t>1 July</w:t>
      </w:r>
      <w:r w:rsidRPr="00134CF0">
        <w:t xml:space="preserve"> 2021 and before the commencement of </w:t>
      </w:r>
      <w:r w:rsidR="003766C6" w:rsidRPr="00134CF0">
        <w:t>Schedule 4</w:t>
      </w:r>
      <w:r w:rsidRPr="00134CF0">
        <w:t xml:space="preserve"> to the </w:t>
      </w:r>
      <w:r w:rsidRPr="00134CF0">
        <w:rPr>
          <w:i/>
        </w:rPr>
        <w:t>Treasury Laws Amendment Instrument 202</w:t>
      </w:r>
      <w:r w:rsidR="00646548" w:rsidRPr="00134CF0">
        <w:rPr>
          <w:i/>
        </w:rPr>
        <w:t>4</w:t>
      </w:r>
      <w:r w:rsidRPr="00134CF0">
        <w:t xml:space="preserve">—using </w:t>
      </w:r>
      <w:r w:rsidR="00C96F3A" w:rsidRPr="00134CF0">
        <w:t>Schedule 1</w:t>
      </w:r>
      <w:r w:rsidRPr="00134CF0">
        <w:t>A to this instrument;</w:t>
      </w:r>
      <w:r w:rsidR="00442247" w:rsidRPr="00134CF0">
        <w:t xml:space="preserve"> and</w:t>
      </w:r>
    </w:p>
    <w:p w14:paraId="5ABD88BD" w14:textId="77777777" w:rsidR="00442247" w:rsidRPr="00134CF0" w:rsidRDefault="00442247" w:rsidP="009F4D3D">
      <w:pPr>
        <w:pStyle w:val="paragraph"/>
      </w:pPr>
      <w:r w:rsidRPr="00134CF0">
        <w:tab/>
        <w:t>(ba)</w:t>
      </w:r>
      <w:r w:rsidRPr="00134CF0">
        <w:tab/>
        <w:t xml:space="preserve">on or after that commencement—using </w:t>
      </w:r>
      <w:r w:rsidR="00C96F3A" w:rsidRPr="00134CF0">
        <w:t>Schedule 1</w:t>
      </w:r>
      <w:r w:rsidRPr="00134CF0">
        <w:t>A to this instrument, as in force just before that commencement;</w:t>
      </w:r>
    </w:p>
    <w:p w14:paraId="343390D5" w14:textId="77777777" w:rsidR="00442247" w:rsidRPr="00134CF0" w:rsidRDefault="00442247" w:rsidP="00447E04">
      <w:pPr>
        <w:pStyle w:val="ItemHead"/>
      </w:pPr>
      <w:r w:rsidRPr="00134CF0">
        <w:t xml:space="preserve">15  </w:t>
      </w:r>
      <w:r w:rsidR="003766C6" w:rsidRPr="00134CF0">
        <w:t>Paragraph 2</w:t>
      </w:r>
      <w:r w:rsidRPr="00134CF0">
        <w:t>9</w:t>
      </w:r>
      <w:r w:rsidR="00F24D00" w:rsidRPr="00134CF0">
        <w:t>1</w:t>
      </w:r>
      <w:r w:rsidR="006D7098">
        <w:noBreakHyphen/>
      </w:r>
      <w:r w:rsidRPr="00134CF0">
        <w:t>170.07(2)(b)</w:t>
      </w:r>
    </w:p>
    <w:p w14:paraId="39480183" w14:textId="77777777" w:rsidR="00442247" w:rsidRPr="00134CF0" w:rsidRDefault="00442247" w:rsidP="00442247">
      <w:pPr>
        <w:pStyle w:val="Item"/>
      </w:pPr>
      <w:r w:rsidRPr="00134CF0">
        <w:t>Repeal the paragraph, substitute:</w:t>
      </w:r>
    </w:p>
    <w:p w14:paraId="1A6ED908" w14:textId="77777777" w:rsidR="00442247" w:rsidRPr="00134CF0" w:rsidRDefault="00442247" w:rsidP="00442247">
      <w:pPr>
        <w:pStyle w:val="paragraph"/>
      </w:pPr>
      <w:r w:rsidRPr="00134CF0">
        <w:tab/>
        <w:t>(b)</w:t>
      </w:r>
      <w:r w:rsidRPr="00134CF0">
        <w:tab/>
        <w:t xml:space="preserve">on or after </w:t>
      </w:r>
      <w:r w:rsidR="006C00AD" w:rsidRPr="00134CF0">
        <w:t>1 July</w:t>
      </w:r>
      <w:r w:rsidRPr="00134CF0">
        <w:t xml:space="preserve"> 2021 and before the commencement of </w:t>
      </w:r>
      <w:r w:rsidR="003766C6" w:rsidRPr="00134CF0">
        <w:t>Schedule 4</w:t>
      </w:r>
      <w:r w:rsidRPr="00134CF0">
        <w:t xml:space="preserve"> to the </w:t>
      </w:r>
      <w:r w:rsidRPr="00134CF0">
        <w:rPr>
          <w:i/>
        </w:rPr>
        <w:t>Treasury Laws Amendment Instrument 202</w:t>
      </w:r>
      <w:r w:rsidR="00646548" w:rsidRPr="00134CF0">
        <w:rPr>
          <w:i/>
        </w:rPr>
        <w:t>4</w:t>
      </w:r>
      <w:r w:rsidRPr="00134CF0">
        <w:t xml:space="preserve">—using </w:t>
      </w:r>
      <w:r w:rsidR="00C96F3A" w:rsidRPr="00134CF0">
        <w:t>Schedule 1</w:t>
      </w:r>
      <w:r w:rsidRPr="00134CF0">
        <w:t>A to this instrument; and</w:t>
      </w:r>
    </w:p>
    <w:p w14:paraId="2988C49A" w14:textId="77777777" w:rsidR="00442247" w:rsidRPr="00134CF0" w:rsidRDefault="00442247" w:rsidP="00442247">
      <w:pPr>
        <w:pStyle w:val="paragraph"/>
      </w:pPr>
      <w:r w:rsidRPr="00134CF0">
        <w:tab/>
        <w:t>(ba)</w:t>
      </w:r>
      <w:r w:rsidRPr="00134CF0">
        <w:tab/>
        <w:t xml:space="preserve">on or after that commencement—using </w:t>
      </w:r>
      <w:r w:rsidR="00C96F3A" w:rsidRPr="00134CF0">
        <w:t>Schedule 1</w:t>
      </w:r>
      <w:r w:rsidRPr="00134CF0">
        <w:t>A to this instrument, as in force just before that commencement;</w:t>
      </w:r>
    </w:p>
    <w:p w14:paraId="7EEB005D" w14:textId="77777777" w:rsidR="008916E9" w:rsidRPr="00134CF0" w:rsidRDefault="003766C6" w:rsidP="008916E9">
      <w:pPr>
        <w:pStyle w:val="ActHead7"/>
        <w:pageBreakBefore/>
      </w:pPr>
      <w:r w:rsidRPr="0021546F">
        <w:rPr>
          <w:rStyle w:val="CharAmPartNo"/>
        </w:rPr>
        <w:lastRenderedPageBreak/>
        <w:t>Part 2</w:t>
      </w:r>
      <w:r w:rsidR="008916E9" w:rsidRPr="00134CF0">
        <w:t>—</w:t>
      </w:r>
      <w:r w:rsidR="00B51D97" w:rsidRPr="0021546F">
        <w:rPr>
          <w:rStyle w:val="CharAmPartText"/>
        </w:rPr>
        <w:t>State higher level office holders</w:t>
      </w:r>
    </w:p>
    <w:p w14:paraId="1879E760" w14:textId="77777777" w:rsidR="008916E9" w:rsidRPr="00134CF0" w:rsidRDefault="008916E9" w:rsidP="008916E9">
      <w:pPr>
        <w:pStyle w:val="ActHead9"/>
      </w:pPr>
      <w:r w:rsidRPr="00134CF0">
        <w:t>Income Tax Assessment (1997 Act) Regulations 2021</w:t>
      </w:r>
    </w:p>
    <w:p w14:paraId="17ADFD75" w14:textId="77777777" w:rsidR="008916E9" w:rsidRPr="00134CF0" w:rsidRDefault="008916E9" w:rsidP="008916E9">
      <w:pPr>
        <w:pStyle w:val="ItemHead"/>
      </w:pPr>
      <w:r w:rsidRPr="00134CF0">
        <w:t>1</w:t>
      </w:r>
      <w:r w:rsidR="00E51577" w:rsidRPr="00134CF0">
        <w:t>6</w:t>
      </w:r>
      <w:r w:rsidRPr="00134CF0">
        <w:t xml:space="preserve">  </w:t>
      </w:r>
      <w:r w:rsidR="006C00AD" w:rsidRPr="00134CF0">
        <w:t>Section 2</w:t>
      </w:r>
      <w:r w:rsidRPr="00134CF0">
        <w:t>93</w:t>
      </w:r>
      <w:r w:rsidR="006D7098">
        <w:noBreakHyphen/>
      </w:r>
      <w:r w:rsidRPr="00134CF0">
        <w:t>145.01</w:t>
      </w:r>
    </w:p>
    <w:p w14:paraId="08E13219" w14:textId="77777777" w:rsidR="008916E9" w:rsidRPr="00134CF0" w:rsidRDefault="008916E9" w:rsidP="008916E9">
      <w:pPr>
        <w:pStyle w:val="Item"/>
      </w:pPr>
      <w:r w:rsidRPr="00134CF0">
        <w:t>Repeal the section, substitute:</w:t>
      </w:r>
    </w:p>
    <w:p w14:paraId="424B8C39" w14:textId="77777777" w:rsidR="008916E9" w:rsidRPr="00134CF0" w:rsidRDefault="008916E9" w:rsidP="008916E9">
      <w:pPr>
        <w:pStyle w:val="ActHead5"/>
      </w:pPr>
      <w:r w:rsidRPr="0021546F">
        <w:rPr>
          <w:rStyle w:val="CharSectno"/>
        </w:rPr>
        <w:t>293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145.01</w:t>
      </w:r>
      <w:r w:rsidRPr="00134CF0">
        <w:t xml:space="preserve">  Constitutionally protected State higher level office holders</w:t>
      </w:r>
    </w:p>
    <w:p w14:paraId="674F47D0" w14:textId="77777777" w:rsidR="008916E9" w:rsidRPr="00134CF0" w:rsidRDefault="008916E9" w:rsidP="008916E9">
      <w:pPr>
        <w:pStyle w:val="subsection"/>
      </w:pPr>
      <w:r w:rsidRPr="00134CF0">
        <w:tab/>
      </w:r>
      <w:r w:rsidRPr="00134CF0">
        <w:tab/>
        <w:t xml:space="preserve">For </w:t>
      </w:r>
      <w:r w:rsidRPr="00134CF0">
        <w:rPr>
          <w:color w:val="000000"/>
        </w:rPr>
        <w:t xml:space="preserve">the purposes of </w:t>
      </w:r>
      <w:r w:rsidRPr="00134CF0">
        <w:t>paragraph 293</w:t>
      </w:r>
      <w:r w:rsidR="006D7098">
        <w:noBreakHyphen/>
      </w:r>
      <w:r w:rsidRPr="00134CF0">
        <w:t>145(1)(b) of the Act, an individual who is a State higher level office holder is declared.</w:t>
      </w:r>
    </w:p>
    <w:p w14:paraId="6782DFFC" w14:textId="77777777" w:rsidR="008916E9" w:rsidRPr="00134CF0" w:rsidRDefault="00E51577" w:rsidP="008916E9">
      <w:pPr>
        <w:pStyle w:val="ItemHead"/>
      </w:pPr>
      <w:r w:rsidRPr="00134CF0">
        <w:t>17</w:t>
      </w:r>
      <w:r w:rsidR="008916E9" w:rsidRPr="00134CF0">
        <w:t xml:space="preserve">  </w:t>
      </w:r>
      <w:r w:rsidR="006C00AD" w:rsidRPr="00134CF0">
        <w:t>Section 9</w:t>
      </w:r>
      <w:r w:rsidR="008916E9" w:rsidRPr="00134CF0">
        <w:t>95</w:t>
      </w:r>
      <w:r w:rsidR="006D7098">
        <w:noBreakHyphen/>
      </w:r>
      <w:r w:rsidR="008916E9" w:rsidRPr="00134CF0">
        <w:t>1.01</w:t>
      </w:r>
    </w:p>
    <w:p w14:paraId="22D7B631" w14:textId="77777777" w:rsidR="008916E9" w:rsidRPr="00134CF0" w:rsidRDefault="008916E9" w:rsidP="008916E9">
      <w:pPr>
        <w:pStyle w:val="Item"/>
      </w:pPr>
      <w:r w:rsidRPr="00134CF0">
        <w:t>Insert:</w:t>
      </w:r>
    </w:p>
    <w:p w14:paraId="48754201" w14:textId="77777777" w:rsidR="008916E9" w:rsidRPr="00134CF0" w:rsidRDefault="008916E9" w:rsidP="008916E9">
      <w:pPr>
        <w:pStyle w:val="Definition"/>
      </w:pPr>
      <w:r w:rsidRPr="00134CF0">
        <w:rPr>
          <w:b/>
          <w:i/>
        </w:rPr>
        <w:t>State higher level office holder</w:t>
      </w:r>
      <w:r w:rsidRPr="00134CF0">
        <w:rPr>
          <w:i/>
        </w:rPr>
        <w:t xml:space="preserve"> </w:t>
      </w:r>
      <w:r w:rsidRPr="00134CF0">
        <w:t>means any of the following:</w:t>
      </w:r>
    </w:p>
    <w:p w14:paraId="5571EFC9" w14:textId="77777777" w:rsidR="008916E9" w:rsidRPr="00134CF0" w:rsidRDefault="008916E9" w:rsidP="008916E9">
      <w:pPr>
        <w:pStyle w:val="paragraph"/>
      </w:pPr>
      <w:r w:rsidRPr="00134CF0">
        <w:tab/>
        <w:t>(a)</w:t>
      </w:r>
      <w:r w:rsidRPr="00134CF0">
        <w:tab/>
        <w:t>the Governor of a State;</w:t>
      </w:r>
    </w:p>
    <w:p w14:paraId="0F08E08B" w14:textId="77777777" w:rsidR="008916E9" w:rsidRPr="00134CF0" w:rsidRDefault="008916E9" w:rsidP="008916E9">
      <w:pPr>
        <w:pStyle w:val="paragraph"/>
      </w:pPr>
      <w:r w:rsidRPr="00134CF0">
        <w:tab/>
        <w:t>(b)</w:t>
      </w:r>
      <w:r w:rsidRPr="00134CF0">
        <w:tab/>
        <w:t>a member of the staff of the Governor of a State;</w:t>
      </w:r>
    </w:p>
    <w:p w14:paraId="629AE4E6" w14:textId="77777777" w:rsidR="008916E9" w:rsidRPr="00134CF0" w:rsidRDefault="008916E9" w:rsidP="008916E9">
      <w:pPr>
        <w:pStyle w:val="paragraph"/>
      </w:pPr>
      <w:r w:rsidRPr="00134CF0">
        <w:tab/>
        <w:t>(c)</w:t>
      </w:r>
      <w:r w:rsidRPr="00134CF0">
        <w:tab/>
        <w:t>a Minister of the government of a State;</w:t>
      </w:r>
    </w:p>
    <w:p w14:paraId="6B4C326E" w14:textId="77777777" w:rsidR="008916E9" w:rsidRPr="00134CF0" w:rsidRDefault="008916E9" w:rsidP="008916E9">
      <w:pPr>
        <w:pStyle w:val="paragraph"/>
      </w:pPr>
      <w:r w:rsidRPr="00134CF0">
        <w:tab/>
        <w:t>(d)</w:t>
      </w:r>
      <w:r w:rsidRPr="00134CF0">
        <w:tab/>
        <w:t>a member of the staff of a Minister of the government of a State;</w:t>
      </w:r>
    </w:p>
    <w:p w14:paraId="65378EDC" w14:textId="77777777" w:rsidR="008916E9" w:rsidRPr="00134CF0" w:rsidRDefault="008916E9" w:rsidP="008916E9">
      <w:pPr>
        <w:pStyle w:val="paragraph"/>
      </w:pPr>
      <w:r w:rsidRPr="00134CF0">
        <w:tab/>
        <w:t>(e)</w:t>
      </w:r>
      <w:r w:rsidRPr="00134CF0">
        <w:tab/>
        <w:t>a member of the Parliament of a State;</w:t>
      </w:r>
    </w:p>
    <w:p w14:paraId="1F707327" w14:textId="77777777" w:rsidR="008916E9" w:rsidRPr="00134CF0" w:rsidRDefault="008916E9" w:rsidP="008916E9">
      <w:pPr>
        <w:pStyle w:val="paragraph"/>
      </w:pPr>
      <w:r w:rsidRPr="00134CF0">
        <w:tab/>
        <w:t>(f)</w:t>
      </w:r>
      <w:r w:rsidRPr="00134CF0">
        <w:tab/>
        <w:t>the Clerk of a house of the Parliament of a State;</w:t>
      </w:r>
    </w:p>
    <w:p w14:paraId="37FE61DB" w14:textId="77777777" w:rsidR="008916E9" w:rsidRPr="00134CF0" w:rsidRDefault="008916E9" w:rsidP="008916E9">
      <w:pPr>
        <w:pStyle w:val="paragraph"/>
      </w:pPr>
      <w:r w:rsidRPr="00134CF0">
        <w:tab/>
        <w:t>(g)</w:t>
      </w:r>
      <w:r w:rsidRPr="00134CF0">
        <w:tab/>
        <w:t>a deputy Clerk of a house of the Parliament of a State or an office holder of the Parliament of a State of equivalent seniority;</w:t>
      </w:r>
    </w:p>
    <w:p w14:paraId="34FCDB5C" w14:textId="77777777" w:rsidR="008916E9" w:rsidRPr="00134CF0" w:rsidRDefault="008916E9" w:rsidP="008916E9">
      <w:pPr>
        <w:pStyle w:val="paragraph"/>
      </w:pPr>
      <w:r w:rsidRPr="00134CF0">
        <w:tab/>
        <w:t>(h)</w:t>
      </w:r>
      <w:r w:rsidRPr="00134CF0">
        <w:tab/>
        <w:t>the head of a Department of the Parliament of a State or an office holder of the Parliament of a State of equivalent seniority;</w:t>
      </w:r>
    </w:p>
    <w:p w14:paraId="6378393A" w14:textId="77777777" w:rsidR="008916E9" w:rsidRPr="00134CF0" w:rsidRDefault="008916E9" w:rsidP="008916E9">
      <w:pPr>
        <w:pStyle w:val="paragraph"/>
      </w:pPr>
      <w:r w:rsidRPr="00134CF0">
        <w:tab/>
        <w:t>(i)</w:t>
      </w:r>
      <w:r w:rsidRPr="00134CF0">
        <w:tab/>
        <w:t>the head of a Department of the Public Service of a State or a statutory office holder of equivalent seniority, including a statutory office holder who is the head of an instrumentality or agency of a State;</w:t>
      </w:r>
    </w:p>
    <w:p w14:paraId="163859FD" w14:textId="77777777" w:rsidR="008916E9" w:rsidRPr="00134CF0" w:rsidRDefault="008916E9" w:rsidP="008916E9">
      <w:pPr>
        <w:pStyle w:val="paragraph"/>
      </w:pPr>
      <w:r w:rsidRPr="00134CF0">
        <w:tab/>
        <w:t>(j)</w:t>
      </w:r>
      <w:r w:rsidRPr="00134CF0">
        <w:tab/>
        <w:t>the head of a body, including an office or a commission, within a Department of the Public Service of a State if the body:</w:t>
      </w:r>
    </w:p>
    <w:p w14:paraId="0AE0F251" w14:textId="77777777" w:rsidR="008916E9" w:rsidRPr="00134CF0" w:rsidRDefault="008916E9" w:rsidP="008916E9">
      <w:pPr>
        <w:pStyle w:val="paragraphsub"/>
      </w:pPr>
      <w:r w:rsidRPr="00134CF0">
        <w:tab/>
        <w:t>(i)</w:t>
      </w:r>
      <w:r w:rsidRPr="00134CF0">
        <w:tab/>
        <w:t>has the general administration of an Act of the State under a statute; or</w:t>
      </w:r>
    </w:p>
    <w:p w14:paraId="72BCB1C3" w14:textId="77777777" w:rsidR="008916E9" w:rsidRPr="00134CF0" w:rsidRDefault="008916E9" w:rsidP="008916E9">
      <w:pPr>
        <w:pStyle w:val="paragraphsub"/>
      </w:pPr>
      <w:r w:rsidRPr="00134CF0">
        <w:tab/>
        <w:t>(ii)</w:t>
      </w:r>
      <w:r w:rsidRPr="00134CF0">
        <w:tab/>
        <w:t>has a distinct statutory function that is critical to the constitutional functioning of the State;</w:t>
      </w:r>
    </w:p>
    <w:p w14:paraId="4BFC89B7" w14:textId="77777777" w:rsidR="008916E9" w:rsidRPr="00134CF0" w:rsidRDefault="008916E9" w:rsidP="008916E9">
      <w:pPr>
        <w:pStyle w:val="paragraph"/>
      </w:pPr>
      <w:r w:rsidRPr="00134CF0">
        <w:tab/>
        <w:t>(k)</w:t>
      </w:r>
      <w:r w:rsidRPr="00134CF0">
        <w:tab/>
        <w:t>an office holder within a Department of the Public Service of a State if the office holder:</w:t>
      </w:r>
    </w:p>
    <w:p w14:paraId="323BFF55" w14:textId="77777777" w:rsidR="008916E9" w:rsidRPr="00134CF0" w:rsidRDefault="008916E9" w:rsidP="008916E9">
      <w:pPr>
        <w:pStyle w:val="paragraphsub"/>
      </w:pPr>
      <w:r w:rsidRPr="00134CF0">
        <w:tab/>
        <w:t>(i)</w:t>
      </w:r>
      <w:r w:rsidRPr="00134CF0">
        <w:tab/>
        <w:t>has the general administration of an Act of the State under a statute; or</w:t>
      </w:r>
    </w:p>
    <w:p w14:paraId="42BF2F27" w14:textId="77777777" w:rsidR="008916E9" w:rsidRPr="00134CF0" w:rsidRDefault="008916E9" w:rsidP="008916E9">
      <w:pPr>
        <w:pStyle w:val="paragraphsub"/>
      </w:pPr>
      <w:r w:rsidRPr="00134CF0">
        <w:tab/>
        <w:t>(ii)</w:t>
      </w:r>
      <w:r w:rsidRPr="00134CF0">
        <w:tab/>
        <w:t>has a distinct statutory function that is critical to the constitutional functioning of the State;</w:t>
      </w:r>
    </w:p>
    <w:p w14:paraId="3B80CBC0" w14:textId="77777777" w:rsidR="008916E9" w:rsidRPr="00134CF0" w:rsidRDefault="008916E9" w:rsidP="005F1C14">
      <w:pPr>
        <w:pStyle w:val="paragraph"/>
      </w:pPr>
      <w:r w:rsidRPr="00134CF0">
        <w:tab/>
        <w:t>(l)</w:t>
      </w:r>
      <w:r w:rsidRPr="00134CF0">
        <w:tab/>
        <w:t xml:space="preserve">a head or deputy head of a body, including an office or a commission, of a State </w:t>
      </w:r>
      <w:r w:rsidR="00F51D2A" w:rsidRPr="00134CF0">
        <w:t>if the body</w:t>
      </w:r>
      <w:r w:rsidR="005F1C14" w:rsidRPr="00134CF0">
        <w:t xml:space="preserve"> </w:t>
      </w:r>
      <w:r w:rsidRPr="00134CF0">
        <w:t>has a predominant legal function</w:t>
      </w:r>
      <w:r w:rsidR="005F1C14" w:rsidRPr="00134CF0">
        <w:t xml:space="preserve"> that is </w:t>
      </w:r>
      <w:r w:rsidRPr="00134CF0">
        <w:t>critical to the constitutional functioning of the State;</w:t>
      </w:r>
    </w:p>
    <w:p w14:paraId="571563C2" w14:textId="77777777" w:rsidR="0087534F" w:rsidRPr="00134CF0" w:rsidRDefault="009C1832" w:rsidP="0087534F">
      <w:pPr>
        <w:pStyle w:val="paragraph"/>
      </w:pPr>
      <w:bookmarkStart w:id="4" w:name="_Hlk155778539"/>
      <w:r w:rsidRPr="00134CF0">
        <w:tab/>
        <w:t>(m)</w:t>
      </w:r>
      <w:r w:rsidRPr="00134CF0">
        <w:tab/>
      </w:r>
      <w:bookmarkEnd w:id="4"/>
      <w:r w:rsidR="0087534F" w:rsidRPr="00134CF0">
        <w:t>the Solicitor</w:t>
      </w:r>
      <w:r w:rsidR="006D7098">
        <w:noBreakHyphen/>
      </w:r>
      <w:r w:rsidR="0087534F" w:rsidRPr="00134CF0">
        <w:t xml:space="preserve">General of </w:t>
      </w:r>
      <w:r w:rsidR="00B433EB" w:rsidRPr="00134CF0">
        <w:t>a</w:t>
      </w:r>
      <w:r w:rsidR="0087534F" w:rsidRPr="00134CF0">
        <w:t xml:space="preserve"> State;</w:t>
      </w:r>
    </w:p>
    <w:p w14:paraId="6AA0EF9A" w14:textId="77777777" w:rsidR="008916E9" w:rsidRPr="00134CF0" w:rsidRDefault="008916E9" w:rsidP="008916E9">
      <w:pPr>
        <w:pStyle w:val="paragraph"/>
      </w:pPr>
      <w:r w:rsidRPr="00134CF0">
        <w:tab/>
        <w:t>(n)</w:t>
      </w:r>
      <w:r w:rsidRPr="00134CF0">
        <w:tab/>
        <w:t>a judge, justice or magistrate of the court of a State;</w:t>
      </w:r>
    </w:p>
    <w:p w14:paraId="3B14D6E4" w14:textId="77777777" w:rsidR="008916E9" w:rsidRPr="00134CF0" w:rsidRDefault="008916E9" w:rsidP="008916E9">
      <w:pPr>
        <w:pStyle w:val="paragraph"/>
      </w:pPr>
      <w:r w:rsidRPr="00134CF0">
        <w:tab/>
        <w:t>(o)</w:t>
      </w:r>
      <w:r w:rsidRPr="00134CF0">
        <w:tab/>
        <w:t>a member of a tribunal of a State, or a commissioner of a commission of a State, who exercises judicial power of a State;</w:t>
      </w:r>
    </w:p>
    <w:p w14:paraId="2984AA8B" w14:textId="77777777" w:rsidR="008916E9" w:rsidRPr="00134CF0" w:rsidRDefault="008916E9" w:rsidP="008916E9">
      <w:pPr>
        <w:pStyle w:val="paragraph"/>
      </w:pPr>
      <w:r w:rsidRPr="00134CF0">
        <w:lastRenderedPageBreak/>
        <w:tab/>
        <w:t>(p)</w:t>
      </w:r>
      <w:r w:rsidRPr="00134CF0">
        <w:tab/>
        <w:t>a commissioner, deputy commissioner or assistant commissioner of a police force of a State, or an officer of equivalent rank of a police force of a State.</w:t>
      </w:r>
    </w:p>
    <w:p w14:paraId="618F556F" w14:textId="77777777" w:rsidR="00B53A98" w:rsidRPr="00134CF0" w:rsidRDefault="006C00AD" w:rsidP="0087484E">
      <w:pPr>
        <w:pStyle w:val="ActHead7"/>
        <w:pageBreakBefore/>
      </w:pPr>
      <w:r w:rsidRPr="0021546F">
        <w:rPr>
          <w:rStyle w:val="CharAmPartNo"/>
        </w:rPr>
        <w:lastRenderedPageBreak/>
        <w:t>Part 3</w:t>
      </w:r>
      <w:r w:rsidR="00B53A98" w:rsidRPr="00134CF0">
        <w:t>—</w:t>
      </w:r>
      <w:r w:rsidR="00B53A98" w:rsidRPr="0021546F">
        <w:rPr>
          <w:rStyle w:val="CharAmPartText"/>
        </w:rPr>
        <w:t>Application provisions</w:t>
      </w:r>
    </w:p>
    <w:p w14:paraId="52CD7357" w14:textId="77777777" w:rsidR="00472826" w:rsidRPr="00134CF0" w:rsidRDefault="00472826" w:rsidP="00472826">
      <w:pPr>
        <w:pStyle w:val="ActHead9"/>
      </w:pPr>
      <w:r w:rsidRPr="00134CF0">
        <w:t>Income Tax Assessment (1997 Act) Regulations 2021</w:t>
      </w:r>
    </w:p>
    <w:p w14:paraId="2ECEBFA7" w14:textId="77777777" w:rsidR="008916E9" w:rsidRPr="00134CF0" w:rsidRDefault="00B53A98" w:rsidP="008916E9">
      <w:pPr>
        <w:pStyle w:val="ItemHead"/>
      </w:pPr>
      <w:r w:rsidRPr="00134CF0">
        <w:t>1</w:t>
      </w:r>
      <w:r w:rsidR="00B12BAF" w:rsidRPr="00134CF0">
        <w:t>8</w:t>
      </w:r>
      <w:r w:rsidR="008916E9" w:rsidRPr="00134CF0">
        <w:t xml:space="preserve">  In the appropriate position in </w:t>
      </w:r>
      <w:r w:rsidR="006C00AD" w:rsidRPr="00134CF0">
        <w:t>Chapter 7</w:t>
      </w:r>
    </w:p>
    <w:p w14:paraId="4C9B247C" w14:textId="77777777" w:rsidR="008916E9" w:rsidRPr="00134CF0" w:rsidRDefault="008916E9" w:rsidP="008916E9">
      <w:pPr>
        <w:pStyle w:val="Item"/>
      </w:pPr>
      <w:r w:rsidRPr="00134CF0">
        <w:t>Insert:</w:t>
      </w:r>
    </w:p>
    <w:p w14:paraId="76D39970" w14:textId="77777777" w:rsidR="00B53A98" w:rsidRPr="00134CF0" w:rsidRDefault="003766C6" w:rsidP="00B53A98">
      <w:pPr>
        <w:pStyle w:val="ActHead2"/>
      </w:pPr>
      <w:r w:rsidRPr="0021546F">
        <w:rPr>
          <w:rStyle w:val="CharPartNo"/>
        </w:rPr>
        <w:t>Part 1</w:t>
      </w:r>
      <w:r w:rsidR="00B53A98" w:rsidRPr="0021546F">
        <w:rPr>
          <w:rStyle w:val="CharPartNo"/>
        </w:rPr>
        <w:t>000</w:t>
      </w:r>
      <w:r w:rsidR="006D7098" w:rsidRPr="0021546F">
        <w:rPr>
          <w:rStyle w:val="CharPartNo"/>
        </w:rPr>
        <w:noBreakHyphen/>
      </w:r>
      <w:r w:rsidR="00B53A98" w:rsidRPr="0021546F">
        <w:rPr>
          <w:rStyle w:val="CharPartNo"/>
        </w:rPr>
        <w:t>5</w:t>
      </w:r>
      <w:r w:rsidR="00B53A98" w:rsidRPr="00134CF0">
        <w:t>—</w:t>
      </w:r>
      <w:r w:rsidR="00B53A98" w:rsidRPr="0021546F">
        <w:rPr>
          <w:rStyle w:val="CharPartText"/>
        </w:rPr>
        <w:t>Transitional matters relating to the Treasury Laws Amendment Instrument 202</w:t>
      </w:r>
      <w:r w:rsidR="00646548" w:rsidRPr="0021546F">
        <w:rPr>
          <w:rStyle w:val="CharPartText"/>
        </w:rPr>
        <w:t>4</w:t>
      </w:r>
    </w:p>
    <w:p w14:paraId="2EB24936" w14:textId="77777777" w:rsidR="00B53A98" w:rsidRPr="0021546F" w:rsidRDefault="00B53A98" w:rsidP="00B53A98">
      <w:pPr>
        <w:pStyle w:val="Header"/>
      </w:pPr>
      <w:r w:rsidRPr="0021546F">
        <w:rPr>
          <w:rStyle w:val="CharDivNo"/>
        </w:rPr>
        <w:t xml:space="preserve"> </w:t>
      </w:r>
      <w:r w:rsidRPr="0021546F">
        <w:rPr>
          <w:rStyle w:val="CharDivText"/>
        </w:rPr>
        <w:t xml:space="preserve"> </w:t>
      </w:r>
    </w:p>
    <w:p w14:paraId="08AF6946" w14:textId="77777777" w:rsidR="00B53A98" w:rsidRPr="00134CF0" w:rsidRDefault="00B53A98" w:rsidP="00B53A98">
      <w:pPr>
        <w:pStyle w:val="ActHead5"/>
      </w:pPr>
      <w:r w:rsidRPr="0021546F">
        <w:rPr>
          <w:rStyle w:val="CharSectno"/>
        </w:rPr>
        <w:t>1000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5.01</w:t>
      </w:r>
      <w:r w:rsidRPr="00134CF0">
        <w:t xml:space="preserve">  Application of amendments</w:t>
      </w:r>
      <w:r w:rsidR="0042092A" w:rsidRPr="00134CF0">
        <w:t>—</w:t>
      </w:r>
      <w:r w:rsidR="002E6A7A" w:rsidRPr="00134CF0">
        <w:t>valuation parameters</w:t>
      </w:r>
    </w:p>
    <w:p w14:paraId="4C664EF0" w14:textId="77777777" w:rsidR="00B53A98" w:rsidRPr="00134CF0" w:rsidRDefault="00B53A98" w:rsidP="00B53A98">
      <w:pPr>
        <w:pStyle w:val="subsection"/>
      </w:pPr>
      <w:r w:rsidRPr="00134CF0">
        <w:tab/>
        <w:t>(1)</w:t>
      </w:r>
      <w:r w:rsidRPr="00134CF0">
        <w:tab/>
        <w:t xml:space="preserve">The amendments of Schedule 1A to this instrument made by </w:t>
      </w:r>
      <w:r w:rsidR="003766C6" w:rsidRPr="00134CF0">
        <w:t>Division 1</w:t>
      </w:r>
      <w:r w:rsidR="00F80398" w:rsidRPr="00134CF0">
        <w:t xml:space="preserve"> of </w:t>
      </w:r>
      <w:r w:rsidR="003766C6" w:rsidRPr="00134CF0">
        <w:t>Part 1</w:t>
      </w:r>
      <w:r w:rsidRPr="00134CF0">
        <w:t xml:space="preserve"> of </w:t>
      </w:r>
      <w:r w:rsidR="003766C6" w:rsidRPr="00134CF0">
        <w:t>Schedule 4</w:t>
      </w:r>
      <w:r w:rsidRPr="00134CF0">
        <w:t xml:space="preserve"> to the </w:t>
      </w:r>
      <w:r w:rsidRPr="00134CF0">
        <w:rPr>
          <w:i/>
        </w:rPr>
        <w:t>Treasury Laws Amendment Instrument 202</w:t>
      </w:r>
      <w:r w:rsidR="00646548" w:rsidRPr="00134CF0">
        <w:rPr>
          <w:i/>
        </w:rPr>
        <w:t>4</w:t>
      </w:r>
      <w:r w:rsidRPr="00134CF0">
        <w:t xml:space="preserve"> apply for the purposes of working out your notional taxed contributions for a financial year starting on or after </w:t>
      </w:r>
      <w:r w:rsidR="006C00AD" w:rsidRPr="00134CF0">
        <w:t>1 July</w:t>
      </w:r>
      <w:r w:rsidRPr="00134CF0">
        <w:t xml:space="preserve"> 2025.</w:t>
      </w:r>
    </w:p>
    <w:p w14:paraId="0BEF22FC" w14:textId="77777777" w:rsidR="00B53A98" w:rsidRPr="00134CF0" w:rsidRDefault="00B53A98" w:rsidP="00B53A98">
      <w:pPr>
        <w:pStyle w:val="subsection"/>
      </w:pPr>
      <w:r w:rsidRPr="00134CF0">
        <w:tab/>
        <w:t>(2)</w:t>
      </w:r>
      <w:r w:rsidRPr="00134CF0">
        <w:tab/>
        <w:t xml:space="preserve">The amendments of Schedule 1AA to this instrument made by </w:t>
      </w:r>
      <w:r w:rsidR="003766C6" w:rsidRPr="00134CF0">
        <w:t>Division 1</w:t>
      </w:r>
      <w:r w:rsidR="00CE0E28" w:rsidRPr="00134CF0">
        <w:t xml:space="preserve"> of </w:t>
      </w:r>
      <w:r w:rsidR="003766C6" w:rsidRPr="00134CF0">
        <w:t>Part 1</w:t>
      </w:r>
      <w:r w:rsidRPr="00134CF0">
        <w:t xml:space="preserve"> of </w:t>
      </w:r>
      <w:r w:rsidR="003766C6" w:rsidRPr="00134CF0">
        <w:t>Schedule 4</w:t>
      </w:r>
      <w:r w:rsidRPr="00134CF0">
        <w:t xml:space="preserve"> to the </w:t>
      </w:r>
      <w:r w:rsidRPr="00134CF0">
        <w:rPr>
          <w:i/>
        </w:rPr>
        <w:t>Treasury Laws Amendment Instrument 202</w:t>
      </w:r>
      <w:r w:rsidR="00646548" w:rsidRPr="00134CF0">
        <w:rPr>
          <w:i/>
        </w:rPr>
        <w:t>4</w:t>
      </w:r>
      <w:r w:rsidRPr="00134CF0">
        <w:t xml:space="preserve"> apply for the purposes of working out your defined benefit contributions for a financial year starting on or after </w:t>
      </w:r>
      <w:r w:rsidR="006C00AD" w:rsidRPr="00134CF0">
        <w:t>1 July</w:t>
      </w:r>
      <w:r w:rsidRPr="00134CF0">
        <w:t xml:space="preserve"> 2025.</w:t>
      </w:r>
    </w:p>
    <w:p w14:paraId="701DD032" w14:textId="77777777" w:rsidR="002E6A7A" w:rsidRPr="00134CF0" w:rsidRDefault="002E6A7A" w:rsidP="002E6A7A">
      <w:pPr>
        <w:pStyle w:val="ActHead5"/>
      </w:pPr>
      <w:r w:rsidRPr="0021546F">
        <w:rPr>
          <w:rStyle w:val="CharSectno"/>
        </w:rPr>
        <w:t>1000</w:t>
      </w:r>
      <w:r w:rsidR="006D7098" w:rsidRPr="0021546F">
        <w:rPr>
          <w:rStyle w:val="CharSectno"/>
        </w:rPr>
        <w:noBreakHyphen/>
      </w:r>
      <w:r w:rsidRPr="0021546F">
        <w:rPr>
          <w:rStyle w:val="CharSectno"/>
        </w:rPr>
        <w:t>5.02</w:t>
      </w:r>
      <w:r w:rsidRPr="00134CF0">
        <w:t xml:space="preserve">  Application of amendments—</w:t>
      </w:r>
      <w:r w:rsidR="004464EF" w:rsidRPr="00134CF0">
        <w:t>State higher level office holders</w:t>
      </w:r>
    </w:p>
    <w:p w14:paraId="42C90646" w14:textId="77777777" w:rsidR="008916E9" w:rsidRPr="00134CF0" w:rsidRDefault="008916E9" w:rsidP="008916E9">
      <w:pPr>
        <w:pStyle w:val="subsection"/>
      </w:pPr>
      <w:r w:rsidRPr="00134CF0">
        <w:tab/>
      </w:r>
      <w:r w:rsidRPr="00134CF0">
        <w:tab/>
        <w:t xml:space="preserve">The amendments made by </w:t>
      </w:r>
      <w:r w:rsidR="003766C6" w:rsidRPr="00134CF0">
        <w:t>Part 2</w:t>
      </w:r>
      <w:r w:rsidRPr="00134CF0">
        <w:t xml:space="preserve"> of </w:t>
      </w:r>
      <w:r w:rsidR="003766C6" w:rsidRPr="00134CF0">
        <w:t>Schedule 4</w:t>
      </w:r>
      <w:r w:rsidRPr="00134CF0">
        <w:t xml:space="preserve"> to the </w:t>
      </w:r>
      <w:r w:rsidRPr="00134CF0">
        <w:rPr>
          <w:i/>
        </w:rPr>
        <w:t>Treasury Laws Amendment Instrument 202</w:t>
      </w:r>
      <w:r w:rsidR="00646548" w:rsidRPr="00134CF0">
        <w:rPr>
          <w:i/>
        </w:rPr>
        <w:t>4</w:t>
      </w:r>
      <w:r w:rsidRPr="00134CF0">
        <w:t xml:space="preserve"> apply in relation to </w:t>
      </w:r>
      <w:r w:rsidR="00646548" w:rsidRPr="00134CF0">
        <w:t xml:space="preserve">an </w:t>
      </w:r>
      <w:r w:rsidRPr="00134CF0">
        <w:t xml:space="preserve">income year starting on or after </w:t>
      </w:r>
      <w:r w:rsidR="006C00AD" w:rsidRPr="00134CF0">
        <w:t>1 July</w:t>
      </w:r>
      <w:r w:rsidRPr="00134CF0">
        <w:t xml:space="preserve"> 2025.</w:t>
      </w:r>
    </w:p>
    <w:p w14:paraId="35028BDD" w14:textId="77777777" w:rsidR="008916E9" w:rsidRPr="00134CF0" w:rsidRDefault="008916E9" w:rsidP="008916E9">
      <w:pPr>
        <w:pStyle w:val="notedraft"/>
      </w:pPr>
    </w:p>
    <w:sectPr w:rsidR="008916E9" w:rsidRPr="00134CF0" w:rsidSect="00BC11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1718" w14:textId="77777777" w:rsidR="00134CF0" w:rsidRDefault="00134CF0" w:rsidP="00664C63">
      <w:pPr>
        <w:spacing w:line="240" w:lineRule="auto"/>
      </w:pPr>
      <w:r>
        <w:separator/>
      </w:r>
    </w:p>
  </w:endnote>
  <w:endnote w:type="continuationSeparator" w:id="0">
    <w:p w14:paraId="596C9580" w14:textId="77777777" w:rsidR="00134CF0" w:rsidRDefault="00134CF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061C" w14:textId="77777777" w:rsidR="00134CF0" w:rsidRPr="00BB4623" w:rsidRDefault="00134CF0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2F243392" w14:textId="77777777" w:rsidR="00134CF0" w:rsidRPr="00BB4623" w:rsidRDefault="00134CF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ADB21E3" w14:textId="77777777" w:rsidR="00134CF0" w:rsidRPr="00BB4623" w:rsidRDefault="00134CF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C438" w14:textId="77777777" w:rsidR="00134CF0" w:rsidRDefault="00134CF0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34CF0" w14:paraId="7B2F63D3" w14:textId="77777777" w:rsidTr="00BC112E">
      <w:tc>
        <w:tcPr>
          <w:tcW w:w="5000" w:type="pct"/>
        </w:tcPr>
        <w:p w14:paraId="0016866B" w14:textId="77777777" w:rsidR="00134CF0" w:rsidRPr="00A6121F" w:rsidRDefault="00134CF0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134CF0" w14:paraId="2B0BD2FB" w14:textId="77777777" w:rsidTr="00BC112E">
      <w:tc>
        <w:tcPr>
          <w:tcW w:w="5000" w:type="pct"/>
        </w:tcPr>
        <w:p w14:paraId="64159541" w14:textId="77777777" w:rsidR="00134CF0" w:rsidRPr="00A6121F" w:rsidRDefault="00134CF0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FA99E07" w14:textId="77777777" w:rsidR="00134CF0" w:rsidRPr="00A6121F" w:rsidRDefault="00134CF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578CF84" wp14:editId="56BDB03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9189D" w14:textId="77777777" w:rsidR="00134CF0" w:rsidRPr="00324EB0" w:rsidRDefault="00206F85" w:rsidP="00D34CA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8CF8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73F9189D" w14:textId="77777777" w:rsidR="00134CF0" w:rsidRPr="00324EB0" w:rsidRDefault="00206F85" w:rsidP="00D34CA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D72B" w14:textId="77777777" w:rsidR="00134CF0" w:rsidRPr="00BB4623" w:rsidRDefault="00134CF0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E780" w14:textId="77777777" w:rsidR="00134CF0" w:rsidRDefault="00134CF0" w:rsidP="00664C63">
      <w:pPr>
        <w:spacing w:line="240" w:lineRule="auto"/>
      </w:pPr>
      <w:r>
        <w:separator/>
      </w:r>
    </w:p>
  </w:footnote>
  <w:footnote w:type="continuationSeparator" w:id="0">
    <w:p w14:paraId="6F0E65C2" w14:textId="77777777" w:rsidR="00134CF0" w:rsidRDefault="00134CF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90A1" w14:textId="77777777" w:rsidR="00134CF0" w:rsidRPr="00BB4623" w:rsidRDefault="00134CF0" w:rsidP="00664C63">
    <w:pPr>
      <w:rPr>
        <w:sz w:val="24"/>
      </w:rPr>
    </w:pPr>
  </w:p>
  <w:p w14:paraId="35DB49F4" w14:textId="77777777" w:rsidR="00134CF0" w:rsidRPr="00BB4623" w:rsidRDefault="00134CF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DB5F" w14:textId="77777777" w:rsidR="00134CF0" w:rsidRPr="00BB4623" w:rsidRDefault="00134CF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93BACB8" wp14:editId="515DC5C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E8087" w14:textId="77777777" w:rsidR="00134CF0" w:rsidRPr="00324EB0" w:rsidRDefault="00206F85" w:rsidP="00D34CA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BACB8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61E8087" w14:textId="77777777" w:rsidR="00134CF0" w:rsidRPr="00324EB0" w:rsidRDefault="00206F85" w:rsidP="00D34CA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845BE3A" w14:textId="77777777" w:rsidR="00134CF0" w:rsidRPr="00BB4623" w:rsidRDefault="00134CF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DB8" w14:textId="77777777" w:rsidR="00134CF0" w:rsidRPr="00BB4623" w:rsidRDefault="00134CF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E33E1"/>
    <w:multiLevelType w:val="multilevel"/>
    <w:tmpl w:val="DC4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897438"/>
    <w:multiLevelType w:val="singleLevel"/>
    <w:tmpl w:val="E86E8176"/>
    <w:lvl w:ilvl="0">
      <w:start w:val="1"/>
      <w:numFmt w:val="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58185139"/>
    <w:multiLevelType w:val="hybridMultilevel"/>
    <w:tmpl w:val="E6864360"/>
    <w:lvl w:ilvl="0" w:tplc="4894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0C41"/>
    <w:multiLevelType w:val="singleLevel"/>
    <w:tmpl w:val="F4588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DF6C55"/>
    <w:multiLevelType w:val="multilevel"/>
    <w:tmpl w:val="E4B2FB82"/>
    <w:name w:val="StandardNumberedList"/>
    <w:lvl w:ilvl="0">
      <w:start w:val="1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8A304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6"/>
  </w:num>
  <w:num w:numId="20">
    <w:abstractNumId w:val="21"/>
  </w:num>
  <w:num w:numId="21">
    <w:abstractNumId w:val="23"/>
  </w:num>
  <w:num w:numId="22">
    <w:abstractNumId w:val="24"/>
  </w:num>
  <w:num w:numId="23">
    <w:abstractNumId w:val="1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4CA4"/>
    <w:rsid w:val="0000026F"/>
    <w:rsid w:val="00000B40"/>
    <w:rsid w:val="00001C80"/>
    <w:rsid w:val="00002163"/>
    <w:rsid w:val="00002A06"/>
    <w:rsid w:val="0000321A"/>
    <w:rsid w:val="000032BD"/>
    <w:rsid w:val="00003AF5"/>
    <w:rsid w:val="000136AF"/>
    <w:rsid w:val="00014B9A"/>
    <w:rsid w:val="00016BEA"/>
    <w:rsid w:val="00020C99"/>
    <w:rsid w:val="000227D6"/>
    <w:rsid w:val="00022986"/>
    <w:rsid w:val="000230E2"/>
    <w:rsid w:val="0002461D"/>
    <w:rsid w:val="00024F5D"/>
    <w:rsid w:val="00026340"/>
    <w:rsid w:val="00027113"/>
    <w:rsid w:val="000279D9"/>
    <w:rsid w:val="0003062D"/>
    <w:rsid w:val="00031471"/>
    <w:rsid w:val="00031E6C"/>
    <w:rsid w:val="00033D1E"/>
    <w:rsid w:val="00033FE0"/>
    <w:rsid w:val="000355DB"/>
    <w:rsid w:val="00035C4E"/>
    <w:rsid w:val="0003608F"/>
    <w:rsid w:val="0003640C"/>
    <w:rsid w:val="00036D1B"/>
    <w:rsid w:val="00037BC3"/>
    <w:rsid w:val="00041A78"/>
    <w:rsid w:val="00042724"/>
    <w:rsid w:val="00042E52"/>
    <w:rsid w:val="00043032"/>
    <w:rsid w:val="000474FE"/>
    <w:rsid w:val="0005037F"/>
    <w:rsid w:val="00050AC5"/>
    <w:rsid w:val="000529F7"/>
    <w:rsid w:val="00054B0B"/>
    <w:rsid w:val="0005609A"/>
    <w:rsid w:val="0005665C"/>
    <w:rsid w:val="00057389"/>
    <w:rsid w:val="00057AAF"/>
    <w:rsid w:val="0006089A"/>
    <w:rsid w:val="0006105A"/>
    <w:rsid w:val="000614BF"/>
    <w:rsid w:val="000616AE"/>
    <w:rsid w:val="00062DB6"/>
    <w:rsid w:val="00062F89"/>
    <w:rsid w:val="00063CE4"/>
    <w:rsid w:val="00065542"/>
    <w:rsid w:val="00065931"/>
    <w:rsid w:val="000668C3"/>
    <w:rsid w:val="00066B42"/>
    <w:rsid w:val="000716D1"/>
    <w:rsid w:val="00073B2D"/>
    <w:rsid w:val="00076F88"/>
    <w:rsid w:val="000836FE"/>
    <w:rsid w:val="000850CA"/>
    <w:rsid w:val="00085D14"/>
    <w:rsid w:val="00086147"/>
    <w:rsid w:val="00087033"/>
    <w:rsid w:val="0009005A"/>
    <w:rsid w:val="00092615"/>
    <w:rsid w:val="00095FF6"/>
    <w:rsid w:val="000A01AC"/>
    <w:rsid w:val="000A142B"/>
    <w:rsid w:val="000A4335"/>
    <w:rsid w:val="000A6E57"/>
    <w:rsid w:val="000A6FC2"/>
    <w:rsid w:val="000B116A"/>
    <w:rsid w:val="000B1C59"/>
    <w:rsid w:val="000B362D"/>
    <w:rsid w:val="000B4E59"/>
    <w:rsid w:val="000B5313"/>
    <w:rsid w:val="000B6BAC"/>
    <w:rsid w:val="000B7B9E"/>
    <w:rsid w:val="000B7BC1"/>
    <w:rsid w:val="000C36EE"/>
    <w:rsid w:val="000C45AE"/>
    <w:rsid w:val="000C57DF"/>
    <w:rsid w:val="000C58F0"/>
    <w:rsid w:val="000C6D56"/>
    <w:rsid w:val="000D04DE"/>
    <w:rsid w:val="000D05EF"/>
    <w:rsid w:val="000D21B1"/>
    <w:rsid w:val="000D2FFF"/>
    <w:rsid w:val="000E1DB8"/>
    <w:rsid w:val="000E1E10"/>
    <w:rsid w:val="000E2BD6"/>
    <w:rsid w:val="000E64CD"/>
    <w:rsid w:val="000E7376"/>
    <w:rsid w:val="000E7489"/>
    <w:rsid w:val="000E757E"/>
    <w:rsid w:val="000F0163"/>
    <w:rsid w:val="000F184B"/>
    <w:rsid w:val="000F21C1"/>
    <w:rsid w:val="000F4392"/>
    <w:rsid w:val="000F439D"/>
    <w:rsid w:val="00101352"/>
    <w:rsid w:val="001016D1"/>
    <w:rsid w:val="001017B2"/>
    <w:rsid w:val="001021E4"/>
    <w:rsid w:val="00104905"/>
    <w:rsid w:val="0010745C"/>
    <w:rsid w:val="00110344"/>
    <w:rsid w:val="00110587"/>
    <w:rsid w:val="00110B38"/>
    <w:rsid w:val="0011206D"/>
    <w:rsid w:val="0011683F"/>
    <w:rsid w:val="00120AB9"/>
    <w:rsid w:val="00124CD2"/>
    <w:rsid w:val="00124D63"/>
    <w:rsid w:val="00127233"/>
    <w:rsid w:val="00127BB0"/>
    <w:rsid w:val="0013169D"/>
    <w:rsid w:val="0013271C"/>
    <w:rsid w:val="00132FA1"/>
    <w:rsid w:val="00134CF0"/>
    <w:rsid w:val="00135B4E"/>
    <w:rsid w:val="0013630C"/>
    <w:rsid w:val="00136C39"/>
    <w:rsid w:val="00136E85"/>
    <w:rsid w:val="00137A0B"/>
    <w:rsid w:val="001411AB"/>
    <w:rsid w:val="001435AA"/>
    <w:rsid w:val="00145451"/>
    <w:rsid w:val="00146E95"/>
    <w:rsid w:val="00157A75"/>
    <w:rsid w:val="00157F1C"/>
    <w:rsid w:val="001614DA"/>
    <w:rsid w:val="00162E0C"/>
    <w:rsid w:val="00164AE3"/>
    <w:rsid w:val="00165AB8"/>
    <w:rsid w:val="0016633F"/>
    <w:rsid w:val="00166C2F"/>
    <w:rsid w:val="001712D3"/>
    <w:rsid w:val="001731D8"/>
    <w:rsid w:val="0017360E"/>
    <w:rsid w:val="00176D35"/>
    <w:rsid w:val="001773AB"/>
    <w:rsid w:val="0018435F"/>
    <w:rsid w:val="00191FEF"/>
    <w:rsid w:val="001921BB"/>
    <w:rsid w:val="001933E1"/>
    <w:rsid w:val="001937FE"/>
    <w:rsid w:val="001939E1"/>
    <w:rsid w:val="00194432"/>
    <w:rsid w:val="00195382"/>
    <w:rsid w:val="00195BD7"/>
    <w:rsid w:val="00196145"/>
    <w:rsid w:val="001967F5"/>
    <w:rsid w:val="001A2785"/>
    <w:rsid w:val="001A3B5B"/>
    <w:rsid w:val="001A5C0D"/>
    <w:rsid w:val="001A6A2D"/>
    <w:rsid w:val="001B0F61"/>
    <w:rsid w:val="001B2B7F"/>
    <w:rsid w:val="001B3F2B"/>
    <w:rsid w:val="001B6346"/>
    <w:rsid w:val="001B6FD7"/>
    <w:rsid w:val="001C117A"/>
    <w:rsid w:val="001C2886"/>
    <w:rsid w:val="001C59CF"/>
    <w:rsid w:val="001C69C4"/>
    <w:rsid w:val="001D1566"/>
    <w:rsid w:val="001D1E2E"/>
    <w:rsid w:val="001D1F92"/>
    <w:rsid w:val="001D77D4"/>
    <w:rsid w:val="001E0E34"/>
    <w:rsid w:val="001E177C"/>
    <w:rsid w:val="001E1CAF"/>
    <w:rsid w:val="001E1F1D"/>
    <w:rsid w:val="001E3186"/>
    <w:rsid w:val="001E3590"/>
    <w:rsid w:val="001E4F12"/>
    <w:rsid w:val="001E55B3"/>
    <w:rsid w:val="001E56EB"/>
    <w:rsid w:val="001E6B56"/>
    <w:rsid w:val="001E7407"/>
    <w:rsid w:val="001F1188"/>
    <w:rsid w:val="001F34FE"/>
    <w:rsid w:val="001F4E3A"/>
    <w:rsid w:val="001F7A31"/>
    <w:rsid w:val="00200060"/>
    <w:rsid w:val="0020169D"/>
    <w:rsid w:val="00201D88"/>
    <w:rsid w:val="00201F7C"/>
    <w:rsid w:val="00203E15"/>
    <w:rsid w:val="00204F82"/>
    <w:rsid w:val="00205958"/>
    <w:rsid w:val="00205C6E"/>
    <w:rsid w:val="00206E9C"/>
    <w:rsid w:val="00206F85"/>
    <w:rsid w:val="00207CAE"/>
    <w:rsid w:val="00207E52"/>
    <w:rsid w:val="00210AAC"/>
    <w:rsid w:val="0021435C"/>
    <w:rsid w:val="0021546F"/>
    <w:rsid w:val="00215C95"/>
    <w:rsid w:val="00221F19"/>
    <w:rsid w:val="0022221A"/>
    <w:rsid w:val="0022242A"/>
    <w:rsid w:val="0022597E"/>
    <w:rsid w:val="00225CB6"/>
    <w:rsid w:val="002260A2"/>
    <w:rsid w:val="002328B3"/>
    <w:rsid w:val="00234E5B"/>
    <w:rsid w:val="00240749"/>
    <w:rsid w:val="00241280"/>
    <w:rsid w:val="00241C82"/>
    <w:rsid w:val="0024239A"/>
    <w:rsid w:val="00242709"/>
    <w:rsid w:val="00243E6A"/>
    <w:rsid w:val="00244DD7"/>
    <w:rsid w:val="00246519"/>
    <w:rsid w:val="00247B60"/>
    <w:rsid w:val="00250F06"/>
    <w:rsid w:val="00251DEF"/>
    <w:rsid w:val="0025621F"/>
    <w:rsid w:val="00261277"/>
    <w:rsid w:val="0026176B"/>
    <w:rsid w:val="00264D34"/>
    <w:rsid w:val="00266D3E"/>
    <w:rsid w:val="002717BF"/>
    <w:rsid w:val="00272AE1"/>
    <w:rsid w:val="00277D20"/>
    <w:rsid w:val="00281DA4"/>
    <w:rsid w:val="00281FBA"/>
    <w:rsid w:val="002865D6"/>
    <w:rsid w:val="00286834"/>
    <w:rsid w:val="002913CA"/>
    <w:rsid w:val="00291FFB"/>
    <w:rsid w:val="00295619"/>
    <w:rsid w:val="002962A3"/>
    <w:rsid w:val="002975A0"/>
    <w:rsid w:val="00297ECB"/>
    <w:rsid w:val="002A03FE"/>
    <w:rsid w:val="002A2E83"/>
    <w:rsid w:val="002A455D"/>
    <w:rsid w:val="002A6B23"/>
    <w:rsid w:val="002B0E47"/>
    <w:rsid w:val="002B0F76"/>
    <w:rsid w:val="002B33B3"/>
    <w:rsid w:val="002B78B7"/>
    <w:rsid w:val="002B78D7"/>
    <w:rsid w:val="002B7C75"/>
    <w:rsid w:val="002C0552"/>
    <w:rsid w:val="002C1131"/>
    <w:rsid w:val="002C3080"/>
    <w:rsid w:val="002C4B96"/>
    <w:rsid w:val="002C55D4"/>
    <w:rsid w:val="002C7E1A"/>
    <w:rsid w:val="002D043A"/>
    <w:rsid w:val="002D13F9"/>
    <w:rsid w:val="002D39BD"/>
    <w:rsid w:val="002D4560"/>
    <w:rsid w:val="002D4CA4"/>
    <w:rsid w:val="002E03FF"/>
    <w:rsid w:val="002E188D"/>
    <w:rsid w:val="002E3886"/>
    <w:rsid w:val="002E6653"/>
    <w:rsid w:val="002E67E5"/>
    <w:rsid w:val="002E6801"/>
    <w:rsid w:val="002E6A7A"/>
    <w:rsid w:val="002E746E"/>
    <w:rsid w:val="002F077C"/>
    <w:rsid w:val="002F0F36"/>
    <w:rsid w:val="002F14CE"/>
    <w:rsid w:val="002F3383"/>
    <w:rsid w:val="002F3415"/>
    <w:rsid w:val="002F48EA"/>
    <w:rsid w:val="002F5351"/>
    <w:rsid w:val="002F5B77"/>
    <w:rsid w:val="0030015F"/>
    <w:rsid w:val="00301862"/>
    <w:rsid w:val="0030279F"/>
    <w:rsid w:val="00304C9C"/>
    <w:rsid w:val="00307FF8"/>
    <w:rsid w:val="00310E83"/>
    <w:rsid w:val="0031109B"/>
    <w:rsid w:val="003133EB"/>
    <w:rsid w:val="00313C6F"/>
    <w:rsid w:val="003163EA"/>
    <w:rsid w:val="00317E06"/>
    <w:rsid w:val="00321376"/>
    <w:rsid w:val="00321C78"/>
    <w:rsid w:val="003223EE"/>
    <w:rsid w:val="00322551"/>
    <w:rsid w:val="00322ADB"/>
    <w:rsid w:val="00326949"/>
    <w:rsid w:val="00327727"/>
    <w:rsid w:val="00330B56"/>
    <w:rsid w:val="00334608"/>
    <w:rsid w:val="003346E0"/>
    <w:rsid w:val="00335D37"/>
    <w:rsid w:val="003360B0"/>
    <w:rsid w:val="0033728C"/>
    <w:rsid w:val="003415D3"/>
    <w:rsid w:val="003427AE"/>
    <w:rsid w:val="00343017"/>
    <w:rsid w:val="00343644"/>
    <w:rsid w:val="00344E13"/>
    <w:rsid w:val="00345BB0"/>
    <w:rsid w:val="00347A25"/>
    <w:rsid w:val="003509E6"/>
    <w:rsid w:val="00352B0F"/>
    <w:rsid w:val="00354A33"/>
    <w:rsid w:val="00355782"/>
    <w:rsid w:val="003557F7"/>
    <w:rsid w:val="0035628E"/>
    <w:rsid w:val="003577CA"/>
    <w:rsid w:val="00357AA3"/>
    <w:rsid w:val="00357F30"/>
    <w:rsid w:val="0036086B"/>
    <w:rsid w:val="00362502"/>
    <w:rsid w:val="00366A72"/>
    <w:rsid w:val="003679DB"/>
    <w:rsid w:val="00371ABA"/>
    <w:rsid w:val="00373DA4"/>
    <w:rsid w:val="00374581"/>
    <w:rsid w:val="00374E0B"/>
    <w:rsid w:val="00375F94"/>
    <w:rsid w:val="003766C6"/>
    <w:rsid w:val="003804B1"/>
    <w:rsid w:val="003809BA"/>
    <w:rsid w:val="0038164F"/>
    <w:rsid w:val="003819E0"/>
    <w:rsid w:val="00381DB9"/>
    <w:rsid w:val="00382D40"/>
    <w:rsid w:val="00387248"/>
    <w:rsid w:val="00391627"/>
    <w:rsid w:val="00391FD2"/>
    <w:rsid w:val="00394E44"/>
    <w:rsid w:val="00395060"/>
    <w:rsid w:val="0039603E"/>
    <w:rsid w:val="003A2A4C"/>
    <w:rsid w:val="003A4C65"/>
    <w:rsid w:val="003B00AC"/>
    <w:rsid w:val="003B6964"/>
    <w:rsid w:val="003C0FBA"/>
    <w:rsid w:val="003C4C9D"/>
    <w:rsid w:val="003C5880"/>
    <w:rsid w:val="003C74A4"/>
    <w:rsid w:val="003D0BFE"/>
    <w:rsid w:val="003D0F08"/>
    <w:rsid w:val="003D21EE"/>
    <w:rsid w:val="003D2803"/>
    <w:rsid w:val="003D2EB6"/>
    <w:rsid w:val="003D4331"/>
    <w:rsid w:val="003D48BA"/>
    <w:rsid w:val="003D4958"/>
    <w:rsid w:val="003D5700"/>
    <w:rsid w:val="003D5814"/>
    <w:rsid w:val="003D7AE6"/>
    <w:rsid w:val="003D7E14"/>
    <w:rsid w:val="003E0576"/>
    <w:rsid w:val="003E1C92"/>
    <w:rsid w:val="003E2853"/>
    <w:rsid w:val="003E41FF"/>
    <w:rsid w:val="003E43BB"/>
    <w:rsid w:val="003E78A8"/>
    <w:rsid w:val="003F2A79"/>
    <w:rsid w:val="003F3084"/>
    <w:rsid w:val="003F35BA"/>
    <w:rsid w:val="003F3B98"/>
    <w:rsid w:val="003F78E7"/>
    <w:rsid w:val="0040123D"/>
    <w:rsid w:val="004030B1"/>
    <w:rsid w:val="00405D63"/>
    <w:rsid w:val="00405FA0"/>
    <w:rsid w:val="00406863"/>
    <w:rsid w:val="00406EEC"/>
    <w:rsid w:val="00407E3D"/>
    <w:rsid w:val="00410737"/>
    <w:rsid w:val="004116CD"/>
    <w:rsid w:val="00411B0A"/>
    <w:rsid w:val="00412310"/>
    <w:rsid w:val="00412DFA"/>
    <w:rsid w:val="00413222"/>
    <w:rsid w:val="00416BA2"/>
    <w:rsid w:val="0041786D"/>
    <w:rsid w:val="00417A91"/>
    <w:rsid w:val="00417E72"/>
    <w:rsid w:val="0042092A"/>
    <w:rsid w:val="0042170B"/>
    <w:rsid w:val="00422B6F"/>
    <w:rsid w:val="00424CA9"/>
    <w:rsid w:val="00425378"/>
    <w:rsid w:val="0042546E"/>
    <w:rsid w:val="00425A60"/>
    <w:rsid w:val="00425C28"/>
    <w:rsid w:val="00426FEE"/>
    <w:rsid w:val="00427382"/>
    <w:rsid w:val="004333CF"/>
    <w:rsid w:val="00434765"/>
    <w:rsid w:val="0043512F"/>
    <w:rsid w:val="00437732"/>
    <w:rsid w:val="00442247"/>
    <w:rsid w:val="0044291A"/>
    <w:rsid w:val="0044497B"/>
    <w:rsid w:val="00444EC3"/>
    <w:rsid w:val="0044522D"/>
    <w:rsid w:val="004461F0"/>
    <w:rsid w:val="004464EF"/>
    <w:rsid w:val="00447404"/>
    <w:rsid w:val="00447729"/>
    <w:rsid w:val="00447E04"/>
    <w:rsid w:val="00447F5A"/>
    <w:rsid w:val="004502B1"/>
    <w:rsid w:val="00450878"/>
    <w:rsid w:val="00450E2B"/>
    <w:rsid w:val="004540C6"/>
    <w:rsid w:val="00454C99"/>
    <w:rsid w:val="00455E3E"/>
    <w:rsid w:val="00456FC6"/>
    <w:rsid w:val="0046005A"/>
    <w:rsid w:val="004603CF"/>
    <w:rsid w:val="004605A4"/>
    <w:rsid w:val="00462D6E"/>
    <w:rsid w:val="00462F67"/>
    <w:rsid w:val="00464C2F"/>
    <w:rsid w:val="00464F34"/>
    <w:rsid w:val="00465E59"/>
    <w:rsid w:val="004710B5"/>
    <w:rsid w:val="00472826"/>
    <w:rsid w:val="00472B74"/>
    <w:rsid w:val="004738E9"/>
    <w:rsid w:val="00474AC4"/>
    <w:rsid w:val="0047586D"/>
    <w:rsid w:val="00476126"/>
    <w:rsid w:val="0047686D"/>
    <w:rsid w:val="004771D1"/>
    <w:rsid w:val="00477D73"/>
    <w:rsid w:val="0048127C"/>
    <w:rsid w:val="00481951"/>
    <w:rsid w:val="00481BD3"/>
    <w:rsid w:val="004830F7"/>
    <w:rsid w:val="0048461E"/>
    <w:rsid w:val="004852CE"/>
    <w:rsid w:val="0048753B"/>
    <w:rsid w:val="00487E9B"/>
    <w:rsid w:val="00491282"/>
    <w:rsid w:val="00491C85"/>
    <w:rsid w:val="0049488F"/>
    <w:rsid w:val="004964A0"/>
    <w:rsid w:val="00496F97"/>
    <w:rsid w:val="004A2024"/>
    <w:rsid w:val="004A29E9"/>
    <w:rsid w:val="004A40C8"/>
    <w:rsid w:val="004A5124"/>
    <w:rsid w:val="004A6B39"/>
    <w:rsid w:val="004B0868"/>
    <w:rsid w:val="004B2640"/>
    <w:rsid w:val="004B33F7"/>
    <w:rsid w:val="004B429C"/>
    <w:rsid w:val="004B550F"/>
    <w:rsid w:val="004B5DF8"/>
    <w:rsid w:val="004B5F7A"/>
    <w:rsid w:val="004C046D"/>
    <w:rsid w:val="004C0CA3"/>
    <w:rsid w:val="004C2D16"/>
    <w:rsid w:val="004C67A0"/>
    <w:rsid w:val="004C74A9"/>
    <w:rsid w:val="004C7622"/>
    <w:rsid w:val="004E040A"/>
    <w:rsid w:val="004E1279"/>
    <w:rsid w:val="004E1608"/>
    <w:rsid w:val="004E1A8D"/>
    <w:rsid w:val="004E35CF"/>
    <w:rsid w:val="004E72FE"/>
    <w:rsid w:val="004E7577"/>
    <w:rsid w:val="004F09C2"/>
    <w:rsid w:val="004F30DD"/>
    <w:rsid w:val="004F3615"/>
    <w:rsid w:val="004F5525"/>
    <w:rsid w:val="004F769B"/>
    <w:rsid w:val="004F7BBC"/>
    <w:rsid w:val="00500A19"/>
    <w:rsid w:val="00500A4A"/>
    <w:rsid w:val="00500AC2"/>
    <w:rsid w:val="005028C8"/>
    <w:rsid w:val="00504319"/>
    <w:rsid w:val="00504C32"/>
    <w:rsid w:val="00504FA1"/>
    <w:rsid w:val="0050623D"/>
    <w:rsid w:val="00510D62"/>
    <w:rsid w:val="00511F27"/>
    <w:rsid w:val="00514712"/>
    <w:rsid w:val="005164DC"/>
    <w:rsid w:val="00516B8D"/>
    <w:rsid w:val="005179F0"/>
    <w:rsid w:val="00517C64"/>
    <w:rsid w:val="005205B3"/>
    <w:rsid w:val="00521180"/>
    <w:rsid w:val="00521704"/>
    <w:rsid w:val="00521BDB"/>
    <w:rsid w:val="00522EB0"/>
    <w:rsid w:val="005230DA"/>
    <w:rsid w:val="005239C4"/>
    <w:rsid w:val="00523FF4"/>
    <w:rsid w:val="00524550"/>
    <w:rsid w:val="00525296"/>
    <w:rsid w:val="00525299"/>
    <w:rsid w:val="005260AB"/>
    <w:rsid w:val="00527BF8"/>
    <w:rsid w:val="00530411"/>
    <w:rsid w:val="00532416"/>
    <w:rsid w:val="00532B54"/>
    <w:rsid w:val="00532DD4"/>
    <w:rsid w:val="00535A66"/>
    <w:rsid w:val="0053639B"/>
    <w:rsid w:val="00537140"/>
    <w:rsid w:val="00537FBC"/>
    <w:rsid w:val="00540362"/>
    <w:rsid w:val="005417B3"/>
    <w:rsid w:val="005426B0"/>
    <w:rsid w:val="0054286F"/>
    <w:rsid w:val="0054314D"/>
    <w:rsid w:val="00551862"/>
    <w:rsid w:val="0055384F"/>
    <w:rsid w:val="0055417E"/>
    <w:rsid w:val="00555505"/>
    <w:rsid w:val="0055552A"/>
    <w:rsid w:val="00561087"/>
    <w:rsid w:val="005634E7"/>
    <w:rsid w:val="005638C5"/>
    <w:rsid w:val="005640CF"/>
    <w:rsid w:val="005646B5"/>
    <w:rsid w:val="00564C65"/>
    <w:rsid w:val="00566D85"/>
    <w:rsid w:val="00570DF2"/>
    <w:rsid w:val="005733A9"/>
    <w:rsid w:val="00573A1F"/>
    <w:rsid w:val="00573B48"/>
    <w:rsid w:val="00577949"/>
    <w:rsid w:val="00584811"/>
    <w:rsid w:val="00584AA7"/>
    <w:rsid w:val="00585988"/>
    <w:rsid w:val="00585AF6"/>
    <w:rsid w:val="00585B5E"/>
    <w:rsid w:val="00585EE5"/>
    <w:rsid w:val="00593AA6"/>
    <w:rsid w:val="00593D1A"/>
    <w:rsid w:val="00593D91"/>
    <w:rsid w:val="00594161"/>
    <w:rsid w:val="005941E0"/>
    <w:rsid w:val="00594749"/>
    <w:rsid w:val="0059598C"/>
    <w:rsid w:val="00595BA8"/>
    <w:rsid w:val="005A1112"/>
    <w:rsid w:val="005A302C"/>
    <w:rsid w:val="005A4B5C"/>
    <w:rsid w:val="005A5522"/>
    <w:rsid w:val="005A6709"/>
    <w:rsid w:val="005A6F79"/>
    <w:rsid w:val="005A7D95"/>
    <w:rsid w:val="005B08D9"/>
    <w:rsid w:val="005B0A1F"/>
    <w:rsid w:val="005B3DC9"/>
    <w:rsid w:val="005B4067"/>
    <w:rsid w:val="005B4FFC"/>
    <w:rsid w:val="005B5D35"/>
    <w:rsid w:val="005B637C"/>
    <w:rsid w:val="005C0F73"/>
    <w:rsid w:val="005C16EA"/>
    <w:rsid w:val="005C1F10"/>
    <w:rsid w:val="005C243D"/>
    <w:rsid w:val="005C2E33"/>
    <w:rsid w:val="005C3121"/>
    <w:rsid w:val="005C3369"/>
    <w:rsid w:val="005C3F41"/>
    <w:rsid w:val="005C5CB9"/>
    <w:rsid w:val="005C5E21"/>
    <w:rsid w:val="005C7401"/>
    <w:rsid w:val="005D0E79"/>
    <w:rsid w:val="005D29C7"/>
    <w:rsid w:val="005D4C08"/>
    <w:rsid w:val="005D6F4C"/>
    <w:rsid w:val="005E2629"/>
    <w:rsid w:val="005E36B3"/>
    <w:rsid w:val="005E38BE"/>
    <w:rsid w:val="005E3AC1"/>
    <w:rsid w:val="005E3C8A"/>
    <w:rsid w:val="005E41B0"/>
    <w:rsid w:val="005E66B5"/>
    <w:rsid w:val="005E7D5F"/>
    <w:rsid w:val="005F0A15"/>
    <w:rsid w:val="005F1B3D"/>
    <w:rsid w:val="005F1C14"/>
    <w:rsid w:val="005F2204"/>
    <w:rsid w:val="005F59BA"/>
    <w:rsid w:val="005F6307"/>
    <w:rsid w:val="00600219"/>
    <w:rsid w:val="0060057B"/>
    <w:rsid w:val="00602273"/>
    <w:rsid w:val="00602B8F"/>
    <w:rsid w:val="00606CD6"/>
    <w:rsid w:val="00611B3D"/>
    <w:rsid w:val="0061708F"/>
    <w:rsid w:val="00623998"/>
    <w:rsid w:val="00623AA1"/>
    <w:rsid w:val="006319B9"/>
    <w:rsid w:val="00632BB1"/>
    <w:rsid w:val="00633B35"/>
    <w:rsid w:val="00635F46"/>
    <w:rsid w:val="006434C8"/>
    <w:rsid w:val="00644B69"/>
    <w:rsid w:val="00644DD4"/>
    <w:rsid w:val="006463D1"/>
    <w:rsid w:val="00646548"/>
    <w:rsid w:val="00650DBA"/>
    <w:rsid w:val="00651475"/>
    <w:rsid w:val="00654BA9"/>
    <w:rsid w:val="00656CFF"/>
    <w:rsid w:val="00660031"/>
    <w:rsid w:val="00660A70"/>
    <w:rsid w:val="00660D72"/>
    <w:rsid w:val="00661F72"/>
    <w:rsid w:val="006626A1"/>
    <w:rsid w:val="00663F87"/>
    <w:rsid w:val="00664C63"/>
    <w:rsid w:val="00666906"/>
    <w:rsid w:val="00666951"/>
    <w:rsid w:val="006703E0"/>
    <w:rsid w:val="00670D5D"/>
    <w:rsid w:val="00670F81"/>
    <w:rsid w:val="0067622C"/>
    <w:rsid w:val="0067653E"/>
    <w:rsid w:val="00677CC2"/>
    <w:rsid w:val="00680363"/>
    <w:rsid w:val="00680BEF"/>
    <w:rsid w:val="006825D0"/>
    <w:rsid w:val="00682ADF"/>
    <w:rsid w:val="006840CA"/>
    <w:rsid w:val="00684B3F"/>
    <w:rsid w:val="00684E22"/>
    <w:rsid w:val="00684F33"/>
    <w:rsid w:val="006914C4"/>
    <w:rsid w:val="0069181F"/>
    <w:rsid w:val="0069207B"/>
    <w:rsid w:val="006927F2"/>
    <w:rsid w:val="00694032"/>
    <w:rsid w:val="00694A0E"/>
    <w:rsid w:val="00695E53"/>
    <w:rsid w:val="006A0798"/>
    <w:rsid w:val="006A114E"/>
    <w:rsid w:val="006A2AA6"/>
    <w:rsid w:val="006A33E1"/>
    <w:rsid w:val="006A4086"/>
    <w:rsid w:val="006A7B3E"/>
    <w:rsid w:val="006B0CF5"/>
    <w:rsid w:val="006B101A"/>
    <w:rsid w:val="006B38B8"/>
    <w:rsid w:val="006B3ABD"/>
    <w:rsid w:val="006B4568"/>
    <w:rsid w:val="006B4830"/>
    <w:rsid w:val="006B4ED6"/>
    <w:rsid w:val="006B6CDC"/>
    <w:rsid w:val="006B7C6B"/>
    <w:rsid w:val="006C00AD"/>
    <w:rsid w:val="006C098D"/>
    <w:rsid w:val="006C1DB0"/>
    <w:rsid w:val="006C5791"/>
    <w:rsid w:val="006C6703"/>
    <w:rsid w:val="006C7F8C"/>
    <w:rsid w:val="006D171A"/>
    <w:rsid w:val="006D1BB8"/>
    <w:rsid w:val="006D1CF6"/>
    <w:rsid w:val="006D37CC"/>
    <w:rsid w:val="006D7098"/>
    <w:rsid w:val="006E1BE5"/>
    <w:rsid w:val="006E456A"/>
    <w:rsid w:val="006E524F"/>
    <w:rsid w:val="006E598D"/>
    <w:rsid w:val="006E6D6F"/>
    <w:rsid w:val="006E7656"/>
    <w:rsid w:val="006E79E8"/>
    <w:rsid w:val="006F0E56"/>
    <w:rsid w:val="006F2361"/>
    <w:rsid w:val="006F3BC3"/>
    <w:rsid w:val="0070053E"/>
    <w:rsid w:val="00700B2C"/>
    <w:rsid w:val="00700BC6"/>
    <w:rsid w:val="00700C68"/>
    <w:rsid w:val="00703134"/>
    <w:rsid w:val="0070568E"/>
    <w:rsid w:val="00710FED"/>
    <w:rsid w:val="007116F3"/>
    <w:rsid w:val="00711E97"/>
    <w:rsid w:val="00713084"/>
    <w:rsid w:val="00715132"/>
    <w:rsid w:val="007177A5"/>
    <w:rsid w:val="00720EE0"/>
    <w:rsid w:val="007219B2"/>
    <w:rsid w:val="0072273A"/>
    <w:rsid w:val="00722F26"/>
    <w:rsid w:val="0072334F"/>
    <w:rsid w:val="0072400B"/>
    <w:rsid w:val="00725D11"/>
    <w:rsid w:val="00726941"/>
    <w:rsid w:val="00730AAE"/>
    <w:rsid w:val="00731E00"/>
    <w:rsid w:val="00732114"/>
    <w:rsid w:val="007359DF"/>
    <w:rsid w:val="00741148"/>
    <w:rsid w:val="007412BD"/>
    <w:rsid w:val="0074130B"/>
    <w:rsid w:val="007440B7"/>
    <w:rsid w:val="007456AE"/>
    <w:rsid w:val="007458E4"/>
    <w:rsid w:val="0074640A"/>
    <w:rsid w:val="00747668"/>
    <w:rsid w:val="00747C3C"/>
    <w:rsid w:val="00751ADB"/>
    <w:rsid w:val="00751D15"/>
    <w:rsid w:val="00756EA2"/>
    <w:rsid w:val="00757C50"/>
    <w:rsid w:val="00757F91"/>
    <w:rsid w:val="00760337"/>
    <w:rsid w:val="007634D9"/>
    <w:rsid w:val="00763ED8"/>
    <w:rsid w:val="00770328"/>
    <w:rsid w:val="007715C9"/>
    <w:rsid w:val="00772A3D"/>
    <w:rsid w:val="00774D00"/>
    <w:rsid w:val="00774EDD"/>
    <w:rsid w:val="007757EC"/>
    <w:rsid w:val="00776ACD"/>
    <w:rsid w:val="00780D21"/>
    <w:rsid w:val="007810E1"/>
    <w:rsid w:val="007816DB"/>
    <w:rsid w:val="00782378"/>
    <w:rsid w:val="00784845"/>
    <w:rsid w:val="00787BE7"/>
    <w:rsid w:val="00791CEB"/>
    <w:rsid w:val="0079346C"/>
    <w:rsid w:val="00794E19"/>
    <w:rsid w:val="00795AB3"/>
    <w:rsid w:val="007A04A1"/>
    <w:rsid w:val="007A0FDA"/>
    <w:rsid w:val="007A1919"/>
    <w:rsid w:val="007A27A9"/>
    <w:rsid w:val="007A69B3"/>
    <w:rsid w:val="007A6F3B"/>
    <w:rsid w:val="007A719D"/>
    <w:rsid w:val="007A7214"/>
    <w:rsid w:val="007B13C6"/>
    <w:rsid w:val="007B1435"/>
    <w:rsid w:val="007B29E6"/>
    <w:rsid w:val="007B2B27"/>
    <w:rsid w:val="007B3321"/>
    <w:rsid w:val="007B7F1A"/>
    <w:rsid w:val="007C061F"/>
    <w:rsid w:val="007C074C"/>
    <w:rsid w:val="007C1231"/>
    <w:rsid w:val="007C50A1"/>
    <w:rsid w:val="007C6F64"/>
    <w:rsid w:val="007C7284"/>
    <w:rsid w:val="007C750B"/>
    <w:rsid w:val="007D6B46"/>
    <w:rsid w:val="007D6D74"/>
    <w:rsid w:val="007D7DDB"/>
    <w:rsid w:val="007E0454"/>
    <w:rsid w:val="007E19EC"/>
    <w:rsid w:val="007E335B"/>
    <w:rsid w:val="007E63C6"/>
    <w:rsid w:val="007F286E"/>
    <w:rsid w:val="007F4E89"/>
    <w:rsid w:val="007F55F9"/>
    <w:rsid w:val="007F5C86"/>
    <w:rsid w:val="007F5DD0"/>
    <w:rsid w:val="008004CB"/>
    <w:rsid w:val="00801E9D"/>
    <w:rsid w:val="008039C1"/>
    <w:rsid w:val="00803D88"/>
    <w:rsid w:val="008046AD"/>
    <w:rsid w:val="008057F7"/>
    <w:rsid w:val="00805CE6"/>
    <w:rsid w:val="0080603B"/>
    <w:rsid w:val="00806A65"/>
    <w:rsid w:val="00811B49"/>
    <w:rsid w:val="00812F5A"/>
    <w:rsid w:val="00813F6B"/>
    <w:rsid w:val="00815D3F"/>
    <w:rsid w:val="0081607F"/>
    <w:rsid w:val="008162E9"/>
    <w:rsid w:val="0081691D"/>
    <w:rsid w:val="00816D82"/>
    <w:rsid w:val="00820432"/>
    <w:rsid w:val="00821BAE"/>
    <w:rsid w:val="00822495"/>
    <w:rsid w:val="008229E2"/>
    <w:rsid w:val="00824C16"/>
    <w:rsid w:val="00830815"/>
    <w:rsid w:val="00830864"/>
    <w:rsid w:val="00835230"/>
    <w:rsid w:val="00836F76"/>
    <w:rsid w:val="0083746F"/>
    <w:rsid w:val="00845CCD"/>
    <w:rsid w:val="0085116A"/>
    <w:rsid w:val="0085573B"/>
    <w:rsid w:val="00856270"/>
    <w:rsid w:val="00856A31"/>
    <w:rsid w:val="00856FCF"/>
    <w:rsid w:val="008576EF"/>
    <w:rsid w:val="00862E4A"/>
    <w:rsid w:val="008636E3"/>
    <w:rsid w:val="008662A1"/>
    <w:rsid w:val="008712B5"/>
    <w:rsid w:val="00872A16"/>
    <w:rsid w:val="0087484E"/>
    <w:rsid w:val="00874EC8"/>
    <w:rsid w:val="00874FD7"/>
    <w:rsid w:val="0087534F"/>
    <w:rsid w:val="008754D0"/>
    <w:rsid w:val="00875D98"/>
    <w:rsid w:val="00876EF2"/>
    <w:rsid w:val="00880868"/>
    <w:rsid w:val="00883617"/>
    <w:rsid w:val="008843DC"/>
    <w:rsid w:val="00890561"/>
    <w:rsid w:val="008916E9"/>
    <w:rsid w:val="008958EC"/>
    <w:rsid w:val="00895D3A"/>
    <w:rsid w:val="00896C88"/>
    <w:rsid w:val="00897965"/>
    <w:rsid w:val="008A1593"/>
    <w:rsid w:val="008A2D7A"/>
    <w:rsid w:val="008A4F64"/>
    <w:rsid w:val="008A542C"/>
    <w:rsid w:val="008A5B72"/>
    <w:rsid w:val="008A694B"/>
    <w:rsid w:val="008B16F8"/>
    <w:rsid w:val="008B3DD6"/>
    <w:rsid w:val="008B52D2"/>
    <w:rsid w:val="008B7DE8"/>
    <w:rsid w:val="008C24A4"/>
    <w:rsid w:val="008C28F9"/>
    <w:rsid w:val="008D0478"/>
    <w:rsid w:val="008D0EE0"/>
    <w:rsid w:val="008D19C4"/>
    <w:rsid w:val="008D2F44"/>
    <w:rsid w:val="008D3F19"/>
    <w:rsid w:val="008D49E7"/>
    <w:rsid w:val="008D5465"/>
    <w:rsid w:val="008D5C24"/>
    <w:rsid w:val="008E02E5"/>
    <w:rsid w:val="008E2BF0"/>
    <w:rsid w:val="008E625B"/>
    <w:rsid w:val="008E625C"/>
    <w:rsid w:val="008E7041"/>
    <w:rsid w:val="008F3521"/>
    <w:rsid w:val="008F5C49"/>
    <w:rsid w:val="00901F91"/>
    <w:rsid w:val="00902436"/>
    <w:rsid w:val="0090275A"/>
    <w:rsid w:val="00903255"/>
    <w:rsid w:val="00903439"/>
    <w:rsid w:val="009045D1"/>
    <w:rsid w:val="0090510A"/>
    <w:rsid w:val="00905E05"/>
    <w:rsid w:val="00910547"/>
    <w:rsid w:val="00910C11"/>
    <w:rsid w:val="00921138"/>
    <w:rsid w:val="00922B3C"/>
    <w:rsid w:val="00922FA9"/>
    <w:rsid w:val="0092436A"/>
    <w:rsid w:val="00924B35"/>
    <w:rsid w:val="00926917"/>
    <w:rsid w:val="00931470"/>
    <w:rsid w:val="00932377"/>
    <w:rsid w:val="00932AAD"/>
    <w:rsid w:val="009336AE"/>
    <w:rsid w:val="00933D99"/>
    <w:rsid w:val="009349C5"/>
    <w:rsid w:val="009368F6"/>
    <w:rsid w:val="00937BFE"/>
    <w:rsid w:val="0094189E"/>
    <w:rsid w:val="00942109"/>
    <w:rsid w:val="00942BEB"/>
    <w:rsid w:val="00943E18"/>
    <w:rsid w:val="00951AE6"/>
    <w:rsid w:val="00953922"/>
    <w:rsid w:val="00956D57"/>
    <w:rsid w:val="00960A2E"/>
    <w:rsid w:val="00961B32"/>
    <w:rsid w:val="009620C2"/>
    <w:rsid w:val="009640E9"/>
    <w:rsid w:val="00964CC3"/>
    <w:rsid w:val="00966D90"/>
    <w:rsid w:val="00967442"/>
    <w:rsid w:val="00970ABE"/>
    <w:rsid w:val="0097194C"/>
    <w:rsid w:val="00973968"/>
    <w:rsid w:val="00975630"/>
    <w:rsid w:val="00977688"/>
    <w:rsid w:val="00980848"/>
    <w:rsid w:val="00980E5B"/>
    <w:rsid w:val="00981DAC"/>
    <w:rsid w:val="00981ED2"/>
    <w:rsid w:val="009823E0"/>
    <w:rsid w:val="009825C8"/>
    <w:rsid w:val="00983A3C"/>
    <w:rsid w:val="00983A76"/>
    <w:rsid w:val="00983D01"/>
    <w:rsid w:val="00985004"/>
    <w:rsid w:val="009852A9"/>
    <w:rsid w:val="00985F06"/>
    <w:rsid w:val="0098615D"/>
    <w:rsid w:val="0098676E"/>
    <w:rsid w:val="00986F99"/>
    <w:rsid w:val="0098780C"/>
    <w:rsid w:val="00987E2F"/>
    <w:rsid w:val="00992002"/>
    <w:rsid w:val="00993130"/>
    <w:rsid w:val="009955EA"/>
    <w:rsid w:val="009B0C63"/>
    <w:rsid w:val="009B0E68"/>
    <w:rsid w:val="009B148F"/>
    <w:rsid w:val="009B3BCD"/>
    <w:rsid w:val="009B5004"/>
    <w:rsid w:val="009C1832"/>
    <w:rsid w:val="009C4ABE"/>
    <w:rsid w:val="009C4B59"/>
    <w:rsid w:val="009C4E9A"/>
    <w:rsid w:val="009C5121"/>
    <w:rsid w:val="009C764F"/>
    <w:rsid w:val="009C7B10"/>
    <w:rsid w:val="009D0328"/>
    <w:rsid w:val="009D041B"/>
    <w:rsid w:val="009D1079"/>
    <w:rsid w:val="009D1D59"/>
    <w:rsid w:val="009D1D66"/>
    <w:rsid w:val="009D4ADB"/>
    <w:rsid w:val="009D5582"/>
    <w:rsid w:val="009D5D75"/>
    <w:rsid w:val="009D6A85"/>
    <w:rsid w:val="009D710D"/>
    <w:rsid w:val="009D766C"/>
    <w:rsid w:val="009E0D76"/>
    <w:rsid w:val="009E0EB2"/>
    <w:rsid w:val="009E0F01"/>
    <w:rsid w:val="009E239B"/>
    <w:rsid w:val="009E4570"/>
    <w:rsid w:val="009E698F"/>
    <w:rsid w:val="009F1970"/>
    <w:rsid w:val="009F1EF5"/>
    <w:rsid w:val="009F2649"/>
    <w:rsid w:val="009F3AFF"/>
    <w:rsid w:val="009F4031"/>
    <w:rsid w:val="009F4195"/>
    <w:rsid w:val="009F4486"/>
    <w:rsid w:val="009F4D3D"/>
    <w:rsid w:val="009F6280"/>
    <w:rsid w:val="009F7C81"/>
    <w:rsid w:val="009F7CB4"/>
    <w:rsid w:val="00A011EC"/>
    <w:rsid w:val="00A016B3"/>
    <w:rsid w:val="00A036CC"/>
    <w:rsid w:val="00A079FF"/>
    <w:rsid w:val="00A07A0D"/>
    <w:rsid w:val="00A231E2"/>
    <w:rsid w:val="00A23493"/>
    <w:rsid w:val="00A23765"/>
    <w:rsid w:val="00A24CB9"/>
    <w:rsid w:val="00A24FD8"/>
    <w:rsid w:val="00A25627"/>
    <w:rsid w:val="00A25F68"/>
    <w:rsid w:val="00A26210"/>
    <w:rsid w:val="00A309B3"/>
    <w:rsid w:val="00A313B6"/>
    <w:rsid w:val="00A3190B"/>
    <w:rsid w:val="00A342BD"/>
    <w:rsid w:val="00A35E23"/>
    <w:rsid w:val="00A36532"/>
    <w:rsid w:val="00A40155"/>
    <w:rsid w:val="00A403BD"/>
    <w:rsid w:val="00A42FF5"/>
    <w:rsid w:val="00A43976"/>
    <w:rsid w:val="00A46106"/>
    <w:rsid w:val="00A52858"/>
    <w:rsid w:val="00A53D34"/>
    <w:rsid w:val="00A53E95"/>
    <w:rsid w:val="00A558E2"/>
    <w:rsid w:val="00A55BF2"/>
    <w:rsid w:val="00A56A87"/>
    <w:rsid w:val="00A6121F"/>
    <w:rsid w:val="00A61ADF"/>
    <w:rsid w:val="00A62411"/>
    <w:rsid w:val="00A64912"/>
    <w:rsid w:val="00A66CBD"/>
    <w:rsid w:val="00A672AC"/>
    <w:rsid w:val="00A7063B"/>
    <w:rsid w:val="00A70A74"/>
    <w:rsid w:val="00A716A3"/>
    <w:rsid w:val="00A72F14"/>
    <w:rsid w:val="00A7368C"/>
    <w:rsid w:val="00A74472"/>
    <w:rsid w:val="00A8070F"/>
    <w:rsid w:val="00A81C1F"/>
    <w:rsid w:val="00A82D2F"/>
    <w:rsid w:val="00A85AF0"/>
    <w:rsid w:val="00A90BF8"/>
    <w:rsid w:val="00A90D13"/>
    <w:rsid w:val="00A917D1"/>
    <w:rsid w:val="00A92813"/>
    <w:rsid w:val="00A93DF1"/>
    <w:rsid w:val="00A93ECF"/>
    <w:rsid w:val="00AA09B2"/>
    <w:rsid w:val="00AA44E5"/>
    <w:rsid w:val="00AA4C92"/>
    <w:rsid w:val="00AA4D3B"/>
    <w:rsid w:val="00AA70AC"/>
    <w:rsid w:val="00AA7EE5"/>
    <w:rsid w:val="00AB05F4"/>
    <w:rsid w:val="00AB6B0D"/>
    <w:rsid w:val="00AB736F"/>
    <w:rsid w:val="00AC10D3"/>
    <w:rsid w:val="00AC15AE"/>
    <w:rsid w:val="00AC38CD"/>
    <w:rsid w:val="00AD3C9E"/>
    <w:rsid w:val="00AD5641"/>
    <w:rsid w:val="00AD6A33"/>
    <w:rsid w:val="00AD6D98"/>
    <w:rsid w:val="00AE0A6F"/>
    <w:rsid w:val="00AE0E54"/>
    <w:rsid w:val="00AE2D05"/>
    <w:rsid w:val="00AE3B09"/>
    <w:rsid w:val="00AE3FEB"/>
    <w:rsid w:val="00AE4221"/>
    <w:rsid w:val="00AE48AD"/>
    <w:rsid w:val="00AE5104"/>
    <w:rsid w:val="00AE51E2"/>
    <w:rsid w:val="00AE59F7"/>
    <w:rsid w:val="00AE7BD7"/>
    <w:rsid w:val="00AF051E"/>
    <w:rsid w:val="00AF060A"/>
    <w:rsid w:val="00AF0CEB"/>
    <w:rsid w:val="00AF3CA8"/>
    <w:rsid w:val="00AF3CBA"/>
    <w:rsid w:val="00AF6158"/>
    <w:rsid w:val="00B0280E"/>
    <w:rsid w:val="00B03483"/>
    <w:rsid w:val="00B05E8E"/>
    <w:rsid w:val="00B062AA"/>
    <w:rsid w:val="00B065D7"/>
    <w:rsid w:val="00B06819"/>
    <w:rsid w:val="00B06D5A"/>
    <w:rsid w:val="00B12BAF"/>
    <w:rsid w:val="00B134AF"/>
    <w:rsid w:val="00B150AA"/>
    <w:rsid w:val="00B16297"/>
    <w:rsid w:val="00B2169D"/>
    <w:rsid w:val="00B22FEE"/>
    <w:rsid w:val="00B23531"/>
    <w:rsid w:val="00B2370B"/>
    <w:rsid w:val="00B24115"/>
    <w:rsid w:val="00B249CF"/>
    <w:rsid w:val="00B270EC"/>
    <w:rsid w:val="00B31AAE"/>
    <w:rsid w:val="00B33B3C"/>
    <w:rsid w:val="00B33E93"/>
    <w:rsid w:val="00B340B6"/>
    <w:rsid w:val="00B35E1B"/>
    <w:rsid w:val="00B367F4"/>
    <w:rsid w:val="00B419FA"/>
    <w:rsid w:val="00B41B70"/>
    <w:rsid w:val="00B42C34"/>
    <w:rsid w:val="00B433EB"/>
    <w:rsid w:val="00B45A4D"/>
    <w:rsid w:val="00B5026A"/>
    <w:rsid w:val="00B509BF"/>
    <w:rsid w:val="00B51D97"/>
    <w:rsid w:val="00B51E6A"/>
    <w:rsid w:val="00B52EB1"/>
    <w:rsid w:val="00B53A98"/>
    <w:rsid w:val="00B540F0"/>
    <w:rsid w:val="00B5491F"/>
    <w:rsid w:val="00B568D0"/>
    <w:rsid w:val="00B56AF6"/>
    <w:rsid w:val="00B608F3"/>
    <w:rsid w:val="00B61B67"/>
    <w:rsid w:val="00B62881"/>
    <w:rsid w:val="00B629F2"/>
    <w:rsid w:val="00B651AE"/>
    <w:rsid w:val="00B72001"/>
    <w:rsid w:val="00B8057F"/>
    <w:rsid w:val="00B81AB6"/>
    <w:rsid w:val="00B82357"/>
    <w:rsid w:val="00B83A1B"/>
    <w:rsid w:val="00B84A43"/>
    <w:rsid w:val="00B855BB"/>
    <w:rsid w:val="00B85E0E"/>
    <w:rsid w:val="00B8681D"/>
    <w:rsid w:val="00B87998"/>
    <w:rsid w:val="00B87D56"/>
    <w:rsid w:val="00B905E1"/>
    <w:rsid w:val="00B90D47"/>
    <w:rsid w:val="00B946AC"/>
    <w:rsid w:val="00B975C2"/>
    <w:rsid w:val="00BA3734"/>
    <w:rsid w:val="00BA4A33"/>
    <w:rsid w:val="00BA5525"/>
    <w:rsid w:val="00BA5BF8"/>
    <w:rsid w:val="00BA5D1A"/>
    <w:rsid w:val="00BA66EC"/>
    <w:rsid w:val="00BB0ADA"/>
    <w:rsid w:val="00BB0F1C"/>
    <w:rsid w:val="00BB44D0"/>
    <w:rsid w:val="00BB57C6"/>
    <w:rsid w:val="00BB6BE7"/>
    <w:rsid w:val="00BC0F8A"/>
    <w:rsid w:val="00BC112E"/>
    <w:rsid w:val="00BC1F7E"/>
    <w:rsid w:val="00BC29AA"/>
    <w:rsid w:val="00BC4B9B"/>
    <w:rsid w:val="00BD4442"/>
    <w:rsid w:val="00BD5667"/>
    <w:rsid w:val="00BD5689"/>
    <w:rsid w:val="00BD5E04"/>
    <w:rsid w:val="00BD6B2E"/>
    <w:rsid w:val="00BD7F10"/>
    <w:rsid w:val="00BE0CDE"/>
    <w:rsid w:val="00BE21BF"/>
    <w:rsid w:val="00BE3468"/>
    <w:rsid w:val="00BE5834"/>
    <w:rsid w:val="00BE719A"/>
    <w:rsid w:val="00BE720A"/>
    <w:rsid w:val="00BE7A49"/>
    <w:rsid w:val="00BF352A"/>
    <w:rsid w:val="00BF5A95"/>
    <w:rsid w:val="00BF5D7D"/>
    <w:rsid w:val="00BF6B19"/>
    <w:rsid w:val="00BF7ECF"/>
    <w:rsid w:val="00BF7F1D"/>
    <w:rsid w:val="00C008A5"/>
    <w:rsid w:val="00C01367"/>
    <w:rsid w:val="00C05002"/>
    <w:rsid w:val="00C07005"/>
    <w:rsid w:val="00C10DCA"/>
    <w:rsid w:val="00C10E84"/>
    <w:rsid w:val="00C113D4"/>
    <w:rsid w:val="00C20A59"/>
    <w:rsid w:val="00C21D5E"/>
    <w:rsid w:val="00C25255"/>
    <w:rsid w:val="00C255AB"/>
    <w:rsid w:val="00C256D0"/>
    <w:rsid w:val="00C4041E"/>
    <w:rsid w:val="00C40A26"/>
    <w:rsid w:val="00C416CF"/>
    <w:rsid w:val="00C42BF8"/>
    <w:rsid w:val="00C436DD"/>
    <w:rsid w:val="00C45921"/>
    <w:rsid w:val="00C50043"/>
    <w:rsid w:val="00C50DF6"/>
    <w:rsid w:val="00C51DEA"/>
    <w:rsid w:val="00C52F54"/>
    <w:rsid w:val="00C55AA7"/>
    <w:rsid w:val="00C57283"/>
    <w:rsid w:val="00C5756F"/>
    <w:rsid w:val="00C63682"/>
    <w:rsid w:val="00C63E1A"/>
    <w:rsid w:val="00C645A7"/>
    <w:rsid w:val="00C719D4"/>
    <w:rsid w:val="00C7331E"/>
    <w:rsid w:val="00C74981"/>
    <w:rsid w:val="00C75653"/>
    <w:rsid w:val="00C7573B"/>
    <w:rsid w:val="00C817CB"/>
    <w:rsid w:val="00C81F56"/>
    <w:rsid w:val="00C820BC"/>
    <w:rsid w:val="00C83C98"/>
    <w:rsid w:val="00C85382"/>
    <w:rsid w:val="00C86211"/>
    <w:rsid w:val="00C8628E"/>
    <w:rsid w:val="00C900A4"/>
    <w:rsid w:val="00C918EB"/>
    <w:rsid w:val="00C94B68"/>
    <w:rsid w:val="00C94E18"/>
    <w:rsid w:val="00C96A76"/>
    <w:rsid w:val="00C96F3A"/>
    <w:rsid w:val="00CA1271"/>
    <w:rsid w:val="00CA6D49"/>
    <w:rsid w:val="00CA750C"/>
    <w:rsid w:val="00CB1C34"/>
    <w:rsid w:val="00CB23DE"/>
    <w:rsid w:val="00CB3462"/>
    <w:rsid w:val="00CB413E"/>
    <w:rsid w:val="00CB5E99"/>
    <w:rsid w:val="00CB6E75"/>
    <w:rsid w:val="00CB7873"/>
    <w:rsid w:val="00CC1DE9"/>
    <w:rsid w:val="00CC4DA0"/>
    <w:rsid w:val="00CC74AB"/>
    <w:rsid w:val="00CC74EA"/>
    <w:rsid w:val="00CD26EE"/>
    <w:rsid w:val="00CD39AF"/>
    <w:rsid w:val="00CD56AC"/>
    <w:rsid w:val="00CE0E28"/>
    <w:rsid w:val="00CE1B47"/>
    <w:rsid w:val="00CE1C8E"/>
    <w:rsid w:val="00CE7423"/>
    <w:rsid w:val="00CF0B6F"/>
    <w:rsid w:val="00CF0BB2"/>
    <w:rsid w:val="00CF15EB"/>
    <w:rsid w:val="00CF2903"/>
    <w:rsid w:val="00CF3A50"/>
    <w:rsid w:val="00CF4975"/>
    <w:rsid w:val="00CF5329"/>
    <w:rsid w:val="00CF5681"/>
    <w:rsid w:val="00CF68EE"/>
    <w:rsid w:val="00CF692A"/>
    <w:rsid w:val="00CF6F87"/>
    <w:rsid w:val="00CF732F"/>
    <w:rsid w:val="00D017F8"/>
    <w:rsid w:val="00D029F8"/>
    <w:rsid w:val="00D05F20"/>
    <w:rsid w:val="00D06750"/>
    <w:rsid w:val="00D0693D"/>
    <w:rsid w:val="00D07BE7"/>
    <w:rsid w:val="00D07E0E"/>
    <w:rsid w:val="00D124DD"/>
    <w:rsid w:val="00D12E78"/>
    <w:rsid w:val="00D13441"/>
    <w:rsid w:val="00D14DF8"/>
    <w:rsid w:val="00D20162"/>
    <w:rsid w:val="00D207D6"/>
    <w:rsid w:val="00D20960"/>
    <w:rsid w:val="00D2365B"/>
    <w:rsid w:val="00D2414C"/>
    <w:rsid w:val="00D24F94"/>
    <w:rsid w:val="00D25E8F"/>
    <w:rsid w:val="00D273D3"/>
    <w:rsid w:val="00D276F3"/>
    <w:rsid w:val="00D27E51"/>
    <w:rsid w:val="00D3213F"/>
    <w:rsid w:val="00D33D3B"/>
    <w:rsid w:val="00D3403D"/>
    <w:rsid w:val="00D34CA4"/>
    <w:rsid w:val="00D3535F"/>
    <w:rsid w:val="00D37924"/>
    <w:rsid w:val="00D4229D"/>
    <w:rsid w:val="00D42779"/>
    <w:rsid w:val="00D43998"/>
    <w:rsid w:val="00D44085"/>
    <w:rsid w:val="00D45A43"/>
    <w:rsid w:val="00D463AB"/>
    <w:rsid w:val="00D47BCB"/>
    <w:rsid w:val="00D50CD6"/>
    <w:rsid w:val="00D544C0"/>
    <w:rsid w:val="00D5546F"/>
    <w:rsid w:val="00D5611C"/>
    <w:rsid w:val="00D575B9"/>
    <w:rsid w:val="00D6052E"/>
    <w:rsid w:val="00D627C6"/>
    <w:rsid w:val="00D638C3"/>
    <w:rsid w:val="00D644A9"/>
    <w:rsid w:val="00D705F5"/>
    <w:rsid w:val="00D70DFB"/>
    <w:rsid w:val="00D7417F"/>
    <w:rsid w:val="00D7536C"/>
    <w:rsid w:val="00D756B4"/>
    <w:rsid w:val="00D76023"/>
    <w:rsid w:val="00D766DF"/>
    <w:rsid w:val="00D77EDE"/>
    <w:rsid w:val="00D82F9B"/>
    <w:rsid w:val="00D917F4"/>
    <w:rsid w:val="00D9318E"/>
    <w:rsid w:val="00D944A5"/>
    <w:rsid w:val="00D94764"/>
    <w:rsid w:val="00D9675F"/>
    <w:rsid w:val="00D97F0E"/>
    <w:rsid w:val="00DA1262"/>
    <w:rsid w:val="00DA136C"/>
    <w:rsid w:val="00DA1822"/>
    <w:rsid w:val="00DA2E74"/>
    <w:rsid w:val="00DA3F87"/>
    <w:rsid w:val="00DA61D8"/>
    <w:rsid w:val="00DA64C7"/>
    <w:rsid w:val="00DA7A88"/>
    <w:rsid w:val="00DB154A"/>
    <w:rsid w:val="00DB1B86"/>
    <w:rsid w:val="00DB26E9"/>
    <w:rsid w:val="00DB314B"/>
    <w:rsid w:val="00DB3D95"/>
    <w:rsid w:val="00DB7FC9"/>
    <w:rsid w:val="00DC0AAF"/>
    <w:rsid w:val="00DC3434"/>
    <w:rsid w:val="00DC4829"/>
    <w:rsid w:val="00DD4A13"/>
    <w:rsid w:val="00DD622B"/>
    <w:rsid w:val="00DE0BE7"/>
    <w:rsid w:val="00DE0C7F"/>
    <w:rsid w:val="00DE184D"/>
    <w:rsid w:val="00DE35C5"/>
    <w:rsid w:val="00DE3DDF"/>
    <w:rsid w:val="00DE5E63"/>
    <w:rsid w:val="00DE65D7"/>
    <w:rsid w:val="00DF06F8"/>
    <w:rsid w:val="00DF09AC"/>
    <w:rsid w:val="00DF35CF"/>
    <w:rsid w:val="00DF4689"/>
    <w:rsid w:val="00E053A0"/>
    <w:rsid w:val="00E05704"/>
    <w:rsid w:val="00E140B9"/>
    <w:rsid w:val="00E1425E"/>
    <w:rsid w:val="00E20020"/>
    <w:rsid w:val="00E20409"/>
    <w:rsid w:val="00E2061D"/>
    <w:rsid w:val="00E20D9B"/>
    <w:rsid w:val="00E24BF1"/>
    <w:rsid w:val="00E251EE"/>
    <w:rsid w:val="00E263CD"/>
    <w:rsid w:val="00E3184D"/>
    <w:rsid w:val="00E4146C"/>
    <w:rsid w:val="00E42CF0"/>
    <w:rsid w:val="00E46646"/>
    <w:rsid w:val="00E51577"/>
    <w:rsid w:val="00E51A45"/>
    <w:rsid w:val="00E54702"/>
    <w:rsid w:val="00E5494B"/>
    <w:rsid w:val="00E564D9"/>
    <w:rsid w:val="00E61680"/>
    <w:rsid w:val="00E62E71"/>
    <w:rsid w:val="00E71E58"/>
    <w:rsid w:val="00E747D3"/>
    <w:rsid w:val="00E74DC7"/>
    <w:rsid w:val="00E775F6"/>
    <w:rsid w:val="00E77FDE"/>
    <w:rsid w:val="00E80468"/>
    <w:rsid w:val="00E80576"/>
    <w:rsid w:val="00E80B2E"/>
    <w:rsid w:val="00E810DD"/>
    <w:rsid w:val="00E817F0"/>
    <w:rsid w:val="00E8410B"/>
    <w:rsid w:val="00E84C83"/>
    <w:rsid w:val="00E873FE"/>
    <w:rsid w:val="00E90DDF"/>
    <w:rsid w:val="00E9136A"/>
    <w:rsid w:val="00E9274A"/>
    <w:rsid w:val="00E9409E"/>
    <w:rsid w:val="00E960F4"/>
    <w:rsid w:val="00E9659D"/>
    <w:rsid w:val="00E970C5"/>
    <w:rsid w:val="00E9740C"/>
    <w:rsid w:val="00E97949"/>
    <w:rsid w:val="00EA03FC"/>
    <w:rsid w:val="00EA1D72"/>
    <w:rsid w:val="00EA25AA"/>
    <w:rsid w:val="00EA4DE3"/>
    <w:rsid w:val="00EA55E6"/>
    <w:rsid w:val="00EB14E7"/>
    <w:rsid w:val="00EB2CF6"/>
    <w:rsid w:val="00EB4516"/>
    <w:rsid w:val="00EB6A3A"/>
    <w:rsid w:val="00EC47FB"/>
    <w:rsid w:val="00EC5026"/>
    <w:rsid w:val="00EC5B80"/>
    <w:rsid w:val="00EC62AD"/>
    <w:rsid w:val="00EC6AAA"/>
    <w:rsid w:val="00EC7D26"/>
    <w:rsid w:val="00ED0B88"/>
    <w:rsid w:val="00ED1A6C"/>
    <w:rsid w:val="00ED2124"/>
    <w:rsid w:val="00ED2966"/>
    <w:rsid w:val="00ED7F32"/>
    <w:rsid w:val="00EF0325"/>
    <w:rsid w:val="00EF203E"/>
    <w:rsid w:val="00EF2E3A"/>
    <w:rsid w:val="00EF4284"/>
    <w:rsid w:val="00F014FA"/>
    <w:rsid w:val="00F02C49"/>
    <w:rsid w:val="00F05991"/>
    <w:rsid w:val="00F05AA0"/>
    <w:rsid w:val="00F078DC"/>
    <w:rsid w:val="00F11636"/>
    <w:rsid w:val="00F12DC3"/>
    <w:rsid w:val="00F14024"/>
    <w:rsid w:val="00F144DD"/>
    <w:rsid w:val="00F15F15"/>
    <w:rsid w:val="00F16E07"/>
    <w:rsid w:val="00F1779C"/>
    <w:rsid w:val="00F200D1"/>
    <w:rsid w:val="00F222B0"/>
    <w:rsid w:val="00F23BE1"/>
    <w:rsid w:val="00F24971"/>
    <w:rsid w:val="00F24D00"/>
    <w:rsid w:val="00F27D13"/>
    <w:rsid w:val="00F327A1"/>
    <w:rsid w:val="00F32B07"/>
    <w:rsid w:val="00F336B7"/>
    <w:rsid w:val="00F33EEB"/>
    <w:rsid w:val="00F36658"/>
    <w:rsid w:val="00F409E1"/>
    <w:rsid w:val="00F40FC3"/>
    <w:rsid w:val="00F414CE"/>
    <w:rsid w:val="00F4492B"/>
    <w:rsid w:val="00F46888"/>
    <w:rsid w:val="00F479CD"/>
    <w:rsid w:val="00F5076A"/>
    <w:rsid w:val="00F51D2A"/>
    <w:rsid w:val="00F52DBA"/>
    <w:rsid w:val="00F53B23"/>
    <w:rsid w:val="00F54F0D"/>
    <w:rsid w:val="00F5544E"/>
    <w:rsid w:val="00F56B1D"/>
    <w:rsid w:val="00F57E50"/>
    <w:rsid w:val="00F6315C"/>
    <w:rsid w:val="00F66A8C"/>
    <w:rsid w:val="00F712C5"/>
    <w:rsid w:val="00F71741"/>
    <w:rsid w:val="00F71985"/>
    <w:rsid w:val="00F7216F"/>
    <w:rsid w:val="00F730AA"/>
    <w:rsid w:val="00F730E8"/>
    <w:rsid w:val="00F7499C"/>
    <w:rsid w:val="00F74DDA"/>
    <w:rsid w:val="00F777CB"/>
    <w:rsid w:val="00F77A68"/>
    <w:rsid w:val="00F80398"/>
    <w:rsid w:val="00F81C19"/>
    <w:rsid w:val="00F829DE"/>
    <w:rsid w:val="00F83610"/>
    <w:rsid w:val="00F8364B"/>
    <w:rsid w:val="00F85793"/>
    <w:rsid w:val="00F86112"/>
    <w:rsid w:val="00F8648C"/>
    <w:rsid w:val="00F918E9"/>
    <w:rsid w:val="00F93AE7"/>
    <w:rsid w:val="00F93B56"/>
    <w:rsid w:val="00F958E6"/>
    <w:rsid w:val="00F9654E"/>
    <w:rsid w:val="00F96EDD"/>
    <w:rsid w:val="00F97545"/>
    <w:rsid w:val="00FA1480"/>
    <w:rsid w:val="00FA218D"/>
    <w:rsid w:val="00FA3991"/>
    <w:rsid w:val="00FA783E"/>
    <w:rsid w:val="00FA7D95"/>
    <w:rsid w:val="00FB033C"/>
    <w:rsid w:val="00FB0507"/>
    <w:rsid w:val="00FB0EA2"/>
    <w:rsid w:val="00FB4406"/>
    <w:rsid w:val="00FB4699"/>
    <w:rsid w:val="00FB5D56"/>
    <w:rsid w:val="00FC0979"/>
    <w:rsid w:val="00FC2C6C"/>
    <w:rsid w:val="00FC2E4B"/>
    <w:rsid w:val="00FC3044"/>
    <w:rsid w:val="00FC399B"/>
    <w:rsid w:val="00FC53EA"/>
    <w:rsid w:val="00FC7021"/>
    <w:rsid w:val="00FC79D3"/>
    <w:rsid w:val="00FD072A"/>
    <w:rsid w:val="00FD1D15"/>
    <w:rsid w:val="00FD3041"/>
    <w:rsid w:val="00FD43CB"/>
    <w:rsid w:val="00FD6E56"/>
    <w:rsid w:val="00FE1018"/>
    <w:rsid w:val="00FE144F"/>
    <w:rsid w:val="00FE1DDC"/>
    <w:rsid w:val="00FE3153"/>
    <w:rsid w:val="00FE6B37"/>
    <w:rsid w:val="00FF4AFF"/>
    <w:rsid w:val="00FF4F9E"/>
    <w:rsid w:val="00FF62E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D120E79"/>
  <w15:docId w15:val="{5FB83850-7391-44EB-B52F-986456F5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D709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09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09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09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09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09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709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709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709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709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7098"/>
  </w:style>
  <w:style w:type="paragraph" w:customStyle="1" w:styleId="OPCParaBase">
    <w:name w:val="OPCParaBase"/>
    <w:qFormat/>
    <w:rsid w:val="006D709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709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709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6D709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709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709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D709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709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709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709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709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7098"/>
  </w:style>
  <w:style w:type="paragraph" w:customStyle="1" w:styleId="Blocks">
    <w:name w:val="Blocks"/>
    <w:aliases w:val="bb"/>
    <w:basedOn w:val="OPCParaBase"/>
    <w:qFormat/>
    <w:rsid w:val="006D709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709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7098"/>
    <w:rPr>
      <w:i/>
    </w:rPr>
  </w:style>
  <w:style w:type="paragraph" w:customStyle="1" w:styleId="BoxList">
    <w:name w:val="BoxList"/>
    <w:aliases w:val="bl"/>
    <w:basedOn w:val="BoxText"/>
    <w:qFormat/>
    <w:rsid w:val="006D709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709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709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7098"/>
    <w:pPr>
      <w:ind w:left="1985" w:hanging="851"/>
    </w:pPr>
  </w:style>
  <w:style w:type="character" w:customStyle="1" w:styleId="CharAmPartNo">
    <w:name w:val="CharAmPartNo"/>
    <w:basedOn w:val="OPCCharBase"/>
    <w:qFormat/>
    <w:rsid w:val="006D7098"/>
  </w:style>
  <w:style w:type="character" w:customStyle="1" w:styleId="CharAmPartText">
    <w:name w:val="CharAmPartText"/>
    <w:basedOn w:val="OPCCharBase"/>
    <w:qFormat/>
    <w:rsid w:val="006D7098"/>
  </w:style>
  <w:style w:type="character" w:customStyle="1" w:styleId="CharAmSchNo">
    <w:name w:val="CharAmSchNo"/>
    <w:basedOn w:val="OPCCharBase"/>
    <w:qFormat/>
    <w:rsid w:val="006D7098"/>
  </w:style>
  <w:style w:type="character" w:customStyle="1" w:styleId="CharAmSchText">
    <w:name w:val="CharAmSchText"/>
    <w:basedOn w:val="OPCCharBase"/>
    <w:qFormat/>
    <w:rsid w:val="006D7098"/>
  </w:style>
  <w:style w:type="character" w:customStyle="1" w:styleId="CharBoldItalic">
    <w:name w:val="CharBoldItalic"/>
    <w:basedOn w:val="OPCCharBase"/>
    <w:uiPriority w:val="1"/>
    <w:qFormat/>
    <w:rsid w:val="006D709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7098"/>
  </w:style>
  <w:style w:type="character" w:customStyle="1" w:styleId="CharChapText">
    <w:name w:val="CharChapText"/>
    <w:basedOn w:val="OPCCharBase"/>
    <w:uiPriority w:val="1"/>
    <w:qFormat/>
    <w:rsid w:val="006D7098"/>
  </w:style>
  <w:style w:type="character" w:customStyle="1" w:styleId="CharDivNo">
    <w:name w:val="CharDivNo"/>
    <w:basedOn w:val="OPCCharBase"/>
    <w:uiPriority w:val="1"/>
    <w:qFormat/>
    <w:rsid w:val="006D7098"/>
  </w:style>
  <w:style w:type="character" w:customStyle="1" w:styleId="CharDivText">
    <w:name w:val="CharDivText"/>
    <w:basedOn w:val="OPCCharBase"/>
    <w:uiPriority w:val="1"/>
    <w:qFormat/>
    <w:rsid w:val="006D7098"/>
  </w:style>
  <w:style w:type="character" w:customStyle="1" w:styleId="CharItalic">
    <w:name w:val="CharItalic"/>
    <w:basedOn w:val="OPCCharBase"/>
    <w:uiPriority w:val="1"/>
    <w:qFormat/>
    <w:rsid w:val="006D7098"/>
    <w:rPr>
      <w:i/>
    </w:rPr>
  </w:style>
  <w:style w:type="character" w:customStyle="1" w:styleId="CharPartNo">
    <w:name w:val="CharPartNo"/>
    <w:basedOn w:val="OPCCharBase"/>
    <w:uiPriority w:val="1"/>
    <w:qFormat/>
    <w:rsid w:val="006D7098"/>
  </w:style>
  <w:style w:type="character" w:customStyle="1" w:styleId="CharPartText">
    <w:name w:val="CharPartText"/>
    <w:basedOn w:val="OPCCharBase"/>
    <w:uiPriority w:val="1"/>
    <w:qFormat/>
    <w:rsid w:val="006D7098"/>
  </w:style>
  <w:style w:type="character" w:customStyle="1" w:styleId="CharSectno">
    <w:name w:val="CharSectno"/>
    <w:basedOn w:val="OPCCharBase"/>
    <w:qFormat/>
    <w:rsid w:val="006D7098"/>
  </w:style>
  <w:style w:type="character" w:customStyle="1" w:styleId="CharSubdNo">
    <w:name w:val="CharSubdNo"/>
    <w:basedOn w:val="OPCCharBase"/>
    <w:uiPriority w:val="1"/>
    <w:qFormat/>
    <w:rsid w:val="006D7098"/>
  </w:style>
  <w:style w:type="character" w:customStyle="1" w:styleId="CharSubdText">
    <w:name w:val="CharSubdText"/>
    <w:basedOn w:val="OPCCharBase"/>
    <w:uiPriority w:val="1"/>
    <w:qFormat/>
    <w:rsid w:val="006D7098"/>
  </w:style>
  <w:style w:type="paragraph" w:customStyle="1" w:styleId="CTA--">
    <w:name w:val="CTA --"/>
    <w:basedOn w:val="OPCParaBase"/>
    <w:next w:val="Normal"/>
    <w:rsid w:val="006D709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709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709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709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709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709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709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709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709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709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709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709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709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709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709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709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709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709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709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709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709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709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70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709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709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709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709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709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709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709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709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709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D709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709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709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709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709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709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709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709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709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709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709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709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709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709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709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6D709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709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709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709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D709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D709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D709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D709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D709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D709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D709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D709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D709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D709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709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709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709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709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709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709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709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D7098"/>
    <w:rPr>
      <w:sz w:val="16"/>
    </w:rPr>
  </w:style>
  <w:style w:type="table" w:customStyle="1" w:styleId="CFlag">
    <w:name w:val="CFlag"/>
    <w:basedOn w:val="TableNormal"/>
    <w:uiPriority w:val="99"/>
    <w:rsid w:val="006D7098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6D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6D7098"/>
    <w:pPr>
      <w:spacing w:before="120"/>
    </w:pPr>
  </w:style>
  <w:style w:type="paragraph" w:customStyle="1" w:styleId="CompiledActNo">
    <w:name w:val="CompiledActNo"/>
    <w:basedOn w:val="OPCParaBase"/>
    <w:next w:val="Normal"/>
    <w:rsid w:val="006D709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709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709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709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709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709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709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D709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D709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709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709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709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709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709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709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709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709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7098"/>
  </w:style>
  <w:style w:type="character" w:customStyle="1" w:styleId="CharSubPartNoCASA">
    <w:name w:val="CharSubPartNo(CASA)"/>
    <w:basedOn w:val="OPCCharBase"/>
    <w:uiPriority w:val="1"/>
    <w:rsid w:val="006D7098"/>
  </w:style>
  <w:style w:type="paragraph" w:customStyle="1" w:styleId="ENoteTTIndentHeadingSub">
    <w:name w:val="ENoteTTIndentHeadingSub"/>
    <w:aliases w:val="enTTHis"/>
    <w:basedOn w:val="OPCParaBase"/>
    <w:rsid w:val="006D709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709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709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709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709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D709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7098"/>
    <w:rPr>
      <w:sz w:val="22"/>
    </w:rPr>
  </w:style>
  <w:style w:type="paragraph" w:customStyle="1" w:styleId="SOTextNote">
    <w:name w:val="SO TextNote"/>
    <w:aliases w:val="sont"/>
    <w:basedOn w:val="SOText"/>
    <w:qFormat/>
    <w:rsid w:val="006D709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709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7098"/>
    <w:rPr>
      <w:sz w:val="22"/>
    </w:rPr>
  </w:style>
  <w:style w:type="paragraph" w:customStyle="1" w:styleId="FileName">
    <w:name w:val="FileName"/>
    <w:basedOn w:val="Normal"/>
    <w:rsid w:val="006D7098"/>
  </w:style>
  <w:style w:type="paragraph" w:customStyle="1" w:styleId="TableHeading">
    <w:name w:val="TableHeading"/>
    <w:aliases w:val="th"/>
    <w:basedOn w:val="OPCParaBase"/>
    <w:next w:val="Tabletext"/>
    <w:link w:val="TableHeadingChar"/>
    <w:rsid w:val="006D709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70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709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709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709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709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709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70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709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70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709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709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7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7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0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7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70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70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70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70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D70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6D7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7098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6D709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D709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709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709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709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7098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D70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D7098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6D709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D7098"/>
    <w:pPr>
      <w:ind w:left="240" w:hanging="240"/>
    </w:pPr>
  </w:style>
  <w:style w:type="paragraph" w:styleId="Index2">
    <w:name w:val="index 2"/>
    <w:basedOn w:val="Normal"/>
    <w:next w:val="Normal"/>
    <w:autoRedefine/>
    <w:rsid w:val="006D7098"/>
    <w:pPr>
      <w:ind w:left="480" w:hanging="240"/>
    </w:pPr>
  </w:style>
  <w:style w:type="paragraph" w:styleId="Index3">
    <w:name w:val="index 3"/>
    <w:basedOn w:val="Normal"/>
    <w:next w:val="Normal"/>
    <w:autoRedefine/>
    <w:rsid w:val="006D7098"/>
    <w:pPr>
      <w:ind w:left="720" w:hanging="240"/>
    </w:pPr>
  </w:style>
  <w:style w:type="paragraph" w:styleId="Index4">
    <w:name w:val="index 4"/>
    <w:basedOn w:val="Normal"/>
    <w:next w:val="Normal"/>
    <w:autoRedefine/>
    <w:rsid w:val="006D7098"/>
    <w:pPr>
      <w:ind w:left="960" w:hanging="240"/>
    </w:pPr>
  </w:style>
  <w:style w:type="paragraph" w:styleId="Index5">
    <w:name w:val="index 5"/>
    <w:basedOn w:val="Normal"/>
    <w:next w:val="Normal"/>
    <w:autoRedefine/>
    <w:rsid w:val="006D7098"/>
    <w:pPr>
      <w:ind w:left="1200" w:hanging="240"/>
    </w:pPr>
  </w:style>
  <w:style w:type="paragraph" w:styleId="Index6">
    <w:name w:val="index 6"/>
    <w:basedOn w:val="Normal"/>
    <w:next w:val="Normal"/>
    <w:autoRedefine/>
    <w:rsid w:val="006D7098"/>
    <w:pPr>
      <w:ind w:left="1440" w:hanging="240"/>
    </w:pPr>
  </w:style>
  <w:style w:type="paragraph" w:styleId="Index7">
    <w:name w:val="index 7"/>
    <w:basedOn w:val="Normal"/>
    <w:next w:val="Normal"/>
    <w:autoRedefine/>
    <w:rsid w:val="006D7098"/>
    <w:pPr>
      <w:ind w:left="1680" w:hanging="240"/>
    </w:pPr>
  </w:style>
  <w:style w:type="paragraph" w:styleId="Index8">
    <w:name w:val="index 8"/>
    <w:basedOn w:val="Normal"/>
    <w:next w:val="Normal"/>
    <w:autoRedefine/>
    <w:rsid w:val="006D7098"/>
    <w:pPr>
      <w:ind w:left="1920" w:hanging="240"/>
    </w:pPr>
  </w:style>
  <w:style w:type="paragraph" w:styleId="Index9">
    <w:name w:val="index 9"/>
    <w:basedOn w:val="Normal"/>
    <w:next w:val="Normal"/>
    <w:autoRedefine/>
    <w:rsid w:val="006D7098"/>
    <w:pPr>
      <w:ind w:left="2160" w:hanging="240"/>
    </w:pPr>
  </w:style>
  <w:style w:type="paragraph" w:styleId="NormalIndent">
    <w:name w:val="Normal Indent"/>
    <w:basedOn w:val="Normal"/>
    <w:rsid w:val="006D7098"/>
    <w:pPr>
      <w:ind w:left="720"/>
    </w:pPr>
  </w:style>
  <w:style w:type="paragraph" w:styleId="FootnoteText">
    <w:name w:val="footnote text"/>
    <w:basedOn w:val="Normal"/>
    <w:link w:val="FootnoteTextChar"/>
    <w:rsid w:val="006D709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D7098"/>
  </w:style>
  <w:style w:type="paragraph" w:styleId="CommentText">
    <w:name w:val="annotation text"/>
    <w:basedOn w:val="Normal"/>
    <w:link w:val="CommentTextChar"/>
    <w:rsid w:val="006D70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7098"/>
  </w:style>
  <w:style w:type="paragraph" w:styleId="IndexHeading">
    <w:name w:val="index heading"/>
    <w:basedOn w:val="Normal"/>
    <w:next w:val="Index1"/>
    <w:rsid w:val="006D709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D709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D7098"/>
    <w:pPr>
      <w:ind w:left="480" w:hanging="480"/>
    </w:pPr>
  </w:style>
  <w:style w:type="paragraph" w:styleId="EnvelopeAddress">
    <w:name w:val="envelope address"/>
    <w:basedOn w:val="Normal"/>
    <w:rsid w:val="006D709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D709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D709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D7098"/>
    <w:rPr>
      <w:sz w:val="16"/>
      <w:szCs w:val="16"/>
    </w:rPr>
  </w:style>
  <w:style w:type="character" w:styleId="PageNumber">
    <w:name w:val="page number"/>
    <w:basedOn w:val="DefaultParagraphFont"/>
    <w:rsid w:val="006D7098"/>
  </w:style>
  <w:style w:type="character" w:styleId="EndnoteReference">
    <w:name w:val="endnote reference"/>
    <w:basedOn w:val="DefaultParagraphFont"/>
    <w:rsid w:val="006D7098"/>
    <w:rPr>
      <w:vertAlign w:val="superscript"/>
    </w:rPr>
  </w:style>
  <w:style w:type="paragraph" w:styleId="EndnoteText">
    <w:name w:val="endnote text"/>
    <w:basedOn w:val="Normal"/>
    <w:link w:val="EndnoteTextChar"/>
    <w:rsid w:val="006D709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D7098"/>
  </w:style>
  <w:style w:type="paragraph" w:styleId="TableofAuthorities">
    <w:name w:val="table of authorities"/>
    <w:basedOn w:val="Normal"/>
    <w:next w:val="Normal"/>
    <w:rsid w:val="006D7098"/>
    <w:pPr>
      <w:ind w:left="240" w:hanging="240"/>
    </w:pPr>
  </w:style>
  <w:style w:type="paragraph" w:styleId="MacroText">
    <w:name w:val="macro"/>
    <w:link w:val="MacroTextChar"/>
    <w:rsid w:val="006D70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D709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D709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D7098"/>
    <w:pPr>
      <w:ind w:left="283" w:hanging="283"/>
    </w:pPr>
  </w:style>
  <w:style w:type="paragraph" w:styleId="ListBullet">
    <w:name w:val="List Bullet"/>
    <w:basedOn w:val="Normal"/>
    <w:autoRedefine/>
    <w:rsid w:val="006D709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D709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D7098"/>
    <w:pPr>
      <w:ind w:left="566" w:hanging="283"/>
    </w:pPr>
  </w:style>
  <w:style w:type="paragraph" w:styleId="List3">
    <w:name w:val="List 3"/>
    <w:basedOn w:val="Normal"/>
    <w:rsid w:val="006D7098"/>
    <w:pPr>
      <w:ind w:left="849" w:hanging="283"/>
    </w:pPr>
  </w:style>
  <w:style w:type="paragraph" w:styleId="List4">
    <w:name w:val="List 4"/>
    <w:basedOn w:val="Normal"/>
    <w:rsid w:val="006D7098"/>
    <w:pPr>
      <w:ind w:left="1132" w:hanging="283"/>
    </w:pPr>
  </w:style>
  <w:style w:type="paragraph" w:styleId="List5">
    <w:name w:val="List 5"/>
    <w:basedOn w:val="Normal"/>
    <w:rsid w:val="006D7098"/>
    <w:pPr>
      <w:ind w:left="1415" w:hanging="283"/>
    </w:pPr>
  </w:style>
  <w:style w:type="paragraph" w:styleId="ListBullet2">
    <w:name w:val="List Bullet 2"/>
    <w:basedOn w:val="Normal"/>
    <w:autoRedefine/>
    <w:rsid w:val="006D709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D709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D709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D709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D709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D709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D709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D709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D709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D709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D7098"/>
    <w:pPr>
      <w:ind w:left="4252"/>
    </w:pPr>
  </w:style>
  <w:style w:type="character" w:customStyle="1" w:styleId="ClosingChar">
    <w:name w:val="Closing Char"/>
    <w:basedOn w:val="DefaultParagraphFont"/>
    <w:link w:val="Closing"/>
    <w:rsid w:val="006D7098"/>
    <w:rPr>
      <w:sz w:val="22"/>
    </w:rPr>
  </w:style>
  <w:style w:type="paragraph" w:styleId="Signature">
    <w:name w:val="Signature"/>
    <w:basedOn w:val="Normal"/>
    <w:link w:val="SignatureChar"/>
    <w:rsid w:val="006D709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D7098"/>
    <w:rPr>
      <w:sz w:val="22"/>
    </w:rPr>
  </w:style>
  <w:style w:type="paragraph" w:styleId="BodyText">
    <w:name w:val="Body Text"/>
    <w:basedOn w:val="Normal"/>
    <w:link w:val="BodyTextChar"/>
    <w:rsid w:val="006D70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7098"/>
    <w:rPr>
      <w:sz w:val="22"/>
    </w:rPr>
  </w:style>
  <w:style w:type="paragraph" w:styleId="BodyTextIndent">
    <w:name w:val="Body Text Indent"/>
    <w:basedOn w:val="Normal"/>
    <w:link w:val="BodyTextIndentChar"/>
    <w:rsid w:val="006D70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7098"/>
    <w:rPr>
      <w:sz w:val="22"/>
    </w:rPr>
  </w:style>
  <w:style w:type="paragraph" w:styleId="ListContinue">
    <w:name w:val="List Continue"/>
    <w:basedOn w:val="Normal"/>
    <w:rsid w:val="006D7098"/>
    <w:pPr>
      <w:spacing w:after="120"/>
      <w:ind w:left="283"/>
    </w:pPr>
  </w:style>
  <w:style w:type="paragraph" w:styleId="ListContinue2">
    <w:name w:val="List Continue 2"/>
    <w:basedOn w:val="Normal"/>
    <w:rsid w:val="006D7098"/>
    <w:pPr>
      <w:spacing w:after="120"/>
      <w:ind w:left="566"/>
    </w:pPr>
  </w:style>
  <w:style w:type="paragraph" w:styleId="ListContinue3">
    <w:name w:val="List Continue 3"/>
    <w:basedOn w:val="Normal"/>
    <w:rsid w:val="006D7098"/>
    <w:pPr>
      <w:spacing w:after="120"/>
      <w:ind w:left="849"/>
    </w:pPr>
  </w:style>
  <w:style w:type="paragraph" w:styleId="ListContinue4">
    <w:name w:val="List Continue 4"/>
    <w:basedOn w:val="Normal"/>
    <w:rsid w:val="006D7098"/>
    <w:pPr>
      <w:spacing w:after="120"/>
      <w:ind w:left="1132"/>
    </w:pPr>
  </w:style>
  <w:style w:type="paragraph" w:styleId="ListContinue5">
    <w:name w:val="List Continue 5"/>
    <w:basedOn w:val="Normal"/>
    <w:rsid w:val="006D709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D70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D709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D709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D709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D7098"/>
  </w:style>
  <w:style w:type="character" w:customStyle="1" w:styleId="SalutationChar">
    <w:name w:val="Salutation Char"/>
    <w:basedOn w:val="DefaultParagraphFont"/>
    <w:link w:val="Salutation"/>
    <w:rsid w:val="006D7098"/>
    <w:rPr>
      <w:sz w:val="22"/>
    </w:rPr>
  </w:style>
  <w:style w:type="paragraph" w:styleId="Date">
    <w:name w:val="Date"/>
    <w:basedOn w:val="Normal"/>
    <w:next w:val="Normal"/>
    <w:link w:val="DateChar"/>
    <w:rsid w:val="006D7098"/>
  </w:style>
  <w:style w:type="character" w:customStyle="1" w:styleId="DateChar">
    <w:name w:val="Date Char"/>
    <w:basedOn w:val="DefaultParagraphFont"/>
    <w:link w:val="Date"/>
    <w:rsid w:val="006D7098"/>
    <w:rPr>
      <w:sz w:val="22"/>
    </w:rPr>
  </w:style>
  <w:style w:type="paragraph" w:styleId="BodyTextFirstIndent">
    <w:name w:val="Body Text First Indent"/>
    <w:basedOn w:val="BodyText"/>
    <w:link w:val="BodyTextFirstIndentChar"/>
    <w:rsid w:val="006D70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D709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D709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D7098"/>
    <w:rPr>
      <w:sz w:val="22"/>
    </w:rPr>
  </w:style>
  <w:style w:type="paragraph" w:styleId="BodyText2">
    <w:name w:val="Body Text 2"/>
    <w:basedOn w:val="Normal"/>
    <w:link w:val="BodyText2Char"/>
    <w:rsid w:val="006D70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7098"/>
    <w:rPr>
      <w:sz w:val="22"/>
    </w:rPr>
  </w:style>
  <w:style w:type="paragraph" w:styleId="BodyText3">
    <w:name w:val="Body Text 3"/>
    <w:basedOn w:val="Normal"/>
    <w:link w:val="BodyText3Char"/>
    <w:rsid w:val="006D70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709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D70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D7098"/>
    <w:rPr>
      <w:sz w:val="22"/>
    </w:rPr>
  </w:style>
  <w:style w:type="paragraph" w:styleId="BodyTextIndent3">
    <w:name w:val="Body Text Indent 3"/>
    <w:basedOn w:val="Normal"/>
    <w:link w:val="BodyTextIndent3Char"/>
    <w:rsid w:val="006D70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7098"/>
    <w:rPr>
      <w:sz w:val="16"/>
      <w:szCs w:val="16"/>
    </w:rPr>
  </w:style>
  <w:style w:type="paragraph" w:styleId="BlockText">
    <w:name w:val="Block Text"/>
    <w:basedOn w:val="Normal"/>
    <w:rsid w:val="006D7098"/>
    <w:pPr>
      <w:spacing w:after="120"/>
      <w:ind w:left="1440" w:right="1440"/>
    </w:pPr>
  </w:style>
  <w:style w:type="character" w:styleId="Hyperlink">
    <w:name w:val="Hyperlink"/>
    <w:basedOn w:val="DefaultParagraphFont"/>
    <w:rsid w:val="006D7098"/>
    <w:rPr>
      <w:color w:val="0000FF"/>
      <w:u w:val="single"/>
    </w:rPr>
  </w:style>
  <w:style w:type="character" w:styleId="FollowedHyperlink">
    <w:name w:val="FollowedHyperlink"/>
    <w:basedOn w:val="DefaultParagraphFont"/>
    <w:rsid w:val="006D7098"/>
    <w:rPr>
      <w:color w:val="800080"/>
      <w:u w:val="single"/>
    </w:rPr>
  </w:style>
  <w:style w:type="character" w:styleId="Strong">
    <w:name w:val="Strong"/>
    <w:basedOn w:val="DefaultParagraphFont"/>
    <w:qFormat/>
    <w:rsid w:val="006D7098"/>
    <w:rPr>
      <w:b/>
      <w:bCs/>
    </w:rPr>
  </w:style>
  <w:style w:type="character" w:styleId="Emphasis">
    <w:name w:val="Emphasis"/>
    <w:basedOn w:val="DefaultParagraphFont"/>
    <w:qFormat/>
    <w:rsid w:val="006D7098"/>
    <w:rPr>
      <w:i/>
      <w:iCs/>
    </w:rPr>
  </w:style>
  <w:style w:type="paragraph" w:styleId="DocumentMap">
    <w:name w:val="Document Map"/>
    <w:basedOn w:val="Normal"/>
    <w:link w:val="DocumentMapChar"/>
    <w:rsid w:val="006D709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D709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D70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D709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D7098"/>
  </w:style>
  <w:style w:type="character" w:customStyle="1" w:styleId="E-mailSignatureChar">
    <w:name w:val="E-mail Signature Char"/>
    <w:basedOn w:val="DefaultParagraphFont"/>
    <w:link w:val="E-mailSignature"/>
    <w:rsid w:val="006D7098"/>
    <w:rPr>
      <w:sz w:val="22"/>
    </w:rPr>
  </w:style>
  <w:style w:type="paragraph" w:styleId="NormalWeb">
    <w:name w:val="Normal (Web)"/>
    <w:basedOn w:val="Normal"/>
    <w:rsid w:val="006D7098"/>
  </w:style>
  <w:style w:type="character" w:styleId="HTMLAcronym">
    <w:name w:val="HTML Acronym"/>
    <w:basedOn w:val="DefaultParagraphFont"/>
    <w:rsid w:val="006D7098"/>
  </w:style>
  <w:style w:type="paragraph" w:styleId="HTMLAddress">
    <w:name w:val="HTML Address"/>
    <w:basedOn w:val="Normal"/>
    <w:link w:val="HTMLAddressChar"/>
    <w:rsid w:val="006D709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D7098"/>
    <w:rPr>
      <w:i/>
      <w:iCs/>
      <w:sz w:val="22"/>
    </w:rPr>
  </w:style>
  <w:style w:type="character" w:styleId="HTMLCite">
    <w:name w:val="HTML Cite"/>
    <w:basedOn w:val="DefaultParagraphFont"/>
    <w:rsid w:val="006D7098"/>
    <w:rPr>
      <w:i/>
      <w:iCs/>
    </w:rPr>
  </w:style>
  <w:style w:type="character" w:styleId="HTMLCode">
    <w:name w:val="HTML Code"/>
    <w:basedOn w:val="DefaultParagraphFont"/>
    <w:rsid w:val="006D70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D7098"/>
    <w:rPr>
      <w:i/>
      <w:iCs/>
    </w:rPr>
  </w:style>
  <w:style w:type="character" w:styleId="HTMLKeyboard">
    <w:name w:val="HTML Keyboard"/>
    <w:basedOn w:val="DefaultParagraphFont"/>
    <w:rsid w:val="006D70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D709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D709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D709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D709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D709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D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7098"/>
    <w:rPr>
      <w:b/>
      <w:bCs/>
    </w:rPr>
  </w:style>
  <w:style w:type="numbering" w:styleId="1ai">
    <w:name w:val="Outline List 1"/>
    <w:basedOn w:val="NoList"/>
    <w:rsid w:val="006D7098"/>
    <w:pPr>
      <w:numPr>
        <w:numId w:val="14"/>
      </w:numPr>
    </w:pPr>
  </w:style>
  <w:style w:type="numbering" w:styleId="111111">
    <w:name w:val="Outline List 2"/>
    <w:basedOn w:val="NoList"/>
    <w:rsid w:val="006D7098"/>
    <w:pPr>
      <w:numPr>
        <w:numId w:val="15"/>
      </w:numPr>
    </w:pPr>
  </w:style>
  <w:style w:type="numbering" w:styleId="ArticleSection">
    <w:name w:val="Outline List 3"/>
    <w:basedOn w:val="NoList"/>
    <w:rsid w:val="006D7098"/>
    <w:pPr>
      <w:numPr>
        <w:numId w:val="17"/>
      </w:numPr>
    </w:pPr>
  </w:style>
  <w:style w:type="table" w:styleId="TableSimple1">
    <w:name w:val="Table Simple 1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09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D709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D709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D709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D709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D709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D709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D709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D709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D709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D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D709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D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D709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D709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D709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D709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D709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D709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D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D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D709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D709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D709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D709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D709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09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D709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D709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D709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D709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D709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D709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D709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D709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D7098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6D7098"/>
  </w:style>
  <w:style w:type="paragraph" w:styleId="Revision">
    <w:name w:val="Revision"/>
    <w:hidden/>
    <w:uiPriority w:val="99"/>
    <w:semiHidden/>
    <w:rsid w:val="00E2061D"/>
    <w:rPr>
      <w:rFonts w:eastAsia="Calibri" w:cs="Times New Roman"/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D709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D7098"/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7098"/>
  </w:style>
  <w:style w:type="character" w:styleId="BookTitle">
    <w:name w:val="Book Title"/>
    <w:basedOn w:val="DefaultParagraphFont"/>
    <w:uiPriority w:val="33"/>
    <w:qFormat/>
    <w:rsid w:val="006D709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D709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D709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709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709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709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709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70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709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709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709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709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709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709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70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709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709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709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709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709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D70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D709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0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09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D709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709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709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70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70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709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709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70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70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709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D709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70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709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709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709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709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709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709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709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709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709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709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709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709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709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709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709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709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709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709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709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709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709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70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709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70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D709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D709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D7098"/>
    <w:rPr>
      <w:color w:val="808080"/>
    </w:rPr>
  </w:style>
  <w:style w:type="table" w:styleId="PlainTable1">
    <w:name w:val="Plain Table 1"/>
    <w:basedOn w:val="TableNormal"/>
    <w:uiPriority w:val="41"/>
    <w:rsid w:val="006D70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70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70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709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709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D7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09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D709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D70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D709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D70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709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7098"/>
    <w:rPr>
      <w:color w:val="605E5C"/>
      <w:shd w:val="clear" w:color="auto" w:fill="E1DFDD"/>
    </w:rPr>
  </w:style>
  <w:style w:type="character" w:customStyle="1" w:styleId="TableHeadingChar">
    <w:name w:val="TableHeading Char"/>
    <w:aliases w:val="th Char"/>
    <w:link w:val="TableHeading"/>
    <w:rsid w:val="00BB6BE7"/>
    <w:rPr>
      <w:rFonts w:eastAsia="Times New Roman" w:cs="Times New Roman"/>
      <w:b/>
      <w:lang w:eastAsia="en-AU"/>
    </w:rPr>
  </w:style>
  <w:style w:type="character" w:customStyle="1" w:styleId="TabletextChar">
    <w:name w:val="Tabletext Char"/>
    <w:aliases w:val="tt Char"/>
    <w:link w:val="Tabletext"/>
    <w:rsid w:val="00BB6BE7"/>
    <w:rPr>
      <w:rFonts w:eastAsia="Times New Roman" w:cs="Times New Roman"/>
      <w:lang w:eastAsia="en-AU"/>
    </w:rPr>
  </w:style>
  <w:style w:type="character" w:customStyle="1" w:styleId="ActHead2Char">
    <w:name w:val="ActHead 2 Char"/>
    <w:aliases w:val="p Char"/>
    <w:link w:val="ActHead2"/>
    <w:rsid w:val="008916E9"/>
    <w:rPr>
      <w:rFonts w:eastAsia="Times New Roman" w:cs="Times New Roman"/>
      <w:b/>
      <w:kern w:val="28"/>
      <w:sz w:val="32"/>
      <w:lang w:eastAsia="en-AU"/>
    </w:rPr>
  </w:style>
  <w:style w:type="character" w:customStyle="1" w:styleId="paragraphChar">
    <w:name w:val="paragraph Char"/>
    <w:aliases w:val="a Char"/>
    <w:link w:val="paragraph"/>
    <w:rsid w:val="008916E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4" ma:contentTypeDescription="Create a new document." ma:contentTypeScope="" ma:versionID="9bbec893dc4c40349dd119c1e9cc444e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448515a47f63a52efbf5efc1d201b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>Budget</Measureorigin>
    <PT_x002f_Measure_x0020_No. xmlns="ff38c824-6e29-4496-8487-69f397e7ed29">TSY/47/0295</PT_x002f_Measure_x0020_No.>
    <Keydoc xmlns="a289cb20-8bb9-401f-8d7b-706fb1a2988d" xsi:nil="true"/>
    <Act_x0028_s_x0029_beingamended xmlns="a289cb20-8bb9-401f-8d7b-706fb1a2988d">Income Tax Assessment Act 1997</Act_x0028_s_x0029_beingamended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5D7SUYYWNZQE-981606584-1183</_dlc_DocId>
    <_dlc_DocIdUrl xmlns="fe39d773-a83d-4623-ae74-f25711a76616">
      <Url>https://austreasury.sharepoint.com/sites/leg-meas-function/_layouts/15/DocIdRedir.aspx?ID=5D7SUYYWNZQE-981606584-1183</Url>
      <Description>5D7SUYYWNZQE-981606584-1183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627D-898F-4B2C-BBE7-AD0968249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D280C-9801-4DD5-A290-3F5F244C16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2E1208-A037-4BBA-AB86-1CA9BF4FF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03A45-4D10-4E4F-88C2-040A2E399947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9dc491-4223-4688-9b84-37ce9b0c108d"/>
    <ds:schemaRef ds:uri="a289cb20-8bb9-401f-8d7b-706fb1a2988d"/>
    <ds:schemaRef ds:uri="fe39d773-a83d-4623-ae74-f25711a76616"/>
    <ds:schemaRef ds:uri="http://schemas.microsoft.com/office/2006/documentManagement/types"/>
    <ds:schemaRef ds:uri="ff38c824-6e29-4496-8487-69f397e7ed29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4581961-8C63-48A7-9883-68F6A06C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1</TotalTime>
  <Pages>30</Pages>
  <Words>6874</Words>
  <Characters>34028</Characters>
  <Application>Microsoft Office Word</Application>
  <DocSecurity>2</DocSecurity>
  <PresentationFormat/>
  <Lines>2001</Lines>
  <Paragraphs>1947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Instrument 2024: Better Targeted Superannuation Concessions</vt:lpstr>
    </vt:vector>
  </TitlesOfParts>
  <Manager/>
  <Company/>
  <LinksUpToDate>false</LinksUpToDate>
  <CharactersWithSpaces>38955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Instrument 2024: Better Targeted Superannuation Concessions</dc:title>
  <dc:subject/>
  <dc:creator>Australian Government</dc:creator>
  <cp:keywords/>
  <dc:description/>
  <cp:lastModifiedBy>Hill, Christine</cp:lastModifiedBy>
  <cp:revision>2</cp:revision>
  <cp:lastPrinted>2023-12-22T02:24:00Z</cp:lastPrinted>
  <dcterms:created xsi:type="dcterms:W3CDTF">2024-01-19T01:01:00Z</dcterms:created>
  <dcterms:modified xsi:type="dcterms:W3CDTF">2024-03-04T00:01:00Z</dcterms:modified>
  <cp:category/>
  <cp:contentStatus/>
  <dc:language/>
  <cp:version/>
</cp:coreProperties>
</file>