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0B3C" w14:textId="61F47070" w:rsidR="00146C76" w:rsidRDefault="00952CD6" w:rsidP="00FA1E95">
      <w:pPr>
        <w:jc w:val="center"/>
      </w:pPr>
      <w:bookmarkStart w:id="0" w:name="_Hlk110583399"/>
      <w:r>
        <w:rPr>
          <w:noProof/>
        </w:rPr>
        <w:drawing>
          <wp:inline distT="0" distB="0" distL="0" distR="0" wp14:anchorId="5D0C5726" wp14:editId="19C8D041">
            <wp:extent cx="6123600" cy="112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615" t="16668" r="2259" b="10886"/>
                    <a:stretch/>
                  </pic:blipFill>
                  <pic:spPr bwMode="auto">
                    <a:xfrm>
                      <a:off x="0" y="0"/>
                      <a:ext cx="6123600" cy="1123200"/>
                    </a:xfrm>
                    <a:prstGeom prst="rect">
                      <a:avLst/>
                    </a:prstGeom>
                    <a:noFill/>
                    <a:ln>
                      <a:noFill/>
                    </a:ln>
                    <a:extLst>
                      <a:ext uri="{53640926-AAD7-44D8-BBD7-CCE9431645EC}">
                        <a14:shadowObscured xmlns:a14="http://schemas.microsoft.com/office/drawing/2010/main"/>
                      </a:ext>
                    </a:extLst>
                  </pic:spPr>
                </pic:pic>
              </a:graphicData>
            </a:graphic>
          </wp:inline>
        </w:drawing>
      </w:r>
    </w:p>
    <w:p w14:paraId="6E752969" w14:textId="77777777" w:rsidR="003D1813" w:rsidRDefault="003D1813" w:rsidP="003D1813">
      <w:pPr>
        <w:pStyle w:val="Heading1"/>
      </w:pPr>
    </w:p>
    <w:tbl>
      <w:tblPr>
        <w:tblStyle w:val="TableGrid"/>
        <w:tblW w:w="0" w:type="auto"/>
        <w:tblBorders>
          <w:top w:val="none" w:sz="0" w:space="0" w:color="auto"/>
          <w:bottom w:val="none" w:sz="0" w:space="0" w:color="auto"/>
        </w:tblBorders>
        <w:tblLook w:val="0400" w:firstRow="0" w:lastRow="0" w:firstColumn="0" w:lastColumn="0" w:noHBand="0" w:noVBand="1"/>
      </w:tblPr>
      <w:tblGrid>
        <w:gridCol w:w="9026"/>
      </w:tblGrid>
      <w:tr w:rsidR="00C7274A" w:rsidRPr="00C755AD" w14:paraId="3027C91E" w14:textId="77777777" w:rsidTr="001E4817">
        <w:tc>
          <w:tcPr>
            <w:tcW w:w="9242" w:type="dxa"/>
          </w:tcPr>
          <w:p w14:paraId="190000B4" w14:textId="198A54A5" w:rsidR="00C7274A" w:rsidRPr="00C755AD" w:rsidRDefault="00325628" w:rsidP="001E4817">
            <w:pPr>
              <w:pStyle w:val="Title"/>
            </w:pPr>
            <w:bookmarkStart w:id="1" w:name="_Toc120881019"/>
            <w:r>
              <w:t>Consumer data right in non-bank lending</w:t>
            </w:r>
            <w:bookmarkEnd w:id="1"/>
            <w:r>
              <w:t xml:space="preserve">  </w:t>
            </w:r>
          </w:p>
        </w:tc>
      </w:tr>
      <w:tr w:rsidR="00C7274A" w:rsidRPr="00C755AD" w14:paraId="24EF1DF6" w14:textId="77777777" w:rsidTr="001E4817">
        <w:tc>
          <w:tcPr>
            <w:tcW w:w="9242" w:type="dxa"/>
          </w:tcPr>
          <w:p w14:paraId="015B4192" w14:textId="43C7544E" w:rsidR="00C7274A" w:rsidRPr="00B325AF" w:rsidRDefault="00EC1643" w:rsidP="001E4817">
            <w:pPr>
              <w:pStyle w:val="Subtitle"/>
            </w:pPr>
            <w:r>
              <w:t xml:space="preserve">CDR rules and </w:t>
            </w:r>
            <w:r w:rsidR="00B72753">
              <w:t xml:space="preserve">data </w:t>
            </w:r>
            <w:r>
              <w:t>standards design paper</w:t>
            </w:r>
          </w:p>
        </w:tc>
      </w:tr>
      <w:tr w:rsidR="00C7274A" w:rsidRPr="00C755AD" w14:paraId="123FCA68" w14:textId="77777777" w:rsidTr="001E4817">
        <w:tc>
          <w:tcPr>
            <w:tcW w:w="9242" w:type="dxa"/>
          </w:tcPr>
          <w:p w14:paraId="045D2862" w14:textId="77777777" w:rsidR="00C7274A" w:rsidRPr="00D93DA9" w:rsidRDefault="00C7274A" w:rsidP="001E4817"/>
          <w:p w14:paraId="04E2F78F" w14:textId="5661D050" w:rsidR="00C7274A" w:rsidRPr="00B325AF" w:rsidRDefault="00B55C99" w:rsidP="001E4817">
            <w:pPr>
              <w:pStyle w:val="CoverDate"/>
            </w:pPr>
            <w:r>
              <w:t>December</w:t>
            </w:r>
            <w:r w:rsidR="00EC1643">
              <w:t xml:space="preserve"> 2022</w:t>
            </w:r>
          </w:p>
        </w:tc>
      </w:tr>
    </w:tbl>
    <w:p w14:paraId="3444C260" w14:textId="77777777" w:rsidR="00C7274A" w:rsidRPr="00D93DA9" w:rsidRDefault="00C7274A" w:rsidP="00C7274A"/>
    <w:p w14:paraId="398A391A" w14:textId="77777777" w:rsidR="00C7274A" w:rsidRDefault="00C7274A" w:rsidP="00DC70B5">
      <w:pPr>
        <w:pStyle w:val="Heading1"/>
      </w:pPr>
    </w:p>
    <w:p w14:paraId="2BF1626B" w14:textId="66596A0D" w:rsidR="00297E0B" w:rsidRDefault="00297E0B" w:rsidP="00297E0B"/>
    <w:p w14:paraId="0F4663FF" w14:textId="1A76D700" w:rsidR="00297E0B" w:rsidRDefault="00297E0B" w:rsidP="00297E0B"/>
    <w:p w14:paraId="5C22D8AA" w14:textId="77777777" w:rsidR="00297E0B" w:rsidRPr="00297E0B" w:rsidRDefault="00297E0B" w:rsidP="00297E0B"/>
    <w:p w14:paraId="2AF81F27" w14:textId="77777777" w:rsidR="00C7274A" w:rsidRDefault="00C7274A" w:rsidP="00DC70B5">
      <w:pPr>
        <w:pStyle w:val="Heading1"/>
      </w:pPr>
    </w:p>
    <w:p w14:paraId="425C11E4" w14:textId="77777777" w:rsidR="00C7274A" w:rsidRDefault="00C7274A" w:rsidP="00DC70B5">
      <w:pPr>
        <w:pStyle w:val="Heading1"/>
      </w:pPr>
    </w:p>
    <w:p w14:paraId="39ABC7A5" w14:textId="4B058FCC" w:rsidR="00C7274A" w:rsidRDefault="00C7274A" w:rsidP="00DC70B5">
      <w:pPr>
        <w:pStyle w:val="Heading1"/>
      </w:pPr>
    </w:p>
    <w:p w14:paraId="2F6A53EF" w14:textId="1D22D4F6" w:rsidR="000575AE" w:rsidRDefault="000575AE" w:rsidP="000575AE"/>
    <w:p w14:paraId="5C50B2BD" w14:textId="1EE5E08B" w:rsidR="000575AE" w:rsidRDefault="000575AE" w:rsidP="000575AE"/>
    <w:p w14:paraId="73E3ECD7" w14:textId="0A01E4BA" w:rsidR="000575AE" w:rsidRDefault="000575AE" w:rsidP="000575AE"/>
    <w:p w14:paraId="05B0675A" w14:textId="77777777" w:rsidR="000575AE" w:rsidRPr="000575AE" w:rsidRDefault="000575AE" w:rsidP="000575AE"/>
    <w:sdt>
      <w:sdtPr>
        <w:rPr>
          <w:rFonts w:eastAsiaTheme="minorHAnsi" w:cstheme="minorBidi"/>
          <w:bCs w:val="0"/>
          <w:color w:val="auto"/>
          <w:sz w:val="22"/>
          <w:szCs w:val="22"/>
          <w:lang w:val="en-AU" w:eastAsia="en-US"/>
        </w:rPr>
        <w:id w:val="617881006"/>
        <w:docPartObj>
          <w:docPartGallery w:val="Table of Contents"/>
          <w:docPartUnique/>
        </w:docPartObj>
      </w:sdtPr>
      <w:sdtEndPr>
        <w:rPr>
          <w:b/>
          <w:noProof/>
        </w:rPr>
      </w:sdtEndPr>
      <w:sdtContent>
        <w:p w14:paraId="2057692A" w14:textId="77777777" w:rsidR="000E6A48" w:rsidRDefault="000E6A48" w:rsidP="000E6A48">
          <w:pPr>
            <w:pStyle w:val="TOCHeading"/>
          </w:pPr>
          <w:r>
            <w:t>Table of Contents</w:t>
          </w:r>
        </w:p>
        <w:p w14:paraId="77733779" w14:textId="31F142BA" w:rsidR="00AF7E35" w:rsidRDefault="00692BDB">
          <w:pPr>
            <w:pStyle w:val="TOC1"/>
            <w:rPr>
              <w:rFonts w:asciiTheme="minorHAnsi" w:eastAsiaTheme="minorEastAsia" w:hAnsiTheme="minorHAnsi"/>
              <w:lang w:val="en-AU" w:eastAsia="en-AU"/>
            </w:rPr>
          </w:pPr>
          <w:r>
            <w:tab/>
          </w:r>
          <w:r w:rsidR="000E6A48">
            <w:fldChar w:fldCharType="begin"/>
          </w:r>
          <w:r w:rsidR="000E6A48">
            <w:instrText xml:space="preserve"> TOC \o "1-3" \h \z \u </w:instrText>
          </w:r>
          <w:r w:rsidR="000E6A48">
            <w:fldChar w:fldCharType="separate"/>
          </w:r>
          <w:hyperlink w:anchor="_Toc120881019" w:history="1">
            <w:r w:rsidR="00AF7E35" w:rsidRPr="00A36322">
              <w:rPr>
                <w:rStyle w:val="Hyperlink"/>
              </w:rPr>
              <w:t>Consumer data right in non-bank lending</w:t>
            </w:r>
            <w:r w:rsidR="00AF7E35">
              <w:rPr>
                <w:webHidden/>
              </w:rPr>
              <w:tab/>
            </w:r>
            <w:r w:rsidR="00AF7E35">
              <w:rPr>
                <w:webHidden/>
              </w:rPr>
              <w:fldChar w:fldCharType="begin"/>
            </w:r>
            <w:r w:rsidR="00AF7E35">
              <w:rPr>
                <w:webHidden/>
              </w:rPr>
              <w:instrText xml:space="preserve"> PAGEREF _Toc120881019 \h </w:instrText>
            </w:r>
            <w:r w:rsidR="00AF7E35">
              <w:rPr>
                <w:webHidden/>
              </w:rPr>
            </w:r>
            <w:r w:rsidR="00AF7E35">
              <w:rPr>
                <w:webHidden/>
              </w:rPr>
              <w:fldChar w:fldCharType="separate"/>
            </w:r>
            <w:r w:rsidR="00AF7E35">
              <w:rPr>
                <w:webHidden/>
              </w:rPr>
              <w:t>1</w:t>
            </w:r>
            <w:r w:rsidR="00AF7E35">
              <w:rPr>
                <w:webHidden/>
              </w:rPr>
              <w:fldChar w:fldCharType="end"/>
            </w:r>
          </w:hyperlink>
        </w:p>
        <w:p w14:paraId="1A240D34" w14:textId="125ED21E" w:rsidR="00AF7E35" w:rsidRDefault="00D63611">
          <w:pPr>
            <w:pStyle w:val="TOC2"/>
            <w:rPr>
              <w:rFonts w:asciiTheme="minorHAnsi" w:eastAsiaTheme="minorEastAsia" w:hAnsiTheme="minorHAnsi"/>
              <w:lang w:eastAsia="en-AU"/>
            </w:rPr>
          </w:pPr>
          <w:hyperlink w:anchor="_Toc120881020" w:history="1">
            <w:r w:rsidR="00AF7E35" w:rsidRPr="00A36322">
              <w:rPr>
                <w:rStyle w:val="Hyperlink"/>
              </w:rPr>
              <w:t>Purpose of design paper</w:t>
            </w:r>
            <w:r w:rsidR="00AF7E35">
              <w:rPr>
                <w:webHidden/>
              </w:rPr>
              <w:tab/>
            </w:r>
            <w:r w:rsidR="00AF7E35">
              <w:rPr>
                <w:webHidden/>
              </w:rPr>
              <w:fldChar w:fldCharType="begin"/>
            </w:r>
            <w:r w:rsidR="00AF7E35">
              <w:rPr>
                <w:webHidden/>
              </w:rPr>
              <w:instrText xml:space="preserve"> PAGEREF _Toc120881020 \h </w:instrText>
            </w:r>
            <w:r w:rsidR="00AF7E35">
              <w:rPr>
                <w:webHidden/>
              </w:rPr>
            </w:r>
            <w:r w:rsidR="00AF7E35">
              <w:rPr>
                <w:webHidden/>
              </w:rPr>
              <w:fldChar w:fldCharType="separate"/>
            </w:r>
            <w:r w:rsidR="00AF7E35">
              <w:rPr>
                <w:webHidden/>
              </w:rPr>
              <w:t>3</w:t>
            </w:r>
            <w:r w:rsidR="00AF7E35">
              <w:rPr>
                <w:webHidden/>
              </w:rPr>
              <w:fldChar w:fldCharType="end"/>
            </w:r>
          </w:hyperlink>
        </w:p>
        <w:p w14:paraId="741B3B43" w14:textId="7863691D" w:rsidR="00AF7E35" w:rsidRDefault="00D63611">
          <w:pPr>
            <w:pStyle w:val="TOC3"/>
            <w:rPr>
              <w:rFonts w:asciiTheme="minorHAnsi" w:eastAsiaTheme="minorEastAsia" w:hAnsiTheme="minorHAnsi"/>
              <w:lang w:eastAsia="en-AU"/>
            </w:rPr>
          </w:pPr>
          <w:hyperlink w:anchor="_Toc120881021" w:history="1">
            <w:r w:rsidR="00AF7E35" w:rsidRPr="00A36322">
              <w:rPr>
                <w:rStyle w:val="Hyperlink"/>
              </w:rPr>
              <w:t>Extending CDR to a new sector</w:t>
            </w:r>
            <w:r w:rsidR="00AF7E35">
              <w:rPr>
                <w:webHidden/>
              </w:rPr>
              <w:tab/>
            </w:r>
            <w:r w:rsidR="00AF7E35">
              <w:rPr>
                <w:webHidden/>
              </w:rPr>
              <w:fldChar w:fldCharType="begin"/>
            </w:r>
            <w:r w:rsidR="00AF7E35">
              <w:rPr>
                <w:webHidden/>
              </w:rPr>
              <w:instrText xml:space="preserve"> PAGEREF _Toc120881021 \h </w:instrText>
            </w:r>
            <w:r w:rsidR="00AF7E35">
              <w:rPr>
                <w:webHidden/>
              </w:rPr>
            </w:r>
            <w:r w:rsidR="00AF7E35">
              <w:rPr>
                <w:webHidden/>
              </w:rPr>
              <w:fldChar w:fldCharType="separate"/>
            </w:r>
            <w:r w:rsidR="00AF7E35">
              <w:rPr>
                <w:webHidden/>
              </w:rPr>
              <w:t>3</w:t>
            </w:r>
            <w:r w:rsidR="00AF7E35">
              <w:rPr>
                <w:webHidden/>
              </w:rPr>
              <w:fldChar w:fldCharType="end"/>
            </w:r>
          </w:hyperlink>
        </w:p>
        <w:p w14:paraId="53BD5C18" w14:textId="081F0EEE" w:rsidR="00AF7E35" w:rsidRDefault="00D63611">
          <w:pPr>
            <w:pStyle w:val="TOC2"/>
            <w:rPr>
              <w:rFonts w:asciiTheme="minorHAnsi" w:eastAsiaTheme="minorEastAsia" w:hAnsiTheme="minorHAnsi"/>
              <w:lang w:eastAsia="en-AU"/>
            </w:rPr>
          </w:pPr>
          <w:hyperlink w:anchor="_Toc120881022" w:history="1">
            <w:r w:rsidR="00AF7E35" w:rsidRPr="00A36322">
              <w:rPr>
                <w:rStyle w:val="Hyperlink"/>
              </w:rPr>
              <w:t>Consultation on non-bank lending Rules and Data Standards</w:t>
            </w:r>
            <w:r w:rsidR="00AF7E35">
              <w:rPr>
                <w:webHidden/>
              </w:rPr>
              <w:tab/>
            </w:r>
            <w:r w:rsidR="00AF7E35">
              <w:rPr>
                <w:webHidden/>
              </w:rPr>
              <w:fldChar w:fldCharType="begin"/>
            </w:r>
            <w:r w:rsidR="00AF7E35">
              <w:rPr>
                <w:webHidden/>
              </w:rPr>
              <w:instrText xml:space="preserve"> PAGEREF _Toc120881022 \h </w:instrText>
            </w:r>
            <w:r w:rsidR="00AF7E35">
              <w:rPr>
                <w:webHidden/>
              </w:rPr>
            </w:r>
            <w:r w:rsidR="00AF7E35">
              <w:rPr>
                <w:webHidden/>
              </w:rPr>
              <w:fldChar w:fldCharType="separate"/>
            </w:r>
            <w:r w:rsidR="00AF7E35">
              <w:rPr>
                <w:webHidden/>
              </w:rPr>
              <w:t>3</w:t>
            </w:r>
            <w:r w:rsidR="00AF7E35">
              <w:rPr>
                <w:webHidden/>
              </w:rPr>
              <w:fldChar w:fldCharType="end"/>
            </w:r>
          </w:hyperlink>
        </w:p>
        <w:p w14:paraId="2282EE25" w14:textId="003737A0" w:rsidR="00AF7E35" w:rsidRDefault="00D63611">
          <w:pPr>
            <w:pStyle w:val="TOC2"/>
            <w:rPr>
              <w:rFonts w:asciiTheme="minorHAnsi" w:eastAsiaTheme="minorEastAsia" w:hAnsiTheme="minorHAnsi"/>
              <w:lang w:eastAsia="en-AU"/>
            </w:rPr>
          </w:pPr>
          <w:hyperlink w:anchor="_Toc120881023" w:history="1">
            <w:r w:rsidR="00AF7E35" w:rsidRPr="00A36322">
              <w:rPr>
                <w:rStyle w:val="Hyperlink"/>
              </w:rPr>
              <w:t>The role of the Rules in the CDR</w:t>
            </w:r>
            <w:r w:rsidR="00AF7E35">
              <w:rPr>
                <w:webHidden/>
              </w:rPr>
              <w:tab/>
            </w:r>
            <w:r w:rsidR="00AF7E35">
              <w:rPr>
                <w:webHidden/>
              </w:rPr>
              <w:fldChar w:fldCharType="begin"/>
            </w:r>
            <w:r w:rsidR="00AF7E35">
              <w:rPr>
                <w:webHidden/>
              </w:rPr>
              <w:instrText xml:space="preserve"> PAGEREF _Toc120881023 \h </w:instrText>
            </w:r>
            <w:r w:rsidR="00AF7E35">
              <w:rPr>
                <w:webHidden/>
              </w:rPr>
            </w:r>
            <w:r w:rsidR="00AF7E35">
              <w:rPr>
                <w:webHidden/>
              </w:rPr>
              <w:fldChar w:fldCharType="separate"/>
            </w:r>
            <w:r w:rsidR="00AF7E35">
              <w:rPr>
                <w:webHidden/>
              </w:rPr>
              <w:t>4</w:t>
            </w:r>
            <w:r w:rsidR="00AF7E35">
              <w:rPr>
                <w:webHidden/>
              </w:rPr>
              <w:fldChar w:fldCharType="end"/>
            </w:r>
          </w:hyperlink>
        </w:p>
        <w:p w14:paraId="13F6CAB9" w14:textId="12CA51F0" w:rsidR="00AF7E35" w:rsidRDefault="00D63611">
          <w:pPr>
            <w:pStyle w:val="TOC2"/>
            <w:rPr>
              <w:rFonts w:asciiTheme="minorHAnsi" w:eastAsiaTheme="minorEastAsia" w:hAnsiTheme="minorHAnsi"/>
              <w:lang w:eastAsia="en-AU"/>
            </w:rPr>
          </w:pPr>
          <w:hyperlink w:anchor="_Toc120881024" w:history="1">
            <w:r w:rsidR="00AF7E35" w:rsidRPr="00A36322">
              <w:rPr>
                <w:rStyle w:val="Hyperlink"/>
              </w:rPr>
              <w:t>The role of Data Standards in the CDR</w:t>
            </w:r>
            <w:r w:rsidR="00AF7E35">
              <w:rPr>
                <w:webHidden/>
              </w:rPr>
              <w:tab/>
            </w:r>
            <w:r w:rsidR="00AF7E35">
              <w:rPr>
                <w:webHidden/>
              </w:rPr>
              <w:fldChar w:fldCharType="begin"/>
            </w:r>
            <w:r w:rsidR="00AF7E35">
              <w:rPr>
                <w:webHidden/>
              </w:rPr>
              <w:instrText xml:space="preserve"> PAGEREF _Toc120881024 \h </w:instrText>
            </w:r>
            <w:r w:rsidR="00AF7E35">
              <w:rPr>
                <w:webHidden/>
              </w:rPr>
            </w:r>
            <w:r w:rsidR="00AF7E35">
              <w:rPr>
                <w:webHidden/>
              </w:rPr>
              <w:fldChar w:fldCharType="separate"/>
            </w:r>
            <w:r w:rsidR="00AF7E35">
              <w:rPr>
                <w:webHidden/>
              </w:rPr>
              <w:t>5</w:t>
            </w:r>
            <w:r w:rsidR="00AF7E35">
              <w:rPr>
                <w:webHidden/>
              </w:rPr>
              <w:fldChar w:fldCharType="end"/>
            </w:r>
          </w:hyperlink>
        </w:p>
        <w:p w14:paraId="7DCBE768" w14:textId="48E06DD3" w:rsidR="00AF7E35" w:rsidRDefault="00D63611">
          <w:pPr>
            <w:pStyle w:val="TOC1"/>
            <w:rPr>
              <w:rFonts w:asciiTheme="minorHAnsi" w:eastAsiaTheme="minorEastAsia" w:hAnsiTheme="minorHAnsi"/>
              <w:lang w:val="en-AU" w:eastAsia="en-AU"/>
            </w:rPr>
          </w:pPr>
          <w:hyperlink w:anchor="_Toc120881025" w:history="1">
            <w:r w:rsidR="00AF7E35" w:rsidRPr="00A36322">
              <w:rPr>
                <w:rStyle w:val="Hyperlink"/>
                <w:rFonts w:eastAsia="Calibri"/>
              </w:rPr>
              <w:t>Issues for Feedback</w:t>
            </w:r>
            <w:r w:rsidR="00AF7E35">
              <w:rPr>
                <w:webHidden/>
              </w:rPr>
              <w:tab/>
            </w:r>
            <w:r w:rsidR="00AF7E35">
              <w:rPr>
                <w:webHidden/>
              </w:rPr>
              <w:fldChar w:fldCharType="begin"/>
            </w:r>
            <w:r w:rsidR="00AF7E35">
              <w:rPr>
                <w:webHidden/>
              </w:rPr>
              <w:instrText xml:space="preserve"> PAGEREF _Toc120881025 \h </w:instrText>
            </w:r>
            <w:r w:rsidR="00AF7E35">
              <w:rPr>
                <w:webHidden/>
              </w:rPr>
            </w:r>
            <w:r w:rsidR="00AF7E35">
              <w:rPr>
                <w:webHidden/>
              </w:rPr>
              <w:fldChar w:fldCharType="separate"/>
            </w:r>
            <w:r w:rsidR="00AF7E35">
              <w:rPr>
                <w:webHidden/>
              </w:rPr>
              <w:t>6</w:t>
            </w:r>
            <w:r w:rsidR="00AF7E35">
              <w:rPr>
                <w:webHidden/>
              </w:rPr>
              <w:fldChar w:fldCharType="end"/>
            </w:r>
          </w:hyperlink>
        </w:p>
        <w:p w14:paraId="12797692" w14:textId="5930F690" w:rsidR="00AF7E35" w:rsidRDefault="00D63611">
          <w:pPr>
            <w:pStyle w:val="TOC2"/>
            <w:rPr>
              <w:rFonts w:asciiTheme="minorHAnsi" w:eastAsiaTheme="minorEastAsia" w:hAnsiTheme="minorHAnsi"/>
              <w:lang w:eastAsia="en-AU"/>
            </w:rPr>
          </w:pPr>
          <w:hyperlink w:anchor="_Toc120881026" w:history="1">
            <w:r w:rsidR="00AF7E35" w:rsidRPr="00A36322">
              <w:rPr>
                <w:rStyle w:val="Hyperlink"/>
                <w:rFonts w:eastAsia="Calibri"/>
              </w:rPr>
              <w:t>Scope of data sharing in the non-bank lending sector</w:t>
            </w:r>
            <w:r w:rsidR="00AF7E35">
              <w:rPr>
                <w:webHidden/>
              </w:rPr>
              <w:tab/>
            </w:r>
            <w:r w:rsidR="00AF7E35">
              <w:rPr>
                <w:webHidden/>
              </w:rPr>
              <w:fldChar w:fldCharType="begin"/>
            </w:r>
            <w:r w:rsidR="00AF7E35">
              <w:rPr>
                <w:webHidden/>
              </w:rPr>
              <w:instrText xml:space="preserve"> PAGEREF _Toc120881026 \h </w:instrText>
            </w:r>
            <w:r w:rsidR="00AF7E35">
              <w:rPr>
                <w:webHidden/>
              </w:rPr>
            </w:r>
            <w:r w:rsidR="00AF7E35">
              <w:rPr>
                <w:webHidden/>
              </w:rPr>
              <w:fldChar w:fldCharType="separate"/>
            </w:r>
            <w:r w:rsidR="00AF7E35">
              <w:rPr>
                <w:webHidden/>
              </w:rPr>
              <w:t>6</w:t>
            </w:r>
            <w:r w:rsidR="00AF7E35">
              <w:rPr>
                <w:webHidden/>
              </w:rPr>
              <w:fldChar w:fldCharType="end"/>
            </w:r>
          </w:hyperlink>
        </w:p>
        <w:p w14:paraId="58C68732" w14:textId="663F524C" w:rsidR="00AF7E35" w:rsidRDefault="00D63611">
          <w:pPr>
            <w:pStyle w:val="TOC3"/>
            <w:rPr>
              <w:rFonts w:asciiTheme="minorHAnsi" w:eastAsiaTheme="minorEastAsia" w:hAnsiTheme="minorHAnsi"/>
              <w:lang w:eastAsia="en-AU"/>
            </w:rPr>
          </w:pPr>
          <w:hyperlink w:anchor="_Toc120881027" w:history="1">
            <w:r w:rsidR="00AF7E35" w:rsidRPr="00A36322">
              <w:rPr>
                <w:rStyle w:val="Hyperlink"/>
                <w:rFonts w:eastAsia="Calibri"/>
              </w:rPr>
              <w:t xml:space="preserve">What data holders </w:t>
            </w:r>
            <w:r w:rsidR="00AF7E35" w:rsidRPr="00A36322">
              <w:rPr>
                <w:rStyle w:val="Hyperlink"/>
                <w:rFonts w:eastAsia="Calibri" w:cs="Times New Roman"/>
              </w:rPr>
              <w:t>should be required to share CDR data?</w:t>
            </w:r>
            <w:r w:rsidR="00AF7E35">
              <w:rPr>
                <w:webHidden/>
              </w:rPr>
              <w:tab/>
            </w:r>
            <w:r w:rsidR="00AF7E35">
              <w:rPr>
                <w:webHidden/>
              </w:rPr>
              <w:fldChar w:fldCharType="begin"/>
            </w:r>
            <w:r w:rsidR="00AF7E35">
              <w:rPr>
                <w:webHidden/>
              </w:rPr>
              <w:instrText xml:space="preserve"> PAGEREF _Toc120881027 \h </w:instrText>
            </w:r>
            <w:r w:rsidR="00AF7E35">
              <w:rPr>
                <w:webHidden/>
              </w:rPr>
            </w:r>
            <w:r w:rsidR="00AF7E35">
              <w:rPr>
                <w:webHidden/>
              </w:rPr>
              <w:fldChar w:fldCharType="separate"/>
            </w:r>
            <w:r w:rsidR="00AF7E35">
              <w:rPr>
                <w:webHidden/>
              </w:rPr>
              <w:t>6</w:t>
            </w:r>
            <w:r w:rsidR="00AF7E35">
              <w:rPr>
                <w:webHidden/>
              </w:rPr>
              <w:fldChar w:fldCharType="end"/>
            </w:r>
          </w:hyperlink>
        </w:p>
        <w:p w14:paraId="533D5FEE" w14:textId="20311EBD" w:rsidR="00AF7E35" w:rsidRDefault="00D63611">
          <w:pPr>
            <w:pStyle w:val="TOC3"/>
            <w:rPr>
              <w:rFonts w:asciiTheme="minorHAnsi" w:eastAsiaTheme="minorEastAsia" w:hAnsiTheme="minorHAnsi"/>
              <w:lang w:eastAsia="en-AU"/>
            </w:rPr>
          </w:pPr>
          <w:hyperlink w:anchor="_Toc120881028" w:history="1">
            <w:r w:rsidR="00AF7E35" w:rsidRPr="00A36322">
              <w:rPr>
                <w:rStyle w:val="Hyperlink"/>
                <w:rFonts w:eastAsia="Calibri"/>
              </w:rPr>
              <w:t>White labelled products</w:t>
            </w:r>
            <w:r w:rsidR="00AF7E35">
              <w:rPr>
                <w:webHidden/>
              </w:rPr>
              <w:tab/>
            </w:r>
            <w:r w:rsidR="00AF7E35">
              <w:rPr>
                <w:webHidden/>
              </w:rPr>
              <w:fldChar w:fldCharType="begin"/>
            </w:r>
            <w:r w:rsidR="00AF7E35">
              <w:rPr>
                <w:webHidden/>
              </w:rPr>
              <w:instrText xml:space="preserve"> PAGEREF _Toc120881028 \h </w:instrText>
            </w:r>
            <w:r w:rsidR="00AF7E35">
              <w:rPr>
                <w:webHidden/>
              </w:rPr>
            </w:r>
            <w:r w:rsidR="00AF7E35">
              <w:rPr>
                <w:webHidden/>
              </w:rPr>
              <w:fldChar w:fldCharType="separate"/>
            </w:r>
            <w:r w:rsidR="00AF7E35">
              <w:rPr>
                <w:webHidden/>
              </w:rPr>
              <w:t>7</w:t>
            </w:r>
            <w:r w:rsidR="00AF7E35">
              <w:rPr>
                <w:webHidden/>
              </w:rPr>
              <w:fldChar w:fldCharType="end"/>
            </w:r>
          </w:hyperlink>
        </w:p>
        <w:p w14:paraId="74961456" w14:textId="6E473941" w:rsidR="00AF7E35" w:rsidRDefault="00D63611">
          <w:pPr>
            <w:pStyle w:val="TOC3"/>
            <w:rPr>
              <w:rFonts w:asciiTheme="minorHAnsi" w:eastAsiaTheme="minorEastAsia" w:hAnsiTheme="minorHAnsi"/>
              <w:lang w:eastAsia="en-AU"/>
            </w:rPr>
          </w:pPr>
          <w:hyperlink w:anchor="_Toc120881029" w:history="1">
            <w:r w:rsidR="00AF7E35" w:rsidRPr="00A36322">
              <w:rPr>
                <w:rStyle w:val="Hyperlink"/>
                <w:rFonts w:eastAsia="Calibri"/>
                <w:i/>
                <w:iCs/>
              </w:rPr>
              <w:t>S</w:t>
            </w:r>
            <w:r w:rsidR="00AF7E35" w:rsidRPr="00A36322">
              <w:rPr>
                <w:rStyle w:val="Hyperlink"/>
                <w:i/>
                <w:iCs/>
              </w:rPr>
              <w:t>ecuritisation</w:t>
            </w:r>
            <w:r w:rsidR="00AF7E35">
              <w:rPr>
                <w:webHidden/>
              </w:rPr>
              <w:tab/>
            </w:r>
            <w:r w:rsidR="00AF7E35">
              <w:rPr>
                <w:webHidden/>
              </w:rPr>
              <w:fldChar w:fldCharType="begin"/>
            </w:r>
            <w:r w:rsidR="00AF7E35">
              <w:rPr>
                <w:webHidden/>
              </w:rPr>
              <w:instrText xml:space="preserve"> PAGEREF _Toc120881029 \h </w:instrText>
            </w:r>
            <w:r w:rsidR="00AF7E35">
              <w:rPr>
                <w:webHidden/>
              </w:rPr>
            </w:r>
            <w:r w:rsidR="00AF7E35">
              <w:rPr>
                <w:webHidden/>
              </w:rPr>
              <w:fldChar w:fldCharType="separate"/>
            </w:r>
            <w:r w:rsidR="00AF7E35">
              <w:rPr>
                <w:webHidden/>
              </w:rPr>
              <w:t>7</w:t>
            </w:r>
            <w:r w:rsidR="00AF7E35">
              <w:rPr>
                <w:webHidden/>
              </w:rPr>
              <w:fldChar w:fldCharType="end"/>
            </w:r>
          </w:hyperlink>
        </w:p>
        <w:p w14:paraId="3C971024" w14:textId="708F3B84" w:rsidR="00AF7E35" w:rsidRDefault="00D63611">
          <w:pPr>
            <w:pStyle w:val="TOC3"/>
            <w:rPr>
              <w:rFonts w:asciiTheme="minorHAnsi" w:eastAsiaTheme="minorEastAsia" w:hAnsiTheme="minorHAnsi"/>
              <w:lang w:eastAsia="en-AU"/>
            </w:rPr>
          </w:pPr>
          <w:hyperlink w:anchor="_Toc120881030" w:history="1">
            <w:r w:rsidR="00AF7E35" w:rsidRPr="00A36322">
              <w:rPr>
                <w:rStyle w:val="Hyperlink"/>
                <w:rFonts w:eastAsia="Calibri"/>
              </w:rPr>
              <w:t>What prod</w:t>
            </w:r>
            <w:r w:rsidR="00AF7E35" w:rsidRPr="00A36322">
              <w:rPr>
                <w:rStyle w:val="Hyperlink"/>
                <w:rFonts w:eastAsia="Calibri" w:cs="Times New Roman"/>
              </w:rPr>
              <w:t>ucts are in scope?</w:t>
            </w:r>
            <w:r w:rsidR="00AF7E35">
              <w:rPr>
                <w:webHidden/>
              </w:rPr>
              <w:tab/>
            </w:r>
            <w:r w:rsidR="00AF7E35">
              <w:rPr>
                <w:webHidden/>
              </w:rPr>
              <w:fldChar w:fldCharType="begin"/>
            </w:r>
            <w:r w:rsidR="00AF7E35">
              <w:rPr>
                <w:webHidden/>
              </w:rPr>
              <w:instrText xml:space="preserve"> PAGEREF _Toc120881030 \h </w:instrText>
            </w:r>
            <w:r w:rsidR="00AF7E35">
              <w:rPr>
                <w:webHidden/>
              </w:rPr>
            </w:r>
            <w:r w:rsidR="00AF7E35">
              <w:rPr>
                <w:webHidden/>
              </w:rPr>
              <w:fldChar w:fldCharType="separate"/>
            </w:r>
            <w:r w:rsidR="00AF7E35">
              <w:rPr>
                <w:webHidden/>
              </w:rPr>
              <w:t>8</w:t>
            </w:r>
            <w:r w:rsidR="00AF7E35">
              <w:rPr>
                <w:webHidden/>
              </w:rPr>
              <w:fldChar w:fldCharType="end"/>
            </w:r>
          </w:hyperlink>
        </w:p>
        <w:p w14:paraId="0A531A4F" w14:textId="3F073C70" w:rsidR="00AF7E35" w:rsidRDefault="00D63611">
          <w:pPr>
            <w:pStyle w:val="TOC3"/>
            <w:rPr>
              <w:rFonts w:asciiTheme="minorHAnsi" w:eastAsiaTheme="minorEastAsia" w:hAnsiTheme="minorHAnsi"/>
              <w:lang w:eastAsia="en-AU"/>
            </w:rPr>
          </w:pPr>
          <w:hyperlink w:anchor="_Toc120881031" w:history="1">
            <w:r w:rsidR="00AF7E35" w:rsidRPr="00A36322">
              <w:rPr>
                <w:rStyle w:val="Hyperlink"/>
                <w:rFonts w:eastAsia="Calibri"/>
              </w:rPr>
              <w:t>Dating sharing obligations in relation to trial products</w:t>
            </w:r>
            <w:r w:rsidR="00AF7E35">
              <w:rPr>
                <w:webHidden/>
              </w:rPr>
              <w:tab/>
            </w:r>
            <w:r w:rsidR="00AF7E35">
              <w:rPr>
                <w:webHidden/>
              </w:rPr>
              <w:fldChar w:fldCharType="begin"/>
            </w:r>
            <w:r w:rsidR="00AF7E35">
              <w:rPr>
                <w:webHidden/>
              </w:rPr>
              <w:instrText xml:space="preserve"> PAGEREF _Toc120881031 \h </w:instrText>
            </w:r>
            <w:r w:rsidR="00AF7E35">
              <w:rPr>
                <w:webHidden/>
              </w:rPr>
            </w:r>
            <w:r w:rsidR="00AF7E35">
              <w:rPr>
                <w:webHidden/>
              </w:rPr>
              <w:fldChar w:fldCharType="separate"/>
            </w:r>
            <w:r w:rsidR="00AF7E35">
              <w:rPr>
                <w:webHidden/>
              </w:rPr>
              <w:t>9</w:t>
            </w:r>
            <w:r w:rsidR="00AF7E35">
              <w:rPr>
                <w:webHidden/>
              </w:rPr>
              <w:fldChar w:fldCharType="end"/>
            </w:r>
          </w:hyperlink>
        </w:p>
        <w:p w14:paraId="31250B63" w14:textId="2EEC366B" w:rsidR="00AF7E35" w:rsidRDefault="00D63611">
          <w:pPr>
            <w:pStyle w:val="TOC3"/>
            <w:rPr>
              <w:rFonts w:asciiTheme="minorHAnsi" w:eastAsiaTheme="minorEastAsia" w:hAnsiTheme="minorHAnsi"/>
              <w:lang w:eastAsia="en-AU"/>
            </w:rPr>
          </w:pPr>
          <w:hyperlink w:anchor="_Toc120881032" w:history="1">
            <w:r w:rsidR="00AF7E35" w:rsidRPr="00A36322">
              <w:rPr>
                <w:rStyle w:val="Hyperlink"/>
                <w:rFonts w:eastAsia="Calibri"/>
              </w:rPr>
              <w:t xml:space="preserve">What is required data </w:t>
            </w:r>
            <w:r w:rsidR="00AF7E35" w:rsidRPr="00A36322">
              <w:rPr>
                <w:rStyle w:val="Hyperlink"/>
              </w:rPr>
              <w:t>sharing?</w:t>
            </w:r>
            <w:r w:rsidR="00AF7E35">
              <w:rPr>
                <w:webHidden/>
              </w:rPr>
              <w:tab/>
            </w:r>
            <w:r w:rsidR="00AF7E35">
              <w:rPr>
                <w:webHidden/>
              </w:rPr>
              <w:fldChar w:fldCharType="begin"/>
            </w:r>
            <w:r w:rsidR="00AF7E35">
              <w:rPr>
                <w:webHidden/>
              </w:rPr>
              <w:instrText xml:space="preserve"> PAGEREF _Toc120881032 \h </w:instrText>
            </w:r>
            <w:r w:rsidR="00AF7E35">
              <w:rPr>
                <w:webHidden/>
              </w:rPr>
            </w:r>
            <w:r w:rsidR="00AF7E35">
              <w:rPr>
                <w:webHidden/>
              </w:rPr>
              <w:fldChar w:fldCharType="separate"/>
            </w:r>
            <w:r w:rsidR="00AF7E35">
              <w:rPr>
                <w:webHidden/>
              </w:rPr>
              <w:t>10</w:t>
            </w:r>
            <w:r w:rsidR="00AF7E35">
              <w:rPr>
                <w:webHidden/>
              </w:rPr>
              <w:fldChar w:fldCharType="end"/>
            </w:r>
          </w:hyperlink>
        </w:p>
        <w:p w14:paraId="7532A1C3" w14:textId="54D6C52C" w:rsidR="00AF7E35" w:rsidRDefault="00D63611">
          <w:pPr>
            <w:pStyle w:val="TOC3"/>
            <w:rPr>
              <w:rFonts w:asciiTheme="minorHAnsi" w:eastAsiaTheme="minorEastAsia" w:hAnsiTheme="minorHAnsi"/>
              <w:lang w:eastAsia="en-AU"/>
            </w:rPr>
          </w:pPr>
          <w:hyperlink w:anchor="_Toc120881033" w:history="1">
            <w:r w:rsidR="00AF7E35" w:rsidRPr="00A36322">
              <w:rPr>
                <w:rStyle w:val="Hyperlink"/>
                <w:rFonts w:eastAsia="Calibri"/>
              </w:rPr>
              <w:t xml:space="preserve">Historical data and closed </w:t>
            </w:r>
            <w:r w:rsidR="00AF7E35" w:rsidRPr="00A36322">
              <w:rPr>
                <w:rStyle w:val="Hyperlink"/>
                <w:rFonts w:eastAsia="Calibri" w:cs="Times New Roman"/>
              </w:rPr>
              <w:t>accounts</w:t>
            </w:r>
            <w:r w:rsidR="00AF7E35">
              <w:rPr>
                <w:webHidden/>
              </w:rPr>
              <w:tab/>
            </w:r>
            <w:r w:rsidR="00AF7E35">
              <w:rPr>
                <w:webHidden/>
              </w:rPr>
              <w:fldChar w:fldCharType="begin"/>
            </w:r>
            <w:r w:rsidR="00AF7E35">
              <w:rPr>
                <w:webHidden/>
              </w:rPr>
              <w:instrText xml:space="preserve"> PAGEREF _Toc120881033 \h </w:instrText>
            </w:r>
            <w:r w:rsidR="00AF7E35">
              <w:rPr>
                <w:webHidden/>
              </w:rPr>
            </w:r>
            <w:r w:rsidR="00AF7E35">
              <w:rPr>
                <w:webHidden/>
              </w:rPr>
              <w:fldChar w:fldCharType="separate"/>
            </w:r>
            <w:r w:rsidR="00AF7E35">
              <w:rPr>
                <w:webHidden/>
              </w:rPr>
              <w:t>12</w:t>
            </w:r>
            <w:r w:rsidR="00AF7E35">
              <w:rPr>
                <w:webHidden/>
              </w:rPr>
              <w:fldChar w:fldCharType="end"/>
            </w:r>
          </w:hyperlink>
        </w:p>
        <w:p w14:paraId="3274BD03" w14:textId="4DCD3274" w:rsidR="00AF7E35" w:rsidRDefault="00D63611">
          <w:pPr>
            <w:pStyle w:val="TOC3"/>
            <w:rPr>
              <w:rFonts w:asciiTheme="minorHAnsi" w:eastAsiaTheme="minorEastAsia" w:hAnsiTheme="minorHAnsi"/>
              <w:lang w:eastAsia="en-AU"/>
            </w:rPr>
          </w:pPr>
          <w:hyperlink w:anchor="_Toc120881034" w:history="1">
            <w:r w:rsidR="00AF7E35" w:rsidRPr="00A36322">
              <w:rPr>
                <w:rStyle w:val="Hyperlink"/>
                <w:rFonts w:eastAsia="Calibri"/>
              </w:rPr>
              <w:t>What data is</w:t>
            </w:r>
            <w:r w:rsidR="00AF7E35" w:rsidRPr="00A36322">
              <w:rPr>
                <w:rStyle w:val="Hyperlink"/>
              </w:rPr>
              <w:t xml:space="preserve"> excluded from data sharing requirements?</w:t>
            </w:r>
            <w:r w:rsidR="00AF7E35">
              <w:rPr>
                <w:webHidden/>
              </w:rPr>
              <w:tab/>
            </w:r>
            <w:r w:rsidR="00AF7E35">
              <w:rPr>
                <w:webHidden/>
              </w:rPr>
              <w:fldChar w:fldCharType="begin"/>
            </w:r>
            <w:r w:rsidR="00AF7E35">
              <w:rPr>
                <w:webHidden/>
              </w:rPr>
              <w:instrText xml:space="preserve"> PAGEREF _Toc120881034 \h </w:instrText>
            </w:r>
            <w:r w:rsidR="00AF7E35">
              <w:rPr>
                <w:webHidden/>
              </w:rPr>
            </w:r>
            <w:r w:rsidR="00AF7E35">
              <w:rPr>
                <w:webHidden/>
              </w:rPr>
              <w:fldChar w:fldCharType="separate"/>
            </w:r>
            <w:r w:rsidR="00AF7E35">
              <w:rPr>
                <w:webHidden/>
              </w:rPr>
              <w:t>12</w:t>
            </w:r>
            <w:r w:rsidR="00AF7E35">
              <w:rPr>
                <w:webHidden/>
              </w:rPr>
              <w:fldChar w:fldCharType="end"/>
            </w:r>
          </w:hyperlink>
        </w:p>
        <w:p w14:paraId="4383E9A4" w14:textId="619E7E27" w:rsidR="00AF7E35" w:rsidRDefault="00D63611">
          <w:pPr>
            <w:pStyle w:val="TOC2"/>
            <w:rPr>
              <w:rFonts w:asciiTheme="minorHAnsi" w:eastAsiaTheme="minorEastAsia" w:hAnsiTheme="minorHAnsi"/>
              <w:lang w:eastAsia="en-AU"/>
            </w:rPr>
          </w:pPr>
          <w:hyperlink w:anchor="_Toc120881035" w:history="1">
            <w:r w:rsidR="00AF7E35" w:rsidRPr="00A36322">
              <w:rPr>
                <w:rStyle w:val="Hyperlink"/>
                <w:rFonts w:eastAsia="Calibri"/>
              </w:rPr>
              <w:t>Eligible CDR consumers in the non-bank lending sector</w:t>
            </w:r>
            <w:r w:rsidR="00AF7E35">
              <w:rPr>
                <w:webHidden/>
              </w:rPr>
              <w:tab/>
            </w:r>
            <w:r w:rsidR="00AF7E35">
              <w:rPr>
                <w:webHidden/>
              </w:rPr>
              <w:fldChar w:fldCharType="begin"/>
            </w:r>
            <w:r w:rsidR="00AF7E35">
              <w:rPr>
                <w:webHidden/>
              </w:rPr>
              <w:instrText xml:space="preserve"> PAGEREF _Toc120881035 \h </w:instrText>
            </w:r>
            <w:r w:rsidR="00AF7E35">
              <w:rPr>
                <w:webHidden/>
              </w:rPr>
            </w:r>
            <w:r w:rsidR="00AF7E35">
              <w:rPr>
                <w:webHidden/>
              </w:rPr>
              <w:fldChar w:fldCharType="separate"/>
            </w:r>
            <w:r w:rsidR="00AF7E35">
              <w:rPr>
                <w:webHidden/>
              </w:rPr>
              <w:t>13</w:t>
            </w:r>
            <w:r w:rsidR="00AF7E35">
              <w:rPr>
                <w:webHidden/>
              </w:rPr>
              <w:fldChar w:fldCharType="end"/>
            </w:r>
          </w:hyperlink>
        </w:p>
        <w:p w14:paraId="36A71258" w14:textId="7D968044" w:rsidR="00AF7E35" w:rsidRDefault="00D63611">
          <w:pPr>
            <w:pStyle w:val="TOC3"/>
            <w:rPr>
              <w:rFonts w:asciiTheme="minorHAnsi" w:eastAsiaTheme="minorEastAsia" w:hAnsiTheme="minorHAnsi"/>
              <w:lang w:eastAsia="en-AU"/>
            </w:rPr>
          </w:pPr>
          <w:hyperlink w:anchor="_Toc120881036" w:history="1">
            <w:r w:rsidR="00AF7E35" w:rsidRPr="00A36322">
              <w:rPr>
                <w:rStyle w:val="Hyperlink"/>
                <w:rFonts w:eastAsia="Calibri"/>
              </w:rPr>
              <w:t>Definition of eligible consumer</w:t>
            </w:r>
            <w:r w:rsidR="00AF7E35">
              <w:rPr>
                <w:webHidden/>
              </w:rPr>
              <w:tab/>
            </w:r>
            <w:r w:rsidR="00AF7E35">
              <w:rPr>
                <w:webHidden/>
              </w:rPr>
              <w:fldChar w:fldCharType="begin"/>
            </w:r>
            <w:r w:rsidR="00AF7E35">
              <w:rPr>
                <w:webHidden/>
              </w:rPr>
              <w:instrText xml:space="preserve"> PAGEREF _Toc120881036 \h </w:instrText>
            </w:r>
            <w:r w:rsidR="00AF7E35">
              <w:rPr>
                <w:webHidden/>
              </w:rPr>
            </w:r>
            <w:r w:rsidR="00AF7E35">
              <w:rPr>
                <w:webHidden/>
              </w:rPr>
              <w:fldChar w:fldCharType="separate"/>
            </w:r>
            <w:r w:rsidR="00AF7E35">
              <w:rPr>
                <w:webHidden/>
              </w:rPr>
              <w:t>13</w:t>
            </w:r>
            <w:r w:rsidR="00AF7E35">
              <w:rPr>
                <w:webHidden/>
              </w:rPr>
              <w:fldChar w:fldCharType="end"/>
            </w:r>
          </w:hyperlink>
        </w:p>
        <w:p w14:paraId="427784AC" w14:textId="221BBCA3" w:rsidR="00AF7E35" w:rsidRDefault="00D63611">
          <w:pPr>
            <w:pStyle w:val="TOC3"/>
            <w:rPr>
              <w:rFonts w:asciiTheme="minorHAnsi" w:eastAsiaTheme="minorEastAsia" w:hAnsiTheme="minorHAnsi"/>
              <w:lang w:eastAsia="en-AU"/>
            </w:rPr>
          </w:pPr>
          <w:hyperlink w:anchor="_Toc120881037" w:history="1">
            <w:r w:rsidR="00AF7E35" w:rsidRPr="00A36322">
              <w:rPr>
                <w:rStyle w:val="Hyperlink"/>
                <w:rFonts w:eastAsia="Calibri"/>
              </w:rPr>
              <w:t>Secondary users, joint accounts and nominated representatives</w:t>
            </w:r>
            <w:r w:rsidR="00AF7E35">
              <w:rPr>
                <w:webHidden/>
              </w:rPr>
              <w:tab/>
            </w:r>
            <w:r w:rsidR="00AF7E35">
              <w:rPr>
                <w:webHidden/>
              </w:rPr>
              <w:fldChar w:fldCharType="begin"/>
            </w:r>
            <w:r w:rsidR="00AF7E35">
              <w:rPr>
                <w:webHidden/>
              </w:rPr>
              <w:instrText xml:space="preserve"> PAGEREF _Toc120881037 \h </w:instrText>
            </w:r>
            <w:r w:rsidR="00AF7E35">
              <w:rPr>
                <w:webHidden/>
              </w:rPr>
            </w:r>
            <w:r w:rsidR="00AF7E35">
              <w:rPr>
                <w:webHidden/>
              </w:rPr>
              <w:fldChar w:fldCharType="separate"/>
            </w:r>
            <w:r w:rsidR="00AF7E35">
              <w:rPr>
                <w:webHidden/>
              </w:rPr>
              <w:t>14</w:t>
            </w:r>
            <w:r w:rsidR="00AF7E35">
              <w:rPr>
                <w:webHidden/>
              </w:rPr>
              <w:fldChar w:fldCharType="end"/>
            </w:r>
          </w:hyperlink>
        </w:p>
        <w:p w14:paraId="7E2997FE" w14:textId="7C5C5236" w:rsidR="00AF7E35" w:rsidRDefault="00D63611">
          <w:pPr>
            <w:pStyle w:val="TOC3"/>
            <w:rPr>
              <w:rFonts w:asciiTheme="minorHAnsi" w:eastAsiaTheme="minorEastAsia" w:hAnsiTheme="minorHAnsi"/>
              <w:lang w:eastAsia="en-AU"/>
            </w:rPr>
          </w:pPr>
          <w:hyperlink w:anchor="_Toc120881038" w:history="1">
            <w:r w:rsidR="00AF7E35" w:rsidRPr="00A36322">
              <w:rPr>
                <w:rStyle w:val="Hyperlink"/>
                <w:rFonts w:eastAsia="Calibri"/>
              </w:rPr>
              <w:t>L</w:t>
            </w:r>
            <w:r w:rsidR="00AF7E35" w:rsidRPr="00A36322">
              <w:rPr>
                <w:rStyle w:val="Hyperlink"/>
              </w:rPr>
              <w:t>arge corporate accounts</w:t>
            </w:r>
            <w:r w:rsidR="00AF7E35">
              <w:rPr>
                <w:webHidden/>
              </w:rPr>
              <w:tab/>
            </w:r>
            <w:r w:rsidR="00AF7E35">
              <w:rPr>
                <w:webHidden/>
              </w:rPr>
              <w:fldChar w:fldCharType="begin"/>
            </w:r>
            <w:r w:rsidR="00AF7E35">
              <w:rPr>
                <w:webHidden/>
              </w:rPr>
              <w:instrText xml:space="preserve"> PAGEREF _Toc120881038 \h </w:instrText>
            </w:r>
            <w:r w:rsidR="00AF7E35">
              <w:rPr>
                <w:webHidden/>
              </w:rPr>
            </w:r>
            <w:r w:rsidR="00AF7E35">
              <w:rPr>
                <w:webHidden/>
              </w:rPr>
              <w:fldChar w:fldCharType="separate"/>
            </w:r>
            <w:r w:rsidR="00AF7E35">
              <w:rPr>
                <w:webHidden/>
              </w:rPr>
              <w:t>14</w:t>
            </w:r>
            <w:r w:rsidR="00AF7E35">
              <w:rPr>
                <w:webHidden/>
              </w:rPr>
              <w:fldChar w:fldCharType="end"/>
            </w:r>
          </w:hyperlink>
        </w:p>
        <w:p w14:paraId="1CB8DF7D" w14:textId="240A177E" w:rsidR="00AF7E35" w:rsidRDefault="00D63611">
          <w:pPr>
            <w:pStyle w:val="TOC2"/>
            <w:rPr>
              <w:rFonts w:asciiTheme="minorHAnsi" w:eastAsiaTheme="minorEastAsia" w:hAnsiTheme="minorHAnsi"/>
              <w:lang w:eastAsia="en-AU"/>
            </w:rPr>
          </w:pPr>
          <w:hyperlink w:anchor="_Toc120881039" w:history="1">
            <w:r w:rsidR="00AF7E35" w:rsidRPr="00A36322">
              <w:rPr>
                <w:rStyle w:val="Hyperlink"/>
                <w:rFonts w:eastAsia="Calibri"/>
              </w:rPr>
              <w:t>Other design issues for the non-bank lending sector</w:t>
            </w:r>
            <w:r w:rsidR="00AF7E35">
              <w:rPr>
                <w:webHidden/>
              </w:rPr>
              <w:tab/>
            </w:r>
            <w:r w:rsidR="00AF7E35">
              <w:rPr>
                <w:webHidden/>
              </w:rPr>
              <w:fldChar w:fldCharType="begin"/>
            </w:r>
            <w:r w:rsidR="00AF7E35">
              <w:rPr>
                <w:webHidden/>
              </w:rPr>
              <w:instrText xml:space="preserve"> PAGEREF _Toc120881039 \h </w:instrText>
            </w:r>
            <w:r w:rsidR="00AF7E35">
              <w:rPr>
                <w:webHidden/>
              </w:rPr>
            </w:r>
            <w:r w:rsidR="00AF7E35">
              <w:rPr>
                <w:webHidden/>
              </w:rPr>
              <w:fldChar w:fldCharType="separate"/>
            </w:r>
            <w:r w:rsidR="00AF7E35">
              <w:rPr>
                <w:webHidden/>
              </w:rPr>
              <w:t>15</w:t>
            </w:r>
            <w:r w:rsidR="00AF7E35">
              <w:rPr>
                <w:webHidden/>
              </w:rPr>
              <w:fldChar w:fldCharType="end"/>
            </w:r>
          </w:hyperlink>
        </w:p>
        <w:p w14:paraId="7B628DC2" w14:textId="15076947" w:rsidR="00AF7E35" w:rsidRDefault="00D63611">
          <w:pPr>
            <w:pStyle w:val="TOC3"/>
            <w:rPr>
              <w:rFonts w:asciiTheme="minorHAnsi" w:eastAsiaTheme="minorEastAsia" w:hAnsiTheme="minorHAnsi"/>
              <w:lang w:eastAsia="en-AU"/>
            </w:rPr>
          </w:pPr>
          <w:hyperlink w:anchor="_Toc120881040" w:history="1">
            <w:r w:rsidR="00AF7E35" w:rsidRPr="00A36322">
              <w:rPr>
                <w:rStyle w:val="Hyperlink"/>
                <w:rFonts w:eastAsia="Calibri"/>
              </w:rPr>
              <w:t>S</w:t>
            </w:r>
            <w:r w:rsidR="00AF7E35" w:rsidRPr="00A36322">
              <w:rPr>
                <w:rStyle w:val="Hyperlink"/>
              </w:rPr>
              <w:t>taged implementation</w:t>
            </w:r>
            <w:r w:rsidR="00AF7E35">
              <w:rPr>
                <w:webHidden/>
              </w:rPr>
              <w:tab/>
            </w:r>
            <w:r w:rsidR="00AF7E35">
              <w:rPr>
                <w:webHidden/>
              </w:rPr>
              <w:fldChar w:fldCharType="begin"/>
            </w:r>
            <w:r w:rsidR="00AF7E35">
              <w:rPr>
                <w:webHidden/>
              </w:rPr>
              <w:instrText xml:space="preserve"> PAGEREF _Toc120881040 \h </w:instrText>
            </w:r>
            <w:r w:rsidR="00AF7E35">
              <w:rPr>
                <w:webHidden/>
              </w:rPr>
            </w:r>
            <w:r w:rsidR="00AF7E35">
              <w:rPr>
                <w:webHidden/>
              </w:rPr>
              <w:fldChar w:fldCharType="separate"/>
            </w:r>
            <w:r w:rsidR="00AF7E35">
              <w:rPr>
                <w:webHidden/>
              </w:rPr>
              <w:t>15</w:t>
            </w:r>
            <w:r w:rsidR="00AF7E35">
              <w:rPr>
                <w:webHidden/>
              </w:rPr>
              <w:fldChar w:fldCharType="end"/>
            </w:r>
          </w:hyperlink>
        </w:p>
        <w:p w14:paraId="0EE53308" w14:textId="70B78E01" w:rsidR="00AF7E35" w:rsidRDefault="00D63611">
          <w:pPr>
            <w:pStyle w:val="TOC3"/>
            <w:rPr>
              <w:rFonts w:asciiTheme="minorHAnsi" w:eastAsiaTheme="minorEastAsia" w:hAnsiTheme="minorHAnsi"/>
              <w:lang w:eastAsia="en-AU"/>
            </w:rPr>
          </w:pPr>
          <w:hyperlink w:anchor="_Toc120881041" w:history="1">
            <w:r w:rsidR="00AF7E35" w:rsidRPr="00A36322">
              <w:rPr>
                <w:rStyle w:val="Hyperlink"/>
                <w:rFonts w:eastAsia="Calibri"/>
              </w:rPr>
              <w:t>Internal dispute resolution</w:t>
            </w:r>
            <w:r w:rsidR="00AF7E35">
              <w:rPr>
                <w:webHidden/>
              </w:rPr>
              <w:tab/>
            </w:r>
            <w:r w:rsidR="00AF7E35">
              <w:rPr>
                <w:webHidden/>
              </w:rPr>
              <w:fldChar w:fldCharType="begin"/>
            </w:r>
            <w:r w:rsidR="00AF7E35">
              <w:rPr>
                <w:webHidden/>
              </w:rPr>
              <w:instrText xml:space="preserve"> PAGEREF _Toc120881041 \h </w:instrText>
            </w:r>
            <w:r w:rsidR="00AF7E35">
              <w:rPr>
                <w:webHidden/>
              </w:rPr>
            </w:r>
            <w:r w:rsidR="00AF7E35">
              <w:rPr>
                <w:webHidden/>
              </w:rPr>
              <w:fldChar w:fldCharType="separate"/>
            </w:r>
            <w:r w:rsidR="00AF7E35">
              <w:rPr>
                <w:webHidden/>
              </w:rPr>
              <w:t>16</w:t>
            </w:r>
            <w:r w:rsidR="00AF7E35">
              <w:rPr>
                <w:webHidden/>
              </w:rPr>
              <w:fldChar w:fldCharType="end"/>
            </w:r>
          </w:hyperlink>
        </w:p>
        <w:p w14:paraId="09E36E96" w14:textId="0320A04E" w:rsidR="00AF7E35" w:rsidRDefault="00D63611">
          <w:pPr>
            <w:pStyle w:val="TOC3"/>
            <w:rPr>
              <w:rFonts w:asciiTheme="minorHAnsi" w:eastAsiaTheme="minorEastAsia" w:hAnsiTheme="minorHAnsi"/>
              <w:lang w:eastAsia="en-AU"/>
            </w:rPr>
          </w:pPr>
          <w:hyperlink w:anchor="_Toc120881042" w:history="1">
            <w:r w:rsidR="00AF7E35" w:rsidRPr="00A36322">
              <w:rPr>
                <w:rStyle w:val="Hyperlink"/>
                <w:rFonts w:eastAsia="Calibri"/>
              </w:rPr>
              <w:t>External dispute resolution</w:t>
            </w:r>
            <w:r w:rsidR="00AF7E35">
              <w:rPr>
                <w:webHidden/>
              </w:rPr>
              <w:tab/>
            </w:r>
            <w:r w:rsidR="00AF7E35">
              <w:rPr>
                <w:webHidden/>
              </w:rPr>
              <w:fldChar w:fldCharType="begin"/>
            </w:r>
            <w:r w:rsidR="00AF7E35">
              <w:rPr>
                <w:webHidden/>
              </w:rPr>
              <w:instrText xml:space="preserve"> PAGEREF _Toc120881042 \h </w:instrText>
            </w:r>
            <w:r w:rsidR="00AF7E35">
              <w:rPr>
                <w:webHidden/>
              </w:rPr>
            </w:r>
            <w:r w:rsidR="00AF7E35">
              <w:rPr>
                <w:webHidden/>
              </w:rPr>
              <w:fldChar w:fldCharType="separate"/>
            </w:r>
            <w:r w:rsidR="00AF7E35">
              <w:rPr>
                <w:webHidden/>
              </w:rPr>
              <w:t>16</w:t>
            </w:r>
            <w:r w:rsidR="00AF7E35">
              <w:rPr>
                <w:webHidden/>
              </w:rPr>
              <w:fldChar w:fldCharType="end"/>
            </w:r>
          </w:hyperlink>
        </w:p>
        <w:p w14:paraId="75161834" w14:textId="166673CC" w:rsidR="00AF7E35" w:rsidRDefault="00D63611">
          <w:pPr>
            <w:pStyle w:val="TOC3"/>
            <w:rPr>
              <w:rFonts w:asciiTheme="minorHAnsi" w:eastAsiaTheme="minorEastAsia" w:hAnsiTheme="minorHAnsi"/>
              <w:lang w:eastAsia="en-AU"/>
            </w:rPr>
          </w:pPr>
          <w:hyperlink w:anchor="_Toc120881043" w:history="1">
            <w:r w:rsidR="00AF7E35" w:rsidRPr="00A36322">
              <w:rPr>
                <w:rStyle w:val="Hyperlink"/>
              </w:rPr>
              <w:t>Additional consumer protection measures</w:t>
            </w:r>
            <w:r w:rsidR="00AF7E35">
              <w:rPr>
                <w:webHidden/>
              </w:rPr>
              <w:tab/>
            </w:r>
            <w:r w:rsidR="00AF7E35">
              <w:rPr>
                <w:webHidden/>
              </w:rPr>
              <w:fldChar w:fldCharType="begin"/>
            </w:r>
            <w:r w:rsidR="00AF7E35">
              <w:rPr>
                <w:webHidden/>
              </w:rPr>
              <w:instrText xml:space="preserve"> PAGEREF _Toc120881043 \h </w:instrText>
            </w:r>
            <w:r w:rsidR="00AF7E35">
              <w:rPr>
                <w:webHidden/>
              </w:rPr>
            </w:r>
            <w:r w:rsidR="00AF7E35">
              <w:rPr>
                <w:webHidden/>
              </w:rPr>
              <w:fldChar w:fldCharType="separate"/>
            </w:r>
            <w:r w:rsidR="00AF7E35">
              <w:rPr>
                <w:webHidden/>
              </w:rPr>
              <w:t>17</w:t>
            </w:r>
            <w:r w:rsidR="00AF7E35">
              <w:rPr>
                <w:webHidden/>
              </w:rPr>
              <w:fldChar w:fldCharType="end"/>
            </w:r>
          </w:hyperlink>
        </w:p>
        <w:p w14:paraId="6BAB6711" w14:textId="3F05B3EC" w:rsidR="00AF7E35" w:rsidRDefault="00D63611">
          <w:pPr>
            <w:pStyle w:val="TOC2"/>
            <w:rPr>
              <w:rFonts w:asciiTheme="minorHAnsi" w:eastAsiaTheme="minorEastAsia" w:hAnsiTheme="minorHAnsi"/>
              <w:lang w:eastAsia="en-AU"/>
            </w:rPr>
          </w:pPr>
          <w:hyperlink w:anchor="_Toc120881044" w:history="1">
            <w:r w:rsidR="00AF7E35" w:rsidRPr="00A36322">
              <w:rPr>
                <w:rStyle w:val="Hyperlink"/>
              </w:rPr>
              <w:t>Technical Data Standards considerations</w:t>
            </w:r>
            <w:r w:rsidR="00AF7E35">
              <w:rPr>
                <w:webHidden/>
              </w:rPr>
              <w:tab/>
            </w:r>
            <w:r w:rsidR="00AF7E35">
              <w:rPr>
                <w:webHidden/>
              </w:rPr>
              <w:fldChar w:fldCharType="begin"/>
            </w:r>
            <w:r w:rsidR="00AF7E35">
              <w:rPr>
                <w:webHidden/>
              </w:rPr>
              <w:instrText xml:space="preserve"> PAGEREF _Toc120881044 \h </w:instrText>
            </w:r>
            <w:r w:rsidR="00AF7E35">
              <w:rPr>
                <w:webHidden/>
              </w:rPr>
            </w:r>
            <w:r w:rsidR="00AF7E35">
              <w:rPr>
                <w:webHidden/>
              </w:rPr>
              <w:fldChar w:fldCharType="separate"/>
            </w:r>
            <w:r w:rsidR="00AF7E35">
              <w:rPr>
                <w:webHidden/>
              </w:rPr>
              <w:t>17</w:t>
            </w:r>
            <w:r w:rsidR="00AF7E35">
              <w:rPr>
                <w:webHidden/>
              </w:rPr>
              <w:fldChar w:fldCharType="end"/>
            </w:r>
          </w:hyperlink>
        </w:p>
        <w:p w14:paraId="299DF1D6" w14:textId="4CA2BE10" w:rsidR="00AF7E35" w:rsidRDefault="00D63611">
          <w:pPr>
            <w:pStyle w:val="TOC3"/>
            <w:rPr>
              <w:rFonts w:asciiTheme="minorHAnsi" w:eastAsiaTheme="minorEastAsia" w:hAnsiTheme="minorHAnsi"/>
              <w:lang w:eastAsia="en-AU"/>
            </w:rPr>
          </w:pPr>
          <w:hyperlink w:anchor="_Toc120881045" w:history="1">
            <w:r w:rsidR="00AF7E35" w:rsidRPr="00A36322">
              <w:rPr>
                <w:rStyle w:val="Hyperlink"/>
              </w:rPr>
              <w:t>Consumer experience considerations</w:t>
            </w:r>
            <w:r w:rsidR="00AF7E35">
              <w:rPr>
                <w:webHidden/>
              </w:rPr>
              <w:tab/>
            </w:r>
            <w:r w:rsidR="00AF7E35">
              <w:rPr>
                <w:webHidden/>
              </w:rPr>
              <w:fldChar w:fldCharType="begin"/>
            </w:r>
            <w:r w:rsidR="00AF7E35">
              <w:rPr>
                <w:webHidden/>
              </w:rPr>
              <w:instrText xml:space="preserve"> PAGEREF _Toc120881045 \h </w:instrText>
            </w:r>
            <w:r w:rsidR="00AF7E35">
              <w:rPr>
                <w:webHidden/>
              </w:rPr>
            </w:r>
            <w:r w:rsidR="00AF7E35">
              <w:rPr>
                <w:webHidden/>
              </w:rPr>
              <w:fldChar w:fldCharType="separate"/>
            </w:r>
            <w:r w:rsidR="00AF7E35">
              <w:rPr>
                <w:webHidden/>
              </w:rPr>
              <w:t>18</w:t>
            </w:r>
            <w:r w:rsidR="00AF7E35">
              <w:rPr>
                <w:webHidden/>
              </w:rPr>
              <w:fldChar w:fldCharType="end"/>
            </w:r>
          </w:hyperlink>
        </w:p>
        <w:p w14:paraId="3B03274C" w14:textId="2B535F8F" w:rsidR="000E6A48" w:rsidRDefault="000E6A48" w:rsidP="000E6A48">
          <w:pPr>
            <w:rPr>
              <w:b/>
              <w:noProof/>
            </w:rPr>
          </w:pPr>
          <w:r>
            <w:rPr>
              <w:b/>
              <w:bCs/>
              <w:noProof/>
            </w:rPr>
            <w:fldChar w:fldCharType="end"/>
          </w:r>
        </w:p>
      </w:sdtContent>
    </w:sdt>
    <w:bookmarkEnd w:id="0"/>
    <w:p w14:paraId="42324883" w14:textId="77777777" w:rsidR="00901220" w:rsidRDefault="00901220" w:rsidP="0074592B">
      <w:pPr>
        <w:pStyle w:val="Heading2"/>
        <w:sectPr w:rsidR="00901220" w:rsidSect="00114B0F">
          <w:footerReference w:type="default" r:id="rId15"/>
          <w:pgSz w:w="11906" w:h="16838"/>
          <w:pgMar w:top="1440" w:right="1440" w:bottom="1440" w:left="1440" w:header="708" w:footer="708" w:gutter="0"/>
          <w:cols w:space="708"/>
          <w:docGrid w:linePitch="360"/>
        </w:sectPr>
      </w:pPr>
    </w:p>
    <w:p w14:paraId="408442EE" w14:textId="3D913D99" w:rsidR="0074592B" w:rsidRDefault="007A21B5" w:rsidP="00F66318">
      <w:pPr>
        <w:pStyle w:val="Heading2"/>
        <w:spacing w:before="0"/>
      </w:pPr>
      <w:bookmarkStart w:id="2" w:name="_Toc120881020"/>
      <w:r>
        <w:lastRenderedPageBreak/>
        <w:t>P</w:t>
      </w:r>
      <w:r w:rsidR="00B97AA7">
        <w:t>urpose of design paper</w:t>
      </w:r>
      <w:bookmarkEnd w:id="2"/>
    </w:p>
    <w:p w14:paraId="2C358E4B" w14:textId="1B45B784" w:rsidR="0074592B" w:rsidRDefault="00122DFC">
      <w:bookmarkStart w:id="3" w:name="_Hlk118116867"/>
      <w:r>
        <w:t xml:space="preserve">This design paper commences the next stage in rolling out the </w:t>
      </w:r>
      <w:r w:rsidR="00097C6B" w:rsidRPr="00DC70B5">
        <w:t>Consumer Data Right (</w:t>
      </w:r>
      <w:r w:rsidR="00097C6B">
        <w:t xml:space="preserve">the </w:t>
      </w:r>
      <w:r w:rsidR="00097C6B" w:rsidRPr="00DC70B5">
        <w:t>CDR)</w:t>
      </w:r>
      <w:r w:rsidR="00901220">
        <w:t xml:space="preserve"> </w:t>
      </w:r>
      <w:r>
        <w:t xml:space="preserve">to the non-bank lending sector. </w:t>
      </w:r>
      <w:r w:rsidR="00F454B1">
        <w:t>Th</w:t>
      </w:r>
      <w:r w:rsidR="00097C6B">
        <w:t>is</w:t>
      </w:r>
      <w:r w:rsidR="00F454B1">
        <w:t xml:space="preserve"> paper seeks </w:t>
      </w:r>
      <w:r w:rsidR="00F454B1" w:rsidRPr="00273522">
        <w:t xml:space="preserve">feedback on the </w:t>
      </w:r>
      <w:r w:rsidR="00F454B1">
        <w:t>proposed policy specifications or principles to</w:t>
      </w:r>
      <w:r w:rsidR="00F454B1" w:rsidRPr="00273522">
        <w:t xml:space="preserve"> support the development of sector</w:t>
      </w:r>
      <w:r w:rsidR="00F454B1">
        <w:t>-</w:t>
      </w:r>
      <w:r w:rsidR="00F454B1" w:rsidRPr="00273522">
        <w:t>specific rules and data standards to implement the CDR in the non-bank lending sector</w:t>
      </w:r>
      <w:r w:rsidR="00EF252C">
        <w:t>.</w:t>
      </w:r>
      <w:r w:rsidR="00EF5111">
        <w:t xml:space="preserve"> </w:t>
      </w:r>
    </w:p>
    <w:p w14:paraId="51B9C63C" w14:textId="48C3815C" w:rsidR="00C843D6" w:rsidRDefault="00C843D6" w:rsidP="005F7AC7">
      <w:pPr>
        <w:pStyle w:val="Heading3"/>
      </w:pPr>
      <w:bookmarkStart w:id="4" w:name="_Toc120881021"/>
      <w:bookmarkEnd w:id="3"/>
      <w:r>
        <w:t>Extending CDR to a new sector</w:t>
      </w:r>
      <w:bookmarkEnd w:id="4"/>
    </w:p>
    <w:p w14:paraId="388F9F34" w14:textId="1ACDF822" w:rsidR="00C843D6" w:rsidRDefault="0099039E">
      <w:r w:rsidRPr="0099039E">
        <w:rPr>
          <w:rFonts w:ascii="Calibri" w:eastAsia="Calibri" w:hAnsi="Calibri" w:cs="Times New Roman"/>
          <w:noProof/>
        </w:rPr>
        <w:drawing>
          <wp:inline distT="0" distB="0" distL="0" distR="0" wp14:anchorId="09AC512D" wp14:editId="631F95B6">
            <wp:extent cx="5962650" cy="923925"/>
            <wp:effectExtent l="19050" t="0" r="19050" b="0"/>
            <wp:docPr id="12" name="Diagram 12">
              <a:extLst xmlns:a="http://schemas.openxmlformats.org/drawingml/2006/main">
                <a:ext uri="{FF2B5EF4-FFF2-40B4-BE49-F238E27FC236}">
                  <a16:creationId xmlns:a16="http://schemas.microsoft.com/office/drawing/2014/main" id="{37F790F3-12C3-49FC-882B-1DF7A3D9259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60B1A33" w14:textId="77777777" w:rsidR="0074592B" w:rsidRPr="0074592B" w:rsidRDefault="0074592B" w:rsidP="0074592B">
      <w:pPr>
        <w:spacing w:before="0"/>
      </w:pPr>
    </w:p>
    <w:p w14:paraId="1E86D274" w14:textId="7EAF3B0F" w:rsidR="00DC70B5" w:rsidRPr="00DC70B5" w:rsidRDefault="00365C10" w:rsidP="00DC70B5">
      <w:pPr>
        <w:pStyle w:val="Bullet"/>
        <w:numPr>
          <w:ilvl w:val="0"/>
          <w:numId w:val="0"/>
        </w:numPr>
      </w:pPr>
      <w:r w:rsidRPr="00B24C76">
        <w:t xml:space="preserve">On </w:t>
      </w:r>
      <w:r w:rsidR="00782AE3">
        <w:t>21</w:t>
      </w:r>
      <w:r w:rsidR="0071792F" w:rsidRPr="00B24C76">
        <w:t xml:space="preserve"> November</w:t>
      </w:r>
      <w:r w:rsidRPr="00DC70B5">
        <w:t xml:space="preserve"> 2022, the Assistant Treasurer and Minister for Financial Services </w:t>
      </w:r>
      <w:r w:rsidR="0071792F">
        <w:t xml:space="preserve">formally designated the non-bank lending sector </w:t>
      </w:r>
      <w:r w:rsidR="00DA2FFD">
        <w:t xml:space="preserve">as subject </w:t>
      </w:r>
      <w:r w:rsidR="0071792F">
        <w:t>to the</w:t>
      </w:r>
      <w:r w:rsidRPr="00DC70B5">
        <w:t xml:space="preserve"> </w:t>
      </w:r>
      <w:r w:rsidR="00097C6B">
        <w:t>CDR.</w:t>
      </w:r>
    </w:p>
    <w:p w14:paraId="01C4CFA0" w14:textId="23243B66" w:rsidR="00365C10" w:rsidRPr="00DC70B5" w:rsidRDefault="00365C10" w:rsidP="00365C10">
      <w:pPr>
        <w:pStyle w:val="Bullet"/>
        <w:numPr>
          <w:ilvl w:val="0"/>
          <w:numId w:val="0"/>
        </w:numPr>
      </w:pPr>
      <w:r w:rsidRPr="00DC70B5">
        <w:t xml:space="preserve">The </w:t>
      </w:r>
      <w:r w:rsidR="00DA2FFD" w:rsidRPr="00DA2FFD">
        <w:rPr>
          <w:i/>
          <w:iCs/>
        </w:rPr>
        <w:t>Consumer Data Right (Non-Bank Lenders) Designation 2022</w:t>
      </w:r>
      <w:r w:rsidRPr="00DC70B5">
        <w:t xml:space="preserve"> </w:t>
      </w:r>
      <w:r w:rsidR="001C08A9">
        <w:t xml:space="preserve">(the Designation Instrument) </w:t>
      </w:r>
      <w:r w:rsidRPr="00DC70B5">
        <w:t>specifie</w:t>
      </w:r>
      <w:r w:rsidR="00DA2FFD">
        <w:t>s</w:t>
      </w:r>
      <w:r w:rsidRPr="00DC70B5">
        <w:t xml:space="preserve"> the classes of information that may be shared through the CDR, as well as </w:t>
      </w:r>
      <w:r w:rsidR="009C55B9">
        <w:t xml:space="preserve">the </w:t>
      </w:r>
      <w:r w:rsidRPr="00DC70B5">
        <w:t>non-bank lender</w:t>
      </w:r>
      <w:r w:rsidR="009C55B9">
        <w:t>s</w:t>
      </w:r>
      <w:r w:rsidRPr="00DC70B5">
        <w:t xml:space="preserve"> </w:t>
      </w:r>
      <w:r w:rsidR="009C55B9">
        <w:t xml:space="preserve">that may be </w:t>
      </w:r>
      <w:r w:rsidRPr="00DC70B5">
        <w:t xml:space="preserve">data holders. The </w:t>
      </w:r>
      <w:r w:rsidR="00F73081">
        <w:t>D</w:t>
      </w:r>
      <w:r w:rsidRPr="00DC70B5">
        <w:t xml:space="preserve">esignation </w:t>
      </w:r>
      <w:r w:rsidR="00F73081">
        <w:t>I</w:t>
      </w:r>
      <w:r w:rsidRPr="00DC70B5">
        <w:t xml:space="preserve">nstrument itself does not impose data sharing obligations. The requirement to disclose </w:t>
      </w:r>
      <w:proofErr w:type="gramStart"/>
      <w:r w:rsidRPr="00DC70B5">
        <w:t>particular data</w:t>
      </w:r>
      <w:proofErr w:type="gramEnd"/>
      <w:r w:rsidRPr="00DC70B5">
        <w:t xml:space="preserve"> </w:t>
      </w:r>
      <w:r w:rsidR="00F73081">
        <w:t xml:space="preserve">(CDR data) </w:t>
      </w:r>
      <w:r w:rsidRPr="00DC70B5">
        <w:t xml:space="preserve">emanates from the </w:t>
      </w:r>
      <w:hyperlink r:id="rId21" w:history="1">
        <w:r w:rsidRPr="00273522">
          <w:rPr>
            <w:rStyle w:val="Hyperlink"/>
            <w:rFonts w:asciiTheme="minorHAnsi" w:hAnsiTheme="minorHAnsi"/>
            <w:i/>
            <w:iCs/>
          </w:rPr>
          <w:t>Competition and Consumer (Consumer Data Right) Rules 2020</w:t>
        </w:r>
      </w:hyperlink>
      <w:r w:rsidRPr="00DC70B5">
        <w:t xml:space="preserve"> (the Rules), which provide the framework for </w:t>
      </w:r>
      <w:r w:rsidR="009C55B9">
        <w:t>the operation of</w:t>
      </w:r>
      <w:r w:rsidRPr="00DC70B5">
        <w:t xml:space="preserve"> the CDR. </w:t>
      </w:r>
    </w:p>
    <w:p w14:paraId="67513FC8" w14:textId="0AB6D632" w:rsidR="00F73081" w:rsidRDefault="00F91363" w:rsidP="00365C10">
      <w:pPr>
        <w:pStyle w:val="Bullet"/>
        <w:numPr>
          <w:ilvl w:val="0"/>
          <w:numId w:val="0"/>
        </w:numPr>
      </w:pPr>
      <w:bookmarkStart w:id="5" w:name="_Hlk119054106"/>
      <w:r w:rsidRPr="004A54EA">
        <w:t xml:space="preserve">The Rules </w:t>
      </w:r>
      <w:r w:rsidR="009C55B9">
        <w:t>consist of</w:t>
      </w:r>
      <w:r w:rsidRPr="004A54EA">
        <w:t xml:space="preserve"> core rules, which have been developed to apply universally </w:t>
      </w:r>
      <w:r w:rsidR="00365C10" w:rsidRPr="004A54EA">
        <w:rPr>
          <w:rFonts w:eastAsia="Calibri"/>
        </w:rPr>
        <w:t xml:space="preserve">across all sectors of the economy, </w:t>
      </w:r>
      <w:r w:rsidRPr="004A54EA">
        <w:rPr>
          <w:rFonts w:eastAsia="Calibri"/>
        </w:rPr>
        <w:t>and sector</w:t>
      </w:r>
      <w:r w:rsidR="009C55B9">
        <w:rPr>
          <w:rFonts w:eastAsia="Calibri"/>
        </w:rPr>
        <w:t>-</w:t>
      </w:r>
      <w:r w:rsidRPr="004A54EA">
        <w:rPr>
          <w:rFonts w:eastAsia="Calibri"/>
        </w:rPr>
        <w:t>specific rules (</w:t>
      </w:r>
      <w:r w:rsidR="009C55B9">
        <w:rPr>
          <w:rFonts w:eastAsia="Calibri"/>
        </w:rPr>
        <w:t>set out in</w:t>
      </w:r>
      <w:r w:rsidRPr="004A54EA">
        <w:rPr>
          <w:rFonts w:eastAsia="Calibri"/>
        </w:rPr>
        <w:t xml:space="preserve"> </w:t>
      </w:r>
      <w:r w:rsidR="00975545">
        <w:rPr>
          <w:rFonts w:eastAsia="Calibri"/>
        </w:rPr>
        <w:t>S</w:t>
      </w:r>
      <w:r w:rsidRPr="004A54EA">
        <w:rPr>
          <w:rFonts w:eastAsia="Calibri"/>
        </w:rPr>
        <w:t>chedules</w:t>
      </w:r>
      <w:r w:rsidR="009C55B9">
        <w:rPr>
          <w:rFonts w:eastAsia="Calibri"/>
        </w:rPr>
        <w:t xml:space="preserve"> to the Rules</w:t>
      </w:r>
      <w:r w:rsidRPr="004A54EA">
        <w:rPr>
          <w:rFonts w:eastAsia="Calibri"/>
        </w:rPr>
        <w:t>)</w:t>
      </w:r>
      <w:r w:rsidR="00397B6B" w:rsidRPr="004A54EA">
        <w:rPr>
          <w:rFonts w:eastAsia="Calibri"/>
        </w:rPr>
        <w:t>.</w:t>
      </w:r>
      <w:r w:rsidR="00397B6B" w:rsidRPr="00DC70B5">
        <w:rPr>
          <w:rFonts w:eastAsia="Calibri"/>
        </w:rPr>
        <w:t xml:space="preserve"> </w:t>
      </w:r>
      <w:bookmarkStart w:id="6" w:name="_Hlk119055877"/>
      <w:r w:rsidR="00397B6B" w:rsidRPr="00DC70B5">
        <w:rPr>
          <w:rFonts w:eastAsia="Calibri"/>
        </w:rPr>
        <w:t>The</w:t>
      </w:r>
      <w:r w:rsidR="00365C10" w:rsidRPr="00DC70B5">
        <w:rPr>
          <w:rFonts w:eastAsia="Calibri"/>
        </w:rPr>
        <w:t xml:space="preserve"> </w:t>
      </w:r>
      <w:r w:rsidR="004B1ADA">
        <w:rPr>
          <w:rFonts w:eastAsia="Calibri"/>
        </w:rPr>
        <w:t>R</w:t>
      </w:r>
      <w:r w:rsidR="004B1ADA" w:rsidRPr="00DC70B5">
        <w:rPr>
          <w:rFonts w:eastAsia="Calibri"/>
        </w:rPr>
        <w:t>ules</w:t>
      </w:r>
      <w:r w:rsidR="00365C10" w:rsidRPr="00DC70B5">
        <w:rPr>
          <w:rFonts w:eastAsia="Calibri"/>
        </w:rPr>
        <w:t xml:space="preserve"> for the non-bank lending sector </w:t>
      </w:r>
      <w:r w:rsidR="00365C10" w:rsidRPr="00DC70B5">
        <w:t xml:space="preserve">will </w:t>
      </w:r>
      <w:r w:rsidR="00F73081">
        <w:t>include</w:t>
      </w:r>
      <w:r w:rsidR="00D44051">
        <w:t xml:space="preserve"> defined terms for the sector; eligibility requirements for CDR consumers in the sector; the data</w:t>
      </w:r>
      <w:r w:rsidR="00F73081">
        <w:t xml:space="preserve"> </w:t>
      </w:r>
      <w:r w:rsidR="00D44051">
        <w:t xml:space="preserve">sets that </w:t>
      </w:r>
      <w:r w:rsidR="00F73081">
        <w:t xml:space="preserve">may </w:t>
      </w:r>
      <w:r w:rsidR="00D44051">
        <w:t xml:space="preserve">or must be disclosed when product or consumer data requests are made in relation to the sector; dispute resolution requirements; and the staged application of the Rules to the sector. </w:t>
      </w:r>
    </w:p>
    <w:bookmarkEnd w:id="6"/>
    <w:bookmarkEnd w:id="5"/>
    <w:p w14:paraId="765DE505" w14:textId="10538D49" w:rsidR="00365C10" w:rsidRDefault="00365C10" w:rsidP="00365C10">
      <w:pPr>
        <w:pStyle w:val="Bullet"/>
        <w:numPr>
          <w:ilvl w:val="0"/>
          <w:numId w:val="0"/>
        </w:numPr>
      </w:pPr>
      <w:r w:rsidRPr="00A03836">
        <w:t xml:space="preserve">Treasury is responsible for </w:t>
      </w:r>
      <w:r w:rsidR="009A5562">
        <w:t xml:space="preserve">advising the Minister, </w:t>
      </w:r>
      <w:r w:rsidR="00273522">
        <w:t xml:space="preserve">who </w:t>
      </w:r>
      <w:r w:rsidR="009A5562">
        <w:t>has the</w:t>
      </w:r>
      <w:r w:rsidR="00640486">
        <w:t xml:space="preserve"> authority to make </w:t>
      </w:r>
      <w:r w:rsidR="00C03582">
        <w:t>and amend</w:t>
      </w:r>
      <w:r w:rsidR="00640486">
        <w:t xml:space="preserve"> the Rules</w:t>
      </w:r>
      <w:r w:rsidR="009A5562">
        <w:t>, on amendments to maintain and expand the regime</w:t>
      </w:r>
      <w:r w:rsidR="00640486">
        <w:t>.</w:t>
      </w:r>
      <w:r>
        <w:t xml:space="preserve"> </w:t>
      </w:r>
    </w:p>
    <w:p w14:paraId="24C1FFA5" w14:textId="6B01A0CF" w:rsidR="002A31F1" w:rsidRPr="00397B6B" w:rsidRDefault="00C03582" w:rsidP="00397B6B">
      <w:bookmarkStart w:id="7" w:name="_Hlk119050705"/>
      <w:r>
        <w:t>T</w:t>
      </w:r>
      <w:r w:rsidR="00365C10" w:rsidRPr="007C6A1D">
        <w:t>he Data Standards Body</w:t>
      </w:r>
      <w:r w:rsidR="00365C10">
        <w:t xml:space="preserve"> (</w:t>
      </w:r>
      <w:r w:rsidR="00766EA3">
        <w:t xml:space="preserve">the </w:t>
      </w:r>
      <w:r w:rsidR="00365C10">
        <w:t>DSB)</w:t>
      </w:r>
      <w:r w:rsidR="00365C10" w:rsidRPr="007C6A1D">
        <w:t xml:space="preserve"> </w:t>
      </w:r>
      <w:r w:rsidR="00365C10">
        <w:t>develops</w:t>
      </w:r>
      <w:r w:rsidR="00365C10" w:rsidRPr="007C6A1D">
        <w:t xml:space="preserve"> </w:t>
      </w:r>
      <w:r w:rsidR="00727BAF">
        <w:t xml:space="preserve">the </w:t>
      </w:r>
      <w:r w:rsidR="00727BAF" w:rsidRPr="00973B56">
        <w:t>Consumer Data Right Standards (</w:t>
      </w:r>
      <w:r w:rsidR="00766EA3">
        <w:t xml:space="preserve">the </w:t>
      </w:r>
      <w:r w:rsidR="00D34292">
        <w:t xml:space="preserve">Data </w:t>
      </w:r>
      <w:r w:rsidR="002A31F1">
        <w:t>S</w:t>
      </w:r>
      <w:r w:rsidR="00727BAF" w:rsidRPr="00973B56">
        <w:t>tandards)</w:t>
      </w:r>
      <w:r w:rsidR="00727BAF">
        <w:t xml:space="preserve"> which</w:t>
      </w:r>
      <w:r w:rsidR="00727BAF" w:rsidRPr="00973B56">
        <w:t xml:space="preserve"> underpin the technical delivery of the CDR. The </w:t>
      </w:r>
      <w:r>
        <w:t xml:space="preserve">Data Standards </w:t>
      </w:r>
      <w:r w:rsidR="00727BAF" w:rsidRPr="00973B56">
        <w:t xml:space="preserve">set out requirements for </w:t>
      </w:r>
      <w:r w:rsidR="00B8651F">
        <w:t xml:space="preserve">data </w:t>
      </w:r>
      <w:r w:rsidR="00727BAF" w:rsidRPr="00973B56">
        <w:t xml:space="preserve">security and format, and </w:t>
      </w:r>
      <w:r w:rsidR="006F0F18">
        <w:t>specify</w:t>
      </w:r>
      <w:r w:rsidR="006F0F18" w:rsidRPr="00973B56">
        <w:t xml:space="preserve"> </w:t>
      </w:r>
      <w:r w:rsidR="00727BAF" w:rsidRPr="00973B56">
        <w:t>consumer experience</w:t>
      </w:r>
      <w:r w:rsidR="006F0F18">
        <w:t xml:space="preserve"> (CX) standards for the implementation of the CDR</w:t>
      </w:r>
      <w:r w:rsidR="00727BAF" w:rsidRPr="00973B56">
        <w:t>.</w:t>
      </w:r>
      <w:r w:rsidR="002B2C94">
        <w:t xml:space="preserve"> </w:t>
      </w:r>
      <w:r>
        <w:t>Like the Rules, t</w:t>
      </w:r>
      <w:r w:rsidR="002B2C94">
        <w:t xml:space="preserve">he </w:t>
      </w:r>
      <w:r w:rsidR="006F0F18">
        <w:t xml:space="preserve">Data </w:t>
      </w:r>
      <w:r w:rsidR="002B2C94">
        <w:t>Standards have also been de</w:t>
      </w:r>
      <w:r w:rsidR="006E0852">
        <w:t xml:space="preserve">signed </w:t>
      </w:r>
      <w:r w:rsidR="002B2C94">
        <w:t>to apply universally across sectors to the extent possible</w:t>
      </w:r>
      <w:r w:rsidR="006F0F18">
        <w:t>.</w:t>
      </w:r>
      <w:r w:rsidR="002B2C94">
        <w:t xml:space="preserve"> </w:t>
      </w:r>
      <w:r w:rsidR="006F0F18">
        <w:t>H</w:t>
      </w:r>
      <w:r w:rsidR="002B2C94">
        <w:t>owever</w:t>
      </w:r>
      <w:r w:rsidR="00D40369">
        <w:t>,</w:t>
      </w:r>
      <w:r w:rsidR="002B2C94">
        <w:t xml:space="preserve"> sector-specific </w:t>
      </w:r>
      <w:r w:rsidR="00B8651F">
        <w:t>D</w:t>
      </w:r>
      <w:r w:rsidR="002B2C94">
        <w:t xml:space="preserve">ata </w:t>
      </w:r>
      <w:r w:rsidR="00B8651F">
        <w:t>S</w:t>
      </w:r>
      <w:r w:rsidR="002B2C94">
        <w:t xml:space="preserve">tandards are also developed for each new sector. </w:t>
      </w:r>
    </w:p>
    <w:p w14:paraId="0D9408E6" w14:textId="6B077A4C" w:rsidR="00365C10" w:rsidRDefault="003073BB" w:rsidP="00365C10">
      <w:pPr>
        <w:pStyle w:val="Heading2"/>
      </w:pPr>
      <w:bookmarkStart w:id="8" w:name="_Toc120881022"/>
      <w:bookmarkEnd w:id="7"/>
      <w:r>
        <w:t>Consultation on n</w:t>
      </w:r>
      <w:r w:rsidR="00365C10">
        <w:t xml:space="preserve">on-bank lending </w:t>
      </w:r>
      <w:r>
        <w:t>R</w:t>
      </w:r>
      <w:r w:rsidR="00365C10">
        <w:t xml:space="preserve">ules and </w:t>
      </w:r>
      <w:r>
        <w:t>Data S</w:t>
      </w:r>
      <w:r w:rsidR="00365C10">
        <w:t>tandards</w:t>
      </w:r>
      <w:bookmarkEnd w:id="8"/>
    </w:p>
    <w:p w14:paraId="65113E75" w14:textId="127E2B25" w:rsidR="00365C10" w:rsidRDefault="00365C10" w:rsidP="00365C10">
      <w:r>
        <w:t>The CDR is now active in banking</w:t>
      </w:r>
      <w:r w:rsidR="00924339">
        <w:t xml:space="preserve">, with data sharing having been progressively rolled out since </w:t>
      </w:r>
      <w:r w:rsidR="00397B6B">
        <w:t>July 2020</w:t>
      </w:r>
      <w:r>
        <w:t>. Given the parallels between Open Banking and non-bank lending data</w:t>
      </w:r>
      <w:r w:rsidR="00C03582">
        <w:t xml:space="preserve"> </w:t>
      </w:r>
      <w:r>
        <w:t xml:space="preserve">sets and products, Treasury expects that the </w:t>
      </w:r>
      <w:r w:rsidR="00C03582">
        <w:t>R</w:t>
      </w:r>
      <w:r>
        <w:t xml:space="preserve">ules and </w:t>
      </w:r>
      <w:r w:rsidR="00C03582">
        <w:t>D</w:t>
      </w:r>
      <w:r w:rsidR="006D3D95">
        <w:t>ata</w:t>
      </w:r>
      <w:r>
        <w:t xml:space="preserve"> </w:t>
      </w:r>
      <w:r w:rsidR="00C03582">
        <w:t>S</w:t>
      </w:r>
      <w:r>
        <w:t xml:space="preserve">tandards applying to the non-bank lending sector will </w:t>
      </w:r>
      <w:r w:rsidR="00A47C49">
        <w:t xml:space="preserve">align, where appropriate, with existing Rules and </w:t>
      </w:r>
      <w:r w:rsidR="00D34292">
        <w:t>Data</w:t>
      </w:r>
      <w:r w:rsidR="00A47C49">
        <w:t xml:space="preserve"> Standards for</w:t>
      </w:r>
      <w:r>
        <w:t xml:space="preserve"> the banking sector. Th</w:t>
      </w:r>
      <w:r w:rsidR="00A47C49">
        <w:t>is</w:t>
      </w:r>
      <w:r>
        <w:t xml:space="preserve"> paper identifies where a deviation from the approach taken in banking</w:t>
      </w:r>
      <w:r w:rsidDel="00771492">
        <w:t xml:space="preserve"> </w:t>
      </w:r>
      <w:r w:rsidR="00771492">
        <w:t>may be</w:t>
      </w:r>
      <w:r>
        <w:t xml:space="preserve"> necessary for non-bank lending.</w:t>
      </w:r>
      <w:r w:rsidR="00F560CE">
        <w:t xml:space="preserve"> </w:t>
      </w:r>
    </w:p>
    <w:p w14:paraId="4A3D531C" w14:textId="39609517" w:rsidR="00D40369" w:rsidRDefault="00D40369" w:rsidP="00365C10">
      <w:r>
        <w:t xml:space="preserve">Further, </w:t>
      </w:r>
      <w:r w:rsidR="004A19F2">
        <w:t xml:space="preserve">this paper identifies two changes that </w:t>
      </w:r>
      <w:r w:rsidR="001F3238">
        <w:t>are proposed</w:t>
      </w:r>
      <w:r w:rsidR="004A19F2">
        <w:t xml:space="preserve"> to the banking </w:t>
      </w:r>
      <w:r w:rsidR="001F3238">
        <w:t>R</w:t>
      </w:r>
      <w:r w:rsidR="004A19F2">
        <w:t>ules</w:t>
      </w:r>
      <w:r>
        <w:t xml:space="preserve"> </w:t>
      </w:r>
      <w:r w:rsidR="001F3238">
        <w:t>to ensure consistency between the two sectors.</w:t>
      </w:r>
    </w:p>
    <w:p w14:paraId="581A555C" w14:textId="633FB21B" w:rsidR="002B2C94" w:rsidRDefault="002B2C94" w:rsidP="008B4301">
      <w:r w:rsidRPr="00273522">
        <w:lastRenderedPageBreak/>
        <w:t>Treasury</w:t>
      </w:r>
      <w:r w:rsidR="0071792F">
        <w:t xml:space="preserve"> and the </w:t>
      </w:r>
      <w:r w:rsidR="00A47C49">
        <w:t>DSB</w:t>
      </w:r>
      <w:r w:rsidRPr="00273522">
        <w:t xml:space="preserve"> seek feedback on the </w:t>
      </w:r>
      <w:r>
        <w:t xml:space="preserve">proposed policy </w:t>
      </w:r>
      <w:r w:rsidR="0044610C">
        <w:t>approach set out in th</w:t>
      </w:r>
      <w:r w:rsidR="00B8651F">
        <w:t>is</w:t>
      </w:r>
      <w:r w:rsidR="0044610C">
        <w:t xml:space="preserve"> paper, as well as the </w:t>
      </w:r>
      <w:r w:rsidR="00242491">
        <w:t>consultation questions</w:t>
      </w:r>
      <w:r w:rsidR="0044610C">
        <w:t>,</w:t>
      </w:r>
      <w:r>
        <w:t xml:space="preserve"> </w:t>
      </w:r>
      <w:r w:rsidR="00F454B1">
        <w:t xml:space="preserve">by </w:t>
      </w:r>
      <w:r w:rsidR="00AB169E" w:rsidRPr="00AB169E">
        <w:t>31</w:t>
      </w:r>
      <w:r w:rsidR="003F40B9" w:rsidRPr="00AB169E">
        <w:t> January 2023</w:t>
      </w:r>
      <w:r w:rsidRPr="00273522">
        <w:t>.</w:t>
      </w:r>
      <w:r w:rsidR="0044610C">
        <w:t xml:space="preserve"> Feedback can be provided via</w:t>
      </w:r>
      <w:bookmarkStart w:id="9" w:name="tempbookmark"/>
      <w:bookmarkEnd w:id="9"/>
      <w:r w:rsidR="0044610C">
        <w:t xml:space="preserve"> email to </w:t>
      </w:r>
      <w:hyperlink r:id="rId22" w:history="1">
        <w:r w:rsidR="0044610C" w:rsidRPr="00DD4E37">
          <w:rPr>
            <w:rStyle w:val="Hyperlink"/>
          </w:rPr>
          <w:t>data@treasury.gov.au</w:t>
        </w:r>
      </w:hyperlink>
      <w:r w:rsidR="0044610C">
        <w:t xml:space="preserve">. </w:t>
      </w:r>
      <w:r w:rsidR="00AB169E">
        <w:t>Feedback, c</w:t>
      </w:r>
      <w:r w:rsidR="00771492">
        <w:t>omments</w:t>
      </w:r>
      <w:r w:rsidR="00243CC8">
        <w:t xml:space="preserve"> and ongoing discussion</w:t>
      </w:r>
      <w:r w:rsidR="00771492">
        <w:t xml:space="preserve"> can also be lodged</w:t>
      </w:r>
      <w:r w:rsidR="00771492" w:rsidRPr="00771492">
        <w:t xml:space="preserve"> on the public </w:t>
      </w:r>
      <w:hyperlink r:id="rId23" w:history="1">
        <w:r w:rsidR="00771492" w:rsidRPr="00723782">
          <w:rPr>
            <w:rStyle w:val="Hyperlink"/>
          </w:rPr>
          <w:t xml:space="preserve">GitHub </w:t>
        </w:r>
        <w:r w:rsidR="00AB169E">
          <w:rPr>
            <w:rStyle w:val="Hyperlink"/>
          </w:rPr>
          <w:t>page</w:t>
        </w:r>
      </w:hyperlink>
      <w:r w:rsidR="00771492" w:rsidRPr="00771492">
        <w:t xml:space="preserve"> maintained by the </w:t>
      </w:r>
      <w:r w:rsidR="00A47C49">
        <w:t>DSB.</w:t>
      </w:r>
      <w:r w:rsidR="008B4301">
        <w:rPr>
          <w:rStyle w:val="FootnoteReference"/>
        </w:rPr>
        <w:footnoteReference w:id="2"/>
      </w:r>
      <w:r w:rsidR="00BC612B">
        <w:t xml:space="preserve"> Treasury will also be conducting a Privacy Impact Assessment</w:t>
      </w:r>
      <w:r w:rsidR="00B652A5">
        <w:t xml:space="preserve"> (PIA)</w:t>
      </w:r>
      <w:r w:rsidR="00BC612B">
        <w:t xml:space="preserve"> considering the privacy risks of making the non-bank lending </w:t>
      </w:r>
      <w:r w:rsidR="004A31F7">
        <w:t>R</w:t>
      </w:r>
      <w:r w:rsidR="00BC612B">
        <w:t xml:space="preserve">ules. </w:t>
      </w:r>
      <w:r w:rsidR="00B652A5">
        <w:t xml:space="preserve">Treasury seeks feedback on any privacy issues or risks relating </w:t>
      </w:r>
      <w:r w:rsidR="00D535B3">
        <w:t>to</w:t>
      </w:r>
      <w:r w:rsidR="00B652A5">
        <w:t xml:space="preserve"> the non-bank lending </w:t>
      </w:r>
      <w:r w:rsidR="004A31F7">
        <w:t>R</w:t>
      </w:r>
      <w:r w:rsidR="00B652A5">
        <w:t>ules that should be addressed in the PIA</w:t>
      </w:r>
      <w:r w:rsidR="007E65D1">
        <w:t>.</w:t>
      </w:r>
      <w:r w:rsidR="00B652A5">
        <w:t xml:space="preserve"> </w:t>
      </w:r>
    </w:p>
    <w:p w14:paraId="146B6177" w14:textId="0713EE6E" w:rsidR="00564E63" w:rsidRDefault="00365C10" w:rsidP="00243CC8">
      <w:r>
        <w:t xml:space="preserve">Feedback provided in response to this paper will be used to develop the draft non-bank lending </w:t>
      </w:r>
      <w:r w:rsidR="004A31F7">
        <w:t>R</w:t>
      </w:r>
      <w:r>
        <w:t xml:space="preserve">ules and will inform Treasury’s advice to the </w:t>
      </w:r>
      <w:r w:rsidR="00273522">
        <w:t>Minister</w:t>
      </w:r>
      <w:r>
        <w:t xml:space="preserve">. </w:t>
      </w:r>
      <w:r w:rsidR="00C1048D">
        <w:t xml:space="preserve">It will also inform the DSB’s development of </w:t>
      </w:r>
      <w:r w:rsidR="004A31F7">
        <w:t>sector-specific</w:t>
      </w:r>
      <w:r w:rsidR="00C1048D">
        <w:t xml:space="preserve"> </w:t>
      </w:r>
      <w:r w:rsidR="004A31F7">
        <w:t>Data S</w:t>
      </w:r>
      <w:r w:rsidR="00C1048D">
        <w:t xml:space="preserve">tandards. </w:t>
      </w:r>
      <w:r>
        <w:t xml:space="preserve">Stakeholders will have a further opportunity to </w:t>
      </w:r>
      <w:r w:rsidR="004A31F7">
        <w:t xml:space="preserve">provide feedback </w:t>
      </w:r>
      <w:r>
        <w:t xml:space="preserve">on draft non-bank lending </w:t>
      </w:r>
      <w:r w:rsidR="004A31F7">
        <w:t>R</w:t>
      </w:r>
      <w:r>
        <w:t xml:space="preserve">ules and </w:t>
      </w:r>
      <w:r w:rsidR="004A31F7">
        <w:t>Data S</w:t>
      </w:r>
      <w:r>
        <w:t>tandards at a later stage.</w:t>
      </w:r>
    </w:p>
    <w:p w14:paraId="5F628073" w14:textId="50C3378D" w:rsidR="00564E63" w:rsidRDefault="00564E63" w:rsidP="00763C31">
      <w:pPr>
        <w:spacing w:before="0"/>
      </w:pPr>
      <w:r>
        <w:br/>
        <w:t xml:space="preserve">Wireframes have been included to provide a visual aid to this consultation. These artefacts outline where certain issues listed in this paper may arise. This may include, for example, sectoral differences and authentication processes. </w:t>
      </w:r>
      <w:r w:rsidR="00C80FC3">
        <w:t xml:space="preserve">These wireframes can be found online, see this </w:t>
      </w:r>
      <w:hyperlink r:id="rId24" w:history="1">
        <w:r w:rsidR="00C80FC3">
          <w:rPr>
            <w:rStyle w:val="Hyperlink"/>
          </w:rPr>
          <w:t>Miro link</w:t>
        </w:r>
      </w:hyperlink>
      <w:r w:rsidR="00C80FC3">
        <w:t xml:space="preserve"> or </w:t>
      </w:r>
      <w:hyperlink r:id="rId25" w:history="1">
        <w:r w:rsidR="00C80FC3">
          <w:rPr>
            <w:rStyle w:val="Hyperlink"/>
          </w:rPr>
          <w:t>PDF</w:t>
        </w:r>
      </w:hyperlink>
      <w:r w:rsidR="00C80FC3">
        <w:t xml:space="preserve">, along with an </w:t>
      </w:r>
      <w:hyperlink r:id="rId26" w:history="1">
        <w:r w:rsidR="00C80FC3">
          <w:rPr>
            <w:rStyle w:val="Hyperlink"/>
          </w:rPr>
          <w:t>interactive prototype</w:t>
        </w:r>
      </w:hyperlink>
      <w:r w:rsidR="00C80FC3">
        <w:t>.</w:t>
      </w:r>
    </w:p>
    <w:p w14:paraId="40D358C6" w14:textId="75B14A44" w:rsidR="00763C31" w:rsidRDefault="00763C31" w:rsidP="00763C31">
      <w:r>
        <w:t xml:space="preserve">When receiving feedback, Treasury and the DSB are always interested in hearing </w:t>
      </w:r>
      <w:r w:rsidR="004A31F7">
        <w:t xml:space="preserve">about </w:t>
      </w:r>
      <w:r>
        <w:t xml:space="preserve">the use cases, particularly new and emerging use cases, that will arise from the inclusion of </w:t>
      </w:r>
      <w:r w:rsidR="0069782C">
        <w:t xml:space="preserve">the </w:t>
      </w:r>
      <w:r>
        <w:t>non-bank lending sector</w:t>
      </w:r>
      <w:r w:rsidR="004A31F7">
        <w:t xml:space="preserve"> in the CDR</w:t>
      </w:r>
      <w:r>
        <w:t xml:space="preserve">. </w:t>
      </w:r>
    </w:p>
    <w:p w14:paraId="12128C91" w14:textId="77777777" w:rsidR="00763C31" w:rsidRDefault="00763C31" w:rsidP="00763C31">
      <w:pPr>
        <w:spacing w:before="0"/>
      </w:pPr>
    </w:p>
    <w:p w14:paraId="00CD68B7" w14:textId="03A6918E" w:rsidR="00273522" w:rsidRDefault="00273522" w:rsidP="008012E9">
      <w:pPr>
        <w:pStyle w:val="Heading2"/>
        <w:tabs>
          <w:tab w:val="left" w:pos="4570"/>
        </w:tabs>
        <w:spacing w:before="0"/>
      </w:pPr>
      <w:bookmarkStart w:id="10" w:name="_Toc120881023"/>
      <w:r>
        <w:t>The role of the Rules</w:t>
      </w:r>
      <w:r w:rsidR="001C08A9">
        <w:t xml:space="preserve"> in the CDR</w:t>
      </w:r>
      <w:bookmarkEnd w:id="10"/>
      <w:r w:rsidR="00727BAF">
        <w:t xml:space="preserve"> </w:t>
      </w:r>
      <w:r w:rsidR="00D80035">
        <w:tab/>
      </w:r>
    </w:p>
    <w:p w14:paraId="1ECCA34A" w14:textId="34FB4B2D" w:rsidR="00C121A5" w:rsidRPr="00C121A5" w:rsidRDefault="004A31F7" w:rsidP="00C121A5">
      <w:pPr>
        <w:rPr>
          <w:rFonts w:asciiTheme="minorHAnsi" w:hAnsiTheme="minorHAnsi"/>
        </w:rPr>
      </w:pPr>
      <w:r>
        <w:rPr>
          <w:rFonts w:asciiTheme="minorHAnsi" w:hAnsiTheme="minorHAnsi"/>
        </w:rPr>
        <w:t xml:space="preserve">As noted above, </w:t>
      </w:r>
      <w:r w:rsidR="00D91A6C">
        <w:rPr>
          <w:rFonts w:asciiTheme="minorHAnsi" w:hAnsiTheme="minorHAnsi"/>
        </w:rPr>
        <w:t xml:space="preserve">each designated </w:t>
      </w:r>
      <w:r w:rsidR="00A15243" w:rsidRPr="004A54EA">
        <w:rPr>
          <w:rFonts w:asciiTheme="minorHAnsi" w:hAnsiTheme="minorHAnsi"/>
        </w:rPr>
        <w:t>sector</w:t>
      </w:r>
      <w:r w:rsidR="00D91A6C">
        <w:rPr>
          <w:rFonts w:asciiTheme="minorHAnsi" w:hAnsiTheme="minorHAnsi"/>
        </w:rPr>
        <w:t xml:space="preserve"> i</w:t>
      </w:r>
      <w:r w:rsidR="00A15243" w:rsidRPr="004A54EA">
        <w:rPr>
          <w:rFonts w:asciiTheme="minorHAnsi" w:hAnsiTheme="minorHAnsi"/>
        </w:rPr>
        <w:t xml:space="preserve">s subject to the core </w:t>
      </w:r>
      <w:r w:rsidR="00D91A6C">
        <w:rPr>
          <w:rFonts w:asciiTheme="minorHAnsi" w:hAnsiTheme="minorHAnsi"/>
        </w:rPr>
        <w:t>provisions in the R</w:t>
      </w:r>
      <w:r w:rsidR="00A15243" w:rsidRPr="004A54EA">
        <w:rPr>
          <w:rFonts w:asciiTheme="minorHAnsi" w:hAnsiTheme="minorHAnsi"/>
        </w:rPr>
        <w:t>ules</w:t>
      </w:r>
      <w:r w:rsidR="00C121A5" w:rsidRPr="004A54EA">
        <w:rPr>
          <w:rFonts w:asciiTheme="minorHAnsi" w:hAnsiTheme="minorHAnsi"/>
        </w:rPr>
        <w:t xml:space="preserve">, as well as </w:t>
      </w:r>
      <w:r w:rsidR="00A237A2">
        <w:rPr>
          <w:rFonts w:asciiTheme="minorHAnsi" w:hAnsiTheme="minorHAnsi"/>
        </w:rPr>
        <w:t xml:space="preserve">to </w:t>
      </w:r>
      <w:r w:rsidR="00C121A5" w:rsidRPr="004A54EA">
        <w:rPr>
          <w:rFonts w:asciiTheme="minorHAnsi" w:hAnsiTheme="minorHAnsi"/>
        </w:rPr>
        <w:t xml:space="preserve">the relevant sector-specific </w:t>
      </w:r>
      <w:r w:rsidR="00ED027C" w:rsidRPr="004A54EA">
        <w:rPr>
          <w:rFonts w:asciiTheme="minorHAnsi" w:hAnsiTheme="minorHAnsi"/>
        </w:rPr>
        <w:t>obligations</w:t>
      </w:r>
      <w:r w:rsidR="00DD500A">
        <w:rPr>
          <w:rFonts w:asciiTheme="minorHAnsi" w:hAnsiTheme="minorHAnsi"/>
        </w:rPr>
        <w:t xml:space="preserve"> (for example, the banking</w:t>
      </w:r>
      <w:r w:rsidR="00D40369">
        <w:rPr>
          <w:rFonts w:asciiTheme="minorHAnsi" w:hAnsiTheme="minorHAnsi"/>
        </w:rPr>
        <w:t xml:space="preserve"> sector-specific obligations are set out </w:t>
      </w:r>
      <w:r w:rsidR="00D91A6C">
        <w:rPr>
          <w:rFonts w:asciiTheme="minorHAnsi" w:hAnsiTheme="minorHAnsi"/>
        </w:rPr>
        <w:t xml:space="preserve">in </w:t>
      </w:r>
      <w:r w:rsidR="00D40369">
        <w:rPr>
          <w:rFonts w:asciiTheme="minorHAnsi" w:hAnsiTheme="minorHAnsi"/>
        </w:rPr>
        <w:t xml:space="preserve">Schedule 3 </w:t>
      </w:r>
      <w:r w:rsidR="00D91A6C">
        <w:rPr>
          <w:rFonts w:asciiTheme="minorHAnsi" w:hAnsiTheme="minorHAnsi"/>
        </w:rPr>
        <w:t>t</w:t>
      </w:r>
      <w:r w:rsidR="00D40369">
        <w:rPr>
          <w:rFonts w:asciiTheme="minorHAnsi" w:hAnsiTheme="minorHAnsi"/>
        </w:rPr>
        <w:t>o the Rules)</w:t>
      </w:r>
      <w:r w:rsidR="00C121A5" w:rsidRPr="00C121A5">
        <w:rPr>
          <w:rFonts w:asciiTheme="minorHAnsi" w:hAnsiTheme="minorHAnsi"/>
        </w:rPr>
        <w:t>.</w:t>
      </w:r>
      <w:r w:rsidR="00C121A5">
        <w:rPr>
          <w:rFonts w:asciiTheme="minorHAnsi" w:hAnsiTheme="minorHAnsi"/>
        </w:rPr>
        <w:t xml:space="preserve"> </w:t>
      </w:r>
      <w:r w:rsidR="00C121A5" w:rsidRPr="00C121A5">
        <w:rPr>
          <w:rFonts w:asciiTheme="minorHAnsi" w:hAnsiTheme="minorHAnsi"/>
        </w:rPr>
        <w:t xml:space="preserve">The </w:t>
      </w:r>
      <w:r w:rsidR="00C121A5">
        <w:rPr>
          <w:rFonts w:asciiTheme="minorHAnsi" w:hAnsiTheme="minorHAnsi"/>
        </w:rPr>
        <w:t>c</w:t>
      </w:r>
      <w:r w:rsidR="00C121A5" w:rsidRPr="00C121A5">
        <w:rPr>
          <w:rFonts w:asciiTheme="minorHAnsi" w:hAnsiTheme="minorHAnsi"/>
        </w:rPr>
        <w:t xml:space="preserve">ore </w:t>
      </w:r>
      <w:r w:rsidR="001070CA">
        <w:rPr>
          <w:rFonts w:asciiTheme="minorHAnsi" w:hAnsiTheme="minorHAnsi"/>
        </w:rPr>
        <w:t>R</w:t>
      </w:r>
      <w:r w:rsidR="00C121A5" w:rsidRPr="00C121A5">
        <w:rPr>
          <w:rFonts w:asciiTheme="minorHAnsi" w:hAnsiTheme="minorHAnsi"/>
        </w:rPr>
        <w:t xml:space="preserve">ules are separated into </w:t>
      </w:r>
      <w:r w:rsidR="00EF252C">
        <w:rPr>
          <w:rFonts w:asciiTheme="minorHAnsi" w:hAnsiTheme="minorHAnsi"/>
        </w:rPr>
        <w:t>nine</w:t>
      </w:r>
      <w:r w:rsidR="002B2C94" w:rsidRPr="00C121A5">
        <w:rPr>
          <w:rFonts w:asciiTheme="minorHAnsi" w:hAnsiTheme="minorHAnsi"/>
        </w:rPr>
        <w:t xml:space="preserve"> </w:t>
      </w:r>
      <w:r w:rsidR="00C121A5">
        <w:rPr>
          <w:rFonts w:asciiTheme="minorHAnsi" w:hAnsiTheme="minorHAnsi"/>
        </w:rPr>
        <w:t>p</w:t>
      </w:r>
      <w:r w:rsidR="00C121A5" w:rsidRPr="00C121A5">
        <w:rPr>
          <w:rFonts w:asciiTheme="minorHAnsi" w:hAnsiTheme="minorHAnsi"/>
        </w:rPr>
        <w:t>arts.</w:t>
      </w:r>
    </w:p>
    <w:p w14:paraId="2BA119A3" w14:textId="6D162DA0" w:rsidR="00C121A5" w:rsidRPr="00C121A5" w:rsidRDefault="00C121A5" w:rsidP="00E952C6">
      <w:pPr>
        <w:spacing w:after="240"/>
        <w:rPr>
          <w:rFonts w:asciiTheme="minorHAnsi" w:hAnsiTheme="minorHAnsi"/>
        </w:rPr>
      </w:pPr>
      <w:r w:rsidRPr="00C121A5">
        <w:rPr>
          <w:rFonts w:asciiTheme="minorHAnsi" w:hAnsiTheme="minorHAnsi"/>
        </w:rPr>
        <w:t>Part 1</w:t>
      </w:r>
      <w:r w:rsidR="00D338D9">
        <w:rPr>
          <w:rFonts w:asciiTheme="minorHAnsi" w:hAnsiTheme="minorHAnsi"/>
        </w:rPr>
        <w:t xml:space="preserve"> of the Rules</w:t>
      </w:r>
      <w:r w:rsidRPr="00C121A5">
        <w:rPr>
          <w:rFonts w:asciiTheme="minorHAnsi" w:hAnsiTheme="minorHAnsi"/>
        </w:rPr>
        <w:t xml:space="preserve"> </w:t>
      </w:r>
      <w:r w:rsidR="00747041">
        <w:rPr>
          <w:rFonts w:asciiTheme="minorHAnsi" w:hAnsiTheme="minorHAnsi"/>
        </w:rPr>
        <w:t>set</w:t>
      </w:r>
      <w:r w:rsidR="006B16CF">
        <w:rPr>
          <w:rFonts w:asciiTheme="minorHAnsi" w:hAnsiTheme="minorHAnsi"/>
        </w:rPr>
        <w:t>s</w:t>
      </w:r>
      <w:r w:rsidR="00747041">
        <w:rPr>
          <w:rFonts w:asciiTheme="minorHAnsi" w:hAnsiTheme="minorHAnsi"/>
        </w:rPr>
        <w:t xml:space="preserve"> out</w:t>
      </w:r>
      <w:r w:rsidR="006B16CF">
        <w:rPr>
          <w:rFonts w:asciiTheme="minorHAnsi" w:hAnsiTheme="minorHAnsi"/>
        </w:rPr>
        <w:t xml:space="preserve"> foundational material including the following</w:t>
      </w:r>
      <w:r w:rsidRPr="00C121A5">
        <w:rPr>
          <w:rFonts w:asciiTheme="minorHAnsi" w:hAnsiTheme="minorHAnsi"/>
        </w:rPr>
        <w:t>:</w:t>
      </w:r>
    </w:p>
    <w:p w14:paraId="5836AE31" w14:textId="68D311B5" w:rsidR="007F6CEE" w:rsidRDefault="00C121A5" w:rsidP="00C121A5">
      <w:pPr>
        <w:pStyle w:val="Bullet"/>
      </w:pPr>
      <w:r w:rsidRPr="00C121A5">
        <w:t xml:space="preserve">key concepts including the </w:t>
      </w:r>
      <w:r w:rsidR="00747041">
        <w:t>d</w:t>
      </w:r>
      <w:r w:rsidRPr="00C121A5">
        <w:t xml:space="preserve">ata </w:t>
      </w:r>
      <w:r w:rsidR="00747041">
        <w:t>m</w:t>
      </w:r>
      <w:r w:rsidRPr="00C121A5">
        <w:t xml:space="preserve">inimisation </w:t>
      </w:r>
      <w:r w:rsidR="00747041">
        <w:t>p</w:t>
      </w:r>
      <w:r w:rsidRPr="00C121A5">
        <w:t>rinciple</w:t>
      </w:r>
      <w:r w:rsidR="00747041">
        <w:t>;</w:t>
      </w:r>
      <w:r w:rsidRPr="00C121A5">
        <w:t xml:space="preserve"> criteria for assessing fitness and propriety to receive data</w:t>
      </w:r>
      <w:r w:rsidR="002A4B61">
        <w:t xml:space="preserve"> as an accredited person</w:t>
      </w:r>
      <w:r w:rsidR="00747041">
        <w:t>;</w:t>
      </w:r>
      <w:r w:rsidR="004F5B1F">
        <w:t xml:space="preserve"> </w:t>
      </w:r>
      <w:r w:rsidR="00747041">
        <w:t xml:space="preserve">eligibility for </w:t>
      </w:r>
      <w:r w:rsidR="004F5B1F">
        <w:t>CDR consumer</w:t>
      </w:r>
      <w:r w:rsidR="00747041">
        <w:t>s;</w:t>
      </w:r>
      <w:r w:rsidRPr="00C121A5">
        <w:t xml:space="preserve"> </w:t>
      </w:r>
      <w:r w:rsidR="007F6CEE">
        <w:t>voluntary and required product and consumer data</w:t>
      </w:r>
      <w:r w:rsidR="00747041">
        <w:t>; types of consent</w:t>
      </w:r>
      <w:r w:rsidR="006B16CF">
        <w:t xml:space="preserve"> that may be given by CDR consumers</w:t>
      </w:r>
      <w:r w:rsidR="00747041">
        <w:t>; criteria for trusted advisors; and characteristics of outsourcing, affiliate-sponsor</w:t>
      </w:r>
      <w:r w:rsidR="006B16CF">
        <w:t xml:space="preserve"> and representative </w:t>
      </w:r>
      <w:proofErr w:type="gramStart"/>
      <w:r w:rsidR="006B16CF">
        <w:t>arrangements;</w:t>
      </w:r>
      <w:proofErr w:type="gramEnd"/>
    </w:p>
    <w:p w14:paraId="1184928C" w14:textId="16708484" w:rsidR="007F6CEE" w:rsidRDefault="007F6CEE" w:rsidP="00C121A5">
      <w:pPr>
        <w:pStyle w:val="Bullet"/>
      </w:pPr>
      <w:r>
        <w:t>general provisions relating to data holders and accredited persons</w:t>
      </w:r>
      <w:r w:rsidR="00747041">
        <w:t>, including requirements relating to the de-identification and deletion of data</w:t>
      </w:r>
      <w:r w:rsidR="006B16CF">
        <w:t xml:space="preserve">, and key services that data holders must provide </w:t>
      </w:r>
      <w:r w:rsidR="006B16CF" w:rsidRPr="00C121A5">
        <w:t>(such as a consumer dashboard)</w:t>
      </w:r>
      <w:r w:rsidR="006B16CF">
        <w:t>.</w:t>
      </w:r>
    </w:p>
    <w:p w14:paraId="685E74DC" w14:textId="5F3466EF" w:rsidR="00C121A5" w:rsidRPr="00C121A5" w:rsidRDefault="00C121A5" w:rsidP="00993BAE">
      <w:r w:rsidRPr="00C121A5">
        <w:t xml:space="preserve">Part 2 sets out requirements for the disclosure of product data by a data holder in response to a valid request. Product data relates to the </w:t>
      </w:r>
      <w:r w:rsidR="00D338D9">
        <w:t>characteristics</w:t>
      </w:r>
      <w:r w:rsidR="00D338D9" w:rsidRPr="00C121A5">
        <w:t xml:space="preserve"> </w:t>
      </w:r>
      <w:r w:rsidRPr="00C121A5">
        <w:t xml:space="preserve">of products offered by data </w:t>
      </w:r>
      <w:proofErr w:type="gramStart"/>
      <w:r w:rsidRPr="00C121A5">
        <w:t>holders, and</w:t>
      </w:r>
      <w:proofErr w:type="gramEnd"/>
      <w:r w:rsidRPr="00C121A5">
        <w:t xml:space="preserve"> does not relate to CDR consumers.</w:t>
      </w:r>
    </w:p>
    <w:p w14:paraId="0AB61C47" w14:textId="4176216B" w:rsidR="00C121A5" w:rsidRPr="00C121A5" w:rsidRDefault="00C121A5" w:rsidP="00C121A5">
      <w:pPr>
        <w:rPr>
          <w:rFonts w:asciiTheme="minorHAnsi" w:hAnsiTheme="minorHAnsi"/>
        </w:rPr>
      </w:pPr>
      <w:r w:rsidRPr="00C121A5">
        <w:rPr>
          <w:rFonts w:asciiTheme="minorHAnsi" w:hAnsiTheme="minorHAnsi"/>
        </w:rPr>
        <w:t xml:space="preserve">Part 3 </w:t>
      </w:r>
      <w:r w:rsidR="00D338D9">
        <w:rPr>
          <w:rFonts w:asciiTheme="minorHAnsi" w:hAnsiTheme="minorHAnsi"/>
        </w:rPr>
        <w:t>sets out</w:t>
      </w:r>
      <w:r w:rsidRPr="00C121A5">
        <w:rPr>
          <w:rFonts w:asciiTheme="minorHAnsi" w:hAnsiTheme="minorHAnsi"/>
        </w:rPr>
        <w:t xml:space="preserve"> requirements for the disclosure of </w:t>
      </w:r>
      <w:r w:rsidR="00C376FB">
        <w:rPr>
          <w:rFonts w:asciiTheme="minorHAnsi" w:hAnsiTheme="minorHAnsi"/>
        </w:rPr>
        <w:t>consumer data</w:t>
      </w:r>
      <w:r w:rsidRPr="00C121A5">
        <w:rPr>
          <w:rFonts w:asciiTheme="minorHAnsi" w:hAnsiTheme="minorHAnsi"/>
        </w:rPr>
        <w:t xml:space="preserve"> in response to a request made directly by that consumer. This </w:t>
      </w:r>
      <w:r w:rsidR="00D338D9">
        <w:rPr>
          <w:rFonts w:asciiTheme="minorHAnsi" w:hAnsiTheme="minorHAnsi"/>
        </w:rPr>
        <w:t>P</w:t>
      </w:r>
      <w:r w:rsidRPr="00C121A5">
        <w:rPr>
          <w:rFonts w:asciiTheme="minorHAnsi" w:hAnsiTheme="minorHAnsi"/>
        </w:rPr>
        <w:t>art is not currently operational.</w:t>
      </w:r>
    </w:p>
    <w:p w14:paraId="0767890B" w14:textId="711769C5" w:rsidR="00C121A5" w:rsidRPr="00C121A5" w:rsidRDefault="00C121A5" w:rsidP="00993BAE">
      <w:r w:rsidRPr="00C121A5">
        <w:t xml:space="preserve">Part 4 </w:t>
      </w:r>
      <w:r w:rsidR="00D338D9">
        <w:t>sets out</w:t>
      </w:r>
      <w:r w:rsidRPr="00C121A5">
        <w:t xml:space="preserve"> requirements for the disclosure of data about a </w:t>
      </w:r>
      <w:r w:rsidR="0069782C">
        <w:t xml:space="preserve">CDR </w:t>
      </w:r>
      <w:r w:rsidRPr="00C121A5">
        <w:t xml:space="preserve">consumer in response to a request made on behalf of the consumer by an accredited person. This </w:t>
      </w:r>
      <w:r w:rsidR="00D338D9">
        <w:t>P</w:t>
      </w:r>
      <w:r w:rsidRPr="00C121A5">
        <w:t xml:space="preserve">art contains a range of requirements in relation to the processes for seeking consents and authorisations </w:t>
      </w:r>
      <w:r w:rsidRPr="00C121A5">
        <w:lastRenderedPageBreak/>
        <w:t xml:space="preserve">from </w:t>
      </w:r>
      <w:r w:rsidR="0069782C">
        <w:t xml:space="preserve">CDR </w:t>
      </w:r>
      <w:r w:rsidRPr="00C121A5">
        <w:t>consumers</w:t>
      </w:r>
      <w:r w:rsidR="00D338D9">
        <w:t>. P</w:t>
      </w:r>
      <w:r w:rsidR="006D01B5">
        <w:t>art 4A</w:t>
      </w:r>
      <w:r w:rsidRPr="00C121A5">
        <w:t xml:space="preserve"> set</w:t>
      </w:r>
      <w:r w:rsidR="00D338D9">
        <w:t xml:space="preserve">s </w:t>
      </w:r>
      <w:r w:rsidRPr="00C121A5">
        <w:t xml:space="preserve">out </w:t>
      </w:r>
      <w:r w:rsidR="00D60E1C">
        <w:t xml:space="preserve">modifications of these </w:t>
      </w:r>
      <w:r w:rsidRPr="00C121A5">
        <w:t xml:space="preserve">requirements in the context of </w:t>
      </w:r>
      <w:r w:rsidR="0069782C">
        <w:t xml:space="preserve">CDR data relating to </w:t>
      </w:r>
      <w:r w:rsidRPr="00C121A5">
        <w:t>joint accounts.</w:t>
      </w:r>
    </w:p>
    <w:p w14:paraId="2A0115C8" w14:textId="536E880D" w:rsidR="00C121A5" w:rsidRPr="00C121A5" w:rsidRDefault="00C121A5" w:rsidP="00993BAE">
      <w:r w:rsidRPr="00C121A5">
        <w:t xml:space="preserve">Part 5 </w:t>
      </w:r>
      <w:r w:rsidR="00D60E1C">
        <w:t>specifies</w:t>
      </w:r>
      <w:r w:rsidRPr="00C121A5">
        <w:t xml:space="preserve"> the criteria that need to be met </w:t>
      </w:r>
      <w:r w:rsidR="00D60E1C">
        <w:t xml:space="preserve">for an entity </w:t>
      </w:r>
      <w:r w:rsidRPr="00C121A5">
        <w:t>to become an accredited person</w:t>
      </w:r>
      <w:r w:rsidR="00D60E1C">
        <w:t>;</w:t>
      </w:r>
      <w:r w:rsidR="00DB3430">
        <w:t xml:space="preserve"> ongoing obligations of accredited persons</w:t>
      </w:r>
      <w:r w:rsidR="00A237A2">
        <w:t>, including in relation to internal and external dispute resolution processes;</w:t>
      </w:r>
      <w:r w:rsidR="00DB3430">
        <w:t xml:space="preserve"> </w:t>
      </w:r>
      <w:r w:rsidR="00D60E1C">
        <w:t xml:space="preserve">rules relating to </w:t>
      </w:r>
      <w:r w:rsidR="00DB3430">
        <w:t>the Register of Accredited Persons</w:t>
      </w:r>
      <w:r w:rsidR="00D60E1C">
        <w:t>;</w:t>
      </w:r>
      <w:r w:rsidRPr="00C121A5">
        <w:t xml:space="preserve"> and </w:t>
      </w:r>
      <w:r w:rsidR="00D60E1C">
        <w:t xml:space="preserve">the </w:t>
      </w:r>
      <w:r w:rsidRPr="00C121A5">
        <w:t xml:space="preserve">powers and responsibilities </w:t>
      </w:r>
      <w:r w:rsidR="00D60E1C">
        <w:t xml:space="preserve">of </w:t>
      </w:r>
      <w:r w:rsidRPr="00C121A5">
        <w:t>the ACCC as the Data Recipient Accreditor.</w:t>
      </w:r>
    </w:p>
    <w:p w14:paraId="06AD68A2" w14:textId="031D004C" w:rsidR="00C121A5" w:rsidRPr="00C121A5" w:rsidRDefault="00C121A5" w:rsidP="00993BAE">
      <w:r w:rsidRPr="00C121A5">
        <w:t>Part 6 sets out the requirements on data holders for internal and external dispute resolution processes.</w:t>
      </w:r>
    </w:p>
    <w:p w14:paraId="13C80084" w14:textId="37172F31" w:rsidR="00771492" w:rsidRPr="00C121A5" w:rsidRDefault="00C121A5" w:rsidP="00993BAE">
      <w:r w:rsidRPr="00C121A5">
        <w:t xml:space="preserve">Part 7 </w:t>
      </w:r>
      <w:r w:rsidR="00821D51">
        <w:t xml:space="preserve">sets out </w:t>
      </w:r>
      <w:r w:rsidR="00021306">
        <w:t xml:space="preserve">rules relating to </w:t>
      </w:r>
      <w:r w:rsidR="00821D51">
        <w:t>the CDR’s</w:t>
      </w:r>
      <w:r w:rsidR="00821D51" w:rsidRPr="00C121A5">
        <w:t xml:space="preserve"> </w:t>
      </w:r>
      <w:r w:rsidRPr="00C121A5">
        <w:t>privacy safeguards</w:t>
      </w:r>
      <w:r w:rsidR="00021306">
        <w:t xml:space="preserve">, which are contained in the </w:t>
      </w:r>
      <w:r w:rsidR="00916489">
        <w:t xml:space="preserve">Competition and Consumer </w:t>
      </w:r>
      <w:r w:rsidR="00021306">
        <w:t>Act</w:t>
      </w:r>
      <w:r w:rsidR="00916489">
        <w:t xml:space="preserve"> 2010 (the Act)</w:t>
      </w:r>
      <w:r w:rsidR="00021306">
        <w:t xml:space="preserve">. </w:t>
      </w:r>
      <w:r w:rsidR="00386072">
        <w:t>This Part</w:t>
      </w:r>
      <w:r w:rsidR="00821D51">
        <w:t xml:space="preserve"> </w:t>
      </w:r>
      <w:r w:rsidR="00386072">
        <w:t>s</w:t>
      </w:r>
      <w:r w:rsidRPr="00C121A5">
        <w:t xml:space="preserve">ets out a range of obligations and permissions in respect of the </w:t>
      </w:r>
      <w:r w:rsidR="006D01B5">
        <w:t>management</w:t>
      </w:r>
      <w:r w:rsidR="006D01B5" w:rsidRPr="00C121A5">
        <w:t xml:space="preserve"> </w:t>
      </w:r>
      <w:r w:rsidRPr="00C121A5">
        <w:t xml:space="preserve">of CDR data and the processes </w:t>
      </w:r>
      <w:r w:rsidR="00E60B03">
        <w:t xml:space="preserve">that must be </w:t>
      </w:r>
      <w:r w:rsidRPr="00C121A5">
        <w:t>used by entities participating in the CDR</w:t>
      </w:r>
      <w:r w:rsidR="007D70F9">
        <w:t xml:space="preserve"> </w:t>
      </w:r>
      <w:proofErr w:type="gramStart"/>
      <w:r w:rsidR="007D70F9">
        <w:t>in order to</w:t>
      </w:r>
      <w:proofErr w:type="gramEnd"/>
      <w:r w:rsidR="007D70F9">
        <w:t xml:space="preserve"> ensure the integrity and security of CDR data</w:t>
      </w:r>
      <w:r w:rsidRPr="00C121A5">
        <w:t xml:space="preserve">. </w:t>
      </w:r>
    </w:p>
    <w:p w14:paraId="53280471" w14:textId="720A2991" w:rsidR="00C121A5" w:rsidRPr="003C7E37" w:rsidRDefault="00C121A5" w:rsidP="00C121A5">
      <w:r w:rsidRPr="003C7E37">
        <w:t xml:space="preserve">Part 8 </w:t>
      </w:r>
      <w:r w:rsidR="00A237A2">
        <w:t xml:space="preserve">sets out rules </w:t>
      </w:r>
      <w:r w:rsidRPr="003C7E37">
        <w:t>relat</w:t>
      </w:r>
      <w:r w:rsidR="00A237A2">
        <w:t>ing</w:t>
      </w:r>
      <w:r w:rsidRPr="003C7E37">
        <w:t xml:space="preserve"> to </w:t>
      </w:r>
      <w:r w:rsidR="00B55C99">
        <w:t>D</w:t>
      </w:r>
      <w:r w:rsidRPr="003C7E37">
        <w:t xml:space="preserve">ata </w:t>
      </w:r>
      <w:r w:rsidR="00B55C99">
        <w:t>S</w:t>
      </w:r>
      <w:r w:rsidRPr="003C7E37">
        <w:t>tandards</w:t>
      </w:r>
      <w:r w:rsidR="00C6506E">
        <w:t xml:space="preserve">. These cover matters including the functions and procedures of the Data Standards Advisory Committee, processes for making Data Standards, and types of standards that must be made. </w:t>
      </w:r>
    </w:p>
    <w:p w14:paraId="3B5125EC" w14:textId="31CB7D04" w:rsidR="003F1D6C" w:rsidRDefault="00C121A5" w:rsidP="003C7E37">
      <w:r w:rsidRPr="00C121A5">
        <w:rPr>
          <w:rFonts w:asciiTheme="minorHAnsi" w:hAnsiTheme="minorHAnsi"/>
        </w:rPr>
        <w:t xml:space="preserve">Part 9 </w:t>
      </w:r>
      <w:r w:rsidR="00FD278B">
        <w:rPr>
          <w:rFonts w:asciiTheme="minorHAnsi" w:hAnsiTheme="minorHAnsi"/>
        </w:rPr>
        <w:t>includes</w:t>
      </w:r>
      <w:r w:rsidR="00FD278B" w:rsidRPr="00C121A5">
        <w:rPr>
          <w:rFonts w:asciiTheme="minorHAnsi" w:hAnsiTheme="minorHAnsi"/>
        </w:rPr>
        <w:t xml:space="preserve"> </w:t>
      </w:r>
      <w:r w:rsidRPr="00C121A5">
        <w:rPr>
          <w:rFonts w:asciiTheme="minorHAnsi" w:hAnsiTheme="minorHAnsi"/>
        </w:rPr>
        <w:t xml:space="preserve">the record keeping and reporting obligations placed on data holders and </w:t>
      </w:r>
      <w:r w:rsidR="001C705E">
        <w:rPr>
          <w:rFonts w:asciiTheme="minorHAnsi" w:hAnsiTheme="minorHAnsi"/>
        </w:rPr>
        <w:t>a</w:t>
      </w:r>
      <w:r w:rsidRPr="00C121A5">
        <w:rPr>
          <w:rFonts w:asciiTheme="minorHAnsi" w:hAnsiTheme="minorHAnsi"/>
        </w:rPr>
        <w:t xml:space="preserve">ccredited </w:t>
      </w:r>
      <w:r w:rsidR="001C705E">
        <w:rPr>
          <w:rFonts w:asciiTheme="minorHAnsi" w:hAnsiTheme="minorHAnsi"/>
        </w:rPr>
        <w:t>p</w:t>
      </w:r>
      <w:r w:rsidRPr="00C121A5">
        <w:rPr>
          <w:rFonts w:asciiTheme="minorHAnsi" w:hAnsiTheme="minorHAnsi"/>
        </w:rPr>
        <w:t xml:space="preserve">ersons, and the powers of the OAIC and ACCC to request documents and conduct audits. </w:t>
      </w:r>
    </w:p>
    <w:p w14:paraId="08EB9902" w14:textId="51C60145" w:rsidR="00397B6B" w:rsidRPr="00397B6B" w:rsidRDefault="00F12841" w:rsidP="00397B6B">
      <w:pPr>
        <w:pStyle w:val="Heading2"/>
        <w:rPr>
          <w:rFonts w:asciiTheme="minorHAnsi" w:hAnsiTheme="minorHAnsi"/>
        </w:rPr>
      </w:pPr>
      <w:bookmarkStart w:id="11" w:name="_Toc120881024"/>
      <w:r>
        <w:rPr>
          <w:rFonts w:asciiTheme="minorHAnsi" w:hAnsiTheme="minorHAnsi"/>
        </w:rPr>
        <w:t xml:space="preserve">The role of </w:t>
      </w:r>
      <w:r w:rsidR="00BA04EA">
        <w:rPr>
          <w:rFonts w:asciiTheme="minorHAnsi" w:hAnsiTheme="minorHAnsi"/>
        </w:rPr>
        <w:t xml:space="preserve">Data Standards in </w:t>
      </w:r>
      <w:r>
        <w:rPr>
          <w:rFonts w:asciiTheme="minorHAnsi" w:hAnsiTheme="minorHAnsi"/>
        </w:rPr>
        <w:t>the CDR</w:t>
      </w:r>
      <w:bookmarkEnd w:id="11"/>
    </w:p>
    <w:p w14:paraId="5159A05E" w14:textId="7EEDF5DF" w:rsidR="00397B6B" w:rsidRPr="00973B56" w:rsidRDefault="00397B6B" w:rsidP="00397B6B">
      <w:bookmarkStart w:id="12" w:name="_Hlk119054171"/>
      <w:r w:rsidRPr="00973B56">
        <w:t xml:space="preserve">The </w:t>
      </w:r>
      <w:r w:rsidR="00B7507C">
        <w:t xml:space="preserve">Data </w:t>
      </w:r>
      <w:r>
        <w:t>S</w:t>
      </w:r>
      <w:r w:rsidRPr="00973B56">
        <w:t xml:space="preserve">tandards </w:t>
      </w:r>
      <w:r w:rsidR="004857DE" w:rsidRPr="004857DE">
        <w:t>are developed and maintained by the DSB in the Treasury</w:t>
      </w:r>
      <w:r w:rsidR="004857DE">
        <w:t xml:space="preserve"> and made by the Data Standards Chair </w:t>
      </w:r>
      <w:bookmarkEnd w:id="12"/>
      <w:r w:rsidRPr="00973B56">
        <w:t xml:space="preserve">in accordance with the </w:t>
      </w:r>
      <w:r>
        <w:t>Rules</w:t>
      </w:r>
      <w:r w:rsidRPr="00973B56">
        <w:t xml:space="preserve">. The </w:t>
      </w:r>
      <w:r w:rsidR="001C08A9">
        <w:t xml:space="preserve">Data </w:t>
      </w:r>
      <w:r>
        <w:t>S</w:t>
      </w:r>
      <w:r w:rsidRPr="00973B56">
        <w:t xml:space="preserve">tandards for Consumer Experience, Security Profile and </w:t>
      </w:r>
      <w:r w:rsidR="00821D51">
        <w:t>Application Programming Interface (</w:t>
      </w:r>
      <w:r w:rsidRPr="00973B56">
        <w:t>API</w:t>
      </w:r>
      <w:r w:rsidR="00821D51">
        <w:t>)</w:t>
      </w:r>
      <w:r w:rsidRPr="00973B56">
        <w:t xml:space="preserve"> definitions are published on the </w:t>
      </w:r>
      <w:hyperlink r:id="rId27" w:history="1">
        <w:r w:rsidR="007228EC" w:rsidRPr="007D1500">
          <w:rPr>
            <w:rStyle w:val="Hyperlink"/>
          </w:rPr>
          <w:t>Consumer Data Standards website</w:t>
        </w:r>
      </w:hyperlink>
      <w:r w:rsidRPr="00973B56">
        <w:t xml:space="preserve">. The </w:t>
      </w:r>
      <w:r w:rsidR="001C08A9">
        <w:t xml:space="preserve">Data </w:t>
      </w:r>
      <w:r w:rsidR="00FD278B">
        <w:t>S</w:t>
      </w:r>
      <w:r w:rsidR="00FD278B" w:rsidRPr="00973B56">
        <w:t xml:space="preserve">tandards </w:t>
      </w:r>
      <w:r w:rsidRPr="00973B56">
        <w:t xml:space="preserve">are publicly </w:t>
      </w:r>
      <w:r w:rsidR="00771492">
        <w:t>consulted</w:t>
      </w:r>
      <w:r w:rsidR="00771492" w:rsidRPr="00973B56">
        <w:t xml:space="preserve"> </w:t>
      </w:r>
      <w:r w:rsidRPr="00973B56">
        <w:t>on</w:t>
      </w:r>
      <w:r w:rsidR="00771492">
        <w:t xml:space="preserve"> using</w:t>
      </w:r>
      <w:r w:rsidRPr="00973B56">
        <w:t xml:space="preserve"> </w:t>
      </w:r>
      <w:hyperlink r:id="rId28" w:history="1">
        <w:r w:rsidR="007228EC" w:rsidRPr="00B0315E">
          <w:rPr>
            <w:rStyle w:val="Hyperlink"/>
          </w:rPr>
          <w:t>GitHub</w:t>
        </w:r>
      </w:hyperlink>
      <w:r w:rsidRPr="00973B56">
        <w:t xml:space="preserve">, </w:t>
      </w:r>
      <w:r w:rsidR="00771492">
        <w:t xml:space="preserve">and change requests to the </w:t>
      </w:r>
      <w:r w:rsidR="001C08A9">
        <w:t xml:space="preserve">Data </w:t>
      </w:r>
      <w:r w:rsidR="00771492">
        <w:t xml:space="preserve">Standards can also be raised on the </w:t>
      </w:r>
      <w:hyperlink r:id="rId29" w:history="1">
        <w:r w:rsidR="007228EC" w:rsidRPr="00B0315E">
          <w:rPr>
            <w:rStyle w:val="Hyperlink"/>
          </w:rPr>
          <w:t>standards maintenance site</w:t>
        </w:r>
      </w:hyperlink>
      <w:r w:rsidRPr="00973B56">
        <w:t xml:space="preserve">. The CDR stakeholder community is strongly encouraged to contribute to </w:t>
      </w:r>
      <w:r w:rsidR="00B55C99">
        <w:t xml:space="preserve">Data </w:t>
      </w:r>
      <w:r>
        <w:t>S</w:t>
      </w:r>
      <w:r w:rsidRPr="00973B56">
        <w:t xml:space="preserve">tandards development in relation to the </w:t>
      </w:r>
      <w:r>
        <w:t xml:space="preserve">non-bank lending </w:t>
      </w:r>
      <w:r w:rsidRPr="00973B56">
        <w:t>sector.</w:t>
      </w:r>
    </w:p>
    <w:p w14:paraId="766A0A4A" w14:textId="27431598" w:rsidR="00397B6B" w:rsidRPr="00973B56" w:rsidRDefault="00397B6B" w:rsidP="00397B6B">
      <w:r w:rsidRPr="00973B56">
        <w:t xml:space="preserve">The </w:t>
      </w:r>
      <w:hyperlink r:id="rId30" w:history="1">
        <w:r w:rsidR="007228EC" w:rsidRPr="00F75079">
          <w:rPr>
            <w:rStyle w:val="Hyperlink"/>
          </w:rPr>
          <w:t>Consumer Experience Guidelines</w:t>
        </w:r>
      </w:hyperlink>
      <w:r w:rsidRPr="00973B56">
        <w:t xml:space="preserve"> (CX Guidelines) provide optional implementation examples for key </w:t>
      </w:r>
      <w:r w:rsidR="001070CA">
        <w:t>R</w:t>
      </w:r>
      <w:r w:rsidRPr="00973B56">
        <w:t xml:space="preserve">ules, </w:t>
      </w:r>
      <w:r w:rsidR="001C08A9">
        <w:t xml:space="preserve">Data </w:t>
      </w:r>
      <w:r w:rsidR="00E75AC3">
        <w:t>S</w:t>
      </w:r>
      <w:r w:rsidRPr="00973B56">
        <w:t>tandards, and</w:t>
      </w:r>
      <w:r w:rsidR="00E75AC3">
        <w:t xml:space="preserve"> </w:t>
      </w:r>
      <w:r w:rsidR="007228EC">
        <w:t xml:space="preserve">best practice </w:t>
      </w:r>
      <w:r w:rsidRPr="00973B56">
        <w:t>recommendations. They include annotated wireframes, open-source assets, prototypes, and a checklist outlining key requirements. The CX Guidelines are used to assist CDR implementation in the banking</w:t>
      </w:r>
      <w:r>
        <w:t>,</w:t>
      </w:r>
      <w:r w:rsidRPr="00973B56">
        <w:t xml:space="preserve"> energy</w:t>
      </w:r>
      <w:r w:rsidR="00E75AC3">
        <w:t>,</w:t>
      </w:r>
      <w:r w:rsidRPr="00973B56">
        <w:t xml:space="preserve"> </w:t>
      </w:r>
      <w:r>
        <w:t>and telecommunication</w:t>
      </w:r>
      <w:r w:rsidR="00821D51">
        <w:t>s</w:t>
      </w:r>
      <w:r>
        <w:t xml:space="preserve"> sectors.</w:t>
      </w:r>
    </w:p>
    <w:p w14:paraId="5123E9B4" w14:textId="77777777" w:rsidR="00397B6B" w:rsidRDefault="00397B6B" w:rsidP="00397B6B"/>
    <w:p w14:paraId="2C6ACC96" w14:textId="77777777" w:rsidR="004B35AA" w:rsidRDefault="004B35AA" w:rsidP="00397B6B"/>
    <w:p w14:paraId="589A2B47" w14:textId="0363060B" w:rsidR="00397B6B" w:rsidRPr="00397B6B" w:rsidRDefault="00397B6B" w:rsidP="00397B6B">
      <w:pPr>
        <w:sectPr w:rsidR="00397B6B" w:rsidRPr="00397B6B" w:rsidSect="00114B0F">
          <w:pgSz w:w="11906" w:h="16838"/>
          <w:pgMar w:top="1440" w:right="1440" w:bottom="1440" w:left="1440" w:header="708" w:footer="708" w:gutter="0"/>
          <w:cols w:space="708"/>
          <w:docGrid w:linePitch="360"/>
        </w:sectPr>
      </w:pPr>
    </w:p>
    <w:p w14:paraId="6B79DFEA" w14:textId="1217A991" w:rsidR="002325F2" w:rsidRDefault="002325F2" w:rsidP="00994BDE">
      <w:pPr>
        <w:pStyle w:val="Heading1"/>
        <w:spacing w:before="0"/>
        <w:rPr>
          <w:rFonts w:eastAsia="Calibri"/>
        </w:rPr>
      </w:pPr>
      <w:bookmarkStart w:id="13" w:name="_Toc120881025"/>
      <w:r>
        <w:rPr>
          <w:rFonts w:eastAsia="Calibri"/>
        </w:rPr>
        <w:lastRenderedPageBreak/>
        <w:t>Issues for Feedback</w:t>
      </w:r>
      <w:bookmarkEnd w:id="13"/>
    </w:p>
    <w:p w14:paraId="6DE2BDE1" w14:textId="0EBE3489" w:rsidR="007C46CB" w:rsidRDefault="00364CBF" w:rsidP="007C46CB">
      <w:pPr>
        <w:pStyle w:val="Heading2"/>
        <w:spacing w:after="240"/>
        <w:rPr>
          <w:rFonts w:eastAsia="Calibri"/>
        </w:rPr>
      </w:pPr>
      <w:bookmarkStart w:id="14" w:name="_Toc120881026"/>
      <w:r w:rsidRPr="00364CBF">
        <w:rPr>
          <w:rFonts w:eastAsia="Calibri"/>
        </w:rPr>
        <w:t>Scope of data sharing</w:t>
      </w:r>
      <w:r w:rsidR="004857DE">
        <w:rPr>
          <w:rFonts w:eastAsia="Calibri"/>
        </w:rPr>
        <w:t xml:space="preserve"> in the non-bank lending sector</w:t>
      </w:r>
      <w:bookmarkEnd w:id="14"/>
    </w:p>
    <w:p w14:paraId="2260FE71" w14:textId="0E6E6FA8" w:rsidR="00A07A23" w:rsidRPr="009B4F19" w:rsidRDefault="00A07A23" w:rsidP="005E2864">
      <w:pPr>
        <w:pStyle w:val="Heading3"/>
        <w:rPr>
          <w:rFonts w:asciiTheme="minorHAnsi" w:eastAsia="Calibri" w:hAnsiTheme="minorHAnsi" w:cs="Times New Roman"/>
          <w:b w:val="0"/>
        </w:rPr>
      </w:pPr>
      <w:bookmarkStart w:id="15" w:name="_Toc120881027"/>
      <w:r w:rsidRPr="009B4F19">
        <w:rPr>
          <w:rFonts w:eastAsia="Calibri"/>
        </w:rPr>
        <w:t>Wh</w:t>
      </w:r>
      <w:r w:rsidR="00570FA0">
        <w:rPr>
          <w:rFonts w:eastAsia="Calibri"/>
        </w:rPr>
        <w:t xml:space="preserve">at </w:t>
      </w:r>
      <w:r w:rsidRPr="009B4F19">
        <w:rPr>
          <w:rFonts w:eastAsia="Calibri"/>
        </w:rPr>
        <w:t>data holders</w:t>
      </w:r>
      <w:r w:rsidRPr="007A21B5">
        <w:rPr>
          <w:rFonts w:eastAsia="Calibri"/>
          <w:bCs w:val="0"/>
        </w:rPr>
        <w:t xml:space="preserve"> </w:t>
      </w:r>
      <w:r w:rsidRPr="007A21B5">
        <w:rPr>
          <w:rFonts w:asciiTheme="minorHAnsi" w:eastAsia="Calibri" w:hAnsiTheme="minorHAnsi" w:cs="Times New Roman"/>
          <w:bCs w:val="0"/>
        </w:rPr>
        <w:t>should be required to share CDR data?</w:t>
      </w:r>
      <w:bookmarkEnd w:id="15"/>
    </w:p>
    <w:p w14:paraId="3424267E" w14:textId="42C2F527" w:rsidR="00901220" w:rsidRPr="00364CBF" w:rsidRDefault="00A07A23" w:rsidP="00901220">
      <w:pPr>
        <w:pStyle w:val="Bulletpoint"/>
        <w:numPr>
          <w:ilvl w:val="0"/>
          <w:numId w:val="0"/>
        </w:numPr>
        <w:rPr>
          <w:rFonts w:asciiTheme="minorHAnsi" w:eastAsia="Calibri" w:hAnsiTheme="minorHAnsi"/>
        </w:rPr>
      </w:pPr>
      <w:r>
        <w:rPr>
          <w:rFonts w:asciiTheme="minorHAnsi" w:eastAsia="Calibri" w:hAnsiTheme="minorHAnsi"/>
        </w:rPr>
        <w:t xml:space="preserve">The </w:t>
      </w:r>
      <w:r w:rsidR="003073BB">
        <w:rPr>
          <w:rFonts w:asciiTheme="minorHAnsi" w:eastAsia="Calibri" w:hAnsiTheme="minorHAnsi"/>
        </w:rPr>
        <w:t>D</w:t>
      </w:r>
      <w:r>
        <w:rPr>
          <w:rFonts w:asciiTheme="minorHAnsi" w:eastAsia="Calibri" w:hAnsiTheme="minorHAnsi"/>
        </w:rPr>
        <w:t xml:space="preserve">esignation </w:t>
      </w:r>
      <w:r w:rsidR="003073BB">
        <w:rPr>
          <w:rFonts w:asciiTheme="minorHAnsi" w:eastAsia="Calibri" w:hAnsiTheme="minorHAnsi"/>
        </w:rPr>
        <w:t>I</w:t>
      </w:r>
      <w:r>
        <w:rPr>
          <w:rFonts w:asciiTheme="minorHAnsi" w:eastAsia="Calibri" w:hAnsiTheme="minorHAnsi"/>
        </w:rPr>
        <w:t xml:space="preserve">nstrument </w:t>
      </w:r>
      <w:r w:rsidR="00AA65F4">
        <w:rPr>
          <w:rFonts w:asciiTheme="minorHAnsi" w:eastAsia="Calibri" w:hAnsiTheme="minorHAnsi"/>
        </w:rPr>
        <w:t>designates</w:t>
      </w:r>
      <w:r>
        <w:rPr>
          <w:rFonts w:asciiTheme="minorHAnsi" w:eastAsia="Calibri" w:hAnsiTheme="minorHAnsi"/>
        </w:rPr>
        <w:t xml:space="preserve"> </w:t>
      </w:r>
      <w:r w:rsidR="00373102">
        <w:rPr>
          <w:rFonts w:asciiTheme="minorHAnsi" w:eastAsia="Calibri" w:hAnsiTheme="minorHAnsi"/>
        </w:rPr>
        <w:t xml:space="preserve">“relevant non-bank lenders”. Essentially, these are defined as </w:t>
      </w:r>
      <w:r w:rsidRPr="00364CBF">
        <w:rPr>
          <w:rFonts w:asciiTheme="minorHAnsi" w:eastAsia="Calibri" w:hAnsiTheme="minorHAnsi"/>
        </w:rPr>
        <w:t>non-bank lenders that are “regist</w:t>
      </w:r>
      <w:r w:rsidR="003073BB">
        <w:rPr>
          <w:rFonts w:asciiTheme="minorHAnsi" w:eastAsia="Calibri" w:hAnsiTheme="minorHAnsi"/>
        </w:rPr>
        <w:t>rable</w:t>
      </w:r>
      <w:r w:rsidRPr="00364CBF">
        <w:rPr>
          <w:rFonts w:asciiTheme="minorHAnsi" w:eastAsia="Calibri" w:hAnsiTheme="minorHAnsi"/>
        </w:rPr>
        <w:t xml:space="preserve"> corporation</w:t>
      </w:r>
      <w:r w:rsidR="003073BB">
        <w:rPr>
          <w:rFonts w:asciiTheme="minorHAnsi" w:eastAsia="Calibri" w:hAnsiTheme="minorHAnsi"/>
        </w:rPr>
        <w:t>s</w:t>
      </w:r>
      <w:r w:rsidRPr="00364CBF">
        <w:rPr>
          <w:rFonts w:asciiTheme="minorHAnsi" w:eastAsia="Calibri" w:hAnsiTheme="minorHAnsi"/>
        </w:rPr>
        <w:t xml:space="preserve">” under </w:t>
      </w:r>
      <w:r w:rsidR="003073BB">
        <w:rPr>
          <w:rFonts w:asciiTheme="minorHAnsi" w:eastAsia="Calibri" w:hAnsiTheme="minorHAnsi"/>
        </w:rPr>
        <w:t xml:space="preserve">section </w:t>
      </w:r>
      <w:r w:rsidRPr="00364CBF">
        <w:rPr>
          <w:rFonts w:asciiTheme="minorHAnsi" w:eastAsia="Calibri" w:hAnsiTheme="minorHAnsi"/>
        </w:rPr>
        <w:t xml:space="preserve">7 of the </w:t>
      </w:r>
      <w:r w:rsidRPr="00364CBF">
        <w:rPr>
          <w:rFonts w:asciiTheme="minorHAnsi" w:eastAsia="Calibri" w:hAnsiTheme="minorHAnsi"/>
          <w:i/>
        </w:rPr>
        <w:t xml:space="preserve">Financial Sector (Collection of Data) Act 2021 </w:t>
      </w:r>
      <w:r w:rsidRPr="004857DE">
        <w:rPr>
          <w:rFonts w:asciiTheme="minorHAnsi" w:eastAsia="Calibri" w:hAnsiTheme="minorHAnsi"/>
          <w:iCs/>
        </w:rPr>
        <w:t>(</w:t>
      </w:r>
      <w:r w:rsidR="0092244C">
        <w:rPr>
          <w:rFonts w:asciiTheme="minorHAnsi" w:eastAsia="Calibri" w:hAnsiTheme="minorHAnsi"/>
          <w:iCs/>
        </w:rPr>
        <w:t xml:space="preserve">the </w:t>
      </w:r>
      <w:r w:rsidRPr="00364CBF">
        <w:rPr>
          <w:rFonts w:asciiTheme="minorHAnsi" w:eastAsia="Calibri" w:hAnsiTheme="minorHAnsi"/>
        </w:rPr>
        <w:t xml:space="preserve">Collection of Data Act). The Collection of Data Act defines registrable corporations essentially as corporations that are not banks but provide finance in Australia as part of their business activities. </w:t>
      </w:r>
      <w:r w:rsidR="001E50DA">
        <w:rPr>
          <w:rFonts w:asciiTheme="minorHAnsi" w:eastAsia="Calibri" w:hAnsiTheme="minorHAnsi"/>
        </w:rPr>
        <w:t>However</w:t>
      </w:r>
      <w:r w:rsidR="003073BB">
        <w:rPr>
          <w:rFonts w:asciiTheme="minorHAnsi" w:eastAsia="Calibri" w:hAnsiTheme="minorHAnsi"/>
        </w:rPr>
        <w:t>,</w:t>
      </w:r>
      <w:r w:rsidR="001E50DA">
        <w:rPr>
          <w:rFonts w:asciiTheme="minorHAnsi" w:eastAsia="Calibri" w:hAnsiTheme="minorHAnsi"/>
        </w:rPr>
        <w:t xml:space="preserve"> entities with assets below $50 million </w:t>
      </w:r>
      <w:r w:rsidR="00373102">
        <w:rPr>
          <w:rFonts w:asciiTheme="minorHAnsi" w:eastAsia="Calibri" w:hAnsiTheme="minorHAnsi"/>
        </w:rPr>
        <w:t xml:space="preserve">are excluded </w:t>
      </w:r>
      <w:r w:rsidR="00505424">
        <w:rPr>
          <w:rFonts w:asciiTheme="minorHAnsi" w:eastAsia="Calibri" w:hAnsiTheme="minorHAnsi"/>
        </w:rPr>
        <w:t xml:space="preserve">from the definition of </w:t>
      </w:r>
      <w:r w:rsidR="00373102">
        <w:rPr>
          <w:rFonts w:asciiTheme="minorHAnsi" w:eastAsia="Calibri" w:hAnsiTheme="minorHAnsi"/>
        </w:rPr>
        <w:t>“</w:t>
      </w:r>
      <w:r w:rsidR="00505424">
        <w:rPr>
          <w:rFonts w:asciiTheme="minorHAnsi" w:eastAsia="Calibri" w:hAnsiTheme="minorHAnsi"/>
        </w:rPr>
        <w:t>registrable corporation</w:t>
      </w:r>
      <w:r w:rsidR="00373102">
        <w:rPr>
          <w:rFonts w:asciiTheme="minorHAnsi" w:eastAsia="Calibri" w:hAnsiTheme="minorHAnsi"/>
        </w:rPr>
        <w:t xml:space="preserve">”. </w:t>
      </w:r>
      <w:r w:rsidR="001E50DA">
        <w:rPr>
          <w:rFonts w:asciiTheme="minorHAnsi" w:eastAsia="Calibri" w:hAnsiTheme="minorHAnsi"/>
        </w:rPr>
        <w:t xml:space="preserve"> </w:t>
      </w:r>
    </w:p>
    <w:p w14:paraId="7994EC06" w14:textId="70754426" w:rsidR="006120A0" w:rsidRDefault="00A07A23" w:rsidP="00901220">
      <w:pPr>
        <w:pStyle w:val="Bulletpoint"/>
      </w:pPr>
      <w:r w:rsidRPr="00364CBF">
        <w:t xml:space="preserve">The $50 million </w:t>
      </w:r>
      <w:r w:rsidR="00373102">
        <w:t>threshold</w:t>
      </w:r>
      <w:r w:rsidRPr="00364CBF">
        <w:t xml:space="preserve"> </w:t>
      </w:r>
      <w:r w:rsidR="00C463A1">
        <w:t>is not replicated in</w:t>
      </w:r>
      <w:r w:rsidR="00373102">
        <w:t xml:space="preserve"> the Designation Instrument</w:t>
      </w:r>
      <w:r w:rsidR="00C463A1">
        <w:t>. This</w:t>
      </w:r>
      <w:r w:rsidRPr="00364CBF">
        <w:t xml:space="preserve"> ensure</w:t>
      </w:r>
      <w:r w:rsidR="00C463A1">
        <w:t>s</w:t>
      </w:r>
      <w:r w:rsidRPr="00364CBF">
        <w:t xml:space="preserve"> the definition </w:t>
      </w:r>
      <w:r w:rsidR="00C463A1">
        <w:t xml:space="preserve">of “relevant non-bank lender” </w:t>
      </w:r>
      <w:r w:rsidRPr="00364CBF">
        <w:t>is sufficiently broad to capture all entities (excluding banks) that provide regulated and unregulated lending products to individual and business consumers.</w:t>
      </w:r>
      <w:r w:rsidR="00AF01C5">
        <w:t xml:space="preserve"> </w:t>
      </w:r>
    </w:p>
    <w:p w14:paraId="23D1F53F" w14:textId="0AB9B8BE" w:rsidR="00A07A23" w:rsidRPr="00364CBF" w:rsidRDefault="00AF01C5" w:rsidP="00901220">
      <w:pPr>
        <w:pStyle w:val="Bulletpoint"/>
      </w:pPr>
      <w:r w:rsidRPr="007A21B5">
        <w:t xml:space="preserve">Certain entities are exempted from the obligation to register under the Collection of Data Act by </w:t>
      </w:r>
      <w:r w:rsidR="00C463A1">
        <w:t xml:space="preserve">subsection </w:t>
      </w:r>
      <w:r w:rsidRPr="007A21B5">
        <w:t>7(2)</w:t>
      </w:r>
      <w:r w:rsidR="0092244C">
        <w:t xml:space="preserve"> of that Act</w:t>
      </w:r>
      <w:r w:rsidR="00FA191D" w:rsidRPr="007A21B5">
        <w:t xml:space="preserve">. </w:t>
      </w:r>
      <w:r w:rsidR="00FA191D" w:rsidRPr="007A21B5">
        <w:rPr>
          <w:rFonts w:cstheme="minorHAnsi"/>
        </w:rPr>
        <w:t>Any exemption</w:t>
      </w:r>
      <w:r w:rsidR="00C463A1">
        <w:rPr>
          <w:rFonts w:cstheme="minorHAnsi"/>
        </w:rPr>
        <w:t>s</w:t>
      </w:r>
      <w:r w:rsidR="00FA191D" w:rsidRPr="007A21B5">
        <w:rPr>
          <w:rFonts w:cstheme="minorHAnsi"/>
        </w:rPr>
        <w:t xml:space="preserve"> under this </w:t>
      </w:r>
      <w:r w:rsidR="003F40B9">
        <w:rPr>
          <w:rFonts w:cstheme="minorHAnsi"/>
        </w:rPr>
        <w:t>subsection</w:t>
      </w:r>
      <w:r w:rsidR="003F40B9" w:rsidRPr="007A21B5">
        <w:rPr>
          <w:rFonts w:cstheme="minorHAnsi"/>
        </w:rPr>
        <w:t xml:space="preserve"> </w:t>
      </w:r>
      <w:r w:rsidR="00C463A1">
        <w:rPr>
          <w:rFonts w:cstheme="minorHAnsi"/>
        </w:rPr>
        <w:t>flow through</w:t>
      </w:r>
      <w:r w:rsidR="00FA191D" w:rsidRPr="007A21B5">
        <w:rPr>
          <w:rFonts w:cstheme="minorHAnsi"/>
        </w:rPr>
        <w:t xml:space="preserve"> to the </w:t>
      </w:r>
      <w:r w:rsidR="00C463A1">
        <w:rPr>
          <w:rFonts w:cstheme="minorHAnsi"/>
        </w:rPr>
        <w:t>D</w:t>
      </w:r>
      <w:r w:rsidR="00FA191D" w:rsidRPr="007A21B5">
        <w:rPr>
          <w:rFonts w:cstheme="minorHAnsi"/>
        </w:rPr>
        <w:t xml:space="preserve">esignation </w:t>
      </w:r>
      <w:r w:rsidR="00C463A1">
        <w:rPr>
          <w:rFonts w:cstheme="minorHAnsi"/>
        </w:rPr>
        <w:t>I</w:t>
      </w:r>
      <w:r w:rsidR="00FA191D" w:rsidRPr="007A21B5">
        <w:rPr>
          <w:rFonts w:cstheme="minorHAnsi"/>
        </w:rPr>
        <w:t>nstrument.</w:t>
      </w:r>
    </w:p>
    <w:p w14:paraId="2B518EC4" w14:textId="479E72BA" w:rsidR="00A07A23" w:rsidRPr="00364CBF" w:rsidRDefault="00A07A23" w:rsidP="00A07A23">
      <w:pPr>
        <w:rPr>
          <w:rFonts w:asciiTheme="minorHAnsi" w:eastAsia="Calibri" w:hAnsiTheme="minorHAnsi" w:cs="Times New Roman"/>
        </w:rPr>
      </w:pPr>
      <w:r w:rsidRPr="00364CBF">
        <w:rPr>
          <w:rFonts w:asciiTheme="minorHAnsi" w:eastAsia="Calibri" w:hAnsiTheme="minorHAnsi" w:cs="Times New Roman"/>
        </w:rPr>
        <w:t xml:space="preserve">Treasury expects this approach will </w:t>
      </w:r>
      <w:r w:rsidR="004627AA">
        <w:rPr>
          <w:rFonts w:asciiTheme="minorHAnsi" w:eastAsia="Calibri" w:hAnsiTheme="minorHAnsi" w:cs="Times New Roman"/>
        </w:rPr>
        <w:t xml:space="preserve">result in </w:t>
      </w:r>
      <w:r w:rsidRPr="00364CBF">
        <w:rPr>
          <w:rFonts w:asciiTheme="minorHAnsi" w:eastAsia="Calibri" w:hAnsiTheme="minorHAnsi" w:cs="Times New Roman"/>
        </w:rPr>
        <w:t>approximately 1500 non-bank lenders</w:t>
      </w:r>
      <w:r w:rsidR="004627AA">
        <w:rPr>
          <w:rFonts w:asciiTheme="minorHAnsi" w:eastAsia="Calibri" w:hAnsiTheme="minorHAnsi" w:cs="Times New Roman"/>
        </w:rPr>
        <w:t xml:space="preserve"> being “relevant non-bank lenders”</w:t>
      </w:r>
      <w:r w:rsidRPr="00364CBF">
        <w:rPr>
          <w:rFonts w:asciiTheme="minorHAnsi" w:eastAsia="Calibri" w:hAnsiTheme="minorHAnsi" w:cs="Times New Roman"/>
        </w:rPr>
        <w:t xml:space="preserve">, including </w:t>
      </w:r>
      <w:proofErr w:type="gramStart"/>
      <w:r w:rsidRPr="00364CBF">
        <w:rPr>
          <w:rFonts w:asciiTheme="minorHAnsi" w:eastAsia="Calibri" w:hAnsiTheme="minorHAnsi" w:cs="Times New Roman"/>
        </w:rPr>
        <w:t>a large number of</w:t>
      </w:r>
      <w:proofErr w:type="gramEnd"/>
      <w:r w:rsidRPr="00364CBF">
        <w:rPr>
          <w:rFonts w:asciiTheme="minorHAnsi" w:eastAsia="Calibri" w:hAnsiTheme="minorHAnsi" w:cs="Times New Roman"/>
        </w:rPr>
        <w:t xml:space="preserve"> small entities. During consultation on the </w:t>
      </w:r>
      <w:r w:rsidR="002C2DB9">
        <w:rPr>
          <w:rFonts w:asciiTheme="minorHAnsi" w:eastAsia="Calibri" w:hAnsiTheme="minorHAnsi" w:cs="Times New Roman"/>
        </w:rPr>
        <w:t>Non-bank Lending Sectoral Assessment Final Report (the Report)</w:t>
      </w:r>
      <w:r w:rsidRPr="00364CBF">
        <w:rPr>
          <w:rFonts w:asciiTheme="minorHAnsi" w:eastAsia="Calibri" w:hAnsiTheme="minorHAnsi" w:cs="Times New Roman"/>
        </w:rPr>
        <w:t>, concerns were raised about the potential cost of compliance on smaller non-bank lenders and the adverse flow</w:t>
      </w:r>
      <w:r w:rsidR="004627AA">
        <w:rPr>
          <w:rFonts w:asciiTheme="minorHAnsi" w:eastAsia="Calibri" w:hAnsiTheme="minorHAnsi" w:cs="Times New Roman"/>
        </w:rPr>
        <w:t>-</w:t>
      </w:r>
      <w:r w:rsidRPr="00364CBF">
        <w:rPr>
          <w:rFonts w:asciiTheme="minorHAnsi" w:eastAsia="Calibri" w:hAnsiTheme="minorHAnsi" w:cs="Times New Roman"/>
        </w:rPr>
        <w:t xml:space="preserve">on effects for innovation and competition in the sector. As </w:t>
      </w:r>
      <w:r w:rsidR="004627AA">
        <w:rPr>
          <w:rFonts w:asciiTheme="minorHAnsi" w:eastAsia="Calibri" w:hAnsiTheme="minorHAnsi" w:cs="Times New Roman"/>
        </w:rPr>
        <w:t>a result</w:t>
      </w:r>
      <w:r w:rsidRPr="00364CBF">
        <w:rPr>
          <w:rFonts w:asciiTheme="minorHAnsi" w:eastAsia="Calibri" w:hAnsiTheme="minorHAnsi" w:cs="Times New Roman"/>
        </w:rPr>
        <w:t xml:space="preserve">, </w:t>
      </w:r>
      <w:r w:rsidRPr="00364CBF" w:rsidDel="00E11E2E">
        <w:rPr>
          <w:rFonts w:asciiTheme="minorHAnsi" w:eastAsia="Calibri" w:hAnsiTheme="minorHAnsi" w:cs="Times New Roman"/>
        </w:rPr>
        <w:t xml:space="preserve">the Report </w:t>
      </w:r>
      <w:r w:rsidRPr="00364CBF">
        <w:rPr>
          <w:rFonts w:asciiTheme="minorHAnsi" w:eastAsia="Calibri" w:hAnsiTheme="minorHAnsi" w:cs="Times New Roman"/>
        </w:rPr>
        <w:t xml:space="preserve">recommended the </w:t>
      </w:r>
      <w:r w:rsidR="004627AA">
        <w:rPr>
          <w:rFonts w:asciiTheme="minorHAnsi" w:eastAsia="Calibri" w:hAnsiTheme="minorHAnsi" w:cs="Times New Roman"/>
        </w:rPr>
        <w:t>R</w:t>
      </w:r>
      <w:r w:rsidRPr="00364CBF">
        <w:rPr>
          <w:rFonts w:asciiTheme="minorHAnsi" w:eastAsia="Calibri" w:hAnsiTheme="minorHAnsi" w:cs="Times New Roman"/>
        </w:rPr>
        <w:t xml:space="preserve">ules exclude small non-bank lenders below a certain threshold (also known as a </w:t>
      </w:r>
      <w:r w:rsidRPr="00364CBF">
        <w:rPr>
          <w:rFonts w:asciiTheme="minorHAnsi" w:eastAsia="Calibri" w:hAnsiTheme="minorHAnsi" w:cs="Times New Roman"/>
          <w:i/>
          <w:iCs/>
        </w:rPr>
        <w:t>de minimis</w:t>
      </w:r>
      <w:r w:rsidRPr="00364CBF">
        <w:rPr>
          <w:rFonts w:asciiTheme="minorHAnsi" w:eastAsia="Calibri" w:hAnsiTheme="minorHAnsi" w:cs="Times New Roman"/>
        </w:rPr>
        <w:t xml:space="preserve"> threshold) from mandatory data sharing obligations.</w:t>
      </w:r>
    </w:p>
    <w:p w14:paraId="64EE1661" w14:textId="77777777" w:rsidR="00A07A23" w:rsidRDefault="00A07A23" w:rsidP="00A07A23">
      <w:pPr>
        <w:rPr>
          <w:rFonts w:asciiTheme="minorHAnsi" w:eastAsia="Calibri" w:hAnsiTheme="minorHAnsi" w:cs="Times New Roman"/>
        </w:rPr>
      </w:pPr>
      <w:r w:rsidRPr="00364CBF">
        <w:rPr>
          <w:rFonts w:asciiTheme="minorHAnsi" w:eastAsia="Calibri" w:hAnsiTheme="minorHAnsi" w:cs="Times New Roman"/>
        </w:rPr>
        <w:t xml:space="preserve">Treasury considers the </w:t>
      </w:r>
      <w:r w:rsidRPr="00792640">
        <w:rPr>
          <w:rFonts w:asciiTheme="minorHAnsi" w:eastAsia="Calibri" w:hAnsiTheme="minorHAnsi" w:cs="Times New Roman"/>
          <w:i/>
          <w:iCs/>
        </w:rPr>
        <w:t>de minimis</w:t>
      </w:r>
      <w:r w:rsidRPr="00364CBF">
        <w:rPr>
          <w:rFonts w:asciiTheme="minorHAnsi" w:eastAsia="Calibri" w:hAnsiTheme="minorHAnsi" w:cs="Times New Roman"/>
        </w:rPr>
        <w:t xml:space="preserve"> threshold for data holders should capture the largest non-bank lenders without reducing competition </w:t>
      </w:r>
      <w:r>
        <w:rPr>
          <w:rFonts w:asciiTheme="minorHAnsi" w:eastAsia="Calibri" w:hAnsiTheme="minorHAnsi" w:cs="Times New Roman"/>
        </w:rPr>
        <w:t>or innovation</w:t>
      </w:r>
      <w:r w:rsidRPr="00364CBF">
        <w:rPr>
          <w:rFonts w:asciiTheme="minorHAnsi" w:eastAsia="Calibri" w:hAnsiTheme="minorHAnsi" w:cs="Times New Roman"/>
        </w:rPr>
        <w:t xml:space="preserve"> by discouraging or hindering small providers through </w:t>
      </w:r>
      <w:r>
        <w:rPr>
          <w:rFonts w:asciiTheme="minorHAnsi" w:eastAsia="Calibri" w:hAnsiTheme="minorHAnsi" w:cs="Times New Roman"/>
        </w:rPr>
        <w:t>disproportionately high compliance costs.</w:t>
      </w:r>
    </w:p>
    <w:p w14:paraId="2E9672AA" w14:textId="5232E250" w:rsidR="001E1E50" w:rsidRPr="00364CBF" w:rsidRDefault="001E1E50" w:rsidP="001E1E50">
      <w:pPr>
        <w:rPr>
          <w:rFonts w:asciiTheme="minorHAnsi" w:eastAsia="Calibri" w:hAnsiTheme="minorHAnsi" w:cs="Times New Roman"/>
        </w:rPr>
      </w:pPr>
      <w:r w:rsidRPr="00364CBF">
        <w:rPr>
          <w:rFonts w:asciiTheme="minorHAnsi" w:eastAsia="Calibri" w:hAnsiTheme="minorHAnsi" w:cs="Times New Roman"/>
        </w:rPr>
        <w:t xml:space="preserve">Non-bank lenders who fall below the </w:t>
      </w:r>
      <w:r w:rsidRPr="008965BF">
        <w:rPr>
          <w:rFonts w:asciiTheme="minorHAnsi" w:eastAsia="Calibri" w:hAnsiTheme="minorHAnsi" w:cs="Times New Roman"/>
          <w:i/>
          <w:iCs/>
        </w:rPr>
        <w:t>‘de minimis’</w:t>
      </w:r>
      <w:r>
        <w:rPr>
          <w:rFonts w:asciiTheme="minorHAnsi" w:eastAsia="Calibri" w:hAnsiTheme="minorHAnsi" w:cs="Times New Roman"/>
        </w:rPr>
        <w:t xml:space="preserve"> threshold</w:t>
      </w:r>
      <w:r w:rsidRPr="00364CBF">
        <w:rPr>
          <w:rFonts w:asciiTheme="minorHAnsi" w:eastAsia="Calibri" w:hAnsiTheme="minorHAnsi" w:cs="Times New Roman"/>
        </w:rPr>
        <w:t xml:space="preserve"> will still be able to elect to share data through the CDR on a voluntary basis.</w:t>
      </w:r>
      <w:r w:rsidR="00DE7054">
        <w:rPr>
          <w:rStyle w:val="FootnoteReference"/>
          <w:rFonts w:asciiTheme="minorHAnsi" w:eastAsia="Calibri" w:hAnsiTheme="minorHAnsi" w:cs="Times New Roman"/>
        </w:rPr>
        <w:footnoteReference w:id="3"/>
      </w:r>
      <w:r w:rsidRPr="00364CBF">
        <w:rPr>
          <w:rFonts w:asciiTheme="minorHAnsi" w:eastAsia="Calibri" w:hAnsiTheme="minorHAnsi" w:cs="Times New Roman"/>
        </w:rPr>
        <w:t xml:space="preserve"> </w:t>
      </w:r>
    </w:p>
    <w:p w14:paraId="1CDD6C78" w14:textId="467D3B9B" w:rsidR="00A07A23" w:rsidRPr="001E1E50" w:rsidRDefault="00A07A23" w:rsidP="005E2864">
      <w:pPr>
        <w:pStyle w:val="Heading4"/>
        <w:rPr>
          <w:rFonts w:asciiTheme="minorHAnsi" w:eastAsia="Calibri" w:hAnsiTheme="minorHAnsi" w:cs="Times New Roman"/>
          <w:i w:val="0"/>
          <w:iCs w:val="0"/>
        </w:rPr>
      </w:pPr>
      <w:r w:rsidRPr="001E1E50">
        <w:rPr>
          <w:rFonts w:eastAsia="Calibri"/>
        </w:rPr>
        <w:t>Proposed approach</w:t>
      </w:r>
    </w:p>
    <w:p w14:paraId="7596FA47" w14:textId="39668F83" w:rsidR="00A07A23" w:rsidRDefault="00A07A23" w:rsidP="00A07A23">
      <w:pPr>
        <w:rPr>
          <w:rFonts w:asciiTheme="minorHAnsi" w:eastAsia="Calibri" w:hAnsiTheme="minorHAnsi" w:cs="Times New Roman"/>
        </w:rPr>
      </w:pPr>
      <w:r w:rsidRPr="00364CBF">
        <w:rPr>
          <w:rFonts w:asciiTheme="minorHAnsi" w:eastAsia="Calibri" w:hAnsiTheme="minorHAnsi" w:cs="Times New Roman"/>
        </w:rPr>
        <w:t xml:space="preserve">Treasury is proposing to limit required data sharing obligations for designated data holders to non-bank lenders that have </w:t>
      </w:r>
      <w:r>
        <w:rPr>
          <w:rFonts w:asciiTheme="minorHAnsi" w:eastAsia="Calibri" w:hAnsiTheme="minorHAnsi" w:cs="Times New Roman"/>
        </w:rPr>
        <w:t xml:space="preserve">total </w:t>
      </w:r>
      <w:r w:rsidR="009C5DE5">
        <w:rPr>
          <w:rFonts w:asciiTheme="minorHAnsi" w:eastAsia="Calibri" w:hAnsiTheme="minorHAnsi" w:cs="Times New Roman"/>
        </w:rPr>
        <w:t>resident loans and finance lease balances</w:t>
      </w:r>
      <w:r w:rsidR="009C5DE5" w:rsidRPr="00364CBF">
        <w:rPr>
          <w:rFonts w:asciiTheme="minorHAnsi" w:eastAsia="Calibri" w:hAnsiTheme="minorHAnsi" w:cs="Times New Roman"/>
        </w:rPr>
        <w:t xml:space="preserve"> </w:t>
      </w:r>
      <w:r w:rsidRPr="00364CBF">
        <w:rPr>
          <w:rFonts w:asciiTheme="minorHAnsi" w:eastAsia="Calibri" w:hAnsiTheme="minorHAnsi" w:cs="Times New Roman"/>
        </w:rPr>
        <w:t>of over $400 million.</w:t>
      </w:r>
      <w:r w:rsidR="00AF1122">
        <w:rPr>
          <w:rFonts w:asciiTheme="minorHAnsi" w:eastAsia="Calibri" w:hAnsiTheme="minorHAnsi" w:cs="Times New Roman"/>
        </w:rPr>
        <w:t xml:space="preserve"> </w:t>
      </w:r>
      <w:bookmarkStart w:id="16" w:name="_Hlk119055384"/>
      <w:r w:rsidR="00AF1122">
        <w:rPr>
          <w:rFonts w:asciiTheme="minorHAnsi" w:eastAsia="Calibri" w:hAnsiTheme="minorHAnsi" w:cs="Times New Roman"/>
        </w:rPr>
        <w:t>Th</w:t>
      </w:r>
      <w:r w:rsidR="001B7C7E">
        <w:rPr>
          <w:rFonts w:asciiTheme="minorHAnsi" w:eastAsia="Calibri" w:hAnsiTheme="minorHAnsi" w:cs="Times New Roman"/>
        </w:rPr>
        <w:t>e threshold aims to exclude the long tail of small</w:t>
      </w:r>
      <w:r w:rsidR="007000C7">
        <w:rPr>
          <w:rFonts w:asciiTheme="minorHAnsi" w:eastAsia="Calibri" w:hAnsiTheme="minorHAnsi" w:cs="Times New Roman"/>
        </w:rPr>
        <w:t>er</w:t>
      </w:r>
      <w:r w:rsidR="001B7C7E">
        <w:rPr>
          <w:rFonts w:asciiTheme="minorHAnsi" w:eastAsia="Calibri" w:hAnsiTheme="minorHAnsi" w:cs="Times New Roman"/>
        </w:rPr>
        <w:t xml:space="preserve"> entities</w:t>
      </w:r>
      <w:r w:rsidR="007000C7">
        <w:rPr>
          <w:rFonts w:asciiTheme="minorHAnsi" w:eastAsia="Calibri" w:hAnsiTheme="minorHAnsi" w:cs="Times New Roman"/>
        </w:rPr>
        <w:t xml:space="preserve">, while requiring the larger entities that make up </w:t>
      </w:r>
      <w:r w:rsidR="00792640">
        <w:rPr>
          <w:rFonts w:asciiTheme="minorHAnsi" w:eastAsia="Calibri" w:hAnsiTheme="minorHAnsi" w:cs="Times New Roman"/>
        </w:rPr>
        <w:t>a substantial</w:t>
      </w:r>
      <w:r w:rsidR="007000C7">
        <w:rPr>
          <w:rFonts w:asciiTheme="minorHAnsi" w:eastAsia="Calibri" w:hAnsiTheme="minorHAnsi" w:cs="Times New Roman"/>
        </w:rPr>
        <w:t xml:space="preserve"> market share of the lending </w:t>
      </w:r>
      <w:r w:rsidR="00792640">
        <w:rPr>
          <w:rFonts w:asciiTheme="minorHAnsi" w:eastAsia="Calibri" w:hAnsiTheme="minorHAnsi" w:cs="Times New Roman"/>
        </w:rPr>
        <w:t xml:space="preserve">sector </w:t>
      </w:r>
      <w:r w:rsidR="00DB2434">
        <w:rPr>
          <w:rFonts w:asciiTheme="minorHAnsi" w:eastAsia="Calibri" w:hAnsiTheme="minorHAnsi" w:cs="Times New Roman"/>
        </w:rPr>
        <w:t xml:space="preserve">to </w:t>
      </w:r>
      <w:r w:rsidR="007000C7">
        <w:rPr>
          <w:rFonts w:asciiTheme="minorHAnsi" w:eastAsia="Calibri" w:hAnsiTheme="minorHAnsi" w:cs="Times New Roman"/>
        </w:rPr>
        <w:t>participate</w:t>
      </w:r>
      <w:bookmarkEnd w:id="16"/>
      <w:r w:rsidR="00FF2C25">
        <w:rPr>
          <w:rStyle w:val="FootnoteReference"/>
          <w:rFonts w:asciiTheme="minorHAnsi" w:eastAsia="Calibri" w:hAnsiTheme="minorHAnsi" w:cs="Times New Roman"/>
        </w:rPr>
        <w:footnoteReference w:id="4"/>
      </w:r>
      <w:r w:rsidR="007000C7">
        <w:rPr>
          <w:rFonts w:asciiTheme="minorHAnsi" w:eastAsia="Calibri" w:hAnsiTheme="minorHAnsi" w:cs="Times New Roman"/>
        </w:rPr>
        <w:t>.</w:t>
      </w:r>
      <w:r w:rsidRPr="00364CBF">
        <w:rPr>
          <w:rFonts w:asciiTheme="minorHAnsi" w:eastAsia="Calibri" w:hAnsiTheme="minorHAnsi" w:cs="Times New Roman"/>
        </w:rPr>
        <w:t xml:space="preserve"> </w:t>
      </w:r>
    </w:p>
    <w:p w14:paraId="2E9C5E05" w14:textId="3FCFBFF5" w:rsidR="001C51D6" w:rsidRDefault="001C51D6" w:rsidP="00A07A23">
      <w:pPr>
        <w:rPr>
          <w:rFonts w:asciiTheme="minorHAnsi" w:eastAsia="Calibri" w:hAnsiTheme="minorHAnsi" w:cs="Times New Roman"/>
        </w:rPr>
      </w:pPr>
    </w:p>
    <w:p w14:paraId="2003E130" w14:textId="4FE2B758" w:rsidR="001C51D6" w:rsidRDefault="001C51D6" w:rsidP="00A07A23">
      <w:pPr>
        <w:rPr>
          <w:rFonts w:asciiTheme="minorHAnsi" w:eastAsia="Calibri" w:hAnsiTheme="minorHAnsi" w:cs="Times New Roman"/>
        </w:rPr>
      </w:pPr>
    </w:p>
    <w:p w14:paraId="47A07AB1" w14:textId="77777777" w:rsidR="001C51D6" w:rsidRDefault="001C51D6" w:rsidP="00A07A23">
      <w:pPr>
        <w:rPr>
          <w:rFonts w:asciiTheme="minorHAnsi" w:eastAsia="Calibri" w:hAnsiTheme="minorHAnsi" w:cs="Times New Roman"/>
        </w:rPr>
      </w:pPr>
    </w:p>
    <w:p w14:paraId="402E9710" w14:textId="0AE56A55" w:rsidR="0016156A" w:rsidRDefault="0016156A" w:rsidP="0016156A">
      <w:pPr>
        <w:spacing w:before="0"/>
        <w:rPr>
          <w:rFonts w:asciiTheme="minorHAnsi" w:eastAsia="Calibri" w:hAnsiTheme="minorHAnsi" w:cs="Times New Roman"/>
        </w:rPr>
      </w:pPr>
      <w:r>
        <w:rPr>
          <w:rFonts w:asciiTheme="minorHAnsi" w:eastAsia="Calibri" w:hAnsiTheme="minorHAnsi" w:cs="Times New Roman"/>
        </w:rPr>
        <w:br w:type="page"/>
      </w:r>
    </w:p>
    <w:p w14:paraId="1E2D0397" w14:textId="77777777" w:rsidR="0016156A" w:rsidRPr="0016156A" w:rsidRDefault="0016156A" w:rsidP="0016156A">
      <w:pPr>
        <w:spacing w:before="0"/>
        <w:rPr>
          <w:rFonts w:asciiTheme="minorHAnsi" w:eastAsia="Calibri" w:hAnsiTheme="minorHAnsi" w:cs="Times New Roman"/>
          <w:sz w:val="6"/>
          <w:szCs w:val="6"/>
        </w:rPr>
      </w:pPr>
    </w:p>
    <w:p w14:paraId="3C0C68F5" w14:textId="4F88B2DC" w:rsidR="00A07A23" w:rsidRPr="00022F05" w:rsidRDefault="0074185B" w:rsidP="0016156A">
      <w:pPr>
        <w:pBdr>
          <w:top w:val="single" w:sz="4" w:space="1" w:color="auto"/>
          <w:left w:val="single" w:sz="4" w:space="4" w:color="auto"/>
          <w:bottom w:val="single" w:sz="4" w:space="1" w:color="auto"/>
          <w:right w:val="single" w:sz="4" w:space="4" w:color="auto"/>
        </w:pBdr>
        <w:spacing w:before="0"/>
        <w:rPr>
          <w:rFonts w:asciiTheme="minorHAnsi" w:eastAsia="Calibri" w:hAnsiTheme="minorHAnsi" w:cs="Times New Roman"/>
          <w:b/>
          <w:bCs/>
        </w:rPr>
      </w:pPr>
      <w:r>
        <w:rPr>
          <w:rFonts w:asciiTheme="minorHAnsi" w:eastAsia="Calibri" w:hAnsiTheme="minorHAnsi" w:cs="Times New Roman"/>
          <w:b/>
          <w:bCs/>
        </w:rPr>
        <w:t>Consultation</w:t>
      </w:r>
      <w:r w:rsidR="001E1E50" w:rsidRPr="00022F05">
        <w:rPr>
          <w:rFonts w:asciiTheme="minorHAnsi" w:eastAsia="Calibri" w:hAnsiTheme="minorHAnsi" w:cs="Times New Roman"/>
          <w:b/>
          <w:bCs/>
        </w:rPr>
        <w:t xml:space="preserve"> questions</w:t>
      </w:r>
    </w:p>
    <w:p w14:paraId="396CE2BC" w14:textId="1F3405EF" w:rsidR="00A07A23" w:rsidRDefault="003E4E56" w:rsidP="0016156A">
      <w:pPr>
        <w:pStyle w:val="ListParagraph"/>
        <w:numPr>
          <w:ilvl w:val="0"/>
          <w:numId w:val="31"/>
        </w:numPr>
        <w:pBdr>
          <w:top w:val="single" w:sz="4" w:space="1" w:color="auto"/>
          <w:left w:val="single" w:sz="4" w:space="4" w:color="auto"/>
          <w:bottom w:val="single" w:sz="4" w:space="1" w:color="auto"/>
          <w:right w:val="single" w:sz="4" w:space="4" w:color="auto"/>
        </w:pBdr>
        <w:rPr>
          <w:rFonts w:asciiTheme="minorHAnsi" w:eastAsia="Calibri" w:hAnsiTheme="minorHAnsi" w:cs="Times New Roman"/>
        </w:rPr>
      </w:pPr>
      <w:r>
        <w:rPr>
          <w:rFonts w:asciiTheme="minorHAnsi" w:eastAsia="Calibri" w:hAnsiTheme="minorHAnsi" w:cs="Times New Roman"/>
        </w:rPr>
        <w:t>What are stakeholder views on the threshold</w:t>
      </w:r>
      <w:r w:rsidR="001E1E50" w:rsidRPr="001E1E50">
        <w:rPr>
          <w:rFonts w:asciiTheme="minorHAnsi" w:eastAsia="Calibri" w:hAnsiTheme="minorHAnsi" w:cs="Times New Roman"/>
        </w:rPr>
        <w:t xml:space="preserve"> </w:t>
      </w:r>
      <w:r>
        <w:rPr>
          <w:rFonts w:asciiTheme="minorHAnsi" w:eastAsia="Calibri" w:hAnsiTheme="minorHAnsi" w:cs="Times New Roman"/>
        </w:rPr>
        <w:t>proposed</w:t>
      </w:r>
      <w:r w:rsidRPr="001E1E50">
        <w:rPr>
          <w:rFonts w:asciiTheme="minorHAnsi" w:eastAsia="Calibri" w:hAnsiTheme="minorHAnsi" w:cs="Times New Roman"/>
        </w:rPr>
        <w:t xml:space="preserve"> </w:t>
      </w:r>
      <w:r w:rsidR="001E1E50" w:rsidRPr="001E1E50">
        <w:rPr>
          <w:rFonts w:asciiTheme="minorHAnsi" w:eastAsia="Calibri" w:hAnsiTheme="minorHAnsi" w:cs="Times New Roman"/>
        </w:rPr>
        <w:t xml:space="preserve">by this paper, </w:t>
      </w:r>
      <w:proofErr w:type="gramStart"/>
      <w:r w:rsidR="001E1E50" w:rsidRPr="001E1E50">
        <w:rPr>
          <w:rFonts w:asciiTheme="minorHAnsi" w:eastAsia="Calibri" w:hAnsiTheme="minorHAnsi" w:cs="Times New Roman"/>
        </w:rPr>
        <w:t>i</w:t>
      </w:r>
      <w:r w:rsidR="003511EF">
        <w:rPr>
          <w:rFonts w:asciiTheme="minorHAnsi" w:eastAsia="Calibri" w:hAnsiTheme="minorHAnsi" w:cs="Times New Roman"/>
        </w:rPr>
        <w:t>.</w:t>
      </w:r>
      <w:r w:rsidR="001E1E50" w:rsidRPr="001E1E50">
        <w:rPr>
          <w:rFonts w:asciiTheme="minorHAnsi" w:eastAsia="Calibri" w:hAnsiTheme="minorHAnsi" w:cs="Times New Roman"/>
        </w:rPr>
        <w:t>e.</w:t>
      </w:r>
      <w:proofErr w:type="gramEnd"/>
      <w:r w:rsidR="001E1E50" w:rsidRPr="001E1E50">
        <w:rPr>
          <w:rFonts w:asciiTheme="minorHAnsi" w:eastAsia="Calibri" w:hAnsiTheme="minorHAnsi" w:cs="Times New Roman"/>
        </w:rPr>
        <w:t xml:space="preserve"> $400 million in total </w:t>
      </w:r>
      <w:r w:rsidR="009C5DE5">
        <w:rPr>
          <w:rFonts w:asciiTheme="minorHAnsi" w:eastAsia="Calibri" w:hAnsiTheme="minorHAnsi" w:cs="Times New Roman"/>
        </w:rPr>
        <w:t>resident loans and finance lease balances</w:t>
      </w:r>
      <w:r w:rsidR="001E1E50">
        <w:rPr>
          <w:rFonts w:asciiTheme="minorHAnsi" w:eastAsia="Calibri" w:hAnsiTheme="minorHAnsi" w:cs="Times New Roman"/>
        </w:rPr>
        <w:t xml:space="preserve">? Are there other measures that could be considered for a </w:t>
      </w:r>
      <w:r w:rsidR="00022F05">
        <w:rPr>
          <w:rFonts w:asciiTheme="minorHAnsi" w:eastAsia="Calibri" w:hAnsiTheme="minorHAnsi" w:cs="Times New Roman"/>
        </w:rPr>
        <w:t>threshold?</w:t>
      </w:r>
    </w:p>
    <w:p w14:paraId="4E2EB2A4" w14:textId="77777777" w:rsidR="001E4E1C" w:rsidRPr="001E4E1C" w:rsidRDefault="001E4E1C" w:rsidP="0016156A">
      <w:pPr>
        <w:pStyle w:val="ListParagraph"/>
        <w:numPr>
          <w:ilvl w:val="0"/>
          <w:numId w:val="31"/>
        </w:numPr>
        <w:pBdr>
          <w:top w:val="single" w:sz="4" w:space="1" w:color="auto"/>
          <w:left w:val="single" w:sz="4" w:space="4" w:color="auto"/>
          <w:bottom w:val="single" w:sz="4" w:space="1" w:color="auto"/>
          <w:right w:val="single" w:sz="4" w:space="4" w:color="auto"/>
        </w:pBdr>
        <w:rPr>
          <w:rFonts w:asciiTheme="minorHAnsi" w:eastAsia="Calibri" w:hAnsiTheme="minorHAnsi" w:cs="Times New Roman"/>
        </w:rPr>
      </w:pPr>
      <w:r w:rsidRPr="00BC612B">
        <w:rPr>
          <w:rFonts w:asciiTheme="minorHAnsi" w:eastAsia="Calibri" w:hAnsiTheme="minorHAnsi" w:cs="Times New Roman"/>
        </w:rPr>
        <w:t>Is the proposed $400 million threshold likely to capture entities with sufficient regulatory maturity and capability to comply with mandatory data holder obligations?</w:t>
      </w:r>
    </w:p>
    <w:p w14:paraId="13CD7BB2" w14:textId="4E9B45C5" w:rsidR="001856EC" w:rsidRDefault="001856EC" w:rsidP="00994BDE">
      <w:pPr>
        <w:pStyle w:val="Heading3"/>
        <w:keepNext/>
        <w:rPr>
          <w:rFonts w:eastAsia="Calibri"/>
        </w:rPr>
      </w:pPr>
      <w:bookmarkStart w:id="17" w:name="_Toc120881028"/>
      <w:r>
        <w:rPr>
          <w:rFonts w:eastAsia="Calibri"/>
        </w:rPr>
        <w:t xml:space="preserve">White </w:t>
      </w:r>
      <w:r w:rsidR="00277DE9">
        <w:rPr>
          <w:rFonts w:eastAsia="Calibri"/>
        </w:rPr>
        <w:t>labelled products</w:t>
      </w:r>
      <w:bookmarkEnd w:id="17"/>
    </w:p>
    <w:p w14:paraId="4417AD9E" w14:textId="77777777" w:rsidR="006A321C" w:rsidRDefault="001856EC" w:rsidP="006A321C">
      <w:r w:rsidRPr="009D607E">
        <w:rPr>
          <w:rFonts w:asciiTheme="minorHAnsi" w:eastAsia="Calibri" w:hAnsiTheme="minorHAnsi" w:cs="Times New Roman"/>
        </w:rPr>
        <w:t>White label</w:t>
      </w:r>
      <w:r w:rsidR="00277DE9">
        <w:rPr>
          <w:rFonts w:asciiTheme="minorHAnsi" w:eastAsia="Calibri" w:hAnsiTheme="minorHAnsi" w:cs="Times New Roman"/>
        </w:rPr>
        <w:t>led</w:t>
      </w:r>
      <w:r w:rsidRPr="009D607E">
        <w:rPr>
          <w:rFonts w:asciiTheme="minorHAnsi" w:eastAsia="Calibri" w:hAnsiTheme="minorHAnsi" w:cs="Times New Roman"/>
        </w:rPr>
        <w:t xml:space="preserve"> products are typically created and operated by one entity (a white labeller) and branded and retailed to consumers by another entity (a brand owner). In </w:t>
      </w:r>
      <w:r>
        <w:rPr>
          <w:rFonts w:asciiTheme="minorHAnsi" w:eastAsia="Calibri" w:hAnsiTheme="minorHAnsi" w:cs="Times New Roman"/>
        </w:rPr>
        <w:t>non-bank lending</w:t>
      </w:r>
      <w:r w:rsidRPr="009D607E">
        <w:rPr>
          <w:rFonts w:asciiTheme="minorHAnsi" w:eastAsia="Calibri" w:hAnsiTheme="minorHAnsi" w:cs="Times New Roman"/>
        </w:rPr>
        <w:t xml:space="preserve">, white labelling is particularly common in </w:t>
      </w:r>
      <w:r w:rsidR="00C9094D">
        <w:rPr>
          <w:rFonts w:asciiTheme="minorHAnsi" w:eastAsia="Calibri" w:hAnsiTheme="minorHAnsi" w:cs="Times New Roman"/>
        </w:rPr>
        <w:t xml:space="preserve">relation to </w:t>
      </w:r>
      <w:r w:rsidRPr="009D607E">
        <w:rPr>
          <w:rFonts w:asciiTheme="minorHAnsi" w:eastAsia="Calibri" w:hAnsiTheme="minorHAnsi" w:cs="Times New Roman"/>
        </w:rPr>
        <w:t>credit cards and home loans.</w:t>
      </w:r>
      <w:r w:rsidR="00C9094D">
        <w:rPr>
          <w:rFonts w:asciiTheme="minorHAnsi" w:eastAsia="Calibri" w:hAnsiTheme="minorHAnsi" w:cs="Times New Roman"/>
        </w:rPr>
        <w:t xml:space="preserve"> </w:t>
      </w:r>
      <w:r>
        <w:rPr>
          <w:rFonts w:asciiTheme="minorHAnsi" w:eastAsia="Calibri" w:hAnsiTheme="minorHAnsi" w:cs="Times New Roman"/>
        </w:rPr>
        <w:t xml:space="preserve">Non-bank lender </w:t>
      </w:r>
      <w:r w:rsidRPr="009D607E">
        <w:rPr>
          <w:rFonts w:asciiTheme="minorHAnsi" w:eastAsia="Calibri" w:hAnsiTheme="minorHAnsi" w:cs="Times New Roman"/>
        </w:rPr>
        <w:t>white labellers</w:t>
      </w:r>
      <w:r>
        <w:rPr>
          <w:rFonts w:asciiTheme="minorHAnsi" w:eastAsia="Calibri" w:hAnsiTheme="minorHAnsi" w:cs="Times New Roman"/>
        </w:rPr>
        <w:t xml:space="preserve"> and/or brand owners that meet the definition of a </w:t>
      </w:r>
      <w:r w:rsidR="00C9094D">
        <w:rPr>
          <w:rFonts w:asciiTheme="minorHAnsi" w:eastAsia="Calibri" w:hAnsiTheme="minorHAnsi" w:cs="Times New Roman"/>
        </w:rPr>
        <w:t>“relevant non-bank lender”</w:t>
      </w:r>
      <w:r>
        <w:rPr>
          <w:rFonts w:asciiTheme="minorHAnsi" w:eastAsia="Calibri" w:hAnsiTheme="minorHAnsi" w:cs="Times New Roman"/>
        </w:rPr>
        <w:t xml:space="preserve"> </w:t>
      </w:r>
      <w:r w:rsidRPr="009D607E">
        <w:rPr>
          <w:rFonts w:asciiTheme="minorHAnsi" w:eastAsia="Calibri" w:hAnsiTheme="minorHAnsi" w:cs="Times New Roman"/>
        </w:rPr>
        <w:t xml:space="preserve">will be subject to data holder obligations under the </w:t>
      </w:r>
      <w:r w:rsidR="00C9094D">
        <w:rPr>
          <w:rFonts w:asciiTheme="minorHAnsi" w:eastAsia="Calibri" w:hAnsiTheme="minorHAnsi" w:cs="Times New Roman"/>
        </w:rPr>
        <w:t>R</w:t>
      </w:r>
      <w:r w:rsidRPr="009D607E">
        <w:rPr>
          <w:rFonts w:asciiTheme="minorHAnsi" w:eastAsia="Calibri" w:hAnsiTheme="minorHAnsi" w:cs="Times New Roman"/>
        </w:rPr>
        <w:t>ules</w:t>
      </w:r>
      <w:r>
        <w:rPr>
          <w:rFonts w:asciiTheme="minorHAnsi" w:eastAsia="Calibri" w:hAnsiTheme="minorHAnsi" w:cs="Times New Roman"/>
        </w:rPr>
        <w:t>.</w:t>
      </w:r>
      <w:r w:rsidR="00C9094D">
        <w:t xml:space="preserve"> </w:t>
      </w:r>
    </w:p>
    <w:p w14:paraId="04457BFA" w14:textId="1B55C29C" w:rsidR="001856EC" w:rsidRDefault="001856EC" w:rsidP="006A321C">
      <w:r>
        <w:t xml:space="preserve">The existing approach to sharing product data for white labelled products under the </w:t>
      </w:r>
      <w:r w:rsidR="00277DE9">
        <w:t>Rules</w:t>
      </w:r>
      <w:r w:rsidR="00CB6A41">
        <w:t xml:space="preserve"> </w:t>
      </w:r>
      <w:r>
        <w:t>is broadly</w:t>
      </w:r>
      <w:r w:rsidR="00A75B75">
        <w:t xml:space="preserve"> as follows.</w:t>
      </w:r>
    </w:p>
    <w:p w14:paraId="78B1CA28" w14:textId="3BDFE1B7" w:rsidR="001856EC" w:rsidRPr="00CF0D20" w:rsidRDefault="001856EC" w:rsidP="001856EC">
      <w:pPr>
        <w:pStyle w:val="Bulletpoint"/>
      </w:pPr>
      <w:r w:rsidRPr="00CF0D20">
        <w:t>Where there is a single data holder involved in providing a white label</w:t>
      </w:r>
      <w:r w:rsidR="00C9094D">
        <w:t>led</w:t>
      </w:r>
      <w:r w:rsidRPr="00CF0D20">
        <w:t xml:space="preserve"> product (whether that is the white labeller or the brand owner), the data holder must respond to product data requests in relation to the product.</w:t>
      </w:r>
    </w:p>
    <w:p w14:paraId="57A56467" w14:textId="0B674733" w:rsidR="001856EC" w:rsidRPr="001E4E1C" w:rsidRDefault="001856EC" w:rsidP="001856EC">
      <w:pPr>
        <w:pStyle w:val="Bulletpoint"/>
      </w:pPr>
      <w:r w:rsidRPr="00CF0D20">
        <w:t>Where there are two data holders involved in providing a white label</w:t>
      </w:r>
      <w:r w:rsidR="00C9094D">
        <w:t>led</w:t>
      </w:r>
      <w:r w:rsidRPr="00CF0D20">
        <w:t xml:space="preserve"> product, the data </w:t>
      </w:r>
      <w:r w:rsidRPr="001E4E1C">
        <w:t>holder that has the contractual relationship with the consumer must respond to product data requests. The other data holder may also respond to product data requests. However, in the interests of avoiding unnecessary duplication, this is not mandatory.</w:t>
      </w:r>
    </w:p>
    <w:p w14:paraId="32D69120" w14:textId="452DB212" w:rsidR="001856EC" w:rsidRPr="001E4E1C" w:rsidRDefault="001856EC" w:rsidP="003E4E56">
      <w:pPr>
        <w:pStyle w:val="Bulletpoint"/>
        <w:numPr>
          <w:ilvl w:val="1"/>
          <w:numId w:val="2"/>
        </w:numPr>
        <w:rPr>
          <w:i/>
        </w:rPr>
      </w:pPr>
      <w:r w:rsidRPr="001E4E1C">
        <w:t xml:space="preserve">The data holder that has the contractual relationship with the consumer may agree with the other data holder that the other data holder will perform that obligation on their behalf.  </w:t>
      </w:r>
    </w:p>
    <w:p w14:paraId="6C8A595B" w14:textId="1F003771" w:rsidR="001856EC" w:rsidRPr="00CF0D20" w:rsidRDefault="00E1628F" w:rsidP="003E4E56">
      <w:r>
        <w:t xml:space="preserve">This is </w:t>
      </w:r>
      <w:r w:rsidR="000F1484">
        <w:t xml:space="preserve">similar to </w:t>
      </w:r>
      <w:r w:rsidR="00CB6A41" w:rsidRPr="001E4E1C">
        <w:t xml:space="preserve">the </w:t>
      </w:r>
      <w:hyperlink r:id="rId31" w:history="1">
        <w:r w:rsidR="000F1484" w:rsidRPr="000F1484">
          <w:rPr>
            <w:rStyle w:val="Hyperlink"/>
          </w:rPr>
          <w:t>ACCC's Guidance</w:t>
        </w:r>
      </w:hyperlink>
      <w:r w:rsidR="000F1484" w:rsidRPr="000F1484">
        <w:t xml:space="preserve"> </w:t>
      </w:r>
      <w:r w:rsidR="000F1484">
        <w:t xml:space="preserve">on managing sharing of consumer data for </w:t>
      </w:r>
      <w:r w:rsidR="000F1484" w:rsidRPr="000F1484">
        <w:t>white labelled brands in the CDR</w:t>
      </w:r>
      <w:r w:rsidRPr="000F1484">
        <w:rPr>
          <w:rStyle w:val="Hyperlink"/>
          <w:u w:val="none"/>
        </w:rPr>
        <w:t>.</w:t>
      </w:r>
      <w:r>
        <w:rPr>
          <w:rStyle w:val="Hyperlink"/>
        </w:rPr>
        <w:t xml:space="preserve"> </w:t>
      </w:r>
    </w:p>
    <w:p w14:paraId="1292E502" w14:textId="08A6680B" w:rsidR="001856EC" w:rsidRPr="00CF0D20" w:rsidRDefault="001856EC" w:rsidP="001856EC">
      <w:pPr>
        <w:pStyle w:val="Bulletpoint"/>
      </w:pPr>
      <w:r w:rsidRPr="00CF0D20">
        <w:t>Where there is a single data holder involved in providing a white label</w:t>
      </w:r>
      <w:r w:rsidR="00445325">
        <w:t>led</w:t>
      </w:r>
      <w:r w:rsidRPr="00CF0D20">
        <w:t xml:space="preserve"> product (whether that is the white labeller or the brand owner), that data holder must comply with consumer data request obligations under the </w:t>
      </w:r>
      <w:r w:rsidR="00445325">
        <w:t>R</w:t>
      </w:r>
      <w:r w:rsidRPr="00CF0D20">
        <w:t>ules.</w:t>
      </w:r>
    </w:p>
    <w:p w14:paraId="28683566" w14:textId="0B6D55CA" w:rsidR="001856EC" w:rsidRPr="00CF0D20" w:rsidRDefault="00445325" w:rsidP="001856EC">
      <w:pPr>
        <w:pStyle w:val="Bulletpoint"/>
      </w:pPr>
      <w:r>
        <w:t>To avoid unnecessary duplication, w</w:t>
      </w:r>
      <w:r w:rsidR="001856EC" w:rsidRPr="00CF0D20">
        <w:t>here there are two data holders involved in providing a white label</w:t>
      </w:r>
      <w:r w:rsidR="006A321C">
        <w:t>led</w:t>
      </w:r>
      <w:r w:rsidR="001856EC" w:rsidRPr="00CF0D20">
        <w:t xml:space="preserve"> product, it is the data holder that has the contractual relationship with the consumer who will be considered responsible</w:t>
      </w:r>
      <w:r>
        <w:t>.</w:t>
      </w:r>
    </w:p>
    <w:p w14:paraId="40D56252" w14:textId="5B1B360E" w:rsidR="001856EC" w:rsidRPr="00CF0D20" w:rsidRDefault="001856EC" w:rsidP="001856EC">
      <w:pPr>
        <w:pStyle w:val="Bulletpoint"/>
        <w:numPr>
          <w:ilvl w:val="1"/>
          <w:numId w:val="2"/>
        </w:numPr>
      </w:pPr>
      <w:r w:rsidRPr="00CF0D20">
        <w:t>The data holder that has the contractual relationship with the consumer may agree with the other data holder that the brand owner will perform that obligation on their behalf. In this example, the data holder that has the contractual relationship with the consumer remains accountable for the performance of the obligation.</w:t>
      </w:r>
    </w:p>
    <w:p w14:paraId="5BE5CB5A" w14:textId="77777777" w:rsidR="003E4E56" w:rsidRPr="00D677DF" w:rsidRDefault="003E4E56" w:rsidP="003E4E56">
      <w:pPr>
        <w:pStyle w:val="Heading3"/>
        <w:rPr>
          <w:b w:val="0"/>
          <w:bCs w:val="0"/>
          <w:i/>
          <w:iCs/>
        </w:rPr>
      </w:pPr>
      <w:bookmarkStart w:id="18" w:name="_Toc120881029"/>
      <w:r w:rsidRPr="00D677DF">
        <w:rPr>
          <w:rFonts w:eastAsia="Calibri"/>
          <w:b w:val="0"/>
          <w:bCs w:val="0"/>
          <w:i/>
          <w:iCs/>
        </w:rPr>
        <w:t>S</w:t>
      </w:r>
      <w:r w:rsidRPr="00D677DF">
        <w:rPr>
          <w:b w:val="0"/>
          <w:bCs w:val="0"/>
          <w:i/>
          <w:iCs/>
        </w:rPr>
        <w:t>ecuritisation</w:t>
      </w:r>
      <w:bookmarkEnd w:id="18"/>
    </w:p>
    <w:p w14:paraId="10BF2459" w14:textId="5DEBDA25" w:rsidR="003E4E56" w:rsidRDefault="003E4E56" w:rsidP="003E4E56">
      <w:pPr>
        <w:spacing w:after="160"/>
        <w:rPr>
          <w:rFonts w:asciiTheme="minorHAnsi" w:eastAsia="Calibri" w:hAnsiTheme="minorHAnsi" w:cs="Times New Roman"/>
        </w:rPr>
      </w:pPr>
      <w:r w:rsidRPr="00364CBF">
        <w:rPr>
          <w:rFonts w:asciiTheme="minorHAnsi" w:eastAsia="Calibri" w:hAnsiTheme="minorHAnsi" w:cs="Times New Roman"/>
        </w:rPr>
        <w:t xml:space="preserve">Some lenders may fund loans by using special purpose securitisation entities that technically are the lender of record. </w:t>
      </w:r>
      <w:r w:rsidR="009C5DE5">
        <w:rPr>
          <w:rFonts w:asciiTheme="minorHAnsi" w:eastAsia="Calibri" w:hAnsiTheme="minorHAnsi" w:cs="Times New Roman"/>
        </w:rPr>
        <w:t>CDR data holder obligations only need to be met by one entity</w:t>
      </w:r>
      <w:r w:rsidR="00B42F16">
        <w:rPr>
          <w:rFonts w:asciiTheme="minorHAnsi" w:eastAsia="Calibri" w:hAnsiTheme="minorHAnsi" w:cs="Times New Roman"/>
        </w:rPr>
        <w:t>. T</w:t>
      </w:r>
      <w:r w:rsidRPr="00364CBF">
        <w:rPr>
          <w:rFonts w:asciiTheme="minorHAnsi" w:eastAsia="Calibri" w:hAnsiTheme="minorHAnsi" w:cs="Times New Roman"/>
        </w:rPr>
        <w:t xml:space="preserve">he non-bank lender that originates the loan </w:t>
      </w:r>
      <w:r>
        <w:rPr>
          <w:rFonts w:asciiTheme="minorHAnsi" w:eastAsia="Calibri" w:hAnsiTheme="minorHAnsi" w:cs="Times New Roman"/>
        </w:rPr>
        <w:t xml:space="preserve">is typically </w:t>
      </w:r>
      <w:r w:rsidRPr="00364CBF">
        <w:rPr>
          <w:rFonts w:asciiTheme="minorHAnsi" w:eastAsia="Calibri" w:hAnsiTheme="minorHAnsi" w:cs="Times New Roman"/>
        </w:rPr>
        <w:t xml:space="preserve">the primary entity </w:t>
      </w:r>
      <w:r w:rsidRPr="00364CBF">
        <w:rPr>
          <w:rFonts w:asciiTheme="minorHAnsi" w:eastAsia="Calibri" w:hAnsiTheme="minorHAnsi" w:cs="Times New Roman"/>
        </w:rPr>
        <w:lastRenderedPageBreak/>
        <w:t>that receives and hold</w:t>
      </w:r>
      <w:r>
        <w:rPr>
          <w:rFonts w:asciiTheme="minorHAnsi" w:eastAsia="Calibri" w:hAnsiTheme="minorHAnsi" w:cs="Times New Roman"/>
        </w:rPr>
        <w:t>s</w:t>
      </w:r>
      <w:r w:rsidRPr="00364CBF">
        <w:rPr>
          <w:rFonts w:asciiTheme="minorHAnsi" w:eastAsia="Calibri" w:hAnsiTheme="minorHAnsi" w:cs="Times New Roman"/>
        </w:rPr>
        <w:t xml:space="preserve"> their customer’s information, regardless of whether a loan is to be securitised. </w:t>
      </w:r>
    </w:p>
    <w:p w14:paraId="5529BC94" w14:textId="77777777" w:rsidR="001856EC" w:rsidRPr="00CD478C" w:rsidRDefault="001856EC" w:rsidP="008F6AD1">
      <w:pPr>
        <w:pStyle w:val="Heading4"/>
        <w:keepNext/>
        <w:spacing w:after="240"/>
        <w:rPr>
          <w:rFonts w:asciiTheme="minorHAnsi" w:eastAsia="Calibri" w:hAnsiTheme="minorHAnsi" w:cs="Times New Roman"/>
          <w:i w:val="0"/>
          <w:iCs w:val="0"/>
        </w:rPr>
      </w:pPr>
      <w:r w:rsidRPr="00CD478C">
        <w:rPr>
          <w:rFonts w:eastAsia="Calibri"/>
        </w:rPr>
        <w:t>Proposed approach</w:t>
      </w:r>
    </w:p>
    <w:p w14:paraId="3D345CF9" w14:textId="74FA3B18" w:rsidR="001856EC" w:rsidRDefault="001856EC" w:rsidP="008F6AD1">
      <w:pPr>
        <w:keepLines/>
        <w:spacing w:before="0" w:after="160" w:line="259" w:lineRule="auto"/>
        <w:rPr>
          <w:rFonts w:asciiTheme="minorHAnsi" w:eastAsia="Calibri" w:hAnsiTheme="minorHAnsi" w:cs="Times New Roman"/>
        </w:rPr>
      </w:pPr>
      <w:r>
        <w:rPr>
          <w:rFonts w:asciiTheme="minorHAnsi" w:eastAsia="Calibri" w:hAnsiTheme="minorHAnsi" w:cs="Times New Roman"/>
        </w:rPr>
        <w:t xml:space="preserve">Treasury proposes </w:t>
      </w:r>
      <w:r w:rsidR="00B72753">
        <w:rPr>
          <w:rFonts w:asciiTheme="minorHAnsi" w:eastAsia="Calibri" w:hAnsiTheme="minorHAnsi" w:cs="Times New Roman"/>
        </w:rPr>
        <w:t>to adopt the same</w:t>
      </w:r>
      <w:r w:rsidR="00CB6A41">
        <w:rPr>
          <w:rFonts w:asciiTheme="minorHAnsi" w:eastAsia="Calibri" w:hAnsiTheme="minorHAnsi" w:cs="Times New Roman"/>
        </w:rPr>
        <w:t xml:space="preserve"> approach to</w:t>
      </w:r>
      <w:r w:rsidR="00B72753">
        <w:rPr>
          <w:rFonts w:asciiTheme="minorHAnsi" w:eastAsia="Calibri" w:hAnsiTheme="minorHAnsi" w:cs="Times New Roman"/>
        </w:rPr>
        <w:t xml:space="preserve"> </w:t>
      </w:r>
      <w:r w:rsidR="003C12E6">
        <w:rPr>
          <w:rFonts w:asciiTheme="minorHAnsi" w:eastAsia="Calibri" w:hAnsiTheme="minorHAnsi" w:cs="Times New Roman"/>
        </w:rPr>
        <w:t>non-bank</w:t>
      </w:r>
      <w:r w:rsidR="00CB6A41">
        <w:rPr>
          <w:rFonts w:asciiTheme="minorHAnsi" w:eastAsia="Calibri" w:hAnsiTheme="minorHAnsi" w:cs="Times New Roman"/>
        </w:rPr>
        <w:t xml:space="preserve"> white labell</w:t>
      </w:r>
      <w:r w:rsidR="00B72753">
        <w:rPr>
          <w:rFonts w:asciiTheme="minorHAnsi" w:eastAsia="Calibri" w:hAnsiTheme="minorHAnsi" w:cs="Times New Roman"/>
        </w:rPr>
        <w:t xml:space="preserve">ed </w:t>
      </w:r>
      <w:r w:rsidR="00EC7DA8">
        <w:rPr>
          <w:rFonts w:asciiTheme="minorHAnsi" w:eastAsia="Calibri" w:hAnsiTheme="minorHAnsi" w:cs="Times New Roman"/>
        </w:rPr>
        <w:t xml:space="preserve">products </w:t>
      </w:r>
      <w:r w:rsidR="00B72753">
        <w:rPr>
          <w:rFonts w:asciiTheme="minorHAnsi" w:eastAsia="Calibri" w:hAnsiTheme="minorHAnsi" w:cs="Times New Roman"/>
        </w:rPr>
        <w:t>as that taken to banking white labelled products, which would</w:t>
      </w:r>
      <w:r>
        <w:rPr>
          <w:rFonts w:asciiTheme="minorHAnsi" w:eastAsia="Calibri" w:hAnsiTheme="minorHAnsi" w:cs="Times New Roman"/>
        </w:rPr>
        <w:t xml:space="preserve"> </w:t>
      </w:r>
      <w:r w:rsidRPr="006B2DC2">
        <w:rPr>
          <w:rFonts w:asciiTheme="minorHAnsi" w:eastAsia="Calibri" w:hAnsiTheme="minorHAnsi" w:cs="Times New Roman"/>
        </w:rPr>
        <w:t>allow</w:t>
      </w:r>
      <w:r>
        <w:rPr>
          <w:rFonts w:asciiTheme="minorHAnsi" w:eastAsia="Calibri" w:hAnsiTheme="minorHAnsi" w:cs="Times New Roman"/>
        </w:rPr>
        <w:t xml:space="preserve"> for data holder obligations to be managed between the white labeller and brand owner to ensure the entity most suitable for meeting data holder obligations can provide the required data.</w:t>
      </w:r>
    </w:p>
    <w:p w14:paraId="1CDF82D1" w14:textId="2C6506D8" w:rsidR="001856EC" w:rsidRPr="00CD478C" w:rsidRDefault="001856EC" w:rsidP="001856EC">
      <w:pPr>
        <w:pBdr>
          <w:top w:val="single" w:sz="4" w:space="1" w:color="auto"/>
          <w:left w:val="single" w:sz="4" w:space="4" w:color="auto"/>
          <w:bottom w:val="single" w:sz="4" w:space="1" w:color="auto"/>
          <w:right w:val="single" w:sz="4" w:space="4" w:color="auto"/>
        </w:pBdr>
        <w:spacing w:before="0" w:after="160" w:line="259" w:lineRule="auto"/>
        <w:rPr>
          <w:rFonts w:asciiTheme="minorHAnsi" w:eastAsia="Calibri" w:hAnsiTheme="minorHAnsi" w:cs="Times New Roman"/>
          <w:b/>
          <w:bCs/>
        </w:rPr>
      </w:pPr>
      <w:r w:rsidRPr="00CD478C">
        <w:rPr>
          <w:rFonts w:asciiTheme="minorHAnsi" w:eastAsia="Calibri" w:hAnsiTheme="minorHAnsi" w:cs="Times New Roman"/>
          <w:b/>
          <w:bCs/>
        </w:rPr>
        <w:t>Consultation question</w:t>
      </w:r>
      <w:r w:rsidR="0016156A">
        <w:rPr>
          <w:rFonts w:asciiTheme="minorHAnsi" w:eastAsia="Calibri" w:hAnsiTheme="minorHAnsi" w:cs="Times New Roman"/>
          <w:b/>
          <w:bCs/>
        </w:rPr>
        <w:t>s</w:t>
      </w:r>
    </w:p>
    <w:p w14:paraId="45AA54E8" w14:textId="168C1336" w:rsidR="001856EC" w:rsidRPr="00CD478C" w:rsidRDefault="001856EC" w:rsidP="001856EC">
      <w:pPr>
        <w:pStyle w:val="ListParagraph"/>
        <w:numPr>
          <w:ilvl w:val="0"/>
          <w:numId w:val="31"/>
        </w:numPr>
        <w:pBdr>
          <w:top w:val="single" w:sz="4" w:space="1" w:color="auto"/>
          <w:left w:val="single" w:sz="4" w:space="4" w:color="auto"/>
          <w:bottom w:val="single" w:sz="4" w:space="1" w:color="auto"/>
          <w:right w:val="single" w:sz="4" w:space="4" w:color="auto"/>
        </w:pBdr>
        <w:spacing w:before="0" w:after="160" w:line="259" w:lineRule="auto"/>
        <w:rPr>
          <w:rFonts w:asciiTheme="minorHAnsi" w:eastAsia="Calibri" w:hAnsiTheme="minorHAnsi" w:cs="Times New Roman"/>
        </w:rPr>
      </w:pPr>
      <w:r w:rsidRPr="00CD478C">
        <w:rPr>
          <w:rFonts w:asciiTheme="minorHAnsi" w:eastAsia="Calibri" w:hAnsiTheme="minorHAnsi" w:cs="Times New Roman"/>
        </w:rPr>
        <w:t>Are there any sector-specific considerations</w:t>
      </w:r>
      <w:r w:rsidR="001C02D5">
        <w:rPr>
          <w:rFonts w:asciiTheme="minorHAnsi" w:eastAsia="Calibri" w:hAnsiTheme="minorHAnsi" w:cs="Times New Roman"/>
        </w:rPr>
        <w:t xml:space="preserve"> for white labelling</w:t>
      </w:r>
      <w:r>
        <w:rPr>
          <w:rFonts w:asciiTheme="minorHAnsi" w:eastAsia="Calibri" w:hAnsiTheme="minorHAnsi" w:cs="Times New Roman"/>
        </w:rPr>
        <w:t xml:space="preserve"> </w:t>
      </w:r>
      <w:r w:rsidRPr="00CD478C">
        <w:rPr>
          <w:rFonts w:asciiTheme="minorHAnsi" w:eastAsia="Calibri" w:hAnsiTheme="minorHAnsi" w:cs="Times New Roman"/>
        </w:rPr>
        <w:t xml:space="preserve">that need to be </w:t>
      </w:r>
      <w:proofErr w:type="gramStart"/>
      <w:r w:rsidRPr="00CD478C">
        <w:rPr>
          <w:rFonts w:asciiTheme="minorHAnsi" w:eastAsia="Calibri" w:hAnsiTheme="minorHAnsi" w:cs="Times New Roman"/>
        </w:rPr>
        <w:t>taken into account</w:t>
      </w:r>
      <w:proofErr w:type="gramEnd"/>
      <w:r w:rsidRPr="00CD478C">
        <w:rPr>
          <w:rFonts w:asciiTheme="minorHAnsi" w:eastAsia="Calibri" w:hAnsiTheme="minorHAnsi" w:cs="Times New Roman"/>
        </w:rPr>
        <w:t xml:space="preserve"> when </w:t>
      </w:r>
      <w:r w:rsidR="001C02D5">
        <w:rPr>
          <w:rFonts w:asciiTheme="minorHAnsi" w:eastAsia="Calibri" w:hAnsiTheme="minorHAnsi" w:cs="Times New Roman"/>
        </w:rPr>
        <w:t xml:space="preserve">making </w:t>
      </w:r>
      <w:r w:rsidR="00CB6A41">
        <w:rPr>
          <w:rFonts w:asciiTheme="minorHAnsi" w:eastAsia="Calibri" w:hAnsiTheme="minorHAnsi" w:cs="Times New Roman"/>
        </w:rPr>
        <w:t xml:space="preserve">guidance and/or rules for the </w:t>
      </w:r>
      <w:r w:rsidR="001C02D5">
        <w:rPr>
          <w:rFonts w:asciiTheme="minorHAnsi" w:eastAsia="Calibri" w:hAnsiTheme="minorHAnsi" w:cs="Times New Roman"/>
        </w:rPr>
        <w:t xml:space="preserve">non-bank lending </w:t>
      </w:r>
      <w:r w:rsidR="00CB6A41">
        <w:rPr>
          <w:rFonts w:asciiTheme="minorHAnsi" w:eastAsia="Calibri" w:hAnsiTheme="minorHAnsi" w:cs="Times New Roman"/>
        </w:rPr>
        <w:t>sector</w:t>
      </w:r>
      <w:r w:rsidRPr="00CD478C">
        <w:rPr>
          <w:rFonts w:asciiTheme="minorHAnsi" w:eastAsia="Calibri" w:hAnsiTheme="minorHAnsi" w:cs="Times New Roman"/>
        </w:rPr>
        <w:t>?</w:t>
      </w:r>
      <w:r w:rsidR="00FB0E48">
        <w:rPr>
          <w:rFonts w:asciiTheme="minorHAnsi" w:eastAsia="Calibri" w:hAnsiTheme="minorHAnsi" w:cs="Times New Roman"/>
        </w:rPr>
        <w:t xml:space="preserve"> Is it common practice for the brand owner to hold the contractual relationship with the consumer?</w:t>
      </w:r>
    </w:p>
    <w:p w14:paraId="2B19165E" w14:textId="1E4D846E" w:rsidR="001856EC" w:rsidRPr="001C02D5" w:rsidRDefault="00F31F19" w:rsidP="001856EC">
      <w:pPr>
        <w:pStyle w:val="ListParagraph"/>
        <w:numPr>
          <w:ilvl w:val="0"/>
          <w:numId w:val="31"/>
        </w:numPr>
        <w:pBdr>
          <w:top w:val="single" w:sz="4" w:space="1" w:color="auto"/>
          <w:left w:val="single" w:sz="4" w:space="4" w:color="auto"/>
          <w:bottom w:val="single" w:sz="4" w:space="1" w:color="auto"/>
          <w:right w:val="single" w:sz="4" w:space="4" w:color="auto"/>
        </w:pBdr>
        <w:spacing w:before="0" w:after="160" w:line="259" w:lineRule="auto"/>
        <w:rPr>
          <w:rFonts w:asciiTheme="minorHAnsi" w:eastAsia="Calibri" w:hAnsiTheme="minorHAnsi" w:cs="Times New Roman"/>
        </w:rPr>
      </w:pPr>
      <w:r>
        <w:rPr>
          <w:rFonts w:asciiTheme="minorHAnsi" w:eastAsia="Calibri" w:hAnsiTheme="minorHAnsi" w:cs="Times New Roman"/>
        </w:rPr>
        <w:t>Are changes required</w:t>
      </w:r>
      <w:r w:rsidR="001856EC">
        <w:rPr>
          <w:rFonts w:asciiTheme="minorHAnsi" w:eastAsia="Calibri" w:hAnsiTheme="minorHAnsi" w:cs="Times New Roman"/>
        </w:rPr>
        <w:t xml:space="preserve"> to facilitate </w:t>
      </w:r>
      <w:r w:rsidR="001856EC" w:rsidRPr="00C855E0">
        <w:rPr>
          <w:rFonts w:asciiTheme="minorHAnsi" w:eastAsia="Calibri" w:hAnsiTheme="minorHAnsi" w:cs="Times New Roman"/>
        </w:rPr>
        <w:t xml:space="preserve">white labelling arrangements in </w:t>
      </w:r>
      <w:r w:rsidR="00E14B43">
        <w:rPr>
          <w:rFonts w:asciiTheme="minorHAnsi" w:eastAsia="Calibri" w:hAnsiTheme="minorHAnsi" w:cs="Times New Roman"/>
        </w:rPr>
        <w:t>non-bank lending</w:t>
      </w:r>
      <w:r w:rsidR="00B443B1">
        <w:rPr>
          <w:rFonts w:asciiTheme="minorHAnsi" w:eastAsia="Calibri" w:hAnsiTheme="minorHAnsi" w:cs="Times New Roman"/>
        </w:rPr>
        <w:t xml:space="preserve">? For example, </w:t>
      </w:r>
      <w:r w:rsidR="00B42F16">
        <w:rPr>
          <w:rFonts w:asciiTheme="minorHAnsi" w:eastAsia="Calibri" w:hAnsiTheme="minorHAnsi" w:cs="Times New Roman"/>
        </w:rPr>
        <w:t xml:space="preserve">should there be </w:t>
      </w:r>
      <w:r>
        <w:rPr>
          <w:rFonts w:asciiTheme="minorHAnsi" w:eastAsia="Calibri" w:hAnsiTheme="minorHAnsi" w:cs="Times New Roman"/>
        </w:rPr>
        <w:t xml:space="preserve">changes to the </w:t>
      </w:r>
      <w:hyperlink r:id="rId32" w:anchor="register-apis" w:history="1">
        <w:r w:rsidRPr="007E6272">
          <w:rPr>
            <w:rStyle w:val="Hyperlink"/>
            <w:rFonts w:asciiTheme="minorHAnsi" w:eastAsia="Calibri" w:hAnsiTheme="minorHAnsi" w:cs="Times New Roman"/>
          </w:rPr>
          <w:t>CDR Register Standards</w:t>
        </w:r>
      </w:hyperlink>
      <w:r>
        <w:rPr>
          <w:rFonts w:asciiTheme="minorHAnsi" w:eastAsia="Calibri" w:hAnsiTheme="minorHAnsi" w:cs="Times New Roman"/>
        </w:rPr>
        <w:t xml:space="preserve"> describing data holders </w:t>
      </w:r>
      <w:r w:rsidR="00B443B1">
        <w:rPr>
          <w:rFonts w:asciiTheme="minorHAnsi" w:eastAsia="Calibri" w:hAnsiTheme="minorHAnsi" w:cs="Times New Roman"/>
        </w:rPr>
        <w:t xml:space="preserve">to support </w:t>
      </w:r>
      <w:r w:rsidR="00E14B43">
        <w:rPr>
          <w:rFonts w:asciiTheme="minorHAnsi" w:eastAsia="Calibri" w:hAnsiTheme="minorHAnsi" w:cs="Times New Roman"/>
        </w:rPr>
        <w:t>more complicated white labelling arrangements such as product panels</w:t>
      </w:r>
      <w:r w:rsidR="001856EC">
        <w:rPr>
          <w:rFonts w:asciiTheme="minorHAnsi" w:eastAsia="Calibri" w:hAnsiTheme="minorHAnsi" w:cs="Times New Roman"/>
        </w:rPr>
        <w:t xml:space="preserve">? </w:t>
      </w:r>
    </w:p>
    <w:p w14:paraId="7C52A664" w14:textId="49CF4484" w:rsidR="001856EC" w:rsidRPr="001C02D5" w:rsidRDefault="003E4E56" w:rsidP="005E2864">
      <w:pPr>
        <w:pStyle w:val="ListParagraph"/>
        <w:numPr>
          <w:ilvl w:val="0"/>
          <w:numId w:val="31"/>
        </w:numPr>
        <w:pBdr>
          <w:top w:val="single" w:sz="4" w:space="1" w:color="auto"/>
          <w:left w:val="single" w:sz="4" w:space="4" w:color="auto"/>
          <w:bottom w:val="single" w:sz="4" w:space="1" w:color="auto"/>
          <w:right w:val="single" w:sz="4" w:space="4" w:color="auto"/>
        </w:pBdr>
        <w:spacing w:before="0" w:after="160" w:line="259" w:lineRule="auto"/>
        <w:rPr>
          <w:rFonts w:asciiTheme="minorHAnsi" w:eastAsia="Calibri" w:hAnsiTheme="minorHAnsi" w:cs="Times New Roman"/>
        </w:rPr>
      </w:pPr>
      <w:r>
        <w:rPr>
          <w:rFonts w:asciiTheme="minorHAnsi" w:eastAsia="Calibri" w:hAnsiTheme="minorHAnsi" w:cs="Times New Roman"/>
        </w:rPr>
        <w:t>Can securitisation arrangements be appropriately managed under the existing mechanisms</w:t>
      </w:r>
      <w:r w:rsidR="00B42F16">
        <w:rPr>
          <w:rFonts w:asciiTheme="minorHAnsi" w:eastAsia="Calibri" w:hAnsiTheme="minorHAnsi" w:cs="Times New Roman"/>
        </w:rPr>
        <w:t>,</w:t>
      </w:r>
      <w:r>
        <w:rPr>
          <w:rFonts w:asciiTheme="minorHAnsi" w:eastAsia="Calibri" w:hAnsiTheme="minorHAnsi" w:cs="Times New Roman"/>
        </w:rPr>
        <w:t xml:space="preserve"> or</w:t>
      </w:r>
      <w:r w:rsidR="00EF470D">
        <w:rPr>
          <w:rFonts w:asciiTheme="minorHAnsi" w:eastAsia="Calibri" w:hAnsiTheme="minorHAnsi" w:cs="Times New Roman"/>
        </w:rPr>
        <w:t xml:space="preserve"> are</w:t>
      </w:r>
      <w:r>
        <w:rPr>
          <w:rFonts w:asciiTheme="minorHAnsi" w:eastAsia="Calibri" w:hAnsiTheme="minorHAnsi" w:cs="Times New Roman"/>
        </w:rPr>
        <w:t xml:space="preserve"> </w:t>
      </w:r>
      <w:r w:rsidR="00EC7DA8">
        <w:rPr>
          <w:rFonts w:asciiTheme="minorHAnsi" w:eastAsia="Calibri" w:hAnsiTheme="minorHAnsi" w:cs="Times New Roman"/>
        </w:rPr>
        <w:t xml:space="preserve">there specific considerations that need to be </w:t>
      </w:r>
      <w:r w:rsidR="00EF470D">
        <w:rPr>
          <w:rFonts w:asciiTheme="minorHAnsi" w:eastAsia="Calibri" w:hAnsiTheme="minorHAnsi" w:cs="Times New Roman"/>
        </w:rPr>
        <w:t>accounted</w:t>
      </w:r>
      <w:r w:rsidR="00B42F16">
        <w:rPr>
          <w:rFonts w:asciiTheme="minorHAnsi" w:eastAsia="Calibri" w:hAnsiTheme="minorHAnsi" w:cs="Times New Roman"/>
        </w:rPr>
        <w:t xml:space="preserve"> for</w:t>
      </w:r>
      <w:r w:rsidR="00EC7DA8">
        <w:rPr>
          <w:rFonts w:asciiTheme="minorHAnsi" w:eastAsia="Calibri" w:hAnsiTheme="minorHAnsi" w:cs="Times New Roman"/>
        </w:rPr>
        <w:t>?</w:t>
      </w:r>
    </w:p>
    <w:p w14:paraId="27916C36" w14:textId="20BBCD2C" w:rsidR="009B4F19" w:rsidRPr="0074185B" w:rsidRDefault="009B4F19" w:rsidP="005E2864">
      <w:pPr>
        <w:pStyle w:val="Heading3"/>
        <w:rPr>
          <w:rFonts w:asciiTheme="minorHAnsi" w:eastAsia="Calibri" w:hAnsiTheme="minorHAnsi" w:cs="Times New Roman"/>
          <w:b w:val="0"/>
          <w:bCs w:val="0"/>
        </w:rPr>
      </w:pPr>
      <w:bookmarkStart w:id="19" w:name="_Toc120881030"/>
      <w:r w:rsidRPr="0074185B">
        <w:rPr>
          <w:rFonts w:eastAsia="Calibri"/>
        </w:rPr>
        <w:t xml:space="preserve">What </w:t>
      </w:r>
      <w:r w:rsidRPr="007A21B5">
        <w:rPr>
          <w:rFonts w:eastAsia="Calibri"/>
        </w:rPr>
        <w:t>prod</w:t>
      </w:r>
      <w:r w:rsidRPr="007A21B5">
        <w:rPr>
          <w:rFonts w:asciiTheme="minorHAnsi" w:eastAsia="Calibri" w:hAnsiTheme="minorHAnsi" w:cs="Times New Roman"/>
        </w:rPr>
        <w:t>ucts are in scope?</w:t>
      </w:r>
      <w:bookmarkEnd w:id="19"/>
    </w:p>
    <w:p w14:paraId="14EB58F2" w14:textId="5F6AD6E0" w:rsidR="0074185B" w:rsidRDefault="0074185B" w:rsidP="0074185B">
      <w:pPr>
        <w:rPr>
          <w:rFonts w:asciiTheme="minorHAnsi" w:eastAsia="Calibri" w:hAnsiTheme="minorHAnsi" w:cs="Times New Roman"/>
        </w:rPr>
      </w:pPr>
      <w:r w:rsidRPr="00364CBF">
        <w:rPr>
          <w:rFonts w:asciiTheme="minorHAnsi" w:eastAsia="Calibri" w:hAnsiTheme="minorHAnsi" w:cs="Times New Roman"/>
        </w:rPr>
        <w:t>The</w:t>
      </w:r>
      <w:r>
        <w:rPr>
          <w:rFonts w:asciiTheme="minorHAnsi" w:eastAsia="Calibri" w:hAnsiTheme="minorHAnsi" w:cs="Times New Roman"/>
        </w:rPr>
        <w:t xml:space="preserve"> definition of </w:t>
      </w:r>
      <w:r w:rsidR="0056053C">
        <w:rPr>
          <w:rFonts w:asciiTheme="minorHAnsi" w:eastAsia="Calibri" w:hAnsiTheme="minorHAnsi" w:cs="Times New Roman"/>
        </w:rPr>
        <w:t>“</w:t>
      </w:r>
      <w:r>
        <w:rPr>
          <w:rFonts w:asciiTheme="minorHAnsi" w:eastAsia="Calibri" w:hAnsiTheme="minorHAnsi" w:cs="Times New Roman"/>
        </w:rPr>
        <w:t>product</w:t>
      </w:r>
      <w:r w:rsidR="0056053C">
        <w:rPr>
          <w:rFonts w:asciiTheme="minorHAnsi" w:eastAsia="Calibri" w:hAnsiTheme="minorHAnsi" w:cs="Times New Roman"/>
        </w:rPr>
        <w:t>”</w:t>
      </w:r>
      <w:r>
        <w:rPr>
          <w:rFonts w:asciiTheme="minorHAnsi" w:eastAsia="Calibri" w:hAnsiTheme="minorHAnsi" w:cs="Times New Roman"/>
        </w:rPr>
        <w:t xml:space="preserve"> in the</w:t>
      </w:r>
      <w:r w:rsidRPr="00364CBF">
        <w:rPr>
          <w:rFonts w:asciiTheme="minorHAnsi" w:eastAsia="Calibri" w:hAnsiTheme="minorHAnsi" w:cs="Times New Roman"/>
        </w:rPr>
        <w:t xml:space="preserve"> </w:t>
      </w:r>
      <w:r w:rsidR="00CA6259">
        <w:rPr>
          <w:rFonts w:asciiTheme="minorHAnsi" w:eastAsia="Calibri" w:hAnsiTheme="minorHAnsi" w:cs="Times New Roman"/>
        </w:rPr>
        <w:t>D</w:t>
      </w:r>
      <w:r w:rsidRPr="00364CBF">
        <w:rPr>
          <w:rFonts w:asciiTheme="minorHAnsi" w:eastAsia="Calibri" w:hAnsiTheme="minorHAnsi" w:cs="Times New Roman"/>
        </w:rPr>
        <w:t xml:space="preserve">esignation </w:t>
      </w:r>
      <w:r w:rsidR="00CA6259">
        <w:rPr>
          <w:rFonts w:asciiTheme="minorHAnsi" w:eastAsia="Calibri" w:hAnsiTheme="minorHAnsi" w:cs="Times New Roman"/>
        </w:rPr>
        <w:t>I</w:t>
      </w:r>
      <w:r w:rsidRPr="00364CBF">
        <w:rPr>
          <w:rFonts w:asciiTheme="minorHAnsi" w:eastAsia="Calibri" w:hAnsiTheme="minorHAnsi" w:cs="Times New Roman"/>
        </w:rPr>
        <w:t xml:space="preserve">nstrument </w:t>
      </w:r>
      <w:r>
        <w:rPr>
          <w:rFonts w:asciiTheme="minorHAnsi" w:eastAsia="Calibri" w:hAnsiTheme="minorHAnsi" w:cs="Times New Roman"/>
        </w:rPr>
        <w:t xml:space="preserve">captures goods and services that have been supplied in connection with </w:t>
      </w:r>
      <w:r>
        <w:t xml:space="preserve">taking money on deposit, making advances of money, </w:t>
      </w:r>
      <w:r w:rsidRPr="002847E6">
        <w:t>letting goods on hire</w:t>
      </w:r>
      <w:r>
        <w:t xml:space="preserve"> (</w:t>
      </w:r>
      <w:r w:rsidRPr="002847E6">
        <w:t>including on hire-purchase</w:t>
      </w:r>
      <w:r>
        <w:t>)</w:t>
      </w:r>
      <w:r w:rsidR="00E75AC3">
        <w:t>,</w:t>
      </w:r>
      <w:r>
        <w:t xml:space="preserve"> or other financial activit</w:t>
      </w:r>
      <w:r w:rsidR="00445325">
        <w:t>ies</w:t>
      </w:r>
      <w:r>
        <w:t xml:space="preserve"> prescribed by regulations for the purposes of the definition of ‘banking business’ in the </w:t>
      </w:r>
      <w:r w:rsidRPr="004F0D1B">
        <w:rPr>
          <w:i/>
          <w:iCs/>
        </w:rPr>
        <w:t>Banking Act 1959</w:t>
      </w:r>
      <w:r>
        <w:t xml:space="preserve">. The definition </w:t>
      </w:r>
      <w:r w:rsidR="0056053C">
        <w:t xml:space="preserve">of “product” </w:t>
      </w:r>
      <w:r>
        <w:t>also captures a purchased payment facility.</w:t>
      </w:r>
    </w:p>
    <w:p w14:paraId="23C00A11" w14:textId="20C23B20" w:rsidR="0074185B" w:rsidRPr="00364CBF" w:rsidRDefault="00CA6259" w:rsidP="0074185B">
      <w:pPr>
        <w:rPr>
          <w:rFonts w:asciiTheme="minorHAnsi" w:eastAsia="Calibri" w:hAnsiTheme="minorHAnsi" w:cs="Times New Roman"/>
        </w:rPr>
      </w:pPr>
      <w:bookmarkStart w:id="20" w:name="_Hlk117766900"/>
      <w:r>
        <w:rPr>
          <w:rFonts w:asciiTheme="minorHAnsi" w:eastAsia="Calibri" w:hAnsiTheme="minorHAnsi" w:cs="Times New Roman"/>
        </w:rPr>
        <w:t>It is intended that a</w:t>
      </w:r>
      <w:r w:rsidR="0074185B" w:rsidRPr="00364CBF">
        <w:rPr>
          <w:rFonts w:asciiTheme="minorHAnsi" w:eastAsia="Calibri" w:hAnsiTheme="minorHAnsi" w:cs="Times New Roman"/>
        </w:rPr>
        <w:t xml:space="preserve"> </w:t>
      </w:r>
      <w:r>
        <w:rPr>
          <w:rFonts w:asciiTheme="minorHAnsi" w:eastAsia="Calibri" w:hAnsiTheme="minorHAnsi" w:cs="Times New Roman"/>
        </w:rPr>
        <w:t xml:space="preserve">non-bank lending </w:t>
      </w:r>
      <w:r w:rsidR="0074185B" w:rsidRPr="00364CBF">
        <w:rPr>
          <w:rFonts w:asciiTheme="minorHAnsi" w:eastAsia="Calibri" w:hAnsiTheme="minorHAnsi" w:cs="Times New Roman"/>
        </w:rPr>
        <w:t>product will be in scope for the CDR if it:</w:t>
      </w:r>
    </w:p>
    <w:p w14:paraId="194EF2F6" w14:textId="123F7EED" w:rsidR="0074185B" w:rsidRPr="00364CBF" w:rsidRDefault="0074185B" w:rsidP="00470DC3">
      <w:pPr>
        <w:numPr>
          <w:ilvl w:val="0"/>
          <w:numId w:val="29"/>
        </w:numPr>
        <w:rPr>
          <w:rFonts w:asciiTheme="minorHAnsi" w:eastAsia="Calibri" w:hAnsiTheme="minorHAnsi" w:cs="Times New Roman"/>
        </w:rPr>
      </w:pPr>
      <w:r w:rsidRPr="00364CBF">
        <w:rPr>
          <w:rFonts w:asciiTheme="minorHAnsi" w:eastAsia="Calibri" w:hAnsiTheme="minorHAnsi" w:cs="Times New Roman"/>
        </w:rPr>
        <w:t xml:space="preserve">falls within the definition of </w:t>
      </w:r>
      <w:r w:rsidR="00CA6259">
        <w:rPr>
          <w:rFonts w:asciiTheme="minorHAnsi" w:eastAsia="Calibri" w:hAnsiTheme="minorHAnsi" w:cs="Times New Roman"/>
        </w:rPr>
        <w:t>“</w:t>
      </w:r>
      <w:r w:rsidRPr="00364CBF">
        <w:rPr>
          <w:rFonts w:asciiTheme="minorHAnsi" w:eastAsia="Calibri" w:hAnsiTheme="minorHAnsi" w:cs="Times New Roman"/>
        </w:rPr>
        <w:t>product</w:t>
      </w:r>
      <w:r w:rsidR="00CA6259">
        <w:rPr>
          <w:rFonts w:asciiTheme="minorHAnsi" w:eastAsia="Calibri" w:hAnsiTheme="minorHAnsi" w:cs="Times New Roman"/>
        </w:rPr>
        <w:t>”</w:t>
      </w:r>
      <w:r w:rsidRPr="00364CBF">
        <w:rPr>
          <w:rFonts w:asciiTheme="minorHAnsi" w:eastAsia="Calibri" w:hAnsiTheme="minorHAnsi" w:cs="Times New Roman"/>
        </w:rPr>
        <w:t xml:space="preserve"> in the </w:t>
      </w:r>
      <w:r w:rsidR="00CA6259">
        <w:rPr>
          <w:rFonts w:asciiTheme="minorHAnsi" w:eastAsia="Calibri" w:hAnsiTheme="minorHAnsi" w:cs="Times New Roman"/>
        </w:rPr>
        <w:t>D</w:t>
      </w:r>
      <w:r w:rsidRPr="00364CBF">
        <w:rPr>
          <w:rFonts w:asciiTheme="minorHAnsi" w:eastAsia="Calibri" w:hAnsiTheme="minorHAnsi" w:cs="Times New Roman"/>
        </w:rPr>
        <w:t xml:space="preserve">esignation </w:t>
      </w:r>
      <w:r w:rsidR="00CA6259">
        <w:rPr>
          <w:rFonts w:asciiTheme="minorHAnsi" w:eastAsia="Calibri" w:hAnsiTheme="minorHAnsi" w:cs="Times New Roman"/>
        </w:rPr>
        <w:t>I</w:t>
      </w:r>
      <w:r w:rsidRPr="00364CBF">
        <w:rPr>
          <w:rFonts w:asciiTheme="minorHAnsi" w:eastAsia="Calibri" w:hAnsiTheme="minorHAnsi" w:cs="Times New Roman"/>
        </w:rPr>
        <w:t>nstrument</w:t>
      </w:r>
      <w:r w:rsidR="00E75AC3">
        <w:rPr>
          <w:rFonts w:asciiTheme="minorHAnsi" w:eastAsia="Calibri" w:hAnsiTheme="minorHAnsi" w:cs="Times New Roman"/>
        </w:rPr>
        <w:t>;</w:t>
      </w:r>
      <w:r w:rsidRPr="00364CBF">
        <w:rPr>
          <w:rFonts w:asciiTheme="minorHAnsi" w:eastAsia="Calibri" w:hAnsiTheme="minorHAnsi" w:cs="Times New Roman"/>
        </w:rPr>
        <w:t xml:space="preserve"> and</w:t>
      </w:r>
    </w:p>
    <w:p w14:paraId="04CB9778" w14:textId="60E26113" w:rsidR="0074185B" w:rsidRPr="00364CBF" w:rsidRDefault="0074185B" w:rsidP="00470DC3">
      <w:pPr>
        <w:numPr>
          <w:ilvl w:val="0"/>
          <w:numId w:val="29"/>
        </w:numPr>
        <w:rPr>
          <w:rFonts w:asciiTheme="minorHAnsi" w:eastAsia="Calibri" w:hAnsiTheme="minorHAnsi" w:cs="Times New Roman"/>
        </w:rPr>
      </w:pPr>
      <w:r w:rsidRPr="00364CBF">
        <w:rPr>
          <w:rFonts w:asciiTheme="minorHAnsi" w:eastAsia="Calibri" w:hAnsiTheme="minorHAnsi" w:cs="Times New Roman"/>
        </w:rPr>
        <w:t>is generally known as being a type of product listed in a prescribed list of products outlined in the sector</w:t>
      </w:r>
      <w:r w:rsidR="00CA6259">
        <w:rPr>
          <w:rFonts w:asciiTheme="minorHAnsi" w:eastAsia="Calibri" w:hAnsiTheme="minorHAnsi" w:cs="Times New Roman"/>
        </w:rPr>
        <w:t>-</w:t>
      </w:r>
      <w:r w:rsidRPr="00364CBF">
        <w:rPr>
          <w:rFonts w:asciiTheme="minorHAnsi" w:eastAsia="Calibri" w:hAnsiTheme="minorHAnsi" w:cs="Times New Roman"/>
        </w:rPr>
        <w:t xml:space="preserve">specific </w:t>
      </w:r>
      <w:r w:rsidR="00D661CA">
        <w:rPr>
          <w:rFonts w:asciiTheme="minorHAnsi" w:eastAsia="Calibri" w:hAnsiTheme="minorHAnsi" w:cs="Times New Roman"/>
        </w:rPr>
        <w:t>R</w:t>
      </w:r>
      <w:r w:rsidRPr="00364CBF">
        <w:rPr>
          <w:rFonts w:asciiTheme="minorHAnsi" w:eastAsia="Calibri" w:hAnsiTheme="minorHAnsi" w:cs="Times New Roman"/>
        </w:rPr>
        <w:t>ules</w:t>
      </w:r>
      <w:r w:rsidR="0068557B">
        <w:rPr>
          <w:rStyle w:val="FootnoteReference"/>
          <w:rFonts w:asciiTheme="minorHAnsi" w:eastAsia="Calibri" w:hAnsiTheme="minorHAnsi" w:cs="Times New Roman"/>
        </w:rPr>
        <w:footnoteReference w:id="5"/>
      </w:r>
      <w:r w:rsidR="00E75AC3">
        <w:rPr>
          <w:rFonts w:asciiTheme="minorHAnsi" w:eastAsia="Calibri" w:hAnsiTheme="minorHAnsi" w:cs="Times New Roman"/>
        </w:rPr>
        <w:t>;</w:t>
      </w:r>
      <w:r w:rsidRPr="00364CBF">
        <w:rPr>
          <w:rFonts w:asciiTheme="minorHAnsi" w:eastAsia="Calibri" w:hAnsiTheme="minorHAnsi" w:cs="Times New Roman"/>
        </w:rPr>
        <w:t xml:space="preserve"> and </w:t>
      </w:r>
    </w:p>
    <w:p w14:paraId="117E90BE" w14:textId="77777777" w:rsidR="0074185B" w:rsidRPr="00364CBF" w:rsidRDefault="0074185B" w:rsidP="00470DC3">
      <w:pPr>
        <w:numPr>
          <w:ilvl w:val="0"/>
          <w:numId w:val="29"/>
        </w:numPr>
        <w:rPr>
          <w:rFonts w:asciiTheme="minorHAnsi" w:eastAsia="Calibri" w:hAnsiTheme="minorHAnsi" w:cs="Times New Roman"/>
        </w:rPr>
      </w:pPr>
      <w:r w:rsidRPr="00364CBF">
        <w:rPr>
          <w:rFonts w:asciiTheme="minorHAnsi" w:eastAsia="Calibri" w:hAnsiTheme="minorHAnsi" w:cs="Times New Roman"/>
        </w:rPr>
        <w:t>is publicly offered.</w:t>
      </w:r>
    </w:p>
    <w:bookmarkEnd w:id="20"/>
    <w:p w14:paraId="0726F4DD" w14:textId="6754FBB5" w:rsidR="00445325" w:rsidDel="000D3AD8" w:rsidRDefault="0074185B" w:rsidP="0074185B">
      <w:pPr>
        <w:rPr>
          <w:rFonts w:asciiTheme="minorHAnsi" w:eastAsia="Calibri" w:hAnsiTheme="minorHAnsi" w:cs="Times New Roman"/>
        </w:rPr>
      </w:pPr>
      <w:r w:rsidRPr="00364CBF">
        <w:rPr>
          <w:rFonts w:asciiTheme="minorHAnsi" w:eastAsia="Calibri" w:hAnsiTheme="minorHAnsi" w:cs="Times New Roman"/>
        </w:rPr>
        <w:t>Banks and non-bank lenders largely supply the same products to consumers, apart from deposit related accounts</w:t>
      </w:r>
      <w:r w:rsidR="00CA6259">
        <w:rPr>
          <w:rFonts w:asciiTheme="minorHAnsi" w:eastAsia="Calibri" w:hAnsiTheme="minorHAnsi" w:cs="Times New Roman"/>
        </w:rPr>
        <w:t>,</w:t>
      </w:r>
      <w:r w:rsidRPr="00364CBF">
        <w:rPr>
          <w:rFonts w:asciiTheme="minorHAnsi" w:eastAsia="Calibri" w:hAnsiTheme="minorHAnsi" w:cs="Times New Roman"/>
        </w:rPr>
        <w:t xml:space="preserve"> which only banks are licen</w:t>
      </w:r>
      <w:r w:rsidR="00D61860">
        <w:rPr>
          <w:rFonts w:asciiTheme="minorHAnsi" w:eastAsia="Calibri" w:hAnsiTheme="minorHAnsi" w:cs="Times New Roman"/>
        </w:rPr>
        <w:t>s</w:t>
      </w:r>
      <w:r w:rsidRPr="00364CBF">
        <w:rPr>
          <w:rFonts w:asciiTheme="minorHAnsi" w:eastAsia="Calibri" w:hAnsiTheme="minorHAnsi" w:cs="Times New Roman"/>
        </w:rPr>
        <w:t xml:space="preserve">ed to provide. </w:t>
      </w:r>
      <w:bookmarkStart w:id="21" w:name="_Hlk117766915"/>
      <w:r w:rsidRPr="00364CBF">
        <w:rPr>
          <w:rFonts w:asciiTheme="minorHAnsi" w:eastAsia="Calibri" w:hAnsiTheme="minorHAnsi" w:cs="Times New Roman"/>
        </w:rPr>
        <w:t xml:space="preserve">Accordingly, Treasury expects the prescribed list of products in the non-bank lending rules to be </w:t>
      </w:r>
      <w:proofErr w:type="gramStart"/>
      <w:r w:rsidRPr="00364CBF" w:rsidDel="000D3AD8">
        <w:rPr>
          <w:rFonts w:asciiTheme="minorHAnsi" w:eastAsia="Calibri" w:hAnsiTheme="minorHAnsi" w:cs="Times New Roman"/>
        </w:rPr>
        <w:t>similar to</w:t>
      </w:r>
      <w:proofErr w:type="gramEnd"/>
      <w:r w:rsidRPr="00364CBF">
        <w:rPr>
          <w:rFonts w:asciiTheme="minorHAnsi" w:eastAsia="Calibri" w:hAnsiTheme="minorHAnsi" w:cs="Times New Roman"/>
        </w:rPr>
        <w:t xml:space="preserve"> the </w:t>
      </w:r>
      <w:r w:rsidR="00922AD2">
        <w:rPr>
          <w:rFonts w:asciiTheme="minorHAnsi" w:eastAsia="Calibri" w:hAnsiTheme="minorHAnsi" w:cs="Times New Roman"/>
        </w:rPr>
        <w:t xml:space="preserve">prescribed list </w:t>
      </w:r>
      <w:r w:rsidR="00CA6259">
        <w:rPr>
          <w:rFonts w:asciiTheme="minorHAnsi" w:eastAsia="Calibri" w:hAnsiTheme="minorHAnsi" w:cs="Times New Roman"/>
        </w:rPr>
        <w:t xml:space="preserve">of banking products </w:t>
      </w:r>
      <w:r w:rsidR="00922AD2">
        <w:rPr>
          <w:rFonts w:asciiTheme="minorHAnsi" w:eastAsia="Calibri" w:hAnsiTheme="minorHAnsi" w:cs="Times New Roman"/>
        </w:rPr>
        <w:t xml:space="preserve">in </w:t>
      </w:r>
      <w:r w:rsidR="00CA6259">
        <w:rPr>
          <w:rFonts w:asciiTheme="minorHAnsi" w:eastAsia="Calibri" w:hAnsiTheme="minorHAnsi" w:cs="Times New Roman"/>
        </w:rPr>
        <w:t>Schedule 3 to the R</w:t>
      </w:r>
      <w:r w:rsidRPr="00364CBF">
        <w:rPr>
          <w:rFonts w:asciiTheme="minorHAnsi" w:eastAsia="Calibri" w:hAnsiTheme="minorHAnsi" w:cs="Times New Roman"/>
        </w:rPr>
        <w:t>ules</w:t>
      </w:r>
      <w:r w:rsidDel="000D3AD8">
        <w:rPr>
          <w:rFonts w:asciiTheme="minorHAnsi" w:eastAsia="Calibri" w:hAnsiTheme="minorHAnsi" w:cs="Times New Roman"/>
        </w:rPr>
        <w:t>.</w:t>
      </w:r>
      <w:r w:rsidRPr="00364CBF" w:rsidDel="000D3AD8">
        <w:rPr>
          <w:rFonts w:asciiTheme="minorHAnsi" w:eastAsia="Calibri" w:hAnsiTheme="minorHAnsi" w:cs="Times New Roman"/>
        </w:rPr>
        <w:t xml:space="preserve"> </w:t>
      </w:r>
      <w:bookmarkEnd w:id="21"/>
    </w:p>
    <w:p w14:paraId="091DF2B9" w14:textId="687AA60D" w:rsidR="000D3AD8" w:rsidRDefault="00B0063F" w:rsidP="00B555D2">
      <w:pPr>
        <w:pStyle w:val="Bulletpoint"/>
        <w:numPr>
          <w:ilvl w:val="0"/>
          <w:numId w:val="0"/>
        </w:numPr>
        <w:rPr>
          <w:rFonts w:asciiTheme="minorHAnsi" w:eastAsia="Calibri" w:hAnsiTheme="minorHAnsi"/>
        </w:rPr>
      </w:pPr>
      <w:bookmarkStart w:id="22" w:name="_Hlk119057751"/>
      <w:r>
        <w:rPr>
          <w:rFonts w:asciiTheme="minorHAnsi" w:eastAsia="Calibri" w:hAnsiTheme="minorHAnsi"/>
        </w:rPr>
        <w:t xml:space="preserve">The </w:t>
      </w:r>
      <w:r w:rsidR="00033EC2">
        <w:rPr>
          <w:rFonts w:asciiTheme="minorHAnsi" w:eastAsia="Calibri" w:hAnsiTheme="minorHAnsi"/>
        </w:rPr>
        <w:t>Report recommended the inclusion of b</w:t>
      </w:r>
      <w:r w:rsidR="0074185B" w:rsidRPr="00364CBF">
        <w:rPr>
          <w:rFonts w:asciiTheme="minorHAnsi" w:eastAsia="Calibri" w:hAnsiTheme="minorHAnsi"/>
        </w:rPr>
        <w:t>uy now, pay later products</w:t>
      </w:r>
      <w:r w:rsidR="008F3082">
        <w:rPr>
          <w:rFonts w:asciiTheme="minorHAnsi" w:eastAsia="Calibri" w:hAnsiTheme="minorHAnsi"/>
        </w:rPr>
        <w:t xml:space="preserve"> </w:t>
      </w:r>
      <w:r w:rsidR="00033EC2">
        <w:rPr>
          <w:rFonts w:asciiTheme="minorHAnsi" w:eastAsia="Calibri" w:hAnsiTheme="minorHAnsi"/>
        </w:rPr>
        <w:t>for both the non-bank lending sector and banking sector</w:t>
      </w:r>
      <w:r w:rsidR="0074185B">
        <w:rPr>
          <w:rFonts w:asciiTheme="minorHAnsi" w:eastAsia="Calibri" w:hAnsiTheme="minorHAnsi"/>
        </w:rPr>
        <w:t xml:space="preserve">. </w:t>
      </w:r>
      <w:r w:rsidR="0074185B" w:rsidRPr="00364CBF">
        <w:rPr>
          <w:rFonts w:asciiTheme="minorHAnsi" w:eastAsia="Calibri" w:hAnsiTheme="minorHAnsi"/>
        </w:rPr>
        <w:t xml:space="preserve">Including buy now, pay later products in the CDR will provide greater visibility of a consumer’s financial situation and support use cases such as </w:t>
      </w:r>
      <w:r w:rsidR="00E95B19">
        <w:rPr>
          <w:rFonts w:asciiTheme="minorHAnsi" w:eastAsia="Calibri" w:hAnsiTheme="minorHAnsi"/>
        </w:rPr>
        <w:t xml:space="preserve">budgeting </w:t>
      </w:r>
      <w:r w:rsidR="0074185B" w:rsidRPr="00364CBF">
        <w:rPr>
          <w:rFonts w:asciiTheme="minorHAnsi" w:eastAsia="Calibri" w:hAnsiTheme="minorHAnsi"/>
        </w:rPr>
        <w:t xml:space="preserve">and comprehensive credit assessments. </w:t>
      </w:r>
    </w:p>
    <w:bookmarkEnd w:id="22"/>
    <w:p w14:paraId="0EEDF1C1" w14:textId="77777777" w:rsidR="0074185B" w:rsidRPr="0060776D" w:rsidRDefault="0074185B" w:rsidP="005E2864">
      <w:pPr>
        <w:pStyle w:val="Heading4"/>
      </w:pPr>
      <w:r w:rsidRPr="00C91CB9">
        <w:lastRenderedPageBreak/>
        <w:t>Proposed ap</w:t>
      </w:r>
      <w:r w:rsidRPr="0060776D">
        <w:t>proach</w:t>
      </w:r>
    </w:p>
    <w:p w14:paraId="59ACADC0" w14:textId="0F166836" w:rsidR="0074185B" w:rsidRPr="00364CBF" w:rsidRDefault="0074185B" w:rsidP="0074185B">
      <w:pPr>
        <w:rPr>
          <w:rFonts w:asciiTheme="minorHAnsi" w:eastAsia="Calibri" w:hAnsiTheme="minorHAnsi" w:cs="Times New Roman"/>
        </w:rPr>
      </w:pPr>
      <w:r w:rsidRPr="00364CBF">
        <w:rPr>
          <w:rFonts w:asciiTheme="minorHAnsi" w:eastAsia="Calibri" w:hAnsiTheme="minorHAnsi" w:cs="Times New Roman"/>
        </w:rPr>
        <w:t xml:space="preserve">Treasury proposes the following list of products as in scope for the CDR (the prescribed list of non-bank lending products): </w:t>
      </w:r>
    </w:p>
    <w:p w14:paraId="509285C7" w14:textId="77777777" w:rsidR="0074185B" w:rsidRPr="00364CBF" w:rsidRDefault="0074185B" w:rsidP="0074185B">
      <w:pPr>
        <w:pStyle w:val="Bulletpoint"/>
      </w:pPr>
      <w:r w:rsidRPr="00364CBF">
        <w:t>a personal credit or charge card account</w:t>
      </w:r>
    </w:p>
    <w:p w14:paraId="2022F3C5" w14:textId="77777777" w:rsidR="0074185B" w:rsidRPr="00364CBF" w:rsidRDefault="0074185B" w:rsidP="0074185B">
      <w:pPr>
        <w:pStyle w:val="Bulletpoint"/>
      </w:pPr>
      <w:r w:rsidRPr="00364CBF">
        <w:t>a business credit or charge card account</w:t>
      </w:r>
    </w:p>
    <w:p w14:paraId="77EE8330" w14:textId="52CC6EBF" w:rsidR="0074185B" w:rsidRDefault="00B0063F" w:rsidP="0074185B">
      <w:pPr>
        <w:pStyle w:val="Bulletpoint"/>
      </w:pPr>
      <w:r>
        <w:t xml:space="preserve">a residential home </w:t>
      </w:r>
      <w:proofErr w:type="gramStart"/>
      <w:r>
        <w:t>loan</w:t>
      </w:r>
      <w:proofErr w:type="gramEnd"/>
    </w:p>
    <w:p w14:paraId="7E635DD1" w14:textId="05DEC192" w:rsidR="00B0063F" w:rsidRDefault="00B0063F" w:rsidP="0074185B">
      <w:pPr>
        <w:pStyle w:val="Bulletpoint"/>
      </w:pPr>
      <w:r>
        <w:t xml:space="preserve">a home </w:t>
      </w:r>
      <w:r w:rsidR="00B7606C">
        <w:t>loan for an investment property</w:t>
      </w:r>
    </w:p>
    <w:p w14:paraId="4DB49E8F" w14:textId="3C5DC3FD" w:rsidR="00B7606C" w:rsidRPr="00364CBF" w:rsidRDefault="00B7606C" w:rsidP="0074185B">
      <w:pPr>
        <w:pStyle w:val="Bulletpoint"/>
      </w:pPr>
      <w:r>
        <w:t>a mortgage offset account</w:t>
      </w:r>
    </w:p>
    <w:p w14:paraId="142BB23D" w14:textId="77777777" w:rsidR="0074185B" w:rsidRPr="00364CBF" w:rsidRDefault="0074185B" w:rsidP="0074185B">
      <w:pPr>
        <w:pStyle w:val="Bulletpoint"/>
      </w:pPr>
      <w:r w:rsidRPr="00364CBF">
        <w:t>a personal loan</w:t>
      </w:r>
    </w:p>
    <w:p w14:paraId="6B6193EB" w14:textId="77777777" w:rsidR="0074185B" w:rsidRPr="00364CBF" w:rsidRDefault="0074185B" w:rsidP="0074185B">
      <w:pPr>
        <w:pStyle w:val="Bulletpoint"/>
      </w:pPr>
      <w:r w:rsidRPr="00364CBF">
        <w:t>business finance</w:t>
      </w:r>
    </w:p>
    <w:p w14:paraId="19747C55" w14:textId="77777777" w:rsidR="0074185B" w:rsidRPr="00364CBF" w:rsidRDefault="0074185B" w:rsidP="0074185B">
      <w:pPr>
        <w:pStyle w:val="Bulletpoint"/>
      </w:pPr>
      <w:r w:rsidRPr="00364CBF">
        <w:t>a loan for an investment</w:t>
      </w:r>
    </w:p>
    <w:p w14:paraId="24D29A54" w14:textId="77777777" w:rsidR="0074185B" w:rsidRPr="00364CBF" w:rsidRDefault="0074185B" w:rsidP="0074185B">
      <w:pPr>
        <w:pStyle w:val="Bulletpoint"/>
      </w:pPr>
      <w:r w:rsidRPr="00364CBF">
        <w:t>a line of credit (personal)</w:t>
      </w:r>
    </w:p>
    <w:p w14:paraId="3E774D00" w14:textId="77777777" w:rsidR="0074185B" w:rsidRPr="00364CBF" w:rsidRDefault="0074185B" w:rsidP="0074185B">
      <w:pPr>
        <w:pStyle w:val="Bulletpoint"/>
      </w:pPr>
      <w:r w:rsidRPr="00364CBF">
        <w:t>a line of credit (business)</w:t>
      </w:r>
    </w:p>
    <w:p w14:paraId="01D1D398" w14:textId="77777777" w:rsidR="0074185B" w:rsidRPr="00364CBF" w:rsidRDefault="0074185B" w:rsidP="0074185B">
      <w:pPr>
        <w:pStyle w:val="Bulletpoint"/>
      </w:pPr>
      <w:r w:rsidRPr="00364CBF">
        <w:t>an overdraft (personal)</w:t>
      </w:r>
    </w:p>
    <w:p w14:paraId="69AF127B" w14:textId="491513FD" w:rsidR="0074185B" w:rsidRPr="00364CBF" w:rsidRDefault="0074185B" w:rsidP="0074185B">
      <w:pPr>
        <w:pStyle w:val="Bulletpoint"/>
      </w:pPr>
      <w:r w:rsidRPr="00364CBF">
        <w:t>an overdraft (business)</w:t>
      </w:r>
    </w:p>
    <w:p w14:paraId="7C64F597" w14:textId="77777777" w:rsidR="0074185B" w:rsidRPr="00364CBF" w:rsidRDefault="0074185B" w:rsidP="0074185B">
      <w:pPr>
        <w:pStyle w:val="Bulletpoint"/>
      </w:pPr>
      <w:r w:rsidRPr="00364CBF">
        <w:t>asset finance (including leases)</w:t>
      </w:r>
    </w:p>
    <w:p w14:paraId="482E8AD4" w14:textId="75B3E059" w:rsidR="0074185B" w:rsidRPr="00364CBF" w:rsidRDefault="0074185B" w:rsidP="0074185B">
      <w:pPr>
        <w:pStyle w:val="Bulletpoint"/>
      </w:pPr>
      <w:r w:rsidRPr="00364CBF">
        <w:t xml:space="preserve">a consumer </w:t>
      </w:r>
      <w:proofErr w:type="gramStart"/>
      <w:r w:rsidRPr="00364CBF">
        <w:t>lease</w:t>
      </w:r>
      <w:proofErr w:type="gramEnd"/>
    </w:p>
    <w:p w14:paraId="3C90D34A" w14:textId="7028513C" w:rsidR="0074185B" w:rsidRDefault="0074185B" w:rsidP="0074185B">
      <w:pPr>
        <w:pStyle w:val="Bulletpoint"/>
      </w:pPr>
      <w:r w:rsidRPr="00364CBF">
        <w:t>buy now, pay later</w:t>
      </w:r>
    </w:p>
    <w:p w14:paraId="55C153C5" w14:textId="1FBE6FAF" w:rsidR="00BE3397" w:rsidRDefault="00BE3397" w:rsidP="00C33549">
      <w:pPr>
        <w:pStyle w:val="Bulletpoint"/>
        <w:numPr>
          <w:ilvl w:val="0"/>
          <w:numId w:val="0"/>
        </w:numPr>
      </w:pPr>
      <w:r>
        <w:t xml:space="preserve">Treasury also proposes including buy now, pay later in the prescribed list of products </w:t>
      </w:r>
      <w:r w:rsidR="00C33549">
        <w:t xml:space="preserve">for banking (through an amendment to the banking sector-specific </w:t>
      </w:r>
      <w:r w:rsidR="00AD3AF1">
        <w:t>S</w:t>
      </w:r>
      <w:r w:rsidR="00C33549">
        <w:t>chedule). Treasury seeks feedback from the banking sector on the timeframe for making available information, both product and consumer data, relating to these products after the finalisation of the rules.</w:t>
      </w:r>
    </w:p>
    <w:p w14:paraId="5FBAE08E" w14:textId="653B3B76" w:rsidR="009B4F19" w:rsidRPr="0059124D" w:rsidRDefault="0074185B" w:rsidP="0059124D">
      <w:pPr>
        <w:pBdr>
          <w:top w:val="single" w:sz="4" w:space="1" w:color="auto"/>
          <w:left w:val="single" w:sz="4" w:space="4" w:color="auto"/>
          <w:bottom w:val="single" w:sz="4" w:space="1" w:color="auto"/>
          <w:right w:val="single" w:sz="4" w:space="4" w:color="auto"/>
        </w:pBdr>
        <w:rPr>
          <w:rFonts w:asciiTheme="minorHAnsi" w:eastAsia="Calibri" w:hAnsiTheme="minorHAnsi" w:cs="Times New Roman"/>
          <w:b/>
          <w:bCs/>
        </w:rPr>
      </w:pPr>
      <w:r w:rsidRPr="0059124D">
        <w:rPr>
          <w:rFonts w:asciiTheme="minorHAnsi" w:eastAsia="Calibri" w:hAnsiTheme="minorHAnsi" w:cs="Times New Roman"/>
          <w:b/>
          <w:bCs/>
        </w:rPr>
        <w:t>Consultation question</w:t>
      </w:r>
      <w:r w:rsidR="0016156A">
        <w:rPr>
          <w:rFonts w:asciiTheme="minorHAnsi" w:eastAsia="Calibri" w:hAnsiTheme="minorHAnsi" w:cs="Times New Roman"/>
          <w:b/>
          <w:bCs/>
        </w:rPr>
        <w:t>s</w:t>
      </w:r>
    </w:p>
    <w:p w14:paraId="405A67AF" w14:textId="211F5F3E" w:rsidR="0074185B" w:rsidRDefault="0059124D" w:rsidP="008F261A">
      <w:pPr>
        <w:pStyle w:val="ListParagraph"/>
        <w:numPr>
          <w:ilvl w:val="0"/>
          <w:numId w:val="31"/>
        </w:numPr>
        <w:pBdr>
          <w:top w:val="single" w:sz="4" w:space="1" w:color="auto"/>
          <w:left w:val="single" w:sz="4" w:space="4" w:color="auto"/>
          <w:bottom w:val="single" w:sz="4" w:space="1" w:color="auto"/>
          <w:right w:val="single" w:sz="4" w:space="4" w:color="auto"/>
        </w:pBdr>
      </w:pPr>
      <w:r>
        <w:t>Is the proposed list of products in scope for the CDR appropriate for the non-bank lending sector?</w:t>
      </w:r>
    </w:p>
    <w:p w14:paraId="4B959621" w14:textId="13C46D12" w:rsidR="001207CF" w:rsidRDefault="001207CF" w:rsidP="008F261A">
      <w:pPr>
        <w:pStyle w:val="ListParagraph"/>
        <w:numPr>
          <w:ilvl w:val="0"/>
          <w:numId w:val="31"/>
        </w:numPr>
        <w:pBdr>
          <w:top w:val="single" w:sz="4" w:space="1" w:color="auto"/>
          <w:left w:val="single" w:sz="4" w:space="4" w:color="auto"/>
          <w:bottom w:val="single" w:sz="4" w:space="1" w:color="auto"/>
          <w:right w:val="single" w:sz="4" w:space="4" w:color="auto"/>
        </w:pBdr>
      </w:pPr>
      <w:r>
        <w:t>For the avoidance of doubt, should reverse mortgages be specifically referenced in the product list?</w:t>
      </w:r>
    </w:p>
    <w:p w14:paraId="7198FB1E" w14:textId="020A0A6B" w:rsidR="00150A19" w:rsidRDefault="00150A19" w:rsidP="008F261A">
      <w:pPr>
        <w:pStyle w:val="ListParagraph"/>
        <w:numPr>
          <w:ilvl w:val="0"/>
          <w:numId w:val="31"/>
        </w:numPr>
        <w:pBdr>
          <w:top w:val="single" w:sz="4" w:space="1" w:color="auto"/>
          <w:left w:val="single" w:sz="4" w:space="4" w:color="auto"/>
          <w:bottom w:val="single" w:sz="4" w:space="1" w:color="auto"/>
          <w:right w:val="single" w:sz="4" w:space="4" w:color="auto"/>
        </w:pBdr>
      </w:pPr>
      <w:r>
        <w:t>When can banks make information relating to buy now, pay later products available?</w:t>
      </w:r>
    </w:p>
    <w:p w14:paraId="18521C38" w14:textId="5B47BAEB" w:rsidR="00235296" w:rsidRPr="00111030" w:rsidRDefault="00847FA5" w:rsidP="005E2864">
      <w:pPr>
        <w:pStyle w:val="Heading3"/>
        <w:rPr>
          <w:rFonts w:eastAsia="Calibri"/>
        </w:rPr>
      </w:pPr>
      <w:bookmarkStart w:id="23" w:name="_Toc120881031"/>
      <w:r>
        <w:rPr>
          <w:rFonts w:eastAsia="Calibri"/>
        </w:rPr>
        <w:t>Dating sharing obligations in relation to trial products</w:t>
      </w:r>
      <w:bookmarkEnd w:id="23"/>
    </w:p>
    <w:p w14:paraId="24EC90CB" w14:textId="43209CB0" w:rsidR="00FA18F2" w:rsidRDefault="00FA18F2" w:rsidP="00FA18F2">
      <w:pPr>
        <w:rPr>
          <w:rFonts w:asciiTheme="minorHAnsi" w:eastAsia="Calibri" w:hAnsiTheme="minorHAnsi" w:cs="Times New Roman"/>
        </w:rPr>
      </w:pPr>
      <w:r>
        <w:rPr>
          <w:rFonts w:asciiTheme="minorHAnsi" w:eastAsia="Calibri" w:hAnsiTheme="minorHAnsi" w:cs="Times New Roman"/>
        </w:rPr>
        <w:t xml:space="preserve">The Report recommended the non-bank lending schedule introduce a </w:t>
      </w:r>
      <w:r w:rsidR="00192538">
        <w:rPr>
          <w:rFonts w:asciiTheme="minorHAnsi" w:eastAsia="Calibri" w:hAnsiTheme="minorHAnsi" w:cs="Times New Roman"/>
        </w:rPr>
        <w:t>trial period</w:t>
      </w:r>
      <w:r>
        <w:rPr>
          <w:rFonts w:asciiTheme="minorHAnsi" w:eastAsia="Calibri" w:hAnsiTheme="minorHAnsi" w:cs="Times New Roman"/>
        </w:rPr>
        <w:t xml:space="preserve"> to </w:t>
      </w:r>
      <w:r w:rsidRPr="00364CBF">
        <w:rPr>
          <w:rFonts w:asciiTheme="minorHAnsi" w:eastAsia="Calibri" w:hAnsiTheme="minorHAnsi" w:cs="Times New Roman"/>
        </w:rPr>
        <w:t>allow non-bank lenders time to trial a new product prior to mandatory data sharing obligations applying to that product</w:t>
      </w:r>
      <w:r>
        <w:rPr>
          <w:rFonts w:asciiTheme="minorHAnsi" w:eastAsia="Calibri" w:hAnsiTheme="minorHAnsi" w:cs="Times New Roman"/>
        </w:rPr>
        <w:t xml:space="preserve"> on the basis </w:t>
      </w:r>
      <w:r w:rsidR="006C0A1B">
        <w:rPr>
          <w:rFonts w:asciiTheme="minorHAnsi" w:eastAsia="Calibri" w:hAnsiTheme="minorHAnsi" w:cs="Times New Roman"/>
        </w:rPr>
        <w:t xml:space="preserve">that </w:t>
      </w:r>
      <w:r>
        <w:rPr>
          <w:rFonts w:asciiTheme="minorHAnsi" w:eastAsia="Calibri" w:hAnsiTheme="minorHAnsi" w:cs="Times New Roman"/>
        </w:rPr>
        <w:t>this</w:t>
      </w:r>
      <w:r w:rsidRPr="00364CBF">
        <w:rPr>
          <w:rFonts w:asciiTheme="minorHAnsi" w:eastAsia="Calibri" w:hAnsiTheme="minorHAnsi" w:cs="Times New Roman"/>
        </w:rPr>
        <w:t xml:space="preserve"> is likely to encourage innovation and the development of new products. </w:t>
      </w:r>
    </w:p>
    <w:p w14:paraId="0B2EDBAB" w14:textId="07C64345" w:rsidR="00847FA5" w:rsidRDefault="00847FA5" w:rsidP="00847FA5">
      <w:pPr>
        <w:rPr>
          <w:rFonts w:asciiTheme="minorHAnsi" w:eastAsia="Calibri" w:hAnsiTheme="minorHAnsi" w:cs="Times New Roman"/>
        </w:rPr>
      </w:pPr>
      <w:r w:rsidRPr="00362452">
        <w:rPr>
          <w:rFonts w:asciiTheme="minorHAnsi" w:eastAsia="Calibri" w:hAnsiTheme="minorHAnsi" w:cs="Times New Roman"/>
        </w:rPr>
        <w:t>Exposure draft amendments to the Rules which make operational enhancements were released for consultation on the Treasury website on 15 September 2022. These draft amendments propose changes to introduce the concept of trial products in the banking sector. This change, if made, would allow eligible data holders to test their offerings without being subject to CDR data sharing obligations.</w:t>
      </w:r>
      <w:r>
        <w:rPr>
          <w:rFonts w:asciiTheme="minorHAnsi" w:eastAsia="Calibri" w:hAnsiTheme="minorHAnsi" w:cs="Times New Roman"/>
        </w:rPr>
        <w:t xml:space="preserve"> The explanatory material published </w:t>
      </w:r>
      <w:r>
        <w:rPr>
          <w:rFonts w:asciiTheme="minorHAnsi" w:eastAsia="Calibri" w:hAnsiTheme="minorHAnsi" w:cs="Times New Roman"/>
        </w:rPr>
        <w:lastRenderedPageBreak/>
        <w:t xml:space="preserve">with the exposure draft amendments sought stakeholder feedback in relation to extending the proposal to the energy and telecommunications sectors.   </w:t>
      </w:r>
    </w:p>
    <w:p w14:paraId="74F10EF8" w14:textId="55A0D559" w:rsidR="00235296" w:rsidRDefault="00235296" w:rsidP="00235296">
      <w:pPr>
        <w:rPr>
          <w:rFonts w:asciiTheme="minorHAnsi" w:eastAsia="Calibri" w:hAnsiTheme="minorHAnsi" w:cs="Times New Roman"/>
        </w:rPr>
      </w:pPr>
      <w:r w:rsidRPr="00364CBF">
        <w:rPr>
          <w:rFonts w:asciiTheme="minorHAnsi" w:eastAsia="Calibri" w:hAnsiTheme="minorHAnsi" w:cs="Times New Roman"/>
        </w:rPr>
        <w:t xml:space="preserve">A short-term trial enables an organisation to understand how a large-scale offering might work in practice. </w:t>
      </w:r>
      <w:r w:rsidR="0027784C">
        <w:rPr>
          <w:rFonts w:asciiTheme="minorHAnsi" w:eastAsia="Calibri" w:hAnsiTheme="minorHAnsi" w:cs="Times New Roman"/>
        </w:rPr>
        <w:t>Trials or p</w:t>
      </w:r>
      <w:r w:rsidRPr="00364CBF">
        <w:rPr>
          <w:rFonts w:asciiTheme="minorHAnsi" w:eastAsia="Calibri" w:hAnsiTheme="minorHAnsi" w:cs="Times New Roman"/>
        </w:rPr>
        <w:t xml:space="preserve">ilot programs are regularly used in the banking and non-banking industries to test the viability and scalability of a new product, particularly a product offered on a new platform. </w:t>
      </w:r>
    </w:p>
    <w:p w14:paraId="5ED841DE" w14:textId="52A86AFE" w:rsidR="00235296" w:rsidRPr="00364CBF" w:rsidDel="00A023E0" w:rsidRDefault="00235296" w:rsidP="00235296">
      <w:pPr>
        <w:rPr>
          <w:rFonts w:asciiTheme="minorHAnsi" w:eastAsia="Calibri" w:hAnsiTheme="minorHAnsi" w:cs="Times New Roman"/>
        </w:rPr>
      </w:pPr>
      <w:r w:rsidDel="00A023E0">
        <w:rPr>
          <w:rFonts w:asciiTheme="minorHAnsi" w:eastAsia="Calibri" w:hAnsiTheme="minorHAnsi" w:cs="Times New Roman"/>
        </w:rPr>
        <w:t xml:space="preserve">The proposed </w:t>
      </w:r>
      <w:r w:rsidR="00525B64">
        <w:rPr>
          <w:rFonts w:asciiTheme="minorHAnsi" w:eastAsia="Calibri" w:hAnsiTheme="minorHAnsi" w:cs="Times New Roman"/>
        </w:rPr>
        <w:t xml:space="preserve">change to the Rules </w:t>
      </w:r>
      <w:r w:rsidDel="00A023E0">
        <w:rPr>
          <w:rFonts w:asciiTheme="minorHAnsi" w:eastAsia="Calibri" w:hAnsiTheme="minorHAnsi" w:cs="Times New Roman"/>
        </w:rPr>
        <w:t xml:space="preserve">would exempt </w:t>
      </w:r>
      <w:r w:rsidR="00847FA5">
        <w:rPr>
          <w:rFonts w:asciiTheme="minorHAnsi" w:eastAsia="Calibri" w:hAnsiTheme="minorHAnsi" w:cs="Times New Roman"/>
        </w:rPr>
        <w:t>eligible data holders</w:t>
      </w:r>
      <w:r w:rsidRPr="00364CBF">
        <w:rPr>
          <w:rFonts w:asciiTheme="minorHAnsi" w:eastAsia="Calibri" w:hAnsiTheme="minorHAnsi" w:cs="Times New Roman"/>
        </w:rPr>
        <w:t xml:space="preserve"> </w:t>
      </w:r>
      <w:r w:rsidR="00847FA5">
        <w:rPr>
          <w:rFonts w:asciiTheme="minorHAnsi" w:eastAsia="Calibri" w:hAnsiTheme="minorHAnsi" w:cs="Times New Roman"/>
        </w:rPr>
        <w:t>from data sharing obligations</w:t>
      </w:r>
      <w:r w:rsidRPr="00364CBF" w:rsidDel="00A023E0">
        <w:rPr>
          <w:rFonts w:asciiTheme="minorHAnsi" w:eastAsia="Calibri" w:hAnsiTheme="minorHAnsi" w:cs="Times New Roman"/>
        </w:rPr>
        <w:t xml:space="preserve"> where the trial:</w:t>
      </w:r>
    </w:p>
    <w:p w14:paraId="2963D291" w14:textId="08C5F901" w:rsidR="00235296" w:rsidRPr="007014F8" w:rsidDel="00A023E0" w:rsidRDefault="00235296" w:rsidP="00235296">
      <w:pPr>
        <w:pStyle w:val="Bulletpoint"/>
      </w:pPr>
      <w:r w:rsidRPr="007014F8" w:rsidDel="00A023E0">
        <w:t>covers the development of a new in-scope CDR product</w:t>
      </w:r>
      <w:r w:rsidR="006C0A1B" w:rsidDel="00A023E0">
        <w:t>;</w:t>
      </w:r>
      <w:r w:rsidRPr="007014F8" w:rsidDel="00A023E0">
        <w:t xml:space="preserve"> and</w:t>
      </w:r>
    </w:p>
    <w:p w14:paraId="7591D43F" w14:textId="35E0092C" w:rsidR="00235296" w:rsidRPr="007014F8" w:rsidDel="00A023E0" w:rsidRDefault="00235296" w:rsidP="00235296">
      <w:pPr>
        <w:pStyle w:val="Bulletpoint"/>
      </w:pPr>
      <w:r w:rsidRPr="007014F8" w:rsidDel="00A023E0">
        <w:t xml:space="preserve">involves no more than 1,000 </w:t>
      </w:r>
      <w:proofErr w:type="gramStart"/>
      <w:r w:rsidRPr="007014F8" w:rsidDel="00A023E0">
        <w:t>customers</w:t>
      </w:r>
      <w:r w:rsidR="006C0A1B" w:rsidDel="00A023E0">
        <w:t>;</w:t>
      </w:r>
      <w:proofErr w:type="gramEnd"/>
      <w:r w:rsidRPr="007014F8" w:rsidDel="00A023E0">
        <w:t xml:space="preserve"> and </w:t>
      </w:r>
    </w:p>
    <w:p w14:paraId="76E52713" w14:textId="2CBE8C07" w:rsidR="00B1019F" w:rsidRDefault="00235296" w:rsidP="005E2864">
      <w:pPr>
        <w:pStyle w:val="Bulletpoint"/>
        <w:rPr>
          <w:rFonts w:eastAsia="Calibri"/>
        </w:rPr>
      </w:pPr>
      <w:r w:rsidRPr="007014F8" w:rsidDel="00A023E0">
        <w:t>ends no more than 6 months after the initial offering.</w:t>
      </w:r>
    </w:p>
    <w:p w14:paraId="4963B110" w14:textId="51B70FC7" w:rsidR="00235296" w:rsidRPr="00E162F8" w:rsidRDefault="00235296" w:rsidP="005E2864">
      <w:pPr>
        <w:pStyle w:val="Heading4"/>
        <w:rPr>
          <w:rFonts w:asciiTheme="minorHAnsi" w:eastAsia="Calibri" w:hAnsiTheme="minorHAnsi" w:cs="Times New Roman"/>
        </w:rPr>
      </w:pPr>
      <w:r w:rsidRPr="00E162F8">
        <w:rPr>
          <w:rFonts w:eastAsia="Calibri"/>
        </w:rPr>
        <w:t>P</w:t>
      </w:r>
      <w:r w:rsidRPr="00E162F8">
        <w:rPr>
          <w:rFonts w:asciiTheme="minorHAnsi" w:eastAsia="Calibri" w:hAnsiTheme="minorHAnsi" w:cs="Times New Roman"/>
        </w:rPr>
        <w:t>roposed approach</w:t>
      </w:r>
    </w:p>
    <w:p w14:paraId="0E1C45C6" w14:textId="344F5EE4" w:rsidR="00235296" w:rsidRDefault="00235296" w:rsidP="00235296">
      <w:pPr>
        <w:rPr>
          <w:rFonts w:asciiTheme="minorHAnsi" w:eastAsia="Calibri" w:hAnsiTheme="minorHAnsi"/>
        </w:rPr>
      </w:pPr>
      <w:r>
        <w:rPr>
          <w:rFonts w:asciiTheme="minorHAnsi" w:eastAsia="Calibri" w:hAnsiTheme="minorHAnsi"/>
        </w:rPr>
        <w:t xml:space="preserve">Subject to the finalisation of the </w:t>
      </w:r>
      <w:r w:rsidR="00A023E0">
        <w:rPr>
          <w:rFonts w:asciiTheme="minorHAnsi" w:eastAsia="Calibri" w:hAnsiTheme="minorHAnsi"/>
        </w:rPr>
        <w:t>concept of the trial product</w:t>
      </w:r>
      <w:r>
        <w:rPr>
          <w:rFonts w:asciiTheme="minorHAnsi" w:eastAsia="Calibri" w:hAnsiTheme="minorHAnsi"/>
        </w:rPr>
        <w:t xml:space="preserve"> as part of the </w:t>
      </w:r>
      <w:r w:rsidR="00847FA5">
        <w:rPr>
          <w:rFonts w:asciiTheme="minorHAnsi" w:eastAsia="Calibri" w:hAnsiTheme="minorHAnsi"/>
        </w:rPr>
        <w:t>operational enhancements amendments</w:t>
      </w:r>
      <w:r>
        <w:rPr>
          <w:rFonts w:asciiTheme="minorHAnsi" w:eastAsia="Calibri" w:hAnsiTheme="minorHAnsi"/>
        </w:rPr>
        <w:t>, Treasury proposes to apply th</w:t>
      </w:r>
      <w:r w:rsidR="00525B64">
        <w:rPr>
          <w:rFonts w:asciiTheme="minorHAnsi" w:eastAsia="Calibri" w:hAnsiTheme="minorHAnsi"/>
        </w:rPr>
        <w:t xml:space="preserve">is </w:t>
      </w:r>
      <w:r>
        <w:rPr>
          <w:rFonts w:asciiTheme="minorHAnsi" w:eastAsia="Calibri" w:hAnsiTheme="minorHAnsi"/>
        </w:rPr>
        <w:t>exemption to non-bank lending.</w:t>
      </w:r>
    </w:p>
    <w:p w14:paraId="31B27828" w14:textId="77777777" w:rsidR="00F37D8A" w:rsidRPr="0059124D" w:rsidRDefault="00F37D8A" w:rsidP="00F37D8A">
      <w:pPr>
        <w:pBdr>
          <w:top w:val="single" w:sz="4" w:space="1" w:color="auto"/>
          <w:left w:val="single" w:sz="4" w:space="4" w:color="auto"/>
          <w:bottom w:val="single" w:sz="4" w:space="1" w:color="auto"/>
          <w:right w:val="single" w:sz="4" w:space="4" w:color="auto"/>
        </w:pBdr>
        <w:rPr>
          <w:rFonts w:asciiTheme="minorHAnsi" w:eastAsia="Calibri" w:hAnsiTheme="minorHAnsi" w:cs="Times New Roman"/>
          <w:b/>
          <w:bCs/>
        </w:rPr>
      </w:pPr>
      <w:r w:rsidRPr="0059124D">
        <w:rPr>
          <w:rFonts w:asciiTheme="minorHAnsi" w:eastAsia="Calibri" w:hAnsiTheme="minorHAnsi" w:cs="Times New Roman"/>
          <w:b/>
          <w:bCs/>
        </w:rPr>
        <w:t>Consultation question</w:t>
      </w:r>
    </w:p>
    <w:p w14:paraId="26B86402" w14:textId="6AAEADBE" w:rsidR="00F37D8A" w:rsidRDefault="00F37D8A" w:rsidP="00F37D8A">
      <w:pPr>
        <w:pStyle w:val="ListParagraph"/>
        <w:numPr>
          <w:ilvl w:val="0"/>
          <w:numId w:val="31"/>
        </w:numPr>
        <w:pBdr>
          <w:top w:val="single" w:sz="4" w:space="1" w:color="auto"/>
          <w:left w:val="single" w:sz="4" w:space="4" w:color="auto"/>
          <w:bottom w:val="single" w:sz="4" w:space="1" w:color="auto"/>
          <w:right w:val="single" w:sz="4" w:space="4" w:color="auto"/>
        </w:pBdr>
      </w:pPr>
      <w:r>
        <w:t xml:space="preserve">Is the </w:t>
      </w:r>
      <w:r w:rsidR="009D106D">
        <w:t>proposed trial period</w:t>
      </w:r>
      <w:r>
        <w:t xml:space="preserve"> appropriate for the non-bank lending sector?</w:t>
      </w:r>
    </w:p>
    <w:p w14:paraId="17F85FBC" w14:textId="4CD2490A" w:rsidR="009255A0" w:rsidRPr="00F816D2" w:rsidRDefault="009255A0" w:rsidP="005E2864">
      <w:pPr>
        <w:pStyle w:val="Heading3"/>
      </w:pPr>
      <w:bookmarkStart w:id="24" w:name="_Toc120881032"/>
      <w:r w:rsidRPr="009255A0">
        <w:rPr>
          <w:rFonts w:eastAsia="Calibri"/>
        </w:rPr>
        <w:t xml:space="preserve">What is required data </w:t>
      </w:r>
      <w:r w:rsidRPr="00F816D2">
        <w:t>sharing?</w:t>
      </w:r>
      <w:bookmarkEnd w:id="24"/>
    </w:p>
    <w:p w14:paraId="5391C88B" w14:textId="21B08179" w:rsidR="00513917" w:rsidRPr="00364CBF" w:rsidRDefault="00513917" w:rsidP="00513917">
      <w:pPr>
        <w:rPr>
          <w:rFonts w:asciiTheme="minorHAnsi" w:eastAsia="Calibri" w:hAnsiTheme="minorHAnsi" w:cs="Times New Roman"/>
        </w:rPr>
      </w:pPr>
      <w:r w:rsidRPr="00364CBF">
        <w:rPr>
          <w:rFonts w:asciiTheme="minorHAnsi" w:eastAsia="Calibri" w:hAnsiTheme="minorHAnsi" w:cs="Times New Roman"/>
        </w:rPr>
        <w:t xml:space="preserve">The </w:t>
      </w:r>
      <w:r w:rsidR="00525B64">
        <w:rPr>
          <w:rFonts w:asciiTheme="minorHAnsi" w:eastAsia="Calibri" w:hAnsiTheme="minorHAnsi" w:cs="Times New Roman"/>
        </w:rPr>
        <w:t>D</w:t>
      </w:r>
      <w:r w:rsidRPr="00364CBF">
        <w:rPr>
          <w:rFonts w:asciiTheme="minorHAnsi" w:eastAsia="Calibri" w:hAnsiTheme="minorHAnsi" w:cs="Times New Roman"/>
        </w:rPr>
        <w:t xml:space="preserve">esignation </w:t>
      </w:r>
      <w:r w:rsidR="00525B64">
        <w:rPr>
          <w:rFonts w:asciiTheme="minorHAnsi" w:eastAsia="Calibri" w:hAnsiTheme="minorHAnsi" w:cs="Times New Roman"/>
        </w:rPr>
        <w:t>I</w:t>
      </w:r>
      <w:r w:rsidRPr="00364CBF">
        <w:rPr>
          <w:rFonts w:asciiTheme="minorHAnsi" w:eastAsia="Calibri" w:hAnsiTheme="minorHAnsi" w:cs="Times New Roman"/>
        </w:rPr>
        <w:t>nstrument designated three broad classes of information:</w:t>
      </w:r>
    </w:p>
    <w:p w14:paraId="1AC76061" w14:textId="77777777" w:rsidR="00513917" w:rsidRPr="00364CBF" w:rsidRDefault="00513917" w:rsidP="00513917">
      <w:pPr>
        <w:pStyle w:val="Bulletpoint"/>
      </w:pPr>
      <w:r w:rsidRPr="00364CBF">
        <w:t>generic and publicly available information about non-bank lending products</w:t>
      </w:r>
    </w:p>
    <w:p w14:paraId="6DC92195" w14:textId="2FF387FF" w:rsidR="00513917" w:rsidRPr="00364CBF" w:rsidRDefault="00513917" w:rsidP="00513917">
      <w:pPr>
        <w:pStyle w:val="Bulletpoint"/>
      </w:pPr>
      <w:r w:rsidRPr="00364CBF">
        <w:t xml:space="preserve">information about a CDR </w:t>
      </w:r>
      <w:r>
        <w:t>consumer</w:t>
      </w:r>
      <w:r w:rsidRPr="00364CBF">
        <w:t xml:space="preserve"> </w:t>
      </w:r>
    </w:p>
    <w:p w14:paraId="581A41BF" w14:textId="532BFEB9" w:rsidR="00513917" w:rsidRPr="00364CBF" w:rsidRDefault="00513917" w:rsidP="00513917">
      <w:pPr>
        <w:pStyle w:val="Bulletpoint"/>
      </w:pPr>
      <w:r w:rsidRPr="00364CBF">
        <w:t>information about the use of a non-bank lending product</w:t>
      </w:r>
      <w:r w:rsidR="006C0A1B">
        <w:t>.</w:t>
      </w:r>
    </w:p>
    <w:p w14:paraId="2EC2003A" w14:textId="26944D9F" w:rsidR="00513917" w:rsidRDefault="00513917" w:rsidP="00513917">
      <w:pPr>
        <w:rPr>
          <w:rFonts w:asciiTheme="minorHAnsi" w:eastAsia="Calibri" w:hAnsiTheme="minorHAnsi" w:cs="Times New Roman"/>
        </w:rPr>
      </w:pPr>
      <w:r w:rsidRPr="00364CBF">
        <w:rPr>
          <w:rFonts w:asciiTheme="minorHAnsi" w:eastAsia="Calibri" w:hAnsiTheme="minorHAnsi" w:cs="Times New Roman"/>
        </w:rPr>
        <w:t xml:space="preserve">The </w:t>
      </w:r>
      <w:r w:rsidR="00D661CA">
        <w:rPr>
          <w:rFonts w:asciiTheme="minorHAnsi" w:eastAsia="Calibri" w:hAnsiTheme="minorHAnsi" w:cs="Times New Roman"/>
        </w:rPr>
        <w:t>R</w:t>
      </w:r>
      <w:r w:rsidRPr="00364CBF">
        <w:rPr>
          <w:rFonts w:asciiTheme="minorHAnsi" w:eastAsia="Calibri" w:hAnsiTheme="minorHAnsi" w:cs="Times New Roman"/>
        </w:rPr>
        <w:t>ules specify which</w:t>
      </w:r>
      <w:r>
        <w:rPr>
          <w:rFonts w:asciiTheme="minorHAnsi" w:eastAsia="Calibri" w:hAnsiTheme="minorHAnsi" w:cs="Times New Roman"/>
        </w:rPr>
        <w:t xml:space="preserve"> data</w:t>
      </w:r>
      <w:r w:rsidR="00525B64">
        <w:rPr>
          <w:rFonts w:asciiTheme="minorHAnsi" w:eastAsia="Calibri" w:hAnsiTheme="minorHAnsi" w:cs="Times New Roman"/>
        </w:rPr>
        <w:t xml:space="preserve"> </w:t>
      </w:r>
      <w:r>
        <w:rPr>
          <w:rFonts w:asciiTheme="minorHAnsi" w:eastAsia="Calibri" w:hAnsiTheme="minorHAnsi" w:cs="Times New Roman"/>
        </w:rPr>
        <w:t xml:space="preserve">sets are </w:t>
      </w:r>
      <w:r w:rsidR="00525B64">
        <w:rPr>
          <w:rFonts w:asciiTheme="minorHAnsi" w:eastAsia="Calibri" w:hAnsiTheme="minorHAnsi" w:cs="Times New Roman"/>
        </w:rPr>
        <w:t>“</w:t>
      </w:r>
      <w:r>
        <w:rPr>
          <w:rFonts w:asciiTheme="minorHAnsi" w:eastAsia="Calibri" w:hAnsiTheme="minorHAnsi" w:cs="Times New Roman"/>
        </w:rPr>
        <w:t>required</w:t>
      </w:r>
      <w:r w:rsidR="00525B64">
        <w:rPr>
          <w:rFonts w:asciiTheme="minorHAnsi" w:eastAsia="Calibri" w:hAnsiTheme="minorHAnsi" w:cs="Times New Roman"/>
        </w:rPr>
        <w:t>”</w:t>
      </w:r>
      <w:r>
        <w:rPr>
          <w:rFonts w:asciiTheme="minorHAnsi" w:eastAsia="Calibri" w:hAnsiTheme="minorHAnsi" w:cs="Times New Roman"/>
        </w:rPr>
        <w:t xml:space="preserve"> and which data</w:t>
      </w:r>
      <w:r w:rsidR="00525B64">
        <w:rPr>
          <w:rFonts w:asciiTheme="minorHAnsi" w:eastAsia="Calibri" w:hAnsiTheme="minorHAnsi" w:cs="Times New Roman"/>
        </w:rPr>
        <w:t xml:space="preserve"> </w:t>
      </w:r>
      <w:r>
        <w:rPr>
          <w:rFonts w:asciiTheme="minorHAnsi" w:eastAsia="Calibri" w:hAnsiTheme="minorHAnsi" w:cs="Times New Roman"/>
        </w:rPr>
        <w:t xml:space="preserve">sets are </w:t>
      </w:r>
      <w:r w:rsidR="00525B64">
        <w:rPr>
          <w:rFonts w:asciiTheme="minorHAnsi" w:eastAsia="Calibri" w:hAnsiTheme="minorHAnsi" w:cs="Times New Roman"/>
        </w:rPr>
        <w:t>“</w:t>
      </w:r>
      <w:r>
        <w:rPr>
          <w:rFonts w:asciiTheme="minorHAnsi" w:eastAsia="Calibri" w:hAnsiTheme="minorHAnsi" w:cs="Times New Roman"/>
        </w:rPr>
        <w:t>voluntary</w:t>
      </w:r>
      <w:r w:rsidR="00525B64">
        <w:rPr>
          <w:rFonts w:asciiTheme="minorHAnsi" w:eastAsia="Calibri" w:hAnsiTheme="minorHAnsi" w:cs="Times New Roman"/>
        </w:rPr>
        <w:t>”</w:t>
      </w:r>
      <w:r>
        <w:rPr>
          <w:rFonts w:asciiTheme="minorHAnsi" w:eastAsia="Calibri" w:hAnsiTheme="minorHAnsi" w:cs="Times New Roman"/>
        </w:rPr>
        <w:t xml:space="preserve">. Data holders </w:t>
      </w:r>
      <w:r w:rsidR="00FD03F8">
        <w:rPr>
          <w:rFonts w:asciiTheme="minorHAnsi" w:eastAsia="Calibri" w:hAnsiTheme="minorHAnsi" w:cs="Times New Roman"/>
        </w:rPr>
        <w:t>(</w:t>
      </w:r>
      <w:r w:rsidR="00FD03F8" w:rsidRPr="00686FB1">
        <w:t xml:space="preserve">entities that are specified in </w:t>
      </w:r>
      <w:r w:rsidR="00FD03F8">
        <w:t>a</w:t>
      </w:r>
      <w:r w:rsidR="00FD03F8" w:rsidRPr="00686FB1">
        <w:t xml:space="preserve"> designation instrument as holding data included in the designation instrument</w:t>
      </w:r>
      <w:r w:rsidR="00FD03F8">
        <w:t>)</w:t>
      </w:r>
      <w:r>
        <w:rPr>
          <w:rFonts w:asciiTheme="minorHAnsi" w:eastAsia="Calibri" w:hAnsiTheme="minorHAnsi" w:cs="Times New Roman"/>
        </w:rPr>
        <w:t xml:space="preserve"> must share </w:t>
      </w:r>
      <w:r w:rsidR="00525B64">
        <w:rPr>
          <w:rFonts w:asciiTheme="minorHAnsi" w:eastAsia="Calibri" w:hAnsiTheme="minorHAnsi" w:cs="Times New Roman"/>
        </w:rPr>
        <w:t>“</w:t>
      </w:r>
      <w:r>
        <w:rPr>
          <w:rFonts w:asciiTheme="minorHAnsi" w:eastAsia="Calibri" w:hAnsiTheme="minorHAnsi" w:cs="Times New Roman"/>
        </w:rPr>
        <w:t>required</w:t>
      </w:r>
      <w:r w:rsidR="00525B64">
        <w:rPr>
          <w:rFonts w:asciiTheme="minorHAnsi" w:eastAsia="Calibri" w:hAnsiTheme="minorHAnsi" w:cs="Times New Roman"/>
        </w:rPr>
        <w:t>”</w:t>
      </w:r>
      <w:r>
        <w:rPr>
          <w:rFonts w:asciiTheme="minorHAnsi" w:eastAsia="Calibri" w:hAnsiTheme="minorHAnsi" w:cs="Times New Roman"/>
        </w:rPr>
        <w:t xml:space="preserve"> data in response to a valid product or consumer data request. Data holders may choose to make available voluntary data</w:t>
      </w:r>
      <w:r w:rsidDel="006C0A1B">
        <w:rPr>
          <w:rFonts w:asciiTheme="minorHAnsi" w:eastAsia="Calibri" w:hAnsiTheme="minorHAnsi" w:cs="Times New Roman"/>
        </w:rPr>
        <w:t>sets</w:t>
      </w:r>
      <w:r w:rsidR="006C0A1B">
        <w:rPr>
          <w:rFonts w:asciiTheme="minorHAnsi" w:eastAsia="Calibri" w:hAnsiTheme="minorHAnsi" w:cs="Times New Roman"/>
        </w:rPr>
        <w:t>;</w:t>
      </w:r>
      <w:r>
        <w:rPr>
          <w:rFonts w:asciiTheme="minorHAnsi" w:eastAsia="Calibri" w:hAnsiTheme="minorHAnsi" w:cs="Times New Roman"/>
        </w:rPr>
        <w:t xml:space="preserve"> however</w:t>
      </w:r>
      <w:r w:rsidR="00525B64">
        <w:rPr>
          <w:rFonts w:asciiTheme="minorHAnsi" w:eastAsia="Calibri" w:hAnsiTheme="minorHAnsi" w:cs="Times New Roman"/>
        </w:rPr>
        <w:t>,</w:t>
      </w:r>
      <w:r>
        <w:rPr>
          <w:rFonts w:asciiTheme="minorHAnsi" w:eastAsia="Calibri" w:hAnsiTheme="minorHAnsi" w:cs="Times New Roman"/>
        </w:rPr>
        <w:t xml:space="preserve"> consumer data can only be shared in response to a valid data request. </w:t>
      </w:r>
    </w:p>
    <w:p w14:paraId="1247528D" w14:textId="24DF0CE0" w:rsidR="00513917" w:rsidRDefault="00513917" w:rsidP="00513917">
      <w:pPr>
        <w:rPr>
          <w:rFonts w:asciiTheme="minorHAnsi" w:eastAsia="Calibri" w:hAnsiTheme="minorHAnsi" w:cs="Times New Roman"/>
        </w:rPr>
      </w:pPr>
      <w:r w:rsidRPr="00364CBF">
        <w:rPr>
          <w:rFonts w:asciiTheme="minorHAnsi" w:eastAsia="Calibri" w:hAnsiTheme="minorHAnsi" w:cs="Times New Roman"/>
        </w:rPr>
        <w:t xml:space="preserve"> </w:t>
      </w:r>
      <w:r>
        <w:rPr>
          <w:rFonts w:asciiTheme="minorHAnsi" w:eastAsia="Calibri" w:hAnsiTheme="minorHAnsi" w:cs="Times New Roman"/>
        </w:rPr>
        <w:t xml:space="preserve">In banking, there are three general types of </w:t>
      </w:r>
      <w:r w:rsidRPr="00364CBF">
        <w:rPr>
          <w:rFonts w:asciiTheme="minorHAnsi" w:eastAsia="Calibri" w:hAnsiTheme="minorHAnsi" w:cs="Times New Roman"/>
        </w:rPr>
        <w:t>CDR data</w:t>
      </w:r>
      <w:r>
        <w:rPr>
          <w:rFonts w:asciiTheme="minorHAnsi" w:eastAsia="Calibri" w:hAnsiTheme="minorHAnsi" w:cs="Times New Roman"/>
        </w:rPr>
        <w:t>:</w:t>
      </w:r>
      <w:r w:rsidRPr="00364CBF">
        <w:rPr>
          <w:rFonts w:asciiTheme="minorHAnsi" w:eastAsia="Calibri" w:hAnsiTheme="minorHAnsi" w:cs="Times New Roman"/>
        </w:rPr>
        <w:t xml:space="preserve">  </w:t>
      </w:r>
    </w:p>
    <w:p w14:paraId="55369FD2" w14:textId="5982AA58" w:rsidR="00513917" w:rsidRDefault="00FE7031" w:rsidP="00513917">
      <w:pPr>
        <w:pStyle w:val="Bulletpoint"/>
        <w:ind w:left="340" w:hanging="340"/>
      </w:pPr>
      <w:r>
        <w:t>“</w:t>
      </w:r>
      <w:proofErr w:type="gramStart"/>
      <w:r w:rsidR="00513917" w:rsidRPr="00364CBF">
        <w:t>required</w:t>
      </w:r>
      <w:proofErr w:type="gramEnd"/>
      <w:r w:rsidR="00513917" w:rsidRPr="00364CBF">
        <w:t xml:space="preserve"> consumer data</w:t>
      </w:r>
      <w:r>
        <w:t>”</w:t>
      </w:r>
      <w:r w:rsidR="00513917" w:rsidRPr="00364CBF">
        <w:t xml:space="preserve"> </w:t>
      </w:r>
      <w:r w:rsidR="00513917">
        <w:t>– CDR data</w:t>
      </w:r>
      <w:r w:rsidR="00513917" w:rsidRPr="00364CBF">
        <w:t xml:space="preserve"> relat</w:t>
      </w:r>
      <w:r w:rsidR="00513917">
        <w:t>ing</w:t>
      </w:r>
      <w:r w:rsidR="00513917" w:rsidRPr="00364CBF">
        <w:t xml:space="preserve"> to a particular consumer </w:t>
      </w:r>
    </w:p>
    <w:p w14:paraId="2B9E28C3" w14:textId="3146DC82" w:rsidR="00513917" w:rsidRDefault="00FE7031" w:rsidP="00513917">
      <w:pPr>
        <w:pStyle w:val="Bulletpoint"/>
        <w:ind w:left="340" w:hanging="340"/>
      </w:pPr>
      <w:r>
        <w:t>“</w:t>
      </w:r>
      <w:proofErr w:type="gramStart"/>
      <w:r w:rsidR="00513917" w:rsidRPr="00364CBF">
        <w:t>required</w:t>
      </w:r>
      <w:proofErr w:type="gramEnd"/>
      <w:r w:rsidR="00513917" w:rsidRPr="00364CBF">
        <w:t xml:space="preserve"> product data</w:t>
      </w:r>
      <w:r>
        <w:t>”</w:t>
      </w:r>
      <w:r w:rsidR="00513917" w:rsidRPr="00364CBF">
        <w:t xml:space="preserve"> </w:t>
      </w:r>
      <w:r w:rsidR="00513917">
        <w:t xml:space="preserve">– </w:t>
      </w:r>
      <w:r w:rsidR="00513917" w:rsidRPr="00364CBF">
        <w:t>CDR</w:t>
      </w:r>
      <w:r w:rsidR="00513917">
        <w:t xml:space="preserve"> </w:t>
      </w:r>
      <w:r w:rsidR="00513917" w:rsidRPr="00364CBF">
        <w:t>data that does not relate to any identifiable c</w:t>
      </w:r>
      <w:r w:rsidR="006F704E">
        <w:t>onsumer</w:t>
      </w:r>
    </w:p>
    <w:p w14:paraId="6D8E82C6" w14:textId="07E2F521" w:rsidR="00513917" w:rsidRPr="00364CBF" w:rsidRDefault="00C0207C" w:rsidP="00513917">
      <w:pPr>
        <w:pStyle w:val="Bulletpoint"/>
        <w:ind w:left="340" w:hanging="340"/>
        <w:rPr>
          <w:rFonts w:asciiTheme="minorHAnsi" w:eastAsia="Calibri" w:hAnsiTheme="minorHAnsi"/>
        </w:rPr>
      </w:pPr>
      <w:r>
        <w:rPr>
          <w:rFonts w:eastAsia="Calibri"/>
        </w:rPr>
        <w:t>“</w:t>
      </w:r>
      <w:r w:rsidR="00513917">
        <w:rPr>
          <w:rFonts w:eastAsia="Calibri"/>
        </w:rPr>
        <w:t>v</w:t>
      </w:r>
      <w:r w:rsidR="00513917" w:rsidRPr="009F75C8">
        <w:t>oluntary</w:t>
      </w:r>
      <w:r>
        <w:t>”</w:t>
      </w:r>
      <w:r w:rsidR="00513917">
        <w:rPr>
          <w:rFonts w:asciiTheme="minorHAnsi" w:eastAsia="Calibri" w:hAnsiTheme="minorHAnsi"/>
        </w:rPr>
        <w:t xml:space="preserve"> </w:t>
      </w:r>
      <w:r w:rsidR="00FE7031">
        <w:rPr>
          <w:rFonts w:asciiTheme="minorHAnsi" w:eastAsia="Calibri" w:hAnsiTheme="minorHAnsi"/>
        </w:rPr>
        <w:t xml:space="preserve">consumer or product </w:t>
      </w:r>
      <w:r w:rsidR="00513917">
        <w:rPr>
          <w:rFonts w:asciiTheme="minorHAnsi" w:eastAsia="Calibri" w:hAnsiTheme="minorHAnsi"/>
        </w:rPr>
        <w:t xml:space="preserve">data - CDR data that is not required product or consumer data. </w:t>
      </w:r>
    </w:p>
    <w:p w14:paraId="07128273" w14:textId="30131757" w:rsidR="00513917" w:rsidRPr="00364CBF" w:rsidRDefault="00513917" w:rsidP="00513917">
      <w:pPr>
        <w:rPr>
          <w:rFonts w:asciiTheme="minorHAnsi" w:eastAsia="Calibri" w:hAnsiTheme="minorHAnsi" w:cs="Times New Roman"/>
        </w:rPr>
      </w:pPr>
      <w:r w:rsidRPr="00364CBF">
        <w:rPr>
          <w:rFonts w:asciiTheme="minorHAnsi" w:eastAsia="Calibri" w:hAnsiTheme="minorHAnsi" w:cs="Times New Roman"/>
        </w:rPr>
        <w:t xml:space="preserve">Treasury intends the required data </w:t>
      </w:r>
      <w:r w:rsidR="00F65B30">
        <w:rPr>
          <w:rFonts w:asciiTheme="minorHAnsi" w:eastAsia="Calibri" w:hAnsiTheme="minorHAnsi" w:cs="Times New Roman"/>
        </w:rPr>
        <w:t>in</w:t>
      </w:r>
      <w:r w:rsidRPr="00364CBF">
        <w:rPr>
          <w:rFonts w:asciiTheme="minorHAnsi" w:eastAsia="Calibri" w:hAnsiTheme="minorHAnsi" w:cs="Times New Roman"/>
        </w:rPr>
        <w:t xml:space="preserve"> the non-bank lending sector to </w:t>
      </w:r>
      <w:r w:rsidR="00847FA5">
        <w:rPr>
          <w:rFonts w:asciiTheme="minorHAnsi" w:eastAsia="Calibri" w:hAnsiTheme="minorHAnsi" w:cs="Times New Roman"/>
        </w:rPr>
        <w:t>be the same as</w:t>
      </w:r>
      <w:r w:rsidRPr="00364CBF">
        <w:rPr>
          <w:rFonts w:asciiTheme="minorHAnsi" w:eastAsia="Calibri" w:hAnsiTheme="minorHAnsi" w:cs="Times New Roman"/>
        </w:rPr>
        <w:t xml:space="preserve"> required data in the banking sector, given the similarities of the two sectors</w:t>
      </w:r>
      <w:r w:rsidR="00FE7031">
        <w:rPr>
          <w:rFonts w:asciiTheme="minorHAnsi" w:eastAsia="Calibri" w:hAnsiTheme="minorHAnsi" w:cs="Times New Roman"/>
        </w:rPr>
        <w:t>. This</w:t>
      </w:r>
      <w:r w:rsidR="00F65B30">
        <w:rPr>
          <w:rFonts w:asciiTheme="minorHAnsi" w:eastAsia="Calibri" w:hAnsiTheme="minorHAnsi" w:cs="Times New Roman"/>
        </w:rPr>
        <w:t xml:space="preserve"> is also</w:t>
      </w:r>
      <w:r>
        <w:rPr>
          <w:rFonts w:asciiTheme="minorHAnsi" w:eastAsia="Calibri" w:hAnsiTheme="minorHAnsi" w:cs="Times New Roman"/>
        </w:rPr>
        <w:t xml:space="preserve"> broadly </w:t>
      </w:r>
      <w:r w:rsidR="00F65B30">
        <w:rPr>
          <w:rFonts w:asciiTheme="minorHAnsi" w:eastAsia="Calibri" w:hAnsiTheme="minorHAnsi" w:cs="Times New Roman"/>
        </w:rPr>
        <w:t>consistent</w:t>
      </w:r>
      <w:r>
        <w:rPr>
          <w:rFonts w:asciiTheme="minorHAnsi" w:eastAsia="Calibri" w:hAnsiTheme="minorHAnsi" w:cs="Times New Roman"/>
        </w:rPr>
        <w:t xml:space="preserve"> with the required data in the energy and telecommunications sectors.</w:t>
      </w:r>
      <w:r w:rsidRPr="00364CBF" w:rsidDel="0003460D">
        <w:rPr>
          <w:rFonts w:asciiTheme="minorHAnsi" w:eastAsia="Calibri" w:hAnsiTheme="minorHAnsi" w:cs="Times New Roman"/>
        </w:rPr>
        <w:t xml:space="preserve"> </w:t>
      </w:r>
    </w:p>
    <w:p w14:paraId="3382BF0E" w14:textId="1CC43D0B" w:rsidR="00513917" w:rsidRPr="00CB1C2B" w:rsidRDefault="00513917" w:rsidP="005E2864">
      <w:pPr>
        <w:pStyle w:val="Heading4"/>
      </w:pPr>
      <w:r w:rsidRPr="009255A0">
        <w:t>Proposed</w:t>
      </w:r>
      <w:r w:rsidRPr="00CB1C2B">
        <w:t xml:space="preserve"> approach</w:t>
      </w:r>
    </w:p>
    <w:p w14:paraId="6E2A0704" w14:textId="4544DB31" w:rsidR="00513917" w:rsidRPr="00364CBF" w:rsidRDefault="00940A5E" w:rsidP="00F65B30">
      <w:pPr>
        <w:spacing w:after="200"/>
        <w:rPr>
          <w:rFonts w:asciiTheme="minorHAnsi" w:eastAsia="Calibri" w:hAnsiTheme="minorHAnsi" w:cs="Times New Roman"/>
        </w:rPr>
      </w:pPr>
      <w:r>
        <w:rPr>
          <w:rFonts w:asciiTheme="minorHAnsi" w:eastAsia="Calibri" w:hAnsiTheme="minorHAnsi" w:cs="Times New Roman"/>
        </w:rPr>
        <w:t xml:space="preserve">In line with banking, </w:t>
      </w:r>
      <w:r w:rsidR="00513917" w:rsidRPr="00364CBF">
        <w:rPr>
          <w:rFonts w:asciiTheme="minorHAnsi" w:eastAsia="Calibri" w:hAnsiTheme="minorHAnsi" w:cs="Times New Roman"/>
        </w:rPr>
        <w:t xml:space="preserve">Treasury proposes the following four categories of CDR data will be </w:t>
      </w:r>
      <w:r w:rsidR="00FE7031">
        <w:rPr>
          <w:rFonts w:asciiTheme="minorHAnsi" w:eastAsia="Calibri" w:hAnsiTheme="minorHAnsi" w:cs="Times New Roman"/>
        </w:rPr>
        <w:t>“</w:t>
      </w:r>
      <w:r w:rsidR="00513917" w:rsidRPr="00364CBF">
        <w:rPr>
          <w:rFonts w:asciiTheme="minorHAnsi" w:eastAsia="Calibri" w:hAnsiTheme="minorHAnsi" w:cs="Times New Roman"/>
        </w:rPr>
        <w:t>required product data</w:t>
      </w:r>
      <w:r w:rsidR="00FE7031">
        <w:rPr>
          <w:rFonts w:asciiTheme="minorHAnsi" w:eastAsia="Calibri" w:hAnsiTheme="minorHAnsi" w:cs="Times New Roman"/>
        </w:rPr>
        <w:t>”</w:t>
      </w:r>
      <w:r w:rsidR="00513917" w:rsidRPr="00364CBF">
        <w:rPr>
          <w:rFonts w:asciiTheme="minorHAnsi" w:eastAsia="Calibri" w:hAnsiTheme="minorHAnsi" w:cs="Times New Roman"/>
        </w:rPr>
        <w:t xml:space="preserve"> and </w:t>
      </w:r>
      <w:r w:rsidR="00FE7031">
        <w:rPr>
          <w:rFonts w:asciiTheme="minorHAnsi" w:eastAsia="Calibri" w:hAnsiTheme="minorHAnsi" w:cs="Times New Roman"/>
        </w:rPr>
        <w:t>“</w:t>
      </w:r>
      <w:r w:rsidR="00513917" w:rsidRPr="00364CBF">
        <w:rPr>
          <w:rFonts w:asciiTheme="minorHAnsi" w:eastAsia="Calibri" w:hAnsiTheme="minorHAnsi" w:cs="Times New Roman"/>
        </w:rPr>
        <w:t>required consumer data</w:t>
      </w:r>
      <w:r w:rsidR="00FE7031">
        <w:rPr>
          <w:rFonts w:asciiTheme="minorHAnsi" w:eastAsia="Calibri" w:hAnsiTheme="minorHAnsi" w:cs="Times New Roman"/>
        </w:rPr>
        <w:t>”</w:t>
      </w:r>
      <w:r w:rsidR="00513917" w:rsidRPr="00364CBF">
        <w:rPr>
          <w:rFonts w:asciiTheme="minorHAnsi" w:eastAsia="Calibri" w:hAnsiTheme="minorHAnsi" w:cs="Times New Roman"/>
        </w:rPr>
        <w:t xml:space="preserve">. </w:t>
      </w:r>
    </w:p>
    <w:p w14:paraId="2FCC7740" w14:textId="7D99C8E1" w:rsidR="00513917" w:rsidRPr="009255A0" w:rsidRDefault="000F73BF" w:rsidP="00F65B30">
      <w:pPr>
        <w:pStyle w:val="Bullet"/>
      </w:pPr>
      <w:r>
        <w:lastRenderedPageBreak/>
        <w:t>‘</w:t>
      </w:r>
      <w:r w:rsidR="00513917" w:rsidRPr="009255A0">
        <w:t>Customer data’ in relation to a particular person</w:t>
      </w:r>
    </w:p>
    <w:p w14:paraId="5207977C" w14:textId="481B8B43" w:rsidR="00513917" w:rsidRPr="00364CBF" w:rsidRDefault="00F65B30" w:rsidP="00F65B30">
      <w:pPr>
        <w:ind w:left="520"/>
        <w:rPr>
          <w:rFonts w:asciiTheme="minorHAnsi" w:eastAsia="Calibri" w:hAnsiTheme="minorHAnsi" w:cs="Times New Roman"/>
        </w:rPr>
      </w:pPr>
      <w:r>
        <w:rPr>
          <w:rFonts w:asciiTheme="minorHAnsi" w:eastAsia="Calibri" w:hAnsiTheme="minorHAnsi" w:cs="Times New Roman"/>
        </w:rPr>
        <w:t>I</w:t>
      </w:r>
      <w:r w:rsidR="00513917" w:rsidRPr="00364CBF">
        <w:rPr>
          <w:rFonts w:asciiTheme="minorHAnsi" w:eastAsia="Calibri" w:hAnsiTheme="minorHAnsi" w:cs="Times New Roman"/>
        </w:rPr>
        <w:t xml:space="preserve">nformation that identifies or is about the person, including their name, contact details, information provided at the time of acquiring the product or relating to their eligibility to acquire that product (although not extending to information relating to the actual decision on eligibility, such as </w:t>
      </w:r>
      <w:r w:rsidR="00513917">
        <w:rPr>
          <w:rFonts w:asciiTheme="minorHAnsi" w:eastAsia="Calibri" w:hAnsiTheme="minorHAnsi" w:cs="Times New Roman"/>
        </w:rPr>
        <w:t>the outcome of an income, expense or asset verification assessment</w:t>
      </w:r>
      <w:r w:rsidR="00513917" w:rsidRPr="00364CBF">
        <w:rPr>
          <w:rFonts w:asciiTheme="minorHAnsi" w:eastAsia="Calibri" w:hAnsiTheme="minorHAnsi" w:cs="Times New Roman"/>
        </w:rPr>
        <w:t>), and certain information if the person operates a business (such as their ABN, and type of business). Customer data does not include the person’s date of birth.</w:t>
      </w:r>
      <w:r w:rsidR="00847FA5">
        <w:rPr>
          <w:rFonts w:asciiTheme="minorHAnsi" w:eastAsia="Calibri" w:hAnsiTheme="minorHAnsi" w:cs="Times New Roman"/>
        </w:rPr>
        <w:t xml:space="preserve"> </w:t>
      </w:r>
    </w:p>
    <w:p w14:paraId="4A6CE600" w14:textId="74987BD7" w:rsidR="00513917" w:rsidRPr="009255A0" w:rsidRDefault="00513917" w:rsidP="00F65B30">
      <w:pPr>
        <w:pStyle w:val="Bullet"/>
        <w:spacing w:before="160"/>
        <w:rPr>
          <w:rFonts w:eastAsia="Calibri"/>
        </w:rPr>
      </w:pPr>
      <w:r w:rsidRPr="009255A0">
        <w:rPr>
          <w:rFonts w:eastAsia="Calibri"/>
        </w:rPr>
        <w:t>‘Account data’ in relation to a particular account</w:t>
      </w:r>
    </w:p>
    <w:p w14:paraId="2FEC54F7" w14:textId="77777777" w:rsidR="005B0417" w:rsidRDefault="00F65B30" w:rsidP="005B0417">
      <w:pPr>
        <w:pStyle w:val="Bullet"/>
        <w:numPr>
          <w:ilvl w:val="0"/>
          <w:numId w:val="0"/>
        </w:numPr>
        <w:spacing w:before="160"/>
        <w:ind w:left="520"/>
        <w:rPr>
          <w:rFonts w:eastAsia="Calibri" w:cs="Times New Roman"/>
        </w:rPr>
      </w:pPr>
      <w:r>
        <w:rPr>
          <w:rFonts w:eastAsia="Calibri" w:cs="Times New Roman"/>
        </w:rPr>
        <w:t>I</w:t>
      </w:r>
      <w:r w:rsidR="00513917" w:rsidRPr="00364CBF">
        <w:rPr>
          <w:rFonts w:eastAsia="Calibri" w:cs="Times New Roman"/>
          <w:color w:val="000000"/>
          <w:shd w:val="clear" w:color="auto" w:fill="FFFFFF"/>
        </w:rPr>
        <w:t>nformation that identifies or is about the operation of the account, including</w:t>
      </w:r>
      <w:r w:rsidR="00513917" w:rsidRPr="00364CBF">
        <w:rPr>
          <w:rFonts w:eastAsia="Calibri" w:cs="Times New Roman"/>
        </w:rPr>
        <w:t xml:space="preserve"> the type of information that a customer would commonly see about their account, including the account number and name, </w:t>
      </w:r>
      <w:r w:rsidR="00940A5E">
        <w:rPr>
          <w:rFonts w:eastAsia="Calibri" w:cs="Times New Roman"/>
        </w:rPr>
        <w:t>account</w:t>
      </w:r>
      <w:r w:rsidR="00513917" w:rsidRPr="00364CBF">
        <w:rPr>
          <w:rFonts w:eastAsia="Calibri" w:cs="Times New Roman"/>
        </w:rPr>
        <w:t xml:space="preserve"> balances, future </w:t>
      </w:r>
      <w:r w:rsidR="00513917" w:rsidRPr="00364CBF" w:rsidDel="006C0A1B">
        <w:rPr>
          <w:rFonts w:eastAsia="Calibri" w:cs="Times New Roman"/>
        </w:rPr>
        <w:t>commitments</w:t>
      </w:r>
      <w:r w:rsidR="006C0A1B" w:rsidRPr="00364CBF">
        <w:rPr>
          <w:rFonts w:eastAsia="Calibri" w:cs="Times New Roman"/>
        </w:rPr>
        <w:t>,</w:t>
      </w:r>
      <w:r w:rsidR="00513917" w:rsidRPr="00364CBF">
        <w:rPr>
          <w:rFonts w:eastAsia="Calibri" w:cs="Times New Roman"/>
        </w:rPr>
        <w:t xml:space="preserve"> and authorisations on the account. </w:t>
      </w:r>
    </w:p>
    <w:p w14:paraId="799F4B06" w14:textId="03FD8538" w:rsidR="00513917" w:rsidRPr="009255A0" w:rsidRDefault="00513917" w:rsidP="00F57AA9">
      <w:pPr>
        <w:pStyle w:val="Bullet"/>
      </w:pPr>
      <w:r w:rsidRPr="009255A0">
        <w:t>‘Transaction data’ in relation to a particular transaction</w:t>
      </w:r>
    </w:p>
    <w:p w14:paraId="6F0E1C03" w14:textId="3E43C299" w:rsidR="00513917" w:rsidRPr="00364CBF" w:rsidRDefault="00F65B30" w:rsidP="00F65B30">
      <w:pPr>
        <w:ind w:left="520"/>
        <w:rPr>
          <w:rFonts w:asciiTheme="minorHAnsi" w:eastAsia="Calibri" w:hAnsiTheme="minorHAnsi" w:cs="Times New Roman"/>
        </w:rPr>
      </w:pPr>
      <w:r>
        <w:rPr>
          <w:rFonts w:asciiTheme="minorHAnsi" w:eastAsia="Calibri" w:hAnsiTheme="minorHAnsi" w:cs="Times New Roman"/>
        </w:rPr>
        <w:t>I</w:t>
      </w:r>
      <w:r w:rsidR="00513917" w:rsidRPr="00364CBF">
        <w:rPr>
          <w:rFonts w:asciiTheme="minorHAnsi" w:eastAsia="Calibri" w:hAnsiTheme="minorHAnsi" w:cs="Times New Roman"/>
        </w:rPr>
        <w:t xml:space="preserve">nformation that identifies or describes the characteristics of the transaction, including information about the date on which the transaction occurred, a description of the transaction, and </w:t>
      </w:r>
      <w:r w:rsidR="00513917" w:rsidRPr="00F65B30">
        <w:rPr>
          <w:rFonts w:asciiTheme="minorHAnsi" w:eastAsia="Calibri" w:hAnsiTheme="minorHAnsi" w:cs="Times New Roman"/>
          <w:color w:val="000000"/>
          <w:shd w:val="clear" w:color="auto" w:fill="FFFFFF"/>
        </w:rPr>
        <w:t>the</w:t>
      </w:r>
      <w:r w:rsidR="00513917" w:rsidRPr="00364CBF">
        <w:rPr>
          <w:rFonts w:asciiTheme="minorHAnsi" w:eastAsia="Calibri" w:hAnsiTheme="minorHAnsi" w:cs="Times New Roman"/>
        </w:rPr>
        <w:t xml:space="preserve"> amount debited or credited. </w:t>
      </w:r>
    </w:p>
    <w:p w14:paraId="6F4B4C4D" w14:textId="15016C01" w:rsidR="00513917" w:rsidRPr="009255A0" w:rsidRDefault="00513917" w:rsidP="00F65B30">
      <w:pPr>
        <w:pStyle w:val="Bullet"/>
        <w:spacing w:before="160"/>
        <w:rPr>
          <w:rFonts w:eastAsia="Calibri"/>
        </w:rPr>
      </w:pPr>
      <w:r w:rsidRPr="009255A0">
        <w:rPr>
          <w:rFonts w:eastAsia="Calibri"/>
        </w:rPr>
        <w:t>‘Product specific data’</w:t>
      </w:r>
    </w:p>
    <w:p w14:paraId="2F668B51" w14:textId="569D48FD" w:rsidR="00513917" w:rsidRDefault="00F65B30" w:rsidP="00F65B30">
      <w:pPr>
        <w:pStyle w:val="Bullet"/>
        <w:numPr>
          <w:ilvl w:val="0"/>
          <w:numId w:val="0"/>
        </w:numPr>
        <w:spacing w:before="160"/>
        <w:ind w:left="520"/>
        <w:rPr>
          <w:rFonts w:eastAsia="Calibri" w:cs="Times New Roman"/>
        </w:rPr>
      </w:pPr>
      <w:r>
        <w:rPr>
          <w:rFonts w:eastAsia="Calibri"/>
        </w:rPr>
        <w:t>I</w:t>
      </w:r>
      <w:r w:rsidR="00513917" w:rsidRPr="00F65B30">
        <w:rPr>
          <w:rFonts w:eastAsia="Calibri"/>
        </w:rPr>
        <w:t>nformation</w:t>
      </w:r>
      <w:r w:rsidR="00513917" w:rsidRPr="00364CBF">
        <w:rPr>
          <w:rFonts w:eastAsia="Calibri" w:cs="Times New Roman"/>
        </w:rPr>
        <w:t xml:space="preserve"> that identifies or describes the characteristics of the product, including its type, its price (including fees, </w:t>
      </w:r>
      <w:r w:rsidR="00513917" w:rsidRPr="00364CBF" w:rsidDel="006C0A1B">
        <w:rPr>
          <w:rFonts w:eastAsia="Calibri" w:cs="Times New Roman"/>
        </w:rPr>
        <w:t>charges</w:t>
      </w:r>
      <w:r w:rsidR="006C0A1B" w:rsidRPr="00364CBF">
        <w:rPr>
          <w:rFonts w:eastAsia="Calibri" w:cs="Times New Roman"/>
        </w:rPr>
        <w:t>,</w:t>
      </w:r>
      <w:r w:rsidR="00513917" w:rsidRPr="00364CBF">
        <w:rPr>
          <w:rFonts w:eastAsia="Calibri" w:cs="Times New Roman"/>
        </w:rPr>
        <w:t xml:space="preserve"> and interest rates however these are described), terms and conditions and eligibility criteria that a customer needs to meet. This also includes information about associated features and benefits, such as a credit card’s loyalty scheme</w:t>
      </w:r>
      <w:r w:rsidR="00831F90">
        <w:rPr>
          <w:rFonts w:eastAsia="Calibri" w:cs="Times New Roman"/>
        </w:rPr>
        <w:t>.</w:t>
      </w:r>
      <w:r w:rsidR="00F57AA9" w:rsidRPr="00F57AA9">
        <w:rPr>
          <w:rFonts w:eastAsia="Calibri" w:cs="Times New Roman"/>
        </w:rPr>
        <w:t xml:space="preserve"> </w:t>
      </w:r>
      <w:r w:rsidR="00F57AA9">
        <w:rPr>
          <w:rFonts w:eastAsia="Calibri" w:cs="Times New Roman"/>
        </w:rPr>
        <w:t>This would also include products that are no longer publicly available (often referred to as legacy products).</w:t>
      </w:r>
    </w:p>
    <w:p w14:paraId="430858DF" w14:textId="7B10A11F" w:rsidR="008040E0" w:rsidRDefault="007E4D2E" w:rsidP="00513917">
      <w:pPr>
        <w:rPr>
          <w:rFonts w:asciiTheme="minorHAnsi" w:eastAsia="Calibri" w:hAnsiTheme="minorHAnsi" w:cs="Times New Roman"/>
        </w:rPr>
      </w:pPr>
      <w:r>
        <w:rPr>
          <w:rFonts w:asciiTheme="minorHAnsi" w:eastAsia="Calibri" w:hAnsiTheme="minorHAnsi" w:cs="Times New Roman"/>
        </w:rPr>
        <w:t>T</w:t>
      </w:r>
      <w:r w:rsidR="00F65B30">
        <w:rPr>
          <w:rFonts w:asciiTheme="minorHAnsi" w:eastAsia="Calibri" w:hAnsiTheme="minorHAnsi" w:cs="Times New Roman"/>
        </w:rPr>
        <w:t>he DSB</w:t>
      </w:r>
      <w:r w:rsidR="007465E0" w:rsidRPr="00F65B30">
        <w:rPr>
          <w:rFonts w:asciiTheme="minorHAnsi" w:eastAsia="Calibri" w:hAnsiTheme="minorHAnsi" w:cs="Times New Roman"/>
        </w:rPr>
        <w:t xml:space="preserve"> propose</w:t>
      </w:r>
      <w:r w:rsidR="00F65B30">
        <w:rPr>
          <w:rFonts w:asciiTheme="minorHAnsi" w:eastAsia="Calibri" w:hAnsiTheme="minorHAnsi" w:cs="Times New Roman"/>
        </w:rPr>
        <w:t>s</w:t>
      </w:r>
      <w:r w:rsidR="007465E0" w:rsidRPr="00F65B30">
        <w:rPr>
          <w:rFonts w:asciiTheme="minorHAnsi" w:eastAsia="Calibri" w:hAnsiTheme="minorHAnsi" w:cs="Times New Roman"/>
        </w:rPr>
        <w:t xml:space="preserve"> that </w:t>
      </w:r>
      <w:r w:rsidR="00255305">
        <w:rPr>
          <w:rFonts w:asciiTheme="minorHAnsi" w:eastAsia="Calibri" w:hAnsiTheme="minorHAnsi" w:cs="Times New Roman"/>
        </w:rPr>
        <w:t>D</w:t>
      </w:r>
      <w:r>
        <w:rPr>
          <w:rFonts w:asciiTheme="minorHAnsi" w:eastAsia="Calibri" w:hAnsiTheme="minorHAnsi" w:cs="Times New Roman"/>
        </w:rPr>
        <w:t xml:space="preserve">ata </w:t>
      </w:r>
      <w:r w:rsidR="00255305">
        <w:rPr>
          <w:rFonts w:asciiTheme="minorHAnsi" w:eastAsia="Calibri" w:hAnsiTheme="minorHAnsi" w:cs="Times New Roman"/>
        </w:rPr>
        <w:t>S</w:t>
      </w:r>
      <w:r>
        <w:rPr>
          <w:rFonts w:asciiTheme="minorHAnsi" w:eastAsia="Calibri" w:hAnsiTheme="minorHAnsi" w:cs="Times New Roman"/>
        </w:rPr>
        <w:t>tandards for</w:t>
      </w:r>
      <w:r w:rsidR="007465E0" w:rsidRPr="00F65B30">
        <w:rPr>
          <w:rFonts w:asciiTheme="minorHAnsi" w:eastAsia="Calibri" w:hAnsiTheme="minorHAnsi" w:cs="Times New Roman"/>
        </w:rPr>
        <w:t xml:space="preserve"> the non-bank lending sector be incorporated into the </w:t>
      </w:r>
      <w:hyperlink r:id="rId33" w:anchor="banking-apis" w:history="1">
        <w:r w:rsidR="007465E0" w:rsidRPr="006C0A1B">
          <w:rPr>
            <w:rStyle w:val="Hyperlink"/>
            <w:rFonts w:asciiTheme="minorHAnsi" w:eastAsia="Calibri" w:hAnsiTheme="minorHAnsi" w:cs="Times New Roman"/>
          </w:rPr>
          <w:t>“banking” industry path</w:t>
        </w:r>
      </w:hyperlink>
      <w:r w:rsidR="006C0A1B">
        <w:rPr>
          <w:rFonts w:asciiTheme="minorHAnsi" w:eastAsia="Calibri" w:hAnsiTheme="minorHAnsi" w:cs="Times New Roman"/>
        </w:rPr>
        <w:t xml:space="preserve"> and the </w:t>
      </w:r>
      <w:hyperlink r:id="rId34" w:anchor="banking-language" w:history="1">
        <w:r w:rsidR="007228EC" w:rsidRPr="00AB110E">
          <w:rPr>
            <w:rStyle w:val="Hyperlink"/>
            <w:rFonts w:asciiTheme="minorHAnsi" w:eastAsia="Calibri" w:hAnsiTheme="minorHAnsi" w:cs="Times New Roman"/>
          </w:rPr>
          <w:t>banking language standards</w:t>
        </w:r>
      </w:hyperlink>
      <w:r w:rsidR="007465E0" w:rsidRPr="00F65B30">
        <w:rPr>
          <w:rFonts w:asciiTheme="minorHAnsi" w:eastAsia="Calibri" w:hAnsiTheme="minorHAnsi" w:cs="Times New Roman"/>
        </w:rPr>
        <w:t xml:space="preserve">. </w:t>
      </w:r>
      <w:r w:rsidR="008A524D">
        <w:rPr>
          <w:rFonts w:asciiTheme="minorHAnsi" w:eastAsia="Calibri" w:hAnsiTheme="minorHAnsi" w:cs="Times New Roman"/>
        </w:rPr>
        <w:t>This is because</w:t>
      </w:r>
      <w:r w:rsidR="007465E0" w:rsidRPr="00F65B30">
        <w:rPr>
          <w:rFonts w:asciiTheme="minorHAnsi" w:eastAsia="Calibri" w:hAnsiTheme="minorHAnsi" w:cs="Times New Roman"/>
        </w:rPr>
        <w:t xml:space="preserve"> </w:t>
      </w:r>
      <w:r w:rsidR="008A524D">
        <w:rPr>
          <w:rFonts w:asciiTheme="minorHAnsi" w:eastAsia="Calibri" w:hAnsiTheme="minorHAnsi" w:cs="Times New Roman"/>
        </w:rPr>
        <w:t>most</w:t>
      </w:r>
      <w:r w:rsidR="008A524D" w:rsidRPr="00F65B30">
        <w:rPr>
          <w:rFonts w:asciiTheme="minorHAnsi" w:eastAsia="Calibri" w:hAnsiTheme="minorHAnsi" w:cs="Times New Roman"/>
        </w:rPr>
        <w:t xml:space="preserve"> </w:t>
      </w:r>
      <w:r w:rsidR="007465E0" w:rsidRPr="00F65B30">
        <w:rPr>
          <w:rFonts w:asciiTheme="minorHAnsi" w:eastAsia="Calibri" w:hAnsiTheme="minorHAnsi" w:cs="Times New Roman"/>
        </w:rPr>
        <w:t>products have crossover</w:t>
      </w:r>
      <w:r w:rsidR="008A524D">
        <w:rPr>
          <w:rFonts w:asciiTheme="minorHAnsi" w:eastAsia="Calibri" w:hAnsiTheme="minorHAnsi" w:cs="Times New Roman"/>
        </w:rPr>
        <w:t xml:space="preserve"> between the banking and non-bank lending sectors. This will support </w:t>
      </w:r>
      <w:r w:rsidR="00E327E3">
        <w:rPr>
          <w:rFonts w:asciiTheme="minorHAnsi" w:eastAsia="Calibri" w:hAnsiTheme="minorHAnsi" w:cs="Times New Roman"/>
        </w:rPr>
        <w:t xml:space="preserve">use cases that intend to facilitate switching on lending products, including </w:t>
      </w:r>
      <w:r w:rsidR="007465E0" w:rsidRPr="00F65B30">
        <w:rPr>
          <w:rFonts w:asciiTheme="minorHAnsi" w:eastAsia="Calibri" w:hAnsiTheme="minorHAnsi" w:cs="Times New Roman"/>
        </w:rPr>
        <w:t>future action initiation use cases</w:t>
      </w:r>
      <w:r w:rsidR="00E327E3">
        <w:rPr>
          <w:rFonts w:asciiTheme="minorHAnsi" w:eastAsia="Calibri" w:hAnsiTheme="minorHAnsi" w:cs="Times New Roman"/>
        </w:rPr>
        <w:t>,</w:t>
      </w:r>
      <w:r w:rsidR="00D60337">
        <w:rPr>
          <w:rFonts w:asciiTheme="minorHAnsi" w:eastAsia="Calibri" w:hAnsiTheme="minorHAnsi" w:cs="Times New Roman"/>
        </w:rPr>
        <w:t xml:space="preserve"> allowing </w:t>
      </w:r>
      <w:r w:rsidR="006C0A1B">
        <w:rPr>
          <w:rFonts w:asciiTheme="minorHAnsi" w:eastAsia="Calibri" w:hAnsiTheme="minorHAnsi" w:cs="Times New Roman"/>
        </w:rPr>
        <w:t>consumers</w:t>
      </w:r>
      <w:r w:rsidR="00D60337">
        <w:rPr>
          <w:rFonts w:asciiTheme="minorHAnsi" w:eastAsia="Calibri" w:hAnsiTheme="minorHAnsi" w:cs="Times New Roman"/>
        </w:rPr>
        <w:t xml:space="preserve"> to </w:t>
      </w:r>
      <w:r w:rsidR="006C0A1B">
        <w:rPr>
          <w:rFonts w:asciiTheme="minorHAnsi" w:eastAsia="Calibri" w:hAnsiTheme="minorHAnsi" w:cs="Times New Roman"/>
        </w:rPr>
        <w:t>select non-bank lenders as their data holders alongside banks</w:t>
      </w:r>
      <w:r w:rsidR="00644A21">
        <w:rPr>
          <w:rFonts w:asciiTheme="minorHAnsi" w:eastAsia="Calibri" w:hAnsiTheme="minorHAnsi" w:cs="Times New Roman"/>
        </w:rPr>
        <w:t>, which would improve customer experience</w:t>
      </w:r>
      <w:r w:rsidR="00D60337">
        <w:rPr>
          <w:rFonts w:asciiTheme="minorHAnsi" w:eastAsia="Calibri" w:hAnsiTheme="minorHAnsi" w:cs="Times New Roman"/>
        </w:rPr>
        <w:t>.</w:t>
      </w:r>
    </w:p>
    <w:p w14:paraId="0F075D17" w14:textId="4B0CBC34" w:rsidR="00D60337" w:rsidRPr="00B555D2" w:rsidRDefault="00D60337" w:rsidP="00D60337">
      <w:pPr>
        <w:pStyle w:val="Bulletpoint"/>
        <w:numPr>
          <w:ilvl w:val="0"/>
          <w:numId w:val="0"/>
        </w:numPr>
      </w:pPr>
      <w:r>
        <w:t xml:space="preserve">The introduction of buy now, pay later products is likely to require changes to the existing standards for account information relating to ‘loan’ accounts. Consideration is being given to whether there are other new product types that will require changes to the standards, such as types of lease products. </w:t>
      </w:r>
    </w:p>
    <w:p w14:paraId="3122EADB" w14:textId="7732718E" w:rsidR="009255A0" w:rsidRPr="009255A0" w:rsidRDefault="009255A0" w:rsidP="009255A0">
      <w:pPr>
        <w:pBdr>
          <w:top w:val="single" w:sz="4" w:space="1" w:color="auto"/>
          <w:left w:val="single" w:sz="4" w:space="4" w:color="auto"/>
          <w:bottom w:val="single" w:sz="4" w:space="1" w:color="auto"/>
          <w:right w:val="single" w:sz="4" w:space="4" w:color="auto"/>
        </w:pBdr>
        <w:rPr>
          <w:rFonts w:asciiTheme="minorHAnsi" w:eastAsia="Calibri" w:hAnsiTheme="minorHAnsi" w:cs="Times New Roman"/>
          <w:b/>
          <w:bCs/>
        </w:rPr>
      </w:pPr>
      <w:r w:rsidRPr="009255A0">
        <w:rPr>
          <w:rFonts w:asciiTheme="minorHAnsi" w:eastAsia="Calibri" w:hAnsiTheme="minorHAnsi" w:cs="Times New Roman"/>
          <w:b/>
          <w:bCs/>
        </w:rPr>
        <w:t>Consultation question</w:t>
      </w:r>
      <w:r w:rsidR="0016156A">
        <w:rPr>
          <w:rFonts w:asciiTheme="minorHAnsi" w:eastAsia="Calibri" w:hAnsiTheme="minorHAnsi" w:cs="Times New Roman"/>
          <w:b/>
          <w:bCs/>
        </w:rPr>
        <w:t>s</w:t>
      </w:r>
    </w:p>
    <w:p w14:paraId="28EA2940" w14:textId="402AC345" w:rsidR="009255A0" w:rsidRDefault="007B4A69" w:rsidP="00B41D06">
      <w:pPr>
        <w:pStyle w:val="ListParagraph"/>
        <w:numPr>
          <w:ilvl w:val="0"/>
          <w:numId w:val="31"/>
        </w:numPr>
        <w:pBdr>
          <w:top w:val="single" w:sz="4" w:space="1" w:color="auto"/>
          <w:left w:val="single" w:sz="4" w:space="4" w:color="auto"/>
          <w:bottom w:val="single" w:sz="4" w:space="1" w:color="auto"/>
          <w:right w:val="single" w:sz="4" w:space="4" w:color="auto"/>
        </w:pBdr>
      </w:pPr>
      <w:r>
        <w:t xml:space="preserve">Does the </w:t>
      </w:r>
      <w:hyperlink r:id="rId35" w:anchor="tocSbankingaccountdetailv2" w:history="1">
        <w:r w:rsidRPr="007B4A69">
          <w:rPr>
            <w:rStyle w:val="Hyperlink"/>
            <w:rFonts w:asciiTheme="minorHAnsi" w:hAnsiTheme="minorHAnsi"/>
          </w:rPr>
          <w:t>banking account detail schema</w:t>
        </w:r>
      </w:hyperlink>
      <w:r w:rsidR="00F65B30" w:rsidRPr="00F65B30">
        <w:rPr>
          <w:rStyle w:val="Hyperlink"/>
          <w:rFonts w:asciiTheme="minorHAnsi" w:hAnsiTheme="minorHAnsi"/>
          <w:u w:val="none"/>
        </w:rPr>
        <w:t xml:space="preserve"> </w:t>
      </w:r>
      <w:r>
        <w:t>meet the requirement of the non-bank lending sector?</w:t>
      </w:r>
      <w:r w:rsidR="00B25C0E">
        <w:t xml:space="preserve"> </w:t>
      </w:r>
    </w:p>
    <w:p w14:paraId="16D09BDB" w14:textId="6C75A906" w:rsidR="0019635A" w:rsidRDefault="00F65B30" w:rsidP="005E2864">
      <w:pPr>
        <w:pStyle w:val="ListParagraph"/>
        <w:numPr>
          <w:ilvl w:val="0"/>
          <w:numId w:val="31"/>
        </w:numPr>
        <w:pBdr>
          <w:top w:val="single" w:sz="4" w:space="1" w:color="auto"/>
          <w:left w:val="single" w:sz="4" w:space="4" w:color="auto"/>
          <w:bottom w:val="single" w:sz="4" w:space="1" w:color="auto"/>
          <w:right w:val="single" w:sz="4" w:space="4" w:color="auto"/>
        </w:pBdr>
      </w:pPr>
      <w:r w:rsidRPr="00F65B30">
        <w:t>Are there additional datasets describing the assets under lease or hire</w:t>
      </w:r>
      <w:r w:rsidR="00F35314">
        <w:t xml:space="preserve"> or buy now, pay later products</w:t>
      </w:r>
      <w:r w:rsidRPr="00F65B30">
        <w:t xml:space="preserve"> that should be included as required data? </w:t>
      </w:r>
    </w:p>
    <w:p w14:paraId="0057A914" w14:textId="77777777" w:rsidR="00564E63" w:rsidRDefault="00564E63" w:rsidP="00564E63">
      <w:pPr>
        <w:pStyle w:val="ListParagraph"/>
        <w:numPr>
          <w:ilvl w:val="0"/>
          <w:numId w:val="31"/>
        </w:numPr>
        <w:pBdr>
          <w:top w:val="single" w:sz="4" w:space="1" w:color="auto"/>
          <w:left w:val="single" w:sz="4" w:space="4" w:color="auto"/>
          <w:bottom w:val="single" w:sz="4" w:space="1" w:color="auto"/>
          <w:right w:val="single" w:sz="4" w:space="4" w:color="auto"/>
        </w:pBdr>
      </w:pPr>
      <w:r>
        <w:t>Is this data clustered appropriately and in a way that reflects existing non-bank lending data structures?</w:t>
      </w:r>
    </w:p>
    <w:p w14:paraId="0EBD18CF" w14:textId="5E078AED" w:rsidR="00513917" w:rsidRPr="00207026" w:rsidRDefault="00513917" w:rsidP="0090493B">
      <w:pPr>
        <w:pStyle w:val="Heading3"/>
        <w:keepNext/>
        <w:rPr>
          <w:rFonts w:asciiTheme="minorHAnsi" w:eastAsia="Calibri" w:hAnsiTheme="minorHAnsi" w:cs="Times New Roman"/>
        </w:rPr>
      </w:pPr>
      <w:bookmarkStart w:id="25" w:name="_Toc120881033"/>
      <w:r w:rsidRPr="00207026">
        <w:rPr>
          <w:rFonts w:eastAsia="Calibri"/>
        </w:rPr>
        <w:lastRenderedPageBreak/>
        <w:t xml:space="preserve">Historical </w:t>
      </w:r>
      <w:r w:rsidR="00C72511">
        <w:rPr>
          <w:rFonts w:eastAsia="Calibri"/>
        </w:rPr>
        <w:t>data</w:t>
      </w:r>
      <w:r w:rsidRPr="00207026">
        <w:rPr>
          <w:rFonts w:eastAsia="Calibri"/>
        </w:rPr>
        <w:t xml:space="preserve"> and closed </w:t>
      </w:r>
      <w:r w:rsidR="00FA18F2" w:rsidRPr="00207026">
        <w:rPr>
          <w:rFonts w:asciiTheme="minorHAnsi" w:eastAsia="Calibri" w:hAnsiTheme="minorHAnsi" w:cs="Times New Roman"/>
        </w:rPr>
        <w:t>accounts</w:t>
      </w:r>
      <w:bookmarkEnd w:id="25"/>
    </w:p>
    <w:p w14:paraId="082C8C48" w14:textId="41A055B7" w:rsidR="00513917" w:rsidRDefault="00513917" w:rsidP="00513917">
      <w:pPr>
        <w:rPr>
          <w:rFonts w:asciiTheme="minorHAnsi" w:eastAsia="Calibri" w:hAnsiTheme="minorHAnsi" w:cs="Times New Roman"/>
        </w:rPr>
      </w:pPr>
      <w:r>
        <w:rPr>
          <w:rFonts w:asciiTheme="minorHAnsi" w:eastAsia="Calibri" w:hAnsiTheme="minorHAnsi" w:cs="Times New Roman"/>
        </w:rPr>
        <w:t xml:space="preserve">The </w:t>
      </w:r>
      <w:r w:rsidR="00916489">
        <w:rPr>
          <w:rFonts w:asciiTheme="minorHAnsi" w:eastAsia="Calibri" w:hAnsiTheme="minorHAnsi" w:cs="Times New Roman"/>
        </w:rPr>
        <w:t xml:space="preserve">Act defines the </w:t>
      </w:r>
      <w:r>
        <w:rPr>
          <w:rFonts w:asciiTheme="minorHAnsi" w:eastAsia="Calibri" w:hAnsiTheme="minorHAnsi" w:cs="Times New Roman"/>
        </w:rPr>
        <w:t xml:space="preserve">‘earliest holding day’ </w:t>
      </w:r>
      <w:r w:rsidR="00916489">
        <w:rPr>
          <w:rFonts w:asciiTheme="minorHAnsi" w:eastAsia="Calibri" w:hAnsiTheme="minorHAnsi" w:cs="Times New Roman"/>
        </w:rPr>
        <w:t xml:space="preserve">as </w:t>
      </w:r>
      <w:r>
        <w:rPr>
          <w:rFonts w:asciiTheme="minorHAnsi" w:eastAsia="Calibri" w:hAnsiTheme="minorHAnsi" w:cs="Times New Roman"/>
        </w:rPr>
        <w:t xml:space="preserve">the earliest date </w:t>
      </w:r>
      <w:r w:rsidR="00E57AAB">
        <w:rPr>
          <w:rFonts w:asciiTheme="minorHAnsi" w:eastAsia="Calibri" w:hAnsiTheme="minorHAnsi" w:cs="Times New Roman"/>
        </w:rPr>
        <w:t>applicable to a designated sector for holding designated information. This is the earliest possible starting point for</w:t>
      </w:r>
      <w:r>
        <w:rPr>
          <w:rFonts w:asciiTheme="minorHAnsi" w:eastAsia="Calibri" w:hAnsiTheme="minorHAnsi" w:cs="Times New Roman"/>
        </w:rPr>
        <w:t xml:space="preserve"> classes of information </w:t>
      </w:r>
      <w:r w:rsidR="00CD56FA">
        <w:rPr>
          <w:rFonts w:asciiTheme="minorHAnsi" w:eastAsia="Calibri" w:hAnsiTheme="minorHAnsi" w:cs="Times New Roman"/>
        </w:rPr>
        <w:t xml:space="preserve">set out </w:t>
      </w:r>
      <w:r>
        <w:rPr>
          <w:rFonts w:asciiTheme="minorHAnsi" w:eastAsia="Calibri" w:hAnsiTheme="minorHAnsi" w:cs="Times New Roman"/>
        </w:rPr>
        <w:t xml:space="preserve">in </w:t>
      </w:r>
      <w:r w:rsidR="00CD56FA">
        <w:rPr>
          <w:rFonts w:asciiTheme="minorHAnsi" w:eastAsia="Calibri" w:hAnsiTheme="minorHAnsi" w:cs="Times New Roman"/>
        </w:rPr>
        <w:t>a</w:t>
      </w:r>
      <w:r>
        <w:rPr>
          <w:rFonts w:asciiTheme="minorHAnsi" w:eastAsia="Calibri" w:hAnsiTheme="minorHAnsi" w:cs="Times New Roman"/>
        </w:rPr>
        <w:t xml:space="preserve"> </w:t>
      </w:r>
      <w:r w:rsidR="00CD56FA">
        <w:rPr>
          <w:rFonts w:asciiTheme="minorHAnsi" w:eastAsia="Calibri" w:hAnsiTheme="minorHAnsi" w:cs="Times New Roman"/>
        </w:rPr>
        <w:t>d</w:t>
      </w:r>
      <w:r>
        <w:rPr>
          <w:rFonts w:asciiTheme="minorHAnsi" w:eastAsia="Calibri" w:hAnsiTheme="minorHAnsi" w:cs="Times New Roman"/>
        </w:rPr>
        <w:t xml:space="preserve">esignation </w:t>
      </w:r>
      <w:r w:rsidR="00CD56FA">
        <w:rPr>
          <w:rFonts w:asciiTheme="minorHAnsi" w:eastAsia="Calibri" w:hAnsiTheme="minorHAnsi" w:cs="Times New Roman"/>
        </w:rPr>
        <w:t>i</w:t>
      </w:r>
      <w:r>
        <w:rPr>
          <w:rFonts w:asciiTheme="minorHAnsi" w:eastAsia="Calibri" w:hAnsiTheme="minorHAnsi" w:cs="Times New Roman"/>
        </w:rPr>
        <w:t xml:space="preserve">nstrument </w:t>
      </w:r>
      <w:r w:rsidR="00E57AAB">
        <w:rPr>
          <w:rFonts w:asciiTheme="minorHAnsi" w:eastAsia="Calibri" w:hAnsiTheme="minorHAnsi" w:cs="Times New Roman"/>
        </w:rPr>
        <w:t xml:space="preserve">to </w:t>
      </w:r>
      <w:r>
        <w:rPr>
          <w:rFonts w:asciiTheme="minorHAnsi" w:eastAsia="Calibri" w:hAnsiTheme="minorHAnsi" w:cs="Times New Roman"/>
        </w:rPr>
        <w:t>become subject to mandatory data sharing obligations. For non-bank lending, the ‘earliest holding day’ is 1</w:t>
      </w:r>
      <w:r w:rsidR="00150A19">
        <w:rPr>
          <w:rFonts w:asciiTheme="minorHAnsi" w:eastAsia="Calibri" w:hAnsiTheme="minorHAnsi" w:cs="Times New Roman"/>
        </w:rPr>
        <w:t> </w:t>
      </w:r>
      <w:r>
        <w:rPr>
          <w:rFonts w:asciiTheme="minorHAnsi" w:eastAsia="Calibri" w:hAnsiTheme="minorHAnsi" w:cs="Times New Roman"/>
        </w:rPr>
        <w:t>January</w:t>
      </w:r>
      <w:r w:rsidR="00150A19">
        <w:rPr>
          <w:rFonts w:asciiTheme="minorHAnsi" w:eastAsia="Calibri" w:hAnsiTheme="minorHAnsi" w:cs="Times New Roman"/>
        </w:rPr>
        <w:t> </w:t>
      </w:r>
      <w:r>
        <w:rPr>
          <w:rFonts w:asciiTheme="minorHAnsi" w:eastAsia="Calibri" w:hAnsiTheme="minorHAnsi" w:cs="Times New Roman"/>
        </w:rPr>
        <w:t>202</w:t>
      </w:r>
      <w:r w:rsidR="00E50C5D">
        <w:rPr>
          <w:rFonts w:asciiTheme="minorHAnsi" w:eastAsia="Calibri" w:hAnsiTheme="minorHAnsi" w:cs="Times New Roman"/>
        </w:rPr>
        <w:t>0</w:t>
      </w:r>
      <w:r>
        <w:rPr>
          <w:rFonts w:asciiTheme="minorHAnsi" w:eastAsia="Calibri" w:hAnsiTheme="minorHAnsi" w:cs="Times New Roman"/>
        </w:rPr>
        <w:t xml:space="preserve">. </w:t>
      </w:r>
    </w:p>
    <w:p w14:paraId="339F75DC" w14:textId="1DE404BD" w:rsidR="00513917" w:rsidRDefault="00513917" w:rsidP="00513917">
      <w:pPr>
        <w:rPr>
          <w:rFonts w:asciiTheme="minorHAnsi" w:eastAsia="Calibri" w:hAnsiTheme="minorHAnsi" w:cs="Times New Roman"/>
        </w:rPr>
      </w:pPr>
      <w:r>
        <w:rPr>
          <w:rFonts w:asciiTheme="minorHAnsi" w:eastAsia="Calibri" w:hAnsiTheme="minorHAnsi" w:cs="Times New Roman"/>
        </w:rPr>
        <w:t xml:space="preserve">The rules for each sector determine the limitations that apply to ‘required consumer data’, including on historical data sharing and the treatment of data associated with closed accounts. </w:t>
      </w:r>
    </w:p>
    <w:p w14:paraId="508EE0DF" w14:textId="578F3DE5" w:rsidR="00513917" w:rsidRDefault="00513917" w:rsidP="00513917">
      <w:pPr>
        <w:rPr>
          <w:rFonts w:asciiTheme="minorHAnsi" w:eastAsia="Calibri" w:hAnsiTheme="minorHAnsi" w:cs="Times New Roman"/>
        </w:rPr>
      </w:pPr>
      <w:r w:rsidRPr="00364CBF">
        <w:rPr>
          <w:rFonts w:asciiTheme="minorHAnsi" w:eastAsia="Calibri" w:hAnsiTheme="minorHAnsi" w:cs="Times New Roman"/>
        </w:rPr>
        <w:t xml:space="preserve">The scope of consumer data sharing for historical </w:t>
      </w:r>
      <w:r w:rsidR="00C72511">
        <w:rPr>
          <w:rFonts w:asciiTheme="minorHAnsi" w:eastAsia="Calibri" w:hAnsiTheme="minorHAnsi" w:cs="Times New Roman"/>
        </w:rPr>
        <w:t xml:space="preserve">data </w:t>
      </w:r>
      <w:r w:rsidRPr="00364CBF">
        <w:rPr>
          <w:rFonts w:asciiTheme="minorHAnsi" w:eastAsia="Calibri" w:hAnsiTheme="minorHAnsi" w:cs="Times New Roman"/>
        </w:rPr>
        <w:t>and closed account</w:t>
      </w:r>
      <w:r w:rsidR="0007514E">
        <w:rPr>
          <w:rFonts w:asciiTheme="minorHAnsi" w:eastAsia="Calibri" w:hAnsiTheme="minorHAnsi" w:cs="Times New Roman"/>
        </w:rPr>
        <w:t>s</w:t>
      </w:r>
      <w:r w:rsidRPr="00364CBF">
        <w:rPr>
          <w:rFonts w:asciiTheme="minorHAnsi" w:eastAsia="Calibri" w:hAnsiTheme="minorHAnsi" w:cs="Times New Roman"/>
        </w:rPr>
        <w:t xml:space="preserve"> should help to facilitate price comparisons</w:t>
      </w:r>
      <w:r w:rsidR="00C72511">
        <w:rPr>
          <w:rFonts w:asciiTheme="minorHAnsi" w:eastAsia="Calibri" w:hAnsiTheme="minorHAnsi" w:cs="Times New Roman"/>
        </w:rPr>
        <w:t>,</w:t>
      </w:r>
      <w:r w:rsidRPr="00364CBF">
        <w:rPr>
          <w:rFonts w:asciiTheme="minorHAnsi" w:eastAsia="Calibri" w:hAnsiTheme="minorHAnsi" w:cs="Times New Roman"/>
        </w:rPr>
        <w:t xml:space="preserve"> product switching </w:t>
      </w:r>
      <w:r w:rsidR="00C72511">
        <w:rPr>
          <w:rFonts w:asciiTheme="minorHAnsi" w:eastAsia="Calibri" w:hAnsiTheme="minorHAnsi" w:cs="Times New Roman"/>
        </w:rPr>
        <w:t xml:space="preserve">and other use cases </w:t>
      </w:r>
      <w:r w:rsidRPr="00364CBF">
        <w:rPr>
          <w:rFonts w:asciiTheme="minorHAnsi" w:eastAsia="Calibri" w:hAnsiTheme="minorHAnsi" w:cs="Times New Roman"/>
        </w:rPr>
        <w:t xml:space="preserve">without imposing undue regulatory burden. </w:t>
      </w:r>
    </w:p>
    <w:p w14:paraId="33ADBBDC" w14:textId="5C9348AE" w:rsidR="00513917" w:rsidRDefault="00513917" w:rsidP="00513917">
      <w:pPr>
        <w:rPr>
          <w:rFonts w:asciiTheme="minorHAnsi" w:eastAsia="Calibri" w:hAnsiTheme="minorHAnsi" w:cs="Times New Roman"/>
        </w:rPr>
      </w:pPr>
      <w:r w:rsidRPr="00364CBF">
        <w:rPr>
          <w:rFonts w:asciiTheme="minorHAnsi" w:eastAsia="Calibri" w:hAnsiTheme="minorHAnsi" w:cs="Times New Roman"/>
        </w:rPr>
        <w:t>The intended outcome is for consumers to have a sufficiently broad range of historical data to help them make informed decisions about products.</w:t>
      </w:r>
      <w:r>
        <w:rPr>
          <w:rFonts w:asciiTheme="minorHAnsi" w:eastAsia="Calibri" w:hAnsiTheme="minorHAnsi" w:cs="Times New Roman"/>
        </w:rPr>
        <w:t xml:space="preserve"> Historical transaction data is of </w:t>
      </w:r>
      <w:proofErr w:type="gramStart"/>
      <w:r>
        <w:rPr>
          <w:rFonts w:asciiTheme="minorHAnsi" w:eastAsia="Calibri" w:hAnsiTheme="minorHAnsi" w:cs="Times New Roman"/>
        </w:rPr>
        <w:t>particular utility</w:t>
      </w:r>
      <w:proofErr w:type="gramEnd"/>
      <w:r>
        <w:rPr>
          <w:rFonts w:asciiTheme="minorHAnsi" w:eastAsia="Calibri" w:hAnsiTheme="minorHAnsi" w:cs="Times New Roman"/>
        </w:rPr>
        <w:t xml:space="preserve"> to consumers as it can provide consumers with an understanding of their spending habits and patterns over a period of time. </w:t>
      </w:r>
    </w:p>
    <w:p w14:paraId="5899ABA2" w14:textId="3F052572" w:rsidR="00513917" w:rsidRPr="007A35B0" w:rsidRDefault="005C79E3" w:rsidP="00513917">
      <w:pPr>
        <w:rPr>
          <w:rFonts w:asciiTheme="minorHAnsi" w:eastAsia="Calibri" w:hAnsiTheme="minorHAnsi" w:cs="Times New Roman"/>
        </w:rPr>
      </w:pPr>
      <w:r>
        <w:rPr>
          <w:rFonts w:asciiTheme="minorHAnsi" w:eastAsia="Calibri" w:hAnsiTheme="minorHAnsi" w:cs="Times New Roman"/>
        </w:rPr>
        <w:t>We note that n</w:t>
      </w:r>
      <w:r w:rsidR="00513917">
        <w:rPr>
          <w:rFonts w:asciiTheme="minorHAnsi" w:eastAsia="Calibri" w:hAnsiTheme="minorHAnsi" w:cs="Times New Roman"/>
        </w:rPr>
        <w:t xml:space="preserve">on-bank lenders are obligated by the </w:t>
      </w:r>
      <w:r w:rsidR="00513917" w:rsidRPr="00111958">
        <w:rPr>
          <w:rFonts w:asciiTheme="minorHAnsi" w:eastAsia="Calibri" w:hAnsiTheme="minorHAnsi" w:cs="Times New Roman"/>
          <w:i/>
          <w:iCs/>
        </w:rPr>
        <w:t>Anti-Money Laundering and Counter-Terrorism Financing Act 2006</w:t>
      </w:r>
      <w:r w:rsidR="00513917">
        <w:rPr>
          <w:rFonts w:asciiTheme="minorHAnsi" w:eastAsia="Calibri" w:hAnsiTheme="minorHAnsi" w:cs="Times New Roman"/>
        </w:rPr>
        <w:t xml:space="preserve"> to keep transaction records that relate to providing a service to a customer for seven years. </w:t>
      </w:r>
    </w:p>
    <w:p w14:paraId="12EE3F1D" w14:textId="0F139A35" w:rsidR="00513917" w:rsidRPr="007A35B0" w:rsidRDefault="00513917" w:rsidP="005C79E3">
      <w:pPr>
        <w:pStyle w:val="Heading4"/>
        <w:keepLines/>
        <w:rPr>
          <w:rFonts w:eastAsia="Calibri" w:cs="Times New Roman"/>
          <w:i w:val="0"/>
          <w:iCs w:val="0"/>
        </w:rPr>
      </w:pPr>
      <w:r w:rsidRPr="007A35B0">
        <w:rPr>
          <w:rFonts w:eastAsia="Calibri"/>
        </w:rPr>
        <w:t>Proposed approach</w:t>
      </w:r>
    </w:p>
    <w:p w14:paraId="22270CB3" w14:textId="589846E8" w:rsidR="003C6601" w:rsidRPr="003C6601" w:rsidRDefault="003C6601" w:rsidP="003C6601">
      <w:pPr>
        <w:spacing w:after="240"/>
        <w:rPr>
          <w:rFonts w:asciiTheme="minorHAnsi" w:eastAsia="Calibri" w:hAnsiTheme="minorHAnsi" w:cs="Times New Roman"/>
        </w:rPr>
      </w:pPr>
      <w:r w:rsidRPr="003C6601">
        <w:rPr>
          <w:rFonts w:asciiTheme="minorHAnsi" w:eastAsia="Calibri" w:hAnsiTheme="minorHAnsi" w:cs="Times New Roman"/>
        </w:rPr>
        <w:t xml:space="preserve">Treasury proposes that the non-bank lending rules impose the same limitations on ‘required consumer data’ as those contained in the banking rules. Specifically, </w:t>
      </w:r>
      <w:r w:rsidR="00AE3C4D">
        <w:rPr>
          <w:rFonts w:asciiTheme="minorHAnsi" w:eastAsia="Calibri" w:hAnsiTheme="minorHAnsi" w:cs="Times New Roman"/>
        </w:rPr>
        <w:t xml:space="preserve">it is proposed </w:t>
      </w:r>
      <w:r w:rsidRPr="003C6601">
        <w:rPr>
          <w:rFonts w:asciiTheme="minorHAnsi" w:eastAsia="Calibri" w:hAnsiTheme="minorHAnsi" w:cs="Times New Roman"/>
        </w:rPr>
        <w:t>that CDR data is not required consumer data:</w:t>
      </w:r>
    </w:p>
    <w:p w14:paraId="4F1F002D" w14:textId="76D1FFFF" w:rsidR="003C6601" w:rsidRPr="003C6601" w:rsidRDefault="003C6601" w:rsidP="003C6601">
      <w:pPr>
        <w:pStyle w:val="Bullet"/>
      </w:pPr>
      <w:r>
        <w:t>w</w:t>
      </w:r>
      <w:r w:rsidRPr="003C6601">
        <w:t>here an account is open: transaction data that is more than 7 years old, and data on direct debits more than 13 months old</w:t>
      </w:r>
    </w:p>
    <w:p w14:paraId="73568D52" w14:textId="7DC9AB26" w:rsidR="003C6601" w:rsidRPr="003C6601" w:rsidRDefault="003C6601" w:rsidP="003C6601">
      <w:pPr>
        <w:pStyle w:val="Bullet"/>
      </w:pPr>
      <w:r>
        <w:t>w</w:t>
      </w:r>
      <w:r w:rsidRPr="003C6601">
        <w:t>here an account has been closed for more than 24 months: account data, transaction data, and product specific data</w:t>
      </w:r>
    </w:p>
    <w:p w14:paraId="5A786DDC" w14:textId="03A15350" w:rsidR="003C6601" w:rsidRPr="003C6601" w:rsidRDefault="003C6601" w:rsidP="003C6601">
      <w:pPr>
        <w:pStyle w:val="Bullet"/>
      </w:pPr>
      <w:r>
        <w:t>w</w:t>
      </w:r>
      <w:r w:rsidRPr="003C6601">
        <w:t xml:space="preserve">here an account has been closed for any </w:t>
      </w:r>
      <w:proofErr w:type="gramStart"/>
      <w:r w:rsidRPr="003C6601">
        <w:t>period of time</w:t>
      </w:r>
      <w:proofErr w:type="gramEnd"/>
      <w:r w:rsidRPr="003C6601">
        <w:t>: all data on direct debits</w:t>
      </w:r>
    </w:p>
    <w:p w14:paraId="4CB34C1E" w14:textId="170F9CDF" w:rsidR="00E96A52" w:rsidRPr="00E96A52" w:rsidRDefault="00E96A52" w:rsidP="00E96A52">
      <w:pPr>
        <w:pStyle w:val="Bullet"/>
        <w:rPr>
          <w:sz w:val="21"/>
          <w:szCs w:val="21"/>
          <w:lang w:eastAsia="en-AU"/>
        </w:rPr>
      </w:pPr>
      <w:r>
        <w:rPr>
          <w:lang w:eastAsia="en-AU"/>
        </w:rPr>
        <w:t>w</w:t>
      </w:r>
      <w:r w:rsidRPr="00E96A52">
        <w:rPr>
          <w:lang w:eastAsia="en-AU"/>
        </w:rPr>
        <w:t>here an account has been closed for less than 24 months: transaction data for a transaction that occurred more than 12 months before the account was closed</w:t>
      </w:r>
      <w:r w:rsidR="00AE3C4D">
        <w:rPr>
          <w:lang w:eastAsia="en-AU"/>
        </w:rPr>
        <w:t>.</w:t>
      </w:r>
    </w:p>
    <w:p w14:paraId="307425A8" w14:textId="19EC6AC3" w:rsidR="00513917" w:rsidRDefault="00FB7B57" w:rsidP="00513917">
      <w:pPr>
        <w:rPr>
          <w:rFonts w:asciiTheme="minorHAnsi" w:eastAsia="Calibri" w:hAnsiTheme="minorHAnsi" w:cs="Times New Roman"/>
        </w:rPr>
      </w:pPr>
      <w:r>
        <w:rPr>
          <w:rFonts w:asciiTheme="minorHAnsi" w:eastAsia="Calibri" w:hAnsiTheme="minorHAnsi" w:cs="Times New Roman"/>
        </w:rPr>
        <w:t>Although there is</w:t>
      </w:r>
      <w:r w:rsidR="00513917">
        <w:rPr>
          <w:rFonts w:asciiTheme="minorHAnsi" w:eastAsia="Calibri" w:hAnsiTheme="minorHAnsi" w:cs="Times New Roman"/>
        </w:rPr>
        <w:t xml:space="preserve"> no </w:t>
      </w:r>
      <w:r w:rsidR="00513917" w:rsidRPr="00FE5120">
        <w:rPr>
          <w:rFonts w:asciiTheme="minorHAnsi" w:eastAsia="Calibri" w:hAnsiTheme="minorHAnsi" w:cs="Times New Roman"/>
        </w:rPr>
        <w:t xml:space="preserve">requirement to share data held before the </w:t>
      </w:r>
      <w:r w:rsidR="00513917">
        <w:rPr>
          <w:rFonts w:asciiTheme="minorHAnsi" w:eastAsia="Calibri" w:hAnsiTheme="minorHAnsi" w:cs="Times New Roman"/>
        </w:rPr>
        <w:t>‘</w:t>
      </w:r>
      <w:r w:rsidR="00513917" w:rsidRPr="00FE5120">
        <w:rPr>
          <w:rFonts w:asciiTheme="minorHAnsi" w:eastAsia="Calibri" w:hAnsiTheme="minorHAnsi" w:cs="Times New Roman"/>
        </w:rPr>
        <w:t>earliest holding day</w:t>
      </w:r>
      <w:r w:rsidR="00513917">
        <w:rPr>
          <w:rFonts w:asciiTheme="minorHAnsi" w:eastAsia="Calibri" w:hAnsiTheme="minorHAnsi" w:cs="Times New Roman"/>
        </w:rPr>
        <w:t>’</w:t>
      </w:r>
      <w:r w:rsidR="00513917" w:rsidRPr="00FE5120">
        <w:rPr>
          <w:rFonts w:asciiTheme="minorHAnsi" w:eastAsia="Calibri" w:hAnsiTheme="minorHAnsi" w:cs="Times New Roman"/>
        </w:rPr>
        <w:t xml:space="preserve"> specified in the </w:t>
      </w:r>
      <w:r w:rsidR="00150A19">
        <w:rPr>
          <w:rFonts w:asciiTheme="minorHAnsi" w:eastAsia="Calibri" w:hAnsiTheme="minorHAnsi" w:cs="Times New Roman"/>
        </w:rPr>
        <w:t>D</w:t>
      </w:r>
      <w:r w:rsidR="00513917" w:rsidRPr="00FE5120">
        <w:rPr>
          <w:rFonts w:asciiTheme="minorHAnsi" w:eastAsia="Calibri" w:hAnsiTheme="minorHAnsi" w:cs="Times New Roman"/>
        </w:rPr>
        <w:t xml:space="preserve">esignation </w:t>
      </w:r>
      <w:r w:rsidR="00150A19">
        <w:rPr>
          <w:rFonts w:asciiTheme="minorHAnsi" w:eastAsia="Calibri" w:hAnsiTheme="minorHAnsi" w:cs="Times New Roman"/>
        </w:rPr>
        <w:t>I</w:t>
      </w:r>
      <w:r w:rsidR="00513917" w:rsidRPr="00FE5120">
        <w:rPr>
          <w:rFonts w:asciiTheme="minorHAnsi" w:eastAsia="Calibri" w:hAnsiTheme="minorHAnsi" w:cs="Times New Roman"/>
        </w:rPr>
        <w:t>nstrument, this data could be provided by a data holder as voluntary data.</w:t>
      </w:r>
    </w:p>
    <w:p w14:paraId="65F0DFCD" w14:textId="77777777" w:rsidR="009D106D" w:rsidRPr="0059124D" w:rsidRDefault="009D106D" w:rsidP="009D106D">
      <w:pPr>
        <w:pBdr>
          <w:top w:val="single" w:sz="4" w:space="1" w:color="auto"/>
          <w:left w:val="single" w:sz="4" w:space="4" w:color="auto"/>
          <w:bottom w:val="single" w:sz="4" w:space="1" w:color="auto"/>
          <w:right w:val="single" w:sz="4" w:space="4" w:color="auto"/>
        </w:pBdr>
        <w:rPr>
          <w:rFonts w:asciiTheme="minorHAnsi" w:eastAsia="Calibri" w:hAnsiTheme="minorHAnsi" w:cs="Times New Roman"/>
          <w:b/>
          <w:bCs/>
        </w:rPr>
      </w:pPr>
      <w:r w:rsidRPr="0059124D">
        <w:rPr>
          <w:rFonts w:asciiTheme="minorHAnsi" w:eastAsia="Calibri" w:hAnsiTheme="minorHAnsi" w:cs="Times New Roman"/>
          <w:b/>
          <w:bCs/>
        </w:rPr>
        <w:t>Consultation question</w:t>
      </w:r>
    </w:p>
    <w:p w14:paraId="5F60E3B5" w14:textId="5ABB328A" w:rsidR="009D106D" w:rsidRPr="009D106D" w:rsidRDefault="009D106D" w:rsidP="0060776D">
      <w:pPr>
        <w:pStyle w:val="ListParagraph"/>
        <w:numPr>
          <w:ilvl w:val="0"/>
          <w:numId w:val="31"/>
        </w:numPr>
        <w:pBdr>
          <w:top w:val="single" w:sz="4" w:space="1" w:color="auto"/>
          <w:left w:val="single" w:sz="4" w:space="4" w:color="auto"/>
          <w:bottom w:val="single" w:sz="4" w:space="1" w:color="auto"/>
          <w:right w:val="single" w:sz="4" w:space="4" w:color="auto"/>
        </w:pBdr>
      </w:pPr>
      <w:r>
        <w:t xml:space="preserve">Is the proposed approach to historical </w:t>
      </w:r>
      <w:r w:rsidR="004342DF">
        <w:t xml:space="preserve">data </w:t>
      </w:r>
      <w:r>
        <w:t>and closed accounts appropriate for the non-bank lending sector?</w:t>
      </w:r>
    </w:p>
    <w:p w14:paraId="6CF56F05" w14:textId="69584F22" w:rsidR="00513917" w:rsidRPr="008F261A" w:rsidRDefault="00125B1C" w:rsidP="005E2864">
      <w:pPr>
        <w:pStyle w:val="Heading3"/>
      </w:pPr>
      <w:bookmarkStart w:id="26" w:name="_Toc120881034"/>
      <w:r w:rsidRPr="00125B1C">
        <w:rPr>
          <w:rFonts w:eastAsia="Calibri"/>
        </w:rPr>
        <w:t>What data is</w:t>
      </w:r>
      <w:r w:rsidRPr="008F261A">
        <w:t xml:space="preserve"> excluded from data sharing requirements?</w:t>
      </w:r>
      <w:bookmarkEnd w:id="26"/>
    </w:p>
    <w:p w14:paraId="6C41F911" w14:textId="75BB320C" w:rsidR="00125B1C" w:rsidRDefault="00125B1C" w:rsidP="00125B1C">
      <w:pPr>
        <w:rPr>
          <w:rFonts w:asciiTheme="minorHAnsi" w:eastAsia="Calibri" w:hAnsiTheme="minorHAnsi" w:cs="Times New Roman"/>
        </w:rPr>
      </w:pPr>
      <w:r>
        <w:rPr>
          <w:rFonts w:asciiTheme="minorHAnsi" w:eastAsia="Calibri" w:hAnsiTheme="minorHAnsi" w:cs="Times New Roman"/>
        </w:rPr>
        <w:t>The Report recommend</w:t>
      </w:r>
      <w:r w:rsidR="00452609">
        <w:rPr>
          <w:rFonts w:asciiTheme="minorHAnsi" w:eastAsia="Calibri" w:hAnsiTheme="minorHAnsi" w:cs="Times New Roman"/>
        </w:rPr>
        <w:t>ed</w:t>
      </w:r>
      <w:r>
        <w:rPr>
          <w:rFonts w:asciiTheme="minorHAnsi" w:eastAsia="Calibri" w:hAnsiTheme="minorHAnsi" w:cs="Times New Roman"/>
        </w:rPr>
        <w:t xml:space="preserve"> that hardship information be excluded by the non-bank lending rules on the basis that the privacy risks of sharing this information are likely to outweigh the benefits.</w:t>
      </w:r>
    </w:p>
    <w:p w14:paraId="6B2F785E" w14:textId="17E8E439" w:rsidR="008F261A" w:rsidRDefault="00513917" w:rsidP="001C02D5">
      <w:pPr>
        <w:rPr>
          <w:rFonts w:eastAsia="Calibri"/>
        </w:rPr>
      </w:pPr>
      <w:r>
        <w:rPr>
          <w:rFonts w:asciiTheme="minorHAnsi" w:eastAsia="Calibri" w:hAnsiTheme="minorHAnsi" w:cs="Times New Roman"/>
        </w:rPr>
        <w:lastRenderedPageBreak/>
        <w:t>Th</w:t>
      </w:r>
      <w:r w:rsidR="00125B1C">
        <w:rPr>
          <w:rFonts w:asciiTheme="minorHAnsi" w:eastAsia="Calibri" w:hAnsiTheme="minorHAnsi" w:cs="Times New Roman"/>
        </w:rPr>
        <w:t>is is consistent with the treatment of hardship information under the</w:t>
      </w:r>
      <w:r>
        <w:rPr>
          <w:rFonts w:asciiTheme="minorHAnsi" w:eastAsia="Calibri" w:hAnsiTheme="minorHAnsi" w:cs="Times New Roman"/>
        </w:rPr>
        <w:t xml:space="preserve"> energy </w:t>
      </w:r>
      <w:r w:rsidR="00CE6056">
        <w:rPr>
          <w:rFonts w:asciiTheme="minorHAnsi" w:eastAsia="Calibri" w:hAnsiTheme="minorHAnsi" w:cs="Times New Roman"/>
        </w:rPr>
        <w:t>R</w:t>
      </w:r>
      <w:r>
        <w:rPr>
          <w:rFonts w:asciiTheme="minorHAnsi" w:eastAsia="Calibri" w:hAnsiTheme="minorHAnsi" w:cs="Times New Roman"/>
        </w:rPr>
        <w:t>ules</w:t>
      </w:r>
      <w:r w:rsidR="00125B1C">
        <w:rPr>
          <w:rFonts w:asciiTheme="minorHAnsi" w:eastAsia="Calibri" w:hAnsiTheme="minorHAnsi" w:cs="Times New Roman"/>
        </w:rPr>
        <w:t>, which</w:t>
      </w:r>
      <w:r>
        <w:rPr>
          <w:rFonts w:asciiTheme="minorHAnsi" w:eastAsia="Calibri" w:hAnsiTheme="minorHAnsi" w:cs="Times New Roman"/>
        </w:rPr>
        <w:t xml:space="preserve"> explicitly exclude information about whether a customer’s account is associated with a hardship program. </w:t>
      </w:r>
      <w:r w:rsidR="00125B1C">
        <w:rPr>
          <w:rFonts w:asciiTheme="minorHAnsi" w:eastAsia="Calibri" w:hAnsiTheme="minorHAnsi" w:cs="Times New Roman"/>
        </w:rPr>
        <w:t xml:space="preserve">A similar </w:t>
      </w:r>
      <w:r w:rsidR="00EC5008">
        <w:rPr>
          <w:rFonts w:asciiTheme="minorHAnsi" w:eastAsia="Calibri" w:hAnsiTheme="minorHAnsi" w:cs="Times New Roman"/>
        </w:rPr>
        <w:t xml:space="preserve">approach is expected to be taken in the </w:t>
      </w:r>
      <w:r w:rsidR="00790328">
        <w:rPr>
          <w:rFonts w:asciiTheme="minorHAnsi" w:eastAsia="Calibri" w:hAnsiTheme="minorHAnsi" w:cs="Times New Roman"/>
        </w:rPr>
        <w:t>telecommunications</w:t>
      </w:r>
      <w:r w:rsidR="00EC5008">
        <w:rPr>
          <w:rFonts w:asciiTheme="minorHAnsi" w:eastAsia="Calibri" w:hAnsiTheme="minorHAnsi" w:cs="Times New Roman"/>
        </w:rPr>
        <w:t xml:space="preserve"> sector.</w:t>
      </w:r>
    </w:p>
    <w:p w14:paraId="091B4075" w14:textId="430A5C28" w:rsidR="00513917" w:rsidRPr="00452609" w:rsidRDefault="00513917" w:rsidP="005E2864">
      <w:pPr>
        <w:pStyle w:val="Heading4"/>
        <w:rPr>
          <w:rFonts w:asciiTheme="minorHAnsi" w:eastAsia="Calibri" w:hAnsiTheme="minorHAnsi" w:cs="Times New Roman"/>
        </w:rPr>
      </w:pPr>
      <w:r w:rsidRPr="00452609">
        <w:rPr>
          <w:rFonts w:eastAsia="Calibri"/>
        </w:rPr>
        <w:t>P</w:t>
      </w:r>
      <w:r w:rsidRPr="00452609">
        <w:rPr>
          <w:rFonts w:asciiTheme="minorHAnsi" w:eastAsia="Calibri" w:hAnsiTheme="minorHAnsi" w:cs="Times New Roman"/>
        </w:rPr>
        <w:t>roposed approach</w:t>
      </w:r>
    </w:p>
    <w:p w14:paraId="36999FD1" w14:textId="2D7DB389" w:rsidR="00513917" w:rsidRDefault="00513917" w:rsidP="00513917">
      <w:pPr>
        <w:spacing w:after="240"/>
        <w:rPr>
          <w:rFonts w:asciiTheme="minorHAnsi" w:eastAsia="Calibri" w:hAnsiTheme="minorHAnsi" w:cs="Times New Roman"/>
        </w:rPr>
      </w:pPr>
      <w:bookmarkStart w:id="27" w:name="_Hlk119062978"/>
      <w:r>
        <w:rPr>
          <w:rFonts w:asciiTheme="minorHAnsi" w:eastAsia="Calibri" w:hAnsiTheme="minorHAnsi" w:cs="Times New Roman"/>
        </w:rPr>
        <w:t xml:space="preserve">Treasury proposes to explicitly exclude from the meaning of </w:t>
      </w:r>
      <w:r w:rsidR="007420BC">
        <w:rPr>
          <w:rFonts w:asciiTheme="minorHAnsi" w:eastAsia="Calibri" w:hAnsiTheme="minorHAnsi" w:cs="Times New Roman"/>
        </w:rPr>
        <w:t>“</w:t>
      </w:r>
      <w:r>
        <w:rPr>
          <w:rFonts w:asciiTheme="minorHAnsi" w:eastAsia="Calibri" w:hAnsiTheme="minorHAnsi" w:cs="Times New Roman"/>
        </w:rPr>
        <w:t>account data</w:t>
      </w:r>
      <w:r w:rsidR="007420BC">
        <w:rPr>
          <w:rFonts w:asciiTheme="minorHAnsi" w:eastAsia="Calibri" w:hAnsiTheme="minorHAnsi" w:cs="Times New Roman"/>
        </w:rPr>
        <w:t>”</w:t>
      </w:r>
      <w:r>
        <w:rPr>
          <w:rFonts w:asciiTheme="minorHAnsi" w:eastAsia="Calibri" w:hAnsiTheme="minorHAnsi" w:cs="Times New Roman"/>
        </w:rPr>
        <w:t xml:space="preserve"> in the non-bank lending rules:</w:t>
      </w:r>
    </w:p>
    <w:bookmarkEnd w:id="27"/>
    <w:p w14:paraId="3E94E852" w14:textId="4931AD59" w:rsidR="00513917" w:rsidRDefault="00513917" w:rsidP="00513917">
      <w:pPr>
        <w:pStyle w:val="Bullet"/>
        <w:rPr>
          <w:rFonts w:eastAsia="Calibri" w:cs="Times New Roman"/>
        </w:rPr>
      </w:pPr>
      <w:r w:rsidRPr="00BF3AE6">
        <w:rPr>
          <w:rFonts w:eastAsia="Calibri" w:cs="Times New Roman"/>
        </w:rPr>
        <w:t xml:space="preserve">financial hardship information as defined by the comprehensive credit reporting regime (which </w:t>
      </w:r>
      <w:r>
        <w:rPr>
          <w:rFonts w:eastAsia="Calibri" w:cs="Times New Roman"/>
        </w:rPr>
        <w:t>be</w:t>
      </w:r>
      <w:r w:rsidRPr="00BF3AE6">
        <w:rPr>
          <w:rFonts w:eastAsia="Calibri" w:cs="Times New Roman"/>
        </w:rPr>
        <w:t xml:space="preserve">came available </w:t>
      </w:r>
      <w:r>
        <w:rPr>
          <w:rFonts w:eastAsia="Calibri" w:cs="Times New Roman"/>
        </w:rPr>
        <w:t xml:space="preserve">on </w:t>
      </w:r>
      <w:r w:rsidRPr="00BF3AE6">
        <w:rPr>
          <w:rFonts w:eastAsia="Calibri" w:cs="Times New Roman"/>
        </w:rPr>
        <w:t>1 July 2022).</w:t>
      </w:r>
    </w:p>
    <w:p w14:paraId="11D41A8F" w14:textId="19D06981" w:rsidR="00BC55F4" w:rsidRDefault="00BC55F4" w:rsidP="00BC55F4">
      <w:pPr>
        <w:pStyle w:val="Bullet"/>
        <w:numPr>
          <w:ilvl w:val="0"/>
          <w:numId w:val="0"/>
        </w:numPr>
        <w:rPr>
          <w:rFonts w:eastAsia="Calibri" w:cs="Times New Roman"/>
        </w:rPr>
      </w:pPr>
      <w:r>
        <w:rPr>
          <w:rFonts w:eastAsia="Calibri" w:cs="Times New Roman"/>
        </w:rPr>
        <w:t xml:space="preserve">For consistency, Treasury also proposes similar changes to the banking Rules. This is newly created information that has come into existence since developing the </w:t>
      </w:r>
      <w:proofErr w:type="gramStart"/>
      <w:r>
        <w:rPr>
          <w:rFonts w:eastAsia="Calibri" w:cs="Times New Roman"/>
        </w:rPr>
        <w:t>banking</w:t>
      </w:r>
      <w:proofErr w:type="gramEnd"/>
      <w:r>
        <w:rPr>
          <w:rFonts w:eastAsia="Calibri" w:cs="Times New Roman"/>
        </w:rPr>
        <w:t xml:space="preserve"> Rules. It is appropriate for this process to consider the suitability of sharing this information by banks.</w:t>
      </w:r>
    </w:p>
    <w:p w14:paraId="60623762" w14:textId="34822711" w:rsidR="00950540" w:rsidRPr="00E41B9A" w:rsidRDefault="00950540" w:rsidP="00E41B9A">
      <w:pPr>
        <w:pStyle w:val="Bullet"/>
        <w:numPr>
          <w:ilvl w:val="0"/>
          <w:numId w:val="0"/>
        </w:numPr>
        <w:pBdr>
          <w:top w:val="single" w:sz="4" w:space="1" w:color="auto"/>
          <w:left w:val="single" w:sz="4" w:space="4" w:color="auto"/>
          <w:bottom w:val="single" w:sz="4" w:space="1" w:color="auto"/>
          <w:right w:val="single" w:sz="4" w:space="4" w:color="auto"/>
        </w:pBdr>
        <w:ind w:left="520" w:hanging="520"/>
        <w:rPr>
          <w:rFonts w:eastAsia="Calibri" w:cs="Times New Roman"/>
          <w:b/>
          <w:bCs/>
        </w:rPr>
      </w:pPr>
      <w:r w:rsidRPr="00E41B9A">
        <w:rPr>
          <w:rFonts w:eastAsia="Calibri" w:cs="Times New Roman"/>
          <w:b/>
          <w:bCs/>
        </w:rPr>
        <w:t>Consultation questions</w:t>
      </w:r>
    </w:p>
    <w:p w14:paraId="002190B8" w14:textId="1ABE9D87" w:rsidR="00950540" w:rsidRDefault="00950540" w:rsidP="008F261A">
      <w:pPr>
        <w:pStyle w:val="Bullet"/>
        <w:numPr>
          <w:ilvl w:val="0"/>
          <w:numId w:val="31"/>
        </w:numPr>
        <w:pBdr>
          <w:top w:val="single" w:sz="4" w:space="1" w:color="auto"/>
          <w:left w:val="single" w:sz="4" w:space="4" w:color="auto"/>
          <w:bottom w:val="single" w:sz="4" w:space="1" w:color="auto"/>
          <w:right w:val="single" w:sz="4" w:space="4" w:color="auto"/>
        </w:pBdr>
        <w:rPr>
          <w:rFonts w:eastAsia="Calibri" w:cs="Times New Roman"/>
        </w:rPr>
      </w:pPr>
      <w:r>
        <w:rPr>
          <w:rFonts w:eastAsia="Calibri" w:cs="Times New Roman"/>
        </w:rPr>
        <w:t>Should ‘financial hardship information’</w:t>
      </w:r>
      <w:r w:rsidR="003F0E1C">
        <w:rPr>
          <w:rFonts w:eastAsia="Calibri" w:cs="Times New Roman"/>
        </w:rPr>
        <w:t>,</w:t>
      </w:r>
      <w:r>
        <w:rPr>
          <w:rFonts w:eastAsia="Calibri" w:cs="Times New Roman"/>
        </w:rPr>
        <w:t xml:space="preserve"> as defined by the credit reporting regime</w:t>
      </w:r>
      <w:r w:rsidR="003F0E1C">
        <w:rPr>
          <w:rFonts w:eastAsia="Calibri" w:cs="Times New Roman"/>
        </w:rPr>
        <w:t>,</w:t>
      </w:r>
      <w:r w:rsidR="003E17CA">
        <w:rPr>
          <w:rFonts w:eastAsia="Calibri" w:cs="Times New Roman"/>
        </w:rPr>
        <w:t xml:space="preserve"> be explicitly excluded from data sharing requirements? If so, are there implications </w:t>
      </w:r>
      <w:r w:rsidR="00352BE8">
        <w:rPr>
          <w:rFonts w:eastAsia="Calibri" w:cs="Times New Roman"/>
        </w:rPr>
        <w:t>for</w:t>
      </w:r>
      <w:r w:rsidR="003E17CA" w:rsidDel="00352BE8">
        <w:rPr>
          <w:rFonts w:eastAsia="Calibri" w:cs="Times New Roman"/>
        </w:rPr>
        <w:t xml:space="preserve"> </w:t>
      </w:r>
      <w:r w:rsidR="003E17CA">
        <w:rPr>
          <w:rFonts w:eastAsia="Calibri" w:cs="Times New Roman"/>
        </w:rPr>
        <w:t>doing so given the interaction with the credit reporting regime</w:t>
      </w:r>
      <w:r w:rsidR="00352BE8">
        <w:rPr>
          <w:rFonts w:eastAsia="Calibri" w:cs="Times New Roman"/>
        </w:rPr>
        <w:t>?</w:t>
      </w:r>
    </w:p>
    <w:p w14:paraId="3E42ACFC" w14:textId="1DAE1724" w:rsidR="00E41B9A" w:rsidRDefault="00E41B9A" w:rsidP="008F261A">
      <w:pPr>
        <w:pStyle w:val="Bullet"/>
        <w:numPr>
          <w:ilvl w:val="0"/>
          <w:numId w:val="31"/>
        </w:numPr>
        <w:pBdr>
          <w:top w:val="single" w:sz="4" w:space="1" w:color="auto"/>
          <w:left w:val="single" w:sz="4" w:space="4" w:color="auto"/>
          <w:bottom w:val="single" w:sz="4" w:space="1" w:color="auto"/>
          <w:right w:val="single" w:sz="4" w:space="4" w:color="auto"/>
        </w:pBdr>
        <w:rPr>
          <w:rFonts w:eastAsia="Calibri" w:cs="Times New Roman"/>
        </w:rPr>
      </w:pPr>
      <w:r>
        <w:rPr>
          <w:rFonts w:eastAsia="Calibri" w:cs="Times New Roman"/>
        </w:rPr>
        <w:t>Are there other data</w:t>
      </w:r>
      <w:r w:rsidR="003F0E1C">
        <w:rPr>
          <w:rFonts w:eastAsia="Calibri" w:cs="Times New Roman"/>
        </w:rPr>
        <w:t xml:space="preserve"> </w:t>
      </w:r>
      <w:r>
        <w:rPr>
          <w:rFonts w:eastAsia="Calibri" w:cs="Times New Roman"/>
        </w:rPr>
        <w:t xml:space="preserve">sets that should be </w:t>
      </w:r>
      <w:r w:rsidR="0027784C">
        <w:rPr>
          <w:rFonts w:eastAsia="Calibri" w:cs="Times New Roman"/>
        </w:rPr>
        <w:t>explicitly</w:t>
      </w:r>
      <w:r>
        <w:rPr>
          <w:rFonts w:eastAsia="Calibri" w:cs="Times New Roman"/>
        </w:rPr>
        <w:t xml:space="preserve"> excluded from the scope of ‘required consumer data’ on privacy grounds</w:t>
      </w:r>
      <w:r w:rsidR="00452609">
        <w:rPr>
          <w:rFonts w:eastAsia="Calibri" w:cs="Times New Roman"/>
        </w:rPr>
        <w:t>?</w:t>
      </w:r>
    </w:p>
    <w:p w14:paraId="436960E8" w14:textId="50D8E01E" w:rsidR="004342DF" w:rsidRPr="00730410" w:rsidRDefault="004342DF" w:rsidP="008F261A">
      <w:pPr>
        <w:pStyle w:val="Bullet"/>
        <w:numPr>
          <w:ilvl w:val="0"/>
          <w:numId w:val="31"/>
        </w:numPr>
        <w:pBdr>
          <w:top w:val="single" w:sz="4" w:space="1" w:color="auto"/>
          <w:left w:val="single" w:sz="4" w:space="4" w:color="auto"/>
          <w:bottom w:val="single" w:sz="4" w:space="1" w:color="auto"/>
          <w:right w:val="single" w:sz="4" w:space="4" w:color="auto"/>
        </w:pBdr>
        <w:rPr>
          <w:rFonts w:eastAsia="Calibri" w:cs="Times New Roman"/>
        </w:rPr>
      </w:pPr>
      <w:r>
        <w:rPr>
          <w:rFonts w:eastAsia="Calibri" w:cs="Times New Roman"/>
        </w:rPr>
        <w:t>Are there any other interactions between the CDR and the credit reporting regime that present compliance issues or where entities have conflicting obligations?</w:t>
      </w:r>
    </w:p>
    <w:p w14:paraId="080906C5" w14:textId="14169624" w:rsidR="00364CBF" w:rsidRDefault="003C305B" w:rsidP="00F21C9A">
      <w:pPr>
        <w:pStyle w:val="Heading2"/>
        <w:keepLines/>
        <w:spacing w:after="240"/>
        <w:rPr>
          <w:rFonts w:eastAsia="Calibri"/>
        </w:rPr>
      </w:pPr>
      <w:bookmarkStart w:id="28" w:name="_Toc120881035"/>
      <w:r>
        <w:rPr>
          <w:rFonts w:eastAsia="Calibri"/>
        </w:rPr>
        <w:t>Eligible CDR consumers in the</w:t>
      </w:r>
      <w:r w:rsidR="00364CBF" w:rsidRPr="00364CBF">
        <w:rPr>
          <w:rFonts w:eastAsia="Calibri"/>
        </w:rPr>
        <w:t xml:space="preserve"> non-bank lending </w:t>
      </w:r>
      <w:r w:rsidR="00586182">
        <w:rPr>
          <w:rFonts w:eastAsia="Calibri"/>
        </w:rPr>
        <w:t>sector</w:t>
      </w:r>
      <w:bookmarkEnd w:id="28"/>
    </w:p>
    <w:p w14:paraId="37B92B5C" w14:textId="2F6DC08F" w:rsidR="0019635A" w:rsidRDefault="0019635A" w:rsidP="00F21C9A">
      <w:pPr>
        <w:pStyle w:val="Heading3"/>
        <w:keepLines/>
        <w:rPr>
          <w:rFonts w:eastAsia="Calibri"/>
        </w:rPr>
      </w:pPr>
      <w:bookmarkStart w:id="29" w:name="_Toc120881036"/>
      <w:r>
        <w:rPr>
          <w:rFonts w:eastAsia="Calibri"/>
        </w:rPr>
        <w:t>Definition of eligible c</w:t>
      </w:r>
      <w:r w:rsidR="00AF7E35">
        <w:rPr>
          <w:rFonts w:eastAsia="Calibri"/>
        </w:rPr>
        <w:t>onsumer</w:t>
      </w:r>
      <w:bookmarkEnd w:id="29"/>
    </w:p>
    <w:p w14:paraId="0E1EF953" w14:textId="467D4ACF" w:rsidR="00A652B4" w:rsidRDefault="00A652B4" w:rsidP="00A652B4">
      <w:pPr>
        <w:rPr>
          <w:rFonts w:asciiTheme="minorHAnsi" w:eastAsia="Calibri" w:hAnsiTheme="minorHAnsi" w:cs="Times New Roman"/>
        </w:rPr>
      </w:pPr>
      <w:r w:rsidRPr="00364CBF">
        <w:rPr>
          <w:rFonts w:asciiTheme="minorHAnsi" w:eastAsia="Calibri" w:hAnsiTheme="minorHAnsi" w:cs="Times New Roman"/>
        </w:rPr>
        <w:t>The concept of an 'eligible' CDR consumer refers to consumers who can make consumer data requests to access or transfer their data. The CDR rules contain a sector-neutral definition of ‘eligible’ CDR consumer</w:t>
      </w:r>
      <w:r w:rsidR="00352BE8">
        <w:rPr>
          <w:rFonts w:asciiTheme="minorHAnsi" w:eastAsia="Calibri" w:hAnsiTheme="minorHAnsi" w:cs="Times New Roman"/>
        </w:rPr>
        <w:t>;</w:t>
      </w:r>
      <w:r w:rsidRPr="00364CBF">
        <w:rPr>
          <w:rFonts w:asciiTheme="minorHAnsi" w:eastAsia="Calibri" w:hAnsiTheme="minorHAnsi" w:cs="Times New Roman"/>
        </w:rPr>
        <w:t xml:space="preserve"> however</w:t>
      </w:r>
      <w:r w:rsidR="008A1353">
        <w:rPr>
          <w:rFonts w:asciiTheme="minorHAnsi" w:eastAsia="Calibri" w:hAnsiTheme="minorHAnsi" w:cs="Times New Roman"/>
        </w:rPr>
        <w:t>,</w:t>
      </w:r>
      <w:r w:rsidRPr="00364CBF">
        <w:rPr>
          <w:rFonts w:asciiTheme="minorHAnsi" w:eastAsia="Calibri" w:hAnsiTheme="minorHAnsi" w:cs="Times New Roman"/>
        </w:rPr>
        <w:t xml:space="preserve"> this can be</w:t>
      </w:r>
      <w:r w:rsidR="00A6616D">
        <w:rPr>
          <w:rFonts w:asciiTheme="minorHAnsi" w:eastAsia="Calibri" w:hAnsiTheme="minorHAnsi" w:cs="Times New Roman"/>
        </w:rPr>
        <w:t xml:space="preserve"> augmented </w:t>
      </w:r>
      <w:r w:rsidRPr="00364CBF">
        <w:rPr>
          <w:rFonts w:asciiTheme="minorHAnsi" w:eastAsia="Calibri" w:hAnsiTheme="minorHAnsi" w:cs="Times New Roman"/>
        </w:rPr>
        <w:t xml:space="preserve">as required </w:t>
      </w:r>
      <w:r w:rsidR="004342DF">
        <w:rPr>
          <w:rFonts w:asciiTheme="minorHAnsi" w:eastAsia="Calibri" w:hAnsiTheme="minorHAnsi" w:cs="Times New Roman"/>
        </w:rPr>
        <w:t>within the</w:t>
      </w:r>
      <w:r w:rsidRPr="00364CBF">
        <w:rPr>
          <w:rFonts w:asciiTheme="minorHAnsi" w:eastAsia="Calibri" w:hAnsiTheme="minorHAnsi" w:cs="Times New Roman"/>
        </w:rPr>
        <w:t xml:space="preserve"> sector-specific </w:t>
      </w:r>
      <w:r w:rsidR="004342DF">
        <w:rPr>
          <w:rFonts w:asciiTheme="minorHAnsi" w:eastAsia="Calibri" w:hAnsiTheme="minorHAnsi" w:cs="Times New Roman"/>
        </w:rPr>
        <w:t>schedule</w:t>
      </w:r>
      <w:r w:rsidRPr="00364CBF">
        <w:rPr>
          <w:rFonts w:asciiTheme="minorHAnsi" w:eastAsia="Calibri" w:hAnsiTheme="minorHAnsi" w:cs="Times New Roman"/>
        </w:rPr>
        <w:t>.</w:t>
      </w:r>
    </w:p>
    <w:p w14:paraId="22350144" w14:textId="77088F62" w:rsidR="00CF5CB4" w:rsidRDefault="00CF5CB4" w:rsidP="00A652B4">
      <w:pPr>
        <w:rPr>
          <w:rFonts w:asciiTheme="minorHAnsi" w:eastAsia="Calibri" w:hAnsiTheme="minorHAnsi" w:cs="Times New Roman"/>
        </w:rPr>
      </w:pPr>
      <w:r>
        <w:rPr>
          <w:rFonts w:asciiTheme="minorHAnsi" w:eastAsia="Calibri" w:hAnsiTheme="minorHAnsi" w:cs="Times New Roman"/>
        </w:rPr>
        <w:t>The sector-</w:t>
      </w:r>
      <w:r w:rsidR="008A1353">
        <w:rPr>
          <w:rFonts w:asciiTheme="minorHAnsi" w:eastAsia="Calibri" w:hAnsiTheme="minorHAnsi" w:cs="Times New Roman"/>
        </w:rPr>
        <w:t xml:space="preserve">agnostic </w:t>
      </w:r>
      <w:r>
        <w:rPr>
          <w:rFonts w:asciiTheme="minorHAnsi" w:eastAsia="Calibri" w:hAnsiTheme="minorHAnsi" w:cs="Times New Roman"/>
        </w:rPr>
        <w:t xml:space="preserve">definition of ‘eligible CDR consumer’ </w:t>
      </w:r>
      <w:r w:rsidR="00352BE8">
        <w:rPr>
          <w:rFonts w:asciiTheme="minorHAnsi" w:eastAsia="Calibri" w:hAnsiTheme="minorHAnsi" w:cs="Times New Roman"/>
        </w:rPr>
        <w:t>in</w:t>
      </w:r>
      <w:r>
        <w:rPr>
          <w:rFonts w:asciiTheme="minorHAnsi" w:eastAsia="Calibri" w:hAnsiTheme="minorHAnsi" w:cs="Times New Roman"/>
        </w:rPr>
        <w:t xml:space="preserve"> rule 1.10B</w:t>
      </w:r>
      <w:r w:rsidDel="00352BE8">
        <w:rPr>
          <w:rFonts w:asciiTheme="minorHAnsi" w:eastAsia="Calibri" w:hAnsiTheme="minorHAnsi" w:cs="Times New Roman"/>
        </w:rPr>
        <w:t xml:space="preserve"> </w:t>
      </w:r>
      <w:r>
        <w:rPr>
          <w:rFonts w:asciiTheme="minorHAnsi" w:eastAsia="Calibri" w:hAnsiTheme="minorHAnsi" w:cs="Times New Roman"/>
        </w:rPr>
        <w:t>states that, subject to any additional criterial set by sector-specific rules, a CDR consumer is eligible in relation to a particular data holder at a particular time if, at that time:</w:t>
      </w:r>
    </w:p>
    <w:p w14:paraId="03A1F2DD" w14:textId="6314CBC0" w:rsidR="00CF5CB4" w:rsidRDefault="00CF5CB4" w:rsidP="00470DC3">
      <w:pPr>
        <w:pStyle w:val="ListParagraph"/>
        <w:numPr>
          <w:ilvl w:val="0"/>
          <w:numId w:val="33"/>
        </w:numPr>
        <w:rPr>
          <w:rFonts w:asciiTheme="minorHAnsi" w:eastAsia="Calibri" w:hAnsiTheme="minorHAnsi" w:cs="Times New Roman"/>
        </w:rPr>
      </w:pPr>
      <w:r>
        <w:rPr>
          <w:rFonts w:asciiTheme="minorHAnsi" w:eastAsia="Calibri" w:hAnsiTheme="minorHAnsi" w:cs="Times New Roman"/>
        </w:rPr>
        <w:t xml:space="preserve">The CDR consumer is either an individual who is 18 years or older or a person who is not an individual; and </w:t>
      </w:r>
    </w:p>
    <w:p w14:paraId="720E0B01" w14:textId="482A3913" w:rsidR="00CF5CB4" w:rsidRPr="00CF5CB4" w:rsidRDefault="00CF5CB4" w:rsidP="00470DC3">
      <w:pPr>
        <w:pStyle w:val="ListParagraph"/>
        <w:numPr>
          <w:ilvl w:val="0"/>
          <w:numId w:val="33"/>
        </w:numPr>
        <w:rPr>
          <w:rFonts w:asciiTheme="minorHAnsi" w:eastAsia="Calibri" w:hAnsiTheme="minorHAnsi" w:cs="Times New Roman"/>
        </w:rPr>
      </w:pPr>
      <w:r>
        <w:rPr>
          <w:rFonts w:asciiTheme="minorHAnsi" w:eastAsia="Calibri" w:hAnsiTheme="minorHAnsi" w:cs="Times New Roman"/>
        </w:rPr>
        <w:t>the CDR consumer is an account holder or a secondary user for an account with the data holder that is open.</w:t>
      </w:r>
    </w:p>
    <w:p w14:paraId="29474B1A" w14:textId="504CA3E7" w:rsidR="00D514E0" w:rsidRDefault="00641236" w:rsidP="00A652B4">
      <w:pPr>
        <w:rPr>
          <w:rFonts w:asciiTheme="minorHAnsi" w:eastAsia="Calibri" w:hAnsiTheme="minorHAnsi" w:cs="Times New Roman"/>
        </w:rPr>
      </w:pPr>
      <w:r w:rsidRPr="00452609">
        <w:rPr>
          <w:rFonts w:asciiTheme="minorHAnsi" w:eastAsia="Calibri" w:hAnsiTheme="minorHAnsi" w:cs="Times New Roman"/>
        </w:rPr>
        <w:t xml:space="preserve">For the </w:t>
      </w:r>
      <w:r w:rsidR="00D514E0" w:rsidRPr="00452609">
        <w:rPr>
          <w:rFonts w:asciiTheme="minorHAnsi" w:eastAsia="Calibri" w:hAnsiTheme="minorHAnsi" w:cs="Times New Roman"/>
        </w:rPr>
        <w:t xml:space="preserve">banking </w:t>
      </w:r>
      <w:r w:rsidRPr="00452609">
        <w:rPr>
          <w:rFonts w:asciiTheme="minorHAnsi" w:eastAsia="Calibri" w:hAnsiTheme="minorHAnsi" w:cs="Times New Roman"/>
        </w:rPr>
        <w:t xml:space="preserve">sector, in addition to </w:t>
      </w:r>
      <w:r w:rsidR="00790328" w:rsidRPr="00452609">
        <w:rPr>
          <w:rFonts w:asciiTheme="minorHAnsi" w:eastAsia="Calibri" w:hAnsiTheme="minorHAnsi" w:cs="Times New Roman"/>
        </w:rPr>
        <w:t>these</w:t>
      </w:r>
      <w:r w:rsidRPr="00452609">
        <w:rPr>
          <w:rFonts w:asciiTheme="minorHAnsi" w:eastAsia="Calibri" w:hAnsiTheme="minorHAnsi" w:cs="Times New Roman"/>
        </w:rPr>
        <w:t xml:space="preserve"> criteria, the</w:t>
      </w:r>
      <w:r w:rsidR="00D514E0" w:rsidRPr="00452609">
        <w:rPr>
          <w:rFonts w:asciiTheme="minorHAnsi" w:eastAsia="Calibri" w:hAnsiTheme="minorHAnsi" w:cs="Times New Roman"/>
        </w:rPr>
        <w:t xml:space="preserve"> </w:t>
      </w:r>
      <w:r w:rsidR="00464822" w:rsidRPr="00452609">
        <w:rPr>
          <w:rFonts w:asciiTheme="minorHAnsi" w:eastAsia="Calibri" w:hAnsiTheme="minorHAnsi" w:cs="Times New Roman"/>
        </w:rPr>
        <w:t>R</w:t>
      </w:r>
      <w:r w:rsidRPr="00452609">
        <w:rPr>
          <w:rFonts w:asciiTheme="minorHAnsi" w:eastAsia="Calibri" w:hAnsiTheme="minorHAnsi" w:cs="Times New Roman"/>
        </w:rPr>
        <w:t>ules</w:t>
      </w:r>
      <w:r w:rsidR="00D514E0" w:rsidRPr="00452609">
        <w:rPr>
          <w:rFonts w:asciiTheme="minorHAnsi" w:eastAsia="Calibri" w:hAnsiTheme="minorHAnsi" w:cs="Times New Roman"/>
        </w:rPr>
        <w:t xml:space="preserve"> also </w:t>
      </w:r>
      <w:r w:rsidRPr="00452609">
        <w:rPr>
          <w:rFonts w:asciiTheme="minorHAnsi" w:eastAsia="Calibri" w:hAnsiTheme="minorHAnsi" w:cs="Times New Roman"/>
        </w:rPr>
        <w:t>require</w:t>
      </w:r>
      <w:r w:rsidR="00D514E0" w:rsidRPr="00452609">
        <w:rPr>
          <w:rFonts w:asciiTheme="minorHAnsi" w:eastAsia="Calibri" w:hAnsiTheme="minorHAnsi" w:cs="Times New Roman"/>
        </w:rPr>
        <w:t xml:space="preserve"> that the account </w:t>
      </w:r>
      <w:r w:rsidRPr="00452609">
        <w:rPr>
          <w:rFonts w:asciiTheme="minorHAnsi" w:eastAsia="Calibri" w:hAnsiTheme="minorHAnsi" w:cs="Times New Roman"/>
        </w:rPr>
        <w:t xml:space="preserve">with the data holder is set up in such a way that it </w:t>
      </w:r>
      <w:r w:rsidR="00D514E0" w:rsidRPr="00452609">
        <w:rPr>
          <w:rFonts w:asciiTheme="minorHAnsi" w:eastAsia="Calibri" w:hAnsiTheme="minorHAnsi" w:cs="Times New Roman"/>
        </w:rPr>
        <w:t xml:space="preserve">can be accessed online </w:t>
      </w:r>
      <w:r w:rsidRPr="00452609">
        <w:rPr>
          <w:rFonts w:asciiTheme="minorHAnsi" w:eastAsia="Calibri" w:hAnsiTheme="minorHAnsi" w:cs="Times New Roman"/>
        </w:rPr>
        <w:t>by the CDR consumer</w:t>
      </w:r>
      <w:r w:rsidR="00D514E0" w:rsidRPr="00452609">
        <w:rPr>
          <w:rFonts w:asciiTheme="minorHAnsi" w:eastAsia="Calibri" w:hAnsiTheme="minorHAnsi" w:cs="Times New Roman"/>
        </w:rPr>
        <w:t xml:space="preserve"> (for example, by using an internet browser or an application accessed on a </w:t>
      </w:r>
      <w:r w:rsidR="00BA1B50" w:rsidRPr="00452609">
        <w:rPr>
          <w:rFonts w:asciiTheme="minorHAnsi" w:eastAsia="Calibri" w:hAnsiTheme="minorHAnsi" w:cs="Times New Roman"/>
        </w:rPr>
        <w:t>tablet or smart</w:t>
      </w:r>
      <w:r w:rsidR="00D514E0" w:rsidRPr="00452609">
        <w:rPr>
          <w:rFonts w:asciiTheme="minorHAnsi" w:eastAsia="Calibri" w:hAnsiTheme="minorHAnsi" w:cs="Times New Roman"/>
        </w:rPr>
        <w:t xml:space="preserve"> phone).</w:t>
      </w:r>
    </w:p>
    <w:p w14:paraId="2738B188" w14:textId="44FF755D" w:rsidR="0019635A" w:rsidRPr="00452609" w:rsidRDefault="0019635A" w:rsidP="001C51D6">
      <w:pPr>
        <w:pStyle w:val="Heading3"/>
        <w:keepNext/>
        <w:rPr>
          <w:rFonts w:asciiTheme="minorHAnsi" w:eastAsia="Calibri" w:hAnsiTheme="minorHAnsi" w:cs="Times New Roman"/>
        </w:rPr>
      </w:pPr>
      <w:bookmarkStart w:id="30" w:name="_Toc120881037"/>
      <w:r w:rsidRPr="00452609">
        <w:rPr>
          <w:rFonts w:eastAsia="Calibri"/>
        </w:rPr>
        <w:lastRenderedPageBreak/>
        <w:t>Secondary users, joint accounts and nominated representatives</w:t>
      </w:r>
      <w:bookmarkEnd w:id="30"/>
    </w:p>
    <w:p w14:paraId="0A473BB4" w14:textId="19416A17" w:rsidR="0082701F" w:rsidRPr="00452609" w:rsidRDefault="0082701F" w:rsidP="00A652B4">
      <w:pPr>
        <w:rPr>
          <w:rFonts w:asciiTheme="minorHAnsi" w:eastAsia="Calibri" w:hAnsiTheme="minorHAnsi" w:cs="Times New Roman"/>
        </w:rPr>
      </w:pPr>
      <w:r w:rsidRPr="00452609">
        <w:rPr>
          <w:rFonts w:asciiTheme="minorHAnsi" w:eastAsia="Calibri" w:hAnsiTheme="minorHAnsi" w:cs="Times New Roman"/>
        </w:rPr>
        <w:t>The</w:t>
      </w:r>
      <w:r w:rsidR="00352BE8">
        <w:rPr>
          <w:rFonts w:asciiTheme="minorHAnsi" w:eastAsia="Calibri" w:hAnsiTheme="minorHAnsi" w:cs="Times New Roman"/>
        </w:rPr>
        <w:t xml:space="preserve"> ‘secondary user’</w:t>
      </w:r>
      <w:r w:rsidRPr="00452609">
        <w:rPr>
          <w:rFonts w:asciiTheme="minorHAnsi" w:eastAsia="Calibri" w:hAnsiTheme="minorHAnsi" w:cs="Times New Roman"/>
        </w:rPr>
        <w:t xml:space="preserve"> </w:t>
      </w:r>
      <w:r w:rsidR="00464822" w:rsidRPr="00452609">
        <w:rPr>
          <w:rFonts w:asciiTheme="minorHAnsi" w:eastAsia="Calibri" w:hAnsiTheme="minorHAnsi" w:cs="Times New Roman"/>
        </w:rPr>
        <w:t>R</w:t>
      </w:r>
      <w:r w:rsidRPr="00452609">
        <w:rPr>
          <w:rFonts w:asciiTheme="minorHAnsi" w:eastAsia="Calibri" w:hAnsiTheme="minorHAnsi" w:cs="Times New Roman"/>
        </w:rPr>
        <w:t>ules permit a</w:t>
      </w:r>
      <w:r w:rsidR="00066471" w:rsidRPr="00452609">
        <w:rPr>
          <w:rFonts w:asciiTheme="minorHAnsi" w:eastAsia="Calibri" w:hAnsiTheme="minorHAnsi" w:cs="Times New Roman"/>
        </w:rPr>
        <w:t xml:space="preserve"> person who is not an account holder to share CDR data from an account</w:t>
      </w:r>
      <w:r w:rsidR="00352BE8">
        <w:rPr>
          <w:rFonts w:asciiTheme="minorHAnsi" w:eastAsia="Calibri" w:hAnsiTheme="minorHAnsi" w:cs="Times New Roman"/>
        </w:rPr>
        <w:t>.</w:t>
      </w:r>
      <w:r w:rsidR="00066471" w:rsidRPr="00452609" w:rsidDel="00352BE8">
        <w:rPr>
          <w:rFonts w:asciiTheme="minorHAnsi" w:eastAsia="Calibri" w:hAnsiTheme="minorHAnsi" w:cs="Times New Roman"/>
        </w:rPr>
        <w:t xml:space="preserve"> </w:t>
      </w:r>
      <w:r w:rsidRPr="00452609">
        <w:rPr>
          <w:rFonts w:asciiTheme="minorHAnsi" w:eastAsia="Calibri" w:hAnsiTheme="minorHAnsi" w:cs="Times New Roman"/>
        </w:rPr>
        <w:t xml:space="preserve">An individual is a secondary user for an account if the person is at least 18 years of age, has account privileges and the account holder has given the relevant data holder an instruction to treat the person as a secondary user for the purposes of the </w:t>
      </w:r>
      <w:r w:rsidR="00CE6056">
        <w:rPr>
          <w:rFonts w:asciiTheme="minorHAnsi" w:eastAsia="Calibri" w:hAnsiTheme="minorHAnsi" w:cs="Times New Roman"/>
        </w:rPr>
        <w:t>R</w:t>
      </w:r>
      <w:r w:rsidRPr="00452609">
        <w:rPr>
          <w:rFonts w:asciiTheme="minorHAnsi" w:eastAsia="Calibri" w:hAnsiTheme="minorHAnsi" w:cs="Times New Roman"/>
        </w:rPr>
        <w:t xml:space="preserve">ules. A person has account privileges in the banking sector if they </w:t>
      </w:r>
      <w:proofErr w:type="gramStart"/>
      <w:r w:rsidRPr="00452609">
        <w:rPr>
          <w:rFonts w:asciiTheme="minorHAnsi" w:eastAsia="Calibri" w:hAnsiTheme="minorHAnsi" w:cs="Times New Roman"/>
        </w:rPr>
        <w:t>are able to</w:t>
      </w:r>
      <w:proofErr w:type="gramEnd"/>
      <w:r w:rsidRPr="00452609">
        <w:rPr>
          <w:rFonts w:asciiTheme="minorHAnsi" w:eastAsia="Calibri" w:hAnsiTheme="minorHAnsi" w:cs="Times New Roman"/>
        </w:rPr>
        <w:t xml:space="preserve"> make transactions on the account. </w:t>
      </w:r>
    </w:p>
    <w:p w14:paraId="0EF6D09A" w14:textId="686CEAE5" w:rsidR="0082701F" w:rsidRPr="00452609" w:rsidRDefault="0082701F" w:rsidP="00A652B4">
      <w:r w:rsidRPr="00452609">
        <w:t>Secondary users are not joint account holders.</w:t>
      </w:r>
      <w:r w:rsidR="00B04F3B" w:rsidRPr="00452609">
        <w:t xml:space="preserve"> </w:t>
      </w:r>
      <w:r w:rsidR="001D32F2" w:rsidRPr="00452609">
        <w:t>Existing sector</w:t>
      </w:r>
      <w:r w:rsidR="00A6616D">
        <w:t>-</w:t>
      </w:r>
      <w:r w:rsidR="001D32F2" w:rsidRPr="00452609">
        <w:t>agnostic</w:t>
      </w:r>
      <w:r w:rsidR="00D612B3" w:rsidRPr="00452609">
        <w:t xml:space="preserve"> </w:t>
      </w:r>
      <w:r w:rsidR="00CE6056">
        <w:t>R</w:t>
      </w:r>
      <w:r w:rsidR="00D612B3" w:rsidRPr="00452609">
        <w:t xml:space="preserve">ules deal with </w:t>
      </w:r>
      <w:r w:rsidR="00352BE8">
        <w:t xml:space="preserve">the </w:t>
      </w:r>
      <w:r w:rsidR="00D612B3" w:rsidRPr="00452609">
        <w:t>sharing</w:t>
      </w:r>
      <w:r w:rsidR="00352BE8">
        <w:t xml:space="preserve"> of</w:t>
      </w:r>
      <w:r w:rsidR="00D612B3" w:rsidRPr="00452609">
        <w:t xml:space="preserve"> CDR data from a joint account and prescribe how sharing arrangements can be authorised and approved by joint account holders. </w:t>
      </w:r>
      <w:r w:rsidR="00B04F3B" w:rsidRPr="00452609">
        <w:t xml:space="preserve">Under the </w:t>
      </w:r>
      <w:r w:rsidR="00CE6056">
        <w:t>R</w:t>
      </w:r>
      <w:r w:rsidR="00B04F3B" w:rsidRPr="00452609">
        <w:t xml:space="preserve">ules, a joint account </w:t>
      </w:r>
      <w:r w:rsidR="00352BE8">
        <w:t>is</w:t>
      </w:r>
      <w:r w:rsidR="00352BE8" w:rsidRPr="00452609">
        <w:t xml:space="preserve"> </w:t>
      </w:r>
      <w:r w:rsidR="00B04F3B" w:rsidRPr="00452609">
        <w:t>an account for which there are two or more joint account holders who are individuals acting on their own capacity and eligible CDR consumers in relation to the data holder.</w:t>
      </w:r>
      <w:r w:rsidRPr="00452609">
        <w:t xml:space="preserve"> </w:t>
      </w:r>
    </w:p>
    <w:p w14:paraId="591F6F53" w14:textId="66EEB3B7" w:rsidR="001D32F2" w:rsidRDefault="001D32F2" w:rsidP="00A652B4">
      <w:r w:rsidRPr="00452609">
        <w:t>For non-individuals (businesses</w:t>
      </w:r>
      <w:r w:rsidR="002162D1">
        <w:t xml:space="preserve"> and partnerships</w:t>
      </w:r>
      <w:r w:rsidRPr="00452609">
        <w:t>), ‘nominated representative’ rules require data holders to provide a service that enables non-individuals to nominate one or more individuals, 18</w:t>
      </w:r>
      <w:r w:rsidR="00452609" w:rsidRPr="00452609">
        <w:t> </w:t>
      </w:r>
      <w:r w:rsidRPr="00452609">
        <w:t>years or older, to give, amend</w:t>
      </w:r>
      <w:r w:rsidR="002162D1">
        <w:t>,</w:t>
      </w:r>
      <w:r w:rsidRPr="00452609">
        <w:t xml:space="preserve"> and manage authorisations to disclose CDR data on behalf of the business.</w:t>
      </w:r>
      <w:r>
        <w:t xml:space="preserve"> </w:t>
      </w:r>
    </w:p>
    <w:p w14:paraId="3DE5C80D" w14:textId="02E59D34" w:rsidR="00D514E0" w:rsidRPr="00D514E0" w:rsidRDefault="00D514E0" w:rsidP="0019635A">
      <w:pPr>
        <w:pStyle w:val="Heading4"/>
        <w:rPr>
          <w:rFonts w:asciiTheme="minorHAnsi" w:eastAsia="Calibri" w:hAnsiTheme="minorHAnsi" w:cs="Times New Roman"/>
          <w:i w:val="0"/>
          <w:iCs w:val="0"/>
        </w:rPr>
      </w:pPr>
      <w:r w:rsidRPr="00D514E0">
        <w:rPr>
          <w:rFonts w:eastAsia="Calibri"/>
        </w:rPr>
        <w:t>Proposed approach</w:t>
      </w:r>
    </w:p>
    <w:p w14:paraId="554F9E3F" w14:textId="1E6A7664" w:rsidR="00A652B4" w:rsidRPr="00364CBF" w:rsidRDefault="00A652B4" w:rsidP="00A652B4">
      <w:pPr>
        <w:rPr>
          <w:rFonts w:asciiTheme="minorHAnsi" w:eastAsia="Calibri" w:hAnsiTheme="minorHAnsi" w:cs="Times New Roman"/>
        </w:rPr>
      </w:pPr>
      <w:r w:rsidRPr="00364CBF">
        <w:rPr>
          <w:rFonts w:asciiTheme="minorHAnsi" w:eastAsia="Calibri" w:hAnsiTheme="minorHAnsi" w:cs="Times New Roman"/>
        </w:rPr>
        <w:t xml:space="preserve">Given the complementary nature of the </w:t>
      </w:r>
      <w:r>
        <w:rPr>
          <w:rFonts w:asciiTheme="minorHAnsi" w:eastAsia="Calibri" w:hAnsiTheme="minorHAnsi" w:cs="Times New Roman"/>
        </w:rPr>
        <w:t>b</w:t>
      </w:r>
      <w:r w:rsidRPr="00364CBF">
        <w:rPr>
          <w:rFonts w:asciiTheme="minorHAnsi" w:eastAsia="Calibri" w:hAnsiTheme="minorHAnsi" w:cs="Times New Roman"/>
        </w:rPr>
        <w:t xml:space="preserve">anking and non-bank lending </w:t>
      </w:r>
      <w:r w:rsidR="00D514E0">
        <w:rPr>
          <w:rFonts w:asciiTheme="minorHAnsi" w:eastAsia="Calibri" w:hAnsiTheme="minorHAnsi" w:cs="Times New Roman"/>
        </w:rPr>
        <w:t>sectors</w:t>
      </w:r>
      <w:r w:rsidRPr="00364CBF">
        <w:rPr>
          <w:rFonts w:asciiTheme="minorHAnsi" w:eastAsia="Calibri" w:hAnsiTheme="minorHAnsi" w:cs="Times New Roman"/>
        </w:rPr>
        <w:t xml:space="preserve">, Treasury proposes to use the same definition </w:t>
      </w:r>
      <w:r w:rsidR="002162D1">
        <w:rPr>
          <w:rFonts w:asciiTheme="minorHAnsi" w:eastAsia="Calibri" w:hAnsiTheme="minorHAnsi" w:cs="Times New Roman"/>
        </w:rPr>
        <w:t>for</w:t>
      </w:r>
      <w:r w:rsidRPr="00364CBF">
        <w:rPr>
          <w:rFonts w:asciiTheme="minorHAnsi" w:eastAsia="Calibri" w:hAnsiTheme="minorHAnsi" w:cs="Times New Roman"/>
        </w:rPr>
        <w:t xml:space="preserve"> ‘eligible’ CDR consumer </w:t>
      </w:r>
      <w:r w:rsidR="00D514E0">
        <w:rPr>
          <w:rFonts w:asciiTheme="minorHAnsi" w:eastAsia="Calibri" w:hAnsiTheme="minorHAnsi" w:cs="Times New Roman"/>
        </w:rPr>
        <w:t>as banking</w:t>
      </w:r>
      <w:r w:rsidR="002162D1">
        <w:rPr>
          <w:rFonts w:asciiTheme="minorHAnsi" w:eastAsia="Calibri" w:hAnsiTheme="minorHAnsi" w:cs="Times New Roman"/>
        </w:rPr>
        <w:t xml:space="preserve">, including </w:t>
      </w:r>
      <w:r w:rsidR="00D514E0">
        <w:rPr>
          <w:rFonts w:asciiTheme="minorHAnsi" w:eastAsia="Calibri" w:hAnsiTheme="minorHAnsi" w:cs="Times New Roman"/>
        </w:rPr>
        <w:t>the sector-specific requirement that the account can be accessed online.</w:t>
      </w:r>
      <w:r w:rsidRPr="00364CBF">
        <w:rPr>
          <w:rFonts w:asciiTheme="minorHAnsi" w:eastAsia="Calibri" w:hAnsiTheme="minorHAnsi" w:cs="Times New Roman"/>
        </w:rPr>
        <w:t xml:space="preserve"> </w:t>
      </w:r>
    </w:p>
    <w:p w14:paraId="006A1408" w14:textId="7F2D5EF9" w:rsidR="001D32F2" w:rsidRDefault="001D32F2" w:rsidP="00A652B4">
      <w:pPr>
        <w:rPr>
          <w:rFonts w:asciiTheme="minorHAnsi" w:eastAsia="Calibri" w:hAnsiTheme="minorHAnsi" w:cs="Times New Roman"/>
        </w:rPr>
      </w:pPr>
      <w:r w:rsidRPr="00452609">
        <w:rPr>
          <w:rFonts w:asciiTheme="minorHAnsi" w:eastAsia="Calibri" w:hAnsiTheme="minorHAnsi" w:cs="Times New Roman"/>
        </w:rPr>
        <w:t>Treasury understands that both joint accounts and secondary users are existing features in the non-bank lending sector. Treasury proposes to use the same definition</w:t>
      </w:r>
      <w:r w:rsidR="00EC112D" w:rsidRPr="00452609">
        <w:rPr>
          <w:rFonts w:asciiTheme="minorHAnsi" w:eastAsia="Calibri" w:hAnsiTheme="minorHAnsi" w:cs="Times New Roman"/>
        </w:rPr>
        <w:t xml:space="preserve"> of ‘secondary user’ as that used in the banking sector and adopt the sector</w:t>
      </w:r>
      <w:r w:rsidR="00A6616D">
        <w:rPr>
          <w:rFonts w:asciiTheme="minorHAnsi" w:eastAsia="Calibri" w:hAnsiTheme="minorHAnsi" w:cs="Times New Roman"/>
        </w:rPr>
        <w:t>-</w:t>
      </w:r>
      <w:r w:rsidR="00EC112D" w:rsidRPr="00452609">
        <w:rPr>
          <w:rFonts w:asciiTheme="minorHAnsi" w:eastAsia="Calibri" w:hAnsiTheme="minorHAnsi" w:cs="Times New Roman"/>
        </w:rPr>
        <w:t xml:space="preserve">agnostic joint account </w:t>
      </w:r>
      <w:r w:rsidR="00BE36A0" w:rsidRPr="00452609">
        <w:rPr>
          <w:rFonts w:asciiTheme="minorHAnsi" w:eastAsia="Calibri" w:hAnsiTheme="minorHAnsi" w:cs="Times New Roman"/>
        </w:rPr>
        <w:t>and nominated representative</w:t>
      </w:r>
      <w:r w:rsidR="00EC112D" w:rsidRPr="00452609">
        <w:rPr>
          <w:rFonts w:asciiTheme="minorHAnsi" w:eastAsia="Calibri" w:hAnsiTheme="minorHAnsi" w:cs="Times New Roman"/>
        </w:rPr>
        <w:t xml:space="preserve"> </w:t>
      </w:r>
      <w:r w:rsidR="0060776D">
        <w:rPr>
          <w:rFonts w:asciiTheme="minorHAnsi" w:eastAsia="Calibri" w:hAnsiTheme="minorHAnsi" w:cs="Times New Roman"/>
        </w:rPr>
        <w:t>r</w:t>
      </w:r>
      <w:r w:rsidR="00EC112D" w:rsidRPr="00452609">
        <w:rPr>
          <w:rFonts w:asciiTheme="minorHAnsi" w:eastAsia="Calibri" w:hAnsiTheme="minorHAnsi" w:cs="Times New Roman"/>
        </w:rPr>
        <w:t>ules.</w:t>
      </w:r>
    </w:p>
    <w:p w14:paraId="007FE0CB" w14:textId="3E05F349" w:rsidR="00A652B4" w:rsidRPr="00D514E0" w:rsidRDefault="00D514E0" w:rsidP="00D514E0">
      <w:pPr>
        <w:pBdr>
          <w:top w:val="single" w:sz="4" w:space="1" w:color="auto"/>
          <w:left w:val="single" w:sz="4" w:space="4" w:color="auto"/>
          <w:bottom w:val="single" w:sz="4" w:space="1" w:color="auto"/>
          <w:right w:val="single" w:sz="4" w:space="4" w:color="auto"/>
        </w:pBdr>
        <w:rPr>
          <w:b/>
          <w:bCs/>
        </w:rPr>
      </w:pPr>
      <w:r w:rsidRPr="00D514E0">
        <w:rPr>
          <w:b/>
          <w:bCs/>
        </w:rPr>
        <w:t>Consultation questions</w:t>
      </w:r>
    </w:p>
    <w:p w14:paraId="05530CDE" w14:textId="4E24F87D" w:rsidR="00D514E0" w:rsidRDefault="001856EC" w:rsidP="008F261A">
      <w:pPr>
        <w:pStyle w:val="ListParagraph"/>
        <w:numPr>
          <w:ilvl w:val="0"/>
          <w:numId w:val="31"/>
        </w:numPr>
        <w:pBdr>
          <w:top w:val="single" w:sz="4" w:space="1" w:color="auto"/>
          <w:left w:val="single" w:sz="4" w:space="4" w:color="auto"/>
          <w:bottom w:val="single" w:sz="4" w:space="1" w:color="auto"/>
          <w:right w:val="single" w:sz="4" w:space="4" w:color="auto"/>
        </w:pBdr>
      </w:pPr>
      <w:r>
        <w:t>For non-bank lenders, w</w:t>
      </w:r>
      <w:r w:rsidR="00D514E0">
        <w:t>hat proportion of your customers would be excluded if a requirement for ‘online’ account access was included in the definition of eligible consumer?</w:t>
      </w:r>
    </w:p>
    <w:p w14:paraId="718A1E63" w14:textId="2CF23E4E" w:rsidR="00452609" w:rsidRDefault="00452609" w:rsidP="008F261A">
      <w:pPr>
        <w:pStyle w:val="ListParagraph"/>
        <w:numPr>
          <w:ilvl w:val="0"/>
          <w:numId w:val="31"/>
        </w:numPr>
        <w:pBdr>
          <w:top w:val="single" w:sz="4" w:space="1" w:color="auto"/>
          <w:left w:val="single" w:sz="4" w:space="4" w:color="auto"/>
          <w:bottom w:val="single" w:sz="4" w:space="1" w:color="auto"/>
          <w:right w:val="single" w:sz="4" w:space="4" w:color="auto"/>
        </w:pBdr>
      </w:pPr>
      <w:r>
        <w:t xml:space="preserve">Are there specific features of the non-bank lending sector, or products, that mean sector-specific variations to the </w:t>
      </w:r>
      <w:r w:rsidR="00252AB8">
        <w:t xml:space="preserve">concepts of secondary users, joint accounts or nominated representatives </w:t>
      </w:r>
      <w:r>
        <w:t>will need to be considered?</w:t>
      </w:r>
    </w:p>
    <w:p w14:paraId="2E751150" w14:textId="39E19040" w:rsidR="00564E63" w:rsidRDefault="00564E63" w:rsidP="00564E63">
      <w:pPr>
        <w:pStyle w:val="ListParagraph"/>
        <w:numPr>
          <w:ilvl w:val="0"/>
          <w:numId w:val="31"/>
        </w:numPr>
        <w:pBdr>
          <w:top w:val="single" w:sz="4" w:space="1" w:color="auto"/>
          <w:left w:val="single" w:sz="4" w:space="4" w:color="auto"/>
          <w:bottom w:val="single" w:sz="4" w:space="1" w:color="auto"/>
          <w:right w:val="single" w:sz="4" w:space="4" w:color="auto"/>
        </w:pBdr>
      </w:pPr>
      <w:r>
        <w:t>Is there a hierarchy of users, for example, where different users have different authorisations or levels of access? Should all users in a hierarchy benefit from CDR data sharing or should access be limited in some way?</w:t>
      </w:r>
    </w:p>
    <w:p w14:paraId="5C25E7E0" w14:textId="0B05C17D" w:rsidR="00564E63" w:rsidRDefault="00564E63" w:rsidP="00564E63">
      <w:pPr>
        <w:pStyle w:val="ListParagraph"/>
        <w:numPr>
          <w:ilvl w:val="0"/>
          <w:numId w:val="31"/>
        </w:numPr>
        <w:pBdr>
          <w:top w:val="single" w:sz="4" w:space="1" w:color="auto"/>
          <w:left w:val="single" w:sz="4" w:space="4" w:color="auto"/>
          <w:bottom w:val="single" w:sz="4" w:space="1" w:color="auto"/>
          <w:right w:val="single" w:sz="4" w:space="4" w:color="auto"/>
        </w:pBdr>
      </w:pPr>
      <w:r>
        <w:t xml:space="preserve">In relation to secondary users, joint accounts, or nominated representatives, do you have any concerns about access to consumer dashboards or concerns about authentication </w:t>
      </w:r>
      <w:r w:rsidR="000E645A">
        <w:t xml:space="preserve">of </w:t>
      </w:r>
      <w:r>
        <w:t>such users?</w:t>
      </w:r>
    </w:p>
    <w:p w14:paraId="767E5A4E" w14:textId="68E6B26D" w:rsidR="00A652B4" w:rsidRPr="00F816D2" w:rsidRDefault="00A652B4" w:rsidP="0019635A">
      <w:pPr>
        <w:pStyle w:val="Heading3"/>
      </w:pPr>
      <w:bookmarkStart w:id="31" w:name="_Toc120881038"/>
      <w:r w:rsidRPr="00470DC3">
        <w:rPr>
          <w:rFonts w:eastAsia="Calibri"/>
        </w:rPr>
        <w:t>L</w:t>
      </w:r>
      <w:r w:rsidRPr="00F816D2">
        <w:t xml:space="preserve">arge corporate </w:t>
      </w:r>
      <w:r w:rsidR="009A135D">
        <w:t>accounts</w:t>
      </w:r>
      <w:bookmarkEnd w:id="31"/>
    </w:p>
    <w:p w14:paraId="47684525" w14:textId="01941147" w:rsidR="00C26B27" w:rsidRPr="00364CBF" w:rsidRDefault="00470DC3" w:rsidP="00C26B27">
      <w:pPr>
        <w:rPr>
          <w:rFonts w:asciiTheme="minorHAnsi" w:eastAsia="Calibri" w:hAnsiTheme="minorHAnsi" w:cs="Times New Roman"/>
        </w:rPr>
      </w:pPr>
      <w:r>
        <w:rPr>
          <w:rFonts w:asciiTheme="minorHAnsi" w:eastAsia="Calibri" w:hAnsiTheme="minorHAnsi" w:cs="Times New Roman"/>
        </w:rPr>
        <w:t xml:space="preserve">Feedback during the designation process noted that </w:t>
      </w:r>
      <w:bookmarkStart w:id="32" w:name="_Hlk119063228"/>
      <w:r>
        <w:rPr>
          <w:rFonts w:asciiTheme="minorHAnsi" w:eastAsia="Calibri" w:hAnsiTheme="minorHAnsi" w:cs="Times New Roman"/>
        </w:rPr>
        <w:t>there is a</w:t>
      </w:r>
      <w:r w:rsidR="00A652B4" w:rsidRPr="00364CBF">
        <w:rPr>
          <w:rFonts w:asciiTheme="minorHAnsi" w:eastAsia="Calibri" w:hAnsiTheme="minorHAnsi" w:cs="Times New Roman"/>
        </w:rPr>
        <w:t xml:space="preserve"> high concentration of negotiated, bespoke and ‘invitation only’ products in the non-bank lending</w:t>
      </w:r>
      <w:r w:rsidR="00A652B4">
        <w:rPr>
          <w:rFonts w:asciiTheme="minorHAnsi" w:eastAsia="Calibri" w:hAnsiTheme="minorHAnsi" w:cs="Times New Roman"/>
        </w:rPr>
        <w:t xml:space="preserve"> sector</w:t>
      </w:r>
      <w:bookmarkEnd w:id="32"/>
      <w:r w:rsidR="00A652B4" w:rsidRPr="00364CBF">
        <w:rPr>
          <w:rFonts w:asciiTheme="minorHAnsi" w:eastAsia="Calibri" w:hAnsiTheme="minorHAnsi" w:cs="Times New Roman"/>
        </w:rPr>
        <w:t xml:space="preserve">. These products, their pricing and their terms and conditions are not publicly available. </w:t>
      </w:r>
      <w:r w:rsidR="00C26B27">
        <w:rPr>
          <w:rFonts w:asciiTheme="minorHAnsi" w:eastAsia="Calibri" w:hAnsiTheme="minorHAnsi" w:cs="Times New Roman"/>
        </w:rPr>
        <w:t xml:space="preserve">Feedback also noted the prevalence of unique product offerings that service </w:t>
      </w:r>
      <w:r w:rsidR="00C03931">
        <w:rPr>
          <w:rFonts w:asciiTheme="minorHAnsi" w:eastAsia="Calibri" w:hAnsiTheme="minorHAnsi" w:cs="Times New Roman"/>
        </w:rPr>
        <w:t>large corporate customers with specialist lending needs</w:t>
      </w:r>
      <w:r w:rsidR="00C26B27">
        <w:rPr>
          <w:rFonts w:asciiTheme="minorHAnsi" w:eastAsia="Calibri" w:hAnsiTheme="minorHAnsi" w:cs="Times New Roman"/>
        </w:rPr>
        <w:t>.</w:t>
      </w:r>
    </w:p>
    <w:p w14:paraId="4FB9F39B" w14:textId="644D0622" w:rsidR="00A652B4" w:rsidRDefault="00C26B27" w:rsidP="00A652B4">
      <w:pPr>
        <w:rPr>
          <w:rFonts w:asciiTheme="minorHAnsi" w:eastAsia="Calibri" w:hAnsiTheme="minorHAnsi" w:cs="Times New Roman"/>
        </w:rPr>
      </w:pPr>
      <w:r>
        <w:rPr>
          <w:rFonts w:asciiTheme="minorHAnsi" w:eastAsia="Calibri" w:hAnsiTheme="minorHAnsi" w:cs="Times New Roman"/>
        </w:rPr>
        <w:lastRenderedPageBreak/>
        <w:t>The banking Rules require information</w:t>
      </w:r>
      <w:r w:rsidR="00536F4D">
        <w:rPr>
          <w:rFonts w:asciiTheme="minorHAnsi" w:eastAsia="Calibri" w:hAnsiTheme="minorHAnsi" w:cs="Times New Roman"/>
        </w:rPr>
        <w:t xml:space="preserve"> about a product</w:t>
      </w:r>
      <w:r>
        <w:rPr>
          <w:rFonts w:asciiTheme="minorHAnsi" w:eastAsia="Calibri" w:hAnsiTheme="minorHAnsi" w:cs="Times New Roman"/>
        </w:rPr>
        <w:t xml:space="preserve"> to be shared where it is </w:t>
      </w:r>
      <w:r w:rsidR="0095068A">
        <w:rPr>
          <w:rFonts w:asciiTheme="minorHAnsi" w:eastAsia="Calibri" w:hAnsiTheme="minorHAnsi" w:cs="Times New Roman"/>
        </w:rPr>
        <w:t>publicly offered</w:t>
      </w:r>
      <w:r w:rsidR="00F72D87">
        <w:rPr>
          <w:rFonts w:asciiTheme="minorHAnsi" w:eastAsia="Calibri" w:hAnsiTheme="minorHAnsi" w:cs="Times New Roman"/>
        </w:rPr>
        <w:t>.</w:t>
      </w:r>
      <w:r w:rsidR="00A00990">
        <w:rPr>
          <w:rStyle w:val="FootnoteReference"/>
          <w:rFonts w:asciiTheme="minorHAnsi" w:eastAsia="Calibri" w:hAnsiTheme="minorHAnsi" w:cs="Times New Roman"/>
        </w:rPr>
        <w:footnoteReference w:id="6"/>
      </w:r>
      <w:r w:rsidR="00D6676B">
        <w:rPr>
          <w:rFonts w:asciiTheme="minorHAnsi" w:eastAsia="Calibri" w:hAnsiTheme="minorHAnsi" w:cs="Times New Roman"/>
        </w:rPr>
        <w:t xml:space="preserve"> </w:t>
      </w:r>
      <w:r w:rsidR="006F332E" w:rsidRPr="006F332E">
        <w:rPr>
          <w:rFonts w:asciiTheme="minorHAnsi" w:eastAsia="Calibri" w:hAnsiTheme="minorHAnsi" w:cs="Times New Roman"/>
        </w:rPr>
        <w:t xml:space="preserve">The energy sector </w:t>
      </w:r>
      <w:r w:rsidR="00F72D87">
        <w:rPr>
          <w:rFonts w:asciiTheme="minorHAnsi" w:eastAsia="Calibri" w:hAnsiTheme="minorHAnsi" w:cs="Times New Roman"/>
        </w:rPr>
        <w:t>R</w:t>
      </w:r>
      <w:r w:rsidR="006F332E" w:rsidRPr="006F332E">
        <w:rPr>
          <w:rFonts w:asciiTheme="minorHAnsi" w:eastAsia="Calibri" w:hAnsiTheme="minorHAnsi" w:cs="Times New Roman"/>
        </w:rPr>
        <w:t>ules require information about accounts to be shared when its associated products consume less than 5 GWh per annum. The proposed tel</w:t>
      </w:r>
      <w:r w:rsidR="006D2E2A">
        <w:rPr>
          <w:rFonts w:asciiTheme="minorHAnsi" w:eastAsia="Calibri" w:hAnsiTheme="minorHAnsi" w:cs="Times New Roman"/>
        </w:rPr>
        <w:t>ecommunications</w:t>
      </w:r>
      <w:r w:rsidR="006F332E" w:rsidRPr="006F332E">
        <w:rPr>
          <w:rFonts w:asciiTheme="minorHAnsi" w:eastAsia="Calibri" w:hAnsiTheme="minorHAnsi" w:cs="Times New Roman"/>
        </w:rPr>
        <w:t xml:space="preserve"> rules require data to be shared where an account has a spend of less than $40,000 per annum or where the account holder was able to negotiate its terms.</w:t>
      </w:r>
    </w:p>
    <w:p w14:paraId="3E19979D" w14:textId="6CFE3C0F" w:rsidR="00E96A52" w:rsidRPr="00364CBF" w:rsidRDefault="0085182E" w:rsidP="00A652B4">
      <w:pPr>
        <w:rPr>
          <w:rFonts w:asciiTheme="minorHAnsi" w:eastAsia="Calibri" w:hAnsiTheme="minorHAnsi" w:cs="Times New Roman"/>
        </w:rPr>
      </w:pPr>
      <w:r>
        <w:rPr>
          <w:rFonts w:asciiTheme="minorHAnsi" w:eastAsia="Calibri" w:hAnsiTheme="minorHAnsi" w:cs="Times New Roman"/>
        </w:rPr>
        <w:t xml:space="preserve">Treasury seeks feedback from stakeholders on the specific type of product offerings in the </w:t>
      </w:r>
      <w:r w:rsidR="00F30535">
        <w:rPr>
          <w:rFonts w:asciiTheme="minorHAnsi" w:eastAsia="Calibri" w:hAnsiTheme="minorHAnsi" w:cs="Times New Roman"/>
        </w:rPr>
        <w:t>non-bank lending sector and the complexity of incorporating those product offerings.</w:t>
      </w:r>
    </w:p>
    <w:p w14:paraId="117283A6" w14:textId="26DBB245" w:rsidR="00A652B4" w:rsidRPr="00206036" w:rsidRDefault="00206036" w:rsidP="00206036">
      <w:pPr>
        <w:pBdr>
          <w:top w:val="single" w:sz="4" w:space="1" w:color="auto"/>
          <w:left w:val="single" w:sz="4" w:space="4" w:color="auto"/>
          <w:bottom w:val="single" w:sz="4" w:space="1" w:color="auto"/>
          <w:right w:val="single" w:sz="4" w:space="4" w:color="auto"/>
        </w:pBdr>
        <w:rPr>
          <w:rFonts w:asciiTheme="minorHAnsi" w:eastAsia="Calibri" w:hAnsiTheme="minorHAnsi" w:cs="Times New Roman"/>
          <w:b/>
          <w:bCs/>
        </w:rPr>
      </w:pPr>
      <w:r w:rsidRPr="00206036">
        <w:rPr>
          <w:rFonts w:asciiTheme="minorHAnsi" w:eastAsia="Calibri" w:hAnsiTheme="minorHAnsi" w:cs="Times New Roman"/>
          <w:b/>
          <w:bCs/>
        </w:rPr>
        <w:t>Consultation question</w:t>
      </w:r>
    </w:p>
    <w:p w14:paraId="1B3E5480" w14:textId="3ADEAEB2" w:rsidR="00FF7BBA" w:rsidRPr="00FF7BBA" w:rsidRDefault="00174EBF" w:rsidP="008F261A">
      <w:pPr>
        <w:pStyle w:val="ListParagraph"/>
        <w:numPr>
          <w:ilvl w:val="0"/>
          <w:numId w:val="31"/>
        </w:numPr>
        <w:pBdr>
          <w:top w:val="single" w:sz="4" w:space="1" w:color="auto"/>
          <w:left w:val="single" w:sz="4" w:space="4" w:color="auto"/>
          <w:bottom w:val="single" w:sz="4" w:space="1" w:color="auto"/>
          <w:right w:val="single" w:sz="4" w:space="4" w:color="auto"/>
        </w:pBdr>
        <w:rPr>
          <w:rFonts w:asciiTheme="minorHAnsi" w:eastAsia="Calibri" w:hAnsiTheme="minorHAnsi" w:cs="Times New Roman"/>
        </w:rPr>
      </w:pPr>
      <w:r>
        <w:t xml:space="preserve">Are there sector-specific </w:t>
      </w:r>
      <w:r w:rsidR="00EC4B32">
        <w:t>matters</w:t>
      </w:r>
      <w:r w:rsidR="00386A2C">
        <w:t xml:space="preserve"> relevant to </w:t>
      </w:r>
      <w:r w:rsidR="00EC4B32">
        <w:t>inform Treasury’s consideration of whether a large corporate account exclusion is appropriate in the non-bank lending sector? How could an exclusion operate</w:t>
      </w:r>
      <w:r w:rsidR="001861F9">
        <w:t>? F</w:t>
      </w:r>
      <w:r w:rsidR="00A652B4">
        <w:t xml:space="preserve">or example, </w:t>
      </w:r>
      <w:r w:rsidR="001861F9">
        <w:t xml:space="preserve">could it relate to </w:t>
      </w:r>
      <w:r w:rsidR="00A652B4">
        <w:t>accounts with loans over a certain threshold</w:t>
      </w:r>
      <w:r w:rsidR="00080647">
        <w:t>?</w:t>
      </w:r>
      <w:r w:rsidR="0004331C">
        <w:rPr>
          <w:rStyle w:val="FootnoteReference"/>
        </w:rPr>
        <w:footnoteReference w:id="7"/>
      </w:r>
    </w:p>
    <w:p w14:paraId="4FA8C11E" w14:textId="382FC250" w:rsidR="00206036" w:rsidRDefault="00206036" w:rsidP="008F6AD1">
      <w:pPr>
        <w:pStyle w:val="Heading2"/>
        <w:keepNext/>
        <w:spacing w:after="240"/>
        <w:rPr>
          <w:rFonts w:eastAsia="Calibri"/>
        </w:rPr>
      </w:pPr>
      <w:bookmarkStart w:id="33" w:name="_Toc120881039"/>
      <w:r>
        <w:rPr>
          <w:rFonts w:eastAsia="Calibri"/>
        </w:rPr>
        <w:t>Other design issues for the non-bank lending sector</w:t>
      </w:r>
      <w:bookmarkEnd w:id="33"/>
    </w:p>
    <w:p w14:paraId="36AC2F8F" w14:textId="48910F7E" w:rsidR="007014F8" w:rsidRPr="005E309B" w:rsidRDefault="00A652B4" w:rsidP="008F6AD1">
      <w:pPr>
        <w:pStyle w:val="Heading3"/>
        <w:keepNext/>
      </w:pPr>
      <w:bookmarkStart w:id="34" w:name="_Toc120881040"/>
      <w:r>
        <w:rPr>
          <w:rFonts w:eastAsia="Calibri"/>
        </w:rPr>
        <w:t>S</w:t>
      </w:r>
      <w:r w:rsidRPr="005E309B">
        <w:t>taged implementation</w:t>
      </w:r>
      <w:bookmarkEnd w:id="34"/>
    </w:p>
    <w:p w14:paraId="30419165" w14:textId="0BE0AC19" w:rsidR="00A652B4" w:rsidRPr="00364CBF" w:rsidRDefault="00A652B4" w:rsidP="00A652B4">
      <w:pPr>
        <w:rPr>
          <w:rFonts w:asciiTheme="minorHAnsi" w:eastAsia="Calibri" w:hAnsiTheme="minorHAnsi" w:cs="Times New Roman"/>
        </w:rPr>
      </w:pPr>
      <w:bookmarkStart w:id="35" w:name="_Hlk119063360"/>
      <w:r w:rsidRPr="00364CBF">
        <w:rPr>
          <w:rFonts w:asciiTheme="minorHAnsi" w:eastAsia="Calibri" w:hAnsiTheme="minorHAnsi" w:cs="Times New Roman"/>
        </w:rPr>
        <w:t xml:space="preserve">Consistent with banking and energy, and as proposed in telecommunications, </w:t>
      </w:r>
      <w:r w:rsidR="00280E3C">
        <w:rPr>
          <w:rFonts w:asciiTheme="minorHAnsi" w:eastAsia="Calibri" w:hAnsiTheme="minorHAnsi" w:cs="Times New Roman"/>
        </w:rPr>
        <w:t xml:space="preserve">Treasury considers </w:t>
      </w:r>
      <w:r w:rsidRPr="00364CBF">
        <w:rPr>
          <w:rFonts w:asciiTheme="minorHAnsi" w:eastAsia="Calibri" w:hAnsiTheme="minorHAnsi" w:cs="Times New Roman"/>
        </w:rPr>
        <w:t>there should be a phased approach to</w:t>
      </w:r>
      <w:r w:rsidR="002162D1">
        <w:rPr>
          <w:rFonts w:asciiTheme="minorHAnsi" w:eastAsia="Calibri" w:hAnsiTheme="minorHAnsi" w:cs="Times New Roman"/>
        </w:rPr>
        <w:t xml:space="preserve"> the</w:t>
      </w:r>
      <w:r w:rsidRPr="00364CBF">
        <w:rPr>
          <w:rFonts w:asciiTheme="minorHAnsi" w:eastAsia="Calibri" w:hAnsiTheme="minorHAnsi" w:cs="Times New Roman"/>
        </w:rPr>
        <w:t xml:space="preserve"> application of CDR obligations to the non-bank lending sector</w:t>
      </w:r>
      <w:bookmarkEnd w:id="35"/>
      <w:r w:rsidRPr="00364CBF">
        <w:rPr>
          <w:rFonts w:asciiTheme="minorHAnsi" w:eastAsia="Calibri" w:hAnsiTheme="minorHAnsi" w:cs="Times New Roman"/>
        </w:rPr>
        <w:t>. Implementation of the CDR in a new sector is a significant undertaking</w:t>
      </w:r>
      <w:r w:rsidR="0048707C">
        <w:rPr>
          <w:rFonts w:asciiTheme="minorHAnsi" w:eastAsia="Calibri" w:hAnsiTheme="minorHAnsi" w:cs="Times New Roman"/>
        </w:rPr>
        <w:t>, and stakeholder feedback received during consultation on the sectoral assessment noted that</w:t>
      </w:r>
      <w:r w:rsidRPr="00364CBF">
        <w:rPr>
          <w:rFonts w:asciiTheme="minorHAnsi" w:eastAsia="Calibri" w:hAnsiTheme="minorHAnsi" w:cs="Times New Roman"/>
        </w:rPr>
        <w:t xml:space="preserve"> </w:t>
      </w:r>
      <w:r w:rsidR="0048707C">
        <w:rPr>
          <w:rFonts w:asciiTheme="minorHAnsi" w:eastAsia="Calibri" w:hAnsiTheme="minorHAnsi" w:cs="Times New Roman"/>
        </w:rPr>
        <w:t>th</w:t>
      </w:r>
      <w:r w:rsidRPr="00364CBF">
        <w:rPr>
          <w:rFonts w:asciiTheme="minorHAnsi" w:eastAsia="Calibri" w:hAnsiTheme="minorHAnsi" w:cs="Times New Roman"/>
        </w:rPr>
        <w:t xml:space="preserve">e requirements imposed on data holders cannot be met simultaneously. </w:t>
      </w:r>
      <w:r w:rsidR="007E02B0">
        <w:rPr>
          <w:rFonts w:asciiTheme="minorHAnsi" w:eastAsia="Calibri" w:hAnsiTheme="minorHAnsi" w:cs="Times New Roman"/>
        </w:rPr>
        <w:t>R</w:t>
      </w:r>
      <w:r w:rsidRPr="00364CBF">
        <w:rPr>
          <w:rFonts w:asciiTheme="minorHAnsi" w:eastAsia="Calibri" w:hAnsiTheme="minorHAnsi" w:cs="Times New Roman"/>
        </w:rPr>
        <w:t xml:space="preserve">esource constraints associated with introducing all datasets into the CDR system at once </w:t>
      </w:r>
      <w:r w:rsidR="00280E3C">
        <w:rPr>
          <w:rFonts w:asciiTheme="minorHAnsi" w:eastAsia="Calibri" w:hAnsiTheme="minorHAnsi" w:cs="Times New Roman"/>
        </w:rPr>
        <w:t>can</w:t>
      </w:r>
      <w:r w:rsidRPr="00364CBF">
        <w:rPr>
          <w:rFonts w:asciiTheme="minorHAnsi" w:eastAsia="Calibri" w:hAnsiTheme="minorHAnsi" w:cs="Times New Roman"/>
        </w:rPr>
        <w:t xml:space="preserve"> raise costs and the risk </w:t>
      </w:r>
      <w:r w:rsidR="00280E3C">
        <w:rPr>
          <w:rFonts w:asciiTheme="minorHAnsi" w:eastAsia="Calibri" w:hAnsiTheme="minorHAnsi" w:cs="Times New Roman"/>
        </w:rPr>
        <w:t>of non-</w:t>
      </w:r>
      <w:r w:rsidRPr="00364CBF">
        <w:rPr>
          <w:rFonts w:asciiTheme="minorHAnsi" w:eastAsia="Calibri" w:hAnsiTheme="minorHAnsi" w:cs="Times New Roman"/>
        </w:rPr>
        <w:t>compliance by data holders</w:t>
      </w:r>
      <w:r w:rsidR="00280E3C">
        <w:rPr>
          <w:rFonts w:asciiTheme="minorHAnsi" w:eastAsia="Calibri" w:hAnsiTheme="minorHAnsi" w:cs="Times New Roman"/>
        </w:rPr>
        <w:t xml:space="preserve"> with the implementation schedule. </w:t>
      </w:r>
    </w:p>
    <w:p w14:paraId="1FF35D8C" w14:textId="4E08DACE" w:rsidR="00601868" w:rsidRDefault="00A652B4" w:rsidP="008359BE">
      <w:pPr>
        <w:rPr>
          <w:rFonts w:asciiTheme="minorHAnsi" w:eastAsia="Calibri" w:hAnsiTheme="minorHAnsi" w:cs="Times New Roman"/>
        </w:rPr>
      </w:pPr>
      <w:r w:rsidRPr="00364CBF">
        <w:rPr>
          <w:rFonts w:asciiTheme="minorHAnsi" w:eastAsia="Calibri" w:hAnsiTheme="minorHAnsi" w:cs="Times New Roman"/>
        </w:rPr>
        <w:t>A phased approach aims to minimise costs, provide for a smooth implementation process</w:t>
      </w:r>
      <w:r w:rsidR="002162D1">
        <w:rPr>
          <w:rFonts w:asciiTheme="minorHAnsi" w:eastAsia="Calibri" w:hAnsiTheme="minorHAnsi" w:cs="Times New Roman"/>
        </w:rPr>
        <w:t>,</w:t>
      </w:r>
      <w:r w:rsidRPr="00364CBF">
        <w:rPr>
          <w:rFonts w:asciiTheme="minorHAnsi" w:eastAsia="Calibri" w:hAnsiTheme="minorHAnsi" w:cs="Times New Roman"/>
        </w:rPr>
        <w:t xml:space="preserve"> and allow data holders to meet requirements amid shortages of relevant skills. </w:t>
      </w:r>
      <w:r w:rsidR="00280E3C">
        <w:rPr>
          <w:rFonts w:asciiTheme="minorHAnsi" w:eastAsia="Calibri" w:hAnsiTheme="minorHAnsi" w:cs="Times New Roman"/>
        </w:rPr>
        <w:t xml:space="preserve">A phased approach to implementation was adopted in the rollout of the CDR to the banking and energy sectors. </w:t>
      </w:r>
    </w:p>
    <w:p w14:paraId="42AE54EE" w14:textId="4DDCEB65" w:rsidR="00A652B4" w:rsidRPr="00364CBF" w:rsidRDefault="00A652B4" w:rsidP="00A652B4">
      <w:pPr>
        <w:rPr>
          <w:rFonts w:asciiTheme="minorHAnsi" w:eastAsia="Calibri" w:hAnsiTheme="minorHAnsi" w:cs="Times New Roman"/>
        </w:rPr>
      </w:pPr>
      <w:proofErr w:type="gramStart"/>
      <w:r w:rsidRPr="00364CBF">
        <w:rPr>
          <w:rFonts w:asciiTheme="minorHAnsi" w:eastAsia="Calibri" w:hAnsiTheme="minorHAnsi" w:cs="Times New Roman"/>
        </w:rPr>
        <w:t>Similar to</w:t>
      </w:r>
      <w:proofErr w:type="gramEnd"/>
      <w:r w:rsidRPr="00364CBF">
        <w:rPr>
          <w:rFonts w:asciiTheme="minorHAnsi" w:eastAsia="Calibri" w:hAnsiTheme="minorHAnsi" w:cs="Times New Roman"/>
        </w:rPr>
        <w:t xml:space="preserve"> the rollout in all other sectors, </w:t>
      </w:r>
      <w:r w:rsidR="00446072">
        <w:rPr>
          <w:rFonts w:asciiTheme="minorHAnsi" w:eastAsia="Calibri" w:hAnsiTheme="minorHAnsi" w:cs="Times New Roman"/>
        </w:rPr>
        <w:t>Treasury proposes</w:t>
      </w:r>
      <w:r w:rsidRPr="00364CBF">
        <w:rPr>
          <w:rFonts w:asciiTheme="minorHAnsi" w:eastAsia="Calibri" w:hAnsiTheme="minorHAnsi" w:cs="Times New Roman"/>
        </w:rPr>
        <w:t xml:space="preserve"> that mandatory obligations are phased both to manage the impost across the sector, but also the impost on each entity.  </w:t>
      </w:r>
    </w:p>
    <w:p w14:paraId="34FD0D8C" w14:textId="403D8A91" w:rsidR="00A652B4" w:rsidRDefault="00A9724F" w:rsidP="00A652B4">
      <w:pPr>
        <w:rPr>
          <w:rFonts w:asciiTheme="minorHAnsi" w:eastAsia="Calibri" w:hAnsiTheme="minorHAnsi" w:cs="Times New Roman"/>
        </w:rPr>
      </w:pPr>
      <w:r>
        <w:rPr>
          <w:rFonts w:asciiTheme="minorHAnsi" w:eastAsia="Calibri" w:hAnsiTheme="minorHAnsi" w:cs="Times New Roman"/>
        </w:rPr>
        <w:t xml:space="preserve">Treasury proposes splitting </w:t>
      </w:r>
      <w:r w:rsidR="00254999">
        <w:rPr>
          <w:rFonts w:asciiTheme="minorHAnsi" w:eastAsia="Calibri" w:hAnsiTheme="minorHAnsi" w:cs="Times New Roman"/>
        </w:rPr>
        <w:t>non-bank lenders subject to mandatory obligations</w:t>
      </w:r>
      <w:r w:rsidR="00F80A8C">
        <w:rPr>
          <w:rFonts w:asciiTheme="minorHAnsi" w:eastAsia="Calibri" w:hAnsiTheme="minorHAnsi" w:cs="Times New Roman"/>
        </w:rPr>
        <w:t xml:space="preserve"> (those above the </w:t>
      </w:r>
      <w:r w:rsidR="00F80A8C" w:rsidRPr="00F80A8C">
        <w:rPr>
          <w:rFonts w:asciiTheme="minorHAnsi" w:eastAsia="Calibri" w:hAnsiTheme="minorHAnsi" w:cs="Times New Roman"/>
          <w:i/>
          <w:iCs/>
        </w:rPr>
        <w:t>de minimis</w:t>
      </w:r>
      <w:r w:rsidR="0007006D">
        <w:rPr>
          <w:rFonts w:asciiTheme="minorHAnsi" w:eastAsia="Calibri" w:hAnsiTheme="minorHAnsi" w:cs="Times New Roman"/>
          <w:i/>
          <w:iCs/>
        </w:rPr>
        <w:t xml:space="preserve"> </w:t>
      </w:r>
      <w:r w:rsidR="0007006D">
        <w:rPr>
          <w:rFonts w:asciiTheme="minorHAnsi" w:eastAsia="Calibri" w:hAnsiTheme="minorHAnsi" w:cs="Times New Roman"/>
          <w:iCs/>
        </w:rPr>
        <w:t>threshold</w:t>
      </w:r>
      <w:r w:rsidR="00F80A8C">
        <w:rPr>
          <w:rFonts w:asciiTheme="minorHAnsi" w:eastAsia="Calibri" w:hAnsiTheme="minorHAnsi" w:cs="Times New Roman"/>
        </w:rPr>
        <w:t>)</w:t>
      </w:r>
      <w:r w:rsidR="00254999">
        <w:rPr>
          <w:rFonts w:asciiTheme="minorHAnsi" w:eastAsia="Calibri" w:hAnsiTheme="minorHAnsi" w:cs="Times New Roman"/>
        </w:rPr>
        <w:t xml:space="preserve"> into two categories</w:t>
      </w:r>
      <w:r w:rsidR="001B3561">
        <w:rPr>
          <w:rFonts w:asciiTheme="minorHAnsi" w:eastAsia="Calibri" w:hAnsiTheme="minorHAnsi" w:cs="Times New Roman"/>
        </w:rPr>
        <w:t xml:space="preserve"> </w:t>
      </w:r>
      <w:r w:rsidR="00A652B4" w:rsidRPr="00364CBF">
        <w:rPr>
          <w:rFonts w:asciiTheme="minorHAnsi" w:eastAsia="Calibri" w:hAnsiTheme="minorHAnsi" w:cs="Times New Roman"/>
        </w:rPr>
        <w:t xml:space="preserve">– large providers and </w:t>
      </w:r>
      <w:r w:rsidR="009C4411">
        <w:rPr>
          <w:rFonts w:asciiTheme="minorHAnsi" w:eastAsia="Calibri" w:hAnsiTheme="minorHAnsi" w:cs="Times New Roman"/>
        </w:rPr>
        <w:t>medium</w:t>
      </w:r>
      <w:r w:rsidR="009C4411" w:rsidRPr="00364CBF">
        <w:rPr>
          <w:rFonts w:asciiTheme="minorHAnsi" w:eastAsia="Calibri" w:hAnsiTheme="minorHAnsi" w:cs="Times New Roman"/>
        </w:rPr>
        <w:t xml:space="preserve"> </w:t>
      </w:r>
      <w:r w:rsidR="00A652B4" w:rsidRPr="00364CBF">
        <w:rPr>
          <w:rFonts w:asciiTheme="minorHAnsi" w:eastAsia="Calibri" w:hAnsiTheme="minorHAnsi" w:cs="Times New Roman"/>
        </w:rPr>
        <w:t xml:space="preserve">providers. </w:t>
      </w:r>
    </w:p>
    <w:p w14:paraId="6686E28A" w14:textId="300AC1C6" w:rsidR="00CF0D20" w:rsidRDefault="006D4BB3" w:rsidP="00A652B4">
      <w:pPr>
        <w:rPr>
          <w:rFonts w:asciiTheme="minorHAnsi" w:eastAsia="Calibri" w:hAnsiTheme="minorHAnsi" w:cs="Times New Roman"/>
        </w:rPr>
      </w:pPr>
      <w:r>
        <w:rPr>
          <w:rFonts w:asciiTheme="minorHAnsi" w:eastAsia="Calibri" w:hAnsiTheme="minorHAnsi" w:cs="Times New Roman"/>
        </w:rPr>
        <w:t xml:space="preserve">While </w:t>
      </w:r>
      <w:r w:rsidR="0007006D">
        <w:rPr>
          <w:rFonts w:asciiTheme="minorHAnsi" w:eastAsia="Calibri" w:hAnsiTheme="minorHAnsi" w:cs="Times New Roman"/>
        </w:rPr>
        <w:t xml:space="preserve">the </w:t>
      </w:r>
      <w:r>
        <w:rPr>
          <w:rFonts w:asciiTheme="minorHAnsi" w:eastAsia="Calibri" w:hAnsiTheme="minorHAnsi" w:cs="Times New Roman"/>
        </w:rPr>
        <w:t xml:space="preserve">banking </w:t>
      </w:r>
      <w:r w:rsidR="0007006D">
        <w:rPr>
          <w:rFonts w:asciiTheme="minorHAnsi" w:eastAsia="Calibri" w:hAnsiTheme="minorHAnsi" w:cs="Times New Roman"/>
        </w:rPr>
        <w:t>rollout was</w:t>
      </w:r>
      <w:r>
        <w:rPr>
          <w:rFonts w:asciiTheme="minorHAnsi" w:eastAsia="Calibri" w:hAnsiTheme="minorHAnsi" w:cs="Times New Roman"/>
        </w:rPr>
        <w:t xml:space="preserve"> phased by product</w:t>
      </w:r>
      <w:r w:rsidR="00E10994">
        <w:rPr>
          <w:rFonts w:asciiTheme="minorHAnsi" w:eastAsia="Calibri" w:hAnsiTheme="minorHAnsi" w:cs="Times New Roman"/>
        </w:rPr>
        <w:t xml:space="preserve"> </w:t>
      </w:r>
      <w:r>
        <w:rPr>
          <w:rFonts w:asciiTheme="minorHAnsi" w:eastAsia="Calibri" w:hAnsiTheme="minorHAnsi" w:cs="Times New Roman"/>
        </w:rPr>
        <w:t xml:space="preserve">type, feedback to date has suggested that entities will build API functionality for all products at the same time. For that reason, phasing </w:t>
      </w:r>
      <w:r w:rsidR="00F80A8C">
        <w:rPr>
          <w:rFonts w:asciiTheme="minorHAnsi" w:eastAsia="Calibri" w:hAnsiTheme="minorHAnsi" w:cs="Times New Roman"/>
        </w:rPr>
        <w:t>may</w:t>
      </w:r>
      <w:r>
        <w:rPr>
          <w:rFonts w:asciiTheme="minorHAnsi" w:eastAsia="Calibri" w:hAnsiTheme="minorHAnsi" w:cs="Times New Roman"/>
        </w:rPr>
        <w:t xml:space="preserve"> be more beneficial where it provides more time to bring in more complex </w:t>
      </w:r>
      <w:r w:rsidR="000D25F8">
        <w:rPr>
          <w:rFonts w:asciiTheme="minorHAnsi" w:eastAsia="Calibri" w:hAnsiTheme="minorHAnsi" w:cs="Times New Roman"/>
        </w:rPr>
        <w:t>requests</w:t>
      </w:r>
      <w:r>
        <w:rPr>
          <w:rFonts w:asciiTheme="minorHAnsi" w:eastAsia="Calibri" w:hAnsiTheme="minorHAnsi" w:cs="Times New Roman"/>
        </w:rPr>
        <w:t xml:space="preserve"> (for example</w:t>
      </w:r>
      <w:r w:rsidR="00DE60FE">
        <w:rPr>
          <w:rFonts w:asciiTheme="minorHAnsi" w:eastAsia="Calibri" w:hAnsiTheme="minorHAnsi" w:cs="Times New Roman"/>
        </w:rPr>
        <w:t>,</w:t>
      </w:r>
      <w:r w:rsidR="000D25F8">
        <w:rPr>
          <w:rFonts w:asciiTheme="minorHAnsi" w:eastAsia="Calibri" w:hAnsiTheme="minorHAnsi" w:cs="Times New Roman"/>
        </w:rPr>
        <w:t xml:space="preserve"> consumer data request</w:t>
      </w:r>
      <w:r w:rsidR="00C91CB9">
        <w:rPr>
          <w:rFonts w:asciiTheme="minorHAnsi" w:eastAsia="Calibri" w:hAnsiTheme="minorHAnsi" w:cs="Times New Roman"/>
        </w:rPr>
        <w:t>s</w:t>
      </w:r>
      <w:r w:rsidR="000D25F8">
        <w:rPr>
          <w:rFonts w:asciiTheme="minorHAnsi" w:eastAsia="Calibri" w:hAnsiTheme="minorHAnsi" w:cs="Times New Roman"/>
        </w:rPr>
        <w:t xml:space="preserve"> made on behalf of a large customer, secondary user</w:t>
      </w:r>
      <w:r w:rsidR="00C91CB9">
        <w:rPr>
          <w:rFonts w:asciiTheme="minorHAnsi" w:eastAsia="Calibri" w:hAnsiTheme="minorHAnsi" w:cs="Times New Roman"/>
        </w:rPr>
        <w:t>,</w:t>
      </w:r>
      <w:r w:rsidR="000D25F8">
        <w:rPr>
          <w:rFonts w:asciiTheme="minorHAnsi" w:eastAsia="Calibri" w:hAnsiTheme="minorHAnsi" w:cs="Times New Roman"/>
        </w:rPr>
        <w:t xml:space="preserve"> or relat</w:t>
      </w:r>
      <w:r w:rsidR="0007006D">
        <w:rPr>
          <w:rFonts w:asciiTheme="minorHAnsi" w:eastAsia="Calibri" w:hAnsiTheme="minorHAnsi" w:cs="Times New Roman"/>
        </w:rPr>
        <w:t>ing</w:t>
      </w:r>
      <w:r w:rsidR="000D25F8">
        <w:rPr>
          <w:rFonts w:asciiTheme="minorHAnsi" w:eastAsia="Calibri" w:hAnsiTheme="minorHAnsi" w:cs="Times New Roman"/>
        </w:rPr>
        <w:t xml:space="preserve"> to </w:t>
      </w:r>
      <w:r>
        <w:rPr>
          <w:rFonts w:asciiTheme="minorHAnsi" w:eastAsia="Calibri" w:hAnsiTheme="minorHAnsi" w:cs="Times New Roman"/>
        </w:rPr>
        <w:t xml:space="preserve">joint </w:t>
      </w:r>
      <w:r w:rsidR="000D25F8">
        <w:rPr>
          <w:rFonts w:asciiTheme="minorHAnsi" w:eastAsia="Calibri" w:hAnsiTheme="minorHAnsi" w:cs="Times New Roman"/>
        </w:rPr>
        <w:t xml:space="preserve">or partnership </w:t>
      </w:r>
      <w:r>
        <w:rPr>
          <w:rFonts w:asciiTheme="minorHAnsi" w:eastAsia="Calibri" w:hAnsiTheme="minorHAnsi" w:cs="Times New Roman"/>
        </w:rPr>
        <w:t>accounts).</w:t>
      </w:r>
    </w:p>
    <w:p w14:paraId="76D75419" w14:textId="6E46AA79" w:rsidR="00EF3E24" w:rsidRDefault="00EF3E24" w:rsidP="00A652B4">
      <w:pPr>
        <w:rPr>
          <w:rFonts w:asciiTheme="minorHAnsi" w:eastAsia="Calibri" w:hAnsiTheme="minorHAnsi" w:cs="Times New Roman"/>
        </w:rPr>
      </w:pPr>
      <w:r>
        <w:rPr>
          <w:rFonts w:asciiTheme="minorHAnsi" w:eastAsia="Calibri" w:hAnsiTheme="minorHAnsi" w:cs="Times New Roman"/>
        </w:rPr>
        <w:t xml:space="preserve">As such, in the first instance, large and </w:t>
      </w:r>
      <w:r w:rsidR="009C4411">
        <w:rPr>
          <w:rFonts w:asciiTheme="minorHAnsi" w:eastAsia="Calibri" w:hAnsiTheme="minorHAnsi" w:cs="Times New Roman"/>
        </w:rPr>
        <w:t xml:space="preserve">medium </w:t>
      </w:r>
      <w:r w:rsidR="00F07258">
        <w:rPr>
          <w:rFonts w:asciiTheme="minorHAnsi" w:eastAsia="Calibri" w:hAnsiTheme="minorHAnsi" w:cs="Times New Roman"/>
        </w:rPr>
        <w:t xml:space="preserve">providers </w:t>
      </w:r>
      <w:r w:rsidR="00F80A8C">
        <w:rPr>
          <w:rFonts w:asciiTheme="minorHAnsi" w:eastAsia="Calibri" w:hAnsiTheme="minorHAnsi" w:cs="Times New Roman"/>
        </w:rPr>
        <w:t xml:space="preserve">could </w:t>
      </w:r>
      <w:r w:rsidR="00F07258">
        <w:rPr>
          <w:rFonts w:asciiTheme="minorHAnsi" w:eastAsia="Calibri" w:hAnsiTheme="minorHAnsi" w:cs="Times New Roman"/>
        </w:rPr>
        <w:t>both be required to provide product data information relating to in</w:t>
      </w:r>
      <w:r w:rsidR="00DE60FE">
        <w:rPr>
          <w:rFonts w:asciiTheme="minorHAnsi" w:eastAsia="Calibri" w:hAnsiTheme="minorHAnsi" w:cs="Times New Roman"/>
        </w:rPr>
        <w:t>-</w:t>
      </w:r>
      <w:r w:rsidR="00F07258">
        <w:rPr>
          <w:rFonts w:asciiTheme="minorHAnsi" w:eastAsia="Calibri" w:hAnsiTheme="minorHAnsi" w:cs="Times New Roman"/>
        </w:rPr>
        <w:t>scope products</w:t>
      </w:r>
      <w:r w:rsidR="000E45DC">
        <w:rPr>
          <w:rFonts w:asciiTheme="minorHAnsi" w:eastAsia="Calibri" w:hAnsiTheme="minorHAnsi" w:cs="Times New Roman"/>
        </w:rPr>
        <w:t xml:space="preserve">. </w:t>
      </w:r>
      <w:r w:rsidR="009C4411">
        <w:rPr>
          <w:rFonts w:asciiTheme="minorHAnsi" w:eastAsia="Calibri" w:hAnsiTheme="minorHAnsi" w:cs="Times New Roman"/>
        </w:rPr>
        <w:t xml:space="preserve">This ensures all entities engage early with understanding their CDR obligations and allows them </w:t>
      </w:r>
      <w:r w:rsidR="00CF1D2B">
        <w:rPr>
          <w:rFonts w:asciiTheme="minorHAnsi" w:eastAsia="Calibri" w:hAnsiTheme="minorHAnsi" w:cs="Times New Roman"/>
        </w:rPr>
        <w:t>to</w:t>
      </w:r>
      <w:r w:rsidR="009C4411">
        <w:rPr>
          <w:rFonts w:asciiTheme="minorHAnsi" w:eastAsia="Calibri" w:hAnsiTheme="minorHAnsi" w:cs="Times New Roman"/>
        </w:rPr>
        <w:t xml:space="preserve"> </w:t>
      </w:r>
      <w:r w:rsidR="00CF7B3B">
        <w:rPr>
          <w:rFonts w:asciiTheme="minorHAnsi" w:eastAsia="Calibri" w:hAnsiTheme="minorHAnsi" w:cs="Times New Roman"/>
        </w:rPr>
        <w:t>benefit from sharing product data</w:t>
      </w:r>
      <w:r w:rsidR="00CF1D2B">
        <w:rPr>
          <w:rFonts w:asciiTheme="minorHAnsi" w:eastAsia="Calibri" w:hAnsiTheme="minorHAnsi" w:cs="Times New Roman"/>
        </w:rPr>
        <w:t>,</w:t>
      </w:r>
      <w:r w:rsidR="00CF7B3B">
        <w:rPr>
          <w:rFonts w:asciiTheme="minorHAnsi" w:eastAsia="Calibri" w:hAnsiTheme="minorHAnsi" w:cs="Times New Roman"/>
        </w:rPr>
        <w:t xml:space="preserve"> which supports comparison of products across the sector.</w:t>
      </w:r>
    </w:p>
    <w:p w14:paraId="66645DD9" w14:textId="73402AA0" w:rsidR="008E5E7E" w:rsidRPr="008E5E7E" w:rsidRDefault="000E45DC" w:rsidP="008E5E7E">
      <w:pPr>
        <w:rPr>
          <w:rFonts w:asciiTheme="minorHAnsi" w:eastAsia="Calibri" w:hAnsiTheme="minorHAnsi" w:cs="Times New Roman"/>
        </w:rPr>
      </w:pPr>
      <w:r>
        <w:rPr>
          <w:rFonts w:asciiTheme="minorHAnsi" w:eastAsia="Calibri" w:hAnsiTheme="minorHAnsi" w:cs="Times New Roman"/>
        </w:rPr>
        <w:lastRenderedPageBreak/>
        <w:t xml:space="preserve">Consumer data obligations </w:t>
      </w:r>
      <w:r w:rsidR="00CF7B3B">
        <w:rPr>
          <w:rFonts w:asciiTheme="minorHAnsi" w:eastAsia="Calibri" w:hAnsiTheme="minorHAnsi" w:cs="Times New Roman"/>
        </w:rPr>
        <w:t>could then</w:t>
      </w:r>
      <w:r>
        <w:rPr>
          <w:rFonts w:asciiTheme="minorHAnsi" w:eastAsia="Calibri" w:hAnsiTheme="minorHAnsi" w:cs="Times New Roman"/>
        </w:rPr>
        <w:t xml:space="preserve"> be phased, with large providers required to supply information first, starting with less</w:t>
      </w:r>
      <w:r w:rsidR="0008421D">
        <w:rPr>
          <w:rFonts w:asciiTheme="minorHAnsi" w:eastAsia="Calibri" w:hAnsiTheme="minorHAnsi" w:cs="Times New Roman"/>
        </w:rPr>
        <w:t xml:space="preserve"> </w:t>
      </w:r>
      <w:r>
        <w:rPr>
          <w:rFonts w:asciiTheme="minorHAnsi" w:eastAsia="Calibri" w:hAnsiTheme="minorHAnsi" w:cs="Times New Roman"/>
        </w:rPr>
        <w:t xml:space="preserve">complex requests. </w:t>
      </w:r>
    </w:p>
    <w:p w14:paraId="3DDC4A54" w14:textId="55F2BD0D" w:rsidR="000E45DC" w:rsidRPr="009D2579" w:rsidRDefault="000E45DC" w:rsidP="008E5E7E">
      <w:pPr>
        <w:rPr>
          <w:rFonts w:asciiTheme="minorHAnsi" w:hAnsiTheme="minorHAnsi"/>
        </w:rPr>
      </w:pPr>
      <w:r w:rsidRPr="003C29C4">
        <w:rPr>
          <w:rFonts w:asciiTheme="minorHAnsi" w:hAnsiTheme="minorHAnsi"/>
        </w:rPr>
        <w:t>The intention is for the commencement dates to provide data holders with at</w:t>
      </w:r>
      <w:r w:rsidRPr="003C29C4">
        <w:rPr>
          <w:rFonts w:asciiTheme="minorHAnsi" w:hAnsiTheme="minorHAnsi"/>
        </w:rPr>
        <w:br/>
        <w:t xml:space="preserve">least 12 months to comply with their CDR obligations from the time the final </w:t>
      </w:r>
      <w:r w:rsidR="00C4478B">
        <w:rPr>
          <w:rFonts w:asciiTheme="minorHAnsi" w:hAnsiTheme="minorHAnsi"/>
        </w:rPr>
        <w:t>R</w:t>
      </w:r>
      <w:r w:rsidRPr="003C29C4">
        <w:rPr>
          <w:rFonts w:asciiTheme="minorHAnsi" w:hAnsiTheme="minorHAnsi"/>
        </w:rPr>
        <w:t>ules are</w:t>
      </w:r>
      <w:r w:rsidRPr="003C29C4">
        <w:rPr>
          <w:rFonts w:asciiTheme="minorHAnsi" w:hAnsiTheme="minorHAnsi"/>
        </w:rPr>
        <w:br/>
        <w:t>made and the Data Standards Chair develops the technical and consumer experience</w:t>
      </w:r>
      <w:r w:rsidRPr="003C29C4">
        <w:rPr>
          <w:rFonts w:asciiTheme="minorHAnsi" w:hAnsiTheme="minorHAnsi"/>
        </w:rPr>
        <w:br/>
      </w:r>
      <w:r w:rsidR="00C4478B">
        <w:rPr>
          <w:rFonts w:asciiTheme="minorHAnsi" w:hAnsiTheme="minorHAnsi"/>
        </w:rPr>
        <w:t>Data S</w:t>
      </w:r>
      <w:r w:rsidRPr="003C29C4">
        <w:rPr>
          <w:rFonts w:asciiTheme="minorHAnsi" w:hAnsiTheme="minorHAnsi"/>
        </w:rPr>
        <w:t>tandards.</w:t>
      </w:r>
    </w:p>
    <w:p w14:paraId="3FA9F0D4" w14:textId="77777777" w:rsidR="00A31148" w:rsidRPr="00FF7BBA" w:rsidRDefault="00A31148" w:rsidP="000E45DC">
      <w:pPr>
        <w:pStyle w:val="Bulletpoint"/>
        <w:numPr>
          <w:ilvl w:val="0"/>
          <w:numId w:val="0"/>
        </w:numPr>
      </w:pPr>
    </w:p>
    <w:p w14:paraId="5EDDD027" w14:textId="5552CA58" w:rsidR="008B7E00" w:rsidRDefault="008B7E00" w:rsidP="00521965">
      <w:pPr>
        <w:pBdr>
          <w:top w:val="single" w:sz="4" w:space="1" w:color="auto"/>
          <w:left w:val="single" w:sz="4" w:space="4" w:color="auto"/>
          <w:bottom w:val="single" w:sz="4" w:space="1" w:color="auto"/>
          <w:right w:val="single" w:sz="4" w:space="4" w:color="auto"/>
        </w:pBdr>
        <w:spacing w:before="0" w:after="160" w:line="259" w:lineRule="auto"/>
        <w:rPr>
          <w:rFonts w:asciiTheme="minorHAnsi" w:eastAsia="Calibri" w:hAnsiTheme="minorHAnsi" w:cs="Times New Roman"/>
          <w:b/>
          <w:bCs/>
        </w:rPr>
      </w:pPr>
      <w:r>
        <w:rPr>
          <w:rFonts w:asciiTheme="minorHAnsi" w:eastAsia="Calibri" w:hAnsiTheme="minorHAnsi" w:cs="Times New Roman"/>
          <w:b/>
          <w:bCs/>
        </w:rPr>
        <w:t>Consultation question</w:t>
      </w:r>
    </w:p>
    <w:p w14:paraId="4F0B1351" w14:textId="11FB2DC5" w:rsidR="008B7E00" w:rsidRPr="00521965" w:rsidRDefault="00BF1B34" w:rsidP="008F261A">
      <w:pPr>
        <w:pStyle w:val="ListParagraph"/>
        <w:numPr>
          <w:ilvl w:val="0"/>
          <w:numId w:val="31"/>
        </w:numPr>
        <w:pBdr>
          <w:top w:val="single" w:sz="4" w:space="1" w:color="auto"/>
          <w:left w:val="single" w:sz="4" w:space="4" w:color="auto"/>
          <w:bottom w:val="single" w:sz="4" w:space="1" w:color="auto"/>
          <w:right w:val="single" w:sz="4" w:space="4" w:color="auto"/>
        </w:pBdr>
        <w:spacing w:before="0" w:after="160" w:line="259" w:lineRule="auto"/>
        <w:rPr>
          <w:rFonts w:asciiTheme="minorHAnsi" w:eastAsia="Calibri" w:hAnsiTheme="minorHAnsi" w:cs="Times New Roman"/>
        </w:rPr>
      </w:pPr>
      <w:r>
        <w:rPr>
          <w:rFonts w:asciiTheme="minorHAnsi" w:eastAsia="Calibri" w:hAnsiTheme="minorHAnsi" w:cs="Times New Roman"/>
        </w:rPr>
        <w:t>Are</w:t>
      </w:r>
      <w:r w:rsidR="00C91CB9">
        <w:rPr>
          <w:rFonts w:asciiTheme="minorHAnsi" w:eastAsia="Calibri" w:hAnsiTheme="minorHAnsi" w:cs="Times New Roman"/>
        </w:rPr>
        <w:t xml:space="preserve"> the</w:t>
      </w:r>
      <w:r w:rsidR="00684F2C">
        <w:rPr>
          <w:rFonts w:asciiTheme="minorHAnsi" w:eastAsia="Calibri" w:hAnsiTheme="minorHAnsi" w:cs="Times New Roman"/>
        </w:rPr>
        <w:t>re views on the option to phasing set out above</w:t>
      </w:r>
      <w:r w:rsidR="00521965" w:rsidRPr="00521965">
        <w:rPr>
          <w:rFonts w:asciiTheme="minorHAnsi" w:eastAsia="Calibri" w:hAnsiTheme="minorHAnsi" w:cs="Times New Roman"/>
        </w:rPr>
        <w:t>? Are there other approaches that could be taken to phase the commencement of obligations in the non-bank lending sector?</w:t>
      </w:r>
    </w:p>
    <w:p w14:paraId="0DF89A60" w14:textId="77777777" w:rsidR="006D4BB3" w:rsidRPr="000407B2" w:rsidRDefault="006D4BB3" w:rsidP="008F6AD1">
      <w:pPr>
        <w:pStyle w:val="Heading3"/>
        <w:keepNext/>
        <w:spacing w:after="240"/>
        <w:rPr>
          <w:rFonts w:asciiTheme="minorHAnsi" w:eastAsia="Calibri" w:hAnsiTheme="minorHAnsi" w:cs="Times New Roman"/>
          <w:b w:val="0"/>
          <w:bCs w:val="0"/>
        </w:rPr>
      </w:pPr>
      <w:bookmarkStart w:id="36" w:name="_Toc120881041"/>
      <w:r w:rsidRPr="000407B2">
        <w:rPr>
          <w:rFonts w:eastAsia="Calibri"/>
        </w:rPr>
        <w:t>Internal dispute resolution</w:t>
      </w:r>
      <w:bookmarkEnd w:id="36"/>
    </w:p>
    <w:p w14:paraId="1546FAB7" w14:textId="03D565A7" w:rsidR="006D4BB3" w:rsidRPr="000407B2" w:rsidRDefault="00F65E5E" w:rsidP="006D4BB3">
      <w:pPr>
        <w:spacing w:before="0" w:after="160" w:line="259" w:lineRule="auto"/>
        <w:rPr>
          <w:rFonts w:asciiTheme="minorHAnsi" w:eastAsia="Calibri" w:hAnsiTheme="minorHAnsi" w:cs="Times New Roman"/>
        </w:rPr>
      </w:pPr>
      <w:r>
        <w:rPr>
          <w:rFonts w:asciiTheme="minorHAnsi" w:eastAsia="Calibri" w:hAnsiTheme="minorHAnsi" w:cs="Times New Roman"/>
        </w:rPr>
        <w:t>Under the Rules, d</w:t>
      </w:r>
      <w:r w:rsidR="006D4BB3" w:rsidRPr="000407B2">
        <w:rPr>
          <w:rFonts w:asciiTheme="minorHAnsi" w:eastAsia="Calibri" w:hAnsiTheme="minorHAnsi" w:cs="Times New Roman"/>
        </w:rPr>
        <w:t xml:space="preserve">ata holders and accredited data recipients must have internal dispute resolution processes that meet the internal dispute resolution </w:t>
      </w:r>
      <w:r w:rsidR="00056D1C">
        <w:rPr>
          <w:rFonts w:asciiTheme="minorHAnsi" w:eastAsia="Calibri" w:hAnsiTheme="minorHAnsi" w:cs="Times New Roman"/>
        </w:rPr>
        <w:t xml:space="preserve">(IDR) </w:t>
      </w:r>
      <w:r w:rsidR="006D4BB3" w:rsidRPr="000407B2">
        <w:rPr>
          <w:rFonts w:asciiTheme="minorHAnsi" w:eastAsia="Calibri" w:hAnsiTheme="minorHAnsi" w:cs="Times New Roman"/>
        </w:rPr>
        <w:t xml:space="preserve">requirements in relation to that sector. </w:t>
      </w:r>
    </w:p>
    <w:p w14:paraId="66F3BD44" w14:textId="7FBB146C" w:rsidR="00B1019F" w:rsidRPr="00DE7054" w:rsidRDefault="00EF0D19" w:rsidP="00DE7054">
      <w:r w:rsidRPr="000407B2">
        <w:t>Where possible, the CDR seeks to leverage sector-specific IDR regimes for the purposes of CDR rather than establishing new requirements. For example,</w:t>
      </w:r>
      <w:r w:rsidR="000028D8" w:rsidRPr="000407B2">
        <w:t xml:space="preserve"> f</w:t>
      </w:r>
      <w:r w:rsidR="006D4BB3" w:rsidRPr="000407B2">
        <w:t>or the banking sector, a CDR participant</w:t>
      </w:r>
      <w:r w:rsidR="00D90120">
        <w:t xml:space="preserve"> (both data holders and ADRs)</w:t>
      </w:r>
      <w:r w:rsidR="006D4BB3" w:rsidRPr="000407B2">
        <w:t xml:space="preserve"> meets the internal dispute resolution requirements if its internal dispute resolution processes comply with provisions of </w:t>
      </w:r>
      <w:r w:rsidR="00A4798D">
        <w:t xml:space="preserve">the </w:t>
      </w:r>
      <w:r w:rsidR="006D4BB3" w:rsidRPr="000407B2">
        <w:t xml:space="preserve">Australian Securities &amp; Investments Commission’s </w:t>
      </w:r>
      <w:hyperlink r:id="rId36" w:history="1">
        <w:r w:rsidR="006D4BB3" w:rsidRPr="000407B2">
          <w:rPr>
            <w:rStyle w:val="Hyperlink"/>
          </w:rPr>
          <w:t xml:space="preserve">Regulatory Guide </w:t>
        </w:r>
        <w:r w:rsidR="000028D8" w:rsidRPr="000407B2">
          <w:rPr>
            <w:rStyle w:val="Hyperlink"/>
          </w:rPr>
          <w:t>271</w:t>
        </w:r>
      </w:hyperlink>
      <w:r w:rsidR="006D4BB3" w:rsidRPr="000407B2">
        <w:t xml:space="preserve">. </w:t>
      </w:r>
    </w:p>
    <w:p w14:paraId="12DB4571" w14:textId="5018EAC7" w:rsidR="006D4BB3" w:rsidRPr="000407B2" w:rsidRDefault="006D4BB3" w:rsidP="006D4BB3">
      <w:pPr>
        <w:pStyle w:val="Heading4"/>
        <w:rPr>
          <w:rFonts w:asciiTheme="minorHAnsi" w:eastAsia="Calibri" w:hAnsiTheme="minorHAnsi" w:cs="Times New Roman"/>
          <w:i w:val="0"/>
        </w:rPr>
      </w:pPr>
      <w:r w:rsidRPr="000407B2">
        <w:rPr>
          <w:rFonts w:eastAsia="Calibri"/>
        </w:rPr>
        <w:t>Proposed approach</w:t>
      </w:r>
    </w:p>
    <w:p w14:paraId="0103B075" w14:textId="4FF77F7F" w:rsidR="006D4BB3" w:rsidRPr="000407B2" w:rsidRDefault="000028D8" w:rsidP="006D4BB3">
      <w:pPr>
        <w:rPr>
          <w:rFonts w:asciiTheme="minorHAnsi" w:eastAsia="Calibri" w:hAnsiTheme="minorHAnsi" w:cs="Times New Roman"/>
        </w:rPr>
      </w:pPr>
      <w:r w:rsidRPr="000407B2">
        <w:rPr>
          <w:rFonts w:asciiTheme="minorHAnsi" w:eastAsia="Calibri" w:hAnsiTheme="minorHAnsi" w:cs="Times New Roman"/>
        </w:rPr>
        <w:t xml:space="preserve">There is no IDR standard that applies to the whole of the non-bank lending sector. However, </w:t>
      </w:r>
      <w:proofErr w:type="gramStart"/>
      <w:r w:rsidRPr="000407B2">
        <w:rPr>
          <w:rFonts w:asciiTheme="minorHAnsi" w:eastAsia="Calibri" w:hAnsiTheme="minorHAnsi" w:cs="Times New Roman"/>
        </w:rPr>
        <w:t>the majority of</w:t>
      </w:r>
      <w:proofErr w:type="gramEnd"/>
      <w:r w:rsidRPr="000407B2">
        <w:rPr>
          <w:rFonts w:asciiTheme="minorHAnsi" w:eastAsia="Calibri" w:hAnsiTheme="minorHAnsi" w:cs="Times New Roman"/>
        </w:rPr>
        <w:t xml:space="preserve"> non-bank lenders must also comply with Regulatory Guide </w:t>
      </w:r>
      <w:r w:rsidR="006649B7">
        <w:rPr>
          <w:rFonts w:asciiTheme="minorHAnsi" w:eastAsia="Calibri" w:hAnsiTheme="minorHAnsi" w:cs="Times New Roman"/>
        </w:rPr>
        <w:t>271</w:t>
      </w:r>
      <w:r w:rsidRPr="000407B2">
        <w:rPr>
          <w:rFonts w:asciiTheme="minorHAnsi" w:eastAsia="Calibri" w:hAnsiTheme="minorHAnsi" w:cs="Times New Roman"/>
        </w:rPr>
        <w:t xml:space="preserve"> as a condition of their Consumer Credit License. </w:t>
      </w:r>
      <w:r w:rsidR="006D4BB3" w:rsidRPr="000407B2">
        <w:rPr>
          <w:rFonts w:asciiTheme="minorHAnsi" w:eastAsia="Calibri" w:hAnsiTheme="minorHAnsi" w:cs="Times New Roman"/>
        </w:rPr>
        <w:t xml:space="preserve">It is proposed that the non-bank lending </w:t>
      </w:r>
      <w:r w:rsidR="00F65E5E">
        <w:rPr>
          <w:rFonts w:asciiTheme="minorHAnsi" w:eastAsia="Calibri" w:hAnsiTheme="minorHAnsi" w:cs="Times New Roman"/>
        </w:rPr>
        <w:t>R</w:t>
      </w:r>
      <w:r w:rsidR="006D4BB3" w:rsidRPr="000407B2">
        <w:rPr>
          <w:rFonts w:asciiTheme="minorHAnsi" w:eastAsia="Calibri" w:hAnsiTheme="minorHAnsi" w:cs="Times New Roman"/>
        </w:rPr>
        <w:t>ules require that data holders</w:t>
      </w:r>
      <w:r w:rsidR="00D90120">
        <w:rPr>
          <w:rFonts w:asciiTheme="minorHAnsi" w:eastAsia="Calibri" w:hAnsiTheme="minorHAnsi" w:cs="Times New Roman"/>
        </w:rPr>
        <w:t xml:space="preserve"> and ADRs</w:t>
      </w:r>
      <w:r w:rsidR="006D4BB3" w:rsidRPr="000407B2">
        <w:rPr>
          <w:rFonts w:asciiTheme="minorHAnsi" w:eastAsia="Calibri" w:hAnsiTheme="minorHAnsi" w:cs="Times New Roman"/>
        </w:rPr>
        <w:t xml:space="preserve"> have internal dispute resolution processes that comply with the same provisions of Regulatory Guide </w:t>
      </w:r>
      <w:r w:rsidR="000407B2" w:rsidRPr="000407B2">
        <w:rPr>
          <w:rFonts w:asciiTheme="minorHAnsi" w:eastAsia="Calibri" w:hAnsiTheme="minorHAnsi" w:cs="Times New Roman"/>
        </w:rPr>
        <w:t>271.</w:t>
      </w:r>
    </w:p>
    <w:p w14:paraId="05953905" w14:textId="77777777" w:rsidR="006D4BB3" w:rsidRPr="000407B2" w:rsidRDefault="006D4BB3" w:rsidP="00B555D2">
      <w:pPr>
        <w:spacing w:before="0"/>
        <w:rPr>
          <w:rFonts w:asciiTheme="minorHAnsi" w:eastAsia="Calibri" w:hAnsiTheme="minorHAnsi" w:cs="Times New Roman"/>
        </w:rPr>
      </w:pPr>
    </w:p>
    <w:p w14:paraId="48B9375B" w14:textId="77777777" w:rsidR="006D4BB3" w:rsidRPr="000407B2" w:rsidRDefault="006D4BB3" w:rsidP="006D4BB3">
      <w:pPr>
        <w:pBdr>
          <w:top w:val="single" w:sz="4" w:space="1" w:color="auto"/>
          <w:left w:val="single" w:sz="4" w:space="4" w:color="auto"/>
          <w:bottom w:val="single" w:sz="4" w:space="1" w:color="auto"/>
          <w:right w:val="single" w:sz="4" w:space="4" w:color="auto"/>
        </w:pBdr>
        <w:spacing w:before="0" w:after="160" w:line="259" w:lineRule="auto"/>
        <w:rPr>
          <w:b/>
        </w:rPr>
      </w:pPr>
      <w:r w:rsidRPr="000407B2">
        <w:rPr>
          <w:b/>
        </w:rPr>
        <w:t>Consultation question</w:t>
      </w:r>
      <w:r w:rsidR="0016156A">
        <w:rPr>
          <w:b/>
        </w:rPr>
        <w:t>s</w:t>
      </w:r>
    </w:p>
    <w:p w14:paraId="69F242C6" w14:textId="71768893" w:rsidR="006D4BB3" w:rsidRPr="00684F2C" w:rsidRDefault="006D4BB3" w:rsidP="0019635A">
      <w:pPr>
        <w:pStyle w:val="ListParagraph"/>
        <w:numPr>
          <w:ilvl w:val="0"/>
          <w:numId w:val="31"/>
        </w:numPr>
        <w:pBdr>
          <w:top w:val="single" w:sz="4" w:space="1" w:color="auto"/>
          <w:left w:val="single" w:sz="4" w:space="4" w:color="auto"/>
          <w:bottom w:val="single" w:sz="4" w:space="1" w:color="auto"/>
          <w:right w:val="single" w:sz="4" w:space="4" w:color="auto"/>
        </w:pBdr>
        <w:rPr>
          <w:rFonts w:eastAsia="Calibri"/>
        </w:rPr>
      </w:pPr>
      <w:r w:rsidRPr="000407B2">
        <w:rPr>
          <w:rFonts w:eastAsia="Calibri" w:cs="Times New Roman"/>
        </w:rPr>
        <w:t xml:space="preserve">Are the internal dispute requirements outlined in Regulatory Guide </w:t>
      </w:r>
      <w:r w:rsidR="000407B2" w:rsidRPr="000407B2">
        <w:rPr>
          <w:rFonts w:eastAsia="Calibri" w:cs="Times New Roman"/>
        </w:rPr>
        <w:t>271</w:t>
      </w:r>
      <w:r w:rsidRPr="000407B2">
        <w:rPr>
          <w:rFonts w:eastAsia="Calibri" w:cs="Times New Roman"/>
        </w:rPr>
        <w:t xml:space="preserve"> an appropriate standard for the non-bank lending sector?</w:t>
      </w:r>
    </w:p>
    <w:p w14:paraId="6B6274F6" w14:textId="2E1EDBD9" w:rsidR="00684F2C" w:rsidRDefault="00684F2C" w:rsidP="0019635A">
      <w:pPr>
        <w:pStyle w:val="ListParagraph"/>
        <w:numPr>
          <w:ilvl w:val="0"/>
          <w:numId w:val="31"/>
        </w:numPr>
        <w:pBdr>
          <w:top w:val="single" w:sz="4" w:space="1" w:color="auto"/>
          <w:left w:val="single" w:sz="4" w:space="4" w:color="auto"/>
          <w:bottom w:val="single" w:sz="4" w:space="1" w:color="auto"/>
          <w:right w:val="single" w:sz="4" w:space="4" w:color="auto"/>
        </w:pBdr>
        <w:rPr>
          <w:rFonts w:eastAsia="Calibri"/>
        </w:rPr>
      </w:pPr>
      <w:r>
        <w:rPr>
          <w:rFonts w:eastAsia="Calibri" w:cs="Times New Roman"/>
        </w:rPr>
        <w:t>Are there other IDR regimes that entities within the sector must comply with?</w:t>
      </w:r>
    </w:p>
    <w:p w14:paraId="69B2F532" w14:textId="003770E2" w:rsidR="00A652B4" w:rsidRDefault="005B24A9" w:rsidP="0019635A">
      <w:pPr>
        <w:pStyle w:val="Heading3"/>
        <w:rPr>
          <w:rFonts w:asciiTheme="minorHAnsi" w:eastAsia="Calibri" w:hAnsiTheme="minorHAnsi" w:cs="Times New Roman"/>
          <w:b w:val="0"/>
          <w:bCs w:val="0"/>
        </w:rPr>
      </w:pPr>
      <w:bookmarkStart w:id="37" w:name="_Toc120881042"/>
      <w:r>
        <w:rPr>
          <w:rFonts w:eastAsia="Calibri"/>
        </w:rPr>
        <w:t>External dispute resolution</w:t>
      </w:r>
      <w:bookmarkEnd w:id="37"/>
    </w:p>
    <w:p w14:paraId="100C6FC9" w14:textId="1DA73649" w:rsidR="008012E9" w:rsidRPr="008012E9" w:rsidRDefault="005B24A9" w:rsidP="008012E9">
      <w:pPr>
        <w:rPr>
          <w:rFonts w:asciiTheme="minorHAnsi" w:eastAsia="Calibri" w:hAnsiTheme="minorHAnsi" w:cs="Times New Roman"/>
        </w:rPr>
      </w:pPr>
      <w:r w:rsidRPr="00364CBF">
        <w:rPr>
          <w:rFonts w:asciiTheme="minorHAnsi" w:eastAsia="Calibri" w:hAnsiTheme="minorHAnsi" w:cs="Times New Roman"/>
        </w:rPr>
        <w:t>Data holders and accredited data recipients must be members of an external dispute resolution (EDR) scheme in relation to CDR consumer complaints. The Australian Financial Complaints Authority (AFCA) is the EDR provider for the banking sector in the CDR</w:t>
      </w:r>
      <w:r w:rsidR="008012E9">
        <w:rPr>
          <w:rFonts w:asciiTheme="minorHAnsi" w:eastAsia="Calibri" w:hAnsiTheme="minorHAnsi" w:cs="Times New Roman"/>
        </w:rPr>
        <w:t>.</w:t>
      </w:r>
    </w:p>
    <w:p w14:paraId="1F3B7910" w14:textId="7C1D6DDB" w:rsidR="005B24A9" w:rsidRPr="00601868" w:rsidRDefault="005B24A9" w:rsidP="0019635A">
      <w:pPr>
        <w:pStyle w:val="Heading4"/>
        <w:rPr>
          <w:rFonts w:asciiTheme="minorHAnsi" w:eastAsia="Calibri" w:hAnsiTheme="minorHAnsi" w:cs="Times New Roman"/>
          <w:i w:val="0"/>
          <w:iCs w:val="0"/>
        </w:rPr>
      </w:pPr>
      <w:r w:rsidRPr="00601868">
        <w:rPr>
          <w:rFonts w:eastAsia="Calibri"/>
        </w:rPr>
        <w:t>Proposed approach</w:t>
      </w:r>
    </w:p>
    <w:p w14:paraId="6F83A422" w14:textId="77777777" w:rsidR="005B24A9" w:rsidRPr="00364CBF" w:rsidRDefault="005B24A9" w:rsidP="005B24A9">
      <w:pPr>
        <w:rPr>
          <w:rFonts w:asciiTheme="minorHAnsi" w:eastAsia="Calibri" w:hAnsiTheme="minorHAnsi" w:cs="Times New Roman"/>
        </w:rPr>
      </w:pPr>
      <w:r w:rsidRPr="00364CBF">
        <w:rPr>
          <w:rFonts w:asciiTheme="minorHAnsi" w:eastAsia="Calibri" w:hAnsiTheme="minorHAnsi" w:cs="Times New Roman"/>
        </w:rPr>
        <w:t>It is</w:t>
      </w:r>
      <w:r>
        <w:rPr>
          <w:rFonts w:asciiTheme="minorHAnsi" w:eastAsia="Calibri" w:hAnsiTheme="minorHAnsi" w:cs="Times New Roman"/>
        </w:rPr>
        <w:t xml:space="preserve"> proposed</w:t>
      </w:r>
      <w:r w:rsidRPr="00364CBF">
        <w:rPr>
          <w:rFonts w:asciiTheme="minorHAnsi" w:eastAsia="Calibri" w:hAnsiTheme="minorHAnsi" w:cs="Times New Roman"/>
        </w:rPr>
        <w:t xml:space="preserve"> that AFCA would act as the EDR provider for both data holders and accredited data recipients in the non-bank lending sector. AFCA is the dispute resolution scheme for financial services, including for banks and other credit providers, </w:t>
      </w:r>
      <w:proofErr w:type="gramStart"/>
      <w:r w:rsidRPr="00364CBF">
        <w:rPr>
          <w:rFonts w:asciiTheme="minorHAnsi" w:eastAsia="Calibri" w:hAnsiTheme="minorHAnsi" w:cs="Times New Roman"/>
        </w:rPr>
        <w:t>insurance</w:t>
      </w:r>
      <w:proofErr w:type="gramEnd"/>
      <w:r w:rsidRPr="00364CBF">
        <w:rPr>
          <w:rFonts w:asciiTheme="minorHAnsi" w:eastAsia="Calibri" w:hAnsiTheme="minorHAnsi" w:cs="Times New Roman"/>
        </w:rPr>
        <w:t xml:space="preserve"> and superannuation firms. It handles complaints for credit, </w:t>
      </w:r>
      <w:proofErr w:type="gramStart"/>
      <w:r w:rsidRPr="00364CBF">
        <w:rPr>
          <w:rFonts w:asciiTheme="minorHAnsi" w:eastAsia="Calibri" w:hAnsiTheme="minorHAnsi" w:cs="Times New Roman"/>
        </w:rPr>
        <w:t>finance</w:t>
      </w:r>
      <w:proofErr w:type="gramEnd"/>
      <w:r w:rsidRPr="00364CBF">
        <w:rPr>
          <w:rFonts w:asciiTheme="minorHAnsi" w:eastAsia="Calibri" w:hAnsiTheme="minorHAnsi" w:cs="Times New Roman"/>
        </w:rPr>
        <w:t xml:space="preserve"> and loan products from </w:t>
      </w:r>
      <w:r w:rsidRPr="00364CBF">
        <w:rPr>
          <w:rFonts w:asciiTheme="minorHAnsi" w:eastAsia="Calibri" w:hAnsiTheme="minorHAnsi" w:cs="Times New Roman"/>
        </w:rPr>
        <w:lastRenderedPageBreak/>
        <w:t>financial firms, including</w:t>
      </w:r>
      <w:r>
        <w:rPr>
          <w:rFonts w:asciiTheme="minorHAnsi" w:eastAsia="Calibri" w:hAnsiTheme="minorHAnsi" w:cs="Times New Roman"/>
        </w:rPr>
        <w:t xml:space="preserve"> credit cards and loans (home, personal and investment/small business)</w:t>
      </w:r>
    </w:p>
    <w:p w14:paraId="283CA703" w14:textId="77777777" w:rsidR="005B24A9" w:rsidRDefault="005B24A9" w:rsidP="005B24A9">
      <w:pPr>
        <w:pStyle w:val="Bulletpoint"/>
        <w:numPr>
          <w:ilvl w:val="0"/>
          <w:numId w:val="0"/>
        </w:numPr>
        <w:spacing w:before="0"/>
        <w:ind w:left="340" w:hanging="340"/>
      </w:pPr>
    </w:p>
    <w:p w14:paraId="26CBA7D8" w14:textId="382C7082" w:rsidR="005E309B" w:rsidRDefault="005B24A9" w:rsidP="00660DD7">
      <w:pPr>
        <w:spacing w:before="0" w:after="160" w:line="259" w:lineRule="auto"/>
      </w:pPr>
      <w:r>
        <w:t xml:space="preserve">Before </w:t>
      </w:r>
      <w:r w:rsidR="0047260E">
        <w:t xml:space="preserve">recognising </w:t>
      </w:r>
      <w:r>
        <w:t xml:space="preserve">AFCA as the EDR provider the Minister is required to consider the appropriateness of the scheme by reference to a range of statutory factors (including the scheme’s independence, </w:t>
      </w:r>
      <w:proofErr w:type="gramStart"/>
      <w:r>
        <w:t>fairness</w:t>
      </w:r>
      <w:proofErr w:type="gramEnd"/>
      <w:r>
        <w:t xml:space="preserve"> and effectiveness) and consult with the Information Commissioner.</w:t>
      </w:r>
    </w:p>
    <w:p w14:paraId="12C57551" w14:textId="30278552" w:rsidR="009D106D" w:rsidRPr="000407B2" w:rsidRDefault="009D106D" w:rsidP="009D106D">
      <w:pPr>
        <w:pBdr>
          <w:top w:val="single" w:sz="4" w:space="1" w:color="auto"/>
          <w:left w:val="single" w:sz="4" w:space="4" w:color="auto"/>
          <w:bottom w:val="single" w:sz="4" w:space="1" w:color="auto"/>
          <w:right w:val="single" w:sz="4" w:space="4" w:color="auto"/>
        </w:pBdr>
        <w:spacing w:before="0" w:after="160" w:line="259" w:lineRule="auto"/>
        <w:rPr>
          <w:b/>
        </w:rPr>
      </w:pPr>
      <w:r w:rsidRPr="000407B2">
        <w:rPr>
          <w:b/>
        </w:rPr>
        <w:t>Consultation question</w:t>
      </w:r>
    </w:p>
    <w:p w14:paraId="15501ED0" w14:textId="322B5E22" w:rsidR="009D106D" w:rsidRPr="002D1B0E" w:rsidRDefault="009D106D" w:rsidP="002D1B0E">
      <w:pPr>
        <w:pStyle w:val="ListParagraph"/>
        <w:numPr>
          <w:ilvl w:val="0"/>
          <w:numId w:val="31"/>
        </w:numPr>
        <w:pBdr>
          <w:top w:val="single" w:sz="4" w:space="1" w:color="auto"/>
          <w:left w:val="single" w:sz="4" w:space="4" w:color="auto"/>
          <w:bottom w:val="single" w:sz="4" w:space="1" w:color="auto"/>
          <w:right w:val="single" w:sz="4" w:space="4" w:color="auto"/>
        </w:pBdr>
        <w:rPr>
          <w:rFonts w:eastAsia="Calibri"/>
        </w:rPr>
      </w:pPr>
      <w:r>
        <w:rPr>
          <w:rFonts w:eastAsia="Calibri" w:cs="Times New Roman"/>
        </w:rPr>
        <w:t xml:space="preserve">Is AFCA the most </w:t>
      </w:r>
      <w:r w:rsidR="00380531">
        <w:rPr>
          <w:rFonts w:eastAsia="Calibri" w:cs="Times New Roman"/>
        </w:rPr>
        <w:t>suitable</w:t>
      </w:r>
      <w:r>
        <w:rPr>
          <w:rFonts w:eastAsia="Calibri" w:cs="Times New Roman"/>
        </w:rPr>
        <w:t xml:space="preserve"> EDR provider </w:t>
      </w:r>
      <w:r w:rsidR="00380531">
        <w:rPr>
          <w:rFonts w:eastAsia="Calibri" w:cs="Times New Roman"/>
        </w:rPr>
        <w:t>for CDR consumer complaints in the</w:t>
      </w:r>
      <w:r>
        <w:rPr>
          <w:rFonts w:eastAsia="Calibri" w:cs="Times New Roman"/>
        </w:rPr>
        <w:t xml:space="preserve"> </w:t>
      </w:r>
      <w:r w:rsidR="00380531">
        <w:rPr>
          <w:rFonts w:eastAsia="Calibri" w:cs="Times New Roman"/>
        </w:rPr>
        <w:t>non-bank lending sector?</w:t>
      </w:r>
    </w:p>
    <w:p w14:paraId="53FE404F" w14:textId="5975F3CC" w:rsidR="005B24A9" w:rsidRPr="008F261A" w:rsidRDefault="005B24A9" w:rsidP="00D95755">
      <w:pPr>
        <w:pStyle w:val="Heading3"/>
        <w:keepNext/>
        <w:spacing w:after="240"/>
      </w:pPr>
      <w:bookmarkStart w:id="38" w:name="_Toc120881043"/>
      <w:r w:rsidRPr="00601868">
        <w:t>Additional consumer pro</w:t>
      </w:r>
      <w:r w:rsidRPr="008F261A">
        <w:t>tection measures</w:t>
      </w:r>
      <w:bookmarkEnd w:id="38"/>
    </w:p>
    <w:p w14:paraId="65319756" w14:textId="6DC866C6" w:rsidR="00FF7BBA" w:rsidRDefault="005B24A9" w:rsidP="005B24A9">
      <w:pPr>
        <w:spacing w:before="0" w:after="160" w:line="259" w:lineRule="auto"/>
      </w:pPr>
      <w:r>
        <w:t xml:space="preserve">Concerns were raised in consultation during the sectoral assessment process about predatory or discriminatory behaviour by non-bank lenders. The Sectoral Assessment </w:t>
      </w:r>
      <w:r w:rsidR="00493FC2">
        <w:t>R</w:t>
      </w:r>
      <w:r>
        <w:t>eport recommended further consideration be given at the rule-making stage to whether additional consumer protection measures are necessary to address these concerns, such as additional consent requirements.</w:t>
      </w:r>
    </w:p>
    <w:p w14:paraId="4FE9CEE2" w14:textId="626EE30C" w:rsidR="005B24A9" w:rsidRPr="00601868" w:rsidRDefault="00601868" w:rsidP="009420C6">
      <w:pPr>
        <w:pBdr>
          <w:top w:val="single" w:sz="4" w:space="1" w:color="auto"/>
          <w:left w:val="single" w:sz="4" w:space="4" w:color="auto"/>
          <w:bottom w:val="single" w:sz="4" w:space="1" w:color="auto"/>
          <w:right w:val="single" w:sz="4" w:space="4" w:color="auto"/>
        </w:pBdr>
        <w:spacing w:before="0" w:after="160" w:line="259" w:lineRule="auto"/>
        <w:rPr>
          <w:b/>
          <w:bCs/>
        </w:rPr>
      </w:pPr>
      <w:r w:rsidRPr="00601868">
        <w:rPr>
          <w:b/>
          <w:bCs/>
        </w:rPr>
        <w:t>Consultation questions</w:t>
      </w:r>
    </w:p>
    <w:p w14:paraId="2431ECA0" w14:textId="2F64B493" w:rsidR="00601868" w:rsidRDefault="00601868" w:rsidP="008F261A">
      <w:pPr>
        <w:pStyle w:val="ListParagraph"/>
        <w:numPr>
          <w:ilvl w:val="0"/>
          <w:numId w:val="31"/>
        </w:numPr>
        <w:pBdr>
          <w:top w:val="single" w:sz="4" w:space="1" w:color="auto"/>
          <w:left w:val="single" w:sz="4" w:space="4" w:color="auto"/>
          <w:bottom w:val="single" w:sz="4" w:space="1" w:color="auto"/>
          <w:right w:val="single" w:sz="4" w:space="4" w:color="auto"/>
        </w:pBdr>
        <w:rPr>
          <w:rFonts w:eastAsia="Calibri" w:cs="Times New Roman"/>
        </w:rPr>
      </w:pPr>
      <w:r>
        <w:rPr>
          <w:rFonts w:eastAsia="Calibri" w:cs="Times New Roman"/>
        </w:rPr>
        <w:t>What are</w:t>
      </w:r>
      <w:r>
        <w:t xml:space="preserve"> the </w:t>
      </w:r>
      <w:r>
        <w:rPr>
          <w:rFonts w:eastAsia="Calibri" w:cs="Times New Roman"/>
        </w:rPr>
        <w:t xml:space="preserve">specific behaviours by non-bank lenders that are of concern where consideration </w:t>
      </w:r>
      <w:r>
        <w:t xml:space="preserve">should </w:t>
      </w:r>
      <w:r>
        <w:rPr>
          <w:rFonts w:eastAsia="Calibri" w:cs="Times New Roman"/>
        </w:rPr>
        <w:t>be given to additional rules for consumer protection purposes?</w:t>
      </w:r>
    </w:p>
    <w:p w14:paraId="22C34C6F" w14:textId="230402D7" w:rsidR="00006A25" w:rsidRDefault="00006A25" w:rsidP="008F261A">
      <w:pPr>
        <w:pStyle w:val="ListParagraph"/>
        <w:numPr>
          <w:ilvl w:val="0"/>
          <w:numId w:val="31"/>
        </w:numPr>
        <w:pBdr>
          <w:top w:val="single" w:sz="4" w:space="1" w:color="auto"/>
          <w:left w:val="single" w:sz="4" w:space="4" w:color="auto"/>
          <w:bottom w:val="single" w:sz="4" w:space="1" w:color="auto"/>
          <w:right w:val="single" w:sz="4" w:space="4" w:color="auto"/>
        </w:pBdr>
        <w:rPr>
          <w:rFonts w:eastAsia="Calibri" w:cs="Times New Roman"/>
        </w:rPr>
      </w:pPr>
      <w:r>
        <w:rPr>
          <w:rFonts w:eastAsia="Calibri" w:cs="Times New Roman"/>
        </w:rPr>
        <w:t xml:space="preserve">Are there any </w:t>
      </w:r>
      <w:r w:rsidR="003C12E6">
        <w:rPr>
          <w:rFonts w:eastAsia="Calibri" w:cs="Times New Roman"/>
        </w:rPr>
        <w:t>non-bank</w:t>
      </w:r>
      <w:r>
        <w:rPr>
          <w:rFonts w:eastAsia="Calibri" w:cs="Times New Roman"/>
        </w:rPr>
        <w:t xml:space="preserve"> lending products that should be excluded from the CDR? </w:t>
      </w:r>
    </w:p>
    <w:p w14:paraId="70D70A02" w14:textId="7124B3F5" w:rsidR="005B24A9" w:rsidRPr="00601868" w:rsidRDefault="00601868" w:rsidP="008F261A">
      <w:pPr>
        <w:pStyle w:val="ListParagraph"/>
        <w:numPr>
          <w:ilvl w:val="0"/>
          <w:numId w:val="31"/>
        </w:numPr>
        <w:pBdr>
          <w:top w:val="single" w:sz="4" w:space="1" w:color="auto"/>
          <w:left w:val="single" w:sz="4" w:space="4" w:color="auto"/>
          <w:bottom w:val="single" w:sz="4" w:space="1" w:color="auto"/>
          <w:right w:val="single" w:sz="4" w:space="4" w:color="auto"/>
        </w:pBdr>
        <w:rPr>
          <w:rFonts w:eastAsia="Calibri" w:cs="Times New Roman"/>
        </w:rPr>
      </w:pPr>
      <w:r>
        <w:rPr>
          <w:rFonts w:eastAsia="Calibri" w:cs="Times New Roman"/>
        </w:rPr>
        <w:t xml:space="preserve">Should the </w:t>
      </w:r>
      <w:r w:rsidR="00D661CA">
        <w:rPr>
          <w:rFonts w:eastAsia="Calibri" w:cs="Times New Roman"/>
        </w:rPr>
        <w:t>rules</w:t>
      </w:r>
      <w:r>
        <w:rPr>
          <w:rFonts w:eastAsia="Calibri" w:cs="Times New Roman"/>
        </w:rPr>
        <w:t xml:space="preserve"> </w:t>
      </w:r>
      <w:r>
        <w:t xml:space="preserve">prohibit </w:t>
      </w:r>
      <w:r>
        <w:rPr>
          <w:rFonts w:eastAsia="Calibri" w:cs="Times New Roman"/>
        </w:rPr>
        <w:t xml:space="preserve">Accredited Data Recipients from seeking certain types of consents, such as a </w:t>
      </w:r>
      <w:r>
        <w:t xml:space="preserve">direct marketing </w:t>
      </w:r>
      <w:r>
        <w:rPr>
          <w:rFonts w:eastAsia="Calibri" w:cs="Times New Roman"/>
        </w:rPr>
        <w:t xml:space="preserve">consent, from a consumer in relation to </w:t>
      </w:r>
      <w:r>
        <w:t xml:space="preserve">certain </w:t>
      </w:r>
      <w:r w:rsidR="005B24A9">
        <w:t>high-cost products, such as short-term consumer credit contracts (also known as payday loans) and consumer leases</w:t>
      </w:r>
      <w:r w:rsidR="00564C2A">
        <w:t>?</w:t>
      </w:r>
    </w:p>
    <w:p w14:paraId="579773B5" w14:textId="2818B943" w:rsidR="00146C76" w:rsidRPr="005E309B" w:rsidRDefault="009420C6" w:rsidP="005E309B">
      <w:pPr>
        <w:pStyle w:val="ListParagraph"/>
        <w:numPr>
          <w:ilvl w:val="0"/>
          <w:numId w:val="31"/>
        </w:numPr>
        <w:pBdr>
          <w:top w:val="single" w:sz="4" w:space="1" w:color="auto"/>
          <w:left w:val="single" w:sz="4" w:space="4" w:color="auto"/>
          <w:bottom w:val="single" w:sz="4" w:space="1" w:color="auto"/>
          <w:right w:val="single" w:sz="4" w:space="4" w:color="auto"/>
        </w:pBdr>
        <w:rPr>
          <w:rFonts w:eastAsia="Calibri" w:cs="Times New Roman"/>
        </w:rPr>
      </w:pPr>
      <w:r>
        <w:t xml:space="preserve">Are there other measures that could be considered in the </w:t>
      </w:r>
      <w:r w:rsidR="00D661CA">
        <w:t>rules</w:t>
      </w:r>
      <w:r>
        <w:t xml:space="preserve"> for the purposes of meeting consumer protection outcomes</w:t>
      </w:r>
      <w:r w:rsidR="00564C2A">
        <w:t>?</w:t>
      </w:r>
    </w:p>
    <w:p w14:paraId="73FC37A7" w14:textId="07AB9F9C" w:rsidR="00C65280" w:rsidRPr="00711649" w:rsidRDefault="00C65280" w:rsidP="001C51D6">
      <w:pPr>
        <w:pStyle w:val="Heading2"/>
        <w:spacing w:after="240"/>
        <w:rPr>
          <w:b/>
        </w:rPr>
      </w:pPr>
      <w:bookmarkStart w:id="39" w:name="_Toc117670624"/>
      <w:bookmarkStart w:id="40" w:name="_Toc120881044"/>
      <w:r w:rsidRPr="00711649">
        <w:t>Technical</w:t>
      </w:r>
      <w:r w:rsidR="00B55C99">
        <w:t xml:space="preserve"> </w:t>
      </w:r>
      <w:r w:rsidR="006C615A">
        <w:t>D</w:t>
      </w:r>
      <w:r w:rsidR="00B55C99">
        <w:t>ata</w:t>
      </w:r>
      <w:r w:rsidRPr="00711649">
        <w:t xml:space="preserve"> </w:t>
      </w:r>
      <w:r w:rsidR="006C615A">
        <w:t>S</w:t>
      </w:r>
      <w:r w:rsidRPr="00711649">
        <w:t>tandards considerations</w:t>
      </w:r>
      <w:bookmarkEnd w:id="39"/>
      <w:bookmarkEnd w:id="40"/>
    </w:p>
    <w:p w14:paraId="2DEFF61C" w14:textId="77777777" w:rsidR="00C65280" w:rsidRPr="00711649" w:rsidRDefault="00C65280" w:rsidP="00C65280">
      <w:pPr>
        <w:spacing w:before="0" w:after="160" w:line="259" w:lineRule="auto"/>
      </w:pPr>
      <w:r w:rsidRPr="00711649">
        <w:t xml:space="preserve">When developing technical standards for data sharing of designated data clusters, there are several specific concerns that can influence the complexity of the standards development process and subsequent implementation by participants. </w:t>
      </w:r>
    </w:p>
    <w:p w14:paraId="69C14E23" w14:textId="44310FD1" w:rsidR="00C65280" w:rsidRPr="00711649" w:rsidRDefault="00C65280" w:rsidP="00C65280">
      <w:pPr>
        <w:spacing w:before="0" w:after="160" w:line="259" w:lineRule="auto"/>
      </w:pPr>
      <w:r w:rsidRPr="00711649">
        <w:t>While the banking</w:t>
      </w:r>
      <w:r w:rsidR="00B55C99">
        <w:t xml:space="preserve"> </w:t>
      </w:r>
      <w:r w:rsidR="006C615A">
        <w:t>D</w:t>
      </w:r>
      <w:r w:rsidR="00B55C99">
        <w:t>ata</w:t>
      </w:r>
      <w:r w:rsidRPr="00711649">
        <w:t xml:space="preserve"> </w:t>
      </w:r>
      <w:r w:rsidR="006C615A">
        <w:t>S</w:t>
      </w:r>
      <w:r w:rsidRPr="00711649">
        <w:t>tandards will be used as</w:t>
      </w:r>
      <w:r>
        <w:t xml:space="preserve"> a</w:t>
      </w:r>
      <w:r w:rsidRPr="00711649">
        <w:t xml:space="preserve"> starting point for the non-bank lending sector, to ensure there is comparability between datasets in the two sectors, feedback is sought on the specific issues identified below:</w:t>
      </w:r>
    </w:p>
    <w:p w14:paraId="37DF76DF" w14:textId="5DC7D728" w:rsidR="00C65280" w:rsidRPr="00711649" w:rsidRDefault="00C65280" w:rsidP="00C65280">
      <w:pPr>
        <w:pStyle w:val="Bullet"/>
      </w:pPr>
      <w:r w:rsidRPr="008C4B6E">
        <w:rPr>
          <w:i/>
        </w:rPr>
        <w:t>Data latency</w:t>
      </w:r>
      <w:r w:rsidRPr="00711649">
        <w:t xml:space="preserve"> – for data cluster</w:t>
      </w:r>
      <w:r w:rsidR="00A4798D">
        <w:t>s</w:t>
      </w:r>
      <w:r w:rsidRPr="00711649">
        <w:t xml:space="preserve"> identified, the amount of time it takes to provide accurate data, the volume of data available or the temporal extent of historical data held in readily accessible systems can all create issues.</w:t>
      </w:r>
    </w:p>
    <w:p w14:paraId="12E020E8" w14:textId="77777777" w:rsidR="00C65280" w:rsidRPr="00711649" w:rsidRDefault="00C65280" w:rsidP="00C65280">
      <w:pPr>
        <w:pStyle w:val="Bullet"/>
        <w:rPr>
          <w:iCs/>
        </w:rPr>
      </w:pPr>
      <w:r w:rsidRPr="008C4B6E">
        <w:rPr>
          <w:i/>
        </w:rPr>
        <w:t>Data quality</w:t>
      </w:r>
      <w:r w:rsidRPr="00711649">
        <w:rPr>
          <w:iCs/>
        </w:rPr>
        <w:t xml:space="preserve"> - t</w:t>
      </w:r>
      <w:r w:rsidRPr="00711649">
        <w:t xml:space="preserve">he variability of data quality held, both </w:t>
      </w:r>
      <w:proofErr w:type="gramStart"/>
      <w:r w:rsidRPr="00711649">
        <w:t>with regard to</w:t>
      </w:r>
      <w:proofErr w:type="gramEnd"/>
      <w:r w:rsidRPr="00711649">
        <w:t xml:space="preserve"> accuracy but also structural consistency. The standards prioritise strongly typed structures as this maximises the value of the data transferred. </w:t>
      </w:r>
    </w:p>
    <w:p w14:paraId="3B5B1A3B" w14:textId="77777777" w:rsidR="00C65280" w:rsidRPr="00766810" w:rsidRDefault="00C65280" w:rsidP="00C65280">
      <w:pPr>
        <w:pStyle w:val="Bullet"/>
        <w:rPr>
          <w:iCs/>
        </w:rPr>
      </w:pPr>
      <w:r w:rsidRPr="008C4B6E">
        <w:rPr>
          <w:i/>
        </w:rPr>
        <w:t>System fragmentation</w:t>
      </w:r>
      <w:r w:rsidRPr="00711649">
        <w:rPr>
          <w:iCs/>
        </w:rPr>
        <w:t xml:space="preserve"> – </w:t>
      </w:r>
      <w:r w:rsidRPr="00711649">
        <w:t xml:space="preserve">the level of existing architectural fragmentation of systems that hold and present the data clusters being considered. This has a direct impact on </w:t>
      </w:r>
      <w:r w:rsidRPr="00711649">
        <w:lastRenderedPageBreak/>
        <w:t xml:space="preserve">the technical difficulty in defining consistent standards but can also influence phasing of standards implementation. </w:t>
      </w:r>
    </w:p>
    <w:p w14:paraId="310A1AE2" w14:textId="6086C095" w:rsidR="00C65280" w:rsidRPr="00711649" w:rsidRDefault="00C65280" w:rsidP="00C65280">
      <w:pPr>
        <w:pStyle w:val="Bullet"/>
        <w:rPr>
          <w:iCs/>
        </w:rPr>
      </w:pPr>
      <w:r>
        <w:rPr>
          <w:i/>
        </w:rPr>
        <w:t xml:space="preserve">Standards extensibility </w:t>
      </w:r>
      <w:r>
        <w:rPr>
          <w:iCs/>
        </w:rPr>
        <w:t xml:space="preserve">– the applicability of the existing sector-agnostic standards to the non-bank lending sector, such as the </w:t>
      </w:r>
      <w:hyperlink r:id="rId37" w:anchor="security-profile" w:history="1">
        <w:r w:rsidRPr="00FA251A">
          <w:rPr>
            <w:rStyle w:val="Hyperlink"/>
            <w:rFonts w:asciiTheme="minorHAnsi" w:hAnsiTheme="minorHAnsi"/>
            <w:iCs/>
          </w:rPr>
          <w:t>security profile</w:t>
        </w:r>
      </w:hyperlink>
      <w:r>
        <w:rPr>
          <w:iCs/>
        </w:rPr>
        <w:t xml:space="preserve"> for authentication</w:t>
      </w:r>
    </w:p>
    <w:p w14:paraId="6BB61495" w14:textId="77777777" w:rsidR="00C65280" w:rsidRPr="00711649" w:rsidRDefault="00C65280" w:rsidP="001C51D6">
      <w:pPr>
        <w:pStyle w:val="Heading3"/>
        <w:spacing w:after="240"/>
      </w:pPr>
      <w:bookmarkStart w:id="41" w:name="_Toc120881045"/>
      <w:r w:rsidRPr="00756538">
        <w:t>Consumer experience considerations</w:t>
      </w:r>
      <w:bookmarkEnd w:id="41"/>
      <w:r w:rsidRPr="00711649">
        <w:t xml:space="preserve"> </w:t>
      </w:r>
    </w:p>
    <w:p w14:paraId="43409915" w14:textId="56979328" w:rsidR="00C65280" w:rsidRDefault="00C65280" w:rsidP="00C65280">
      <w:pPr>
        <w:spacing w:before="0" w:after="160" w:line="259" w:lineRule="auto"/>
      </w:pPr>
      <w:r>
        <w:t xml:space="preserve">The consumer experience (CX) </w:t>
      </w:r>
      <w:r w:rsidR="006C615A">
        <w:t>D</w:t>
      </w:r>
      <w:r>
        <w:t xml:space="preserve">ata </w:t>
      </w:r>
      <w:r w:rsidR="006C615A">
        <w:t>S</w:t>
      </w:r>
      <w:r>
        <w:t>tandards cover various aspects of the consent model, including the consent process, authentication, authorisation, language standards, and consent and authorisation management. They include data holder requirements for:</w:t>
      </w:r>
    </w:p>
    <w:p w14:paraId="203D8556" w14:textId="2C2A9737" w:rsidR="00C65280" w:rsidRDefault="00D63611" w:rsidP="00C65280">
      <w:pPr>
        <w:pStyle w:val="ListParagraph"/>
        <w:numPr>
          <w:ilvl w:val="0"/>
          <w:numId w:val="42"/>
        </w:numPr>
        <w:spacing w:before="0" w:after="160" w:line="259" w:lineRule="auto"/>
      </w:pPr>
      <w:hyperlink r:id="rId38" w:anchor="data-language-standards-common" w:history="1">
        <w:r w:rsidR="00C65280" w:rsidRPr="00695BE6">
          <w:rPr>
            <w:rStyle w:val="Hyperlink"/>
          </w:rPr>
          <w:t>Data language standards</w:t>
        </w:r>
      </w:hyperlink>
      <w:r w:rsidR="00C65280">
        <w:t xml:space="preserve">, which specify </w:t>
      </w:r>
      <w:r w:rsidR="00C65280" w:rsidRPr="00711649">
        <w:t>mandatory descriptions of datasets to be used by CDR participants</w:t>
      </w:r>
      <w:r w:rsidR="00C65280">
        <w:t xml:space="preserve">. These standards facilitate </w:t>
      </w:r>
      <w:r w:rsidR="00C65280" w:rsidRPr="00711649">
        <w:t xml:space="preserve">comprehensible and meaningful descriptions and groupings of datasets </w:t>
      </w:r>
      <w:r w:rsidR="00C65280">
        <w:t xml:space="preserve">as well as </w:t>
      </w:r>
      <w:r w:rsidR="00C65280" w:rsidRPr="00711649">
        <w:t>informed consumer consent</w:t>
      </w:r>
    </w:p>
    <w:p w14:paraId="7330EB63" w14:textId="77777777" w:rsidR="00C65280" w:rsidRDefault="00D63611" w:rsidP="00C65280">
      <w:pPr>
        <w:pStyle w:val="ListParagraph"/>
        <w:numPr>
          <w:ilvl w:val="0"/>
          <w:numId w:val="42"/>
        </w:numPr>
        <w:spacing w:before="0" w:after="160" w:line="259" w:lineRule="auto"/>
      </w:pPr>
      <w:hyperlink r:id="rId39" w:anchor="accessibility-standards" w:history="1">
        <w:r w:rsidR="00C65280" w:rsidRPr="00FB5658">
          <w:rPr>
            <w:rStyle w:val="Hyperlink"/>
          </w:rPr>
          <w:t>Accessibility standards</w:t>
        </w:r>
      </w:hyperlink>
      <w:r w:rsidR="00C65280">
        <w:t>, which require that CDR participants seek to comply with various Web Content Accessibility Guidelines (WCAG)</w:t>
      </w:r>
    </w:p>
    <w:p w14:paraId="36C3292E" w14:textId="77777777" w:rsidR="00C65280" w:rsidRDefault="00D63611" w:rsidP="00C65280">
      <w:pPr>
        <w:pStyle w:val="ListParagraph"/>
        <w:numPr>
          <w:ilvl w:val="0"/>
          <w:numId w:val="42"/>
        </w:numPr>
        <w:spacing w:before="0" w:after="160" w:line="259" w:lineRule="auto"/>
      </w:pPr>
      <w:hyperlink r:id="rId40" w:anchor="authentication-standards" w:history="1">
        <w:r w:rsidR="00C65280" w:rsidRPr="00D80D15">
          <w:rPr>
            <w:rStyle w:val="Hyperlink"/>
          </w:rPr>
          <w:t>Authentication standards</w:t>
        </w:r>
      </w:hyperlink>
      <w:r w:rsidR="00C65280">
        <w:t xml:space="preserve">, which work in conjunction with the </w:t>
      </w:r>
      <w:hyperlink r:id="rId41" w:anchor="security-profile" w:history="1">
        <w:r w:rsidR="00C65280" w:rsidRPr="00791B5C">
          <w:rPr>
            <w:rStyle w:val="Hyperlink"/>
          </w:rPr>
          <w:t>security profile</w:t>
        </w:r>
      </w:hyperlink>
      <w:r w:rsidR="00C65280">
        <w:t xml:space="preserve"> to specify requirements for the supported approach to CDR authentication</w:t>
      </w:r>
    </w:p>
    <w:p w14:paraId="780F990F" w14:textId="77777777" w:rsidR="00C65280" w:rsidRDefault="00D63611" w:rsidP="00C65280">
      <w:pPr>
        <w:pStyle w:val="ListParagraph"/>
        <w:numPr>
          <w:ilvl w:val="0"/>
          <w:numId w:val="42"/>
        </w:numPr>
        <w:spacing w:before="0" w:after="160" w:line="259" w:lineRule="auto"/>
      </w:pPr>
      <w:hyperlink r:id="rId42" w:anchor="authorisation-standards" w:history="1">
        <w:r w:rsidR="00C65280" w:rsidRPr="00FE0E61">
          <w:rPr>
            <w:rStyle w:val="Hyperlink"/>
          </w:rPr>
          <w:t>Authorisation standards</w:t>
        </w:r>
      </w:hyperlink>
      <w:r w:rsidR="00C65280">
        <w:t xml:space="preserve">, including for the </w:t>
      </w:r>
      <w:hyperlink r:id="rId43" w:anchor="amending-authorisation-standards" w:history="1">
        <w:r w:rsidR="00C65280" w:rsidRPr="00FE0E61">
          <w:rPr>
            <w:rStyle w:val="Hyperlink"/>
          </w:rPr>
          <w:t>amending authorisation flow</w:t>
        </w:r>
      </w:hyperlink>
      <w:r w:rsidR="00C65280">
        <w:t>, which specify requirements to include where a consumer is authorising the sharing of data</w:t>
      </w:r>
    </w:p>
    <w:p w14:paraId="096FBC01" w14:textId="77777777" w:rsidR="00C65280" w:rsidRDefault="00D63611" w:rsidP="00C65280">
      <w:pPr>
        <w:pStyle w:val="ListParagraph"/>
        <w:numPr>
          <w:ilvl w:val="0"/>
          <w:numId w:val="42"/>
        </w:numPr>
        <w:spacing w:before="0" w:after="160" w:line="259" w:lineRule="auto"/>
      </w:pPr>
      <w:hyperlink r:id="rId44" w:anchor="notification-standards" w:history="1">
        <w:r w:rsidR="00C65280" w:rsidRPr="00994FE1">
          <w:rPr>
            <w:rStyle w:val="Hyperlink"/>
          </w:rPr>
          <w:t>Notification standards</w:t>
        </w:r>
      </w:hyperlink>
      <w:r w:rsidR="00C65280">
        <w:t>, which focus on measures for joint accounts</w:t>
      </w:r>
    </w:p>
    <w:p w14:paraId="1E8C270A" w14:textId="77777777" w:rsidR="00C65280" w:rsidRPr="00711649" w:rsidRDefault="00D63611" w:rsidP="00C65280">
      <w:pPr>
        <w:pStyle w:val="ListParagraph"/>
        <w:numPr>
          <w:ilvl w:val="0"/>
          <w:numId w:val="42"/>
        </w:numPr>
        <w:spacing w:before="0" w:after="160" w:line="259" w:lineRule="auto"/>
      </w:pPr>
      <w:hyperlink r:id="rId45" w:anchor="withdrawal-standards" w:history="1">
        <w:r w:rsidR="00C65280" w:rsidRPr="008D57AB">
          <w:rPr>
            <w:rStyle w:val="Hyperlink"/>
          </w:rPr>
          <w:t>Withdrawal standards</w:t>
        </w:r>
      </w:hyperlink>
      <w:r w:rsidR="00C65280">
        <w:t>, including messaging requirements for data holders to present when a consumer is revoking an authorisation</w:t>
      </w:r>
    </w:p>
    <w:p w14:paraId="01C278B6" w14:textId="77777777" w:rsidR="00C65280" w:rsidRPr="00490046" w:rsidRDefault="00C65280" w:rsidP="00C65280">
      <w:pPr>
        <w:spacing w:before="0" w:after="160" w:line="259" w:lineRule="auto"/>
      </w:pPr>
      <w:r w:rsidRPr="00490046">
        <w:t xml:space="preserve">The </w:t>
      </w:r>
      <w:hyperlink r:id="rId46" w:anchor="data-language-standards-common" w:history="1">
        <w:r w:rsidRPr="00490046">
          <w:rPr>
            <w:rStyle w:val="Hyperlink"/>
          </w:rPr>
          <w:t>existing data language standards</w:t>
        </w:r>
      </w:hyperlink>
      <w:r>
        <w:t xml:space="preserve"> currently </w:t>
      </w:r>
      <w:r w:rsidRPr="00490046">
        <w:t>cover the language to be used when requesting banking and energy data</w:t>
      </w:r>
      <w:r>
        <w:t xml:space="preserve">. The </w:t>
      </w:r>
      <w:hyperlink r:id="rId47" w:anchor="banking-language" w:history="1">
        <w:r w:rsidRPr="00152EA8">
          <w:rPr>
            <w:rStyle w:val="Hyperlink"/>
          </w:rPr>
          <w:t>language standards for banking</w:t>
        </w:r>
      </w:hyperlink>
      <w:r>
        <w:t xml:space="preserve"> will need to be revisited and potentially expanded to accommodate non-bank lending</w:t>
      </w:r>
      <w:r w:rsidRPr="00490046">
        <w:t xml:space="preserve">. </w:t>
      </w:r>
    </w:p>
    <w:p w14:paraId="1C9D9BEF" w14:textId="77777777" w:rsidR="00C65280" w:rsidRDefault="00C65280" w:rsidP="00C65280">
      <w:pPr>
        <w:spacing w:before="0" w:after="160" w:line="259" w:lineRule="auto"/>
      </w:pPr>
      <w:r w:rsidRPr="00490046">
        <w:t>Data language will be consulted on and refined further alongside the technical standards</w:t>
      </w:r>
      <w:r>
        <w:t xml:space="preserve"> and rules development</w:t>
      </w:r>
      <w:r w:rsidRPr="00490046">
        <w:t xml:space="preserve">. </w:t>
      </w:r>
    </w:p>
    <w:p w14:paraId="6BA279B4" w14:textId="5A34858D" w:rsidR="001C51D6" w:rsidRDefault="00C65280" w:rsidP="00C65280">
      <w:pPr>
        <w:spacing w:before="0" w:after="160" w:line="259" w:lineRule="auto"/>
      </w:pPr>
      <w:r w:rsidRPr="00B02FD8">
        <w:t xml:space="preserve">The authentication </w:t>
      </w:r>
      <w:r>
        <w:t xml:space="preserve">and authorisation standards have evolved from the banking sector to accommodate the energy sector. The </w:t>
      </w:r>
      <w:hyperlink r:id="rId48" w:history="1">
        <w:r w:rsidRPr="004F2282">
          <w:rPr>
            <w:rStyle w:val="Hyperlink"/>
          </w:rPr>
          <w:t>CX Guidelines</w:t>
        </w:r>
      </w:hyperlink>
      <w:r>
        <w:t xml:space="preserve"> provide optional examples that demonstrate how authentication and authorisation requirements may be implemented. S</w:t>
      </w:r>
      <w:r w:rsidRPr="00B02FD8">
        <w:t xml:space="preserve">ectoral differences </w:t>
      </w:r>
      <w:r>
        <w:t xml:space="preserve">may need to be considered as the CDR expands. Considerations </w:t>
      </w:r>
      <w:r w:rsidRPr="00B02FD8">
        <w:t>may include lower digital adoption</w:t>
      </w:r>
      <w:r>
        <w:t xml:space="preserve"> in a new sector</w:t>
      </w:r>
      <w:r w:rsidRPr="00B02FD8">
        <w:t>, varying authentication practices and</w:t>
      </w:r>
      <w:r>
        <w:t xml:space="preserve"> </w:t>
      </w:r>
      <w:r w:rsidRPr="00B02FD8">
        <w:t xml:space="preserve">credential use, and the structuring of accounts, plans, or services that may </w:t>
      </w:r>
      <w:r>
        <w:t>present</w:t>
      </w:r>
      <w:r w:rsidRPr="00B02FD8">
        <w:t xml:space="preserve"> alternate</w:t>
      </w:r>
      <w:r>
        <w:t xml:space="preserve"> conceptions of </w:t>
      </w:r>
      <w:r w:rsidRPr="00B02FD8">
        <w:t>data segmentation and data subjects.</w:t>
      </w:r>
    </w:p>
    <w:p w14:paraId="69DD87D8" w14:textId="77777777" w:rsidR="00C65280" w:rsidRDefault="00C65280" w:rsidP="0090493B">
      <w:pPr>
        <w:pBdr>
          <w:top w:val="single" w:sz="4" w:space="1" w:color="auto"/>
          <w:left w:val="single" w:sz="4" w:space="4" w:color="auto"/>
          <w:bottom w:val="single" w:sz="4" w:space="0" w:color="auto"/>
          <w:right w:val="single" w:sz="4" w:space="4" w:color="auto"/>
        </w:pBdr>
        <w:spacing w:before="0" w:after="160" w:line="259" w:lineRule="auto"/>
        <w:rPr>
          <w:b/>
        </w:rPr>
      </w:pPr>
      <w:r w:rsidRPr="000407B2">
        <w:rPr>
          <w:b/>
        </w:rPr>
        <w:t>Consultation questions</w:t>
      </w:r>
    </w:p>
    <w:p w14:paraId="72B16925" w14:textId="3CFE07B9" w:rsidR="00C65280" w:rsidRPr="00721DCB" w:rsidRDefault="00C65280" w:rsidP="0090493B">
      <w:pPr>
        <w:pStyle w:val="ListParagraph"/>
        <w:numPr>
          <w:ilvl w:val="0"/>
          <w:numId w:val="31"/>
        </w:numPr>
        <w:pBdr>
          <w:top w:val="single" w:sz="4" w:space="1" w:color="auto"/>
          <w:left w:val="single" w:sz="4" w:space="4" w:color="auto"/>
          <w:bottom w:val="single" w:sz="4" w:space="0" w:color="auto"/>
          <w:right w:val="single" w:sz="4" w:space="4" w:color="auto"/>
        </w:pBdr>
        <w:rPr>
          <w:b/>
        </w:rPr>
      </w:pPr>
      <w:r>
        <w:rPr>
          <w:b/>
        </w:rPr>
        <w:t xml:space="preserve"> </w:t>
      </w:r>
      <w:r>
        <w:t>Are the existing sector-agnostic</w:t>
      </w:r>
      <w:r w:rsidR="006C615A">
        <w:t xml:space="preserve"> Data</w:t>
      </w:r>
      <w:r>
        <w:t xml:space="preserve"> </w:t>
      </w:r>
      <w:r w:rsidR="006C615A">
        <w:t>S</w:t>
      </w:r>
      <w:r>
        <w:t xml:space="preserve">tandards appropriate for the non-bank lending sector? Do any sector-specific </w:t>
      </w:r>
      <w:r w:rsidR="003405F5">
        <w:t>accommodations</w:t>
      </w:r>
      <w:r>
        <w:t xml:space="preserve"> need to be considered?</w:t>
      </w:r>
    </w:p>
    <w:p w14:paraId="1B1B9E10" w14:textId="77777777" w:rsidR="0016156A" w:rsidRPr="0016156A" w:rsidRDefault="00C65280" w:rsidP="0016156A">
      <w:pPr>
        <w:pStyle w:val="ListParagraph"/>
        <w:numPr>
          <w:ilvl w:val="0"/>
          <w:numId w:val="31"/>
        </w:numPr>
        <w:pBdr>
          <w:top w:val="single" w:sz="4" w:space="1" w:color="auto"/>
          <w:left w:val="single" w:sz="4" w:space="4" w:color="auto"/>
          <w:bottom w:val="single" w:sz="4" w:space="0" w:color="auto"/>
          <w:right w:val="single" w:sz="4" w:space="4" w:color="auto"/>
        </w:pBdr>
        <w:rPr>
          <w:b/>
        </w:rPr>
      </w:pPr>
      <w:r>
        <w:t xml:space="preserve"> How does the non-bank lending sector currently describe the recommended required data to consumers? Are there synergies with the existing banking data language standards, or do revisions and expansions need to be considered?</w:t>
      </w:r>
    </w:p>
    <w:p w14:paraId="66E44063" w14:textId="77777777" w:rsidR="0016156A" w:rsidRPr="0016156A" w:rsidRDefault="0016156A" w:rsidP="0016156A">
      <w:pPr>
        <w:spacing w:before="0"/>
        <w:ind w:left="340"/>
        <w:rPr>
          <w:b/>
          <w:sz w:val="16"/>
          <w:szCs w:val="16"/>
        </w:rPr>
      </w:pPr>
    </w:p>
    <w:p w14:paraId="0D8B9BC4" w14:textId="7454BF70" w:rsidR="00B035DB" w:rsidRDefault="00C65280" w:rsidP="0016156A">
      <w:pPr>
        <w:pStyle w:val="ListParagraph"/>
        <w:numPr>
          <w:ilvl w:val="0"/>
          <w:numId w:val="31"/>
        </w:numPr>
        <w:pBdr>
          <w:top w:val="single" w:sz="4" w:space="1" w:color="auto"/>
          <w:left w:val="single" w:sz="4" w:space="4" w:color="auto"/>
          <w:bottom w:val="single" w:sz="4" w:space="0" w:color="auto"/>
          <w:right w:val="single" w:sz="4" w:space="4" w:color="auto"/>
        </w:pBdr>
        <w:spacing w:before="0"/>
        <w:rPr>
          <w:bCs/>
        </w:rPr>
      </w:pPr>
      <w:r>
        <w:rPr>
          <w:bCs/>
        </w:rPr>
        <w:t>Is the current approach to authentication and authorisation appropriate for the non-bank lending sector? Are there sector-specific considerations that need to be made, such as lower levels of digital adoption or alternative approaches to authentication?</w:t>
      </w:r>
    </w:p>
    <w:p w14:paraId="00AC04C7" w14:textId="68772F61" w:rsidR="00B035DB" w:rsidRDefault="00B035DB" w:rsidP="0090493B">
      <w:pPr>
        <w:pStyle w:val="ListParagraph"/>
        <w:numPr>
          <w:ilvl w:val="0"/>
          <w:numId w:val="31"/>
        </w:numPr>
        <w:pBdr>
          <w:top w:val="single" w:sz="4" w:space="1" w:color="auto"/>
          <w:left w:val="single" w:sz="4" w:space="4" w:color="auto"/>
          <w:bottom w:val="single" w:sz="4" w:space="0" w:color="auto"/>
          <w:right w:val="single" w:sz="4" w:space="4" w:color="auto"/>
        </w:pBdr>
        <w:rPr>
          <w:bCs/>
        </w:rPr>
      </w:pPr>
      <w:r>
        <w:rPr>
          <w:bCs/>
        </w:rPr>
        <w:t xml:space="preserve">What unique user identifiers are available for non-bank lending customers? </w:t>
      </w:r>
      <w:proofErr w:type="gramStart"/>
      <w:r>
        <w:rPr>
          <w:bCs/>
        </w:rPr>
        <w:t>E.g.</w:t>
      </w:r>
      <w:proofErr w:type="gramEnd"/>
      <w:r>
        <w:rPr>
          <w:bCs/>
        </w:rPr>
        <w:t xml:space="preserve"> customer IDs used for online access.</w:t>
      </w:r>
    </w:p>
    <w:p w14:paraId="5D3DC003" w14:textId="4A95870E" w:rsidR="005B24A9" w:rsidRPr="0090493B" w:rsidRDefault="00B035DB" w:rsidP="0090493B">
      <w:pPr>
        <w:pStyle w:val="ListParagraph"/>
        <w:numPr>
          <w:ilvl w:val="0"/>
          <w:numId w:val="31"/>
        </w:numPr>
        <w:pBdr>
          <w:top w:val="single" w:sz="4" w:space="1" w:color="auto"/>
          <w:left w:val="single" w:sz="4" w:space="4" w:color="auto"/>
          <w:bottom w:val="single" w:sz="4" w:space="0" w:color="auto"/>
          <w:right w:val="single" w:sz="4" w:space="4" w:color="auto"/>
        </w:pBdr>
        <w:rPr>
          <w:bCs/>
        </w:rPr>
      </w:pPr>
      <w:r>
        <w:rPr>
          <w:bCs/>
        </w:rPr>
        <w:t xml:space="preserve">What delivery channels exist for non-bank lending customers to receive a one-time password (OTP)? </w:t>
      </w:r>
      <w:r w:rsidRPr="001C51D6">
        <w:rPr>
          <w:bCs/>
        </w:rPr>
        <w:t>Are there differences for online versus offline customers?</w:t>
      </w:r>
    </w:p>
    <w:sectPr w:rsidR="005B24A9" w:rsidRPr="0090493B" w:rsidSect="00081E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C33C0" w14:textId="77777777" w:rsidR="00F309FD" w:rsidRDefault="00F309FD" w:rsidP="004B4412">
      <w:pPr>
        <w:spacing w:before="0"/>
      </w:pPr>
      <w:r>
        <w:separator/>
      </w:r>
    </w:p>
  </w:endnote>
  <w:endnote w:type="continuationSeparator" w:id="0">
    <w:p w14:paraId="712B1D68" w14:textId="77777777" w:rsidR="00F309FD" w:rsidRDefault="00F309FD" w:rsidP="004B4412">
      <w:pPr>
        <w:spacing w:before="0"/>
      </w:pPr>
      <w:r>
        <w:continuationSeparator/>
      </w:r>
    </w:p>
  </w:endnote>
  <w:endnote w:type="continuationNotice" w:id="1">
    <w:p w14:paraId="00918DCA" w14:textId="77777777" w:rsidR="00B668CA" w:rsidRDefault="00B668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101542"/>
      <w:docPartObj>
        <w:docPartGallery w:val="Page Numbers (Bottom of Page)"/>
        <w:docPartUnique/>
      </w:docPartObj>
    </w:sdtPr>
    <w:sdtEndPr>
      <w:rPr>
        <w:noProof/>
      </w:rPr>
    </w:sdtEndPr>
    <w:sdtContent>
      <w:p w14:paraId="2929337C" w14:textId="66AEF100" w:rsidR="00BB12E0" w:rsidRDefault="00BB12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F983B4" w14:textId="77777777" w:rsidR="00BB12E0" w:rsidRDefault="00BB1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3612B" w14:textId="77777777" w:rsidR="00F309FD" w:rsidRDefault="00F309FD" w:rsidP="004B4412">
      <w:pPr>
        <w:spacing w:before="0"/>
      </w:pPr>
      <w:r>
        <w:separator/>
      </w:r>
    </w:p>
  </w:footnote>
  <w:footnote w:type="continuationSeparator" w:id="0">
    <w:p w14:paraId="35778420" w14:textId="77777777" w:rsidR="00F309FD" w:rsidRDefault="00F309FD" w:rsidP="004B4412">
      <w:pPr>
        <w:spacing w:before="0"/>
      </w:pPr>
      <w:r>
        <w:continuationSeparator/>
      </w:r>
    </w:p>
  </w:footnote>
  <w:footnote w:type="continuationNotice" w:id="1">
    <w:p w14:paraId="433ED12B" w14:textId="77777777" w:rsidR="00B668CA" w:rsidRDefault="00B668CA">
      <w:pPr>
        <w:spacing w:before="0"/>
      </w:pPr>
    </w:p>
  </w:footnote>
  <w:footnote w:id="2">
    <w:p w14:paraId="59A5F596" w14:textId="03590576" w:rsidR="008B4301" w:rsidRDefault="008B4301" w:rsidP="008B4301">
      <w:pPr>
        <w:pStyle w:val="FootnoteText"/>
        <w:tabs>
          <w:tab w:val="clear" w:pos="340"/>
          <w:tab w:val="left" w:pos="142"/>
        </w:tabs>
        <w:ind w:left="142" w:hanging="142"/>
      </w:pPr>
      <w:r>
        <w:rPr>
          <w:rStyle w:val="FootnoteReference"/>
        </w:rPr>
        <w:footnoteRef/>
      </w:r>
      <w:r>
        <w:t xml:space="preserve"> Feedback posted on GitHub is public by nature at the time of submission. Content posted on GitHub should be made according to the community engagement rules published by the Data Standards Body.</w:t>
      </w:r>
    </w:p>
  </w:footnote>
  <w:footnote w:id="3">
    <w:p w14:paraId="279D1ADF" w14:textId="77777777" w:rsidR="00DE7054" w:rsidRDefault="00DE7054" w:rsidP="00DE7054">
      <w:pPr>
        <w:pStyle w:val="FootnoteText"/>
        <w:tabs>
          <w:tab w:val="clear" w:pos="340"/>
          <w:tab w:val="left" w:pos="142"/>
        </w:tabs>
        <w:ind w:left="142" w:hanging="142"/>
      </w:pPr>
      <w:r>
        <w:rPr>
          <w:rStyle w:val="FootnoteReference"/>
        </w:rPr>
        <w:footnoteRef/>
      </w:r>
      <w:r>
        <w:t xml:space="preserve"> It is possible for an entity below the </w:t>
      </w:r>
      <w:r w:rsidRPr="0018279D">
        <w:rPr>
          <w:i/>
          <w:iCs/>
        </w:rPr>
        <w:t>de minimis</w:t>
      </w:r>
      <w:r>
        <w:t xml:space="preserve"> threshold to voluntarily elect to share product data without also needing to share consumer data. Sharing product data allows entities to have their products considered as part of product comparison services and can be provided at a lower cost than consumer data which requires authentication. </w:t>
      </w:r>
    </w:p>
  </w:footnote>
  <w:footnote w:id="4">
    <w:p w14:paraId="0C5B5BBD" w14:textId="6C9C48B2" w:rsidR="00FF2C25" w:rsidRDefault="00FF2C25" w:rsidP="00FF2C25">
      <w:pPr>
        <w:pStyle w:val="FootnoteText"/>
        <w:tabs>
          <w:tab w:val="clear" w:pos="340"/>
          <w:tab w:val="left" w:pos="142"/>
        </w:tabs>
        <w:ind w:left="142" w:hanging="142"/>
      </w:pPr>
      <w:r>
        <w:rPr>
          <w:rStyle w:val="FootnoteReference"/>
        </w:rPr>
        <w:footnoteRef/>
      </w:r>
      <w:r>
        <w:t xml:space="preserve"> </w:t>
      </w:r>
      <w:r>
        <w:rPr>
          <w:rFonts w:asciiTheme="minorHAnsi" w:eastAsia="Calibri" w:hAnsiTheme="minorHAnsi" w:cs="Times New Roman"/>
        </w:rPr>
        <w:t xml:space="preserve">Entities with total assets over $400 million are subject to more frequent financial data reporting obligations to APRA under obligations made under the </w:t>
      </w:r>
      <w:r w:rsidRPr="00364CBF">
        <w:rPr>
          <w:rFonts w:asciiTheme="minorHAnsi" w:eastAsia="Calibri" w:hAnsiTheme="minorHAnsi" w:cs="Times New Roman"/>
        </w:rPr>
        <w:t>Collection of Data Act.</w:t>
      </w:r>
    </w:p>
  </w:footnote>
  <w:footnote w:id="5">
    <w:p w14:paraId="67B30192" w14:textId="09449EB1" w:rsidR="0068557B" w:rsidRDefault="0068557B" w:rsidP="001207CF">
      <w:pPr>
        <w:pStyle w:val="FootnoteText"/>
        <w:tabs>
          <w:tab w:val="clear" w:pos="340"/>
          <w:tab w:val="left" w:pos="142"/>
        </w:tabs>
        <w:ind w:left="142" w:hanging="142"/>
      </w:pPr>
      <w:r>
        <w:rPr>
          <w:rStyle w:val="FootnoteReference"/>
        </w:rPr>
        <w:footnoteRef/>
      </w:r>
      <w:r>
        <w:t xml:space="preserve"> This limb seeks </w:t>
      </w:r>
      <w:r w:rsidR="00575DCF">
        <w:t xml:space="preserve">to future-proof the list of products to allow for new product development </w:t>
      </w:r>
      <w:r w:rsidR="001207CF">
        <w:t>or for changes in the specific product offering, such as the name, while still allowing the product to fall within one of the general types listed.</w:t>
      </w:r>
    </w:p>
  </w:footnote>
  <w:footnote w:id="6">
    <w:p w14:paraId="0F6B0F04" w14:textId="776E48D0" w:rsidR="00A00990" w:rsidRDefault="00A00990">
      <w:pPr>
        <w:pStyle w:val="FootnoteText"/>
      </w:pPr>
      <w:r>
        <w:rPr>
          <w:rStyle w:val="FootnoteReference"/>
        </w:rPr>
        <w:footnoteRef/>
      </w:r>
      <w:r>
        <w:t xml:space="preserve"> The ACCC has released </w:t>
      </w:r>
      <w:hyperlink r:id="rId1" w:history="1">
        <w:r w:rsidRPr="00A00990">
          <w:rPr>
            <w:rStyle w:val="Hyperlink"/>
            <w:sz w:val="16"/>
          </w:rPr>
          <w:t>guidance</w:t>
        </w:r>
      </w:hyperlink>
      <w:r>
        <w:t xml:space="preserve"> for data holders on how to interpret ‘publicly offered’. </w:t>
      </w:r>
    </w:p>
  </w:footnote>
  <w:footnote w:id="7">
    <w:p w14:paraId="6AF4574D" w14:textId="732B553C" w:rsidR="0004331C" w:rsidRDefault="0004331C" w:rsidP="0004331C">
      <w:pPr>
        <w:pStyle w:val="FootnoteText"/>
        <w:tabs>
          <w:tab w:val="clear" w:pos="340"/>
          <w:tab w:val="left" w:pos="142"/>
        </w:tabs>
        <w:ind w:left="142" w:hanging="142"/>
      </w:pPr>
      <w:r>
        <w:rPr>
          <w:rStyle w:val="FootnoteReference"/>
        </w:rPr>
        <w:footnoteRef/>
      </w:r>
      <w:r>
        <w:t xml:space="preserve"> </w:t>
      </w:r>
      <w:r w:rsidRPr="0004331C">
        <w:rPr>
          <w:rFonts w:asciiTheme="minorHAnsi" w:eastAsia="Calibri" w:hAnsiTheme="minorHAnsi" w:cs="Times New Roman"/>
        </w:rPr>
        <w:t>Should</w:t>
      </w:r>
      <w:r>
        <w:t xml:space="preserve"> a large corporate account exclusion be considered for the non-bank lending rules, further consideration will also be given to its interaction with the </w:t>
      </w:r>
      <w:r w:rsidRPr="0004331C">
        <w:rPr>
          <w:i/>
          <w:iCs/>
        </w:rPr>
        <w:t xml:space="preserve">de </w:t>
      </w:r>
      <w:r>
        <w:rPr>
          <w:i/>
          <w:iCs/>
        </w:rPr>
        <w:t>minimis</w:t>
      </w:r>
      <w:r>
        <w:t xml:space="preserve"> threshold.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CD86159"/>
    <w:multiLevelType w:val="hybridMultilevel"/>
    <w:tmpl w:val="61F2EA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0B94DFF"/>
    <w:multiLevelType w:val="multilevel"/>
    <w:tmpl w:val="093A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2517FB"/>
    <w:multiLevelType w:val="multilevel"/>
    <w:tmpl w:val="2CD2F0F0"/>
    <w:lvl w:ilvl="0">
      <w:start w:val="1"/>
      <w:numFmt w:val="bullet"/>
      <w:lvlText w:val="•"/>
      <w:lvlJc w:val="left"/>
      <w:pPr>
        <w:tabs>
          <w:tab w:val="num" w:pos="496"/>
        </w:tabs>
        <w:ind w:left="496" w:hanging="496"/>
      </w:pPr>
      <w:rPr>
        <w:rFonts w:ascii="Times New Roman" w:hAnsi="Times New Roman" w:cs="Times New Roman"/>
      </w:rPr>
    </w:lvl>
    <w:lvl w:ilvl="1">
      <w:start w:val="1"/>
      <w:numFmt w:val="bullet"/>
      <w:lvlText w:val="–"/>
      <w:lvlJc w:val="left"/>
      <w:pPr>
        <w:tabs>
          <w:tab w:val="num" w:pos="992"/>
        </w:tabs>
        <w:ind w:left="992" w:hanging="496"/>
      </w:pPr>
      <w:rPr>
        <w:rFonts w:ascii="Times New Roman" w:hAnsi="Times New Roman" w:cs="Times New Roman"/>
      </w:rPr>
    </w:lvl>
    <w:lvl w:ilvl="2">
      <w:start w:val="1"/>
      <w:numFmt w:val="bullet"/>
      <w:lvlText w:val=":"/>
      <w:lvlJc w:val="left"/>
      <w:pPr>
        <w:tabs>
          <w:tab w:val="num" w:pos="1488"/>
        </w:tabs>
        <w:ind w:left="1488" w:hanging="496"/>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4" w15:restartNumberingAfterBreak="0">
    <w:nsid w:val="15B1576B"/>
    <w:multiLevelType w:val="multilevel"/>
    <w:tmpl w:val="01CC4B86"/>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6" w15:restartNumberingAfterBreak="0">
    <w:nsid w:val="1CF519CE"/>
    <w:multiLevelType w:val="multilevel"/>
    <w:tmpl w:val="7C26219C"/>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7" w15:restartNumberingAfterBreak="0">
    <w:nsid w:val="1F3729A1"/>
    <w:multiLevelType w:val="hybridMultilevel"/>
    <w:tmpl w:val="A88C9006"/>
    <w:lvl w:ilvl="0" w:tplc="BACA756C">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8945DD3"/>
    <w:multiLevelType w:val="hybridMultilevel"/>
    <w:tmpl w:val="19EA6F30"/>
    <w:lvl w:ilvl="0" w:tplc="55925C98">
      <w:start w:val="1"/>
      <w:numFmt w:val="decimal"/>
      <w:pStyle w:val="Normal-Numberedparagraphs"/>
      <w:lvlText w:val="%1."/>
      <w:lvlJc w:val="left"/>
      <w:pPr>
        <w:ind w:left="360" w:hanging="360"/>
      </w:pPr>
      <w:rPr>
        <w:b w:val="0"/>
        <w:bCs w:val="0"/>
        <w:i w:val="0"/>
        <w:iCs w:val="0"/>
        <w:color w:val="auto"/>
      </w:rPr>
    </w:lvl>
    <w:lvl w:ilvl="1" w:tplc="892E350A">
      <w:start w:val="1"/>
      <w:numFmt w:val="lowerLetter"/>
      <w:lvlText w:val="%2."/>
      <w:lvlJc w:val="left"/>
      <w:pPr>
        <w:ind w:left="1080" w:hanging="360"/>
      </w:pPr>
      <w:rPr>
        <w:i w:val="0"/>
        <w:iCs w:val="0"/>
        <w:u w:val="none"/>
      </w:rPr>
    </w:lvl>
    <w:lvl w:ilvl="2" w:tplc="E9120EF2">
      <w:start w:val="1"/>
      <w:numFmt w:val="lowerRoman"/>
      <w:lvlText w:val="%3."/>
      <w:lvlJc w:val="right"/>
      <w:pPr>
        <w:ind w:left="1314" w:hanging="180"/>
      </w:pPr>
      <w:rPr>
        <w:i w:val="0"/>
        <w:iCs w:val="0"/>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0030E96"/>
    <w:multiLevelType w:val="hybridMultilevel"/>
    <w:tmpl w:val="7698F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03C2648"/>
    <w:multiLevelType w:val="hybridMultilevel"/>
    <w:tmpl w:val="FA6823F8"/>
    <w:lvl w:ilvl="0" w:tplc="5E2C417A">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2"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3"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5" w15:restartNumberingAfterBreak="0">
    <w:nsid w:val="3F1E1598"/>
    <w:multiLevelType w:val="hybridMultilevel"/>
    <w:tmpl w:val="E7B0E3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A416214"/>
    <w:multiLevelType w:val="hybridMultilevel"/>
    <w:tmpl w:val="A80201A8"/>
    <w:lvl w:ilvl="0" w:tplc="4A1A158A">
      <w:start w:val="4"/>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A450992"/>
    <w:multiLevelType w:val="multilevel"/>
    <w:tmpl w:val="3D7AC1D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30"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6DC52CE"/>
    <w:multiLevelType w:val="multilevel"/>
    <w:tmpl w:val="F8CC5C92"/>
    <w:lvl w:ilvl="0">
      <w:start w:val="1"/>
      <w:numFmt w:val="decimal"/>
      <w:pStyle w:val="Heading9"/>
      <w:lvlText w:val="Table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33" w15:restartNumberingAfterBreak="0">
    <w:nsid w:val="6E32393D"/>
    <w:multiLevelType w:val="hybridMultilevel"/>
    <w:tmpl w:val="648E2790"/>
    <w:lvl w:ilvl="0" w:tplc="B330E106">
      <w:numFmt w:val="bullet"/>
      <w:lvlText w:val="-"/>
      <w:lvlJc w:val="left"/>
      <w:pPr>
        <w:ind w:left="720" w:hanging="360"/>
      </w:pPr>
      <w:rPr>
        <w:rFonts w:ascii="Trebuchet MS" w:eastAsiaTheme="minorHAnsi" w:hAnsi="Trebuchet M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35"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36"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7" w15:restartNumberingAfterBreak="0">
    <w:nsid w:val="79A04795"/>
    <w:multiLevelType w:val="hybridMultilevel"/>
    <w:tmpl w:val="CE622A4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9" w15:restartNumberingAfterBreak="0">
    <w:nsid w:val="7E2819EC"/>
    <w:multiLevelType w:val="multilevel"/>
    <w:tmpl w:val="B7A8593C"/>
    <w:lvl w:ilvl="0">
      <w:start w:val="1"/>
      <w:numFmt w:val="bullet"/>
      <w:pStyle w:val="Bulletpoint"/>
      <w:lvlText w:val=""/>
      <w:lvlJc w:val="left"/>
      <w:pPr>
        <w:ind w:left="360" w:hanging="360"/>
      </w:pPr>
      <w:rPr>
        <w:rFonts w:ascii="Symbol" w:hAnsi="Symbol" w:hint="default"/>
      </w:rPr>
    </w:lvl>
    <w:lvl w:ilvl="1">
      <w:start w:val="1"/>
      <w:numFmt w:val="bullet"/>
      <w:lvlText w:val="‒"/>
      <w:lvlJc w:val="left"/>
      <w:pPr>
        <w:ind w:left="792" w:hanging="432"/>
      </w:pPr>
      <w:rPr>
        <w:rFonts w:ascii="Calibri" w:hAnsi="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39"/>
  </w:num>
  <w:num w:numId="3">
    <w:abstractNumId w:val="7"/>
  </w:num>
  <w:num w:numId="4">
    <w:abstractNumId w:val="6"/>
  </w:num>
  <w:num w:numId="5">
    <w:abstractNumId w:val="5"/>
  </w:num>
  <w:num w:numId="6">
    <w:abstractNumId w:val="4"/>
  </w:num>
  <w:num w:numId="7">
    <w:abstractNumId w:val="1"/>
  </w:num>
  <w:num w:numId="8">
    <w:abstractNumId w:val="0"/>
  </w:num>
  <w:num w:numId="9">
    <w:abstractNumId w:val="32"/>
  </w:num>
  <w:num w:numId="10">
    <w:abstractNumId w:val="23"/>
  </w:num>
  <w:num w:numId="11">
    <w:abstractNumId w:val="10"/>
  </w:num>
  <w:num w:numId="12">
    <w:abstractNumId w:val="22"/>
  </w:num>
  <w:num w:numId="13">
    <w:abstractNumId w:val="2"/>
  </w:num>
  <w:num w:numId="14">
    <w:abstractNumId w:val="34"/>
  </w:num>
  <w:num w:numId="15">
    <w:abstractNumId w:val="38"/>
  </w:num>
  <w:num w:numId="16">
    <w:abstractNumId w:val="36"/>
  </w:num>
  <w:num w:numId="17">
    <w:abstractNumId w:val="29"/>
  </w:num>
  <w:num w:numId="18">
    <w:abstractNumId w:val="21"/>
  </w:num>
  <w:num w:numId="19">
    <w:abstractNumId w:val="24"/>
  </w:num>
  <w:num w:numId="20">
    <w:abstractNumId w:val="35"/>
  </w:num>
  <w:num w:numId="21">
    <w:abstractNumId w:val="30"/>
  </w:num>
  <w:num w:numId="22">
    <w:abstractNumId w:val="8"/>
  </w:num>
  <w:num w:numId="23">
    <w:abstractNumId w:val="3"/>
  </w:num>
  <w:num w:numId="24">
    <w:abstractNumId w:val="26"/>
  </w:num>
  <w:num w:numId="25">
    <w:abstractNumId w:val="15"/>
  </w:num>
  <w:num w:numId="26">
    <w:abstractNumId w:val="31"/>
  </w:num>
  <w:num w:numId="27">
    <w:abstractNumId w:val="16"/>
  </w:num>
  <w:num w:numId="28">
    <w:abstractNumId w:val="14"/>
  </w:num>
  <w:num w:numId="29">
    <w:abstractNumId w:val="27"/>
  </w:num>
  <w:num w:numId="30">
    <w:abstractNumId w:val="28"/>
  </w:num>
  <w:num w:numId="31">
    <w:abstractNumId w:val="17"/>
  </w:num>
  <w:num w:numId="32">
    <w:abstractNumId w:val="20"/>
  </w:num>
  <w:num w:numId="33">
    <w:abstractNumId w:val="37"/>
  </w:num>
  <w:num w:numId="34">
    <w:abstractNumId w:val="9"/>
  </w:num>
  <w:num w:numId="35">
    <w:abstractNumId w:val="25"/>
  </w:num>
  <w:num w:numId="36">
    <w:abstractNumId w:val="18"/>
    <w:lvlOverride w:ilvl="0">
      <w:startOverride w:val="1"/>
    </w:lvlOverride>
    <w:lvlOverride w:ilvl="1">
      <w:startOverride w:val="2"/>
    </w:lvlOverride>
  </w:num>
  <w:num w:numId="37">
    <w:abstractNumId w:val="12"/>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9"/>
  </w:num>
  <w:num w:numId="43">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14"/>
  </w:num>
  <w:num w:numId="47">
    <w:abstractNumId w:val="11"/>
  </w:num>
  <w:num w:numId="48">
    <w:abstractNumId w:val="33"/>
  </w:num>
  <w:num w:numId="49">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name" w:val="T:\Strat_Comms\Pubs_Design\Templates\ACCC\In Progress\ACCC\ACCC Report Template_04.dotm"/>
    <w:docVar w:name="dgnword-docGUID" w:val="{27FAC51A-65A3-4D30-92DB-97C13378BD05}"/>
    <w:docVar w:name="dgnword-eventsink" w:val="1532933906240"/>
    <w:docVar w:name="dgnword-lastRevisionsView" w:val="0"/>
  </w:docVars>
  <w:rsids>
    <w:rsidRoot w:val="00B9704F"/>
    <w:rsid w:val="00000511"/>
    <w:rsid w:val="000028D8"/>
    <w:rsid w:val="00004EA7"/>
    <w:rsid w:val="0000522D"/>
    <w:rsid w:val="00005452"/>
    <w:rsid w:val="00006A25"/>
    <w:rsid w:val="00006DC4"/>
    <w:rsid w:val="00011011"/>
    <w:rsid w:val="000172F7"/>
    <w:rsid w:val="0002115F"/>
    <w:rsid w:val="00021202"/>
    <w:rsid w:val="00021306"/>
    <w:rsid w:val="00021FBC"/>
    <w:rsid w:val="000225C4"/>
    <w:rsid w:val="000225DF"/>
    <w:rsid w:val="00022F05"/>
    <w:rsid w:val="00023A98"/>
    <w:rsid w:val="0002716B"/>
    <w:rsid w:val="000331FF"/>
    <w:rsid w:val="00033EC2"/>
    <w:rsid w:val="000341A9"/>
    <w:rsid w:val="0003460D"/>
    <w:rsid w:val="00034BDE"/>
    <w:rsid w:val="0003578C"/>
    <w:rsid w:val="000407B2"/>
    <w:rsid w:val="00042DA9"/>
    <w:rsid w:val="0004331C"/>
    <w:rsid w:val="000452B5"/>
    <w:rsid w:val="00052B25"/>
    <w:rsid w:val="00052C90"/>
    <w:rsid w:val="00053C76"/>
    <w:rsid w:val="00054B0D"/>
    <w:rsid w:val="00056D1C"/>
    <w:rsid w:val="00056DF1"/>
    <w:rsid w:val="000575AE"/>
    <w:rsid w:val="0006071B"/>
    <w:rsid w:val="0006115C"/>
    <w:rsid w:val="00061EE7"/>
    <w:rsid w:val="0006214C"/>
    <w:rsid w:val="00063247"/>
    <w:rsid w:val="00063515"/>
    <w:rsid w:val="00063597"/>
    <w:rsid w:val="00063835"/>
    <w:rsid w:val="00066471"/>
    <w:rsid w:val="0006690A"/>
    <w:rsid w:val="000676DC"/>
    <w:rsid w:val="00067D8E"/>
    <w:rsid w:val="0007006D"/>
    <w:rsid w:val="000703B2"/>
    <w:rsid w:val="00070F9F"/>
    <w:rsid w:val="0007137B"/>
    <w:rsid w:val="000714DC"/>
    <w:rsid w:val="00072E39"/>
    <w:rsid w:val="00074579"/>
    <w:rsid w:val="0007514E"/>
    <w:rsid w:val="00077974"/>
    <w:rsid w:val="00080647"/>
    <w:rsid w:val="00081EF4"/>
    <w:rsid w:val="00082A5B"/>
    <w:rsid w:val="0008421D"/>
    <w:rsid w:val="00085663"/>
    <w:rsid w:val="00085EBF"/>
    <w:rsid w:val="00092A7E"/>
    <w:rsid w:val="000966F4"/>
    <w:rsid w:val="00097C6B"/>
    <w:rsid w:val="000A3ACF"/>
    <w:rsid w:val="000A4709"/>
    <w:rsid w:val="000A6B18"/>
    <w:rsid w:val="000B658F"/>
    <w:rsid w:val="000C090B"/>
    <w:rsid w:val="000C5F52"/>
    <w:rsid w:val="000D105A"/>
    <w:rsid w:val="000D122C"/>
    <w:rsid w:val="000D1E31"/>
    <w:rsid w:val="000D25F8"/>
    <w:rsid w:val="000D3AD8"/>
    <w:rsid w:val="000D4B47"/>
    <w:rsid w:val="000D4D30"/>
    <w:rsid w:val="000E15B0"/>
    <w:rsid w:val="000E1819"/>
    <w:rsid w:val="000E3A2E"/>
    <w:rsid w:val="000E4217"/>
    <w:rsid w:val="000E45DC"/>
    <w:rsid w:val="000E645A"/>
    <w:rsid w:val="000E6A48"/>
    <w:rsid w:val="000E6C72"/>
    <w:rsid w:val="000E74D5"/>
    <w:rsid w:val="000F0A5A"/>
    <w:rsid w:val="000F1484"/>
    <w:rsid w:val="000F1549"/>
    <w:rsid w:val="000F2368"/>
    <w:rsid w:val="000F3221"/>
    <w:rsid w:val="000F6A29"/>
    <w:rsid w:val="000F73BF"/>
    <w:rsid w:val="000F7FFC"/>
    <w:rsid w:val="00106DF4"/>
    <w:rsid w:val="001070CA"/>
    <w:rsid w:val="00111030"/>
    <w:rsid w:val="00111958"/>
    <w:rsid w:val="001123EE"/>
    <w:rsid w:val="001134CF"/>
    <w:rsid w:val="001138BF"/>
    <w:rsid w:val="00116EB2"/>
    <w:rsid w:val="00117449"/>
    <w:rsid w:val="001207CF"/>
    <w:rsid w:val="001210B6"/>
    <w:rsid w:val="00122DFC"/>
    <w:rsid w:val="00123E1B"/>
    <w:rsid w:val="001243AB"/>
    <w:rsid w:val="00124609"/>
    <w:rsid w:val="00125B1C"/>
    <w:rsid w:val="0012674A"/>
    <w:rsid w:val="001312FF"/>
    <w:rsid w:val="00131FB5"/>
    <w:rsid w:val="0013503A"/>
    <w:rsid w:val="001422E0"/>
    <w:rsid w:val="00142991"/>
    <w:rsid w:val="0014381A"/>
    <w:rsid w:val="00146894"/>
    <w:rsid w:val="00146C76"/>
    <w:rsid w:val="00147CEE"/>
    <w:rsid w:val="00150A19"/>
    <w:rsid w:val="00153E89"/>
    <w:rsid w:val="001573E4"/>
    <w:rsid w:val="00160756"/>
    <w:rsid w:val="0016156A"/>
    <w:rsid w:val="00166F83"/>
    <w:rsid w:val="001706E8"/>
    <w:rsid w:val="0017232E"/>
    <w:rsid w:val="00174102"/>
    <w:rsid w:val="00174E39"/>
    <w:rsid w:val="00174EBF"/>
    <w:rsid w:val="00180157"/>
    <w:rsid w:val="00181223"/>
    <w:rsid w:val="0018279D"/>
    <w:rsid w:val="001834E4"/>
    <w:rsid w:val="00185151"/>
    <w:rsid w:val="001856EC"/>
    <w:rsid w:val="001861F9"/>
    <w:rsid w:val="0018620D"/>
    <w:rsid w:val="00186F77"/>
    <w:rsid w:val="00192538"/>
    <w:rsid w:val="001926A4"/>
    <w:rsid w:val="001948CA"/>
    <w:rsid w:val="00194E72"/>
    <w:rsid w:val="0019635A"/>
    <w:rsid w:val="00196724"/>
    <w:rsid w:val="00197B1D"/>
    <w:rsid w:val="001A1374"/>
    <w:rsid w:val="001A2C42"/>
    <w:rsid w:val="001A689A"/>
    <w:rsid w:val="001A6E38"/>
    <w:rsid w:val="001A7E41"/>
    <w:rsid w:val="001A7EC5"/>
    <w:rsid w:val="001B3561"/>
    <w:rsid w:val="001B45A0"/>
    <w:rsid w:val="001B7C7E"/>
    <w:rsid w:val="001C02D5"/>
    <w:rsid w:val="001C08A9"/>
    <w:rsid w:val="001C147E"/>
    <w:rsid w:val="001C18EE"/>
    <w:rsid w:val="001C41D1"/>
    <w:rsid w:val="001C51D6"/>
    <w:rsid w:val="001C705E"/>
    <w:rsid w:val="001C7363"/>
    <w:rsid w:val="001C770D"/>
    <w:rsid w:val="001D0342"/>
    <w:rsid w:val="001D055E"/>
    <w:rsid w:val="001D2109"/>
    <w:rsid w:val="001D297A"/>
    <w:rsid w:val="001D32F2"/>
    <w:rsid w:val="001D7CCC"/>
    <w:rsid w:val="001E1E50"/>
    <w:rsid w:val="001E2D09"/>
    <w:rsid w:val="001E4E1C"/>
    <w:rsid w:val="001E50DA"/>
    <w:rsid w:val="001E5FBA"/>
    <w:rsid w:val="001F150C"/>
    <w:rsid w:val="001F203A"/>
    <w:rsid w:val="001F3238"/>
    <w:rsid w:val="001F492E"/>
    <w:rsid w:val="001F5637"/>
    <w:rsid w:val="001F647E"/>
    <w:rsid w:val="001F6DA3"/>
    <w:rsid w:val="001F73C8"/>
    <w:rsid w:val="001F7FD6"/>
    <w:rsid w:val="002030A9"/>
    <w:rsid w:val="00203706"/>
    <w:rsid w:val="00204940"/>
    <w:rsid w:val="00205281"/>
    <w:rsid w:val="00206036"/>
    <w:rsid w:val="00207026"/>
    <w:rsid w:val="002076BA"/>
    <w:rsid w:val="00210429"/>
    <w:rsid w:val="0021218B"/>
    <w:rsid w:val="00212737"/>
    <w:rsid w:val="002149A6"/>
    <w:rsid w:val="002162D1"/>
    <w:rsid w:val="00217910"/>
    <w:rsid w:val="00224DB9"/>
    <w:rsid w:val="002325F2"/>
    <w:rsid w:val="00234CA9"/>
    <w:rsid w:val="00234D74"/>
    <w:rsid w:val="00235296"/>
    <w:rsid w:val="002374FD"/>
    <w:rsid w:val="002402CA"/>
    <w:rsid w:val="0024062A"/>
    <w:rsid w:val="00242491"/>
    <w:rsid w:val="00243CC8"/>
    <w:rsid w:val="00245193"/>
    <w:rsid w:val="002453E5"/>
    <w:rsid w:val="002455D0"/>
    <w:rsid w:val="00245B51"/>
    <w:rsid w:val="00246554"/>
    <w:rsid w:val="002468FD"/>
    <w:rsid w:val="00251745"/>
    <w:rsid w:val="0025193C"/>
    <w:rsid w:val="00252AB8"/>
    <w:rsid w:val="002542C4"/>
    <w:rsid w:val="002548A3"/>
    <w:rsid w:val="00254999"/>
    <w:rsid w:val="00255305"/>
    <w:rsid w:val="00263AC0"/>
    <w:rsid w:val="002662E3"/>
    <w:rsid w:val="0026772D"/>
    <w:rsid w:val="002724F2"/>
    <w:rsid w:val="00272795"/>
    <w:rsid w:val="00273522"/>
    <w:rsid w:val="002772B6"/>
    <w:rsid w:val="0027784C"/>
    <w:rsid w:val="00277DE9"/>
    <w:rsid w:val="00280254"/>
    <w:rsid w:val="00280841"/>
    <w:rsid w:val="00280C7D"/>
    <w:rsid w:val="00280E3C"/>
    <w:rsid w:val="00282DD0"/>
    <w:rsid w:val="00283495"/>
    <w:rsid w:val="002847E6"/>
    <w:rsid w:val="00286874"/>
    <w:rsid w:val="0028702B"/>
    <w:rsid w:val="002901B4"/>
    <w:rsid w:val="00290289"/>
    <w:rsid w:val="00290B16"/>
    <w:rsid w:val="00290CF1"/>
    <w:rsid w:val="00291322"/>
    <w:rsid w:val="00294882"/>
    <w:rsid w:val="002948E7"/>
    <w:rsid w:val="00296B65"/>
    <w:rsid w:val="00297E0B"/>
    <w:rsid w:val="002A087C"/>
    <w:rsid w:val="002A16DE"/>
    <w:rsid w:val="002A243D"/>
    <w:rsid w:val="002A31F1"/>
    <w:rsid w:val="002A3FC3"/>
    <w:rsid w:val="002A4B61"/>
    <w:rsid w:val="002A7461"/>
    <w:rsid w:val="002A74CD"/>
    <w:rsid w:val="002A7DEF"/>
    <w:rsid w:val="002B1AE4"/>
    <w:rsid w:val="002B2C94"/>
    <w:rsid w:val="002B5CF9"/>
    <w:rsid w:val="002B7880"/>
    <w:rsid w:val="002C1FDE"/>
    <w:rsid w:val="002C2DB9"/>
    <w:rsid w:val="002C3313"/>
    <w:rsid w:val="002C33F5"/>
    <w:rsid w:val="002C559A"/>
    <w:rsid w:val="002C665B"/>
    <w:rsid w:val="002D0A3A"/>
    <w:rsid w:val="002D1B0E"/>
    <w:rsid w:val="002D1B1D"/>
    <w:rsid w:val="002D45C4"/>
    <w:rsid w:val="002D4675"/>
    <w:rsid w:val="002D5355"/>
    <w:rsid w:val="002E442E"/>
    <w:rsid w:val="002E4DAA"/>
    <w:rsid w:val="002E721D"/>
    <w:rsid w:val="002F5F7C"/>
    <w:rsid w:val="002F74DA"/>
    <w:rsid w:val="002F7986"/>
    <w:rsid w:val="00303580"/>
    <w:rsid w:val="0030358E"/>
    <w:rsid w:val="00303C4A"/>
    <w:rsid w:val="003062CC"/>
    <w:rsid w:val="003063E3"/>
    <w:rsid w:val="003073BB"/>
    <w:rsid w:val="00307F6D"/>
    <w:rsid w:val="003139EA"/>
    <w:rsid w:val="00313C20"/>
    <w:rsid w:val="00313E20"/>
    <w:rsid w:val="00316323"/>
    <w:rsid w:val="003168BA"/>
    <w:rsid w:val="003177A2"/>
    <w:rsid w:val="00322C2F"/>
    <w:rsid w:val="00322DE4"/>
    <w:rsid w:val="00324D18"/>
    <w:rsid w:val="00325628"/>
    <w:rsid w:val="003271B5"/>
    <w:rsid w:val="003310F5"/>
    <w:rsid w:val="00331264"/>
    <w:rsid w:val="003316BC"/>
    <w:rsid w:val="00332480"/>
    <w:rsid w:val="003336B1"/>
    <w:rsid w:val="00334C8D"/>
    <w:rsid w:val="003378C4"/>
    <w:rsid w:val="003405F5"/>
    <w:rsid w:val="00340655"/>
    <w:rsid w:val="00342D45"/>
    <w:rsid w:val="003459E6"/>
    <w:rsid w:val="003461F3"/>
    <w:rsid w:val="00350143"/>
    <w:rsid w:val="003502A9"/>
    <w:rsid w:val="003506B4"/>
    <w:rsid w:val="003511EF"/>
    <w:rsid w:val="00351210"/>
    <w:rsid w:val="003518B3"/>
    <w:rsid w:val="00352BE8"/>
    <w:rsid w:val="00356143"/>
    <w:rsid w:val="003571D6"/>
    <w:rsid w:val="00362452"/>
    <w:rsid w:val="00363527"/>
    <w:rsid w:val="00364CBF"/>
    <w:rsid w:val="00365C10"/>
    <w:rsid w:val="0036787E"/>
    <w:rsid w:val="003711D4"/>
    <w:rsid w:val="0037193E"/>
    <w:rsid w:val="00373102"/>
    <w:rsid w:val="00376096"/>
    <w:rsid w:val="00377762"/>
    <w:rsid w:val="00377F93"/>
    <w:rsid w:val="00380531"/>
    <w:rsid w:val="00382794"/>
    <w:rsid w:val="003846F1"/>
    <w:rsid w:val="00386072"/>
    <w:rsid w:val="003862B9"/>
    <w:rsid w:val="00386A2C"/>
    <w:rsid w:val="00387AB3"/>
    <w:rsid w:val="0039013D"/>
    <w:rsid w:val="00391213"/>
    <w:rsid w:val="003915D3"/>
    <w:rsid w:val="0039235D"/>
    <w:rsid w:val="0039286C"/>
    <w:rsid w:val="00392F3C"/>
    <w:rsid w:val="00395F66"/>
    <w:rsid w:val="00397753"/>
    <w:rsid w:val="00397B6B"/>
    <w:rsid w:val="003A034A"/>
    <w:rsid w:val="003A1EB1"/>
    <w:rsid w:val="003A3795"/>
    <w:rsid w:val="003A3C1B"/>
    <w:rsid w:val="003A3F22"/>
    <w:rsid w:val="003A673F"/>
    <w:rsid w:val="003A7D87"/>
    <w:rsid w:val="003B00ED"/>
    <w:rsid w:val="003B10F5"/>
    <w:rsid w:val="003B1326"/>
    <w:rsid w:val="003B48EA"/>
    <w:rsid w:val="003B5519"/>
    <w:rsid w:val="003B5A70"/>
    <w:rsid w:val="003B64F0"/>
    <w:rsid w:val="003C12E6"/>
    <w:rsid w:val="003C305B"/>
    <w:rsid w:val="003C651A"/>
    <w:rsid w:val="003C6601"/>
    <w:rsid w:val="003C7A62"/>
    <w:rsid w:val="003C7E37"/>
    <w:rsid w:val="003D1813"/>
    <w:rsid w:val="003D4FA2"/>
    <w:rsid w:val="003E17CA"/>
    <w:rsid w:val="003E33E9"/>
    <w:rsid w:val="003E4E56"/>
    <w:rsid w:val="003E520E"/>
    <w:rsid w:val="003E5CEA"/>
    <w:rsid w:val="003F0D2B"/>
    <w:rsid w:val="003F0E1C"/>
    <w:rsid w:val="003F194F"/>
    <w:rsid w:val="003F1D6C"/>
    <w:rsid w:val="003F21CF"/>
    <w:rsid w:val="003F2553"/>
    <w:rsid w:val="003F3358"/>
    <w:rsid w:val="003F3B90"/>
    <w:rsid w:val="003F40B9"/>
    <w:rsid w:val="003F5771"/>
    <w:rsid w:val="003F6999"/>
    <w:rsid w:val="003F7191"/>
    <w:rsid w:val="003F7B47"/>
    <w:rsid w:val="00405180"/>
    <w:rsid w:val="004056C7"/>
    <w:rsid w:val="00405B31"/>
    <w:rsid w:val="00407230"/>
    <w:rsid w:val="00407C2C"/>
    <w:rsid w:val="0041034F"/>
    <w:rsid w:val="00411C86"/>
    <w:rsid w:val="00412D45"/>
    <w:rsid w:val="00414244"/>
    <w:rsid w:val="00414A75"/>
    <w:rsid w:val="004201D2"/>
    <w:rsid w:val="00420A66"/>
    <w:rsid w:val="00431800"/>
    <w:rsid w:val="004323CF"/>
    <w:rsid w:val="004342DF"/>
    <w:rsid w:val="004406A3"/>
    <w:rsid w:val="00440E05"/>
    <w:rsid w:val="00441CC7"/>
    <w:rsid w:val="00441EE4"/>
    <w:rsid w:val="00445325"/>
    <w:rsid w:val="00446072"/>
    <w:rsid w:val="0044610C"/>
    <w:rsid w:val="0044786F"/>
    <w:rsid w:val="00452609"/>
    <w:rsid w:val="00456811"/>
    <w:rsid w:val="004603D3"/>
    <w:rsid w:val="004619EC"/>
    <w:rsid w:val="004627AA"/>
    <w:rsid w:val="00464822"/>
    <w:rsid w:val="00466BD3"/>
    <w:rsid w:val="00467CC2"/>
    <w:rsid w:val="00467CD8"/>
    <w:rsid w:val="00470DC3"/>
    <w:rsid w:val="0047260E"/>
    <w:rsid w:val="00472D3A"/>
    <w:rsid w:val="004750B8"/>
    <w:rsid w:val="00475DDE"/>
    <w:rsid w:val="00476367"/>
    <w:rsid w:val="00476CBE"/>
    <w:rsid w:val="00480803"/>
    <w:rsid w:val="00480B4B"/>
    <w:rsid w:val="004829A1"/>
    <w:rsid w:val="004857DE"/>
    <w:rsid w:val="00485DC4"/>
    <w:rsid w:val="0048707C"/>
    <w:rsid w:val="0048725A"/>
    <w:rsid w:val="00490046"/>
    <w:rsid w:val="00490A8B"/>
    <w:rsid w:val="00491E1B"/>
    <w:rsid w:val="00493FC2"/>
    <w:rsid w:val="004942D0"/>
    <w:rsid w:val="004960E9"/>
    <w:rsid w:val="00496A26"/>
    <w:rsid w:val="004A00A8"/>
    <w:rsid w:val="004A19F2"/>
    <w:rsid w:val="004A31F7"/>
    <w:rsid w:val="004A36A0"/>
    <w:rsid w:val="004A4400"/>
    <w:rsid w:val="004A46F5"/>
    <w:rsid w:val="004A54EA"/>
    <w:rsid w:val="004A78E8"/>
    <w:rsid w:val="004A7C1D"/>
    <w:rsid w:val="004B0439"/>
    <w:rsid w:val="004B0766"/>
    <w:rsid w:val="004B1AC2"/>
    <w:rsid w:val="004B1ADA"/>
    <w:rsid w:val="004B24DB"/>
    <w:rsid w:val="004B35AA"/>
    <w:rsid w:val="004B3E56"/>
    <w:rsid w:val="004B419B"/>
    <w:rsid w:val="004B4412"/>
    <w:rsid w:val="004B744C"/>
    <w:rsid w:val="004C0B52"/>
    <w:rsid w:val="004C3161"/>
    <w:rsid w:val="004C348C"/>
    <w:rsid w:val="004C425A"/>
    <w:rsid w:val="004C51BA"/>
    <w:rsid w:val="004C6D82"/>
    <w:rsid w:val="004C79E2"/>
    <w:rsid w:val="004D1389"/>
    <w:rsid w:val="004D1A2F"/>
    <w:rsid w:val="004D2472"/>
    <w:rsid w:val="004D3AFE"/>
    <w:rsid w:val="004D55BA"/>
    <w:rsid w:val="004E722D"/>
    <w:rsid w:val="004E75F4"/>
    <w:rsid w:val="004E7B75"/>
    <w:rsid w:val="004F0D1B"/>
    <w:rsid w:val="004F55FF"/>
    <w:rsid w:val="004F5B1F"/>
    <w:rsid w:val="004F7035"/>
    <w:rsid w:val="004F7C22"/>
    <w:rsid w:val="004F7D9C"/>
    <w:rsid w:val="005024A4"/>
    <w:rsid w:val="005038DB"/>
    <w:rsid w:val="0050489F"/>
    <w:rsid w:val="00505229"/>
    <w:rsid w:val="00505424"/>
    <w:rsid w:val="00513917"/>
    <w:rsid w:val="00515043"/>
    <w:rsid w:val="00515B5E"/>
    <w:rsid w:val="005216B4"/>
    <w:rsid w:val="00521965"/>
    <w:rsid w:val="00522C20"/>
    <w:rsid w:val="005246D9"/>
    <w:rsid w:val="00525B64"/>
    <w:rsid w:val="00530128"/>
    <w:rsid w:val="005303E8"/>
    <w:rsid w:val="00532467"/>
    <w:rsid w:val="005352AB"/>
    <w:rsid w:val="00535F76"/>
    <w:rsid w:val="00536D4C"/>
    <w:rsid w:val="00536F4D"/>
    <w:rsid w:val="00541EA7"/>
    <w:rsid w:val="005429C8"/>
    <w:rsid w:val="00543ADD"/>
    <w:rsid w:val="00546EC7"/>
    <w:rsid w:val="00547CCF"/>
    <w:rsid w:val="0055049C"/>
    <w:rsid w:val="00551AF0"/>
    <w:rsid w:val="00552478"/>
    <w:rsid w:val="00553545"/>
    <w:rsid w:val="00555016"/>
    <w:rsid w:val="0055524E"/>
    <w:rsid w:val="00555ABB"/>
    <w:rsid w:val="00556144"/>
    <w:rsid w:val="0056053C"/>
    <w:rsid w:val="00563937"/>
    <w:rsid w:val="00564A4D"/>
    <w:rsid w:val="00564C2A"/>
    <w:rsid w:val="00564E63"/>
    <w:rsid w:val="005659AB"/>
    <w:rsid w:val="00566028"/>
    <w:rsid w:val="00567A9E"/>
    <w:rsid w:val="00570DF3"/>
    <w:rsid w:val="00570FA0"/>
    <w:rsid w:val="00571B35"/>
    <w:rsid w:val="00571C9F"/>
    <w:rsid w:val="005741AA"/>
    <w:rsid w:val="005749A4"/>
    <w:rsid w:val="00575DCF"/>
    <w:rsid w:val="00577A09"/>
    <w:rsid w:val="00582F62"/>
    <w:rsid w:val="0058460C"/>
    <w:rsid w:val="00584D8F"/>
    <w:rsid w:val="00586182"/>
    <w:rsid w:val="00590D0A"/>
    <w:rsid w:val="0059124D"/>
    <w:rsid w:val="00594398"/>
    <w:rsid w:val="00595591"/>
    <w:rsid w:val="00596D42"/>
    <w:rsid w:val="0059763D"/>
    <w:rsid w:val="005A32D4"/>
    <w:rsid w:val="005A404D"/>
    <w:rsid w:val="005A6642"/>
    <w:rsid w:val="005B0417"/>
    <w:rsid w:val="005B0DF6"/>
    <w:rsid w:val="005B1224"/>
    <w:rsid w:val="005B1E3C"/>
    <w:rsid w:val="005B24A9"/>
    <w:rsid w:val="005B30DC"/>
    <w:rsid w:val="005B4EEF"/>
    <w:rsid w:val="005B72C2"/>
    <w:rsid w:val="005C001A"/>
    <w:rsid w:val="005C26CC"/>
    <w:rsid w:val="005C2749"/>
    <w:rsid w:val="005C6AF2"/>
    <w:rsid w:val="005C6DA6"/>
    <w:rsid w:val="005C79E3"/>
    <w:rsid w:val="005D02A0"/>
    <w:rsid w:val="005D1B50"/>
    <w:rsid w:val="005E15A1"/>
    <w:rsid w:val="005E1AC9"/>
    <w:rsid w:val="005E2864"/>
    <w:rsid w:val="005E309B"/>
    <w:rsid w:val="005E5C5B"/>
    <w:rsid w:val="005E6C0E"/>
    <w:rsid w:val="005E7A04"/>
    <w:rsid w:val="005F133D"/>
    <w:rsid w:val="005F3395"/>
    <w:rsid w:val="005F7AC7"/>
    <w:rsid w:val="005F7F1A"/>
    <w:rsid w:val="0060125F"/>
    <w:rsid w:val="00601868"/>
    <w:rsid w:val="00602E4C"/>
    <w:rsid w:val="0060364F"/>
    <w:rsid w:val="006049E4"/>
    <w:rsid w:val="006061BF"/>
    <w:rsid w:val="0060691E"/>
    <w:rsid w:val="0060776D"/>
    <w:rsid w:val="00610443"/>
    <w:rsid w:val="00612083"/>
    <w:rsid w:val="006120A0"/>
    <w:rsid w:val="00613CA9"/>
    <w:rsid w:val="00614E0E"/>
    <w:rsid w:val="00614F4E"/>
    <w:rsid w:val="00615AF5"/>
    <w:rsid w:val="00615C6B"/>
    <w:rsid w:val="006204F2"/>
    <w:rsid w:val="00626448"/>
    <w:rsid w:val="006274F7"/>
    <w:rsid w:val="00627550"/>
    <w:rsid w:val="00627CD7"/>
    <w:rsid w:val="00627EE7"/>
    <w:rsid w:val="00630ABF"/>
    <w:rsid w:val="00632770"/>
    <w:rsid w:val="00632D6D"/>
    <w:rsid w:val="006373D8"/>
    <w:rsid w:val="0064000E"/>
    <w:rsid w:val="00640486"/>
    <w:rsid w:val="00641236"/>
    <w:rsid w:val="00641BD1"/>
    <w:rsid w:val="00642C3E"/>
    <w:rsid w:val="00644A21"/>
    <w:rsid w:val="00645657"/>
    <w:rsid w:val="0065352A"/>
    <w:rsid w:val="006547F5"/>
    <w:rsid w:val="00660DD7"/>
    <w:rsid w:val="00663DAD"/>
    <w:rsid w:val="006649B7"/>
    <w:rsid w:val="00667EEF"/>
    <w:rsid w:val="00671082"/>
    <w:rsid w:val="00671AE7"/>
    <w:rsid w:val="00675878"/>
    <w:rsid w:val="00675A89"/>
    <w:rsid w:val="00675FE4"/>
    <w:rsid w:val="006760C7"/>
    <w:rsid w:val="006761A8"/>
    <w:rsid w:val="00676388"/>
    <w:rsid w:val="00676679"/>
    <w:rsid w:val="0068024A"/>
    <w:rsid w:val="006813E2"/>
    <w:rsid w:val="006836F2"/>
    <w:rsid w:val="00684C74"/>
    <w:rsid w:val="00684F2C"/>
    <w:rsid w:val="0068557B"/>
    <w:rsid w:val="00687F39"/>
    <w:rsid w:val="00692926"/>
    <w:rsid w:val="00692BDB"/>
    <w:rsid w:val="006950AC"/>
    <w:rsid w:val="00697526"/>
    <w:rsid w:val="0069782C"/>
    <w:rsid w:val="00697A2A"/>
    <w:rsid w:val="00697CAA"/>
    <w:rsid w:val="006A0BBF"/>
    <w:rsid w:val="006A11DA"/>
    <w:rsid w:val="006A151C"/>
    <w:rsid w:val="006A321C"/>
    <w:rsid w:val="006A5374"/>
    <w:rsid w:val="006A65FA"/>
    <w:rsid w:val="006B16CF"/>
    <w:rsid w:val="006B1768"/>
    <w:rsid w:val="006B230A"/>
    <w:rsid w:val="006B299F"/>
    <w:rsid w:val="006B2DC2"/>
    <w:rsid w:val="006B3AFB"/>
    <w:rsid w:val="006B3BF6"/>
    <w:rsid w:val="006B4CF9"/>
    <w:rsid w:val="006B641B"/>
    <w:rsid w:val="006B706E"/>
    <w:rsid w:val="006B7AC8"/>
    <w:rsid w:val="006C0A1B"/>
    <w:rsid w:val="006C14BE"/>
    <w:rsid w:val="006C17D3"/>
    <w:rsid w:val="006C1E1B"/>
    <w:rsid w:val="006C5747"/>
    <w:rsid w:val="006C615A"/>
    <w:rsid w:val="006D01B5"/>
    <w:rsid w:val="006D09C2"/>
    <w:rsid w:val="006D2ABC"/>
    <w:rsid w:val="006D2E2A"/>
    <w:rsid w:val="006D3D95"/>
    <w:rsid w:val="006D4BB3"/>
    <w:rsid w:val="006D512D"/>
    <w:rsid w:val="006D550F"/>
    <w:rsid w:val="006D57B6"/>
    <w:rsid w:val="006D77F3"/>
    <w:rsid w:val="006D7B47"/>
    <w:rsid w:val="006E0852"/>
    <w:rsid w:val="006E3760"/>
    <w:rsid w:val="006E37C6"/>
    <w:rsid w:val="006E5AEA"/>
    <w:rsid w:val="006E7ADF"/>
    <w:rsid w:val="006E7E83"/>
    <w:rsid w:val="006F0F18"/>
    <w:rsid w:val="006F1C96"/>
    <w:rsid w:val="006F332E"/>
    <w:rsid w:val="006F4479"/>
    <w:rsid w:val="006F6F56"/>
    <w:rsid w:val="006F704E"/>
    <w:rsid w:val="006F776E"/>
    <w:rsid w:val="007000C7"/>
    <w:rsid w:val="007014F8"/>
    <w:rsid w:val="00701CAB"/>
    <w:rsid w:val="00701ED8"/>
    <w:rsid w:val="0070375A"/>
    <w:rsid w:val="00703E0C"/>
    <w:rsid w:val="00704CE6"/>
    <w:rsid w:val="0070550E"/>
    <w:rsid w:val="00706C64"/>
    <w:rsid w:val="00707563"/>
    <w:rsid w:val="00707AFC"/>
    <w:rsid w:val="00711649"/>
    <w:rsid w:val="0071421B"/>
    <w:rsid w:val="00714D37"/>
    <w:rsid w:val="007158F1"/>
    <w:rsid w:val="00716A39"/>
    <w:rsid w:val="0071792F"/>
    <w:rsid w:val="00720F1D"/>
    <w:rsid w:val="00721DCB"/>
    <w:rsid w:val="007228EC"/>
    <w:rsid w:val="0072348C"/>
    <w:rsid w:val="00723782"/>
    <w:rsid w:val="00724A37"/>
    <w:rsid w:val="00726A78"/>
    <w:rsid w:val="00726F0E"/>
    <w:rsid w:val="00727BAF"/>
    <w:rsid w:val="007303C3"/>
    <w:rsid w:val="00730410"/>
    <w:rsid w:val="00730F04"/>
    <w:rsid w:val="0073620B"/>
    <w:rsid w:val="007362C1"/>
    <w:rsid w:val="0074185B"/>
    <w:rsid w:val="007420BC"/>
    <w:rsid w:val="00743223"/>
    <w:rsid w:val="0074436F"/>
    <w:rsid w:val="007454A1"/>
    <w:rsid w:val="0074592B"/>
    <w:rsid w:val="00745B91"/>
    <w:rsid w:val="007465E0"/>
    <w:rsid w:val="00746E01"/>
    <w:rsid w:val="00747041"/>
    <w:rsid w:val="00753F61"/>
    <w:rsid w:val="00756538"/>
    <w:rsid w:val="007637E7"/>
    <w:rsid w:val="00763C31"/>
    <w:rsid w:val="00763E5D"/>
    <w:rsid w:val="007649F1"/>
    <w:rsid w:val="00766EA3"/>
    <w:rsid w:val="00767740"/>
    <w:rsid w:val="00767B08"/>
    <w:rsid w:val="007702D8"/>
    <w:rsid w:val="00770AFA"/>
    <w:rsid w:val="00771492"/>
    <w:rsid w:val="00771BF3"/>
    <w:rsid w:val="00771C82"/>
    <w:rsid w:val="00774299"/>
    <w:rsid w:val="0077464D"/>
    <w:rsid w:val="007771B7"/>
    <w:rsid w:val="00777EE6"/>
    <w:rsid w:val="0078027B"/>
    <w:rsid w:val="00780384"/>
    <w:rsid w:val="00780D74"/>
    <w:rsid w:val="0078154C"/>
    <w:rsid w:val="00782AE3"/>
    <w:rsid w:val="00782EEA"/>
    <w:rsid w:val="00790328"/>
    <w:rsid w:val="007919E3"/>
    <w:rsid w:val="00792640"/>
    <w:rsid w:val="007935A6"/>
    <w:rsid w:val="00797BF6"/>
    <w:rsid w:val="007A1267"/>
    <w:rsid w:val="007A21B5"/>
    <w:rsid w:val="007A35B0"/>
    <w:rsid w:val="007A3B36"/>
    <w:rsid w:val="007A5786"/>
    <w:rsid w:val="007A5A1E"/>
    <w:rsid w:val="007A71F1"/>
    <w:rsid w:val="007B2C72"/>
    <w:rsid w:val="007B339F"/>
    <w:rsid w:val="007B4A69"/>
    <w:rsid w:val="007B5B36"/>
    <w:rsid w:val="007C11E4"/>
    <w:rsid w:val="007C1C53"/>
    <w:rsid w:val="007C46CB"/>
    <w:rsid w:val="007C643D"/>
    <w:rsid w:val="007D0718"/>
    <w:rsid w:val="007D2CAC"/>
    <w:rsid w:val="007D70F9"/>
    <w:rsid w:val="007E02B0"/>
    <w:rsid w:val="007E26A9"/>
    <w:rsid w:val="007E41F7"/>
    <w:rsid w:val="007E4521"/>
    <w:rsid w:val="007E4904"/>
    <w:rsid w:val="007E4CB5"/>
    <w:rsid w:val="007E4D2E"/>
    <w:rsid w:val="007E5F3F"/>
    <w:rsid w:val="007E65D1"/>
    <w:rsid w:val="007E7B0E"/>
    <w:rsid w:val="007F000E"/>
    <w:rsid w:val="007F066B"/>
    <w:rsid w:val="007F3872"/>
    <w:rsid w:val="007F44BE"/>
    <w:rsid w:val="007F6CEE"/>
    <w:rsid w:val="0080005A"/>
    <w:rsid w:val="008012E9"/>
    <w:rsid w:val="00801543"/>
    <w:rsid w:val="0080187C"/>
    <w:rsid w:val="008033C4"/>
    <w:rsid w:val="00803B03"/>
    <w:rsid w:val="00803F0D"/>
    <w:rsid w:val="008040E0"/>
    <w:rsid w:val="00806C88"/>
    <w:rsid w:val="0081034E"/>
    <w:rsid w:val="00810AAD"/>
    <w:rsid w:val="00813DE9"/>
    <w:rsid w:val="00821D51"/>
    <w:rsid w:val="0082220E"/>
    <w:rsid w:val="008240E4"/>
    <w:rsid w:val="008264FD"/>
    <w:rsid w:val="00826FAC"/>
    <w:rsid w:val="0082701F"/>
    <w:rsid w:val="00831F90"/>
    <w:rsid w:val="00832299"/>
    <w:rsid w:val="00832842"/>
    <w:rsid w:val="00833BAD"/>
    <w:rsid w:val="00833D9B"/>
    <w:rsid w:val="008344F6"/>
    <w:rsid w:val="00834551"/>
    <w:rsid w:val="0083510F"/>
    <w:rsid w:val="008359BE"/>
    <w:rsid w:val="00836C04"/>
    <w:rsid w:val="008374DD"/>
    <w:rsid w:val="008406FE"/>
    <w:rsid w:val="008454B5"/>
    <w:rsid w:val="00846F68"/>
    <w:rsid w:val="00847D6E"/>
    <w:rsid w:val="00847DC7"/>
    <w:rsid w:val="00847FA5"/>
    <w:rsid w:val="00851209"/>
    <w:rsid w:val="0085182E"/>
    <w:rsid w:val="00851AE1"/>
    <w:rsid w:val="00852B63"/>
    <w:rsid w:val="00853C72"/>
    <w:rsid w:val="00863493"/>
    <w:rsid w:val="0086479F"/>
    <w:rsid w:val="00865EF1"/>
    <w:rsid w:val="00867A48"/>
    <w:rsid w:val="0087051E"/>
    <w:rsid w:val="00870D21"/>
    <w:rsid w:val="0088007E"/>
    <w:rsid w:val="00881199"/>
    <w:rsid w:val="00881C46"/>
    <w:rsid w:val="008837AC"/>
    <w:rsid w:val="00883B02"/>
    <w:rsid w:val="00887982"/>
    <w:rsid w:val="008908F0"/>
    <w:rsid w:val="00894164"/>
    <w:rsid w:val="008945B4"/>
    <w:rsid w:val="0089534B"/>
    <w:rsid w:val="008965BF"/>
    <w:rsid w:val="00896919"/>
    <w:rsid w:val="008969BF"/>
    <w:rsid w:val="00897A2E"/>
    <w:rsid w:val="008A1353"/>
    <w:rsid w:val="008A2057"/>
    <w:rsid w:val="008A4139"/>
    <w:rsid w:val="008A524D"/>
    <w:rsid w:val="008A587D"/>
    <w:rsid w:val="008A6C99"/>
    <w:rsid w:val="008A77CC"/>
    <w:rsid w:val="008B1544"/>
    <w:rsid w:val="008B4301"/>
    <w:rsid w:val="008B5085"/>
    <w:rsid w:val="008B745E"/>
    <w:rsid w:val="008B7E00"/>
    <w:rsid w:val="008C1D2A"/>
    <w:rsid w:val="008C4B6E"/>
    <w:rsid w:val="008C5486"/>
    <w:rsid w:val="008D3769"/>
    <w:rsid w:val="008D5975"/>
    <w:rsid w:val="008E38D0"/>
    <w:rsid w:val="008E5E7E"/>
    <w:rsid w:val="008E6C49"/>
    <w:rsid w:val="008E7031"/>
    <w:rsid w:val="008F261A"/>
    <w:rsid w:val="008F2BD9"/>
    <w:rsid w:val="008F3082"/>
    <w:rsid w:val="008F3899"/>
    <w:rsid w:val="008F4B4D"/>
    <w:rsid w:val="008F6AD1"/>
    <w:rsid w:val="00901220"/>
    <w:rsid w:val="00903E93"/>
    <w:rsid w:val="0090493B"/>
    <w:rsid w:val="00905892"/>
    <w:rsid w:val="009059C3"/>
    <w:rsid w:val="0091099E"/>
    <w:rsid w:val="00914568"/>
    <w:rsid w:val="00916489"/>
    <w:rsid w:val="009170D9"/>
    <w:rsid w:val="0092244C"/>
    <w:rsid w:val="00922695"/>
    <w:rsid w:val="00922AD2"/>
    <w:rsid w:val="00922C95"/>
    <w:rsid w:val="009233EE"/>
    <w:rsid w:val="00924339"/>
    <w:rsid w:val="009253E3"/>
    <w:rsid w:val="009255A0"/>
    <w:rsid w:val="00926126"/>
    <w:rsid w:val="009316DB"/>
    <w:rsid w:val="009322B0"/>
    <w:rsid w:val="0093416D"/>
    <w:rsid w:val="00935115"/>
    <w:rsid w:val="00940A5E"/>
    <w:rsid w:val="009420C6"/>
    <w:rsid w:val="00950540"/>
    <w:rsid w:val="0095068A"/>
    <w:rsid w:val="0095151F"/>
    <w:rsid w:val="00951712"/>
    <w:rsid w:val="00952CD6"/>
    <w:rsid w:val="0095390D"/>
    <w:rsid w:val="00955280"/>
    <w:rsid w:val="00955632"/>
    <w:rsid w:val="009560E2"/>
    <w:rsid w:val="00957E9D"/>
    <w:rsid w:val="009621D2"/>
    <w:rsid w:val="00962D35"/>
    <w:rsid w:val="00964C79"/>
    <w:rsid w:val="009661DE"/>
    <w:rsid w:val="00966E74"/>
    <w:rsid w:val="00970D42"/>
    <w:rsid w:val="00975545"/>
    <w:rsid w:val="00983198"/>
    <w:rsid w:val="00984989"/>
    <w:rsid w:val="00985614"/>
    <w:rsid w:val="009856B7"/>
    <w:rsid w:val="00985E70"/>
    <w:rsid w:val="0098602B"/>
    <w:rsid w:val="009860EF"/>
    <w:rsid w:val="00986892"/>
    <w:rsid w:val="00987A82"/>
    <w:rsid w:val="0099039E"/>
    <w:rsid w:val="00991B3B"/>
    <w:rsid w:val="00993BAE"/>
    <w:rsid w:val="00994BDE"/>
    <w:rsid w:val="009962BA"/>
    <w:rsid w:val="009970EC"/>
    <w:rsid w:val="009A135D"/>
    <w:rsid w:val="009A4BF5"/>
    <w:rsid w:val="009A5562"/>
    <w:rsid w:val="009A77F3"/>
    <w:rsid w:val="009B4F19"/>
    <w:rsid w:val="009B74B0"/>
    <w:rsid w:val="009C1175"/>
    <w:rsid w:val="009C1768"/>
    <w:rsid w:val="009C4411"/>
    <w:rsid w:val="009C5349"/>
    <w:rsid w:val="009C55B9"/>
    <w:rsid w:val="009C5DE5"/>
    <w:rsid w:val="009D106D"/>
    <w:rsid w:val="009D2579"/>
    <w:rsid w:val="009D2B11"/>
    <w:rsid w:val="009D4414"/>
    <w:rsid w:val="009D5324"/>
    <w:rsid w:val="009D5891"/>
    <w:rsid w:val="009D5C34"/>
    <w:rsid w:val="009D607E"/>
    <w:rsid w:val="009D6B46"/>
    <w:rsid w:val="009D7A13"/>
    <w:rsid w:val="009E1867"/>
    <w:rsid w:val="009E2758"/>
    <w:rsid w:val="009E3153"/>
    <w:rsid w:val="009E3592"/>
    <w:rsid w:val="009E5404"/>
    <w:rsid w:val="009F14CC"/>
    <w:rsid w:val="009F22C2"/>
    <w:rsid w:val="009F2BE5"/>
    <w:rsid w:val="009F4940"/>
    <w:rsid w:val="009F75C8"/>
    <w:rsid w:val="00A003B2"/>
    <w:rsid w:val="00A00990"/>
    <w:rsid w:val="00A013BB"/>
    <w:rsid w:val="00A0171E"/>
    <w:rsid w:val="00A023E0"/>
    <w:rsid w:val="00A06083"/>
    <w:rsid w:val="00A07A23"/>
    <w:rsid w:val="00A104CE"/>
    <w:rsid w:val="00A15243"/>
    <w:rsid w:val="00A16417"/>
    <w:rsid w:val="00A1665B"/>
    <w:rsid w:val="00A20488"/>
    <w:rsid w:val="00A215BF"/>
    <w:rsid w:val="00A234E9"/>
    <w:rsid w:val="00A237A2"/>
    <w:rsid w:val="00A31148"/>
    <w:rsid w:val="00A3237A"/>
    <w:rsid w:val="00A34AB6"/>
    <w:rsid w:val="00A4041F"/>
    <w:rsid w:val="00A43196"/>
    <w:rsid w:val="00A4478A"/>
    <w:rsid w:val="00A44832"/>
    <w:rsid w:val="00A44852"/>
    <w:rsid w:val="00A44A1E"/>
    <w:rsid w:val="00A453D4"/>
    <w:rsid w:val="00A45472"/>
    <w:rsid w:val="00A4798D"/>
    <w:rsid w:val="00A47C49"/>
    <w:rsid w:val="00A53433"/>
    <w:rsid w:val="00A555D5"/>
    <w:rsid w:val="00A57D04"/>
    <w:rsid w:val="00A602D9"/>
    <w:rsid w:val="00A60A26"/>
    <w:rsid w:val="00A61598"/>
    <w:rsid w:val="00A615B4"/>
    <w:rsid w:val="00A615D5"/>
    <w:rsid w:val="00A628CF"/>
    <w:rsid w:val="00A63655"/>
    <w:rsid w:val="00A63AF9"/>
    <w:rsid w:val="00A652B4"/>
    <w:rsid w:val="00A6616D"/>
    <w:rsid w:val="00A66264"/>
    <w:rsid w:val="00A67B65"/>
    <w:rsid w:val="00A75B75"/>
    <w:rsid w:val="00A75D2D"/>
    <w:rsid w:val="00A777D6"/>
    <w:rsid w:val="00A81C47"/>
    <w:rsid w:val="00A835C8"/>
    <w:rsid w:val="00A84F46"/>
    <w:rsid w:val="00A858D7"/>
    <w:rsid w:val="00A8672C"/>
    <w:rsid w:val="00A871F4"/>
    <w:rsid w:val="00A90187"/>
    <w:rsid w:val="00A90445"/>
    <w:rsid w:val="00A91D59"/>
    <w:rsid w:val="00A927D2"/>
    <w:rsid w:val="00A93370"/>
    <w:rsid w:val="00A94177"/>
    <w:rsid w:val="00A9722E"/>
    <w:rsid w:val="00A9724F"/>
    <w:rsid w:val="00AA0B7F"/>
    <w:rsid w:val="00AA1F06"/>
    <w:rsid w:val="00AA5758"/>
    <w:rsid w:val="00AA65F4"/>
    <w:rsid w:val="00AA7D50"/>
    <w:rsid w:val="00AB169E"/>
    <w:rsid w:val="00AB597F"/>
    <w:rsid w:val="00AC1478"/>
    <w:rsid w:val="00AC1B2C"/>
    <w:rsid w:val="00AC3264"/>
    <w:rsid w:val="00AC53F6"/>
    <w:rsid w:val="00AC6F01"/>
    <w:rsid w:val="00AD3AF1"/>
    <w:rsid w:val="00AD4CFB"/>
    <w:rsid w:val="00AD5234"/>
    <w:rsid w:val="00AD5308"/>
    <w:rsid w:val="00AD777A"/>
    <w:rsid w:val="00AE0FE2"/>
    <w:rsid w:val="00AE1BF1"/>
    <w:rsid w:val="00AE34B1"/>
    <w:rsid w:val="00AE3C4D"/>
    <w:rsid w:val="00AF01C5"/>
    <w:rsid w:val="00AF0BF1"/>
    <w:rsid w:val="00AF0DD2"/>
    <w:rsid w:val="00AF1122"/>
    <w:rsid w:val="00AF392F"/>
    <w:rsid w:val="00AF46AB"/>
    <w:rsid w:val="00AF4DDE"/>
    <w:rsid w:val="00AF7E35"/>
    <w:rsid w:val="00B0063F"/>
    <w:rsid w:val="00B035DB"/>
    <w:rsid w:val="00B04F3B"/>
    <w:rsid w:val="00B0785C"/>
    <w:rsid w:val="00B1019F"/>
    <w:rsid w:val="00B10314"/>
    <w:rsid w:val="00B11A1D"/>
    <w:rsid w:val="00B128FD"/>
    <w:rsid w:val="00B13048"/>
    <w:rsid w:val="00B14359"/>
    <w:rsid w:val="00B1572F"/>
    <w:rsid w:val="00B15998"/>
    <w:rsid w:val="00B1716D"/>
    <w:rsid w:val="00B17A1D"/>
    <w:rsid w:val="00B207A0"/>
    <w:rsid w:val="00B212BA"/>
    <w:rsid w:val="00B22BEF"/>
    <w:rsid w:val="00B24C76"/>
    <w:rsid w:val="00B25C0E"/>
    <w:rsid w:val="00B25E6B"/>
    <w:rsid w:val="00B27974"/>
    <w:rsid w:val="00B325AF"/>
    <w:rsid w:val="00B41D06"/>
    <w:rsid w:val="00B4232B"/>
    <w:rsid w:val="00B42F16"/>
    <w:rsid w:val="00B443B1"/>
    <w:rsid w:val="00B4576B"/>
    <w:rsid w:val="00B46D4A"/>
    <w:rsid w:val="00B50076"/>
    <w:rsid w:val="00B512E5"/>
    <w:rsid w:val="00B52713"/>
    <w:rsid w:val="00B555D2"/>
    <w:rsid w:val="00B55C99"/>
    <w:rsid w:val="00B56E03"/>
    <w:rsid w:val="00B60F3F"/>
    <w:rsid w:val="00B60F5D"/>
    <w:rsid w:val="00B61E79"/>
    <w:rsid w:val="00B6237B"/>
    <w:rsid w:val="00B652A5"/>
    <w:rsid w:val="00B656BC"/>
    <w:rsid w:val="00B668CA"/>
    <w:rsid w:val="00B67A17"/>
    <w:rsid w:val="00B67E91"/>
    <w:rsid w:val="00B72753"/>
    <w:rsid w:val="00B74DCE"/>
    <w:rsid w:val="00B7507C"/>
    <w:rsid w:val="00B7606C"/>
    <w:rsid w:val="00B8080B"/>
    <w:rsid w:val="00B833B4"/>
    <w:rsid w:val="00B861B5"/>
    <w:rsid w:val="00B8651F"/>
    <w:rsid w:val="00B86978"/>
    <w:rsid w:val="00B87573"/>
    <w:rsid w:val="00B87A65"/>
    <w:rsid w:val="00B87C39"/>
    <w:rsid w:val="00B90285"/>
    <w:rsid w:val="00B91FC9"/>
    <w:rsid w:val="00B920C8"/>
    <w:rsid w:val="00B93934"/>
    <w:rsid w:val="00B93E77"/>
    <w:rsid w:val="00B959A9"/>
    <w:rsid w:val="00B9704F"/>
    <w:rsid w:val="00B97AA7"/>
    <w:rsid w:val="00BA04EA"/>
    <w:rsid w:val="00BA1B50"/>
    <w:rsid w:val="00BA2E8D"/>
    <w:rsid w:val="00BA31B3"/>
    <w:rsid w:val="00BA3CDB"/>
    <w:rsid w:val="00BA4665"/>
    <w:rsid w:val="00BA55B5"/>
    <w:rsid w:val="00BA685E"/>
    <w:rsid w:val="00BA7578"/>
    <w:rsid w:val="00BB02A1"/>
    <w:rsid w:val="00BB12E0"/>
    <w:rsid w:val="00BB2FB2"/>
    <w:rsid w:val="00BB3304"/>
    <w:rsid w:val="00BB4780"/>
    <w:rsid w:val="00BC2A3A"/>
    <w:rsid w:val="00BC37CB"/>
    <w:rsid w:val="00BC4C61"/>
    <w:rsid w:val="00BC55F4"/>
    <w:rsid w:val="00BC612B"/>
    <w:rsid w:val="00BC6DEF"/>
    <w:rsid w:val="00BD05AE"/>
    <w:rsid w:val="00BD0771"/>
    <w:rsid w:val="00BD1503"/>
    <w:rsid w:val="00BD3446"/>
    <w:rsid w:val="00BD6D2E"/>
    <w:rsid w:val="00BD7C8B"/>
    <w:rsid w:val="00BE0465"/>
    <w:rsid w:val="00BE1F1B"/>
    <w:rsid w:val="00BE3397"/>
    <w:rsid w:val="00BE36A0"/>
    <w:rsid w:val="00BE43FC"/>
    <w:rsid w:val="00BE47B5"/>
    <w:rsid w:val="00BE4C99"/>
    <w:rsid w:val="00BE623B"/>
    <w:rsid w:val="00BE7750"/>
    <w:rsid w:val="00BF0749"/>
    <w:rsid w:val="00BF1B34"/>
    <w:rsid w:val="00BF3AE6"/>
    <w:rsid w:val="00BF4598"/>
    <w:rsid w:val="00C0207C"/>
    <w:rsid w:val="00C03582"/>
    <w:rsid w:val="00C03931"/>
    <w:rsid w:val="00C058AB"/>
    <w:rsid w:val="00C06739"/>
    <w:rsid w:val="00C0758D"/>
    <w:rsid w:val="00C10329"/>
    <w:rsid w:val="00C1048D"/>
    <w:rsid w:val="00C10670"/>
    <w:rsid w:val="00C10FF8"/>
    <w:rsid w:val="00C11FAC"/>
    <w:rsid w:val="00C121A5"/>
    <w:rsid w:val="00C16E1A"/>
    <w:rsid w:val="00C1783D"/>
    <w:rsid w:val="00C20F23"/>
    <w:rsid w:val="00C23885"/>
    <w:rsid w:val="00C24E65"/>
    <w:rsid w:val="00C256A8"/>
    <w:rsid w:val="00C26B27"/>
    <w:rsid w:val="00C270EB"/>
    <w:rsid w:val="00C33549"/>
    <w:rsid w:val="00C34D74"/>
    <w:rsid w:val="00C34E7B"/>
    <w:rsid w:val="00C372E1"/>
    <w:rsid w:val="00C376FB"/>
    <w:rsid w:val="00C4478B"/>
    <w:rsid w:val="00C448BF"/>
    <w:rsid w:val="00C45457"/>
    <w:rsid w:val="00C463A1"/>
    <w:rsid w:val="00C538A9"/>
    <w:rsid w:val="00C53B5A"/>
    <w:rsid w:val="00C54F5A"/>
    <w:rsid w:val="00C553B5"/>
    <w:rsid w:val="00C568BE"/>
    <w:rsid w:val="00C56E1F"/>
    <w:rsid w:val="00C61431"/>
    <w:rsid w:val="00C61865"/>
    <w:rsid w:val="00C6506E"/>
    <w:rsid w:val="00C65280"/>
    <w:rsid w:val="00C72511"/>
    <w:rsid w:val="00C7274A"/>
    <w:rsid w:val="00C755AD"/>
    <w:rsid w:val="00C80AFE"/>
    <w:rsid w:val="00C80FC3"/>
    <w:rsid w:val="00C84032"/>
    <w:rsid w:val="00C843D6"/>
    <w:rsid w:val="00C86679"/>
    <w:rsid w:val="00C8678C"/>
    <w:rsid w:val="00C9094D"/>
    <w:rsid w:val="00C91CB9"/>
    <w:rsid w:val="00CA35DF"/>
    <w:rsid w:val="00CA5796"/>
    <w:rsid w:val="00CA6259"/>
    <w:rsid w:val="00CA77A5"/>
    <w:rsid w:val="00CB1C2B"/>
    <w:rsid w:val="00CB666B"/>
    <w:rsid w:val="00CB6A41"/>
    <w:rsid w:val="00CB7795"/>
    <w:rsid w:val="00CC1346"/>
    <w:rsid w:val="00CC206F"/>
    <w:rsid w:val="00CC26BD"/>
    <w:rsid w:val="00CC4955"/>
    <w:rsid w:val="00CC5427"/>
    <w:rsid w:val="00CC602F"/>
    <w:rsid w:val="00CC7B7C"/>
    <w:rsid w:val="00CD2AC8"/>
    <w:rsid w:val="00CD478C"/>
    <w:rsid w:val="00CD56FA"/>
    <w:rsid w:val="00CD70B0"/>
    <w:rsid w:val="00CE05FC"/>
    <w:rsid w:val="00CE2CB5"/>
    <w:rsid w:val="00CE32DE"/>
    <w:rsid w:val="00CE6056"/>
    <w:rsid w:val="00CE6934"/>
    <w:rsid w:val="00CF0D20"/>
    <w:rsid w:val="00CF1D2B"/>
    <w:rsid w:val="00CF1F9C"/>
    <w:rsid w:val="00CF2674"/>
    <w:rsid w:val="00CF5857"/>
    <w:rsid w:val="00CF5CB4"/>
    <w:rsid w:val="00CF6EC7"/>
    <w:rsid w:val="00CF799E"/>
    <w:rsid w:val="00CF7B3B"/>
    <w:rsid w:val="00D01CF0"/>
    <w:rsid w:val="00D0442A"/>
    <w:rsid w:val="00D04438"/>
    <w:rsid w:val="00D1172C"/>
    <w:rsid w:val="00D11884"/>
    <w:rsid w:val="00D118D7"/>
    <w:rsid w:val="00D134BC"/>
    <w:rsid w:val="00D14A51"/>
    <w:rsid w:val="00D150DF"/>
    <w:rsid w:val="00D16E79"/>
    <w:rsid w:val="00D17E2B"/>
    <w:rsid w:val="00D203E1"/>
    <w:rsid w:val="00D210BA"/>
    <w:rsid w:val="00D25F94"/>
    <w:rsid w:val="00D2640E"/>
    <w:rsid w:val="00D26CA4"/>
    <w:rsid w:val="00D27902"/>
    <w:rsid w:val="00D305A4"/>
    <w:rsid w:val="00D338D9"/>
    <w:rsid w:val="00D34292"/>
    <w:rsid w:val="00D36F8A"/>
    <w:rsid w:val="00D40369"/>
    <w:rsid w:val="00D43F7E"/>
    <w:rsid w:val="00D44051"/>
    <w:rsid w:val="00D444B4"/>
    <w:rsid w:val="00D504C5"/>
    <w:rsid w:val="00D514E0"/>
    <w:rsid w:val="00D5231B"/>
    <w:rsid w:val="00D534B7"/>
    <w:rsid w:val="00D535B3"/>
    <w:rsid w:val="00D5369F"/>
    <w:rsid w:val="00D544B8"/>
    <w:rsid w:val="00D54EF0"/>
    <w:rsid w:val="00D558DD"/>
    <w:rsid w:val="00D55A10"/>
    <w:rsid w:val="00D56EA7"/>
    <w:rsid w:val="00D57C15"/>
    <w:rsid w:val="00D60264"/>
    <w:rsid w:val="00D60337"/>
    <w:rsid w:val="00D60E1C"/>
    <w:rsid w:val="00D612B3"/>
    <w:rsid w:val="00D61388"/>
    <w:rsid w:val="00D61860"/>
    <w:rsid w:val="00D61A54"/>
    <w:rsid w:val="00D6330A"/>
    <w:rsid w:val="00D63611"/>
    <w:rsid w:val="00D64AF7"/>
    <w:rsid w:val="00D64DEA"/>
    <w:rsid w:val="00D661CA"/>
    <w:rsid w:val="00D6676B"/>
    <w:rsid w:val="00D7214D"/>
    <w:rsid w:val="00D73D5F"/>
    <w:rsid w:val="00D74FB8"/>
    <w:rsid w:val="00D80035"/>
    <w:rsid w:val="00D80893"/>
    <w:rsid w:val="00D83A39"/>
    <w:rsid w:val="00D85BC3"/>
    <w:rsid w:val="00D85D6C"/>
    <w:rsid w:val="00D87CB1"/>
    <w:rsid w:val="00D90120"/>
    <w:rsid w:val="00D9107F"/>
    <w:rsid w:val="00D91258"/>
    <w:rsid w:val="00D91A6C"/>
    <w:rsid w:val="00D92CF1"/>
    <w:rsid w:val="00D92D38"/>
    <w:rsid w:val="00D93DA9"/>
    <w:rsid w:val="00D950F5"/>
    <w:rsid w:val="00D95755"/>
    <w:rsid w:val="00DA065B"/>
    <w:rsid w:val="00DA2E98"/>
    <w:rsid w:val="00DA2FFD"/>
    <w:rsid w:val="00DA7769"/>
    <w:rsid w:val="00DB07A3"/>
    <w:rsid w:val="00DB0953"/>
    <w:rsid w:val="00DB0F93"/>
    <w:rsid w:val="00DB2434"/>
    <w:rsid w:val="00DB3430"/>
    <w:rsid w:val="00DB59B0"/>
    <w:rsid w:val="00DB62DB"/>
    <w:rsid w:val="00DB79E0"/>
    <w:rsid w:val="00DC09CD"/>
    <w:rsid w:val="00DC18E6"/>
    <w:rsid w:val="00DC3D07"/>
    <w:rsid w:val="00DC542F"/>
    <w:rsid w:val="00DC66B6"/>
    <w:rsid w:val="00DC70B5"/>
    <w:rsid w:val="00DC7981"/>
    <w:rsid w:val="00DC79E1"/>
    <w:rsid w:val="00DD042A"/>
    <w:rsid w:val="00DD1A48"/>
    <w:rsid w:val="00DD26B1"/>
    <w:rsid w:val="00DD34C5"/>
    <w:rsid w:val="00DD4DE2"/>
    <w:rsid w:val="00DD500A"/>
    <w:rsid w:val="00DD562B"/>
    <w:rsid w:val="00DD7476"/>
    <w:rsid w:val="00DD7567"/>
    <w:rsid w:val="00DD7AB8"/>
    <w:rsid w:val="00DD7BDC"/>
    <w:rsid w:val="00DE360E"/>
    <w:rsid w:val="00DE47D9"/>
    <w:rsid w:val="00DE4EFA"/>
    <w:rsid w:val="00DE5520"/>
    <w:rsid w:val="00DE60FE"/>
    <w:rsid w:val="00DE6CF7"/>
    <w:rsid w:val="00DE7054"/>
    <w:rsid w:val="00DF2AF3"/>
    <w:rsid w:val="00DF3373"/>
    <w:rsid w:val="00E00516"/>
    <w:rsid w:val="00E01A8E"/>
    <w:rsid w:val="00E02B3F"/>
    <w:rsid w:val="00E04818"/>
    <w:rsid w:val="00E06047"/>
    <w:rsid w:val="00E06442"/>
    <w:rsid w:val="00E10994"/>
    <w:rsid w:val="00E11D9F"/>
    <w:rsid w:val="00E11E2E"/>
    <w:rsid w:val="00E12807"/>
    <w:rsid w:val="00E13AE8"/>
    <w:rsid w:val="00E13C3D"/>
    <w:rsid w:val="00E14B43"/>
    <w:rsid w:val="00E152CD"/>
    <w:rsid w:val="00E1628F"/>
    <w:rsid w:val="00E162F8"/>
    <w:rsid w:val="00E17C77"/>
    <w:rsid w:val="00E23993"/>
    <w:rsid w:val="00E255F8"/>
    <w:rsid w:val="00E25895"/>
    <w:rsid w:val="00E25B8C"/>
    <w:rsid w:val="00E3151B"/>
    <w:rsid w:val="00E32794"/>
    <w:rsid w:val="00E327E3"/>
    <w:rsid w:val="00E335A8"/>
    <w:rsid w:val="00E336ED"/>
    <w:rsid w:val="00E35649"/>
    <w:rsid w:val="00E36D07"/>
    <w:rsid w:val="00E370FD"/>
    <w:rsid w:val="00E37625"/>
    <w:rsid w:val="00E41B9A"/>
    <w:rsid w:val="00E447BA"/>
    <w:rsid w:val="00E4674F"/>
    <w:rsid w:val="00E4785A"/>
    <w:rsid w:val="00E478CF"/>
    <w:rsid w:val="00E50106"/>
    <w:rsid w:val="00E50BBA"/>
    <w:rsid w:val="00E50C5D"/>
    <w:rsid w:val="00E5148D"/>
    <w:rsid w:val="00E5221C"/>
    <w:rsid w:val="00E54F72"/>
    <w:rsid w:val="00E56FA4"/>
    <w:rsid w:val="00E57AAB"/>
    <w:rsid w:val="00E60B03"/>
    <w:rsid w:val="00E6330D"/>
    <w:rsid w:val="00E63639"/>
    <w:rsid w:val="00E6430A"/>
    <w:rsid w:val="00E6464B"/>
    <w:rsid w:val="00E65C85"/>
    <w:rsid w:val="00E66199"/>
    <w:rsid w:val="00E66925"/>
    <w:rsid w:val="00E67C65"/>
    <w:rsid w:val="00E67E4D"/>
    <w:rsid w:val="00E67E6F"/>
    <w:rsid w:val="00E71406"/>
    <w:rsid w:val="00E755EC"/>
    <w:rsid w:val="00E75AC3"/>
    <w:rsid w:val="00E75C97"/>
    <w:rsid w:val="00E76225"/>
    <w:rsid w:val="00E7624D"/>
    <w:rsid w:val="00E81652"/>
    <w:rsid w:val="00E82F6D"/>
    <w:rsid w:val="00E831EC"/>
    <w:rsid w:val="00E84385"/>
    <w:rsid w:val="00E8613C"/>
    <w:rsid w:val="00E87A15"/>
    <w:rsid w:val="00E952C6"/>
    <w:rsid w:val="00E95B19"/>
    <w:rsid w:val="00E95D58"/>
    <w:rsid w:val="00E96A52"/>
    <w:rsid w:val="00EA0F8E"/>
    <w:rsid w:val="00EA1719"/>
    <w:rsid w:val="00EA2BBA"/>
    <w:rsid w:val="00EA3D42"/>
    <w:rsid w:val="00EA5B06"/>
    <w:rsid w:val="00EA6B1B"/>
    <w:rsid w:val="00EA7255"/>
    <w:rsid w:val="00EA7B33"/>
    <w:rsid w:val="00EB4918"/>
    <w:rsid w:val="00EB652E"/>
    <w:rsid w:val="00EB7168"/>
    <w:rsid w:val="00EC0463"/>
    <w:rsid w:val="00EC112D"/>
    <w:rsid w:val="00EC1643"/>
    <w:rsid w:val="00EC4A14"/>
    <w:rsid w:val="00EC4B32"/>
    <w:rsid w:val="00EC5008"/>
    <w:rsid w:val="00EC7DA8"/>
    <w:rsid w:val="00ED027C"/>
    <w:rsid w:val="00ED095F"/>
    <w:rsid w:val="00ED0F79"/>
    <w:rsid w:val="00ED1E07"/>
    <w:rsid w:val="00ED43F1"/>
    <w:rsid w:val="00ED6134"/>
    <w:rsid w:val="00EE0C35"/>
    <w:rsid w:val="00EE28F3"/>
    <w:rsid w:val="00EE4F92"/>
    <w:rsid w:val="00EE62A4"/>
    <w:rsid w:val="00EF0D19"/>
    <w:rsid w:val="00EF21BB"/>
    <w:rsid w:val="00EF252C"/>
    <w:rsid w:val="00EF3B36"/>
    <w:rsid w:val="00EF3E24"/>
    <w:rsid w:val="00EF470D"/>
    <w:rsid w:val="00EF4CB0"/>
    <w:rsid w:val="00EF5110"/>
    <w:rsid w:val="00EF5111"/>
    <w:rsid w:val="00EF5385"/>
    <w:rsid w:val="00EF5DB1"/>
    <w:rsid w:val="00F0563F"/>
    <w:rsid w:val="00F07258"/>
    <w:rsid w:val="00F105D4"/>
    <w:rsid w:val="00F12841"/>
    <w:rsid w:val="00F14CEC"/>
    <w:rsid w:val="00F15882"/>
    <w:rsid w:val="00F15D16"/>
    <w:rsid w:val="00F1693A"/>
    <w:rsid w:val="00F20BD3"/>
    <w:rsid w:val="00F216ED"/>
    <w:rsid w:val="00F2180D"/>
    <w:rsid w:val="00F21AA5"/>
    <w:rsid w:val="00F21C9A"/>
    <w:rsid w:val="00F22B11"/>
    <w:rsid w:val="00F250C4"/>
    <w:rsid w:val="00F25E9F"/>
    <w:rsid w:val="00F260F8"/>
    <w:rsid w:val="00F30535"/>
    <w:rsid w:val="00F309FD"/>
    <w:rsid w:val="00F31F19"/>
    <w:rsid w:val="00F33329"/>
    <w:rsid w:val="00F3463F"/>
    <w:rsid w:val="00F35314"/>
    <w:rsid w:val="00F353FD"/>
    <w:rsid w:val="00F373A5"/>
    <w:rsid w:val="00F37D8A"/>
    <w:rsid w:val="00F43E4E"/>
    <w:rsid w:val="00F454B1"/>
    <w:rsid w:val="00F45FB2"/>
    <w:rsid w:val="00F46451"/>
    <w:rsid w:val="00F47559"/>
    <w:rsid w:val="00F51571"/>
    <w:rsid w:val="00F53495"/>
    <w:rsid w:val="00F560CE"/>
    <w:rsid w:val="00F57843"/>
    <w:rsid w:val="00F57AA9"/>
    <w:rsid w:val="00F57EF1"/>
    <w:rsid w:val="00F60BE4"/>
    <w:rsid w:val="00F61B84"/>
    <w:rsid w:val="00F62762"/>
    <w:rsid w:val="00F6382F"/>
    <w:rsid w:val="00F64C7B"/>
    <w:rsid w:val="00F65B30"/>
    <w:rsid w:val="00F65E5E"/>
    <w:rsid w:val="00F66318"/>
    <w:rsid w:val="00F676DD"/>
    <w:rsid w:val="00F701B0"/>
    <w:rsid w:val="00F7293D"/>
    <w:rsid w:val="00F72D87"/>
    <w:rsid w:val="00F73081"/>
    <w:rsid w:val="00F75079"/>
    <w:rsid w:val="00F75756"/>
    <w:rsid w:val="00F75A26"/>
    <w:rsid w:val="00F77308"/>
    <w:rsid w:val="00F80096"/>
    <w:rsid w:val="00F80A8C"/>
    <w:rsid w:val="00F816D2"/>
    <w:rsid w:val="00F83FAD"/>
    <w:rsid w:val="00F841E8"/>
    <w:rsid w:val="00F8472B"/>
    <w:rsid w:val="00F852CE"/>
    <w:rsid w:val="00F864C7"/>
    <w:rsid w:val="00F91363"/>
    <w:rsid w:val="00F91DC6"/>
    <w:rsid w:val="00F94027"/>
    <w:rsid w:val="00F952A0"/>
    <w:rsid w:val="00F95CF0"/>
    <w:rsid w:val="00F9671F"/>
    <w:rsid w:val="00F979F1"/>
    <w:rsid w:val="00F97CE4"/>
    <w:rsid w:val="00FA1386"/>
    <w:rsid w:val="00FA18F2"/>
    <w:rsid w:val="00FA191D"/>
    <w:rsid w:val="00FA1E95"/>
    <w:rsid w:val="00FA2E68"/>
    <w:rsid w:val="00FA35BC"/>
    <w:rsid w:val="00FA3644"/>
    <w:rsid w:val="00FA3C7F"/>
    <w:rsid w:val="00FA7FD2"/>
    <w:rsid w:val="00FB0E48"/>
    <w:rsid w:val="00FB52D7"/>
    <w:rsid w:val="00FB701F"/>
    <w:rsid w:val="00FB74E2"/>
    <w:rsid w:val="00FB7A9A"/>
    <w:rsid w:val="00FB7B57"/>
    <w:rsid w:val="00FC0BB4"/>
    <w:rsid w:val="00FC72F4"/>
    <w:rsid w:val="00FD03F8"/>
    <w:rsid w:val="00FD0FC9"/>
    <w:rsid w:val="00FD278B"/>
    <w:rsid w:val="00FD31DD"/>
    <w:rsid w:val="00FD345D"/>
    <w:rsid w:val="00FD5614"/>
    <w:rsid w:val="00FD5ACB"/>
    <w:rsid w:val="00FD7BB1"/>
    <w:rsid w:val="00FE0BE1"/>
    <w:rsid w:val="00FE1DE9"/>
    <w:rsid w:val="00FE39C2"/>
    <w:rsid w:val="00FE3C67"/>
    <w:rsid w:val="00FE5120"/>
    <w:rsid w:val="00FE5F7E"/>
    <w:rsid w:val="00FE60A4"/>
    <w:rsid w:val="00FE64AE"/>
    <w:rsid w:val="00FE653E"/>
    <w:rsid w:val="00FE701E"/>
    <w:rsid w:val="00FE7031"/>
    <w:rsid w:val="00FF0CD9"/>
    <w:rsid w:val="00FF1F96"/>
    <w:rsid w:val="00FF2C25"/>
    <w:rsid w:val="00FF33D4"/>
    <w:rsid w:val="00FF430A"/>
    <w:rsid w:val="00FF450B"/>
    <w:rsid w:val="00FF5CF2"/>
    <w:rsid w:val="00FF7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30BB0AD"/>
  <w15:docId w15:val="{92D2F307-B670-4DAD-8C2D-4B2954CE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FD"/>
    <w:rPr>
      <w:rFonts w:ascii="Trebuchet MS" w:hAnsi="Trebuchet MS"/>
    </w:rPr>
  </w:style>
  <w:style w:type="paragraph" w:styleId="Heading1">
    <w:name w:val="heading 1"/>
    <w:basedOn w:val="Normal"/>
    <w:next w:val="Normal"/>
    <w:link w:val="Heading1Char"/>
    <w:qFormat/>
    <w:rsid w:val="004F55FF"/>
    <w:pPr>
      <w:spacing w:before="240"/>
      <w:outlineLvl w:val="0"/>
    </w:pPr>
    <w:rPr>
      <w:rFonts w:eastAsiaTheme="majorEastAsia" w:cstheme="majorBidi"/>
      <w:bCs/>
      <w:color w:val="0D45D6" w:themeColor="accent2"/>
      <w:sz w:val="32"/>
      <w:szCs w:val="28"/>
    </w:rPr>
  </w:style>
  <w:style w:type="paragraph" w:styleId="Heading2">
    <w:name w:val="heading 2"/>
    <w:basedOn w:val="Normal"/>
    <w:next w:val="Normal"/>
    <w:link w:val="Heading2Char"/>
    <w:qFormat/>
    <w:rsid w:val="00C61431"/>
    <w:pPr>
      <w:tabs>
        <w:tab w:val="left" w:pos="1021"/>
      </w:tabs>
      <w:spacing w:line="240" w:lineRule="atLeast"/>
      <w:outlineLvl w:val="1"/>
    </w:pPr>
    <w:rPr>
      <w:rFonts w:eastAsiaTheme="majorEastAsia" w:cs="Arial"/>
      <w:bCs/>
      <w:color w:val="002760" w:themeColor="accent1"/>
      <w:sz w:val="28"/>
      <w:szCs w:val="26"/>
    </w:rPr>
  </w:style>
  <w:style w:type="paragraph" w:styleId="Heading3">
    <w:name w:val="heading 3"/>
    <w:basedOn w:val="Normal"/>
    <w:next w:val="Normal"/>
    <w:link w:val="Heading3Char"/>
    <w:qFormat/>
    <w:rsid w:val="00935115"/>
    <w:pPr>
      <w:spacing w:before="240"/>
      <w:outlineLvl w:val="2"/>
    </w:pPr>
    <w:rPr>
      <w:rFonts w:eastAsiaTheme="majorEastAsia" w:cstheme="majorBidi"/>
      <w:b/>
      <w:bCs/>
      <w:color w:val="000000" w:themeColor="text1"/>
      <w:sz w:val="24"/>
    </w:rPr>
  </w:style>
  <w:style w:type="paragraph" w:styleId="Heading4">
    <w:name w:val="heading 4"/>
    <w:basedOn w:val="Normal"/>
    <w:next w:val="Normal"/>
    <w:link w:val="Heading4Char"/>
    <w:qFormat/>
    <w:rsid w:val="00935115"/>
    <w:pPr>
      <w:spacing w:before="240"/>
      <w:outlineLvl w:val="3"/>
    </w:pPr>
    <w:rPr>
      <w:rFonts w:eastAsiaTheme="majorEastAsia" w:cstheme="majorBidi"/>
      <w:b/>
      <w:bCs/>
      <w:i/>
      <w:iCs/>
      <w:color w:val="002760" w:themeColor="accent1"/>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00132F"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002760" w:themeColor="accent1"/>
      <w:szCs w:val="20"/>
    </w:rPr>
  </w:style>
  <w:style w:type="paragraph" w:styleId="Heading9">
    <w:name w:val="heading 9"/>
    <w:aliases w:val="Numbered Table"/>
    <w:basedOn w:val="Normal"/>
    <w:next w:val="Normal"/>
    <w:link w:val="Heading9Char"/>
    <w:uiPriority w:val="2"/>
    <w:qFormat/>
    <w:rsid w:val="00D64AF7"/>
    <w:pPr>
      <w:numPr>
        <w:numId w:val="26"/>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5FF"/>
    <w:rPr>
      <w:rFonts w:ascii="Trebuchet MS" w:eastAsiaTheme="majorEastAsia" w:hAnsi="Trebuchet MS" w:cstheme="majorBidi"/>
      <w:bCs/>
      <w:color w:val="0D45D6" w:themeColor="accent2"/>
      <w:sz w:val="32"/>
      <w:szCs w:val="28"/>
    </w:rPr>
  </w:style>
  <w:style w:type="character" w:customStyle="1" w:styleId="Heading2Char">
    <w:name w:val="Heading 2 Char"/>
    <w:basedOn w:val="DefaultParagraphFont"/>
    <w:link w:val="Heading2"/>
    <w:rsid w:val="00935115"/>
    <w:rPr>
      <w:rFonts w:ascii="Trebuchet MS" w:eastAsiaTheme="majorEastAsia" w:hAnsi="Trebuchet MS" w:cs="Arial"/>
      <w:bCs/>
      <w:color w:val="002760" w:themeColor="accent1"/>
      <w:sz w:val="28"/>
      <w:szCs w:val="26"/>
    </w:rPr>
  </w:style>
  <w:style w:type="character" w:customStyle="1" w:styleId="Heading3Char">
    <w:name w:val="Heading 3 Char"/>
    <w:basedOn w:val="DefaultParagraphFont"/>
    <w:link w:val="Heading3"/>
    <w:rsid w:val="00935115"/>
    <w:rPr>
      <w:rFonts w:ascii="Trebuchet MS" w:eastAsiaTheme="majorEastAsia" w:hAnsi="Trebuchet MS" w:cstheme="majorBidi"/>
      <w:b/>
      <w:bCs/>
      <w:color w:val="000000" w:themeColor="text1"/>
      <w:sz w:val="24"/>
    </w:rPr>
  </w:style>
  <w:style w:type="character" w:customStyle="1" w:styleId="Heading4Char">
    <w:name w:val="Heading 4 Char"/>
    <w:basedOn w:val="DefaultParagraphFont"/>
    <w:link w:val="Heading4"/>
    <w:rsid w:val="00935115"/>
    <w:rPr>
      <w:rFonts w:ascii="Trebuchet MS" w:eastAsiaTheme="majorEastAsia" w:hAnsi="Trebuchet MS" w:cstheme="majorBidi"/>
      <w:b/>
      <w:bCs/>
      <w:i/>
      <w:iCs/>
      <w:color w:val="002760" w:themeColor="accent1"/>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00132F"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E370FD"/>
    <w:pPr>
      <w:spacing w:before="520" w:after="120"/>
    </w:pPr>
    <w:rPr>
      <w:rFonts w:ascii="Palatino Linotype" w:hAnsi="Palatino Linotype"/>
      <w:color w:val="002760" w:themeColor="accent1"/>
      <w:sz w:val="52"/>
      <w:szCs w:val="52"/>
    </w:rPr>
  </w:style>
  <w:style w:type="character" w:customStyle="1" w:styleId="ChaptertitleChar">
    <w:name w:val="Chapter title Char"/>
    <w:basedOn w:val="DefaultParagraphFont"/>
    <w:link w:val="Chaptertitle"/>
    <w:rsid w:val="00E370FD"/>
    <w:rPr>
      <w:rFonts w:ascii="Palatino Linotype" w:hAnsi="Palatino Linotype"/>
      <w:color w:val="002760" w:themeColor="accen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E370FD"/>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E370FD"/>
    <w:rPr>
      <w:rFonts w:ascii="Arial" w:hAnsi="Arial"/>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14CEC"/>
    <w:pPr>
      <w:numPr>
        <w:numId w:val="27"/>
      </w:numPr>
      <w:tabs>
        <w:tab w:val="left" w:pos="680"/>
      </w:tabs>
      <w:ind w:left="680" w:hanging="680"/>
    </w:pPr>
  </w:style>
  <w:style w:type="paragraph" w:customStyle="1" w:styleId="Numbered11">
    <w:name w:val="Numbered 1.1"/>
    <w:basedOn w:val="Heading2"/>
    <w:next w:val="Normal"/>
    <w:qFormat/>
    <w:rsid w:val="00DA2E98"/>
    <w:pPr>
      <w:numPr>
        <w:ilvl w:val="1"/>
        <w:numId w:val="27"/>
      </w:numPr>
      <w:ind w:left="1021" w:hanging="1021"/>
    </w:pPr>
  </w:style>
  <w:style w:type="paragraph" w:customStyle="1" w:styleId="Numbered111">
    <w:name w:val="Numbered 1.1.1"/>
    <w:basedOn w:val="Heading3"/>
    <w:next w:val="Normal"/>
    <w:qFormat/>
    <w:rsid w:val="007D0718"/>
    <w:pPr>
      <w:numPr>
        <w:ilvl w:val="2"/>
        <w:numId w:val="27"/>
      </w:numPr>
      <w:tabs>
        <w:tab w:val="left" w:pos="1361"/>
      </w:tabs>
      <w:ind w:left="1021" w:hanging="1021"/>
      <w:contextualSpacing/>
    </w:pPr>
  </w:style>
  <w:style w:type="paragraph" w:customStyle="1" w:styleId="Numbered1111">
    <w:name w:val="Numbered 1.1.1.1"/>
    <w:basedOn w:val="Heading4"/>
    <w:next w:val="Normal"/>
    <w:rsid w:val="00DA2E98"/>
    <w:pPr>
      <w:numPr>
        <w:ilvl w:val="3"/>
        <w:numId w:val="27"/>
      </w:numPr>
      <w:tabs>
        <w:tab w:val="left" w:pos="1361"/>
      </w:tabs>
      <w:ind w:left="1361" w:hanging="1361"/>
    </w:pPr>
  </w:style>
  <w:style w:type="paragraph" w:customStyle="1" w:styleId="Numbered11111">
    <w:name w:val="Numbered 1.1.1.1.1"/>
    <w:basedOn w:val="Heading5"/>
    <w:next w:val="Normal"/>
    <w:uiPriority w:val="2"/>
    <w:rsid w:val="00DA2E98"/>
    <w:pPr>
      <w:numPr>
        <w:ilvl w:val="4"/>
        <w:numId w:val="27"/>
      </w:numPr>
      <w:tabs>
        <w:tab w:val="left" w:pos="1701"/>
      </w:tabs>
      <w:ind w:left="1701" w:hanging="1701"/>
    </w:pPr>
    <w:rPr>
      <w:rFonts w:ascii="Trebuchet MS" w:hAnsi="Trebuchet MS"/>
    </w:rPr>
  </w:style>
  <w:style w:type="paragraph" w:customStyle="1" w:styleId="Numbered111111">
    <w:name w:val="Numbered 1.1.1.1.1.1"/>
    <w:basedOn w:val="Heading6"/>
    <w:next w:val="Normal"/>
    <w:uiPriority w:val="2"/>
    <w:rsid w:val="00DA2E98"/>
    <w:pPr>
      <w:numPr>
        <w:ilvl w:val="5"/>
        <w:numId w:val="27"/>
      </w:numPr>
      <w:tabs>
        <w:tab w:val="left" w:pos="1701"/>
      </w:tabs>
      <w:ind w:left="1701" w:hanging="1701"/>
    </w:pPr>
  </w:style>
  <w:style w:type="paragraph" w:styleId="Header">
    <w:name w:val="header"/>
    <w:basedOn w:val="Normal"/>
    <w:link w:val="HeaderChar"/>
    <w:uiPriority w:val="99"/>
    <w:unhideWhenUsed/>
    <w:qFormat/>
    <w:rsid w:val="00E370FD"/>
    <w:pPr>
      <w:tabs>
        <w:tab w:val="center" w:pos="4513"/>
        <w:tab w:val="right" w:pos="9026"/>
      </w:tabs>
      <w:spacing w:after="120"/>
    </w:pPr>
    <w:rPr>
      <w:sz w:val="18"/>
    </w:rPr>
  </w:style>
  <w:style w:type="character" w:customStyle="1" w:styleId="HeaderChar">
    <w:name w:val="Header Char"/>
    <w:basedOn w:val="DefaultParagraphFont"/>
    <w:link w:val="Header"/>
    <w:uiPriority w:val="99"/>
    <w:rsid w:val="00E370FD"/>
    <w:rPr>
      <w:rFonts w:ascii="Arial" w:hAnsi="Arial"/>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8454B5"/>
    <w:pPr>
      <w:spacing w:after="120"/>
      <w:contextualSpacing/>
    </w:pPr>
    <w:rPr>
      <w:rFonts w:asciiTheme="majorHAnsi" w:hAnsiTheme="majorHAnsi"/>
      <w:b/>
      <w:color w:val="0D45D6" w:themeColor="accent2"/>
      <w:sz w:val="24"/>
      <w:szCs w:val="24"/>
    </w:rPr>
  </w:style>
  <w:style w:type="character" w:customStyle="1" w:styleId="PullquoteheadingChar">
    <w:name w:val="Pull quote heading Char"/>
    <w:basedOn w:val="DefaultParagraphFont"/>
    <w:link w:val="Pullquoteheading"/>
    <w:uiPriority w:val="1"/>
    <w:rsid w:val="008454B5"/>
    <w:rPr>
      <w:rFonts w:asciiTheme="majorHAnsi" w:hAnsiTheme="majorHAnsi"/>
      <w:b/>
      <w:color w:val="0D45D6" w:themeColor="accent2"/>
      <w:sz w:val="24"/>
      <w:szCs w:val="24"/>
    </w:rPr>
  </w:style>
  <w:style w:type="paragraph" w:customStyle="1" w:styleId="Pullquotetext">
    <w:name w:val="Pull quote text"/>
    <w:link w:val="PullquotetextChar"/>
    <w:uiPriority w:val="1"/>
    <w:rsid w:val="008454B5"/>
    <w:pPr>
      <w:spacing w:before="120"/>
    </w:pPr>
    <w:rPr>
      <w:rFonts w:asciiTheme="majorHAnsi" w:hAnsiTheme="majorHAnsi"/>
      <w:color w:val="0D45D6" w:themeColor="accent2"/>
      <w:szCs w:val="24"/>
    </w:rPr>
  </w:style>
  <w:style w:type="character" w:customStyle="1" w:styleId="PullquotetextChar">
    <w:name w:val="Pull quote text Char"/>
    <w:basedOn w:val="PullquoteheadingChar"/>
    <w:link w:val="Pullquotetext"/>
    <w:uiPriority w:val="1"/>
    <w:rsid w:val="008454B5"/>
    <w:rPr>
      <w:rFonts w:asciiTheme="majorHAnsi" w:hAnsiTheme="majorHAnsi"/>
      <w:b w:val="0"/>
      <w:color w:val="0D45D6" w:themeColor="accent2"/>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3062CC"/>
    <w:pPr>
      <w:keepLines/>
    </w:pPr>
  </w:style>
  <w:style w:type="character" w:customStyle="1" w:styleId="FootnotesChar">
    <w:name w:val="Footnotes Char"/>
    <w:basedOn w:val="DefaultParagraphFont"/>
    <w:link w:val="Footnotes"/>
    <w:uiPriority w:val="4"/>
    <w:semiHidden/>
    <w:rsid w:val="003062CC"/>
    <w:rPr>
      <w:rFonts w:ascii="Arial" w:hAnsi="Arial"/>
      <w:sz w:val="16"/>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2"/>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4B419B"/>
    <w:pPr>
      <w:spacing w:before="480" w:after="120" w:line="276" w:lineRule="auto"/>
    </w:pPr>
    <w:rPr>
      <w:rFonts w:eastAsiaTheme="majorEastAsia" w:cstheme="majorBidi"/>
      <w:bCs/>
      <w:color w:val="0D45D6" w:themeColor="accent2"/>
      <w:sz w:val="32"/>
      <w:szCs w:val="28"/>
      <w:lang w:val="en-US" w:eastAsia="ja-JP"/>
    </w:rPr>
  </w:style>
  <w:style w:type="paragraph" w:styleId="ListNumber2">
    <w:name w:val="List Number 2"/>
    <w:next w:val="Normal"/>
    <w:uiPriority w:val="99"/>
    <w:rsid w:val="00BE4C99"/>
    <w:pPr>
      <w:numPr>
        <w:numId w:val="23"/>
      </w:numPr>
      <w:tabs>
        <w:tab w:val="left" w:pos="680"/>
      </w:tabs>
      <w:spacing w:before="120"/>
    </w:pPr>
    <w:rPr>
      <w:rFonts w:ascii="Arial" w:hAnsi="Arial"/>
    </w:rPr>
  </w:style>
  <w:style w:type="character" w:styleId="Hyperlink">
    <w:name w:val="Hyperlink"/>
    <w:basedOn w:val="DefaultParagraphFont"/>
    <w:uiPriority w:val="99"/>
    <w:qFormat/>
    <w:rsid w:val="00615AF5"/>
    <w:rPr>
      <w:rFonts w:ascii="Trebuchet MS" w:hAnsi="Trebuchet MS"/>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E370FD"/>
    <w:pPr>
      <w:tabs>
        <w:tab w:val="center" w:pos="4513"/>
        <w:tab w:val="right" w:pos="9026"/>
      </w:tabs>
      <w:spacing w:after="120"/>
    </w:pPr>
    <w:rPr>
      <w:sz w:val="18"/>
    </w:rPr>
  </w:style>
  <w:style w:type="character" w:customStyle="1" w:styleId="FooterChar">
    <w:name w:val="Footer Char"/>
    <w:basedOn w:val="DefaultParagraphFont"/>
    <w:link w:val="Footer"/>
    <w:uiPriority w:val="99"/>
    <w:rsid w:val="00E370FD"/>
    <w:rPr>
      <w:rFonts w:ascii="Arial" w:hAnsi="Arial"/>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002760" w:themeColor="accent1"/>
      <w:szCs w:val="20"/>
    </w:rPr>
  </w:style>
  <w:style w:type="character" w:customStyle="1" w:styleId="Heading9Char">
    <w:name w:val="Heading 9 Char"/>
    <w:aliases w:val="Numbered Table Char"/>
    <w:basedOn w:val="DefaultParagraphFont"/>
    <w:link w:val="Heading9"/>
    <w:uiPriority w:val="2"/>
    <w:rsid w:val="00D64AF7"/>
    <w:rPr>
      <w:rFonts w:ascii="Trebuchet MS" w:eastAsiaTheme="majorEastAsia" w:hAnsi="Trebuchet MS" w:cstheme="majorBidi"/>
      <w:b/>
      <w:iCs/>
      <w:color w:val="000000" w:themeColor="text1"/>
      <w:sz w:val="24"/>
      <w:szCs w:val="20"/>
    </w:rPr>
  </w:style>
  <w:style w:type="paragraph" w:customStyle="1" w:styleId="Numbered1111111">
    <w:name w:val="Numbered 1.1.1.1.1.1.1"/>
    <w:basedOn w:val="Heading7"/>
    <w:next w:val="Normal"/>
    <w:uiPriority w:val="2"/>
    <w:rsid w:val="00DA2E98"/>
    <w:pPr>
      <w:numPr>
        <w:ilvl w:val="6"/>
        <w:numId w:val="27"/>
      </w:numPr>
      <w:tabs>
        <w:tab w:val="left" w:pos="2041"/>
      </w:tabs>
      <w:ind w:left="2041" w:hanging="2041"/>
    </w:pPr>
  </w:style>
  <w:style w:type="paragraph" w:customStyle="1" w:styleId="Numbered11111111">
    <w:name w:val="Numbered 1.1.1.1.1.1.1.1"/>
    <w:basedOn w:val="Heading8"/>
    <w:next w:val="Normal"/>
    <w:uiPriority w:val="2"/>
    <w:rsid w:val="00DA2E98"/>
    <w:pPr>
      <w:numPr>
        <w:ilvl w:val="7"/>
        <w:numId w:val="27"/>
      </w:numPr>
      <w:tabs>
        <w:tab w:val="left" w:pos="2041"/>
      </w:tabs>
      <w:ind w:left="2041" w:hanging="2041"/>
    </w:pPr>
  </w:style>
  <w:style w:type="table" w:styleId="TableGrid">
    <w:name w:val="Table Grid"/>
    <w:aliases w:val="ACCC Table"/>
    <w:basedOn w:val="TableNormal"/>
    <w:uiPriority w:val="3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001C47" w:themeColor="accent1" w:themeShade="BF"/>
    </w:rPr>
    <w:tblPr>
      <w:tblStyleRowBandSize w:val="1"/>
      <w:tblStyleColBandSize w:val="1"/>
      <w:tblBorders>
        <w:top w:val="single" w:sz="8" w:space="0" w:color="002760" w:themeColor="accent1"/>
        <w:bottom w:val="single" w:sz="8" w:space="0" w:color="002760" w:themeColor="accent1"/>
      </w:tblBorders>
    </w:tblPr>
    <w:tblStylePr w:type="firstRow">
      <w:pPr>
        <w:spacing w:before="0" w:after="0" w:line="240" w:lineRule="auto"/>
      </w:pPr>
      <w:rPr>
        <w:b/>
        <w:bCs/>
      </w:rPr>
      <w:tblPr/>
      <w:tcPr>
        <w:tcBorders>
          <w:top w:val="single" w:sz="8" w:space="0" w:color="002760" w:themeColor="accent1"/>
          <w:left w:val="nil"/>
          <w:bottom w:val="single" w:sz="8" w:space="0" w:color="002760" w:themeColor="accent1"/>
          <w:right w:val="nil"/>
          <w:insideH w:val="nil"/>
          <w:insideV w:val="nil"/>
        </w:tcBorders>
      </w:tcPr>
    </w:tblStylePr>
    <w:tblStylePr w:type="lastRow">
      <w:pPr>
        <w:spacing w:before="0" w:after="0" w:line="240" w:lineRule="auto"/>
      </w:pPr>
      <w:rPr>
        <w:b/>
        <w:bCs/>
      </w:rPr>
      <w:tblPr/>
      <w:tcPr>
        <w:tcBorders>
          <w:top w:val="single" w:sz="8" w:space="0" w:color="002760" w:themeColor="accent1"/>
          <w:left w:val="nil"/>
          <w:bottom w:val="single" w:sz="8" w:space="0" w:color="00276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2FF" w:themeFill="accent1" w:themeFillTint="3F"/>
      </w:tcPr>
    </w:tblStylePr>
    <w:tblStylePr w:type="band1Horz">
      <w:tblPr/>
      <w:tcPr>
        <w:tcBorders>
          <w:left w:val="nil"/>
          <w:right w:val="nil"/>
          <w:insideH w:val="nil"/>
          <w:insideV w:val="nil"/>
        </w:tcBorders>
        <w:shd w:val="clear" w:color="auto" w:fill="98C2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179170" w:themeColor="accent3" w:themeShade="BF"/>
    </w:rPr>
    <w:tblPr>
      <w:tblStyleRowBandSize w:val="1"/>
      <w:tblStyleColBandSize w:val="1"/>
      <w:tblBorders>
        <w:top w:val="single" w:sz="8" w:space="0" w:color="1FC296" w:themeColor="accent3"/>
        <w:bottom w:val="single" w:sz="8" w:space="0" w:color="1FC296" w:themeColor="accent3"/>
      </w:tblBorders>
    </w:tblPr>
    <w:tblStylePr w:type="firstRow">
      <w:pPr>
        <w:spacing w:before="0" w:after="0" w:line="240" w:lineRule="auto"/>
      </w:pPr>
      <w:rPr>
        <w:b/>
        <w:bCs/>
      </w:rPr>
      <w:tblPr/>
      <w:tcPr>
        <w:tcBorders>
          <w:top w:val="single" w:sz="8" w:space="0" w:color="1FC296" w:themeColor="accent3"/>
          <w:left w:val="nil"/>
          <w:bottom w:val="single" w:sz="8" w:space="0" w:color="1FC296" w:themeColor="accent3"/>
          <w:right w:val="nil"/>
          <w:insideH w:val="nil"/>
          <w:insideV w:val="nil"/>
        </w:tcBorders>
      </w:tcPr>
    </w:tblStylePr>
    <w:tblStylePr w:type="lastRow">
      <w:pPr>
        <w:spacing w:before="0" w:after="0" w:line="240" w:lineRule="auto"/>
      </w:pPr>
      <w:rPr>
        <w:b/>
        <w:bCs/>
      </w:rPr>
      <w:tblPr/>
      <w:tcPr>
        <w:tcBorders>
          <w:top w:val="single" w:sz="8" w:space="0" w:color="1FC296" w:themeColor="accent3"/>
          <w:left w:val="nil"/>
          <w:bottom w:val="single" w:sz="8" w:space="0" w:color="1FC2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F5E7" w:themeFill="accent3" w:themeFillTint="3F"/>
      </w:tcPr>
    </w:tblStylePr>
    <w:tblStylePr w:type="band1Horz">
      <w:tblPr/>
      <w:tcPr>
        <w:tcBorders>
          <w:left w:val="nil"/>
          <w:right w:val="nil"/>
          <w:insideH w:val="nil"/>
          <w:insideV w:val="nil"/>
        </w:tcBorders>
        <w:shd w:val="clear" w:color="auto" w:fill="C2F5E7"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single" w:sz="8" w:space="0" w:color="0050C7" w:themeColor="accent1" w:themeTint="BF"/>
      </w:tblBorders>
    </w:tblPr>
    <w:tblStylePr w:type="firstRow">
      <w:pPr>
        <w:spacing w:before="0" w:after="0" w:line="240" w:lineRule="auto"/>
      </w:pPr>
      <w:rPr>
        <w:b/>
        <w:bCs/>
        <w:color w:val="FFFFFF" w:themeColor="background1"/>
      </w:rPr>
      <w:tblPr/>
      <w:tcPr>
        <w:tcBorders>
          <w:top w:val="single" w:sz="8"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nil"/>
          <w:insideV w:val="nil"/>
        </w:tcBorders>
        <w:shd w:val="clear" w:color="auto" w:fill="002760" w:themeFill="accent1"/>
      </w:tcPr>
    </w:tblStylePr>
    <w:tblStylePr w:type="lastRow">
      <w:pPr>
        <w:spacing w:before="0" w:after="0" w:line="240" w:lineRule="auto"/>
      </w:pPr>
      <w:rPr>
        <w:b/>
        <w:bCs/>
      </w:rPr>
      <w:tblPr/>
      <w:tcPr>
        <w:tcBorders>
          <w:top w:val="double" w:sz="6"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2FF" w:themeFill="accent1" w:themeFillTint="3F"/>
      </w:tcPr>
    </w:tblStylePr>
    <w:tblStylePr w:type="band1Horz">
      <w:tblPr/>
      <w:tcPr>
        <w:tcBorders>
          <w:insideH w:val="nil"/>
          <w:insideV w:val="nil"/>
        </w:tcBorders>
        <w:shd w:val="clear" w:color="auto" w:fill="98C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single" w:sz="8" w:space="0" w:color="376BF2" w:themeColor="accent2" w:themeTint="BF"/>
      </w:tblBorders>
    </w:tblPr>
    <w:tblStylePr w:type="firstRow">
      <w:pPr>
        <w:spacing w:before="0" w:after="0" w:line="240" w:lineRule="auto"/>
      </w:pPr>
      <w:rPr>
        <w:b/>
        <w:bCs/>
        <w:color w:val="FFFFFF" w:themeColor="background1"/>
      </w:rPr>
      <w:tblPr/>
      <w:tcPr>
        <w:tcBorders>
          <w:top w:val="single" w:sz="8"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nil"/>
          <w:insideV w:val="nil"/>
        </w:tcBorders>
        <w:shd w:val="clear" w:color="auto" w:fill="0D45D6" w:themeFill="accent2"/>
      </w:tcPr>
    </w:tblStylePr>
    <w:tblStylePr w:type="lastRow">
      <w:pPr>
        <w:spacing w:before="0" w:after="0" w:line="240" w:lineRule="auto"/>
      </w:pPr>
      <w:rPr>
        <w:b/>
        <w:bCs/>
      </w:rPr>
      <w:tblPr/>
      <w:tcPr>
        <w:tcBorders>
          <w:top w:val="double" w:sz="6"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nil"/>
          <w:insideV w:val="nil"/>
        </w:tcBorders>
      </w:tcPr>
    </w:tblStylePr>
    <w:tblStylePr w:type="firstCol">
      <w:rPr>
        <w:b/>
        <w:bCs/>
      </w:rPr>
    </w:tblStylePr>
    <w:tblStylePr w:type="lastCol">
      <w:rPr>
        <w:b/>
        <w:bCs/>
      </w:rPr>
    </w:tblStylePr>
    <w:tblStylePr w:type="band1Vert">
      <w:tblPr/>
      <w:tcPr>
        <w:shd w:val="clear" w:color="auto" w:fill="BDCEFB" w:themeFill="accent2" w:themeFillTint="3F"/>
      </w:tcPr>
    </w:tblStylePr>
    <w:tblStylePr w:type="band1Horz">
      <w:tblPr/>
      <w:tcPr>
        <w:tcBorders>
          <w:insideH w:val="nil"/>
          <w:insideV w:val="nil"/>
        </w:tcBorders>
        <w:shd w:val="clear" w:color="auto" w:fill="BDCEF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single" w:sz="8" w:space="0" w:color="46E1B7" w:themeColor="accent3" w:themeTint="BF"/>
      </w:tblBorders>
    </w:tblPr>
    <w:tblStylePr w:type="firstRow">
      <w:pPr>
        <w:spacing w:before="0" w:after="0" w:line="240" w:lineRule="auto"/>
      </w:pPr>
      <w:rPr>
        <w:b/>
        <w:bCs/>
        <w:color w:val="FFFFFF" w:themeColor="background1"/>
      </w:rPr>
      <w:tblPr/>
      <w:tcPr>
        <w:tcBorders>
          <w:top w:val="single" w:sz="8"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nil"/>
          <w:insideV w:val="nil"/>
        </w:tcBorders>
        <w:shd w:val="clear" w:color="auto" w:fill="1FC296" w:themeFill="accent3"/>
      </w:tcPr>
    </w:tblStylePr>
    <w:tblStylePr w:type="lastRow">
      <w:pPr>
        <w:spacing w:before="0" w:after="0" w:line="240" w:lineRule="auto"/>
      </w:pPr>
      <w:rPr>
        <w:b/>
        <w:bCs/>
      </w:rPr>
      <w:tblPr/>
      <w:tcPr>
        <w:tcBorders>
          <w:top w:val="double" w:sz="6"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nil"/>
          <w:insideV w:val="nil"/>
        </w:tcBorders>
      </w:tcPr>
    </w:tblStylePr>
    <w:tblStylePr w:type="firstCol">
      <w:rPr>
        <w:b/>
        <w:bCs/>
      </w:rPr>
    </w:tblStylePr>
    <w:tblStylePr w:type="lastCol">
      <w:rPr>
        <w:b/>
        <w:bCs/>
      </w:rPr>
    </w:tblStylePr>
    <w:tblStylePr w:type="band1Vert">
      <w:tblPr/>
      <w:tcPr>
        <w:shd w:val="clear" w:color="auto" w:fill="C2F5E7" w:themeFill="accent3" w:themeFillTint="3F"/>
      </w:tcPr>
    </w:tblStylePr>
    <w:tblStylePr w:type="band1Horz">
      <w:tblPr/>
      <w:tcPr>
        <w:tcBorders>
          <w:insideH w:val="nil"/>
          <w:insideV w:val="nil"/>
        </w:tcBorders>
        <w:shd w:val="clear" w:color="auto" w:fill="C2F5E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7F7F7F"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1FC296" w:themeColor="accent3"/>
        <w:left w:val="single" w:sz="8" w:space="0" w:color="1FC296" w:themeColor="accent3"/>
        <w:bottom w:val="single" w:sz="8" w:space="0" w:color="1FC296" w:themeColor="accent3"/>
        <w:right w:val="single" w:sz="8" w:space="0" w:color="1FC296" w:themeColor="accent3"/>
        <w:insideH w:val="single" w:sz="8" w:space="0" w:color="1FC296" w:themeColor="accent3"/>
        <w:insideV w:val="single" w:sz="8" w:space="0" w:color="1FC2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C296" w:themeColor="accent3"/>
          <w:left w:val="single" w:sz="8" w:space="0" w:color="1FC296" w:themeColor="accent3"/>
          <w:bottom w:val="single" w:sz="18" w:space="0" w:color="1FC296" w:themeColor="accent3"/>
          <w:right w:val="single" w:sz="8" w:space="0" w:color="1FC296" w:themeColor="accent3"/>
          <w:insideH w:val="nil"/>
          <w:insideV w:val="single" w:sz="8" w:space="0" w:color="1FC2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C296" w:themeColor="accent3"/>
          <w:left w:val="single" w:sz="8" w:space="0" w:color="1FC296" w:themeColor="accent3"/>
          <w:bottom w:val="single" w:sz="8" w:space="0" w:color="1FC296" w:themeColor="accent3"/>
          <w:right w:val="single" w:sz="8" w:space="0" w:color="1FC296" w:themeColor="accent3"/>
          <w:insideH w:val="nil"/>
          <w:insideV w:val="single" w:sz="8" w:space="0" w:color="1FC2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tblStylePr w:type="band1Vert">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shd w:val="clear" w:color="auto" w:fill="C2F5E7" w:themeFill="accent3" w:themeFillTint="3F"/>
      </w:tcPr>
    </w:tblStylePr>
    <w:tblStylePr w:type="band1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insideV w:val="single" w:sz="8" w:space="0" w:color="1FC296" w:themeColor="accent3"/>
        </w:tcBorders>
        <w:shd w:val="clear" w:color="auto" w:fill="C2F5E7" w:themeFill="accent3" w:themeFillTint="3F"/>
      </w:tcPr>
    </w:tblStylePr>
    <w:tblStylePr w:type="band2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insideV w:val="single" w:sz="8" w:space="0" w:color="1FC296"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935115"/>
    <w:pPr>
      <w:spacing w:before="720" w:after="120"/>
      <w:contextualSpacing/>
      <w:outlineLvl w:val="0"/>
    </w:pPr>
    <w:rPr>
      <w:rFonts w:eastAsiaTheme="majorEastAsia" w:cstheme="majorBidi"/>
      <w:b/>
      <w:color w:val="0D45D6" w:themeColor="accent2"/>
      <w:spacing w:val="5"/>
      <w:kern w:val="28"/>
      <w:sz w:val="72"/>
      <w:szCs w:val="52"/>
    </w:rPr>
  </w:style>
  <w:style w:type="character" w:customStyle="1" w:styleId="TitleChar">
    <w:name w:val="Title Char"/>
    <w:basedOn w:val="DefaultParagraphFont"/>
    <w:link w:val="Title"/>
    <w:uiPriority w:val="10"/>
    <w:rsid w:val="00935115"/>
    <w:rPr>
      <w:rFonts w:ascii="Trebuchet MS" w:eastAsiaTheme="majorEastAsia" w:hAnsi="Trebuchet MS" w:cstheme="majorBidi"/>
      <w:b/>
      <w:color w:val="0D45D6" w:themeColor="accent2"/>
      <w:spacing w:val="5"/>
      <w:kern w:val="28"/>
      <w:sz w:val="72"/>
      <w:szCs w:val="52"/>
    </w:rPr>
  </w:style>
  <w:style w:type="paragraph" w:customStyle="1" w:styleId="CoverDate">
    <w:name w:val="Cover Date"/>
    <w:rsid w:val="00935115"/>
    <w:rPr>
      <w:rFonts w:ascii="Trebuchet MS" w:hAnsi="Trebuchet MS"/>
      <w:color w:val="002760" w:themeColor="accent1"/>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002760" w:themeColor="accent1"/>
        <w:left w:val="single" w:sz="8" w:space="0" w:color="002760" w:themeColor="accent1"/>
        <w:bottom w:val="single" w:sz="8" w:space="0" w:color="002760" w:themeColor="accent1"/>
        <w:right w:val="single" w:sz="8" w:space="0" w:color="002760" w:themeColor="accent1"/>
      </w:tblBorders>
    </w:tblPr>
    <w:tblStylePr w:type="firstRow">
      <w:pPr>
        <w:spacing w:before="0" w:after="0" w:line="240" w:lineRule="auto"/>
      </w:pPr>
      <w:rPr>
        <w:b/>
        <w:bCs/>
        <w:color w:val="FFFFFF" w:themeColor="background1"/>
      </w:rPr>
      <w:tblPr/>
      <w:tcPr>
        <w:shd w:val="clear" w:color="auto" w:fill="002760" w:themeFill="accent1"/>
      </w:tcPr>
    </w:tblStylePr>
    <w:tblStylePr w:type="lastRow">
      <w:pPr>
        <w:spacing w:before="0" w:after="0" w:line="240" w:lineRule="auto"/>
      </w:pPr>
      <w:rPr>
        <w:b/>
        <w:bCs/>
      </w:rPr>
      <w:tblPr/>
      <w:tcPr>
        <w:tcBorders>
          <w:top w:val="double" w:sz="6" w:space="0" w:color="002760" w:themeColor="accent1"/>
          <w:left w:val="single" w:sz="8" w:space="0" w:color="002760" w:themeColor="accent1"/>
          <w:bottom w:val="single" w:sz="8" w:space="0" w:color="002760" w:themeColor="accent1"/>
          <w:right w:val="single" w:sz="8" w:space="0" w:color="002760" w:themeColor="accent1"/>
        </w:tcBorders>
      </w:tcPr>
    </w:tblStylePr>
    <w:tblStylePr w:type="firstCol">
      <w:rPr>
        <w:b/>
        <w:bCs/>
      </w:rPr>
    </w:tblStylePr>
    <w:tblStylePr w:type="lastCol">
      <w:rPr>
        <w:b/>
        <w:bCs/>
      </w:rPr>
    </w:tblStylePr>
    <w:tblStylePr w:type="band1Vert">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tblStylePr w:type="band1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1FC296" w:themeColor="accent3"/>
        <w:left w:val="single" w:sz="8" w:space="0" w:color="1FC296" w:themeColor="accent3"/>
        <w:bottom w:val="single" w:sz="8" w:space="0" w:color="1FC296" w:themeColor="accent3"/>
        <w:right w:val="single" w:sz="8" w:space="0" w:color="1FC296" w:themeColor="accent3"/>
      </w:tblBorders>
    </w:tblPr>
    <w:tblStylePr w:type="firstRow">
      <w:pPr>
        <w:spacing w:before="0" w:after="0" w:line="240" w:lineRule="auto"/>
      </w:pPr>
      <w:rPr>
        <w:b/>
        <w:bCs/>
        <w:color w:val="FFFFFF" w:themeColor="background1"/>
      </w:rPr>
      <w:tblPr/>
      <w:tcPr>
        <w:shd w:val="clear" w:color="auto" w:fill="1FC296" w:themeFill="accent3"/>
      </w:tcPr>
    </w:tblStylePr>
    <w:tblStylePr w:type="lastRow">
      <w:pPr>
        <w:spacing w:before="0" w:after="0" w:line="240" w:lineRule="auto"/>
      </w:pPr>
      <w:rPr>
        <w:b/>
        <w:bCs/>
      </w:rPr>
      <w:tblPr/>
      <w:tcPr>
        <w:tcBorders>
          <w:top w:val="double" w:sz="6" w:space="0" w:color="1FC296" w:themeColor="accent3"/>
          <w:left w:val="single" w:sz="8" w:space="0" w:color="1FC296" w:themeColor="accent3"/>
          <w:bottom w:val="single" w:sz="8" w:space="0" w:color="1FC296" w:themeColor="accent3"/>
          <w:right w:val="single" w:sz="8" w:space="0" w:color="1FC296" w:themeColor="accent3"/>
        </w:tcBorders>
      </w:tcPr>
    </w:tblStylePr>
    <w:tblStylePr w:type="firstCol">
      <w:rPr>
        <w:b/>
        <w:bCs/>
      </w:rPr>
    </w:tblStylePr>
    <w:tblStylePr w:type="lastCol">
      <w:rPr>
        <w:b/>
        <w:bCs/>
      </w:rPr>
    </w:tblStylePr>
    <w:tblStylePr w:type="band1Vert">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tblStylePr w:type="band1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99"/>
    <w:rsid w:val="008454B5"/>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99"/>
    <w:rsid w:val="008454B5"/>
    <w:rPr>
      <w:rFonts w:ascii="Trebuchet MS" w:hAnsi="Trebuchet MS"/>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935115"/>
    <w:pPr>
      <w:spacing w:before="360" w:after="120"/>
    </w:pPr>
    <w:rPr>
      <w:rFonts w:ascii="Trebuchet MS" w:hAnsi="Trebuchet MS"/>
      <w:color w:val="002760" w:themeColor="accent1"/>
      <w:sz w:val="52"/>
      <w:szCs w:val="52"/>
    </w:rPr>
  </w:style>
  <w:style w:type="character" w:customStyle="1" w:styleId="SubtitleChar">
    <w:name w:val="Subtitle Char"/>
    <w:basedOn w:val="DefaultParagraphFont"/>
    <w:link w:val="Subtitle"/>
    <w:uiPriority w:val="11"/>
    <w:rsid w:val="00935115"/>
    <w:rPr>
      <w:rFonts w:ascii="Trebuchet MS" w:hAnsi="Trebuchet MS"/>
      <w:color w:val="002760" w:themeColor="accent1"/>
      <w:sz w:val="52"/>
      <w:szCs w:val="52"/>
    </w:rPr>
  </w:style>
  <w:style w:type="table" w:styleId="LightShading-Accent4">
    <w:name w:val="Light Shading Accent 4"/>
    <w:basedOn w:val="TableNormal"/>
    <w:uiPriority w:val="60"/>
    <w:rsid w:val="00746E01"/>
    <w:pPr>
      <w:spacing w:before="0"/>
    </w:pPr>
    <w:rPr>
      <w:color w:val="5F5F5F" w:themeColor="accent4" w:themeShade="BF"/>
    </w:rPr>
    <w:tblPr>
      <w:tblStyleRowBandSize w:val="1"/>
      <w:tblStyleColBandSize w:val="1"/>
      <w:tblBorders>
        <w:top w:val="single" w:sz="8" w:space="0" w:color="7F7F7F" w:themeColor="accent4"/>
        <w:bottom w:val="single" w:sz="8" w:space="0" w:color="7F7F7F" w:themeColor="accent4"/>
      </w:tblBorders>
    </w:tblPr>
    <w:tblStylePr w:type="firstRow">
      <w:pPr>
        <w:spacing w:before="0" w:after="0" w:line="240" w:lineRule="auto"/>
      </w:pPr>
      <w:rPr>
        <w:b/>
        <w:bCs/>
      </w:rPr>
      <w:tblPr/>
      <w:tcPr>
        <w:tcBorders>
          <w:top w:val="single" w:sz="8" w:space="0" w:color="7F7F7F" w:themeColor="accent4"/>
          <w:left w:val="nil"/>
          <w:bottom w:val="single" w:sz="8" w:space="0" w:color="7F7F7F" w:themeColor="accent4"/>
          <w:right w:val="nil"/>
          <w:insideH w:val="nil"/>
          <w:insideV w:val="nil"/>
        </w:tcBorders>
      </w:tcPr>
    </w:tblStylePr>
    <w:tblStylePr w:type="lastRow">
      <w:pPr>
        <w:spacing w:before="0" w:after="0" w:line="240" w:lineRule="auto"/>
      </w:pPr>
      <w:rPr>
        <w:b/>
        <w:bCs/>
      </w:rPr>
      <w:tblPr/>
      <w:tcPr>
        <w:tcBorders>
          <w:top w:val="single" w:sz="8" w:space="0" w:color="7F7F7F" w:themeColor="accent4"/>
          <w:left w:val="nil"/>
          <w:bottom w:val="single" w:sz="8" w:space="0" w:color="7F7F7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6">
    <w:name w:val="Light Shading Accent 6"/>
    <w:basedOn w:val="TableNormal"/>
    <w:uiPriority w:val="60"/>
    <w:rsid w:val="00746E01"/>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0D45D6" w:themeColor="accent2"/>
        <w:left w:val="single" w:sz="8" w:space="0" w:color="0D45D6" w:themeColor="accent2"/>
        <w:bottom w:val="single" w:sz="8" w:space="0" w:color="0D45D6" w:themeColor="accent2"/>
        <w:right w:val="single" w:sz="8" w:space="0" w:color="0D45D6" w:themeColor="accent2"/>
      </w:tblBorders>
    </w:tblPr>
    <w:tblStylePr w:type="firstRow">
      <w:pPr>
        <w:spacing w:before="0" w:after="0" w:line="240" w:lineRule="auto"/>
      </w:pPr>
      <w:rPr>
        <w:b/>
        <w:bCs/>
        <w:color w:val="FFFFFF" w:themeColor="background1"/>
      </w:rPr>
      <w:tblPr/>
      <w:tcPr>
        <w:shd w:val="clear" w:color="auto" w:fill="0D45D6" w:themeFill="accent2"/>
      </w:tcPr>
    </w:tblStylePr>
    <w:tblStylePr w:type="lastRow">
      <w:pPr>
        <w:spacing w:before="0" w:after="0" w:line="240" w:lineRule="auto"/>
      </w:pPr>
      <w:rPr>
        <w:b/>
        <w:bCs/>
      </w:rPr>
      <w:tblPr/>
      <w:tcPr>
        <w:tcBorders>
          <w:top w:val="double" w:sz="6" w:space="0" w:color="0D45D6" w:themeColor="accent2"/>
          <w:left w:val="single" w:sz="8" w:space="0" w:color="0D45D6" w:themeColor="accent2"/>
          <w:bottom w:val="single" w:sz="8" w:space="0" w:color="0D45D6" w:themeColor="accent2"/>
          <w:right w:val="single" w:sz="8" w:space="0" w:color="0D45D6" w:themeColor="accent2"/>
        </w:tcBorders>
      </w:tcPr>
    </w:tblStylePr>
    <w:tblStylePr w:type="firstCol">
      <w:rPr>
        <w:b/>
        <w:bCs/>
      </w:rPr>
    </w:tblStylePr>
    <w:tblStylePr w:type="lastCol">
      <w:rPr>
        <w:b/>
        <w:bCs/>
      </w:rPr>
    </w:tblStylePr>
    <w:tblStylePr w:type="band1Vert">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tblStylePr w:type="band1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7F7F7F" w:themeColor="accent4"/>
        <w:left w:val="single" w:sz="8" w:space="0" w:color="7F7F7F" w:themeColor="accent4"/>
        <w:bottom w:val="single" w:sz="8" w:space="0" w:color="7F7F7F" w:themeColor="accent4"/>
        <w:right w:val="single" w:sz="8" w:space="0" w:color="7F7F7F" w:themeColor="accent4"/>
      </w:tblBorders>
    </w:tblPr>
    <w:tblStylePr w:type="firstRow">
      <w:pPr>
        <w:spacing w:before="0" w:after="0" w:line="240" w:lineRule="auto"/>
      </w:pPr>
      <w:rPr>
        <w:b/>
        <w:bCs/>
        <w:color w:val="FFFFFF" w:themeColor="background1"/>
      </w:rPr>
      <w:tblPr/>
      <w:tcPr>
        <w:shd w:val="clear" w:color="auto" w:fill="7F7F7F" w:themeFill="accent4"/>
      </w:tcPr>
    </w:tblStylePr>
    <w:tblStylePr w:type="lastRow">
      <w:pPr>
        <w:spacing w:before="0" w:after="0" w:line="240" w:lineRule="auto"/>
      </w:pPr>
      <w:rPr>
        <w:b/>
        <w:bCs/>
      </w:rPr>
      <w:tblPr/>
      <w:tcPr>
        <w:tcBorders>
          <w:top w:val="double" w:sz="6" w:space="0" w:color="7F7F7F" w:themeColor="accent4"/>
          <w:left w:val="single" w:sz="8" w:space="0" w:color="7F7F7F" w:themeColor="accent4"/>
          <w:bottom w:val="single" w:sz="8" w:space="0" w:color="7F7F7F" w:themeColor="accent4"/>
          <w:right w:val="single" w:sz="8" w:space="0" w:color="7F7F7F" w:themeColor="accent4"/>
        </w:tcBorders>
      </w:tcPr>
    </w:tblStylePr>
    <w:tblStylePr w:type="firstCol">
      <w:rPr>
        <w:b/>
        <w:bCs/>
      </w:rPr>
    </w:tblStylePr>
    <w:tblStylePr w:type="lastCol">
      <w:rPr>
        <w:b/>
        <w:bCs/>
      </w:rPr>
    </w:tblStylePr>
    <w:tblStylePr w:type="band1Vert">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tblStylePr w:type="band1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002760" w:themeColor="accent1"/>
        <w:left w:val="single" w:sz="8" w:space="0" w:color="002760" w:themeColor="accent1"/>
        <w:bottom w:val="single" w:sz="8" w:space="0" w:color="002760" w:themeColor="accent1"/>
        <w:right w:val="single" w:sz="8" w:space="0" w:color="002760" w:themeColor="accent1"/>
        <w:insideH w:val="single" w:sz="8" w:space="0" w:color="002760" w:themeColor="accent1"/>
        <w:insideV w:val="single" w:sz="8" w:space="0" w:color="00276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760" w:themeColor="accent1"/>
          <w:left w:val="single" w:sz="8" w:space="0" w:color="002760" w:themeColor="accent1"/>
          <w:bottom w:val="single" w:sz="18" w:space="0" w:color="002760" w:themeColor="accent1"/>
          <w:right w:val="single" w:sz="8" w:space="0" w:color="002760" w:themeColor="accent1"/>
          <w:insideH w:val="nil"/>
          <w:insideV w:val="single" w:sz="8" w:space="0" w:color="00276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760" w:themeColor="accent1"/>
          <w:left w:val="single" w:sz="8" w:space="0" w:color="002760" w:themeColor="accent1"/>
          <w:bottom w:val="single" w:sz="8" w:space="0" w:color="002760" w:themeColor="accent1"/>
          <w:right w:val="single" w:sz="8" w:space="0" w:color="002760" w:themeColor="accent1"/>
          <w:insideH w:val="nil"/>
          <w:insideV w:val="single" w:sz="8" w:space="0" w:color="00276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tblStylePr w:type="band1Vert">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shd w:val="clear" w:color="auto" w:fill="98C2FF" w:themeFill="accent1" w:themeFillTint="3F"/>
      </w:tcPr>
    </w:tblStylePr>
    <w:tblStylePr w:type="band1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insideV w:val="single" w:sz="8" w:space="0" w:color="002760" w:themeColor="accent1"/>
        </w:tcBorders>
        <w:shd w:val="clear" w:color="auto" w:fill="98C2FF" w:themeFill="accent1" w:themeFillTint="3F"/>
      </w:tcPr>
    </w:tblStylePr>
    <w:tblStylePr w:type="band2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insideV w:val="single" w:sz="8" w:space="0" w:color="002760"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0D45D6" w:themeColor="accent2"/>
        <w:left w:val="single" w:sz="8" w:space="0" w:color="0D45D6" w:themeColor="accent2"/>
        <w:bottom w:val="single" w:sz="8" w:space="0" w:color="0D45D6" w:themeColor="accent2"/>
        <w:right w:val="single" w:sz="8" w:space="0" w:color="0D45D6" w:themeColor="accent2"/>
        <w:insideH w:val="single" w:sz="8" w:space="0" w:color="0D45D6" w:themeColor="accent2"/>
        <w:insideV w:val="single" w:sz="8" w:space="0" w:color="0D45D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45D6" w:themeColor="accent2"/>
          <w:left w:val="single" w:sz="8" w:space="0" w:color="0D45D6" w:themeColor="accent2"/>
          <w:bottom w:val="single" w:sz="18" w:space="0" w:color="0D45D6" w:themeColor="accent2"/>
          <w:right w:val="single" w:sz="8" w:space="0" w:color="0D45D6" w:themeColor="accent2"/>
          <w:insideH w:val="nil"/>
          <w:insideV w:val="single" w:sz="8" w:space="0" w:color="0D45D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45D6" w:themeColor="accent2"/>
          <w:left w:val="single" w:sz="8" w:space="0" w:color="0D45D6" w:themeColor="accent2"/>
          <w:bottom w:val="single" w:sz="8" w:space="0" w:color="0D45D6" w:themeColor="accent2"/>
          <w:right w:val="single" w:sz="8" w:space="0" w:color="0D45D6" w:themeColor="accent2"/>
          <w:insideH w:val="nil"/>
          <w:insideV w:val="single" w:sz="8" w:space="0" w:color="0D45D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tblStylePr w:type="band1Vert">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shd w:val="clear" w:color="auto" w:fill="BDCEFB" w:themeFill="accent2" w:themeFillTint="3F"/>
      </w:tcPr>
    </w:tblStylePr>
    <w:tblStylePr w:type="band1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insideV w:val="single" w:sz="8" w:space="0" w:color="0D45D6" w:themeColor="accent2"/>
        </w:tcBorders>
        <w:shd w:val="clear" w:color="auto" w:fill="BDCEFB" w:themeFill="accent2" w:themeFillTint="3F"/>
      </w:tcPr>
    </w:tblStylePr>
    <w:tblStylePr w:type="band2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insideV w:val="single" w:sz="8" w:space="0" w:color="0D45D6"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7F7F7F" w:themeColor="accent4"/>
        <w:left w:val="single" w:sz="8" w:space="0" w:color="7F7F7F" w:themeColor="accent4"/>
        <w:bottom w:val="single" w:sz="8" w:space="0" w:color="7F7F7F" w:themeColor="accent4"/>
        <w:right w:val="single" w:sz="8" w:space="0" w:color="7F7F7F" w:themeColor="accent4"/>
        <w:insideH w:val="single" w:sz="8" w:space="0" w:color="7F7F7F" w:themeColor="accent4"/>
        <w:insideV w:val="single" w:sz="8" w:space="0" w:color="7F7F7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4"/>
          <w:left w:val="single" w:sz="8" w:space="0" w:color="7F7F7F" w:themeColor="accent4"/>
          <w:bottom w:val="single" w:sz="18" w:space="0" w:color="7F7F7F" w:themeColor="accent4"/>
          <w:right w:val="single" w:sz="8" w:space="0" w:color="7F7F7F" w:themeColor="accent4"/>
          <w:insideH w:val="nil"/>
          <w:insideV w:val="single" w:sz="8" w:space="0" w:color="7F7F7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4"/>
          <w:left w:val="single" w:sz="8" w:space="0" w:color="7F7F7F" w:themeColor="accent4"/>
          <w:bottom w:val="single" w:sz="8" w:space="0" w:color="7F7F7F" w:themeColor="accent4"/>
          <w:right w:val="single" w:sz="8" w:space="0" w:color="7F7F7F" w:themeColor="accent4"/>
          <w:insideH w:val="nil"/>
          <w:insideV w:val="single" w:sz="8" w:space="0" w:color="7F7F7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tblStylePr w:type="band1Vert">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shd w:val="clear" w:color="auto" w:fill="DFDFDF" w:themeFill="accent4" w:themeFillTint="3F"/>
      </w:tcPr>
    </w:tblStylePr>
    <w:tblStylePr w:type="band1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insideV w:val="single" w:sz="8" w:space="0" w:color="7F7F7F" w:themeColor="accent4"/>
        </w:tcBorders>
        <w:shd w:val="clear" w:color="auto" w:fill="DFDFDF" w:themeFill="accent4" w:themeFillTint="3F"/>
      </w:tcPr>
    </w:tblStylePr>
    <w:tblStylePr w:type="band2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insideV w:val="single" w:sz="8" w:space="0" w:color="7F7F7F"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paragraph" w:customStyle="1" w:styleId="HeaderRight">
    <w:name w:val="Header Right"/>
    <w:basedOn w:val="Header"/>
    <w:uiPriority w:val="35"/>
    <w:qFormat/>
    <w:rsid w:val="00E370FD"/>
    <w:pPr>
      <w:tabs>
        <w:tab w:val="clear" w:pos="4513"/>
        <w:tab w:val="clear" w:pos="9026"/>
        <w:tab w:val="center" w:pos="4320"/>
        <w:tab w:val="right" w:pos="8640"/>
      </w:tabs>
      <w:spacing w:before="0" w:after="200"/>
      <w:jc w:val="right"/>
    </w:pPr>
    <w:rPr>
      <w:rFonts w:cs="Times New Roman"/>
      <w:szCs w:val="20"/>
      <w:lang w:val="en-US" w:eastAsia="ja-JP"/>
    </w:rPr>
  </w:style>
  <w:style w:type="paragraph" w:customStyle="1" w:styleId="Numbered111111111">
    <w:name w:val="Numbered 1.1.1.1.1.1.1.1.1"/>
    <w:basedOn w:val="Heading9"/>
    <w:next w:val="Normal"/>
    <w:uiPriority w:val="2"/>
    <w:rsid w:val="00DA2E98"/>
    <w:pPr>
      <w:numPr>
        <w:ilvl w:val="8"/>
        <w:numId w:val="27"/>
      </w:numPr>
      <w:tabs>
        <w:tab w:val="left" w:pos="2381"/>
      </w:tabs>
      <w:ind w:left="2381" w:hanging="2381"/>
    </w:pPr>
    <w:rPr>
      <w:sz w:val="20"/>
    </w:r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3"/>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table" w:customStyle="1" w:styleId="ACCCTable1">
    <w:name w:val="ACCC Table1"/>
    <w:basedOn w:val="TableNormal"/>
    <w:next w:val="TableGrid"/>
    <w:uiPriority w:val="59"/>
    <w:rsid w:val="000E3A2E"/>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F353FD"/>
    <w:rPr>
      <w:rFonts w:ascii="Trebuchet MS" w:hAnsi="Trebuchet MS"/>
      <w:sz w:val="16"/>
      <w:vertAlign w:val="superscript"/>
    </w:rPr>
  </w:style>
  <w:style w:type="paragraph" w:customStyle="1" w:styleId="Numberedparagraph11">
    <w:name w:val="Numbered paragraph 1.1"/>
    <w:basedOn w:val="Normal"/>
    <w:qFormat/>
    <w:rsid w:val="00C61431"/>
    <w:pPr>
      <w:tabs>
        <w:tab w:val="left" w:pos="1021"/>
      </w:tabs>
      <w:spacing w:line="240" w:lineRule="atLeast"/>
      <w:ind w:left="680" w:hanging="680"/>
    </w:pPr>
    <w:rPr>
      <w:rFonts w:eastAsiaTheme="majorEastAsia" w:cs="Arial"/>
      <w:szCs w:val="26"/>
    </w:rPr>
  </w:style>
  <w:style w:type="character" w:customStyle="1" w:styleId="Numbered1Char">
    <w:name w:val="Numbered 1 Char"/>
    <w:basedOn w:val="Heading1Char"/>
    <w:link w:val="Numbered1"/>
    <w:rsid w:val="00F14CEC"/>
    <w:rPr>
      <w:rFonts w:ascii="Trebuchet MS" w:eastAsiaTheme="majorEastAsia" w:hAnsi="Trebuchet MS" w:cstheme="majorBidi"/>
      <w:bCs/>
      <w:color w:val="0D45D6" w:themeColor="accent2"/>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2"/>
      </w:numPr>
      <w:tabs>
        <w:tab w:val="left" w:pos="680"/>
      </w:tabs>
      <w:spacing w:before="120"/>
    </w:pPr>
    <w:rPr>
      <w:rFonts w:ascii="Arial" w:hAnsi="Arial"/>
    </w:rPr>
  </w:style>
  <w:style w:type="paragraph" w:customStyle="1" w:styleId="Listalphabet3">
    <w:name w:val="List alphabet 3"/>
    <w:rsid w:val="00CF799E"/>
    <w:pPr>
      <w:numPr>
        <w:numId w:val="18"/>
      </w:numPr>
      <w:tabs>
        <w:tab w:val="left" w:pos="1021"/>
      </w:tabs>
      <w:spacing w:before="120"/>
    </w:pPr>
    <w:rPr>
      <w:rFonts w:ascii="Arial" w:hAnsi="Arial"/>
    </w:rPr>
  </w:style>
  <w:style w:type="paragraph" w:customStyle="1" w:styleId="Listalphabet4">
    <w:name w:val="List alphabet 4"/>
    <w:rsid w:val="00CF799E"/>
    <w:pPr>
      <w:numPr>
        <w:numId w:val="19"/>
      </w:numPr>
      <w:tabs>
        <w:tab w:val="left" w:pos="1361"/>
      </w:tabs>
      <w:spacing w:before="120"/>
    </w:pPr>
    <w:rPr>
      <w:rFonts w:ascii="Arial" w:hAnsi="Arial"/>
    </w:rPr>
  </w:style>
  <w:style w:type="paragraph" w:customStyle="1" w:styleId="Listalphabet5">
    <w:name w:val="List alphabet 5"/>
    <w:rsid w:val="00CF799E"/>
    <w:pPr>
      <w:numPr>
        <w:numId w:val="20"/>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1"/>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370FD"/>
    <w:rPr>
      <w:smallCaps/>
      <w:color w:val="auto"/>
      <w:u w:val="single"/>
    </w:rPr>
  </w:style>
  <w:style w:type="paragraph" w:customStyle="1" w:styleId="ListLegal">
    <w:name w:val="List Legal"/>
    <w:basedOn w:val="ListParagraph"/>
    <w:rsid w:val="00CF799E"/>
    <w:pPr>
      <w:numPr>
        <w:numId w:val="24"/>
      </w:numPr>
      <w:tabs>
        <w:tab w:val="clear" w:pos="340"/>
        <w:tab w:val="left" w:pos="680"/>
      </w:tabs>
    </w:pPr>
  </w:style>
  <w:style w:type="paragraph" w:customStyle="1" w:styleId="ListLegal2">
    <w:name w:val="List Legal 2"/>
    <w:basedOn w:val="ListLegal"/>
    <w:rsid w:val="00C06739"/>
    <w:pPr>
      <w:numPr>
        <w:numId w:val="15"/>
      </w:numPr>
      <w:tabs>
        <w:tab w:val="clear" w:pos="680"/>
        <w:tab w:val="left" w:pos="1021"/>
      </w:tabs>
    </w:pPr>
  </w:style>
  <w:style w:type="paragraph" w:customStyle="1" w:styleId="ListLegal3">
    <w:name w:val="List Legal 3"/>
    <w:basedOn w:val="ListNumber3"/>
    <w:rsid w:val="00CF799E"/>
    <w:pPr>
      <w:numPr>
        <w:numId w:val="14"/>
      </w:numPr>
      <w:tabs>
        <w:tab w:val="clear" w:pos="1021"/>
        <w:tab w:val="left" w:pos="1361"/>
      </w:tabs>
    </w:pPr>
  </w:style>
  <w:style w:type="paragraph" w:customStyle="1" w:styleId="ListLegal4">
    <w:name w:val="List Legal 4"/>
    <w:basedOn w:val="ListLegal3"/>
    <w:rsid w:val="00CF799E"/>
    <w:pPr>
      <w:numPr>
        <w:numId w:val="16"/>
      </w:numPr>
      <w:tabs>
        <w:tab w:val="clear" w:pos="1361"/>
        <w:tab w:val="left" w:pos="1701"/>
      </w:tabs>
    </w:pPr>
  </w:style>
  <w:style w:type="paragraph" w:customStyle="1" w:styleId="ListLegal5">
    <w:name w:val="List Legal 5"/>
    <w:basedOn w:val="ListLegal4"/>
    <w:rsid w:val="000F2368"/>
    <w:pPr>
      <w:numPr>
        <w:numId w:val="25"/>
      </w:numPr>
      <w:tabs>
        <w:tab w:val="clear" w:pos="1701"/>
        <w:tab w:val="left" w:pos="2041"/>
      </w:tabs>
    </w:pPr>
  </w:style>
  <w:style w:type="paragraph" w:customStyle="1" w:styleId="LegalNumbering">
    <w:name w:val="Legal Numbering"/>
    <w:basedOn w:val="Normal"/>
    <w:qFormat/>
    <w:rsid w:val="0002115F"/>
    <w:pPr>
      <w:numPr>
        <w:numId w:val="17"/>
      </w:numPr>
      <w:tabs>
        <w:tab w:val="left" w:pos="340"/>
        <w:tab w:val="left" w:pos="680"/>
        <w:tab w:val="left" w:pos="1021"/>
        <w:tab w:val="left" w:pos="1361"/>
      </w:tabs>
    </w:pPr>
  </w:style>
  <w:style w:type="table" w:customStyle="1" w:styleId="LightShading11">
    <w:name w:val="Light Shading11"/>
    <w:basedOn w:val="TableNormal"/>
    <w:next w:val="LightShading"/>
    <w:uiPriority w:val="60"/>
    <w:rsid w:val="00687F39"/>
    <w:pPr>
      <w:spacing w:before="120" w:after="120"/>
    </w:pPr>
    <w:rPr>
      <w:color w:val="000000" w:themeColor="text1" w:themeShade="BF"/>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b w:val="0"/>
        <w:bCs/>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style>
  <w:style w:type="paragraph" w:customStyle="1" w:styleId="Bullet">
    <w:name w:val="Bullet"/>
    <w:aliases w:val="Body,Bullet + line,b,b + line,b1,level 1,bulleted,BodyNum,Bullet Char1,Bullet Char1 Char Char Char Char,b1 Char Char Char,Bullet Char1 Char Char Char Char Char,Bullet Char1 Char Char Char"/>
    <w:basedOn w:val="Normal"/>
    <w:link w:val="BulletChar"/>
    <w:qFormat/>
    <w:rsid w:val="00365C10"/>
    <w:pPr>
      <w:numPr>
        <w:numId w:val="28"/>
      </w:numPr>
      <w:spacing w:before="0" w:after="160" w:line="259" w:lineRule="auto"/>
    </w:pPr>
    <w:rPr>
      <w:rFonts w:asciiTheme="minorHAnsi" w:hAnsiTheme="minorHAnsi"/>
    </w:rPr>
  </w:style>
  <w:style w:type="character" w:customStyle="1" w:styleId="BulletChar">
    <w:name w:val="Bullet Char"/>
    <w:aliases w:val="b Char,b1 Char,b + line Char,Body Char,level 1 Char,Bullet + line Char,b + line Char Char,b Char Char,Bullets Char,L Char,List Paragraph Char,List Paragraph1 Char,List Paragraph11 Char,List Paragraph2 Char,Number Char,Recommendation Char"/>
    <w:basedOn w:val="DefaultParagraphFont"/>
    <w:link w:val="Bullet"/>
    <w:qFormat/>
    <w:rsid w:val="00365C10"/>
  </w:style>
  <w:style w:type="paragraph" w:customStyle="1" w:styleId="Dash">
    <w:name w:val="Dash"/>
    <w:basedOn w:val="Normal"/>
    <w:link w:val="DashChar"/>
    <w:qFormat/>
    <w:rsid w:val="00365C10"/>
    <w:pPr>
      <w:numPr>
        <w:ilvl w:val="1"/>
        <w:numId w:val="28"/>
      </w:numPr>
      <w:spacing w:before="0" w:after="160" w:line="259" w:lineRule="auto"/>
    </w:pPr>
    <w:rPr>
      <w:rFonts w:asciiTheme="minorHAnsi" w:hAnsiTheme="minorHAnsi"/>
    </w:rPr>
  </w:style>
  <w:style w:type="paragraph" w:customStyle="1" w:styleId="DoubleDot">
    <w:name w:val="Double Dot"/>
    <w:basedOn w:val="Normal"/>
    <w:qFormat/>
    <w:rsid w:val="00365C10"/>
    <w:pPr>
      <w:numPr>
        <w:ilvl w:val="2"/>
        <w:numId w:val="28"/>
      </w:numPr>
      <w:spacing w:before="0" w:after="160" w:line="259" w:lineRule="auto"/>
    </w:pPr>
    <w:rPr>
      <w:rFonts w:asciiTheme="minorHAnsi" w:hAnsiTheme="minorHAnsi"/>
    </w:rPr>
  </w:style>
  <w:style w:type="character" w:customStyle="1" w:styleId="DashChar">
    <w:name w:val="Dash Char"/>
    <w:basedOn w:val="DefaultParagraphFont"/>
    <w:link w:val="Dash"/>
    <w:rsid w:val="00365C10"/>
  </w:style>
  <w:style w:type="paragraph" w:customStyle="1" w:styleId="OutlineNumbered1">
    <w:name w:val="Outline Numbered 1"/>
    <w:basedOn w:val="Normal"/>
    <w:link w:val="OutlineNumbered1Char"/>
    <w:rsid w:val="00365C10"/>
    <w:pPr>
      <w:numPr>
        <w:numId w:val="30"/>
      </w:numPr>
      <w:spacing w:before="0"/>
    </w:pPr>
    <w:rPr>
      <w:rFonts w:asciiTheme="minorHAnsi" w:hAnsiTheme="minorHAnsi"/>
    </w:rPr>
  </w:style>
  <w:style w:type="character" w:customStyle="1" w:styleId="OutlineNumbered1Char">
    <w:name w:val="Outline Numbered 1 Char"/>
    <w:basedOn w:val="BulletChar"/>
    <w:link w:val="OutlineNumbered1"/>
    <w:rsid w:val="00365C10"/>
  </w:style>
  <w:style w:type="paragraph" w:customStyle="1" w:styleId="OutlineNumbered2">
    <w:name w:val="Outline Numbered 2"/>
    <w:basedOn w:val="Normal"/>
    <w:rsid w:val="00365C10"/>
    <w:pPr>
      <w:numPr>
        <w:ilvl w:val="1"/>
        <w:numId w:val="30"/>
      </w:numPr>
      <w:spacing w:before="0"/>
    </w:pPr>
    <w:rPr>
      <w:rFonts w:asciiTheme="minorHAnsi" w:hAnsiTheme="minorHAnsi"/>
    </w:rPr>
  </w:style>
  <w:style w:type="paragraph" w:customStyle="1" w:styleId="OutlineNumbered3">
    <w:name w:val="Outline Numbered 3"/>
    <w:basedOn w:val="Normal"/>
    <w:rsid w:val="00365C10"/>
    <w:pPr>
      <w:numPr>
        <w:ilvl w:val="2"/>
        <w:numId w:val="30"/>
      </w:numPr>
      <w:spacing w:before="0"/>
    </w:pPr>
    <w:rPr>
      <w:rFonts w:asciiTheme="minorHAnsi" w:hAnsiTheme="minorHAnsi"/>
    </w:rPr>
  </w:style>
  <w:style w:type="character" w:styleId="CommentReference">
    <w:name w:val="annotation reference"/>
    <w:basedOn w:val="DefaultParagraphFont"/>
    <w:uiPriority w:val="99"/>
    <w:semiHidden/>
    <w:unhideWhenUsed/>
    <w:rsid w:val="00365C10"/>
    <w:rPr>
      <w:sz w:val="16"/>
      <w:szCs w:val="16"/>
    </w:rPr>
  </w:style>
  <w:style w:type="paragraph" w:styleId="CommentText">
    <w:name w:val="annotation text"/>
    <w:basedOn w:val="Normal"/>
    <w:link w:val="CommentTextChar"/>
    <w:uiPriority w:val="99"/>
    <w:unhideWhenUsed/>
    <w:rsid w:val="00365C10"/>
    <w:pPr>
      <w:spacing w:before="0"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365C10"/>
    <w:rPr>
      <w:sz w:val="20"/>
      <w:szCs w:val="20"/>
    </w:rPr>
  </w:style>
  <w:style w:type="character" w:customStyle="1" w:styleId="subsectionChar">
    <w:name w:val="subsection Char"/>
    <w:aliases w:val="ss Char"/>
    <w:basedOn w:val="DefaultParagraphFont"/>
    <w:link w:val="subsection"/>
    <w:locked/>
    <w:rsid w:val="00365C10"/>
  </w:style>
  <w:style w:type="paragraph" w:customStyle="1" w:styleId="subsection">
    <w:name w:val="subsection"/>
    <w:aliases w:val="ss,Subsection,t_Main"/>
    <w:basedOn w:val="Normal"/>
    <w:link w:val="subsectionChar"/>
    <w:rsid w:val="00365C10"/>
    <w:pPr>
      <w:spacing w:before="180"/>
      <w:ind w:left="1134" w:hanging="1134"/>
    </w:pPr>
    <w:rPr>
      <w:rFonts w:asciiTheme="minorHAnsi" w:hAnsiTheme="minorHAnsi"/>
    </w:rPr>
  </w:style>
  <w:style w:type="paragraph" w:styleId="NormalWeb">
    <w:name w:val="Normal (Web)"/>
    <w:basedOn w:val="Normal"/>
    <w:uiPriority w:val="99"/>
    <w:semiHidden/>
    <w:unhideWhenUsed/>
    <w:rsid w:val="00365C10"/>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39"/>
    <w:rsid w:val="00364CB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352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27BAF"/>
    <w:pPr>
      <w:spacing w:before="200" w:after="0"/>
    </w:pPr>
    <w:rPr>
      <w:rFonts w:ascii="Trebuchet MS" w:hAnsi="Trebuchet MS"/>
      <w:b/>
      <w:bCs/>
    </w:rPr>
  </w:style>
  <w:style w:type="character" w:customStyle="1" w:styleId="CommentSubjectChar">
    <w:name w:val="Comment Subject Char"/>
    <w:basedOn w:val="CommentTextChar"/>
    <w:link w:val="CommentSubject"/>
    <w:uiPriority w:val="99"/>
    <w:semiHidden/>
    <w:rsid w:val="00727BAF"/>
    <w:rPr>
      <w:rFonts w:ascii="Trebuchet MS" w:hAnsi="Trebuchet MS"/>
      <w:b/>
      <w:bCs/>
      <w:sz w:val="20"/>
      <w:szCs w:val="20"/>
    </w:rPr>
  </w:style>
  <w:style w:type="paragraph" w:styleId="Revision">
    <w:name w:val="Revision"/>
    <w:hidden/>
    <w:uiPriority w:val="99"/>
    <w:semiHidden/>
    <w:rsid w:val="00727BAF"/>
    <w:pPr>
      <w:spacing w:before="0"/>
    </w:pPr>
    <w:rPr>
      <w:rFonts w:ascii="Trebuchet MS" w:hAnsi="Trebuchet MS"/>
    </w:rPr>
  </w:style>
  <w:style w:type="character" w:styleId="FollowedHyperlink">
    <w:name w:val="FollowedHyperlink"/>
    <w:basedOn w:val="DefaultParagraphFont"/>
    <w:uiPriority w:val="99"/>
    <w:semiHidden/>
    <w:unhideWhenUsed/>
    <w:rsid w:val="00EA7255"/>
    <w:rPr>
      <w:color w:val="800080" w:themeColor="followedHyperlink"/>
      <w:u w:val="single"/>
    </w:rPr>
  </w:style>
  <w:style w:type="paragraph" w:customStyle="1" w:styleId="paragraph">
    <w:name w:val="paragraph"/>
    <w:basedOn w:val="Normal"/>
    <w:rsid w:val="001E5FBA"/>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sub">
    <w:name w:val="paragraphsub"/>
    <w:basedOn w:val="Normal"/>
    <w:rsid w:val="005C6DA6"/>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Normal-Numberedparagraphs">
    <w:name w:val="Normal - Numbered paragraphs"/>
    <w:basedOn w:val="Normal"/>
    <w:link w:val="Normal-NumberedparagraphsChar"/>
    <w:qFormat/>
    <w:rsid w:val="007F44BE"/>
    <w:pPr>
      <w:numPr>
        <w:numId w:val="36"/>
      </w:numPr>
      <w:spacing w:before="0" w:after="240" w:line="259" w:lineRule="auto"/>
    </w:pPr>
    <w:rPr>
      <w:rFonts w:asciiTheme="minorHAnsi" w:hAnsiTheme="minorHAnsi"/>
    </w:rPr>
  </w:style>
  <w:style w:type="character" w:customStyle="1" w:styleId="Normal-NumberedparagraphsChar">
    <w:name w:val="Normal - Numbered paragraphs Char"/>
    <w:basedOn w:val="DefaultParagraphFont"/>
    <w:link w:val="Normal-Numberedparagraphs"/>
    <w:rsid w:val="000E4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3520">
      <w:bodyDiv w:val="1"/>
      <w:marLeft w:val="0"/>
      <w:marRight w:val="0"/>
      <w:marTop w:val="0"/>
      <w:marBottom w:val="0"/>
      <w:divBdr>
        <w:top w:val="none" w:sz="0" w:space="0" w:color="auto"/>
        <w:left w:val="none" w:sz="0" w:space="0" w:color="auto"/>
        <w:bottom w:val="none" w:sz="0" w:space="0" w:color="auto"/>
        <w:right w:val="none" w:sz="0" w:space="0" w:color="auto"/>
      </w:divBdr>
    </w:div>
    <w:div w:id="49576043">
      <w:bodyDiv w:val="1"/>
      <w:marLeft w:val="0"/>
      <w:marRight w:val="0"/>
      <w:marTop w:val="0"/>
      <w:marBottom w:val="0"/>
      <w:divBdr>
        <w:top w:val="none" w:sz="0" w:space="0" w:color="auto"/>
        <w:left w:val="none" w:sz="0" w:space="0" w:color="auto"/>
        <w:bottom w:val="none" w:sz="0" w:space="0" w:color="auto"/>
        <w:right w:val="none" w:sz="0" w:space="0" w:color="auto"/>
      </w:divBdr>
    </w:div>
    <w:div w:id="141312075">
      <w:bodyDiv w:val="1"/>
      <w:marLeft w:val="0"/>
      <w:marRight w:val="0"/>
      <w:marTop w:val="0"/>
      <w:marBottom w:val="0"/>
      <w:divBdr>
        <w:top w:val="none" w:sz="0" w:space="0" w:color="auto"/>
        <w:left w:val="none" w:sz="0" w:space="0" w:color="auto"/>
        <w:bottom w:val="none" w:sz="0" w:space="0" w:color="auto"/>
        <w:right w:val="none" w:sz="0" w:space="0" w:color="auto"/>
      </w:divBdr>
    </w:div>
    <w:div w:id="238950212">
      <w:bodyDiv w:val="1"/>
      <w:marLeft w:val="0"/>
      <w:marRight w:val="0"/>
      <w:marTop w:val="0"/>
      <w:marBottom w:val="0"/>
      <w:divBdr>
        <w:top w:val="none" w:sz="0" w:space="0" w:color="auto"/>
        <w:left w:val="none" w:sz="0" w:space="0" w:color="auto"/>
        <w:bottom w:val="none" w:sz="0" w:space="0" w:color="auto"/>
        <w:right w:val="none" w:sz="0" w:space="0" w:color="auto"/>
      </w:divBdr>
    </w:div>
    <w:div w:id="307708208">
      <w:bodyDiv w:val="1"/>
      <w:marLeft w:val="0"/>
      <w:marRight w:val="0"/>
      <w:marTop w:val="0"/>
      <w:marBottom w:val="0"/>
      <w:divBdr>
        <w:top w:val="none" w:sz="0" w:space="0" w:color="auto"/>
        <w:left w:val="none" w:sz="0" w:space="0" w:color="auto"/>
        <w:bottom w:val="none" w:sz="0" w:space="0" w:color="auto"/>
        <w:right w:val="none" w:sz="0" w:space="0" w:color="auto"/>
      </w:divBdr>
    </w:div>
    <w:div w:id="376009865">
      <w:bodyDiv w:val="1"/>
      <w:marLeft w:val="0"/>
      <w:marRight w:val="0"/>
      <w:marTop w:val="0"/>
      <w:marBottom w:val="0"/>
      <w:divBdr>
        <w:top w:val="none" w:sz="0" w:space="0" w:color="auto"/>
        <w:left w:val="none" w:sz="0" w:space="0" w:color="auto"/>
        <w:bottom w:val="none" w:sz="0" w:space="0" w:color="auto"/>
        <w:right w:val="none" w:sz="0" w:space="0" w:color="auto"/>
      </w:divBdr>
    </w:div>
    <w:div w:id="413479939">
      <w:bodyDiv w:val="1"/>
      <w:marLeft w:val="0"/>
      <w:marRight w:val="0"/>
      <w:marTop w:val="0"/>
      <w:marBottom w:val="0"/>
      <w:divBdr>
        <w:top w:val="none" w:sz="0" w:space="0" w:color="auto"/>
        <w:left w:val="none" w:sz="0" w:space="0" w:color="auto"/>
        <w:bottom w:val="none" w:sz="0" w:space="0" w:color="auto"/>
        <w:right w:val="none" w:sz="0" w:space="0" w:color="auto"/>
      </w:divBdr>
    </w:div>
    <w:div w:id="424109403">
      <w:bodyDiv w:val="1"/>
      <w:marLeft w:val="0"/>
      <w:marRight w:val="0"/>
      <w:marTop w:val="0"/>
      <w:marBottom w:val="0"/>
      <w:divBdr>
        <w:top w:val="none" w:sz="0" w:space="0" w:color="auto"/>
        <w:left w:val="none" w:sz="0" w:space="0" w:color="auto"/>
        <w:bottom w:val="none" w:sz="0" w:space="0" w:color="auto"/>
        <w:right w:val="none" w:sz="0" w:space="0" w:color="auto"/>
      </w:divBdr>
    </w:div>
    <w:div w:id="509681487">
      <w:bodyDiv w:val="1"/>
      <w:marLeft w:val="0"/>
      <w:marRight w:val="0"/>
      <w:marTop w:val="0"/>
      <w:marBottom w:val="0"/>
      <w:divBdr>
        <w:top w:val="none" w:sz="0" w:space="0" w:color="auto"/>
        <w:left w:val="none" w:sz="0" w:space="0" w:color="auto"/>
        <w:bottom w:val="none" w:sz="0" w:space="0" w:color="auto"/>
        <w:right w:val="none" w:sz="0" w:space="0" w:color="auto"/>
      </w:divBdr>
    </w:div>
    <w:div w:id="754740277">
      <w:bodyDiv w:val="1"/>
      <w:marLeft w:val="0"/>
      <w:marRight w:val="0"/>
      <w:marTop w:val="0"/>
      <w:marBottom w:val="0"/>
      <w:divBdr>
        <w:top w:val="none" w:sz="0" w:space="0" w:color="auto"/>
        <w:left w:val="none" w:sz="0" w:space="0" w:color="auto"/>
        <w:bottom w:val="none" w:sz="0" w:space="0" w:color="auto"/>
        <w:right w:val="none" w:sz="0" w:space="0" w:color="auto"/>
      </w:divBdr>
    </w:div>
    <w:div w:id="759061535">
      <w:bodyDiv w:val="1"/>
      <w:marLeft w:val="0"/>
      <w:marRight w:val="0"/>
      <w:marTop w:val="0"/>
      <w:marBottom w:val="0"/>
      <w:divBdr>
        <w:top w:val="none" w:sz="0" w:space="0" w:color="auto"/>
        <w:left w:val="none" w:sz="0" w:space="0" w:color="auto"/>
        <w:bottom w:val="none" w:sz="0" w:space="0" w:color="auto"/>
        <w:right w:val="none" w:sz="0" w:space="0" w:color="auto"/>
      </w:divBdr>
    </w:div>
    <w:div w:id="944386202">
      <w:bodyDiv w:val="1"/>
      <w:marLeft w:val="0"/>
      <w:marRight w:val="0"/>
      <w:marTop w:val="0"/>
      <w:marBottom w:val="0"/>
      <w:divBdr>
        <w:top w:val="none" w:sz="0" w:space="0" w:color="auto"/>
        <w:left w:val="none" w:sz="0" w:space="0" w:color="auto"/>
        <w:bottom w:val="none" w:sz="0" w:space="0" w:color="auto"/>
        <w:right w:val="none" w:sz="0" w:space="0" w:color="auto"/>
      </w:divBdr>
    </w:div>
    <w:div w:id="954558805">
      <w:bodyDiv w:val="1"/>
      <w:marLeft w:val="0"/>
      <w:marRight w:val="0"/>
      <w:marTop w:val="0"/>
      <w:marBottom w:val="0"/>
      <w:divBdr>
        <w:top w:val="none" w:sz="0" w:space="0" w:color="auto"/>
        <w:left w:val="none" w:sz="0" w:space="0" w:color="auto"/>
        <w:bottom w:val="none" w:sz="0" w:space="0" w:color="auto"/>
        <w:right w:val="none" w:sz="0" w:space="0" w:color="auto"/>
      </w:divBdr>
    </w:div>
    <w:div w:id="1029910387">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086271572">
      <w:bodyDiv w:val="1"/>
      <w:marLeft w:val="0"/>
      <w:marRight w:val="0"/>
      <w:marTop w:val="0"/>
      <w:marBottom w:val="0"/>
      <w:divBdr>
        <w:top w:val="none" w:sz="0" w:space="0" w:color="auto"/>
        <w:left w:val="none" w:sz="0" w:space="0" w:color="auto"/>
        <w:bottom w:val="none" w:sz="0" w:space="0" w:color="auto"/>
        <w:right w:val="none" w:sz="0" w:space="0" w:color="auto"/>
      </w:divBdr>
    </w:div>
    <w:div w:id="1105463359">
      <w:bodyDiv w:val="1"/>
      <w:marLeft w:val="0"/>
      <w:marRight w:val="0"/>
      <w:marTop w:val="0"/>
      <w:marBottom w:val="0"/>
      <w:divBdr>
        <w:top w:val="none" w:sz="0" w:space="0" w:color="auto"/>
        <w:left w:val="none" w:sz="0" w:space="0" w:color="auto"/>
        <w:bottom w:val="none" w:sz="0" w:space="0" w:color="auto"/>
        <w:right w:val="none" w:sz="0" w:space="0" w:color="auto"/>
      </w:divBdr>
    </w:div>
    <w:div w:id="1117717656">
      <w:bodyDiv w:val="1"/>
      <w:marLeft w:val="0"/>
      <w:marRight w:val="0"/>
      <w:marTop w:val="0"/>
      <w:marBottom w:val="0"/>
      <w:divBdr>
        <w:top w:val="none" w:sz="0" w:space="0" w:color="auto"/>
        <w:left w:val="none" w:sz="0" w:space="0" w:color="auto"/>
        <w:bottom w:val="none" w:sz="0" w:space="0" w:color="auto"/>
        <w:right w:val="none" w:sz="0" w:space="0" w:color="auto"/>
      </w:divBdr>
    </w:div>
    <w:div w:id="1186402552">
      <w:bodyDiv w:val="1"/>
      <w:marLeft w:val="0"/>
      <w:marRight w:val="0"/>
      <w:marTop w:val="0"/>
      <w:marBottom w:val="0"/>
      <w:divBdr>
        <w:top w:val="none" w:sz="0" w:space="0" w:color="auto"/>
        <w:left w:val="none" w:sz="0" w:space="0" w:color="auto"/>
        <w:bottom w:val="none" w:sz="0" w:space="0" w:color="auto"/>
        <w:right w:val="none" w:sz="0" w:space="0" w:color="auto"/>
      </w:divBdr>
      <w:divsChild>
        <w:div w:id="1414811825">
          <w:marLeft w:val="0"/>
          <w:marRight w:val="0"/>
          <w:marTop w:val="0"/>
          <w:marBottom w:val="0"/>
          <w:divBdr>
            <w:top w:val="none" w:sz="0" w:space="0" w:color="auto"/>
            <w:left w:val="none" w:sz="0" w:space="0" w:color="auto"/>
            <w:bottom w:val="none" w:sz="0" w:space="0" w:color="auto"/>
            <w:right w:val="none" w:sz="0" w:space="0" w:color="auto"/>
          </w:divBdr>
          <w:divsChild>
            <w:div w:id="975529788">
              <w:marLeft w:val="0"/>
              <w:marRight w:val="0"/>
              <w:marTop w:val="0"/>
              <w:marBottom w:val="0"/>
              <w:divBdr>
                <w:top w:val="none" w:sz="0" w:space="0" w:color="auto"/>
                <w:left w:val="none" w:sz="0" w:space="0" w:color="auto"/>
                <w:bottom w:val="none" w:sz="0" w:space="0" w:color="auto"/>
                <w:right w:val="none" w:sz="0" w:space="0" w:color="auto"/>
              </w:divBdr>
            </w:div>
            <w:div w:id="27020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6044">
      <w:bodyDiv w:val="1"/>
      <w:marLeft w:val="0"/>
      <w:marRight w:val="0"/>
      <w:marTop w:val="0"/>
      <w:marBottom w:val="0"/>
      <w:divBdr>
        <w:top w:val="none" w:sz="0" w:space="0" w:color="auto"/>
        <w:left w:val="none" w:sz="0" w:space="0" w:color="auto"/>
        <w:bottom w:val="none" w:sz="0" w:space="0" w:color="auto"/>
        <w:right w:val="none" w:sz="0" w:space="0" w:color="auto"/>
      </w:divBdr>
    </w:div>
    <w:div w:id="1355039712">
      <w:bodyDiv w:val="1"/>
      <w:marLeft w:val="0"/>
      <w:marRight w:val="0"/>
      <w:marTop w:val="0"/>
      <w:marBottom w:val="0"/>
      <w:divBdr>
        <w:top w:val="none" w:sz="0" w:space="0" w:color="auto"/>
        <w:left w:val="none" w:sz="0" w:space="0" w:color="auto"/>
        <w:bottom w:val="none" w:sz="0" w:space="0" w:color="auto"/>
        <w:right w:val="none" w:sz="0" w:space="0" w:color="auto"/>
      </w:divBdr>
    </w:div>
    <w:div w:id="1445230762">
      <w:bodyDiv w:val="1"/>
      <w:marLeft w:val="0"/>
      <w:marRight w:val="0"/>
      <w:marTop w:val="0"/>
      <w:marBottom w:val="0"/>
      <w:divBdr>
        <w:top w:val="none" w:sz="0" w:space="0" w:color="auto"/>
        <w:left w:val="none" w:sz="0" w:space="0" w:color="auto"/>
        <w:bottom w:val="none" w:sz="0" w:space="0" w:color="auto"/>
        <w:right w:val="none" w:sz="0" w:space="0" w:color="auto"/>
      </w:divBdr>
    </w:div>
    <w:div w:id="1476415160">
      <w:bodyDiv w:val="1"/>
      <w:marLeft w:val="0"/>
      <w:marRight w:val="0"/>
      <w:marTop w:val="0"/>
      <w:marBottom w:val="0"/>
      <w:divBdr>
        <w:top w:val="none" w:sz="0" w:space="0" w:color="auto"/>
        <w:left w:val="none" w:sz="0" w:space="0" w:color="auto"/>
        <w:bottom w:val="none" w:sz="0" w:space="0" w:color="auto"/>
        <w:right w:val="none" w:sz="0" w:space="0" w:color="auto"/>
      </w:divBdr>
    </w:div>
    <w:div w:id="1540316503">
      <w:bodyDiv w:val="1"/>
      <w:marLeft w:val="0"/>
      <w:marRight w:val="0"/>
      <w:marTop w:val="0"/>
      <w:marBottom w:val="0"/>
      <w:divBdr>
        <w:top w:val="none" w:sz="0" w:space="0" w:color="auto"/>
        <w:left w:val="none" w:sz="0" w:space="0" w:color="auto"/>
        <w:bottom w:val="none" w:sz="0" w:space="0" w:color="auto"/>
        <w:right w:val="none" w:sz="0" w:space="0" w:color="auto"/>
      </w:divBdr>
    </w:div>
    <w:div w:id="1922636516">
      <w:bodyDiv w:val="1"/>
      <w:marLeft w:val="0"/>
      <w:marRight w:val="0"/>
      <w:marTop w:val="0"/>
      <w:marBottom w:val="0"/>
      <w:divBdr>
        <w:top w:val="none" w:sz="0" w:space="0" w:color="auto"/>
        <w:left w:val="none" w:sz="0" w:space="0" w:color="auto"/>
        <w:bottom w:val="none" w:sz="0" w:space="0" w:color="auto"/>
        <w:right w:val="none" w:sz="0" w:space="0" w:color="auto"/>
      </w:divBdr>
    </w:div>
    <w:div w:id="19433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diagramQuickStyle" Target="diagrams/quickStyle1.xml"/><Relationship Id="rId26" Type="http://schemas.openxmlformats.org/officeDocument/2006/relationships/hyperlink" Target="https://www.figma.com/proto/jHG3HstULWcr7KfCUWxFtD/WIP-%7C-Deign-paper-%7C-NBL?page-id=0%3A1&amp;node-id=18%3A4734&amp;viewport=1717%2C927%2C0.25&amp;scaling=scale-down&amp;starting-point-node-id=1%3A3263" TargetMode="External"/><Relationship Id="rId39" Type="http://schemas.openxmlformats.org/officeDocument/2006/relationships/hyperlink" Target="https://consumerdatastandardsaustralia.github.io/standards/" TargetMode="External"/><Relationship Id="rId21" Type="http://schemas.openxmlformats.org/officeDocument/2006/relationships/hyperlink" Target="https://www.legislation.gov.au/Series/F2020L00094" TargetMode="External"/><Relationship Id="rId34" Type="http://schemas.openxmlformats.org/officeDocument/2006/relationships/hyperlink" Target="https://consumerdatastandardsaustralia.github.io/standards/" TargetMode="External"/><Relationship Id="rId42" Type="http://schemas.openxmlformats.org/officeDocument/2006/relationships/hyperlink" Target="https://consumerdatastandardsaustralia.github.io/standards/" TargetMode="External"/><Relationship Id="rId47" Type="http://schemas.openxmlformats.org/officeDocument/2006/relationships/hyperlink" Target="https://consumerdatastandardsaustralia.github.io/standards/" TargetMode="External"/><Relationship Id="rId50"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diagramData" Target="diagrams/data1.xml"/><Relationship Id="rId29" Type="http://schemas.openxmlformats.org/officeDocument/2006/relationships/hyperlink" Target="https://github.com/ConsumerDataStandardsAustralia/standards-maintenance/issues" TargetMode="External"/><Relationship Id="rId11" Type="http://schemas.openxmlformats.org/officeDocument/2006/relationships/webSettings" Target="webSettings.xml"/><Relationship Id="rId24" Type="http://schemas.openxmlformats.org/officeDocument/2006/relationships/hyperlink" Target="https://miro.com/app/board/uXjVPD76GlY=/?share_link_id=854169446592" TargetMode="External"/><Relationship Id="rId32" Type="http://schemas.openxmlformats.org/officeDocument/2006/relationships/hyperlink" Target="https://consumerdatastandardsaustralia.github.io/standards/" TargetMode="External"/><Relationship Id="rId37" Type="http://schemas.openxmlformats.org/officeDocument/2006/relationships/hyperlink" Target="https://consumerdatastandardsaustralia.github.io/standards/" TargetMode="External"/><Relationship Id="rId40" Type="http://schemas.openxmlformats.org/officeDocument/2006/relationships/hyperlink" Target="https://consumerdatastandardsaustralia.github.io/standards/" TargetMode="External"/><Relationship Id="rId45" Type="http://schemas.openxmlformats.org/officeDocument/2006/relationships/hyperlink" Target="https://consumerdatastandardsaustralia.github.io/standards/"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github.com/ConsumerDataStandardsAustralia/standards/issues/278" TargetMode="External"/><Relationship Id="rId28" Type="http://schemas.openxmlformats.org/officeDocument/2006/relationships/hyperlink" Target="https://github.com/ConsumerDataStandardsAustralia/standards/issues" TargetMode="External"/><Relationship Id="rId36" Type="http://schemas.openxmlformats.org/officeDocument/2006/relationships/hyperlink" Target="https://download.asic.gov.au/media/3olo5aq5/rg271-published-2-september-2021.pdf"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diagramColors" Target="diagrams/colors1.xml"/><Relationship Id="rId31" Type="http://schemas.openxmlformats.org/officeDocument/2006/relationships/hyperlink" Target="https://cdr-support.zendesk.com/hc/en-us/articles/900003938166-White-Labelled-brands-in-the-CDR" TargetMode="External"/><Relationship Id="rId44" Type="http://schemas.openxmlformats.org/officeDocument/2006/relationships/hyperlink" Target="https://consumerdatastandardsaustralia.github.io/standard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data@treasury.gov.au" TargetMode="External"/><Relationship Id="rId27" Type="http://schemas.openxmlformats.org/officeDocument/2006/relationships/hyperlink" Target="https://consumerdatastandardsaustralia.github.io/standards/" TargetMode="External"/><Relationship Id="rId30" Type="http://schemas.openxmlformats.org/officeDocument/2006/relationships/hyperlink" Target="https://d61cds.notion.site/" TargetMode="External"/><Relationship Id="rId35" Type="http://schemas.openxmlformats.org/officeDocument/2006/relationships/hyperlink" Target="https://consumerdatastandardsaustralia.github.io/standards/?examples" TargetMode="External"/><Relationship Id="rId43" Type="http://schemas.openxmlformats.org/officeDocument/2006/relationships/hyperlink" Target="https://consumerdatastandardsaustralia.github.io/standards/" TargetMode="External"/><Relationship Id="rId48" Type="http://schemas.openxmlformats.org/officeDocument/2006/relationships/hyperlink" Target="https://d61cds.notion.site/d61cds/Consumer-Experience-Standards-and-Guidelines-dffe42d39d4942c5b4f2c7612ba4f6e0"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diagramLayout" Target="diagrams/layout1.xml"/><Relationship Id="rId25" Type="http://schemas.openxmlformats.org/officeDocument/2006/relationships/hyperlink" Target="https://github.com/ConsumerDataStandardsAustralia/standards/files/10080166/NBL.Design.Paper.CX.Artefacts.v1.pdf" TargetMode="External"/><Relationship Id="rId33" Type="http://schemas.openxmlformats.org/officeDocument/2006/relationships/hyperlink" Target="https://consumerdatastandardsaustralia.github.io/standards/" TargetMode="External"/><Relationship Id="rId38" Type="http://schemas.openxmlformats.org/officeDocument/2006/relationships/hyperlink" Target="https://consumerdatastandardsaustralia.github.io/standards/" TargetMode="External"/><Relationship Id="rId46" Type="http://schemas.openxmlformats.org/officeDocument/2006/relationships/hyperlink" Target="https://consumerdatastandardsaustralia.github.io/standards/" TargetMode="External"/><Relationship Id="rId20" Type="http://schemas.microsoft.com/office/2007/relationships/diagramDrawing" Target="diagrams/drawing1.xml"/><Relationship Id="rId41" Type="http://schemas.openxmlformats.org/officeDocument/2006/relationships/hyperlink" Target="https://consumerdatastandardsaustralia.github.io/standards/"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1" Type="http://schemas.openxmlformats.org/officeDocument/2006/relationships/hyperlink" Target="https://cdr-support.zendesk.com/hc/en-us/articles/900003420066-Guidance-for-data-holders-assessing-whether-a-product-is-in-scope-for-CD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ACCC\Workgroup\CDR\CDR%20blank.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4607FC-612E-4A3E-BD9A-F3E70B10AD3E}" type="doc">
      <dgm:prSet loTypeId="urn:microsoft.com/office/officeart/2005/8/layout/process1" loCatId="process" qsTypeId="urn:microsoft.com/office/officeart/2005/8/quickstyle/simple1" qsCatId="simple" csTypeId="urn:microsoft.com/office/officeart/2005/8/colors/accent1_2" csCatId="accent1" phldr="1"/>
      <dgm:spPr/>
    </dgm:pt>
    <dgm:pt modelId="{56CDA781-8AFE-4824-B1AA-891768FB7094}">
      <dgm:prSet phldrT="[Text]"/>
      <dgm:spPr>
        <a:xfrm>
          <a:off x="2306066" y="108412"/>
          <a:ext cx="823594" cy="692495"/>
        </a:xfrm>
        <a:prstGeom prst="roundRect">
          <a:avLst>
            <a:gd name="adj" fmla="val 10000"/>
          </a:avLst>
        </a:prstGeom>
        <a:solidFill>
          <a:srgbClr val="4472C4">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dirty="0">
              <a:solidFill>
                <a:sysClr val="window" lastClr="FFFFFF"/>
              </a:solidFill>
              <a:latin typeface="Calibri" panose="020F0502020204030204"/>
              <a:ea typeface="+mn-ea"/>
              <a:cs typeface="+mn-cs"/>
            </a:rPr>
            <a:t>Draft Rules + Standards Consultation</a:t>
          </a:r>
        </a:p>
      </dgm:t>
    </dgm:pt>
    <dgm:pt modelId="{FC2F188F-6EA0-4B41-B610-D398D7A71764}" type="parTrans" cxnId="{19435A17-780A-49E7-9393-CAD2DA0C2015}">
      <dgm:prSet/>
      <dgm:spPr/>
      <dgm:t>
        <a:bodyPr/>
        <a:lstStyle/>
        <a:p>
          <a:pPr algn="ctr"/>
          <a:endParaRPr lang="en-AU"/>
        </a:p>
      </dgm:t>
    </dgm:pt>
    <dgm:pt modelId="{6E870924-FA0B-44D9-9060-294452FBFF59}" type="sibTrans" cxnId="{19435A17-780A-49E7-9393-CAD2DA0C2015}">
      <dgm:prSet/>
      <dgm:spPr>
        <a:xfrm>
          <a:off x="3212020" y="352534"/>
          <a:ext cx="174602" cy="204251"/>
        </a:xfrm>
        <a:prstGeom prst="rightArrow">
          <a:avLst>
            <a:gd name="adj1" fmla="val 60000"/>
            <a:gd name="adj2" fmla="val 50000"/>
          </a:avLst>
        </a:prstGeom>
        <a:solidFill>
          <a:srgbClr val="4472C4">
            <a:lumMod val="60000"/>
            <a:lumOff val="40000"/>
          </a:srgbClr>
        </a:solidFill>
        <a:ln>
          <a:noFill/>
        </a:ln>
        <a:effectLst/>
      </dgm:spPr>
      <dgm:t>
        <a:bodyPr/>
        <a:lstStyle/>
        <a:p>
          <a:pPr algn="ctr">
            <a:buNone/>
          </a:pPr>
          <a:endParaRPr lang="en-AU">
            <a:solidFill>
              <a:sysClr val="window" lastClr="FFFFFF"/>
            </a:solidFill>
            <a:latin typeface="Calibri" panose="020F0502020204030204"/>
            <a:ea typeface="+mn-ea"/>
            <a:cs typeface="+mn-cs"/>
          </a:endParaRPr>
        </a:p>
      </dgm:t>
    </dgm:pt>
    <dgm:pt modelId="{F5990BF4-EE6D-41FE-95AD-90E95ADE7169}">
      <dgm:prSet phldrT="[Text]"/>
      <dgm:spPr>
        <a:xfrm>
          <a:off x="0" y="108412"/>
          <a:ext cx="823594" cy="692495"/>
        </a:xfrm>
        <a:prstGeom prst="roundRect">
          <a:avLst>
            <a:gd name="adj" fmla="val 10000"/>
          </a:avLst>
        </a:prstGeom>
        <a:solidFill>
          <a:srgbClr val="002C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dirty="0">
              <a:solidFill>
                <a:sysClr val="window" lastClr="FFFFFF"/>
              </a:solidFill>
              <a:latin typeface="Calibri" panose="020F0502020204030204"/>
              <a:ea typeface="+mn-ea"/>
              <a:cs typeface="+mn-cs"/>
            </a:rPr>
            <a:t>Sectoral Assessment + Designation </a:t>
          </a:r>
        </a:p>
      </dgm:t>
    </dgm:pt>
    <dgm:pt modelId="{40B76E59-D89A-48AE-BB82-B01A1DE91552}" type="sibTrans" cxnId="{77BB5049-E8B4-460E-AAB0-F3D11BCD7437}">
      <dgm:prSet/>
      <dgm:spPr>
        <a:xfrm>
          <a:off x="905954" y="352534"/>
          <a:ext cx="174602" cy="204251"/>
        </a:xfrm>
        <a:prstGeom prst="rightArrow">
          <a:avLst>
            <a:gd name="adj1" fmla="val 60000"/>
            <a:gd name="adj2" fmla="val 50000"/>
          </a:avLst>
        </a:prstGeom>
        <a:solidFill>
          <a:srgbClr val="4472C4">
            <a:lumMod val="40000"/>
            <a:lumOff val="60000"/>
          </a:srgbClr>
        </a:solidFill>
        <a:ln>
          <a:noFill/>
        </a:ln>
        <a:effectLst/>
      </dgm:spPr>
      <dgm:t>
        <a:bodyPr/>
        <a:lstStyle/>
        <a:p>
          <a:pPr algn="ctr">
            <a:buNone/>
          </a:pPr>
          <a:endParaRPr lang="en-AU">
            <a:solidFill>
              <a:sysClr val="window" lastClr="FFFFFF"/>
            </a:solidFill>
            <a:latin typeface="Calibri" panose="020F0502020204030204"/>
            <a:ea typeface="+mn-ea"/>
            <a:cs typeface="+mn-cs"/>
          </a:endParaRPr>
        </a:p>
      </dgm:t>
    </dgm:pt>
    <dgm:pt modelId="{F26135D4-38D0-49CE-AF38-5C845AA50743}" type="parTrans" cxnId="{77BB5049-E8B4-460E-AAB0-F3D11BCD7437}">
      <dgm:prSet/>
      <dgm:spPr/>
      <dgm:t>
        <a:bodyPr/>
        <a:lstStyle/>
        <a:p>
          <a:pPr algn="ctr"/>
          <a:endParaRPr lang="en-AU"/>
        </a:p>
      </dgm:t>
    </dgm:pt>
    <dgm:pt modelId="{B934C8E6-C543-41C9-A921-94D5A201B65D}">
      <dgm:prSet phldrT="[Text]"/>
      <dgm:spPr>
        <a:xfrm>
          <a:off x="4612131" y="108412"/>
          <a:ext cx="823594" cy="692495"/>
        </a:xfrm>
        <a:prstGeom prst="roundRect">
          <a:avLst>
            <a:gd name="adj" fmla="val 10000"/>
          </a:avLst>
        </a:prstGeom>
        <a:solidFill>
          <a:srgbClr val="008569"/>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dirty="0">
              <a:solidFill>
                <a:sysClr val="window" lastClr="FFFFFF"/>
              </a:solidFill>
              <a:latin typeface="Calibri" panose="020F0502020204030204"/>
              <a:ea typeface="+mn-ea"/>
              <a:cs typeface="+mn-cs"/>
            </a:rPr>
            <a:t>Data Holders Build and Test</a:t>
          </a:r>
        </a:p>
      </dgm:t>
    </dgm:pt>
    <dgm:pt modelId="{A6BB3A9D-F475-4D1F-AEF4-21C0083D84BD}" type="parTrans" cxnId="{4605E8D3-161C-4120-BD06-78C40ED02765}">
      <dgm:prSet/>
      <dgm:spPr/>
      <dgm:t>
        <a:bodyPr/>
        <a:lstStyle/>
        <a:p>
          <a:pPr algn="ctr"/>
          <a:endParaRPr lang="en-AU"/>
        </a:p>
      </dgm:t>
    </dgm:pt>
    <dgm:pt modelId="{C2DCC34F-9754-438A-B42F-8A5CC4EB9440}" type="sibTrans" cxnId="{4605E8D3-161C-4120-BD06-78C40ED02765}">
      <dgm:prSet/>
      <dgm:spPr>
        <a:xfrm>
          <a:off x="5518086" y="352534"/>
          <a:ext cx="174602" cy="204251"/>
        </a:xfrm>
        <a:prstGeom prst="rightArrow">
          <a:avLst>
            <a:gd name="adj1" fmla="val 60000"/>
            <a:gd name="adj2" fmla="val 50000"/>
          </a:avLst>
        </a:prstGeom>
        <a:solidFill>
          <a:srgbClr val="4472C4">
            <a:lumMod val="60000"/>
            <a:lumOff val="40000"/>
          </a:srgbClr>
        </a:solidFill>
        <a:ln>
          <a:noFill/>
        </a:ln>
        <a:effectLst/>
      </dgm:spPr>
      <dgm:t>
        <a:bodyPr/>
        <a:lstStyle/>
        <a:p>
          <a:pPr algn="ctr">
            <a:buNone/>
          </a:pPr>
          <a:endParaRPr lang="en-AU">
            <a:solidFill>
              <a:sysClr val="window" lastClr="FFFFFF"/>
            </a:solidFill>
            <a:latin typeface="Calibri" panose="020F0502020204030204"/>
            <a:ea typeface="+mn-ea"/>
            <a:cs typeface="+mn-cs"/>
          </a:endParaRPr>
        </a:p>
      </dgm:t>
    </dgm:pt>
    <dgm:pt modelId="{1F85532B-DF42-4064-9C1E-21B5399F18B5}">
      <dgm:prSet phldrT="[Text]"/>
      <dgm:spPr>
        <a:xfrm>
          <a:off x="5765164" y="108412"/>
          <a:ext cx="823594" cy="692495"/>
        </a:xfrm>
        <a:prstGeom prst="roundRect">
          <a:avLst>
            <a:gd name="adj" fmla="val 10000"/>
          </a:avLst>
        </a:prstGeom>
        <a:solidFill>
          <a:srgbClr val="C45154"/>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dirty="0">
              <a:solidFill>
                <a:sysClr val="window" lastClr="FFFFFF"/>
              </a:solidFill>
              <a:latin typeface="Calibri" panose="020F0502020204030204"/>
              <a:ea typeface="+mn-ea"/>
              <a:cs typeface="+mn-cs"/>
            </a:rPr>
            <a:t>Data Sharing Commences</a:t>
          </a:r>
        </a:p>
      </dgm:t>
    </dgm:pt>
    <dgm:pt modelId="{B761FC89-96EF-4D0B-BFF1-62CB736BBCDA}" type="parTrans" cxnId="{90D35C21-D855-458C-A8E0-E7C85F195A41}">
      <dgm:prSet/>
      <dgm:spPr/>
      <dgm:t>
        <a:bodyPr/>
        <a:lstStyle/>
        <a:p>
          <a:pPr algn="ctr"/>
          <a:endParaRPr lang="en-AU"/>
        </a:p>
      </dgm:t>
    </dgm:pt>
    <dgm:pt modelId="{899B9970-5C35-4DD2-BE9E-DBC9BE854A90}" type="sibTrans" cxnId="{90D35C21-D855-458C-A8E0-E7C85F195A41}">
      <dgm:prSet/>
      <dgm:spPr/>
      <dgm:t>
        <a:bodyPr/>
        <a:lstStyle/>
        <a:p>
          <a:pPr algn="ctr"/>
          <a:endParaRPr lang="en-AU"/>
        </a:p>
      </dgm:t>
    </dgm:pt>
    <dgm:pt modelId="{080B0668-3EBC-4607-B6BE-1326B2E5F8E3}">
      <dgm:prSet/>
      <dgm:spPr>
        <a:xfrm>
          <a:off x="3459099" y="108412"/>
          <a:ext cx="823594" cy="692495"/>
        </a:xfrm>
        <a:prstGeom prst="roundRect">
          <a:avLst>
            <a:gd name="adj" fmla="val 10000"/>
          </a:avLst>
        </a:prstGeom>
        <a:solidFill>
          <a:srgbClr val="4472C4">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panose="020F0502020204030204"/>
              <a:ea typeface="+mn-ea"/>
              <a:cs typeface="+mn-cs"/>
            </a:rPr>
            <a:t>Rules + Standards Made</a:t>
          </a:r>
        </a:p>
      </dgm:t>
    </dgm:pt>
    <dgm:pt modelId="{384B8B0B-224B-4949-8460-71EEC6F5FB7D}" type="parTrans" cxnId="{E66279E4-1310-4068-B40C-7E2A17675620}">
      <dgm:prSet/>
      <dgm:spPr/>
      <dgm:t>
        <a:bodyPr/>
        <a:lstStyle/>
        <a:p>
          <a:endParaRPr lang="en-AU"/>
        </a:p>
      </dgm:t>
    </dgm:pt>
    <dgm:pt modelId="{90A310A3-349C-46E6-A180-1AA312DF4C11}" type="sibTrans" cxnId="{E66279E4-1310-4068-B40C-7E2A17675620}">
      <dgm:prSet/>
      <dgm:spPr>
        <a:xfrm>
          <a:off x="4365053" y="352534"/>
          <a:ext cx="174602" cy="204251"/>
        </a:xfrm>
        <a:prstGeom prst="rightArrow">
          <a:avLst>
            <a:gd name="adj1" fmla="val 60000"/>
            <a:gd name="adj2" fmla="val 50000"/>
          </a:avLst>
        </a:prstGeom>
        <a:solidFill>
          <a:srgbClr val="4472C4">
            <a:lumMod val="60000"/>
            <a:lumOff val="40000"/>
          </a:srgbClr>
        </a:solidFill>
        <a:ln>
          <a:noFill/>
        </a:ln>
        <a:effectLst/>
      </dgm:spPr>
      <dgm:t>
        <a:bodyPr/>
        <a:lstStyle/>
        <a:p>
          <a:pPr>
            <a:buNone/>
          </a:pPr>
          <a:endParaRPr lang="en-AU">
            <a:solidFill>
              <a:sysClr val="window" lastClr="FFFFFF"/>
            </a:solidFill>
            <a:latin typeface="Calibri" panose="020F0502020204030204"/>
            <a:ea typeface="+mn-ea"/>
            <a:cs typeface="+mn-cs"/>
          </a:endParaRPr>
        </a:p>
      </dgm:t>
    </dgm:pt>
    <dgm:pt modelId="{767D5211-F7E3-4528-B716-F7EF5611CB6C}">
      <dgm:prSet/>
      <dgm:spPr>
        <a:xfrm>
          <a:off x="1153033" y="108412"/>
          <a:ext cx="823594" cy="692495"/>
        </a:xfrm>
        <a:prstGeom prst="roundRect">
          <a:avLst>
            <a:gd name="adj" fmla="val 10000"/>
          </a:avLst>
        </a:prstGeom>
        <a:solidFill>
          <a:srgbClr val="4472C4">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panose="020F0502020204030204"/>
              <a:ea typeface="+mn-ea"/>
              <a:cs typeface="+mn-cs"/>
            </a:rPr>
            <a:t>Rules + Standards Design Paper Consultation</a:t>
          </a:r>
        </a:p>
      </dgm:t>
    </dgm:pt>
    <dgm:pt modelId="{1AF39D30-DDFC-4ACD-B38E-28A462C38859}" type="parTrans" cxnId="{D1D9A051-3C05-49D6-BC32-4FEBDAEC9C21}">
      <dgm:prSet/>
      <dgm:spPr/>
      <dgm:t>
        <a:bodyPr/>
        <a:lstStyle/>
        <a:p>
          <a:endParaRPr lang="en-AU"/>
        </a:p>
      </dgm:t>
    </dgm:pt>
    <dgm:pt modelId="{0591BC92-30FA-4EE4-82AE-74B1EA603DA3}" type="sibTrans" cxnId="{D1D9A051-3C05-49D6-BC32-4FEBDAEC9C21}">
      <dgm:prSet/>
      <dgm:spPr>
        <a:xfrm>
          <a:off x="2058987" y="352534"/>
          <a:ext cx="174602" cy="204251"/>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AU">
            <a:solidFill>
              <a:sysClr val="window" lastClr="FFFFFF"/>
            </a:solidFill>
            <a:latin typeface="Calibri" panose="020F0502020204030204"/>
            <a:ea typeface="+mn-ea"/>
            <a:cs typeface="+mn-cs"/>
          </a:endParaRPr>
        </a:p>
      </dgm:t>
    </dgm:pt>
    <dgm:pt modelId="{BEA369B9-9B98-492F-B768-8326B6C761F5}" type="pres">
      <dgm:prSet presAssocID="{504607FC-612E-4A3E-BD9A-F3E70B10AD3E}" presName="Name0" presStyleCnt="0">
        <dgm:presLayoutVars>
          <dgm:dir/>
          <dgm:resizeHandles val="exact"/>
        </dgm:presLayoutVars>
      </dgm:prSet>
      <dgm:spPr/>
    </dgm:pt>
    <dgm:pt modelId="{10768D5B-D682-4094-9A33-48F490E5ADBA}" type="pres">
      <dgm:prSet presAssocID="{F5990BF4-EE6D-41FE-95AD-90E95ADE7169}" presName="node" presStyleLbl="node1" presStyleIdx="0" presStyleCnt="6">
        <dgm:presLayoutVars>
          <dgm:bulletEnabled val="1"/>
        </dgm:presLayoutVars>
      </dgm:prSet>
      <dgm:spPr/>
    </dgm:pt>
    <dgm:pt modelId="{F8F55F77-6787-4F80-A1E2-497A4B93A15E}" type="pres">
      <dgm:prSet presAssocID="{40B76E59-D89A-48AE-BB82-B01A1DE91552}" presName="sibTrans" presStyleLbl="sibTrans2D1" presStyleIdx="0" presStyleCnt="5"/>
      <dgm:spPr/>
    </dgm:pt>
    <dgm:pt modelId="{F943E9CC-E805-4C55-9776-6398AE392ED1}" type="pres">
      <dgm:prSet presAssocID="{40B76E59-D89A-48AE-BB82-B01A1DE91552}" presName="connectorText" presStyleLbl="sibTrans2D1" presStyleIdx="0" presStyleCnt="5"/>
      <dgm:spPr/>
    </dgm:pt>
    <dgm:pt modelId="{192269DE-EAF8-4185-94CD-C208569258C6}" type="pres">
      <dgm:prSet presAssocID="{767D5211-F7E3-4528-B716-F7EF5611CB6C}" presName="node" presStyleLbl="node1" presStyleIdx="1" presStyleCnt="6">
        <dgm:presLayoutVars>
          <dgm:bulletEnabled val="1"/>
        </dgm:presLayoutVars>
      </dgm:prSet>
      <dgm:spPr/>
    </dgm:pt>
    <dgm:pt modelId="{C162EB69-5783-4EAC-93DD-28FA870E26C8}" type="pres">
      <dgm:prSet presAssocID="{0591BC92-30FA-4EE4-82AE-74B1EA603DA3}" presName="sibTrans" presStyleLbl="sibTrans2D1" presStyleIdx="1" presStyleCnt="5"/>
      <dgm:spPr/>
    </dgm:pt>
    <dgm:pt modelId="{43E2ACC7-AE67-41ED-A09C-B3D917DEC776}" type="pres">
      <dgm:prSet presAssocID="{0591BC92-30FA-4EE4-82AE-74B1EA603DA3}" presName="connectorText" presStyleLbl="sibTrans2D1" presStyleIdx="1" presStyleCnt="5"/>
      <dgm:spPr/>
    </dgm:pt>
    <dgm:pt modelId="{5D4F5EC3-5C5A-4215-8EC2-C3540048891E}" type="pres">
      <dgm:prSet presAssocID="{56CDA781-8AFE-4824-B1AA-891768FB7094}" presName="node" presStyleLbl="node1" presStyleIdx="2" presStyleCnt="6">
        <dgm:presLayoutVars>
          <dgm:bulletEnabled val="1"/>
        </dgm:presLayoutVars>
      </dgm:prSet>
      <dgm:spPr/>
    </dgm:pt>
    <dgm:pt modelId="{6B96E584-F43D-4319-A2E8-949F24913DC5}" type="pres">
      <dgm:prSet presAssocID="{6E870924-FA0B-44D9-9060-294452FBFF59}" presName="sibTrans" presStyleLbl="sibTrans2D1" presStyleIdx="2" presStyleCnt="5"/>
      <dgm:spPr/>
    </dgm:pt>
    <dgm:pt modelId="{FA325118-1784-442B-9D63-620164DBFE40}" type="pres">
      <dgm:prSet presAssocID="{6E870924-FA0B-44D9-9060-294452FBFF59}" presName="connectorText" presStyleLbl="sibTrans2D1" presStyleIdx="2" presStyleCnt="5"/>
      <dgm:spPr/>
    </dgm:pt>
    <dgm:pt modelId="{58358F90-FAAD-4F35-ADBF-45FB8AF19786}" type="pres">
      <dgm:prSet presAssocID="{080B0668-3EBC-4607-B6BE-1326B2E5F8E3}" presName="node" presStyleLbl="node1" presStyleIdx="3" presStyleCnt="6">
        <dgm:presLayoutVars>
          <dgm:bulletEnabled val="1"/>
        </dgm:presLayoutVars>
      </dgm:prSet>
      <dgm:spPr/>
    </dgm:pt>
    <dgm:pt modelId="{1132347C-B916-4528-A5EB-BD128148036C}" type="pres">
      <dgm:prSet presAssocID="{90A310A3-349C-46E6-A180-1AA312DF4C11}" presName="sibTrans" presStyleLbl="sibTrans2D1" presStyleIdx="3" presStyleCnt="5"/>
      <dgm:spPr/>
    </dgm:pt>
    <dgm:pt modelId="{0EBF8FFD-A4F6-42B7-9E7D-1771E5724D96}" type="pres">
      <dgm:prSet presAssocID="{90A310A3-349C-46E6-A180-1AA312DF4C11}" presName="connectorText" presStyleLbl="sibTrans2D1" presStyleIdx="3" presStyleCnt="5"/>
      <dgm:spPr/>
    </dgm:pt>
    <dgm:pt modelId="{2F99E92A-5CD8-4343-99DC-36173DD4BB9B}" type="pres">
      <dgm:prSet presAssocID="{B934C8E6-C543-41C9-A921-94D5A201B65D}" presName="node" presStyleLbl="node1" presStyleIdx="4" presStyleCnt="6">
        <dgm:presLayoutVars>
          <dgm:bulletEnabled val="1"/>
        </dgm:presLayoutVars>
      </dgm:prSet>
      <dgm:spPr/>
    </dgm:pt>
    <dgm:pt modelId="{E8A8308F-83E0-4ED1-A5C9-CC3424DF648F}" type="pres">
      <dgm:prSet presAssocID="{C2DCC34F-9754-438A-B42F-8A5CC4EB9440}" presName="sibTrans" presStyleLbl="sibTrans2D1" presStyleIdx="4" presStyleCnt="5"/>
      <dgm:spPr/>
    </dgm:pt>
    <dgm:pt modelId="{240886C2-886B-49EE-9971-EFEE46B4DDCD}" type="pres">
      <dgm:prSet presAssocID="{C2DCC34F-9754-438A-B42F-8A5CC4EB9440}" presName="connectorText" presStyleLbl="sibTrans2D1" presStyleIdx="4" presStyleCnt="5"/>
      <dgm:spPr/>
    </dgm:pt>
    <dgm:pt modelId="{CF5CF95F-B1C9-4F2B-AA54-A56AE855A835}" type="pres">
      <dgm:prSet presAssocID="{1F85532B-DF42-4064-9C1E-21B5399F18B5}" presName="node" presStyleLbl="node1" presStyleIdx="5" presStyleCnt="6">
        <dgm:presLayoutVars>
          <dgm:bulletEnabled val="1"/>
        </dgm:presLayoutVars>
      </dgm:prSet>
      <dgm:spPr/>
    </dgm:pt>
  </dgm:ptLst>
  <dgm:cxnLst>
    <dgm:cxn modelId="{DBE3800C-98F4-4888-8E25-7B8A9991F9AD}" type="presOf" srcId="{B934C8E6-C543-41C9-A921-94D5A201B65D}" destId="{2F99E92A-5CD8-4343-99DC-36173DD4BB9B}" srcOrd="0" destOrd="0" presId="urn:microsoft.com/office/officeart/2005/8/layout/process1"/>
    <dgm:cxn modelId="{19435A17-780A-49E7-9393-CAD2DA0C2015}" srcId="{504607FC-612E-4A3E-BD9A-F3E70B10AD3E}" destId="{56CDA781-8AFE-4824-B1AA-891768FB7094}" srcOrd="2" destOrd="0" parTransId="{FC2F188F-6EA0-4B41-B610-D398D7A71764}" sibTransId="{6E870924-FA0B-44D9-9060-294452FBFF59}"/>
    <dgm:cxn modelId="{90D35C21-D855-458C-A8E0-E7C85F195A41}" srcId="{504607FC-612E-4A3E-BD9A-F3E70B10AD3E}" destId="{1F85532B-DF42-4064-9C1E-21B5399F18B5}" srcOrd="5" destOrd="0" parTransId="{B761FC89-96EF-4D0B-BFF1-62CB736BBCDA}" sibTransId="{899B9970-5C35-4DD2-BE9E-DBC9BE854A90}"/>
    <dgm:cxn modelId="{39B0FA28-3028-43AF-8DC1-23550CC656AF}" type="presOf" srcId="{504607FC-612E-4A3E-BD9A-F3E70B10AD3E}" destId="{BEA369B9-9B98-492F-B768-8326B6C761F5}" srcOrd="0" destOrd="0" presId="urn:microsoft.com/office/officeart/2005/8/layout/process1"/>
    <dgm:cxn modelId="{695BF95C-529F-4CB4-A275-3301E1344EAE}" type="presOf" srcId="{C2DCC34F-9754-438A-B42F-8A5CC4EB9440}" destId="{240886C2-886B-49EE-9971-EFEE46B4DDCD}" srcOrd="1" destOrd="0" presId="urn:microsoft.com/office/officeart/2005/8/layout/process1"/>
    <dgm:cxn modelId="{B570CB5E-8D2F-4A8A-A396-9CD19D12BFF0}" type="presOf" srcId="{56CDA781-8AFE-4824-B1AA-891768FB7094}" destId="{5D4F5EC3-5C5A-4215-8EC2-C3540048891E}" srcOrd="0" destOrd="0" presId="urn:microsoft.com/office/officeart/2005/8/layout/process1"/>
    <dgm:cxn modelId="{CAE23265-A519-438E-81F4-D332DC208600}" type="presOf" srcId="{6E870924-FA0B-44D9-9060-294452FBFF59}" destId="{6B96E584-F43D-4319-A2E8-949F24913DC5}" srcOrd="0" destOrd="0" presId="urn:microsoft.com/office/officeart/2005/8/layout/process1"/>
    <dgm:cxn modelId="{77BB5049-E8B4-460E-AAB0-F3D11BCD7437}" srcId="{504607FC-612E-4A3E-BD9A-F3E70B10AD3E}" destId="{F5990BF4-EE6D-41FE-95AD-90E95ADE7169}" srcOrd="0" destOrd="0" parTransId="{F26135D4-38D0-49CE-AF38-5C845AA50743}" sibTransId="{40B76E59-D89A-48AE-BB82-B01A1DE91552}"/>
    <dgm:cxn modelId="{D1D9A051-3C05-49D6-BC32-4FEBDAEC9C21}" srcId="{504607FC-612E-4A3E-BD9A-F3E70B10AD3E}" destId="{767D5211-F7E3-4528-B716-F7EF5611CB6C}" srcOrd="1" destOrd="0" parTransId="{1AF39D30-DDFC-4ACD-B38E-28A462C38859}" sibTransId="{0591BC92-30FA-4EE4-82AE-74B1EA603DA3}"/>
    <dgm:cxn modelId="{A3F8FB71-B68A-4926-85DC-36E94D032101}" type="presOf" srcId="{90A310A3-349C-46E6-A180-1AA312DF4C11}" destId="{1132347C-B916-4528-A5EB-BD128148036C}" srcOrd="0" destOrd="0" presId="urn:microsoft.com/office/officeart/2005/8/layout/process1"/>
    <dgm:cxn modelId="{2155FF52-37A8-4045-848F-79FAB2D1C129}" type="presOf" srcId="{6E870924-FA0B-44D9-9060-294452FBFF59}" destId="{FA325118-1784-442B-9D63-620164DBFE40}" srcOrd="1" destOrd="0" presId="urn:microsoft.com/office/officeart/2005/8/layout/process1"/>
    <dgm:cxn modelId="{4BB25154-4C2E-4D17-A4E6-5A398795C335}" type="presOf" srcId="{40B76E59-D89A-48AE-BB82-B01A1DE91552}" destId="{F8F55F77-6787-4F80-A1E2-497A4B93A15E}" srcOrd="0" destOrd="0" presId="urn:microsoft.com/office/officeart/2005/8/layout/process1"/>
    <dgm:cxn modelId="{196DED82-87A8-4916-8170-9E804724BA29}" type="presOf" srcId="{0591BC92-30FA-4EE4-82AE-74B1EA603DA3}" destId="{C162EB69-5783-4EAC-93DD-28FA870E26C8}" srcOrd="0" destOrd="0" presId="urn:microsoft.com/office/officeart/2005/8/layout/process1"/>
    <dgm:cxn modelId="{77A78797-117A-420C-A437-92757AA5DB0D}" type="presOf" srcId="{080B0668-3EBC-4607-B6BE-1326B2E5F8E3}" destId="{58358F90-FAAD-4F35-ADBF-45FB8AF19786}" srcOrd="0" destOrd="0" presId="urn:microsoft.com/office/officeart/2005/8/layout/process1"/>
    <dgm:cxn modelId="{F423A298-22FC-4F02-9053-3C8668FAF910}" type="presOf" srcId="{C2DCC34F-9754-438A-B42F-8A5CC4EB9440}" destId="{E8A8308F-83E0-4ED1-A5C9-CC3424DF648F}" srcOrd="0" destOrd="0" presId="urn:microsoft.com/office/officeart/2005/8/layout/process1"/>
    <dgm:cxn modelId="{641B909F-C831-41A0-874D-BE5D0CD4C227}" type="presOf" srcId="{0591BC92-30FA-4EE4-82AE-74B1EA603DA3}" destId="{43E2ACC7-AE67-41ED-A09C-B3D917DEC776}" srcOrd="1" destOrd="0" presId="urn:microsoft.com/office/officeart/2005/8/layout/process1"/>
    <dgm:cxn modelId="{FAD065A4-68DB-4789-8377-464A86460249}" type="presOf" srcId="{90A310A3-349C-46E6-A180-1AA312DF4C11}" destId="{0EBF8FFD-A4F6-42B7-9E7D-1771E5724D96}" srcOrd="1" destOrd="0" presId="urn:microsoft.com/office/officeart/2005/8/layout/process1"/>
    <dgm:cxn modelId="{AC537AA4-D697-40B5-A1A8-F9118817306A}" type="presOf" srcId="{1F85532B-DF42-4064-9C1E-21B5399F18B5}" destId="{CF5CF95F-B1C9-4F2B-AA54-A56AE855A835}" srcOrd="0" destOrd="0" presId="urn:microsoft.com/office/officeart/2005/8/layout/process1"/>
    <dgm:cxn modelId="{60A5D4BA-BAFE-4F61-920F-4959E7254800}" type="presOf" srcId="{767D5211-F7E3-4528-B716-F7EF5611CB6C}" destId="{192269DE-EAF8-4185-94CD-C208569258C6}" srcOrd="0" destOrd="0" presId="urn:microsoft.com/office/officeart/2005/8/layout/process1"/>
    <dgm:cxn modelId="{4605E8D3-161C-4120-BD06-78C40ED02765}" srcId="{504607FC-612E-4A3E-BD9A-F3E70B10AD3E}" destId="{B934C8E6-C543-41C9-A921-94D5A201B65D}" srcOrd="4" destOrd="0" parTransId="{A6BB3A9D-F475-4D1F-AEF4-21C0083D84BD}" sibTransId="{C2DCC34F-9754-438A-B42F-8A5CC4EB9440}"/>
    <dgm:cxn modelId="{276502E3-67ED-4EC7-95D9-373B32D5DC6A}" type="presOf" srcId="{40B76E59-D89A-48AE-BB82-B01A1DE91552}" destId="{F943E9CC-E805-4C55-9776-6398AE392ED1}" srcOrd="1" destOrd="0" presId="urn:microsoft.com/office/officeart/2005/8/layout/process1"/>
    <dgm:cxn modelId="{E66279E4-1310-4068-B40C-7E2A17675620}" srcId="{504607FC-612E-4A3E-BD9A-F3E70B10AD3E}" destId="{080B0668-3EBC-4607-B6BE-1326B2E5F8E3}" srcOrd="3" destOrd="0" parTransId="{384B8B0B-224B-4949-8460-71EEC6F5FB7D}" sibTransId="{90A310A3-349C-46E6-A180-1AA312DF4C11}"/>
    <dgm:cxn modelId="{AAC301EA-E614-4CD4-8E52-E92C794AC25B}" type="presOf" srcId="{F5990BF4-EE6D-41FE-95AD-90E95ADE7169}" destId="{10768D5B-D682-4094-9A33-48F490E5ADBA}" srcOrd="0" destOrd="0" presId="urn:microsoft.com/office/officeart/2005/8/layout/process1"/>
    <dgm:cxn modelId="{3F742B85-6241-4941-9BF4-1F53AAC6099C}" type="presParOf" srcId="{BEA369B9-9B98-492F-B768-8326B6C761F5}" destId="{10768D5B-D682-4094-9A33-48F490E5ADBA}" srcOrd="0" destOrd="0" presId="urn:microsoft.com/office/officeart/2005/8/layout/process1"/>
    <dgm:cxn modelId="{B755015C-0BE7-42CB-8B61-07CE343DFF78}" type="presParOf" srcId="{BEA369B9-9B98-492F-B768-8326B6C761F5}" destId="{F8F55F77-6787-4F80-A1E2-497A4B93A15E}" srcOrd="1" destOrd="0" presId="urn:microsoft.com/office/officeart/2005/8/layout/process1"/>
    <dgm:cxn modelId="{F5366872-BD88-445A-AF7E-8ED47A864A4F}" type="presParOf" srcId="{F8F55F77-6787-4F80-A1E2-497A4B93A15E}" destId="{F943E9CC-E805-4C55-9776-6398AE392ED1}" srcOrd="0" destOrd="0" presId="urn:microsoft.com/office/officeart/2005/8/layout/process1"/>
    <dgm:cxn modelId="{FCDFC22D-B311-4997-BE53-881F4343FE80}" type="presParOf" srcId="{BEA369B9-9B98-492F-B768-8326B6C761F5}" destId="{192269DE-EAF8-4185-94CD-C208569258C6}" srcOrd="2" destOrd="0" presId="urn:microsoft.com/office/officeart/2005/8/layout/process1"/>
    <dgm:cxn modelId="{99E3CA0D-BA8A-439B-92B2-B543FEAEAEE6}" type="presParOf" srcId="{BEA369B9-9B98-492F-B768-8326B6C761F5}" destId="{C162EB69-5783-4EAC-93DD-28FA870E26C8}" srcOrd="3" destOrd="0" presId="urn:microsoft.com/office/officeart/2005/8/layout/process1"/>
    <dgm:cxn modelId="{28460BE0-BD13-4382-99F6-53624D3F625E}" type="presParOf" srcId="{C162EB69-5783-4EAC-93DD-28FA870E26C8}" destId="{43E2ACC7-AE67-41ED-A09C-B3D917DEC776}" srcOrd="0" destOrd="0" presId="urn:microsoft.com/office/officeart/2005/8/layout/process1"/>
    <dgm:cxn modelId="{F0CEDB4E-E6A7-43BC-8FCB-CC214AB1350D}" type="presParOf" srcId="{BEA369B9-9B98-492F-B768-8326B6C761F5}" destId="{5D4F5EC3-5C5A-4215-8EC2-C3540048891E}" srcOrd="4" destOrd="0" presId="urn:microsoft.com/office/officeart/2005/8/layout/process1"/>
    <dgm:cxn modelId="{DBE1613C-5129-45A4-B4E3-DEEB88DA89AB}" type="presParOf" srcId="{BEA369B9-9B98-492F-B768-8326B6C761F5}" destId="{6B96E584-F43D-4319-A2E8-949F24913DC5}" srcOrd="5" destOrd="0" presId="urn:microsoft.com/office/officeart/2005/8/layout/process1"/>
    <dgm:cxn modelId="{ED07015B-CB3B-43ED-B369-E28E0947D089}" type="presParOf" srcId="{6B96E584-F43D-4319-A2E8-949F24913DC5}" destId="{FA325118-1784-442B-9D63-620164DBFE40}" srcOrd="0" destOrd="0" presId="urn:microsoft.com/office/officeart/2005/8/layout/process1"/>
    <dgm:cxn modelId="{B95141F9-0798-4254-B312-DAE478F30D4F}" type="presParOf" srcId="{BEA369B9-9B98-492F-B768-8326B6C761F5}" destId="{58358F90-FAAD-4F35-ADBF-45FB8AF19786}" srcOrd="6" destOrd="0" presId="urn:microsoft.com/office/officeart/2005/8/layout/process1"/>
    <dgm:cxn modelId="{B70CF39C-7C84-48DB-98AE-92567C1A4BD9}" type="presParOf" srcId="{BEA369B9-9B98-492F-B768-8326B6C761F5}" destId="{1132347C-B916-4528-A5EB-BD128148036C}" srcOrd="7" destOrd="0" presId="urn:microsoft.com/office/officeart/2005/8/layout/process1"/>
    <dgm:cxn modelId="{45C413D5-F209-45C4-A316-63E5A587F2D6}" type="presParOf" srcId="{1132347C-B916-4528-A5EB-BD128148036C}" destId="{0EBF8FFD-A4F6-42B7-9E7D-1771E5724D96}" srcOrd="0" destOrd="0" presId="urn:microsoft.com/office/officeart/2005/8/layout/process1"/>
    <dgm:cxn modelId="{CF0F5394-ECC8-44E1-9BC5-BD09B7A167A2}" type="presParOf" srcId="{BEA369B9-9B98-492F-B768-8326B6C761F5}" destId="{2F99E92A-5CD8-4343-99DC-36173DD4BB9B}" srcOrd="8" destOrd="0" presId="urn:microsoft.com/office/officeart/2005/8/layout/process1"/>
    <dgm:cxn modelId="{26D61DC0-1A90-4A83-81D0-B0FDA344CBF9}" type="presParOf" srcId="{BEA369B9-9B98-492F-B768-8326B6C761F5}" destId="{E8A8308F-83E0-4ED1-A5C9-CC3424DF648F}" srcOrd="9" destOrd="0" presId="urn:microsoft.com/office/officeart/2005/8/layout/process1"/>
    <dgm:cxn modelId="{872DBD89-50C1-4414-B727-025250BDF8FE}" type="presParOf" srcId="{E8A8308F-83E0-4ED1-A5C9-CC3424DF648F}" destId="{240886C2-886B-49EE-9971-EFEE46B4DDCD}" srcOrd="0" destOrd="0" presId="urn:microsoft.com/office/officeart/2005/8/layout/process1"/>
    <dgm:cxn modelId="{1C4F8431-9DB1-4672-A1DE-DF560008BDF5}" type="presParOf" srcId="{BEA369B9-9B98-492F-B768-8326B6C761F5}" destId="{CF5CF95F-B1C9-4F2B-AA54-A56AE855A835}" srcOrd="10"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768D5B-D682-4094-9A33-48F490E5ADBA}">
      <dsp:nvSpPr>
        <dsp:cNvPr id="0" name=""/>
        <dsp:cNvSpPr/>
      </dsp:nvSpPr>
      <dsp:spPr>
        <a:xfrm>
          <a:off x="0" y="158443"/>
          <a:ext cx="745331" cy="607037"/>
        </a:xfrm>
        <a:prstGeom prst="roundRect">
          <a:avLst>
            <a:gd name="adj" fmla="val 10000"/>
          </a:avLst>
        </a:prstGeom>
        <a:solidFill>
          <a:srgbClr val="002C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dirty="0">
              <a:solidFill>
                <a:sysClr val="window" lastClr="FFFFFF"/>
              </a:solidFill>
              <a:latin typeface="Calibri" panose="020F0502020204030204"/>
              <a:ea typeface="+mn-ea"/>
              <a:cs typeface="+mn-cs"/>
            </a:rPr>
            <a:t>Sectoral Assessment + Designation </a:t>
          </a:r>
        </a:p>
      </dsp:txBody>
      <dsp:txXfrm>
        <a:off x="17780" y="176223"/>
        <a:ext cx="709771" cy="571477"/>
      </dsp:txXfrm>
    </dsp:sp>
    <dsp:sp modelId="{F8F55F77-6787-4F80-A1E2-497A4B93A15E}">
      <dsp:nvSpPr>
        <dsp:cNvPr id="0" name=""/>
        <dsp:cNvSpPr/>
      </dsp:nvSpPr>
      <dsp:spPr>
        <a:xfrm>
          <a:off x="819864" y="369541"/>
          <a:ext cx="158010" cy="184842"/>
        </a:xfrm>
        <a:prstGeom prst="rightArrow">
          <a:avLst>
            <a:gd name="adj1" fmla="val 60000"/>
            <a:gd name="adj2" fmla="val 50000"/>
          </a:avLst>
        </a:prstGeom>
        <a:solidFill>
          <a:srgbClr val="4472C4">
            <a:lumMod val="40000"/>
            <a:lumOff val="60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AU" sz="700" kern="1200">
            <a:solidFill>
              <a:sysClr val="window" lastClr="FFFFFF"/>
            </a:solidFill>
            <a:latin typeface="Calibri" panose="020F0502020204030204"/>
            <a:ea typeface="+mn-ea"/>
            <a:cs typeface="+mn-cs"/>
          </a:endParaRPr>
        </a:p>
      </dsp:txBody>
      <dsp:txXfrm>
        <a:off x="819864" y="406509"/>
        <a:ext cx="110607" cy="110906"/>
      </dsp:txXfrm>
    </dsp:sp>
    <dsp:sp modelId="{192269DE-EAF8-4185-94CD-C208569258C6}">
      <dsp:nvSpPr>
        <dsp:cNvPr id="0" name=""/>
        <dsp:cNvSpPr/>
      </dsp:nvSpPr>
      <dsp:spPr>
        <a:xfrm>
          <a:off x="1043463" y="158443"/>
          <a:ext cx="745331" cy="607037"/>
        </a:xfrm>
        <a:prstGeom prst="roundRect">
          <a:avLst>
            <a:gd name="adj" fmla="val 10000"/>
          </a:avLst>
        </a:prstGeom>
        <a:solidFill>
          <a:srgbClr val="4472C4">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 lastClr="FFFFFF"/>
              </a:solidFill>
              <a:latin typeface="Calibri" panose="020F0502020204030204"/>
              <a:ea typeface="+mn-ea"/>
              <a:cs typeface="+mn-cs"/>
            </a:rPr>
            <a:t>Rules + Standards Design Paper Consultation</a:t>
          </a:r>
        </a:p>
      </dsp:txBody>
      <dsp:txXfrm>
        <a:off x="1061243" y="176223"/>
        <a:ext cx="709771" cy="571477"/>
      </dsp:txXfrm>
    </dsp:sp>
    <dsp:sp modelId="{C162EB69-5783-4EAC-93DD-28FA870E26C8}">
      <dsp:nvSpPr>
        <dsp:cNvPr id="0" name=""/>
        <dsp:cNvSpPr/>
      </dsp:nvSpPr>
      <dsp:spPr>
        <a:xfrm>
          <a:off x="1863328" y="369541"/>
          <a:ext cx="158010" cy="18484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AU" sz="700" kern="1200">
            <a:solidFill>
              <a:sysClr val="window" lastClr="FFFFFF"/>
            </a:solidFill>
            <a:latin typeface="Calibri" panose="020F0502020204030204"/>
            <a:ea typeface="+mn-ea"/>
            <a:cs typeface="+mn-cs"/>
          </a:endParaRPr>
        </a:p>
      </dsp:txBody>
      <dsp:txXfrm>
        <a:off x="1863328" y="406509"/>
        <a:ext cx="110607" cy="110906"/>
      </dsp:txXfrm>
    </dsp:sp>
    <dsp:sp modelId="{5D4F5EC3-5C5A-4215-8EC2-C3540048891E}">
      <dsp:nvSpPr>
        <dsp:cNvPr id="0" name=""/>
        <dsp:cNvSpPr/>
      </dsp:nvSpPr>
      <dsp:spPr>
        <a:xfrm>
          <a:off x="2086927" y="158443"/>
          <a:ext cx="745331" cy="607037"/>
        </a:xfrm>
        <a:prstGeom prst="roundRect">
          <a:avLst>
            <a:gd name="adj" fmla="val 10000"/>
          </a:avLst>
        </a:prstGeom>
        <a:solidFill>
          <a:srgbClr val="4472C4">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dirty="0">
              <a:solidFill>
                <a:sysClr val="window" lastClr="FFFFFF"/>
              </a:solidFill>
              <a:latin typeface="Calibri" panose="020F0502020204030204"/>
              <a:ea typeface="+mn-ea"/>
              <a:cs typeface="+mn-cs"/>
            </a:rPr>
            <a:t>Draft Rules + Standards Consultation</a:t>
          </a:r>
        </a:p>
      </dsp:txBody>
      <dsp:txXfrm>
        <a:off x="2104707" y="176223"/>
        <a:ext cx="709771" cy="571477"/>
      </dsp:txXfrm>
    </dsp:sp>
    <dsp:sp modelId="{6B96E584-F43D-4319-A2E8-949F24913DC5}">
      <dsp:nvSpPr>
        <dsp:cNvPr id="0" name=""/>
        <dsp:cNvSpPr/>
      </dsp:nvSpPr>
      <dsp:spPr>
        <a:xfrm>
          <a:off x="2906791" y="369541"/>
          <a:ext cx="158010" cy="184842"/>
        </a:xfrm>
        <a:prstGeom prst="rightArrow">
          <a:avLst>
            <a:gd name="adj1" fmla="val 60000"/>
            <a:gd name="adj2" fmla="val 50000"/>
          </a:avLst>
        </a:prstGeom>
        <a:solidFill>
          <a:srgbClr val="4472C4">
            <a:lumMod val="60000"/>
            <a:lumOff val="40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AU" sz="700" kern="1200">
            <a:solidFill>
              <a:sysClr val="window" lastClr="FFFFFF"/>
            </a:solidFill>
            <a:latin typeface="Calibri" panose="020F0502020204030204"/>
            <a:ea typeface="+mn-ea"/>
            <a:cs typeface="+mn-cs"/>
          </a:endParaRPr>
        </a:p>
      </dsp:txBody>
      <dsp:txXfrm>
        <a:off x="2906791" y="406509"/>
        <a:ext cx="110607" cy="110906"/>
      </dsp:txXfrm>
    </dsp:sp>
    <dsp:sp modelId="{58358F90-FAAD-4F35-ADBF-45FB8AF19786}">
      <dsp:nvSpPr>
        <dsp:cNvPr id="0" name=""/>
        <dsp:cNvSpPr/>
      </dsp:nvSpPr>
      <dsp:spPr>
        <a:xfrm>
          <a:off x="3130391" y="158443"/>
          <a:ext cx="745331" cy="607037"/>
        </a:xfrm>
        <a:prstGeom prst="roundRect">
          <a:avLst>
            <a:gd name="adj" fmla="val 10000"/>
          </a:avLst>
        </a:prstGeom>
        <a:solidFill>
          <a:srgbClr val="4472C4">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 lastClr="FFFFFF"/>
              </a:solidFill>
              <a:latin typeface="Calibri" panose="020F0502020204030204"/>
              <a:ea typeface="+mn-ea"/>
              <a:cs typeface="+mn-cs"/>
            </a:rPr>
            <a:t>Rules + Standards Made</a:t>
          </a:r>
        </a:p>
      </dsp:txBody>
      <dsp:txXfrm>
        <a:off x="3148171" y="176223"/>
        <a:ext cx="709771" cy="571477"/>
      </dsp:txXfrm>
    </dsp:sp>
    <dsp:sp modelId="{1132347C-B916-4528-A5EB-BD128148036C}">
      <dsp:nvSpPr>
        <dsp:cNvPr id="0" name=""/>
        <dsp:cNvSpPr/>
      </dsp:nvSpPr>
      <dsp:spPr>
        <a:xfrm>
          <a:off x="3950255" y="369541"/>
          <a:ext cx="158010" cy="184842"/>
        </a:xfrm>
        <a:prstGeom prst="rightArrow">
          <a:avLst>
            <a:gd name="adj1" fmla="val 60000"/>
            <a:gd name="adj2" fmla="val 50000"/>
          </a:avLst>
        </a:prstGeom>
        <a:solidFill>
          <a:srgbClr val="4472C4">
            <a:lumMod val="60000"/>
            <a:lumOff val="40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AU" sz="700" kern="1200">
            <a:solidFill>
              <a:sysClr val="window" lastClr="FFFFFF"/>
            </a:solidFill>
            <a:latin typeface="Calibri" panose="020F0502020204030204"/>
            <a:ea typeface="+mn-ea"/>
            <a:cs typeface="+mn-cs"/>
          </a:endParaRPr>
        </a:p>
      </dsp:txBody>
      <dsp:txXfrm>
        <a:off x="3950255" y="406509"/>
        <a:ext cx="110607" cy="110906"/>
      </dsp:txXfrm>
    </dsp:sp>
    <dsp:sp modelId="{2F99E92A-5CD8-4343-99DC-36173DD4BB9B}">
      <dsp:nvSpPr>
        <dsp:cNvPr id="0" name=""/>
        <dsp:cNvSpPr/>
      </dsp:nvSpPr>
      <dsp:spPr>
        <a:xfrm>
          <a:off x="4173855" y="158443"/>
          <a:ext cx="745331" cy="607037"/>
        </a:xfrm>
        <a:prstGeom prst="roundRect">
          <a:avLst>
            <a:gd name="adj" fmla="val 10000"/>
          </a:avLst>
        </a:prstGeom>
        <a:solidFill>
          <a:srgbClr val="008569"/>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dirty="0">
              <a:solidFill>
                <a:sysClr val="window" lastClr="FFFFFF"/>
              </a:solidFill>
              <a:latin typeface="Calibri" panose="020F0502020204030204"/>
              <a:ea typeface="+mn-ea"/>
              <a:cs typeface="+mn-cs"/>
            </a:rPr>
            <a:t>Data Holders Build and Test</a:t>
          </a:r>
        </a:p>
      </dsp:txBody>
      <dsp:txXfrm>
        <a:off x="4191635" y="176223"/>
        <a:ext cx="709771" cy="571477"/>
      </dsp:txXfrm>
    </dsp:sp>
    <dsp:sp modelId="{E8A8308F-83E0-4ED1-A5C9-CC3424DF648F}">
      <dsp:nvSpPr>
        <dsp:cNvPr id="0" name=""/>
        <dsp:cNvSpPr/>
      </dsp:nvSpPr>
      <dsp:spPr>
        <a:xfrm>
          <a:off x="4993719" y="369541"/>
          <a:ext cx="158010" cy="184842"/>
        </a:xfrm>
        <a:prstGeom prst="rightArrow">
          <a:avLst>
            <a:gd name="adj1" fmla="val 60000"/>
            <a:gd name="adj2" fmla="val 50000"/>
          </a:avLst>
        </a:prstGeom>
        <a:solidFill>
          <a:srgbClr val="4472C4">
            <a:lumMod val="60000"/>
            <a:lumOff val="40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AU" sz="700" kern="1200">
            <a:solidFill>
              <a:sysClr val="window" lastClr="FFFFFF"/>
            </a:solidFill>
            <a:latin typeface="Calibri" panose="020F0502020204030204"/>
            <a:ea typeface="+mn-ea"/>
            <a:cs typeface="+mn-cs"/>
          </a:endParaRPr>
        </a:p>
      </dsp:txBody>
      <dsp:txXfrm>
        <a:off x="4993719" y="406509"/>
        <a:ext cx="110607" cy="110906"/>
      </dsp:txXfrm>
    </dsp:sp>
    <dsp:sp modelId="{CF5CF95F-B1C9-4F2B-AA54-A56AE855A835}">
      <dsp:nvSpPr>
        <dsp:cNvPr id="0" name=""/>
        <dsp:cNvSpPr/>
      </dsp:nvSpPr>
      <dsp:spPr>
        <a:xfrm>
          <a:off x="5217318" y="158443"/>
          <a:ext cx="745331" cy="607037"/>
        </a:xfrm>
        <a:prstGeom prst="roundRect">
          <a:avLst>
            <a:gd name="adj" fmla="val 10000"/>
          </a:avLst>
        </a:prstGeom>
        <a:solidFill>
          <a:srgbClr val="C45154"/>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dirty="0">
              <a:solidFill>
                <a:sysClr val="window" lastClr="FFFFFF"/>
              </a:solidFill>
              <a:latin typeface="Calibri" panose="020F0502020204030204"/>
              <a:ea typeface="+mn-ea"/>
              <a:cs typeface="+mn-cs"/>
            </a:rPr>
            <a:t>Data Sharing Commences</a:t>
          </a:r>
        </a:p>
      </dsp:txBody>
      <dsp:txXfrm>
        <a:off x="5235098" y="176223"/>
        <a:ext cx="709771" cy="57147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DR">
      <a:dk1>
        <a:sysClr val="windowText" lastClr="000000"/>
      </a:dk1>
      <a:lt1>
        <a:sysClr val="window" lastClr="FFFFFF"/>
      </a:lt1>
      <a:dk2>
        <a:srgbClr val="003591"/>
      </a:dk2>
      <a:lt2>
        <a:srgbClr val="D5D6D2"/>
      </a:lt2>
      <a:accent1>
        <a:srgbClr val="002760"/>
      </a:accent1>
      <a:accent2>
        <a:srgbClr val="0D45D6"/>
      </a:accent2>
      <a:accent3>
        <a:srgbClr val="1FC296"/>
      </a:accent3>
      <a:accent4>
        <a:srgbClr val="7F7F7F"/>
      </a:accent4>
      <a:accent5>
        <a:srgbClr val="FFC502"/>
      </a:accent5>
      <a:accent6>
        <a:srgbClr val="FF7600"/>
      </a:accent6>
      <a:hlink>
        <a:srgbClr val="0000FF"/>
      </a:hlink>
      <a:folHlink>
        <a:srgbClr val="800080"/>
      </a:folHlink>
    </a:clrScheme>
    <a:fontScheme name="Custom 2">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51603" ma:contentTypeDescription="" ma:contentTypeScope="" ma:versionID="eb8503bed4d1f1747539ccda20bc8ea8">
  <xsd:schema xmlns:xsd="http://www.w3.org/2001/XMLSchema" xmlns:xs="http://www.w3.org/2001/XMLSchema" xmlns:p="http://schemas.microsoft.com/office/2006/metadata/properties" xmlns:ns1="http://schemas.microsoft.com/sharepoint/v3" xmlns:ns2="0f563589-9cf9-4143-b1eb-fb0534803d38" xmlns:ns3="d4dd4adf-ddb3-46a3-8d7c-fab3fb2a6bc7" xmlns:ns4="http://schemas.microsoft.com/sharepoint/v4" targetNamespace="http://schemas.microsoft.com/office/2006/metadata/properties" ma:root="true" ma:fieldsID="29f171c4881bc829b0501d7ea54a82ac" ns1:_="" ns2:_="" ns3:_="" ns4: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4: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9"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2022MG-133-98051</_dlc_DocId>
    <_dlc_DocIdUrl xmlns="0f563589-9cf9-4143-b1eb-fb0534803d38">
      <Url>http://tweb/sites/mg/sbccpd/_layouts/15/DocIdRedir.aspx?ID=2022MG-133-98051</Url>
      <Description>2022MG-133-98051</Description>
    </_dlc_DocIdUrl>
    <SecurityClassification xmlns="d4dd4adf-ddb3-46a3-8d7c-fab3fb2a6bc7"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D587CC-5CB3-4033-9878-F61F68426573}">
  <ds:schemaRefs>
    <ds:schemaRef ds:uri="http://schemas.microsoft.com/sharepoint/events"/>
  </ds:schemaRefs>
</ds:datastoreItem>
</file>

<file path=customXml/itemProps3.xml><?xml version="1.0" encoding="utf-8"?>
<ds:datastoreItem xmlns:ds="http://schemas.openxmlformats.org/officeDocument/2006/customXml" ds:itemID="{B7E9F867-20C5-4A7A-A7C0-418E74ACC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C25EAD-250A-4557-9109-AA12E5267446}">
  <ds:schemaRefs>
    <ds:schemaRef ds:uri="office.server.policy"/>
  </ds:schemaRefs>
</ds:datastoreItem>
</file>

<file path=customXml/itemProps5.xml><?xml version="1.0" encoding="utf-8"?>
<ds:datastoreItem xmlns:ds="http://schemas.openxmlformats.org/officeDocument/2006/customXml" ds:itemID="{CD68455A-7FD2-49BC-A06E-1C6D6A18DCE4}">
  <ds:schemaRefs>
    <ds:schemaRef ds:uri="http://schemas.microsoft.com/sharepoint/v3/contenttype/forms"/>
  </ds:schemaRefs>
</ds:datastoreItem>
</file>

<file path=customXml/itemProps6.xml><?xml version="1.0" encoding="utf-8"?>
<ds:datastoreItem xmlns:ds="http://schemas.openxmlformats.org/officeDocument/2006/customXml" ds:itemID="{7151CD5B-7A5E-4B54-8394-0E7199E06BC7}">
  <ds:schemaRefs>
    <ds:schemaRef ds:uri="http://purl.org/dc/dcmitype/"/>
    <ds:schemaRef ds:uri="0f563589-9cf9-4143-b1eb-fb0534803d38"/>
    <ds:schemaRef ds:uri="http://schemas.openxmlformats.org/package/2006/metadata/core-properties"/>
    <ds:schemaRef ds:uri="http://purl.org/dc/elements/1.1/"/>
    <ds:schemaRef ds:uri="http://schemas.microsoft.com/office/infopath/2007/PartnerControls"/>
    <ds:schemaRef ds:uri="http://schemas.microsoft.com/sharepoint/v4"/>
    <ds:schemaRef ds:uri="http://www.w3.org/XML/1998/namespace"/>
    <ds:schemaRef ds:uri="http://schemas.microsoft.com/office/2006/documentManagement/types"/>
    <ds:schemaRef ds:uri="d4dd4adf-ddb3-46a3-8d7c-fab3fb2a6bc7"/>
    <ds:schemaRef ds:uri="http://schemas.microsoft.com/sharepoint/v3"/>
    <ds:schemaRef ds:uri="http://schemas.microsoft.com/office/2006/metadata/properties"/>
    <ds:schemaRef ds:uri="http://purl.org/dc/terms/"/>
  </ds:schemaRefs>
</ds:datastoreItem>
</file>

<file path=customXml/itemProps7.xml><?xml version="1.0" encoding="utf-8"?>
<ds:datastoreItem xmlns:ds="http://schemas.openxmlformats.org/officeDocument/2006/customXml" ds:itemID="{2318EB78-0BE0-4BC5-80B9-3451FC25B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CDR blank.dotm</Template>
  <TotalTime>234</TotalTime>
  <Pages>19</Pages>
  <Words>6832</Words>
  <Characters>38035</Characters>
  <Application>Microsoft Office Word</Application>
  <DocSecurity>0</DocSecurity>
  <Lines>696</Lines>
  <Paragraphs>272</Paragraphs>
  <ScaleCrop>false</ScaleCrop>
  <HeadingPairs>
    <vt:vector size="2" baseType="variant">
      <vt:variant>
        <vt:lpstr>Title</vt:lpstr>
      </vt:variant>
      <vt:variant>
        <vt:i4>1</vt:i4>
      </vt:variant>
    </vt:vector>
  </HeadingPairs>
  <TitlesOfParts>
    <vt:vector size="1" baseType="lpstr">
      <vt:lpstr>Consumer data right in non-bank lending - CDR rules and data standards design paper</vt:lpstr>
    </vt:vector>
  </TitlesOfParts>
  <Company/>
  <LinksUpToDate>false</LinksUpToDate>
  <CharactersWithSpaces>44728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data right in non-bank lending - CDR rules and data standards design paper</dc:title>
  <dc:subject/>
  <dc:creator>Treasury</dc:creator>
  <cp:lastModifiedBy>Hill, Christine</cp:lastModifiedBy>
  <cp:revision>10</cp:revision>
  <dcterms:created xsi:type="dcterms:W3CDTF">2022-11-25T04:14:00Z</dcterms:created>
  <dcterms:modified xsi:type="dcterms:W3CDTF">2022-12-05T00:34:00Z</dcterms:modified>
</cp:coreProperties>
</file>