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91FF7" w14:textId="77777777" w:rsidR="00A1586A" w:rsidRDefault="00A1586A" w:rsidP="00B17774">
      <w:pPr>
        <w:pStyle w:val="Baseparagraphcentred"/>
      </w:pPr>
    </w:p>
    <w:p w14:paraId="2EAC993B" w14:textId="77777777" w:rsidR="00A1586A" w:rsidRDefault="00A1586A" w:rsidP="00B17774">
      <w:pPr>
        <w:pStyle w:val="Baseparagraphcentred"/>
      </w:pPr>
    </w:p>
    <w:p w14:paraId="0C78CEEF" w14:textId="77777777" w:rsidR="00A1586A" w:rsidRDefault="00A1586A" w:rsidP="00B17774">
      <w:pPr>
        <w:pStyle w:val="Baseparagraphcentred"/>
      </w:pPr>
    </w:p>
    <w:p w14:paraId="561A3CFC" w14:textId="77777777" w:rsidR="00A1586A" w:rsidRDefault="00A1586A" w:rsidP="00B17774">
      <w:pPr>
        <w:pStyle w:val="Baseparagraphcentred"/>
      </w:pPr>
    </w:p>
    <w:p w14:paraId="6DCEEF7D" w14:textId="77777777" w:rsidR="00A1586A" w:rsidRDefault="00A1586A" w:rsidP="00B17774">
      <w:pPr>
        <w:pStyle w:val="Baseparagraphcentred"/>
      </w:pPr>
    </w:p>
    <w:p w14:paraId="7F5D3DAD" w14:textId="77777777" w:rsidR="00A1586A" w:rsidRDefault="00A1586A" w:rsidP="00B17774">
      <w:pPr>
        <w:pStyle w:val="Baseparagraphcentred"/>
      </w:pPr>
    </w:p>
    <w:p w14:paraId="090AB3E7" w14:textId="77777777" w:rsidR="00A1586A" w:rsidRDefault="00A1586A" w:rsidP="00B17774">
      <w:pPr>
        <w:pStyle w:val="Baseparagraphcentred"/>
      </w:pPr>
    </w:p>
    <w:p w14:paraId="48A36DD5" w14:textId="77777777" w:rsidR="00A1586A" w:rsidRDefault="00A1586A" w:rsidP="00B17774">
      <w:pPr>
        <w:pStyle w:val="Baseparagraphcentred"/>
      </w:pPr>
    </w:p>
    <w:p w14:paraId="18243ABD" w14:textId="67F1F726" w:rsidR="00B17774" w:rsidRDefault="00B17774" w:rsidP="00B17774">
      <w:pPr>
        <w:pStyle w:val="Baseparagraphcentred"/>
      </w:pPr>
    </w:p>
    <w:p w14:paraId="40EE10F1" w14:textId="77777777" w:rsidR="00B17774" w:rsidRDefault="00B17774" w:rsidP="00B17774">
      <w:pPr>
        <w:pStyle w:val="Baseparagraphcentred"/>
      </w:pPr>
    </w:p>
    <w:p w14:paraId="080CD4CE" w14:textId="72616EC3" w:rsidR="00B17774" w:rsidRDefault="00910242" w:rsidP="00B17774">
      <w:pPr>
        <w:pStyle w:val="BillName"/>
      </w:pPr>
      <w:bookmarkStart w:id="0" w:name="BillName"/>
      <w:bookmarkEnd w:id="0"/>
      <w:r>
        <w:t>Treasury Laws Amendment (Measures for a later sitting) Bill 2018: Miscellaneous Amendments</w:t>
      </w:r>
    </w:p>
    <w:p w14:paraId="6F4CA1D9" w14:textId="77777777" w:rsidR="00B17774" w:rsidRDefault="00B17774" w:rsidP="00B17774">
      <w:pPr>
        <w:pStyle w:val="Baseparagraphcentred"/>
      </w:pPr>
    </w:p>
    <w:p w14:paraId="69E9F8D1" w14:textId="77777777" w:rsidR="00B17774" w:rsidRDefault="00B17774" w:rsidP="00B17774">
      <w:pPr>
        <w:pStyle w:val="Baseparagraphcentred"/>
      </w:pPr>
    </w:p>
    <w:p w14:paraId="4FFB54D9" w14:textId="77777777" w:rsidR="00B17774" w:rsidRDefault="00B17774" w:rsidP="00B17774">
      <w:pPr>
        <w:pStyle w:val="Baseparagraphcentred"/>
      </w:pPr>
    </w:p>
    <w:p w14:paraId="77F2EA63" w14:textId="77777777" w:rsidR="00B17774" w:rsidRDefault="00B17774" w:rsidP="00B17774">
      <w:pPr>
        <w:pStyle w:val="Baseparagraphcentred"/>
      </w:pPr>
    </w:p>
    <w:p w14:paraId="48C55C64" w14:textId="77777777" w:rsidR="00A1586A" w:rsidRDefault="00A1586A" w:rsidP="00B17774">
      <w:pPr>
        <w:pStyle w:val="Baseparagraphcentred"/>
      </w:pPr>
      <w:r>
        <w:t>EXPOSURE DRAFT EXPLANATORY MATERIALS</w:t>
      </w:r>
    </w:p>
    <w:p w14:paraId="2D8A1CBC" w14:textId="03755EE0" w:rsidR="00B17774" w:rsidRDefault="00B17774" w:rsidP="00B17774">
      <w:pPr>
        <w:pStyle w:val="Baseparagraphcentred"/>
      </w:pPr>
    </w:p>
    <w:p w14:paraId="267D2DB8" w14:textId="77777777" w:rsidR="00B17774" w:rsidRDefault="00B17774" w:rsidP="00B17774">
      <w:pPr>
        <w:pStyle w:val="Baseparagraphcentred"/>
      </w:pPr>
    </w:p>
    <w:p w14:paraId="2B4FA205" w14:textId="77777777" w:rsidR="00B17774" w:rsidRDefault="00B17774" w:rsidP="00B17774">
      <w:pPr>
        <w:pStyle w:val="Baseparagraphcentred"/>
      </w:pPr>
    </w:p>
    <w:p w14:paraId="307BE276" w14:textId="77777777" w:rsidR="00A1586A" w:rsidRDefault="00A1586A" w:rsidP="00773B68">
      <w:pPr>
        <w:pStyle w:val="ParaCentredNoSpacing"/>
      </w:pPr>
    </w:p>
    <w:p w14:paraId="721BA88B" w14:textId="77777777" w:rsidR="00A1586A" w:rsidRDefault="00A1586A" w:rsidP="00773B68">
      <w:pPr>
        <w:pStyle w:val="ParaCentredNoSpacing"/>
      </w:pPr>
    </w:p>
    <w:p w14:paraId="0284AF81" w14:textId="7E49D920" w:rsidR="00773B68" w:rsidRDefault="00773B68" w:rsidP="00773B68">
      <w:pPr>
        <w:pStyle w:val="ParaCentredNoSpacing"/>
      </w:pPr>
    </w:p>
    <w:p w14:paraId="374DA7EE" w14:textId="77777777" w:rsidR="00B17774" w:rsidRDefault="00B17774" w:rsidP="00B17774"/>
    <w:p w14:paraId="3930148E" w14:textId="77777777" w:rsidR="00813A51" w:rsidRDefault="00813A51" w:rsidP="00B17774">
      <w:pPr>
        <w:sectPr w:rsidR="00813A51" w:rsidSect="00E74E50">
          <w:headerReference w:type="even" r:id="rId14"/>
          <w:headerReference w:type="default" r:id="rId15"/>
          <w:footerReference w:type="even" r:id="rId16"/>
          <w:footerReference w:type="default" r:id="rId17"/>
          <w:headerReference w:type="first" r:id="rId18"/>
          <w:pgSz w:w="9979" w:h="14175" w:code="13"/>
          <w:pgMar w:top="567" w:right="1134" w:bottom="567" w:left="1134" w:header="709" w:footer="709" w:gutter="0"/>
          <w:cols w:space="708"/>
          <w:titlePg/>
          <w:docGrid w:linePitch="360"/>
        </w:sectPr>
      </w:pPr>
    </w:p>
    <w:p w14:paraId="049153D2" w14:textId="77777777" w:rsidR="00B17774" w:rsidRPr="003E0794" w:rsidRDefault="00B17774" w:rsidP="00B17774">
      <w:pPr>
        <w:pStyle w:val="TOCHeading"/>
      </w:pPr>
      <w:r w:rsidRPr="003E0794">
        <w:lastRenderedPageBreak/>
        <w:t>Table of contents</w:t>
      </w:r>
    </w:p>
    <w:p w14:paraId="2AABD8E0" w14:textId="77777777" w:rsidR="003E04F2"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3E04F2">
        <w:t>Glossary</w:t>
      </w:r>
      <w:r w:rsidR="003E04F2">
        <w:tab/>
      </w:r>
      <w:r w:rsidR="003E04F2">
        <w:fldChar w:fldCharType="begin"/>
      </w:r>
      <w:r w:rsidR="003E04F2">
        <w:instrText xml:space="preserve"> PAGEREF _Toc526954724 \h </w:instrText>
      </w:r>
      <w:r w:rsidR="003E04F2">
        <w:fldChar w:fldCharType="separate"/>
      </w:r>
      <w:r w:rsidR="00161992">
        <w:t>1</w:t>
      </w:r>
      <w:r w:rsidR="003E04F2">
        <w:fldChar w:fldCharType="end"/>
      </w:r>
    </w:p>
    <w:p w14:paraId="1DABDE32" w14:textId="77777777" w:rsidR="003E04F2" w:rsidRDefault="003E04F2">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Miscellaneous amendments</w:t>
      </w:r>
      <w:r>
        <w:rPr>
          <w:noProof/>
        </w:rPr>
        <w:tab/>
      </w:r>
      <w:r>
        <w:rPr>
          <w:noProof/>
        </w:rPr>
        <w:fldChar w:fldCharType="begin"/>
      </w:r>
      <w:r>
        <w:rPr>
          <w:noProof/>
        </w:rPr>
        <w:instrText xml:space="preserve"> PAGEREF _Toc526954725 \h </w:instrText>
      </w:r>
      <w:r>
        <w:rPr>
          <w:noProof/>
        </w:rPr>
      </w:r>
      <w:r>
        <w:rPr>
          <w:noProof/>
        </w:rPr>
        <w:fldChar w:fldCharType="separate"/>
      </w:r>
      <w:r w:rsidR="00161992">
        <w:rPr>
          <w:noProof/>
        </w:rPr>
        <w:t>3</w:t>
      </w:r>
      <w:r>
        <w:rPr>
          <w:noProof/>
        </w:rPr>
        <w:fldChar w:fldCharType="end"/>
      </w:r>
    </w:p>
    <w:p w14:paraId="615143F8" w14:textId="77777777" w:rsidR="00E5385B" w:rsidRDefault="00734F84" w:rsidP="00295ABD">
      <w:pPr>
        <w:rPr>
          <w:rFonts w:ascii="Helvetica" w:hAnsi="Helvetica"/>
          <w:noProof/>
          <w:sz w:val="24"/>
        </w:rPr>
      </w:pPr>
      <w:r>
        <w:rPr>
          <w:rFonts w:ascii="Helvetica" w:hAnsi="Helvetica"/>
          <w:noProof/>
          <w:sz w:val="24"/>
        </w:rPr>
        <w:fldChar w:fldCharType="end"/>
      </w:r>
    </w:p>
    <w:p w14:paraId="05A97BE8" w14:textId="77777777" w:rsidR="00B17774" w:rsidRDefault="00B17774" w:rsidP="00B17774">
      <w:pPr>
        <w:pStyle w:val="Hiddentext"/>
      </w:pPr>
      <w:bookmarkStart w:id="1" w:name="_GoBack"/>
      <w:bookmarkEnd w:id="1"/>
    </w:p>
    <w:p w14:paraId="52031B98" w14:textId="77777777" w:rsidR="00B17774" w:rsidRDefault="00B17774" w:rsidP="00B17774">
      <w:pPr>
        <w:pStyle w:val="base-text-paragraphnonumbers"/>
        <w:sectPr w:rsidR="00B17774" w:rsidSect="00E74E50">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5C46656B" w14:textId="77777777" w:rsidR="00B17774" w:rsidRPr="00567602" w:rsidRDefault="00B17774" w:rsidP="00567602">
      <w:pPr>
        <w:pStyle w:val="Chapterheadingsubdocument"/>
      </w:pPr>
      <w:bookmarkStart w:id="2" w:name="_Toc526954724"/>
      <w:r w:rsidRPr="00567602">
        <w:rPr>
          <w:rStyle w:val="ChapterNameOnly"/>
        </w:rPr>
        <w:lastRenderedPageBreak/>
        <w:t>Glossary</w:t>
      </w:r>
      <w:bookmarkEnd w:id="2"/>
    </w:p>
    <w:p w14:paraId="13AD937D" w14:textId="77777777"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11145D8D" w14:textId="77777777" w:rsidTr="00E85046">
        <w:tc>
          <w:tcPr>
            <w:tcW w:w="2721" w:type="dxa"/>
          </w:tcPr>
          <w:p w14:paraId="04FFDF2E" w14:textId="77777777" w:rsidR="00B17774" w:rsidRPr="00123D96" w:rsidRDefault="00B17774" w:rsidP="00E85046">
            <w:pPr>
              <w:pStyle w:val="tableheaderwithintable"/>
            </w:pPr>
            <w:r w:rsidRPr="00123D96">
              <w:t>Abbreviation</w:t>
            </w:r>
          </w:p>
        </w:tc>
        <w:tc>
          <w:tcPr>
            <w:tcW w:w="3885" w:type="dxa"/>
          </w:tcPr>
          <w:p w14:paraId="6721A719" w14:textId="77777777" w:rsidR="00B17774" w:rsidRPr="00123D96" w:rsidRDefault="00B17774" w:rsidP="00E85046">
            <w:pPr>
              <w:pStyle w:val="tableheaderwithintable"/>
            </w:pPr>
            <w:r w:rsidRPr="00123D96">
              <w:t>Definition</w:t>
            </w:r>
          </w:p>
        </w:tc>
      </w:tr>
      <w:tr w:rsidR="007E5523" w:rsidRPr="002C43E8" w14:paraId="21CA6E7A" w14:textId="77777777" w:rsidTr="00E85046">
        <w:tc>
          <w:tcPr>
            <w:tcW w:w="2721" w:type="dxa"/>
          </w:tcPr>
          <w:p w14:paraId="1463CFA3" w14:textId="3A4FEF36" w:rsidR="007E5523" w:rsidRDefault="007E5523" w:rsidP="00E85046">
            <w:pPr>
              <w:pStyle w:val="Glossarytabletext"/>
              <w:rPr>
                <w:lang w:val="en-US" w:eastAsia="en-US"/>
              </w:rPr>
            </w:pPr>
            <w:r>
              <w:rPr>
                <w:lang w:val="en-US" w:eastAsia="en-US"/>
              </w:rPr>
              <w:t>ABN</w:t>
            </w:r>
          </w:p>
        </w:tc>
        <w:tc>
          <w:tcPr>
            <w:tcW w:w="3885" w:type="dxa"/>
          </w:tcPr>
          <w:p w14:paraId="54216FCA" w14:textId="2798CEB9" w:rsidR="007E5523" w:rsidRDefault="007E5523" w:rsidP="00E85046">
            <w:pPr>
              <w:pStyle w:val="Glossarytabletext"/>
              <w:rPr>
                <w:i/>
                <w:lang w:val="en-US" w:eastAsia="en-US"/>
              </w:rPr>
            </w:pPr>
            <w:r>
              <w:rPr>
                <w:lang w:val="en-US" w:eastAsia="en-US"/>
              </w:rPr>
              <w:t>Australian Business Number</w:t>
            </w:r>
          </w:p>
        </w:tc>
      </w:tr>
      <w:tr w:rsidR="007D02CA" w:rsidRPr="002C43E8" w14:paraId="427CBF55" w14:textId="77777777" w:rsidTr="00E85046">
        <w:tc>
          <w:tcPr>
            <w:tcW w:w="2721" w:type="dxa"/>
          </w:tcPr>
          <w:p w14:paraId="719F81BA" w14:textId="4171B412" w:rsidR="007D02CA" w:rsidRDefault="007D02CA" w:rsidP="00E85046">
            <w:pPr>
              <w:pStyle w:val="Glossarytabletext"/>
              <w:rPr>
                <w:lang w:val="en-US" w:eastAsia="en-US"/>
              </w:rPr>
            </w:pPr>
            <w:r>
              <w:rPr>
                <w:lang w:val="en-US" w:eastAsia="en-US"/>
              </w:rPr>
              <w:t>ABS Act</w:t>
            </w:r>
          </w:p>
        </w:tc>
        <w:tc>
          <w:tcPr>
            <w:tcW w:w="3885" w:type="dxa"/>
          </w:tcPr>
          <w:p w14:paraId="0F40C2C5" w14:textId="27F609B3" w:rsidR="007D02CA" w:rsidRDefault="007D02CA" w:rsidP="00E85046">
            <w:pPr>
              <w:pStyle w:val="Glossarytabletext"/>
              <w:rPr>
                <w:lang w:val="en-US" w:eastAsia="en-US"/>
              </w:rPr>
            </w:pPr>
            <w:r>
              <w:rPr>
                <w:i/>
                <w:lang w:val="en-US" w:eastAsia="en-US"/>
              </w:rPr>
              <w:t>Australian Bureau of Statistics Act 1975</w:t>
            </w:r>
          </w:p>
        </w:tc>
      </w:tr>
      <w:tr w:rsidR="00CB4AAC" w:rsidRPr="002C43E8" w14:paraId="7F6C993B" w14:textId="77777777" w:rsidTr="00E85046">
        <w:tc>
          <w:tcPr>
            <w:tcW w:w="2721" w:type="dxa"/>
          </w:tcPr>
          <w:p w14:paraId="639A555D" w14:textId="7C84BEFD" w:rsidR="00CB4AAC" w:rsidRDefault="00CB4AAC" w:rsidP="00E85046">
            <w:pPr>
              <w:pStyle w:val="Glossarytabletext"/>
              <w:rPr>
                <w:lang w:val="en-US" w:eastAsia="en-US"/>
              </w:rPr>
            </w:pPr>
            <w:r>
              <w:rPr>
                <w:lang w:val="en-US" w:eastAsia="en-US"/>
              </w:rPr>
              <w:t>ACCC</w:t>
            </w:r>
          </w:p>
        </w:tc>
        <w:tc>
          <w:tcPr>
            <w:tcW w:w="3885" w:type="dxa"/>
          </w:tcPr>
          <w:p w14:paraId="32C9B68A" w14:textId="4EE1D32D" w:rsidR="00CB4AAC" w:rsidRPr="00D65AD0" w:rsidRDefault="00CB4AAC" w:rsidP="00E85046">
            <w:pPr>
              <w:pStyle w:val="Glossarytabletext"/>
              <w:rPr>
                <w:lang w:val="en-US" w:eastAsia="en-US"/>
              </w:rPr>
            </w:pPr>
            <w:r>
              <w:rPr>
                <w:lang w:val="en-US" w:eastAsia="en-US"/>
              </w:rPr>
              <w:t xml:space="preserve">Australian Competition and Consumer Commission </w:t>
            </w:r>
          </w:p>
        </w:tc>
      </w:tr>
      <w:tr w:rsidR="00D65AD0" w:rsidRPr="002C43E8" w14:paraId="001E3139" w14:textId="77777777" w:rsidTr="00E85046">
        <w:tc>
          <w:tcPr>
            <w:tcW w:w="2721" w:type="dxa"/>
          </w:tcPr>
          <w:p w14:paraId="56BF0723" w14:textId="3B82EE93" w:rsidR="00D65AD0" w:rsidRDefault="00D65AD0" w:rsidP="00E85046">
            <w:pPr>
              <w:pStyle w:val="Glossarytabletext"/>
              <w:rPr>
                <w:lang w:val="en-US" w:eastAsia="en-US"/>
              </w:rPr>
            </w:pPr>
            <w:r>
              <w:rPr>
                <w:lang w:val="en-US" w:eastAsia="en-US"/>
              </w:rPr>
              <w:t>APRA</w:t>
            </w:r>
          </w:p>
        </w:tc>
        <w:tc>
          <w:tcPr>
            <w:tcW w:w="3885" w:type="dxa"/>
          </w:tcPr>
          <w:p w14:paraId="7981B589" w14:textId="3F8161EE" w:rsidR="00D65AD0" w:rsidRPr="00D65AD0" w:rsidRDefault="00D65AD0" w:rsidP="00E85046">
            <w:pPr>
              <w:pStyle w:val="Glossarytabletext"/>
              <w:rPr>
                <w:lang w:val="en-US" w:eastAsia="en-US"/>
              </w:rPr>
            </w:pPr>
            <w:r w:rsidRPr="00D65AD0">
              <w:rPr>
                <w:lang w:val="en-US" w:eastAsia="en-US"/>
              </w:rPr>
              <w:t>Australian Prudential Regulation Authority</w:t>
            </w:r>
          </w:p>
        </w:tc>
      </w:tr>
      <w:tr w:rsidR="00B17774" w:rsidRPr="002C43E8" w14:paraId="741A148E" w14:textId="77777777" w:rsidTr="00E85046">
        <w:tc>
          <w:tcPr>
            <w:tcW w:w="2721" w:type="dxa"/>
          </w:tcPr>
          <w:p w14:paraId="55559A2D" w14:textId="7211442A" w:rsidR="00B17774" w:rsidRPr="002C43E8" w:rsidRDefault="00D63EAB" w:rsidP="00E85046">
            <w:pPr>
              <w:pStyle w:val="Glossarytabletext"/>
              <w:rPr>
                <w:lang w:val="en-US" w:eastAsia="en-US"/>
              </w:rPr>
            </w:pPr>
            <w:bookmarkStart w:id="3" w:name="GlossaryTableStart"/>
            <w:bookmarkEnd w:id="3"/>
            <w:r>
              <w:rPr>
                <w:lang w:val="en-US" w:eastAsia="en-US"/>
              </w:rPr>
              <w:t>APRA Act</w:t>
            </w:r>
          </w:p>
        </w:tc>
        <w:tc>
          <w:tcPr>
            <w:tcW w:w="3885" w:type="dxa"/>
          </w:tcPr>
          <w:p w14:paraId="500893C7" w14:textId="3EBE2F67" w:rsidR="00B17774" w:rsidRPr="002C43E8" w:rsidRDefault="00D63EAB" w:rsidP="00E85046">
            <w:pPr>
              <w:pStyle w:val="Glossarytabletext"/>
              <w:rPr>
                <w:lang w:val="en-US" w:eastAsia="en-US"/>
              </w:rPr>
            </w:pPr>
            <w:r>
              <w:rPr>
                <w:i/>
                <w:lang w:val="en-US" w:eastAsia="en-US"/>
              </w:rPr>
              <w:t>Australian Prudential Regulation Authority Act 1998</w:t>
            </w:r>
          </w:p>
        </w:tc>
      </w:tr>
      <w:tr w:rsidR="00D65AD0" w:rsidRPr="002C43E8" w14:paraId="35E36126" w14:textId="77777777" w:rsidTr="00E85046">
        <w:tc>
          <w:tcPr>
            <w:tcW w:w="2721" w:type="dxa"/>
          </w:tcPr>
          <w:p w14:paraId="2FF9AE88" w14:textId="1927B1F3" w:rsidR="00D65AD0" w:rsidRDefault="00D65AD0" w:rsidP="00E85046">
            <w:pPr>
              <w:pStyle w:val="Glossarytabletext"/>
              <w:rPr>
                <w:lang w:val="en-US" w:eastAsia="en-US"/>
              </w:rPr>
            </w:pPr>
            <w:r>
              <w:rPr>
                <w:lang w:val="en-US" w:eastAsia="en-US"/>
              </w:rPr>
              <w:t>ASIC</w:t>
            </w:r>
          </w:p>
        </w:tc>
        <w:tc>
          <w:tcPr>
            <w:tcW w:w="3885" w:type="dxa"/>
          </w:tcPr>
          <w:p w14:paraId="18A9670F" w14:textId="6EE17FE2" w:rsidR="00D65AD0" w:rsidRDefault="00D65AD0" w:rsidP="00E85046">
            <w:pPr>
              <w:pStyle w:val="Glossarytabletext"/>
              <w:rPr>
                <w:i/>
                <w:lang w:val="en-US" w:eastAsia="en-US"/>
              </w:rPr>
            </w:pPr>
            <w:r>
              <w:rPr>
                <w:lang w:val="en-US" w:eastAsia="en-US"/>
              </w:rPr>
              <w:t>Australian Securities and Investments Commission</w:t>
            </w:r>
          </w:p>
        </w:tc>
      </w:tr>
      <w:tr w:rsidR="00B17774" w:rsidRPr="002C43E8" w14:paraId="1554FEFE" w14:textId="77777777" w:rsidTr="00E85046">
        <w:tc>
          <w:tcPr>
            <w:tcW w:w="2721" w:type="dxa"/>
          </w:tcPr>
          <w:p w14:paraId="27936E91" w14:textId="3A09E36F" w:rsidR="00B17774" w:rsidRPr="002C43E8" w:rsidRDefault="00D63EAB" w:rsidP="00E85046">
            <w:pPr>
              <w:pStyle w:val="Glossarytabletext"/>
              <w:rPr>
                <w:lang w:val="en-US" w:eastAsia="en-US"/>
              </w:rPr>
            </w:pPr>
            <w:r>
              <w:rPr>
                <w:lang w:val="en-US" w:eastAsia="en-US"/>
              </w:rPr>
              <w:t>Banking Act</w:t>
            </w:r>
          </w:p>
        </w:tc>
        <w:tc>
          <w:tcPr>
            <w:tcW w:w="3885" w:type="dxa"/>
          </w:tcPr>
          <w:p w14:paraId="5E058891" w14:textId="04503CD3" w:rsidR="00B17774" w:rsidRPr="00D63EAB" w:rsidRDefault="00D63EAB" w:rsidP="00E85046">
            <w:pPr>
              <w:pStyle w:val="Glossarytabletext"/>
              <w:rPr>
                <w:i/>
                <w:lang w:val="en-US" w:eastAsia="en-US"/>
              </w:rPr>
            </w:pPr>
            <w:r>
              <w:rPr>
                <w:i/>
                <w:lang w:val="en-US" w:eastAsia="en-US"/>
              </w:rPr>
              <w:t>Banking Act 1959</w:t>
            </w:r>
          </w:p>
        </w:tc>
      </w:tr>
      <w:tr w:rsidR="0079357C" w:rsidRPr="002C43E8" w14:paraId="3625ACD7" w14:textId="77777777" w:rsidTr="00E85046">
        <w:tc>
          <w:tcPr>
            <w:tcW w:w="2721" w:type="dxa"/>
          </w:tcPr>
          <w:p w14:paraId="7A82632E" w14:textId="6FB1563D" w:rsidR="0079357C" w:rsidRDefault="00477248" w:rsidP="00E85046">
            <w:pPr>
              <w:pStyle w:val="Glossarytabletext"/>
              <w:rPr>
                <w:lang w:val="en-US" w:eastAsia="en-US"/>
              </w:rPr>
            </w:pPr>
            <w:r>
              <w:rPr>
                <w:lang w:val="en-US" w:eastAsia="en-US"/>
              </w:rPr>
              <w:t>E</w:t>
            </w:r>
            <w:r w:rsidR="0079357C">
              <w:rPr>
                <w:lang w:val="en-US" w:eastAsia="en-US"/>
              </w:rPr>
              <w:t>xposure draft Bill</w:t>
            </w:r>
          </w:p>
        </w:tc>
        <w:tc>
          <w:tcPr>
            <w:tcW w:w="3885" w:type="dxa"/>
          </w:tcPr>
          <w:p w14:paraId="7723DEC2" w14:textId="1FC149ED" w:rsidR="0079357C" w:rsidRDefault="0079357C" w:rsidP="00E85046">
            <w:pPr>
              <w:pStyle w:val="Glossarytabletext"/>
              <w:rPr>
                <w:i/>
                <w:lang w:val="en-US" w:eastAsia="en-US"/>
              </w:rPr>
            </w:pPr>
            <w:r>
              <w:rPr>
                <w:i/>
                <w:lang w:val="en-US" w:eastAsia="en-US"/>
              </w:rPr>
              <w:t>Treasury Laws Amendment (Measures for a later sitting) Bill 2018: Miscellaneous Amendments</w:t>
            </w:r>
          </w:p>
        </w:tc>
      </w:tr>
      <w:tr w:rsidR="00B17774" w:rsidRPr="002C43E8" w14:paraId="63BFA0DE" w14:textId="77777777" w:rsidTr="00E85046">
        <w:tc>
          <w:tcPr>
            <w:tcW w:w="2721" w:type="dxa"/>
          </w:tcPr>
          <w:p w14:paraId="78C7015B" w14:textId="22037377" w:rsidR="00B17774" w:rsidRPr="002C43E8" w:rsidRDefault="00D63EAB" w:rsidP="00E85046">
            <w:pPr>
              <w:pStyle w:val="Glossarytabletext"/>
              <w:rPr>
                <w:lang w:val="en-US" w:eastAsia="en-US"/>
              </w:rPr>
            </w:pPr>
            <w:r>
              <w:rPr>
                <w:lang w:val="en-US" w:eastAsia="en-US"/>
              </w:rPr>
              <w:t>Competition and Consumer Act</w:t>
            </w:r>
          </w:p>
        </w:tc>
        <w:tc>
          <w:tcPr>
            <w:tcW w:w="3885" w:type="dxa"/>
          </w:tcPr>
          <w:p w14:paraId="058BEAE9" w14:textId="4605BF26" w:rsidR="00B17774" w:rsidRPr="00D63EAB" w:rsidRDefault="00D63EAB" w:rsidP="00E85046">
            <w:pPr>
              <w:pStyle w:val="Glossarytabletext"/>
              <w:rPr>
                <w:i/>
                <w:lang w:val="en-US" w:eastAsia="en-US"/>
              </w:rPr>
            </w:pPr>
            <w:r>
              <w:rPr>
                <w:i/>
                <w:lang w:val="en-US" w:eastAsia="en-US"/>
              </w:rPr>
              <w:t>Competition and Consumer Act 2010</w:t>
            </w:r>
          </w:p>
        </w:tc>
      </w:tr>
      <w:tr w:rsidR="00B17774" w:rsidRPr="002C43E8" w14:paraId="0C8BB63D" w14:textId="77777777" w:rsidTr="00E85046">
        <w:tc>
          <w:tcPr>
            <w:tcW w:w="2721" w:type="dxa"/>
          </w:tcPr>
          <w:p w14:paraId="498B55A4" w14:textId="36EC8742" w:rsidR="00B17774" w:rsidRPr="002C43E8" w:rsidRDefault="00D63EAB" w:rsidP="00E85046">
            <w:pPr>
              <w:pStyle w:val="Glossarytabletext"/>
              <w:rPr>
                <w:lang w:val="en-US" w:eastAsia="en-US"/>
              </w:rPr>
            </w:pPr>
            <w:r>
              <w:rPr>
                <w:lang w:val="en-US" w:eastAsia="en-US"/>
              </w:rPr>
              <w:t>Corporations Act</w:t>
            </w:r>
          </w:p>
        </w:tc>
        <w:tc>
          <w:tcPr>
            <w:tcW w:w="3885" w:type="dxa"/>
          </w:tcPr>
          <w:p w14:paraId="01614B20" w14:textId="4AC432EF" w:rsidR="00B17774" w:rsidRPr="00696C50" w:rsidRDefault="007D02CA" w:rsidP="00E85046">
            <w:pPr>
              <w:pStyle w:val="Glossarytabletext"/>
              <w:rPr>
                <w:i/>
                <w:lang w:val="en-US" w:eastAsia="en-US"/>
              </w:rPr>
            </w:pPr>
            <w:r w:rsidRPr="00696C50">
              <w:rPr>
                <w:i/>
                <w:lang w:val="en-US" w:eastAsia="en-US"/>
              </w:rPr>
              <w:t>Corporations Act 2001</w:t>
            </w:r>
          </w:p>
        </w:tc>
      </w:tr>
      <w:tr w:rsidR="00B17774" w:rsidRPr="002C43E8" w14:paraId="194A9DB4" w14:textId="77777777" w:rsidTr="00E85046">
        <w:tc>
          <w:tcPr>
            <w:tcW w:w="2721" w:type="dxa"/>
          </w:tcPr>
          <w:p w14:paraId="3F689068" w14:textId="7ACA3B0E" w:rsidR="00B17774" w:rsidRPr="002C43E8" w:rsidRDefault="007D02CA" w:rsidP="00E85046">
            <w:pPr>
              <w:pStyle w:val="Glossarytabletext"/>
              <w:rPr>
                <w:lang w:val="en-US" w:eastAsia="en-US"/>
              </w:rPr>
            </w:pPr>
            <w:r>
              <w:rPr>
                <w:lang w:val="en-US" w:eastAsia="en-US"/>
              </w:rPr>
              <w:t>Credit Act</w:t>
            </w:r>
          </w:p>
        </w:tc>
        <w:tc>
          <w:tcPr>
            <w:tcW w:w="3885" w:type="dxa"/>
          </w:tcPr>
          <w:p w14:paraId="2978C5D7" w14:textId="70A585FA" w:rsidR="00B17774" w:rsidRPr="002C43E8" w:rsidRDefault="007D02CA" w:rsidP="00E85046">
            <w:pPr>
              <w:pStyle w:val="Glossarytabletext"/>
              <w:rPr>
                <w:lang w:val="en-US" w:eastAsia="en-US"/>
              </w:rPr>
            </w:pPr>
            <w:r>
              <w:rPr>
                <w:i/>
                <w:lang w:val="en-US" w:eastAsia="en-US"/>
              </w:rPr>
              <w:t>National Consumer Credit Protection Act 2009</w:t>
            </w:r>
          </w:p>
        </w:tc>
      </w:tr>
      <w:tr w:rsidR="007E5523" w:rsidRPr="002C43E8" w14:paraId="314F8F81" w14:textId="77777777" w:rsidTr="00E85046">
        <w:tc>
          <w:tcPr>
            <w:tcW w:w="2721" w:type="dxa"/>
          </w:tcPr>
          <w:p w14:paraId="21EA65AB" w14:textId="3EC326F0" w:rsidR="007E5523" w:rsidRDefault="007E5523" w:rsidP="00E85046">
            <w:pPr>
              <w:pStyle w:val="Glossarytabletext"/>
              <w:rPr>
                <w:lang w:val="en-US" w:eastAsia="en-US"/>
              </w:rPr>
            </w:pPr>
            <w:r>
              <w:rPr>
                <w:lang w:val="en-US" w:eastAsia="en-US"/>
              </w:rPr>
              <w:t>Financial Sector (Transfer and Restructure) Act</w:t>
            </w:r>
          </w:p>
        </w:tc>
        <w:tc>
          <w:tcPr>
            <w:tcW w:w="3885" w:type="dxa"/>
          </w:tcPr>
          <w:p w14:paraId="384B06C5" w14:textId="6CC95BB9" w:rsidR="007E5523" w:rsidRDefault="007E5523" w:rsidP="00E85046">
            <w:pPr>
              <w:pStyle w:val="Glossarytabletext"/>
              <w:rPr>
                <w:i/>
                <w:lang w:val="en-US" w:eastAsia="en-US"/>
              </w:rPr>
            </w:pPr>
            <w:r>
              <w:rPr>
                <w:i/>
                <w:lang w:val="en-US" w:eastAsia="en-US"/>
              </w:rPr>
              <w:t>Financial Sector (Transfer and Restructure) Act 1999</w:t>
            </w:r>
          </w:p>
        </w:tc>
      </w:tr>
      <w:tr w:rsidR="00172BC1" w:rsidRPr="002C43E8" w14:paraId="2362B32C" w14:textId="77777777" w:rsidTr="00E85046">
        <w:tc>
          <w:tcPr>
            <w:tcW w:w="2721" w:type="dxa"/>
          </w:tcPr>
          <w:p w14:paraId="3144669D" w14:textId="0B86F351" w:rsidR="00172BC1" w:rsidRDefault="00172BC1" w:rsidP="00E85046">
            <w:pPr>
              <w:pStyle w:val="Glossarytabletext"/>
              <w:rPr>
                <w:lang w:val="en-US" w:eastAsia="en-US"/>
              </w:rPr>
            </w:pPr>
            <w:r>
              <w:rPr>
                <w:lang w:val="en-US" w:eastAsia="en-US"/>
              </w:rPr>
              <w:t>Legislation Act</w:t>
            </w:r>
          </w:p>
        </w:tc>
        <w:tc>
          <w:tcPr>
            <w:tcW w:w="3885" w:type="dxa"/>
          </w:tcPr>
          <w:p w14:paraId="28215FBE" w14:textId="3D2D3CEC" w:rsidR="00172BC1" w:rsidRDefault="00172BC1" w:rsidP="00E85046">
            <w:pPr>
              <w:pStyle w:val="Glossarytabletext"/>
              <w:rPr>
                <w:i/>
                <w:lang w:val="en-US" w:eastAsia="en-US"/>
              </w:rPr>
            </w:pPr>
            <w:r w:rsidRPr="00735193">
              <w:rPr>
                <w:i/>
              </w:rPr>
              <w:t>Legislation Act 2003</w:t>
            </w:r>
            <w:r>
              <w:t xml:space="preserve"> </w:t>
            </w:r>
          </w:p>
        </w:tc>
      </w:tr>
      <w:tr w:rsidR="00B17774" w:rsidRPr="002C43E8" w14:paraId="62878C22" w14:textId="77777777" w:rsidTr="00E85046">
        <w:tc>
          <w:tcPr>
            <w:tcW w:w="2721" w:type="dxa"/>
          </w:tcPr>
          <w:p w14:paraId="5E90B8A3" w14:textId="3EC68E28" w:rsidR="00B17774" w:rsidRPr="002C43E8" w:rsidRDefault="007D02CA" w:rsidP="00E85046">
            <w:pPr>
              <w:pStyle w:val="Glossarytabletext"/>
              <w:rPr>
                <w:lang w:val="en-US" w:eastAsia="en-US"/>
              </w:rPr>
            </w:pPr>
            <w:r>
              <w:rPr>
                <w:lang w:val="en-US" w:eastAsia="en-US"/>
              </w:rPr>
              <w:t>ITAA 1936</w:t>
            </w:r>
          </w:p>
        </w:tc>
        <w:tc>
          <w:tcPr>
            <w:tcW w:w="3885" w:type="dxa"/>
          </w:tcPr>
          <w:p w14:paraId="71083288" w14:textId="7E10969F" w:rsidR="00B17774" w:rsidRPr="007D02CA" w:rsidRDefault="007D02CA" w:rsidP="00E85046">
            <w:pPr>
              <w:pStyle w:val="Glossarytabletext"/>
              <w:rPr>
                <w:i/>
                <w:lang w:val="en-US" w:eastAsia="en-US"/>
              </w:rPr>
            </w:pPr>
            <w:r>
              <w:rPr>
                <w:i/>
                <w:lang w:val="en-US" w:eastAsia="en-US"/>
              </w:rPr>
              <w:t>Income Tax Assessment Act 1936</w:t>
            </w:r>
          </w:p>
        </w:tc>
      </w:tr>
      <w:tr w:rsidR="00B17774" w:rsidRPr="002C43E8" w14:paraId="208F0712" w14:textId="77777777" w:rsidTr="00E85046">
        <w:tc>
          <w:tcPr>
            <w:tcW w:w="2721" w:type="dxa"/>
          </w:tcPr>
          <w:p w14:paraId="0517D071" w14:textId="62EB79C9" w:rsidR="00B17774" w:rsidRPr="002C43E8" w:rsidRDefault="007D02CA" w:rsidP="00E85046">
            <w:pPr>
              <w:pStyle w:val="Glossarytabletext"/>
              <w:rPr>
                <w:lang w:val="en-US" w:eastAsia="en-US"/>
              </w:rPr>
            </w:pPr>
            <w:r>
              <w:rPr>
                <w:lang w:val="en-US" w:eastAsia="en-US"/>
              </w:rPr>
              <w:t>ITAA 1997</w:t>
            </w:r>
          </w:p>
        </w:tc>
        <w:tc>
          <w:tcPr>
            <w:tcW w:w="3885" w:type="dxa"/>
          </w:tcPr>
          <w:p w14:paraId="7DA43B97" w14:textId="3C5D949F" w:rsidR="00B17774" w:rsidRPr="007D02CA" w:rsidRDefault="007D02CA" w:rsidP="00E85046">
            <w:pPr>
              <w:pStyle w:val="Glossarytabletext"/>
              <w:rPr>
                <w:i/>
                <w:lang w:val="en-US" w:eastAsia="en-US"/>
              </w:rPr>
            </w:pPr>
            <w:r>
              <w:rPr>
                <w:i/>
                <w:lang w:val="en-US" w:eastAsia="en-US"/>
              </w:rPr>
              <w:t>Income Tax Assessment Act 1997</w:t>
            </w:r>
          </w:p>
        </w:tc>
      </w:tr>
      <w:tr w:rsidR="0079357C" w:rsidRPr="002C43E8" w14:paraId="1B5613BB" w14:textId="77777777" w:rsidTr="00E85046">
        <w:tc>
          <w:tcPr>
            <w:tcW w:w="2721" w:type="dxa"/>
          </w:tcPr>
          <w:p w14:paraId="1FF320D7" w14:textId="626D430C" w:rsidR="0079357C" w:rsidRDefault="0079357C" w:rsidP="00E85046">
            <w:pPr>
              <w:pStyle w:val="Glossarytabletext"/>
              <w:rPr>
                <w:lang w:val="en-US" w:eastAsia="en-US"/>
              </w:rPr>
            </w:pPr>
            <w:r>
              <w:rPr>
                <w:lang w:val="en-US" w:eastAsia="en-US"/>
              </w:rPr>
              <w:t>SES</w:t>
            </w:r>
          </w:p>
        </w:tc>
        <w:tc>
          <w:tcPr>
            <w:tcW w:w="3885" w:type="dxa"/>
          </w:tcPr>
          <w:p w14:paraId="4D3F9579" w14:textId="0F8CCE30" w:rsidR="0079357C" w:rsidRPr="00696C50" w:rsidRDefault="0079357C" w:rsidP="00E85046">
            <w:pPr>
              <w:pStyle w:val="Glossarytabletext"/>
              <w:rPr>
                <w:lang w:val="en-US" w:eastAsia="en-US"/>
              </w:rPr>
            </w:pPr>
            <w:r w:rsidRPr="00696C50">
              <w:rPr>
                <w:lang w:val="en-US" w:eastAsia="en-US"/>
              </w:rPr>
              <w:t xml:space="preserve">Senior </w:t>
            </w:r>
            <w:r>
              <w:rPr>
                <w:lang w:val="en-US" w:eastAsia="en-US"/>
              </w:rPr>
              <w:t>Executive Service</w:t>
            </w:r>
          </w:p>
        </w:tc>
      </w:tr>
      <w:tr w:rsidR="00B17774" w:rsidRPr="002C43E8" w14:paraId="10621574" w14:textId="77777777" w:rsidTr="00E85046">
        <w:tc>
          <w:tcPr>
            <w:tcW w:w="2721" w:type="dxa"/>
          </w:tcPr>
          <w:p w14:paraId="2A0EF0B7" w14:textId="5101ACE6" w:rsidR="00B17774" w:rsidRPr="002C43E8" w:rsidRDefault="007D02CA" w:rsidP="00E85046">
            <w:pPr>
              <w:pStyle w:val="Glossarytabletext"/>
              <w:rPr>
                <w:lang w:val="en-US" w:eastAsia="en-US"/>
              </w:rPr>
            </w:pPr>
            <w:r>
              <w:rPr>
                <w:lang w:val="en-US" w:eastAsia="en-US"/>
              </w:rPr>
              <w:t>SIS Act</w:t>
            </w:r>
          </w:p>
        </w:tc>
        <w:tc>
          <w:tcPr>
            <w:tcW w:w="3885" w:type="dxa"/>
          </w:tcPr>
          <w:p w14:paraId="1A3578A5" w14:textId="65635DA6" w:rsidR="00B17774" w:rsidRPr="007D02CA" w:rsidRDefault="007D02CA" w:rsidP="00E85046">
            <w:pPr>
              <w:pStyle w:val="Glossarytabletext"/>
              <w:rPr>
                <w:i/>
                <w:lang w:val="en-US" w:eastAsia="en-US"/>
              </w:rPr>
            </w:pPr>
            <w:r>
              <w:rPr>
                <w:i/>
                <w:lang w:val="en-US" w:eastAsia="en-US"/>
              </w:rPr>
              <w:t>Superannuation Industry (Supervision) Act 1993</w:t>
            </w:r>
          </w:p>
        </w:tc>
      </w:tr>
      <w:tr w:rsidR="00B17774" w:rsidRPr="002C43E8" w14:paraId="794EFA14" w14:textId="77777777" w:rsidTr="00E85046">
        <w:tc>
          <w:tcPr>
            <w:tcW w:w="2721" w:type="dxa"/>
          </w:tcPr>
          <w:p w14:paraId="1DDDCFDF" w14:textId="4EEB7926" w:rsidR="00B17774" w:rsidRPr="002C43E8" w:rsidRDefault="007D02CA" w:rsidP="00E85046">
            <w:pPr>
              <w:pStyle w:val="Glossarytabletext"/>
              <w:rPr>
                <w:lang w:val="en-US" w:eastAsia="en-US"/>
              </w:rPr>
            </w:pPr>
            <w:r>
              <w:rPr>
                <w:lang w:val="en-US" w:eastAsia="en-US"/>
              </w:rPr>
              <w:t>TAA 1953</w:t>
            </w:r>
          </w:p>
        </w:tc>
        <w:tc>
          <w:tcPr>
            <w:tcW w:w="3885" w:type="dxa"/>
          </w:tcPr>
          <w:p w14:paraId="617C517C" w14:textId="0AA08F5C" w:rsidR="00B17774" w:rsidRPr="007D02CA" w:rsidRDefault="007D02CA" w:rsidP="00E85046">
            <w:pPr>
              <w:pStyle w:val="Glossarytabletext"/>
              <w:rPr>
                <w:i/>
                <w:lang w:val="en-US" w:eastAsia="en-US"/>
              </w:rPr>
            </w:pPr>
            <w:r>
              <w:rPr>
                <w:i/>
                <w:lang w:val="en-US" w:eastAsia="en-US"/>
              </w:rPr>
              <w:t>Taxation Administration Act 1953</w:t>
            </w:r>
          </w:p>
        </w:tc>
      </w:tr>
    </w:tbl>
    <w:p w14:paraId="055CC345" w14:textId="77777777" w:rsidR="00E5385B" w:rsidRDefault="00E5385B" w:rsidP="00B17774"/>
    <w:p w14:paraId="52BBE297" w14:textId="77777777" w:rsidR="00B17774" w:rsidRDefault="00B17774" w:rsidP="00B17774"/>
    <w:p w14:paraId="0CF0A15C" w14:textId="77777777" w:rsidR="00E679CA" w:rsidRDefault="00E679CA" w:rsidP="00B17774">
      <w:pPr>
        <w:sectPr w:rsidR="00E679CA" w:rsidSect="00E74E50">
          <w:headerReference w:type="even" r:id="rId25"/>
          <w:headerReference w:type="default" r:id="rId26"/>
          <w:footerReference w:type="even" r:id="rId27"/>
          <w:footerReference w:type="default" r:id="rId28"/>
          <w:footerReference w:type="first" r:id="rId29"/>
          <w:type w:val="oddPage"/>
          <w:pgSz w:w="9979" w:h="14175" w:code="9"/>
          <w:pgMar w:top="567" w:right="1134" w:bottom="567" w:left="1134" w:header="709" w:footer="709" w:gutter="0"/>
          <w:pgNumType w:start="1"/>
          <w:cols w:space="708"/>
          <w:titlePg/>
          <w:docGrid w:linePitch="360"/>
        </w:sectPr>
      </w:pPr>
    </w:p>
    <w:p w14:paraId="3CB2A54C" w14:textId="77777777" w:rsidR="00B17774" w:rsidRPr="007C2B20" w:rsidRDefault="00840701" w:rsidP="000C2A9D">
      <w:pPr>
        <w:pStyle w:val="ChapterHeading"/>
      </w:pPr>
      <w:r w:rsidRPr="000C2A9D">
        <w:lastRenderedPageBreak/>
        <w:br/>
      </w:r>
      <w:bookmarkStart w:id="4" w:name="_Toc526954725"/>
      <w:r w:rsidR="000D0817">
        <w:rPr>
          <w:rStyle w:val="ChapterNameOnly"/>
        </w:rPr>
        <w:t>Miscellaneous amendments</w:t>
      </w:r>
      <w:bookmarkEnd w:id="4"/>
    </w:p>
    <w:p w14:paraId="2C7C23A9" w14:textId="77777777" w:rsidR="00B17774" w:rsidRDefault="00B17774" w:rsidP="00B17774">
      <w:pPr>
        <w:pStyle w:val="Heading2"/>
      </w:pPr>
      <w:r>
        <w:t>Outline of chapter</w:t>
      </w:r>
    </w:p>
    <w:p w14:paraId="3170D613" w14:textId="3D92ABCC" w:rsidR="00B17774" w:rsidRDefault="00C02788" w:rsidP="00C0075F">
      <w:pPr>
        <w:numPr>
          <w:ilvl w:val="1"/>
          <w:numId w:val="4"/>
        </w:numPr>
      </w:pPr>
      <w:r>
        <w:t>Schedule 1 to the</w:t>
      </w:r>
      <w:r w:rsidR="00910242">
        <w:t xml:space="preserve"> exposure draft Bill makes a number of miscellaneous amendments to legislation in the Treasury portfolio. These amendments are part of the Government’s commitment to the care and maintenance of the Treasury portfolio le</w:t>
      </w:r>
      <w:r w:rsidR="008610A5">
        <w:t>gislation.</w:t>
      </w:r>
    </w:p>
    <w:p w14:paraId="1787F6C4" w14:textId="36C952FC" w:rsidR="008610A5" w:rsidRDefault="008610A5" w:rsidP="00C0075F">
      <w:pPr>
        <w:numPr>
          <w:ilvl w:val="1"/>
          <w:numId w:val="4"/>
        </w:numPr>
      </w:pPr>
      <w:r>
        <w:t xml:space="preserve">These amendments make minor technical changes to correct spelling errors, bring provisions in line with drafting conventions, and repeal inoperative provisions. The </w:t>
      </w:r>
      <w:r w:rsidR="00C02788">
        <w:t>Schedule</w:t>
      </w:r>
      <w:r>
        <w:t xml:space="preserve"> also makes minor technical amendments to remove administrative inefficiencies and clarifies the law ensuring the law operates in accordance with the policy intent.</w:t>
      </w:r>
    </w:p>
    <w:p w14:paraId="50D15BE9" w14:textId="77777777" w:rsidR="00B17774" w:rsidRDefault="00B17774" w:rsidP="00B17774">
      <w:pPr>
        <w:pStyle w:val="Heading2"/>
      </w:pPr>
      <w:r>
        <w:t>Context of amendments</w:t>
      </w:r>
    </w:p>
    <w:p w14:paraId="2EC8DFD7" w14:textId="4AAA97EE" w:rsidR="007D29FA" w:rsidRDefault="007D29FA" w:rsidP="00C0075F">
      <w:pPr>
        <w:pStyle w:val="base-text-paragraph"/>
        <w:numPr>
          <w:ilvl w:val="1"/>
          <w:numId w:val="4"/>
        </w:numPr>
      </w:pPr>
      <w:r>
        <w:t xml:space="preserve">The 2008 Tax Design Review Panel recommended a channel to regularly progress amendments for the care and maintenance of the tax law. The Panel was appointed to examine how to reduce delays </w:t>
      </w:r>
      <w:r w:rsidR="00E265A1">
        <w:t xml:space="preserve">in </w:t>
      </w:r>
      <w:r>
        <w:t>enacting tax legislation and improve the quality of the tax law changes.</w:t>
      </w:r>
    </w:p>
    <w:p w14:paraId="0ABFDEA7" w14:textId="44063B27" w:rsidR="00B17774" w:rsidRDefault="007D29FA" w:rsidP="00C0075F">
      <w:pPr>
        <w:pStyle w:val="base-text-paragraph"/>
        <w:numPr>
          <w:ilvl w:val="1"/>
          <w:numId w:val="4"/>
        </w:numPr>
      </w:pPr>
      <w:r>
        <w:t xml:space="preserve">Miscellaneous amendments to Treasury portfolio legislation are periodically made to remove anomalies, correct unintended outcomes and improve the quality of legislation within the Treasury portfolio. </w:t>
      </w:r>
    </w:p>
    <w:p w14:paraId="53BAE594" w14:textId="5230BB7F" w:rsidR="006C3B3D" w:rsidRDefault="006C3B3D" w:rsidP="00C0075F">
      <w:pPr>
        <w:pStyle w:val="base-text-paragraph"/>
        <w:numPr>
          <w:ilvl w:val="1"/>
          <w:numId w:val="4"/>
        </w:numPr>
      </w:pPr>
      <w:proofErr w:type="gramStart"/>
      <w:r>
        <w:t>Progressing</w:t>
      </w:r>
      <w:proofErr w:type="gramEnd"/>
      <w:r>
        <w:t xml:space="preserve"> such amendments gives priority to the care and maintenance of legislation in the Treasury portfolio.</w:t>
      </w:r>
    </w:p>
    <w:p w14:paraId="7DCD5A72" w14:textId="77777777" w:rsidR="00B17774" w:rsidRDefault="00B17774" w:rsidP="00B17774">
      <w:pPr>
        <w:pStyle w:val="Heading2"/>
      </w:pPr>
      <w:r>
        <w:t>Summary of new law</w:t>
      </w:r>
    </w:p>
    <w:p w14:paraId="4A13C6F1" w14:textId="77777777" w:rsidR="00B17774" w:rsidRDefault="000D0817" w:rsidP="00C0075F">
      <w:pPr>
        <w:pStyle w:val="base-text-paragraph"/>
        <w:numPr>
          <w:ilvl w:val="1"/>
          <w:numId w:val="4"/>
        </w:numPr>
      </w:pPr>
      <w:r>
        <w:t>These miscellaneous amendments address technical deficiencies and legislative uncertainties within Treasury portfolio legislation including taxation, superannuation, corporations, and competition and consumer laws.</w:t>
      </w:r>
    </w:p>
    <w:p w14:paraId="73C3EB3B" w14:textId="141E5A72" w:rsidR="000D0817" w:rsidRDefault="000D0817" w:rsidP="00C0075F">
      <w:pPr>
        <w:pStyle w:val="base-text-paragraph"/>
        <w:numPr>
          <w:ilvl w:val="1"/>
          <w:numId w:val="4"/>
        </w:numPr>
      </w:pPr>
      <w:r>
        <w:t xml:space="preserve">The </w:t>
      </w:r>
      <w:r w:rsidR="00C02788">
        <w:t>Schedule</w:t>
      </w:r>
      <w:r>
        <w:t xml:space="preserve"> contains the following </w:t>
      </w:r>
      <w:r w:rsidR="00C02788">
        <w:t>Parts</w:t>
      </w:r>
      <w:r>
        <w:t>:</w:t>
      </w:r>
    </w:p>
    <w:p w14:paraId="3E2434EA" w14:textId="71F6E894" w:rsidR="000D0817" w:rsidRDefault="00C02788" w:rsidP="000D0817">
      <w:pPr>
        <w:pStyle w:val="dotpoint"/>
      </w:pPr>
      <w:r w:rsidRPr="0079357C">
        <w:t>Part</w:t>
      </w:r>
      <w:r w:rsidR="007D0B6F" w:rsidRPr="0079357C">
        <w:t xml:space="preserve"> 1</w:t>
      </w:r>
      <w:r w:rsidR="000D0817" w:rsidRPr="00870336">
        <w:t>—</w:t>
      </w:r>
      <w:r w:rsidRPr="00870336">
        <w:t>A</w:t>
      </w:r>
      <w:r w:rsidR="000D0817" w:rsidRPr="0079357C">
        <w:t>mendments</w:t>
      </w:r>
      <w:r w:rsidR="000D0817">
        <w:t xml:space="preserve"> commencing </w:t>
      </w:r>
      <w:r>
        <w:t xml:space="preserve">on the </w:t>
      </w:r>
      <w:r w:rsidR="000D0817">
        <w:t>day after Royal Assent</w:t>
      </w:r>
      <w:r>
        <w:t>;</w:t>
      </w:r>
    </w:p>
    <w:p w14:paraId="0E0EBFDD" w14:textId="28456F60" w:rsidR="000D0817" w:rsidRPr="0079357C" w:rsidRDefault="00C02788" w:rsidP="000D0817">
      <w:pPr>
        <w:pStyle w:val="dotpoint"/>
      </w:pPr>
      <w:r w:rsidRPr="0079357C">
        <w:t>Part</w:t>
      </w:r>
      <w:r w:rsidR="007D0B6F" w:rsidRPr="0079357C">
        <w:t xml:space="preserve"> 2</w:t>
      </w:r>
      <w:r w:rsidR="000D0817" w:rsidRPr="00870336">
        <w:t>—</w:t>
      </w:r>
      <w:r w:rsidRPr="00870336">
        <w:t>A</w:t>
      </w:r>
      <w:r w:rsidR="000D0817" w:rsidRPr="0079357C">
        <w:t>mendments</w:t>
      </w:r>
      <w:r w:rsidR="003E3661" w:rsidRPr="0079357C">
        <w:t xml:space="preserve"> commencing </w:t>
      </w:r>
      <w:r w:rsidRPr="0079357C">
        <w:t>on the first 1 January, 1 </w:t>
      </w:r>
      <w:r w:rsidR="003E3661" w:rsidRPr="0079357C">
        <w:t>April, 1 July or 1 October to occur after Royal Assent</w:t>
      </w:r>
      <w:r w:rsidRPr="0079357C">
        <w:t>;</w:t>
      </w:r>
    </w:p>
    <w:p w14:paraId="66E3465E" w14:textId="0ACE883A" w:rsidR="003E3661" w:rsidRPr="0079357C" w:rsidRDefault="00C02788" w:rsidP="000D0817">
      <w:pPr>
        <w:pStyle w:val="dotpoint"/>
      </w:pPr>
      <w:r w:rsidRPr="0079357C">
        <w:lastRenderedPageBreak/>
        <w:t>Part</w:t>
      </w:r>
      <w:r w:rsidR="007D0B6F" w:rsidRPr="0079357C">
        <w:t xml:space="preserve"> 3</w:t>
      </w:r>
      <w:r w:rsidR="003E3661" w:rsidRPr="00870336">
        <w:t>—</w:t>
      </w:r>
      <w:r w:rsidRPr="00870336">
        <w:t>A</w:t>
      </w:r>
      <w:r w:rsidR="003E3661" w:rsidRPr="0079357C">
        <w:t>mendments commencing 28 days after Royal Assent</w:t>
      </w:r>
      <w:r w:rsidRPr="0079357C">
        <w:t>; and</w:t>
      </w:r>
    </w:p>
    <w:p w14:paraId="1B839600" w14:textId="304CBE16" w:rsidR="00C02788" w:rsidRPr="008F726E" w:rsidRDefault="00C02788" w:rsidP="000D0817">
      <w:pPr>
        <w:pStyle w:val="dotpoint"/>
      </w:pPr>
      <w:r w:rsidRPr="0079357C">
        <w:t>Part 4</w:t>
      </w:r>
      <w:r w:rsidRPr="00870336">
        <w:t>—</w:t>
      </w:r>
      <w:r w:rsidRPr="0079357C">
        <w:t>Amendments</w:t>
      </w:r>
      <w:r>
        <w:t xml:space="preserve"> commencing on 1 January 2019.</w:t>
      </w:r>
    </w:p>
    <w:p w14:paraId="380F701F" w14:textId="77777777" w:rsidR="00B17774" w:rsidRDefault="00B17774" w:rsidP="00B17774">
      <w:pPr>
        <w:pStyle w:val="Heading2"/>
      </w:pPr>
      <w:r>
        <w:t>Detailed explanation of new law</w:t>
      </w:r>
    </w:p>
    <w:p w14:paraId="434D2549" w14:textId="075755B3" w:rsidR="00B17774" w:rsidRDefault="00C02788" w:rsidP="007D0B6F">
      <w:pPr>
        <w:pStyle w:val="Heading3"/>
      </w:pPr>
      <w:r>
        <w:t>Part</w:t>
      </w:r>
      <w:r w:rsidR="00870336">
        <w:t xml:space="preserve"> 1</w:t>
      </w:r>
      <w:r w:rsidR="00870336">
        <w:rPr>
          <w:rFonts w:ascii="Calibri" w:hAnsi="Calibri"/>
        </w:rPr>
        <w:t>—</w:t>
      </w:r>
      <w:r w:rsidR="00477248">
        <w:t>A</w:t>
      </w:r>
      <w:r w:rsidR="007D0B6F">
        <w:t xml:space="preserve">mendments commencing </w:t>
      </w:r>
      <w:r w:rsidR="00DB792D">
        <w:t xml:space="preserve">on the </w:t>
      </w:r>
      <w:r w:rsidR="007D0B6F">
        <w:t>day after Royal Assent</w:t>
      </w:r>
    </w:p>
    <w:p w14:paraId="019C3B10" w14:textId="3C7F6D93" w:rsidR="007D0B6F" w:rsidRPr="00B0759C" w:rsidRDefault="00C02788" w:rsidP="00B0759C">
      <w:pPr>
        <w:pStyle w:val="base-text-paragraph"/>
        <w:numPr>
          <w:ilvl w:val="0"/>
          <w:numId w:val="0"/>
        </w:numPr>
        <w:ind w:left="1134"/>
        <w:rPr>
          <w:b/>
          <w:i/>
        </w:rPr>
      </w:pPr>
      <w:r>
        <w:rPr>
          <w:b/>
          <w:i/>
        </w:rPr>
        <w:t xml:space="preserve">Amendment to the </w:t>
      </w:r>
      <w:r w:rsidR="00E36FD3" w:rsidRPr="00B0759C">
        <w:rPr>
          <w:b/>
          <w:i/>
        </w:rPr>
        <w:t xml:space="preserve">APRA </w:t>
      </w:r>
      <w:r w:rsidR="007D0B6F" w:rsidRPr="00B0759C">
        <w:rPr>
          <w:b/>
          <w:i/>
        </w:rPr>
        <w:t>Act</w:t>
      </w:r>
    </w:p>
    <w:p w14:paraId="23C5B7AE" w14:textId="714583C2" w:rsidR="007842D7" w:rsidRPr="004C4D03" w:rsidRDefault="00465117" w:rsidP="007F43AE">
      <w:pPr>
        <w:pStyle w:val="base-text-paragraph"/>
        <w:numPr>
          <w:ilvl w:val="1"/>
          <w:numId w:val="24"/>
        </w:numPr>
        <w:rPr>
          <w:rStyle w:val="Referencingstyle"/>
          <w:b w:val="0"/>
          <w:i w:val="0"/>
          <w:sz w:val="22"/>
        </w:rPr>
      </w:pPr>
      <w:r>
        <w:t>Schedule 1</w:t>
      </w:r>
      <w:r w:rsidR="007A07DE">
        <w:t xml:space="preserve"> </w:t>
      </w:r>
      <w:r w:rsidR="00A1134C">
        <w:t>to</w:t>
      </w:r>
      <w:r w:rsidR="007A07DE">
        <w:t xml:space="preserve"> the </w:t>
      </w:r>
      <w:r w:rsidR="00C02788">
        <w:t xml:space="preserve">exposure draft </w:t>
      </w:r>
      <w:r w:rsidR="007A07DE">
        <w:t>Bill</w:t>
      </w:r>
      <w:r>
        <w:t xml:space="preserve"> </w:t>
      </w:r>
      <w:r w:rsidR="00EE02A2">
        <w:t>amends</w:t>
      </w:r>
      <w:r w:rsidR="007842D7">
        <w:t xml:space="preserve"> subsection 55(2) of the APRA Act to </w:t>
      </w:r>
      <w:r w:rsidR="00EE02A2">
        <w:t>omit</w:t>
      </w:r>
      <w:r>
        <w:t xml:space="preserve"> the reference to subsection </w:t>
      </w:r>
      <w:r w:rsidR="00F40776">
        <w:t>55</w:t>
      </w:r>
      <w:r>
        <w:t>(1A)</w:t>
      </w:r>
      <w:r w:rsidR="00F40776">
        <w:t xml:space="preserve">, which </w:t>
      </w:r>
      <w:r w:rsidRPr="00465117">
        <w:t xml:space="preserve">was repealed </w:t>
      </w:r>
      <w:r w:rsidR="007842D7">
        <w:t>by</w:t>
      </w:r>
      <w:r w:rsidRPr="00465117">
        <w:t xml:space="preserve"> </w:t>
      </w:r>
      <w:r w:rsidRPr="007842D7">
        <w:t xml:space="preserve">the </w:t>
      </w:r>
      <w:r w:rsidRPr="007842D7">
        <w:rPr>
          <w:i/>
        </w:rPr>
        <w:t>Governance Review Implementation (Treasury Portfolio Agencies) Act 2007</w:t>
      </w:r>
      <w:r w:rsidRPr="00465117">
        <w:t>.</w:t>
      </w:r>
      <w:r w:rsidR="007842D7">
        <w:t xml:space="preserve"> </w:t>
      </w:r>
      <w:r w:rsidR="007842D7">
        <w:rPr>
          <w:rStyle w:val="Referencingstyle"/>
        </w:rPr>
        <w:t>[Schedule 1, i</w:t>
      </w:r>
      <w:r w:rsidR="007842D7" w:rsidRPr="00375F1D">
        <w:rPr>
          <w:rStyle w:val="Referencingstyle"/>
        </w:rPr>
        <w:t xml:space="preserve">tem </w:t>
      </w:r>
      <w:r w:rsidR="007842D7">
        <w:rPr>
          <w:rStyle w:val="Referencingstyle"/>
        </w:rPr>
        <w:t>1</w:t>
      </w:r>
      <w:r w:rsidR="007842D7" w:rsidRPr="00375F1D">
        <w:rPr>
          <w:rStyle w:val="Referencingstyle"/>
        </w:rPr>
        <w:t xml:space="preserve">, </w:t>
      </w:r>
      <w:r w:rsidR="007842D7">
        <w:rPr>
          <w:rStyle w:val="Referencingstyle"/>
        </w:rPr>
        <w:t>subsection 55(2)</w:t>
      </w:r>
      <w:r w:rsidR="00F725F4">
        <w:rPr>
          <w:rStyle w:val="Referencingstyle"/>
        </w:rPr>
        <w:t xml:space="preserve"> </w:t>
      </w:r>
      <w:r w:rsidR="007842D7">
        <w:rPr>
          <w:rStyle w:val="Referencingstyle"/>
        </w:rPr>
        <w:t>of the APRA Act</w:t>
      </w:r>
      <w:r w:rsidR="007842D7" w:rsidRPr="00375F1D">
        <w:rPr>
          <w:rStyle w:val="Referencingstyle"/>
        </w:rPr>
        <w:t>]</w:t>
      </w:r>
    </w:p>
    <w:p w14:paraId="61928A9C" w14:textId="041F671A" w:rsidR="007D0B6F" w:rsidRDefault="00FD6462" w:rsidP="007842D7">
      <w:pPr>
        <w:pStyle w:val="base-text-paragraph"/>
        <w:numPr>
          <w:ilvl w:val="0"/>
          <w:numId w:val="0"/>
        </w:numPr>
        <w:ind w:left="414" w:firstLine="720"/>
        <w:rPr>
          <w:b/>
          <w:i/>
        </w:rPr>
      </w:pPr>
      <w:r>
        <w:rPr>
          <w:b/>
          <w:i/>
        </w:rPr>
        <w:t xml:space="preserve">Amendments to the </w:t>
      </w:r>
      <w:r w:rsidR="007D0B6F" w:rsidRPr="00B0759C">
        <w:rPr>
          <w:b/>
          <w:i/>
        </w:rPr>
        <w:t>Banking Act</w:t>
      </w:r>
    </w:p>
    <w:p w14:paraId="085B4ED3" w14:textId="74A38C5A" w:rsidR="00DB792D" w:rsidRDefault="00DB792D" w:rsidP="00DB792D">
      <w:pPr>
        <w:pStyle w:val="Heading5"/>
      </w:pPr>
      <w:r>
        <w:t>Defences to disclosure of protected information</w:t>
      </w:r>
    </w:p>
    <w:p w14:paraId="72BAAAEA" w14:textId="1D2C27B1" w:rsidR="00B0759C" w:rsidRPr="004C4D03" w:rsidRDefault="004C4D03" w:rsidP="00C0075F">
      <w:pPr>
        <w:pStyle w:val="base-text-paragraph"/>
        <w:numPr>
          <w:ilvl w:val="1"/>
          <w:numId w:val="4"/>
        </w:numPr>
        <w:rPr>
          <w:rStyle w:val="Referencingstyle"/>
          <w:b w:val="0"/>
          <w:i w:val="0"/>
          <w:sz w:val="22"/>
        </w:rPr>
      </w:pPr>
      <w:r>
        <w:t xml:space="preserve">Schedule 1 </w:t>
      </w:r>
      <w:r w:rsidR="00A1134C">
        <w:t>to</w:t>
      </w:r>
      <w:r w:rsidR="00F40776">
        <w:t xml:space="preserve"> the exposure draft Bill amends paragraph </w:t>
      </w:r>
      <w:r>
        <w:t xml:space="preserve">11CM(1)(c) of the Banking Act to ensure that the disclosure of protected information is permitted where it is made in accordance with a provision referred to in paragraph 56(2)(c) of the APRA Act. </w:t>
      </w:r>
      <w:r>
        <w:rPr>
          <w:rStyle w:val="Referencingstyle"/>
        </w:rPr>
        <w:t>[Schedule 1, i</w:t>
      </w:r>
      <w:r w:rsidRPr="00375F1D">
        <w:rPr>
          <w:rStyle w:val="Referencingstyle"/>
        </w:rPr>
        <w:t xml:space="preserve">tem </w:t>
      </w:r>
      <w:r>
        <w:rPr>
          <w:rStyle w:val="Referencingstyle"/>
        </w:rPr>
        <w:t>2</w:t>
      </w:r>
      <w:r w:rsidRPr="00375F1D">
        <w:rPr>
          <w:rStyle w:val="Referencingstyle"/>
        </w:rPr>
        <w:t xml:space="preserve">, </w:t>
      </w:r>
      <w:r>
        <w:rPr>
          <w:rStyle w:val="Referencingstyle"/>
        </w:rPr>
        <w:t>paragraph</w:t>
      </w:r>
      <w:r w:rsidR="000F3B92">
        <w:rPr>
          <w:rStyle w:val="Referencingstyle"/>
        </w:rPr>
        <w:t> </w:t>
      </w:r>
      <w:r>
        <w:rPr>
          <w:rStyle w:val="Referencingstyle"/>
        </w:rPr>
        <w:t>11CM(1)(</w:t>
      </w:r>
      <w:r w:rsidR="000F3B92">
        <w:rPr>
          <w:rStyle w:val="Referencingstyle"/>
        </w:rPr>
        <w:t>c</w:t>
      </w:r>
      <w:r>
        <w:rPr>
          <w:rStyle w:val="Referencingstyle"/>
        </w:rPr>
        <w:t>) of the Banking Act</w:t>
      </w:r>
      <w:r w:rsidRPr="00375F1D">
        <w:rPr>
          <w:rStyle w:val="Referencingstyle"/>
        </w:rPr>
        <w:t>]</w:t>
      </w:r>
    </w:p>
    <w:p w14:paraId="17637567" w14:textId="77777777" w:rsidR="000D2224" w:rsidRDefault="004C4D03" w:rsidP="00C0075F">
      <w:pPr>
        <w:pStyle w:val="base-text-paragraph"/>
        <w:numPr>
          <w:ilvl w:val="1"/>
          <w:numId w:val="4"/>
        </w:numPr>
        <w:rPr>
          <w:rStyle w:val="Referencingstyle"/>
          <w:b w:val="0"/>
          <w:i w:val="0"/>
          <w:sz w:val="22"/>
        </w:rPr>
      </w:pPr>
      <w:r w:rsidRPr="004862F5">
        <w:rPr>
          <w:rStyle w:val="Referencingstyle"/>
          <w:b w:val="0"/>
          <w:i w:val="0"/>
          <w:sz w:val="22"/>
        </w:rPr>
        <w:t xml:space="preserve">Paragraph 11CM(1)(c) of the Banking Act ensures that </w:t>
      </w:r>
      <w:r w:rsidR="000D2224">
        <w:rPr>
          <w:rStyle w:val="Referencingstyle"/>
          <w:b w:val="0"/>
          <w:i w:val="0"/>
          <w:sz w:val="22"/>
        </w:rPr>
        <w:t xml:space="preserve">the defences </w:t>
      </w:r>
      <w:r w:rsidRPr="004862F5">
        <w:rPr>
          <w:rStyle w:val="Referencingstyle"/>
          <w:b w:val="0"/>
          <w:i w:val="0"/>
          <w:sz w:val="22"/>
        </w:rPr>
        <w:t xml:space="preserve">against committing an offence </w:t>
      </w:r>
      <w:r w:rsidR="004862F5" w:rsidRPr="004862F5">
        <w:rPr>
          <w:rStyle w:val="Referencingstyle"/>
          <w:b w:val="0"/>
          <w:i w:val="0"/>
          <w:sz w:val="22"/>
        </w:rPr>
        <w:t xml:space="preserve">under the APRA Act </w:t>
      </w:r>
      <w:r w:rsidRPr="004862F5">
        <w:rPr>
          <w:rStyle w:val="Referencingstyle"/>
          <w:b w:val="0"/>
          <w:i w:val="0"/>
          <w:sz w:val="22"/>
        </w:rPr>
        <w:t xml:space="preserve">for the disclosure of protected information </w:t>
      </w:r>
      <w:r w:rsidR="004862F5" w:rsidRPr="004862F5">
        <w:rPr>
          <w:rStyle w:val="Referencingstyle"/>
          <w:b w:val="0"/>
          <w:i w:val="0"/>
          <w:sz w:val="22"/>
        </w:rPr>
        <w:t xml:space="preserve">also apply to the equivalent offence </w:t>
      </w:r>
      <w:r w:rsidR="000D2224">
        <w:rPr>
          <w:rStyle w:val="Referencingstyle"/>
          <w:b w:val="0"/>
          <w:i w:val="0"/>
          <w:sz w:val="22"/>
        </w:rPr>
        <w:t>in</w:t>
      </w:r>
      <w:r w:rsidR="004862F5" w:rsidRPr="004862F5">
        <w:rPr>
          <w:rStyle w:val="Referencingstyle"/>
          <w:b w:val="0"/>
          <w:i w:val="0"/>
          <w:sz w:val="22"/>
        </w:rPr>
        <w:t xml:space="preserve"> the Banking Act. </w:t>
      </w:r>
    </w:p>
    <w:p w14:paraId="27B6FE22" w14:textId="65AE29D6" w:rsidR="004C4D03" w:rsidRDefault="004862F5" w:rsidP="00C0075F">
      <w:pPr>
        <w:pStyle w:val="base-text-paragraph"/>
        <w:numPr>
          <w:ilvl w:val="1"/>
          <w:numId w:val="4"/>
        </w:numPr>
        <w:rPr>
          <w:rStyle w:val="Referencingstyle"/>
          <w:b w:val="0"/>
          <w:i w:val="0"/>
          <w:sz w:val="22"/>
        </w:rPr>
      </w:pPr>
      <w:r w:rsidRPr="004862F5">
        <w:rPr>
          <w:rStyle w:val="Referencingstyle"/>
          <w:b w:val="0"/>
          <w:i w:val="0"/>
          <w:sz w:val="22"/>
        </w:rPr>
        <w:t xml:space="preserve">Paragraph </w:t>
      </w:r>
      <w:proofErr w:type="gramStart"/>
      <w:r w:rsidRPr="004862F5">
        <w:rPr>
          <w:rStyle w:val="Referencingstyle"/>
          <w:b w:val="0"/>
          <w:i w:val="0"/>
          <w:sz w:val="22"/>
        </w:rPr>
        <w:t>11CM(</w:t>
      </w:r>
      <w:proofErr w:type="gramEnd"/>
      <w:r w:rsidRPr="004862F5">
        <w:rPr>
          <w:rStyle w:val="Referencingstyle"/>
          <w:b w:val="0"/>
          <w:i w:val="0"/>
          <w:sz w:val="22"/>
        </w:rPr>
        <w:t xml:space="preserve">1)(c) previously referred to the </w:t>
      </w:r>
      <w:r w:rsidR="004C4D03" w:rsidRPr="004862F5">
        <w:rPr>
          <w:rStyle w:val="Referencingstyle"/>
          <w:b w:val="0"/>
          <w:i w:val="0"/>
          <w:sz w:val="22"/>
        </w:rPr>
        <w:t xml:space="preserve">specific provisions </w:t>
      </w:r>
      <w:r>
        <w:rPr>
          <w:rStyle w:val="Referencingstyle"/>
          <w:b w:val="0"/>
          <w:i w:val="0"/>
          <w:sz w:val="22"/>
        </w:rPr>
        <w:t xml:space="preserve">containing these defences </w:t>
      </w:r>
      <w:r w:rsidR="004C4D03" w:rsidRPr="004862F5">
        <w:rPr>
          <w:rStyle w:val="Referencingstyle"/>
          <w:b w:val="0"/>
          <w:i w:val="0"/>
          <w:sz w:val="22"/>
        </w:rPr>
        <w:t>in section 56 of the APRA</w:t>
      </w:r>
      <w:r>
        <w:rPr>
          <w:rStyle w:val="Referencingstyle"/>
          <w:b w:val="0"/>
          <w:i w:val="0"/>
          <w:sz w:val="22"/>
        </w:rPr>
        <w:t> </w:t>
      </w:r>
      <w:r w:rsidR="004C4D03" w:rsidRPr="004862F5">
        <w:rPr>
          <w:rStyle w:val="Referencingstyle"/>
          <w:b w:val="0"/>
          <w:i w:val="0"/>
          <w:sz w:val="22"/>
        </w:rPr>
        <w:t>Act</w:t>
      </w:r>
      <w:r>
        <w:rPr>
          <w:rStyle w:val="Referencingstyle"/>
          <w:b w:val="0"/>
          <w:i w:val="0"/>
          <w:sz w:val="22"/>
        </w:rPr>
        <w:t xml:space="preserve">. These amendments </w:t>
      </w:r>
      <w:r w:rsidR="000D2224">
        <w:rPr>
          <w:rStyle w:val="Referencingstyle"/>
          <w:b w:val="0"/>
          <w:i w:val="0"/>
          <w:sz w:val="22"/>
        </w:rPr>
        <w:t>apply</w:t>
      </w:r>
      <w:r>
        <w:rPr>
          <w:rStyle w:val="Referencingstyle"/>
          <w:b w:val="0"/>
          <w:i w:val="0"/>
          <w:sz w:val="22"/>
        </w:rPr>
        <w:t xml:space="preserve"> a more </w:t>
      </w:r>
      <w:r w:rsidR="000D2224">
        <w:rPr>
          <w:rStyle w:val="Referencingstyle"/>
          <w:b w:val="0"/>
          <w:i w:val="0"/>
          <w:sz w:val="22"/>
        </w:rPr>
        <w:t>flexible</w:t>
      </w:r>
      <w:r>
        <w:rPr>
          <w:rStyle w:val="Referencingstyle"/>
          <w:b w:val="0"/>
          <w:i w:val="0"/>
          <w:sz w:val="22"/>
        </w:rPr>
        <w:t xml:space="preserve"> approach by </w:t>
      </w:r>
      <w:r w:rsidR="00DB792D">
        <w:rPr>
          <w:rStyle w:val="Referencingstyle"/>
          <w:b w:val="0"/>
          <w:i w:val="0"/>
          <w:sz w:val="22"/>
        </w:rPr>
        <w:t>updating paragraph </w:t>
      </w:r>
      <w:proofErr w:type="gramStart"/>
      <w:r w:rsidR="000D2224">
        <w:rPr>
          <w:rStyle w:val="Referencingstyle"/>
          <w:b w:val="0"/>
          <w:i w:val="0"/>
          <w:sz w:val="22"/>
        </w:rPr>
        <w:t>11CM(</w:t>
      </w:r>
      <w:proofErr w:type="gramEnd"/>
      <w:r w:rsidR="000D2224">
        <w:rPr>
          <w:rStyle w:val="Referencingstyle"/>
          <w:b w:val="0"/>
          <w:i w:val="0"/>
          <w:sz w:val="22"/>
        </w:rPr>
        <w:t xml:space="preserve">1)(c) to </w:t>
      </w:r>
      <w:r>
        <w:rPr>
          <w:rStyle w:val="Referencingstyle"/>
          <w:b w:val="0"/>
          <w:i w:val="0"/>
          <w:sz w:val="22"/>
        </w:rPr>
        <w:t>refer to the part of section 56 that lists the defences in that section (that is, paragraph 56(2)(c) of the APRA Act). This approach ensures that any new defences</w:t>
      </w:r>
      <w:r w:rsidR="00274F5E">
        <w:rPr>
          <w:rStyle w:val="Referencingstyle"/>
          <w:b w:val="0"/>
          <w:i w:val="0"/>
          <w:sz w:val="22"/>
        </w:rPr>
        <w:t xml:space="preserve"> that are inserted into section </w:t>
      </w:r>
      <w:r>
        <w:rPr>
          <w:rStyle w:val="Referencingstyle"/>
          <w:b w:val="0"/>
          <w:i w:val="0"/>
          <w:sz w:val="22"/>
        </w:rPr>
        <w:t xml:space="preserve">56 of the APRA Act are automatically extended to paragraph </w:t>
      </w:r>
      <w:proofErr w:type="gramStart"/>
      <w:r>
        <w:rPr>
          <w:rStyle w:val="Referencingstyle"/>
          <w:b w:val="0"/>
          <w:i w:val="0"/>
          <w:sz w:val="22"/>
        </w:rPr>
        <w:t>11CM(</w:t>
      </w:r>
      <w:proofErr w:type="gramEnd"/>
      <w:r>
        <w:rPr>
          <w:rStyle w:val="Referencingstyle"/>
          <w:b w:val="0"/>
          <w:i w:val="0"/>
          <w:sz w:val="22"/>
        </w:rPr>
        <w:t>1)</w:t>
      </w:r>
      <w:r w:rsidR="00DB792D">
        <w:rPr>
          <w:rStyle w:val="Referencingstyle"/>
          <w:b w:val="0"/>
          <w:i w:val="0"/>
          <w:sz w:val="22"/>
        </w:rPr>
        <w:t>(c)</w:t>
      </w:r>
      <w:r>
        <w:rPr>
          <w:rStyle w:val="Referencingstyle"/>
          <w:b w:val="0"/>
          <w:i w:val="0"/>
          <w:sz w:val="22"/>
        </w:rPr>
        <w:t xml:space="preserve"> without the need for consequential amendments. </w:t>
      </w:r>
      <w:r w:rsidR="000D2224">
        <w:rPr>
          <w:rStyle w:val="Referencingstyle"/>
          <w:b w:val="0"/>
          <w:i w:val="0"/>
          <w:sz w:val="22"/>
        </w:rPr>
        <w:t xml:space="preserve">The amendments also </w:t>
      </w:r>
      <w:r>
        <w:rPr>
          <w:rStyle w:val="Referencingstyle"/>
          <w:b w:val="0"/>
          <w:i w:val="0"/>
          <w:sz w:val="22"/>
        </w:rPr>
        <w:t xml:space="preserve">ensures that new subsections 56(7D) to (7F) of the APRA Act apply for the purposes of </w:t>
      </w:r>
      <w:r w:rsidR="000D2224">
        <w:rPr>
          <w:rStyle w:val="Referencingstyle"/>
          <w:b w:val="0"/>
          <w:i w:val="0"/>
          <w:sz w:val="22"/>
        </w:rPr>
        <w:t xml:space="preserve">paragraph </w:t>
      </w:r>
      <w:proofErr w:type="gramStart"/>
      <w:r w:rsidR="000D2224">
        <w:rPr>
          <w:rStyle w:val="Referencingstyle"/>
          <w:b w:val="0"/>
          <w:i w:val="0"/>
          <w:sz w:val="22"/>
        </w:rPr>
        <w:t>11CM(</w:t>
      </w:r>
      <w:proofErr w:type="gramEnd"/>
      <w:r w:rsidR="000D2224">
        <w:rPr>
          <w:rStyle w:val="Referencingstyle"/>
          <w:b w:val="0"/>
          <w:i w:val="0"/>
          <w:sz w:val="22"/>
        </w:rPr>
        <w:t>1)(c) of the Banking Act.</w:t>
      </w:r>
    </w:p>
    <w:p w14:paraId="0B89DAB6" w14:textId="73FF698A" w:rsidR="007D0B57" w:rsidRDefault="007D0B57" w:rsidP="007D0B57">
      <w:pPr>
        <w:pStyle w:val="base-text-paragraph"/>
        <w:numPr>
          <w:ilvl w:val="1"/>
          <w:numId w:val="4"/>
        </w:numPr>
        <w:rPr>
          <w:rStyle w:val="Referencingstyle"/>
          <w:b w:val="0"/>
          <w:i w:val="0"/>
          <w:sz w:val="22"/>
        </w:rPr>
      </w:pPr>
      <w:r w:rsidRPr="007D0B57">
        <w:rPr>
          <w:rStyle w:val="Referencingstyle"/>
          <w:b w:val="0"/>
          <w:i w:val="0"/>
          <w:sz w:val="22"/>
        </w:rPr>
        <w:t xml:space="preserve">The amendment applies for all disclosures, regardless of whether the disclosure was made before or after </w:t>
      </w:r>
      <w:r w:rsidR="00A23D17">
        <w:rPr>
          <w:rStyle w:val="Referencingstyle"/>
          <w:b w:val="0"/>
          <w:i w:val="0"/>
          <w:sz w:val="22"/>
        </w:rPr>
        <w:t xml:space="preserve">the amendment </w:t>
      </w:r>
      <w:r>
        <w:rPr>
          <w:rStyle w:val="Referencingstyle"/>
          <w:b w:val="0"/>
          <w:i w:val="0"/>
          <w:sz w:val="22"/>
        </w:rPr>
        <w:t xml:space="preserve">commences. </w:t>
      </w:r>
      <w:r>
        <w:rPr>
          <w:rStyle w:val="Referencingstyle"/>
        </w:rPr>
        <w:t xml:space="preserve">[Schedule 1, </w:t>
      </w:r>
      <w:proofErr w:type="spellStart"/>
      <w:r>
        <w:rPr>
          <w:rStyle w:val="Referencingstyle"/>
        </w:rPr>
        <w:t>subi</w:t>
      </w:r>
      <w:r w:rsidRPr="00375F1D">
        <w:rPr>
          <w:rStyle w:val="Referencingstyle"/>
        </w:rPr>
        <w:t>tem</w:t>
      </w:r>
      <w:proofErr w:type="spellEnd"/>
      <w:r>
        <w:rPr>
          <w:rStyle w:val="Referencingstyle"/>
        </w:rPr>
        <w:t> 66(1</w:t>
      </w:r>
      <w:r w:rsidRPr="00375F1D">
        <w:rPr>
          <w:rStyle w:val="Referencingstyle"/>
        </w:rPr>
        <w:t>]</w:t>
      </w:r>
    </w:p>
    <w:p w14:paraId="0874D63D" w14:textId="5EEA1B4A" w:rsidR="007D0B57" w:rsidRDefault="007D0B57" w:rsidP="00C0075F">
      <w:pPr>
        <w:pStyle w:val="base-text-paragraph"/>
        <w:numPr>
          <w:ilvl w:val="1"/>
          <w:numId w:val="4"/>
        </w:numPr>
        <w:rPr>
          <w:rStyle w:val="Referencingstyle"/>
          <w:b w:val="0"/>
          <w:i w:val="0"/>
          <w:sz w:val="22"/>
        </w:rPr>
      </w:pPr>
      <w:r>
        <w:rPr>
          <w:rStyle w:val="Referencingstyle"/>
          <w:b w:val="0"/>
          <w:i w:val="0"/>
          <w:sz w:val="22"/>
        </w:rPr>
        <w:t>The amendment does not affect the status of any disclosures that were permitted under the previous provision. This is because any such disclosures continue to be permitted under the amended provision.</w:t>
      </w:r>
    </w:p>
    <w:p w14:paraId="1D25E5E8" w14:textId="3F934443" w:rsidR="00DB792D" w:rsidRDefault="00DB792D" w:rsidP="00DB792D">
      <w:pPr>
        <w:pStyle w:val="Heading5"/>
        <w:rPr>
          <w:rStyle w:val="Referencingstyle"/>
          <w:b w:val="0"/>
          <w:i/>
          <w:sz w:val="22"/>
        </w:rPr>
      </w:pPr>
      <w:r>
        <w:rPr>
          <w:rStyle w:val="Referencingstyle"/>
          <w:b w:val="0"/>
          <w:i/>
          <w:sz w:val="22"/>
        </w:rPr>
        <w:lastRenderedPageBreak/>
        <w:t>Other Amendments</w:t>
      </w:r>
    </w:p>
    <w:p w14:paraId="13120A0E" w14:textId="26E82E5D" w:rsidR="000F3B92" w:rsidRPr="000F3B92" w:rsidRDefault="000F3B92" w:rsidP="00C0075F">
      <w:pPr>
        <w:pStyle w:val="base-text-paragraph"/>
        <w:numPr>
          <w:ilvl w:val="1"/>
          <w:numId w:val="4"/>
        </w:numPr>
        <w:rPr>
          <w:rStyle w:val="Referencingstyle"/>
          <w:b w:val="0"/>
          <w:i w:val="0"/>
          <w:sz w:val="22"/>
        </w:rPr>
      </w:pPr>
      <w:r>
        <w:rPr>
          <w:rStyle w:val="Referencingstyle"/>
          <w:b w:val="0"/>
          <w:i w:val="0"/>
          <w:sz w:val="22"/>
        </w:rPr>
        <w:t xml:space="preserve">Schedule 1 amends paragraph </w:t>
      </w:r>
      <w:proofErr w:type="gramStart"/>
      <w:r>
        <w:rPr>
          <w:rStyle w:val="Referencingstyle"/>
          <w:b w:val="0"/>
          <w:i w:val="0"/>
          <w:sz w:val="22"/>
        </w:rPr>
        <w:t>11E(</w:t>
      </w:r>
      <w:proofErr w:type="gramEnd"/>
      <w:r>
        <w:rPr>
          <w:rStyle w:val="Referencingstyle"/>
          <w:b w:val="0"/>
          <w:i w:val="0"/>
          <w:sz w:val="22"/>
        </w:rPr>
        <w:t>2)(b) of the Banking Act to ensure that it correctly refers to subsectio</w:t>
      </w:r>
      <w:r w:rsidR="00274F5E">
        <w:rPr>
          <w:rStyle w:val="Referencingstyle"/>
          <w:b w:val="0"/>
          <w:i w:val="0"/>
          <w:sz w:val="22"/>
        </w:rPr>
        <w:t>n 11E(1B) instead of subsection </w:t>
      </w:r>
      <w:r>
        <w:rPr>
          <w:rStyle w:val="Referencingstyle"/>
          <w:b w:val="0"/>
          <w:i w:val="0"/>
          <w:sz w:val="22"/>
        </w:rPr>
        <w:t xml:space="preserve">11E(1). </w:t>
      </w:r>
      <w:r>
        <w:rPr>
          <w:rStyle w:val="Referencingstyle"/>
        </w:rPr>
        <w:t>[Schedule 1, i</w:t>
      </w:r>
      <w:r w:rsidRPr="00375F1D">
        <w:rPr>
          <w:rStyle w:val="Referencingstyle"/>
        </w:rPr>
        <w:t xml:space="preserve">tem </w:t>
      </w:r>
      <w:r w:rsidR="00061E80">
        <w:rPr>
          <w:rStyle w:val="Referencingstyle"/>
        </w:rPr>
        <w:t>3</w:t>
      </w:r>
      <w:r w:rsidRPr="00375F1D">
        <w:rPr>
          <w:rStyle w:val="Referencingstyle"/>
        </w:rPr>
        <w:t xml:space="preserve">, </w:t>
      </w:r>
      <w:r>
        <w:rPr>
          <w:rStyle w:val="Referencingstyle"/>
        </w:rPr>
        <w:t>paragraph 11E(2)(b)) of the Banking Act</w:t>
      </w:r>
      <w:r w:rsidRPr="00375F1D">
        <w:rPr>
          <w:rStyle w:val="Referencingstyle"/>
        </w:rPr>
        <w:t>]</w:t>
      </w:r>
    </w:p>
    <w:p w14:paraId="2CF8F327" w14:textId="77777777" w:rsidR="000F3B92" w:rsidRDefault="000F3B92" w:rsidP="000F3B92">
      <w:pPr>
        <w:pStyle w:val="base-text-paragraph"/>
        <w:numPr>
          <w:ilvl w:val="1"/>
          <w:numId w:val="4"/>
        </w:numPr>
        <w:rPr>
          <w:rStyle w:val="Referencingstyle"/>
          <w:b w:val="0"/>
          <w:i w:val="0"/>
          <w:sz w:val="22"/>
        </w:rPr>
      </w:pPr>
      <w:r w:rsidRPr="000F3B92">
        <w:rPr>
          <w:rStyle w:val="Referencingstyle"/>
          <w:b w:val="0"/>
          <w:i w:val="0"/>
          <w:sz w:val="22"/>
        </w:rPr>
        <w:t xml:space="preserve">Subsection 11E(2) makes it an offence for a foreign ADI to accept a deposit from a person in Australia without first informing them of certain requirements under the Banking Act that the foreign ADI is not subject to. </w:t>
      </w:r>
    </w:p>
    <w:p w14:paraId="4D2EF976" w14:textId="3C6279F1" w:rsidR="000F3B92" w:rsidRDefault="000F3B92" w:rsidP="000F3B92">
      <w:pPr>
        <w:pStyle w:val="base-text-paragraph"/>
        <w:numPr>
          <w:ilvl w:val="1"/>
          <w:numId w:val="4"/>
        </w:numPr>
        <w:rPr>
          <w:rStyle w:val="Referencingstyle"/>
          <w:b w:val="0"/>
          <w:i w:val="0"/>
          <w:sz w:val="22"/>
        </w:rPr>
      </w:pPr>
      <w:r w:rsidRPr="000F3B92">
        <w:rPr>
          <w:rStyle w:val="Referencingstyle"/>
          <w:b w:val="0"/>
          <w:i w:val="0"/>
          <w:sz w:val="22"/>
        </w:rPr>
        <w:t xml:space="preserve">Section 11E was amended by the </w:t>
      </w:r>
      <w:r w:rsidRPr="000F3B92">
        <w:rPr>
          <w:rStyle w:val="Referencingstyle"/>
          <w:b w:val="0"/>
          <w:sz w:val="22"/>
        </w:rPr>
        <w:t>Financial Sector Legislation Amendment (Crisis Resolution Powers and Other Measures) Act 2018</w:t>
      </w:r>
      <w:r w:rsidRPr="000F3B92">
        <w:rPr>
          <w:rStyle w:val="Referencingstyle"/>
          <w:b w:val="0"/>
          <w:i w:val="0"/>
          <w:sz w:val="22"/>
        </w:rPr>
        <w:t xml:space="preserve">. As part of these amendments, the </w:t>
      </w:r>
      <w:r>
        <w:rPr>
          <w:rStyle w:val="Referencingstyle"/>
          <w:b w:val="0"/>
          <w:i w:val="0"/>
          <w:sz w:val="22"/>
        </w:rPr>
        <w:t xml:space="preserve">provision that exempts a foreign ADI from certain </w:t>
      </w:r>
      <w:r w:rsidRPr="000F3B92">
        <w:rPr>
          <w:rStyle w:val="Referencingstyle"/>
          <w:b w:val="0"/>
          <w:i w:val="0"/>
          <w:sz w:val="22"/>
        </w:rPr>
        <w:t xml:space="preserve">regulatory requirements </w:t>
      </w:r>
      <w:r>
        <w:rPr>
          <w:rStyle w:val="Referencingstyle"/>
          <w:b w:val="0"/>
          <w:i w:val="0"/>
          <w:sz w:val="22"/>
        </w:rPr>
        <w:t xml:space="preserve">in respect of deposits made by persons in Australia was moved to subsection 11E(1B). These amendments ensure that this exemption is correctly referred to in subsection </w:t>
      </w:r>
      <w:proofErr w:type="gramStart"/>
      <w:r>
        <w:rPr>
          <w:rStyle w:val="Referencingstyle"/>
          <w:b w:val="0"/>
          <w:i w:val="0"/>
          <w:sz w:val="22"/>
        </w:rPr>
        <w:t>11E(</w:t>
      </w:r>
      <w:proofErr w:type="gramEnd"/>
      <w:r>
        <w:rPr>
          <w:rStyle w:val="Referencingstyle"/>
          <w:b w:val="0"/>
          <w:i w:val="0"/>
          <w:sz w:val="22"/>
        </w:rPr>
        <w:t xml:space="preserve">2). </w:t>
      </w:r>
    </w:p>
    <w:p w14:paraId="4B016AFD" w14:textId="1BF2C05B" w:rsidR="000F3B92" w:rsidRPr="000F3B92" w:rsidRDefault="000F3B92" w:rsidP="000F3B92">
      <w:pPr>
        <w:pStyle w:val="base-text-paragraph"/>
        <w:numPr>
          <w:ilvl w:val="1"/>
          <w:numId w:val="4"/>
        </w:numPr>
        <w:rPr>
          <w:rStyle w:val="Referencingstyle"/>
          <w:b w:val="0"/>
          <w:i w:val="0"/>
          <w:sz w:val="22"/>
        </w:rPr>
      </w:pPr>
      <w:r>
        <w:rPr>
          <w:rStyle w:val="Referencingstyle"/>
          <w:b w:val="0"/>
          <w:i w:val="0"/>
          <w:sz w:val="22"/>
        </w:rPr>
        <w:t xml:space="preserve">Schedule 1 </w:t>
      </w:r>
      <w:r w:rsidR="00DB792D">
        <w:rPr>
          <w:rStyle w:val="Referencingstyle"/>
          <w:b w:val="0"/>
          <w:i w:val="0"/>
          <w:sz w:val="22"/>
        </w:rPr>
        <w:t xml:space="preserve">also </w:t>
      </w:r>
      <w:r>
        <w:rPr>
          <w:rStyle w:val="Referencingstyle"/>
          <w:b w:val="0"/>
          <w:i w:val="0"/>
          <w:sz w:val="22"/>
        </w:rPr>
        <w:t xml:space="preserve">amends subsection 14A(6) of the Banking Act to </w:t>
      </w:r>
      <w:r w:rsidR="00A23D17">
        <w:rPr>
          <w:rStyle w:val="Referencingstyle"/>
          <w:b w:val="0"/>
          <w:i w:val="0"/>
          <w:sz w:val="22"/>
        </w:rPr>
        <w:t xml:space="preserve">amend </w:t>
      </w:r>
      <w:r>
        <w:rPr>
          <w:rStyle w:val="Referencingstyle"/>
          <w:b w:val="0"/>
          <w:i w:val="0"/>
          <w:sz w:val="22"/>
        </w:rPr>
        <w:t xml:space="preserve">the term ‘officer’ </w:t>
      </w:r>
      <w:r w:rsidR="0079357C">
        <w:rPr>
          <w:rStyle w:val="Referencingstyle"/>
          <w:b w:val="0"/>
          <w:i w:val="0"/>
          <w:sz w:val="22"/>
        </w:rPr>
        <w:t xml:space="preserve">so that it </w:t>
      </w:r>
      <w:r>
        <w:rPr>
          <w:rStyle w:val="Referencingstyle"/>
          <w:b w:val="0"/>
          <w:i w:val="0"/>
          <w:sz w:val="22"/>
        </w:rPr>
        <w:t xml:space="preserve">is defined in relation to a ‘body corporate’ instead of an ‘ADI’. </w:t>
      </w:r>
      <w:r>
        <w:rPr>
          <w:rStyle w:val="Referencingstyle"/>
        </w:rPr>
        <w:t>[Schedule 1, i</w:t>
      </w:r>
      <w:r w:rsidRPr="00375F1D">
        <w:rPr>
          <w:rStyle w:val="Referencingstyle"/>
        </w:rPr>
        <w:t xml:space="preserve">tem </w:t>
      </w:r>
      <w:r w:rsidR="00061E80">
        <w:rPr>
          <w:rStyle w:val="Referencingstyle"/>
        </w:rPr>
        <w:t>4</w:t>
      </w:r>
      <w:r w:rsidRPr="00375F1D">
        <w:rPr>
          <w:rStyle w:val="Referencingstyle"/>
        </w:rPr>
        <w:t xml:space="preserve">, </w:t>
      </w:r>
      <w:r w:rsidR="00DB792D">
        <w:rPr>
          <w:rStyle w:val="Referencingstyle"/>
        </w:rPr>
        <w:t xml:space="preserve">definition of ‘officer’ in </w:t>
      </w:r>
      <w:r>
        <w:rPr>
          <w:rStyle w:val="Referencingstyle"/>
        </w:rPr>
        <w:t>subsection 14A(6) of the Banking Act</w:t>
      </w:r>
      <w:r w:rsidRPr="00375F1D">
        <w:rPr>
          <w:rStyle w:val="Referencingstyle"/>
        </w:rPr>
        <w:t>]</w:t>
      </w:r>
    </w:p>
    <w:p w14:paraId="083C4B2E" w14:textId="18ECFE19" w:rsidR="000F3B92" w:rsidRDefault="000F3B92" w:rsidP="000F3B92">
      <w:pPr>
        <w:pStyle w:val="base-text-paragraph"/>
        <w:numPr>
          <w:ilvl w:val="1"/>
          <w:numId w:val="4"/>
        </w:numPr>
        <w:rPr>
          <w:rStyle w:val="Referencingstyle"/>
          <w:b w:val="0"/>
          <w:i w:val="0"/>
          <w:sz w:val="22"/>
        </w:rPr>
      </w:pPr>
      <w:r>
        <w:rPr>
          <w:rStyle w:val="Referencingstyle"/>
          <w:b w:val="0"/>
          <w:i w:val="0"/>
          <w:sz w:val="22"/>
        </w:rPr>
        <w:t>This amendment corrects an inconsistency between the way that the term ‘officer’ was previously defined and the rest of section 14A of the Banking Act, which refers to ‘body corporate</w:t>
      </w:r>
      <w:r w:rsidR="00736B12">
        <w:rPr>
          <w:rStyle w:val="Referencingstyle"/>
          <w:b w:val="0"/>
          <w:i w:val="0"/>
          <w:sz w:val="22"/>
        </w:rPr>
        <w:t>s</w:t>
      </w:r>
      <w:r>
        <w:rPr>
          <w:rStyle w:val="Referencingstyle"/>
          <w:b w:val="0"/>
          <w:i w:val="0"/>
          <w:sz w:val="22"/>
        </w:rPr>
        <w:t>’ rather than ‘ADI</w:t>
      </w:r>
      <w:r w:rsidR="00736B12">
        <w:rPr>
          <w:rStyle w:val="Referencingstyle"/>
          <w:b w:val="0"/>
          <w:i w:val="0"/>
          <w:sz w:val="22"/>
        </w:rPr>
        <w:t>s’.</w:t>
      </w:r>
      <w:r w:rsidR="000A319E">
        <w:rPr>
          <w:rStyle w:val="Referencingstyle"/>
          <w:b w:val="0"/>
          <w:i w:val="0"/>
          <w:sz w:val="22"/>
        </w:rPr>
        <w:t xml:space="preserve"> The amendment does not affect the meaning of the term ‘officer’.</w:t>
      </w:r>
    </w:p>
    <w:p w14:paraId="4DDC6C8C" w14:textId="519954E9" w:rsidR="007D0B6F" w:rsidRDefault="0048074F" w:rsidP="0098788A">
      <w:pPr>
        <w:pStyle w:val="base-text-paragraph"/>
        <w:numPr>
          <w:ilvl w:val="0"/>
          <w:numId w:val="0"/>
        </w:numPr>
        <w:ind w:left="1134"/>
        <w:rPr>
          <w:b/>
          <w:i/>
        </w:rPr>
      </w:pPr>
      <w:r>
        <w:rPr>
          <w:b/>
          <w:i/>
        </w:rPr>
        <w:t xml:space="preserve">Amendments to the </w:t>
      </w:r>
      <w:r w:rsidR="007D0B6F" w:rsidRPr="0098788A">
        <w:rPr>
          <w:b/>
          <w:i/>
        </w:rPr>
        <w:t>Competition and Consumer Act</w:t>
      </w:r>
    </w:p>
    <w:p w14:paraId="38CC9ED5" w14:textId="29AB9A1E" w:rsidR="00DB792D" w:rsidRDefault="00DB792D" w:rsidP="00DB792D">
      <w:pPr>
        <w:pStyle w:val="Heading5"/>
        <w:rPr>
          <w:rStyle w:val="Referencingstyle"/>
          <w:b w:val="0"/>
          <w:i/>
          <w:sz w:val="22"/>
        </w:rPr>
      </w:pPr>
      <w:r>
        <w:rPr>
          <w:rStyle w:val="Referencingstyle"/>
          <w:b w:val="0"/>
          <w:i/>
          <w:sz w:val="22"/>
        </w:rPr>
        <w:t>Extensions for time to comply</w:t>
      </w:r>
    </w:p>
    <w:p w14:paraId="51BD5536" w14:textId="1CF6230E" w:rsidR="001F43B6" w:rsidRPr="001F43B6" w:rsidRDefault="00665F05" w:rsidP="001F43B6">
      <w:pPr>
        <w:pStyle w:val="base-text-paragraph"/>
        <w:numPr>
          <w:ilvl w:val="1"/>
          <w:numId w:val="4"/>
        </w:numPr>
        <w:rPr>
          <w:rStyle w:val="Referencingstyle"/>
          <w:b w:val="0"/>
          <w:i w:val="0"/>
          <w:sz w:val="22"/>
        </w:rPr>
      </w:pPr>
      <w:r>
        <w:rPr>
          <w:rStyle w:val="Referencingstyle"/>
          <w:b w:val="0"/>
          <w:i w:val="0"/>
          <w:sz w:val="22"/>
        </w:rPr>
        <w:t xml:space="preserve">Schedule 1 to the exposure draft </w:t>
      </w:r>
      <w:r w:rsidR="00B83224" w:rsidRPr="001F43B6">
        <w:rPr>
          <w:rStyle w:val="Referencingstyle"/>
          <w:b w:val="0"/>
          <w:i w:val="0"/>
          <w:sz w:val="22"/>
        </w:rPr>
        <w:t>Bill</w:t>
      </w:r>
      <w:r w:rsidR="00031509" w:rsidRPr="001F43B6">
        <w:rPr>
          <w:rStyle w:val="Referencingstyle"/>
          <w:b w:val="0"/>
          <w:i w:val="0"/>
          <w:sz w:val="22"/>
        </w:rPr>
        <w:t xml:space="preserve"> </w:t>
      </w:r>
      <w:r w:rsidR="00645E31" w:rsidRPr="001F43B6">
        <w:rPr>
          <w:rStyle w:val="Referencingstyle"/>
          <w:b w:val="0"/>
          <w:i w:val="0"/>
          <w:sz w:val="22"/>
        </w:rPr>
        <w:t>amends</w:t>
      </w:r>
      <w:r w:rsidR="00230AD1" w:rsidRPr="001F43B6">
        <w:rPr>
          <w:rStyle w:val="Referencingstyle"/>
          <w:b w:val="0"/>
          <w:i w:val="0"/>
          <w:sz w:val="22"/>
        </w:rPr>
        <w:t xml:space="preserve"> the period of time within which a corporation must comply with a notice to obtain information or produce documents in relation to compliance with industry codes. </w:t>
      </w:r>
    </w:p>
    <w:p w14:paraId="3EC0444B" w14:textId="0960479E" w:rsidR="001F43B6" w:rsidRDefault="001F43B6" w:rsidP="001F43B6">
      <w:pPr>
        <w:pStyle w:val="base-text-paragraph"/>
        <w:numPr>
          <w:ilvl w:val="1"/>
          <w:numId w:val="4"/>
        </w:numPr>
        <w:rPr>
          <w:rStyle w:val="Referencingstyle"/>
          <w:b w:val="0"/>
          <w:i w:val="0"/>
          <w:sz w:val="22"/>
        </w:rPr>
      </w:pPr>
      <w:r w:rsidRPr="001F43B6">
        <w:rPr>
          <w:rStyle w:val="Referencingstyle"/>
          <w:b w:val="0"/>
          <w:i w:val="0"/>
          <w:sz w:val="22"/>
        </w:rPr>
        <w:t>Currently under section 51ADD</w:t>
      </w:r>
      <w:r w:rsidR="00665F05">
        <w:rPr>
          <w:rStyle w:val="Referencingstyle"/>
          <w:b w:val="0"/>
          <w:i w:val="0"/>
          <w:sz w:val="22"/>
        </w:rPr>
        <w:t>,</w:t>
      </w:r>
      <w:r w:rsidRPr="001F43B6">
        <w:rPr>
          <w:rStyle w:val="Referencingstyle"/>
          <w:b w:val="0"/>
          <w:i w:val="0"/>
          <w:sz w:val="22"/>
        </w:rPr>
        <w:t xml:space="preserve"> corporations have 21 days to comply with a notice issued by the ACCC unless an e</w:t>
      </w:r>
      <w:r w:rsidR="009B6028">
        <w:rPr>
          <w:rStyle w:val="Referencingstyle"/>
          <w:b w:val="0"/>
          <w:i w:val="0"/>
          <w:sz w:val="22"/>
        </w:rPr>
        <w:t xml:space="preserve">xtension is sought under </w:t>
      </w:r>
      <w:r w:rsidRPr="001F43B6">
        <w:rPr>
          <w:rStyle w:val="Referencingstyle"/>
          <w:b w:val="0"/>
          <w:i w:val="0"/>
          <w:sz w:val="22"/>
        </w:rPr>
        <w:t>section 51ADE. The current drafting only allows for one extension of time for compliance per application. This means any further extension requires a revocation of the original notice and reissue.</w:t>
      </w:r>
    </w:p>
    <w:p w14:paraId="38221479" w14:textId="7108BFD8" w:rsidR="00435F1B" w:rsidRPr="001F43B6" w:rsidRDefault="00230AD1" w:rsidP="001F43B6">
      <w:pPr>
        <w:pStyle w:val="base-text-paragraph"/>
        <w:numPr>
          <w:ilvl w:val="1"/>
          <w:numId w:val="4"/>
        </w:numPr>
        <w:rPr>
          <w:rStyle w:val="Referencingstyle"/>
          <w:b w:val="0"/>
          <w:i w:val="0"/>
          <w:sz w:val="22"/>
        </w:rPr>
      </w:pPr>
      <w:r w:rsidRPr="00650F84">
        <w:t>This amendment enable</w:t>
      </w:r>
      <w:r w:rsidR="00435F1B">
        <w:t>s</w:t>
      </w:r>
      <w:r w:rsidRPr="00650F84">
        <w:t xml:space="preserve"> subsequent extensions of time to be sought under the one application</w:t>
      </w:r>
      <w:r w:rsidR="00650F84" w:rsidRPr="00650F84">
        <w:t>,</w:t>
      </w:r>
      <w:r w:rsidRPr="00650F84">
        <w:t xml:space="preserve"> reducing the administrative burden of processing the same application twice for no real benefit. </w:t>
      </w:r>
      <w:r w:rsidR="00435F1B">
        <w:rPr>
          <w:rStyle w:val="Referencingstyle"/>
        </w:rPr>
        <w:t>[Schedule 1, i</w:t>
      </w:r>
      <w:r w:rsidR="00435F1B" w:rsidRPr="00375F1D">
        <w:rPr>
          <w:rStyle w:val="Referencingstyle"/>
        </w:rPr>
        <w:t xml:space="preserve">tem </w:t>
      </w:r>
      <w:r w:rsidR="00435F1B">
        <w:rPr>
          <w:rStyle w:val="Referencingstyle"/>
        </w:rPr>
        <w:t>5</w:t>
      </w:r>
      <w:r w:rsidR="00435F1B" w:rsidRPr="00375F1D">
        <w:rPr>
          <w:rStyle w:val="Referencingstyle"/>
        </w:rPr>
        <w:t xml:space="preserve">, </w:t>
      </w:r>
      <w:r w:rsidR="00435F1B">
        <w:rPr>
          <w:rStyle w:val="Referencingstyle"/>
        </w:rPr>
        <w:t>subsection 51ADE(1) of the Competition and Consumer Act</w:t>
      </w:r>
      <w:r w:rsidR="00435F1B" w:rsidRPr="00375F1D">
        <w:rPr>
          <w:rStyle w:val="Referencingstyle"/>
        </w:rPr>
        <w:t>]</w:t>
      </w:r>
    </w:p>
    <w:p w14:paraId="117C7BB0" w14:textId="1136A753" w:rsidR="00665F05" w:rsidRDefault="00665F05" w:rsidP="00645E31">
      <w:pPr>
        <w:pStyle w:val="base-text-paragraph"/>
        <w:numPr>
          <w:ilvl w:val="1"/>
          <w:numId w:val="4"/>
        </w:numPr>
      </w:pPr>
      <w:r>
        <w:t xml:space="preserve">The amendment applies to notices that are given on or after </w:t>
      </w:r>
      <w:r w:rsidR="00886190">
        <w:t>the amendment</w:t>
      </w:r>
      <w:r>
        <w:t xml:space="preserve"> commences. </w:t>
      </w:r>
      <w:r>
        <w:rPr>
          <w:rStyle w:val="Referencingstyle"/>
        </w:rPr>
        <w:t xml:space="preserve">[Schedule 1, </w:t>
      </w:r>
      <w:proofErr w:type="spellStart"/>
      <w:r>
        <w:rPr>
          <w:rStyle w:val="Referencingstyle"/>
        </w:rPr>
        <w:t>subi</w:t>
      </w:r>
      <w:r w:rsidRPr="00375F1D">
        <w:rPr>
          <w:rStyle w:val="Referencingstyle"/>
        </w:rPr>
        <w:t>tem</w:t>
      </w:r>
      <w:proofErr w:type="spellEnd"/>
      <w:r w:rsidRPr="00375F1D">
        <w:rPr>
          <w:rStyle w:val="Referencingstyle"/>
        </w:rPr>
        <w:t xml:space="preserve"> </w:t>
      </w:r>
      <w:r>
        <w:rPr>
          <w:rStyle w:val="Referencingstyle"/>
        </w:rPr>
        <w:t>66(2)</w:t>
      </w:r>
      <w:r w:rsidRPr="00375F1D">
        <w:rPr>
          <w:rStyle w:val="Referencingstyle"/>
        </w:rPr>
        <w:t>]</w:t>
      </w:r>
    </w:p>
    <w:p w14:paraId="01DF2C29" w14:textId="4A48C7C0" w:rsidR="00DB792D" w:rsidRDefault="00DB792D" w:rsidP="00DB792D">
      <w:pPr>
        <w:pStyle w:val="Heading5"/>
      </w:pPr>
      <w:r>
        <w:lastRenderedPageBreak/>
        <w:t>Authorisation of conduct</w:t>
      </w:r>
    </w:p>
    <w:p w14:paraId="617FC83E" w14:textId="3CE2B951" w:rsidR="00F80097" w:rsidRPr="00645E31" w:rsidRDefault="00304A8D" w:rsidP="00645E31">
      <w:pPr>
        <w:pStyle w:val="base-text-paragraph"/>
        <w:numPr>
          <w:ilvl w:val="1"/>
          <w:numId w:val="4"/>
        </w:numPr>
      </w:pPr>
      <w:r w:rsidRPr="00645E31">
        <w:t xml:space="preserve">Schedule 1 </w:t>
      </w:r>
      <w:r w:rsidR="007C681E">
        <w:t xml:space="preserve">inserts </w:t>
      </w:r>
      <w:r w:rsidR="00F80097" w:rsidRPr="00645E31">
        <w:t>paragraph 90(8)(</w:t>
      </w:r>
      <w:proofErr w:type="spellStart"/>
      <w:r w:rsidR="00F80097" w:rsidRPr="00645E31">
        <w:t>b</w:t>
      </w:r>
      <w:r w:rsidR="007C681E">
        <w:t>a</w:t>
      </w:r>
      <w:proofErr w:type="spellEnd"/>
      <w:r w:rsidR="00F80097" w:rsidRPr="00645E31">
        <w:t xml:space="preserve">) </w:t>
      </w:r>
      <w:r w:rsidR="00645E31" w:rsidRPr="00645E31">
        <w:t xml:space="preserve">to ensure authorisation of conduct under sections 45E and 45EA is subject to the same test as all other </w:t>
      </w:r>
      <w:r w:rsidR="00645E31" w:rsidRPr="00645E31">
        <w:rPr>
          <w:i/>
        </w:rPr>
        <w:t>per se</w:t>
      </w:r>
      <w:r w:rsidR="00645E31" w:rsidRPr="00645E31">
        <w:t xml:space="preserve"> conduct.</w:t>
      </w:r>
    </w:p>
    <w:p w14:paraId="76D9E5C9" w14:textId="56DCBA0E" w:rsidR="001F43B6" w:rsidRPr="001F43B6" w:rsidRDefault="00F80097" w:rsidP="001F43B6">
      <w:pPr>
        <w:pStyle w:val="base-text-paragraph"/>
        <w:numPr>
          <w:ilvl w:val="1"/>
          <w:numId w:val="4"/>
        </w:numPr>
        <w:rPr>
          <w:rStyle w:val="Referencingstyle"/>
          <w:sz w:val="22"/>
        </w:rPr>
      </w:pPr>
      <w:r w:rsidRPr="00230F64">
        <w:t>Section 90 sets out the ACCC’s powers and obligation</w:t>
      </w:r>
      <w:r w:rsidR="00645E31">
        <w:t>s</w:t>
      </w:r>
      <w:r w:rsidRPr="00230F64">
        <w:t xml:space="preserve"> in relation to authorising particular conduct subject to an application. </w:t>
      </w:r>
      <w:r w:rsidR="00230F64" w:rsidRPr="00230F64">
        <w:t xml:space="preserve">Subsection 90(7) provides that the </w:t>
      </w:r>
      <w:r w:rsidR="0079357C">
        <w:t>ACCC</w:t>
      </w:r>
      <w:r w:rsidR="0079357C" w:rsidRPr="00230F64">
        <w:t xml:space="preserve"> </w:t>
      </w:r>
      <w:r w:rsidR="00230F64" w:rsidRPr="00230F64">
        <w:t xml:space="preserve">must not make an authorisation to allow a person to engage in conduct to which the provisions of Part IV would apply unless it would not substantially lessen competition or would benefit the public. Subsection 90(8) carves out the substantial lessening of competition test from subsection 90(7) for cartel conduct, secondary boycotts and resale price maintenance (i.e. </w:t>
      </w:r>
      <w:r w:rsidR="00230F64" w:rsidRPr="00870336">
        <w:rPr>
          <w:i/>
        </w:rPr>
        <w:t>per se</w:t>
      </w:r>
      <w:r w:rsidR="00230F64" w:rsidRPr="001F43B6">
        <w:t xml:space="preserve"> breaches</w:t>
      </w:r>
      <w:r w:rsidR="00230F64" w:rsidRPr="00230F64">
        <w:t>).</w:t>
      </w:r>
      <w:r w:rsidR="00230F64" w:rsidRPr="001F43B6">
        <w:rPr>
          <w:b/>
        </w:rPr>
        <w:t xml:space="preserve"> </w:t>
      </w:r>
      <w:r w:rsidR="00230F64" w:rsidRPr="00870336">
        <w:rPr>
          <w:i/>
        </w:rPr>
        <w:t>Per se</w:t>
      </w:r>
      <w:r w:rsidR="00230F64" w:rsidRPr="001F43B6">
        <w:t xml:space="preserve"> breaches are regarded as anti-competitive and are</w:t>
      </w:r>
      <w:r w:rsidR="00230F64" w:rsidRPr="001F43B6">
        <w:rPr>
          <w:b/>
        </w:rPr>
        <w:t xml:space="preserve"> </w:t>
      </w:r>
      <w:r w:rsidR="00230F64" w:rsidRPr="001F43B6">
        <w:rPr>
          <w:rStyle w:val="Referencingstyle"/>
          <w:b w:val="0"/>
          <w:i w:val="0"/>
          <w:sz w:val="22"/>
        </w:rPr>
        <w:t>proh</w:t>
      </w:r>
      <w:r w:rsidR="001D035A">
        <w:rPr>
          <w:rStyle w:val="Referencingstyle"/>
          <w:b w:val="0"/>
          <w:i w:val="0"/>
          <w:sz w:val="22"/>
        </w:rPr>
        <w:t>ibited, regardless of whether they have</w:t>
      </w:r>
      <w:r w:rsidR="00230F64" w:rsidRPr="001F43B6">
        <w:rPr>
          <w:rStyle w:val="Referencingstyle"/>
          <w:b w:val="0"/>
          <w:i w:val="0"/>
          <w:sz w:val="22"/>
        </w:rPr>
        <w:t xml:space="preserve"> the purpose, effect or likely effect of substantially lessening competition.</w:t>
      </w:r>
      <w:r w:rsidR="00645E31" w:rsidRPr="001F43B6">
        <w:rPr>
          <w:rStyle w:val="Referencingstyle"/>
          <w:b w:val="0"/>
          <w:sz w:val="22"/>
        </w:rPr>
        <w:t xml:space="preserve"> </w:t>
      </w:r>
    </w:p>
    <w:p w14:paraId="2BA218A1" w14:textId="60EC1C4F" w:rsidR="00735193" w:rsidRPr="00735193" w:rsidRDefault="001F43B6" w:rsidP="00735193">
      <w:pPr>
        <w:pStyle w:val="base-text-paragraph"/>
        <w:numPr>
          <w:ilvl w:val="1"/>
          <w:numId w:val="4"/>
        </w:numPr>
        <w:rPr>
          <w:rStyle w:val="Referencingstyle"/>
          <w:b w:val="0"/>
          <w:i w:val="0"/>
          <w:sz w:val="22"/>
        </w:rPr>
      </w:pPr>
      <w:r w:rsidRPr="001F43B6">
        <w:rPr>
          <w:rStyle w:val="Referencingstyle"/>
          <w:b w:val="0"/>
          <w:i w:val="0"/>
          <w:sz w:val="22"/>
        </w:rPr>
        <w:t xml:space="preserve">Currently, subsection 90(8) does not include references to sections 45E and 45EA, which prohibit contracts, arrangements or understandings affecting the supply or acquisition of goods or services. This amendment bolsters the regulatory regime and creates greater consistency by ensuring the authorisation of conduct under sections 45E and 45EA is subject to the same test as all other </w:t>
      </w:r>
      <w:r w:rsidRPr="0079357C">
        <w:rPr>
          <w:rStyle w:val="Referencingstyle"/>
          <w:b w:val="0"/>
          <w:sz w:val="22"/>
        </w:rPr>
        <w:t>per se</w:t>
      </w:r>
      <w:r w:rsidRPr="001F43B6">
        <w:rPr>
          <w:rStyle w:val="Referencingstyle"/>
          <w:b w:val="0"/>
          <w:i w:val="0"/>
          <w:sz w:val="22"/>
        </w:rPr>
        <w:t xml:space="preserve"> conduct. </w:t>
      </w:r>
      <w:r w:rsidRPr="001F43B6">
        <w:rPr>
          <w:rStyle w:val="Referencingstyle"/>
        </w:rPr>
        <w:t>[Schedule 1, item 6, paragraph 90(8)(</w:t>
      </w:r>
      <w:proofErr w:type="spellStart"/>
      <w:r w:rsidRPr="001F43B6">
        <w:rPr>
          <w:rStyle w:val="Referencingstyle"/>
        </w:rPr>
        <w:t>b</w:t>
      </w:r>
      <w:r w:rsidR="007C681E">
        <w:rPr>
          <w:rStyle w:val="Referencingstyle"/>
        </w:rPr>
        <w:t>a</w:t>
      </w:r>
      <w:proofErr w:type="spellEnd"/>
      <w:r w:rsidRPr="001F43B6">
        <w:rPr>
          <w:rStyle w:val="Referencingstyle"/>
        </w:rPr>
        <w:t>) of the Competition and Consumer Act]</w:t>
      </w:r>
    </w:p>
    <w:p w14:paraId="512EAEB7" w14:textId="1F80E720" w:rsidR="007C681E" w:rsidRDefault="00886190" w:rsidP="007C681E">
      <w:pPr>
        <w:pStyle w:val="base-text-paragraph"/>
        <w:numPr>
          <w:ilvl w:val="1"/>
          <w:numId w:val="4"/>
        </w:numPr>
      </w:pPr>
      <w:r>
        <w:t xml:space="preserve">The amendment applies to authorisations made on or after the amendment commences. </w:t>
      </w:r>
      <w:r>
        <w:rPr>
          <w:rStyle w:val="Referencingstyle"/>
        </w:rPr>
        <w:t xml:space="preserve">[Schedule 1, </w:t>
      </w:r>
      <w:proofErr w:type="spellStart"/>
      <w:r>
        <w:rPr>
          <w:rStyle w:val="Referencingstyle"/>
        </w:rPr>
        <w:t>subi</w:t>
      </w:r>
      <w:r w:rsidRPr="00375F1D">
        <w:rPr>
          <w:rStyle w:val="Referencingstyle"/>
        </w:rPr>
        <w:t>tem</w:t>
      </w:r>
      <w:proofErr w:type="spellEnd"/>
      <w:r w:rsidRPr="00375F1D">
        <w:rPr>
          <w:rStyle w:val="Referencingstyle"/>
        </w:rPr>
        <w:t xml:space="preserve"> </w:t>
      </w:r>
      <w:r>
        <w:rPr>
          <w:rStyle w:val="Referencingstyle"/>
        </w:rPr>
        <w:t>66(3)</w:t>
      </w:r>
      <w:r w:rsidRPr="00375F1D">
        <w:rPr>
          <w:rStyle w:val="Referencingstyle"/>
        </w:rPr>
        <w:t>]</w:t>
      </w:r>
    </w:p>
    <w:p w14:paraId="600D1CAD" w14:textId="2F2F7F02" w:rsidR="00735193" w:rsidRPr="00735193" w:rsidRDefault="00066C1B" w:rsidP="00735193">
      <w:pPr>
        <w:pStyle w:val="base-text-paragraph"/>
        <w:numPr>
          <w:ilvl w:val="1"/>
          <w:numId w:val="4"/>
        </w:numPr>
      </w:pPr>
      <w:r>
        <w:t>Schedule 1 </w:t>
      </w:r>
      <w:r w:rsidR="007C681E">
        <w:t xml:space="preserve">also </w:t>
      </w:r>
      <w:r w:rsidR="00CB4AAC">
        <w:t xml:space="preserve">repeals subsection 91(3) of the </w:t>
      </w:r>
      <w:r w:rsidR="00CB4AAC" w:rsidRPr="00735193">
        <w:rPr>
          <w:lang w:val="en-US" w:eastAsia="en-US"/>
        </w:rPr>
        <w:t>Competition and Consumer Act</w:t>
      </w:r>
      <w:r w:rsidR="00516C15" w:rsidRPr="00735193">
        <w:rPr>
          <w:lang w:val="en-US" w:eastAsia="en-US"/>
        </w:rPr>
        <w:t xml:space="preserve"> </w:t>
      </w:r>
      <w:r w:rsidR="00CF0D3F" w:rsidRPr="00735193">
        <w:rPr>
          <w:lang w:val="en-US" w:eastAsia="en-US"/>
        </w:rPr>
        <w:t xml:space="preserve">as that provision was replicated by subsection 88(3) and therefore is no longer required. Both provisions provide that an </w:t>
      </w:r>
      <w:proofErr w:type="spellStart"/>
      <w:r w:rsidR="00CF0D3F" w:rsidRPr="00735193">
        <w:rPr>
          <w:lang w:val="en-US" w:eastAsia="en-US"/>
        </w:rPr>
        <w:t>authorisation</w:t>
      </w:r>
      <w:proofErr w:type="spellEnd"/>
      <w:r w:rsidR="00CF0D3F" w:rsidRPr="00735193">
        <w:rPr>
          <w:lang w:val="en-US" w:eastAsia="en-US"/>
        </w:rPr>
        <w:t xml:space="preserve"> granted by the ACCC may be expressed to be subject to such conditions as are specified in the </w:t>
      </w:r>
      <w:proofErr w:type="spellStart"/>
      <w:r w:rsidR="00CF0D3F" w:rsidRPr="00735193">
        <w:rPr>
          <w:lang w:val="en-US" w:eastAsia="en-US"/>
        </w:rPr>
        <w:t>authorisation</w:t>
      </w:r>
      <w:proofErr w:type="spellEnd"/>
      <w:r w:rsidR="00CF0D3F" w:rsidRPr="00735193">
        <w:rPr>
          <w:lang w:val="en-US" w:eastAsia="en-US"/>
        </w:rPr>
        <w:t xml:space="preserve">. </w:t>
      </w:r>
      <w:r w:rsidR="00CF0D3F" w:rsidRPr="00735193">
        <w:rPr>
          <w:b/>
          <w:i/>
          <w:sz w:val="18"/>
        </w:rPr>
        <w:t>[Schedule 1, item 7, paragraph 91(3) of the Competition and Consumer Act]</w:t>
      </w:r>
    </w:p>
    <w:p w14:paraId="33451BE0" w14:textId="77777777" w:rsidR="007C681E" w:rsidRDefault="007C681E" w:rsidP="007C681E">
      <w:pPr>
        <w:pStyle w:val="Heading5"/>
      </w:pPr>
      <w:r>
        <w:t>Class exemptions</w:t>
      </w:r>
    </w:p>
    <w:p w14:paraId="754A43EA" w14:textId="7D4B31F8" w:rsidR="00395466" w:rsidRPr="00735193" w:rsidRDefault="00172BC1" w:rsidP="00395466">
      <w:pPr>
        <w:pStyle w:val="base-text-paragraph"/>
        <w:numPr>
          <w:ilvl w:val="1"/>
          <w:numId w:val="4"/>
        </w:numPr>
      </w:pPr>
      <w:r>
        <w:t>Schedule 1 </w:t>
      </w:r>
      <w:r w:rsidR="004A09DB" w:rsidRPr="001F43B6">
        <w:t xml:space="preserve">inserts a new provision to ensure that, despite </w:t>
      </w:r>
      <w:r w:rsidR="00095B00">
        <w:t>sub</w:t>
      </w:r>
      <w:r w:rsidR="004A09DB" w:rsidRPr="001F43B6">
        <w:t>section 44(1) of the Legislation Act,</w:t>
      </w:r>
      <w:r>
        <w:t xml:space="preserve"> instruments made under section </w:t>
      </w:r>
      <w:r w:rsidR="004A09DB" w:rsidRPr="001F43B6">
        <w:t>95AA</w:t>
      </w:r>
      <w:r w:rsidR="001F43B6" w:rsidRPr="001F43B6">
        <w:t xml:space="preserve"> of the Competition and Consumer Act</w:t>
      </w:r>
      <w:r w:rsidR="004A09DB" w:rsidRPr="001F43B6">
        <w:t xml:space="preserve"> are subject to disallowance in accordance with section 42 of the Legislation Act.</w:t>
      </w:r>
      <w:r w:rsidR="00395466">
        <w:t xml:space="preserve"> </w:t>
      </w:r>
    </w:p>
    <w:p w14:paraId="7DDE8B3E" w14:textId="77777777" w:rsidR="00395466" w:rsidRPr="00395466" w:rsidRDefault="004A09DB" w:rsidP="00395466">
      <w:pPr>
        <w:pStyle w:val="base-text-paragraph"/>
        <w:numPr>
          <w:ilvl w:val="1"/>
          <w:numId w:val="4"/>
        </w:numPr>
      </w:pPr>
      <w:r w:rsidRPr="00395466">
        <w:t xml:space="preserve">The </w:t>
      </w:r>
      <w:r w:rsidRPr="00395466">
        <w:rPr>
          <w:i/>
        </w:rPr>
        <w:t>Competition and Consumer Amendment (Competition Policy Review) Act 2017</w:t>
      </w:r>
      <w:r w:rsidRPr="00395466">
        <w:t xml:space="preserve"> amended Part VII of the Competition and Consumer Act to give the ACCC power to make class</w:t>
      </w:r>
      <w:r w:rsidR="001F43B6" w:rsidRPr="00395466">
        <w:t xml:space="preserve"> exemptions under section 95AA. </w:t>
      </w:r>
      <w:r w:rsidRPr="00395466">
        <w:t xml:space="preserve">Part IV and the related provisions of the </w:t>
      </w:r>
      <w:r w:rsidR="001F43B6" w:rsidRPr="00395466">
        <w:t>Competition and Consumer Act</w:t>
      </w:r>
      <w:r w:rsidRPr="00395466">
        <w:t xml:space="preserve"> (including Part VII) facilitate both the establishment and operation of an intergovernmental scheme. Thus, legislative instruments made under those provisions come within the scope of the exemption </w:t>
      </w:r>
      <w:r w:rsidRPr="00395466">
        <w:lastRenderedPageBreak/>
        <w:t>from disallowance in section 44 of the Legislation Act unless the legislation states otherwise.</w:t>
      </w:r>
    </w:p>
    <w:p w14:paraId="070C5661" w14:textId="4DF1BD5D" w:rsidR="00C034BA" w:rsidRPr="00446F20" w:rsidRDefault="004A09DB" w:rsidP="00395466">
      <w:pPr>
        <w:pStyle w:val="base-text-paragraph"/>
        <w:numPr>
          <w:ilvl w:val="1"/>
          <w:numId w:val="4"/>
        </w:numPr>
      </w:pPr>
      <w:r w:rsidRPr="00395466">
        <w:t xml:space="preserve">Section 95AA of the </w:t>
      </w:r>
      <w:r w:rsidR="00395466" w:rsidRPr="00395466">
        <w:t>Competition and Consumer Act</w:t>
      </w:r>
      <w:r w:rsidRPr="00395466">
        <w:t xml:space="preserve"> does not </w:t>
      </w:r>
      <w:r w:rsidR="00395466">
        <w:t>contain</w:t>
      </w:r>
      <w:r w:rsidR="00395466" w:rsidRPr="00395466">
        <w:t xml:space="preserve"> an express </w:t>
      </w:r>
      <w:r w:rsidRPr="00395466">
        <w:t>provision overriding the effect of subsection 44(1) of the Legislation Act</w:t>
      </w:r>
      <w:r w:rsidR="00395466">
        <w:t>. Accordingly,</w:t>
      </w:r>
      <w:r w:rsidRPr="00395466">
        <w:t xml:space="preserve"> legislative instrument </w:t>
      </w:r>
      <w:r w:rsidR="00395466" w:rsidRPr="00395466">
        <w:t xml:space="preserve">currently </w:t>
      </w:r>
      <w:r w:rsidRPr="00395466">
        <w:t>made under section 95AA are not disallowable. However, the</w:t>
      </w:r>
      <w:r w:rsidR="00395466" w:rsidRPr="00395466">
        <w:t xml:space="preserve"> Explanatory Memorandum to the </w:t>
      </w:r>
      <w:r w:rsidR="00A23D17">
        <w:t>B</w:t>
      </w:r>
      <w:r w:rsidRPr="00395466">
        <w:t>ill inserting section 95AA stated that the class exemptions are disallowable (see paragraph 9.106</w:t>
      </w:r>
      <w:r w:rsidR="0079357C">
        <w:t xml:space="preserve"> </w:t>
      </w:r>
      <w:r w:rsidR="00870336">
        <w:t xml:space="preserve">of the Explanatory Memorandum to </w:t>
      </w:r>
      <w:r w:rsidR="0079357C">
        <w:t xml:space="preserve">the </w:t>
      </w:r>
      <w:r w:rsidR="0079357C" w:rsidRPr="00870336">
        <w:t>Competition and Consumer Amendment (Competition Policy Review) Bill 2017</w:t>
      </w:r>
      <w:r w:rsidR="00395466">
        <w:t>). This amendment</w:t>
      </w:r>
      <w:r w:rsidR="00395466" w:rsidRPr="00395466">
        <w:t xml:space="preserve"> corrects </w:t>
      </w:r>
      <w:r w:rsidR="00395466">
        <w:t>the omission of the express provision to</w:t>
      </w:r>
      <w:r w:rsidR="00395466" w:rsidRPr="00395466">
        <w:t xml:space="preserve"> ensure </w:t>
      </w:r>
      <w:r w:rsidR="002454BA">
        <w:t>consistency with</w:t>
      </w:r>
      <w:r w:rsidR="00395466" w:rsidRPr="00395466">
        <w:t xml:space="preserve"> the original policy intention. </w:t>
      </w:r>
      <w:r w:rsidR="0090407D" w:rsidRPr="00735193">
        <w:rPr>
          <w:b/>
          <w:i/>
          <w:sz w:val="18"/>
        </w:rPr>
        <w:t xml:space="preserve">[Schedule 1, item </w:t>
      </w:r>
      <w:r w:rsidR="0090407D">
        <w:rPr>
          <w:b/>
          <w:i/>
          <w:sz w:val="18"/>
        </w:rPr>
        <w:t>8</w:t>
      </w:r>
      <w:r w:rsidR="0090407D" w:rsidRPr="00735193">
        <w:rPr>
          <w:b/>
          <w:i/>
          <w:sz w:val="18"/>
        </w:rPr>
        <w:t xml:space="preserve">, </w:t>
      </w:r>
      <w:r w:rsidR="0090407D">
        <w:rPr>
          <w:b/>
          <w:i/>
          <w:sz w:val="18"/>
        </w:rPr>
        <w:t>section 95AA</w:t>
      </w:r>
      <w:r w:rsidR="0090407D" w:rsidRPr="00735193">
        <w:rPr>
          <w:b/>
          <w:i/>
          <w:sz w:val="18"/>
        </w:rPr>
        <w:t xml:space="preserve"> of the Competition and Consumer Act]</w:t>
      </w:r>
    </w:p>
    <w:p w14:paraId="4AC0F672" w14:textId="4F26C139" w:rsidR="007C681E" w:rsidRDefault="007C681E" w:rsidP="007C681E">
      <w:pPr>
        <w:pStyle w:val="Heading5"/>
      </w:pPr>
      <w:r>
        <w:t>Delegation to grant extensions of time</w:t>
      </w:r>
    </w:p>
    <w:p w14:paraId="7E365435" w14:textId="1E005F4C" w:rsidR="007A4EE4" w:rsidRDefault="00446F20" w:rsidP="007A4EE4">
      <w:pPr>
        <w:pStyle w:val="base-text-paragraph"/>
        <w:numPr>
          <w:ilvl w:val="1"/>
          <w:numId w:val="4"/>
        </w:numPr>
      </w:pPr>
      <w:r>
        <w:t xml:space="preserve">Schedule 1 </w:t>
      </w:r>
      <w:r w:rsidR="007A5A6B">
        <w:t>to</w:t>
      </w:r>
      <w:r>
        <w:t xml:space="preserve"> the </w:t>
      </w:r>
      <w:r w:rsidR="007A5A6B">
        <w:t xml:space="preserve">exposure draft </w:t>
      </w:r>
      <w:r>
        <w:t xml:space="preserve">Bill </w:t>
      </w:r>
      <w:r w:rsidR="007A4EE4">
        <w:t>amends section 155</w:t>
      </w:r>
      <w:r w:rsidR="007A5A6B">
        <w:t xml:space="preserve"> of the Competition and Consumer Act</w:t>
      </w:r>
      <w:r w:rsidR="007A4EE4">
        <w:t xml:space="preserve"> to expressly provide for </w:t>
      </w:r>
      <w:r w:rsidR="007A4EE4" w:rsidRPr="007A4EE4">
        <w:t>variations for exte</w:t>
      </w:r>
      <w:r w:rsidR="007A4EE4">
        <w:t>nsions of time to be issued by</w:t>
      </w:r>
      <w:r w:rsidR="007A4EE4" w:rsidRPr="007A4EE4">
        <w:t xml:space="preserve"> </w:t>
      </w:r>
      <w:r w:rsidR="00095B00">
        <w:t xml:space="preserve">the </w:t>
      </w:r>
      <w:r w:rsidR="007C681E">
        <w:t>ACCC</w:t>
      </w:r>
      <w:r w:rsidR="00095B00">
        <w:t>, and to enable the delegation of the same power</w:t>
      </w:r>
      <w:r w:rsidR="007A4EE4">
        <w:t xml:space="preserve"> to </w:t>
      </w:r>
      <w:r w:rsidR="007A4EE4" w:rsidRPr="007A4EE4">
        <w:t>SES (or acting SES) of the ACCC.</w:t>
      </w:r>
      <w:r w:rsidR="007A4EE4">
        <w:t xml:space="preserve"> </w:t>
      </w:r>
    </w:p>
    <w:p w14:paraId="4499A3F1" w14:textId="77777777" w:rsidR="00C0427C" w:rsidRDefault="007A4EE4" w:rsidP="00C0427C">
      <w:pPr>
        <w:pStyle w:val="base-text-paragraph"/>
        <w:numPr>
          <w:ilvl w:val="1"/>
          <w:numId w:val="4"/>
        </w:numPr>
      </w:pPr>
      <w:r>
        <w:t>S</w:t>
      </w:r>
      <w:r w:rsidR="00C0427C">
        <w:t>ubs</w:t>
      </w:r>
      <w:r>
        <w:t>ection 155(1) provides that w</w:t>
      </w:r>
      <w:r w:rsidRPr="007A4EE4">
        <w:t xml:space="preserve">here </w:t>
      </w:r>
      <w:r>
        <w:t>there is</w:t>
      </w:r>
      <w:r w:rsidRPr="007A4EE4">
        <w:t xml:space="preserve"> reason to believe that a person is capable of furnishing information, producing documents or giving evidence relating to certain matters, an ACCC member (i.e. the Chair, Deputy Chair or a Commissioner) can require a person to provide that information by g</w:t>
      </w:r>
      <w:r w:rsidR="00C0427C">
        <w:t xml:space="preserve">iving them a notice. </w:t>
      </w:r>
    </w:p>
    <w:p w14:paraId="13B3CEB7" w14:textId="27138D67" w:rsidR="00C0427C" w:rsidRDefault="00C0427C" w:rsidP="00C0427C">
      <w:pPr>
        <w:pStyle w:val="base-text-paragraph"/>
        <w:numPr>
          <w:ilvl w:val="1"/>
          <w:numId w:val="4"/>
        </w:numPr>
      </w:pPr>
      <w:r w:rsidRPr="00C0427C">
        <w:t>A large proportion of notices that the ACCC issues entail at least one or more variations. The most common variation is an extension of</w:t>
      </w:r>
      <w:r>
        <w:t xml:space="preserve"> time to respond to the notice granted by the Commission relying on subsection 33(3) of the </w:t>
      </w:r>
      <w:r>
        <w:rPr>
          <w:i/>
        </w:rPr>
        <w:t>Acts Interpretation Act 1901</w:t>
      </w:r>
      <w:r>
        <w:t xml:space="preserve">. </w:t>
      </w:r>
      <w:r w:rsidRPr="00C0427C">
        <w:t xml:space="preserve">It is administratively burdensome to have a member of the </w:t>
      </w:r>
      <w:r w:rsidR="0079357C">
        <w:t>ACCC</w:t>
      </w:r>
      <w:r w:rsidR="0079357C" w:rsidRPr="00C0427C">
        <w:t xml:space="preserve"> </w:t>
      </w:r>
      <w:r w:rsidRPr="00C0427C">
        <w:t>issuing extensions of time to comply each time an application is made.</w:t>
      </w:r>
    </w:p>
    <w:p w14:paraId="1E499CE5" w14:textId="4E9FEF39" w:rsidR="00446F20" w:rsidRPr="00446F20" w:rsidRDefault="007A4EE4" w:rsidP="0078289A">
      <w:pPr>
        <w:pStyle w:val="base-text-paragraph"/>
        <w:numPr>
          <w:ilvl w:val="1"/>
          <w:numId w:val="4"/>
        </w:numPr>
      </w:pPr>
      <w:r>
        <w:t xml:space="preserve">The amendments </w:t>
      </w:r>
      <w:r w:rsidR="00C0427C">
        <w:t>support</w:t>
      </w:r>
      <w:r w:rsidR="007A5A6B">
        <w:t xml:space="preserve"> the efficient use of regulator</w:t>
      </w:r>
      <w:r w:rsidR="00C0427C">
        <w:t>’</w:t>
      </w:r>
      <w:r w:rsidR="007A5A6B">
        <w:t>s</w:t>
      </w:r>
      <w:r w:rsidR="00C0427C">
        <w:t xml:space="preserve"> time by enabling SES (and acting SES)</w:t>
      </w:r>
      <w:r w:rsidR="006F067E">
        <w:t xml:space="preserve"> of the ACCC</w:t>
      </w:r>
      <w:r w:rsidR="00C0427C">
        <w:t xml:space="preserve"> to directly extend the time to respond to a notice without having to seek approval of the Chair, Deputy Chair or Commissioner. The power for the Commission to delegate extensions of time is appropriate as </w:t>
      </w:r>
      <w:r w:rsidR="006F067E">
        <w:t xml:space="preserve">it is sufficiently narrow (i.e. only pertains to extensions of time) </w:t>
      </w:r>
      <w:r w:rsidR="0078289A">
        <w:t xml:space="preserve">and </w:t>
      </w:r>
      <w:r w:rsidR="006F067E">
        <w:t>t</w:t>
      </w:r>
      <w:r w:rsidR="00E27D88">
        <w:t>he class of delegates has</w:t>
      </w:r>
      <w:r w:rsidR="006F067E">
        <w:t xml:space="preserve"> </w:t>
      </w:r>
      <w:r w:rsidR="0078289A">
        <w:t>appropriate</w:t>
      </w:r>
      <w:r w:rsidR="006F067E">
        <w:t xml:space="preserve"> knowledge </w:t>
      </w:r>
      <w:r w:rsidR="0078289A">
        <w:t>t</w:t>
      </w:r>
      <w:r w:rsidR="00E27D88">
        <w:t>o ass</w:t>
      </w:r>
      <w:r w:rsidR="0078289A">
        <w:t>ess the suitability of</w:t>
      </w:r>
      <w:r w:rsidR="006F067E">
        <w:t xml:space="preserve"> granting the extension. </w:t>
      </w:r>
      <w:r w:rsidR="0078289A">
        <w:t xml:space="preserve">Under the new provision delegates must also comply with any directions of the </w:t>
      </w:r>
      <w:r w:rsidR="0079357C">
        <w:t xml:space="preserve">ACCC </w:t>
      </w:r>
      <w:r w:rsidR="0078289A">
        <w:t xml:space="preserve">member. </w:t>
      </w:r>
      <w:r w:rsidR="00446F20" w:rsidRPr="0078289A">
        <w:rPr>
          <w:b/>
          <w:i/>
          <w:sz w:val="18"/>
        </w:rPr>
        <w:t>[Schedule 1, item</w:t>
      </w:r>
      <w:r w:rsidR="0079357C">
        <w:rPr>
          <w:b/>
          <w:i/>
          <w:sz w:val="18"/>
        </w:rPr>
        <w:t>s</w:t>
      </w:r>
      <w:r w:rsidR="00446F20" w:rsidRPr="0078289A">
        <w:rPr>
          <w:b/>
          <w:i/>
          <w:sz w:val="18"/>
        </w:rPr>
        <w:t xml:space="preserve"> </w:t>
      </w:r>
      <w:r w:rsidRPr="0078289A">
        <w:rPr>
          <w:b/>
          <w:i/>
          <w:sz w:val="18"/>
        </w:rPr>
        <w:t>9 and 10</w:t>
      </w:r>
      <w:r w:rsidR="00446F20" w:rsidRPr="0078289A">
        <w:rPr>
          <w:b/>
          <w:i/>
          <w:sz w:val="18"/>
        </w:rPr>
        <w:t>, s</w:t>
      </w:r>
      <w:r w:rsidR="007C681E">
        <w:rPr>
          <w:b/>
          <w:i/>
          <w:sz w:val="18"/>
        </w:rPr>
        <w:t>ubs</w:t>
      </w:r>
      <w:r w:rsidRPr="0078289A">
        <w:rPr>
          <w:b/>
          <w:i/>
          <w:sz w:val="18"/>
        </w:rPr>
        <w:t>ection</w:t>
      </w:r>
      <w:r w:rsidR="007C681E">
        <w:rPr>
          <w:b/>
          <w:i/>
          <w:sz w:val="18"/>
        </w:rPr>
        <w:t>s</w:t>
      </w:r>
      <w:r w:rsidR="00446F20" w:rsidRPr="0078289A">
        <w:rPr>
          <w:b/>
          <w:i/>
          <w:sz w:val="18"/>
        </w:rPr>
        <w:t xml:space="preserve"> </w:t>
      </w:r>
      <w:r w:rsidRPr="0078289A">
        <w:rPr>
          <w:b/>
          <w:i/>
          <w:sz w:val="18"/>
        </w:rPr>
        <w:t>155</w:t>
      </w:r>
      <w:r w:rsidR="007C681E">
        <w:rPr>
          <w:b/>
          <w:i/>
          <w:sz w:val="18"/>
        </w:rPr>
        <w:t>(2AA), (2AB), (8B) and (8C)</w:t>
      </w:r>
      <w:r w:rsidR="007A5A6B">
        <w:rPr>
          <w:b/>
          <w:i/>
          <w:sz w:val="18"/>
        </w:rPr>
        <w:t> </w:t>
      </w:r>
      <w:r w:rsidR="00446F20" w:rsidRPr="0078289A">
        <w:rPr>
          <w:b/>
          <w:i/>
          <w:sz w:val="18"/>
        </w:rPr>
        <w:t>of the Competition and Consumer Act]</w:t>
      </w:r>
    </w:p>
    <w:p w14:paraId="01A8E55D" w14:textId="78EC929E" w:rsidR="00645E31" w:rsidRPr="00C87FF0" w:rsidRDefault="00E8540D" w:rsidP="00E8540D">
      <w:pPr>
        <w:pStyle w:val="base-text-paragraph"/>
        <w:numPr>
          <w:ilvl w:val="1"/>
          <w:numId w:val="4"/>
        </w:numPr>
      </w:pPr>
      <w:r>
        <w:t>The amendment</w:t>
      </w:r>
      <w:r w:rsidR="007C681E">
        <w:t>s</w:t>
      </w:r>
      <w:r w:rsidRPr="00E8540D">
        <w:t xml:space="preserve"> </w:t>
      </w:r>
      <w:r w:rsidR="007C681E">
        <w:t>apply</w:t>
      </w:r>
      <w:r>
        <w:t xml:space="preserve"> to notices given on or after the amendment</w:t>
      </w:r>
      <w:r w:rsidR="0079357C">
        <w:t>s</w:t>
      </w:r>
      <w:r>
        <w:t xml:space="preserve"> commence. </w:t>
      </w:r>
      <w:r>
        <w:rPr>
          <w:rStyle w:val="Referencingstyle"/>
        </w:rPr>
        <w:t xml:space="preserve">[Schedule 1, </w:t>
      </w:r>
      <w:proofErr w:type="spellStart"/>
      <w:r>
        <w:rPr>
          <w:rStyle w:val="Referencingstyle"/>
        </w:rPr>
        <w:t>subi</w:t>
      </w:r>
      <w:r w:rsidRPr="00375F1D">
        <w:rPr>
          <w:rStyle w:val="Referencingstyle"/>
        </w:rPr>
        <w:t>tem</w:t>
      </w:r>
      <w:proofErr w:type="spellEnd"/>
      <w:r w:rsidRPr="00375F1D">
        <w:rPr>
          <w:rStyle w:val="Referencingstyle"/>
        </w:rPr>
        <w:t xml:space="preserve"> </w:t>
      </w:r>
      <w:r>
        <w:rPr>
          <w:rStyle w:val="Referencingstyle"/>
        </w:rPr>
        <w:t>66(4)</w:t>
      </w:r>
      <w:r w:rsidRPr="00375F1D">
        <w:rPr>
          <w:rStyle w:val="Referencingstyle"/>
        </w:rPr>
        <w:t>]</w:t>
      </w:r>
    </w:p>
    <w:p w14:paraId="1C3D0F0D" w14:textId="2452437D" w:rsidR="007D0B6F" w:rsidRDefault="00F36F9B" w:rsidP="00F36F9B">
      <w:pPr>
        <w:pStyle w:val="Heading4"/>
      </w:pPr>
      <w:r>
        <w:lastRenderedPageBreak/>
        <w:t xml:space="preserve">Amendments to the </w:t>
      </w:r>
      <w:r w:rsidR="007D0B6F">
        <w:t>Corporations Act</w:t>
      </w:r>
    </w:p>
    <w:p w14:paraId="10B91AAB" w14:textId="367925CD" w:rsidR="00CE3E05" w:rsidRPr="00CE3E05" w:rsidRDefault="00CE3E05" w:rsidP="00CE3E05">
      <w:pPr>
        <w:pStyle w:val="base-text-paragraph"/>
        <w:numPr>
          <w:ilvl w:val="0"/>
          <w:numId w:val="0"/>
        </w:numPr>
        <w:ind w:left="1134"/>
      </w:pPr>
      <w:r>
        <w:rPr>
          <w:i/>
        </w:rPr>
        <w:t xml:space="preserve">Notices </w:t>
      </w:r>
      <w:r w:rsidR="001336CC">
        <w:rPr>
          <w:i/>
        </w:rPr>
        <w:t xml:space="preserve">and terms used </w:t>
      </w:r>
      <w:r>
        <w:rPr>
          <w:i/>
        </w:rPr>
        <w:t xml:space="preserve">in </w:t>
      </w:r>
      <w:r w:rsidR="001336CC">
        <w:rPr>
          <w:i/>
        </w:rPr>
        <w:t>the</w:t>
      </w:r>
      <w:r>
        <w:rPr>
          <w:i/>
        </w:rPr>
        <w:t xml:space="preserve"> e</w:t>
      </w:r>
      <w:r w:rsidRPr="00CE3E05">
        <w:rPr>
          <w:i/>
        </w:rPr>
        <w:t>xternal</w:t>
      </w:r>
      <w:r>
        <w:rPr>
          <w:i/>
        </w:rPr>
        <w:t xml:space="preserve"> administration </w:t>
      </w:r>
      <w:r w:rsidR="001336CC">
        <w:rPr>
          <w:i/>
        </w:rPr>
        <w:t>provisions</w:t>
      </w:r>
    </w:p>
    <w:p w14:paraId="1C361E8C" w14:textId="0FFADE21" w:rsidR="00217265" w:rsidRDefault="00AD4A0B" w:rsidP="00217265">
      <w:pPr>
        <w:pStyle w:val="base-text-paragraph"/>
        <w:numPr>
          <w:ilvl w:val="1"/>
          <w:numId w:val="4"/>
        </w:numPr>
      </w:pPr>
      <w:r>
        <w:t xml:space="preserve">Schedule 1 </w:t>
      </w:r>
      <w:r w:rsidR="00B02404">
        <w:t>to</w:t>
      </w:r>
      <w:r w:rsidR="00806263">
        <w:t xml:space="preserve"> the exposure draft Bill </w:t>
      </w:r>
      <w:r>
        <w:t>provide</w:t>
      </w:r>
      <w:r w:rsidR="00806263">
        <w:t>s</w:t>
      </w:r>
      <w:r>
        <w:t xml:space="preserve"> for electronic disclosure of declarations of relations</w:t>
      </w:r>
      <w:r w:rsidR="00C06A8E">
        <w:t>hips</w:t>
      </w:r>
      <w:r>
        <w:t xml:space="preserve"> and indemnities by administrators and liquidators</w:t>
      </w:r>
      <w:r w:rsidR="00217265">
        <w:t xml:space="preserve"> </w:t>
      </w:r>
      <w:r w:rsidR="00806263">
        <w:t xml:space="preserve">on or </w:t>
      </w:r>
      <w:r w:rsidR="00217265">
        <w:t>after commencement of the amendments</w:t>
      </w:r>
      <w:r>
        <w:t xml:space="preserve">. </w:t>
      </w:r>
      <w:r w:rsidR="00806263">
        <w:t>The amendments</w:t>
      </w:r>
      <w:r>
        <w:t xml:space="preserve"> correct an anomaly which required these declarations to be sent via post separately from other documents being distributed at the same time. </w:t>
      </w:r>
      <w:r w:rsidRPr="00AD4A0B">
        <w:rPr>
          <w:rStyle w:val="Referencingstyle"/>
        </w:rPr>
        <w:t>[Schedule</w:t>
      </w:r>
      <w:r w:rsidR="0076136F">
        <w:rPr>
          <w:rStyle w:val="Referencingstyle"/>
        </w:rPr>
        <w:t xml:space="preserve"> </w:t>
      </w:r>
      <w:r w:rsidRPr="00AD4A0B">
        <w:rPr>
          <w:rStyle w:val="Referencingstyle"/>
        </w:rPr>
        <w:t xml:space="preserve">1, items </w:t>
      </w:r>
      <w:r w:rsidR="00806263">
        <w:rPr>
          <w:rStyle w:val="Referencingstyle"/>
        </w:rPr>
        <w:t>14, 15, 17, 18, 21 and 22</w:t>
      </w:r>
      <w:r w:rsidR="00217265" w:rsidRPr="00AD4A0B">
        <w:rPr>
          <w:rStyle w:val="Referencingstyle"/>
        </w:rPr>
        <w:t xml:space="preserve"> </w:t>
      </w:r>
      <w:r w:rsidRPr="00AD4A0B">
        <w:rPr>
          <w:rStyle w:val="Referencingstyle"/>
        </w:rPr>
        <w:t xml:space="preserve">and </w:t>
      </w:r>
      <w:proofErr w:type="spellStart"/>
      <w:r w:rsidR="00806263">
        <w:rPr>
          <w:rStyle w:val="Referencingstyle"/>
        </w:rPr>
        <w:t>subitem</w:t>
      </w:r>
      <w:proofErr w:type="spellEnd"/>
      <w:r w:rsidR="00806263">
        <w:rPr>
          <w:rStyle w:val="Referencingstyle"/>
        </w:rPr>
        <w:t> 66(5),</w:t>
      </w:r>
      <w:r w:rsidRPr="00AD4A0B">
        <w:rPr>
          <w:rStyle w:val="Referencingstyle"/>
        </w:rPr>
        <w:t xml:space="preserve"> subsections 436DA(3) and 506A(2)</w:t>
      </w:r>
      <w:r w:rsidR="00806263">
        <w:rPr>
          <w:rStyle w:val="Referencingstyle"/>
        </w:rPr>
        <w:t>,</w:t>
      </w:r>
      <w:r w:rsidRPr="00AD4A0B">
        <w:rPr>
          <w:rStyle w:val="Referencingstyle"/>
        </w:rPr>
        <w:t xml:space="preserve"> and paragraphs 600G(1)(aa) and 600G(1)(m)</w:t>
      </w:r>
      <w:r w:rsidR="00806263">
        <w:rPr>
          <w:rStyle w:val="Referencingstyle"/>
        </w:rPr>
        <w:t xml:space="preserve"> of the Corporations Act</w:t>
      </w:r>
      <w:r w:rsidRPr="00AD4A0B">
        <w:rPr>
          <w:rStyle w:val="Referencingstyle"/>
        </w:rPr>
        <w:t>]</w:t>
      </w:r>
      <w:r>
        <w:t xml:space="preserve">   </w:t>
      </w:r>
    </w:p>
    <w:p w14:paraId="12A053ED" w14:textId="12AD2B79" w:rsidR="00370FE1" w:rsidRDefault="00370FE1" w:rsidP="00217265">
      <w:pPr>
        <w:pStyle w:val="base-text-paragraph"/>
        <w:numPr>
          <w:ilvl w:val="1"/>
          <w:numId w:val="4"/>
        </w:numPr>
      </w:pPr>
      <w:r>
        <w:t xml:space="preserve">The Insolvency Practice Schedule allows industry bodies to lodge with ASIC a notice of possible grounds for disciplinary action against a registered liquidator (see section 40-100 of Schedule 2 to the Corporations Act). The </w:t>
      </w:r>
      <w:r w:rsidR="001560DF">
        <w:t xml:space="preserve">exposure draft </w:t>
      </w:r>
      <w:r>
        <w:t>Bill ensures that this notice is not available for inspection and copying. This is consistent with the treatment of other notices which contain sensitive information.</w:t>
      </w:r>
      <w:r w:rsidRPr="00370FE1">
        <w:rPr>
          <w:rStyle w:val="Referencingstyle"/>
        </w:rPr>
        <w:t xml:space="preserve"> </w:t>
      </w:r>
      <w:r w:rsidRPr="00AD4A0B">
        <w:rPr>
          <w:rStyle w:val="Referencingstyle"/>
        </w:rPr>
        <w:t>[Schedule</w:t>
      </w:r>
      <w:r>
        <w:rPr>
          <w:rStyle w:val="Referencingstyle"/>
        </w:rPr>
        <w:t xml:space="preserve"> 1, item 45</w:t>
      </w:r>
      <w:r w:rsidRPr="00AD4A0B">
        <w:rPr>
          <w:rStyle w:val="Referencingstyle"/>
        </w:rPr>
        <w:t>, su</w:t>
      </w:r>
      <w:r>
        <w:rPr>
          <w:rStyle w:val="Referencingstyle"/>
        </w:rPr>
        <w:t>bparagraph 1274(2)(a)(</w:t>
      </w:r>
      <w:proofErr w:type="spellStart"/>
      <w:r>
        <w:rPr>
          <w:rStyle w:val="Referencingstyle"/>
        </w:rPr>
        <w:t>ivb</w:t>
      </w:r>
      <w:proofErr w:type="spellEnd"/>
      <w:r>
        <w:rPr>
          <w:rStyle w:val="Referencingstyle"/>
        </w:rPr>
        <w:t>))</w:t>
      </w:r>
      <w:r w:rsidRPr="00AD4A0B">
        <w:rPr>
          <w:rStyle w:val="Referencingstyle"/>
        </w:rPr>
        <w:t>]</w:t>
      </w:r>
      <w:r>
        <w:t xml:space="preserve">   </w:t>
      </w:r>
    </w:p>
    <w:p w14:paraId="78BA975E" w14:textId="67037E93" w:rsidR="000B5B79" w:rsidRPr="001560DF" w:rsidRDefault="00C85F62" w:rsidP="00C85F62">
      <w:pPr>
        <w:pStyle w:val="base-text-paragraph"/>
        <w:numPr>
          <w:ilvl w:val="1"/>
          <w:numId w:val="4"/>
        </w:numPr>
        <w:rPr>
          <w:rStyle w:val="Referencingstyle"/>
          <w:b w:val="0"/>
          <w:i w:val="0"/>
          <w:sz w:val="22"/>
        </w:rPr>
      </w:pPr>
      <w:r>
        <w:t xml:space="preserve">Schedule 1 </w:t>
      </w:r>
      <w:r w:rsidR="00806263">
        <w:t xml:space="preserve">also </w:t>
      </w:r>
      <w:r>
        <w:t xml:space="preserve">replaces incorrect references to ‘administrator’ in subsections </w:t>
      </w:r>
      <w:proofErr w:type="gramStart"/>
      <w:r>
        <w:t>506A(</w:t>
      </w:r>
      <w:proofErr w:type="gramEnd"/>
      <w:r>
        <w:t xml:space="preserve">3) and (6) of the </w:t>
      </w:r>
      <w:r w:rsidRPr="00806263">
        <w:t>Corporations Act</w:t>
      </w:r>
      <w:r w:rsidRPr="00C85F62">
        <w:rPr>
          <w:i/>
        </w:rPr>
        <w:t> </w:t>
      </w:r>
      <w:r>
        <w:t xml:space="preserve">with a reference to ‘liquidator’.  The </w:t>
      </w:r>
      <w:r w:rsidR="00806263">
        <w:t>provision deals with declarations by a liquidator and the changes correct</w:t>
      </w:r>
      <w:r>
        <w:t xml:space="preserve"> </w:t>
      </w:r>
      <w:r w:rsidR="00806263">
        <w:t xml:space="preserve">the </w:t>
      </w:r>
      <w:r>
        <w:t>drafting error</w:t>
      </w:r>
      <w:r w:rsidR="00806263">
        <w:t>s</w:t>
      </w:r>
      <w:r>
        <w:t xml:space="preserve">. </w:t>
      </w:r>
      <w:r w:rsidRPr="00413E96">
        <w:rPr>
          <w:rStyle w:val="Referencingstyle"/>
        </w:rPr>
        <w:t xml:space="preserve">[Schedule 1, item </w:t>
      </w:r>
      <w:r w:rsidR="001C51A6">
        <w:rPr>
          <w:rStyle w:val="Referencingstyle"/>
        </w:rPr>
        <w:t>19</w:t>
      </w:r>
      <w:r w:rsidRPr="00413E96">
        <w:rPr>
          <w:rStyle w:val="Referencingstyle"/>
        </w:rPr>
        <w:t>, subsections 506A(3) and</w:t>
      </w:r>
      <w:r w:rsidR="001C51A6">
        <w:rPr>
          <w:rStyle w:val="Referencingstyle"/>
        </w:rPr>
        <w:t> </w:t>
      </w:r>
      <w:r w:rsidRPr="00413E96">
        <w:rPr>
          <w:rStyle w:val="Referencingstyle"/>
        </w:rPr>
        <w:t>(6) of the Corporations Act]</w:t>
      </w:r>
    </w:p>
    <w:p w14:paraId="57C1EE85" w14:textId="4D246EF6" w:rsidR="00CE3E05" w:rsidRPr="00CE3E05" w:rsidRDefault="00CE3E05" w:rsidP="00CE3E05">
      <w:pPr>
        <w:pStyle w:val="Heading5"/>
      </w:pPr>
      <w:r w:rsidRPr="00CE3E05">
        <w:t>Effect of deregistration on the cancellation of licences</w:t>
      </w:r>
    </w:p>
    <w:p w14:paraId="2DC420F6" w14:textId="43404E2E" w:rsidR="001C0B13" w:rsidRPr="001C0B13" w:rsidRDefault="002664E0" w:rsidP="001C0B13">
      <w:pPr>
        <w:pStyle w:val="base-text-paragraph"/>
        <w:numPr>
          <w:ilvl w:val="1"/>
          <w:numId w:val="4"/>
        </w:numPr>
      </w:pPr>
      <w:r>
        <w:t xml:space="preserve">Schedule 1 inserts a new subsection 601AH(6) into the Corporations Act which </w:t>
      </w:r>
      <w:r w:rsidR="002E612F">
        <w:t>clarifies</w:t>
      </w:r>
      <w:r>
        <w:t xml:space="preserve"> that subsection 601A</w:t>
      </w:r>
      <w:r w:rsidR="009C7487">
        <w:t>H</w:t>
      </w:r>
      <w:r>
        <w:t>(5) does not affect the cancellation of an Australian financial services licence held by a company where the licence is cancelled because the company is deregistered.</w:t>
      </w:r>
      <w:r w:rsidR="00806263">
        <w:t xml:space="preserve"> </w:t>
      </w:r>
      <w:r w:rsidR="00806263">
        <w:rPr>
          <w:rStyle w:val="Referencingstyle"/>
        </w:rPr>
        <w:t>[Schedule 1, i</w:t>
      </w:r>
      <w:r w:rsidR="00806263" w:rsidRPr="00375F1D">
        <w:rPr>
          <w:rStyle w:val="Referencingstyle"/>
        </w:rPr>
        <w:t xml:space="preserve">tem </w:t>
      </w:r>
      <w:r w:rsidR="001560DF">
        <w:rPr>
          <w:rStyle w:val="Referencingstyle"/>
        </w:rPr>
        <w:t>24</w:t>
      </w:r>
      <w:r w:rsidR="00806263">
        <w:rPr>
          <w:rStyle w:val="Referencingstyle"/>
        </w:rPr>
        <w:t>, subsection 601AH(6)</w:t>
      </w:r>
      <w:r w:rsidR="00806263" w:rsidRPr="00375F1D">
        <w:rPr>
          <w:rStyle w:val="Referencingstyle"/>
        </w:rPr>
        <w:t xml:space="preserve"> of </w:t>
      </w:r>
      <w:r w:rsidR="00806263">
        <w:rPr>
          <w:rStyle w:val="Referencingstyle"/>
        </w:rPr>
        <w:t>the Corporations Act</w:t>
      </w:r>
      <w:r w:rsidR="00806263" w:rsidRPr="00375F1D">
        <w:rPr>
          <w:rStyle w:val="Referencingstyle"/>
        </w:rPr>
        <w:t>]</w:t>
      </w:r>
    </w:p>
    <w:p w14:paraId="77B90166" w14:textId="105A35C3" w:rsidR="002E612F" w:rsidRPr="002E612F" w:rsidRDefault="002E612F" w:rsidP="002E612F">
      <w:pPr>
        <w:pStyle w:val="base-text-paragraph"/>
        <w:numPr>
          <w:ilvl w:val="1"/>
          <w:numId w:val="4"/>
        </w:numPr>
      </w:pPr>
      <w:r>
        <w:t>Subsection </w:t>
      </w:r>
      <w:proofErr w:type="gramStart"/>
      <w:r>
        <w:t>601A</w:t>
      </w:r>
      <w:r w:rsidR="00167A5A">
        <w:t>H</w:t>
      </w:r>
      <w:r>
        <w:t>(</w:t>
      </w:r>
      <w:proofErr w:type="gramEnd"/>
      <w:r>
        <w:t xml:space="preserve">5) deems a company that is reinstated to never have been deregistered. </w:t>
      </w:r>
    </w:p>
    <w:p w14:paraId="1BA6AC86" w14:textId="2524E9F9" w:rsidR="00943331" w:rsidRPr="00943331" w:rsidRDefault="00943331" w:rsidP="00943331">
      <w:pPr>
        <w:pStyle w:val="Heading4"/>
        <w:rPr>
          <w:b w:val="0"/>
        </w:rPr>
      </w:pPr>
      <w:proofErr w:type="spellStart"/>
      <w:r w:rsidRPr="00943331">
        <w:rPr>
          <w:b w:val="0"/>
        </w:rPr>
        <w:t>Misdescribed</w:t>
      </w:r>
      <w:proofErr w:type="spellEnd"/>
      <w:r w:rsidRPr="00943331">
        <w:rPr>
          <w:b w:val="0"/>
        </w:rPr>
        <w:t xml:space="preserve"> amendments in the Asia Region Funds Passport Act </w:t>
      </w:r>
    </w:p>
    <w:p w14:paraId="4175C61E" w14:textId="7F06B6CB" w:rsidR="00C95681" w:rsidRDefault="00C95681" w:rsidP="00C95681">
      <w:pPr>
        <w:pStyle w:val="base-text-paragraph"/>
        <w:numPr>
          <w:ilvl w:val="1"/>
          <w:numId w:val="4"/>
        </w:numPr>
      </w:pPr>
      <w:r>
        <w:t xml:space="preserve">Schedule 1 </w:t>
      </w:r>
      <w:r w:rsidR="00B02404">
        <w:t>to</w:t>
      </w:r>
      <w:r>
        <w:t xml:space="preserve"> the </w:t>
      </w:r>
      <w:r w:rsidR="00B02404">
        <w:t xml:space="preserve">exposure draft </w:t>
      </w:r>
      <w:r>
        <w:t xml:space="preserve">Bill makes consequential amendments to the Courts general power to make orders in section 1325 of the Corporations Act. These amendments </w:t>
      </w:r>
      <w:r w:rsidR="00943331">
        <w:t xml:space="preserve">are included in </w:t>
      </w:r>
      <w:r>
        <w:t xml:space="preserve">the </w:t>
      </w:r>
      <w:r w:rsidR="00943331" w:rsidRPr="00943331">
        <w:rPr>
          <w:i/>
        </w:rPr>
        <w:t xml:space="preserve">Corporations </w:t>
      </w:r>
      <w:r w:rsidRPr="00943331">
        <w:rPr>
          <w:i/>
        </w:rPr>
        <w:t>Amendment (Asia Region Funds Passport) Act 2018</w:t>
      </w:r>
      <w:r>
        <w:t xml:space="preserve"> </w:t>
      </w:r>
      <w:r w:rsidR="00943331">
        <w:t xml:space="preserve">but they could not be incorporated into the Corporations Act because they are </w:t>
      </w:r>
      <w:proofErr w:type="spellStart"/>
      <w:r w:rsidR="00943331">
        <w:t>misdescribed</w:t>
      </w:r>
      <w:proofErr w:type="spellEnd"/>
      <w:r w:rsidR="00943331">
        <w:t>.</w:t>
      </w:r>
      <w:r w:rsidR="00943331" w:rsidRPr="00943331">
        <w:rPr>
          <w:b/>
          <w:i/>
          <w:sz w:val="18"/>
        </w:rPr>
        <w:t xml:space="preserve"> </w:t>
      </w:r>
      <w:r w:rsidR="00943331">
        <w:rPr>
          <w:b/>
          <w:i/>
          <w:sz w:val="18"/>
        </w:rPr>
        <w:t xml:space="preserve">[Schedule 1, items </w:t>
      </w:r>
      <w:r w:rsidR="00912F7C">
        <w:rPr>
          <w:b/>
          <w:i/>
          <w:sz w:val="18"/>
        </w:rPr>
        <w:t>46 to 48</w:t>
      </w:r>
      <w:r w:rsidR="00943331" w:rsidRPr="0076136F">
        <w:rPr>
          <w:b/>
          <w:i/>
          <w:sz w:val="18"/>
        </w:rPr>
        <w:t xml:space="preserve">, </w:t>
      </w:r>
      <w:r w:rsidR="00943331">
        <w:rPr>
          <w:b/>
          <w:i/>
          <w:sz w:val="18"/>
        </w:rPr>
        <w:t>subsections 1325(1) to (3) of the Corporations Act</w:t>
      </w:r>
      <w:r w:rsidR="00943331" w:rsidRPr="0076136F">
        <w:rPr>
          <w:b/>
          <w:i/>
          <w:sz w:val="18"/>
        </w:rPr>
        <w:t>]</w:t>
      </w:r>
    </w:p>
    <w:p w14:paraId="7F82203B" w14:textId="3E3CA039" w:rsidR="00E85046" w:rsidRDefault="00E85046" w:rsidP="002F3A29">
      <w:pPr>
        <w:pStyle w:val="Heading4"/>
      </w:pPr>
      <w:r>
        <w:t>Amendment to the Financial Sector (Transfer and Restructure) Act</w:t>
      </w:r>
    </w:p>
    <w:p w14:paraId="7A9C318B" w14:textId="636CC213" w:rsidR="00E85046" w:rsidRPr="002F3A29" w:rsidRDefault="00B26B41" w:rsidP="00C0075F">
      <w:pPr>
        <w:pStyle w:val="base-text-paragraph"/>
        <w:numPr>
          <w:ilvl w:val="1"/>
          <w:numId w:val="22"/>
        </w:numPr>
      </w:pPr>
      <w:r>
        <w:t>Schedule 1 to the exposure draft</w:t>
      </w:r>
      <w:r w:rsidR="00DB3643" w:rsidRPr="00DB3643">
        <w:t xml:space="preserve"> Bill amends subsection 11(1A) </w:t>
      </w:r>
      <w:r>
        <w:t xml:space="preserve">and the note in subsection 14(2) </w:t>
      </w:r>
      <w:r w:rsidR="00DB3643" w:rsidRPr="00DB3643">
        <w:t xml:space="preserve">of the </w:t>
      </w:r>
      <w:r w:rsidR="00DB3643" w:rsidRPr="00DB3643">
        <w:rPr>
          <w:i/>
        </w:rPr>
        <w:t xml:space="preserve">Financial Sector (Transfer and </w:t>
      </w:r>
      <w:r w:rsidR="00DB3643" w:rsidRPr="00DB3643">
        <w:rPr>
          <w:i/>
        </w:rPr>
        <w:lastRenderedPageBreak/>
        <w:t>Restructure) Act 1999</w:t>
      </w:r>
      <w:r w:rsidR="00DB3643" w:rsidRPr="00DB3643">
        <w:t xml:space="preserve">. Under section 11 of this Act, APRA may make a ‘voluntary transfer approval’ for the transfer of business. However, subsection 11(1A) </w:t>
      </w:r>
      <w:r>
        <w:t xml:space="preserve">and the note in subsection 14(2) </w:t>
      </w:r>
      <w:r w:rsidR="00DB3643" w:rsidRPr="00DB3643">
        <w:t>refers to APRA making a ‘determination’, which is i</w:t>
      </w:r>
      <w:r>
        <w:t>nconsistent with the terminology used in section 11</w:t>
      </w:r>
      <w:r w:rsidR="00DB3643" w:rsidRPr="00DB3643">
        <w:t>.</w:t>
      </w:r>
      <w:r w:rsidR="0076136F">
        <w:t xml:space="preserve"> </w:t>
      </w:r>
      <w:r w:rsidR="0076136F" w:rsidRPr="0076136F">
        <w:rPr>
          <w:b/>
          <w:i/>
          <w:sz w:val="18"/>
        </w:rPr>
        <w:t>[Schedule 1, item</w:t>
      </w:r>
      <w:r w:rsidR="0079357C">
        <w:rPr>
          <w:b/>
          <w:i/>
          <w:sz w:val="18"/>
        </w:rPr>
        <w:t>s</w:t>
      </w:r>
      <w:r w:rsidR="0076136F" w:rsidRPr="0076136F">
        <w:rPr>
          <w:b/>
          <w:i/>
          <w:sz w:val="18"/>
        </w:rPr>
        <w:t xml:space="preserve"> </w:t>
      </w:r>
      <w:r>
        <w:rPr>
          <w:b/>
          <w:i/>
          <w:sz w:val="18"/>
        </w:rPr>
        <w:t>61 and 62</w:t>
      </w:r>
      <w:r w:rsidR="0076136F" w:rsidRPr="0076136F">
        <w:rPr>
          <w:b/>
          <w:i/>
          <w:sz w:val="18"/>
        </w:rPr>
        <w:t>, subsection</w:t>
      </w:r>
      <w:r>
        <w:rPr>
          <w:b/>
          <w:i/>
          <w:sz w:val="18"/>
        </w:rPr>
        <w:t>s</w:t>
      </w:r>
      <w:r w:rsidR="0076136F" w:rsidRPr="0076136F">
        <w:rPr>
          <w:b/>
          <w:i/>
          <w:sz w:val="18"/>
        </w:rPr>
        <w:t xml:space="preserve"> 11(1A) </w:t>
      </w:r>
      <w:r>
        <w:rPr>
          <w:b/>
          <w:i/>
          <w:sz w:val="18"/>
        </w:rPr>
        <w:t xml:space="preserve">and 14(2) </w:t>
      </w:r>
      <w:r w:rsidR="0076136F" w:rsidRPr="0076136F">
        <w:rPr>
          <w:b/>
          <w:i/>
          <w:sz w:val="18"/>
        </w:rPr>
        <w:t xml:space="preserve">of the </w:t>
      </w:r>
      <w:r>
        <w:rPr>
          <w:b/>
          <w:i/>
          <w:sz w:val="18"/>
        </w:rPr>
        <w:t>Financial Sector (Transfer and R</w:t>
      </w:r>
      <w:r w:rsidR="0076136F" w:rsidRPr="0076136F">
        <w:rPr>
          <w:b/>
          <w:i/>
          <w:sz w:val="18"/>
        </w:rPr>
        <w:t>estructure) Act]</w:t>
      </w:r>
    </w:p>
    <w:p w14:paraId="542B4326" w14:textId="74B7256D" w:rsidR="002F3A29" w:rsidRDefault="002F3A29" w:rsidP="002F3A29">
      <w:pPr>
        <w:pStyle w:val="Heading4"/>
      </w:pPr>
      <w:r>
        <w:t>Amendments to the Credit Act</w:t>
      </w:r>
    </w:p>
    <w:p w14:paraId="3B822908" w14:textId="4541034A" w:rsidR="002F3A29" w:rsidRPr="00630E03" w:rsidRDefault="00F86F3E" w:rsidP="00C0075F">
      <w:pPr>
        <w:pStyle w:val="base-text-paragraph"/>
        <w:numPr>
          <w:ilvl w:val="1"/>
          <w:numId w:val="22"/>
        </w:numPr>
        <w:rPr>
          <w:rStyle w:val="Referencingstyle"/>
          <w:b w:val="0"/>
          <w:i w:val="0"/>
          <w:sz w:val="22"/>
        </w:rPr>
      </w:pPr>
      <w:r>
        <w:t xml:space="preserve">Schedule 1 </w:t>
      </w:r>
      <w:r w:rsidR="00B02404">
        <w:t>to</w:t>
      </w:r>
      <w:r w:rsidR="00B26B41">
        <w:t xml:space="preserve"> the exposure draft Bill </w:t>
      </w:r>
      <w:r>
        <w:t>amends paragraph 266(b) of the Credit</w:t>
      </w:r>
      <w:r w:rsidR="007C4659">
        <w:t> </w:t>
      </w:r>
      <w:r>
        <w:t xml:space="preserve">Act to </w:t>
      </w:r>
      <w:r w:rsidR="005D77A6">
        <w:t xml:space="preserve">ensure that ASIC may issue a notice to produce books to persons </w:t>
      </w:r>
      <w:r w:rsidR="007A318A">
        <w:t>that ASIC</w:t>
      </w:r>
      <w:r w:rsidR="00B138C9">
        <w:t>, on reasonable grounds,</w:t>
      </w:r>
      <w:r w:rsidR="007A318A">
        <w:t xml:space="preserve"> suspects to have been</w:t>
      </w:r>
      <w:r w:rsidR="00B138C9">
        <w:t xml:space="preserve"> a party to engaging in a credit activity</w:t>
      </w:r>
      <w:r w:rsidR="007A318A">
        <w:t xml:space="preserve">. </w:t>
      </w:r>
      <w:r w:rsidR="007A318A">
        <w:rPr>
          <w:rStyle w:val="Referencingstyle"/>
        </w:rPr>
        <w:t>[Schedule 1, i</w:t>
      </w:r>
      <w:r w:rsidR="007A318A" w:rsidRPr="00375F1D">
        <w:rPr>
          <w:rStyle w:val="Referencingstyle"/>
        </w:rPr>
        <w:t xml:space="preserve">tem </w:t>
      </w:r>
      <w:r w:rsidR="00B26B41">
        <w:rPr>
          <w:rStyle w:val="Referencingstyle"/>
        </w:rPr>
        <w:t>64</w:t>
      </w:r>
      <w:r w:rsidR="007A318A" w:rsidRPr="00375F1D">
        <w:rPr>
          <w:rStyle w:val="Referencingstyle"/>
        </w:rPr>
        <w:t xml:space="preserve">, </w:t>
      </w:r>
      <w:r w:rsidR="007A318A">
        <w:rPr>
          <w:rStyle w:val="Referencingstyle"/>
        </w:rPr>
        <w:t>paragraph 266(b) of the Credit Act</w:t>
      </w:r>
      <w:r w:rsidR="007A318A" w:rsidRPr="00375F1D">
        <w:rPr>
          <w:rStyle w:val="Referencingstyle"/>
        </w:rPr>
        <w:t>]</w:t>
      </w:r>
    </w:p>
    <w:p w14:paraId="7C4FD554" w14:textId="569FF7E7" w:rsidR="00200A90" w:rsidRPr="00080D9E" w:rsidRDefault="00B138C9" w:rsidP="00200A90">
      <w:pPr>
        <w:pStyle w:val="base-text-paragraph"/>
        <w:numPr>
          <w:ilvl w:val="1"/>
          <w:numId w:val="22"/>
        </w:numPr>
        <w:rPr>
          <w:rStyle w:val="Referencingstyle"/>
          <w:b w:val="0"/>
          <w:i w:val="0"/>
          <w:sz w:val="22"/>
        </w:rPr>
      </w:pPr>
      <w:r w:rsidRPr="00080D9E">
        <w:rPr>
          <w:rStyle w:val="Referencingstyle"/>
          <w:b w:val="0"/>
          <w:i w:val="0"/>
          <w:sz w:val="22"/>
        </w:rPr>
        <w:t xml:space="preserve">This amendment replaces the </w:t>
      </w:r>
      <w:r w:rsidR="00080D9E" w:rsidRPr="00080D9E">
        <w:rPr>
          <w:rStyle w:val="Referencingstyle"/>
          <w:b w:val="0"/>
          <w:i w:val="0"/>
          <w:sz w:val="22"/>
        </w:rPr>
        <w:t xml:space="preserve">previous requirement that a person </w:t>
      </w:r>
      <w:r w:rsidR="00080D9E">
        <w:rPr>
          <w:rStyle w:val="Referencingstyle"/>
          <w:b w:val="0"/>
          <w:i w:val="0"/>
          <w:sz w:val="22"/>
        </w:rPr>
        <w:t>must have been</w:t>
      </w:r>
      <w:r w:rsidR="00080D9E" w:rsidRPr="00080D9E">
        <w:rPr>
          <w:rStyle w:val="Referencingstyle"/>
          <w:b w:val="0"/>
          <w:i w:val="0"/>
          <w:sz w:val="22"/>
        </w:rPr>
        <w:t xml:space="preserve"> engaging in a credit activity ‘in ASIC’s opinion’</w:t>
      </w:r>
      <w:r w:rsidR="00080D9E">
        <w:rPr>
          <w:rStyle w:val="Referencingstyle"/>
          <w:b w:val="0"/>
          <w:i w:val="0"/>
          <w:sz w:val="22"/>
        </w:rPr>
        <w:t xml:space="preserve"> in order for ASIC to is</w:t>
      </w:r>
      <w:r w:rsidR="00200A90">
        <w:rPr>
          <w:rStyle w:val="Referencingstyle"/>
          <w:b w:val="0"/>
          <w:i w:val="0"/>
          <w:sz w:val="22"/>
        </w:rPr>
        <w:t>sue a notice to produce books. The updated requirement ensures that ASIC can issue notices where there is</w:t>
      </w:r>
      <w:r w:rsidR="0079357C">
        <w:rPr>
          <w:rStyle w:val="Referencingstyle"/>
          <w:b w:val="0"/>
          <w:i w:val="0"/>
          <w:sz w:val="22"/>
        </w:rPr>
        <w:t xml:space="preserve"> a</w:t>
      </w:r>
      <w:r w:rsidR="00200A90">
        <w:rPr>
          <w:rStyle w:val="Referencingstyle"/>
          <w:b w:val="0"/>
          <w:i w:val="0"/>
          <w:sz w:val="22"/>
        </w:rPr>
        <w:t xml:space="preserve"> reasonably held suspicion of such activities and is consistent with the approach taken in other provisions of the Credit Act such as in sections </w:t>
      </w:r>
      <w:r w:rsidR="00200A90" w:rsidRPr="00200A90">
        <w:rPr>
          <w:rStyle w:val="Referencingstyle"/>
          <w:b w:val="0"/>
          <w:i w:val="0"/>
          <w:sz w:val="22"/>
        </w:rPr>
        <w:t>253, 269, 270 and 274</w:t>
      </w:r>
      <w:r w:rsidR="00200A90">
        <w:rPr>
          <w:rStyle w:val="Referencingstyle"/>
          <w:b w:val="0"/>
          <w:i w:val="0"/>
          <w:sz w:val="22"/>
        </w:rPr>
        <w:t>.</w:t>
      </w:r>
    </w:p>
    <w:p w14:paraId="51F8A53B" w14:textId="294A0B2E" w:rsidR="00D8665B" w:rsidRPr="00080D9E" w:rsidRDefault="00D8665B" w:rsidP="00200A90">
      <w:pPr>
        <w:pStyle w:val="base-text-paragraph"/>
        <w:numPr>
          <w:ilvl w:val="1"/>
          <w:numId w:val="22"/>
        </w:numPr>
        <w:rPr>
          <w:rStyle w:val="Referencingstyle"/>
          <w:b w:val="0"/>
          <w:i w:val="0"/>
          <w:sz w:val="22"/>
        </w:rPr>
      </w:pPr>
      <w:r>
        <w:rPr>
          <w:rStyle w:val="Referencingstyle"/>
          <w:b w:val="0"/>
          <w:i w:val="0"/>
          <w:sz w:val="22"/>
        </w:rPr>
        <w:t xml:space="preserve">The amendment applies in relation to notices issued on or after the time that it commences (being the day after the amendment receives the Royal Assent). </w:t>
      </w:r>
      <w:r>
        <w:rPr>
          <w:rStyle w:val="Referencingstyle"/>
        </w:rPr>
        <w:t xml:space="preserve">[Schedule 1, </w:t>
      </w:r>
      <w:proofErr w:type="spellStart"/>
      <w:r>
        <w:rPr>
          <w:rStyle w:val="Referencingstyle"/>
        </w:rPr>
        <w:t>subi</w:t>
      </w:r>
      <w:r w:rsidRPr="00375F1D">
        <w:rPr>
          <w:rStyle w:val="Referencingstyle"/>
        </w:rPr>
        <w:t>tem</w:t>
      </w:r>
      <w:proofErr w:type="spellEnd"/>
      <w:r w:rsidRPr="00375F1D">
        <w:rPr>
          <w:rStyle w:val="Referencingstyle"/>
        </w:rPr>
        <w:t xml:space="preserve"> </w:t>
      </w:r>
      <w:r>
        <w:rPr>
          <w:rStyle w:val="Referencingstyle"/>
        </w:rPr>
        <w:t>66(</w:t>
      </w:r>
      <w:r w:rsidR="00B26B41">
        <w:rPr>
          <w:rStyle w:val="Referencingstyle"/>
        </w:rPr>
        <w:t>6</w:t>
      </w:r>
      <w:r>
        <w:rPr>
          <w:rStyle w:val="Referencingstyle"/>
        </w:rPr>
        <w:t>)</w:t>
      </w:r>
      <w:r w:rsidRPr="00375F1D">
        <w:rPr>
          <w:rStyle w:val="Referencingstyle"/>
        </w:rPr>
        <w:t>]</w:t>
      </w:r>
    </w:p>
    <w:p w14:paraId="7166E755" w14:textId="6F958E30" w:rsidR="002F3A29" w:rsidRDefault="002F3A29" w:rsidP="002F3A29">
      <w:pPr>
        <w:pStyle w:val="Heading4"/>
      </w:pPr>
      <w:r>
        <w:t>Other Miscellaneous Amendments</w:t>
      </w:r>
    </w:p>
    <w:p w14:paraId="242F139B" w14:textId="563260B4" w:rsidR="009B2A78" w:rsidRPr="009B2A78" w:rsidRDefault="009B2A78" w:rsidP="00C0075F">
      <w:pPr>
        <w:pStyle w:val="base-text-paragraph"/>
        <w:numPr>
          <w:ilvl w:val="1"/>
          <w:numId w:val="4"/>
        </w:numPr>
        <w:rPr>
          <w:rStyle w:val="Referencingstyle"/>
          <w:b w:val="0"/>
          <w:i w:val="0"/>
          <w:sz w:val="22"/>
        </w:rPr>
      </w:pPr>
      <w:r>
        <w:t xml:space="preserve">References to the </w:t>
      </w:r>
      <w:r w:rsidRPr="007432F2">
        <w:rPr>
          <w:i/>
        </w:rPr>
        <w:t>Legislative Instruments Act 2003</w:t>
      </w:r>
      <w:r>
        <w:t xml:space="preserve"> are replaced with references to the </w:t>
      </w:r>
      <w:r w:rsidRPr="007432F2">
        <w:rPr>
          <w:i/>
        </w:rPr>
        <w:t>Legislation Act 2003</w:t>
      </w:r>
      <w:r>
        <w:t xml:space="preserve">. The </w:t>
      </w:r>
      <w:r w:rsidRPr="009B2A78">
        <w:rPr>
          <w:i/>
        </w:rPr>
        <w:t>Legislative Instruments Act 2003</w:t>
      </w:r>
      <w:r>
        <w:t xml:space="preserve"> was renamed when the Act was amended to introduce a consolidated framework for the publication of Commonwealth Acts as well as the registration of Commonwealth instruments.</w:t>
      </w:r>
      <w:r>
        <w:rPr>
          <w:rStyle w:val="Referencingstyle"/>
        </w:rPr>
        <w:t xml:space="preserve"> [Schedule 1, item</w:t>
      </w:r>
      <w:r w:rsidR="0098788A">
        <w:rPr>
          <w:rStyle w:val="Referencingstyle"/>
        </w:rPr>
        <w:t>s</w:t>
      </w:r>
      <w:r>
        <w:rPr>
          <w:rStyle w:val="Referencingstyle"/>
        </w:rPr>
        <w:t xml:space="preserve"> </w:t>
      </w:r>
      <w:r w:rsidR="00705CCC">
        <w:rPr>
          <w:rStyle w:val="Referencingstyle"/>
        </w:rPr>
        <w:t>13, 20, 25</w:t>
      </w:r>
      <w:r w:rsidR="007D1506">
        <w:rPr>
          <w:rStyle w:val="Referencingstyle"/>
        </w:rPr>
        <w:t>, 31</w:t>
      </w:r>
      <w:r w:rsidR="0085674F">
        <w:rPr>
          <w:rStyle w:val="Referencingstyle"/>
        </w:rPr>
        <w:t xml:space="preserve">, </w:t>
      </w:r>
      <w:r w:rsidR="00705CCC">
        <w:rPr>
          <w:rStyle w:val="Referencingstyle"/>
        </w:rPr>
        <w:t>33, 44</w:t>
      </w:r>
      <w:r w:rsidR="0085674F">
        <w:rPr>
          <w:rStyle w:val="Referencingstyle"/>
        </w:rPr>
        <w:t xml:space="preserve"> and</w:t>
      </w:r>
      <w:r w:rsidR="00705CCC">
        <w:rPr>
          <w:rStyle w:val="Referencingstyle"/>
        </w:rPr>
        <w:t> 63</w:t>
      </w:r>
      <w:r w:rsidR="0085674F">
        <w:rPr>
          <w:rStyle w:val="Referencingstyle"/>
        </w:rPr>
        <w:t>,</w:t>
      </w:r>
      <w:r w:rsidR="007D1506">
        <w:rPr>
          <w:rStyle w:val="Referencingstyle"/>
        </w:rPr>
        <w:t xml:space="preserve"> </w:t>
      </w:r>
      <w:r>
        <w:rPr>
          <w:rStyle w:val="Referencingstyle"/>
        </w:rPr>
        <w:t xml:space="preserve">subsections </w:t>
      </w:r>
      <w:r w:rsidR="00705CCC">
        <w:rPr>
          <w:rStyle w:val="Referencingstyle"/>
        </w:rPr>
        <w:t xml:space="preserve">200AB(1), 200AB(2), </w:t>
      </w:r>
      <w:r w:rsidR="00B26B41">
        <w:rPr>
          <w:rStyle w:val="Referencingstyle"/>
        </w:rPr>
        <w:t xml:space="preserve">200A(1A), </w:t>
      </w:r>
      <w:r>
        <w:rPr>
          <w:rStyle w:val="Referencingstyle"/>
        </w:rPr>
        <w:t>579Q(1</w:t>
      </w:r>
      <w:r w:rsidR="00705CCC">
        <w:rPr>
          <w:rStyle w:val="Referencingstyle"/>
        </w:rPr>
        <w:t>),</w:t>
      </w:r>
      <w:r>
        <w:rPr>
          <w:rStyle w:val="Referencingstyle"/>
        </w:rPr>
        <w:t xml:space="preserve"> </w:t>
      </w:r>
      <w:r w:rsidR="002F3A29">
        <w:rPr>
          <w:rStyle w:val="Referencingstyle"/>
        </w:rPr>
        <w:t>579Q</w:t>
      </w:r>
      <w:r>
        <w:rPr>
          <w:rStyle w:val="Referencingstyle"/>
        </w:rPr>
        <w:t>(2)</w:t>
      </w:r>
      <w:r w:rsidR="0085674F">
        <w:rPr>
          <w:rStyle w:val="Referencingstyle"/>
        </w:rPr>
        <w:t>,</w:t>
      </w:r>
      <w:r w:rsidR="0098788A">
        <w:rPr>
          <w:rStyle w:val="Referencingstyle"/>
        </w:rPr>
        <w:t xml:space="preserve"> 601YAA(5)</w:t>
      </w:r>
      <w:r w:rsidR="007D1506">
        <w:rPr>
          <w:rStyle w:val="Referencingstyle"/>
        </w:rPr>
        <w:t xml:space="preserve">, </w:t>
      </w:r>
      <w:r w:rsidR="0085674F">
        <w:rPr>
          <w:rStyle w:val="Referencingstyle"/>
        </w:rPr>
        <w:t>907B(3), 926A(5</w:t>
      </w:r>
      <w:r w:rsidR="00705CCC">
        <w:rPr>
          <w:rStyle w:val="Referencingstyle"/>
        </w:rPr>
        <w:t>) and </w:t>
      </w:r>
      <w:r w:rsidR="0085674F">
        <w:rPr>
          <w:rStyle w:val="Referencingstyle"/>
        </w:rPr>
        <w:t>1020AF(1) of the Corporations Act;</w:t>
      </w:r>
      <w:r w:rsidR="00705CCC">
        <w:rPr>
          <w:rStyle w:val="Referencingstyle"/>
        </w:rPr>
        <w:t xml:space="preserve"> and subsections 109(6) and 163(6) of the Credit Act</w:t>
      </w:r>
      <w:r>
        <w:rPr>
          <w:rStyle w:val="Referencingstyle"/>
        </w:rPr>
        <w:t>]</w:t>
      </w:r>
    </w:p>
    <w:p w14:paraId="24E1437E" w14:textId="625A0FFE" w:rsidR="009B2A78" w:rsidRPr="0076136F" w:rsidRDefault="0076136F" w:rsidP="00C0075F">
      <w:pPr>
        <w:pStyle w:val="base-text-paragraph"/>
        <w:numPr>
          <w:ilvl w:val="1"/>
          <w:numId w:val="4"/>
        </w:numPr>
      </w:pPr>
      <w:r>
        <w:t xml:space="preserve">There are a number of typographical changes in the </w:t>
      </w:r>
      <w:r w:rsidRPr="0076136F">
        <w:t>Corporations Act</w:t>
      </w:r>
      <w:r>
        <w:t xml:space="preserve"> in reference to </w:t>
      </w:r>
      <w:proofErr w:type="spellStart"/>
      <w:r>
        <w:t>self managed</w:t>
      </w:r>
      <w:proofErr w:type="spellEnd"/>
      <w:r>
        <w:t xml:space="preserve"> super funds, so that the descriptor ‘self-managed’ is replaced with ‘</w:t>
      </w:r>
      <w:proofErr w:type="spellStart"/>
      <w:r>
        <w:t>self managed</w:t>
      </w:r>
      <w:proofErr w:type="spellEnd"/>
      <w:r>
        <w:t xml:space="preserve">’ to more accurately reflect current terminology. </w:t>
      </w:r>
      <w:r w:rsidRPr="0076136F">
        <w:rPr>
          <w:b/>
          <w:i/>
          <w:sz w:val="18"/>
        </w:rPr>
        <w:t xml:space="preserve">[Schedule 1, items </w:t>
      </w:r>
      <w:r w:rsidR="00B26B41">
        <w:rPr>
          <w:b/>
          <w:i/>
          <w:sz w:val="18"/>
        </w:rPr>
        <w:t>27, 28, 32 and 36 to 38,</w:t>
      </w:r>
      <w:r w:rsidRPr="0076136F">
        <w:rPr>
          <w:b/>
          <w:i/>
          <w:sz w:val="18"/>
        </w:rPr>
        <w:t xml:space="preserve"> section 761A, paragraph</w:t>
      </w:r>
      <w:r w:rsidR="0079357C">
        <w:rPr>
          <w:b/>
          <w:i/>
          <w:sz w:val="18"/>
        </w:rPr>
        <w:t>s</w:t>
      </w:r>
      <w:r w:rsidRPr="0076136F">
        <w:rPr>
          <w:b/>
          <w:i/>
          <w:sz w:val="18"/>
        </w:rPr>
        <w:t xml:space="preserve"> 911A(2)(j)</w:t>
      </w:r>
      <w:r w:rsidR="0079357C">
        <w:rPr>
          <w:b/>
          <w:i/>
          <w:sz w:val="18"/>
        </w:rPr>
        <w:t xml:space="preserve"> and 1012D(2A)(a)</w:t>
      </w:r>
      <w:r w:rsidRPr="0076136F">
        <w:rPr>
          <w:b/>
          <w:i/>
          <w:sz w:val="18"/>
        </w:rPr>
        <w:t>, subsection</w:t>
      </w:r>
      <w:r w:rsidR="00B26B41">
        <w:rPr>
          <w:b/>
          <w:i/>
          <w:sz w:val="18"/>
        </w:rPr>
        <w:t xml:space="preserve">s 1012D(2A), </w:t>
      </w:r>
      <w:r w:rsidRPr="0076136F">
        <w:rPr>
          <w:b/>
          <w:i/>
          <w:sz w:val="18"/>
        </w:rPr>
        <w:t xml:space="preserve"> 1015D(2) and 1017C(6) of the Corporations Act]</w:t>
      </w:r>
    </w:p>
    <w:p w14:paraId="4ADC6191" w14:textId="5C874363" w:rsidR="0076136F" w:rsidRDefault="007D1506" w:rsidP="00C0075F">
      <w:pPr>
        <w:pStyle w:val="base-text-paragraph"/>
        <w:numPr>
          <w:ilvl w:val="1"/>
          <w:numId w:val="4"/>
        </w:numPr>
      </w:pPr>
      <w:r>
        <w:t xml:space="preserve">This Bill also makes a number of small corrections to typographical errors in various parts of the Corporations Act and removes </w:t>
      </w:r>
      <w:r w:rsidR="0085674F">
        <w:t>incorrect</w:t>
      </w:r>
      <w:r>
        <w:t xml:space="preserve"> spacing between words and dashes. </w:t>
      </w:r>
      <w:r w:rsidRPr="005C1ABB">
        <w:rPr>
          <w:rStyle w:val="Referencingstyle"/>
        </w:rPr>
        <w:t>[</w:t>
      </w:r>
      <w:r w:rsidR="0085674F" w:rsidRPr="005C1ABB">
        <w:rPr>
          <w:rStyle w:val="Referencingstyle"/>
        </w:rPr>
        <w:t xml:space="preserve">Schedule 1, items </w:t>
      </w:r>
      <w:r w:rsidR="00B151C7">
        <w:rPr>
          <w:rStyle w:val="Referencingstyle"/>
        </w:rPr>
        <w:t>11, 12, 16, 23, 26, 29, 30, 34, 35, 39 to 43, 49 to 60, and 65</w:t>
      </w:r>
      <w:r w:rsidR="0043563B">
        <w:rPr>
          <w:b/>
          <w:i/>
          <w:sz w:val="18"/>
          <w:szCs w:val="18"/>
        </w:rPr>
        <w:t xml:space="preserve">, </w:t>
      </w:r>
      <w:r w:rsidR="00B151C7">
        <w:rPr>
          <w:rStyle w:val="Referencingstyle"/>
        </w:rPr>
        <w:t>definition of ‘registered body’ in section 9</w:t>
      </w:r>
      <w:r w:rsidR="005178A3">
        <w:rPr>
          <w:rStyle w:val="Referencingstyle"/>
        </w:rPr>
        <w:t xml:space="preserve">, </w:t>
      </w:r>
      <w:r w:rsidR="00B151C7">
        <w:rPr>
          <w:rStyle w:val="Referencingstyle"/>
        </w:rPr>
        <w:t>subparagraph</w:t>
      </w:r>
      <w:r w:rsidR="005178A3">
        <w:rPr>
          <w:rStyle w:val="Referencingstyle"/>
        </w:rPr>
        <w:t xml:space="preserve"> 135(1)(b)(ii), subsection 477(2B), </w:t>
      </w:r>
      <w:r w:rsidR="00B151C7">
        <w:rPr>
          <w:rStyle w:val="Referencingstyle"/>
        </w:rPr>
        <w:t xml:space="preserve">paragraph (b) of the definition of ‘external administration’ in subsection 600H(2), paragraph 710(3)(e), </w:t>
      </w:r>
      <w:r w:rsidR="005178A3">
        <w:rPr>
          <w:rStyle w:val="Referencingstyle"/>
        </w:rPr>
        <w:t xml:space="preserve"> </w:t>
      </w:r>
      <w:r w:rsidR="00B151C7">
        <w:rPr>
          <w:b/>
          <w:i/>
          <w:sz w:val="18"/>
          <w:szCs w:val="18"/>
        </w:rPr>
        <w:t>subsection </w:t>
      </w:r>
      <w:r w:rsidR="0043563B">
        <w:rPr>
          <w:b/>
          <w:i/>
          <w:sz w:val="18"/>
          <w:szCs w:val="18"/>
        </w:rPr>
        <w:t>769B(7), S</w:t>
      </w:r>
      <w:r w:rsidR="0043563B" w:rsidRPr="0043563B">
        <w:rPr>
          <w:b/>
          <w:i/>
          <w:sz w:val="18"/>
          <w:szCs w:val="18"/>
        </w:rPr>
        <w:t>ubdivision C of Division 2 of Part 7.5A (heading)</w:t>
      </w:r>
      <w:r w:rsidR="0043563B">
        <w:rPr>
          <w:b/>
          <w:i/>
          <w:sz w:val="18"/>
          <w:szCs w:val="18"/>
        </w:rPr>
        <w:t xml:space="preserve">, </w:t>
      </w:r>
      <w:r w:rsidR="0043563B">
        <w:rPr>
          <w:b/>
          <w:i/>
          <w:sz w:val="18"/>
          <w:szCs w:val="18"/>
        </w:rPr>
        <w:lastRenderedPageBreak/>
        <w:t>s</w:t>
      </w:r>
      <w:r w:rsidR="00B151C7">
        <w:rPr>
          <w:b/>
          <w:i/>
          <w:sz w:val="18"/>
          <w:szCs w:val="18"/>
        </w:rPr>
        <w:t>ubparagraph </w:t>
      </w:r>
      <w:r w:rsidR="0043563B" w:rsidRPr="0043563B">
        <w:rPr>
          <w:b/>
          <w:i/>
          <w:sz w:val="18"/>
          <w:szCs w:val="18"/>
        </w:rPr>
        <w:t>946B(1)(g)(iii)</w:t>
      </w:r>
      <w:r w:rsidR="0043563B">
        <w:rPr>
          <w:b/>
          <w:i/>
          <w:sz w:val="18"/>
          <w:szCs w:val="18"/>
        </w:rPr>
        <w:t>,</w:t>
      </w:r>
      <w:r w:rsidR="0043563B" w:rsidRPr="0043563B">
        <w:rPr>
          <w:rFonts w:eastAsia="Calibri"/>
          <w:lang w:eastAsia="en-US"/>
        </w:rPr>
        <w:t xml:space="preserve"> </w:t>
      </w:r>
      <w:r w:rsidR="0043563B">
        <w:rPr>
          <w:b/>
          <w:i/>
          <w:sz w:val="18"/>
          <w:szCs w:val="18"/>
        </w:rPr>
        <w:t>s</w:t>
      </w:r>
      <w:r w:rsidR="0043563B" w:rsidRPr="0043563B">
        <w:rPr>
          <w:b/>
          <w:i/>
          <w:sz w:val="18"/>
          <w:szCs w:val="18"/>
        </w:rPr>
        <w:t>ection 1011A (heading)</w:t>
      </w:r>
      <w:r w:rsidR="0043563B">
        <w:rPr>
          <w:b/>
          <w:i/>
          <w:sz w:val="18"/>
          <w:szCs w:val="18"/>
        </w:rPr>
        <w:t xml:space="preserve">, </w:t>
      </w:r>
      <w:r w:rsidR="00B151C7">
        <w:rPr>
          <w:b/>
          <w:i/>
          <w:sz w:val="18"/>
          <w:szCs w:val="18"/>
        </w:rPr>
        <w:t xml:space="preserve">subsection 1017DA(1), </w:t>
      </w:r>
      <w:r w:rsidR="0043563B">
        <w:rPr>
          <w:b/>
          <w:i/>
          <w:sz w:val="18"/>
          <w:szCs w:val="18"/>
        </w:rPr>
        <w:t>p</w:t>
      </w:r>
      <w:r w:rsidR="0043563B" w:rsidRPr="0043563B">
        <w:rPr>
          <w:b/>
          <w:i/>
          <w:sz w:val="18"/>
          <w:szCs w:val="18"/>
        </w:rPr>
        <w:t>aragraph 1384(3)(b</w:t>
      </w:r>
      <w:r w:rsidR="0043563B">
        <w:rPr>
          <w:b/>
          <w:i/>
          <w:sz w:val="18"/>
          <w:szCs w:val="18"/>
        </w:rPr>
        <w:t>), P</w:t>
      </w:r>
      <w:r w:rsidR="0043563B" w:rsidRPr="0043563B">
        <w:rPr>
          <w:b/>
          <w:i/>
          <w:sz w:val="18"/>
          <w:szCs w:val="18"/>
        </w:rPr>
        <w:t>art 10.10 (heading)</w:t>
      </w:r>
      <w:r w:rsidR="0043563B">
        <w:rPr>
          <w:b/>
          <w:i/>
          <w:sz w:val="18"/>
          <w:szCs w:val="18"/>
        </w:rPr>
        <w:t>, Part 10.13 (heading), s</w:t>
      </w:r>
      <w:r w:rsidR="0043563B" w:rsidRPr="0043563B">
        <w:rPr>
          <w:b/>
          <w:i/>
          <w:sz w:val="18"/>
          <w:szCs w:val="18"/>
        </w:rPr>
        <w:t>ection 1546X (heading)</w:t>
      </w:r>
      <w:r w:rsidR="0043563B">
        <w:rPr>
          <w:b/>
          <w:i/>
          <w:sz w:val="18"/>
          <w:szCs w:val="18"/>
        </w:rPr>
        <w:t xml:space="preserve">, table items 173S and 173T in Schedule 3, </w:t>
      </w:r>
      <w:r w:rsidR="0043563B" w:rsidRPr="0043563B">
        <w:rPr>
          <w:b/>
          <w:i/>
          <w:sz w:val="18"/>
          <w:szCs w:val="18"/>
        </w:rPr>
        <w:t>paragraphs 32(1)(a) to (k) of Schedule 4</w:t>
      </w:r>
      <w:r w:rsidR="0043563B">
        <w:rPr>
          <w:b/>
          <w:i/>
          <w:sz w:val="18"/>
          <w:szCs w:val="18"/>
        </w:rPr>
        <w:t xml:space="preserve">, </w:t>
      </w:r>
      <w:r w:rsidR="0043563B" w:rsidRPr="0043563B">
        <w:rPr>
          <w:b/>
          <w:i/>
          <w:sz w:val="18"/>
          <w:szCs w:val="18"/>
        </w:rPr>
        <w:t>paragraphs 35(1)(a), (b) and (c) of Schedule 4</w:t>
      </w:r>
      <w:r w:rsidR="0043563B">
        <w:rPr>
          <w:b/>
          <w:i/>
          <w:sz w:val="18"/>
          <w:szCs w:val="18"/>
        </w:rPr>
        <w:t>,</w:t>
      </w:r>
      <w:r w:rsidR="00BE3D5C">
        <w:rPr>
          <w:b/>
          <w:i/>
          <w:sz w:val="18"/>
          <w:szCs w:val="18"/>
        </w:rPr>
        <w:t xml:space="preserve"> </w:t>
      </w:r>
      <w:r w:rsidR="00BE3D5C" w:rsidRPr="00BE3D5C">
        <w:rPr>
          <w:b/>
          <w:i/>
          <w:sz w:val="18"/>
          <w:szCs w:val="18"/>
        </w:rPr>
        <w:t>paragraphs 35(2)(c) and (d) of Schedule 4</w:t>
      </w:r>
      <w:r w:rsidR="00BE3D5C">
        <w:rPr>
          <w:b/>
          <w:i/>
          <w:sz w:val="18"/>
          <w:szCs w:val="18"/>
        </w:rPr>
        <w:t xml:space="preserve">, </w:t>
      </w:r>
      <w:r w:rsidR="0043563B">
        <w:rPr>
          <w:b/>
          <w:i/>
          <w:sz w:val="18"/>
          <w:szCs w:val="18"/>
        </w:rPr>
        <w:t xml:space="preserve"> </w:t>
      </w:r>
      <w:r w:rsidR="00BE3D5C" w:rsidRPr="00BE3D5C">
        <w:rPr>
          <w:b/>
          <w:i/>
          <w:sz w:val="18"/>
          <w:szCs w:val="18"/>
        </w:rPr>
        <w:t>paragraphs 36(1)(a) to (d) of Schedule 4</w:t>
      </w:r>
      <w:r w:rsidR="00BE3D5C">
        <w:rPr>
          <w:b/>
          <w:i/>
          <w:sz w:val="18"/>
          <w:szCs w:val="18"/>
        </w:rPr>
        <w:t xml:space="preserve">, </w:t>
      </w:r>
      <w:r w:rsidR="0085674F">
        <w:rPr>
          <w:b/>
          <w:i/>
          <w:sz w:val="18"/>
          <w:szCs w:val="18"/>
        </w:rPr>
        <w:t xml:space="preserve"> </w:t>
      </w:r>
      <w:r w:rsidR="00BE3D5C" w:rsidRPr="00BE3D5C">
        <w:rPr>
          <w:b/>
          <w:i/>
          <w:sz w:val="18"/>
          <w:szCs w:val="18"/>
        </w:rPr>
        <w:t>paragraphs 38(2)(a) to (</w:t>
      </w:r>
      <w:proofErr w:type="spellStart"/>
      <w:r w:rsidR="00BE3D5C" w:rsidRPr="00BE3D5C">
        <w:rPr>
          <w:b/>
          <w:i/>
          <w:sz w:val="18"/>
          <w:szCs w:val="18"/>
        </w:rPr>
        <w:t>i</w:t>
      </w:r>
      <w:proofErr w:type="spellEnd"/>
      <w:r w:rsidR="00BE3D5C" w:rsidRPr="00BE3D5C">
        <w:rPr>
          <w:b/>
          <w:i/>
          <w:sz w:val="18"/>
          <w:szCs w:val="18"/>
        </w:rPr>
        <w:t>) of Schedule 4</w:t>
      </w:r>
      <w:r w:rsidR="00BE3D5C">
        <w:rPr>
          <w:b/>
          <w:i/>
          <w:sz w:val="18"/>
          <w:szCs w:val="18"/>
        </w:rPr>
        <w:t xml:space="preserve">, </w:t>
      </w:r>
      <w:r w:rsidR="00BE3D5C" w:rsidRPr="00BE3D5C">
        <w:rPr>
          <w:b/>
          <w:i/>
          <w:sz w:val="18"/>
          <w:szCs w:val="18"/>
        </w:rPr>
        <w:t>paragraphs 39(2)(a) and (b) of Schedule 4</w:t>
      </w:r>
      <w:r w:rsidR="00BE3D5C">
        <w:rPr>
          <w:b/>
          <w:i/>
          <w:sz w:val="18"/>
          <w:szCs w:val="18"/>
        </w:rPr>
        <w:t xml:space="preserve">, and </w:t>
      </w:r>
      <w:r w:rsidR="00BE3D5C" w:rsidRPr="00BE3D5C">
        <w:rPr>
          <w:b/>
          <w:i/>
          <w:sz w:val="18"/>
          <w:szCs w:val="18"/>
        </w:rPr>
        <w:t>paragraphs 39(4)(a) and (b) of Schedule 4</w:t>
      </w:r>
      <w:r w:rsidR="00BE3D5C">
        <w:rPr>
          <w:b/>
          <w:i/>
          <w:sz w:val="18"/>
          <w:szCs w:val="18"/>
        </w:rPr>
        <w:t xml:space="preserve"> of the Corporations Act</w:t>
      </w:r>
      <w:r w:rsidR="005178A3" w:rsidRPr="005178A3">
        <w:rPr>
          <w:rStyle w:val="Referencingstyle"/>
        </w:rPr>
        <w:t xml:space="preserve"> </w:t>
      </w:r>
      <w:r w:rsidR="005178A3">
        <w:rPr>
          <w:rStyle w:val="Referencingstyle"/>
        </w:rPr>
        <w:t xml:space="preserve">and </w:t>
      </w:r>
      <w:r w:rsidR="006A6072">
        <w:rPr>
          <w:rStyle w:val="Referencingstyle"/>
        </w:rPr>
        <w:t xml:space="preserve">subsection 331(2) </w:t>
      </w:r>
      <w:r w:rsidR="005178A3">
        <w:rPr>
          <w:rStyle w:val="Referencingstyle"/>
        </w:rPr>
        <w:t>of the Credit Act</w:t>
      </w:r>
      <w:r w:rsidR="00BE3D5C">
        <w:rPr>
          <w:b/>
          <w:i/>
          <w:sz w:val="18"/>
          <w:szCs w:val="18"/>
        </w:rPr>
        <w:t xml:space="preserve">] </w:t>
      </w:r>
      <w:r w:rsidR="0085674F">
        <w:t xml:space="preserve"> </w:t>
      </w:r>
      <w:r>
        <w:t xml:space="preserve"> </w:t>
      </w:r>
    </w:p>
    <w:p w14:paraId="6D77378B" w14:textId="14FDCB6F" w:rsidR="007D0B6F" w:rsidRPr="008F726E" w:rsidRDefault="006A6072" w:rsidP="007D0B6F">
      <w:pPr>
        <w:pStyle w:val="Heading3"/>
      </w:pPr>
      <w:r>
        <w:t>Part</w:t>
      </w:r>
      <w:r w:rsidR="00870336">
        <w:t xml:space="preserve"> 2</w:t>
      </w:r>
      <w:r w:rsidR="00870336">
        <w:rPr>
          <w:rFonts w:ascii="Calibri" w:hAnsi="Calibri"/>
        </w:rPr>
        <w:t>—</w:t>
      </w:r>
      <w:r w:rsidR="00696C50">
        <w:t>Amendments</w:t>
      </w:r>
      <w:r w:rsidR="007D0B6F">
        <w:t xml:space="preserve"> commencing </w:t>
      </w:r>
      <w:r>
        <w:t xml:space="preserve">on </w:t>
      </w:r>
      <w:r w:rsidR="00797778">
        <w:t>the first 1 January, 1 April, 1 </w:t>
      </w:r>
      <w:r w:rsidR="007D0B6F">
        <w:t>July or 1 October to occur after Royal Assent</w:t>
      </w:r>
    </w:p>
    <w:p w14:paraId="4A1659A2" w14:textId="77777777" w:rsidR="00797778" w:rsidRDefault="00797778" w:rsidP="003160EC">
      <w:pPr>
        <w:pStyle w:val="base-text-paragraph"/>
        <w:numPr>
          <w:ilvl w:val="0"/>
          <w:numId w:val="0"/>
        </w:numPr>
        <w:ind w:left="1134"/>
        <w:rPr>
          <w:b/>
          <w:i/>
        </w:rPr>
      </w:pPr>
      <w:r w:rsidRPr="00797778">
        <w:rPr>
          <w:b/>
          <w:i/>
        </w:rPr>
        <w:t>Removing inoperative provisions relating to tax offsets for the first child and childcare expenses.</w:t>
      </w:r>
    </w:p>
    <w:p w14:paraId="015310EE" w14:textId="67721493" w:rsidR="002E0D9D" w:rsidRDefault="003C6C20" w:rsidP="00797778">
      <w:pPr>
        <w:pStyle w:val="base-text-paragraph"/>
        <w:numPr>
          <w:ilvl w:val="1"/>
          <w:numId w:val="4"/>
        </w:numPr>
      </w:pPr>
      <w:r>
        <w:t>Schedule</w:t>
      </w:r>
      <w:r w:rsidR="006A6072">
        <w:t> 1 to the exposure draft Bill</w:t>
      </w:r>
      <w:r>
        <w:t xml:space="preserve"> removes </w:t>
      </w:r>
      <w:r w:rsidR="006A6072">
        <w:t>inoperative</w:t>
      </w:r>
      <w:r>
        <w:t xml:space="preserve"> provisions implementing the first child tax offset and childcare expenses tax offset. </w:t>
      </w:r>
      <w:r w:rsidR="002E0D9D">
        <w:rPr>
          <w:rStyle w:val="Referencingstyle"/>
        </w:rPr>
        <w:t xml:space="preserve">[Schedule </w:t>
      </w:r>
      <w:r w:rsidR="006A6072">
        <w:rPr>
          <w:rStyle w:val="Referencingstyle"/>
        </w:rPr>
        <w:t>1</w:t>
      </w:r>
      <w:r w:rsidR="002E0D9D">
        <w:rPr>
          <w:rStyle w:val="Referencingstyle"/>
        </w:rPr>
        <w:t>, i</w:t>
      </w:r>
      <w:r w:rsidR="002E0D9D" w:rsidRPr="00375F1D">
        <w:rPr>
          <w:rStyle w:val="Referencingstyle"/>
        </w:rPr>
        <w:t>tem</w:t>
      </w:r>
      <w:r w:rsidR="002E0D9D">
        <w:rPr>
          <w:rStyle w:val="Referencingstyle"/>
        </w:rPr>
        <w:t>s</w:t>
      </w:r>
      <w:r w:rsidR="002E0D9D" w:rsidRPr="00375F1D">
        <w:rPr>
          <w:rStyle w:val="Referencingstyle"/>
        </w:rPr>
        <w:t xml:space="preserve"> </w:t>
      </w:r>
      <w:r w:rsidR="006A6072">
        <w:rPr>
          <w:rStyle w:val="Referencingstyle"/>
        </w:rPr>
        <w:t>67, 70, 72 to 86, 99 and 100</w:t>
      </w:r>
      <w:r w:rsidR="002E0D9D" w:rsidRPr="00375F1D">
        <w:rPr>
          <w:rStyle w:val="Referencingstyle"/>
        </w:rPr>
        <w:t xml:space="preserve">, </w:t>
      </w:r>
      <w:r w:rsidR="002E0D9D">
        <w:rPr>
          <w:rStyle w:val="Referencingstyle"/>
        </w:rPr>
        <w:t xml:space="preserve">section 169A </w:t>
      </w:r>
      <w:r w:rsidR="002E0D9D" w:rsidRPr="00375F1D">
        <w:rPr>
          <w:rStyle w:val="Referencingstyle"/>
        </w:rPr>
        <w:t xml:space="preserve">of </w:t>
      </w:r>
      <w:r w:rsidR="002E0D9D">
        <w:rPr>
          <w:rStyle w:val="Referencingstyle"/>
        </w:rPr>
        <w:t>the A New Tax System (Family Assist</w:t>
      </w:r>
      <w:r w:rsidR="00753005">
        <w:rPr>
          <w:rStyle w:val="Referencingstyle"/>
        </w:rPr>
        <w:t>ance) (Administration) Act 1999;</w:t>
      </w:r>
      <w:r w:rsidR="002E0D9D">
        <w:rPr>
          <w:rStyle w:val="Referencingstyle"/>
        </w:rPr>
        <w:t xml:space="preserve"> table item 24 in subsection 170(1</w:t>
      </w:r>
      <w:r w:rsidR="00831F98">
        <w:rPr>
          <w:rStyle w:val="Referencingstyle"/>
        </w:rPr>
        <w:t xml:space="preserve">0AA) of the ITAA 1936; table item headed ‘child’ in section </w:t>
      </w:r>
      <w:r w:rsidR="002E0D9D">
        <w:rPr>
          <w:rStyle w:val="Referencingstyle"/>
        </w:rPr>
        <w:t>13</w:t>
      </w:r>
      <w:r w:rsidR="002E0D9D">
        <w:rPr>
          <w:rStyle w:val="Referencingstyle"/>
        </w:rPr>
        <w:noBreakHyphen/>
        <w:t>1, Subdivisions 61-I and 61-IA, table item 25 in subsection 63</w:t>
      </w:r>
      <w:r w:rsidR="002E0D9D">
        <w:rPr>
          <w:rStyle w:val="Referencingstyle"/>
        </w:rPr>
        <w:noBreakHyphen/>
        <w:t>10(1), table item 10 in section 67</w:t>
      </w:r>
      <w:r w:rsidR="002E0D9D">
        <w:rPr>
          <w:rStyle w:val="Referencingstyle"/>
        </w:rPr>
        <w:noBreakHyphen/>
        <w:t xml:space="preserve">23, </w:t>
      </w:r>
      <w:r w:rsidR="00E248DC">
        <w:rPr>
          <w:rStyle w:val="Referencingstyle"/>
        </w:rPr>
        <w:t>table item 4 in section 960</w:t>
      </w:r>
      <w:r w:rsidR="00E248DC">
        <w:rPr>
          <w:rStyle w:val="Referencingstyle"/>
        </w:rPr>
        <w:noBreakHyphen/>
        <w:t xml:space="preserve">265, and </w:t>
      </w:r>
      <w:r w:rsidR="002E0D9D">
        <w:rPr>
          <w:rStyle w:val="Referencingstyle"/>
        </w:rPr>
        <w:t>definitions of ‘approved child care’, ‘approved child care fees’, ‘base year’, ‘child care base week’, ‘child care offset limit’, ‘child event’, ‘entitled to child care benefit’, ‘entitlement to child care benefit’, ‘legally responsible’ and ‘primary entitlement’ in subsection 995</w:t>
      </w:r>
      <w:r w:rsidR="002E0D9D">
        <w:rPr>
          <w:rStyle w:val="Referencingstyle"/>
        </w:rPr>
        <w:noBreakHyphen/>
        <w:t>1(1)</w:t>
      </w:r>
      <w:r w:rsidR="00E248DC">
        <w:rPr>
          <w:rStyle w:val="Referencingstyle"/>
        </w:rPr>
        <w:t xml:space="preserve"> </w:t>
      </w:r>
      <w:r w:rsidR="00753005">
        <w:rPr>
          <w:rStyle w:val="Referencingstyle"/>
        </w:rPr>
        <w:t>of the ITAA 1997; and sections 45-340 and 45</w:t>
      </w:r>
      <w:r w:rsidR="00753005">
        <w:rPr>
          <w:rStyle w:val="Referencingstyle"/>
        </w:rPr>
        <w:noBreakHyphen/>
        <w:t xml:space="preserve">375 </w:t>
      </w:r>
      <w:r w:rsidR="00696C50">
        <w:rPr>
          <w:rStyle w:val="Referencingstyle"/>
        </w:rPr>
        <w:t xml:space="preserve">in </w:t>
      </w:r>
      <w:r w:rsidR="00753005">
        <w:rPr>
          <w:rStyle w:val="Referencingstyle"/>
        </w:rPr>
        <w:t>Schedule 1 to the TAA 1953</w:t>
      </w:r>
      <w:r w:rsidR="002E0D9D" w:rsidRPr="00375F1D">
        <w:rPr>
          <w:rStyle w:val="Referencingstyle"/>
        </w:rPr>
        <w:t>]</w:t>
      </w:r>
    </w:p>
    <w:p w14:paraId="562F5361" w14:textId="1E8C2E89" w:rsidR="00797778" w:rsidRDefault="00797778" w:rsidP="00797778">
      <w:pPr>
        <w:pStyle w:val="base-text-paragraph"/>
        <w:numPr>
          <w:ilvl w:val="1"/>
          <w:numId w:val="4"/>
        </w:numPr>
      </w:pPr>
      <w:r>
        <w:t>Subdivision 61-I provides a tax offset for the first child had on or after 1 July 2001 but before 1 July 2004 for a period of no more than five years. Subdivision 61-IA provides a tax offset for childcare expenses incurred before 1 July 2007.</w:t>
      </w:r>
      <w:r w:rsidRPr="00797778">
        <w:t xml:space="preserve"> </w:t>
      </w:r>
      <w:r>
        <w:t xml:space="preserve">Both </w:t>
      </w:r>
      <w:r w:rsidR="00A857B3">
        <w:t>S</w:t>
      </w:r>
      <w:r>
        <w:t xml:space="preserve">ubdivisions are now inoperative and outside standard amendment period. </w:t>
      </w:r>
    </w:p>
    <w:p w14:paraId="454F0E70" w14:textId="17C9E46E" w:rsidR="00C85F62" w:rsidRPr="006A6072" w:rsidRDefault="00C85F62" w:rsidP="00797778">
      <w:pPr>
        <w:pStyle w:val="base-text-paragraph"/>
        <w:numPr>
          <w:ilvl w:val="0"/>
          <w:numId w:val="0"/>
        </w:numPr>
        <w:ind w:left="1134"/>
        <w:rPr>
          <w:b/>
        </w:rPr>
      </w:pPr>
      <w:r w:rsidRPr="006A6072">
        <w:rPr>
          <w:b/>
          <w:i/>
        </w:rPr>
        <w:t xml:space="preserve">Removing inoperative </w:t>
      </w:r>
      <w:r w:rsidR="00322683" w:rsidRPr="006A6072">
        <w:rPr>
          <w:b/>
          <w:i/>
        </w:rPr>
        <w:t xml:space="preserve">provisions from </w:t>
      </w:r>
      <w:r w:rsidR="00831F98" w:rsidRPr="006A6072">
        <w:rPr>
          <w:b/>
          <w:i/>
        </w:rPr>
        <w:t xml:space="preserve">the </w:t>
      </w:r>
      <w:r w:rsidR="00322683" w:rsidRPr="006A6072">
        <w:rPr>
          <w:b/>
          <w:i/>
        </w:rPr>
        <w:t>ITAA 1936</w:t>
      </w:r>
    </w:p>
    <w:p w14:paraId="36891FC0" w14:textId="21E8AA6F" w:rsidR="003160EC" w:rsidRDefault="00C85F62" w:rsidP="00C0075F">
      <w:pPr>
        <w:pStyle w:val="base-text-paragraph"/>
        <w:numPr>
          <w:ilvl w:val="1"/>
          <w:numId w:val="4"/>
        </w:numPr>
      </w:pPr>
      <w:r>
        <w:t>Schedule</w:t>
      </w:r>
      <w:r w:rsidR="00C07AEC">
        <w:t xml:space="preserve"> </w:t>
      </w:r>
      <w:r w:rsidR="006A6072">
        <w:t>1 to the exposure draft Bill</w:t>
      </w:r>
      <w:r>
        <w:t xml:space="preserve"> removes</w:t>
      </w:r>
      <w:r w:rsidR="00322683">
        <w:t xml:space="preserve"> s</w:t>
      </w:r>
      <w:r w:rsidRPr="00C85F62">
        <w:t>ection 6A</w:t>
      </w:r>
      <w:r w:rsidR="00322683">
        <w:t xml:space="preserve"> of the ITAA 1936, which</w:t>
      </w:r>
      <w:r w:rsidR="00831F98">
        <w:t xml:space="preserve"> deems</w:t>
      </w:r>
      <w:r w:rsidRPr="00C85F62">
        <w:t xml:space="preserve"> someone to a ceased to have a right to receive certain superannuation benefits in certain situations and to quantify those benefits for the operation of certain provisions of the</w:t>
      </w:r>
      <w:r w:rsidR="00322683">
        <w:t xml:space="preserve"> ITAA 1936.  All the provisions </w:t>
      </w:r>
      <w:r w:rsidRPr="00C85F62">
        <w:t>to which this treatment is relevant have been repealed from the ITAA 1936 and section 6A no longer has any residual operation.</w:t>
      </w:r>
      <w:r w:rsidR="00322683">
        <w:t xml:space="preserve"> </w:t>
      </w:r>
      <w:r w:rsidR="006A6072">
        <w:rPr>
          <w:rStyle w:val="Referencingstyle"/>
        </w:rPr>
        <w:t>[Schedule 1</w:t>
      </w:r>
      <w:r w:rsidR="00322683">
        <w:rPr>
          <w:rStyle w:val="Referencingstyle"/>
        </w:rPr>
        <w:t>, i</w:t>
      </w:r>
      <w:r w:rsidR="00322683" w:rsidRPr="00375F1D">
        <w:rPr>
          <w:rStyle w:val="Referencingstyle"/>
        </w:rPr>
        <w:t xml:space="preserve">tem </w:t>
      </w:r>
      <w:r w:rsidR="006A6072">
        <w:rPr>
          <w:rStyle w:val="Referencingstyle"/>
        </w:rPr>
        <w:t>68</w:t>
      </w:r>
      <w:r w:rsidR="00322683" w:rsidRPr="00375F1D">
        <w:rPr>
          <w:rStyle w:val="Referencingstyle"/>
        </w:rPr>
        <w:t>, section</w:t>
      </w:r>
      <w:r w:rsidR="00322683">
        <w:rPr>
          <w:rStyle w:val="Referencingstyle"/>
        </w:rPr>
        <w:t> 6A</w:t>
      </w:r>
      <w:r w:rsidR="00322683" w:rsidRPr="00375F1D">
        <w:rPr>
          <w:rStyle w:val="Referencingstyle"/>
        </w:rPr>
        <w:t xml:space="preserve"> of </w:t>
      </w:r>
      <w:r w:rsidR="00322683">
        <w:rPr>
          <w:rStyle w:val="Referencingstyle"/>
        </w:rPr>
        <w:t>the ITAA 1936</w:t>
      </w:r>
      <w:r w:rsidR="00322683" w:rsidRPr="00375F1D">
        <w:rPr>
          <w:rStyle w:val="Referencingstyle"/>
        </w:rPr>
        <w:t>]</w:t>
      </w:r>
    </w:p>
    <w:p w14:paraId="55B01807" w14:textId="2883A297" w:rsidR="003160EC" w:rsidRDefault="00322683" w:rsidP="00C0075F">
      <w:pPr>
        <w:pStyle w:val="base-text-paragraph"/>
        <w:numPr>
          <w:ilvl w:val="1"/>
          <w:numId w:val="4"/>
        </w:numPr>
      </w:pPr>
      <w:r>
        <w:t>Schedule</w:t>
      </w:r>
      <w:r w:rsidR="006A6072">
        <w:t> 1</w:t>
      </w:r>
      <w:r>
        <w:t xml:space="preserve"> also removes s</w:t>
      </w:r>
      <w:r w:rsidRPr="00322683">
        <w:t xml:space="preserve">ection 27 </w:t>
      </w:r>
      <w:r>
        <w:t xml:space="preserve">of ITAA 1936, which </w:t>
      </w:r>
      <w:r w:rsidRPr="00322683">
        <w:t xml:space="preserve">replaced the </w:t>
      </w:r>
      <w:r w:rsidRPr="00322683">
        <w:rPr>
          <w:i/>
        </w:rPr>
        <w:t>Taxation of Loans Act 1923</w:t>
      </w:r>
      <w:r w:rsidRPr="00322683">
        <w:t xml:space="preserve"> </w:t>
      </w:r>
      <w:r>
        <w:t>to ensure that despite any other Act</w:t>
      </w:r>
      <w:r w:rsidRPr="00322683">
        <w:t xml:space="preserve"> interest from government bonds was always taxable.  Section 27 was drafted in different terms as ITAA 1936 included these amount</w:t>
      </w:r>
      <w:r>
        <w:t>s in assessable income already. T</w:t>
      </w:r>
      <w:r w:rsidRPr="00322683">
        <w:t xml:space="preserve">he only change required at the time was to override paragraph 23(q) </w:t>
      </w:r>
      <w:r>
        <w:t xml:space="preserve">of the ITAA 1936 </w:t>
      </w:r>
      <w:r w:rsidRPr="00322683">
        <w:t xml:space="preserve">which exempted foreign sourced income of an individual </w:t>
      </w:r>
      <w:r w:rsidR="003460C8">
        <w:t>that</w:t>
      </w:r>
      <w:r w:rsidRPr="00322683">
        <w:t xml:space="preserve"> was subject to </w:t>
      </w:r>
      <w:r w:rsidR="003460C8">
        <w:t xml:space="preserve">tax in a foreign jurisdiction. </w:t>
      </w:r>
      <w:r w:rsidRPr="00322683">
        <w:t>Paragraph 23(q) has been repealed and section 27 has been inoperative since</w:t>
      </w:r>
      <w:r w:rsidR="003460C8">
        <w:t xml:space="preserve"> then</w:t>
      </w:r>
      <w:r w:rsidRPr="00322683">
        <w:t>.</w:t>
      </w:r>
      <w:r w:rsidR="003460C8">
        <w:t xml:space="preserve"> </w:t>
      </w:r>
      <w:r w:rsidR="003460C8">
        <w:rPr>
          <w:rStyle w:val="Referencingstyle"/>
        </w:rPr>
        <w:t xml:space="preserve">[Schedule </w:t>
      </w:r>
      <w:r w:rsidR="00B13B30">
        <w:rPr>
          <w:rStyle w:val="Referencingstyle"/>
        </w:rPr>
        <w:t>1</w:t>
      </w:r>
      <w:r w:rsidR="003460C8">
        <w:rPr>
          <w:rStyle w:val="Referencingstyle"/>
        </w:rPr>
        <w:t>, items </w:t>
      </w:r>
      <w:r w:rsidR="006A6072">
        <w:rPr>
          <w:rStyle w:val="Referencingstyle"/>
        </w:rPr>
        <w:t>69</w:t>
      </w:r>
      <w:r w:rsidR="003460C8">
        <w:rPr>
          <w:rStyle w:val="Referencingstyle"/>
        </w:rPr>
        <w:t xml:space="preserve"> and </w:t>
      </w:r>
      <w:r w:rsidR="006A6072">
        <w:rPr>
          <w:rStyle w:val="Referencingstyle"/>
        </w:rPr>
        <w:t>71</w:t>
      </w:r>
      <w:r w:rsidR="003460C8" w:rsidRPr="00375F1D">
        <w:rPr>
          <w:rStyle w:val="Referencingstyle"/>
        </w:rPr>
        <w:t>, section</w:t>
      </w:r>
      <w:r w:rsidR="003460C8">
        <w:rPr>
          <w:rStyle w:val="Referencingstyle"/>
        </w:rPr>
        <w:t> 27 of the ITAA 1936 and table item headed ‘interest’ in</w:t>
      </w:r>
      <w:r w:rsidR="003460C8" w:rsidRPr="00375F1D">
        <w:rPr>
          <w:rStyle w:val="Referencingstyle"/>
        </w:rPr>
        <w:t xml:space="preserve"> </w:t>
      </w:r>
      <w:r w:rsidR="003460C8">
        <w:rPr>
          <w:rStyle w:val="Referencingstyle"/>
        </w:rPr>
        <w:t>section 10</w:t>
      </w:r>
      <w:r w:rsidR="003460C8">
        <w:rPr>
          <w:rStyle w:val="Referencingstyle"/>
        </w:rPr>
        <w:noBreakHyphen/>
        <w:t xml:space="preserve">5 </w:t>
      </w:r>
      <w:r w:rsidR="003460C8" w:rsidRPr="00375F1D">
        <w:rPr>
          <w:rStyle w:val="Referencingstyle"/>
        </w:rPr>
        <w:t xml:space="preserve">of </w:t>
      </w:r>
      <w:r w:rsidR="003460C8">
        <w:rPr>
          <w:rStyle w:val="Referencingstyle"/>
        </w:rPr>
        <w:t>the ITAA 1997</w:t>
      </w:r>
      <w:r w:rsidR="003460C8" w:rsidRPr="00375F1D">
        <w:rPr>
          <w:rStyle w:val="Referencingstyle"/>
        </w:rPr>
        <w:t>]</w:t>
      </w:r>
    </w:p>
    <w:p w14:paraId="1C6BF61D" w14:textId="01B60034" w:rsidR="001B40AA" w:rsidRDefault="006A6072" w:rsidP="006A6072">
      <w:pPr>
        <w:pStyle w:val="Heading4"/>
      </w:pPr>
      <w:r>
        <w:lastRenderedPageBreak/>
        <w:t>Removing rules for transitioning to the SIS Act</w:t>
      </w:r>
    </w:p>
    <w:p w14:paraId="68F5D645" w14:textId="6AE6E014" w:rsidR="00640C5B" w:rsidRDefault="00875D33" w:rsidP="00640C5B">
      <w:pPr>
        <w:pStyle w:val="base-text-paragraph"/>
        <w:numPr>
          <w:ilvl w:val="1"/>
          <w:numId w:val="4"/>
        </w:numPr>
      </w:pPr>
      <w:r>
        <w:t xml:space="preserve">Schedule </w:t>
      </w:r>
      <w:r w:rsidR="006A6072">
        <w:t>1 to the exposure draft Bill</w:t>
      </w:r>
      <w:r>
        <w:t xml:space="preserve"> </w:t>
      </w:r>
      <w:r w:rsidR="008C1C57">
        <w:t>remove</w:t>
      </w:r>
      <w:r w:rsidR="006A6072">
        <w:t>s</w:t>
      </w:r>
      <w:r w:rsidR="008C1C57">
        <w:t xml:space="preserve"> </w:t>
      </w:r>
      <w:r w:rsidR="00003490">
        <w:t>or amend</w:t>
      </w:r>
      <w:r w:rsidR="006A6072">
        <w:t>s</w:t>
      </w:r>
      <w:r w:rsidR="00003490">
        <w:t xml:space="preserve"> a number of </w:t>
      </w:r>
      <w:r w:rsidR="008C1C57">
        <w:t xml:space="preserve">transitional provisions that were included </w:t>
      </w:r>
      <w:r w:rsidR="00F40ECF">
        <w:t xml:space="preserve">in the SIS Act when it was </w:t>
      </w:r>
      <w:r w:rsidR="00003490">
        <w:t>enacted.</w:t>
      </w:r>
    </w:p>
    <w:p w14:paraId="5A842506" w14:textId="560C7F9E" w:rsidR="00003490" w:rsidRDefault="008C1C57" w:rsidP="00640C5B">
      <w:pPr>
        <w:pStyle w:val="base-text-paragraph"/>
        <w:numPr>
          <w:ilvl w:val="1"/>
          <w:numId w:val="4"/>
        </w:numPr>
      </w:pPr>
      <w:r>
        <w:t xml:space="preserve">These provisions </w:t>
      </w:r>
      <w:r w:rsidR="00640C5B">
        <w:t>assist</w:t>
      </w:r>
      <w:r w:rsidR="00F40ECF">
        <w:t>ed</w:t>
      </w:r>
      <w:r w:rsidR="00640C5B">
        <w:t xml:space="preserve"> </w:t>
      </w:r>
      <w:r w:rsidR="00003490">
        <w:t xml:space="preserve">the move by </w:t>
      </w:r>
      <w:r w:rsidR="00640C5B" w:rsidRPr="00640C5B">
        <w:t>superannuation funds that were previously regulated</w:t>
      </w:r>
      <w:r w:rsidR="00FA7BF3">
        <w:t>,</w:t>
      </w:r>
      <w:r w:rsidR="00640C5B" w:rsidRPr="00640C5B">
        <w:t xml:space="preserve"> and eligible for tax concessions</w:t>
      </w:r>
      <w:r w:rsidR="00FA7BF3">
        <w:t>,</w:t>
      </w:r>
      <w:r w:rsidR="00640C5B" w:rsidRPr="00640C5B">
        <w:t xml:space="preserve"> under the </w:t>
      </w:r>
      <w:r w:rsidR="00640C5B" w:rsidRPr="00640C5B">
        <w:rPr>
          <w:i/>
        </w:rPr>
        <w:t>Occupational Superannuation Standards Act 1987</w:t>
      </w:r>
      <w:r w:rsidR="00640C5B" w:rsidRPr="00640C5B">
        <w:t xml:space="preserve"> </w:t>
      </w:r>
      <w:r w:rsidR="000E3AEC">
        <w:t>(</w:t>
      </w:r>
      <w:r w:rsidR="000E3AEC" w:rsidRPr="000E3AEC">
        <w:t>OSSA</w:t>
      </w:r>
      <w:r w:rsidR="000E3AEC">
        <w:t> </w:t>
      </w:r>
      <w:r w:rsidR="000E3AEC" w:rsidRPr="000E3AEC">
        <w:t>1987</w:t>
      </w:r>
      <w:r w:rsidR="000E3AEC">
        <w:t xml:space="preserve">) </w:t>
      </w:r>
      <w:r w:rsidR="00640C5B" w:rsidRPr="00640C5B">
        <w:t>to the regulatory regime introduced by the SIS Act in 1993.</w:t>
      </w:r>
    </w:p>
    <w:p w14:paraId="324ADCF6" w14:textId="080A6920" w:rsidR="001B40AA" w:rsidRDefault="00A93477" w:rsidP="00640C5B">
      <w:pPr>
        <w:pStyle w:val="base-text-paragraph"/>
        <w:numPr>
          <w:ilvl w:val="1"/>
          <w:numId w:val="4"/>
        </w:numPr>
      </w:pPr>
      <w:r>
        <w:t xml:space="preserve">The main </w:t>
      </w:r>
      <w:r w:rsidR="009E323B">
        <w:t>provisions</w:t>
      </w:r>
      <w:r>
        <w:t xml:space="preserve"> that </w:t>
      </w:r>
      <w:r w:rsidR="009E323B">
        <w:t>are</w:t>
      </w:r>
      <w:r>
        <w:t xml:space="preserve"> repealed by these amendments </w:t>
      </w:r>
      <w:r w:rsidR="009E323B">
        <w:t>are</w:t>
      </w:r>
      <w:r>
        <w:t xml:space="preserve"> the transitional rule contained in section 50 of the SIS Act. </w:t>
      </w:r>
      <w:r>
        <w:rPr>
          <w:rStyle w:val="Referencingstyle"/>
        </w:rPr>
        <w:t xml:space="preserve">[Schedule </w:t>
      </w:r>
      <w:r w:rsidR="006A6072">
        <w:rPr>
          <w:rStyle w:val="Referencingstyle"/>
        </w:rPr>
        <w:t>1</w:t>
      </w:r>
      <w:r>
        <w:rPr>
          <w:rStyle w:val="Referencingstyle"/>
        </w:rPr>
        <w:t>, i</w:t>
      </w:r>
      <w:r w:rsidRPr="00375F1D">
        <w:rPr>
          <w:rStyle w:val="Referencingstyle"/>
        </w:rPr>
        <w:t>tem</w:t>
      </w:r>
      <w:r w:rsidR="00511D80">
        <w:rPr>
          <w:rStyle w:val="Referencingstyle"/>
        </w:rPr>
        <w:t> </w:t>
      </w:r>
      <w:r w:rsidR="006A6072">
        <w:rPr>
          <w:rStyle w:val="Referencingstyle"/>
        </w:rPr>
        <w:t>92</w:t>
      </w:r>
      <w:r>
        <w:rPr>
          <w:rStyle w:val="Referencingstyle"/>
        </w:rPr>
        <w:t xml:space="preserve">, section 50 </w:t>
      </w:r>
      <w:r w:rsidRPr="00375F1D">
        <w:rPr>
          <w:rStyle w:val="Referencingstyle"/>
        </w:rPr>
        <w:t xml:space="preserve">of </w:t>
      </w:r>
      <w:r>
        <w:rPr>
          <w:rStyle w:val="Referencingstyle"/>
        </w:rPr>
        <w:t>the SIS Act</w:t>
      </w:r>
      <w:r w:rsidRPr="00375F1D">
        <w:rPr>
          <w:rStyle w:val="Referencingstyle"/>
        </w:rPr>
        <w:t>]</w:t>
      </w:r>
    </w:p>
    <w:p w14:paraId="154DC9C6" w14:textId="469E3315" w:rsidR="00003490" w:rsidRDefault="00CA69FE" w:rsidP="00780C9D">
      <w:pPr>
        <w:pStyle w:val="base-text-paragraph"/>
        <w:numPr>
          <w:ilvl w:val="1"/>
          <w:numId w:val="4"/>
        </w:numPr>
      </w:pPr>
      <w:r>
        <w:t>Subs</w:t>
      </w:r>
      <w:r w:rsidR="00A93477">
        <w:t>ection 50</w:t>
      </w:r>
      <w:r>
        <w:t xml:space="preserve">(1) contained a special rule </w:t>
      </w:r>
      <w:r w:rsidRPr="00CA69FE">
        <w:t xml:space="preserve">for late lodgements of elections under section 19 </w:t>
      </w:r>
      <w:r w:rsidR="00780C9D">
        <w:t xml:space="preserve">of the SIS Act </w:t>
      </w:r>
      <w:r w:rsidRPr="00CA69FE">
        <w:t xml:space="preserve">to become a registered superannuation fund (RSF). This rule allowed late lodging funds to be treated as an RSF from the start of the 1994-95 income </w:t>
      </w:r>
      <w:proofErr w:type="gramStart"/>
      <w:r w:rsidRPr="00CA69FE">
        <w:t>year</w:t>
      </w:r>
      <w:proofErr w:type="gramEnd"/>
      <w:r w:rsidRPr="00CA69FE">
        <w:t xml:space="preserve"> until the time they actually lodged </w:t>
      </w:r>
      <w:r w:rsidR="00780C9D">
        <w:t>the election</w:t>
      </w:r>
      <w:r w:rsidRPr="00CA69FE">
        <w:t>.</w:t>
      </w:r>
    </w:p>
    <w:p w14:paraId="045AA920" w14:textId="6A279A17" w:rsidR="005C1C73" w:rsidRDefault="005C1C73" w:rsidP="005C1C73">
      <w:pPr>
        <w:pStyle w:val="base-text-paragraph"/>
        <w:numPr>
          <w:ilvl w:val="1"/>
          <w:numId w:val="4"/>
        </w:numPr>
      </w:pPr>
      <w:r w:rsidRPr="005C1C73">
        <w:t xml:space="preserve">Subsection 50(2) contains another transitional rule that applied to funds that chose not to elect to become regulated under section 19 of the SIS Act, and instead chose to wind up. The rule allowed such funds to have regulated status from the start of the 1994-95 income </w:t>
      </w:r>
      <w:proofErr w:type="gramStart"/>
      <w:r w:rsidRPr="005C1C73">
        <w:t>year</w:t>
      </w:r>
      <w:proofErr w:type="gramEnd"/>
      <w:r w:rsidRPr="005C1C73">
        <w:t xml:space="preserve"> until the time </w:t>
      </w:r>
      <w:r w:rsidR="00BF4244">
        <w:t>they wound up. This transitional rule also required a fund to make a declaration under section 333 of the</w:t>
      </w:r>
      <w:r w:rsidR="00A756E3">
        <w:t xml:space="preserve"> SIS Act, which was repealed in </w:t>
      </w:r>
      <w:r w:rsidR="00BF4244">
        <w:t>2001</w:t>
      </w:r>
      <w:r w:rsidR="009E323B">
        <w:t>(meaning that it has not been possible to apply subsection 50(2) since that time)</w:t>
      </w:r>
      <w:r w:rsidR="00BF4244">
        <w:t>.</w:t>
      </w:r>
    </w:p>
    <w:p w14:paraId="670ED46A" w14:textId="77777777" w:rsidR="005D289F" w:rsidRDefault="005D289F" w:rsidP="005D289F">
      <w:pPr>
        <w:pStyle w:val="base-text-paragraph"/>
        <w:numPr>
          <w:ilvl w:val="1"/>
          <w:numId w:val="4"/>
        </w:numPr>
      </w:pPr>
      <w:r>
        <w:t xml:space="preserve">As </w:t>
      </w:r>
      <w:r w:rsidRPr="00780C9D">
        <w:t xml:space="preserve">the transition to the SIS Act occurred 25 years ago, </w:t>
      </w:r>
      <w:r>
        <w:t xml:space="preserve">the transitional </w:t>
      </w:r>
      <w:r w:rsidRPr="00780C9D">
        <w:t>rule</w:t>
      </w:r>
      <w:r>
        <w:t>s</w:t>
      </w:r>
      <w:r w:rsidRPr="00780C9D">
        <w:t xml:space="preserve"> </w:t>
      </w:r>
      <w:r>
        <w:t>in section 50 have</w:t>
      </w:r>
      <w:r w:rsidRPr="00780C9D">
        <w:t xml:space="preserve"> no prospective application.</w:t>
      </w:r>
      <w:r>
        <w:t xml:space="preserve"> The previous operation of the transitional rules contained in section 50 is not affected by the repeal because the repeal applies on a prospective basis only.</w:t>
      </w:r>
    </w:p>
    <w:p w14:paraId="1FA5202D" w14:textId="2C22A2AE" w:rsidR="009252C0" w:rsidRDefault="005D289F" w:rsidP="005D289F">
      <w:pPr>
        <w:pStyle w:val="base-text-paragraph"/>
        <w:numPr>
          <w:ilvl w:val="1"/>
          <w:numId w:val="4"/>
        </w:numPr>
      </w:pPr>
      <w:r>
        <w:t xml:space="preserve"> </w:t>
      </w:r>
      <w:r w:rsidR="009252C0">
        <w:t xml:space="preserve">To qualify for the either of the transitional rules in section 50, a fund was required to satisfy the ‘transitional superannuation fund conditions’ in the </w:t>
      </w:r>
      <w:r w:rsidR="009252C0" w:rsidRPr="009252C0">
        <w:rPr>
          <w:i/>
        </w:rPr>
        <w:t>Superannuation (Industry) (Transitional Provisions) Regulations 1993 (Transitional Regulations) 1993</w:t>
      </w:r>
      <w:r w:rsidR="008A3668">
        <w:t xml:space="preserve"> (the Transitional Regulations)</w:t>
      </w:r>
      <w:r w:rsidR="009252C0">
        <w:t xml:space="preserve">, which were made under subsection 50(5) of the SIS Act. The repeal of section 50 means that these regulations are no longer required, subject to the amendments </w:t>
      </w:r>
      <w:r w:rsidR="006A6072">
        <w:t>made to paragraphs 42(1AC)(e) an</w:t>
      </w:r>
      <w:r w:rsidR="00A756E3">
        <w:t>d </w:t>
      </w:r>
      <w:r w:rsidR="006A6072">
        <w:t>42A(4)(d) also in Schedule 1 to the exposure draft Bill</w:t>
      </w:r>
      <w:r w:rsidR="009252C0">
        <w:t>.</w:t>
      </w:r>
    </w:p>
    <w:p w14:paraId="6C1E8D0F" w14:textId="40B4606F" w:rsidR="00C0351B" w:rsidRDefault="006A6072" w:rsidP="003E6CF4">
      <w:pPr>
        <w:pStyle w:val="base-text-paragraph"/>
        <w:numPr>
          <w:ilvl w:val="1"/>
          <w:numId w:val="4"/>
        </w:numPr>
      </w:pPr>
      <w:r>
        <w:t>O</w:t>
      </w:r>
      <w:r w:rsidR="005D289F">
        <w:t xml:space="preserve">ther provisions of </w:t>
      </w:r>
      <w:r w:rsidR="00B02E99">
        <w:t>the SIS Act</w:t>
      </w:r>
      <w:r w:rsidR="005D289F">
        <w:t xml:space="preserve"> that refer to the transitional superannuation fund conditions contained in the </w:t>
      </w:r>
      <w:r w:rsidR="008A3668">
        <w:t>Transitional Regulations</w:t>
      </w:r>
      <w:r>
        <w:t xml:space="preserve"> are amended to</w:t>
      </w:r>
      <w:r w:rsidR="005D289F">
        <w:t xml:space="preserve"> replace the reference to the regulations made under section 50 with a reference to the regulations as they applied under the </w:t>
      </w:r>
      <w:r w:rsidR="005D289F">
        <w:lastRenderedPageBreak/>
        <w:t xml:space="preserve">former section. </w:t>
      </w:r>
      <w:r w:rsidR="003E6CF4">
        <w:rPr>
          <w:rStyle w:val="Referencingstyle"/>
        </w:rPr>
        <w:t xml:space="preserve">[Schedule </w:t>
      </w:r>
      <w:r>
        <w:rPr>
          <w:rStyle w:val="Referencingstyle"/>
        </w:rPr>
        <w:t>1</w:t>
      </w:r>
      <w:r w:rsidR="003E6CF4">
        <w:rPr>
          <w:rStyle w:val="Referencingstyle"/>
        </w:rPr>
        <w:t>, i</w:t>
      </w:r>
      <w:r w:rsidR="003E6CF4" w:rsidRPr="00375F1D">
        <w:rPr>
          <w:rStyle w:val="Referencingstyle"/>
        </w:rPr>
        <w:t>te</w:t>
      </w:r>
      <w:r w:rsidR="003E6CF4">
        <w:rPr>
          <w:rStyle w:val="Referencingstyle"/>
        </w:rPr>
        <w:t xml:space="preserve">ms </w:t>
      </w:r>
      <w:r>
        <w:rPr>
          <w:rStyle w:val="Referencingstyle"/>
        </w:rPr>
        <w:t>89</w:t>
      </w:r>
      <w:r w:rsidR="003E6CF4">
        <w:rPr>
          <w:rStyle w:val="Referencingstyle"/>
        </w:rPr>
        <w:t xml:space="preserve"> and </w:t>
      </w:r>
      <w:r>
        <w:rPr>
          <w:rStyle w:val="Referencingstyle"/>
        </w:rPr>
        <w:t>91</w:t>
      </w:r>
      <w:r w:rsidR="003E6CF4">
        <w:rPr>
          <w:rStyle w:val="Referencingstyle"/>
        </w:rPr>
        <w:t>, paragraphs</w:t>
      </w:r>
      <w:r w:rsidR="001B1B89">
        <w:rPr>
          <w:rStyle w:val="Referencingstyle"/>
        </w:rPr>
        <w:t> </w:t>
      </w:r>
      <w:r w:rsidR="003E6CF4">
        <w:rPr>
          <w:rStyle w:val="Referencingstyle"/>
        </w:rPr>
        <w:t>42(1AC)(e) and 42A(4)(d) of the SIS Act</w:t>
      </w:r>
      <w:r w:rsidR="003E6CF4" w:rsidRPr="00375F1D">
        <w:rPr>
          <w:rStyle w:val="Referencingstyle"/>
        </w:rPr>
        <w:t>]</w:t>
      </w:r>
    </w:p>
    <w:p w14:paraId="1610DBF0" w14:textId="1F133EF5" w:rsidR="00B02E99" w:rsidRDefault="005D289F" w:rsidP="005D289F">
      <w:pPr>
        <w:pStyle w:val="base-text-paragraph"/>
        <w:numPr>
          <w:ilvl w:val="1"/>
          <w:numId w:val="4"/>
        </w:numPr>
      </w:pPr>
      <w:r>
        <w:t xml:space="preserve">Subsections 42(1AC) contains a special rule to </w:t>
      </w:r>
      <w:r w:rsidRPr="005D289F">
        <w:t>provide complying fund status to funds that purp</w:t>
      </w:r>
      <w:r w:rsidR="006A6072">
        <w:t>orted to make an election under </w:t>
      </w:r>
      <w:r w:rsidRPr="005D289F">
        <w:t>19(4) to become an RSF but failed to comply with a requirement for making the election.</w:t>
      </w:r>
      <w:r>
        <w:t xml:space="preserve"> </w:t>
      </w:r>
      <w:r w:rsidRPr="005D289F">
        <w:t xml:space="preserve">Subsection </w:t>
      </w:r>
      <w:proofErr w:type="gramStart"/>
      <w:r w:rsidRPr="005D289F">
        <w:t>42A(</w:t>
      </w:r>
      <w:proofErr w:type="gramEnd"/>
      <w:r w:rsidRPr="005D289F">
        <w:t>4) contains an equivalent provision to subsection 42(1AC) that applies to self-managed superannuation funds.</w:t>
      </w:r>
    </w:p>
    <w:p w14:paraId="17138A5C" w14:textId="23A96CAE" w:rsidR="00F6303C" w:rsidRDefault="00F6303C" w:rsidP="00F6303C">
      <w:pPr>
        <w:pStyle w:val="base-text-paragraph"/>
        <w:numPr>
          <w:ilvl w:val="1"/>
          <w:numId w:val="4"/>
        </w:numPr>
      </w:pPr>
      <w:r>
        <w:t>Such funds can retain</w:t>
      </w:r>
      <w:r w:rsidR="00634792">
        <w:t xml:space="preserve"> their historic</w:t>
      </w:r>
      <w:r>
        <w:t xml:space="preserve"> complying status if they actually comply with the requirements within 28 days of being notified of the failure.</w:t>
      </w:r>
      <w:r w:rsidR="00634792">
        <w:t xml:space="preserve"> </w:t>
      </w:r>
      <w:r>
        <w:t xml:space="preserve">To </w:t>
      </w:r>
      <w:r w:rsidR="00634792">
        <w:t>retain</w:t>
      </w:r>
      <w:r>
        <w:t xml:space="preserve"> complying</w:t>
      </w:r>
      <w:r w:rsidR="00634792">
        <w:t xml:space="preserve"> status</w:t>
      </w:r>
      <w:r>
        <w:t xml:space="preserve">, the fund must not have contravened a regulatory provision during the period between the purported election and notification, or if they have contravened, the Regulator considers it reasonable for them to be a complying fund. </w:t>
      </w:r>
    </w:p>
    <w:p w14:paraId="4529DF5E" w14:textId="5524C9DB" w:rsidR="005D289F" w:rsidRDefault="00F6303C" w:rsidP="00F6303C">
      <w:pPr>
        <w:pStyle w:val="base-text-paragraph"/>
        <w:numPr>
          <w:ilvl w:val="1"/>
          <w:numId w:val="4"/>
        </w:numPr>
      </w:pPr>
      <w:r>
        <w:t>An additional requirement in</w:t>
      </w:r>
      <w:r w:rsidR="006A6072">
        <w:t xml:space="preserve"> paragraphs 42(1AC</w:t>
      </w:r>
      <w:proofErr w:type="gramStart"/>
      <w:r w:rsidR="006A6072">
        <w:t>)(</w:t>
      </w:r>
      <w:proofErr w:type="gramEnd"/>
      <w:r w:rsidR="006A6072">
        <w:t>e) and </w:t>
      </w:r>
      <w:r>
        <w:t>42</w:t>
      </w:r>
      <w:r w:rsidR="008A3668">
        <w:t xml:space="preserve">A(4)(d) </w:t>
      </w:r>
      <w:r>
        <w:t xml:space="preserve">applies to pre-1994-95 funds. </w:t>
      </w:r>
      <w:r w:rsidR="008A3668">
        <w:t>These</w:t>
      </w:r>
      <w:r>
        <w:t xml:space="preserve"> provision</w:t>
      </w:r>
      <w:r w:rsidR="008A3668">
        <w:t>s</w:t>
      </w:r>
      <w:r>
        <w:t xml:space="preserve"> require that such funds must have been treated as having satisfied the transitional superannuation fund conditions at all times during the period that began at the beginning of their 1994-95 income year and that ended when the trustee purported to have lodged the election under subsection 19(4).</w:t>
      </w:r>
    </w:p>
    <w:p w14:paraId="05BD769A" w14:textId="77777777" w:rsidR="00634792" w:rsidRDefault="00634792" w:rsidP="00F6303C">
      <w:pPr>
        <w:pStyle w:val="base-text-paragraph"/>
        <w:numPr>
          <w:ilvl w:val="1"/>
          <w:numId w:val="4"/>
        </w:numPr>
      </w:pPr>
      <w:r>
        <w:t>Although unlikely, it</w:t>
      </w:r>
      <w:r w:rsidRPr="00634792">
        <w:t xml:space="preserve"> is technically possible that a pre-1994-95 fund that transitioned over to the SIS Act could still discover that it had not satisfied the requirements for making the election.</w:t>
      </w:r>
      <w:r>
        <w:t xml:space="preserve"> </w:t>
      </w:r>
    </w:p>
    <w:p w14:paraId="49B759BB" w14:textId="23791AE3" w:rsidR="008A3668" w:rsidRDefault="00634792" w:rsidP="00F6303C">
      <w:pPr>
        <w:pStyle w:val="base-text-paragraph"/>
        <w:numPr>
          <w:ilvl w:val="1"/>
          <w:numId w:val="4"/>
        </w:numPr>
      </w:pPr>
      <w:r>
        <w:t>To ensure that paragraphs 42(1AC)(e) and 42A(4)(d) apply correctly to any funds that may seek to apply them in the future, t</w:t>
      </w:r>
      <w:r w:rsidR="008A3668">
        <w:t>he amendments preserve the operation of the Transitional Regulations that were made under section</w:t>
      </w:r>
      <w:r>
        <w:t> </w:t>
      </w:r>
      <w:r w:rsidR="008A3668">
        <w:t>50 in respect of the pre</w:t>
      </w:r>
      <w:r w:rsidR="001135E5">
        <w:rPr>
          <w:vertAlign w:val="superscript"/>
        </w:rPr>
        <w:t>-</w:t>
      </w:r>
      <w:r>
        <w:t>lodgement period</w:t>
      </w:r>
      <w:r w:rsidR="008A3668">
        <w:t xml:space="preserve">. </w:t>
      </w:r>
    </w:p>
    <w:p w14:paraId="6414640E" w14:textId="579E3AA2" w:rsidR="00CF510C" w:rsidRDefault="006A6072" w:rsidP="00CF510C">
      <w:pPr>
        <w:pStyle w:val="base-text-paragraph"/>
        <w:numPr>
          <w:ilvl w:val="1"/>
          <w:numId w:val="4"/>
        </w:numPr>
      </w:pPr>
      <w:r>
        <w:t>C</w:t>
      </w:r>
      <w:r w:rsidR="009E323B" w:rsidRPr="009E323B">
        <w:t xml:space="preserve">onsequential </w:t>
      </w:r>
      <w:r w:rsidR="009E323B">
        <w:t xml:space="preserve">amendments </w:t>
      </w:r>
      <w:r>
        <w:t xml:space="preserve">are made </w:t>
      </w:r>
      <w:r w:rsidR="009E323B">
        <w:t xml:space="preserve">to remove references to section 50 in other provisions in the SIS Act. </w:t>
      </w:r>
      <w:r w:rsidR="00CF510C">
        <w:t xml:space="preserve">The amendments remove the </w:t>
      </w:r>
      <w:r w:rsidR="001135E5">
        <w:t xml:space="preserve">reference to </w:t>
      </w:r>
      <w:r w:rsidR="00CF510C">
        <w:t>paragraph 50(1</w:t>
      </w:r>
      <w:proofErr w:type="gramStart"/>
      <w:r w:rsidR="00CF510C">
        <w:t>)(</w:t>
      </w:r>
      <w:proofErr w:type="gramEnd"/>
      <w:r w:rsidR="00CF510C">
        <w:t xml:space="preserve">c) from the definition of </w:t>
      </w:r>
      <w:r w:rsidR="009E323B">
        <w:t>‘</w:t>
      </w:r>
      <w:r w:rsidR="009E323B" w:rsidRPr="009E323B">
        <w:t>reviewable decision</w:t>
      </w:r>
      <w:r w:rsidR="009E323B">
        <w:t>’</w:t>
      </w:r>
      <w:r w:rsidR="009E323B" w:rsidRPr="009E323B">
        <w:t xml:space="preserve"> </w:t>
      </w:r>
      <w:r w:rsidR="00CF510C">
        <w:t xml:space="preserve">in subsection 10(1) and repeal the note to subsection 42(1AD) (which referred to subsection 50(2)). </w:t>
      </w:r>
      <w:r w:rsidR="00CF510C">
        <w:rPr>
          <w:rStyle w:val="Referencingstyle"/>
        </w:rPr>
        <w:t>[Schedule </w:t>
      </w:r>
      <w:r>
        <w:rPr>
          <w:rStyle w:val="Referencingstyle"/>
        </w:rPr>
        <w:t>1</w:t>
      </w:r>
      <w:r w:rsidR="00CF510C">
        <w:rPr>
          <w:rStyle w:val="Referencingstyle"/>
        </w:rPr>
        <w:t>, i</w:t>
      </w:r>
      <w:r w:rsidR="00CF510C" w:rsidRPr="00375F1D">
        <w:rPr>
          <w:rStyle w:val="Referencingstyle"/>
        </w:rPr>
        <w:t>tem</w:t>
      </w:r>
      <w:r w:rsidR="00CF510C">
        <w:rPr>
          <w:rStyle w:val="Referencingstyle"/>
        </w:rPr>
        <w:t>s </w:t>
      </w:r>
      <w:r>
        <w:rPr>
          <w:rStyle w:val="Referencingstyle"/>
        </w:rPr>
        <w:t>87</w:t>
      </w:r>
      <w:r w:rsidR="00CF510C">
        <w:rPr>
          <w:rStyle w:val="Referencingstyle"/>
        </w:rPr>
        <w:t xml:space="preserve"> and </w:t>
      </w:r>
      <w:r>
        <w:rPr>
          <w:rStyle w:val="Referencingstyle"/>
        </w:rPr>
        <w:t>90</w:t>
      </w:r>
      <w:r w:rsidR="00A756E3">
        <w:rPr>
          <w:rStyle w:val="Referencingstyle"/>
        </w:rPr>
        <w:t>, paragraph (fa) of the definition of reviewable decision’ in  subsection 10(1) and the note in subsection </w:t>
      </w:r>
      <w:r w:rsidR="00CF510C">
        <w:rPr>
          <w:rStyle w:val="Referencingstyle"/>
        </w:rPr>
        <w:t>42(1A</w:t>
      </w:r>
      <w:r w:rsidR="00A756E3">
        <w:rPr>
          <w:rStyle w:val="Referencingstyle"/>
        </w:rPr>
        <w:t>D)</w:t>
      </w:r>
      <w:r w:rsidR="00CF510C">
        <w:rPr>
          <w:rStyle w:val="Referencingstyle"/>
        </w:rPr>
        <w:t xml:space="preserve"> </w:t>
      </w:r>
      <w:r w:rsidR="00CF510C" w:rsidRPr="00375F1D">
        <w:rPr>
          <w:rStyle w:val="Referencingstyle"/>
        </w:rPr>
        <w:t xml:space="preserve">of </w:t>
      </w:r>
      <w:r w:rsidR="00CF510C">
        <w:rPr>
          <w:rStyle w:val="Referencingstyle"/>
        </w:rPr>
        <w:t>the SIS Act</w:t>
      </w:r>
      <w:r w:rsidR="00CF510C" w:rsidRPr="00375F1D">
        <w:rPr>
          <w:rStyle w:val="Referencingstyle"/>
        </w:rPr>
        <w:t>]</w:t>
      </w:r>
    </w:p>
    <w:p w14:paraId="2B259263" w14:textId="76EC5032" w:rsidR="00C0351B" w:rsidRDefault="006A6072" w:rsidP="00C0351B">
      <w:pPr>
        <w:pStyle w:val="base-text-paragraph"/>
        <w:numPr>
          <w:ilvl w:val="1"/>
          <w:numId w:val="4"/>
        </w:numPr>
      </w:pPr>
      <w:r>
        <w:t xml:space="preserve">Schedule 1 also </w:t>
      </w:r>
      <w:r w:rsidR="00C0351B">
        <w:t xml:space="preserve">repeals subsections 19(7) and (8) of the SIS Act to repeal the requirement for compliant pre-SIS Act funds to become an RSF at or before start of their 1994-95 income year. </w:t>
      </w:r>
      <w:r w:rsidR="00C0351B">
        <w:rPr>
          <w:rStyle w:val="Referencingstyle"/>
        </w:rPr>
        <w:t xml:space="preserve">[Schedule </w:t>
      </w:r>
      <w:r>
        <w:rPr>
          <w:rStyle w:val="Referencingstyle"/>
        </w:rPr>
        <w:t>1</w:t>
      </w:r>
      <w:r w:rsidR="00C0351B">
        <w:rPr>
          <w:rStyle w:val="Referencingstyle"/>
        </w:rPr>
        <w:t>, i</w:t>
      </w:r>
      <w:r w:rsidR="00C0351B" w:rsidRPr="00375F1D">
        <w:rPr>
          <w:rStyle w:val="Referencingstyle"/>
        </w:rPr>
        <w:t xml:space="preserve">tem </w:t>
      </w:r>
      <w:r>
        <w:rPr>
          <w:rStyle w:val="Referencingstyle"/>
        </w:rPr>
        <w:t>88</w:t>
      </w:r>
      <w:r w:rsidR="00C0351B" w:rsidRPr="00375F1D">
        <w:rPr>
          <w:rStyle w:val="Referencingstyle"/>
        </w:rPr>
        <w:t xml:space="preserve">, </w:t>
      </w:r>
      <w:r w:rsidR="00C0351B">
        <w:rPr>
          <w:rStyle w:val="Referencingstyle"/>
        </w:rPr>
        <w:t>sub</w:t>
      </w:r>
      <w:r w:rsidR="00C0351B" w:rsidRPr="00375F1D">
        <w:rPr>
          <w:rStyle w:val="Referencingstyle"/>
        </w:rPr>
        <w:t xml:space="preserve">sections </w:t>
      </w:r>
      <w:r w:rsidR="00C0351B">
        <w:rPr>
          <w:rStyle w:val="Referencingstyle"/>
        </w:rPr>
        <w:t>19(7) and (8) of the SIS Act</w:t>
      </w:r>
      <w:r w:rsidR="00C0351B" w:rsidRPr="00375F1D">
        <w:rPr>
          <w:rStyle w:val="Referencingstyle"/>
        </w:rPr>
        <w:t>]</w:t>
      </w:r>
    </w:p>
    <w:p w14:paraId="55D9B8FA" w14:textId="3FB22C78" w:rsidR="00C0351B" w:rsidRDefault="00C0351B" w:rsidP="00C0351B">
      <w:pPr>
        <w:pStyle w:val="base-text-paragraph"/>
        <w:numPr>
          <w:ilvl w:val="1"/>
          <w:numId w:val="4"/>
        </w:numPr>
      </w:pPr>
      <w:r>
        <w:t>These provisions have no ongoing application as any pre</w:t>
      </w:r>
      <w:r w:rsidR="00BC3D52">
        <w:noBreakHyphen/>
      </w:r>
      <w:r>
        <w:t xml:space="preserve">SIS Act funds have either made the transition to the SIS Act or </w:t>
      </w:r>
      <w:r w:rsidR="00BC3D52">
        <w:t>were</w:t>
      </w:r>
      <w:r>
        <w:t xml:space="preserve"> wound up.</w:t>
      </w:r>
    </w:p>
    <w:p w14:paraId="2BE87D9C" w14:textId="00F893A0" w:rsidR="000E3AEC" w:rsidRDefault="000E3AEC" w:rsidP="000E3AEC">
      <w:pPr>
        <w:pStyle w:val="base-text-paragraph"/>
        <w:numPr>
          <w:ilvl w:val="1"/>
          <w:numId w:val="4"/>
        </w:numPr>
      </w:pPr>
      <w:r>
        <w:t xml:space="preserve">The amendments in Schedule </w:t>
      </w:r>
      <w:r w:rsidR="006A6072">
        <w:t>1</w:t>
      </w:r>
      <w:r>
        <w:t xml:space="preserve"> do not affect the operation of section 49 of the SIS Act, which </w:t>
      </w:r>
      <w:r w:rsidRPr="000E3AEC">
        <w:t xml:space="preserve">extends the operation of any notices </w:t>
      </w:r>
      <w:r w:rsidRPr="000E3AEC">
        <w:lastRenderedPageBreak/>
        <w:t>about complying or non</w:t>
      </w:r>
      <w:r>
        <w:noBreakHyphen/>
      </w:r>
      <w:r w:rsidRPr="000E3AEC">
        <w:t>complying status for superannuation funds, approved deposit fund and pooled superannuation trusts under the OSSA</w:t>
      </w:r>
      <w:r>
        <w:t> </w:t>
      </w:r>
      <w:r w:rsidRPr="000E3AEC">
        <w:t>1987 to the SIS Act. Complying status under SIS Act for a given income year is based on the existence or non-existence of compliance and non-compliance notices to determine whether such</w:t>
      </w:r>
      <w:r w:rsidR="000F0481">
        <w:t xml:space="preserve"> entities have complying status.</w:t>
      </w:r>
    </w:p>
    <w:p w14:paraId="58C42EB4" w14:textId="3EE081F1" w:rsidR="00DA5227" w:rsidRPr="00DA5227" w:rsidRDefault="00DA5227" w:rsidP="00617CD2">
      <w:pPr>
        <w:pStyle w:val="Heading4"/>
      </w:pPr>
      <w:r>
        <w:t>Notification by suppliers of residential premises</w:t>
      </w:r>
    </w:p>
    <w:p w14:paraId="7FD6948A" w14:textId="4CC943E9" w:rsidR="001B40AA" w:rsidRDefault="00336EC5" w:rsidP="00C0075F">
      <w:pPr>
        <w:pStyle w:val="base-text-paragraph"/>
        <w:numPr>
          <w:ilvl w:val="1"/>
          <w:numId w:val="4"/>
        </w:numPr>
      </w:pPr>
      <w:r>
        <w:t>S</w:t>
      </w:r>
      <w:r w:rsidR="00DA5227">
        <w:t>ub</w:t>
      </w:r>
      <w:r>
        <w:t xml:space="preserve">section 14-255 </w:t>
      </w:r>
      <w:r w:rsidR="00A857B3">
        <w:t xml:space="preserve">in </w:t>
      </w:r>
      <w:r>
        <w:t xml:space="preserve">Schedule 1 to the TAA 1953 requires </w:t>
      </w:r>
      <w:r w:rsidR="0052602D">
        <w:t>an entity that makes a supply to which section 14-250 applies to provide the recipient of the supply with a notice setting out certain matters. The notice must contain the information in paragraph 14-255(1</w:t>
      </w:r>
      <w:proofErr w:type="gramStart"/>
      <w:r w:rsidR="0052602D">
        <w:t>)(</w:t>
      </w:r>
      <w:proofErr w:type="gramEnd"/>
      <w:r w:rsidR="0052602D">
        <w:t>b), which is intended to assist the purchaser</w:t>
      </w:r>
      <w:r w:rsidR="00DA5227">
        <w:t xml:space="preserve"> with making the payment to the ATO</w:t>
      </w:r>
      <w:r w:rsidR="0052602D">
        <w:t>.</w:t>
      </w:r>
    </w:p>
    <w:p w14:paraId="4ECDAC48" w14:textId="62F200F6" w:rsidR="0052602D" w:rsidRDefault="0052602D" w:rsidP="00C0075F">
      <w:pPr>
        <w:pStyle w:val="base-text-paragraph"/>
        <w:numPr>
          <w:ilvl w:val="1"/>
          <w:numId w:val="4"/>
        </w:numPr>
      </w:pPr>
      <w:r>
        <w:t>Currently, subparagraph 14-255(1</w:t>
      </w:r>
      <w:proofErr w:type="gramStart"/>
      <w:r>
        <w:t>)(</w:t>
      </w:r>
      <w:proofErr w:type="gramEnd"/>
      <w:r>
        <w:t>b)(</w:t>
      </w:r>
      <w:proofErr w:type="spellStart"/>
      <w:r>
        <w:t>i</w:t>
      </w:r>
      <w:proofErr w:type="spellEnd"/>
      <w:r>
        <w:t xml:space="preserve">) requires </w:t>
      </w:r>
      <w:r w:rsidR="00A857B3">
        <w:t xml:space="preserve">an entity </w:t>
      </w:r>
      <w:r>
        <w:t xml:space="preserve">to provide the name of the supplier and their ABN. However, in some cases, the name of the supplier and the entity that is liable to pay </w:t>
      </w:r>
      <w:r w:rsidR="00DA5227">
        <w:t>GST</w:t>
      </w:r>
      <w:r>
        <w:t xml:space="preserve"> in relation to the supply will not be the same. For example, the supplier may be part of a GST group in which a representative member is nominated as being liable to pay GST in relation to </w:t>
      </w:r>
      <w:r w:rsidR="00DA5227">
        <w:t>all supplies made by entities in the group</w:t>
      </w:r>
      <w:r>
        <w:t>, rather than the entity that makes the supply.</w:t>
      </w:r>
    </w:p>
    <w:p w14:paraId="1BF308C8" w14:textId="53A45ACF" w:rsidR="0052602D" w:rsidRPr="00CB45A4" w:rsidRDefault="0052602D" w:rsidP="00C0075F">
      <w:pPr>
        <w:pStyle w:val="base-text-paragraph"/>
        <w:numPr>
          <w:ilvl w:val="1"/>
          <w:numId w:val="4"/>
        </w:numPr>
        <w:rPr>
          <w:rStyle w:val="Referencingstyle"/>
          <w:b w:val="0"/>
          <w:i w:val="0"/>
          <w:sz w:val="22"/>
        </w:rPr>
      </w:pPr>
      <w:r>
        <w:t xml:space="preserve">To assist the purchaser with identifying who is ultimately liable to GST on the supply, and therefore who the payment to the ATO should be made in relation to, </w:t>
      </w:r>
      <w:r w:rsidR="00B02404">
        <w:t>the amendment to</w:t>
      </w:r>
      <w:r>
        <w:t xml:space="preserve"> subparagraph 14-255(1</w:t>
      </w:r>
      <w:proofErr w:type="gramStart"/>
      <w:r>
        <w:t>)(</w:t>
      </w:r>
      <w:proofErr w:type="gramEnd"/>
      <w:r>
        <w:t>b)(</w:t>
      </w:r>
      <w:proofErr w:type="spellStart"/>
      <w:r>
        <w:t>i</w:t>
      </w:r>
      <w:proofErr w:type="spellEnd"/>
      <w:r>
        <w:t>) refers to the person who is liable to pay the GST on the supply, rather than the entity that made the supply.</w:t>
      </w:r>
      <w:r w:rsidR="00CB45A4">
        <w:t xml:space="preserve"> </w:t>
      </w:r>
      <w:r w:rsidR="00CB45A4">
        <w:rPr>
          <w:rStyle w:val="Referencingstyle"/>
        </w:rPr>
        <w:t xml:space="preserve">[Schedule </w:t>
      </w:r>
      <w:r w:rsidR="00617CD2">
        <w:rPr>
          <w:rStyle w:val="Referencingstyle"/>
        </w:rPr>
        <w:t>1</w:t>
      </w:r>
      <w:r w:rsidR="00CB45A4">
        <w:rPr>
          <w:rStyle w:val="Referencingstyle"/>
        </w:rPr>
        <w:t>, i</w:t>
      </w:r>
      <w:r w:rsidR="00CB45A4" w:rsidRPr="00375F1D">
        <w:rPr>
          <w:rStyle w:val="Referencingstyle"/>
        </w:rPr>
        <w:t xml:space="preserve">tem </w:t>
      </w:r>
      <w:r w:rsidR="00617CD2">
        <w:rPr>
          <w:rStyle w:val="Referencingstyle"/>
        </w:rPr>
        <w:t>96</w:t>
      </w:r>
      <w:r w:rsidR="00CB45A4" w:rsidRPr="00375F1D">
        <w:rPr>
          <w:rStyle w:val="Referencingstyle"/>
        </w:rPr>
        <w:t xml:space="preserve">, </w:t>
      </w:r>
      <w:r w:rsidR="00A756E3">
        <w:rPr>
          <w:rStyle w:val="Referencingstyle"/>
        </w:rPr>
        <w:t>subparagraph 14</w:t>
      </w:r>
      <w:r w:rsidR="00A756E3">
        <w:rPr>
          <w:rStyle w:val="Referencingstyle"/>
        </w:rPr>
        <w:noBreakHyphen/>
      </w:r>
      <w:r w:rsidR="00CB45A4">
        <w:rPr>
          <w:rStyle w:val="Referencingstyle"/>
        </w:rPr>
        <w:t>255(1)(b)(</w:t>
      </w:r>
      <w:proofErr w:type="spellStart"/>
      <w:r w:rsidR="00CB45A4">
        <w:rPr>
          <w:rStyle w:val="Referencingstyle"/>
        </w:rPr>
        <w:t>i</w:t>
      </w:r>
      <w:proofErr w:type="spellEnd"/>
      <w:r w:rsidR="00CB45A4">
        <w:rPr>
          <w:rStyle w:val="Referencingstyle"/>
        </w:rPr>
        <w:t xml:space="preserve">) </w:t>
      </w:r>
      <w:r w:rsidR="00696C50">
        <w:rPr>
          <w:rStyle w:val="Referencingstyle"/>
        </w:rPr>
        <w:t xml:space="preserve">in </w:t>
      </w:r>
      <w:r w:rsidR="00CB45A4">
        <w:rPr>
          <w:rStyle w:val="Referencingstyle"/>
        </w:rPr>
        <w:t>Schedule 1 to the TAA 1953</w:t>
      </w:r>
      <w:r w:rsidR="00CB45A4" w:rsidRPr="00375F1D">
        <w:rPr>
          <w:rStyle w:val="Referencingstyle"/>
        </w:rPr>
        <w:t>]</w:t>
      </w:r>
    </w:p>
    <w:p w14:paraId="5542F88B" w14:textId="0CFF5BE0" w:rsidR="00CB45A4" w:rsidRDefault="00617CD2" w:rsidP="00CB45A4">
      <w:pPr>
        <w:pStyle w:val="base-text-paragraph"/>
        <w:numPr>
          <w:ilvl w:val="1"/>
          <w:numId w:val="4"/>
        </w:numPr>
      </w:pPr>
      <w:r>
        <w:t>The amendment</w:t>
      </w:r>
      <w:r w:rsidR="00CB45A4">
        <w:t xml:space="preserve"> applies in relation to supplies that are made </w:t>
      </w:r>
      <w:r>
        <w:t xml:space="preserve">on or </w:t>
      </w:r>
      <w:r w:rsidR="00CB45A4">
        <w:t>after the commencement of th</w:t>
      </w:r>
      <w:r w:rsidR="00F625E9">
        <w:t>e</w:t>
      </w:r>
      <w:r w:rsidR="00DA4544">
        <w:t xml:space="preserve"> </w:t>
      </w:r>
      <w:r w:rsidR="00CB45A4">
        <w:t xml:space="preserve">Schedule. </w:t>
      </w:r>
      <w:r w:rsidR="00CB45A4">
        <w:rPr>
          <w:rStyle w:val="Referencingstyle"/>
        </w:rPr>
        <w:t xml:space="preserve">[Schedule </w:t>
      </w:r>
      <w:r>
        <w:rPr>
          <w:rStyle w:val="Referencingstyle"/>
        </w:rPr>
        <w:t>1</w:t>
      </w:r>
      <w:r w:rsidR="00CB45A4">
        <w:rPr>
          <w:rStyle w:val="Referencingstyle"/>
        </w:rPr>
        <w:t>, i</w:t>
      </w:r>
      <w:r w:rsidR="00CB45A4" w:rsidRPr="00375F1D">
        <w:rPr>
          <w:rStyle w:val="Referencingstyle"/>
        </w:rPr>
        <w:t xml:space="preserve">tem </w:t>
      </w:r>
      <w:r>
        <w:rPr>
          <w:rStyle w:val="Referencingstyle"/>
        </w:rPr>
        <w:t>102</w:t>
      </w:r>
      <w:r w:rsidR="00CB45A4" w:rsidRPr="00375F1D">
        <w:rPr>
          <w:rStyle w:val="Referencingstyle"/>
        </w:rPr>
        <w:t>]</w:t>
      </w:r>
    </w:p>
    <w:p w14:paraId="0ACF3317" w14:textId="3897EF2F" w:rsidR="00DA5227" w:rsidRPr="00DA5227" w:rsidRDefault="00DA5227" w:rsidP="00617CD2">
      <w:pPr>
        <w:pStyle w:val="Heading4"/>
      </w:pPr>
      <w:r>
        <w:t xml:space="preserve">Refund by </w:t>
      </w:r>
      <w:r w:rsidR="001135E5">
        <w:t xml:space="preserve">Commissioner </w:t>
      </w:r>
      <w:r>
        <w:t>of amount withheld from payment in respect of a supply of real property</w:t>
      </w:r>
    </w:p>
    <w:p w14:paraId="4DEBEF51" w14:textId="5B3A90FC" w:rsidR="00DA5227" w:rsidRDefault="00DA5227" w:rsidP="00C0075F">
      <w:pPr>
        <w:pStyle w:val="base-text-paragraph"/>
        <w:numPr>
          <w:ilvl w:val="1"/>
          <w:numId w:val="4"/>
        </w:numPr>
      </w:pPr>
      <w:r>
        <w:t xml:space="preserve">Section 18-85 of the TAA 1953 allows the Commissioner </w:t>
      </w:r>
      <w:r w:rsidR="001135E5">
        <w:t xml:space="preserve">of Taxation </w:t>
      </w:r>
      <w:r>
        <w:t xml:space="preserve">to provide a refund of a section 14-250 withholding payment to the entity that made the supply where there has been an error in the payment and the entity has lodged an application for a refund in the approved form. This section applies wherever a payment has been made under section 14-250, or purportedly under that section, in relation to a ‘taxable supply’. </w:t>
      </w:r>
    </w:p>
    <w:p w14:paraId="2F9CAB53" w14:textId="4B4864D6" w:rsidR="0052602D" w:rsidRDefault="00DA5227" w:rsidP="00C0075F">
      <w:pPr>
        <w:pStyle w:val="base-text-paragraph"/>
        <w:numPr>
          <w:ilvl w:val="1"/>
          <w:numId w:val="4"/>
        </w:numPr>
      </w:pPr>
      <w:r>
        <w:t xml:space="preserve">Where a payment is made purportedly under section 14-250, the supply to which the purported payment relates may not be a taxable supply. For example, if it is of existing residential premises, then that supply will be input taxed and not a taxable supply. To remove doubt that a payment can be made in relation to a </w:t>
      </w:r>
      <w:r w:rsidR="00617CD2">
        <w:t>purported payment under section </w:t>
      </w:r>
      <w:r>
        <w:t xml:space="preserve">14-250 </w:t>
      </w:r>
      <w:r w:rsidR="00FE74C6">
        <w:t xml:space="preserve">where the supply to which it relates is later discovered not </w:t>
      </w:r>
      <w:r w:rsidR="00FE74C6">
        <w:lastRenderedPageBreak/>
        <w:t xml:space="preserve">to be a taxable supply, </w:t>
      </w:r>
      <w:r w:rsidR="00617CD2">
        <w:t xml:space="preserve">Schedule 1 </w:t>
      </w:r>
      <w:r w:rsidR="005E63C9">
        <w:t xml:space="preserve">to the </w:t>
      </w:r>
      <w:r w:rsidR="00617CD2">
        <w:t xml:space="preserve">exposure draft </w:t>
      </w:r>
      <w:r w:rsidR="005E63C9">
        <w:t>Bill</w:t>
      </w:r>
      <w:r w:rsidR="00FE74C6">
        <w:t xml:space="preserve"> remove</w:t>
      </w:r>
      <w:r w:rsidR="00617CD2">
        <w:t>s</w:t>
      </w:r>
      <w:r w:rsidR="00FE74C6">
        <w:t xml:space="preserve"> the word ‘taxable’ from the section.</w:t>
      </w:r>
      <w:r w:rsidR="00CB45A4">
        <w:t xml:space="preserve"> </w:t>
      </w:r>
      <w:r w:rsidR="00CB45A4">
        <w:rPr>
          <w:rStyle w:val="Referencingstyle"/>
        </w:rPr>
        <w:t xml:space="preserve">[Schedule </w:t>
      </w:r>
      <w:r w:rsidR="00617CD2">
        <w:rPr>
          <w:rStyle w:val="Referencingstyle"/>
        </w:rPr>
        <w:t>1</w:t>
      </w:r>
      <w:r w:rsidR="00CB45A4">
        <w:rPr>
          <w:rStyle w:val="Referencingstyle"/>
        </w:rPr>
        <w:t>, i</w:t>
      </w:r>
      <w:r w:rsidR="00CB45A4" w:rsidRPr="00375F1D">
        <w:rPr>
          <w:rStyle w:val="Referencingstyle"/>
        </w:rPr>
        <w:t>tem</w:t>
      </w:r>
      <w:r w:rsidR="00CB45A4">
        <w:rPr>
          <w:rStyle w:val="Referencingstyle"/>
        </w:rPr>
        <w:t xml:space="preserve">s </w:t>
      </w:r>
      <w:r w:rsidR="00617CD2">
        <w:rPr>
          <w:rStyle w:val="Referencingstyle"/>
        </w:rPr>
        <w:t>97</w:t>
      </w:r>
      <w:r w:rsidR="00CB45A4">
        <w:rPr>
          <w:rStyle w:val="Referencingstyle"/>
        </w:rPr>
        <w:t xml:space="preserve"> and </w:t>
      </w:r>
      <w:r w:rsidR="00617CD2">
        <w:rPr>
          <w:rStyle w:val="Referencingstyle"/>
        </w:rPr>
        <w:t>98</w:t>
      </w:r>
      <w:r w:rsidR="00CB45A4" w:rsidRPr="00375F1D">
        <w:rPr>
          <w:rStyle w:val="Referencingstyle"/>
        </w:rPr>
        <w:t xml:space="preserve">, </w:t>
      </w:r>
      <w:r w:rsidR="00CB45A4">
        <w:rPr>
          <w:rStyle w:val="Referencingstyle"/>
        </w:rPr>
        <w:t>section 18-85 (h</w:t>
      </w:r>
      <w:r w:rsidR="00A756E3">
        <w:rPr>
          <w:rStyle w:val="Referencingstyle"/>
        </w:rPr>
        <w:t>eading) and paragraph 18-85(1)(a</w:t>
      </w:r>
      <w:r w:rsidR="00CB45A4">
        <w:rPr>
          <w:rStyle w:val="Referencingstyle"/>
        </w:rPr>
        <w:t xml:space="preserve">) </w:t>
      </w:r>
      <w:r w:rsidR="00696C50">
        <w:rPr>
          <w:rStyle w:val="Referencingstyle"/>
        </w:rPr>
        <w:t xml:space="preserve">in </w:t>
      </w:r>
      <w:r w:rsidR="00CB45A4">
        <w:rPr>
          <w:rStyle w:val="Referencingstyle"/>
        </w:rPr>
        <w:t>Schedule 1 to the TAA 1953</w:t>
      </w:r>
      <w:r w:rsidR="00CB45A4" w:rsidRPr="00375F1D">
        <w:rPr>
          <w:rStyle w:val="Referencingstyle"/>
        </w:rPr>
        <w:t>]</w:t>
      </w:r>
    </w:p>
    <w:p w14:paraId="30975DBE" w14:textId="1D08CC34" w:rsidR="005E63C9" w:rsidRDefault="00617CD2" w:rsidP="00C0075F">
      <w:pPr>
        <w:pStyle w:val="base-text-paragraph"/>
        <w:numPr>
          <w:ilvl w:val="1"/>
          <w:numId w:val="4"/>
        </w:numPr>
      </w:pPr>
      <w:r>
        <w:t>The amendments apply</w:t>
      </w:r>
      <w:r w:rsidR="005E63C9">
        <w:t xml:space="preserve"> in relation to supplies </w:t>
      </w:r>
      <w:r w:rsidR="004445DF">
        <w:t xml:space="preserve">that are made </w:t>
      </w:r>
      <w:r>
        <w:t xml:space="preserve">on or </w:t>
      </w:r>
      <w:r w:rsidR="004445DF">
        <w:t>after the commencement of th</w:t>
      </w:r>
      <w:r w:rsidR="00F625E9">
        <w:t>e</w:t>
      </w:r>
      <w:r w:rsidR="004445DF">
        <w:t xml:space="preserve"> Schedule.</w:t>
      </w:r>
      <w:r w:rsidR="00CB45A4">
        <w:t xml:space="preserve"> </w:t>
      </w:r>
      <w:r w:rsidR="00CB45A4">
        <w:rPr>
          <w:rStyle w:val="Referencingstyle"/>
        </w:rPr>
        <w:t xml:space="preserve">[Schedule </w:t>
      </w:r>
      <w:r>
        <w:rPr>
          <w:rStyle w:val="Referencingstyle"/>
        </w:rPr>
        <w:t>1</w:t>
      </w:r>
      <w:r w:rsidR="00CB45A4">
        <w:rPr>
          <w:rStyle w:val="Referencingstyle"/>
        </w:rPr>
        <w:t>, i</w:t>
      </w:r>
      <w:r w:rsidR="00CB45A4" w:rsidRPr="00375F1D">
        <w:rPr>
          <w:rStyle w:val="Referencingstyle"/>
        </w:rPr>
        <w:t xml:space="preserve">tem </w:t>
      </w:r>
      <w:r>
        <w:rPr>
          <w:rStyle w:val="Referencingstyle"/>
        </w:rPr>
        <w:t>102</w:t>
      </w:r>
      <w:r w:rsidR="00CB45A4" w:rsidRPr="00375F1D">
        <w:rPr>
          <w:rStyle w:val="Referencingstyle"/>
        </w:rPr>
        <w:t>]</w:t>
      </w:r>
    </w:p>
    <w:p w14:paraId="37890936" w14:textId="351F377B" w:rsidR="00FE74C6" w:rsidRPr="00FE74C6" w:rsidRDefault="00FE74C6" w:rsidP="00617CD2">
      <w:pPr>
        <w:pStyle w:val="Heading4"/>
      </w:pPr>
      <w:r>
        <w:t>Machinery provisions applying to administrative penalties under Subdivision 14-E</w:t>
      </w:r>
    </w:p>
    <w:p w14:paraId="4A6AF0AA" w14:textId="51564FC0" w:rsidR="004B6A79" w:rsidRDefault="004B6A79" w:rsidP="00C0075F">
      <w:pPr>
        <w:pStyle w:val="base-text-paragraph"/>
        <w:numPr>
          <w:ilvl w:val="1"/>
          <w:numId w:val="4"/>
        </w:numPr>
      </w:pPr>
      <w:r>
        <w:t xml:space="preserve">Division 298 </w:t>
      </w:r>
      <w:r w:rsidR="00A857B3">
        <w:t xml:space="preserve">in </w:t>
      </w:r>
      <w:r>
        <w:t>Schedule 1 to the TAA 1953 contains</w:t>
      </w:r>
      <w:r w:rsidRPr="004B6A79">
        <w:t xml:space="preserve"> the general machinery provisions for collection, recovery and review of all other penalties contained in </w:t>
      </w:r>
      <w:r>
        <w:t>that Schedule.</w:t>
      </w:r>
    </w:p>
    <w:p w14:paraId="47A6CA42" w14:textId="07CD384C" w:rsidR="00FE74C6" w:rsidRPr="004B6A79" w:rsidRDefault="004B6A79" w:rsidP="00C0075F">
      <w:pPr>
        <w:pStyle w:val="base-text-paragraph"/>
        <w:numPr>
          <w:ilvl w:val="1"/>
          <w:numId w:val="4"/>
        </w:numPr>
        <w:rPr>
          <w:rStyle w:val="Referencingstyle"/>
          <w:b w:val="0"/>
          <w:i w:val="0"/>
          <w:sz w:val="22"/>
        </w:rPr>
      </w:pPr>
      <w:r>
        <w:t>The amendment updates section 298</w:t>
      </w:r>
      <w:r>
        <w:noBreakHyphen/>
        <w:t>5 to e</w:t>
      </w:r>
      <w:r w:rsidRPr="004B6A79">
        <w:t>nsure administrative penalti</w:t>
      </w:r>
      <w:r>
        <w:t>es imposed under Subdivision 14</w:t>
      </w:r>
      <w:r>
        <w:noBreakHyphen/>
      </w:r>
      <w:r w:rsidRPr="004B6A79">
        <w:t xml:space="preserve">E </w:t>
      </w:r>
      <w:r w:rsidR="00A857B3">
        <w:t>in</w:t>
      </w:r>
      <w:r w:rsidR="00A857B3" w:rsidRPr="004B6A79">
        <w:t xml:space="preserve"> </w:t>
      </w:r>
      <w:r w:rsidRPr="004B6A79">
        <w:t xml:space="preserve">Schedule 1 to the </w:t>
      </w:r>
      <w:r>
        <w:t>TAA 1953 are covered by Division 298</w:t>
      </w:r>
      <w:r w:rsidRPr="004B6A79">
        <w:t>.</w:t>
      </w:r>
      <w:r>
        <w:t xml:space="preserve"> </w:t>
      </w:r>
      <w:r w:rsidR="005E63C9">
        <w:t>The machinery provisions in relation to those penalties are procedural laws</w:t>
      </w:r>
      <w:r w:rsidR="00D92923">
        <w:t xml:space="preserve"> which</w:t>
      </w:r>
      <w:r w:rsidR="005E63C9">
        <w:t xml:space="preserve"> apply from the time of commencement of th</w:t>
      </w:r>
      <w:r w:rsidR="00D92923">
        <w:t>is</w:t>
      </w:r>
      <w:r w:rsidR="005E63C9">
        <w:t xml:space="preserve"> Schedule.</w:t>
      </w:r>
      <w:r w:rsidR="00CB45A4">
        <w:t xml:space="preserve"> </w:t>
      </w:r>
      <w:r w:rsidR="00CB45A4">
        <w:rPr>
          <w:rStyle w:val="Referencingstyle"/>
        </w:rPr>
        <w:t xml:space="preserve">[Schedule </w:t>
      </w:r>
      <w:r>
        <w:rPr>
          <w:rStyle w:val="Referencingstyle"/>
        </w:rPr>
        <w:t>1</w:t>
      </w:r>
      <w:r w:rsidR="00CB45A4">
        <w:rPr>
          <w:rStyle w:val="Referencingstyle"/>
        </w:rPr>
        <w:t>, i</w:t>
      </w:r>
      <w:r w:rsidR="00CB45A4" w:rsidRPr="00375F1D">
        <w:rPr>
          <w:rStyle w:val="Referencingstyle"/>
        </w:rPr>
        <w:t>tem</w:t>
      </w:r>
      <w:r w:rsidR="00CB45A4">
        <w:rPr>
          <w:rStyle w:val="Referencingstyle"/>
        </w:rPr>
        <w:t xml:space="preserve"> </w:t>
      </w:r>
      <w:r>
        <w:rPr>
          <w:rStyle w:val="Referencingstyle"/>
        </w:rPr>
        <w:t>101</w:t>
      </w:r>
      <w:r w:rsidR="00CB45A4" w:rsidRPr="00375F1D">
        <w:rPr>
          <w:rStyle w:val="Referencingstyle"/>
        </w:rPr>
        <w:t>,</w:t>
      </w:r>
      <w:r w:rsidR="00CB45A4">
        <w:rPr>
          <w:rStyle w:val="Referencingstyle"/>
        </w:rPr>
        <w:t xml:space="preserve"> paragraph 298-5(c) </w:t>
      </w:r>
      <w:r w:rsidR="00696C50">
        <w:rPr>
          <w:rStyle w:val="Referencingstyle"/>
        </w:rPr>
        <w:t xml:space="preserve">in </w:t>
      </w:r>
      <w:r w:rsidR="00CB45A4">
        <w:rPr>
          <w:rStyle w:val="Referencingstyle"/>
        </w:rPr>
        <w:t>Schedule 1 to the TAA 1953</w:t>
      </w:r>
      <w:r w:rsidR="00CB45A4" w:rsidRPr="00375F1D">
        <w:rPr>
          <w:rStyle w:val="Referencingstyle"/>
        </w:rPr>
        <w:t>]</w:t>
      </w:r>
    </w:p>
    <w:p w14:paraId="758EA2C1" w14:textId="2AFD40A4" w:rsidR="00617CD2" w:rsidRDefault="00617CD2" w:rsidP="00617CD2">
      <w:pPr>
        <w:pStyle w:val="Heading4"/>
      </w:pPr>
      <w:r>
        <w:t>Other amendments</w:t>
      </w:r>
    </w:p>
    <w:p w14:paraId="1F6CC639" w14:textId="3351359E" w:rsidR="00617CD2" w:rsidRDefault="00617CD2" w:rsidP="00C0075F">
      <w:pPr>
        <w:pStyle w:val="base-text-paragraph"/>
        <w:numPr>
          <w:ilvl w:val="1"/>
          <w:numId w:val="4"/>
        </w:numPr>
      </w:pPr>
      <w:r>
        <w:t xml:space="preserve">Schedule 1 to the exposure draft Bill removes certain provisions </w:t>
      </w:r>
      <w:r w:rsidR="004B6A79">
        <w:t xml:space="preserve">in the SIS Act </w:t>
      </w:r>
      <w:r>
        <w:t xml:space="preserve">that provide their effect ceases on 1 July 1994. </w:t>
      </w:r>
      <w:r>
        <w:rPr>
          <w:rStyle w:val="Referencingstyle"/>
        </w:rPr>
        <w:t>[Schedule 1, i</w:t>
      </w:r>
      <w:r w:rsidRPr="00375F1D">
        <w:rPr>
          <w:rStyle w:val="Referencingstyle"/>
        </w:rPr>
        <w:t>tem</w:t>
      </w:r>
      <w:r w:rsidR="00A756E3">
        <w:rPr>
          <w:rStyle w:val="Referencingstyle"/>
        </w:rPr>
        <w:t>s</w:t>
      </w:r>
      <w:r w:rsidRPr="00375F1D">
        <w:rPr>
          <w:rStyle w:val="Referencingstyle"/>
        </w:rPr>
        <w:t xml:space="preserve"> </w:t>
      </w:r>
      <w:r w:rsidR="004B6A79">
        <w:rPr>
          <w:rStyle w:val="Referencingstyle"/>
        </w:rPr>
        <w:t>93 to 95</w:t>
      </w:r>
      <w:r w:rsidRPr="00375F1D">
        <w:rPr>
          <w:rStyle w:val="Referencingstyle"/>
        </w:rPr>
        <w:t xml:space="preserve">, sections </w:t>
      </w:r>
      <w:r w:rsidR="004B6A79">
        <w:rPr>
          <w:rStyle w:val="Referencingstyle"/>
        </w:rPr>
        <w:t>382, 384 and 385</w:t>
      </w:r>
      <w:r w:rsidRPr="00375F1D">
        <w:rPr>
          <w:rStyle w:val="Referencingstyle"/>
        </w:rPr>
        <w:t xml:space="preserve"> of </w:t>
      </w:r>
      <w:r w:rsidR="004B6A79">
        <w:rPr>
          <w:rStyle w:val="Referencingstyle"/>
        </w:rPr>
        <w:t>the SIS Act</w:t>
      </w:r>
      <w:r w:rsidRPr="00375F1D">
        <w:rPr>
          <w:rStyle w:val="Referencingstyle"/>
        </w:rPr>
        <w:t>]</w:t>
      </w:r>
    </w:p>
    <w:p w14:paraId="776482B5" w14:textId="66F5614C" w:rsidR="00DF631D" w:rsidRDefault="00B13B30" w:rsidP="007D0B6F">
      <w:pPr>
        <w:pStyle w:val="Heading3"/>
      </w:pPr>
      <w:r>
        <w:t>Part</w:t>
      </w:r>
      <w:r w:rsidR="007D0B6F" w:rsidRPr="007D0B6F">
        <w:t xml:space="preserve"> 3—</w:t>
      </w:r>
      <w:r w:rsidR="00696C50">
        <w:t>A</w:t>
      </w:r>
      <w:r w:rsidR="007D0B6F" w:rsidRPr="007D0B6F">
        <w:t>mendments commencing 28 days after Royal Assen</w:t>
      </w:r>
      <w:r w:rsidR="007D0B6F">
        <w:t>t</w:t>
      </w:r>
    </w:p>
    <w:p w14:paraId="130F5749" w14:textId="7CD23BE9" w:rsidR="006C7FF0" w:rsidRDefault="002B0D7D" w:rsidP="00797778">
      <w:pPr>
        <w:pStyle w:val="base-text-paragraph"/>
        <w:numPr>
          <w:ilvl w:val="1"/>
          <w:numId w:val="4"/>
        </w:numPr>
      </w:pPr>
      <w:r>
        <w:t xml:space="preserve">Schedule </w:t>
      </w:r>
      <w:r w:rsidR="004B6A79">
        <w:t>1 to the exposure draft Bill</w:t>
      </w:r>
      <w:r>
        <w:t xml:space="preserve"> amends section 15 of the ABS Act to update the </w:t>
      </w:r>
      <w:r w:rsidR="00F91B31">
        <w:t xml:space="preserve">rules </w:t>
      </w:r>
      <w:r w:rsidR="006C7FF0">
        <w:t>for appointing a person to act as the Australian Statistician</w:t>
      </w:r>
      <w:r w:rsidR="00A33DA5">
        <w:t xml:space="preserve"> (the Statistician)</w:t>
      </w:r>
      <w:r w:rsidR="007B04BF">
        <w:t>.</w:t>
      </w:r>
    </w:p>
    <w:p w14:paraId="67902970" w14:textId="1C00CE35" w:rsidR="00A33DA5" w:rsidRDefault="006C7FF0" w:rsidP="00A33DA5">
      <w:pPr>
        <w:pStyle w:val="base-text-paragraph"/>
        <w:numPr>
          <w:ilvl w:val="1"/>
          <w:numId w:val="4"/>
        </w:numPr>
      </w:pPr>
      <w:r>
        <w:t xml:space="preserve">The amendments repeal the previous </w:t>
      </w:r>
      <w:r w:rsidR="00F91B31">
        <w:t xml:space="preserve">rules and replace them with provisions that allow the </w:t>
      </w:r>
      <w:r w:rsidR="005F7D60" w:rsidRPr="005F7D60">
        <w:t>Treasurer or another Min</w:t>
      </w:r>
      <w:r w:rsidR="00A33DA5">
        <w:t>ister in the Treasury portfolio to</w:t>
      </w:r>
      <w:r w:rsidR="00F91B31">
        <w:t>, by written instrument,</w:t>
      </w:r>
      <w:r w:rsidR="00A33DA5">
        <w:t xml:space="preserve"> appoint</w:t>
      </w:r>
      <w:r w:rsidR="00F91B31" w:rsidRPr="00F91B31">
        <w:t xml:space="preserve"> </w:t>
      </w:r>
      <w:r w:rsidR="00F91B31">
        <w:t xml:space="preserve">a person to act as the Statistician. Such appointments can be made </w:t>
      </w:r>
      <w:r w:rsidR="00A33DA5">
        <w:t>during a vacancy of the office of Statistician or during any or all period</w:t>
      </w:r>
      <w:r w:rsidR="001135E5">
        <w:t>s</w:t>
      </w:r>
      <w:r w:rsidR="00A33DA5">
        <w:t xml:space="preserve"> that the Statistician is absent from duty or from Australia, or </w:t>
      </w:r>
      <w:proofErr w:type="gramStart"/>
      <w:r w:rsidR="00A33DA5">
        <w:t>is</w:t>
      </w:r>
      <w:proofErr w:type="gramEnd"/>
      <w:r w:rsidR="00A33DA5">
        <w:t xml:space="preserve"> unable to perform the duties of the office. </w:t>
      </w:r>
      <w:r w:rsidR="001949B6">
        <w:rPr>
          <w:rStyle w:val="Referencingstyle"/>
        </w:rPr>
        <w:t xml:space="preserve">[Schedule </w:t>
      </w:r>
      <w:r w:rsidR="004B6A79">
        <w:rPr>
          <w:rStyle w:val="Referencingstyle"/>
        </w:rPr>
        <w:t>1</w:t>
      </w:r>
      <w:r w:rsidR="001949B6">
        <w:rPr>
          <w:rStyle w:val="Referencingstyle"/>
        </w:rPr>
        <w:t>, i</w:t>
      </w:r>
      <w:r w:rsidR="001949B6" w:rsidRPr="00375F1D">
        <w:rPr>
          <w:rStyle w:val="Referencingstyle"/>
        </w:rPr>
        <w:t xml:space="preserve">tem </w:t>
      </w:r>
      <w:r w:rsidR="001949B6">
        <w:rPr>
          <w:rStyle w:val="Referencingstyle"/>
        </w:rPr>
        <w:t>1</w:t>
      </w:r>
      <w:r w:rsidR="004B6A79">
        <w:rPr>
          <w:rStyle w:val="Referencingstyle"/>
        </w:rPr>
        <w:t>03</w:t>
      </w:r>
      <w:r w:rsidR="001949B6" w:rsidRPr="00375F1D">
        <w:rPr>
          <w:rStyle w:val="Referencingstyle"/>
        </w:rPr>
        <w:t>, section</w:t>
      </w:r>
      <w:r w:rsidR="001949B6">
        <w:rPr>
          <w:rStyle w:val="Referencingstyle"/>
        </w:rPr>
        <w:t xml:space="preserve"> 15</w:t>
      </w:r>
      <w:r w:rsidR="001949B6" w:rsidRPr="00375F1D">
        <w:rPr>
          <w:rStyle w:val="Referencingstyle"/>
        </w:rPr>
        <w:t xml:space="preserve"> </w:t>
      </w:r>
      <w:r w:rsidR="001949B6">
        <w:rPr>
          <w:rStyle w:val="Referencingstyle"/>
        </w:rPr>
        <w:t>o</w:t>
      </w:r>
      <w:r w:rsidR="001949B6" w:rsidRPr="00375F1D">
        <w:rPr>
          <w:rStyle w:val="Referencingstyle"/>
        </w:rPr>
        <w:t xml:space="preserve">f </w:t>
      </w:r>
      <w:r w:rsidR="001949B6">
        <w:rPr>
          <w:rStyle w:val="Referencingstyle"/>
        </w:rPr>
        <w:t>the ABS Act</w:t>
      </w:r>
      <w:r w:rsidR="001949B6" w:rsidRPr="00375F1D">
        <w:rPr>
          <w:rStyle w:val="Referencingstyle"/>
        </w:rPr>
        <w:t>]</w:t>
      </w:r>
    </w:p>
    <w:p w14:paraId="1C2D55C3" w14:textId="2CE088B7" w:rsidR="007B04BF" w:rsidRDefault="00A33DA5" w:rsidP="00A33DA5">
      <w:pPr>
        <w:pStyle w:val="base-text-paragraph"/>
        <w:numPr>
          <w:ilvl w:val="1"/>
          <w:numId w:val="4"/>
        </w:numPr>
      </w:pPr>
      <w:r>
        <w:t>The previous acting arrangements required a decision by the Governor-General in Council.</w:t>
      </w:r>
      <w:r w:rsidRPr="005F7D60">
        <w:t xml:space="preserve"> This</w:t>
      </w:r>
      <w:r>
        <w:t xml:space="preserve"> approach was out of step with </w:t>
      </w:r>
      <w:r w:rsidRPr="005F7D60">
        <w:t>modern drafting practice and standard government procedure where acting appointments for statutory offices are generally made by a Minister.</w:t>
      </w:r>
    </w:p>
    <w:p w14:paraId="0CE718FE" w14:textId="04C59039" w:rsidR="00930EDF" w:rsidRDefault="00F7002A" w:rsidP="00A33DA5">
      <w:pPr>
        <w:pStyle w:val="base-text-paragraph"/>
        <w:numPr>
          <w:ilvl w:val="1"/>
          <w:numId w:val="4"/>
        </w:numPr>
      </w:pPr>
      <w:r>
        <w:t xml:space="preserve">The new </w:t>
      </w:r>
      <w:r w:rsidR="00930EDF">
        <w:t>rules</w:t>
      </w:r>
      <w:r>
        <w:t xml:space="preserve"> adopt the standard form for acting arrangements and are subject to sections 33AB and 33A of the </w:t>
      </w:r>
      <w:r>
        <w:rPr>
          <w:i/>
        </w:rPr>
        <w:t>Acts Interpretation Act</w:t>
      </w:r>
      <w:r w:rsidR="00930EDF">
        <w:rPr>
          <w:i/>
        </w:rPr>
        <w:t> </w:t>
      </w:r>
      <w:r>
        <w:rPr>
          <w:i/>
        </w:rPr>
        <w:t>1901</w:t>
      </w:r>
      <w:r>
        <w:t xml:space="preserve">. </w:t>
      </w:r>
    </w:p>
    <w:p w14:paraId="5C4E88AB" w14:textId="25734EA4" w:rsidR="00DF631D" w:rsidRDefault="00930EDF" w:rsidP="006E78AD">
      <w:pPr>
        <w:pStyle w:val="base-text-paragraph"/>
        <w:numPr>
          <w:ilvl w:val="1"/>
          <w:numId w:val="4"/>
        </w:numPr>
        <w:spacing w:before="0" w:after="160" w:line="259" w:lineRule="auto"/>
      </w:pPr>
      <w:r>
        <w:lastRenderedPageBreak/>
        <w:t xml:space="preserve">The new rules do not replicate previous subsection 15(4) of the ABS Act, which extended sections 10 and 11 of the ABS Act (which are about resignation and removal from office) to acting appointments. However, sections 10 and 11 continue to apply to acting arrangements because of subparagraph </w:t>
      </w:r>
      <w:proofErr w:type="gramStart"/>
      <w:r>
        <w:t>33A</w:t>
      </w:r>
      <w:r w:rsidR="001B5F65">
        <w:t>(</w:t>
      </w:r>
      <w:proofErr w:type="gramEnd"/>
      <w:r w:rsidR="001B5F65">
        <w:t>1)</w:t>
      </w:r>
      <w:r>
        <w:t xml:space="preserve">(e)(ii) of the </w:t>
      </w:r>
      <w:r w:rsidRPr="006E78AD">
        <w:rPr>
          <w:i/>
        </w:rPr>
        <w:t>Acts Interpretation Act 1901</w:t>
      </w:r>
      <w:r w:rsidR="001B5F65">
        <w:t xml:space="preserve"> (which extends the operation of any Acts to an appointee as if the appointee were the holder of the office).</w:t>
      </w:r>
    </w:p>
    <w:p w14:paraId="6562B0BE" w14:textId="590820BC" w:rsidR="000167F1" w:rsidRPr="0075724D" w:rsidRDefault="004B6A79" w:rsidP="006E78AD">
      <w:pPr>
        <w:pStyle w:val="base-text-paragraph"/>
        <w:numPr>
          <w:ilvl w:val="1"/>
          <w:numId w:val="4"/>
        </w:numPr>
        <w:spacing w:before="0" w:after="160" w:line="259" w:lineRule="auto"/>
        <w:rPr>
          <w:rStyle w:val="Referencingstyle"/>
          <w:b w:val="0"/>
          <w:i w:val="0"/>
          <w:sz w:val="22"/>
        </w:rPr>
      </w:pPr>
      <w:r>
        <w:t>The amendments also provide</w:t>
      </w:r>
      <w:r w:rsidR="001949B6">
        <w:t xml:space="preserve"> a transitional rule to preserve the operation of any instrument made under the previous rules for appointing a person to act as the </w:t>
      </w:r>
      <w:r w:rsidR="001135E5">
        <w:t>S</w:t>
      </w:r>
      <w:r w:rsidR="001949B6">
        <w:t>tatistician.</w:t>
      </w:r>
      <w:r w:rsidR="00255B88">
        <w:t xml:space="preserve"> </w:t>
      </w:r>
      <w:r w:rsidR="0075724D">
        <w:t xml:space="preserve">Under this </w:t>
      </w:r>
      <w:r w:rsidR="00255B88">
        <w:t>transitional rule any such instrument continues in force, and may be dealt with, as if it had been made under the new rules provided by these amendments.</w:t>
      </w:r>
      <w:r w:rsidR="0075724D">
        <w:t xml:space="preserve"> </w:t>
      </w:r>
      <w:r w:rsidR="0075724D">
        <w:rPr>
          <w:rStyle w:val="Referencingstyle"/>
        </w:rPr>
        <w:t xml:space="preserve">[Schedule </w:t>
      </w:r>
      <w:r>
        <w:rPr>
          <w:rStyle w:val="Referencingstyle"/>
        </w:rPr>
        <w:t>1</w:t>
      </w:r>
      <w:r w:rsidR="0075724D">
        <w:rPr>
          <w:rStyle w:val="Referencingstyle"/>
        </w:rPr>
        <w:t>, i</w:t>
      </w:r>
      <w:r w:rsidR="00870336">
        <w:rPr>
          <w:rStyle w:val="Referencingstyle"/>
        </w:rPr>
        <w:t>tem </w:t>
      </w:r>
      <w:r>
        <w:rPr>
          <w:rStyle w:val="Referencingstyle"/>
        </w:rPr>
        <w:t>104</w:t>
      </w:r>
      <w:r w:rsidR="0075724D" w:rsidRPr="00375F1D">
        <w:rPr>
          <w:rStyle w:val="Referencingstyle"/>
        </w:rPr>
        <w:t>]</w:t>
      </w:r>
    </w:p>
    <w:p w14:paraId="704E7144" w14:textId="43BF8D24" w:rsidR="00DF631D" w:rsidRDefault="008414E0" w:rsidP="006E78AD">
      <w:pPr>
        <w:pStyle w:val="base-text-paragraph"/>
        <w:numPr>
          <w:ilvl w:val="1"/>
          <w:numId w:val="4"/>
        </w:numPr>
        <w:spacing w:before="0" w:after="160" w:line="259" w:lineRule="auto"/>
      </w:pPr>
      <w:r>
        <w:t>Allowing the instrument to be dealt with as though it had been made under the new rules provides the Minister with the authority to terminate</w:t>
      </w:r>
      <w:r w:rsidR="0075724D">
        <w:t xml:space="preserve"> any acting arrangements that were made under the previous rule at the same time that new acting arrangements are made under the new rules.</w:t>
      </w:r>
    </w:p>
    <w:p w14:paraId="150423FD" w14:textId="1DDF39D6" w:rsidR="001560DF" w:rsidRDefault="001560DF" w:rsidP="001560DF">
      <w:pPr>
        <w:pStyle w:val="Heading3"/>
      </w:pPr>
      <w:r>
        <w:t>Part 4</w:t>
      </w:r>
      <w:r>
        <w:rPr>
          <w:rFonts w:ascii="Calibri" w:hAnsi="Calibri"/>
        </w:rPr>
        <w:t>—</w:t>
      </w:r>
      <w:r>
        <w:t>Amendments commencing on 1 January 2019</w:t>
      </w:r>
    </w:p>
    <w:p w14:paraId="1D0DFA47" w14:textId="77777777" w:rsidR="0012552E" w:rsidRPr="00470F3C" w:rsidRDefault="0012552E" w:rsidP="0012552E">
      <w:pPr>
        <w:pStyle w:val="Heading4"/>
      </w:pPr>
      <w:r>
        <w:t>Transitional arrangements</w:t>
      </w:r>
      <w:r w:rsidRPr="00470F3C">
        <w:t xml:space="preserve"> for the professional standards reforms</w:t>
      </w:r>
    </w:p>
    <w:p w14:paraId="3C47424C" w14:textId="19C1A3B7" w:rsidR="0012552E" w:rsidRDefault="0012552E" w:rsidP="0012552E">
      <w:pPr>
        <w:pStyle w:val="base-text-paragraph"/>
        <w:numPr>
          <w:ilvl w:val="1"/>
          <w:numId w:val="4"/>
        </w:numPr>
      </w:pPr>
      <w:r>
        <w:t xml:space="preserve">Schedule 1 </w:t>
      </w:r>
      <w:r w:rsidR="00B02404">
        <w:t>to</w:t>
      </w:r>
      <w:r>
        <w:t xml:space="preserve"> the exposure draft Bill amends the application provisions for the reforms inserted by the </w:t>
      </w:r>
      <w:r>
        <w:rPr>
          <w:i/>
        </w:rPr>
        <w:t xml:space="preserve">Corporations Amendment (Professional Standards of Financial Advisers) Act 2017 </w:t>
      </w:r>
      <w:r>
        <w:t xml:space="preserve">(the Professional Standards Act). These reforms require certain financial advisers (‘relevant providers’) to comply with new education, training and professional standards. Special transitional arrangements apply to relevant providers who are licensed or authorised to provide advice on 1 January 2019 (‘existing providers’). </w:t>
      </w:r>
    </w:p>
    <w:p w14:paraId="14C7228C" w14:textId="27E3BEF7" w:rsidR="0012552E" w:rsidRDefault="0012552E" w:rsidP="0012552E">
      <w:pPr>
        <w:pStyle w:val="base-text-paragraph"/>
        <w:numPr>
          <w:ilvl w:val="1"/>
          <w:numId w:val="4"/>
        </w:numPr>
      </w:pPr>
      <w:r>
        <w:t xml:space="preserve">The exposure draft Bill corrects a section reference in the definition of ‘existing provider’ in section 1546A. The definition inserted by the Professional Standards Act excludes advisers who are banned, disqualified or suspended under Division 8 of Part 7.6 on 1 January 2019. However, Division 8 of Part 7.6 only covers </w:t>
      </w:r>
      <w:proofErr w:type="spellStart"/>
      <w:r>
        <w:t>bannings</w:t>
      </w:r>
      <w:proofErr w:type="spellEnd"/>
      <w:r>
        <w:t xml:space="preserve"> and disqualifications, not suspensions. Advisers are either suspended by ASIC under section 915C of Corporations Act or agree to serve a period of suspension in an enforceable undertaking under section 93AA of the </w:t>
      </w:r>
      <w:r>
        <w:rPr>
          <w:i/>
        </w:rPr>
        <w:t>Australian Securities and Investments Commission Act 2001</w:t>
      </w:r>
      <w:r>
        <w:t xml:space="preserve">. </w:t>
      </w:r>
      <w:r w:rsidRPr="0076136F">
        <w:rPr>
          <w:b/>
          <w:i/>
          <w:sz w:val="18"/>
        </w:rPr>
        <w:t xml:space="preserve">[Schedule 1, item </w:t>
      </w:r>
      <w:r>
        <w:rPr>
          <w:b/>
          <w:i/>
          <w:sz w:val="18"/>
        </w:rPr>
        <w:t xml:space="preserve">105, </w:t>
      </w:r>
      <w:r w:rsidRPr="0076136F">
        <w:rPr>
          <w:b/>
          <w:i/>
          <w:sz w:val="18"/>
        </w:rPr>
        <w:t xml:space="preserve"> </w:t>
      </w:r>
      <w:r>
        <w:rPr>
          <w:b/>
          <w:i/>
          <w:sz w:val="18"/>
        </w:rPr>
        <w:t>definition of ‘existing provider’ in section 1546A of the Corporations Act</w:t>
      </w:r>
      <w:r w:rsidRPr="0076136F">
        <w:rPr>
          <w:b/>
          <w:i/>
          <w:sz w:val="18"/>
        </w:rPr>
        <w:t>]</w:t>
      </w:r>
    </w:p>
    <w:p w14:paraId="36850C88" w14:textId="3E583FD8" w:rsidR="0012552E" w:rsidRPr="001D3F6A" w:rsidRDefault="0012552E" w:rsidP="0012552E">
      <w:pPr>
        <w:pStyle w:val="base-text-paragraph"/>
        <w:numPr>
          <w:ilvl w:val="1"/>
          <w:numId w:val="4"/>
        </w:numPr>
      </w:pPr>
      <w:r>
        <w:t xml:space="preserve">The exposure draft Bill amends the application provision in section 1546C of the Corporations Act to ensure that relevant providers </w:t>
      </w:r>
      <w:r>
        <w:lastRenderedPageBreak/>
        <w:t xml:space="preserve">must comply with the new education, training and professional standards if they are banned, or disqualified from providing advice (either in Australia or under the law of a foreign country) or their licence has been suspended. The Professional Standards Act erroneously omits these relevant providers from the application provision, thereby inadvertently exempting them from all of the new standards. </w:t>
      </w:r>
      <w:r w:rsidRPr="0076136F">
        <w:rPr>
          <w:b/>
          <w:i/>
          <w:sz w:val="18"/>
        </w:rPr>
        <w:t>[Schedule 1, item</w:t>
      </w:r>
      <w:r>
        <w:rPr>
          <w:b/>
          <w:i/>
          <w:sz w:val="18"/>
        </w:rPr>
        <w:t>s 106 and 107</w:t>
      </w:r>
      <w:r w:rsidRPr="0076136F">
        <w:rPr>
          <w:b/>
          <w:i/>
          <w:sz w:val="18"/>
        </w:rPr>
        <w:t xml:space="preserve">, </w:t>
      </w:r>
      <w:r>
        <w:rPr>
          <w:b/>
          <w:i/>
          <w:sz w:val="18"/>
        </w:rPr>
        <w:t>paragraphs 1546C(1)(a) and (b), and subsection 1546C(4A)  of the Corporations Act</w:t>
      </w:r>
      <w:r w:rsidRPr="0076136F">
        <w:rPr>
          <w:b/>
          <w:i/>
          <w:sz w:val="18"/>
        </w:rPr>
        <w:t>]</w:t>
      </w:r>
    </w:p>
    <w:p w14:paraId="293E95AC" w14:textId="4A9768CD" w:rsidR="0012552E" w:rsidRPr="001D3F6A" w:rsidRDefault="0012552E" w:rsidP="0012552E">
      <w:pPr>
        <w:pStyle w:val="base-text-paragraph"/>
        <w:numPr>
          <w:ilvl w:val="1"/>
          <w:numId w:val="4"/>
        </w:numPr>
      </w:pPr>
      <w:r>
        <w:t>ASIC is also given the power to unilaterally alter an enforceable undertaking which prohibits a financia</w:t>
      </w:r>
      <w:r w:rsidR="00A756E3">
        <w:t>l adviser from giving advice on </w:t>
      </w:r>
      <w:r>
        <w:t xml:space="preserve">1 January 2019 to require the person to comply with the new education and training standards. This approach gives ASIC the flexibility to ascertain whether it is appropriate for the financial adviser to comply with all of the education and training standards or only the streamlined requirements that apply to existing providers. </w:t>
      </w:r>
      <w:r w:rsidRPr="0076136F">
        <w:rPr>
          <w:b/>
          <w:i/>
          <w:sz w:val="18"/>
        </w:rPr>
        <w:t xml:space="preserve">[Schedule 1, item </w:t>
      </w:r>
      <w:r>
        <w:rPr>
          <w:b/>
          <w:i/>
          <w:sz w:val="18"/>
        </w:rPr>
        <w:t>107</w:t>
      </w:r>
      <w:r w:rsidRPr="0076136F">
        <w:rPr>
          <w:b/>
          <w:i/>
          <w:sz w:val="18"/>
        </w:rPr>
        <w:t xml:space="preserve">, </w:t>
      </w:r>
      <w:r>
        <w:rPr>
          <w:b/>
          <w:i/>
          <w:sz w:val="18"/>
        </w:rPr>
        <w:t>subsections 1546C(4B) and (4C) of the Corporations Act</w:t>
      </w:r>
      <w:r w:rsidRPr="0076136F">
        <w:rPr>
          <w:b/>
          <w:i/>
          <w:sz w:val="18"/>
        </w:rPr>
        <w:t>]</w:t>
      </w:r>
    </w:p>
    <w:p w14:paraId="585A5E44" w14:textId="6855FB9E" w:rsidR="001560DF" w:rsidRDefault="0012552E" w:rsidP="0012552E">
      <w:pPr>
        <w:pStyle w:val="base-text-paragraph"/>
        <w:numPr>
          <w:ilvl w:val="1"/>
          <w:numId w:val="4"/>
        </w:numPr>
        <w:spacing w:before="0" w:after="160" w:line="259" w:lineRule="auto"/>
      </w:pPr>
      <w:r>
        <w:t xml:space="preserve">Amendments are also made to the application provision for the requirement to notify ASIC when a financial adviser has completed their professional year. The application provision in paragraph 1546Z(1)(a) is amended so that it covers all advisers who are banned, disqualified, suspended or subject to an enforceable undertaking which prohibits them from providing advice (either in Australia or under the law of a foreign country). </w:t>
      </w:r>
      <w:r w:rsidRPr="0076136F">
        <w:rPr>
          <w:b/>
          <w:i/>
          <w:sz w:val="18"/>
        </w:rPr>
        <w:t xml:space="preserve">[Schedule 1, item </w:t>
      </w:r>
      <w:r>
        <w:rPr>
          <w:b/>
          <w:i/>
          <w:sz w:val="18"/>
        </w:rPr>
        <w:t>108</w:t>
      </w:r>
      <w:r w:rsidRPr="0076136F">
        <w:rPr>
          <w:b/>
          <w:i/>
          <w:sz w:val="18"/>
        </w:rPr>
        <w:t xml:space="preserve">, </w:t>
      </w:r>
      <w:r>
        <w:rPr>
          <w:b/>
          <w:i/>
          <w:sz w:val="18"/>
        </w:rPr>
        <w:t>paragraph 1546Z(1)(a) of the Corporations Act</w:t>
      </w:r>
      <w:r w:rsidRPr="0076136F">
        <w:rPr>
          <w:b/>
          <w:i/>
          <w:sz w:val="18"/>
        </w:rPr>
        <w:t>]</w:t>
      </w:r>
    </w:p>
    <w:sectPr w:rsidR="001560DF" w:rsidSect="00C743D3">
      <w:footerReference w:type="even" r:id="rId30"/>
      <w:footerReference w:type="default" r:id="rId31"/>
      <w:footerReference w:type="first" r:id="rId3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85A9B3" w14:textId="77777777" w:rsidR="00B02404" w:rsidRDefault="00B02404" w:rsidP="00E679CA">
      <w:pPr>
        <w:spacing w:before="0" w:after="0"/>
      </w:pPr>
      <w:r>
        <w:separator/>
      </w:r>
    </w:p>
  </w:endnote>
  <w:endnote w:type="continuationSeparator" w:id="0">
    <w:p w14:paraId="14D188A4" w14:textId="77777777" w:rsidR="00B02404" w:rsidRDefault="00B02404" w:rsidP="00E679CA">
      <w:pPr>
        <w:spacing w:before="0" w:after="0"/>
      </w:pPr>
      <w:r>
        <w:continuationSeparator/>
      </w:r>
    </w:p>
  </w:endnote>
  <w:endnote w:type="continuationNotice" w:id="1">
    <w:p w14:paraId="05511842" w14:textId="77777777" w:rsidR="00B02404" w:rsidRDefault="00B0240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BA562" w14:textId="77777777" w:rsidR="00B02404" w:rsidRDefault="00B02404" w:rsidP="00E85046">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9BE90" w14:textId="77777777" w:rsidR="00B02404" w:rsidRDefault="00B02404" w:rsidP="00E85046">
    <w:pPr>
      <w:pStyle w:val="rightfooter"/>
    </w:pPr>
    <w:r>
      <w:fldChar w:fldCharType="begin"/>
    </w:r>
    <w:r>
      <w:instrText xml:space="preserve"> PAGE   \* MERGEFORMAT </w:instrText>
    </w:r>
    <w:r>
      <w:fldChar w:fldCharType="separate"/>
    </w:r>
    <w:r w:rsidR="00161992">
      <w:rPr>
        <w:noProof/>
      </w:rPr>
      <w:t>15</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6F997" w14:textId="77777777" w:rsidR="00B02404" w:rsidRDefault="00B02404" w:rsidP="00E85046">
    <w:pPr>
      <w:pStyle w:val="rightfooter"/>
    </w:pPr>
    <w:r>
      <w:fldChar w:fldCharType="begin"/>
    </w:r>
    <w:r>
      <w:instrText xml:space="preserve"> PAGE  \* Arabic  \* MERGEFORMAT </w:instrText>
    </w:r>
    <w:r>
      <w:fldChar w:fldCharType="separate"/>
    </w:r>
    <w:r w:rsidR="00161992">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A2DAD" w14:textId="77777777" w:rsidR="00B02404" w:rsidRDefault="00B02404" w:rsidP="00E85046">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80951" w14:textId="77777777" w:rsidR="00B02404" w:rsidRDefault="00B02404" w:rsidP="00E85046">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EC888" w14:textId="77777777" w:rsidR="00B02404" w:rsidRDefault="00B02404" w:rsidP="00E85046">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0ACC0" w14:textId="77777777" w:rsidR="00B02404" w:rsidRPr="00B2068E" w:rsidRDefault="00B02404" w:rsidP="00E8504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6FEEE" w14:textId="77777777" w:rsidR="00B02404" w:rsidRDefault="00B02404" w:rsidP="00E85046">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E657A" w14:textId="77777777" w:rsidR="00B02404" w:rsidRDefault="00B02404" w:rsidP="00E85046">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9D8A8" w14:textId="77777777" w:rsidR="00B02404" w:rsidRDefault="00B02404" w:rsidP="00E85046">
    <w:pPr>
      <w:pStyle w:val="rightfooter"/>
    </w:pPr>
    <w:r>
      <w:fldChar w:fldCharType="begin"/>
    </w:r>
    <w:r>
      <w:instrText xml:space="preserve"> PAGE  \* Arabic  \* MERGEFORMAT </w:instrText>
    </w:r>
    <w:r>
      <w:fldChar w:fldCharType="separate"/>
    </w:r>
    <w:r w:rsidR="00161992">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21E73" w14:textId="77777777" w:rsidR="00B02404" w:rsidRDefault="00B02404" w:rsidP="00E85046">
    <w:pPr>
      <w:pStyle w:val="leftfooter"/>
    </w:pPr>
    <w:r>
      <w:fldChar w:fldCharType="begin"/>
    </w:r>
    <w:r>
      <w:instrText xml:space="preserve"> PAGE   \* MERGEFORMAT </w:instrText>
    </w:r>
    <w:r>
      <w:fldChar w:fldCharType="separate"/>
    </w:r>
    <w:r w:rsidR="00161992">
      <w:rPr>
        <w:noProof/>
      </w:rPr>
      <w:t>16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D47A49" w14:textId="77777777" w:rsidR="00B02404" w:rsidRDefault="00B02404" w:rsidP="00E679CA">
      <w:pPr>
        <w:spacing w:before="0" w:after="0"/>
      </w:pPr>
      <w:r>
        <w:separator/>
      </w:r>
    </w:p>
  </w:footnote>
  <w:footnote w:type="continuationSeparator" w:id="0">
    <w:p w14:paraId="0D0BA4D8" w14:textId="77777777" w:rsidR="00B02404" w:rsidRDefault="00B02404" w:rsidP="00E679CA">
      <w:pPr>
        <w:spacing w:before="0" w:after="0"/>
      </w:pPr>
      <w:r>
        <w:continuationSeparator/>
      </w:r>
    </w:p>
  </w:footnote>
  <w:footnote w:type="continuationNotice" w:id="1">
    <w:p w14:paraId="5B8D9AC2" w14:textId="77777777" w:rsidR="00B02404" w:rsidRDefault="00B02404">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631CF" w14:textId="77777777" w:rsidR="00B02404" w:rsidRDefault="00B02404" w:rsidP="00E85046">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DB01C" w14:textId="77777777" w:rsidR="00B02404" w:rsidRDefault="00B02404" w:rsidP="00E85046">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1FF96" w14:textId="3E0621E8" w:rsidR="00B02404" w:rsidRDefault="00B0240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ACD2C" w14:textId="77777777" w:rsidR="00B02404" w:rsidRDefault="00B02404" w:rsidP="00E85046">
    <w:pPr>
      <w:pStyle w:val="left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0B296" w14:textId="77777777" w:rsidR="00B02404" w:rsidRDefault="00B02404" w:rsidP="00E85046">
    <w:pPr>
      <w:pStyle w:val="right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C33DE" w14:textId="77777777" w:rsidR="00B02404" w:rsidRDefault="00B024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91A4A" w14:textId="77777777" w:rsidR="00B02404" w:rsidRPr="00422FA2" w:rsidRDefault="00161992" w:rsidP="00422FA2">
    <w:pPr>
      <w:pStyle w:val="leftheader"/>
    </w:pPr>
    <w:r>
      <w:fldChar w:fldCharType="begin"/>
    </w:r>
    <w:r>
      <w:instrText xml:space="preserve"> STYLEREF  "Bill Name"  \* MERGEFORMAT </w:instrText>
    </w:r>
    <w:r>
      <w:fldChar w:fldCharType="separate"/>
    </w:r>
    <w:r>
      <w:rPr>
        <w:noProof/>
      </w:rPr>
      <w:t>Treasury Laws Amendment (Measures for a later sitting) Bill 2018: Miscellaneous Amendments</w: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944F4" w14:textId="77777777" w:rsidR="00B02404" w:rsidRDefault="00161992" w:rsidP="00E85046">
    <w:pPr>
      <w:pStyle w:val="rightheader"/>
    </w:pPr>
    <w:r>
      <w:fldChar w:fldCharType="begin"/>
    </w:r>
    <w:r>
      <w:instrText xml:space="preserve"> STYLEREF  "ChapterNameOnly"  \* MERGEFORMAT </w:instrText>
    </w:r>
    <w:r>
      <w:fldChar w:fldCharType="separate"/>
    </w:r>
    <w:r>
      <w:rPr>
        <w:noProof/>
      </w:rPr>
      <w:t>Miscellaneous amendments</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65DF6494"/>
    <w:multiLevelType w:val="multilevel"/>
    <w:tmpl w:val="A316FE50"/>
    <w:numStyleLink w:val="ChapterList"/>
  </w:abstractNum>
  <w:abstractNum w:abstractNumId="18">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2"/>
  </w:num>
  <w:num w:numId="2">
    <w:abstractNumId w:val="18"/>
  </w:num>
  <w:num w:numId="3">
    <w:abstractNumId w:val="19"/>
  </w:num>
  <w:num w:numId="4">
    <w:abstractNumId w:val="17"/>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b w:val="0"/>
          <w:i w:val="0"/>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abstractNumId w:val="13"/>
  </w:num>
  <w:num w:numId="6">
    <w:abstractNumId w:val="14"/>
  </w:num>
  <w:num w:numId="7">
    <w:abstractNumId w:val="15"/>
  </w:num>
  <w:num w:numId="8">
    <w:abstractNumId w:val="15"/>
  </w:num>
  <w:num w:numId="9">
    <w:abstractNumId w:val="16"/>
  </w:num>
  <w:num w:numId="10">
    <w:abstractNumId w:val="16"/>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7"/>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3">
    <w:abstractNumId w:val="13"/>
  </w:num>
  <w:num w:numId="24">
    <w:abstractNumId w:val="17"/>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17"/>
    <w:lvlOverride w:ilvl="0">
      <w:startOverride w:val="1"/>
      <w:lvl w:ilvl="0">
        <w:start w:val="1"/>
        <w:numFmt w:val="decimal"/>
        <w:lvlText w:val="Chapter %1"/>
        <w:lvlJc w:val="left"/>
        <w:pPr>
          <w:tabs>
            <w:tab w:val="num" w:pos="1134"/>
          </w:tabs>
          <w:ind w:left="0" w:firstLine="0"/>
        </w:pPr>
        <w:rPr>
          <w:rFonts w:hint="default"/>
        </w:rPr>
      </w:lvl>
    </w:lvlOverride>
    <w:lvlOverride w:ilvl="1">
      <w:startOverride w:val="1"/>
      <w:lvl w:ilvl="1">
        <w:start w:val="1"/>
        <w:numFmt w:val="decimal"/>
        <w:lvlText w:val="%1.%2"/>
        <w:lvlJc w:val="left"/>
        <w:pPr>
          <w:tabs>
            <w:tab w:val="num" w:pos="1985"/>
          </w:tabs>
          <w:ind w:left="1134" w:firstLine="0"/>
        </w:pPr>
        <w:rPr>
          <w:rFonts w:hint="default"/>
        </w:rPr>
      </w:lvl>
    </w:lvlOverride>
    <w:lvlOverride w:ilvl="2">
      <w:startOverride w:val="1"/>
      <w:lvl w:ilvl="2">
        <w:start w:val="1"/>
        <w:numFmt w:val="decimal"/>
        <w:lvlRestart w:val="1"/>
        <w:suff w:val="nothing"/>
        <w:lvlText w:val="Diagram %1.%3"/>
        <w:lvlJc w:val="left"/>
        <w:pPr>
          <w:ind w:left="1134" w:firstLine="0"/>
        </w:pPr>
        <w:rPr>
          <w:rFonts w:hint="default"/>
        </w:rPr>
      </w:lvl>
    </w:lvlOverride>
    <w:lvlOverride w:ilvl="3">
      <w:startOverride w:val="1"/>
      <w:lvl w:ilvl="3">
        <w:start w:val="1"/>
        <w:numFmt w:val="decimal"/>
        <w:lvlRestart w:val="1"/>
        <w:suff w:val="nothing"/>
        <w:lvlText w:val="Example %1.%4"/>
        <w:lvlJc w:val="left"/>
        <w:pPr>
          <w:ind w:left="1134" w:firstLine="0"/>
        </w:pPr>
        <w:rPr>
          <w:rFonts w:hint="default"/>
        </w:rPr>
      </w:lvl>
    </w:lvlOverride>
    <w:lvlOverride w:ilvl="4">
      <w:startOverride w:val="1"/>
      <w:lvl w:ilvl="4">
        <w:start w:val="1"/>
        <w:numFmt w:val="decimal"/>
        <w:lvlRestart w:val="1"/>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6">
    <w:abstractNumId w:val="13"/>
  </w:num>
  <w:num w:numId="27">
    <w:abstractNumId w:val="13"/>
  </w:num>
  <w:num w:numId="28">
    <w:abstractNumId w:val="13"/>
  </w:num>
  <w:num w:numId="29">
    <w:abstractNumId w:val="13"/>
  </w:num>
  <w:num w:numId="30">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defaultTabStop w:val="720"/>
  <w:evenAndOddHeader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817"/>
    <w:rsid w:val="00003490"/>
    <w:rsid w:val="000167F1"/>
    <w:rsid w:val="0002054A"/>
    <w:rsid w:val="000260A2"/>
    <w:rsid w:val="00030A40"/>
    <w:rsid w:val="00031509"/>
    <w:rsid w:val="000334E5"/>
    <w:rsid w:val="000601D1"/>
    <w:rsid w:val="00061E80"/>
    <w:rsid w:val="00066C1B"/>
    <w:rsid w:val="00080D9E"/>
    <w:rsid w:val="00093336"/>
    <w:rsid w:val="000936B9"/>
    <w:rsid w:val="00095B00"/>
    <w:rsid w:val="000A319E"/>
    <w:rsid w:val="000B5B79"/>
    <w:rsid w:val="000C0E64"/>
    <w:rsid w:val="000C2A9D"/>
    <w:rsid w:val="000C44D7"/>
    <w:rsid w:val="000C4876"/>
    <w:rsid w:val="000C71F6"/>
    <w:rsid w:val="000D04A2"/>
    <w:rsid w:val="000D0817"/>
    <w:rsid w:val="000D2224"/>
    <w:rsid w:val="000E3AEC"/>
    <w:rsid w:val="000E4B50"/>
    <w:rsid w:val="000E5054"/>
    <w:rsid w:val="000F0481"/>
    <w:rsid w:val="000F3B92"/>
    <w:rsid w:val="00107A5E"/>
    <w:rsid w:val="001135E5"/>
    <w:rsid w:val="00123B9E"/>
    <w:rsid w:val="0012552E"/>
    <w:rsid w:val="00127BE8"/>
    <w:rsid w:val="001336CC"/>
    <w:rsid w:val="001560DF"/>
    <w:rsid w:val="00161992"/>
    <w:rsid w:val="00167A5A"/>
    <w:rsid w:val="001725B9"/>
    <w:rsid w:val="00172BC1"/>
    <w:rsid w:val="001753F4"/>
    <w:rsid w:val="00177332"/>
    <w:rsid w:val="00180140"/>
    <w:rsid w:val="00187582"/>
    <w:rsid w:val="001929F4"/>
    <w:rsid w:val="00194064"/>
    <w:rsid w:val="001949B6"/>
    <w:rsid w:val="001B1B89"/>
    <w:rsid w:val="001B32E6"/>
    <w:rsid w:val="001B40AA"/>
    <w:rsid w:val="001B5F65"/>
    <w:rsid w:val="001C0B13"/>
    <w:rsid w:val="001C1751"/>
    <w:rsid w:val="001C3F2E"/>
    <w:rsid w:val="001C51A6"/>
    <w:rsid w:val="001C698D"/>
    <w:rsid w:val="001D035A"/>
    <w:rsid w:val="001D3F6A"/>
    <w:rsid w:val="001F1569"/>
    <w:rsid w:val="001F43B6"/>
    <w:rsid w:val="00200A90"/>
    <w:rsid w:val="0020100F"/>
    <w:rsid w:val="00217265"/>
    <w:rsid w:val="00220BF2"/>
    <w:rsid w:val="00227B3D"/>
    <w:rsid w:val="00230AD1"/>
    <w:rsid w:val="00230F64"/>
    <w:rsid w:val="002454BA"/>
    <w:rsid w:val="00251C1E"/>
    <w:rsid w:val="00255B88"/>
    <w:rsid w:val="002561F8"/>
    <w:rsid w:val="002664E0"/>
    <w:rsid w:val="00274F5E"/>
    <w:rsid w:val="0028232D"/>
    <w:rsid w:val="00283FCF"/>
    <w:rsid w:val="0028500F"/>
    <w:rsid w:val="00295ABD"/>
    <w:rsid w:val="002B0D7D"/>
    <w:rsid w:val="002C1BA3"/>
    <w:rsid w:val="002C1DC9"/>
    <w:rsid w:val="002D0B7C"/>
    <w:rsid w:val="002D3ED7"/>
    <w:rsid w:val="002D6172"/>
    <w:rsid w:val="002E0D9D"/>
    <w:rsid w:val="002E612F"/>
    <w:rsid w:val="002F0D2B"/>
    <w:rsid w:val="002F32DC"/>
    <w:rsid w:val="002F3A29"/>
    <w:rsid w:val="002F5853"/>
    <w:rsid w:val="00301527"/>
    <w:rsid w:val="00304A8D"/>
    <w:rsid w:val="003050B1"/>
    <w:rsid w:val="00307165"/>
    <w:rsid w:val="00311E81"/>
    <w:rsid w:val="00314F9C"/>
    <w:rsid w:val="003160EC"/>
    <w:rsid w:val="003175C6"/>
    <w:rsid w:val="00322683"/>
    <w:rsid w:val="00336EC5"/>
    <w:rsid w:val="00345814"/>
    <w:rsid w:val="003460C8"/>
    <w:rsid w:val="00355364"/>
    <w:rsid w:val="00357087"/>
    <w:rsid w:val="00366827"/>
    <w:rsid w:val="003702E9"/>
    <w:rsid w:val="00370FE1"/>
    <w:rsid w:val="0037252B"/>
    <w:rsid w:val="00375F1D"/>
    <w:rsid w:val="00395466"/>
    <w:rsid w:val="00396BA9"/>
    <w:rsid w:val="003A1129"/>
    <w:rsid w:val="003A657F"/>
    <w:rsid w:val="003B3581"/>
    <w:rsid w:val="003B6B47"/>
    <w:rsid w:val="003B77F0"/>
    <w:rsid w:val="003C6C20"/>
    <w:rsid w:val="003D0815"/>
    <w:rsid w:val="003D1CB5"/>
    <w:rsid w:val="003D4F69"/>
    <w:rsid w:val="003E04F2"/>
    <w:rsid w:val="003E3661"/>
    <w:rsid w:val="003E5AB0"/>
    <w:rsid w:val="003E6CF4"/>
    <w:rsid w:val="003E7AB0"/>
    <w:rsid w:val="00405C1F"/>
    <w:rsid w:val="00413E96"/>
    <w:rsid w:val="00422FA2"/>
    <w:rsid w:val="0043563B"/>
    <w:rsid w:val="00435F1B"/>
    <w:rsid w:val="00436C10"/>
    <w:rsid w:val="004405D6"/>
    <w:rsid w:val="004412F4"/>
    <w:rsid w:val="0044175D"/>
    <w:rsid w:val="00443245"/>
    <w:rsid w:val="004445DF"/>
    <w:rsid w:val="00446F20"/>
    <w:rsid w:val="00451A48"/>
    <w:rsid w:val="004561BD"/>
    <w:rsid w:val="00465117"/>
    <w:rsid w:val="00466999"/>
    <w:rsid w:val="00470F3C"/>
    <w:rsid w:val="00477248"/>
    <w:rsid w:val="0048074F"/>
    <w:rsid w:val="004862F5"/>
    <w:rsid w:val="004A09DB"/>
    <w:rsid w:val="004A4002"/>
    <w:rsid w:val="004B6A79"/>
    <w:rsid w:val="004C4D03"/>
    <w:rsid w:val="004F0753"/>
    <w:rsid w:val="004F3C00"/>
    <w:rsid w:val="004F7036"/>
    <w:rsid w:val="005035AB"/>
    <w:rsid w:val="00511D80"/>
    <w:rsid w:val="005146F1"/>
    <w:rsid w:val="00516C15"/>
    <w:rsid w:val="005178A3"/>
    <w:rsid w:val="0052602D"/>
    <w:rsid w:val="00530A94"/>
    <w:rsid w:val="00531AED"/>
    <w:rsid w:val="00535F17"/>
    <w:rsid w:val="0055086F"/>
    <w:rsid w:val="00551665"/>
    <w:rsid w:val="00552AD2"/>
    <w:rsid w:val="00555E97"/>
    <w:rsid w:val="0055606C"/>
    <w:rsid w:val="00564A61"/>
    <w:rsid w:val="00567602"/>
    <w:rsid w:val="00574CA0"/>
    <w:rsid w:val="005973D3"/>
    <w:rsid w:val="005A432F"/>
    <w:rsid w:val="005A496E"/>
    <w:rsid w:val="005A7A0A"/>
    <w:rsid w:val="005C1ABB"/>
    <w:rsid w:val="005C1C73"/>
    <w:rsid w:val="005C3473"/>
    <w:rsid w:val="005C3800"/>
    <w:rsid w:val="005C3BAB"/>
    <w:rsid w:val="005C54FC"/>
    <w:rsid w:val="005D16BB"/>
    <w:rsid w:val="005D289F"/>
    <w:rsid w:val="005D610D"/>
    <w:rsid w:val="005D7380"/>
    <w:rsid w:val="005D77A6"/>
    <w:rsid w:val="005E100E"/>
    <w:rsid w:val="005E3647"/>
    <w:rsid w:val="005E63C9"/>
    <w:rsid w:val="005F7D60"/>
    <w:rsid w:val="00602020"/>
    <w:rsid w:val="006168B0"/>
    <w:rsid w:val="00617CD2"/>
    <w:rsid w:val="00630E03"/>
    <w:rsid w:val="0063127E"/>
    <w:rsid w:val="00633A03"/>
    <w:rsid w:val="00634792"/>
    <w:rsid w:val="00640C5B"/>
    <w:rsid w:val="00645E31"/>
    <w:rsid w:val="00647E94"/>
    <w:rsid w:val="00650F84"/>
    <w:rsid w:val="00661322"/>
    <w:rsid w:val="00661C9A"/>
    <w:rsid w:val="00665F05"/>
    <w:rsid w:val="0066679E"/>
    <w:rsid w:val="00670A85"/>
    <w:rsid w:val="00671491"/>
    <w:rsid w:val="0067289F"/>
    <w:rsid w:val="00687CB2"/>
    <w:rsid w:val="00696C50"/>
    <w:rsid w:val="006A05D6"/>
    <w:rsid w:val="006A6072"/>
    <w:rsid w:val="006A72CB"/>
    <w:rsid w:val="006C3B3D"/>
    <w:rsid w:val="006C6A07"/>
    <w:rsid w:val="006C7FF0"/>
    <w:rsid w:val="006E78AD"/>
    <w:rsid w:val="006F067E"/>
    <w:rsid w:val="006F233D"/>
    <w:rsid w:val="006F318E"/>
    <w:rsid w:val="006F5EF4"/>
    <w:rsid w:val="00705CCC"/>
    <w:rsid w:val="00706CE0"/>
    <w:rsid w:val="007070BD"/>
    <w:rsid w:val="0071004D"/>
    <w:rsid w:val="00720B43"/>
    <w:rsid w:val="00734F84"/>
    <w:rsid w:val="00735193"/>
    <w:rsid w:val="00736B12"/>
    <w:rsid w:val="007432F2"/>
    <w:rsid w:val="00747A03"/>
    <w:rsid w:val="00753005"/>
    <w:rsid w:val="0075724D"/>
    <w:rsid w:val="0076136F"/>
    <w:rsid w:val="00773B68"/>
    <w:rsid w:val="00780C9D"/>
    <w:rsid w:val="007821AE"/>
    <w:rsid w:val="0078289A"/>
    <w:rsid w:val="007842D7"/>
    <w:rsid w:val="007932A9"/>
    <w:rsid w:val="0079357C"/>
    <w:rsid w:val="00795A45"/>
    <w:rsid w:val="00797778"/>
    <w:rsid w:val="007A07DE"/>
    <w:rsid w:val="007A318A"/>
    <w:rsid w:val="007A4EE4"/>
    <w:rsid w:val="007A5A6B"/>
    <w:rsid w:val="007A6792"/>
    <w:rsid w:val="007B04BF"/>
    <w:rsid w:val="007B62BA"/>
    <w:rsid w:val="007C2588"/>
    <w:rsid w:val="007C2B20"/>
    <w:rsid w:val="007C4659"/>
    <w:rsid w:val="007C681E"/>
    <w:rsid w:val="007D02CA"/>
    <w:rsid w:val="007D049E"/>
    <w:rsid w:val="007D0B57"/>
    <w:rsid w:val="007D0B6F"/>
    <w:rsid w:val="007D1506"/>
    <w:rsid w:val="007D29FA"/>
    <w:rsid w:val="007D3577"/>
    <w:rsid w:val="007E5523"/>
    <w:rsid w:val="007F43AE"/>
    <w:rsid w:val="007F4C69"/>
    <w:rsid w:val="007F603F"/>
    <w:rsid w:val="00803DE4"/>
    <w:rsid w:val="00806263"/>
    <w:rsid w:val="00806FB2"/>
    <w:rsid w:val="00813A51"/>
    <w:rsid w:val="008168E9"/>
    <w:rsid w:val="0082515E"/>
    <w:rsid w:val="00831F98"/>
    <w:rsid w:val="00840701"/>
    <w:rsid w:val="008414E0"/>
    <w:rsid w:val="00851376"/>
    <w:rsid w:val="0085674F"/>
    <w:rsid w:val="008610A5"/>
    <w:rsid w:val="00863591"/>
    <w:rsid w:val="00870336"/>
    <w:rsid w:val="008719D4"/>
    <w:rsid w:val="00873798"/>
    <w:rsid w:val="00875D33"/>
    <w:rsid w:val="008769D3"/>
    <w:rsid w:val="00881218"/>
    <w:rsid w:val="00886190"/>
    <w:rsid w:val="00890B47"/>
    <w:rsid w:val="008A3668"/>
    <w:rsid w:val="008C0DFD"/>
    <w:rsid w:val="008C18D1"/>
    <w:rsid w:val="008C1C57"/>
    <w:rsid w:val="008C7572"/>
    <w:rsid w:val="008D0A8B"/>
    <w:rsid w:val="008D4F94"/>
    <w:rsid w:val="008D7418"/>
    <w:rsid w:val="008D78FA"/>
    <w:rsid w:val="008E6E38"/>
    <w:rsid w:val="008E79E7"/>
    <w:rsid w:val="009031A2"/>
    <w:rsid w:val="0090407D"/>
    <w:rsid w:val="00905159"/>
    <w:rsid w:val="00910242"/>
    <w:rsid w:val="009105DA"/>
    <w:rsid w:val="00912F7C"/>
    <w:rsid w:val="009252C0"/>
    <w:rsid w:val="00930EDF"/>
    <w:rsid w:val="009317C5"/>
    <w:rsid w:val="0093363A"/>
    <w:rsid w:val="009431E1"/>
    <w:rsid w:val="00943331"/>
    <w:rsid w:val="009444B3"/>
    <w:rsid w:val="0094451A"/>
    <w:rsid w:val="00946B26"/>
    <w:rsid w:val="009770C9"/>
    <w:rsid w:val="0098134F"/>
    <w:rsid w:val="009846E5"/>
    <w:rsid w:val="0098788A"/>
    <w:rsid w:val="00987891"/>
    <w:rsid w:val="00993C01"/>
    <w:rsid w:val="009B2A78"/>
    <w:rsid w:val="009B5E73"/>
    <w:rsid w:val="009B6028"/>
    <w:rsid w:val="009C2FC2"/>
    <w:rsid w:val="009C7487"/>
    <w:rsid w:val="009D79CA"/>
    <w:rsid w:val="009D7ECD"/>
    <w:rsid w:val="009E323B"/>
    <w:rsid w:val="009F3AE1"/>
    <w:rsid w:val="009F6575"/>
    <w:rsid w:val="009F784D"/>
    <w:rsid w:val="00A00CDC"/>
    <w:rsid w:val="00A019F6"/>
    <w:rsid w:val="00A06481"/>
    <w:rsid w:val="00A0653F"/>
    <w:rsid w:val="00A1134C"/>
    <w:rsid w:val="00A1586A"/>
    <w:rsid w:val="00A17F13"/>
    <w:rsid w:val="00A20C8F"/>
    <w:rsid w:val="00A2308B"/>
    <w:rsid w:val="00A23D17"/>
    <w:rsid w:val="00A25ACC"/>
    <w:rsid w:val="00A32E2D"/>
    <w:rsid w:val="00A33DA5"/>
    <w:rsid w:val="00A34569"/>
    <w:rsid w:val="00A41EDC"/>
    <w:rsid w:val="00A44BB6"/>
    <w:rsid w:val="00A56E70"/>
    <w:rsid w:val="00A756E3"/>
    <w:rsid w:val="00A75FAC"/>
    <w:rsid w:val="00A857B3"/>
    <w:rsid w:val="00A876D6"/>
    <w:rsid w:val="00A93477"/>
    <w:rsid w:val="00AA4712"/>
    <w:rsid w:val="00AA6301"/>
    <w:rsid w:val="00AA6F43"/>
    <w:rsid w:val="00AB5E9E"/>
    <w:rsid w:val="00AC4DC3"/>
    <w:rsid w:val="00AC5E38"/>
    <w:rsid w:val="00AD4A0B"/>
    <w:rsid w:val="00AD5B62"/>
    <w:rsid w:val="00AD5F50"/>
    <w:rsid w:val="00AF6C55"/>
    <w:rsid w:val="00B01F59"/>
    <w:rsid w:val="00B02404"/>
    <w:rsid w:val="00B02A0C"/>
    <w:rsid w:val="00B02E99"/>
    <w:rsid w:val="00B040B3"/>
    <w:rsid w:val="00B0759C"/>
    <w:rsid w:val="00B138C9"/>
    <w:rsid w:val="00B13B30"/>
    <w:rsid w:val="00B151C7"/>
    <w:rsid w:val="00B17774"/>
    <w:rsid w:val="00B26B41"/>
    <w:rsid w:val="00B32B55"/>
    <w:rsid w:val="00B60396"/>
    <w:rsid w:val="00B83224"/>
    <w:rsid w:val="00B85309"/>
    <w:rsid w:val="00BB72FC"/>
    <w:rsid w:val="00BC3D52"/>
    <w:rsid w:val="00BC6AF8"/>
    <w:rsid w:val="00BC7A45"/>
    <w:rsid w:val="00BE27C2"/>
    <w:rsid w:val="00BE3D5C"/>
    <w:rsid w:val="00BF4244"/>
    <w:rsid w:val="00BF6A40"/>
    <w:rsid w:val="00BF6BD7"/>
    <w:rsid w:val="00C0075F"/>
    <w:rsid w:val="00C02788"/>
    <w:rsid w:val="00C034BA"/>
    <w:rsid w:val="00C0351B"/>
    <w:rsid w:val="00C0427C"/>
    <w:rsid w:val="00C06A8E"/>
    <w:rsid w:val="00C06B38"/>
    <w:rsid w:val="00C07AEC"/>
    <w:rsid w:val="00C20079"/>
    <w:rsid w:val="00C36EDE"/>
    <w:rsid w:val="00C50210"/>
    <w:rsid w:val="00C5386D"/>
    <w:rsid w:val="00C5436A"/>
    <w:rsid w:val="00C7297B"/>
    <w:rsid w:val="00C743D3"/>
    <w:rsid w:val="00C77D20"/>
    <w:rsid w:val="00C83EC4"/>
    <w:rsid w:val="00C85F62"/>
    <w:rsid w:val="00C871C5"/>
    <w:rsid w:val="00C87FF0"/>
    <w:rsid w:val="00C95681"/>
    <w:rsid w:val="00CA69FE"/>
    <w:rsid w:val="00CA70C4"/>
    <w:rsid w:val="00CA7164"/>
    <w:rsid w:val="00CB3553"/>
    <w:rsid w:val="00CB45A4"/>
    <w:rsid w:val="00CB4AAC"/>
    <w:rsid w:val="00CD1112"/>
    <w:rsid w:val="00CE3E05"/>
    <w:rsid w:val="00CF0D3F"/>
    <w:rsid w:val="00CF510C"/>
    <w:rsid w:val="00D03C3B"/>
    <w:rsid w:val="00D2037A"/>
    <w:rsid w:val="00D36C66"/>
    <w:rsid w:val="00D46961"/>
    <w:rsid w:val="00D63EAB"/>
    <w:rsid w:val="00D65AD0"/>
    <w:rsid w:val="00D669A4"/>
    <w:rsid w:val="00D74B59"/>
    <w:rsid w:val="00D83206"/>
    <w:rsid w:val="00D8665B"/>
    <w:rsid w:val="00D92923"/>
    <w:rsid w:val="00DA2B01"/>
    <w:rsid w:val="00DA4544"/>
    <w:rsid w:val="00DA5227"/>
    <w:rsid w:val="00DA7FC1"/>
    <w:rsid w:val="00DB3643"/>
    <w:rsid w:val="00DB792D"/>
    <w:rsid w:val="00DE55C2"/>
    <w:rsid w:val="00DF631D"/>
    <w:rsid w:val="00E03BA4"/>
    <w:rsid w:val="00E13EBE"/>
    <w:rsid w:val="00E154B5"/>
    <w:rsid w:val="00E248DC"/>
    <w:rsid w:val="00E25784"/>
    <w:rsid w:val="00E265A1"/>
    <w:rsid w:val="00E27D88"/>
    <w:rsid w:val="00E36FD3"/>
    <w:rsid w:val="00E4197A"/>
    <w:rsid w:val="00E42249"/>
    <w:rsid w:val="00E5385B"/>
    <w:rsid w:val="00E56A6F"/>
    <w:rsid w:val="00E62F42"/>
    <w:rsid w:val="00E679CA"/>
    <w:rsid w:val="00E726A7"/>
    <w:rsid w:val="00E74E50"/>
    <w:rsid w:val="00E76203"/>
    <w:rsid w:val="00E8386B"/>
    <w:rsid w:val="00E85046"/>
    <w:rsid w:val="00E8540D"/>
    <w:rsid w:val="00EA037C"/>
    <w:rsid w:val="00EA0FCC"/>
    <w:rsid w:val="00EA5BB7"/>
    <w:rsid w:val="00EC0F5E"/>
    <w:rsid w:val="00EE02A2"/>
    <w:rsid w:val="00F36F9B"/>
    <w:rsid w:val="00F40776"/>
    <w:rsid w:val="00F40ECF"/>
    <w:rsid w:val="00F46D06"/>
    <w:rsid w:val="00F51071"/>
    <w:rsid w:val="00F60F68"/>
    <w:rsid w:val="00F625E9"/>
    <w:rsid w:val="00F6303C"/>
    <w:rsid w:val="00F632F8"/>
    <w:rsid w:val="00F63AFD"/>
    <w:rsid w:val="00F660CA"/>
    <w:rsid w:val="00F7002A"/>
    <w:rsid w:val="00F725F4"/>
    <w:rsid w:val="00F80097"/>
    <w:rsid w:val="00F83B70"/>
    <w:rsid w:val="00F86F3E"/>
    <w:rsid w:val="00F91B31"/>
    <w:rsid w:val="00F93169"/>
    <w:rsid w:val="00F9382B"/>
    <w:rsid w:val="00F9678D"/>
    <w:rsid w:val="00FA7BF3"/>
    <w:rsid w:val="00FB0F14"/>
    <w:rsid w:val="00FC7398"/>
    <w:rsid w:val="00FD6462"/>
    <w:rsid w:val="00FE6108"/>
    <w:rsid w:val="00FE74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77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5"/>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5"/>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5"/>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5"/>
      </w:numPr>
      <w:spacing w:before="0" w:after="0"/>
    </w:pPr>
    <w:rPr>
      <w:b/>
    </w:rPr>
  </w:style>
  <w:style w:type="paragraph" w:customStyle="1" w:styleId="dotpoint">
    <w:name w:val="dot point"/>
    <w:basedOn w:val="Normal"/>
    <w:rsid w:val="00E56A6F"/>
    <w:pPr>
      <w:numPr>
        <w:numId w:val="6"/>
      </w:numPr>
    </w:pPr>
  </w:style>
  <w:style w:type="paragraph" w:customStyle="1" w:styleId="dotpoint2">
    <w:name w:val="dot point 2"/>
    <w:basedOn w:val="Normal"/>
    <w:rsid w:val="00E56A6F"/>
    <w:pPr>
      <w:numPr>
        <w:ilvl w:val="1"/>
        <w:numId w:val="8"/>
      </w:numPr>
    </w:pPr>
  </w:style>
  <w:style w:type="numbering" w:customStyle="1" w:styleId="DotPointList">
    <w:name w:val="Dot Point List"/>
    <w:uiPriority w:val="99"/>
    <w:rsid w:val="00E56A6F"/>
    <w:pPr>
      <w:numPr>
        <w:numId w:val="7"/>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0"/>
      </w:numPr>
      <w:spacing w:before="200" w:after="200"/>
      <w:ind w:left="2269" w:hanging="284"/>
    </w:pPr>
  </w:style>
  <w:style w:type="paragraph" w:customStyle="1" w:styleId="exampledotpoint2">
    <w:name w:val="example dot point 2"/>
    <w:basedOn w:val="exampletext"/>
    <w:rsid w:val="006A05D6"/>
    <w:pPr>
      <w:numPr>
        <w:ilvl w:val="1"/>
        <w:numId w:val="10"/>
      </w:numPr>
      <w:spacing w:before="200" w:after="200"/>
    </w:pPr>
  </w:style>
  <w:style w:type="numbering" w:customStyle="1" w:styleId="ExampleDotPointList">
    <w:name w:val="Example Dot Point List"/>
    <w:uiPriority w:val="99"/>
    <w:rsid w:val="00E56A6F"/>
    <w:pPr>
      <w:numPr>
        <w:numId w:val="9"/>
      </w:numPr>
    </w:pPr>
  </w:style>
  <w:style w:type="paragraph" w:customStyle="1" w:styleId="ExampleHeading">
    <w:name w:val="Example Heading"/>
    <w:basedOn w:val="Normal"/>
    <w:next w:val="exampletext"/>
    <w:rsid w:val="00E56A6F"/>
    <w:pPr>
      <w:keepNext/>
      <w:numPr>
        <w:ilvl w:val="3"/>
        <w:numId w:val="5"/>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1"/>
      </w:numPr>
    </w:pPr>
  </w:style>
  <w:style w:type="paragraph" w:styleId="ListBullet2">
    <w:name w:val="List Bullet 2"/>
    <w:basedOn w:val="Normal"/>
    <w:semiHidden/>
    <w:rsid w:val="00E56A6F"/>
    <w:pPr>
      <w:numPr>
        <w:numId w:val="12"/>
      </w:numPr>
    </w:pPr>
  </w:style>
  <w:style w:type="paragraph" w:styleId="ListBullet3">
    <w:name w:val="List Bullet 3"/>
    <w:basedOn w:val="Normal"/>
    <w:semiHidden/>
    <w:rsid w:val="00E56A6F"/>
    <w:pPr>
      <w:numPr>
        <w:numId w:val="13"/>
      </w:numPr>
    </w:pPr>
  </w:style>
  <w:style w:type="paragraph" w:styleId="ListBullet4">
    <w:name w:val="List Bullet 4"/>
    <w:basedOn w:val="Normal"/>
    <w:semiHidden/>
    <w:rsid w:val="00E56A6F"/>
    <w:pPr>
      <w:numPr>
        <w:numId w:val="14"/>
      </w:numPr>
    </w:pPr>
  </w:style>
  <w:style w:type="paragraph" w:styleId="ListBullet5">
    <w:name w:val="List Bullet 5"/>
    <w:basedOn w:val="Normal"/>
    <w:semiHidden/>
    <w:rsid w:val="00E56A6F"/>
    <w:pPr>
      <w:numPr>
        <w:numId w:val="15"/>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6"/>
      </w:numPr>
    </w:pPr>
  </w:style>
  <w:style w:type="paragraph" w:styleId="ListNumber2">
    <w:name w:val="List Number 2"/>
    <w:basedOn w:val="Normal"/>
    <w:semiHidden/>
    <w:rsid w:val="00E56A6F"/>
    <w:pPr>
      <w:numPr>
        <w:numId w:val="17"/>
      </w:numPr>
    </w:pPr>
  </w:style>
  <w:style w:type="paragraph" w:styleId="ListNumber3">
    <w:name w:val="List Number 3"/>
    <w:basedOn w:val="Normal"/>
    <w:semiHidden/>
    <w:rsid w:val="00E56A6F"/>
    <w:pPr>
      <w:numPr>
        <w:numId w:val="18"/>
      </w:numPr>
    </w:pPr>
  </w:style>
  <w:style w:type="paragraph" w:styleId="ListNumber4">
    <w:name w:val="List Number 4"/>
    <w:basedOn w:val="Normal"/>
    <w:semiHidden/>
    <w:rsid w:val="00E56A6F"/>
    <w:pPr>
      <w:numPr>
        <w:numId w:val="19"/>
      </w:numPr>
    </w:pPr>
  </w:style>
  <w:style w:type="paragraph" w:styleId="ListNumber5">
    <w:name w:val="List Number 5"/>
    <w:basedOn w:val="Normal"/>
    <w:semiHidden/>
    <w:rsid w:val="00E56A6F"/>
    <w:pPr>
      <w:numPr>
        <w:numId w:val="20"/>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1"/>
      </w:numPr>
    </w:pPr>
  </w:style>
  <w:style w:type="paragraph" w:customStyle="1" w:styleId="tabledotpoint2">
    <w:name w:val="table dot point 2"/>
    <w:basedOn w:val="tabletext"/>
    <w:rsid w:val="00E56A6F"/>
    <w:pPr>
      <w:numPr>
        <w:ilvl w:val="1"/>
        <w:numId w:val="21"/>
      </w:numPr>
    </w:pPr>
  </w:style>
  <w:style w:type="numbering" w:customStyle="1" w:styleId="TableDotPointList">
    <w:name w:val="Table Dot Point List"/>
    <w:uiPriority w:val="99"/>
    <w:rsid w:val="00E56A6F"/>
    <w:pPr>
      <w:numPr>
        <w:numId w:val="21"/>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5"/>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uiPriority w:val="99"/>
    <w:semiHidden/>
    <w:unhideWhenUsed/>
    <w:rsid w:val="00B0759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59C"/>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7D1506"/>
    <w:rPr>
      <w:sz w:val="16"/>
      <w:szCs w:val="16"/>
    </w:rPr>
  </w:style>
  <w:style w:type="paragraph" w:styleId="CommentText">
    <w:name w:val="annotation text"/>
    <w:basedOn w:val="Normal"/>
    <w:link w:val="CommentTextChar"/>
    <w:uiPriority w:val="99"/>
    <w:semiHidden/>
    <w:unhideWhenUsed/>
    <w:rsid w:val="007D1506"/>
    <w:rPr>
      <w:sz w:val="20"/>
    </w:rPr>
  </w:style>
  <w:style w:type="character" w:customStyle="1" w:styleId="CommentTextChar">
    <w:name w:val="Comment Text Char"/>
    <w:basedOn w:val="DefaultParagraphFont"/>
    <w:link w:val="CommentText"/>
    <w:uiPriority w:val="99"/>
    <w:semiHidden/>
    <w:rsid w:val="007D1506"/>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D1506"/>
    <w:rPr>
      <w:b/>
      <w:bCs/>
    </w:rPr>
  </w:style>
  <w:style w:type="character" w:customStyle="1" w:styleId="CommentSubjectChar">
    <w:name w:val="Comment Subject Char"/>
    <w:basedOn w:val="CommentTextChar"/>
    <w:link w:val="CommentSubject"/>
    <w:uiPriority w:val="99"/>
    <w:semiHidden/>
    <w:rsid w:val="007D1506"/>
    <w:rPr>
      <w:rFonts w:ascii="Times New Roman" w:eastAsia="Times New Roman" w:hAnsi="Times New Roman" w:cs="Times New Roman"/>
      <w:b/>
      <w:bCs/>
      <w:sz w:val="20"/>
      <w:szCs w:val="20"/>
      <w:lang w:eastAsia="en-AU"/>
    </w:rPr>
  </w:style>
  <w:style w:type="numbering" w:customStyle="1" w:styleId="ChapterList1">
    <w:name w:val="ChapterList1"/>
    <w:uiPriority w:val="99"/>
    <w:rsid w:val="00E762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5"/>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5"/>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5"/>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5"/>
      </w:numPr>
      <w:spacing w:before="0" w:after="0"/>
    </w:pPr>
    <w:rPr>
      <w:b/>
    </w:rPr>
  </w:style>
  <w:style w:type="paragraph" w:customStyle="1" w:styleId="dotpoint">
    <w:name w:val="dot point"/>
    <w:basedOn w:val="Normal"/>
    <w:rsid w:val="00E56A6F"/>
    <w:pPr>
      <w:numPr>
        <w:numId w:val="6"/>
      </w:numPr>
    </w:pPr>
  </w:style>
  <w:style w:type="paragraph" w:customStyle="1" w:styleId="dotpoint2">
    <w:name w:val="dot point 2"/>
    <w:basedOn w:val="Normal"/>
    <w:rsid w:val="00E56A6F"/>
    <w:pPr>
      <w:numPr>
        <w:ilvl w:val="1"/>
        <w:numId w:val="8"/>
      </w:numPr>
    </w:pPr>
  </w:style>
  <w:style w:type="numbering" w:customStyle="1" w:styleId="DotPointList">
    <w:name w:val="Dot Point List"/>
    <w:uiPriority w:val="99"/>
    <w:rsid w:val="00E56A6F"/>
    <w:pPr>
      <w:numPr>
        <w:numId w:val="7"/>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0"/>
      </w:numPr>
      <w:spacing w:before="200" w:after="200"/>
      <w:ind w:left="2269" w:hanging="284"/>
    </w:pPr>
  </w:style>
  <w:style w:type="paragraph" w:customStyle="1" w:styleId="exampledotpoint2">
    <w:name w:val="example dot point 2"/>
    <w:basedOn w:val="exampletext"/>
    <w:rsid w:val="006A05D6"/>
    <w:pPr>
      <w:numPr>
        <w:ilvl w:val="1"/>
        <w:numId w:val="10"/>
      </w:numPr>
      <w:spacing w:before="200" w:after="200"/>
    </w:pPr>
  </w:style>
  <w:style w:type="numbering" w:customStyle="1" w:styleId="ExampleDotPointList">
    <w:name w:val="Example Dot Point List"/>
    <w:uiPriority w:val="99"/>
    <w:rsid w:val="00E56A6F"/>
    <w:pPr>
      <w:numPr>
        <w:numId w:val="9"/>
      </w:numPr>
    </w:pPr>
  </w:style>
  <w:style w:type="paragraph" w:customStyle="1" w:styleId="ExampleHeading">
    <w:name w:val="Example Heading"/>
    <w:basedOn w:val="Normal"/>
    <w:next w:val="exampletext"/>
    <w:rsid w:val="00E56A6F"/>
    <w:pPr>
      <w:keepNext/>
      <w:numPr>
        <w:ilvl w:val="3"/>
        <w:numId w:val="5"/>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1"/>
      </w:numPr>
    </w:pPr>
  </w:style>
  <w:style w:type="paragraph" w:styleId="ListBullet2">
    <w:name w:val="List Bullet 2"/>
    <w:basedOn w:val="Normal"/>
    <w:semiHidden/>
    <w:rsid w:val="00E56A6F"/>
    <w:pPr>
      <w:numPr>
        <w:numId w:val="12"/>
      </w:numPr>
    </w:pPr>
  </w:style>
  <w:style w:type="paragraph" w:styleId="ListBullet3">
    <w:name w:val="List Bullet 3"/>
    <w:basedOn w:val="Normal"/>
    <w:semiHidden/>
    <w:rsid w:val="00E56A6F"/>
    <w:pPr>
      <w:numPr>
        <w:numId w:val="13"/>
      </w:numPr>
    </w:pPr>
  </w:style>
  <w:style w:type="paragraph" w:styleId="ListBullet4">
    <w:name w:val="List Bullet 4"/>
    <w:basedOn w:val="Normal"/>
    <w:semiHidden/>
    <w:rsid w:val="00E56A6F"/>
    <w:pPr>
      <w:numPr>
        <w:numId w:val="14"/>
      </w:numPr>
    </w:pPr>
  </w:style>
  <w:style w:type="paragraph" w:styleId="ListBullet5">
    <w:name w:val="List Bullet 5"/>
    <w:basedOn w:val="Normal"/>
    <w:semiHidden/>
    <w:rsid w:val="00E56A6F"/>
    <w:pPr>
      <w:numPr>
        <w:numId w:val="15"/>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6"/>
      </w:numPr>
    </w:pPr>
  </w:style>
  <w:style w:type="paragraph" w:styleId="ListNumber2">
    <w:name w:val="List Number 2"/>
    <w:basedOn w:val="Normal"/>
    <w:semiHidden/>
    <w:rsid w:val="00E56A6F"/>
    <w:pPr>
      <w:numPr>
        <w:numId w:val="17"/>
      </w:numPr>
    </w:pPr>
  </w:style>
  <w:style w:type="paragraph" w:styleId="ListNumber3">
    <w:name w:val="List Number 3"/>
    <w:basedOn w:val="Normal"/>
    <w:semiHidden/>
    <w:rsid w:val="00E56A6F"/>
    <w:pPr>
      <w:numPr>
        <w:numId w:val="18"/>
      </w:numPr>
    </w:pPr>
  </w:style>
  <w:style w:type="paragraph" w:styleId="ListNumber4">
    <w:name w:val="List Number 4"/>
    <w:basedOn w:val="Normal"/>
    <w:semiHidden/>
    <w:rsid w:val="00E56A6F"/>
    <w:pPr>
      <w:numPr>
        <w:numId w:val="19"/>
      </w:numPr>
    </w:pPr>
  </w:style>
  <w:style w:type="paragraph" w:styleId="ListNumber5">
    <w:name w:val="List Number 5"/>
    <w:basedOn w:val="Normal"/>
    <w:semiHidden/>
    <w:rsid w:val="00E56A6F"/>
    <w:pPr>
      <w:numPr>
        <w:numId w:val="20"/>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1"/>
      </w:numPr>
    </w:pPr>
  </w:style>
  <w:style w:type="paragraph" w:customStyle="1" w:styleId="tabledotpoint2">
    <w:name w:val="table dot point 2"/>
    <w:basedOn w:val="tabletext"/>
    <w:rsid w:val="00E56A6F"/>
    <w:pPr>
      <w:numPr>
        <w:ilvl w:val="1"/>
        <w:numId w:val="21"/>
      </w:numPr>
    </w:pPr>
  </w:style>
  <w:style w:type="numbering" w:customStyle="1" w:styleId="TableDotPointList">
    <w:name w:val="Table Dot Point List"/>
    <w:uiPriority w:val="99"/>
    <w:rsid w:val="00E56A6F"/>
    <w:pPr>
      <w:numPr>
        <w:numId w:val="21"/>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5"/>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uiPriority w:val="99"/>
    <w:semiHidden/>
    <w:unhideWhenUsed/>
    <w:rsid w:val="00B0759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59C"/>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7D1506"/>
    <w:rPr>
      <w:sz w:val="16"/>
      <w:szCs w:val="16"/>
    </w:rPr>
  </w:style>
  <w:style w:type="paragraph" w:styleId="CommentText">
    <w:name w:val="annotation text"/>
    <w:basedOn w:val="Normal"/>
    <w:link w:val="CommentTextChar"/>
    <w:uiPriority w:val="99"/>
    <w:semiHidden/>
    <w:unhideWhenUsed/>
    <w:rsid w:val="007D1506"/>
    <w:rPr>
      <w:sz w:val="20"/>
    </w:rPr>
  </w:style>
  <w:style w:type="character" w:customStyle="1" w:styleId="CommentTextChar">
    <w:name w:val="Comment Text Char"/>
    <w:basedOn w:val="DefaultParagraphFont"/>
    <w:link w:val="CommentText"/>
    <w:uiPriority w:val="99"/>
    <w:semiHidden/>
    <w:rsid w:val="007D1506"/>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D1506"/>
    <w:rPr>
      <w:b/>
      <w:bCs/>
    </w:rPr>
  </w:style>
  <w:style w:type="character" w:customStyle="1" w:styleId="CommentSubjectChar">
    <w:name w:val="Comment Subject Char"/>
    <w:basedOn w:val="CommentTextChar"/>
    <w:link w:val="CommentSubject"/>
    <w:uiPriority w:val="99"/>
    <w:semiHidden/>
    <w:rsid w:val="007D1506"/>
    <w:rPr>
      <w:rFonts w:ascii="Times New Roman" w:eastAsia="Times New Roman" w:hAnsi="Times New Roman" w:cs="Times New Roman"/>
      <w:b/>
      <w:bCs/>
      <w:sz w:val="20"/>
      <w:szCs w:val="20"/>
      <w:lang w:eastAsia="en-AU"/>
    </w:rPr>
  </w:style>
  <w:style w:type="numbering" w:customStyle="1" w:styleId="ChapterList1">
    <w:name w:val="ChapterList1"/>
    <w:uiPriority w:val="99"/>
    <w:rsid w:val="00E76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605332">
      <w:bodyDiv w:val="1"/>
      <w:marLeft w:val="0"/>
      <w:marRight w:val="0"/>
      <w:marTop w:val="0"/>
      <w:marBottom w:val="0"/>
      <w:divBdr>
        <w:top w:val="none" w:sz="0" w:space="0" w:color="auto"/>
        <w:left w:val="none" w:sz="0" w:space="0" w:color="auto"/>
        <w:bottom w:val="none" w:sz="0" w:space="0" w:color="auto"/>
        <w:right w:val="none" w:sz="0" w:space="0" w:color="auto"/>
      </w:divBdr>
    </w:div>
    <w:div w:id="1368875509">
      <w:bodyDiv w:val="1"/>
      <w:marLeft w:val="0"/>
      <w:marRight w:val="0"/>
      <w:marTop w:val="0"/>
      <w:marBottom w:val="0"/>
      <w:divBdr>
        <w:top w:val="none" w:sz="0" w:space="0" w:color="auto"/>
        <w:left w:val="none" w:sz="0" w:space="0" w:color="auto"/>
        <w:bottom w:val="none" w:sz="0" w:space="0" w:color="auto"/>
        <w:right w:val="none" w:sz="0" w:space="0" w:color="auto"/>
      </w:divBdr>
      <w:divsChild>
        <w:div w:id="538669443">
          <w:marLeft w:val="0"/>
          <w:marRight w:val="0"/>
          <w:marTop w:val="0"/>
          <w:marBottom w:val="0"/>
          <w:divBdr>
            <w:top w:val="none" w:sz="0" w:space="0" w:color="auto"/>
            <w:left w:val="none" w:sz="0" w:space="0" w:color="auto"/>
            <w:bottom w:val="none" w:sz="0" w:space="0" w:color="auto"/>
            <w:right w:val="none" w:sz="0" w:space="0" w:color="auto"/>
          </w:divBdr>
          <w:divsChild>
            <w:div w:id="1037319663">
              <w:marLeft w:val="0"/>
              <w:marRight w:val="0"/>
              <w:marTop w:val="0"/>
              <w:marBottom w:val="0"/>
              <w:divBdr>
                <w:top w:val="none" w:sz="0" w:space="0" w:color="auto"/>
                <w:left w:val="none" w:sz="0" w:space="0" w:color="auto"/>
                <w:bottom w:val="none" w:sz="0" w:space="0" w:color="auto"/>
                <w:right w:val="none" w:sz="0" w:space="0" w:color="auto"/>
              </w:divBdr>
              <w:divsChild>
                <w:div w:id="1827742330">
                  <w:marLeft w:val="0"/>
                  <w:marRight w:val="0"/>
                  <w:marTop w:val="0"/>
                  <w:marBottom w:val="0"/>
                  <w:divBdr>
                    <w:top w:val="none" w:sz="0" w:space="0" w:color="auto"/>
                    <w:left w:val="none" w:sz="0" w:space="0" w:color="auto"/>
                    <w:bottom w:val="none" w:sz="0" w:space="0" w:color="auto"/>
                    <w:right w:val="none" w:sz="0" w:space="0" w:color="auto"/>
                  </w:divBdr>
                  <w:divsChild>
                    <w:div w:id="839925147">
                      <w:marLeft w:val="0"/>
                      <w:marRight w:val="0"/>
                      <w:marTop w:val="0"/>
                      <w:marBottom w:val="0"/>
                      <w:divBdr>
                        <w:top w:val="none" w:sz="0" w:space="0" w:color="auto"/>
                        <w:left w:val="none" w:sz="0" w:space="0" w:color="auto"/>
                        <w:bottom w:val="none" w:sz="0" w:space="0" w:color="auto"/>
                        <w:right w:val="none" w:sz="0" w:space="0" w:color="auto"/>
                      </w:divBdr>
                      <w:divsChild>
                        <w:div w:id="623849797">
                          <w:marLeft w:val="0"/>
                          <w:marRight w:val="0"/>
                          <w:marTop w:val="0"/>
                          <w:marBottom w:val="0"/>
                          <w:divBdr>
                            <w:top w:val="none" w:sz="0" w:space="0" w:color="auto"/>
                            <w:left w:val="none" w:sz="0" w:space="0" w:color="auto"/>
                            <w:bottom w:val="none" w:sz="0" w:space="0" w:color="auto"/>
                            <w:right w:val="none" w:sz="0" w:space="0" w:color="auto"/>
                          </w:divBdr>
                          <w:divsChild>
                            <w:div w:id="325136849">
                              <w:marLeft w:val="0"/>
                              <w:marRight w:val="0"/>
                              <w:marTop w:val="0"/>
                              <w:marBottom w:val="0"/>
                              <w:divBdr>
                                <w:top w:val="none" w:sz="0" w:space="0" w:color="auto"/>
                                <w:left w:val="none" w:sz="0" w:space="0" w:color="auto"/>
                                <w:bottom w:val="none" w:sz="0" w:space="0" w:color="auto"/>
                                <w:right w:val="none" w:sz="0" w:space="0" w:color="auto"/>
                              </w:divBdr>
                              <w:divsChild>
                                <w:div w:id="275991645">
                                  <w:marLeft w:val="0"/>
                                  <w:marRight w:val="0"/>
                                  <w:marTop w:val="0"/>
                                  <w:marBottom w:val="0"/>
                                  <w:divBdr>
                                    <w:top w:val="none" w:sz="0" w:space="0" w:color="auto"/>
                                    <w:left w:val="none" w:sz="0" w:space="0" w:color="auto"/>
                                    <w:bottom w:val="none" w:sz="0" w:space="0" w:color="auto"/>
                                    <w:right w:val="none" w:sz="0" w:space="0" w:color="auto"/>
                                  </w:divBdr>
                                  <w:divsChild>
                                    <w:div w:id="502597436">
                                      <w:marLeft w:val="0"/>
                                      <w:marRight w:val="0"/>
                                      <w:marTop w:val="0"/>
                                      <w:marBottom w:val="0"/>
                                      <w:divBdr>
                                        <w:top w:val="none" w:sz="0" w:space="0" w:color="auto"/>
                                        <w:left w:val="none" w:sz="0" w:space="0" w:color="auto"/>
                                        <w:bottom w:val="none" w:sz="0" w:space="0" w:color="auto"/>
                                        <w:right w:val="none" w:sz="0" w:space="0" w:color="auto"/>
                                      </w:divBdr>
                                      <w:divsChild>
                                        <w:div w:id="400059087">
                                          <w:marLeft w:val="0"/>
                                          <w:marRight w:val="0"/>
                                          <w:marTop w:val="0"/>
                                          <w:marBottom w:val="0"/>
                                          <w:divBdr>
                                            <w:top w:val="none" w:sz="0" w:space="0" w:color="auto"/>
                                            <w:left w:val="none" w:sz="0" w:space="0" w:color="auto"/>
                                            <w:bottom w:val="none" w:sz="0" w:space="0" w:color="auto"/>
                                            <w:right w:val="none" w:sz="0" w:space="0" w:color="auto"/>
                                          </w:divBdr>
                                          <w:divsChild>
                                            <w:div w:id="2007438505">
                                              <w:marLeft w:val="0"/>
                                              <w:marRight w:val="0"/>
                                              <w:marTop w:val="0"/>
                                              <w:marBottom w:val="0"/>
                                              <w:divBdr>
                                                <w:top w:val="none" w:sz="0" w:space="0" w:color="auto"/>
                                                <w:left w:val="none" w:sz="0" w:space="0" w:color="auto"/>
                                                <w:bottom w:val="none" w:sz="0" w:space="0" w:color="auto"/>
                                                <w:right w:val="none" w:sz="0" w:space="0" w:color="auto"/>
                                              </w:divBdr>
                                              <w:divsChild>
                                                <w:div w:id="386225464">
                                                  <w:marLeft w:val="0"/>
                                                  <w:marRight w:val="0"/>
                                                  <w:marTop w:val="0"/>
                                                  <w:marBottom w:val="0"/>
                                                  <w:divBdr>
                                                    <w:top w:val="none" w:sz="0" w:space="0" w:color="auto"/>
                                                    <w:left w:val="none" w:sz="0" w:space="0" w:color="auto"/>
                                                    <w:bottom w:val="none" w:sz="0" w:space="0" w:color="auto"/>
                                                    <w:right w:val="none" w:sz="0" w:space="0" w:color="auto"/>
                                                  </w:divBdr>
                                                  <w:divsChild>
                                                    <w:div w:id="361054790">
                                                      <w:marLeft w:val="0"/>
                                                      <w:marRight w:val="0"/>
                                                      <w:marTop w:val="0"/>
                                                      <w:marBottom w:val="0"/>
                                                      <w:divBdr>
                                                        <w:top w:val="none" w:sz="0" w:space="0" w:color="auto"/>
                                                        <w:left w:val="none" w:sz="0" w:space="0" w:color="auto"/>
                                                        <w:bottom w:val="none" w:sz="0" w:space="0" w:color="auto"/>
                                                        <w:right w:val="none" w:sz="0" w:space="0" w:color="auto"/>
                                                      </w:divBdr>
                                                      <w:divsChild>
                                                        <w:div w:id="160506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67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oter" Target="footer1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footer" Target="footer10.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B9B67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_dlc_DocId xmlns="0f563589-9cf9-4143-b1eb-fb0534803d38">2018RG-136-40374</_dlc_DocId>
    <TaxCatchAll xmlns="0f563589-9cf9-4143-b1eb-fb0534803d38">
      <Value>7</Value>
    </TaxCatchAll>
    <_dlc_DocIdUrl xmlns="0f563589-9cf9-4143-b1eb-fb0534803d38">
      <Url>http://tweb/sites/rg/ldp/_layouts/15/DocIdRedir.aspx?ID=2018RG-136-40374</Url>
      <Description>2018RG-136-40374</Description>
    </_dlc_DocIdUrl>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Value>45th</Value>
    </Parliamentary_x0020_session>
    <Number_x0020_version xmlns="687b78b0-2ddd-4441-8a8b-c9638c2a1939" xsi:nil="true"/>
    <Status xmlns="687b78b0-2ddd-4441-8a8b-c9638c2a1939">
      <Value>Current</Value>
    </Status>
    <NAture_x0020_of_x0020_documents1 xmlns="687b78b0-2ddd-4441-8a8b-c9638c2a1939">
      <Value>Explanatory memorandum/statement</Value>
      <Value>Exposure Draft</Value>
    </NAture_x0020_of_x0020_documents1>
  </documentManagement>
</p:properti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14986" ma:contentTypeDescription="" ma:contentTypeScope="" ma:versionID="7effe8ffee2e5670d005805f1f292540">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ad2a17c93bc9e235fee2102d2715ada3"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default="45th" ma:internalName="Parliamentary_x0020_session">
      <xsd:complexType>
        <xsd:complexContent>
          <xsd:extension base="dms:MultiChoice">
            <xsd:sequence>
              <xsd:element name="Value" maxOccurs="unbounded" minOccurs="0" nillable="true">
                <xsd:simpleType>
                  <xsd:restriction base="dms:Choice">
                    <xsd:enumeration value="TBD"/>
                    <xsd:enumeration value="45th"/>
                    <xsd:enumeration value="44th"/>
                    <xsd:enumeration value="43rd"/>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4BCE1-B00C-45BB-B3CA-CEE712E03F53}">
  <ds:schemaRefs>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 ds:uri="http://schemas.microsoft.com/sharepoint/v4"/>
    <ds:schemaRef ds:uri="687b78b0-2ddd-4441-8a8b-c9638c2a1939"/>
    <ds:schemaRef ds:uri="http://purl.org/dc/elements/1.1/"/>
    <ds:schemaRef ds:uri="http://schemas.microsoft.com/office/2006/documentManagement/types"/>
    <ds:schemaRef ds:uri="9f7bc583-7cbe-45b9-a2bd-8bbb6543b37e"/>
    <ds:schemaRef ds:uri="0f563589-9cf9-4143-b1eb-fb0534803d38"/>
    <ds:schemaRef ds:uri="http://schemas.microsoft.com/sharepoint/v3"/>
    <ds:schemaRef ds:uri="http://www.w3.org/XML/1998/namespace"/>
  </ds:schemaRefs>
</ds:datastoreItem>
</file>

<file path=customXml/itemProps2.xml><?xml version="1.0" encoding="utf-8"?>
<ds:datastoreItem xmlns:ds="http://schemas.openxmlformats.org/officeDocument/2006/customXml" ds:itemID="{1EEF8C7A-6F56-4C4D-B51C-8D77D5ADF651}">
  <ds:schemaRefs>
    <ds:schemaRef ds:uri="office.server.policy"/>
  </ds:schemaRefs>
</ds:datastoreItem>
</file>

<file path=customXml/itemProps3.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4.xml><?xml version="1.0" encoding="utf-8"?>
<ds:datastoreItem xmlns:ds="http://schemas.openxmlformats.org/officeDocument/2006/customXml" ds:itemID="{E3DED465-622C-4D11-9E01-64B8169A4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9599F3-D060-4532-A391-9E3490E980BE}">
  <ds:schemaRefs>
    <ds:schemaRef ds:uri="http://schemas.microsoft.com/sharepoint/events"/>
  </ds:schemaRefs>
</ds:datastoreItem>
</file>

<file path=customXml/itemProps6.xml><?xml version="1.0" encoding="utf-8"?>
<ds:datastoreItem xmlns:ds="http://schemas.openxmlformats.org/officeDocument/2006/customXml" ds:itemID="{C681D45B-ACDF-47EE-9614-AE327446F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2</TotalTime>
  <Pages>20</Pages>
  <Words>5352</Words>
  <Characters>30508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35789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Amy</dc:creator>
  <cp:lastModifiedBy>Wang, Amy</cp:lastModifiedBy>
  <cp:revision>3</cp:revision>
  <cp:lastPrinted>2018-10-22T00:07:00Z</cp:lastPrinted>
  <dcterms:created xsi:type="dcterms:W3CDTF">2018-10-22T00:04:00Z</dcterms:created>
  <dcterms:modified xsi:type="dcterms:W3CDTF">2018-10-22T00:12:00Z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f953a1bc-7387-4678-b213-b4946b3fbd37</vt:lpwstr>
  </property>
  <property fmtid="{D5CDD505-2E9C-101B-9397-08002B2CF9AE}" pid="3" name="ContentTypeId">
    <vt:lpwstr>0x01010036BB8DE7EC542E42A8B2E98CC20CB69700AD614E3FF758BD46BB6A91BF499E7E08</vt:lpwstr>
  </property>
  <property fmtid="{D5CDD505-2E9C-101B-9397-08002B2CF9AE}" pid="4" name="RecordPoint_WorkflowType">
    <vt:lpwstr>ActiveSubmitStub</vt:lpwstr>
  </property>
  <property fmtid="{D5CDD505-2E9C-101B-9397-08002B2CF9AE}" pid="5" name="RecordPoint_ActiveItemSiteId">
    <vt:lpwstr>{5b52b9a5-e5b2-4521-8814-a1e24ca2869d}</vt:lpwstr>
  </property>
  <property fmtid="{D5CDD505-2E9C-101B-9397-08002B2CF9AE}" pid="6" name="RecordPoint_ActiveItemListId">
    <vt:lpwstr>{687b78b0-2ddd-4441-8a8b-c9638c2a1939}</vt:lpwstr>
  </property>
  <property fmtid="{D5CDD505-2E9C-101B-9397-08002B2CF9AE}" pid="7" name="RecordPoint_ActiveItemUniqueId">
    <vt:lpwstr>{f953a1bc-7387-4678-b213-b4946b3fbd37}</vt:lpwstr>
  </property>
  <property fmtid="{D5CDD505-2E9C-101B-9397-08002B2CF9AE}" pid="8" name="RecordPoint_ActiveItemWebId">
    <vt:lpwstr>{09392e0d-4618-463d-b4d2-50a90b9447cf}</vt:lpwstr>
  </property>
  <property fmtid="{D5CDD505-2E9C-101B-9397-08002B2CF9AE}" pid="9" name="RecordPoint_RecordNumberSubmitted">
    <vt:lpwstr>R0001916079</vt:lpwstr>
  </property>
  <property fmtid="{D5CDD505-2E9C-101B-9397-08002B2CF9AE}" pid="10" name="TSYRecordClass">
    <vt:lpwstr>7;#TSY RA-9236 - Retain as national archives|c6a225b4-6b93-473e-bcbb-6bc6ab25b623</vt:lpwstr>
  </property>
  <property fmtid="{D5CDD505-2E9C-101B-9397-08002B2CF9AE}" pid="11" name="RecordPoint_SubmissionCompleted">
    <vt:lpwstr>2018-10-22T11:18:52.0290285+11:00</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Order">
    <vt:r8>4037400</vt:r8>
  </property>
</Properties>
</file>