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146472" w14:paraId="56B78E92" w14:textId="77777777" w:rsidTr="00146472">
        <w:tc>
          <w:tcPr>
            <w:tcW w:w="5000" w:type="pct"/>
            <w:shd w:val="clear" w:color="auto" w:fill="auto"/>
          </w:tcPr>
          <w:p w14:paraId="4A35D9CC" w14:textId="77777777" w:rsidR="00146472" w:rsidRDefault="00146472" w:rsidP="0014647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0EF13629" w14:textId="77777777" w:rsidR="00146472" w:rsidRPr="00146472" w:rsidRDefault="00146472" w:rsidP="00146472">
            <w:pPr>
              <w:rPr>
                <w:b/>
                <w:sz w:val="20"/>
              </w:rPr>
            </w:pPr>
          </w:p>
        </w:tc>
      </w:tr>
    </w:tbl>
    <w:p w14:paraId="5AE56269" w14:textId="77777777" w:rsidR="00146472" w:rsidRDefault="00146472" w:rsidP="0087255C">
      <w:pPr>
        <w:rPr>
          <w:sz w:val="32"/>
          <w:szCs w:val="32"/>
        </w:rPr>
      </w:pPr>
    </w:p>
    <w:p w14:paraId="2CFD3B26" w14:textId="77777777" w:rsidR="00664C63" w:rsidRPr="006D7933" w:rsidRDefault="00664C63" w:rsidP="0087255C">
      <w:pPr>
        <w:rPr>
          <w:sz w:val="32"/>
          <w:szCs w:val="32"/>
        </w:rPr>
      </w:pPr>
      <w:r w:rsidRPr="006D7933">
        <w:rPr>
          <w:sz w:val="32"/>
          <w:szCs w:val="32"/>
        </w:rPr>
        <w:t>Inserts for</w:t>
      </w:r>
    </w:p>
    <w:p w14:paraId="09D2F4F4" w14:textId="77777777" w:rsidR="00664C63" w:rsidRPr="006D7933" w:rsidRDefault="00176A16" w:rsidP="0087255C">
      <w:pPr>
        <w:pStyle w:val="ShortT"/>
      </w:pPr>
      <w:r w:rsidRPr="006D7933">
        <w:t xml:space="preserve">Treasury Laws Amendment </w:t>
      </w:r>
      <w:r w:rsidR="00212D7F" w:rsidRPr="006D7933">
        <w:t>(Measures for Consultation)</w:t>
      </w:r>
      <w:r w:rsidRPr="006D7933">
        <w:t xml:space="preserve"> Bill 2021: </w:t>
      </w:r>
      <w:r w:rsidR="00283757" w:rsidRPr="006D7933">
        <w:t>Miscellaneous and Technical Amendments No. 2</w:t>
      </w:r>
    </w:p>
    <w:p w14:paraId="7D0BE770" w14:textId="77777777" w:rsidR="00664C63" w:rsidRPr="006D7933" w:rsidRDefault="00664C63" w:rsidP="0087255C">
      <w:pPr>
        <w:jc w:val="center"/>
      </w:pPr>
    </w:p>
    <w:p w14:paraId="4CBAB9BC" w14:textId="77777777" w:rsidR="00664C63" w:rsidRPr="006D7933" w:rsidRDefault="00664C63" w:rsidP="0087255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6D7933" w14:paraId="2FCE423C" w14:textId="77777777" w:rsidTr="00004F80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274397D" w14:textId="77777777" w:rsidR="00664C63" w:rsidRPr="006D7933" w:rsidRDefault="00664C63" w:rsidP="0087255C">
            <w:pPr>
              <w:pStyle w:val="TableHeading"/>
            </w:pPr>
            <w:r w:rsidRPr="006D7933">
              <w:t>Commencement information</w:t>
            </w:r>
          </w:p>
        </w:tc>
      </w:tr>
      <w:tr w:rsidR="00664C63" w:rsidRPr="006D7933" w14:paraId="4A64A877" w14:textId="77777777" w:rsidTr="00004F8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CFB8C3" w14:textId="77777777" w:rsidR="00664C63" w:rsidRPr="006D7933" w:rsidRDefault="00664C63" w:rsidP="0087255C">
            <w:pPr>
              <w:pStyle w:val="TableHeading"/>
            </w:pPr>
            <w:r w:rsidRPr="006D7933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FD6D3" w14:textId="77777777" w:rsidR="00664C63" w:rsidRPr="006D7933" w:rsidRDefault="00664C63" w:rsidP="0087255C">
            <w:pPr>
              <w:pStyle w:val="TableHeading"/>
            </w:pPr>
            <w:r w:rsidRPr="006D7933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112928" w14:textId="77777777" w:rsidR="00664C63" w:rsidRPr="006D7933" w:rsidRDefault="00664C63" w:rsidP="0087255C">
            <w:pPr>
              <w:pStyle w:val="TableHeading"/>
            </w:pPr>
            <w:r w:rsidRPr="006D7933">
              <w:t>Column 3</w:t>
            </w:r>
          </w:p>
        </w:tc>
      </w:tr>
      <w:tr w:rsidR="00664C63" w:rsidRPr="006D7933" w14:paraId="6ED96A4E" w14:textId="77777777" w:rsidTr="00004F8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29FBB45" w14:textId="77777777" w:rsidR="00664C63" w:rsidRPr="006D7933" w:rsidRDefault="00664C63" w:rsidP="0087255C">
            <w:pPr>
              <w:pStyle w:val="TableHeading"/>
            </w:pPr>
            <w:r w:rsidRPr="006D7933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4DFF7F9" w14:textId="77777777" w:rsidR="00664C63" w:rsidRPr="006D7933" w:rsidRDefault="00664C63" w:rsidP="0087255C">
            <w:pPr>
              <w:pStyle w:val="TableHeading"/>
            </w:pPr>
            <w:r w:rsidRPr="006D7933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38BDE2" w14:textId="77777777" w:rsidR="00664C63" w:rsidRPr="006D7933" w:rsidRDefault="00664C63" w:rsidP="0087255C">
            <w:pPr>
              <w:pStyle w:val="TableHeading"/>
            </w:pPr>
            <w:r w:rsidRPr="006D7933">
              <w:t>Date/Details</w:t>
            </w:r>
          </w:p>
        </w:tc>
      </w:tr>
      <w:tr w:rsidR="00664C63" w:rsidRPr="006D7933" w14:paraId="6F3CFD77" w14:textId="77777777" w:rsidTr="00004F80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25D01F0F" w14:textId="77777777" w:rsidR="00664C63" w:rsidRPr="006D7933" w:rsidRDefault="00664C63" w:rsidP="0087255C">
            <w:pPr>
              <w:pStyle w:val="Tabletext"/>
            </w:pPr>
            <w:r w:rsidRPr="006D7933">
              <w:t xml:space="preserve">1.  </w:t>
            </w:r>
            <w:r w:rsidR="006D7933" w:rsidRPr="006D7933">
              <w:t>Schedule 1</w:t>
            </w:r>
            <w:r w:rsidR="008358E8" w:rsidRPr="006D7933">
              <w:t xml:space="preserve">, </w:t>
            </w:r>
            <w:r w:rsidR="006D7933" w:rsidRPr="006D7933">
              <w:t>Part 1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3C444B81" w14:textId="77777777" w:rsidR="00664C63" w:rsidRPr="006D7933" w:rsidRDefault="008358E8" w:rsidP="0087255C">
            <w:pPr>
              <w:pStyle w:val="Tabletext"/>
            </w:pPr>
            <w:r w:rsidRPr="006D7933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23117187" w14:textId="77777777" w:rsidR="00664C63" w:rsidRPr="006D7933" w:rsidRDefault="00664C63" w:rsidP="0087255C">
            <w:pPr>
              <w:pStyle w:val="Tabletext"/>
            </w:pPr>
          </w:p>
        </w:tc>
      </w:tr>
      <w:tr w:rsidR="009D176A" w:rsidRPr="006D7933" w14:paraId="51C608DF" w14:textId="77777777" w:rsidTr="00004F80">
        <w:tc>
          <w:tcPr>
            <w:tcW w:w="1701" w:type="dxa"/>
            <w:shd w:val="clear" w:color="auto" w:fill="auto"/>
          </w:tcPr>
          <w:p w14:paraId="11D4ABA1" w14:textId="77777777" w:rsidR="009D176A" w:rsidRPr="006D7933" w:rsidRDefault="009D176A" w:rsidP="0087255C">
            <w:pPr>
              <w:pStyle w:val="Tabletext"/>
            </w:pPr>
            <w:r w:rsidRPr="006D7933">
              <w:t xml:space="preserve">2.  </w:t>
            </w:r>
            <w:r w:rsidR="006D7933" w:rsidRPr="006D7933">
              <w:t>Schedule 1</w:t>
            </w:r>
            <w:r w:rsidRPr="006D7933">
              <w:t xml:space="preserve">, </w:t>
            </w:r>
            <w:r w:rsidR="006D7933" w:rsidRPr="006D7933">
              <w:t>Part 2</w:t>
            </w:r>
          </w:p>
        </w:tc>
        <w:tc>
          <w:tcPr>
            <w:tcW w:w="3828" w:type="dxa"/>
            <w:shd w:val="clear" w:color="auto" w:fill="auto"/>
          </w:tcPr>
          <w:p w14:paraId="26C8FA75" w14:textId="77777777" w:rsidR="009D176A" w:rsidRPr="006D7933" w:rsidRDefault="009D176A" w:rsidP="0087255C">
            <w:pPr>
              <w:pStyle w:val="Tabletext"/>
            </w:pPr>
            <w:r w:rsidRPr="006D7933">
              <w:t xml:space="preserve">The first </w:t>
            </w:r>
            <w:r w:rsidR="006D7933" w:rsidRPr="006D7933">
              <w:t>1 January</w:t>
            </w:r>
            <w:r w:rsidRPr="006D7933">
              <w:t xml:space="preserve">, </w:t>
            </w:r>
            <w:r w:rsidR="006D7933" w:rsidRPr="006D7933">
              <w:t>1 April</w:t>
            </w:r>
            <w:r w:rsidRPr="006D7933">
              <w:t xml:space="preserve">, </w:t>
            </w:r>
            <w:r w:rsidR="0087255C">
              <w:t>1 </w:t>
            </w:r>
            <w:proofErr w:type="gramStart"/>
            <w:r w:rsidR="0087255C">
              <w:t>July</w:t>
            </w:r>
            <w:proofErr w:type="gramEnd"/>
            <w:r w:rsidRPr="006D7933">
              <w:t xml:space="preserve"> or </w:t>
            </w:r>
            <w:r w:rsidR="006D7933" w:rsidRPr="006D7933">
              <w:t>1 October</w:t>
            </w:r>
            <w:r w:rsidRPr="006D7933">
              <w:t xml:space="preserve"> to occur after the day this Act receives the Royal Assent.</w:t>
            </w:r>
          </w:p>
        </w:tc>
        <w:tc>
          <w:tcPr>
            <w:tcW w:w="1582" w:type="dxa"/>
            <w:shd w:val="clear" w:color="auto" w:fill="auto"/>
          </w:tcPr>
          <w:p w14:paraId="073D3279" w14:textId="77777777" w:rsidR="009D176A" w:rsidRPr="006D7933" w:rsidRDefault="009D176A" w:rsidP="0087255C">
            <w:pPr>
              <w:pStyle w:val="Tabletext"/>
            </w:pPr>
          </w:p>
        </w:tc>
      </w:tr>
      <w:tr w:rsidR="00A84D4A" w:rsidRPr="006D7933" w14:paraId="5D4981D0" w14:textId="77777777" w:rsidTr="00004F80"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354F46B4" w14:textId="77777777" w:rsidR="00A84D4A" w:rsidRPr="006D7933" w:rsidRDefault="00A84D4A" w:rsidP="0087255C">
            <w:pPr>
              <w:pStyle w:val="Tabletext"/>
            </w:pPr>
            <w:r w:rsidRPr="006D7933">
              <w:t xml:space="preserve">3.  </w:t>
            </w:r>
            <w:r w:rsidR="006D7933" w:rsidRPr="006D7933">
              <w:t>Schedule 1</w:t>
            </w:r>
            <w:r w:rsidRPr="006D7933">
              <w:t xml:space="preserve">, </w:t>
            </w:r>
            <w:r w:rsidR="006D7933" w:rsidRPr="006D7933">
              <w:t>Part 3</w:t>
            </w:r>
          </w:p>
        </w:tc>
        <w:tc>
          <w:tcPr>
            <w:tcW w:w="3828" w:type="dxa"/>
            <w:tcBorders>
              <w:bottom w:val="single" w:sz="2" w:space="0" w:color="auto"/>
            </w:tcBorders>
            <w:shd w:val="clear" w:color="auto" w:fill="auto"/>
          </w:tcPr>
          <w:p w14:paraId="3D582C40" w14:textId="77777777" w:rsidR="00A84D4A" w:rsidRPr="006D7933" w:rsidRDefault="00A84D4A" w:rsidP="0087255C">
            <w:pPr>
              <w:pStyle w:val="Tabletext"/>
            </w:pPr>
            <w:r w:rsidRPr="006D7933">
              <w:t>The seventh day after this Act receives the Royal Assent.</w:t>
            </w:r>
          </w:p>
        </w:tc>
        <w:tc>
          <w:tcPr>
            <w:tcW w:w="1582" w:type="dxa"/>
            <w:tcBorders>
              <w:bottom w:val="single" w:sz="2" w:space="0" w:color="auto"/>
            </w:tcBorders>
            <w:shd w:val="clear" w:color="auto" w:fill="auto"/>
          </w:tcPr>
          <w:p w14:paraId="7AA66A50" w14:textId="77777777" w:rsidR="00A84D4A" w:rsidRPr="006D7933" w:rsidRDefault="00A84D4A" w:rsidP="0087255C">
            <w:pPr>
              <w:pStyle w:val="Tabletext"/>
            </w:pPr>
          </w:p>
        </w:tc>
      </w:tr>
      <w:tr w:rsidR="00A84D4A" w:rsidRPr="006D7933" w14:paraId="2AB27BF7" w14:textId="77777777" w:rsidTr="00004F80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805E10D" w14:textId="77777777" w:rsidR="00A84D4A" w:rsidRPr="006D7933" w:rsidRDefault="00004F80" w:rsidP="0087255C">
            <w:pPr>
              <w:pStyle w:val="Tabletext"/>
            </w:pPr>
            <w:r>
              <w:t>4</w:t>
            </w:r>
            <w:r w:rsidR="00A84D4A" w:rsidRPr="006D7933">
              <w:t xml:space="preserve">.  </w:t>
            </w:r>
            <w:r w:rsidR="006D7933" w:rsidRPr="006D7933">
              <w:t>Schedule 1</w:t>
            </w:r>
            <w:r w:rsidR="00A84D4A" w:rsidRPr="006D7933">
              <w:t xml:space="preserve">, </w:t>
            </w:r>
            <w:r w:rsidR="0087255C">
              <w:t>Part 4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4979D6B" w14:textId="77777777" w:rsidR="00A84D4A" w:rsidRPr="006D7933" w:rsidRDefault="00A84D4A" w:rsidP="0087255C">
            <w:pPr>
              <w:pStyle w:val="Tabletext"/>
            </w:pPr>
            <w:r w:rsidRPr="006D7933">
              <w:t xml:space="preserve">Immediately after the commencement of </w:t>
            </w:r>
            <w:bookmarkStart w:id="0" w:name="_Hlk81899119"/>
            <w:r w:rsidR="006D7933" w:rsidRPr="006D7933">
              <w:t>Part 2</w:t>
            </w:r>
            <w:r w:rsidRPr="006D7933">
              <w:t xml:space="preserve"> of </w:t>
            </w:r>
            <w:r w:rsidR="006D7933" w:rsidRPr="006D7933">
              <w:t>Schedule 2</w:t>
            </w:r>
            <w:r w:rsidRPr="006D7933">
              <w:t xml:space="preserve"> to the </w:t>
            </w:r>
            <w:r w:rsidRPr="006D7933">
              <w:rPr>
                <w:i/>
              </w:rPr>
              <w:t>National Consumer Credit Protection Amendment (Mandatory Credit Reporting and Other Measures) Act 2021</w:t>
            </w:r>
            <w:r w:rsidRPr="006D7933">
              <w:t>.</w:t>
            </w:r>
            <w:bookmarkEnd w:id="0"/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77EE8B7" w14:textId="77777777" w:rsidR="00A84D4A" w:rsidRPr="006D7933" w:rsidRDefault="0087255C" w:rsidP="0087255C">
            <w:pPr>
              <w:pStyle w:val="Tabletext"/>
            </w:pPr>
            <w:r>
              <w:t>1 July</w:t>
            </w:r>
            <w:r w:rsidR="00D647A8" w:rsidRPr="006D7933">
              <w:t xml:space="preserve"> 2022</w:t>
            </w:r>
          </w:p>
        </w:tc>
      </w:tr>
    </w:tbl>
    <w:p w14:paraId="1C4A7126" w14:textId="77777777" w:rsidR="00FC1F26" w:rsidRPr="006D7933" w:rsidRDefault="006D7933" w:rsidP="0087255C">
      <w:pPr>
        <w:pStyle w:val="ActHead6"/>
        <w:pageBreakBefore/>
      </w:pPr>
      <w:bookmarkStart w:id="1" w:name="opcCursorOriginal"/>
      <w:bookmarkEnd w:id="1"/>
      <w:r w:rsidRPr="00146472">
        <w:rPr>
          <w:rStyle w:val="CharAmSchNo"/>
        </w:rPr>
        <w:lastRenderedPageBreak/>
        <w:t>Schedule 1</w:t>
      </w:r>
      <w:r w:rsidR="00FC1F26" w:rsidRPr="006D7933">
        <w:t>—</w:t>
      </w:r>
      <w:r w:rsidR="001026A0" w:rsidRPr="00146472">
        <w:rPr>
          <w:rStyle w:val="CharAmSchText"/>
        </w:rPr>
        <w:t>Amendments</w:t>
      </w:r>
    </w:p>
    <w:p w14:paraId="6EE37E0B" w14:textId="77777777" w:rsidR="00ED41F0" w:rsidRPr="006D7933" w:rsidRDefault="006D7933" w:rsidP="0087255C">
      <w:pPr>
        <w:pStyle w:val="ActHead7"/>
      </w:pPr>
      <w:r w:rsidRPr="00146472">
        <w:rPr>
          <w:rStyle w:val="CharAmPartNo"/>
        </w:rPr>
        <w:t>Part 1</w:t>
      </w:r>
      <w:r w:rsidR="00ED41F0" w:rsidRPr="006D7933">
        <w:t>—</w:t>
      </w:r>
      <w:r w:rsidR="00ED41F0" w:rsidRPr="00146472">
        <w:rPr>
          <w:rStyle w:val="CharAmPartText"/>
        </w:rPr>
        <w:t>Amendments commencing day after Royal Assent</w:t>
      </w:r>
    </w:p>
    <w:p w14:paraId="28675187" w14:textId="77777777" w:rsidR="00ED41F0" w:rsidRPr="006D7933" w:rsidRDefault="00ED41F0" w:rsidP="0087255C">
      <w:pPr>
        <w:pStyle w:val="Header"/>
      </w:pPr>
      <w:r w:rsidRPr="006D7933">
        <w:t xml:space="preserve">  </w:t>
      </w:r>
    </w:p>
    <w:p w14:paraId="1EAF6051" w14:textId="77777777" w:rsidR="00FC1F26" w:rsidRPr="006D7933" w:rsidRDefault="00FC1F26" w:rsidP="0087255C">
      <w:pPr>
        <w:pStyle w:val="ActHead9"/>
      </w:pPr>
      <w:bookmarkStart w:id="2" w:name="_Hlk81323483"/>
      <w:r w:rsidRPr="006D7933">
        <w:rPr>
          <w:shd w:val="clear" w:color="auto" w:fill="FFFFFF"/>
        </w:rPr>
        <w:t>Australian Prudential Regulation Authority Supervisory Levies Determination 2021</w:t>
      </w:r>
    </w:p>
    <w:p w14:paraId="490EC6B6" w14:textId="77777777" w:rsidR="00FC1F26" w:rsidRPr="006D7933" w:rsidRDefault="00C67199" w:rsidP="0087255C">
      <w:pPr>
        <w:pStyle w:val="ItemHead"/>
      </w:pPr>
      <w:proofErr w:type="gramStart"/>
      <w:r>
        <w:t>1</w:t>
      </w:r>
      <w:r w:rsidR="00FC1F26" w:rsidRPr="006D7933">
        <w:t xml:space="preserve">  </w:t>
      </w:r>
      <w:r w:rsidR="006D7933" w:rsidRPr="006D7933">
        <w:t>Section</w:t>
      </w:r>
      <w:proofErr w:type="gramEnd"/>
      <w:r w:rsidR="006D7933" w:rsidRPr="006D7933">
        <w:t> 9</w:t>
      </w:r>
      <w:r w:rsidR="0087255C">
        <w:noBreakHyphen/>
      </w:r>
      <w:r w:rsidR="00FC1F26" w:rsidRPr="006D7933">
        <w:t xml:space="preserve">2 (cell at table </w:t>
      </w:r>
      <w:r w:rsidR="006D7933" w:rsidRPr="006D7933">
        <w:t>item 3</w:t>
      </w:r>
      <w:r w:rsidR="00FC1F26" w:rsidRPr="006D7933">
        <w:t>, column headed “Minimum restricted levy amount ($)”)</w:t>
      </w:r>
    </w:p>
    <w:p w14:paraId="56EA124D" w14:textId="77777777" w:rsidR="00FC1F26" w:rsidRPr="006D7933" w:rsidRDefault="00FC1F26" w:rsidP="0087255C">
      <w:pPr>
        <w:pStyle w:val="Item"/>
      </w:pPr>
      <w:r w:rsidRPr="006D7933">
        <w:t>Omit “</w:t>
      </w:r>
      <w:r w:rsidRPr="006D7933">
        <w:rPr>
          <w:lang w:eastAsia="en-US"/>
        </w:rPr>
        <w:t>7,50</w:t>
      </w:r>
      <w:r w:rsidRPr="006D7933">
        <w:rPr>
          <w:shd w:val="clear" w:color="auto" w:fill="FFFFFF"/>
        </w:rPr>
        <w:t>”, substitute “7,500”.</w:t>
      </w:r>
    </w:p>
    <w:p w14:paraId="6CCCFA2C" w14:textId="77777777" w:rsidR="00FC1F26" w:rsidRPr="006D7933" w:rsidRDefault="00C67199" w:rsidP="0087255C">
      <w:pPr>
        <w:pStyle w:val="ItemHead"/>
      </w:pPr>
      <w:proofErr w:type="gramStart"/>
      <w:r>
        <w:t>2</w:t>
      </w:r>
      <w:r w:rsidR="00FC1F26" w:rsidRPr="006D7933">
        <w:t xml:space="preserve">  At</w:t>
      </w:r>
      <w:proofErr w:type="gramEnd"/>
      <w:r w:rsidR="00FC1F26" w:rsidRPr="006D7933">
        <w:t xml:space="preserve"> the end of the instrument</w:t>
      </w:r>
    </w:p>
    <w:p w14:paraId="0EA660E6" w14:textId="77777777" w:rsidR="00FC1F26" w:rsidRPr="006D7933" w:rsidRDefault="00FC1F26" w:rsidP="0087255C">
      <w:pPr>
        <w:pStyle w:val="Item"/>
      </w:pPr>
      <w:r w:rsidRPr="006D7933">
        <w:t>Add:</w:t>
      </w:r>
    </w:p>
    <w:p w14:paraId="1FE01539" w14:textId="77777777" w:rsidR="00FC1F26" w:rsidRPr="006D7933" w:rsidRDefault="006D7933" w:rsidP="0087255C">
      <w:pPr>
        <w:pStyle w:val="ActHead2"/>
      </w:pPr>
      <w:r w:rsidRPr="00146472">
        <w:rPr>
          <w:rStyle w:val="CharPartNo"/>
        </w:rPr>
        <w:t>Part 1</w:t>
      </w:r>
      <w:r w:rsidR="00FC1F26" w:rsidRPr="00146472">
        <w:rPr>
          <w:rStyle w:val="CharPartNo"/>
        </w:rPr>
        <w:t>0</w:t>
      </w:r>
      <w:r w:rsidR="00FC1F26" w:rsidRPr="006D7933">
        <w:t>—</w:t>
      </w:r>
      <w:r w:rsidR="00FC1F26" w:rsidRPr="00146472">
        <w:rPr>
          <w:rStyle w:val="CharPartText"/>
        </w:rPr>
        <w:t>Application provisions</w:t>
      </w:r>
    </w:p>
    <w:p w14:paraId="729AF1FD" w14:textId="77777777" w:rsidR="00FC1F26" w:rsidRPr="00146472" w:rsidRDefault="00FC1F26" w:rsidP="0087255C">
      <w:pPr>
        <w:pStyle w:val="Header"/>
      </w:pPr>
      <w:r w:rsidRPr="00146472">
        <w:rPr>
          <w:rStyle w:val="CharDivNo"/>
        </w:rPr>
        <w:t xml:space="preserve"> </w:t>
      </w:r>
      <w:r w:rsidRPr="00146472">
        <w:rPr>
          <w:rStyle w:val="CharDivText"/>
        </w:rPr>
        <w:t xml:space="preserve"> </w:t>
      </w:r>
    </w:p>
    <w:p w14:paraId="3D425F49" w14:textId="77777777" w:rsidR="00FC1F26" w:rsidRPr="006D7933" w:rsidRDefault="00FC1F26" w:rsidP="0087255C">
      <w:pPr>
        <w:pStyle w:val="ActHead5"/>
      </w:pPr>
      <w:r w:rsidRPr="00146472">
        <w:rPr>
          <w:rStyle w:val="CharSectno"/>
        </w:rPr>
        <w:t>10</w:t>
      </w:r>
      <w:r w:rsidR="0087255C" w:rsidRPr="00146472">
        <w:rPr>
          <w:rStyle w:val="CharSectno"/>
        </w:rPr>
        <w:noBreakHyphen/>
      </w:r>
      <w:proofErr w:type="gramStart"/>
      <w:r w:rsidRPr="00146472">
        <w:rPr>
          <w:rStyle w:val="CharSectno"/>
        </w:rPr>
        <w:t>1</w:t>
      </w:r>
      <w:r w:rsidRPr="006D7933">
        <w:t xml:space="preserve">  Amendment</w:t>
      </w:r>
      <w:proofErr w:type="gramEnd"/>
      <w:r w:rsidRPr="006D7933">
        <w:t xml:space="preserve"> </w:t>
      </w:r>
      <w:r w:rsidR="003135DD">
        <w:t>of</w:t>
      </w:r>
      <w:r w:rsidRPr="006D7933">
        <w:t xml:space="preserve"> </w:t>
      </w:r>
      <w:r w:rsidR="006D7933" w:rsidRPr="006D7933">
        <w:t>section 9</w:t>
      </w:r>
      <w:r w:rsidR="0087255C">
        <w:noBreakHyphen/>
      </w:r>
      <w:r w:rsidRPr="006D7933">
        <w:t>2</w:t>
      </w:r>
    </w:p>
    <w:p w14:paraId="364E4E69" w14:textId="77777777" w:rsidR="00FC1F26" w:rsidRPr="006D7933" w:rsidRDefault="00FC1F26" w:rsidP="0087255C">
      <w:pPr>
        <w:pStyle w:val="subsection"/>
      </w:pPr>
      <w:r w:rsidRPr="006D7933">
        <w:tab/>
      </w:r>
      <w:r w:rsidRPr="006D7933">
        <w:tab/>
        <w:t xml:space="preserve">The amendment of </w:t>
      </w:r>
      <w:r w:rsidR="006D7933" w:rsidRPr="006D7933">
        <w:t>section 9</w:t>
      </w:r>
      <w:r w:rsidR="0087255C">
        <w:noBreakHyphen/>
      </w:r>
      <w:r w:rsidRPr="006D7933">
        <w:t xml:space="preserve">2 made by </w:t>
      </w:r>
      <w:r w:rsidR="006D7933" w:rsidRPr="006D7933">
        <w:t>Part 1</w:t>
      </w:r>
      <w:r w:rsidRPr="006D7933">
        <w:t xml:space="preserve"> of </w:t>
      </w:r>
      <w:r w:rsidR="006D7933" w:rsidRPr="006D7933">
        <w:t>Schedule 1</w:t>
      </w:r>
      <w:r w:rsidRPr="006D7933">
        <w:t xml:space="preserve"> to</w:t>
      </w:r>
      <w:r w:rsidRPr="006D7933">
        <w:rPr>
          <w:i/>
        </w:rPr>
        <w:t xml:space="preserve"> </w:t>
      </w:r>
      <w:r w:rsidR="00743301" w:rsidRPr="006D7933">
        <w:t xml:space="preserve">the </w:t>
      </w:r>
      <w:r w:rsidR="00743301" w:rsidRPr="006D7933">
        <w:rPr>
          <w:i/>
        </w:rPr>
        <w:t xml:space="preserve">Treasury Laws Amendment (Measures for Consultation) </w:t>
      </w:r>
      <w:r w:rsidR="007A062F" w:rsidRPr="006D7933">
        <w:rPr>
          <w:i/>
        </w:rPr>
        <w:t>Act</w:t>
      </w:r>
      <w:r w:rsidR="00743301" w:rsidRPr="006D7933">
        <w:rPr>
          <w:i/>
        </w:rPr>
        <w:t xml:space="preserve"> 2021</w:t>
      </w:r>
      <w:r w:rsidRPr="006D7933">
        <w:rPr>
          <w:i/>
        </w:rPr>
        <w:t xml:space="preserve"> </w:t>
      </w:r>
      <w:r w:rsidRPr="006D7933">
        <w:t xml:space="preserve">applies for the financial year beginning on </w:t>
      </w:r>
      <w:r w:rsidR="0087255C">
        <w:t>1 July</w:t>
      </w:r>
      <w:r w:rsidRPr="006D7933">
        <w:t xml:space="preserve"> 2021.</w:t>
      </w:r>
      <w:bookmarkEnd w:id="2"/>
    </w:p>
    <w:p w14:paraId="7522D248" w14:textId="77777777" w:rsidR="00E54584" w:rsidRPr="006D7933" w:rsidRDefault="00E54584" w:rsidP="0087255C">
      <w:pPr>
        <w:pStyle w:val="ActHead9"/>
      </w:pPr>
      <w:bookmarkStart w:id="3" w:name="_Hlk81320043"/>
      <w:r w:rsidRPr="006D7933">
        <w:t>Competition and Consumer Act 2010</w:t>
      </w:r>
    </w:p>
    <w:p w14:paraId="53EA0094" w14:textId="77777777" w:rsidR="00E54584" w:rsidRPr="006D7933" w:rsidRDefault="00C67199" w:rsidP="0087255C">
      <w:pPr>
        <w:pStyle w:val="ItemHead"/>
      </w:pPr>
      <w:proofErr w:type="gramStart"/>
      <w:r>
        <w:t>3</w:t>
      </w:r>
      <w:r w:rsidR="00E54584" w:rsidRPr="006D7933">
        <w:t xml:space="preserve">  </w:t>
      </w:r>
      <w:r w:rsidR="006D7933" w:rsidRPr="006D7933">
        <w:t>Section</w:t>
      </w:r>
      <w:proofErr w:type="gramEnd"/>
      <w:r w:rsidR="006D7933" w:rsidRPr="006D7933">
        <w:t> 4</w:t>
      </w:r>
      <w:r w:rsidR="00E54584" w:rsidRPr="006D7933">
        <w:t>B</w:t>
      </w:r>
    </w:p>
    <w:p w14:paraId="5325014F" w14:textId="77777777" w:rsidR="00E54584" w:rsidRPr="006D7933" w:rsidRDefault="00E54584" w:rsidP="0087255C">
      <w:pPr>
        <w:pStyle w:val="Item"/>
      </w:pPr>
      <w:r w:rsidRPr="006D7933">
        <w:t>Before “For”, insert “(1)”.</w:t>
      </w:r>
    </w:p>
    <w:p w14:paraId="4DB021D8" w14:textId="77777777" w:rsidR="00E54584" w:rsidRPr="006D7933" w:rsidRDefault="00C67199" w:rsidP="0087255C">
      <w:pPr>
        <w:pStyle w:val="ItemHead"/>
      </w:pPr>
      <w:proofErr w:type="gramStart"/>
      <w:r>
        <w:t>4</w:t>
      </w:r>
      <w:r w:rsidR="00E54584" w:rsidRPr="006D7933">
        <w:t xml:space="preserve">  At</w:t>
      </w:r>
      <w:proofErr w:type="gramEnd"/>
      <w:r w:rsidR="00E54584" w:rsidRPr="006D7933">
        <w:t xml:space="preserve"> the end of </w:t>
      </w:r>
      <w:r w:rsidR="006D7933" w:rsidRPr="006D7933">
        <w:t>section 4</w:t>
      </w:r>
      <w:r w:rsidR="00E54584" w:rsidRPr="006D7933">
        <w:t>B</w:t>
      </w:r>
    </w:p>
    <w:p w14:paraId="790F35C1" w14:textId="77777777" w:rsidR="00E54584" w:rsidRPr="006D7933" w:rsidRDefault="00E54584" w:rsidP="0087255C">
      <w:pPr>
        <w:pStyle w:val="Item"/>
      </w:pPr>
      <w:r w:rsidRPr="006D7933">
        <w:t>Add:</w:t>
      </w:r>
    </w:p>
    <w:p w14:paraId="578E2898" w14:textId="77777777" w:rsidR="00E54584" w:rsidRPr="006D7933" w:rsidRDefault="00E54584" w:rsidP="0087255C">
      <w:pPr>
        <w:pStyle w:val="subsection"/>
      </w:pPr>
      <w:r w:rsidRPr="006D7933">
        <w:tab/>
        <w:t>(2)</w:t>
      </w:r>
      <w:r w:rsidRPr="006D7933">
        <w:tab/>
        <w:t xml:space="preserve">If it is alleged in any proceeding under this Act, or in any other proceeding in respect of a matter arising under this Act, that a person was a consumer in relation to </w:t>
      </w:r>
      <w:proofErr w:type="gramStart"/>
      <w:r w:rsidRPr="006D7933">
        <w:t>particular goods</w:t>
      </w:r>
      <w:proofErr w:type="gramEnd"/>
      <w:r w:rsidRPr="006D7933">
        <w:t xml:space="preserve"> or services, it is presumed, unless the contrary is established, that the person was a consumer in relation to those goods or services.</w:t>
      </w:r>
    </w:p>
    <w:p w14:paraId="03B83640" w14:textId="77777777" w:rsidR="00E54584" w:rsidRPr="006D7933" w:rsidRDefault="00C67199" w:rsidP="0087255C">
      <w:pPr>
        <w:pStyle w:val="Transitional"/>
      </w:pPr>
      <w:proofErr w:type="gramStart"/>
      <w:r>
        <w:lastRenderedPageBreak/>
        <w:t>5</w:t>
      </w:r>
      <w:r w:rsidR="00E54584" w:rsidRPr="006D7933">
        <w:t xml:space="preserve">  Application</w:t>
      </w:r>
      <w:proofErr w:type="gramEnd"/>
    </w:p>
    <w:p w14:paraId="4D05DF5C" w14:textId="77777777" w:rsidR="00E54584" w:rsidRPr="006D7933" w:rsidRDefault="00E54584" w:rsidP="0087255C">
      <w:pPr>
        <w:pStyle w:val="Item"/>
      </w:pPr>
      <w:r w:rsidRPr="006D7933">
        <w:t xml:space="preserve">The amendments of </w:t>
      </w:r>
      <w:r w:rsidR="006D7933" w:rsidRPr="006D7933">
        <w:t>section 4</w:t>
      </w:r>
      <w:r w:rsidRPr="006D7933">
        <w:t xml:space="preserve">B of the </w:t>
      </w:r>
      <w:r w:rsidRPr="006D7933">
        <w:rPr>
          <w:i/>
        </w:rPr>
        <w:t>Competition and Consumer Act 2010</w:t>
      </w:r>
      <w:r w:rsidRPr="006D7933">
        <w:t xml:space="preserve"> made by this Part apply in relation to an allegation in a proceeding commenced on</w:t>
      </w:r>
      <w:r w:rsidR="00DF3227">
        <w:t xml:space="preserve"> or</w:t>
      </w:r>
      <w:r w:rsidRPr="006D7933">
        <w:t xml:space="preserve"> after the commencement of this Part (regardless of when the conduct to which the allegation relates occurred).</w:t>
      </w:r>
    </w:p>
    <w:bookmarkEnd w:id="3"/>
    <w:p w14:paraId="7556A968" w14:textId="77777777" w:rsidR="006D7E4D" w:rsidRPr="006D7933" w:rsidRDefault="00C67199" w:rsidP="0087255C">
      <w:pPr>
        <w:pStyle w:val="ItemHead"/>
      </w:pPr>
      <w:proofErr w:type="gramStart"/>
      <w:r>
        <w:t>6</w:t>
      </w:r>
      <w:r w:rsidR="006D7E4D" w:rsidRPr="006D7933">
        <w:t xml:space="preserve">  </w:t>
      </w:r>
      <w:r w:rsidR="006D7933" w:rsidRPr="006D7933">
        <w:t>Paragraph</w:t>
      </w:r>
      <w:proofErr w:type="gramEnd"/>
      <w:r w:rsidR="006D7933" w:rsidRPr="006D7933">
        <w:t> 7</w:t>
      </w:r>
      <w:r w:rsidR="006D7E4D" w:rsidRPr="006D7933">
        <w:t>6(1A)(</w:t>
      </w:r>
      <w:proofErr w:type="spellStart"/>
      <w:r w:rsidR="006D7E4D" w:rsidRPr="006D7933">
        <w:t>cb</w:t>
      </w:r>
      <w:proofErr w:type="spellEnd"/>
      <w:r w:rsidR="006D7E4D" w:rsidRPr="006D7933">
        <w:t>)</w:t>
      </w:r>
    </w:p>
    <w:p w14:paraId="18ADE495" w14:textId="77777777" w:rsidR="006D7E4D" w:rsidRPr="006D7933" w:rsidRDefault="006D7E4D" w:rsidP="0087255C">
      <w:pPr>
        <w:pStyle w:val="Item"/>
      </w:pPr>
      <w:r w:rsidRPr="006D7933">
        <w:t>Omit “the amount of that pecuniary penalty”, substitute “the lesser of the amount of that pecuniary penalty and $10,000,000”.</w:t>
      </w:r>
    </w:p>
    <w:p w14:paraId="6226EDE3" w14:textId="77777777" w:rsidR="006D7E4D" w:rsidRPr="006D7933" w:rsidRDefault="00C67199" w:rsidP="0087255C">
      <w:pPr>
        <w:pStyle w:val="ItemHead"/>
      </w:pPr>
      <w:proofErr w:type="gramStart"/>
      <w:r>
        <w:t>7</w:t>
      </w:r>
      <w:r w:rsidR="006D7E4D" w:rsidRPr="006D7933">
        <w:t xml:space="preserve">  </w:t>
      </w:r>
      <w:r w:rsidR="006D7933" w:rsidRPr="006D7933">
        <w:t>Paragraph</w:t>
      </w:r>
      <w:proofErr w:type="gramEnd"/>
      <w:r w:rsidR="006D7933" w:rsidRPr="006D7933">
        <w:t> 7</w:t>
      </w:r>
      <w:r w:rsidR="006D7E4D" w:rsidRPr="006D7933">
        <w:t>6(1B)(</w:t>
      </w:r>
      <w:proofErr w:type="spellStart"/>
      <w:r w:rsidR="006D7E4D" w:rsidRPr="006D7933">
        <w:t>aab</w:t>
      </w:r>
      <w:proofErr w:type="spellEnd"/>
      <w:r w:rsidR="006D7E4D" w:rsidRPr="006D7933">
        <w:t>)</w:t>
      </w:r>
    </w:p>
    <w:p w14:paraId="0A80FB6E" w14:textId="77777777" w:rsidR="006D7E4D" w:rsidRPr="006D7933" w:rsidRDefault="006D7E4D" w:rsidP="0087255C">
      <w:pPr>
        <w:pStyle w:val="Item"/>
      </w:pPr>
      <w:r w:rsidRPr="006D7933">
        <w:t>Omit “the amount of that pecuniary penalty”, substitute “the lesser of the amount of that pecuniary penalty and $500,000”.</w:t>
      </w:r>
    </w:p>
    <w:p w14:paraId="113A55E6" w14:textId="77777777" w:rsidR="00AD61C2" w:rsidRPr="006D7933" w:rsidRDefault="00AD61C2" w:rsidP="0087255C">
      <w:pPr>
        <w:pStyle w:val="ActHead9"/>
      </w:pPr>
      <w:r w:rsidRPr="006D7933">
        <w:t>Corporations Act 2001</w:t>
      </w:r>
    </w:p>
    <w:p w14:paraId="05FE0F1B" w14:textId="77777777" w:rsidR="00E54584" w:rsidRPr="006D7933" w:rsidRDefault="00C67199" w:rsidP="0087255C">
      <w:pPr>
        <w:pStyle w:val="ItemHead"/>
      </w:pPr>
      <w:proofErr w:type="gramStart"/>
      <w:r>
        <w:t>8</w:t>
      </w:r>
      <w:r w:rsidR="00E54584" w:rsidRPr="006D7933">
        <w:t xml:space="preserve">  At</w:t>
      </w:r>
      <w:proofErr w:type="gramEnd"/>
      <w:r w:rsidR="00E54584" w:rsidRPr="006D7933">
        <w:t xml:space="preserve"> the end of </w:t>
      </w:r>
      <w:r w:rsidR="006D7933" w:rsidRPr="006D7933">
        <w:t>subsection 9</w:t>
      </w:r>
      <w:r w:rsidR="00E54584" w:rsidRPr="006D7933">
        <w:t>12D(3)</w:t>
      </w:r>
    </w:p>
    <w:p w14:paraId="7E963B46" w14:textId="77777777" w:rsidR="00E54584" w:rsidRPr="006D7933" w:rsidRDefault="00E54584" w:rsidP="0087255C">
      <w:pPr>
        <w:pStyle w:val="Item"/>
      </w:pPr>
      <w:r w:rsidRPr="006D7933">
        <w:t>Add:</w:t>
      </w:r>
    </w:p>
    <w:p w14:paraId="646CDCAC" w14:textId="77777777" w:rsidR="00E54584" w:rsidRPr="006D7933" w:rsidRDefault="00E54584" w:rsidP="0087255C">
      <w:pPr>
        <w:pStyle w:val="paragraph"/>
      </w:pPr>
      <w:r w:rsidRPr="006D7933">
        <w:tab/>
        <w:t>; (e)</w:t>
      </w:r>
      <w:r w:rsidRPr="006D7933">
        <w:tab/>
        <w:t>an obligation of a representative of the licensee under the financial services law, so far as it relates to provisions of this Act or the ASIC Act referred to in paragraphs (a), (b), (</w:t>
      </w:r>
      <w:proofErr w:type="spellStart"/>
      <w:r w:rsidRPr="006D7933">
        <w:t>ba</w:t>
      </w:r>
      <w:proofErr w:type="spellEnd"/>
      <w:r w:rsidRPr="006D7933">
        <w:t xml:space="preserve">) and (c) of the definition of </w:t>
      </w:r>
      <w:r w:rsidRPr="006D7933">
        <w:rPr>
          <w:b/>
          <w:i/>
        </w:rPr>
        <w:t>financial services law</w:t>
      </w:r>
      <w:r w:rsidRPr="006D7933">
        <w:t xml:space="preserve"> in section 761A.</w:t>
      </w:r>
    </w:p>
    <w:p w14:paraId="3F5A9038" w14:textId="77777777" w:rsidR="00E54584" w:rsidRPr="006D7933" w:rsidRDefault="00C67199" w:rsidP="0087255C">
      <w:pPr>
        <w:pStyle w:val="ItemHead"/>
      </w:pPr>
      <w:proofErr w:type="gramStart"/>
      <w:r>
        <w:t>9</w:t>
      </w:r>
      <w:r w:rsidR="00E54584" w:rsidRPr="006D7933">
        <w:t xml:space="preserve">  At</w:t>
      </w:r>
      <w:proofErr w:type="gramEnd"/>
      <w:r w:rsidR="00E54584" w:rsidRPr="006D7933">
        <w:t xml:space="preserve"> the end of </w:t>
      </w:r>
      <w:r w:rsidR="006D7933" w:rsidRPr="006D7933">
        <w:t>section 9</w:t>
      </w:r>
      <w:r w:rsidR="00E54584" w:rsidRPr="006D7933">
        <w:t>12D</w:t>
      </w:r>
    </w:p>
    <w:p w14:paraId="105B971A" w14:textId="77777777" w:rsidR="00E54584" w:rsidRPr="006D7933" w:rsidRDefault="00E54584" w:rsidP="0087255C">
      <w:pPr>
        <w:pStyle w:val="Item"/>
      </w:pPr>
      <w:r w:rsidRPr="006D7933">
        <w:t>Add:</w:t>
      </w:r>
    </w:p>
    <w:p w14:paraId="24C0835C" w14:textId="77777777" w:rsidR="0028658D" w:rsidRPr="006D7933" w:rsidRDefault="00E54584" w:rsidP="0087255C">
      <w:pPr>
        <w:pStyle w:val="subsection"/>
      </w:pPr>
      <w:r w:rsidRPr="006D7933">
        <w:tab/>
        <w:t>(6)</w:t>
      </w:r>
      <w:r w:rsidRPr="006D7933">
        <w:tab/>
        <w:t xml:space="preserve">Regulations for the purposes of </w:t>
      </w:r>
      <w:r w:rsidR="006D7933" w:rsidRPr="006D7933">
        <w:t>paragraph (</w:t>
      </w:r>
      <w:r w:rsidRPr="006D7933">
        <w:t xml:space="preserve">4)(b) may prescribe a civil penalty provision to the extent that it relates </w:t>
      </w:r>
      <w:r w:rsidR="0028658D" w:rsidRPr="006D7933">
        <w:t>to the following:</w:t>
      </w:r>
    </w:p>
    <w:p w14:paraId="087C1BC5" w14:textId="77777777" w:rsidR="004A4518" w:rsidRPr="006D7933" w:rsidRDefault="004A4518" w:rsidP="0087255C">
      <w:pPr>
        <w:pStyle w:val="paragraph"/>
      </w:pPr>
      <w:r w:rsidRPr="006D7933">
        <w:tab/>
        <w:t>(a)</w:t>
      </w:r>
      <w:r w:rsidRPr="006D7933">
        <w:tab/>
        <w:t xml:space="preserve">contraventions of specified </w:t>
      </w:r>
      <w:proofErr w:type="gramStart"/>
      <w:r w:rsidRPr="006D7933">
        <w:t>provisions;</w:t>
      </w:r>
      <w:proofErr w:type="gramEnd"/>
    </w:p>
    <w:p w14:paraId="1C4202A6" w14:textId="77777777" w:rsidR="004A4518" w:rsidRPr="006D7933" w:rsidRDefault="004A4518" w:rsidP="0087255C">
      <w:pPr>
        <w:pStyle w:val="paragraph"/>
      </w:pPr>
      <w:r w:rsidRPr="006D7933">
        <w:tab/>
        <w:t>(b)</w:t>
      </w:r>
      <w:r w:rsidRPr="006D7933">
        <w:tab/>
        <w:t>specified matters.</w:t>
      </w:r>
    </w:p>
    <w:p w14:paraId="2B6C68FB" w14:textId="77777777" w:rsidR="006D7E4D" w:rsidRPr="006D7933" w:rsidRDefault="00C67199" w:rsidP="0087255C">
      <w:pPr>
        <w:pStyle w:val="ItemHead"/>
      </w:pPr>
      <w:proofErr w:type="gramStart"/>
      <w:r>
        <w:t>10</w:t>
      </w:r>
      <w:r w:rsidR="006D7E4D" w:rsidRPr="006D7933">
        <w:t xml:space="preserve">  </w:t>
      </w:r>
      <w:r w:rsidR="006D7933" w:rsidRPr="006D7933">
        <w:t>Subsection</w:t>
      </w:r>
      <w:proofErr w:type="gramEnd"/>
      <w:r w:rsidR="006D7933" w:rsidRPr="006D7933">
        <w:t> 9</w:t>
      </w:r>
      <w:r w:rsidR="006D7E4D" w:rsidRPr="006D7933">
        <w:t>16B(3)</w:t>
      </w:r>
    </w:p>
    <w:p w14:paraId="79043461" w14:textId="77777777" w:rsidR="006D7E4D" w:rsidRPr="006D7933" w:rsidRDefault="006D7E4D" w:rsidP="0087255C">
      <w:pPr>
        <w:pStyle w:val="Item"/>
      </w:pPr>
      <w:r w:rsidRPr="006D7933">
        <w:t xml:space="preserve">Repeal the </w:t>
      </w:r>
      <w:r w:rsidR="006D7933" w:rsidRPr="006D7933">
        <w:t>subsection (</w:t>
      </w:r>
      <w:r w:rsidRPr="006D7933">
        <w:t>not including the note), substitute:</w:t>
      </w:r>
    </w:p>
    <w:p w14:paraId="315A6D38" w14:textId="77777777" w:rsidR="006D7E4D" w:rsidRPr="006D7933" w:rsidRDefault="006D7E4D" w:rsidP="0087255C">
      <w:pPr>
        <w:pStyle w:val="subsection"/>
      </w:pPr>
      <w:r w:rsidRPr="006D7933">
        <w:tab/>
        <w:t>(3)</w:t>
      </w:r>
      <w:r w:rsidRPr="006D7933">
        <w:tab/>
        <w:t>An authorised representative (</w:t>
      </w:r>
      <w:r w:rsidRPr="006D7933">
        <w:rPr>
          <w:b/>
          <w:i/>
        </w:rPr>
        <w:t>authoriser</w:t>
      </w:r>
      <w:r w:rsidRPr="006D7933">
        <w:t>) of a financial services licensee may, in that capacity, give an individual a written notice authorising that individual, for the purposes of this Chapter, to provide a specified financial service or financial services on behalf of the licensee, but only if the licensee consents in writing given to the authoriser.</w:t>
      </w:r>
    </w:p>
    <w:p w14:paraId="751CBA1C" w14:textId="77777777" w:rsidR="006D7E4D" w:rsidRPr="006D7933" w:rsidRDefault="00C67199" w:rsidP="0087255C">
      <w:pPr>
        <w:pStyle w:val="ItemHead"/>
      </w:pPr>
      <w:proofErr w:type="gramStart"/>
      <w:r>
        <w:lastRenderedPageBreak/>
        <w:t>11</w:t>
      </w:r>
      <w:r w:rsidR="006D7E4D" w:rsidRPr="006D7933">
        <w:t xml:space="preserve">  After</w:t>
      </w:r>
      <w:proofErr w:type="gramEnd"/>
      <w:r w:rsidR="006D7E4D" w:rsidRPr="006D7933">
        <w:t xml:space="preserve"> </w:t>
      </w:r>
      <w:r w:rsidR="006D7933" w:rsidRPr="006D7933">
        <w:t>subsection 9</w:t>
      </w:r>
      <w:r w:rsidR="006D7E4D" w:rsidRPr="006D7933">
        <w:t>16B(3)</w:t>
      </w:r>
    </w:p>
    <w:p w14:paraId="6A1CA9EC" w14:textId="77777777" w:rsidR="006D7E4D" w:rsidRPr="006D7933" w:rsidRDefault="006D7E4D" w:rsidP="0087255C">
      <w:pPr>
        <w:pStyle w:val="Item"/>
      </w:pPr>
      <w:r w:rsidRPr="006D7933">
        <w:t>Insert:</w:t>
      </w:r>
    </w:p>
    <w:p w14:paraId="68AFB659" w14:textId="77777777" w:rsidR="006D7E4D" w:rsidRPr="006D7933" w:rsidRDefault="006D7E4D" w:rsidP="0087255C">
      <w:pPr>
        <w:pStyle w:val="subsection"/>
      </w:pPr>
      <w:r w:rsidRPr="006D7933">
        <w:tab/>
        <w:t>(3A)</w:t>
      </w:r>
      <w:r w:rsidRPr="006D7933">
        <w:tab/>
        <w:t xml:space="preserve">An individual who is authorised as mentioned in </w:t>
      </w:r>
      <w:r w:rsidR="006D7933" w:rsidRPr="006D7933">
        <w:t>subsection (</w:t>
      </w:r>
      <w:r w:rsidRPr="006D7933">
        <w:t xml:space="preserve">3) cannot, in that capacity, authorise another person under </w:t>
      </w:r>
      <w:r w:rsidR="006D7933" w:rsidRPr="006D7933">
        <w:t>subsection (</w:t>
      </w:r>
      <w:r w:rsidRPr="006D7933">
        <w:t>3).</w:t>
      </w:r>
    </w:p>
    <w:p w14:paraId="37F35896" w14:textId="77777777" w:rsidR="006D7E4D" w:rsidRPr="006D7933" w:rsidRDefault="00C67199" w:rsidP="0087255C">
      <w:pPr>
        <w:pStyle w:val="ItemHead"/>
      </w:pPr>
      <w:proofErr w:type="gramStart"/>
      <w:r>
        <w:t>12</w:t>
      </w:r>
      <w:r w:rsidR="006D7E4D" w:rsidRPr="006D7933">
        <w:t xml:space="preserve">  </w:t>
      </w:r>
      <w:r w:rsidR="006D7933" w:rsidRPr="006D7933">
        <w:t>Subsection</w:t>
      </w:r>
      <w:proofErr w:type="gramEnd"/>
      <w:r w:rsidR="006D7933" w:rsidRPr="006D7933">
        <w:t> 9</w:t>
      </w:r>
      <w:r w:rsidR="006D7E4D" w:rsidRPr="006D7933">
        <w:t>16B(5A)</w:t>
      </w:r>
    </w:p>
    <w:p w14:paraId="0D9A4DAF" w14:textId="77777777" w:rsidR="006D7E4D" w:rsidRPr="006D7933" w:rsidRDefault="006D7E4D" w:rsidP="0087255C">
      <w:pPr>
        <w:pStyle w:val="Item"/>
      </w:pPr>
      <w:r w:rsidRPr="006D7933">
        <w:t>Omit “a body corporate”, substitute “an authoriser”.</w:t>
      </w:r>
    </w:p>
    <w:p w14:paraId="73A2E838" w14:textId="77777777" w:rsidR="006D7E4D" w:rsidRPr="006D7933" w:rsidRDefault="00C67199" w:rsidP="0087255C">
      <w:pPr>
        <w:pStyle w:val="ItemHead"/>
      </w:pPr>
      <w:proofErr w:type="gramStart"/>
      <w:r>
        <w:t>13</w:t>
      </w:r>
      <w:r w:rsidR="006D7E4D" w:rsidRPr="006D7933">
        <w:t xml:space="preserve">  </w:t>
      </w:r>
      <w:r w:rsidR="006D7933" w:rsidRPr="006D7933">
        <w:t>Paragraph</w:t>
      </w:r>
      <w:proofErr w:type="gramEnd"/>
      <w:r w:rsidR="006D7933" w:rsidRPr="006D7933">
        <w:t> 9</w:t>
      </w:r>
      <w:r w:rsidR="006D7E4D" w:rsidRPr="006D7933">
        <w:t>16B(7)(b)</w:t>
      </w:r>
    </w:p>
    <w:p w14:paraId="4BB3AEA5" w14:textId="77777777" w:rsidR="006D7E4D" w:rsidRPr="006D7933" w:rsidRDefault="006D7E4D" w:rsidP="0087255C">
      <w:pPr>
        <w:pStyle w:val="Item"/>
      </w:pPr>
      <w:r w:rsidRPr="006D7933">
        <w:t>Omit “the body corporate”, substitute “the authoriser”.</w:t>
      </w:r>
    </w:p>
    <w:p w14:paraId="473FC4FC" w14:textId="77777777" w:rsidR="006D7E4D" w:rsidRPr="006D7933" w:rsidRDefault="00C67199" w:rsidP="0087255C">
      <w:pPr>
        <w:pStyle w:val="ItemHead"/>
      </w:pPr>
      <w:proofErr w:type="gramStart"/>
      <w:r>
        <w:t>14</w:t>
      </w:r>
      <w:r w:rsidR="006D7E4D" w:rsidRPr="006D7933">
        <w:t xml:space="preserve">  </w:t>
      </w:r>
      <w:r w:rsidR="006D7933" w:rsidRPr="006D7933">
        <w:t>Subsection</w:t>
      </w:r>
      <w:proofErr w:type="gramEnd"/>
      <w:r w:rsidR="006D7933" w:rsidRPr="006D7933">
        <w:t> 9</w:t>
      </w:r>
      <w:r w:rsidR="006D7E4D" w:rsidRPr="006D7933">
        <w:t>16B(9)</w:t>
      </w:r>
    </w:p>
    <w:p w14:paraId="7474D79A" w14:textId="77777777" w:rsidR="006D7E4D" w:rsidRPr="006D7933" w:rsidRDefault="006D7E4D" w:rsidP="0087255C">
      <w:pPr>
        <w:pStyle w:val="Item"/>
      </w:pPr>
      <w:r w:rsidRPr="006D7933">
        <w:t>Omit “the body corporate”, substitute “the authoriser”.</w:t>
      </w:r>
    </w:p>
    <w:p w14:paraId="418029E7" w14:textId="77777777" w:rsidR="006D7E4D" w:rsidRPr="006D7933" w:rsidRDefault="00C67199" w:rsidP="0087255C">
      <w:pPr>
        <w:pStyle w:val="ItemHead"/>
      </w:pPr>
      <w:proofErr w:type="gramStart"/>
      <w:r>
        <w:t>15</w:t>
      </w:r>
      <w:r w:rsidR="006D7E4D" w:rsidRPr="006D7933">
        <w:t xml:space="preserve">  </w:t>
      </w:r>
      <w:r w:rsidR="006D7933" w:rsidRPr="006D7933">
        <w:t>Paragraph</w:t>
      </w:r>
      <w:proofErr w:type="gramEnd"/>
      <w:r w:rsidR="006D7933" w:rsidRPr="006D7933">
        <w:t> 9</w:t>
      </w:r>
      <w:r w:rsidR="006D7E4D" w:rsidRPr="006D7933">
        <w:t>46C(3)(c)</w:t>
      </w:r>
    </w:p>
    <w:p w14:paraId="6CD45F9A" w14:textId="77777777" w:rsidR="006D7E4D" w:rsidRPr="006D7933" w:rsidRDefault="006D7E4D" w:rsidP="0087255C">
      <w:pPr>
        <w:pStyle w:val="Item"/>
      </w:pPr>
      <w:r w:rsidRPr="006D7933">
        <w:t>Omit “5 days”, substitute “5 business days”.</w:t>
      </w:r>
    </w:p>
    <w:p w14:paraId="2A648B3C" w14:textId="77777777" w:rsidR="006D7E4D" w:rsidRPr="006D7933" w:rsidRDefault="00C67199" w:rsidP="0087255C">
      <w:pPr>
        <w:pStyle w:val="ItemHead"/>
      </w:pPr>
      <w:proofErr w:type="gramStart"/>
      <w:r>
        <w:t>16</w:t>
      </w:r>
      <w:r w:rsidR="006D7E4D" w:rsidRPr="006D7933">
        <w:t xml:space="preserve">  </w:t>
      </w:r>
      <w:r w:rsidR="006D7933" w:rsidRPr="006D7933">
        <w:t>Paragraph</w:t>
      </w:r>
      <w:proofErr w:type="gramEnd"/>
      <w:r w:rsidR="006D7933" w:rsidRPr="006D7933">
        <w:t> 1</w:t>
      </w:r>
      <w:r w:rsidR="006D7E4D" w:rsidRPr="006D7933">
        <w:t>019B(3)(b)</w:t>
      </w:r>
    </w:p>
    <w:p w14:paraId="6E3E5309" w14:textId="77777777" w:rsidR="006D7E4D" w:rsidRPr="006D7933" w:rsidRDefault="006D7E4D" w:rsidP="0087255C">
      <w:pPr>
        <w:pStyle w:val="Item"/>
      </w:pPr>
      <w:r w:rsidRPr="006D7933">
        <w:t>Omit “5th day”, substitute “fifth business day”.</w:t>
      </w:r>
    </w:p>
    <w:p w14:paraId="68048318" w14:textId="77777777" w:rsidR="0014557F" w:rsidRPr="006D7933" w:rsidRDefault="00C67199" w:rsidP="0087255C">
      <w:pPr>
        <w:pStyle w:val="ItemHead"/>
      </w:pPr>
      <w:proofErr w:type="gramStart"/>
      <w:r>
        <w:t>17</w:t>
      </w:r>
      <w:r w:rsidR="0014557F" w:rsidRPr="006D7933">
        <w:t xml:space="preserve">  In</w:t>
      </w:r>
      <w:proofErr w:type="gramEnd"/>
      <w:r w:rsidR="0014557F" w:rsidRPr="006D7933">
        <w:t xml:space="preserve"> the appropriate position in Chapter 10</w:t>
      </w:r>
    </w:p>
    <w:p w14:paraId="10260F41" w14:textId="77777777" w:rsidR="0014557F" w:rsidRPr="006D7933" w:rsidRDefault="0014557F" w:rsidP="0087255C">
      <w:pPr>
        <w:pStyle w:val="Item"/>
      </w:pPr>
      <w:r w:rsidRPr="006D7933">
        <w:t>Insert:</w:t>
      </w:r>
    </w:p>
    <w:p w14:paraId="1F23FACB" w14:textId="77777777" w:rsidR="0014557F" w:rsidRPr="006D7933" w:rsidRDefault="006D7933" w:rsidP="0087255C">
      <w:pPr>
        <w:pStyle w:val="ActHead2"/>
      </w:pPr>
      <w:r w:rsidRPr="00146472">
        <w:rPr>
          <w:rStyle w:val="CharPartNo"/>
        </w:rPr>
        <w:t>Part 1</w:t>
      </w:r>
      <w:r w:rsidR="0014557F" w:rsidRPr="00146472">
        <w:rPr>
          <w:rStyle w:val="CharPartNo"/>
        </w:rPr>
        <w:t>0.</w:t>
      </w:r>
      <w:r w:rsidR="00DF3227" w:rsidRPr="00146472">
        <w:rPr>
          <w:rStyle w:val="CharPartNo"/>
        </w:rPr>
        <w:t>6</w:t>
      </w:r>
      <w:r w:rsidR="0067553D" w:rsidRPr="00146472">
        <w:rPr>
          <w:rStyle w:val="CharPartNo"/>
        </w:rPr>
        <w:t>2</w:t>
      </w:r>
      <w:r w:rsidR="0014557F" w:rsidRPr="006D7933">
        <w:t>—</w:t>
      </w:r>
      <w:r w:rsidR="0014557F" w:rsidRPr="00146472">
        <w:rPr>
          <w:rStyle w:val="CharPartText"/>
        </w:rPr>
        <w:t xml:space="preserve">Application provisions relating to </w:t>
      </w:r>
      <w:r w:rsidRPr="00146472">
        <w:rPr>
          <w:rStyle w:val="CharPartText"/>
        </w:rPr>
        <w:t>Schedule 1</w:t>
      </w:r>
      <w:r w:rsidR="0014557F" w:rsidRPr="00146472">
        <w:rPr>
          <w:rStyle w:val="CharPartText"/>
        </w:rPr>
        <w:t xml:space="preserve"> to the</w:t>
      </w:r>
      <w:r w:rsidR="00F4763C" w:rsidRPr="00146472">
        <w:rPr>
          <w:rStyle w:val="CharPartText"/>
        </w:rPr>
        <w:t xml:space="preserve"> Treasury Laws Amendment (Measures for Consultation) </w:t>
      </w:r>
      <w:r w:rsidR="007A062F" w:rsidRPr="00146472">
        <w:rPr>
          <w:rStyle w:val="CharPartText"/>
        </w:rPr>
        <w:t>Act</w:t>
      </w:r>
      <w:r w:rsidR="00F4763C" w:rsidRPr="00146472">
        <w:rPr>
          <w:rStyle w:val="CharPartText"/>
        </w:rPr>
        <w:t xml:space="preserve"> 2021</w:t>
      </w:r>
    </w:p>
    <w:p w14:paraId="425910D7" w14:textId="77777777" w:rsidR="00F4763C" w:rsidRPr="00146472" w:rsidRDefault="00F4763C" w:rsidP="0087255C">
      <w:pPr>
        <w:pStyle w:val="Header"/>
      </w:pPr>
      <w:r w:rsidRPr="00146472">
        <w:rPr>
          <w:rStyle w:val="CharDivNo"/>
        </w:rPr>
        <w:t xml:space="preserve"> </w:t>
      </w:r>
      <w:r w:rsidRPr="00146472">
        <w:rPr>
          <w:rStyle w:val="CharDivText"/>
        </w:rPr>
        <w:t xml:space="preserve"> </w:t>
      </w:r>
    </w:p>
    <w:p w14:paraId="6DE7F2CD" w14:textId="77777777" w:rsidR="0014557F" w:rsidRPr="006D7933" w:rsidRDefault="0014557F" w:rsidP="0087255C">
      <w:pPr>
        <w:pStyle w:val="ActHead5"/>
      </w:pPr>
      <w:proofErr w:type="gramStart"/>
      <w:r w:rsidRPr="00146472">
        <w:rPr>
          <w:rStyle w:val="CharSectno"/>
        </w:rPr>
        <w:t>168</w:t>
      </w:r>
      <w:r w:rsidR="00DF3227" w:rsidRPr="00146472">
        <w:rPr>
          <w:rStyle w:val="CharSectno"/>
        </w:rPr>
        <w:t>9</w:t>
      </w:r>
      <w:r w:rsidRPr="006D7933">
        <w:t xml:space="preserve">  Definitions</w:t>
      </w:r>
      <w:proofErr w:type="gramEnd"/>
    </w:p>
    <w:p w14:paraId="765A957C" w14:textId="77777777" w:rsidR="0014557F" w:rsidRPr="006D7933" w:rsidRDefault="0014557F" w:rsidP="0087255C">
      <w:pPr>
        <w:pStyle w:val="Item"/>
      </w:pPr>
      <w:r w:rsidRPr="006D7933">
        <w:t>In this Part:</w:t>
      </w:r>
    </w:p>
    <w:p w14:paraId="0C25AF5C" w14:textId="77777777" w:rsidR="0014557F" w:rsidRPr="006D7933" w:rsidRDefault="0014557F" w:rsidP="0087255C">
      <w:pPr>
        <w:pStyle w:val="Definition"/>
      </w:pPr>
      <w:r w:rsidRPr="006D7933">
        <w:rPr>
          <w:b/>
          <w:i/>
        </w:rPr>
        <w:t>amending Part</w:t>
      </w:r>
      <w:r w:rsidRPr="006D7933">
        <w:t xml:space="preserve"> means </w:t>
      </w:r>
      <w:r w:rsidR="006D7933" w:rsidRPr="006D7933">
        <w:t>Part 1</w:t>
      </w:r>
      <w:r w:rsidRPr="006D7933">
        <w:t xml:space="preserve"> of</w:t>
      </w:r>
      <w:r w:rsidR="00F4763C" w:rsidRPr="006D7933">
        <w:t xml:space="preserve"> </w:t>
      </w:r>
      <w:r w:rsidR="006D7933" w:rsidRPr="006D7933">
        <w:t>Schedule 1</w:t>
      </w:r>
      <w:r w:rsidR="00F4763C" w:rsidRPr="006D7933">
        <w:t xml:space="preserve"> to the</w:t>
      </w:r>
      <w:r w:rsidR="00F4763C" w:rsidRPr="006D7933">
        <w:rPr>
          <w:i/>
        </w:rPr>
        <w:t xml:space="preserve"> Treasury Laws Amendment (Measures for Consultation) </w:t>
      </w:r>
      <w:r w:rsidR="007A062F" w:rsidRPr="006D7933">
        <w:rPr>
          <w:i/>
        </w:rPr>
        <w:t>Act</w:t>
      </w:r>
      <w:r w:rsidR="00F4763C" w:rsidRPr="006D7933">
        <w:rPr>
          <w:i/>
        </w:rPr>
        <w:t xml:space="preserve"> 2021</w:t>
      </w:r>
      <w:r w:rsidRPr="007E79C0">
        <w:t>.</w:t>
      </w:r>
    </w:p>
    <w:p w14:paraId="1CC512E6" w14:textId="77777777" w:rsidR="0014557F" w:rsidRPr="006D7933" w:rsidRDefault="0014557F" w:rsidP="0087255C">
      <w:pPr>
        <w:pStyle w:val="Definition"/>
      </w:pPr>
      <w:r w:rsidRPr="006D7933">
        <w:rPr>
          <w:b/>
          <w:i/>
        </w:rPr>
        <w:t>commencement day</w:t>
      </w:r>
      <w:r w:rsidRPr="006D7933">
        <w:t xml:space="preserve"> means the day the amending </w:t>
      </w:r>
      <w:r w:rsidR="006D7933" w:rsidRPr="006D7933">
        <w:t>Part c</w:t>
      </w:r>
      <w:r w:rsidRPr="006D7933">
        <w:t>ommences.</w:t>
      </w:r>
    </w:p>
    <w:p w14:paraId="4F72B70E" w14:textId="77777777" w:rsidR="0014557F" w:rsidRPr="006D7933" w:rsidRDefault="0014557F" w:rsidP="0087255C">
      <w:pPr>
        <w:pStyle w:val="ActHead5"/>
      </w:pPr>
      <w:proofErr w:type="gramStart"/>
      <w:r w:rsidRPr="00146472">
        <w:rPr>
          <w:rStyle w:val="CharSectno"/>
        </w:rPr>
        <w:lastRenderedPageBreak/>
        <w:t>16</w:t>
      </w:r>
      <w:r w:rsidR="00DF3227" w:rsidRPr="00146472">
        <w:rPr>
          <w:rStyle w:val="CharSectno"/>
        </w:rPr>
        <w:t>90</w:t>
      </w:r>
      <w:r w:rsidRPr="006D7933">
        <w:t xml:space="preserve">  Application</w:t>
      </w:r>
      <w:proofErr w:type="gramEnd"/>
      <w:r w:rsidRPr="006D7933">
        <w:t xml:space="preserve"> of </w:t>
      </w:r>
      <w:r w:rsidR="006D7933" w:rsidRPr="006D7933">
        <w:t>paragraph 9</w:t>
      </w:r>
      <w:r w:rsidRPr="006D7933">
        <w:t>12D(3)(e)</w:t>
      </w:r>
    </w:p>
    <w:p w14:paraId="7EE56215" w14:textId="77777777" w:rsidR="0014557F" w:rsidRPr="006D7933" w:rsidRDefault="0014557F" w:rsidP="0087255C">
      <w:pPr>
        <w:pStyle w:val="subsection"/>
      </w:pPr>
      <w:r w:rsidRPr="006D7933">
        <w:tab/>
        <w:t>(1)</w:t>
      </w:r>
      <w:r w:rsidRPr="006D7933">
        <w:tab/>
      </w:r>
      <w:r w:rsidR="006D7933" w:rsidRPr="006D7933">
        <w:t>Paragraph 9</w:t>
      </w:r>
      <w:r w:rsidRPr="006D7933">
        <w:t xml:space="preserve">12D(3)(e), as inserted by the amending Part, applies in relation to a reportable situation that arises on or after </w:t>
      </w:r>
      <w:r w:rsidR="006D7933" w:rsidRPr="006D7933">
        <w:t>1 October</w:t>
      </w:r>
      <w:r w:rsidRPr="006D7933">
        <w:t xml:space="preserve"> 2021 that relates to a breach of an obligation referred to in that paragraph.</w:t>
      </w:r>
    </w:p>
    <w:p w14:paraId="40F0C334" w14:textId="77777777" w:rsidR="0014557F" w:rsidRPr="006D7933" w:rsidRDefault="0014557F" w:rsidP="0087255C">
      <w:pPr>
        <w:pStyle w:val="subsection"/>
      </w:pPr>
      <w:r w:rsidRPr="006D7933">
        <w:tab/>
        <w:t>(2)</w:t>
      </w:r>
      <w:r w:rsidRPr="006D7933">
        <w:tab/>
        <w:t>If:</w:t>
      </w:r>
    </w:p>
    <w:p w14:paraId="6F7D7A3A" w14:textId="77777777" w:rsidR="0014557F" w:rsidRPr="006D7933" w:rsidRDefault="0014557F" w:rsidP="0087255C">
      <w:pPr>
        <w:pStyle w:val="paragraph"/>
      </w:pPr>
      <w:r w:rsidRPr="006D7933">
        <w:tab/>
        <w:t>(a)</w:t>
      </w:r>
      <w:r w:rsidRPr="006D7933">
        <w:tab/>
        <w:t xml:space="preserve">due to </w:t>
      </w:r>
      <w:r w:rsidR="006D7933" w:rsidRPr="006D7933">
        <w:t>subsection (</w:t>
      </w:r>
      <w:r w:rsidRPr="006D7933">
        <w:t xml:space="preserve">1), a financial services licensee is required, under a provision in </w:t>
      </w:r>
      <w:r w:rsidR="006D7933" w:rsidRPr="006D7933">
        <w:t>Division 3</w:t>
      </w:r>
      <w:r w:rsidRPr="006D7933">
        <w:t xml:space="preserve"> of </w:t>
      </w:r>
      <w:r w:rsidR="006D7933" w:rsidRPr="006D7933">
        <w:t>Part 7</w:t>
      </w:r>
      <w:r w:rsidRPr="006D7933">
        <w:t>.6, to do a thing in relation to a reportable situation that arose before the commencement day; and</w:t>
      </w:r>
    </w:p>
    <w:p w14:paraId="3BC70931" w14:textId="77777777" w:rsidR="0014557F" w:rsidRPr="006D7933" w:rsidRDefault="0014557F" w:rsidP="0087255C">
      <w:pPr>
        <w:pStyle w:val="paragraph"/>
      </w:pPr>
      <w:r w:rsidRPr="006D7933">
        <w:tab/>
        <w:t>(b)</w:t>
      </w:r>
      <w:r w:rsidRPr="006D7933">
        <w:tab/>
        <w:t xml:space="preserve">that thing must be done within a period of a specified number of days after the licensee first knows about, or is reckless with respect to, </w:t>
      </w:r>
      <w:proofErr w:type="gramStart"/>
      <w:r w:rsidRPr="006D7933">
        <w:t>particular matters</w:t>
      </w:r>
      <w:proofErr w:type="gramEnd"/>
      <w:r w:rsidRPr="006D7933">
        <w:t>; and</w:t>
      </w:r>
    </w:p>
    <w:p w14:paraId="5DB87C08" w14:textId="77777777" w:rsidR="0014557F" w:rsidRPr="006D7933" w:rsidRDefault="0014557F" w:rsidP="0087255C">
      <w:pPr>
        <w:pStyle w:val="paragraph"/>
      </w:pPr>
      <w:r w:rsidRPr="006D7933">
        <w:tab/>
        <w:t>(c)</w:t>
      </w:r>
      <w:r w:rsidRPr="006D7933">
        <w:tab/>
        <w:t xml:space="preserve">that period began before the commencement </w:t>
      </w:r>
      <w:proofErr w:type="gramStart"/>
      <w:r w:rsidRPr="006D7933">
        <w:t>day;</w:t>
      </w:r>
      <w:proofErr w:type="gramEnd"/>
    </w:p>
    <w:p w14:paraId="097B39F1" w14:textId="77777777" w:rsidR="0014557F" w:rsidRPr="006D7933" w:rsidRDefault="0014557F" w:rsidP="0087255C">
      <w:pPr>
        <w:pStyle w:val="subsection2"/>
      </w:pPr>
      <w:r w:rsidRPr="006D7933">
        <w:t>then, that requirement is taken to be a requirement to do the thing within the specified number of days after the commencement day.</w:t>
      </w:r>
    </w:p>
    <w:p w14:paraId="576A8FC4" w14:textId="77777777" w:rsidR="0014557F" w:rsidRPr="006D7933" w:rsidRDefault="0014557F" w:rsidP="0087255C">
      <w:pPr>
        <w:pStyle w:val="ActHead5"/>
      </w:pPr>
      <w:proofErr w:type="gramStart"/>
      <w:r w:rsidRPr="00146472">
        <w:rPr>
          <w:rStyle w:val="CharSectno"/>
        </w:rPr>
        <w:t>16</w:t>
      </w:r>
      <w:r w:rsidR="00DF3227" w:rsidRPr="00146472">
        <w:rPr>
          <w:rStyle w:val="CharSectno"/>
        </w:rPr>
        <w:t>91</w:t>
      </w:r>
      <w:r w:rsidRPr="006D7933">
        <w:t xml:space="preserve">  Application</w:t>
      </w:r>
      <w:proofErr w:type="gramEnd"/>
      <w:r w:rsidRPr="006D7933">
        <w:t xml:space="preserve"> of </w:t>
      </w:r>
      <w:r w:rsidR="006D7933" w:rsidRPr="006D7933">
        <w:t>subsection 9</w:t>
      </w:r>
      <w:r w:rsidRPr="006D7933">
        <w:t>12D(6)</w:t>
      </w:r>
    </w:p>
    <w:p w14:paraId="2E1A3B67" w14:textId="77777777" w:rsidR="0014557F" w:rsidRPr="006D7933" w:rsidRDefault="006D7933" w:rsidP="0087255C">
      <w:pPr>
        <w:pStyle w:val="Item"/>
      </w:pPr>
      <w:r w:rsidRPr="006D7933">
        <w:t>Subsection 9</w:t>
      </w:r>
      <w:r w:rsidR="0014557F" w:rsidRPr="006D7933">
        <w:t>12</w:t>
      </w:r>
      <w:proofErr w:type="gramStart"/>
      <w:r w:rsidR="0014557F" w:rsidRPr="006D7933">
        <w:t>D(</w:t>
      </w:r>
      <w:proofErr w:type="gramEnd"/>
      <w:r w:rsidR="0014557F" w:rsidRPr="006D7933">
        <w:t>6), as inserted by the amending Part, applies in relation to a reportable situation that arises on or after the commencement day.</w:t>
      </w:r>
    </w:p>
    <w:p w14:paraId="3F65B928" w14:textId="77777777" w:rsidR="00DF3227" w:rsidRPr="006D7933" w:rsidRDefault="00DF3227" w:rsidP="0087255C">
      <w:pPr>
        <w:pStyle w:val="ActHead9"/>
      </w:pPr>
      <w:r w:rsidRPr="006D7933">
        <w:t>Foreign Acquisitions and Takeovers Act 1975</w:t>
      </w:r>
    </w:p>
    <w:p w14:paraId="3C7D0C19" w14:textId="77777777" w:rsidR="00DF3227" w:rsidRPr="006D7933" w:rsidRDefault="00C67199" w:rsidP="0087255C">
      <w:pPr>
        <w:pStyle w:val="ItemHead"/>
      </w:pPr>
      <w:proofErr w:type="gramStart"/>
      <w:r>
        <w:t>18</w:t>
      </w:r>
      <w:r w:rsidR="00DF3227" w:rsidRPr="006D7933">
        <w:t xml:space="preserve">  Paragraph</w:t>
      </w:r>
      <w:proofErr w:type="gramEnd"/>
      <w:r w:rsidR="00DF3227" w:rsidRPr="006D7933">
        <w:t> 62A(3)(b)</w:t>
      </w:r>
    </w:p>
    <w:p w14:paraId="2445E962" w14:textId="77777777" w:rsidR="00DF3227" w:rsidRPr="006D7933" w:rsidRDefault="00DF3227" w:rsidP="0087255C">
      <w:pPr>
        <w:pStyle w:val="Item"/>
      </w:pPr>
      <w:r w:rsidRPr="006D7933">
        <w:t>Omit “subsection (1)”, substitute “subsection (2)”.</w:t>
      </w:r>
    </w:p>
    <w:p w14:paraId="29172753" w14:textId="77777777" w:rsidR="00DF3227" w:rsidRPr="006D7933" w:rsidRDefault="00C67199" w:rsidP="0087255C">
      <w:pPr>
        <w:pStyle w:val="ItemHead"/>
      </w:pPr>
      <w:proofErr w:type="gramStart"/>
      <w:r>
        <w:t>19</w:t>
      </w:r>
      <w:r w:rsidR="00DF3227" w:rsidRPr="006D7933">
        <w:t xml:space="preserve">  Subsection</w:t>
      </w:r>
      <w:proofErr w:type="gramEnd"/>
      <w:r w:rsidR="00DF3227" w:rsidRPr="006D7933">
        <w:t> 76(4)</w:t>
      </w:r>
    </w:p>
    <w:p w14:paraId="784C6301" w14:textId="77777777" w:rsidR="00DF3227" w:rsidRPr="006D7933" w:rsidRDefault="00DF3227" w:rsidP="0087255C">
      <w:pPr>
        <w:pStyle w:val="Item"/>
      </w:pPr>
      <w:r w:rsidRPr="006D7933">
        <w:t>Omit “paragraph (1)(c)”, substitute “subparagraph (1)(b)(</w:t>
      </w:r>
      <w:proofErr w:type="spellStart"/>
      <w:r w:rsidRPr="006D7933">
        <w:t>i</w:t>
      </w:r>
      <w:proofErr w:type="spellEnd"/>
      <w:r w:rsidRPr="006D7933">
        <w:t>)”.</w:t>
      </w:r>
    </w:p>
    <w:p w14:paraId="257F24FC" w14:textId="77777777" w:rsidR="004A4518" w:rsidRPr="006D7933" w:rsidRDefault="004A4518" w:rsidP="0087255C">
      <w:pPr>
        <w:pStyle w:val="ActHead9"/>
      </w:pPr>
      <w:r w:rsidRPr="006D7933">
        <w:t>Income Tax Rates Act 1986</w:t>
      </w:r>
    </w:p>
    <w:p w14:paraId="19BAA8B2" w14:textId="77777777" w:rsidR="004A4518" w:rsidRPr="006D7933" w:rsidRDefault="00C67199" w:rsidP="0087255C">
      <w:pPr>
        <w:pStyle w:val="ItemHead"/>
      </w:pPr>
      <w:proofErr w:type="gramStart"/>
      <w:r>
        <w:t>20</w:t>
      </w:r>
      <w:r w:rsidR="004A4518" w:rsidRPr="006D7933">
        <w:t xml:space="preserve">  At</w:t>
      </w:r>
      <w:proofErr w:type="gramEnd"/>
      <w:r w:rsidR="004A4518" w:rsidRPr="006D7933">
        <w:t xml:space="preserve"> the end of </w:t>
      </w:r>
      <w:r w:rsidR="006D7933" w:rsidRPr="006D7933">
        <w:t>subsection 3</w:t>
      </w:r>
      <w:r w:rsidR="004A4518" w:rsidRPr="006D7933">
        <w:t>A(1)</w:t>
      </w:r>
    </w:p>
    <w:p w14:paraId="28E683A4" w14:textId="77777777" w:rsidR="004A4518" w:rsidRPr="006D7933" w:rsidRDefault="004A4518" w:rsidP="0087255C">
      <w:pPr>
        <w:pStyle w:val="Item"/>
      </w:pPr>
      <w:r w:rsidRPr="006D7933">
        <w:t>Add:</w:t>
      </w:r>
    </w:p>
    <w:p w14:paraId="2E54EF4A" w14:textId="77777777" w:rsidR="004A4518" w:rsidRPr="006D7933" w:rsidRDefault="004A4518" w:rsidP="0087255C">
      <w:pPr>
        <w:pStyle w:val="paragraph"/>
      </w:pPr>
      <w:r w:rsidRPr="006D7933">
        <w:tab/>
        <w:t>; or (d)</w:t>
      </w:r>
      <w:r w:rsidRPr="006D7933">
        <w:tab/>
        <w:t xml:space="preserve">a </w:t>
      </w:r>
      <w:r w:rsidR="002A230D">
        <w:t>S</w:t>
      </w:r>
      <w:r w:rsidR="00CB0995" w:rsidRPr="001B0A45">
        <w:t>ubclass 408 (Temporary Activity) visa</w:t>
      </w:r>
      <w:r w:rsidRPr="006D7933">
        <w:t xml:space="preserve"> if that visa was granted to allow the</w:t>
      </w:r>
      <w:r w:rsidR="001B0A45">
        <w:t xml:space="preserve"> individual</w:t>
      </w:r>
      <w:r w:rsidRPr="006D7933">
        <w:t xml:space="preserve"> to remain in Australia after the expiry of a visa of a kind described in </w:t>
      </w:r>
      <w:r w:rsidR="006D7933" w:rsidRPr="006D7933">
        <w:t>paragraph (</w:t>
      </w:r>
      <w:r w:rsidRPr="006D7933">
        <w:t xml:space="preserve">a), (b) or (c) </w:t>
      </w:r>
      <w:r w:rsidR="00A84D4A" w:rsidRPr="006D7933">
        <w:t xml:space="preserve">that was </w:t>
      </w:r>
      <w:r w:rsidRPr="006D7933">
        <w:t xml:space="preserve">held by the </w:t>
      </w:r>
      <w:r w:rsidR="00D34EE5">
        <w:t>individual</w:t>
      </w:r>
      <w:r w:rsidRPr="006D7933">
        <w:t>.</w:t>
      </w:r>
    </w:p>
    <w:p w14:paraId="0B6CB304" w14:textId="77777777" w:rsidR="004A4518" w:rsidRPr="006D7933" w:rsidRDefault="00C67199" w:rsidP="0087255C">
      <w:pPr>
        <w:pStyle w:val="Transitional"/>
      </w:pPr>
      <w:proofErr w:type="gramStart"/>
      <w:r>
        <w:lastRenderedPageBreak/>
        <w:t>21</w:t>
      </w:r>
      <w:r w:rsidR="004A4518" w:rsidRPr="006D7933">
        <w:t xml:space="preserve">  Application</w:t>
      </w:r>
      <w:proofErr w:type="gramEnd"/>
    </w:p>
    <w:p w14:paraId="641C5EB7" w14:textId="77777777" w:rsidR="001B0A45" w:rsidRPr="00D302DF" w:rsidRDefault="004A4518" w:rsidP="0087255C">
      <w:pPr>
        <w:pStyle w:val="Item"/>
      </w:pPr>
      <w:r w:rsidRPr="00D302DF">
        <w:t xml:space="preserve">The amendment </w:t>
      </w:r>
      <w:r w:rsidR="003135DD">
        <w:t>of</w:t>
      </w:r>
      <w:r w:rsidRPr="00D302DF">
        <w:t xml:space="preserve"> </w:t>
      </w:r>
      <w:r w:rsidR="006D7933" w:rsidRPr="00D302DF">
        <w:t>subsection 3</w:t>
      </w:r>
      <w:proofErr w:type="gramStart"/>
      <w:r w:rsidRPr="00D302DF">
        <w:t>A(</w:t>
      </w:r>
      <w:proofErr w:type="gramEnd"/>
      <w:r w:rsidRPr="00D302DF">
        <w:t xml:space="preserve">1) of the </w:t>
      </w:r>
      <w:r w:rsidRPr="00D302DF">
        <w:rPr>
          <w:i/>
        </w:rPr>
        <w:t>Income Tax Rates Act 1986</w:t>
      </w:r>
      <w:r w:rsidR="00686E62" w:rsidRPr="00D302DF">
        <w:t xml:space="preserve"> applies to an individual in relation to:</w:t>
      </w:r>
    </w:p>
    <w:p w14:paraId="2F6A9083" w14:textId="77777777" w:rsidR="00686E62" w:rsidRPr="00D302DF" w:rsidRDefault="001B0A45" w:rsidP="0087255C">
      <w:pPr>
        <w:pStyle w:val="paragraph"/>
      </w:pPr>
      <w:r w:rsidRPr="00D302DF">
        <w:tab/>
        <w:t>(a)</w:t>
      </w:r>
      <w:r w:rsidRPr="00D302DF">
        <w:tab/>
      </w:r>
      <w:r w:rsidR="00686E62" w:rsidRPr="00D302DF">
        <w:t>an income year</w:t>
      </w:r>
      <w:r w:rsidR="00D302DF">
        <w:t>,</w:t>
      </w:r>
      <w:r w:rsidR="00686E62" w:rsidRPr="00D302DF">
        <w:t xml:space="preserve"> </w:t>
      </w:r>
      <w:r w:rsidR="001D328B" w:rsidRPr="00D302DF">
        <w:t>i</w:t>
      </w:r>
      <w:r w:rsidR="00686E62" w:rsidRPr="00D302DF">
        <w:t>n relation to which the individual is a non</w:t>
      </w:r>
      <w:r w:rsidR="0087255C">
        <w:noBreakHyphen/>
      </w:r>
      <w:r w:rsidR="00686E62" w:rsidRPr="00D302DF">
        <w:t>resident taxpayer</w:t>
      </w:r>
      <w:r w:rsidR="00D302DF">
        <w:t>,</w:t>
      </w:r>
      <w:r w:rsidR="001D328B" w:rsidRPr="00D302DF">
        <w:t xml:space="preserve"> that begins on or after </w:t>
      </w:r>
      <w:r w:rsidR="0087255C">
        <w:t>1 July</w:t>
      </w:r>
      <w:r w:rsidR="001D328B" w:rsidRPr="00D302DF">
        <w:t xml:space="preserve"> 2019</w:t>
      </w:r>
      <w:r w:rsidR="00686E62" w:rsidRPr="00D302DF">
        <w:t>; and</w:t>
      </w:r>
    </w:p>
    <w:p w14:paraId="2636B900" w14:textId="77777777" w:rsidR="00D34EE5" w:rsidRDefault="00686E62" w:rsidP="0087255C">
      <w:pPr>
        <w:pStyle w:val="paragraph"/>
      </w:pPr>
      <w:r w:rsidRPr="00D302DF">
        <w:tab/>
        <w:t>(b)</w:t>
      </w:r>
      <w:r w:rsidRPr="00D302DF">
        <w:tab/>
        <w:t>an income year</w:t>
      </w:r>
      <w:r w:rsidR="001D328B" w:rsidRPr="00D302DF">
        <w:t>, in</w:t>
      </w:r>
      <w:r w:rsidRPr="00D302DF">
        <w:t xml:space="preserve"> relation to which the individual is a resident taxpayer</w:t>
      </w:r>
      <w:r w:rsidR="001D328B" w:rsidRPr="00D302DF">
        <w:t xml:space="preserve">, that begins on or after the first </w:t>
      </w:r>
      <w:r w:rsidR="0087255C">
        <w:t>1 July</w:t>
      </w:r>
      <w:r w:rsidR="001D328B" w:rsidRPr="00D302DF">
        <w:t xml:space="preserve"> to occur after the day this Part commences.</w:t>
      </w:r>
    </w:p>
    <w:p w14:paraId="1C63EC73" w14:textId="77777777" w:rsidR="00EE6646" w:rsidRPr="006D7933" w:rsidRDefault="00EE6646" w:rsidP="0087255C">
      <w:pPr>
        <w:pStyle w:val="ActHead9"/>
      </w:pPr>
      <w:r w:rsidRPr="006D7933">
        <w:t>National Consumer Credit Protection Act 2009</w:t>
      </w:r>
    </w:p>
    <w:p w14:paraId="4072BB23" w14:textId="77777777" w:rsidR="00E54584" w:rsidRPr="006D7933" w:rsidRDefault="00C67199" w:rsidP="0087255C">
      <w:pPr>
        <w:pStyle w:val="ItemHead"/>
      </w:pPr>
      <w:proofErr w:type="gramStart"/>
      <w:r>
        <w:t>22</w:t>
      </w:r>
      <w:r w:rsidR="00E54584" w:rsidRPr="006D7933">
        <w:t xml:space="preserve">  </w:t>
      </w:r>
      <w:r w:rsidR="0087255C">
        <w:t>Paragraph</w:t>
      </w:r>
      <w:proofErr w:type="gramEnd"/>
      <w:r w:rsidR="0087255C">
        <w:t> 5</w:t>
      </w:r>
      <w:r w:rsidR="00E54584" w:rsidRPr="006D7933">
        <w:t>0A(3)(c)</w:t>
      </w:r>
    </w:p>
    <w:p w14:paraId="0C8212DF" w14:textId="77777777" w:rsidR="00E54584" w:rsidRPr="006D7933" w:rsidRDefault="00E54584" w:rsidP="0087255C">
      <w:pPr>
        <w:pStyle w:val="Item"/>
      </w:pPr>
      <w:r w:rsidRPr="006D7933">
        <w:t>Repeal the paragraph, substitute:</w:t>
      </w:r>
    </w:p>
    <w:p w14:paraId="751AB0BA" w14:textId="77777777" w:rsidR="00E54584" w:rsidRPr="006D7933" w:rsidRDefault="00E54584" w:rsidP="0087255C">
      <w:pPr>
        <w:pStyle w:val="paragraph"/>
      </w:pPr>
      <w:r w:rsidRPr="006D7933">
        <w:tab/>
        <w:t>(c)</w:t>
      </w:r>
      <w:r w:rsidRPr="006D7933">
        <w:tab/>
        <w:t>the obligation under paragraph 47(1)(d), so far as it relates to Commonwealth legislation that is:</w:t>
      </w:r>
    </w:p>
    <w:p w14:paraId="1BFAC6DC" w14:textId="77777777" w:rsidR="00E54584" w:rsidRPr="006D7933" w:rsidRDefault="00E54584" w:rsidP="0087255C">
      <w:pPr>
        <w:pStyle w:val="paragraphsub"/>
      </w:pPr>
      <w:r w:rsidRPr="006D7933">
        <w:tab/>
        <w:t>(</w:t>
      </w:r>
      <w:proofErr w:type="spellStart"/>
      <w:r w:rsidRPr="006D7933">
        <w:t>i</w:t>
      </w:r>
      <w:proofErr w:type="spellEnd"/>
      <w:r w:rsidRPr="006D7933">
        <w:t>)</w:t>
      </w:r>
      <w:r w:rsidRPr="006D7933">
        <w:tab/>
        <w:t xml:space="preserve">covered by </w:t>
      </w:r>
      <w:r w:rsidR="006D7933" w:rsidRPr="006D7933">
        <w:t>paragraph (</w:t>
      </w:r>
      <w:r w:rsidRPr="006D7933">
        <w:t xml:space="preserve">d) of the definition of </w:t>
      </w:r>
      <w:r w:rsidRPr="006D7933">
        <w:rPr>
          <w:b/>
          <w:i/>
        </w:rPr>
        <w:t>credit legislation</w:t>
      </w:r>
      <w:r w:rsidR="004A4518" w:rsidRPr="006D7933">
        <w:rPr>
          <w:b/>
          <w:i/>
        </w:rPr>
        <w:t xml:space="preserve"> </w:t>
      </w:r>
      <w:r w:rsidR="004A4518" w:rsidRPr="006D7933">
        <w:t xml:space="preserve">in </w:t>
      </w:r>
      <w:r w:rsidR="006D7933" w:rsidRPr="006D7933">
        <w:t>subsection 5</w:t>
      </w:r>
      <w:r w:rsidR="004A4518" w:rsidRPr="006D7933">
        <w:t>(1)</w:t>
      </w:r>
      <w:r w:rsidRPr="006D7933">
        <w:t>; and</w:t>
      </w:r>
    </w:p>
    <w:p w14:paraId="7EAB9FFD" w14:textId="77777777" w:rsidR="00E54584" w:rsidRPr="006D7933" w:rsidRDefault="00E54584" w:rsidP="0087255C">
      <w:pPr>
        <w:pStyle w:val="paragraphsub"/>
      </w:pPr>
      <w:r w:rsidRPr="006D7933">
        <w:tab/>
        <w:t>(ii)</w:t>
      </w:r>
      <w:r w:rsidRPr="006D7933">
        <w:tab/>
        <w:t>specified in regulations made for the purposes of this subparagraph.</w:t>
      </w:r>
    </w:p>
    <w:p w14:paraId="1925A459" w14:textId="77777777" w:rsidR="00E54584" w:rsidRPr="006D7933" w:rsidRDefault="00C67199" w:rsidP="0087255C">
      <w:pPr>
        <w:pStyle w:val="ItemHead"/>
      </w:pPr>
      <w:bookmarkStart w:id="4" w:name="_Hlk81323816"/>
      <w:proofErr w:type="gramStart"/>
      <w:r>
        <w:t>23</w:t>
      </w:r>
      <w:r w:rsidR="00E54584" w:rsidRPr="006D7933">
        <w:t xml:space="preserve">  At</w:t>
      </w:r>
      <w:proofErr w:type="gramEnd"/>
      <w:r w:rsidR="00E54584" w:rsidRPr="006D7933">
        <w:t xml:space="preserve"> the end of </w:t>
      </w:r>
      <w:r w:rsidR="006D7933" w:rsidRPr="006D7933">
        <w:t>subsection 5</w:t>
      </w:r>
      <w:r w:rsidR="00E54584" w:rsidRPr="006D7933">
        <w:t>0A(3)</w:t>
      </w:r>
    </w:p>
    <w:p w14:paraId="541EB27D" w14:textId="77777777" w:rsidR="00E54584" w:rsidRPr="006D7933" w:rsidRDefault="00E54584" w:rsidP="0087255C">
      <w:pPr>
        <w:pStyle w:val="Item"/>
      </w:pPr>
      <w:r w:rsidRPr="006D7933">
        <w:t>Add:</w:t>
      </w:r>
    </w:p>
    <w:p w14:paraId="38B23C2E" w14:textId="77777777" w:rsidR="00E54584" w:rsidRPr="006D7933" w:rsidRDefault="00E54584" w:rsidP="0087255C">
      <w:pPr>
        <w:pStyle w:val="paragraph"/>
      </w:pPr>
      <w:r w:rsidRPr="006D7933">
        <w:tab/>
      </w:r>
      <w:bookmarkEnd w:id="4"/>
      <w:r w:rsidR="004A4518" w:rsidRPr="006D7933">
        <w:t>; (d)</w:t>
      </w:r>
      <w:r w:rsidR="004A4518" w:rsidRPr="006D7933">
        <w:tab/>
        <w:t xml:space="preserve">an obligation of a representative of the licensee under this Act, the Transitional Act, Division 2 of </w:t>
      </w:r>
      <w:r w:rsidR="006D7933" w:rsidRPr="006D7933">
        <w:t>Part 2</w:t>
      </w:r>
      <w:r w:rsidR="004A4518" w:rsidRPr="006D7933">
        <w:t xml:space="preserve"> of the ASIC </w:t>
      </w:r>
      <w:proofErr w:type="gramStart"/>
      <w:r w:rsidR="004A4518" w:rsidRPr="006D7933">
        <w:t>Act</w:t>
      </w:r>
      <w:proofErr w:type="gramEnd"/>
      <w:r w:rsidR="004A4518" w:rsidRPr="006D7933">
        <w:t xml:space="preserve"> or regulations made for the purpose of that Division.</w:t>
      </w:r>
    </w:p>
    <w:p w14:paraId="28BB713A" w14:textId="77777777" w:rsidR="00E54584" w:rsidRPr="006D7933" w:rsidRDefault="00C67199" w:rsidP="0087255C">
      <w:pPr>
        <w:pStyle w:val="ItemHead"/>
      </w:pPr>
      <w:proofErr w:type="gramStart"/>
      <w:r>
        <w:t>24</w:t>
      </w:r>
      <w:r w:rsidR="00E54584" w:rsidRPr="006D7933">
        <w:t xml:space="preserve">  After</w:t>
      </w:r>
      <w:proofErr w:type="gramEnd"/>
      <w:r w:rsidR="00E54584" w:rsidRPr="006D7933">
        <w:t xml:space="preserve"> </w:t>
      </w:r>
      <w:r w:rsidR="006D7933" w:rsidRPr="006D7933">
        <w:t>subsection 5</w:t>
      </w:r>
      <w:r w:rsidR="00E54584" w:rsidRPr="006D7933">
        <w:t>0A(5)</w:t>
      </w:r>
    </w:p>
    <w:p w14:paraId="39F3809B" w14:textId="77777777" w:rsidR="00E54584" w:rsidRPr="006D7933" w:rsidRDefault="00E54584" w:rsidP="0087255C">
      <w:pPr>
        <w:pStyle w:val="Item"/>
      </w:pPr>
      <w:r w:rsidRPr="006D7933">
        <w:t>Insert:</w:t>
      </w:r>
    </w:p>
    <w:p w14:paraId="4D999F89" w14:textId="77777777" w:rsidR="0028658D" w:rsidRPr="006D7933" w:rsidRDefault="00E54584" w:rsidP="0087255C">
      <w:pPr>
        <w:pStyle w:val="subsection"/>
      </w:pPr>
      <w:r w:rsidRPr="006D7933">
        <w:tab/>
        <w:t>(5A)</w:t>
      </w:r>
      <w:r w:rsidRPr="006D7933">
        <w:tab/>
        <w:t xml:space="preserve">Regulations for the purposes of </w:t>
      </w:r>
      <w:r w:rsidR="006D7933" w:rsidRPr="006D7933">
        <w:t>paragraph (</w:t>
      </w:r>
      <w:r w:rsidRPr="006D7933">
        <w:t>4)(b) may prescribe a civil penalty provision to the extent that it relates</w:t>
      </w:r>
      <w:r w:rsidR="0028658D" w:rsidRPr="006D7933">
        <w:t xml:space="preserve"> to the following:</w:t>
      </w:r>
    </w:p>
    <w:p w14:paraId="198A33D2" w14:textId="77777777" w:rsidR="004A4518" w:rsidRPr="006D7933" w:rsidRDefault="004A4518" w:rsidP="0087255C">
      <w:pPr>
        <w:pStyle w:val="paragraph"/>
      </w:pPr>
      <w:r w:rsidRPr="006D7933">
        <w:tab/>
        <w:t>(a)</w:t>
      </w:r>
      <w:r w:rsidRPr="006D7933">
        <w:tab/>
        <w:t xml:space="preserve">contraventions of specified </w:t>
      </w:r>
      <w:proofErr w:type="gramStart"/>
      <w:r w:rsidRPr="006D7933">
        <w:t>provisions;</w:t>
      </w:r>
      <w:proofErr w:type="gramEnd"/>
    </w:p>
    <w:p w14:paraId="65F2CC17" w14:textId="77777777" w:rsidR="004A4518" w:rsidRPr="006D7933" w:rsidRDefault="004A4518" w:rsidP="0087255C">
      <w:pPr>
        <w:pStyle w:val="paragraph"/>
      </w:pPr>
      <w:r w:rsidRPr="006D7933">
        <w:tab/>
        <w:t>(b)</w:t>
      </w:r>
      <w:r w:rsidRPr="006D7933">
        <w:tab/>
        <w:t>specified matters.</w:t>
      </w:r>
    </w:p>
    <w:p w14:paraId="2E8C6F2A" w14:textId="77777777" w:rsidR="008358E8" w:rsidRPr="006D7933" w:rsidRDefault="008358E8" w:rsidP="0087255C">
      <w:pPr>
        <w:pStyle w:val="ActHead9"/>
      </w:pPr>
      <w:r w:rsidRPr="006D7933">
        <w:t>National Consumer Credit Protection (Transitional and Consequential Provisions) Act 2009</w:t>
      </w:r>
    </w:p>
    <w:p w14:paraId="5C916BCF" w14:textId="77777777" w:rsidR="00E54584" w:rsidRPr="006D7933" w:rsidRDefault="00C67199" w:rsidP="00721E69">
      <w:pPr>
        <w:pStyle w:val="ItemHead"/>
      </w:pPr>
      <w:bookmarkStart w:id="5" w:name="_Hlk80711809"/>
      <w:proofErr w:type="gramStart"/>
      <w:r>
        <w:rPr>
          <w:lang w:eastAsia="en-US"/>
        </w:rPr>
        <w:t>25</w:t>
      </w:r>
      <w:r w:rsidR="00E54584" w:rsidRPr="006D7933">
        <w:t xml:space="preserve">  In</w:t>
      </w:r>
      <w:proofErr w:type="gramEnd"/>
      <w:r w:rsidR="00E54584" w:rsidRPr="006D7933">
        <w:t xml:space="preserve"> the a</w:t>
      </w:r>
      <w:bookmarkStart w:id="6" w:name="opcCurrentPosition"/>
      <w:bookmarkEnd w:id="6"/>
      <w:r w:rsidR="00E54584" w:rsidRPr="006D7933">
        <w:t>ppropriate position</w:t>
      </w:r>
    </w:p>
    <w:p w14:paraId="51E1BDF6" w14:textId="77777777" w:rsidR="00E54584" w:rsidRPr="006D7933" w:rsidRDefault="00E54584" w:rsidP="0087255C">
      <w:pPr>
        <w:pStyle w:val="Item"/>
      </w:pPr>
      <w:r w:rsidRPr="006D7933">
        <w:t>Insert:</w:t>
      </w:r>
    </w:p>
    <w:p w14:paraId="5C41776F" w14:textId="77777777" w:rsidR="00E54584" w:rsidRPr="006D7933" w:rsidRDefault="006D7933" w:rsidP="00427DF7">
      <w:pPr>
        <w:pStyle w:val="Specialc"/>
      </w:pPr>
      <w:r w:rsidRPr="00146472">
        <w:lastRenderedPageBreak/>
        <w:t>Schedule 2</w:t>
      </w:r>
      <w:r w:rsidR="00E54584" w:rsidRPr="00146472">
        <w:t>0</w:t>
      </w:r>
      <w:r w:rsidR="00E54584" w:rsidRPr="006D7933">
        <w:t>—</w:t>
      </w:r>
      <w:r w:rsidR="00E54584" w:rsidRPr="00146472">
        <w:t xml:space="preserve">Application provisions </w:t>
      </w:r>
      <w:r w:rsidR="00C5275E" w:rsidRPr="00146472">
        <w:t>relating</w:t>
      </w:r>
      <w:r w:rsidR="00E54584" w:rsidRPr="00146472">
        <w:t xml:space="preserve"> to </w:t>
      </w:r>
      <w:r w:rsidRPr="00146472">
        <w:t>Schedule 1</w:t>
      </w:r>
      <w:r w:rsidR="00E54584" w:rsidRPr="00146472">
        <w:t xml:space="preserve"> </w:t>
      </w:r>
      <w:r w:rsidR="00C44A16" w:rsidRPr="00146472">
        <w:t>to</w:t>
      </w:r>
      <w:r w:rsidR="00E54584" w:rsidRPr="00146472">
        <w:t xml:space="preserve"> the </w:t>
      </w:r>
      <w:r w:rsidR="00C44A16" w:rsidRPr="00146472">
        <w:t xml:space="preserve">Treasury Laws Amendment (Measures for Consultation) </w:t>
      </w:r>
      <w:r w:rsidR="007A062F" w:rsidRPr="00146472">
        <w:t>Act</w:t>
      </w:r>
      <w:r w:rsidR="00C44A16" w:rsidRPr="00146472">
        <w:t xml:space="preserve"> 2021</w:t>
      </w:r>
    </w:p>
    <w:p w14:paraId="568FBAD5" w14:textId="77777777" w:rsidR="00C5275E" w:rsidRPr="006D7933" w:rsidRDefault="00E54584" w:rsidP="0087255C">
      <w:pPr>
        <w:pStyle w:val="Header"/>
      </w:pPr>
      <w:r w:rsidRPr="00146472">
        <w:t xml:space="preserve">  </w:t>
      </w:r>
      <w:bookmarkStart w:id="7" w:name="_Hlk81494672"/>
      <w:r w:rsidR="00C5275E" w:rsidRPr="00146472">
        <w:t xml:space="preserve">  </w:t>
      </w:r>
    </w:p>
    <w:p w14:paraId="62FF7197" w14:textId="77777777" w:rsidR="00C5275E" w:rsidRPr="006D7933" w:rsidRDefault="00C5275E" w:rsidP="00C67199">
      <w:pPr>
        <w:pStyle w:val="Specialtr"/>
      </w:pPr>
      <w:proofErr w:type="gramStart"/>
      <w:r w:rsidRPr="006D7933">
        <w:t>1  Definitions</w:t>
      </w:r>
      <w:proofErr w:type="gramEnd"/>
    </w:p>
    <w:p w14:paraId="7CB5A37D" w14:textId="77777777" w:rsidR="00C5275E" w:rsidRPr="006D7933" w:rsidRDefault="00C5275E" w:rsidP="0087255C">
      <w:pPr>
        <w:pStyle w:val="Item"/>
      </w:pPr>
      <w:r w:rsidRPr="006D7933">
        <w:t>In this Schedule:</w:t>
      </w:r>
    </w:p>
    <w:p w14:paraId="5F4DF95B" w14:textId="77777777" w:rsidR="00C5275E" w:rsidRPr="006D7933" w:rsidRDefault="00C5275E" w:rsidP="0087255C">
      <w:pPr>
        <w:pStyle w:val="Item"/>
      </w:pPr>
      <w:r w:rsidRPr="006D7933">
        <w:rPr>
          <w:b/>
          <w:i/>
        </w:rPr>
        <w:t>amending Part</w:t>
      </w:r>
      <w:r w:rsidRPr="006D7933">
        <w:t xml:space="preserve"> means </w:t>
      </w:r>
      <w:r w:rsidR="006D7933" w:rsidRPr="006D7933">
        <w:t>Part 1</w:t>
      </w:r>
      <w:r w:rsidRPr="006D7933">
        <w:t xml:space="preserve"> of </w:t>
      </w:r>
      <w:r w:rsidR="006D7933" w:rsidRPr="006D7933">
        <w:t>Schedule 1</w:t>
      </w:r>
      <w:r w:rsidR="007A062F" w:rsidRPr="006D7933">
        <w:t xml:space="preserve"> to the</w:t>
      </w:r>
      <w:r w:rsidR="007A062F" w:rsidRPr="006D7933">
        <w:rPr>
          <w:i/>
        </w:rPr>
        <w:t xml:space="preserve"> Treasury Laws Amendment (Measures for Consultation) Act 2021</w:t>
      </w:r>
      <w:r w:rsidRPr="006D7933">
        <w:t>.</w:t>
      </w:r>
    </w:p>
    <w:p w14:paraId="4D63F724" w14:textId="77777777" w:rsidR="00C5275E" w:rsidRPr="006D7933" w:rsidRDefault="00C5275E" w:rsidP="0087255C">
      <w:pPr>
        <w:pStyle w:val="Item"/>
      </w:pPr>
      <w:r w:rsidRPr="006D7933">
        <w:rPr>
          <w:b/>
          <w:i/>
        </w:rPr>
        <w:t>commencement day</w:t>
      </w:r>
      <w:r w:rsidRPr="006D7933">
        <w:t xml:space="preserve"> means the day the amending </w:t>
      </w:r>
      <w:r w:rsidR="006D7933" w:rsidRPr="006D7933">
        <w:t>Part c</w:t>
      </w:r>
      <w:r w:rsidRPr="006D7933">
        <w:t>ommences.</w:t>
      </w:r>
    </w:p>
    <w:p w14:paraId="0F0D0D2D" w14:textId="77777777" w:rsidR="00C5275E" w:rsidRPr="006D7933" w:rsidRDefault="00C5275E" w:rsidP="00C67199">
      <w:pPr>
        <w:pStyle w:val="Specialtr"/>
      </w:pPr>
      <w:proofErr w:type="gramStart"/>
      <w:r w:rsidRPr="006D7933">
        <w:t>2  Application</w:t>
      </w:r>
      <w:proofErr w:type="gramEnd"/>
      <w:r w:rsidRPr="006D7933">
        <w:t xml:space="preserve"> of </w:t>
      </w:r>
      <w:r w:rsidR="006D7933" w:rsidRPr="006D7933">
        <w:t>paragraph 5</w:t>
      </w:r>
      <w:r w:rsidRPr="006D7933">
        <w:t>0A(3)(d) of the National Credit Act</w:t>
      </w:r>
    </w:p>
    <w:p w14:paraId="02BF3CCF" w14:textId="77777777" w:rsidR="00C5275E" w:rsidRPr="006D7933" w:rsidRDefault="00C5275E" w:rsidP="0087255C">
      <w:pPr>
        <w:pStyle w:val="Subitem"/>
      </w:pPr>
      <w:r w:rsidRPr="006D7933">
        <w:t>(1)</w:t>
      </w:r>
      <w:r w:rsidRPr="006D7933">
        <w:tab/>
      </w:r>
      <w:r w:rsidR="0087255C">
        <w:t>Paragraph 5</w:t>
      </w:r>
      <w:r w:rsidR="003E2E99" w:rsidRPr="006D7933">
        <w:t>0A(3)</w:t>
      </w:r>
      <w:r w:rsidR="006D7933" w:rsidRPr="006D7933">
        <w:t>(</w:t>
      </w:r>
      <w:r w:rsidRPr="006D7933">
        <w:t>d) of the National Credit Act, as inserted by the amending Part, appl</w:t>
      </w:r>
      <w:r w:rsidR="00F00548">
        <w:t>ies</w:t>
      </w:r>
      <w:r w:rsidRPr="006D7933">
        <w:t xml:space="preserve"> in relation to a reportable situation that arises on or after </w:t>
      </w:r>
      <w:r w:rsidR="006D7933" w:rsidRPr="006D7933">
        <w:t>1 October</w:t>
      </w:r>
      <w:r w:rsidRPr="006D7933">
        <w:t xml:space="preserve"> 2021 that relates to a breach of an obligation referred to in that paragraph.</w:t>
      </w:r>
    </w:p>
    <w:p w14:paraId="7D8C9348" w14:textId="77777777" w:rsidR="00C5275E" w:rsidRPr="006D7933" w:rsidRDefault="00C5275E" w:rsidP="0087255C">
      <w:pPr>
        <w:pStyle w:val="Subitem"/>
      </w:pPr>
      <w:r w:rsidRPr="006D7933">
        <w:t>(2)</w:t>
      </w:r>
      <w:r w:rsidRPr="006D7933">
        <w:tab/>
        <w:t>If:</w:t>
      </w:r>
    </w:p>
    <w:p w14:paraId="14FB394E" w14:textId="77777777" w:rsidR="00C5275E" w:rsidRPr="006D7933" w:rsidRDefault="00C5275E" w:rsidP="0087255C">
      <w:pPr>
        <w:pStyle w:val="paragraph"/>
      </w:pPr>
      <w:r w:rsidRPr="006D7933">
        <w:tab/>
        <w:t>(a)</w:t>
      </w:r>
      <w:r w:rsidRPr="006D7933">
        <w:tab/>
        <w:t xml:space="preserve">due to </w:t>
      </w:r>
      <w:r w:rsidR="006D7933" w:rsidRPr="006D7933">
        <w:t>subitem (</w:t>
      </w:r>
      <w:r w:rsidRPr="006D7933">
        <w:t xml:space="preserve">1), a licensee is required, under a provision in </w:t>
      </w:r>
      <w:r w:rsidR="006D7933" w:rsidRPr="006D7933">
        <w:t>Division 5</w:t>
      </w:r>
      <w:r w:rsidRPr="006D7933">
        <w:t xml:space="preserve"> of </w:t>
      </w:r>
      <w:r w:rsidR="006D7933" w:rsidRPr="006D7933">
        <w:t>Part 2</w:t>
      </w:r>
      <w:r w:rsidR="0087255C">
        <w:noBreakHyphen/>
      </w:r>
      <w:r w:rsidRPr="006D7933">
        <w:t>2 of the National Credit Act, to do a thing in relation to a reportable situation that arose before the commencement day; and</w:t>
      </w:r>
    </w:p>
    <w:p w14:paraId="04D23164" w14:textId="77777777" w:rsidR="00C5275E" w:rsidRPr="006D7933" w:rsidRDefault="00C5275E" w:rsidP="0087255C">
      <w:pPr>
        <w:pStyle w:val="paragraph"/>
      </w:pPr>
      <w:r w:rsidRPr="006D7933">
        <w:tab/>
        <w:t>(b)</w:t>
      </w:r>
      <w:r w:rsidRPr="006D7933">
        <w:tab/>
        <w:t xml:space="preserve">that thing must be done within a period of a specified number of days after the licensee first knows about, or is reckless with respect to, </w:t>
      </w:r>
      <w:proofErr w:type="gramStart"/>
      <w:r w:rsidRPr="006D7933">
        <w:t>particular matters</w:t>
      </w:r>
      <w:proofErr w:type="gramEnd"/>
      <w:r w:rsidRPr="006D7933">
        <w:t>; and</w:t>
      </w:r>
    </w:p>
    <w:p w14:paraId="0EBD8AD2" w14:textId="77777777" w:rsidR="00C5275E" w:rsidRPr="006D7933" w:rsidRDefault="00C5275E" w:rsidP="0087255C">
      <w:pPr>
        <w:pStyle w:val="paragraph"/>
      </w:pPr>
      <w:r w:rsidRPr="006D7933">
        <w:tab/>
        <w:t>(c)</w:t>
      </w:r>
      <w:r w:rsidRPr="006D7933">
        <w:tab/>
        <w:t xml:space="preserve">that period began before the commencement </w:t>
      </w:r>
      <w:proofErr w:type="gramStart"/>
      <w:r w:rsidRPr="006D7933">
        <w:t>day;</w:t>
      </w:r>
      <w:proofErr w:type="gramEnd"/>
    </w:p>
    <w:p w14:paraId="18834454" w14:textId="77777777" w:rsidR="00C5275E" w:rsidRPr="006D7933" w:rsidRDefault="00C5275E" w:rsidP="0087255C">
      <w:pPr>
        <w:pStyle w:val="Item"/>
      </w:pPr>
      <w:r w:rsidRPr="006D7933">
        <w:t>then, that requirement is taken to be a requirement to do the thing within the specified number of days after the commencement day.</w:t>
      </w:r>
    </w:p>
    <w:p w14:paraId="7EE0FA2B" w14:textId="77777777" w:rsidR="00C5275E" w:rsidRPr="006D7933" w:rsidRDefault="00C5275E" w:rsidP="00C67199">
      <w:pPr>
        <w:pStyle w:val="Specialtr"/>
      </w:pPr>
      <w:proofErr w:type="gramStart"/>
      <w:r w:rsidRPr="006D7933">
        <w:t>3  Application</w:t>
      </w:r>
      <w:proofErr w:type="gramEnd"/>
      <w:r w:rsidRPr="006D7933">
        <w:t xml:space="preserve"> of </w:t>
      </w:r>
      <w:r w:rsidR="006D7933" w:rsidRPr="006D7933">
        <w:t>paragraph 5</w:t>
      </w:r>
      <w:r w:rsidRPr="006D7933">
        <w:t xml:space="preserve">0A(3)(c) and </w:t>
      </w:r>
      <w:r w:rsidR="006D7933" w:rsidRPr="006D7933">
        <w:t>subsection 5</w:t>
      </w:r>
      <w:r w:rsidRPr="006D7933">
        <w:t>0A(5) of the National Credit Act</w:t>
      </w:r>
    </w:p>
    <w:p w14:paraId="17EA318B" w14:textId="77777777" w:rsidR="00C5275E" w:rsidRPr="006D7933" w:rsidRDefault="0087255C" w:rsidP="0087255C">
      <w:pPr>
        <w:pStyle w:val="Item"/>
      </w:pPr>
      <w:r>
        <w:t>Paragraph 5</w:t>
      </w:r>
      <w:r w:rsidR="00C5275E" w:rsidRPr="006D7933">
        <w:t xml:space="preserve">0A(3)(c) and </w:t>
      </w:r>
      <w:r w:rsidR="006D7933" w:rsidRPr="006D7933">
        <w:t>subsection 5</w:t>
      </w:r>
      <w:r w:rsidR="00C5275E" w:rsidRPr="006D7933">
        <w:t>0</w:t>
      </w:r>
      <w:proofErr w:type="gramStart"/>
      <w:r w:rsidR="00C5275E" w:rsidRPr="006D7933">
        <w:t>A(</w:t>
      </w:r>
      <w:proofErr w:type="gramEnd"/>
      <w:r w:rsidR="00C5275E" w:rsidRPr="006D7933">
        <w:t>5) of the National Credit Act, as inserted by the amending Part, apply in relation to a reportable situation that arises on or after the commencement day.</w:t>
      </w:r>
    </w:p>
    <w:bookmarkEnd w:id="7"/>
    <w:p w14:paraId="0E7B66F5" w14:textId="77777777" w:rsidR="008F60CE" w:rsidRPr="006D7933" w:rsidRDefault="008F60CE" w:rsidP="0087255C">
      <w:pPr>
        <w:pStyle w:val="ActHead9"/>
      </w:pPr>
      <w:r w:rsidRPr="006D7933">
        <w:lastRenderedPageBreak/>
        <w:t>Payment Times Reporting Act 2020</w:t>
      </w:r>
    </w:p>
    <w:p w14:paraId="2F298718" w14:textId="77777777" w:rsidR="00FC1F26" w:rsidRPr="006D7933" w:rsidRDefault="00C67199" w:rsidP="0087255C">
      <w:pPr>
        <w:pStyle w:val="ItemHead"/>
      </w:pPr>
      <w:bookmarkStart w:id="8" w:name="_Hlk81476508"/>
      <w:bookmarkEnd w:id="5"/>
      <w:proofErr w:type="gramStart"/>
      <w:r>
        <w:t>26</w:t>
      </w:r>
      <w:r w:rsidR="00FC1F26" w:rsidRPr="006D7933">
        <w:t xml:space="preserve">  </w:t>
      </w:r>
      <w:r w:rsidR="006D7933" w:rsidRPr="006D7933">
        <w:t>Section</w:t>
      </w:r>
      <w:proofErr w:type="gramEnd"/>
      <w:r w:rsidR="006D7933" w:rsidRPr="006D7933">
        <w:t> 5</w:t>
      </w:r>
      <w:r w:rsidR="00FC1F26" w:rsidRPr="006D7933">
        <w:t xml:space="preserve"> (definition of </w:t>
      </w:r>
      <w:r w:rsidR="00FC1F26" w:rsidRPr="006D7933">
        <w:rPr>
          <w:i/>
        </w:rPr>
        <w:t>volunteering entity</w:t>
      </w:r>
      <w:r w:rsidR="00FC1F26" w:rsidRPr="006D7933">
        <w:t>)</w:t>
      </w:r>
    </w:p>
    <w:p w14:paraId="67305F23" w14:textId="77777777" w:rsidR="00FC1F26" w:rsidRPr="006D7933" w:rsidRDefault="00FC1F26" w:rsidP="0087255C">
      <w:pPr>
        <w:pStyle w:val="Item"/>
      </w:pPr>
      <w:r w:rsidRPr="006D7933">
        <w:t>Omit “paragraph 7(1)(b)”, substitute “</w:t>
      </w:r>
      <w:r w:rsidR="006D7933" w:rsidRPr="006D7933">
        <w:t>subsection 7</w:t>
      </w:r>
      <w:r w:rsidRPr="006D7933">
        <w:t>(1A)”.</w:t>
      </w:r>
    </w:p>
    <w:p w14:paraId="45BE9D21" w14:textId="77777777" w:rsidR="00FC1F26" w:rsidRPr="006D7933" w:rsidRDefault="00C67199" w:rsidP="0087255C">
      <w:pPr>
        <w:pStyle w:val="ItemHead"/>
      </w:pPr>
      <w:proofErr w:type="gramStart"/>
      <w:r>
        <w:t>27</w:t>
      </w:r>
      <w:r w:rsidR="00FC1F26" w:rsidRPr="006D7933">
        <w:t xml:space="preserve">  </w:t>
      </w:r>
      <w:r w:rsidR="006D7933" w:rsidRPr="006D7933">
        <w:t>Subsection</w:t>
      </w:r>
      <w:proofErr w:type="gramEnd"/>
      <w:r w:rsidR="006D7933" w:rsidRPr="006D7933">
        <w:t> 7</w:t>
      </w:r>
      <w:r w:rsidR="00FC1F26" w:rsidRPr="006D7933">
        <w:t>(1)</w:t>
      </w:r>
    </w:p>
    <w:p w14:paraId="3C9EC58B" w14:textId="77777777" w:rsidR="00FC1F26" w:rsidRPr="006D7933" w:rsidRDefault="00FC1F26" w:rsidP="0087255C">
      <w:pPr>
        <w:pStyle w:val="Item"/>
      </w:pPr>
      <w:r w:rsidRPr="006D7933">
        <w:t>Repeal the subsection, substitute:</w:t>
      </w:r>
    </w:p>
    <w:p w14:paraId="320D3512" w14:textId="77777777" w:rsidR="00FC1F26" w:rsidRPr="006D7933" w:rsidRDefault="00FC1F26" w:rsidP="0087255C">
      <w:pPr>
        <w:pStyle w:val="subsection"/>
      </w:pPr>
      <w:r w:rsidRPr="006D7933">
        <w:tab/>
        <w:t>(1)</w:t>
      </w:r>
      <w:r w:rsidRPr="006D7933">
        <w:tab/>
        <w:t xml:space="preserve">A constitutionally covered entity becomes a </w:t>
      </w:r>
      <w:r w:rsidRPr="006D7933">
        <w:rPr>
          <w:b/>
          <w:i/>
        </w:rPr>
        <w:t xml:space="preserve">reporting entity </w:t>
      </w:r>
      <w:r w:rsidRPr="006D7933">
        <w:t xml:space="preserve">at the start of an income year for the entity if the entity is covered by </w:t>
      </w:r>
      <w:r w:rsidR="006D7933" w:rsidRPr="006D7933">
        <w:t>subsection (</w:t>
      </w:r>
      <w:r w:rsidRPr="006D7933">
        <w:t>2).</w:t>
      </w:r>
    </w:p>
    <w:p w14:paraId="3FB9C9A2" w14:textId="77777777" w:rsidR="00FC1F26" w:rsidRPr="006D7933" w:rsidRDefault="00FC1F26" w:rsidP="0087255C">
      <w:pPr>
        <w:pStyle w:val="subsection"/>
      </w:pPr>
      <w:r w:rsidRPr="006D7933">
        <w:tab/>
        <w:t>(1A)</w:t>
      </w:r>
      <w:r w:rsidRPr="006D7933">
        <w:tab/>
        <w:t xml:space="preserve">If a constitutionally covered entity gives the Regulator notice in writing that the entity elects to become a reporting entity, the entity becomes a </w:t>
      </w:r>
      <w:r w:rsidRPr="006D7933">
        <w:rPr>
          <w:b/>
          <w:i/>
        </w:rPr>
        <w:t>reporting entity</w:t>
      </w:r>
      <w:r w:rsidRPr="006D7933">
        <w:t xml:space="preserve"> </w:t>
      </w:r>
      <w:r w:rsidR="00581D82" w:rsidRPr="006D7933">
        <w:t>when the notice is given</w:t>
      </w:r>
      <w:r w:rsidRPr="006D7933">
        <w:t>.</w:t>
      </w:r>
    </w:p>
    <w:p w14:paraId="55791A60" w14:textId="77777777" w:rsidR="00FC1F26" w:rsidRPr="006D7933" w:rsidRDefault="00FC1F26" w:rsidP="0087255C">
      <w:pPr>
        <w:pStyle w:val="notetext"/>
      </w:pPr>
      <w:r w:rsidRPr="006D7933">
        <w:t>Note:</w:t>
      </w:r>
      <w:r w:rsidRPr="006D7933">
        <w:tab/>
        <w:t xml:space="preserve">A reporting entity that is a reporting entity only because of an election under </w:t>
      </w:r>
      <w:r w:rsidR="006D7933" w:rsidRPr="006D7933">
        <w:t>subsection (</w:t>
      </w:r>
      <w:r w:rsidRPr="006D7933">
        <w:t xml:space="preserve">1A) is a </w:t>
      </w:r>
      <w:r w:rsidRPr="006D7933">
        <w:rPr>
          <w:b/>
          <w:i/>
        </w:rPr>
        <w:t>volunteering entity</w:t>
      </w:r>
      <w:r w:rsidRPr="006D7933">
        <w:t xml:space="preserve">: see </w:t>
      </w:r>
      <w:r w:rsidR="006D7933" w:rsidRPr="006D7933">
        <w:t>section 5</w:t>
      </w:r>
      <w:r w:rsidRPr="006D7933">
        <w:t>.</w:t>
      </w:r>
    </w:p>
    <w:p w14:paraId="21F5BC81" w14:textId="77777777" w:rsidR="00FC1F26" w:rsidRPr="006D7933" w:rsidRDefault="00C67199" w:rsidP="0087255C">
      <w:pPr>
        <w:pStyle w:val="ItemHead"/>
      </w:pPr>
      <w:proofErr w:type="gramStart"/>
      <w:r>
        <w:t>28</w:t>
      </w:r>
      <w:r w:rsidR="00FC1F26" w:rsidRPr="006D7933">
        <w:t xml:space="preserve">  </w:t>
      </w:r>
      <w:r w:rsidR="006D7933" w:rsidRPr="006D7933">
        <w:t>Section</w:t>
      </w:r>
      <w:proofErr w:type="gramEnd"/>
      <w:r w:rsidR="006D7933" w:rsidRPr="006D7933">
        <w:t> 8</w:t>
      </w:r>
    </w:p>
    <w:p w14:paraId="6B4D5C5B" w14:textId="77777777" w:rsidR="00FC1F26" w:rsidRPr="006D7933" w:rsidRDefault="00FC1F26" w:rsidP="0087255C">
      <w:pPr>
        <w:pStyle w:val="Item"/>
      </w:pPr>
      <w:r w:rsidRPr="006D7933">
        <w:t xml:space="preserve">Omit “Each”, substitute “(1) Subject to </w:t>
      </w:r>
      <w:r w:rsidR="006D7933" w:rsidRPr="006D7933">
        <w:t>subsections (</w:t>
      </w:r>
      <w:r w:rsidRPr="006D7933">
        <w:t>2) and (3), each”.</w:t>
      </w:r>
    </w:p>
    <w:p w14:paraId="11DCF171" w14:textId="77777777" w:rsidR="00FC1F26" w:rsidRPr="006D7933" w:rsidRDefault="00C67199" w:rsidP="0087255C">
      <w:pPr>
        <w:pStyle w:val="ItemHead"/>
      </w:pPr>
      <w:proofErr w:type="gramStart"/>
      <w:r>
        <w:t>29</w:t>
      </w:r>
      <w:r w:rsidR="00FC1F26" w:rsidRPr="006D7933">
        <w:t xml:space="preserve">  At</w:t>
      </w:r>
      <w:proofErr w:type="gramEnd"/>
      <w:r w:rsidR="00FC1F26" w:rsidRPr="006D7933">
        <w:t xml:space="preserve"> the end of </w:t>
      </w:r>
      <w:r w:rsidR="006D7933" w:rsidRPr="006D7933">
        <w:t>section 8</w:t>
      </w:r>
    </w:p>
    <w:p w14:paraId="6427428E" w14:textId="77777777" w:rsidR="00FC1F26" w:rsidRPr="006D7933" w:rsidRDefault="00FC1F26" w:rsidP="0087255C">
      <w:pPr>
        <w:pStyle w:val="Item"/>
      </w:pPr>
      <w:r w:rsidRPr="006D7933">
        <w:t>Add:</w:t>
      </w:r>
    </w:p>
    <w:p w14:paraId="51313EDE" w14:textId="77777777" w:rsidR="00FC1F26" w:rsidRPr="006D7933" w:rsidRDefault="00FC1F26" w:rsidP="0087255C">
      <w:pPr>
        <w:pStyle w:val="subsection"/>
      </w:pPr>
      <w:r w:rsidRPr="006D7933">
        <w:tab/>
        <w:t>(2)</w:t>
      </w:r>
      <w:r w:rsidRPr="006D7933">
        <w:tab/>
        <w:t>If a volunteering entity becomes a reporting entity within the first 6 months of an income year for the entity, the first 6 months of that income year is not a reporting period for the entity.</w:t>
      </w:r>
    </w:p>
    <w:bookmarkEnd w:id="8"/>
    <w:p w14:paraId="69459919" w14:textId="77777777" w:rsidR="00C5275E" w:rsidRPr="006D7933" w:rsidRDefault="00C5275E" w:rsidP="0087255C">
      <w:pPr>
        <w:pStyle w:val="subsection"/>
      </w:pPr>
      <w:r w:rsidRPr="006D7933">
        <w:tab/>
        <w:t>(3)</w:t>
      </w:r>
      <w:r w:rsidRPr="006D7933">
        <w:tab/>
        <w:t>If a volunteering entity becomes a reporting entity after the first 6 months of an income year for the entity, no period in that income year is a reporting period for the entity.</w:t>
      </w:r>
    </w:p>
    <w:p w14:paraId="2E0F34BE" w14:textId="77777777" w:rsidR="00C5275E" w:rsidRPr="006D7933" w:rsidRDefault="00C67199" w:rsidP="0087255C">
      <w:pPr>
        <w:pStyle w:val="Transitional"/>
      </w:pPr>
      <w:proofErr w:type="gramStart"/>
      <w:r>
        <w:t>30</w:t>
      </w:r>
      <w:r w:rsidR="00C5275E" w:rsidRPr="006D7933">
        <w:t xml:space="preserve">  Application</w:t>
      </w:r>
      <w:proofErr w:type="gramEnd"/>
      <w:r w:rsidR="00C5275E" w:rsidRPr="006D7933">
        <w:t xml:space="preserve"> of volunteering entity amendments</w:t>
      </w:r>
    </w:p>
    <w:p w14:paraId="18671CA4" w14:textId="77777777" w:rsidR="00C5275E" w:rsidRPr="006D7933" w:rsidRDefault="00C5275E" w:rsidP="0087255C">
      <w:pPr>
        <w:pStyle w:val="Item"/>
      </w:pPr>
      <w:r w:rsidRPr="006D7933">
        <w:t xml:space="preserve">The amendments of </w:t>
      </w:r>
      <w:r w:rsidR="006D7933" w:rsidRPr="006D7933">
        <w:t>sections 5</w:t>
      </w:r>
      <w:r w:rsidRPr="006D7933">
        <w:t xml:space="preserve">, 7 and 8 of the </w:t>
      </w:r>
      <w:r w:rsidRPr="006D7933">
        <w:rPr>
          <w:i/>
        </w:rPr>
        <w:t xml:space="preserve">Payment Times Reporting Act 2020 </w:t>
      </w:r>
      <w:r w:rsidRPr="006D7933">
        <w:t>made by this Part apply in relation to an election to become a reporting entity given by an entity on or after the commencement of this Part.</w:t>
      </w:r>
    </w:p>
    <w:p w14:paraId="46C27B39" w14:textId="77777777" w:rsidR="00FC1F26" w:rsidRPr="006D7933" w:rsidRDefault="00C67199" w:rsidP="0087255C">
      <w:pPr>
        <w:pStyle w:val="ItemHead"/>
      </w:pPr>
      <w:proofErr w:type="gramStart"/>
      <w:r>
        <w:t>31</w:t>
      </w:r>
      <w:r w:rsidR="00FC1F26" w:rsidRPr="006D7933">
        <w:t xml:space="preserve">  </w:t>
      </w:r>
      <w:r w:rsidR="006D7933" w:rsidRPr="006D7933">
        <w:t>Paragraph</w:t>
      </w:r>
      <w:proofErr w:type="gramEnd"/>
      <w:r w:rsidR="006D7933" w:rsidRPr="006D7933">
        <w:t> 1</w:t>
      </w:r>
      <w:r w:rsidR="00FC1F26" w:rsidRPr="006D7933">
        <w:t>4(1)(h)</w:t>
      </w:r>
    </w:p>
    <w:p w14:paraId="2DFE03AA" w14:textId="77777777" w:rsidR="00FC1F26" w:rsidRPr="006D7933" w:rsidRDefault="00FC1F26" w:rsidP="0087255C">
      <w:pPr>
        <w:pStyle w:val="Item"/>
      </w:pPr>
      <w:r w:rsidRPr="006D7933">
        <w:t>Repeal the paragraph, substitute:</w:t>
      </w:r>
    </w:p>
    <w:p w14:paraId="04DF4EF4" w14:textId="77777777" w:rsidR="00FC1F26" w:rsidRPr="006D7933" w:rsidRDefault="00FC1F26" w:rsidP="0087255C">
      <w:pPr>
        <w:pStyle w:val="paragraph"/>
      </w:pPr>
      <w:r w:rsidRPr="006D7933">
        <w:lastRenderedPageBreak/>
        <w:tab/>
        <w:t>(h)</w:t>
      </w:r>
      <w:r w:rsidRPr="006D7933">
        <w:tab/>
        <w:t>state the proportion, determined by total value, of all invoices paid by the entity during the reporting period that were small business invoices; and</w:t>
      </w:r>
    </w:p>
    <w:p w14:paraId="05E490FB" w14:textId="77777777" w:rsidR="003E2E99" w:rsidRDefault="00C67199" w:rsidP="0087255C">
      <w:pPr>
        <w:pStyle w:val="Transitional"/>
      </w:pPr>
      <w:proofErr w:type="gramStart"/>
      <w:r>
        <w:t>32</w:t>
      </w:r>
      <w:r w:rsidR="003E2E99">
        <w:t xml:space="preserve">  Application</w:t>
      </w:r>
      <w:proofErr w:type="gramEnd"/>
    </w:p>
    <w:p w14:paraId="2C9A9259" w14:textId="77777777" w:rsidR="003E2E99" w:rsidRPr="003E2E99" w:rsidRDefault="003E2E99" w:rsidP="0087255C">
      <w:pPr>
        <w:pStyle w:val="Item"/>
      </w:pPr>
      <w:r w:rsidRPr="006D7933">
        <w:t xml:space="preserve">Paragraph 14(1)(h) of the </w:t>
      </w:r>
      <w:r w:rsidRPr="006D7933">
        <w:rPr>
          <w:i/>
        </w:rPr>
        <w:t>Payment Times Reporting Act 2020</w:t>
      </w:r>
      <w:r>
        <w:t>,</w:t>
      </w:r>
      <w:r w:rsidRPr="006D7933">
        <w:rPr>
          <w:i/>
        </w:rPr>
        <w:t xml:space="preserve"> </w:t>
      </w:r>
      <w:r>
        <w:t xml:space="preserve">as inserted </w:t>
      </w:r>
      <w:r w:rsidRPr="006D7933">
        <w:t>by this Par</w:t>
      </w:r>
      <w:r>
        <w:t>t,</w:t>
      </w:r>
      <w:r w:rsidRPr="006D7933">
        <w:rPr>
          <w:i/>
        </w:rPr>
        <w:t xml:space="preserve"> </w:t>
      </w:r>
      <w:r w:rsidRPr="006D7933">
        <w:t>appl</w:t>
      </w:r>
      <w:r>
        <w:t>ies</w:t>
      </w:r>
      <w:r w:rsidRPr="006D7933">
        <w:t xml:space="preserve"> in relation to a payment times report given on or after the commencement of this Part, including a payment times report for a reporting period that began before th</w:t>
      </w:r>
      <w:r>
        <w:t>at</w:t>
      </w:r>
      <w:r w:rsidRPr="006D7933">
        <w:t xml:space="preserve"> commencement</w:t>
      </w:r>
      <w:r>
        <w:t>.</w:t>
      </w:r>
    </w:p>
    <w:p w14:paraId="40ED3DC5" w14:textId="77777777" w:rsidR="00FC1F26" w:rsidRPr="006D7933" w:rsidRDefault="00C67199" w:rsidP="0087255C">
      <w:pPr>
        <w:pStyle w:val="ItemHead"/>
      </w:pPr>
      <w:bookmarkStart w:id="9" w:name="_Hlk81476584"/>
      <w:proofErr w:type="gramStart"/>
      <w:r>
        <w:t>33</w:t>
      </w:r>
      <w:r w:rsidR="00FC1F26" w:rsidRPr="006D7933">
        <w:t xml:space="preserve">  Paragraphs</w:t>
      </w:r>
      <w:proofErr w:type="gramEnd"/>
      <w:r w:rsidR="00FC1F26" w:rsidRPr="006D7933">
        <w:t xml:space="preserve"> 27(3)(a) and (b)</w:t>
      </w:r>
    </w:p>
    <w:p w14:paraId="68677572" w14:textId="77777777" w:rsidR="00FC1F26" w:rsidRPr="006D7933" w:rsidRDefault="00FC1F26" w:rsidP="0087255C">
      <w:pPr>
        <w:pStyle w:val="Item"/>
      </w:pPr>
      <w:r w:rsidRPr="006D7933">
        <w:t>Repeal the paragraphs.</w:t>
      </w:r>
      <w:bookmarkEnd w:id="9"/>
    </w:p>
    <w:p w14:paraId="6411902C" w14:textId="77777777" w:rsidR="009D176A" w:rsidRPr="006D7933" w:rsidRDefault="006D7933" w:rsidP="0087255C">
      <w:pPr>
        <w:pStyle w:val="ActHead7"/>
        <w:pageBreakBefore/>
      </w:pPr>
      <w:r w:rsidRPr="00146472">
        <w:rPr>
          <w:rStyle w:val="CharAmPartNo"/>
        </w:rPr>
        <w:lastRenderedPageBreak/>
        <w:t>Part 2</w:t>
      </w:r>
      <w:r w:rsidR="009D176A" w:rsidRPr="006D7933">
        <w:t>—</w:t>
      </w:r>
      <w:r w:rsidR="009D176A" w:rsidRPr="00146472">
        <w:rPr>
          <w:rStyle w:val="CharAmPartText"/>
        </w:rPr>
        <w:t>Amendments commencing first day of next quarter</w:t>
      </w:r>
    </w:p>
    <w:p w14:paraId="10D4C832" w14:textId="77777777" w:rsidR="009D176A" w:rsidRPr="006D7933" w:rsidRDefault="009D176A" w:rsidP="0087255C">
      <w:pPr>
        <w:pStyle w:val="ActHead9"/>
      </w:pPr>
      <w:r w:rsidRPr="006D7933">
        <w:t>Income Tax Assessment Act 1997</w:t>
      </w:r>
    </w:p>
    <w:p w14:paraId="4E10E255" w14:textId="77777777" w:rsidR="009D176A" w:rsidRPr="006D7933" w:rsidRDefault="00C67199" w:rsidP="0087255C">
      <w:pPr>
        <w:pStyle w:val="ItemHead"/>
      </w:pPr>
      <w:proofErr w:type="gramStart"/>
      <w:r>
        <w:t>34</w:t>
      </w:r>
      <w:r w:rsidR="009D176A" w:rsidRPr="006D7933">
        <w:t xml:space="preserve">  </w:t>
      </w:r>
      <w:r w:rsidR="006D7933" w:rsidRPr="006D7933">
        <w:t>Paragraph</w:t>
      </w:r>
      <w:proofErr w:type="gramEnd"/>
      <w:r w:rsidR="006D7933" w:rsidRPr="006D7933">
        <w:t> 8</w:t>
      </w:r>
      <w:r w:rsidR="009D176A" w:rsidRPr="006D7933">
        <w:t>40</w:t>
      </w:r>
      <w:r w:rsidR="0087255C">
        <w:noBreakHyphen/>
      </w:r>
      <w:r w:rsidR="009D176A" w:rsidRPr="006D7933">
        <w:t>905(b)</w:t>
      </w:r>
    </w:p>
    <w:p w14:paraId="78C7AB3F" w14:textId="77777777" w:rsidR="009D176A" w:rsidRPr="006D7933" w:rsidRDefault="009D176A" w:rsidP="0087255C">
      <w:pPr>
        <w:pStyle w:val="Item"/>
      </w:pPr>
      <w:r w:rsidRPr="006D7933">
        <w:t>Repeal the paragraph, substitute:</w:t>
      </w:r>
    </w:p>
    <w:p w14:paraId="1F017DF5" w14:textId="77777777" w:rsidR="009D176A" w:rsidRPr="006D7933" w:rsidRDefault="009D176A" w:rsidP="0087255C">
      <w:pPr>
        <w:pStyle w:val="paragraph"/>
      </w:pPr>
      <w:r w:rsidRPr="006D7933">
        <w:tab/>
        <w:t>(b)</w:t>
      </w:r>
      <w:r w:rsidRPr="006D7933">
        <w:tab/>
        <w:t xml:space="preserve">that you </w:t>
      </w:r>
      <w:r w:rsidR="0087255C" w:rsidRPr="0087255C">
        <w:rPr>
          <w:position w:val="6"/>
          <w:sz w:val="16"/>
        </w:rPr>
        <w:t>*</w:t>
      </w:r>
      <w:r w:rsidRPr="006D7933">
        <w:t>derive at a time when you are a foreign resident</w:t>
      </w:r>
      <w:r w:rsidR="00895C2F">
        <w:t xml:space="preserve"> </w:t>
      </w:r>
      <w:r w:rsidRPr="006D7933">
        <w:t>and:</w:t>
      </w:r>
    </w:p>
    <w:p w14:paraId="1749F367" w14:textId="77777777" w:rsidR="009D176A" w:rsidRPr="006D7933" w:rsidRDefault="009D176A" w:rsidP="0087255C">
      <w:pPr>
        <w:pStyle w:val="paragraphsub"/>
      </w:pPr>
      <w:r w:rsidRPr="006D7933">
        <w:tab/>
        <w:t>(</w:t>
      </w:r>
      <w:proofErr w:type="spellStart"/>
      <w:r w:rsidRPr="006D7933">
        <w:t>i</w:t>
      </w:r>
      <w:proofErr w:type="spellEnd"/>
      <w:r w:rsidRPr="006D7933">
        <w:t>)</w:t>
      </w:r>
      <w:r w:rsidRPr="006D7933">
        <w:tab/>
        <w:t>you hold a Temporary Work (International Relations) Visa (subclass 403); or</w:t>
      </w:r>
    </w:p>
    <w:p w14:paraId="0B0B7044" w14:textId="77777777" w:rsidR="009D176A" w:rsidRDefault="009D176A" w:rsidP="0087255C">
      <w:pPr>
        <w:pStyle w:val="paragraphsub"/>
      </w:pPr>
      <w:r w:rsidRPr="006D7933">
        <w:tab/>
        <w:t>(ii)</w:t>
      </w:r>
      <w:r w:rsidRPr="006D7933">
        <w:tab/>
        <w:t>you hold a Temporary Activity Visa (subc</w:t>
      </w:r>
      <w:r w:rsidR="00592DE1">
        <w:t>l</w:t>
      </w:r>
      <w:r w:rsidRPr="006D7933">
        <w:t xml:space="preserve">ass 408) </w:t>
      </w:r>
      <w:r w:rsidR="00CB0995" w:rsidRPr="006D7933">
        <w:t>having</w:t>
      </w:r>
      <w:r w:rsidRPr="006D7933">
        <w:t xml:space="preserve"> previously held a Temporary Work (International Relations) Visa (subclass 403).</w:t>
      </w:r>
    </w:p>
    <w:p w14:paraId="50DE9CDF" w14:textId="77777777" w:rsidR="00D34EE5" w:rsidRDefault="00C67199" w:rsidP="0087255C">
      <w:pPr>
        <w:pStyle w:val="Transitional"/>
      </w:pPr>
      <w:proofErr w:type="gramStart"/>
      <w:r>
        <w:t>35</w:t>
      </w:r>
      <w:r w:rsidR="00F9776F" w:rsidRPr="006D7933">
        <w:t xml:space="preserve">  </w:t>
      </w:r>
      <w:r w:rsidR="009D5B72" w:rsidRPr="006D7933">
        <w:t>Application</w:t>
      </w:r>
      <w:proofErr w:type="gramEnd"/>
    </w:p>
    <w:p w14:paraId="0734EB63" w14:textId="77777777" w:rsidR="00D34EE5" w:rsidRDefault="00D34EE5" w:rsidP="0087255C">
      <w:pPr>
        <w:pStyle w:val="Item"/>
      </w:pPr>
      <w:r w:rsidRPr="00D302DF">
        <w:t>The amendment of paragraph 840</w:t>
      </w:r>
      <w:r w:rsidR="0087255C">
        <w:noBreakHyphen/>
      </w:r>
      <w:r w:rsidRPr="00D302DF">
        <w:t>905(b)</w:t>
      </w:r>
      <w:r w:rsidR="003A174D">
        <w:t xml:space="preserve"> of the </w:t>
      </w:r>
      <w:r w:rsidR="003A174D" w:rsidRPr="003A174D">
        <w:rPr>
          <w:i/>
        </w:rPr>
        <w:t>Income Tax Assessment Act 1997</w:t>
      </w:r>
      <w:r w:rsidRPr="00D302DF">
        <w:t xml:space="preserve"> made by this Part applies in relation to income derived </w:t>
      </w:r>
      <w:r w:rsidR="003A033E" w:rsidRPr="00D302DF">
        <w:t xml:space="preserve">on or after </w:t>
      </w:r>
      <w:r w:rsidR="0087255C">
        <w:t>1 July</w:t>
      </w:r>
      <w:r w:rsidR="003A033E" w:rsidRPr="00D302DF">
        <w:t xml:space="preserve"> 2019</w:t>
      </w:r>
      <w:r w:rsidR="00411EC3" w:rsidRPr="00D302DF">
        <w:t>.</w:t>
      </w:r>
    </w:p>
    <w:p w14:paraId="1436D650" w14:textId="77777777" w:rsidR="00827D3A" w:rsidRPr="006D7933" w:rsidRDefault="00827D3A" w:rsidP="0087255C">
      <w:pPr>
        <w:pStyle w:val="ActHead9"/>
      </w:pPr>
      <w:r w:rsidRPr="006D7933">
        <w:t>Taxation Administration Act 1953</w:t>
      </w:r>
    </w:p>
    <w:p w14:paraId="16C86806" w14:textId="77777777" w:rsidR="009D5B72" w:rsidRPr="006D7933" w:rsidRDefault="00C67199" w:rsidP="0087255C">
      <w:pPr>
        <w:pStyle w:val="ItemHead"/>
      </w:pPr>
      <w:proofErr w:type="gramStart"/>
      <w:r>
        <w:t>36</w:t>
      </w:r>
      <w:r w:rsidR="009D5B72" w:rsidRPr="006D7933">
        <w:t xml:space="preserve">  </w:t>
      </w:r>
      <w:r w:rsidR="006D7933" w:rsidRPr="006D7933">
        <w:t>Paragraph</w:t>
      </w:r>
      <w:proofErr w:type="gramEnd"/>
      <w:r w:rsidR="006D7933" w:rsidRPr="006D7933">
        <w:t> 1</w:t>
      </w:r>
      <w:r w:rsidR="009D5B72" w:rsidRPr="006D7933">
        <w:t>2</w:t>
      </w:r>
      <w:r w:rsidR="0087255C">
        <w:noBreakHyphen/>
      </w:r>
      <w:r w:rsidR="009D5B72" w:rsidRPr="006D7933">
        <w:t xml:space="preserve">319A(b) of </w:t>
      </w:r>
      <w:r w:rsidR="006D7933" w:rsidRPr="006D7933">
        <w:t>Schedule 1</w:t>
      </w:r>
    </w:p>
    <w:p w14:paraId="214B610F" w14:textId="77777777" w:rsidR="009D5B72" w:rsidRPr="006D7933" w:rsidRDefault="009D5B72" w:rsidP="0087255C">
      <w:pPr>
        <w:pStyle w:val="Item"/>
      </w:pPr>
      <w:r w:rsidRPr="006D7933">
        <w:t>Repeal the paragraph, substitute:</w:t>
      </w:r>
    </w:p>
    <w:p w14:paraId="63D73CBC" w14:textId="77777777" w:rsidR="009D5B72" w:rsidRPr="006D7933" w:rsidRDefault="009D5B72" w:rsidP="0087255C">
      <w:pPr>
        <w:pStyle w:val="paragraph"/>
      </w:pPr>
      <w:r w:rsidRPr="006D7933">
        <w:tab/>
        <w:t>(b)</w:t>
      </w:r>
      <w:r w:rsidRPr="006D7933">
        <w:tab/>
        <w:t>at a time when the employee is a foreign resident and:</w:t>
      </w:r>
    </w:p>
    <w:p w14:paraId="5341F2A7" w14:textId="77777777" w:rsidR="009D5B72" w:rsidRPr="006D7933" w:rsidRDefault="009D5B72" w:rsidP="0087255C">
      <w:pPr>
        <w:pStyle w:val="paragraphsub"/>
      </w:pPr>
      <w:r w:rsidRPr="006D7933">
        <w:tab/>
        <w:t>(</w:t>
      </w:r>
      <w:proofErr w:type="spellStart"/>
      <w:r w:rsidRPr="006D7933">
        <w:t>i</w:t>
      </w:r>
      <w:proofErr w:type="spellEnd"/>
      <w:r w:rsidRPr="006D7933">
        <w:t>)</w:t>
      </w:r>
      <w:r w:rsidRPr="006D7933">
        <w:tab/>
        <w:t>the employee holds a Temporary Work (International Relations) Visa (subclass 403); or</w:t>
      </w:r>
    </w:p>
    <w:p w14:paraId="2406E243" w14:textId="77777777" w:rsidR="009D5B72" w:rsidRDefault="009D5B72" w:rsidP="0087255C">
      <w:pPr>
        <w:pStyle w:val="paragraphsub"/>
      </w:pPr>
      <w:r w:rsidRPr="006D7933">
        <w:tab/>
        <w:t>(ii)</w:t>
      </w:r>
      <w:r w:rsidRPr="006D7933">
        <w:tab/>
        <w:t xml:space="preserve">the employee holds a Temporary Activity Visa (subclass 408) </w:t>
      </w:r>
      <w:r w:rsidR="00CB0995" w:rsidRPr="006D7933">
        <w:t>having</w:t>
      </w:r>
      <w:r w:rsidRPr="006D7933">
        <w:t xml:space="preserve"> previously held a Temporary Work (International Relations) Visa (subclass 403).</w:t>
      </w:r>
    </w:p>
    <w:p w14:paraId="3722E5E7" w14:textId="77777777" w:rsidR="009D5B72" w:rsidRPr="006D7933" w:rsidRDefault="00C67199" w:rsidP="0087255C">
      <w:pPr>
        <w:pStyle w:val="Transitional"/>
      </w:pPr>
      <w:proofErr w:type="gramStart"/>
      <w:r>
        <w:t>37</w:t>
      </w:r>
      <w:r w:rsidR="009D5B72" w:rsidRPr="006D7933">
        <w:t xml:space="preserve">  Application</w:t>
      </w:r>
      <w:proofErr w:type="gramEnd"/>
    </w:p>
    <w:p w14:paraId="50DAA649" w14:textId="77777777" w:rsidR="003A033E" w:rsidRPr="006D7933" w:rsidRDefault="003A033E" w:rsidP="0087255C">
      <w:pPr>
        <w:pStyle w:val="Item"/>
      </w:pPr>
      <w:r w:rsidRPr="00D302DF">
        <w:t>The amendment of paragraph 12</w:t>
      </w:r>
      <w:r w:rsidR="0087255C">
        <w:noBreakHyphen/>
      </w:r>
      <w:r w:rsidRPr="00D302DF">
        <w:t xml:space="preserve">319A(b) of Schedule 1 </w:t>
      </w:r>
      <w:r w:rsidR="003A174D">
        <w:t xml:space="preserve">to the </w:t>
      </w:r>
      <w:r w:rsidR="003A174D" w:rsidRPr="003A174D">
        <w:rPr>
          <w:i/>
        </w:rPr>
        <w:t>Taxation Administration Act 1953</w:t>
      </w:r>
      <w:r w:rsidR="003A174D">
        <w:t xml:space="preserve"> </w:t>
      </w:r>
      <w:r w:rsidRPr="00D302DF">
        <w:t xml:space="preserve">made by this Part applies in relation to salary, wages, commission, </w:t>
      </w:r>
      <w:proofErr w:type="gramStart"/>
      <w:r w:rsidRPr="00D302DF">
        <w:t>bonuses</w:t>
      </w:r>
      <w:proofErr w:type="gramEnd"/>
      <w:r w:rsidRPr="00D302DF">
        <w:t xml:space="preserve"> or allowances paid on or after </w:t>
      </w:r>
      <w:r w:rsidR="0087255C">
        <w:t>1 July</w:t>
      </w:r>
      <w:r w:rsidRPr="00D302DF">
        <w:t xml:space="preserve"> 2019.</w:t>
      </w:r>
    </w:p>
    <w:p w14:paraId="6F2A106A" w14:textId="77777777" w:rsidR="00FC1F26" w:rsidRPr="006D7933" w:rsidRDefault="006D7933" w:rsidP="0087255C">
      <w:pPr>
        <w:pStyle w:val="ActHead7"/>
        <w:pageBreakBefore/>
      </w:pPr>
      <w:r w:rsidRPr="00146472">
        <w:rPr>
          <w:rStyle w:val="CharAmPartNo"/>
        </w:rPr>
        <w:lastRenderedPageBreak/>
        <w:t>Part 3</w:t>
      </w:r>
      <w:r w:rsidR="008358E8" w:rsidRPr="006D7933">
        <w:t>—</w:t>
      </w:r>
      <w:r w:rsidR="008358E8" w:rsidRPr="00146472">
        <w:rPr>
          <w:rStyle w:val="CharAmPartText"/>
        </w:rPr>
        <w:t>Amendments commenc</w:t>
      </w:r>
      <w:r w:rsidR="003E2E99" w:rsidRPr="00146472">
        <w:rPr>
          <w:rStyle w:val="CharAmPartText"/>
        </w:rPr>
        <w:t xml:space="preserve">ing </w:t>
      </w:r>
      <w:r w:rsidR="00D302DF" w:rsidRPr="00146472">
        <w:rPr>
          <w:rStyle w:val="CharAmPartText"/>
        </w:rPr>
        <w:t>7</w:t>
      </w:r>
      <w:r w:rsidR="003E2E99" w:rsidRPr="00146472">
        <w:rPr>
          <w:rStyle w:val="CharAmPartText"/>
        </w:rPr>
        <w:t xml:space="preserve"> days after Royal Assent</w:t>
      </w:r>
    </w:p>
    <w:p w14:paraId="3BC4A0CE" w14:textId="77777777" w:rsidR="00FC1F26" w:rsidRPr="006D7933" w:rsidRDefault="00FC1F26" w:rsidP="0087255C">
      <w:pPr>
        <w:pStyle w:val="ActHead9"/>
      </w:pPr>
      <w:bookmarkStart w:id="10" w:name="_Hlk81478654"/>
      <w:r w:rsidRPr="006D7933">
        <w:t>Income Tax Assessment Act 1936</w:t>
      </w:r>
    </w:p>
    <w:p w14:paraId="0159C0B4" w14:textId="77777777" w:rsidR="00FC1F26" w:rsidRPr="006D7933" w:rsidRDefault="00C67199" w:rsidP="0087255C">
      <w:pPr>
        <w:pStyle w:val="ItemHead"/>
      </w:pPr>
      <w:proofErr w:type="gramStart"/>
      <w:r>
        <w:t>38</w:t>
      </w:r>
      <w:r w:rsidR="00FC1F26" w:rsidRPr="006D7933">
        <w:t xml:space="preserve">  </w:t>
      </w:r>
      <w:r w:rsidR="006D7933" w:rsidRPr="006D7933">
        <w:t>Paragraph</w:t>
      </w:r>
      <w:proofErr w:type="gramEnd"/>
      <w:r w:rsidR="006D7933" w:rsidRPr="006D7933">
        <w:t> 1</w:t>
      </w:r>
      <w:r w:rsidR="00FC1F26" w:rsidRPr="006D7933">
        <w:t>60ZZZA(1)</w:t>
      </w:r>
      <w:r w:rsidR="00C5275E" w:rsidRPr="006D7933">
        <w:t>(c)</w:t>
      </w:r>
    </w:p>
    <w:p w14:paraId="6B425FE7" w14:textId="77777777" w:rsidR="00FC1F26" w:rsidRPr="006D7933" w:rsidRDefault="00FC1F26" w:rsidP="0087255C">
      <w:pPr>
        <w:pStyle w:val="Item"/>
      </w:pPr>
      <w:r w:rsidRPr="006D7933">
        <w:t>Omit “LIBOR” (wherever occurring), substitute “qualified rate”.</w:t>
      </w:r>
    </w:p>
    <w:p w14:paraId="6C6608B1" w14:textId="77777777" w:rsidR="00FC1F26" w:rsidRPr="006D7933" w:rsidRDefault="00C67199" w:rsidP="0087255C">
      <w:pPr>
        <w:pStyle w:val="ItemHead"/>
      </w:pPr>
      <w:proofErr w:type="gramStart"/>
      <w:r>
        <w:t>39</w:t>
      </w:r>
      <w:r w:rsidR="00FC1F26" w:rsidRPr="006D7933">
        <w:t xml:space="preserve">  </w:t>
      </w:r>
      <w:r w:rsidR="0087255C">
        <w:t>Subsection</w:t>
      </w:r>
      <w:proofErr w:type="gramEnd"/>
      <w:r w:rsidR="0087255C">
        <w:t> 1</w:t>
      </w:r>
      <w:r w:rsidR="00FC1F26" w:rsidRPr="006D7933">
        <w:t>60ZZZA(2)</w:t>
      </w:r>
    </w:p>
    <w:p w14:paraId="216869B6" w14:textId="77777777" w:rsidR="00FC1F26" w:rsidRPr="006D7933" w:rsidRDefault="00FC1F26" w:rsidP="0087255C">
      <w:pPr>
        <w:pStyle w:val="Item"/>
      </w:pPr>
      <w:r w:rsidRPr="006D7933">
        <w:t>Omit “to the LIBOR”</w:t>
      </w:r>
      <w:r w:rsidR="00D302DF">
        <w:t>,</w:t>
      </w:r>
      <w:r w:rsidRPr="006D7933">
        <w:t xml:space="preserve"> substitute “to the qualified rate</w:t>
      </w:r>
      <w:r w:rsidR="00C44A16" w:rsidRPr="006D7933">
        <w:t>”</w:t>
      </w:r>
      <w:r w:rsidR="00D302DF">
        <w:t>.</w:t>
      </w:r>
    </w:p>
    <w:p w14:paraId="3DAC24E3" w14:textId="77777777" w:rsidR="00FC1F26" w:rsidRPr="006D7933" w:rsidRDefault="00C67199" w:rsidP="0087255C">
      <w:pPr>
        <w:pStyle w:val="ItemHead"/>
      </w:pPr>
      <w:proofErr w:type="gramStart"/>
      <w:r>
        <w:t>40</w:t>
      </w:r>
      <w:r w:rsidR="00FC1F26" w:rsidRPr="006D7933">
        <w:t xml:space="preserve">  </w:t>
      </w:r>
      <w:r w:rsidR="006D7933" w:rsidRPr="006D7933">
        <w:t>Paragraph</w:t>
      </w:r>
      <w:proofErr w:type="gramEnd"/>
      <w:r w:rsidR="006D7933" w:rsidRPr="006D7933">
        <w:t> 1</w:t>
      </w:r>
      <w:r w:rsidR="00FC1F26" w:rsidRPr="006D7933">
        <w:t>60ZZZA(2)(a)</w:t>
      </w:r>
    </w:p>
    <w:p w14:paraId="100FF408" w14:textId="77777777" w:rsidR="00FC1F26" w:rsidRPr="006D7933" w:rsidRDefault="00FC1F26" w:rsidP="0087255C">
      <w:pPr>
        <w:pStyle w:val="Item"/>
      </w:pPr>
      <w:r w:rsidRPr="006D7933">
        <w:t>Omit “LIBOR”, substitute “qualified rate”.</w:t>
      </w:r>
    </w:p>
    <w:p w14:paraId="4F118908" w14:textId="77777777" w:rsidR="00FC1F26" w:rsidRPr="006D7933" w:rsidRDefault="00C67199" w:rsidP="0087255C">
      <w:pPr>
        <w:pStyle w:val="ItemHead"/>
      </w:pPr>
      <w:proofErr w:type="gramStart"/>
      <w:r>
        <w:t>41</w:t>
      </w:r>
      <w:r w:rsidR="00FC1F26" w:rsidRPr="006D7933">
        <w:t xml:space="preserve">  </w:t>
      </w:r>
      <w:r w:rsidR="006D7933" w:rsidRPr="006D7933">
        <w:t>Paragraph</w:t>
      </w:r>
      <w:proofErr w:type="gramEnd"/>
      <w:r w:rsidR="006D7933" w:rsidRPr="006D7933">
        <w:t> 1</w:t>
      </w:r>
      <w:r w:rsidR="00FC1F26" w:rsidRPr="006D7933">
        <w:t>60ZZZA(2)(b)</w:t>
      </w:r>
    </w:p>
    <w:p w14:paraId="6EC2E599" w14:textId="77777777" w:rsidR="00FC1F26" w:rsidRPr="006D7933" w:rsidRDefault="00FC1F26" w:rsidP="0087255C">
      <w:pPr>
        <w:pStyle w:val="Item"/>
      </w:pPr>
      <w:r w:rsidRPr="006D7933">
        <w:t>Omit “no LIBOR”, substitute “no qualified rate”.</w:t>
      </w:r>
    </w:p>
    <w:p w14:paraId="45EF1BCA" w14:textId="77777777" w:rsidR="00FC1F26" w:rsidRPr="006D7933" w:rsidRDefault="00C67199" w:rsidP="0087255C">
      <w:pPr>
        <w:pStyle w:val="ItemHead"/>
      </w:pPr>
      <w:proofErr w:type="gramStart"/>
      <w:r>
        <w:t>42</w:t>
      </w:r>
      <w:r w:rsidR="00FC1F26" w:rsidRPr="006D7933">
        <w:t xml:space="preserve">  </w:t>
      </w:r>
      <w:r w:rsidR="006D7933" w:rsidRPr="006D7933">
        <w:t>Subparagraph</w:t>
      </w:r>
      <w:proofErr w:type="gramEnd"/>
      <w:r w:rsidR="006D7933" w:rsidRPr="006D7933">
        <w:t> 1</w:t>
      </w:r>
      <w:r w:rsidR="00FC1F26" w:rsidRPr="006D7933">
        <w:t>60ZZZA(2)(b)(</w:t>
      </w:r>
      <w:proofErr w:type="spellStart"/>
      <w:r w:rsidR="00FC1F26" w:rsidRPr="006D7933">
        <w:t>i</w:t>
      </w:r>
      <w:proofErr w:type="spellEnd"/>
      <w:r w:rsidR="00FC1F26" w:rsidRPr="006D7933">
        <w:t>)</w:t>
      </w:r>
    </w:p>
    <w:p w14:paraId="0109DBF2" w14:textId="77777777" w:rsidR="00FC1F26" w:rsidRPr="006D7933" w:rsidRDefault="00FC1F26" w:rsidP="0087255C">
      <w:pPr>
        <w:pStyle w:val="Item"/>
      </w:pPr>
      <w:r w:rsidRPr="006D7933">
        <w:t>Omit “the LIBOR”, substitute “the qualified rate”.</w:t>
      </w:r>
    </w:p>
    <w:p w14:paraId="724771EE" w14:textId="77777777" w:rsidR="00FC1F26" w:rsidRPr="006D7933" w:rsidRDefault="00C67199" w:rsidP="0087255C">
      <w:pPr>
        <w:pStyle w:val="ItemHead"/>
      </w:pPr>
      <w:proofErr w:type="gramStart"/>
      <w:r>
        <w:t>43</w:t>
      </w:r>
      <w:r w:rsidR="00FC1F26" w:rsidRPr="006D7933">
        <w:t xml:space="preserve">  </w:t>
      </w:r>
      <w:r w:rsidR="006D7933" w:rsidRPr="006D7933">
        <w:t>Subparagraph</w:t>
      </w:r>
      <w:proofErr w:type="gramEnd"/>
      <w:r w:rsidR="006D7933" w:rsidRPr="006D7933">
        <w:t> 1</w:t>
      </w:r>
      <w:r w:rsidR="00FC1F26" w:rsidRPr="006D7933">
        <w:t>60ZZZA(2)(b)(ii)</w:t>
      </w:r>
    </w:p>
    <w:p w14:paraId="39EABF4F" w14:textId="77777777" w:rsidR="00FC1F26" w:rsidRPr="006D7933" w:rsidRDefault="00FC1F26" w:rsidP="0087255C">
      <w:pPr>
        <w:pStyle w:val="Item"/>
      </w:pPr>
      <w:r w:rsidRPr="006D7933">
        <w:t>Omit “LIBORs”, substitute “qualified rates”.</w:t>
      </w:r>
    </w:p>
    <w:p w14:paraId="7DBA04D9" w14:textId="77777777" w:rsidR="00FC1F26" w:rsidRPr="006D7933" w:rsidRDefault="00C67199" w:rsidP="0087255C">
      <w:pPr>
        <w:pStyle w:val="ItemHead"/>
      </w:pPr>
      <w:proofErr w:type="gramStart"/>
      <w:r>
        <w:t>44</w:t>
      </w:r>
      <w:r w:rsidR="00FC1F26" w:rsidRPr="006D7933">
        <w:t xml:space="preserve">  </w:t>
      </w:r>
      <w:r w:rsidR="006D7933" w:rsidRPr="006D7933">
        <w:t>Subparagraph</w:t>
      </w:r>
      <w:proofErr w:type="gramEnd"/>
      <w:r w:rsidR="006D7933" w:rsidRPr="006D7933">
        <w:t> 1</w:t>
      </w:r>
      <w:r w:rsidR="00FC1F26" w:rsidRPr="006D7933">
        <w:t>60ZZZA(2)(b)(ii)</w:t>
      </w:r>
    </w:p>
    <w:p w14:paraId="64590027" w14:textId="77777777" w:rsidR="00FC1F26" w:rsidRPr="006D7933" w:rsidRDefault="00FC1F26" w:rsidP="0087255C">
      <w:pPr>
        <w:pStyle w:val="Item"/>
      </w:pPr>
      <w:r w:rsidRPr="006D7933">
        <w:t>Omit “LIBOR”, substitute “qualified rates”.</w:t>
      </w:r>
    </w:p>
    <w:p w14:paraId="4567B3CE" w14:textId="77777777" w:rsidR="00C5275E" w:rsidRPr="006D7933" w:rsidRDefault="00C67199" w:rsidP="0087255C">
      <w:pPr>
        <w:pStyle w:val="ItemHead"/>
      </w:pPr>
      <w:proofErr w:type="gramStart"/>
      <w:r>
        <w:t>45</w:t>
      </w:r>
      <w:r w:rsidR="00C5275E" w:rsidRPr="006D7933">
        <w:t xml:space="preserve">  </w:t>
      </w:r>
      <w:r w:rsidR="006D7933" w:rsidRPr="006D7933">
        <w:t>Paragraph</w:t>
      </w:r>
      <w:proofErr w:type="gramEnd"/>
      <w:r w:rsidR="006D7933" w:rsidRPr="006D7933">
        <w:t> 1</w:t>
      </w:r>
      <w:r w:rsidR="00C5275E" w:rsidRPr="006D7933">
        <w:t>60ZZZA(3)(a)</w:t>
      </w:r>
    </w:p>
    <w:p w14:paraId="3669C54C" w14:textId="77777777" w:rsidR="00C5275E" w:rsidRPr="006D7933" w:rsidRDefault="00C5275E" w:rsidP="0087255C">
      <w:pPr>
        <w:pStyle w:val="Item"/>
      </w:pPr>
      <w:r w:rsidRPr="006D7933">
        <w:t>Repeal the paragraph, substitute:</w:t>
      </w:r>
    </w:p>
    <w:p w14:paraId="12C2B7D3" w14:textId="77777777" w:rsidR="00C5275E" w:rsidRPr="006D7933" w:rsidRDefault="00C5275E" w:rsidP="0087255C">
      <w:pPr>
        <w:pStyle w:val="paragraph"/>
      </w:pPr>
      <w:r w:rsidRPr="006D7933">
        <w:tab/>
        <w:t>(a)</w:t>
      </w:r>
      <w:r w:rsidRPr="006D7933">
        <w:tab/>
        <w:t xml:space="preserve">a reference to the qualified rate, in relation to a particular time, is a reference to the rate of interest applicable at that time, as determined for the </w:t>
      </w:r>
      <w:proofErr w:type="gramStart"/>
      <w:r w:rsidRPr="006D7933">
        <w:t>particular currency</w:t>
      </w:r>
      <w:proofErr w:type="gramEnd"/>
      <w:r w:rsidRPr="006D7933">
        <w:t xml:space="preserve"> under an instrument made under </w:t>
      </w:r>
      <w:r w:rsidR="006D7933" w:rsidRPr="006D7933">
        <w:t>subsection (</w:t>
      </w:r>
      <w:r w:rsidRPr="006D7933">
        <w:t>4); and</w:t>
      </w:r>
    </w:p>
    <w:p w14:paraId="5312CA81" w14:textId="77777777" w:rsidR="00FC1F26" w:rsidRPr="006D7933" w:rsidRDefault="00C67199" w:rsidP="0087255C">
      <w:pPr>
        <w:pStyle w:val="ItemHead"/>
      </w:pPr>
      <w:proofErr w:type="gramStart"/>
      <w:r>
        <w:t>46</w:t>
      </w:r>
      <w:r w:rsidR="00FC1F26" w:rsidRPr="006D7933">
        <w:t xml:space="preserve">  At</w:t>
      </w:r>
      <w:proofErr w:type="gramEnd"/>
      <w:r w:rsidR="00FC1F26" w:rsidRPr="006D7933">
        <w:t xml:space="preserve"> the end of </w:t>
      </w:r>
      <w:r w:rsidR="006D7933" w:rsidRPr="006D7933">
        <w:t>section 1</w:t>
      </w:r>
      <w:r w:rsidR="00FC1F26" w:rsidRPr="006D7933">
        <w:t>60ZZZA</w:t>
      </w:r>
    </w:p>
    <w:p w14:paraId="12EFA131" w14:textId="77777777" w:rsidR="00FC1F26" w:rsidRPr="006D7933" w:rsidRDefault="00FC1F26" w:rsidP="0087255C">
      <w:pPr>
        <w:pStyle w:val="Item"/>
      </w:pPr>
      <w:r w:rsidRPr="006D7933">
        <w:t>Add:</w:t>
      </w:r>
    </w:p>
    <w:p w14:paraId="0E077E9D" w14:textId="77777777" w:rsidR="00FC1F26" w:rsidRPr="006D7933" w:rsidRDefault="00FC1F26" w:rsidP="0087255C">
      <w:pPr>
        <w:pStyle w:val="subsection"/>
      </w:pPr>
      <w:r w:rsidRPr="006D7933">
        <w:tab/>
        <w:t>(4)</w:t>
      </w:r>
      <w:r w:rsidRPr="006D7933">
        <w:tab/>
        <w:t>The Commissioner may, by legislative instrument, determine a rate of interest, or a manner of working out a rate of interest, for a currency.</w:t>
      </w:r>
    </w:p>
    <w:p w14:paraId="50910E26" w14:textId="77777777" w:rsidR="00FC1F26" w:rsidRPr="006D7933" w:rsidRDefault="00FC1F26" w:rsidP="0087255C">
      <w:pPr>
        <w:pStyle w:val="subsection"/>
      </w:pPr>
      <w:r w:rsidRPr="006D7933">
        <w:lastRenderedPageBreak/>
        <w:tab/>
        <w:t>(5)</w:t>
      </w:r>
      <w:r w:rsidRPr="006D7933">
        <w:tab/>
        <w:t>Despite sub</w:t>
      </w:r>
      <w:r w:rsidR="006D7933" w:rsidRPr="006D7933">
        <w:t>section 1</w:t>
      </w:r>
      <w:r w:rsidRPr="006D7933">
        <w:t xml:space="preserve">4(2) of the </w:t>
      </w:r>
      <w:r w:rsidRPr="006D7933">
        <w:rPr>
          <w:i/>
        </w:rPr>
        <w:t>Legislation Act 2003</w:t>
      </w:r>
      <w:r w:rsidRPr="006D7933">
        <w:t xml:space="preserve">, a determination under </w:t>
      </w:r>
      <w:r w:rsidR="006D7933" w:rsidRPr="006D7933">
        <w:t>subsection (</w:t>
      </w:r>
      <w:r w:rsidR="009865D1" w:rsidRPr="006D7933">
        <w:t>4</w:t>
      </w:r>
      <w:r w:rsidRPr="006D7933">
        <w:t xml:space="preserve">) of this section may make provision in relation to a matter by applying, </w:t>
      </w:r>
      <w:proofErr w:type="gramStart"/>
      <w:r w:rsidRPr="006D7933">
        <w:t>adopting</w:t>
      </w:r>
      <w:proofErr w:type="gramEnd"/>
      <w:r w:rsidRPr="006D7933">
        <w:t xml:space="preserve"> or incorporating, with or without modification, any matter contained in an instrument or other writing as in force or existing from time to time.</w:t>
      </w:r>
    </w:p>
    <w:bookmarkEnd w:id="10"/>
    <w:p w14:paraId="67D89BB9" w14:textId="77777777" w:rsidR="003E2E99" w:rsidRDefault="003E2E99" w:rsidP="0087255C">
      <w:pPr>
        <w:pStyle w:val="ActHead9"/>
      </w:pPr>
      <w:r w:rsidRPr="006D7933">
        <w:t>Payment Times Reporting Act 2020</w:t>
      </w:r>
    </w:p>
    <w:p w14:paraId="7BDAF2D4" w14:textId="77777777" w:rsidR="003E2E99" w:rsidRDefault="00C67199" w:rsidP="0087255C">
      <w:pPr>
        <w:pStyle w:val="ItemHead"/>
      </w:pPr>
      <w:bookmarkStart w:id="11" w:name="_Hlk81912664"/>
      <w:proofErr w:type="gramStart"/>
      <w:r>
        <w:t>47</w:t>
      </w:r>
      <w:r w:rsidR="003E2E99" w:rsidRPr="006D7933">
        <w:t xml:space="preserve">  </w:t>
      </w:r>
      <w:r w:rsidR="0087255C">
        <w:t>Subsection</w:t>
      </w:r>
      <w:proofErr w:type="gramEnd"/>
      <w:r w:rsidR="0087255C">
        <w:t> 1</w:t>
      </w:r>
      <w:r w:rsidR="003E2E99">
        <w:t>4(2)</w:t>
      </w:r>
    </w:p>
    <w:p w14:paraId="19A29B11" w14:textId="77777777" w:rsidR="003E2E99" w:rsidRDefault="003E2E99" w:rsidP="0087255C">
      <w:pPr>
        <w:pStyle w:val="Item"/>
      </w:pPr>
      <w:r>
        <w:t>Repeal the subsection, substitute:</w:t>
      </w:r>
    </w:p>
    <w:p w14:paraId="0E238BF5" w14:textId="77777777" w:rsidR="003E2E99" w:rsidRPr="008F74BE" w:rsidRDefault="003E2E99" w:rsidP="0087255C">
      <w:pPr>
        <w:pStyle w:val="subsection"/>
      </w:pPr>
      <w:r>
        <w:tab/>
        <w:t>(2)</w:t>
      </w:r>
      <w:r>
        <w:tab/>
      </w:r>
      <w:r w:rsidRPr="008F74BE">
        <w:t>The rules may prescribe the method for working out any of the matters mentioned in paragraph (1)</w:t>
      </w:r>
      <w:r>
        <w:t xml:space="preserve">(e), (f), </w:t>
      </w:r>
      <w:r w:rsidRPr="008F74BE">
        <w:t>(g)</w:t>
      </w:r>
      <w:r>
        <w:t xml:space="preserve"> or (h), </w:t>
      </w:r>
      <w:r w:rsidRPr="009C2D80">
        <w:t>including in relation to the issue or payment of small business invoices</w:t>
      </w:r>
      <w:r>
        <w:t>.</w:t>
      </w:r>
    </w:p>
    <w:p w14:paraId="04BCF300" w14:textId="77777777" w:rsidR="003E2E99" w:rsidRPr="006D7933" w:rsidRDefault="00C67199" w:rsidP="0087255C">
      <w:pPr>
        <w:pStyle w:val="Transitional"/>
      </w:pPr>
      <w:proofErr w:type="gramStart"/>
      <w:r>
        <w:t>48</w:t>
      </w:r>
      <w:r w:rsidR="003E2E99" w:rsidRPr="006D7933">
        <w:t xml:space="preserve">  Application</w:t>
      </w:r>
      <w:proofErr w:type="gramEnd"/>
    </w:p>
    <w:p w14:paraId="5FC2F4EE" w14:textId="77777777" w:rsidR="003E2E99" w:rsidRDefault="0087255C" w:rsidP="0087255C">
      <w:pPr>
        <w:pStyle w:val="Item"/>
      </w:pPr>
      <w:r>
        <w:t>Subsection 1</w:t>
      </w:r>
      <w:r w:rsidR="003E2E99" w:rsidRPr="006D7933">
        <w:t>4</w:t>
      </w:r>
      <w:r w:rsidR="003E2E99">
        <w:t>(2)</w:t>
      </w:r>
      <w:r w:rsidR="003E2E99" w:rsidRPr="006D7933">
        <w:t xml:space="preserve"> of the </w:t>
      </w:r>
      <w:r w:rsidR="003E2E99" w:rsidRPr="006D7933">
        <w:rPr>
          <w:i/>
        </w:rPr>
        <w:t>Payment Times Reporting Act 2020</w:t>
      </w:r>
      <w:r w:rsidR="003E2E99">
        <w:t>,</w:t>
      </w:r>
      <w:r w:rsidR="003E2E99" w:rsidRPr="006D7933">
        <w:rPr>
          <w:i/>
        </w:rPr>
        <w:t xml:space="preserve"> </w:t>
      </w:r>
      <w:r w:rsidR="003E2E99">
        <w:t>as inserted</w:t>
      </w:r>
      <w:r w:rsidR="003E2E99" w:rsidRPr="006D7933">
        <w:t xml:space="preserve"> by this Part</w:t>
      </w:r>
      <w:r w:rsidR="003E2E99">
        <w:t>,</w:t>
      </w:r>
      <w:r w:rsidR="003E2E99" w:rsidRPr="006D7933">
        <w:rPr>
          <w:i/>
        </w:rPr>
        <w:t xml:space="preserve"> </w:t>
      </w:r>
      <w:r w:rsidR="003E2E99" w:rsidRPr="006D7933">
        <w:t>appl</w:t>
      </w:r>
      <w:r w:rsidR="003E2E99">
        <w:t>ies</w:t>
      </w:r>
      <w:r w:rsidR="003E2E99" w:rsidRPr="006D7933">
        <w:t xml:space="preserve"> in relation to a payment times report given on or after the commencement of this </w:t>
      </w:r>
      <w:r>
        <w:t>Part i</w:t>
      </w:r>
      <w:r w:rsidR="003E2E99" w:rsidRPr="006D7933">
        <w:t>ncluding a payment times report for a reporting period that began before th</w:t>
      </w:r>
      <w:r w:rsidR="003E2E99">
        <w:t>at</w:t>
      </w:r>
      <w:r w:rsidR="003E2E99" w:rsidRPr="006D7933">
        <w:t xml:space="preserve"> commencement</w:t>
      </w:r>
      <w:r w:rsidR="003E2E99">
        <w:t>.</w:t>
      </w:r>
    </w:p>
    <w:bookmarkEnd w:id="11"/>
    <w:p w14:paraId="553B3590" w14:textId="77777777" w:rsidR="003E2E99" w:rsidRPr="003E2E99" w:rsidRDefault="0087255C" w:rsidP="0087255C">
      <w:pPr>
        <w:pStyle w:val="ActHead2"/>
        <w:pageBreakBefore/>
      </w:pPr>
      <w:r w:rsidRPr="00146472">
        <w:rPr>
          <w:rStyle w:val="CharPartNo"/>
        </w:rPr>
        <w:lastRenderedPageBreak/>
        <w:t>Part 4</w:t>
      </w:r>
      <w:r w:rsidR="003E2E99">
        <w:t>—</w:t>
      </w:r>
      <w:r w:rsidR="003E2E99" w:rsidRPr="00146472">
        <w:rPr>
          <w:rStyle w:val="CharPartText"/>
        </w:rPr>
        <w:t xml:space="preserve">Amendments commencing on </w:t>
      </w:r>
      <w:r w:rsidRPr="00146472">
        <w:rPr>
          <w:rStyle w:val="CharPartText"/>
        </w:rPr>
        <w:t>1 July</w:t>
      </w:r>
      <w:r w:rsidR="003E2E99" w:rsidRPr="00146472">
        <w:rPr>
          <w:rStyle w:val="CharPartText"/>
        </w:rPr>
        <w:t xml:space="preserve"> 2022</w:t>
      </w:r>
    </w:p>
    <w:p w14:paraId="5B82ACC1" w14:textId="77777777" w:rsidR="00D302DF" w:rsidRPr="00146472" w:rsidRDefault="00D302DF" w:rsidP="0087255C">
      <w:pPr>
        <w:pStyle w:val="Header"/>
      </w:pPr>
      <w:r w:rsidRPr="00146472">
        <w:rPr>
          <w:rStyle w:val="CharDivNo"/>
        </w:rPr>
        <w:t xml:space="preserve"> </w:t>
      </w:r>
      <w:r w:rsidRPr="00146472">
        <w:rPr>
          <w:rStyle w:val="CharDivText"/>
        </w:rPr>
        <w:t xml:space="preserve"> </w:t>
      </w:r>
    </w:p>
    <w:p w14:paraId="3F2A40FB" w14:textId="77777777" w:rsidR="009459BF" w:rsidRPr="006D7933" w:rsidRDefault="009459BF" w:rsidP="0087255C">
      <w:pPr>
        <w:pStyle w:val="ActHead9"/>
      </w:pPr>
      <w:r w:rsidRPr="006D7933">
        <w:t>National Consumer Credit Protection (Transitional and Consequential Provisions) Act 2009</w:t>
      </w:r>
    </w:p>
    <w:p w14:paraId="530BA0FE" w14:textId="77777777" w:rsidR="009459BF" w:rsidRPr="006D7933" w:rsidRDefault="00C67199" w:rsidP="0087255C">
      <w:pPr>
        <w:pStyle w:val="ItemHead"/>
      </w:pPr>
      <w:proofErr w:type="gramStart"/>
      <w:r>
        <w:t>49</w:t>
      </w:r>
      <w:r w:rsidR="009459BF" w:rsidRPr="006D7933">
        <w:t xml:space="preserve">  Item</w:t>
      </w:r>
      <w:proofErr w:type="gramEnd"/>
      <w:r w:rsidR="009459BF" w:rsidRPr="006D7933">
        <w:t> 23 of Schedule 9</w:t>
      </w:r>
    </w:p>
    <w:p w14:paraId="002C18E1" w14:textId="77777777" w:rsidR="009459BF" w:rsidRPr="006D7933" w:rsidRDefault="009459BF" w:rsidP="0087255C">
      <w:pPr>
        <w:pStyle w:val="Item"/>
      </w:pPr>
      <w:r w:rsidRPr="006D7933">
        <w:t>Omit “23”, substitute “1”.</w:t>
      </w:r>
    </w:p>
    <w:p w14:paraId="36C312BB" w14:textId="77777777" w:rsidR="009459BF" w:rsidRPr="006D7933" w:rsidRDefault="009459BF" w:rsidP="0087255C">
      <w:pPr>
        <w:pStyle w:val="notedraft"/>
      </w:pPr>
    </w:p>
    <w:sectPr w:rsidR="009459BF" w:rsidRPr="006D7933" w:rsidSect="008725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43C32" w14:textId="77777777" w:rsidR="0084277D" w:rsidRDefault="0084277D" w:rsidP="00664C63">
      <w:pPr>
        <w:spacing w:line="240" w:lineRule="auto"/>
      </w:pPr>
      <w:r>
        <w:separator/>
      </w:r>
    </w:p>
  </w:endnote>
  <w:endnote w:type="continuationSeparator" w:id="0">
    <w:p w14:paraId="7BE3B926" w14:textId="77777777" w:rsidR="0084277D" w:rsidRDefault="0084277D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23DEA" w14:textId="77777777" w:rsidR="005550C6" w:rsidRPr="00BB4623" w:rsidRDefault="005550C6" w:rsidP="0087255C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3C57049" wp14:editId="187167C7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D80F36" w14:textId="77777777" w:rsidR="005550C6" w:rsidRPr="00D67311" w:rsidRDefault="005550C6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255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255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5704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Vo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CG2VaK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66D80F36" w14:textId="77777777" w:rsidR="005550C6" w:rsidRPr="00D67311" w:rsidRDefault="005550C6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255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255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36AE08FC" w14:textId="77777777" w:rsidR="005550C6" w:rsidRPr="00BB4623" w:rsidRDefault="005550C6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4D9B7041" w14:textId="77777777" w:rsidR="005550C6" w:rsidRPr="00BB4623" w:rsidRDefault="005550C6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6B971" w14:textId="77777777" w:rsidR="005550C6" w:rsidRDefault="005550C6" w:rsidP="0087255C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1A70D2A" wp14:editId="10B0F63A">
              <wp:simplePos x="0" y="0"/>
              <wp:positionH relativeFrom="page">
                <wp:align>center</wp:align>
              </wp:positionH>
              <wp:positionV relativeFrom="paragraph">
                <wp:posOffset>2159635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9DEEB" w14:textId="1649F77A" w:rsidR="005550C6" w:rsidRPr="00D67311" w:rsidRDefault="005550C6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255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255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F624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70D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c-primary" style="position:absolute;margin-left:0;margin-top:170.0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" stroked="f" strokeweight=".5pt">
              <v:path arrowok="t"/>
              <v:textbox>
                <w:txbxContent>
                  <w:p w14:paraId="0289DEEB" w14:textId="1649F77A" w:rsidR="005550C6" w:rsidRPr="00D67311" w:rsidRDefault="005550C6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255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255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F624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5550C6" w:rsidRPr="00B3608C" w14:paraId="67A9CB77" w14:textId="77777777" w:rsidTr="00590B1A">
      <w:trPr>
        <w:trHeight w:val="280"/>
      </w:trPr>
      <w:tc>
        <w:tcPr>
          <w:tcW w:w="7087" w:type="dxa"/>
        </w:tcPr>
        <w:p w14:paraId="4CF4D55A" w14:textId="77777777" w:rsidR="005550C6" w:rsidRPr="00B3608C" w:rsidRDefault="005550C6" w:rsidP="00590B1A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5550C6" w:rsidRPr="00B3608C" w14:paraId="37F6D35C" w14:textId="77777777" w:rsidTr="00590B1A">
      <w:tc>
        <w:tcPr>
          <w:tcW w:w="7087" w:type="dxa"/>
        </w:tcPr>
        <w:p w14:paraId="77EF720A" w14:textId="77777777" w:rsidR="005550C6" w:rsidRPr="00B3608C" w:rsidRDefault="005550C6" w:rsidP="00590B1A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13172F4A" w14:textId="77777777" w:rsidR="005550C6" w:rsidRPr="00BB4623" w:rsidRDefault="005550C6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CE76D" w14:textId="77777777" w:rsidR="005550C6" w:rsidRPr="00BB4623" w:rsidRDefault="005550C6" w:rsidP="0087255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7BCFB74" wp14:editId="680774DE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791073" w14:textId="77777777" w:rsidR="005550C6" w:rsidRPr="00D67311" w:rsidRDefault="005550C6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255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255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CFB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IVpgIAAME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HesIhW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68791073" w14:textId="77777777" w:rsidR="005550C6" w:rsidRPr="00D67311" w:rsidRDefault="005550C6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255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255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6494D" w14:textId="77777777" w:rsidR="0084277D" w:rsidRDefault="0084277D" w:rsidP="00664C63">
      <w:pPr>
        <w:spacing w:line="240" w:lineRule="auto"/>
      </w:pPr>
      <w:r>
        <w:separator/>
      </w:r>
    </w:p>
  </w:footnote>
  <w:footnote w:type="continuationSeparator" w:id="0">
    <w:p w14:paraId="21AAC9C7" w14:textId="77777777" w:rsidR="0084277D" w:rsidRDefault="0084277D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B9421" w14:textId="77777777" w:rsidR="005550C6" w:rsidRPr="00BB4623" w:rsidRDefault="005550C6" w:rsidP="00664C63">
    <w:pPr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FDC7CD2" wp14:editId="78AD8623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5" name="Text Box 5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B5FCA" w14:textId="77777777" w:rsidR="005550C6" w:rsidRPr="00D67311" w:rsidRDefault="005550C6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255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255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C7C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LBpA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" stroked="f" strokeweight=".5pt">
              <v:path arrowok="t"/>
              <v:textbox>
                <w:txbxContent>
                  <w:p w14:paraId="011B5FCA" w14:textId="77777777" w:rsidR="005550C6" w:rsidRPr="00D67311" w:rsidRDefault="005550C6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255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255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5BE8A82" w14:textId="77777777" w:rsidR="005550C6" w:rsidRPr="00BB4623" w:rsidRDefault="005550C6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7A018" w14:textId="77777777" w:rsidR="005550C6" w:rsidRPr="00BB4623" w:rsidRDefault="005550C6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FFE4AD" wp14:editId="7AF4935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3" name="Text Box 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0C545" w14:textId="54FF4886" w:rsidR="005550C6" w:rsidRPr="00D67311" w:rsidRDefault="005550C6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255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255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F624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FFE4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-primary" style="position:absolute;left:0;text-align:left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lA2Cb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4E20C545" w14:textId="54FF4886" w:rsidR="005550C6" w:rsidRPr="00D67311" w:rsidRDefault="005550C6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255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255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F624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4D56C59" w14:textId="77777777" w:rsidR="005550C6" w:rsidRPr="00BB4623" w:rsidRDefault="005550C6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969D8" w14:textId="77777777" w:rsidR="005550C6" w:rsidRPr="00BB4623" w:rsidRDefault="005550C6" w:rsidP="00664C6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E2CD1C" wp14:editId="6AE3944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" name="Text Box 1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291D1" w14:textId="77777777" w:rsidR="005550C6" w:rsidRPr="00D67311" w:rsidRDefault="005550C6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255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255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E343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E2CD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Bci225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034291D1" w14:textId="77777777" w:rsidR="005550C6" w:rsidRPr="00D67311" w:rsidRDefault="005550C6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255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255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E343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6A16"/>
    <w:rsid w:val="00004F80"/>
    <w:rsid w:val="000136AF"/>
    <w:rsid w:val="00014B9A"/>
    <w:rsid w:val="000434B3"/>
    <w:rsid w:val="00055D20"/>
    <w:rsid w:val="000614BF"/>
    <w:rsid w:val="00073C5A"/>
    <w:rsid w:val="00087033"/>
    <w:rsid w:val="000C5E7B"/>
    <w:rsid w:val="000C74F9"/>
    <w:rsid w:val="000D05EF"/>
    <w:rsid w:val="000D3899"/>
    <w:rsid w:val="000D763B"/>
    <w:rsid w:val="000E3A99"/>
    <w:rsid w:val="000F21C1"/>
    <w:rsid w:val="000F4126"/>
    <w:rsid w:val="001016D1"/>
    <w:rsid w:val="0010240E"/>
    <w:rsid w:val="001026A0"/>
    <w:rsid w:val="0010745C"/>
    <w:rsid w:val="0011206D"/>
    <w:rsid w:val="00122664"/>
    <w:rsid w:val="001263CC"/>
    <w:rsid w:val="00132A68"/>
    <w:rsid w:val="00136103"/>
    <w:rsid w:val="0014557F"/>
    <w:rsid w:val="00146472"/>
    <w:rsid w:val="0015123A"/>
    <w:rsid w:val="00166C2F"/>
    <w:rsid w:val="00172036"/>
    <w:rsid w:val="00176A16"/>
    <w:rsid w:val="00182C9A"/>
    <w:rsid w:val="00183F22"/>
    <w:rsid w:val="0018435F"/>
    <w:rsid w:val="001939E1"/>
    <w:rsid w:val="00195382"/>
    <w:rsid w:val="001A3DE7"/>
    <w:rsid w:val="001B0A45"/>
    <w:rsid w:val="001B0F61"/>
    <w:rsid w:val="001C69C4"/>
    <w:rsid w:val="001D328B"/>
    <w:rsid w:val="001D6C15"/>
    <w:rsid w:val="001E3590"/>
    <w:rsid w:val="001E7407"/>
    <w:rsid w:val="002107B9"/>
    <w:rsid w:val="0021250A"/>
    <w:rsid w:val="00212D7F"/>
    <w:rsid w:val="00215E9D"/>
    <w:rsid w:val="002277A0"/>
    <w:rsid w:val="002278C5"/>
    <w:rsid w:val="00240749"/>
    <w:rsid w:val="00243B4F"/>
    <w:rsid w:val="00267425"/>
    <w:rsid w:val="00283757"/>
    <w:rsid w:val="00284567"/>
    <w:rsid w:val="0028658D"/>
    <w:rsid w:val="00296415"/>
    <w:rsid w:val="00297ECB"/>
    <w:rsid w:val="002A230D"/>
    <w:rsid w:val="002C085A"/>
    <w:rsid w:val="002D043A"/>
    <w:rsid w:val="002D06A1"/>
    <w:rsid w:val="002F08B3"/>
    <w:rsid w:val="002F124E"/>
    <w:rsid w:val="002F6249"/>
    <w:rsid w:val="0030443E"/>
    <w:rsid w:val="003135DD"/>
    <w:rsid w:val="00313C6F"/>
    <w:rsid w:val="0033411C"/>
    <w:rsid w:val="00334771"/>
    <w:rsid w:val="00335B66"/>
    <w:rsid w:val="003415D3"/>
    <w:rsid w:val="003526E2"/>
    <w:rsid w:val="00352B0F"/>
    <w:rsid w:val="0035672B"/>
    <w:rsid w:val="003978F7"/>
    <w:rsid w:val="003A033E"/>
    <w:rsid w:val="003A174D"/>
    <w:rsid w:val="003B033D"/>
    <w:rsid w:val="003B0F1E"/>
    <w:rsid w:val="003B6DB6"/>
    <w:rsid w:val="003D0317"/>
    <w:rsid w:val="003D0BFE"/>
    <w:rsid w:val="003D2D96"/>
    <w:rsid w:val="003D5700"/>
    <w:rsid w:val="003E2AAD"/>
    <w:rsid w:val="003E2E99"/>
    <w:rsid w:val="003F60D2"/>
    <w:rsid w:val="00400333"/>
    <w:rsid w:val="00402376"/>
    <w:rsid w:val="004040B2"/>
    <w:rsid w:val="004043EE"/>
    <w:rsid w:val="0040616D"/>
    <w:rsid w:val="004116CD"/>
    <w:rsid w:val="00411EC3"/>
    <w:rsid w:val="004168B4"/>
    <w:rsid w:val="00424CA9"/>
    <w:rsid w:val="00427D10"/>
    <w:rsid w:val="00427DF7"/>
    <w:rsid w:val="00435854"/>
    <w:rsid w:val="0044291A"/>
    <w:rsid w:val="00463BE8"/>
    <w:rsid w:val="004944FE"/>
    <w:rsid w:val="00496F97"/>
    <w:rsid w:val="004A4518"/>
    <w:rsid w:val="004E3680"/>
    <w:rsid w:val="005104CE"/>
    <w:rsid w:val="00516B8D"/>
    <w:rsid w:val="00532B95"/>
    <w:rsid w:val="00537FBC"/>
    <w:rsid w:val="00543850"/>
    <w:rsid w:val="00554369"/>
    <w:rsid w:val="005550C6"/>
    <w:rsid w:val="00566DA6"/>
    <w:rsid w:val="00571A9B"/>
    <w:rsid w:val="005734FB"/>
    <w:rsid w:val="00573566"/>
    <w:rsid w:val="00581923"/>
    <w:rsid w:val="00581D82"/>
    <w:rsid w:val="00584052"/>
    <w:rsid w:val="00584811"/>
    <w:rsid w:val="00590B1A"/>
    <w:rsid w:val="00592DE1"/>
    <w:rsid w:val="00593AA6"/>
    <w:rsid w:val="00594161"/>
    <w:rsid w:val="00594749"/>
    <w:rsid w:val="005A6F34"/>
    <w:rsid w:val="005B4067"/>
    <w:rsid w:val="005B7D29"/>
    <w:rsid w:val="005C3F41"/>
    <w:rsid w:val="005C5800"/>
    <w:rsid w:val="005D185A"/>
    <w:rsid w:val="005D4DEA"/>
    <w:rsid w:val="005D7909"/>
    <w:rsid w:val="005E1D2A"/>
    <w:rsid w:val="005E3436"/>
    <w:rsid w:val="00600219"/>
    <w:rsid w:val="00611744"/>
    <w:rsid w:val="00611C2E"/>
    <w:rsid w:val="00612864"/>
    <w:rsid w:val="0061790A"/>
    <w:rsid w:val="0063119E"/>
    <w:rsid w:val="006444FB"/>
    <w:rsid w:val="00646171"/>
    <w:rsid w:val="0065106B"/>
    <w:rsid w:val="006527A6"/>
    <w:rsid w:val="00664C63"/>
    <w:rsid w:val="0067553D"/>
    <w:rsid w:val="00677CC2"/>
    <w:rsid w:val="00681A4A"/>
    <w:rsid w:val="00686E62"/>
    <w:rsid w:val="0069207B"/>
    <w:rsid w:val="006B51F1"/>
    <w:rsid w:val="006C7F8C"/>
    <w:rsid w:val="006D3764"/>
    <w:rsid w:val="006D7933"/>
    <w:rsid w:val="006D7E4D"/>
    <w:rsid w:val="006E4AB2"/>
    <w:rsid w:val="006F548D"/>
    <w:rsid w:val="00700B2C"/>
    <w:rsid w:val="00713084"/>
    <w:rsid w:val="0071689B"/>
    <w:rsid w:val="007173B8"/>
    <w:rsid w:val="0072137A"/>
    <w:rsid w:val="00721E69"/>
    <w:rsid w:val="00731E00"/>
    <w:rsid w:val="00732A85"/>
    <w:rsid w:val="00743301"/>
    <w:rsid w:val="007440B7"/>
    <w:rsid w:val="0075226A"/>
    <w:rsid w:val="007627F4"/>
    <w:rsid w:val="00770B2F"/>
    <w:rsid w:val="007715C9"/>
    <w:rsid w:val="00774EDD"/>
    <w:rsid w:val="007757EC"/>
    <w:rsid w:val="007845BF"/>
    <w:rsid w:val="00792F85"/>
    <w:rsid w:val="00795FCE"/>
    <w:rsid w:val="007A062F"/>
    <w:rsid w:val="007A659A"/>
    <w:rsid w:val="007B081F"/>
    <w:rsid w:val="007B45F3"/>
    <w:rsid w:val="007C334F"/>
    <w:rsid w:val="007E4CC8"/>
    <w:rsid w:val="007E6ED3"/>
    <w:rsid w:val="007E79C0"/>
    <w:rsid w:val="007F3CCD"/>
    <w:rsid w:val="00827D3A"/>
    <w:rsid w:val="00830815"/>
    <w:rsid w:val="008358E8"/>
    <w:rsid w:val="0084277D"/>
    <w:rsid w:val="00856A31"/>
    <w:rsid w:val="0087255C"/>
    <w:rsid w:val="008754D0"/>
    <w:rsid w:val="00883892"/>
    <w:rsid w:val="00885522"/>
    <w:rsid w:val="00895C2F"/>
    <w:rsid w:val="008A1521"/>
    <w:rsid w:val="008A4E7D"/>
    <w:rsid w:val="008A6470"/>
    <w:rsid w:val="008D0EE0"/>
    <w:rsid w:val="008E05CA"/>
    <w:rsid w:val="008F60CE"/>
    <w:rsid w:val="008F74BE"/>
    <w:rsid w:val="009110BA"/>
    <w:rsid w:val="00932377"/>
    <w:rsid w:val="00932FA3"/>
    <w:rsid w:val="0094312D"/>
    <w:rsid w:val="009459BF"/>
    <w:rsid w:val="00950C0F"/>
    <w:rsid w:val="00953C89"/>
    <w:rsid w:val="0095602D"/>
    <w:rsid w:val="009620C2"/>
    <w:rsid w:val="009865D1"/>
    <w:rsid w:val="00997A9A"/>
    <w:rsid w:val="009A0D99"/>
    <w:rsid w:val="009B3D70"/>
    <w:rsid w:val="009C2D80"/>
    <w:rsid w:val="009D176A"/>
    <w:rsid w:val="009D5B72"/>
    <w:rsid w:val="009F3DB4"/>
    <w:rsid w:val="00A11404"/>
    <w:rsid w:val="00A120DD"/>
    <w:rsid w:val="00A153C2"/>
    <w:rsid w:val="00A231E2"/>
    <w:rsid w:val="00A25627"/>
    <w:rsid w:val="00A415B9"/>
    <w:rsid w:val="00A64912"/>
    <w:rsid w:val="00A70A74"/>
    <w:rsid w:val="00A84D4A"/>
    <w:rsid w:val="00A95CF2"/>
    <w:rsid w:val="00AA5445"/>
    <w:rsid w:val="00AB0C8A"/>
    <w:rsid w:val="00AB5A90"/>
    <w:rsid w:val="00AC6179"/>
    <w:rsid w:val="00AC6595"/>
    <w:rsid w:val="00AD27B3"/>
    <w:rsid w:val="00AD5641"/>
    <w:rsid w:val="00AD61C2"/>
    <w:rsid w:val="00AE36AF"/>
    <w:rsid w:val="00AE59F7"/>
    <w:rsid w:val="00AE7BD7"/>
    <w:rsid w:val="00AF1210"/>
    <w:rsid w:val="00B04BAC"/>
    <w:rsid w:val="00B05DED"/>
    <w:rsid w:val="00B26413"/>
    <w:rsid w:val="00B271C7"/>
    <w:rsid w:val="00B30BBF"/>
    <w:rsid w:val="00B33B3C"/>
    <w:rsid w:val="00B340B6"/>
    <w:rsid w:val="00B3608C"/>
    <w:rsid w:val="00B372A6"/>
    <w:rsid w:val="00B429C2"/>
    <w:rsid w:val="00B60FB2"/>
    <w:rsid w:val="00B61C25"/>
    <w:rsid w:val="00B70E56"/>
    <w:rsid w:val="00BA3F5F"/>
    <w:rsid w:val="00BC30F2"/>
    <w:rsid w:val="00BD1655"/>
    <w:rsid w:val="00BE719A"/>
    <w:rsid w:val="00BE720A"/>
    <w:rsid w:val="00BF0393"/>
    <w:rsid w:val="00BF0733"/>
    <w:rsid w:val="00C02683"/>
    <w:rsid w:val="00C15160"/>
    <w:rsid w:val="00C30484"/>
    <w:rsid w:val="00C42BF8"/>
    <w:rsid w:val="00C44A16"/>
    <w:rsid w:val="00C44B35"/>
    <w:rsid w:val="00C50043"/>
    <w:rsid w:val="00C51C95"/>
    <w:rsid w:val="00C5275E"/>
    <w:rsid w:val="00C53114"/>
    <w:rsid w:val="00C67199"/>
    <w:rsid w:val="00C723B9"/>
    <w:rsid w:val="00C7573B"/>
    <w:rsid w:val="00C77D10"/>
    <w:rsid w:val="00C95C9D"/>
    <w:rsid w:val="00C969FA"/>
    <w:rsid w:val="00CB0995"/>
    <w:rsid w:val="00CB0EA8"/>
    <w:rsid w:val="00CC7A09"/>
    <w:rsid w:val="00CC7B12"/>
    <w:rsid w:val="00CD39E9"/>
    <w:rsid w:val="00CE4248"/>
    <w:rsid w:val="00CF0BB2"/>
    <w:rsid w:val="00CF4975"/>
    <w:rsid w:val="00CF6DC7"/>
    <w:rsid w:val="00D11593"/>
    <w:rsid w:val="00D13441"/>
    <w:rsid w:val="00D302DF"/>
    <w:rsid w:val="00D3213F"/>
    <w:rsid w:val="00D34EE5"/>
    <w:rsid w:val="00D374CE"/>
    <w:rsid w:val="00D40252"/>
    <w:rsid w:val="00D467B9"/>
    <w:rsid w:val="00D640D3"/>
    <w:rsid w:val="00D647A8"/>
    <w:rsid w:val="00D67311"/>
    <w:rsid w:val="00D70DFB"/>
    <w:rsid w:val="00D7186F"/>
    <w:rsid w:val="00D766DF"/>
    <w:rsid w:val="00D9284D"/>
    <w:rsid w:val="00DD1D81"/>
    <w:rsid w:val="00DD314D"/>
    <w:rsid w:val="00DE10B8"/>
    <w:rsid w:val="00DF3227"/>
    <w:rsid w:val="00DF5034"/>
    <w:rsid w:val="00E05704"/>
    <w:rsid w:val="00E12BF8"/>
    <w:rsid w:val="00E1363F"/>
    <w:rsid w:val="00E22B12"/>
    <w:rsid w:val="00E43F6B"/>
    <w:rsid w:val="00E54584"/>
    <w:rsid w:val="00E54CAB"/>
    <w:rsid w:val="00E74DC7"/>
    <w:rsid w:val="00E85CB9"/>
    <w:rsid w:val="00E91D90"/>
    <w:rsid w:val="00E94998"/>
    <w:rsid w:val="00EB7096"/>
    <w:rsid w:val="00ED1A6C"/>
    <w:rsid w:val="00ED3614"/>
    <w:rsid w:val="00ED41F0"/>
    <w:rsid w:val="00EE25A8"/>
    <w:rsid w:val="00EE6646"/>
    <w:rsid w:val="00EE6DCC"/>
    <w:rsid w:val="00EF2E3A"/>
    <w:rsid w:val="00F00548"/>
    <w:rsid w:val="00F0132A"/>
    <w:rsid w:val="00F078DC"/>
    <w:rsid w:val="00F15112"/>
    <w:rsid w:val="00F43C6A"/>
    <w:rsid w:val="00F4763C"/>
    <w:rsid w:val="00F5076A"/>
    <w:rsid w:val="00F607D7"/>
    <w:rsid w:val="00F66BA8"/>
    <w:rsid w:val="00F71234"/>
    <w:rsid w:val="00F8103A"/>
    <w:rsid w:val="00F92B4E"/>
    <w:rsid w:val="00F9776F"/>
    <w:rsid w:val="00FA0EEC"/>
    <w:rsid w:val="00FA3991"/>
    <w:rsid w:val="00FC104F"/>
    <w:rsid w:val="00FC1F26"/>
    <w:rsid w:val="00FC4DB8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4C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255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8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8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8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8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8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8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8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8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8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7255C"/>
  </w:style>
  <w:style w:type="paragraph" w:customStyle="1" w:styleId="OPCParaBase">
    <w:name w:val="OPCParaBase"/>
    <w:link w:val="OPCParaBaseChar"/>
    <w:qFormat/>
    <w:rsid w:val="0087255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7255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link w:val="ActHead1Char"/>
    <w:qFormat/>
    <w:rsid w:val="0087255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7255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7255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7255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7255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7255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7255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7255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7255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7255C"/>
  </w:style>
  <w:style w:type="paragraph" w:customStyle="1" w:styleId="Blocks">
    <w:name w:val="Blocks"/>
    <w:aliases w:val="bb"/>
    <w:basedOn w:val="OPCParaBase"/>
    <w:qFormat/>
    <w:rsid w:val="0087255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725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7255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7255C"/>
    <w:rPr>
      <w:i/>
    </w:rPr>
  </w:style>
  <w:style w:type="paragraph" w:customStyle="1" w:styleId="BoxList">
    <w:name w:val="BoxList"/>
    <w:aliases w:val="bl"/>
    <w:basedOn w:val="BoxText"/>
    <w:qFormat/>
    <w:rsid w:val="0087255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7255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7255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7255C"/>
    <w:pPr>
      <w:ind w:left="1985" w:hanging="851"/>
    </w:pPr>
  </w:style>
  <w:style w:type="character" w:customStyle="1" w:styleId="CharAmPartNo">
    <w:name w:val="CharAmPartNo"/>
    <w:basedOn w:val="OPCCharBase"/>
    <w:qFormat/>
    <w:rsid w:val="0087255C"/>
  </w:style>
  <w:style w:type="character" w:customStyle="1" w:styleId="CharAmPartText">
    <w:name w:val="CharAmPartText"/>
    <w:basedOn w:val="OPCCharBase"/>
    <w:qFormat/>
    <w:rsid w:val="0087255C"/>
  </w:style>
  <w:style w:type="character" w:customStyle="1" w:styleId="CharAmSchNo">
    <w:name w:val="CharAmSchNo"/>
    <w:basedOn w:val="OPCCharBase"/>
    <w:qFormat/>
    <w:rsid w:val="0087255C"/>
  </w:style>
  <w:style w:type="character" w:customStyle="1" w:styleId="CharAmSchText">
    <w:name w:val="CharAmSchText"/>
    <w:basedOn w:val="OPCCharBase"/>
    <w:qFormat/>
    <w:rsid w:val="0087255C"/>
  </w:style>
  <w:style w:type="character" w:customStyle="1" w:styleId="CharBoldItalic">
    <w:name w:val="CharBoldItalic"/>
    <w:basedOn w:val="OPCCharBase"/>
    <w:uiPriority w:val="1"/>
    <w:qFormat/>
    <w:rsid w:val="0087255C"/>
    <w:rPr>
      <w:b/>
      <w:i/>
    </w:rPr>
  </w:style>
  <w:style w:type="character" w:customStyle="1" w:styleId="CharChapNo">
    <w:name w:val="CharChapNo"/>
    <w:basedOn w:val="OPCCharBase"/>
    <w:uiPriority w:val="1"/>
    <w:qFormat/>
    <w:rsid w:val="0087255C"/>
  </w:style>
  <w:style w:type="character" w:customStyle="1" w:styleId="CharChapText">
    <w:name w:val="CharChapText"/>
    <w:basedOn w:val="OPCCharBase"/>
    <w:uiPriority w:val="1"/>
    <w:qFormat/>
    <w:rsid w:val="0087255C"/>
  </w:style>
  <w:style w:type="character" w:customStyle="1" w:styleId="CharDivNo">
    <w:name w:val="CharDivNo"/>
    <w:basedOn w:val="OPCCharBase"/>
    <w:uiPriority w:val="1"/>
    <w:qFormat/>
    <w:rsid w:val="0087255C"/>
  </w:style>
  <w:style w:type="character" w:customStyle="1" w:styleId="CharDivText">
    <w:name w:val="CharDivText"/>
    <w:basedOn w:val="OPCCharBase"/>
    <w:uiPriority w:val="1"/>
    <w:qFormat/>
    <w:rsid w:val="0087255C"/>
  </w:style>
  <w:style w:type="character" w:customStyle="1" w:styleId="CharItalic">
    <w:name w:val="CharItalic"/>
    <w:basedOn w:val="OPCCharBase"/>
    <w:uiPriority w:val="1"/>
    <w:qFormat/>
    <w:rsid w:val="0087255C"/>
    <w:rPr>
      <w:i/>
    </w:rPr>
  </w:style>
  <w:style w:type="character" w:customStyle="1" w:styleId="CharPartNo">
    <w:name w:val="CharPartNo"/>
    <w:basedOn w:val="OPCCharBase"/>
    <w:uiPriority w:val="1"/>
    <w:qFormat/>
    <w:rsid w:val="0087255C"/>
  </w:style>
  <w:style w:type="character" w:customStyle="1" w:styleId="CharPartText">
    <w:name w:val="CharPartText"/>
    <w:basedOn w:val="OPCCharBase"/>
    <w:uiPriority w:val="1"/>
    <w:qFormat/>
    <w:rsid w:val="0087255C"/>
  </w:style>
  <w:style w:type="character" w:customStyle="1" w:styleId="CharSectno">
    <w:name w:val="CharSectno"/>
    <w:basedOn w:val="OPCCharBase"/>
    <w:qFormat/>
    <w:rsid w:val="0087255C"/>
  </w:style>
  <w:style w:type="character" w:customStyle="1" w:styleId="CharSubdNo">
    <w:name w:val="CharSubdNo"/>
    <w:basedOn w:val="OPCCharBase"/>
    <w:uiPriority w:val="1"/>
    <w:qFormat/>
    <w:rsid w:val="0087255C"/>
  </w:style>
  <w:style w:type="character" w:customStyle="1" w:styleId="CharSubdText">
    <w:name w:val="CharSubdText"/>
    <w:basedOn w:val="OPCCharBase"/>
    <w:uiPriority w:val="1"/>
    <w:qFormat/>
    <w:rsid w:val="0087255C"/>
  </w:style>
  <w:style w:type="paragraph" w:customStyle="1" w:styleId="CTA--">
    <w:name w:val="CTA --"/>
    <w:basedOn w:val="OPCParaBase"/>
    <w:next w:val="Normal"/>
    <w:rsid w:val="0087255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7255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7255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7255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7255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7255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7255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7255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7255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7255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7255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7255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7255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7255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7255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7255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7255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7255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7255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7255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7255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7255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7255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7255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7255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87255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7255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7255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7255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7255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7255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7255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7255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7255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7255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7255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7255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7255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7255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7255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7255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7255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7255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7255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7255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7255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7255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7255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7255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7255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7255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725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7255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7255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7255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7255C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7255C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7255C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7255C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87255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87255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7255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7255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87255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7255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7255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7255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7255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7255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7255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7255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7255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7255C"/>
    <w:rPr>
      <w:sz w:val="16"/>
    </w:rPr>
  </w:style>
  <w:style w:type="table" w:customStyle="1" w:styleId="CFlag">
    <w:name w:val="CFlag"/>
    <w:basedOn w:val="TableNormal"/>
    <w:uiPriority w:val="99"/>
    <w:rsid w:val="0087255C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87255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7255C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7255C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87255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87255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7255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7255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7255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7255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7255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7255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7255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7255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7255C"/>
  </w:style>
  <w:style w:type="character" w:customStyle="1" w:styleId="CharSubPartNoCASA">
    <w:name w:val="CharSubPartNo(CASA)"/>
    <w:basedOn w:val="OPCCharBase"/>
    <w:uiPriority w:val="1"/>
    <w:rsid w:val="0087255C"/>
  </w:style>
  <w:style w:type="paragraph" w:customStyle="1" w:styleId="ENoteTTIndentHeadingSub">
    <w:name w:val="ENoteTTIndentHeadingSub"/>
    <w:aliases w:val="enTTHis"/>
    <w:basedOn w:val="OPCParaBase"/>
    <w:rsid w:val="0087255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7255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7255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7255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87255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7255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725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7255C"/>
    <w:rPr>
      <w:sz w:val="22"/>
    </w:rPr>
  </w:style>
  <w:style w:type="paragraph" w:customStyle="1" w:styleId="SOTextNote">
    <w:name w:val="SO TextNote"/>
    <w:aliases w:val="sont"/>
    <w:basedOn w:val="SOText"/>
    <w:qFormat/>
    <w:rsid w:val="0087255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7255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7255C"/>
    <w:rPr>
      <w:sz w:val="22"/>
    </w:rPr>
  </w:style>
  <w:style w:type="paragraph" w:customStyle="1" w:styleId="FileName">
    <w:name w:val="FileName"/>
    <w:basedOn w:val="Normal"/>
    <w:rsid w:val="0087255C"/>
  </w:style>
  <w:style w:type="paragraph" w:customStyle="1" w:styleId="TableHeading">
    <w:name w:val="TableHeading"/>
    <w:aliases w:val="th"/>
    <w:basedOn w:val="OPCParaBase"/>
    <w:next w:val="Tabletext"/>
    <w:rsid w:val="0087255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7255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7255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7255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7255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7255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7255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7255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7255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725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7255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7255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87255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7255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7255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7255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87255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7255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7255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7255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7255C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872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link w:val="TransitionalChar"/>
    <w:rsid w:val="0087255C"/>
  </w:style>
  <w:style w:type="character" w:customStyle="1" w:styleId="Heading1Char">
    <w:name w:val="Heading 1 Char"/>
    <w:basedOn w:val="DefaultParagraphFont"/>
    <w:link w:val="Heading1"/>
    <w:uiPriority w:val="9"/>
    <w:rsid w:val="008358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8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8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8E8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8E8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8E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8E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8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8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pecialih">
    <w:name w:val="Special ih"/>
    <w:basedOn w:val="ItemHead"/>
    <w:link w:val="SpecialihChar"/>
    <w:rsid w:val="00F00548"/>
  </w:style>
  <w:style w:type="character" w:customStyle="1" w:styleId="OPCParaBaseChar">
    <w:name w:val="OPCParaBase Char"/>
    <w:basedOn w:val="DefaultParagraphFont"/>
    <w:link w:val="OPCParaBase"/>
    <w:rsid w:val="00F00548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OPCParaBaseChar"/>
    <w:link w:val="ItemHead"/>
    <w:rsid w:val="00F00548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pecialihChar">
    <w:name w:val="Special ih Char"/>
    <w:basedOn w:val="ItemHeadChar"/>
    <w:link w:val="Specialih"/>
    <w:rsid w:val="00F00548"/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Specialtr">
    <w:name w:val="Special tr"/>
    <w:basedOn w:val="Transitional"/>
    <w:link w:val="SpecialtrChar"/>
    <w:rsid w:val="002A230D"/>
  </w:style>
  <w:style w:type="character" w:customStyle="1" w:styleId="TransitionalChar">
    <w:name w:val="Transitional Char"/>
    <w:aliases w:val="tr Char"/>
    <w:basedOn w:val="ItemHeadChar"/>
    <w:link w:val="Transitional"/>
    <w:rsid w:val="002A230D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pecialtrChar">
    <w:name w:val="Special tr Char"/>
    <w:basedOn w:val="TransitionalChar"/>
    <w:link w:val="Specialtr"/>
    <w:rsid w:val="002A230D"/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Specialc">
    <w:name w:val="Special c"/>
    <w:basedOn w:val="ActHead1"/>
    <w:link w:val="SpecialcChar"/>
    <w:rsid w:val="00427DF7"/>
    <w:pPr>
      <w:outlineLvl w:val="9"/>
    </w:pPr>
  </w:style>
  <w:style w:type="character" w:customStyle="1" w:styleId="ActHead1Char">
    <w:name w:val="ActHead 1 Char"/>
    <w:aliases w:val="c Char"/>
    <w:basedOn w:val="OPCParaBaseChar"/>
    <w:link w:val="ActHead1"/>
    <w:rsid w:val="00427DF7"/>
    <w:rPr>
      <w:rFonts w:eastAsia="Times New Roman" w:cs="Times New Roman"/>
      <w:b/>
      <w:kern w:val="28"/>
      <w:sz w:val="36"/>
      <w:lang w:eastAsia="en-AU"/>
    </w:rPr>
  </w:style>
  <w:style w:type="character" w:customStyle="1" w:styleId="SpecialcChar">
    <w:name w:val="Special c Char"/>
    <w:basedOn w:val="ActHead1Char"/>
    <w:link w:val="Specialc"/>
    <w:rsid w:val="00427DF7"/>
    <w:rPr>
      <w:rFonts w:eastAsia="Times New Roman" w:cs="Times New Roman"/>
      <w:b/>
      <w:kern w:val="28"/>
      <w:sz w:val="3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13</Pages>
  <Words>2279</Words>
  <Characters>11899</Characters>
  <Application>Microsoft Office Word</Application>
  <DocSecurity>2</DocSecurity>
  <PresentationFormat/>
  <Lines>349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(Measures for Consultation) Bill 2021: Miscellaneous and Technical Amendments No. 2</vt:lpstr>
    </vt:vector>
  </TitlesOfParts>
  <Manager/>
  <Company/>
  <LinksUpToDate>false</LinksUpToDate>
  <CharactersWithSpaces>13942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for Consultation) Bill 2021: Miscellaneous and Technical Amendments No. 2</dc:title>
  <dc:subject/>
  <dc:creator/>
  <cp:keywords/>
  <dc:description/>
  <cp:lastModifiedBy/>
  <cp:revision>1</cp:revision>
  <cp:lastPrinted>2021-09-07T04:59:00Z</cp:lastPrinted>
  <dcterms:created xsi:type="dcterms:W3CDTF">2021-09-09T03:21:00Z</dcterms:created>
  <dcterms:modified xsi:type="dcterms:W3CDTF">2021-09-13T02:39:00Z</dcterms:modified>
  <cp:category/>
  <cp:contentStatus/>
  <dc:language/>
  <cp:version/>
</cp:coreProperties>
</file>