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2F72E" w14:textId="77777777" w:rsidR="000E0B74" w:rsidRPr="006D0240" w:rsidRDefault="000E0B74" w:rsidP="008E6292"/>
    <w:p w14:paraId="63616F48" w14:textId="77777777" w:rsidR="000E0B74" w:rsidRPr="006D0240" w:rsidRDefault="000E0B74" w:rsidP="00C72318">
      <w:pPr>
        <w:pStyle w:val="Crest"/>
        <w:spacing w:after="3000"/>
        <w:jc w:val="right"/>
      </w:pPr>
    </w:p>
    <w:p w14:paraId="2BF7199D" w14:textId="0975A943" w:rsidR="008919A4" w:rsidRDefault="005F5743" w:rsidP="000E0B74">
      <w:pPr>
        <w:pStyle w:val="Title"/>
      </w:pPr>
      <w:r>
        <w:rPr>
          <w:noProof/>
        </w:rPr>
        <w:t>Incentivising charities to join the Redress Scheme</w:t>
      </w:r>
      <w:r w:rsidR="00D844E5">
        <w:t xml:space="preserve"> —</w:t>
      </w:r>
      <w:r w:rsidR="00441F59">
        <w:t xml:space="preserve"> new g</w:t>
      </w:r>
      <w:r w:rsidR="00727FAD">
        <w:t xml:space="preserve">overnance </w:t>
      </w:r>
      <w:r w:rsidR="00441F59">
        <w:t>s</w:t>
      </w:r>
      <w:r w:rsidR="00727FAD">
        <w:t>tandard</w:t>
      </w:r>
    </w:p>
    <w:p w14:paraId="419E6A8F" w14:textId="77777777" w:rsidR="000E0B74" w:rsidRPr="00A524B9" w:rsidRDefault="00736516" w:rsidP="000E0B74">
      <w:pPr>
        <w:pStyle w:val="Title"/>
      </w:pPr>
      <w:r>
        <w:t>F</w:t>
      </w:r>
      <w:r w:rsidR="00FD4EAF">
        <w:t>AQs</w:t>
      </w:r>
    </w:p>
    <w:p w14:paraId="756AD792" w14:textId="77777777" w:rsidR="002F617F" w:rsidRPr="005D561D" w:rsidRDefault="002F617F" w:rsidP="002F617F">
      <w:pPr>
        <w:pStyle w:val="Divider"/>
      </w:pPr>
    </w:p>
    <w:p w14:paraId="1EDD0443" w14:textId="77777777" w:rsidR="002F617F" w:rsidRDefault="002F617F"/>
    <w:p w14:paraId="1FF93A82" w14:textId="77777777" w:rsidR="000E0B74" w:rsidRDefault="000E0B74" w:rsidP="000E0B74">
      <w:pPr>
        <w:rPr>
          <w:rFonts w:cs="Calibri"/>
          <w:sz w:val="20"/>
        </w:rPr>
      </w:pPr>
    </w:p>
    <w:p w14:paraId="37466199" w14:textId="77777777" w:rsidR="000E0B74" w:rsidRDefault="000E0B74" w:rsidP="000E0B74">
      <w:pPr>
        <w:sectPr w:rsidR="000E0B74" w:rsidSect="00C01DCC">
          <w:headerReference w:type="default" r:id="rId13"/>
          <w:footerReference w:type="even" r:id="rId14"/>
          <w:footerReference w:type="default" r:id="rId15"/>
          <w:pgSz w:w="11906" w:h="16838"/>
          <w:pgMar w:top="1418" w:right="1418" w:bottom="1418" w:left="1418" w:header="709" w:footer="709" w:gutter="0"/>
          <w:cols w:space="720"/>
        </w:sectPr>
      </w:pPr>
    </w:p>
    <w:p w14:paraId="221AF24A" w14:textId="77777777" w:rsidR="00651786" w:rsidRPr="00A57A97" w:rsidRDefault="007D50E0" w:rsidP="006514DD">
      <w:pPr>
        <w:pStyle w:val="Heading2"/>
      </w:pPr>
      <w:r w:rsidRPr="00A57A97">
        <w:lastRenderedPageBreak/>
        <w:t>Context</w:t>
      </w:r>
    </w:p>
    <w:p w14:paraId="3952A822" w14:textId="2A8E80D2" w:rsidR="00F02705" w:rsidRDefault="00DA6809" w:rsidP="00AD4087">
      <w:pPr>
        <w:pStyle w:val="Bullet"/>
        <w:numPr>
          <w:ilvl w:val="0"/>
          <w:numId w:val="0"/>
        </w:numPr>
        <w:tabs>
          <w:tab w:val="num" w:pos="520"/>
        </w:tabs>
        <w:spacing w:before="240" w:after="200"/>
      </w:pPr>
      <w:r w:rsidRPr="00A57A97">
        <w:t xml:space="preserve">Consistent with the Prime Minister’s speech to Parliament on 22 October 2020 on the National Redress Scheme for Institutional Child Sexual Abuse (the Redress Scheme), the Commonwealth is placing further sanctions on institutions who continue to refuse to join the Redress Scheme. </w:t>
      </w:r>
    </w:p>
    <w:p w14:paraId="37F0B116" w14:textId="56F5249F" w:rsidR="006E3141" w:rsidRDefault="00142AA2" w:rsidP="00AD4087">
      <w:pPr>
        <w:pStyle w:val="Bullet"/>
        <w:numPr>
          <w:ilvl w:val="0"/>
          <w:numId w:val="0"/>
        </w:numPr>
        <w:tabs>
          <w:tab w:val="num" w:pos="520"/>
        </w:tabs>
        <w:spacing w:before="240" w:after="200"/>
      </w:pPr>
      <w:r>
        <w:t xml:space="preserve">A </w:t>
      </w:r>
      <w:r w:rsidR="00D16C03">
        <w:t xml:space="preserve">proposed </w:t>
      </w:r>
      <w:r>
        <w:t>governance standard</w:t>
      </w:r>
      <w:r w:rsidR="001F2124">
        <w:t xml:space="preserve"> has </w:t>
      </w:r>
      <w:r>
        <w:t>be</w:t>
      </w:r>
      <w:r w:rsidR="001F2124">
        <w:t>en</w:t>
      </w:r>
      <w:r>
        <w:t xml:space="preserve"> developed, requiring registered charities to take all reasonable steps to join the Redress Scheme if a redress claim has been made, or is likely to be made</w:t>
      </w:r>
      <w:r w:rsidR="004D349B">
        <w:t>,</w:t>
      </w:r>
      <w:r>
        <w:t xml:space="preserve"> against the charity. </w:t>
      </w:r>
      <w:r w:rsidR="00A94E04">
        <w:t xml:space="preserve">Consistent with the existing governance standards, the proposed governance standard will be set out in the </w:t>
      </w:r>
      <w:r w:rsidR="00A94E04" w:rsidRPr="00C5191A">
        <w:rPr>
          <w:i/>
        </w:rPr>
        <w:t>Australian Charities and Not-for-profits Commission Regulation 2013</w:t>
      </w:r>
      <w:r w:rsidR="00A94E04">
        <w:t>.</w:t>
      </w:r>
    </w:p>
    <w:p w14:paraId="79969811" w14:textId="6F2A5F5C" w:rsidR="00142AA2" w:rsidRPr="00A57A97" w:rsidRDefault="00142AA2" w:rsidP="00AD4087">
      <w:pPr>
        <w:pStyle w:val="Bullet"/>
        <w:numPr>
          <w:ilvl w:val="0"/>
          <w:numId w:val="0"/>
        </w:numPr>
        <w:tabs>
          <w:tab w:val="num" w:pos="520"/>
        </w:tabs>
        <w:spacing w:before="240" w:after="200"/>
      </w:pPr>
      <w:r>
        <w:t>Legislative amendments will also be introduced, altering the eligibility criteria for</w:t>
      </w:r>
      <w:r w:rsidRPr="00142AA2">
        <w:t xml:space="preserve"> basic religious charities (BRCs) so that BRCs who have a claim against them under the </w:t>
      </w:r>
      <w:r w:rsidR="00252953">
        <w:t xml:space="preserve">Redress </w:t>
      </w:r>
      <w:r w:rsidRPr="00142AA2">
        <w:t xml:space="preserve">Scheme are required to </w:t>
      </w:r>
      <w:r w:rsidR="00D16C03">
        <w:t>join the Redress Scheme to retain their BRC status.</w:t>
      </w:r>
    </w:p>
    <w:p w14:paraId="737A4692" w14:textId="77777777" w:rsidR="00974BD2" w:rsidRPr="00A57A97" w:rsidRDefault="00974BD2" w:rsidP="00974BD2">
      <w:pPr>
        <w:rPr>
          <w:rFonts w:cs="Arial"/>
          <w:iCs/>
          <w:color w:val="004A7F"/>
          <w:kern w:val="32"/>
          <w:sz w:val="36"/>
          <w:szCs w:val="28"/>
        </w:rPr>
      </w:pPr>
      <w:r w:rsidRPr="00A57A97">
        <w:rPr>
          <w:rFonts w:cs="Arial"/>
          <w:iCs/>
          <w:color w:val="004A7F"/>
          <w:kern w:val="32"/>
          <w:sz w:val="36"/>
          <w:szCs w:val="28"/>
        </w:rPr>
        <w:t>What is the National Redress Scheme for Institutional Child Sexual Abuse (Redress Scheme)?</w:t>
      </w:r>
    </w:p>
    <w:p w14:paraId="34F248B9" w14:textId="7AC4392F" w:rsidR="00974BD2" w:rsidRPr="00A57A97" w:rsidRDefault="00974BD2" w:rsidP="00974BD2">
      <w:pPr>
        <w:pStyle w:val="Bullet"/>
        <w:numPr>
          <w:ilvl w:val="0"/>
          <w:numId w:val="0"/>
        </w:numPr>
        <w:tabs>
          <w:tab w:val="num" w:pos="520"/>
        </w:tabs>
        <w:spacing w:before="240" w:after="200"/>
      </w:pPr>
      <w:r w:rsidRPr="00A57A97">
        <w:t xml:space="preserve">The Redress Scheme commenced on 1 July 2018 and will run for 10 years on the basis that institutions opt-in to the </w:t>
      </w:r>
      <w:r w:rsidR="00D16C03">
        <w:t xml:space="preserve">Redress </w:t>
      </w:r>
      <w:r w:rsidRPr="00A57A97">
        <w:t>Scheme and the responsible entity pays.</w:t>
      </w:r>
    </w:p>
    <w:p w14:paraId="4DDCBA72" w14:textId="448B5277" w:rsidR="00974BD2" w:rsidRPr="00A57A97" w:rsidRDefault="00974BD2" w:rsidP="00974BD2">
      <w:pPr>
        <w:pStyle w:val="Bullet"/>
        <w:numPr>
          <w:ilvl w:val="0"/>
          <w:numId w:val="0"/>
        </w:numPr>
        <w:tabs>
          <w:tab w:val="num" w:pos="520"/>
          <w:tab w:val="num" w:pos="567"/>
        </w:tabs>
        <w:spacing w:before="240" w:after="200"/>
      </w:pPr>
      <w:r w:rsidRPr="00A57A97">
        <w:t xml:space="preserve">Under the </w:t>
      </w:r>
      <w:r w:rsidR="00252953">
        <w:t xml:space="preserve">Redress </w:t>
      </w:r>
      <w:r w:rsidRPr="00A57A97">
        <w:t>Scheme, eligible child sexual abuse survivors will be provided with: a redress payment of up to $150,000; counselling and psychological care; and an optional direct personal response from the responsible institution/s.</w:t>
      </w:r>
    </w:p>
    <w:p w14:paraId="27E98E11" w14:textId="5C4AE17B" w:rsidR="00974BD2" w:rsidRPr="00A57A97" w:rsidRDefault="00974BD2" w:rsidP="00974BD2">
      <w:pPr>
        <w:pStyle w:val="Bullet"/>
        <w:numPr>
          <w:ilvl w:val="0"/>
          <w:numId w:val="0"/>
        </w:numPr>
        <w:tabs>
          <w:tab w:val="num" w:pos="520"/>
          <w:tab w:val="num" w:pos="567"/>
        </w:tabs>
        <w:spacing w:before="240" w:after="200"/>
      </w:pPr>
      <w:r w:rsidRPr="00A57A97">
        <w:t xml:space="preserve">A person is not eligible for redress unless one or more of the institutions responsible for the sexual abuse is participating in the </w:t>
      </w:r>
      <w:r w:rsidR="00252953">
        <w:t xml:space="preserve">Redress </w:t>
      </w:r>
      <w:r w:rsidRPr="00A57A97">
        <w:t xml:space="preserve">Scheme (a ‘participating institution’). Survivors can apply for redress even if the institution responsible for the abuse has not joined the </w:t>
      </w:r>
      <w:r w:rsidR="00252953">
        <w:t xml:space="preserve">Redress </w:t>
      </w:r>
      <w:r w:rsidRPr="00A57A97">
        <w:t>Scheme, but their application will not progress until that institution joins.</w:t>
      </w:r>
    </w:p>
    <w:p w14:paraId="104FBEDD" w14:textId="77777777" w:rsidR="00974BD2" w:rsidRPr="006A689C" w:rsidRDefault="00974BD2" w:rsidP="00974BD2">
      <w:pPr>
        <w:pStyle w:val="Heading2"/>
      </w:pPr>
      <w:r w:rsidRPr="006A689C">
        <w:t>What are the requirements under the proposed governance standard?</w:t>
      </w:r>
    </w:p>
    <w:p w14:paraId="5E59DDAE" w14:textId="47992CB4" w:rsidR="00974BD2" w:rsidRPr="006A689C" w:rsidRDefault="00974BD2" w:rsidP="00974BD2">
      <w:pPr>
        <w:pStyle w:val="Default"/>
        <w:rPr>
          <w:rFonts w:eastAsia="Times New Roman" w:cs="Times New Roman"/>
          <w:color w:val="auto"/>
          <w:sz w:val="22"/>
          <w:szCs w:val="20"/>
          <w:lang w:eastAsia="en-AU"/>
        </w:rPr>
      </w:pPr>
      <w:r w:rsidRPr="006A689C">
        <w:rPr>
          <w:rFonts w:eastAsia="Times New Roman" w:cs="Times New Roman"/>
          <w:color w:val="auto"/>
          <w:sz w:val="22"/>
          <w:szCs w:val="20"/>
          <w:lang w:eastAsia="en-AU"/>
        </w:rPr>
        <w:t xml:space="preserve">The proposed standard will require a registered entity to take reasonable steps to become a participating non-government institution if the entity is, or is likely to be, identified as being involved in the abuse of a person either in an application for redress made under section 19 of the </w:t>
      </w:r>
      <w:r w:rsidRPr="006B04AC">
        <w:rPr>
          <w:rFonts w:eastAsia="Times New Roman" w:cs="Times New Roman"/>
          <w:i/>
          <w:color w:val="auto"/>
          <w:sz w:val="22"/>
          <w:szCs w:val="20"/>
          <w:lang w:eastAsia="en-AU"/>
        </w:rPr>
        <w:t>National Redress Scheme for Institutional Child Sexual Abuse Act 2018</w:t>
      </w:r>
      <w:r w:rsidRPr="006A689C">
        <w:rPr>
          <w:rFonts w:eastAsia="Times New Roman" w:cs="Times New Roman"/>
          <w:color w:val="auto"/>
          <w:sz w:val="22"/>
          <w:szCs w:val="20"/>
          <w:lang w:eastAsia="en-AU"/>
        </w:rPr>
        <w:t xml:space="preserve">; or in information given </w:t>
      </w:r>
      <w:r w:rsidR="00D86442" w:rsidRPr="006A689C">
        <w:rPr>
          <w:rFonts w:eastAsia="Times New Roman" w:cs="Times New Roman"/>
          <w:color w:val="auto"/>
          <w:sz w:val="22"/>
          <w:szCs w:val="20"/>
          <w:lang w:eastAsia="en-AU"/>
        </w:rPr>
        <w:t xml:space="preserve">in response to a request </w:t>
      </w:r>
      <w:r w:rsidRPr="006A689C">
        <w:rPr>
          <w:rFonts w:eastAsia="Times New Roman" w:cs="Times New Roman"/>
          <w:color w:val="auto"/>
          <w:sz w:val="22"/>
          <w:szCs w:val="20"/>
          <w:lang w:eastAsia="en-AU"/>
        </w:rPr>
        <w:t>under section 24 or 25 of that Act.</w:t>
      </w:r>
    </w:p>
    <w:p w14:paraId="00237F62" w14:textId="2644FD52" w:rsidR="00974BD2" w:rsidRPr="008A5D21" w:rsidRDefault="00974BD2" w:rsidP="00974BD2">
      <w:pPr>
        <w:pStyle w:val="Heading2"/>
      </w:pPr>
      <w:r>
        <w:t>What are the consequences if a charity does not comply with the governance standard</w:t>
      </w:r>
      <w:r w:rsidRPr="008A5D21">
        <w:t>?</w:t>
      </w:r>
    </w:p>
    <w:p w14:paraId="6CDA9044" w14:textId="09243A4B" w:rsidR="00974BD2" w:rsidRPr="00EB04EF" w:rsidRDefault="00EE60BA" w:rsidP="00974BD2">
      <w:pPr>
        <w:pStyle w:val="Bullet"/>
        <w:numPr>
          <w:ilvl w:val="0"/>
          <w:numId w:val="0"/>
        </w:numPr>
        <w:spacing w:before="360"/>
      </w:pPr>
      <w:r>
        <w:t>C</w:t>
      </w:r>
      <w:r w:rsidR="00974BD2" w:rsidRPr="009D316E">
        <w:t xml:space="preserve">harities </w:t>
      </w:r>
      <w:r>
        <w:t xml:space="preserve">that have or are likely to have a claim made against them </w:t>
      </w:r>
      <w:r w:rsidR="00974BD2" w:rsidRPr="009D316E">
        <w:t>will be required to take reasonable steps towards joining the Redress Scheme to meet the governance standard.  Where the ACNC considers an entity is not taking reasonable steps towards joining the Redre</w:t>
      </w:r>
      <w:r w:rsidR="00974BD2">
        <w:t>s</w:t>
      </w:r>
      <w:r w:rsidR="00974BD2" w:rsidRPr="009D316E">
        <w:t>s Scheme</w:t>
      </w:r>
      <w:r w:rsidR="00974BD2">
        <w:t xml:space="preserve">, the charity </w:t>
      </w:r>
      <w:r w:rsidR="00974BD2" w:rsidRPr="009D316E">
        <w:t xml:space="preserve">would </w:t>
      </w:r>
      <w:r w:rsidR="00974BD2">
        <w:t xml:space="preserve">then </w:t>
      </w:r>
      <w:r w:rsidR="00974BD2" w:rsidRPr="009D316E">
        <w:t xml:space="preserve">be subject to a suite of the ACNC’s existing </w:t>
      </w:r>
      <w:r w:rsidR="004D349B">
        <w:t>enforcement</w:t>
      </w:r>
      <w:r w:rsidR="00974BD2" w:rsidRPr="009D316E">
        <w:t xml:space="preserve"> powers, </w:t>
      </w:r>
      <w:r>
        <w:t xml:space="preserve">including </w:t>
      </w:r>
      <w:r w:rsidR="004D349B">
        <w:t xml:space="preserve">the </w:t>
      </w:r>
      <w:r w:rsidR="00974BD2" w:rsidRPr="009D316E">
        <w:t>re</w:t>
      </w:r>
      <w:r w:rsidR="004D349B">
        <w:t>vocation of charity registration</w:t>
      </w:r>
      <w:r w:rsidR="00974BD2" w:rsidRPr="009D316E">
        <w:t xml:space="preserve">. Should the ACNC exercise its </w:t>
      </w:r>
      <w:r w:rsidR="004D349B">
        <w:t>enforcement</w:t>
      </w:r>
      <w:r w:rsidR="00974BD2" w:rsidRPr="00EB04EF">
        <w:t xml:space="preserve"> power to </w:t>
      </w:r>
      <w:r w:rsidR="004D349B">
        <w:t xml:space="preserve">revoke the </w:t>
      </w:r>
      <w:r w:rsidR="004D349B">
        <w:lastRenderedPageBreak/>
        <w:t xml:space="preserve">registration of </w:t>
      </w:r>
      <w:r w:rsidR="00974BD2" w:rsidRPr="00EB04EF">
        <w:t xml:space="preserve">a charity, this would result in the entity </w:t>
      </w:r>
      <w:r w:rsidR="00D86442">
        <w:t>no longer being eligible for</w:t>
      </w:r>
      <w:r w:rsidR="00974BD2" w:rsidRPr="00EB04EF">
        <w:t xml:space="preserve"> a range of Commonwealth benefits and concessions, including tax concessions.</w:t>
      </w:r>
    </w:p>
    <w:p w14:paraId="4BDDCCCD" w14:textId="41577B3A" w:rsidR="00A57A97" w:rsidRPr="00A57A97" w:rsidRDefault="00A57A97" w:rsidP="00A57A97">
      <w:pPr>
        <w:rPr>
          <w:rFonts w:cs="Arial"/>
          <w:iCs/>
          <w:color w:val="004A7F"/>
          <w:kern w:val="32"/>
          <w:sz w:val="36"/>
          <w:szCs w:val="28"/>
        </w:rPr>
      </w:pPr>
      <w:r w:rsidRPr="00A57A97">
        <w:rPr>
          <w:rFonts w:cs="Arial"/>
          <w:iCs/>
          <w:color w:val="004A7F"/>
          <w:kern w:val="32"/>
          <w:sz w:val="36"/>
          <w:szCs w:val="28"/>
        </w:rPr>
        <w:t xml:space="preserve">Why is the Government making this </w:t>
      </w:r>
      <w:r>
        <w:rPr>
          <w:rFonts w:cs="Arial"/>
          <w:iCs/>
          <w:color w:val="004A7F"/>
          <w:kern w:val="32"/>
          <w:sz w:val="36"/>
          <w:szCs w:val="28"/>
        </w:rPr>
        <w:t>new governance standard</w:t>
      </w:r>
      <w:r w:rsidRPr="00A57A97">
        <w:rPr>
          <w:rFonts w:cs="Arial"/>
          <w:iCs/>
          <w:color w:val="004A7F"/>
          <w:kern w:val="32"/>
          <w:sz w:val="36"/>
          <w:szCs w:val="28"/>
        </w:rPr>
        <w:t xml:space="preserve">? </w:t>
      </w:r>
    </w:p>
    <w:p w14:paraId="1706B2CF" w14:textId="78F541F1" w:rsidR="00A57A97" w:rsidRPr="00A57A97" w:rsidRDefault="00A57A97" w:rsidP="00A57A97">
      <w:pPr>
        <w:pStyle w:val="Bullet"/>
        <w:numPr>
          <w:ilvl w:val="0"/>
          <w:numId w:val="0"/>
        </w:numPr>
        <w:tabs>
          <w:tab w:val="num" w:pos="520"/>
        </w:tabs>
        <w:spacing w:before="240" w:after="200"/>
      </w:pPr>
      <w:r w:rsidRPr="00A57A97">
        <w:t xml:space="preserve">This </w:t>
      </w:r>
      <w:r>
        <w:t xml:space="preserve">governance standard </w:t>
      </w:r>
      <w:r w:rsidRPr="00A57A97">
        <w:t xml:space="preserve">acts to incentivise </w:t>
      </w:r>
      <w:r>
        <w:t>charities</w:t>
      </w:r>
      <w:r w:rsidRPr="00A57A97">
        <w:t xml:space="preserve"> that may have been responsible for past institutional child sexual abuse, to participate in the Redress Scheme. This is consistent with the public’s expectation that generous support from the Commonwealth by way of charitable </w:t>
      </w:r>
      <w:r w:rsidR="00D21D7A">
        <w:t xml:space="preserve">benefits and </w:t>
      </w:r>
      <w:r w:rsidRPr="00A57A97">
        <w:t xml:space="preserve">concessions should not be provided to </w:t>
      </w:r>
      <w:r w:rsidR="001F2124">
        <w:t xml:space="preserve">these </w:t>
      </w:r>
      <w:r w:rsidRPr="00A57A97">
        <w:t>institutions who fail to join the Redress Scheme.</w:t>
      </w:r>
    </w:p>
    <w:p w14:paraId="77067CF9" w14:textId="57C71106" w:rsidR="00A57A97" w:rsidRPr="00A57A97" w:rsidRDefault="00A57A97" w:rsidP="00A57A97">
      <w:pPr>
        <w:pStyle w:val="Bullet"/>
        <w:numPr>
          <w:ilvl w:val="0"/>
          <w:numId w:val="0"/>
        </w:numPr>
        <w:tabs>
          <w:tab w:val="num" w:pos="520"/>
        </w:tabs>
        <w:spacing w:before="240" w:after="200"/>
      </w:pPr>
      <w:r w:rsidRPr="00A57A97">
        <w:t>The issue of institutions failing to join the Redress Scheme was recognised in a report by the Joint Select Committee overseeing the implementation of redress related recommendations of the Royal Commission</w:t>
      </w:r>
      <w:r w:rsidR="008A07EA">
        <w:t xml:space="preserve"> into Institutional Responses to Child Sexual Abuse</w:t>
      </w:r>
      <w:r w:rsidRPr="00A57A97">
        <w:t xml:space="preserve">, </w:t>
      </w:r>
      <w:r w:rsidRPr="00EB04EF">
        <w:rPr>
          <w:i/>
        </w:rPr>
        <w:t>Getting the National Redress Scheme right: An overdue step towards justice</w:t>
      </w:r>
      <w:r w:rsidRPr="00A57A97">
        <w:t>, tabled in Parliament on 2 April 2019.</w:t>
      </w:r>
    </w:p>
    <w:p w14:paraId="4EF54B20" w14:textId="73EFB235" w:rsidR="00A57A97" w:rsidRDefault="00A57A97" w:rsidP="00A57A97">
      <w:pPr>
        <w:pStyle w:val="Bullet"/>
        <w:numPr>
          <w:ilvl w:val="0"/>
          <w:numId w:val="0"/>
        </w:numPr>
        <w:tabs>
          <w:tab w:val="num" w:pos="520"/>
        </w:tabs>
        <w:spacing w:before="240" w:after="200"/>
      </w:pPr>
      <w:r w:rsidRPr="00A57A97">
        <w:t xml:space="preserve">Recommendation 3 of that report recommended the government consider mechanisms and their efficacy including those available under the </w:t>
      </w:r>
      <w:r w:rsidRPr="00EB04EF">
        <w:rPr>
          <w:i/>
        </w:rPr>
        <w:t>Charities Act 2013</w:t>
      </w:r>
      <w:r w:rsidRPr="00A57A97">
        <w:t>, to penalise all relevant institutions that fail to join the Redress Scheme, including the suspension of all tax concessions for, and the suspension of charitable status of, any institution that could reasonably be expected to participate in the Redress Scheme.</w:t>
      </w:r>
    </w:p>
    <w:p w14:paraId="1161DE85" w14:textId="77777777" w:rsidR="006511E7" w:rsidRPr="006A689C" w:rsidRDefault="006511E7" w:rsidP="006511E7">
      <w:pPr>
        <w:pStyle w:val="Heading2"/>
      </w:pPr>
      <w:r w:rsidRPr="006A689C">
        <w:t>Do all charities have to join the Redress Scheme to meet the proposed standard?</w:t>
      </w:r>
    </w:p>
    <w:p w14:paraId="7F0538F3" w14:textId="77777777" w:rsidR="00BA634F" w:rsidRDefault="006511E7" w:rsidP="006511E7">
      <w:r w:rsidRPr="006A689C">
        <w:t xml:space="preserve">No, only entities who are, or likely to be, identified as being involved in the abuse of a person are required to take reasonable steps to join the Redress Scheme. </w:t>
      </w:r>
    </w:p>
    <w:p w14:paraId="651BEAB3" w14:textId="36FB1E7F" w:rsidR="00063F78" w:rsidRDefault="00063F78" w:rsidP="00063F78">
      <w:pPr>
        <w:pStyle w:val="Heading2"/>
      </w:pPr>
      <w:bookmarkStart w:id="0" w:name="_GoBack"/>
      <w:bookmarkEnd w:id="0"/>
      <w:r w:rsidRPr="003A6830">
        <w:t>When is a charity considered ‘likely to be’ identified</w:t>
      </w:r>
      <w:r w:rsidR="00EC5BB8" w:rsidRPr="003A6830">
        <w:t>?</w:t>
      </w:r>
    </w:p>
    <w:p w14:paraId="1E1EDE13" w14:textId="51E0C84B" w:rsidR="00BA634F" w:rsidRPr="00E64227" w:rsidRDefault="006511E7" w:rsidP="00063F78">
      <w:r>
        <w:t>Entities considered likely to be identified as being involved in the abuse of a person include those entities who have been named in the Royal Commission</w:t>
      </w:r>
      <w:r w:rsidR="008A07EA">
        <w:t xml:space="preserve"> into Institutional Responses to Child Sexual Abuse</w:t>
      </w:r>
      <w:r>
        <w:t xml:space="preserve">, but have not yet had a claim made against them. </w:t>
      </w:r>
      <w:r w:rsidR="00BA634F" w:rsidRPr="00E64227">
        <w:t>E</w:t>
      </w:r>
      <w:r w:rsidR="00BA634F" w:rsidRPr="00841679">
        <w:t xml:space="preserve">ntities may also become aware that an application </w:t>
      </w:r>
      <w:r w:rsidR="000155B1">
        <w:t>is likely to</w:t>
      </w:r>
      <w:r w:rsidR="00BA634F" w:rsidRPr="00841679">
        <w:t xml:space="preserve"> be made against them, for example, if they</w:t>
      </w:r>
      <w:r w:rsidR="00032F15" w:rsidRPr="00841679">
        <w:t xml:space="preserve"> a</w:t>
      </w:r>
      <w:r w:rsidR="00BA634F" w:rsidRPr="00841679">
        <w:t>re informed directly by a person that the person is going to make an application for redress</w:t>
      </w:r>
      <w:r w:rsidR="00063F78" w:rsidRPr="00841679">
        <w:t>,</w:t>
      </w:r>
      <w:r w:rsidR="00BA634F" w:rsidRPr="00841679">
        <w:t xml:space="preserve"> or the person is otherwise involved in litigation with the entity about </w:t>
      </w:r>
      <w:r w:rsidR="00032F15">
        <w:t>past</w:t>
      </w:r>
      <w:r w:rsidR="00BA634F" w:rsidRPr="00841679">
        <w:t xml:space="preserve"> abuse. This could occur, for example, in the course of past or present legal proceedings. </w:t>
      </w:r>
    </w:p>
    <w:p w14:paraId="2669F65B" w14:textId="53E0DB4E" w:rsidR="00BA634F" w:rsidRPr="00841679" w:rsidRDefault="00BA634F" w:rsidP="00BA634F">
      <w:r w:rsidRPr="00841679">
        <w:t>Whether</w:t>
      </w:r>
      <w:r w:rsidR="00063F78" w:rsidRPr="00841679">
        <w:t xml:space="preserve"> an entity is </w:t>
      </w:r>
      <w:r w:rsidR="00032F15">
        <w:t>likely to be identified</w:t>
      </w:r>
      <w:r w:rsidRPr="00841679">
        <w:t xml:space="preserve"> will depend on the facts and information available to the entity. That is, it would not apply to an</w:t>
      </w:r>
      <w:r w:rsidR="00032F15">
        <w:t xml:space="preserve"> entity</w:t>
      </w:r>
      <w:r w:rsidRPr="00841679">
        <w:t xml:space="preserve"> that is not reasonably aware that they may be responsible for past institutional child sexual abuse</w:t>
      </w:r>
      <w:r w:rsidR="001809BA">
        <w:t>.</w:t>
      </w:r>
      <w:r w:rsidRPr="00841679">
        <w:t xml:space="preserve"> </w:t>
      </w:r>
    </w:p>
    <w:p w14:paraId="440132B0" w14:textId="1D9C467A" w:rsidR="006511E7" w:rsidRPr="006A689C" w:rsidRDefault="006511E7" w:rsidP="006511E7">
      <w:pPr>
        <w:pStyle w:val="Heading2"/>
      </w:pPr>
      <w:r w:rsidRPr="006A689C">
        <w:t xml:space="preserve">What will a </w:t>
      </w:r>
      <w:r>
        <w:t>charity</w:t>
      </w:r>
      <w:r w:rsidRPr="006A689C">
        <w:t xml:space="preserve"> need to do to meet the new governance standard?</w:t>
      </w:r>
    </w:p>
    <w:p w14:paraId="7D025649" w14:textId="599563D1" w:rsidR="006511E7" w:rsidRPr="008A5D21" w:rsidRDefault="006511E7" w:rsidP="006511E7">
      <w:pPr>
        <w:pStyle w:val="Default"/>
        <w:rPr>
          <w:rFonts w:eastAsia="Times New Roman" w:cs="Times New Roman"/>
          <w:color w:val="auto"/>
          <w:sz w:val="22"/>
          <w:szCs w:val="20"/>
          <w:lang w:eastAsia="en-AU"/>
        </w:rPr>
      </w:pPr>
      <w:r w:rsidRPr="006A689C">
        <w:rPr>
          <w:rFonts w:eastAsia="Times New Roman" w:cs="Times New Roman"/>
          <w:color w:val="auto"/>
          <w:sz w:val="22"/>
          <w:szCs w:val="20"/>
          <w:lang w:eastAsia="en-AU"/>
        </w:rPr>
        <w:t>Relevant entities do not</w:t>
      </w:r>
      <w:r>
        <w:rPr>
          <w:rFonts w:eastAsia="Times New Roman" w:cs="Times New Roman"/>
          <w:color w:val="auto"/>
          <w:sz w:val="22"/>
          <w:szCs w:val="20"/>
          <w:lang w:eastAsia="en-AU"/>
        </w:rPr>
        <w:t xml:space="preserve"> need to be</w:t>
      </w:r>
      <w:r w:rsidRPr="006A689C">
        <w:rPr>
          <w:rFonts w:eastAsia="Times New Roman" w:cs="Times New Roman"/>
          <w:color w:val="auto"/>
          <w:sz w:val="22"/>
          <w:szCs w:val="20"/>
          <w:lang w:eastAsia="en-AU"/>
        </w:rPr>
        <w:t xml:space="preserve"> </w:t>
      </w:r>
      <w:r>
        <w:rPr>
          <w:rFonts w:eastAsia="Times New Roman" w:cs="Times New Roman"/>
          <w:color w:val="auto"/>
          <w:sz w:val="22"/>
          <w:szCs w:val="20"/>
          <w:lang w:eastAsia="en-AU"/>
        </w:rPr>
        <w:t xml:space="preserve">a </w:t>
      </w:r>
      <w:r w:rsidRPr="006A689C">
        <w:rPr>
          <w:rFonts w:eastAsia="Times New Roman" w:cs="Times New Roman"/>
          <w:color w:val="auto"/>
          <w:sz w:val="22"/>
          <w:szCs w:val="20"/>
          <w:lang w:eastAsia="en-AU"/>
        </w:rPr>
        <w:t>participa</w:t>
      </w:r>
      <w:r w:rsidR="008A07EA">
        <w:rPr>
          <w:rFonts w:eastAsia="Times New Roman" w:cs="Times New Roman"/>
          <w:color w:val="auto"/>
          <w:sz w:val="22"/>
          <w:szCs w:val="20"/>
          <w:lang w:eastAsia="en-AU"/>
        </w:rPr>
        <w:t>ting non-government institution</w:t>
      </w:r>
      <w:r w:rsidRPr="006A689C">
        <w:rPr>
          <w:rFonts w:eastAsia="Times New Roman" w:cs="Times New Roman"/>
          <w:color w:val="auto"/>
          <w:sz w:val="22"/>
          <w:szCs w:val="20"/>
          <w:lang w:eastAsia="en-AU"/>
        </w:rPr>
        <w:t xml:space="preserve"> in the Redress Scheme to meet the standard</w:t>
      </w:r>
      <w:r>
        <w:rPr>
          <w:rFonts w:eastAsia="Times New Roman" w:cs="Times New Roman"/>
          <w:color w:val="auto"/>
          <w:sz w:val="22"/>
          <w:szCs w:val="20"/>
          <w:lang w:eastAsia="en-AU"/>
        </w:rPr>
        <w:t xml:space="preserve"> at a </w:t>
      </w:r>
      <w:r w:rsidRPr="008A5D21">
        <w:rPr>
          <w:rFonts w:eastAsia="Times New Roman" w:cs="Times New Roman"/>
          <w:color w:val="auto"/>
          <w:sz w:val="22"/>
          <w:szCs w:val="20"/>
          <w:lang w:eastAsia="en-AU"/>
        </w:rPr>
        <w:t xml:space="preserve">given time, but </w:t>
      </w:r>
      <w:r>
        <w:rPr>
          <w:rFonts w:eastAsia="Times New Roman" w:cs="Times New Roman"/>
          <w:color w:val="auto"/>
          <w:sz w:val="22"/>
          <w:szCs w:val="20"/>
          <w:lang w:eastAsia="en-AU"/>
        </w:rPr>
        <w:t xml:space="preserve">relevant </w:t>
      </w:r>
      <w:r w:rsidRPr="008A5D21">
        <w:rPr>
          <w:rFonts w:eastAsia="Times New Roman" w:cs="Times New Roman"/>
          <w:color w:val="auto"/>
          <w:sz w:val="22"/>
          <w:szCs w:val="20"/>
          <w:lang w:eastAsia="en-AU"/>
        </w:rPr>
        <w:t xml:space="preserve">entities must be taking </w:t>
      </w:r>
      <w:r w:rsidR="00D21D7A">
        <w:rPr>
          <w:rFonts w:eastAsia="Times New Roman" w:cs="Times New Roman"/>
          <w:color w:val="auto"/>
          <w:sz w:val="22"/>
          <w:szCs w:val="20"/>
          <w:lang w:eastAsia="en-AU"/>
        </w:rPr>
        <w:t xml:space="preserve">all </w:t>
      </w:r>
      <w:r w:rsidRPr="008A5D21">
        <w:rPr>
          <w:rFonts w:eastAsia="Times New Roman" w:cs="Times New Roman"/>
          <w:color w:val="auto"/>
          <w:sz w:val="22"/>
          <w:szCs w:val="20"/>
          <w:lang w:eastAsia="en-AU"/>
        </w:rPr>
        <w:t>reasonable steps towards becoming a participating non</w:t>
      </w:r>
      <w:r w:rsidRPr="008A5D21">
        <w:rPr>
          <w:rFonts w:eastAsia="Times New Roman" w:cs="Times New Roman"/>
          <w:color w:val="auto"/>
          <w:sz w:val="22"/>
          <w:szCs w:val="20"/>
          <w:lang w:eastAsia="en-AU"/>
        </w:rPr>
        <w:noBreakHyphen/>
        <w:t xml:space="preserve">government institution in order to meet the </w:t>
      </w:r>
      <w:r>
        <w:rPr>
          <w:rFonts w:eastAsia="Times New Roman" w:cs="Times New Roman"/>
          <w:color w:val="auto"/>
          <w:sz w:val="22"/>
          <w:szCs w:val="20"/>
          <w:lang w:eastAsia="en-AU"/>
        </w:rPr>
        <w:t xml:space="preserve">requirements under the </w:t>
      </w:r>
      <w:r w:rsidRPr="008A5D21">
        <w:rPr>
          <w:rFonts w:eastAsia="Times New Roman" w:cs="Times New Roman"/>
          <w:color w:val="auto"/>
          <w:sz w:val="22"/>
          <w:szCs w:val="20"/>
          <w:lang w:eastAsia="en-AU"/>
        </w:rPr>
        <w:t>standard.</w:t>
      </w:r>
    </w:p>
    <w:p w14:paraId="6FAA96ED" w14:textId="352B2093" w:rsidR="006511E7" w:rsidRPr="009A7F28" w:rsidRDefault="006511E7" w:rsidP="006511E7">
      <w:pPr>
        <w:pStyle w:val="Heading2"/>
      </w:pPr>
      <w:r w:rsidRPr="009A7F28">
        <w:lastRenderedPageBreak/>
        <w:t>What about BRCs who are not subject to governance standards</w:t>
      </w:r>
      <w:r w:rsidR="008B348A">
        <w:t xml:space="preserve"> and financial reporting</w:t>
      </w:r>
      <w:r w:rsidRPr="009A7F28">
        <w:t>?</w:t>
      </w:r>
    </w:p>
    <w:p w14:paraId="7FBF15A5" w14:textId="29D4BAFE" w:rsidR="006511E7" w:rsidRPr="00A57A97" w:rsidRDefault="006511E7" w:rsidP="00A94E04">
      <w:pPr>
        <w:pStyle w:val="Bullet"/>
        <w:numPr>
          <w:ilvl w:val="0"/>
          <w:numId w:val="0"/>
        </w:numPr>
        <w:tabs>
          <w:tab w:val="num" w:pos="520"/>
          <w:tab w:val="num" w:pos="567"/>
        </w:tabs>
        <w:spacing w:before="240" w:after="200"/>
      </w:pPr>
      <w:r>
        <w:t xml:space="preserve">The Government has introduced legislative amendments </w:t>
      </w:r>
      <w:r w:rsidR="007D3014">
        <w:t>in</w:t>
      </w:r>
      <w:r>
        <w:t xml:space="preserve">to Parliament to </w:t>
      </w:r>
      <w:r w:rsidRPr="00286D14">
        <w:t xml:space="preserve">amend the definition of </w:t>
      </w:r>
      <w:r>
        <w:t xml:space="preserve">a </w:t>
      </w:r>
      <w:r w:rsidRPr="00286D14">
        <w:t>BRC</w:t>
      </w:r>
      <w:r w:rsidR="007F3CBD">
        <w:t xml:space="preserve"> </w:t>
      </w:r>
      <w:r w:rsidRPr="00286D14">
        <w:t xml:space="preserve">in the </w:t>
      </w:r>
      <w:r w:rsidR="007F3CBD" w:rsidRPr="00A94E04">
        <w:t>ACNC Act</w:t>
      </w:r>
      <w:r>
        <w:rPr>
          <w:i/>
        </w:rPr>
        <w:t xml:space="preserve">. </w:t>
      </w:r>
      <w:r>
        <w:t xml:space="preserve">These amendments </w:t>
      </w:r>
      <w:r w:rsidRPr="00286D14">
        <w:t xml:space="preserve">remove a </w:t>
      </w:r>
      <w:r w:rsidR="008B348A">
        <w:t xml:space="preserve">registered entity’s </w:t>
      </w:r>
      <w:r w:rsidRPr="00286D14">
        <w:t xml:space="preserve">eligibility to be </w:t>
      </w:r>
      <w:r w:rsidR="00D21D7A">
        <w:t>considered</w:t>
      </w:r>
      <w:r w:rsidRPr="00286D14">
        <w:t xml:space="preserve"> a BRC if it has a claim against it under the Redress Scheme, and does not join the Redress Scheme</w:t>
      </w:r>
      <w:r w:rsidR="007F3CBD">
        <w:t xml:space="preserve"> by the relevant time</w:t>
      </w:r>
      <w:r w:rsidR="00D21D7A">
        <w:t xml:space="preserve"> set out in the proposed law</w:t>
      </w:r>
      <w:r w:rsidRPr="00286D14">
        <w:t>.</w:t>
      </w:r>
      <w:r>
        <w:t xml:space="preserve"> As such, any BRC who has a claim against it but does not join the Redress Scheme by the relevant </w:t>
      </w:r>
      <w:r w:rsidR="007F3CBD">
        <w:t xml:space="preserve">time </w:t>
      </w:r>
      <w:r>
        <w:t>will</w:t>
      </w:r>
      <w:r w:rsidR="00D21D7A">
        <w:t xml:space="preserve"> no longer be considered a</w:t>
      </w:r>
      <w:r w:rsidR="005E75A2">
        <w:t xml:space="preserve"> BRC and</w:t>
      </w:r>
      <w:r>
        <w:t xml:space="preserve"> </w:t>
      </w:r>
      <w:r w:rsidR="00D21D7A">
        <w:t xml:space="preserve">will then </w:t>
      </w:r>
      <w:r>
        <w:t xml:space="preserve">be subject to all governance </w:t>
      </w:r>
      <w:r w:rsidR="00D21D7A">
        <w:t xml:space="preserve">and financial reporting </w:t>
      </w:r>
      <w:r>
        <w:t xml:space="preserve">standards, including the </w:t>
      </w:r>
      <w:r w:rsidR="007D3014">
        <w:t>proposed</w:t>
      </w:r>
      <w:r>
        <w:t xml:space="preserve"> governance standard. </w:t>
      </w:r>
    </w:p>
    <w:p w14:paraId="63F70716" w14:textId="00424E2D" w:rsidR="00A57A97" w:rsidRPr="00A57A97" w:rsidRDefault="00A57A97" w:rsidP="00361768">
      <w:pPr>
        <w:pStyle w:val="Heading2"/>
      </w:pPr>
      <w:r w:rsidRPr="00A57A97">
        <w:t xml:space="preserve">How many entities are likely to be affected by these changes? </w:t>
      </w:r>
    </w:p>
    <w:p w14:paraId="16D7C870" w14:textId="2181376F" w:rsidR="00A57A97" w:rsidRDefault="008E3768" w:rsidP="00A57A97">
      <w:pPr>
        <w:pStyle w:val="Bullet"/>
        <w:numPr>
          <w:ilvl w:val="0"/>
          <w:numId w:val="0"/>
        </w:numPr>
        <w:tabs>
          <w:tab w:val="num" w:pos="520"/>
          <w:tab w:val="num" w:pos="567"/>
        </w:tabs>
        <w:spacing w:before="240" w:after="200"/>
      </w:pPr>
      <w:r>
        <w:t>The g</w:t>
      </w:r>
      <w:r w:rsidR="00A57A97">
        <w:t xml:space="preserve">overnance standard will apply to all charities, </w:t>
      </w:r>
      <w:r w:rsidR="008B348A">
        <w:t xml:space="preserve">other than BRCs, </w:t>
      </w:r>
      <w:r w:rsidR="00A57A97">
        <w:t xml:space="preserve">but will only be relevant to those charities that have a claim made against them, or are likely to have a claim made against them. </w:t>
      </w:r>
      <w:r w:rsidR="00690F01">
        <w:t xml:space="preserve">The number of affected charities </w:t>
      </w:r>
      <w:r w:rsidR="00A57A97">
        <w:t>can change as new entities are named</w:t>
      </w:r>
      <w:r w:rsidR="00690F01">
        <w:t>. As a</w:t>
      </w:r>
      <w:r w:rsidR="00A57A97" w:rsidRPr="00A57A97">
        <w:t xml:space="preserve">t October 2020, </w:t>
      </w:r>
      <w:r w:rsidR="004F435E">
        <w:t>around 130 charities had</w:t>
      </w:r>
      <w:r w:rsidR="00A57A97" w:rsidRPr="00A57A97">
        <w:t xml:space="preserve"> been identified as being named in applications un</w:t>
      </w:r>
      <w:r w:rsidR="00690F01">
        <w:t>der the Redress Scheme, but had</w:t>
      </w:r>
      <w:r w:rsidR="00A57A97" w:rsidRPr="00A57A97">
        <w:t xml:space="preserve"> not yet joined. </w:t>
      </w:r>
    </w:p>
    <w:p w14:paraId="2B8EBCA5" w14:textId="430768E0" w:rsidR="006511E7" w:rsidRPr="006A689C" w:rsidRDefault="006511E7" w:rsidP="006511E7">
      <w:pPr>
        <w:pStyle w:val="Bullet"/>
        <w:numPr>
          <w:ilvl w:val="0"/>
          <w:numId w:val="0"/>
        </w:numPr>
        <w:tabs>
          <w:tab w:val="num" w:pos="520"/>
          <w:tab w:val="num" w:pos="567"/>
        </w:tabs>
        <w:spacing w:before="240" w:after="200"/>
      </w:pPr>
      <w:r>
        <w:t>A</w:t>
      </w:r>
      <w:r w:rsidRPr="006A689C">
        <w:t>round 20 of the roughly 130 charities identified as being named in applications under the Redres</w:t>
      </w:r>
      <w:r>
        <w:t>s Scheme who had not yet joined</w:t>
      </w:r>
      <w:r w:rsidRPr="006A689C">
        <w:t xml:space="preserve"> were BRCs.</w:t>
      </w:r>
      <w:r w:rsidR="005E75A2">
        <w:t xml:space="preserve"> </w:t>
      </w:r>
    </w:p>
    <w:p w14:paraId="1FFD8413" w14:textId="77777777" w:rsidR="006511E7" w:rsidRPr="00A57A97" w:rsidRDefault="006511E7" w:rsidP="006511E7">
      <w:pPr>
        <w:pStyle w:val="Heading2"/>
      </w:pPr>
      <w:r w:rsidRPr="00A57A97">
        <w:t xml:space="preserve">When will the </w:t>
      </w:r>
      <w:r>
        <w:t>proposed governance standard apply</w:t>
      </w:r>
      <w:r w:rsidRPr="00A57A97">
        <w:t>?</w:t>
      </w:r>
    </w:p>
    <w:p w14:paraId="5BC09D86" w14:textId="71377C85" w:rsidR="006511E7" w:rsidRDefault="006511E7" w:rsidP="006511E7">
      <w:pPr>
        <w:spacing w:before="240"/>
      </w:pPr>
      <w:r>
        <w:t xml:space="preserve">The Regulations </w:t>
      </w:r>
      <w:r w:rsidR="008B348A">
        <w:t xml:space="preserve">will </w:t>
      </w:r>
      <w:r>
        <w:t>commence the day after the earlier of:</w:t>
      </w:r>
    </w:p>
    <w:p w14:paraId="0768089B" w14:textId="77777777" w:rsidR="006511E7" w:rsidRPr="00361768" w:rsidRDefault="006511E7" w:rsidP="006511E7">
      <w:pPr>
        <w:pStyle w:val="Bullet"/>
      </w:pPr>
      <w:r w:rsidRPr="00361768">
        <w:t>the day both Houses of the Parliament pass a resolution approving the standard; or</w:t>
      </w:r>
    </w:p>
    <w:p w14:paraId="3D1EDD81" w14:textId="0C77FA89" w:rsidR="006511E7" w:rsidRDefault="006511E7" w:rsidP="006511E7">
      <w:pPr>
        <w:pStyle w:val="Bullet"/>
      </w:pPr>
      <w:r w:rsidRPr="00361768">
        <w:t xml:space="preserve">the last day on which the standard could be disallowed in either House </w:t>
      </w:r>
      <w:r w:rsidR="00D21D7A">
        <w:t>of Parliament</w:t>
      </w:r>
      <w:r>
        <w:t>.</w:t>
      </w:r>
    </w:p>
    <w:p w14:paraId="315E68A1" w14:textId="41DCC9CA" w:rsidR="002D1762" w:rsidRPr="00EB04EF" w:rsidRDefault="002D1762" w:rsidP="004D1D06">
      <w:pPr>
        <w:pStyle w:val="Heading2"/>
      </w:pPr>
      <w:r w:rsidRPr="00EB04EF">
        <w:t xml:space="preserve">What is Treasury’s role </w:t>
      </w:r>
      <w:r w:rsidR="00257F3F" w:rsidRPr="00EB04EF">
        <w:t>compared to</w:t>
      </w:r>
      <w:r w:rsidR="00257F3F" w:rsidRPr="00EB04EF" w:rsidDel="00257F3F">
        <w:t xml:space="preserve"> </w:t>
      </w:r>
      <w:r w:rsidRPr="00EB04EF">
        <w:t>the ACNC</w:t>
      </w:r>
      <w:r w:rsidR="001F4869" w:rsidRPr="00EB04EF">
        <w:t xml:space="preserve"> and the Department of Social Services (DSS)</w:t>
      </w:r>
      <w:r w:rsidRPr="00EB04EF">
        <w:t>?</w:t>
      </w:r>
    </w:p>
    <w:p w14:paraId="0DE0BC1D" w14:textId="71D3193B" w:rsidR="00EB350C" w:rsidRPr="00EB04EF" w:rsidRDefault="00404295" w:rsidP="003C1FF8">
      <w:pPr>
        <w:spacing w:before="240"/>
      </w:pPr>
      <w:r w:rsidRPr="00EB04EF">
        <w:t xml:space="preserve">Treasury </w:t>
      </w:r>
      <w:r w:rsidR="001F4869" w:rsidRPr="00EB04EF">
        <w:t xml:space="preserve">has </w:t>
      </w:r>
      <w:r w:rsidRPr="00EB04EF">
        <w:t>work</w:t>
      </w:r>
      <w:r w:rsidR="001F4869" w:rsidRPr="00EB04EF">
        <w:t xml:space="preserve">ed closely </w:t>
      </w:r>
      <w:r w:rsidRPr="00EB04EF">
        <w:t xml:space="preserve">with </w:t>
      </w:r>
      <w:r w:rsidR="001F4869" w:rsidRPr="00EB04EF">
        <w:t xml:space="preserve">DSS and the </w:t>
      </w:r>
      <w:r w:rsidR="00663170" w:rsidRPr="00EB04EF">
        <w:t xml:space="preserve">ACNC </w:t>
      </w:r>
      <w:r w:rsidRPr="00EB04EF">
        <w:t>to provide</w:t>
      </w:r>
      <w:r w:rsidR="00663170" w:rsidRPr="00EB04EF">
        <w:t xml:space="preserve"> advice to government on policy issues </w:t>
      </w:r>
      <w:r w:rsidR="001F4869" w:rsidRPr="00EB04EF">
        <w:t xml:space="preserve">related to the Redress Scheme </w:t>
      </w:r>
      <w:r w:rsidRPr="00EB04EF">
        <w:t xml:space="preserve">and administration </w:t>
      </w:r>
      <w:r w:rsidR="00663170" w:rsidRPr="00EB04EF">
        <w:t>of Australia’s</w:t>
      </w:r>
      <w:r w:rsidR="00EB04EF" w:rsidRPr="00EB04EF">
        <w:t xml:space="preserve"> charity </w:t>
      </w:r>
      <w:r w:rsidR="00663170" w:rsidRPr="00EB04EF">
        <w:t>sector</w:t>
      </w:r>
      <w:r w:rsidR="00EB350C" w:rsidRPr="00EB04EF">
        <w:t>,</w:t>
      </w:r>
      <w:r w:rsidRPr="00EB04EF">
        <w:t xml:space="preserve"> including taxation concessions</w:t>
      </w:r>
      <w:r w:rsidR="00663170" w:rsidRPr="00EB04EF">
        <w:t xml:space="preserve">. </w:t>
      </w:r>
      <w:r w:rsidR="00D21D7A">
        <w:t xml:space="preserve"> Treasury is responsible for </w:t>
      </w:r>
      <w:r w:rsidR="00EE4D9C">
        <w:t xml:space="preserve">providing policy advice and </w:t>
      </w:r>
      <w:r w:rsidR="00D21D7A">
        <w:t>developing laws relating to Australia’s charitable sector.</w:t>
      </w:r>
    </w:p>
    <w:p w14:paraId="211FAFCC" w14:textId="4A7BE6DE" w:rsidR="001F4869" w:rsidRPr="00EB04EF" w:rsidRDefault="001F4869" w:rsidP="003C1FF8">
      <w:pPr>
        <w:spacing w:before="240"/>
      </w:pPr>
      <w:r w:rsidRPr="00EB04EF">
        <w:t>DSS</w:t>
      </w:r>
      <w:r w:rsidR="007F6051" w:rsidRPr="00EB04EF">
        <w:t xml:space="preserve"> administers the Redress Scheme and work</w:t>
      </w:r>
      <w:r w:rsidR="00731761">
        <w:t>s</w:t>
      </w:r>
      <w:r w:rsidR="007F6051" w:rsidRPr="00EB04EF">
        <w:t xml:space="preserve"> with survivors applying for redress and entities named in claims in order to facilitate access to redress for survivors. </w:t>
      </w:r>
    </w:p>
    <w:p w14:paraId="019D4CED" w14:textId="25A651C9" w:rsidR="00404295" w:rsidRPr="00EB04EF" w:rsidRDefault="00663170" w:rsidP="003C1FF8">
      <w:pPr>
        <w:spacing w:before="240"/>
      </w:pPr>
      <w:r w:rsidRPr="00EB04EF">
        <w:t xml:space="preserve">The ACNC is the Government's </w:t>
      </w:r>
      <w:r w:rsidR="00505A30" w:rsidRPr="00EB04EF">
        <w:t xml:space="preserve">independent </w:t>
      </w:r>
      <w:r w:rsidRPr="00EB04EF">
        <w:t xml:space="preserve">national regulator for </w:t>
      </w:r>
      <w:r w:rsidR="00404295" w:rsidRPr="00EB04EF">
        <w:t>charities</w:t>
      </w:r>
      <w:r w:rsidRPr="00EB04EF">
        <w:t xml:space="preserve">. </w:t>
      </w:r>
      <w:r w:rsidR="00404295" w:rsidRPr="00EB04EF">
        <w:t xml:space="preserve">Its role includes assessing </w:t>
      </w:r>
      <w:r w:rsidR="00731761">
        <w:t xml:space="preserve">if registered charities are meeting their obligations under governance standards to ensure entities are entitled </w:t>
      </w:r>
      <w:r w:rsidR="00404295" w:rsidRPr="00EB04EF">
        <w:t>to Commonwealth taxation exemptions and concessions</w:t>
      </w:r>
      <w:r w:rsidR="008B348A">
        <w:t xml:space="preserve"> that are administered by the Australian Taxation Office</w:t>
      </w:r>
      <w:r w:rsidR="00404295" w:rsidRPr="00EB04EF">
        <w:t>.</w:t>
      </w:r>
    </w:p>
    <w:p w14:paraId="115CF927" w14:textId="77777777" w:rsidR="00CE0D9F" w:rsidRPr="009D316E" w:rsidRDefault="00CE0D9F" w:rsidP="00CE0D9F">
      <w:pPr>
        <w:pStyle w:val="Heading2"/>
      </w:pPr>
      <w:r w:rsidRPr="009D316E">
        <w:lastRenderedPageBreak/>
        <w:t>What are the next steps?</w:t>
      </w:r>
    </w:p>
    <w:p w14:paraId="36CF17A6" w14:textId="604A9603" w:rsidR="00CE0D9F" w:rsidRPr="00CE0D9F" w:rsidRDefault="009C4407" w:rsidP="003C1FF8">
      <w:pPr>
        <w:spacing w:before="240"/>
      </w:pPr>
      <w:r w:rsidRPr="009D316E">
        <w:t xml:space="preserve">Treasury will review the submissions and feedback from stakeholders on the </w:t>
      </w:r>
      <w:r w:rsidR="009D316E" w:rsidRPr="009D316E">
        <w:t>governance standard</w:t>
      </w:r>
      <w:r w:rsidRPr="009D316E">
        <w:t xml:space="preserve">, which </w:t>
      </w:r>
      <w:r w:rsidR="00404295" w:rsidRPr="009D316E">
        <w:t xml:space="preserve">will inform any potential </w:t>
      </w:r>
      <w:r w:rsidR="00EE4D9C">
        <w:t>refinements</w:t>
      </w:r>
      <w:r w:rsidR="00EE4D9C" w:rsidRPr="009D316E">
        <w:t xml:space="preserve"> </w:t>
      </w:r>
      <w:r w:rsidR="00404295" w:rsidRPr="009D316E">
        <w:t>to ensure it achieves</w:t>
      </w:r>
      <w:r w:rsidR="004D5986" w:rsidRPr="009D316E">
        <w:t xml:space="preserve"> its </w:t>
      </w:r>
      <w:r w:rsidR="002D2F27" w:rsidRPr="009D316E">
        <w:t xml:space="preserve">intended purpose. </w:t>
      </w:r>
      <w:r w:rsidR="00EE4D9C">
        <w:t xml:space="preserve">The Regulations will be progressed for consideration by </w:t>
      </w:r>
      <w:r w:rsidR="00796B37">
        <w:t xml:space="preserve">His Excellency, </w:t>
      </w:r>
      <w:r w:rsidR="00EE4D9C">
        <w:t>the Governor-General</w:t>
      </w:r>
      <w:r w:rsidR="00796B37">
        <w:t>,</w:t>
      </w:r>
      <w:r w:rsidR="00EE4D9C">
        <w:t xml:space="preserve"> early in 2021.</w:t>
      </w:r>
    </w:p>
    <w:sectPr w:rsidR="00CE0D9F" w:rsidRPr="00CE0D9F" w:rsidSect="005C34A1">
      <w:headerReference w:type="even" r:id="rId16"/>
      <w:headerReference w:type="default" r:id="rId17"/>
      <w:footerReference w:type="even" r:id="rId18"/>
      <w:footerReference w:type="default" r:id="rId19"/>
      <w:headerReference w:type="first" r:id="rId20"/>
      <w:footerReference w:type="first" r:id="rId21"/>
      <w:pgSz w:w="11906" w:h="16838" w:code="9"/>
      <w:pgMar w:top="1134" w:right="1417" w:bottom="1276"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F4477C" w16cid:durableId="22EA3705"/>
  <w16cid:commentId w16cid:paraId="0FBCA38D" w16cid:durableId="22E78579"/>
  <w16cid:commentId w16cid:paraId="52DB081A" w16cid:durableId="22E785AF"/>
  <w16cid:commentId w16cid:paraId="468649CB" w16cid:durableId="22EA58E9"/>
  <w16cid:commentId w16cid:paraId="37D2A9E8" w16cid:durableId="22E786E5"/>
  <w16cid:commentId w16cid:paraId="27CD08AB" w16cid:durableId="22E787B4"/>
  <w16cid:commentId w16cid:paraId="7FD2445C" w16cid:durableId="22E78879"/>
  <w16cid:commentId w16cid:paraId="4A601188" w16cid:durableId="22EA3AA3"/>
  <w16cid:commentId w16cid:paraId="01EFB536" w16cid:durableId="22EA40C8"/>
  <w16cid:commentId w16cid:paraId="7FBB6507" w16cid:durableId="22EA4C87"/>
  <w16cid:commentId w16cid:paraId="0BA52F46" w16cid:durableId="22EA4D22"/>
  <w16cid:commentId w16cid:paraId="35B690B5" w16cid:durableId="22EA5237"/>
  <w16cid:commentId w16cid:paraId="40957F1F" w16cid:durableId="22E78C09"/>
  <w16cid:commentId w16cid:paraId="423AB249" w16cid:durableId="22E78CD6"/>
  <w16cid:commentId w16cid:paraId="60D6752E" w16cid:durableId="22E78E3C"/>
  <w16cid:commentId w16cid:paraId="328A361B" w16cid:durableId="22EA4F3A"/>
  <w16cid:commentId w16cid:paraId="0BC861E9" w16cid:durableId="22E78EC7"/>
  <w16cid:commentId w16cid:paraId="1AA392DE" w16cid:durableId="22E78F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06204" w14:textId="77777777" w:rsidR="0067209F" w:rsidRDefault="0067209F">
      <w:pPr>
        <w:spacing w:before="0" w:after="0"/>
      </w:pPr>
      <w:r>
        <w:separator/>
      </w:r>
    </w:p>
  </w:endnote>
  <w:endnote w:type="continuationSeparator" w:id="0">
    <w:p w14:paraId="3356A1A3" w14:textId="77777777" w:rsidR="0067209F" w:rsidRDefault="0067209F">
      <w:pPr>
        <w:spacing w:before="0" w:after="0"/>
      </w:pPr>
      <w:r>
        <w:continuationSeparator/>
      </w:r>
    </w:p>
  </w:endnote>
  <w:endnote w:type="continuationNotice" w:id="1">
    <w:p w14:paraId="641ED215" w14:textId="77777777" w:rsidR="0067209F" w:rsidRDefault="0067209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5ACB" w14:textId="77777777" w:rsidR="0067209F" w:rsidRDefault="0067209F" w:rsidP="003C24B4">
    <w:pPr>
      <w:pStyle w:val="FooterEven"/>
    </w:pPr>
    <w:r>
      <w:rPr>
        <w:noProof w:val="0"/>
      </w:rPr>
      <w:fldChar w:fldCharType="begin"/>
    </w:r>
    <w:r>
      <w:instrText xml:space="preserve"> PAGE   \* MERGEFORMAT </w:instrText>
    </w:r>
    <w:r>
      <w:rPr>
        <w:noProof w:val="0"/>
      </w:rP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FC717" w14:textId="77777777" w:rsidR="0067209F" w:rsidRDefault="0067209F">
    <w:pPr>
      <w:pStyle w:val="Footer"/>
    </w:pPr>
    <w:r>
      <w:rPr>
        <w:noProof/>
      </w:rPr>
      <w:drawing>
        <wp:anchor distT="0" distB="0" distL="114300" distR="114300" simplePos="0" relativeHeight="251658241" behindDoc="1" locked="0" layoutInCell="1" allowOverlap="1" wp14:anchorId="7F968031" wp14:editId="4BC0DDFF">
          <wp:simplePos x="904875" y="5705475"/>
          <wp:positionH relativeFrom="page">
            <wp:align>center</wp:align>
          </wp:positionH>
          <wp:positionV relativeFrom="page">
            <wp:align>bottom</wp:align>
          </wp:positionV>
          <wp:extent cx="7560000" cy="5959800"/>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959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31F55" w14:textId="110A5CFB" w:rsidR="0067209F" w:rsidRPr="00E77C89" w:rsidRDefault="0067209F" w:rsidP="007673B3">
    <w:pPr>
      <w:pStyle w:val="FooterEven"/>
      <w:jc w:val="center"/>
    </w:pPr>
    <w:r>
      <w:fldChar w:fldCharType="begin"/>
    </w:r>
    <w:r>
      <w:instrText xml:space="preserve"> PAGE  \* Arabic  \* MERGEFORMAT </w:instrText>
    </w:r>
    <w:r>
      <w:fldChar w:fldCharType="separate"/>
    </w:r>
    <w:r w:rsidR="003A6830">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02B08" w14:textId="61024659" w:rsidR="0067209F" w:rsidRDefault="0067209F" w:rsidP="007673B3">
    <w:pPr>
      <w:pStyle w:val="FooterOdd"/>
      <w:jc w:val="center"/>
    </w:pPr>
    <w:r>
      <w:fldChar w:fldCharType="begin"/>
    </w:r>
    <w:r>
      <w:instrText xml:space="preserve"> PAGE   \* MERGEFORMAT </w:instrText>
    </w:r>
    <w:r>
      <w:fldChar w:fldCharType="separate"/>
    </w:r>
    <w:r w:rsidR="003A6830">
      <w:rPr>
        <w:noProof/>
      </w:rPr>
      <w:t>3</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9DE" w14:textId="77777777" w:rsidR="0067209F" w:rsidRDefault="00672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1DBDC" w14:textId="77777777" w:rsidR="0067209F" w:rsidRDefault="0067209F">
      <w:pPr>
        <w:spacing w:before="0" w:after="0"/>
      </w:pPr>
      <w:r>
        <w:separator/>
      </w:r>
    </w:p>
  </w:footnote>
  <w:footnote w:type="continuationSeparator" w:id="0">
    <w:p w14:paraId="7A987EAF" w14:textId="77777777" w:rsidR="0067209F" w:rsidRDefault="0067209F">
      <w:pPr>
        <w:spacing w:before="0" w:after="0"/>
      </w:pPr>
      <w:r>
        <w:continuationSeparator/>
      </w:r>
    </w:p>
  </w:footnote>
  <w:footnote w:type="continuationNotice" w:id="1">
    <w:p w14:paraId="222B97DB" w14:textId="77777777" w:rsidR="0067209F" w:rsidRDefault="0067209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B3BE" w14:textId="77777777" w:rsidR="0067209F" w:rsidRDefault="0067209F">
    <w:pPr>
      <w:pStyle w:val="Header"/>
    </w:pPr>
    <w:r>
      <w:rPr>
        <w:noProof/>
      </w:rPr>
      <w:drawing>
        <wp:anchor distT="0" distB="0" distL="114300" distR="114300" simplePos="0" relativeHeight="251658240" behindDoc="1" locked="0" layoutInCell="1" allowOverlap="1" wp14:anchorId="2FEB5A5F" wp14:editId="72F6C2A7">
          <wp:simplePos x="904875" y="447675"/>
          <wp:positionH relativeFrom="page">
            <wp:align>center</wp:align>
          </wp:positionH>
          <wp:positionV relativeFrom="page">
            <wp:posOffset>180340</wp:posOffset>
          </wp:positionV>
          <wp:extent cx="7200000" cy="107964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21025" w14:textId="76449FC0" w:rsidR="0067209F" w:rsidRPr="001F3912" w:rsidRDefault="00841679" w:rsidP="00A12F62">
    <w:pPr>
      <w:pStyle w:val="HeaderEven"/>
    </w:pPr>
    <w:fldSimple w:instr=" STYLEREF  Title  \* MERGEFORMAT ">
      <w:r w:rsidR="003A6830">
        <w:rPr>
          <w:noProof/>
        </w:rPr>
        <w:t>FAQs</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D9F9E" w14:textId="1F8C4EDF" w:rsidR="0067209F" w:rsidRPr="007673B3" w:rsidRDefault="00841679" w:rsidP="007673B3">
    <w:pPr>
      <w:pStyle w:val="HeaderEven"/>
      <w:jc w:val="right"/>
    </w:pPr>
    <w:fldSimple w:instr=" STYLEREF  Title  \* MERGEFORMAT ">
      <w:r w:rsidR="003A6830">
        <w:rPr>
          <w:noProof/>
        </w:rPr>
        <w:t>FAQs</w:t>
      </w:r>
    </w:fldSimple>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D52E8" w14:textId="77777777" w:rsidR="0067209F" w:rsidRDefault="00672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676FD0"/>
    <w:multiLevelType w:val="hybridMultilevel"/>
    <w:tmpl w:val="ADA4EF34"/>
    <w:lvl w:ilvl="0" w:tplc="595A369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9581FF0"/>
    <w:multiLevelType w:val="hybridMultilevel"/>
    <w:tmpl w:val="C794F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AAD2D85"/>
    <w:multiLevelType w:val="hybridMultilevel"/>
    <w:tmpl w:val="16F89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CC4E5D"/>
    <w:multiLevelType w:val="multilevel"/>
    <w:tmpl w:val="D10E9CF6"/>
    <w:numStyleLink w:val="OneLevelList"/>
  </w:abstractNum>
  <w:abstractNum w:abstractNumId="8"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176E2C"/>
    <w:multiLevelType w:val="multilevel"/>
    <w:tmpl w:val="AEEAB6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F1C3D08"/>
    <w:multiLevelType w:val="hybridMultilevel"/>
    <w:tmpl w:val="49C8EF82"/>
    <w:lvl w:ilvl="0" w:tplc="FA728A56">
      <w:start w:val="1"/>
      <w:numFmt w:val="bullet"/>
      <w:lvlText w:val=""/>
      <w:lvlJc w:val="left"/>
      <w:pPr>
        <w:tabs>
          <w:tab w:val="num" w:pos="720"/>
        </w:tabs>
        <w:ind w:left="720" w:hanging="360"/>
      </w:pPr>
      <w:rPr>
        <w:rFonts w:ascii="Wingdings" w:hAnsi="Wingdings" w:hint="default"/>
      </w:rPr>
    </w:lvl>
    <w:lvl w:ilvl="1" w:tplc="7BEEF118" w:tentative="1">
      <w:start w:val="1"/>
      <w:numFmt w:val="bullet"/>
      <w:lvlText w:val=""/>
      <w:lvlJc w:val="left"/>
      <w:pPr>
        <w:tabs>
          <w:tab w:val="num" w:pos="1440"/>
        </w:tabs>
        <w:ind w:left="1440" w:hanging="360"/>
      </w:pPr>
      <w:rPr>
        <w:rFonts w:ascii="Wingdings" w:hAnsi="Wingdings" w:hint="default"/>
      </w:rPr>
    </w:lvl>
    <w:lvl w:ilvl="2" w:tplc="D7C06D1C" w:tentative="1">
      <w:start w:val="1"/>
      <w:numFmt w:val="bullet"/>
      <w:lvlText w:val=""/>
      <w:lvlJc w:val="left"/>
      <w:pPr>
        <w:tabs>
          <w:tab w:val="num" w:pos="2160"/>
        </w:tabs>
        <w:ind w:left="2160" w:hanging="360"/>
      </w:pPr>
      <w:rPr>
        <w:rFonts w:ascii="Wingdings" w:hAnsi="Wingdings" w:hint="default"/>
      </w:rPr>
    </w:lvl>
    <w:lvl w:ilvl="3" w:tplc="4AD89C74" w:tentative="1">
      <w:start w:val="1"/>
      <w:numFmt w:val="bullet"/>
      <w:lvlText w:val=""/>
      <w:lvlJc w:val="left"/>
      <w:pPr>
        <w:tabs>
          <w:tab w:val="num" w:pos="2880"/>
        </w:tabs>
        <w:ind w:left="2880" w:hanging="360"/>
      </w:pPr>
      <w:rPr>
        <w:rFonts w:ascii="Wingdings" w:hAnsi="Wingdings" w:hint="default"/>
      </w:rPr>
    </w:lvl>
    <w:lvl w:ilvl="4" w:tplc="82964944" w:tentative="1">
      <w:start w:val="1"/>
      <w:numFmt w:val="bullet"/>
      <w:lvlText w:val=""/>
      <w:lvlJc w:val="left"/>
      <w:pPr>
        <w:tabs>
          <w:tab w:val="num" w:pos="3600"/>
        </w:tabs>
        <w:ind w:left="3600" w:hanging="360"/>
      </w:pPr>
      <w:rPr>
        <w:rFonts w:ascii="Wingdings" w:hAnsi="Wingdings" w:hint="default"/>
      </w:rPr>
    </w:lvl>
    <w:lvl w:ilvl="5" w:tplc="15466364" w:tentative="1">
      <w:start w:val="1"/>
      <w:numFmt w:val="bullet"/>
      <w:lvlText w:val=""/>
      <w:lvlJc w:val="left"/>
      <w:pPr>
        <w:tabs>
          <w:tab w:val="num" w:pos="4320"/>
        </w:tabs>
        <w:ind w:left="4320" w:hanging="360"/>
      </w:pPr>
      <w:rPr>
        <w:rFonts w:ascii="Wingdings" w:hAnsi="Wingdings" w:hint="default"/>
      </w:rPr>
    </w:lvl>
    <w:lvl w:ilvl="6" w:tplc="71F4217A" w:tentative="1">
      <w:start w:val="1"/>
      <w:numFmt w:val="bullet"/>
      <w:lvlText w:val=""/>
      <w:lvlJc w:val="left"/>
      <w:pPr>
        <w:tabs>
          <w:tab w:val="num" w:pos="5040"/>
        </w:tabs>
        <w:ind w:left="5040" w:hanging="360"/>
      </w:pPr>
      <w:rPr>
        <w:rFonts w:ascii="Wingdings" w:hAnsi="Wingdings" w:hint="default"/>
      </w:rPr>
    </w:lvl>
    <w:lvl w:ilvl="7" w:tplc="9DEA8E22" w:tentative="1">
      <w:start w:val="1"/>
      <w:numFmt w:val="bullet"/>
      <w:lvlText w:val=""/>
      <w:lvlJc w:val="left"/>
      <w:pPr>
        <w:tabs>
          <w:tab w:val="num" w:pos="5760"/>
        </w:tabs>
        <w:ind w:left="5760" w:hanging="360"/>
      </w:pPr>
      <w:rPr>
        <w:rFonts w:ascii="Wingdings" w:hAnsi="Wingdings" w:hint="default"/>
      </w:rPr>
    </w:lvl>
    <w:lvl w:ilvl="8" w:tplc="1A06966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4C18CD"/>
    <w:multiLevelType w:val="multilevel"/>
    <w:tmpl w:val="2562A1EA"/>
    <w:lvl w:ilvl="0">
      <w:start w:val="1"/>
      <w:numFmt w:val="bullet"/>
      <w:lvlText w:val="&gt;"/>
      <w:lvlJc w:val="left"/>
      <w:pPr>
        <w:ind w:left="284" w:hanging="284"/>
      </w:pPr>
      <w:rPr>
        <w:rFonts w:ascii="Arial" w:hAnsi="Arial" w:cs="Times New Roman" w:hint="default"/>
        <w:color w:val="4F81BD"/>
      </w:rPr>
    </w:lvl>
    <w:lvl w:ilvl="1">
      <w:start w:val="1"/>
      <w:numFmt w:val="bullet"/>
      <w:lvlText w:val="-"/>
      <w:lvlJc w:val="left"/>
      <w:pPr>
        <w:ind w:left="539" w:hanging="255"/>
      </w:pPr>
      <w:rPr>
        <w:rFonts w:ascii="Courier New" w:hAnsi="Courier New" w:cs="Times New Roman" w:hint="default"/>
        <w:color w:val="50A057"/>
      </w:rPr>
    </w:lvl>
    <w:lvl w:ilvl="2">
      <w:start w:val="1"/>
      <w:numFmt w:val="bullet"/>
      <w:lvlText w:val="-"/>
      <w:lvlJc w:val="left"/>
      <w:pPr>
        <w:ind w:left="737" w:hanging="198"/>
      </w:pPr>
      <w:rPr>
        <w:color w:val="9BBB59"/>
      </w:rPr>
    </w:lvl>
    <w:lvl w:ilvl="3">
      <w:start w:val="1"/>
      <w:numFmt w:val="bullet"/>
      <w:lvlText w:val="&gt;"/>
      <w:lvlJc w:val="left"/>
      <w:pPr>
        <w:ind w:left="624" w:hanging="284"/>
      </w:pPr>
      <w:rPr>
        <w:rFonts w:ascii="Arial" w:hAnsi="Arial" w:cs="Times New Roman" w:hint="default"/>
        <w:color w:val="9BBB59"/>
      </w:rPr>
    </w:lvl>
    <w:lvl w:ilvl="4">
      <w:start w:val="1"/>
      <w:numFmt w:val="bullet"/>
      <w:lvlText w:val="–"/>
      <w:lvlJc w:val="left"/>
      <w:pPr>
        <w:ind w:left="879" w:hanging="255"/>
      </w:pPr>
      <w:rPr>
        <w:rFonts w:ascii="Arial" w:hAnsi="Arial" w:cs="Times New Roman" w:hint="default"/>
        <w:color w:val="9BBB59"/>
      </w:rPr>
    </w:lvl>
    <w:lvl w:ilvl="5">
      <w:start w:val="1"/>
      <w:numFmt w:val="bullet"/>
      <w:lvlText w:val="-"/>
      <w:lvlJc w:val="left"/>
      <w:pPr>
        <w:ind w:left="1077" w:hanging="198"/>
      </w:pPr>
      <w:rPr>
        <w:rFonts w:ascii="Calibri" w:hAnsi="Calibri" w:cs="Times New Roman" w:hint="default"/>
        <w:color w:val="9BBB59"/>
      </w:rPr>
    </w:lvl>
    <w:lvl w:ilvl="6">
      <w:start w:val="1"/>
      <w:numFmt w:val="bullet"/>
      <w:lvlText w:val="&gt;"/>
      <w:lvlJc w:val="left"/>
      <w:pPr>
        <w:ind w:left="510" w:hanging="283"/>
      </w:pPr>
      <w:rPr>
        <w:rFonts w:ascii="Arial" w:hAnsi="Arial" w:cs="Times New Roman" w:hint="default"/>
        <w:color w:val="9BBB59"/>
      </w:rPr>
    </w:lvl>
    <w:lvl w:ilvl="7">
      <w:start w:val="1"/>
      <w:numFmt w:val="bullet"/>
      <w:lvlText w:val="–"/>
      <w:lvlJc w:val="left"/>
      <w:pPr>
        <w:ind w:left="765" w:hanging="255"/>
      </w:pPr>
      <w:rPr>
        <w:rFonts w:ascii="Arial" w:hAnsi="Arial" w:cs="Times New Roman" w:hint="default"/>
        <w:color w:val="9BBB59"/>
      </w:rPr>
    </w:lvl>
    <w:lvl w:ilvl="8">
      <w:start w:val="1"/>
      <w:numFmt w:val="bullet"/>
      <w:lvlText w:val="-"/>
      <w:lvlJc w:val="left"/>
      <w:pPr>
        <w:ind w:left="964" w:hanging="199"/>
      </w:pPr>
      <w:rPr>
        <w:rFonts w:ascii="Calibri" w:hAnsi="Calibri" w:cs="Times New Roman" w:hint="default"/>
        <w:color w:val="9BBB59"/>
      </w:rPr>
    </w:lvl>
  </w:abstractNum>
  <w:abstractNum w:abstractNumId="14" w15:restartNumberingAfterBreak="0">
    <w:nsid w:val="2E5D625C"/>
    <w:multiLevelType w:val="hybridMultilevel"/>
    <w:tmpl w:val="1EFE64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951952"/>
    <w:multiLevelType w:val="hybridMultilevel"/>
    <w:tmpl w:val="1D4E8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950960"/>
    <w:multiLevelType w:val="multilevel"/>
    <w:tmpl w:val="EA22CA1C"/>
    <w:name w:val="DotPointList"/>
    <w:lvl w:ilvl="0">
      <w:start w:val="1"/>
      <w:numFmt w:val="bullet"/>
      <w:lvlRestart w:val="0"/>
      <w:pStyle w:val="dotpoint"/>
      <w:lvlText w:val="•"/>
      <w:lvlJc w:val="left"/>
      <w:pPr>
        <w:tabs>
          <w:tab w:val="num" w:pos="568"/>
        </w:tabs>
        <w:ind w:left="568" w:hanging="284"/>
      </w:pPr>
      <w:rPr>
        <w:b w:val="0"/>
        <w:i w:val="0"/>
        <w:color w:val="000000"/>
      </w:rPr>
    </w:lvl>
    <w:lvl w:ilvl="1">
      <w:start w:val="1"/>
      <w:numFmt w:val="bullet"/>
      <w:lvlText w:val="–"/>
      <w:lvlJc w:val="left"/>
      <w:pPr>
        <w:tabs>
          <w:tab w:val="num" w:pos="851"/>
        </w:tabs>
        <w:ind w:left="851" w:hanging="283"/>
      </w:pPr>
      <w:rPr>
        <w:b w:val="0"/>
        <w:i w:val="0"/>
        <w:color w:val="000000"/>
      </w:rPr>
    </w:lvl>
    <w:lvl w:ilvl="2">
      <w:start w:val="1"/>
      <w:numFmt w:val="decimal"/>
      <w:lvlText w:val="%3"/>
      <w:lvlJc w:val="left"/>
      <w:pPr>
        <w:tabs>
          <w:tab w:val="num" w:pos="1"/>
        </w:tabs>
        <w:ind w:left="1" w:hanging="567"/>
      </w:pPr>
      <w:rPr>
        <w:b w:val="0"/>
        <w:i w:val="0"/>
        <w:color w:val="000000"/>
      </w:rPr>
    </w:lvl>
    <w:lvl w:ilvl="3">
      <w:start w:val="1"/>
      <w:numFmt w:val="decimal"/>
      <w:lvlText w:val="%4"/>
      <w:lvlJc w:val="left"/>
      <w:pPr>
        <w:tabs>
          <w:tab w:val="num" w:pos="568"/>
        </w:tabs>
        <w:ind w:left="568" w:hanging="567"/>
      </w:pPr>
      <w:rPr>
        <w:b w:val="0"/>
        <w:i w:val="0"/>
        <w:color w:val="000000"/>
      </w:rPr>
    </w:lvl>
    <w:lvl w:ilvl="4">
      <w:start w:val="1"/>
      <w:numFmt w:val="decimal"/>
      <w:lvlText w:val="%5"/>
      <w:lvlJc w:val="left"/>
      <w:pPr>
        <w:tabs>
          <w:tab w:val="num" w:pos="1135"/>
        </w:tabs>
        <w:ind w:left="1135" w:hanging="567"/>
      </w:pPr>
      <w:rPr>
        <w:b w:val="0"/>
        <w:i w:val="0"/>
        <w:color w:val="000000"/>
      </w:rPr>
    </w:lvl>
    <w:lvl w:ilvl="5">
      <w:start w:val="1"/>
      <w:numFmt w:val="decimal"/>
      <w:lvlText w:val="%6"/>
      <w:lvlJc w:val="left"/>
      <w:pPr>
        <w:tabs>
          <w:tab w:val="num" w:pos="1702"/>
        </w:tabs>
        <w:ind w:left="1702" w:hanging="567"/>
      </w:pPr>
      <w:rPr>
        <w:b w:val="0"/>
        <w:i w:val="0"/>
        <w:color w:val="000000"/>
      </w:rPr>
    </w:lvl>
    <w:lvl w:ilvl="6">
      <w:start w:val="1"/>
      <w:numFmt w:val="decimal"/>
      <w:lvlText w:val="%7"/>
      <w:lvlJc w:val="left"/>
      <w:pPr>
        <w:tabs>
          <w:tab w:val="num" w:pos="2269"/>
        </w:tabs>
        <w:ind w:left="2269" w:hanging="567"/>
      </w:pPr>
      <w:rPr>
        <w:b w:val="0"/>
        <w:i w:val="0"/>
        <w:color w:val="000000"/>
      </w:rPr>
    </w:lvl>
    <w:lvl w:ilvl="7">
      <w:start w:val="1"/>
      <w:numFmt w:val="decimal"/>
      <w:lvlText w:val="%8"/>
      <w:lvlJc w:val="left"/>
      <w:pPr>
        <w:tabs>
          <w:tab w:val="num" w:pos="2836"/>
        </w:tabs>
        <w:ind w:left="2836" w:hanging="567"/>
      </w:pPr>
      <w:rPr>
        <w:b w:val="0"/>
        <w:i w:val="0"/>
        <w:color w:val="000000"/>
      </w:rPr>
    </w:lvl>
    <w:lvl w:ilvl="8">
      <w:start w:val="1"/>
      <w:numFmt w:val="decimal"/>
      <w:lvlText w:val="%9"/>
      <w:lvlJc w:val="left"/>
      <w:pPr>
        <w:tabs>
          <w:tab w:val="num" w:pos="3403"/>
        </w:tabs>
        <w:ind w:left="3403" w:hanging="567"/>
      </w:pPr>
      <w:rPr>
        <w:b w:val="0"/>
        <w:i w:val="0"/>
        <w:color w:val="000000"/>
      </w:rPr>
    </w:lvl>
  </w:abstractNum>
  <w:abstractNum w:abstractNumId="20" w15:restartNumberingAfterBreak="0">
    <w:nsid w:val="4C563D50"/>
    <w:multiLevelType w:val="hybridMultilevel"/>
    <w:tmpl w:val="EFE84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2" w15:restartNumberingAfterBreak="0">
    <w:nsid w:val="4F5B27A8"/>
    <w:multiLevelType w:val="multilevel"/>
    <w:tmpl w:val="D5F23F8C"/>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23" w15:restartNumberingAfterBreak="0">
    <w:nsid w:val="510D2021"/>
    <w:multiLevelType w:val="multilevel"/>
    <w:tmpl w:val="72F8140E"/>
    <w:numStyleLink w:val="OutlineList"/>
  </w:abstractNum>
  <w:abstractNum w:abstractNumId="24"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E34982"/>
    <w:multiLevelType w:val="multilevel"/>
    <w:tmpl w:val="CA28110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8"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15"/>
  </w:num>
  <w:num w:numId="2">
    <w:abstractNumId w:val="2"/>
  </w:num>
  <w:num w:numId="3">
    <w:abstractNumId w:val="17"/>
  </w:num>
  <w:num w:numId="4">
    <w:abstractNumId w:val="6"/>
  </w:num>
  <w:num w:numId="5">
    <w:abstractNumId w:val="7"/>
  </w:num>
  <w:num w:numId="6">
    <w:abstractNumId w:val="23"/>
  </w:num>
  <w:num w:numId="7">
    <w:abstractNumId w:val="16"/>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8"/>
  </w:num>
  <w:num w:numId="9">
    <w:abstractNumId w:val="5"/>
  </w:num>
  <w:num w:numId="10">
    <w:abstractNumId w:val="12"/>
  </w:num>
  <w:num w:numId="11">
    <w:abstractNumId w:val="27"/>
  </w:num>
  <w:num w:numId="12">
    <w:abstractNumId w:val="23"/>
  </w:num>
  <w:num w:numId="13">
    <w:abstractNumId w:val="28"/>
  </w:num>
  <w:num w:numId="14">
    <w:abstractNumId w:val="21"/>
  </w:num>
  <w:num w:numId="15">
    <w:abstractNumId w:val="11"/>
  </w:num>
  <w:num w:numId="16">
    <w:abstractNumId w:val="24"/>
  </w:num>
  <w:num w:numId="17">
    <w:abstractNumId w:val="16"/>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5"/>
  </w:num>
  <w:num w:numId="21">
    <w:abstractNumId w:val="15"/>
  </w:num>
  <w:num w:numId="22">
    <w:abstractNumId w:val="10"/>
  </w:num>
  <w:num w:numId="23">
    <w:abstractNumId w:val="15"/>
  </w:num>
  <w:num w:numId="24">
    <w:abstractNumId w:val="15"/>
  </w:num>
  <w:num w:numId="25">
    <w:abstractNumId w:val="3"/>
  </w:num>
  <w:num w:numId="26">
    <w:abstractNumId w:val="1"/>
  </w:num>
  <w:num w:numId="27">
    <w:abstractNumId w:val="22"/>
  </w:num>
  <w:num w:numId="28">
    <w:abstractNumId w:val="15"/>
  </w:num>
  <w:num w:numId="29">
    <w:abstractNumId w:val="15"/>
  </w:num>
  <w:num w:numId="30">
    <w:abstractNumId w:val="15"/>
  </w:num>
  <w:num w:numId="31">
    <w:abstractNumId w:val="15"/>
  </w:num>
  <w:num w:numId="32">
    <w:abstractNumId w:val="15"/>
  </w:num>
  <w:num w:numId="33">
    <w:abstractNumId w:val="4"/>
  </w:num>
  <w:num w:numId="34">
    <w:abstractNumId w:val="13"/>
  </w:num>
  <w:num w:numId="35">
    <w:abstractNumId w:val="18"/>
  </w:num>
  <w:num w:numId="36">
    <w:abstractNumId w:val="20"/>
  </w:num>
  <w:num w:numId="37">
    <w:abstractNumId w:val="15"/>
  </w:num>
  <w:num w:numId="38">
    <w:abstractNumId w:val="15"/>
  </w:num>
  <w:num w:numId="39">
    <w:abstractNumId w:val="15"/>
  </w:num>
  <w:num w:numId="40">
    <w:abstractNumId w:val="15"/>
  </w:num>
  <w:num w:numId="41">
    <w:abstractNumId w:val="15"/>
  </w:num>
  <w:num w:numId="42">
    <w:abstractNumId w:val="15"/>
  </w:num>
  <w:num w:numId="43">
    <w:abstractNumId w:val="15"/>
  </w:num>
  <w:num w:numId="44">
    <w:abstractNumId w:val="9"/>
  </w:num>
  <w:num w:numId="45">
    <w:abstractNumId w:val="15"/>
  </w:num>
  <w:num w:numId="46">
    <w:abstractNumId w:val="15"/>
  </w:num>
  <w:num w:numId="47">
    <w:abstractNumId w:val="15"/>
  </w:num>
  <w:num w:numId="48">
    <w:abstractNumId w:val="15"/>
  </w:num>
  <w:num w:numId="49">
    <w:abstractNumId w:val="19"/>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20"/>
  <w:evenAndOddHeaders/>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516"/>
    <w:rsid w:val="00010689"/>
    <w:rsid w:val="00011725"/>
    <w:rsid w:val="00012C62"/>
    <w:rsid w:val="000155B1"/>
    <w:rsid w:val="00021A82"/>
    <w:rsid w:val="0002544D"/>
    <w:rsid w:val="00025D83"/>
    <w:rsid w:val="00027DA7"/>
    <w:rsid w:val="00032364"/>
    <w:rsid w:val="00032F15"/>
    <w:rsid w:val="00033CEC"/>
    <w:rsid w:val="0004274D"/>
    <w:rsid w:val="00043348"/>
    <w:rsid w:val="0004483F"/>
    <w:rsid w:val="000470BD"/>
    <w:rsid w:val="0005138B"/>
    <w:rsid w:val="000522B7"/>
    <w:rsid w:val="00056880"/>
    <w:rsid w:val="00063F78"/>
    <w:rsid w:val="000675D1"/>
    <w:rsid w:val="00073521"/>
    <w:rsid w:val="00073879"/>
    <w:rsid w:val="000775DE"/>
    <w:rsid w:val="00087FAF"/>
    <w:rsid w:val="0009146B"/>
    <w:rsid w:val="00091F1E"/>
    <w:rsid w:val="00091F6B"/>
    <w:rsid w:val="000A74B4"/>
    <w:rsid w:val="000B4067"/>
    <w:rsid w:val="000B67CC"/>
    <w:rsid w:val="000B7289"/>
    <w:rsid w:val="000C49B1"/>
    <w:rsid w:val="000C571D"/>
    <w:rsid w:val="000C5F40"/>
    <w:rsid w:val="000C70D4"/>
    <w:rsid w:val="000C73CC"/>
    <w:rsid w:val="000E0B74"/>
    <w:rsid w:val="000E7901"/>
    <w:rsid w:val="000F092E"/>
    <w:rsid w:val="00107176"/>
    <w:rsid w:val="00111A24"/>
    <w:rsid w:val="001154BF"/>
    <w:rsid w:val="00131DC3"/>
    <w:rsid w:val="00132D8D"/>
    <w:rsid w:val="00135E4C"/>
    <w:rsid w:val="001373F5"/>
    <w:rsid w:val="00142AA2"/>
    <w:rsid w:val="00143C3A"/>
    <w:rsid w:val="0015362C"/>
    <w:rsid w:val="001606CF"/>
    <w:rsid w:val="0016128D"/>
    <w:rsid w:val="0017089D"/>
    <w:rsid w:val="001809BA"/>
    <w:rsid w:val="00182D7A"/>
    <w:rsid w:val="0018375D"/>
    <w:rsid w:val="0018749E"/>
    <w:rsid w:val="0019101A"/>
    <w:rsid w:val="001921A5"/>
    <w:rsid w:val="00192756"/>
    <w:rsid w:val="001972D2"/>
    <w:rsid w:val="001B05F7"/>
    <w:rsid w:val="001B12C4"/>
    <w:rsid w:val="001B6299"/>
    <w:rsid w:val="001C358D"/>
    <w:rsid w:val="001C6C5E"/>
    <w:rsid w:val="001D18A9"/>
    <w:rsid w:val="001D51F5"/>
    <w:rsid w:val="001E51DB"/>
    <w:rsid w:val="001F1B27"/>
    <w:rsid w:val="001F2124"/>
    <w:rsid w:val="001F4869"/>
    <w:rsid w:val="001F5C13"/>
    <w:rsid w:val="002021A4"/>
    <w:rsid w:val="002116C2"/>
    <w:rsid w:val="00221EC0"/>
    <w:rsid w:val="00227254"/>
    <w:rsid w:val="00231049"/>
    <w:rsid w:val="002314D2"/>
    <w:rsid w:val="00231E45"/>
    <w:rsid w:val="0023305C"/>
    <w:rsid w:val="00233953"/>
    <w:rsid w:val="0024078B"/>
    <w:rsid w:val="002414A5"/>
    <w:rsid w:val="00241881"/>
    <w:rsid w:val="0024294C"/>
    <w:rsid w:val="00242F34"/>
    <w:rsid w:val="00244DB6"/>
    <w:rsid w:val="002465A3"/>
    <w:rsid w:val="00252953"/>
    <w:rsid w:val="002552FA"/>
    <w:rsid w:val="0025652F"/>
    <w:rsid w:val="00257F3F"/>
    <w:rsid w:val="00263B6C"/>
    <w:rsid w:val="00267A11"/>
    <w:rsid w:val="00272939"/>
    <w:rsid w:val="00274F6E"/>
    <w:rsid w:val="0027590B"/>
    <w:rsid w:val="00277E2E"/>
    <w:rsid w:val="0028052A"/>
    <w:rsid w:val="0028363B"/>
    <w:rsid w:val="00283DA5"/>
    <w:rsid w:val="00285969"/>
    <w:rsid w:val="002A2AE0"/>
    <w:rsid w:val="002A74EF"/>
    <w:rsid w:val="002B3829"/>
    <w:rsid w:val="002B40D3"/>
    <w:rsid w:val="002B4EF7"/>
    <w:rsid w:val="002B66CE"/>
    <w:rsid w:val="002C22EF"/>
    <w:rsid w:val="002C703E"/>
    <w:rsid w:val="002D1762"/>
    <w:rsid w:val="002D2F27"/>
    <w:rsid w:val="002E3EB1"/>
    <w:rsid w:val="002E454C"/>
    <w:rsid w:val="002E7ACB"/>
    <w:rsid w:val="002F617F"/>
    <w:rsid w:val="002F6446"/>
    <w:rsid w:val="00300109"/>
    <w:rsid w:val="003004F4"/>
    <w:rsid w:val="00304889"/>
    <w:rsid w:val="003066EF"/>
    <w:rsid w:val="00306894"/>
    <w:rsid w:val="003122F4"/>
    <w:rsid w:val="003268D5"/>
    <w:rsid w:val="00333441"/>
    <w:rsid w:val="003448F6"/>
    <w:rsid w:val="00350759"/>
    <w:rsid w:val="00354D27"/>
    <w:rsid w:val="0035738A"/>
    <w:rsid w:val="00361768"/>
    <w:rsid w:val="0037301B"/>
    <w:rsid w:val="00376568"/>
    <w:rsid w:val="003832DF"/>
    <w:rsid w:val="003858A6"/>
    <w:rsid w:val="00392DCC"/>
    <w:rsid w:val="003A4D12"/>
    <w:rsid w:val="003A567E"/>
    <w:rsid w:val="003A5791"/>
    <w:rsid w:val="003A5B36"/>
    <w:rsid w:val="003A6830"/>
    <w:rsid w:val="003B1B1B"/>
    <w:rsid w:val="003B683B"/>
    <w:rsid w:val="003C1FF8"/>
    <w:rsid w:val="003C24B4"/>
    <w:rsid w:val="003D16D5"/>
    <w:rsid w:val="003E1AB4"/>
    <w:rsid w:val="003E20AC"/>
    <w:rsid w:val="003E20D6"/>
    <w:rsid w:val="003E4D87"/>
    <w:rsid w:val="00401082"/>
    <w:rsid w:val="00403736"/>
    <w:rsid w:val="00404295"/>
    <w:rsid w:val="00411DA0"/>
    <w:rsid w:val="004134B7"/>
    <w:rsid w:val="00416762"/>
    <w:rsid w:val="00416B05"/>
    <w:rsid w:val="00416E55"/>
    <w:rsid w:val="0042518A"/>
    <w:rsid w:val="0043062C"/>
    <w:rsid w:val="00431E56"/>
    <w:rsid w:val="00432998"/>
    <w:rsid w:val="00441F59"/>
    <w:rsid w:val="004426AC"/>
    <w:rsid w:val="00445265"/>
    <w:rsid w:val="00447661"/>
    <w:rsid w:val="004559CE"/>
    <w:rsid w:val="00460E1A"/>
    <w:rsid w:val="00463DF8"/>
    <w:rsid w:val="00475085"/>
    <w:rsid w:val="00476CF6"/>
    <w:rsid w:val="00477AA8"/>
    <w:rsid w:val="00484C77"/>
    <w:rsid w:val="00486AA9"/>
    <w:rsid w:val="00492F89"/>
    <w:rsid w:val="00492FCB"/>
    <w:rsid w:val="004958CC"/>
    <w:rsid w:val="004A00B0"/>
    <w:rsid w:val="004A0F11"/>
    <w:rsid w:val="004A2F7E"/>
    <w:rsid w:val="004A3EAA"/>
    <w:rsid w:val="004A3F2B"/>
    <w:rsid w:val="004A7D97"/>
    <w:rsid w:val="004B1561"/>
    <w:rsid w:val="004B5133"/>
    <w:rsid w:val="004C0301"/>
    <w:rsid w:val="004C2E55"/>
    <w:rsid w:val="004C41B6"/>
    <w:rsid w:val="004C553E"/>
    <w:rsid w:val="004D1D06"/>
    <w:rsid w:val="004D349B"/>
    <w:rsid w:val="004D5986"/>
    <w:rsid w:val="004D6E37"/>
    <w:rsid w:val="004D6EAA"/>
    <w:rsid w:val="004E00EA"/>
    <w:rsid w:val="004F435E"/>
    <w:rsid w:val="004F4B92"/>
    <w:rsid w:val="004F52CA"/>
    <w:rsid w:val="00503FA0"/>
    <w:rsid w:val="00505A30"/>
    <w:rsid w:val="00507E5D"/>
    <w:rsid w:val="00516061"/>
    <w:rsid w:val="00516785"/>
    <w:rsid w:val="005235C0"/>
    <w:rsid w:val="0052419D"/>
    <w:rsid w:val="005301F8"/>
    <w:rsid w:val="005312FC"/>
    <w:rsid w:val="0053569E"/>
    <w:rsid w:val="0053603D"/>
    <w:rsid w:val="0053662D"/>
    <w:rsid w:val="0053742A"/>
    <w:rsid w:val="00537C85"/>
    <w:rsid w:val="00541D29"/>
    <w:rsid w:val="00553D2C"/>
    <w:rsid w:val="00556007"/>
    <w:rsid w:val="005579FD"/>
    <w:rsid w:val="00562F17"/>
    <w:rsid w:val="00564BCD"/>
    <w:rsid w:val="00564FE7"/>
    <w:rsid w:val="0056582C"/>
    <w:rsid w:val="00574894"/>
    <w:rsid w:val="00574DB5"/>
    <w:rsid w:val="0058529E"/>
    <w:rsid w:val="005868DE"/>
    <w:rsid w:val="00594E35"/>
    <w:rsid w:val="005966B7"/>
    <w:rsid w:val="005A3129"/>
    <w:rsid w:val="005B5E2A"/>
    <w:rsid w:val="005C02A4"/>
    <w:rsid w:val="005C20D2"/>
    <w:rsid w:val="005C32FE"/>
    <w:rsid w:val="005C34A1"/>
    <w:rsid w:val="005C4771"/>
    <w:rsid w:val="005D024A"/>
    <w:rsid w:val="005D1002"/>
    <w:rsid w:val="005D4FD4"/>
    <w:rsid w:val="005D6D64"/>
    <w:rsid w:val="005E4086"/>
    <w:rsid w:val="005E75A2"/>
    <w:rsid w:val="005F55B5"/>
    <w:rsid w:val="005F5743"/>
    <w:rsid w:val="005F600A"/>
    <w:rsid w:val="00601650"/>
    <w:rsid w:val="00605AFD"/>
    <w:rsid w:val="006123D4"/>
    <w:rsid w:val="0061445B"/>
    <w:rsid w:val="00624C4B"/>
    <w:rsid w:val="00630D08"/>
    <w:rsid w:val="00643411"/>
    <w:rsid w:val="00650016"/>
    <w:rsid w:val="00650E59"/>
    <w:rsid w:val="006511E7"/>
    <w:rsid w:val="006514DD"/>
    <w:rsid w:val="00651786"/>
    <w:rsid w:val="00652A9E"/>
    <w:rsid w:val="00654786"/>
    <w:rsid w:val="00660664"/>
    <w:rsid w:val="00663047"/>
    <w:rsid w:val="00663170"/>
    <w:rsid w:val="00663962"/>
    <w:rsid w:val="0067209F"/>
    <w:rsid w:val="0068466B"/>
    <w:rsid w:val="00685CF7"/>
    <w:rsid w:val="00686165"/>
    <w:rsid w:val="00690F01"/>
    <w:rsid w:val="00691CB5"/>
    <w:rsid w:val="006A1AC0"/>
    <w:rsid w:val="006A37F5"/>
    <w:rsid w:val="006A3E4E"/>
    <w:rsid w:val="006A689C"/>
    <w:rsid w:val="006A69BE"/>
    <w:rsid w:val="006B04AC"/>
    <w:rsid w:val="006B4E10"/>
    <w:rsid w:val="006C1892"/>
    <w:rsid w:val="006C440B"/>
    <w:rsid w:val="006C5B73"/>
    <w:rsid w:val="006C645D"/>
    <w:rsid w:val="006D2E24"/>
    <w:rsid w:val="006D609F"/>
    <w:rsid w:val="006E0890"/>
    <w:rsid w:val="006E3141"/>
    <w:rsid w:val="006E3CC3"/>
    <w:rsid w:val="006F4757"/>
    <w:rsid w:val="00706E8E"/>
    <w:rsid w:val="00707B76"/>
    <w:rsid w:val="00710C1C"/>
    <w:rsid w:val="007129E2"/>
    <w:rsid w:val="00712C88"/>
    <w:rsid w:val="00716C01"/>
    <w:rsid w:val="00721D6A"/>
    <w:rsid w:val="00722B53"/>
    <w:rsid w:val="00727FAD"/>
    <w:rsid w:val="00731761"/>
    <w:rsid w:val="00736516"/>
    <w:rsid w:val="00737B08"/>
    <w:rsid w:val="007407AD"/>
    <w:rsid w:val="007452E6"/>
    <w:rsid w:val="007509DD"/>
    <w:rsid w:val="00763474"/>
    <w:rsid w:val="007673B3"/>
    <w:rsid w:val="00770450"/>
    <w:rsid w:val="00774F89"/>
    <w:rsid w:val="00775DBC"/>
    <w:rsid w:val="00780001"/>
    <w:rsid w:val="00784C0A"/>
    <w:rsid w:val="007856FF"/>
    <w:rsid w:val="00794B40"/>
    <w:rsid w:val="00794E23"/>
    <w:rsid w:val="00796B37"/>
    <w:rsid w:val="007A1079"/>
    <w:rsid w:val="007B02A6"/>
    <w:rsid w:val="007B7334"/>
    <w:rsid w:val="007B76AB"/>
    <w:rsid w:val="007C487F"/>
    <w:rsid w:val="007D3014"/>
    <w:rsid w:val="007D50E0"/>
    <w:rsid w:val="007D592B"/>
    <w:rsid w:val="007D5AA6"/>
    <w:rsid w:val="007D7A91"/>
    <w:rsid w:val="007D7BCD"/>
    <w:rsid w:val="007E6456"/>
    <w:rsid w:val="007F10D2"/>
    <w:rsid w:val="007F1871"/>
    <w:rsid w:val="007F3CBD"/>
    <w:rsid w:val="007F6051"/>
    <w:rsid w:val="00811943"/>
    <w:rsid w:val="0081776C"/>
    <w:rsid w:val="008311B8"/>
    <w:rsid w:val="00834243"/>
    <w:rsid w:val="00835489"/>
    <w:rsid w:val="00841679"/>
    <w:rsid w:val="0085668A"/>
    <w:rsid w:val="00857969"/>
    <w:rsid w:val="008722A8"/>
    <w:rsid w:val="00873D32"/>
    <w:rsid w:val="00875201"/>
    <w:rsid w:val="00875ACE"/>
    <w:rsid w:val="00876188"/>
    <w:rsid w:val="00882CC4"/>
    <w:rsid w:val="00885489"/>
    <w:rsid w:val="008867DE"/>
    <w:rsid w:val="008919A4"/>
    <w:rsid w:val="00896549"/>
    <w:rsid w:val="008A07EA"/>
    <w:rsid w:val="008A2806"/>
    <w:rsid w:val="008A5D21"/>
    <w:rsid w:val="008B30D5"/>
    <w:rsid w:val="008B348A"/>
    <w:rsid w:val="008B4F25"/>
    <w:rsid w:val="008C60E2"/>
    <w:rsid w:val="008C6E32"/>
    <w:rsid w:val="008C7F71"/>
    <w:rsid w:val="008D339F"/>
    <w:rsid w:val="008D427F"/>
    <w:rsid w:val="008E3768"/>
    <w:rsid w:val="008E4A03"/>
    <w:rsid w:val="008E6292"/>
    <w:rsid w:val="0091458A"/>
    <w:rsid w:val="00922B6E"/>
    <w:rsid w:val="00925AA5"/>
    <w:rsid w:val="0092738D"/>
    <w:rsid w:val="0093191E"/>
    <w:rsid w:val="0093540D"/>
    <w:rsid w:val="0094019D"/>
    <w:rsid w:val="0094043E"/>
    <w:rsid w:val="00942C11"/>
    <w:rsid w:val="0094351F"/>
    <w:rsid w:val="0094655D"/>
    <w:rsid w:val="009547F8"/>
    <w:rsid w:val="0097093E"/>
    <w:rsid w:val="009729D4"/>
    <w:rsid w:val="00974BD2"/>
    <w:rsid w:val="009817B0"/>
    <w:rsid w:val="009821CE"/>
    <w:rsid w:val="00984A32"/>
    <w:rsid w:val="00984F35"/>
    <w:rsid w:val="00994EDE"/>
    <w:rsid w:val="0099635D"/>
    <w:rsid w:val="009A277C"/>
    <w:rsid w:val="009A5EC2"/>
    <w:rsid w:val="009A658F"/>
    <w:rsid w:val="009A66C9"/>
    <w:rsid w:val="009A7F28"/>
    <w:rsid w:val="009B24E4"/>
    <w:rsid w:val="009B5A77"/>
    <w:rsid w:val="009B5DC7"/>
    <w:rsid w:val="009C4407"/>
    <w:rsid w:val="009D316E"/>
    <w:rsid w:val="009D680D"/>
    <w:rsid w:val="009E171B"/>
    <w:rsid w:val="009E4008"/>
    <w:rsid w:val="009E4687"/>
    <w:rsid w:val="009F6587"/>
    <w:rsid w:val="00A00596"/>
    <w:rsid w:val="00A015E8"/>
    <w:rsid w:val="00A07D47"/>
    <w:rsid w:val="00A12F62"/>
    <w:rsid w:val="00A14FE9"/>
    <w:rsid w:val="00A3563C"/>
    <w:rsid w:val="00A3749B"/>
    <w:rsid w:val="00A37D87"/>
    <w:rsid w:val="00A44558"/>
    <w:rsid w:val="00A46F73"/>
    <w:rsid w:val="00A50D88"/>
    <w:rsid w:val="00A5460B"/>
    <w:rsid w:val="00A56923"/>
    <w:rsid w:val="00A57A97"/>
    <w:rsid w:val="00A62E42"/>
    <w:rsid w:val="00A64A71"/>
    <w:rsid w:val="00A72960"/>
    <w:rsid w:val="00A72D8F"/>
    <w:rsid w:val="00A80CFA"/>
    <w:rsid w:val="00A87179"/>
    <w:rsid w:val="00A93401"/>
    <w:rsid w:val="00A94E04"/>
    <w:rsid w:val="00A97B36"/>
    <w:rsid w:val="00AC3196"/>
    <w:rsid w:val="00AC4C0A"/>
    <w:rsid w:val="00AC7B58"/>
    <w:rsid w:val="00AD4087"/>
    <w:rsid w:val="00AD5347"/>
    <w:rsid w:val="00AE1971"/>
    <w:rsid w:val="00AE2F90"/>
    <w:rsid w:val="00AE7002"/>
    <w:rsid w:val="00AE7CEC"/>
    <w:rsid w:val="00B03356"/>
    <w:rsid w:val="00B03DD6"/>
    <w:rsid w:val="00B046D5"/>
    <w:rsid w:val="00B13E54"/>
    <w:rsid w:val="00B3583B"/>
    <w:rsid w:val="00B37A8F"/>
    <w:rsid w:val="00B456A6"/>
    <w:rsid w:val="00B51AA5"/>
    <w:rsid w:val="00B53DCB"/>
    <w:rsid w:val="00B56BC4"/>
    <w:rsid w:val="00B65347"/>
    <w:rsid w:val="00B65825"/>
    <w:rsid w:val="00B7661E"/>
    <w:rsid w:val="00B87927"/>
    <w:rsid w:val="00B9155D"/>
    <w:rsid w:val="00B96036"/>
    <w:rsid w:val="00BA3E5B"/>
    <w:rsid w:val="00BA634F"/>
    <w:rsid w:val="00BB18EC"/>
    <w:rsid w:val="00BD053F"/>
    <w:rsid w:val="00BD26AA"/>
    <w:rsid w:val="00BD454F"/>
    <w:rsid w:val="00BD7CD3"/>
    <w:rsid w:val="00BE727C"/>
    <w:rsid w:val="00BF55F7"/>
    <w:rsid w:val="00C01DCC"/>
    <w:rsid w:val="00C124A4"/>
    <w:rsid w:val="00C13906"/>
    <w:rsid w:val="00C202B3"/>
    <w:rsid w:val="00C21D65"/>
    <w:rsid w:val="00C21EE0"/>
    <w:rsid w:val="00C254CC"/>
    <w:rsid w:val="00C2682F"/>
    <w:rsid w:val="00C30297"/>
    <w:rsid w:val="00C35FBC"/>
    <w:rsid w:val="00C41F6C"/>
    <w:rsid w:val="00C5191A"/>
    <w:rsid w:val="00C5234B"/>
    <w:rsid w:val="00C53BE2"/>
    <w:rsid w:val="00C56414"/>
    <w:rsid w:val="00C670AD"/>
    <w:rsid w:val="00C70F05"/>
    <w:rsid w:val="00C72239"/>
    <w:rsid w:val="00C72318"/>
    <w:rsid w:val="00C724E6"/>
    <w:rsid w:val="00C747A5"/>
    <w:rsid w:val="00C758A6"/>
    <w:rsid w:val="00C76E94"/>
    <w:rsid w:val="00C85314"/>
    <w:rsid w:val="00C85E7D"/>
    <w:rsid w:val="00C86846"/>
    <w:rsid w:val="00C90D0E"/>
    <w:rsid w:val="00C96D2E"/>
    <w:rsid w:val="00CA0116"/>
    <w:rsid w:val="00CA120A"/>
    <w:rsid w:val="00CA3350"/>
    <w:rsid w:val="00CA4BC0"/>
    <w:rsid w:val="00CA5CA8"/>
    <w:rsid w:val="00CB0157"/>
    <w:rsid w:val="00CB334A"/>
    <w:rsid w:val="00CB5205"/>
    <w:rsid w:val="00CC12DF"/>
    <w:rsid w:val="00CC2EC6"/>
    <w:rsid w:val="00CC559D"/>
    <w:rsid w:val="00CD654B"/>
    <w:rsid w:val="00CE0D9F"/>
    <w:rsid w:val="00CE223E"/>
    <w:rsid w:val="00CE3124"/>
    <w:rsid w:val="00CE68DD"/>
    <w:rsid w:val="00CF3F0D"/>
    <w:rsid w:val="00D01EF8"/>
    <w:rsid w:val="00D04AA8"/>
    <w:rsid w:val="00D06657"/>
    <w:rsid w:val="00D11F94"/>
    <w:rsid w:val="00D145F5"/>
    <w:rsid w:val="00D16C03"/>
    <w:rsid w:val="00D21D7A"/>
    <w:rsid w:val="00D26A46"/>
    <w:rsid w:val="00D3463C"/>
    <w:rsid w:val="00D355F0"/>
    <w:rsid w:val="00D43AC8"/>
    <w:rsid w:val="00D545AD"/>
    <w:rsid w:val="00D55744"/>
    <w:rsid w:val="00D56113"/>
    <w:rsid w:val="00D56F4D"/>
    <w:rsid w:val="00D67356"/>
    <w:rsid w:val="00D816E3"/>
    <w:rsid w:val="00D833D9"/>
    <w:rsid w:val="00D83BD9"/>
    <w:rsid w:val="00D844E5"/>
    <w:rsid w:val="00D857AA"/>
    <w:rsid w:val="00D86442"/>
    <w:rsid w:val="00D93479"/>
    <w:rsid w:val="00D94DCF"/>
    <w:rsid w:val="00D94EAE"/>
    <w:rsid w:val="00DA586F"/>
    <w:rsid w:val="00DA6809"/>
    <w:rsid w:val="00DB08DA"/>
    <w:rsid w:val="00DB1432"/>
    <w:rsid w:val="00DB620D"/>
    <w:rsid w:val="00DB7B31"/>
    <w:rsid w:val="00DB7F09"/>
    <w:rsid w:val="00DC00E8"/>
    <w:rsid w:val="00DC1C56"/>
    <w:rsid w:val="00DC4756"/>
    <w:rsid w:val="00DC6379"/>
    <w:rsid w:val="00DC7663"/>
    <w:rsid w:val="00DD4F04"/>
    <w:rsid w:val="00DD626A"/>
    <w:rsid w:val="00DE0A28"/>
    <w:rsid w:val="00DE3C77"/>
    <w:rsid w:val="00DF6F61"/>
    <w:rsid w:val="00E06CE6"/>
    <w:rsid w:val="00E101C6"/>
    <w:rsid w:val="00E10C65"/>
    <w:rsid w:val="00E2180F"/>
    <w:rsid w:val="00E22D51"/>
    <w:rsid w:val="00E314F0"/>
    <w:rsid w:val="00E35425"/>
    <w:rsid w:val="00E375B9"/>
    <w:rsid w:val="00E41AD9"/>
    <w:rsid w:val="00E46F2B"/>
    <w:rsid w:val="00E50E7C"/>
    <w:rsid w:val="00E51545"/>
    <w:rsid w:val="00E51D9E"/>
    <w:rsid w:val="00E537D1"/>
    <w:rsid w:val="00E567E6"/>
    <w:rsid w:val="00E56971"/>
    <w:rsid w:val="00E61484"/>
    <w:rsid w:val="00E64227"/>
    <w:rsid w:val="00E701E6"/>
    <w:rsid w:val="00E711D7"/>
    <w:rsid w:val="00E815E1"/>
    <w:rsid w:val="00E902B0"/>
    <w:rsid w:val="00E902E8"/>
    <w:rsid w:val="00E95730"/>
    <w:rsid w:val="00E97E65"/>
    <w:rsid w:val="00EA1802"/>
    <w:rsid w:val="00EA23AC"/>
    <w:rsid w:val="00EA7C3D"/>
    <w:rsid w:val="00EB04EF"/>
    <w:rsid w:val="00EB350C"/>
    <w:rsid w:val="00EB6878"/>
    <w:rsid w:val="00EC1E0E"/>
    <w:rsid w:val="00EC236D"/>
    <w:rsid w:val="00EC5BB8"/>
    <w:rsid w:val="00EC6B16"/>
    <w:rsid w:val="00ED1C87"/>
    <w:rsid w:val="00ED4761"/>
    <w:rsid w:val="00EE1447"/>
    <w:rsid w:val="00EE16B6"/>
    <w:rsid w:val="00EE4D9C"/>
    <w:rsid w:val="00EE60BA"/>
    <w:rsid w:val="00EF145E"/>
    <w:rsid w:val="00EF2BBB"/>
    <w:rsid w:val="00F0082D"/>
    <w:rsid w:val="00F015AB"/>
    <w:rsid w:val="00F02705"/>
    <w:rsid w:val="00F03AE7"/>
    <w:rsid w:val="00F0452D"/>
    <w:rsid w:val="00F07C90"/>
    <w:rsid w:val="00F11D92"/>
    <w:rsid w:val="00F16C6A"/>
    <w:rsid w:val="00F17A60"/>
    <w:rsid w:val="00F30811"/>
    <w:rsid w:val="00F5375E"/>
    <w:rsid w:val="00F54630"/>
    <w:rsid w:val="00F553ED"/>
    <w:rsid w:val="00F57BED"/>
    <w:rsid w:val="00F641C1"/>
    <w:rsid w:val="00F74D7E"/>
    <w:rsid w:val="00F75901"/>
    <w:rsid w:val="00F7613A"/>
    <w:rsid w:val="00F82746"/>
    <w:rsid w:val="00F831A4"/>
    <w:rsid w:val="00F836F9"/>
    <w:rsid w:val="00F845D7"/>
    <w:rsid w:val="00F859CE"/>
    <w:rsid w:val="00F92279"/>
    <w:rsid w:val="00F95273"/>
    <w:rsid w:val="00FA2B17"/>
    <w:rsid w:val="00FB2751"/>
    <w:rsid w:val="00FB3D79"/>
    <w:rsid w:val="00FB4D21"/>
    <w:rsid w:val="00FB762B"/>
    <w:rsid w:val="00FC6ADA"/>
    <w:rsid w:val="00FD4E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4903F9C"/>
  <w15:docId w15:val="{19478810-F698-405B-892C-93FA26D8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ody,b + line,b1,level 1"/>
    <w:basedOn w:val="Normal"/>
    <w:link w:val="BulletChar"/>
    <w:qFormat/>
    <w:rsid w:val="000E0B74"/>
    <w:pPr>
      <w:numPr>
        <w:numId w:val="1"/>
      </w:numPr>
      <w:spacing w:before="0"/>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ulletChar">
    <w:name w:val="Bullet Char"/>
    <w:aliases w:val="b + line Char Char,b Char,b Char Char"/>
    <w:basedOn w:val="DefaultParagraphFont"/>
    <w:link w:val="Bullet"/>
    <w:rsid w:val="0097093E"/>
    <w:rPr>
      <w:rFonts w:ascii="Calibri" w:eastAsia="Times New Roman" w:hAnsi="Calibri" w:cs="Times New Roman"/>
      <w:szCs w:val="20"/>
      <w:lang w:eastAsia="en-AU"/>
    </w:rPr>
  </w:style>
  <w:style w:type="character" w:customStyle="1" w:styleId="DashChar">
    <w:name w:val="Dash Char"/>
    <w:basedOn w:val="DefaultParagraphFont"/>
    <w:link w:val="Dash"/>
    <w:rsid w:val="0097093E"/>
    <w:rPr>
      <w:rFonts w:ascii="Calibri" w:eastAsia="Times New Roman" w:hAnsi="Calibri" w:cs="Times New Roman"/>
      <w:szCs w:val="20"/>
      <w:lang w:eastAsia="en-AU"/>
    </w:rPr>
  </w:style>
  <w:style w:type="paragraph" w:customStyle="1" w:styleId="Default">
    <w:name w:val="Default"/>
    <w:rsid w:val="0066317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B40D3"/>
    <w:rPr>
      <w:sz w:val="16"/>
      <w:szCs w:val="16"/>
    </w:rPr>
  </w:style>
  <w:style w:type="paragraph" w:styleId="CommentText">
    <w:name w:val="annotation text"/>
    <w:basedOn w:val="Normal"/>
    <w:link w:val="CommentTextChar"/>
    <w:uiPriority w:val="99"/>
    <w:unhideWhenUsed/>
    <w:rsid w:val="002B40D3"/>
    <w:rPr>
      <w:sz w:val="20"/>
    </w:rPr>
  </w:style>
  <w:style w:type="character" w:customStyle="1" w:styleId="CommentTextChar">
    <w:name w:val="Comment Text Char"/>
    <w:basedOn w:val="DefaultParagraphFont"/>
    <w:link w:val="CommentText"/>
    <w:uiPriority w:val="99"/>
    <w:rsid w:val="002B40D3"/>
    <w:rPr>
      <w:rFonts w:ascii="Calibri" w:eastAsia="Times New Roman" w:hAnsi="Calibri" w:cs="Times New Roman"/>
      <w:sz w:val="20"/>
      <w:szCs w:val="20"/>
      <w:lang w:eastAsia="en-AU"/>
    </w:rPr>
  </w:style>
  <w:style w:type="paragraph" w:styleId="NormalWeb">
    <w:name w:val="Normal (Web)"/>
    <w:basedOn w:val="Normal"/>
    <w:uiPriority w:val="99"/>
    <w:semiHidden/>
    <w:unhideWhenUsed/>
    <w:rsid w:val="003B1B1B"/>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4A3F2B"/>
  </w:style>
  <w:style w:type="paragraph" w:styleId="CommentSubject">
    <w:name w:val="annotation subject"/>
    <w:basedOn w:val="CommentText"/>
    <w:next w:val="CommentText"/>
    <w:link w:val="CommentSubjectChar"/>
    <w:uiPriority w:val="99"/>
    <w:semiHidden/>
    <w:unhideWhenUsed/>
    <w:rsid w:val="00721D6A"/>
    <w:rPr>
      <w:b/>
      <w:bCs/>
    </w:rPr>
  </w:style>
  <w:style w:type="character" w:customStyle="1" w:styleId="CommentSubjectChar">
    <w:name w:val="Comment Subject Char"/>
    <w:basedOn w:val="CommentTextChar"/>
    <w:link w:val="CommentSubject"/>
    <w:uiPriority w:val="99"/>
    <w:semiHidden/>
    <w:rsid w:val="00721D6A"/>
    <w:rPr>
      <w:rFonts w:ascii="Calibri" w:eastAsia="Times New Roman" w:hAnsi="Calibri" w:cs="Times New Roman"/>
      <w:b/>
      <w:bCs/>
      <w:sz w:val="20"/>
      <w:szCs w:val="20"/>
      <w:lang w:eastAsia="en-AU"/>
    </w:rPr>
  </w:style>
  <w:style w:type="paragraph" w:styleId="ListParagraph">
    <w:name w:val="List Paragraph"/>
    <w:basedOn w:val="Normal"/>
    <w:uiPriority w:val="34"/>
    <w:qFormat/>
    <w:rsid w:val="00CE68DD"/>
    <w:pPr>
      <w:ind w:left="720"/>
      <w:contextualSpacing/>
    </w:pPr>
  </w:style>
  <w:style w:type="paragraph" w:styleId="Revision">
    <w:name w:val="Revision"/>
    <w:hidden/>
    <w:uiPriority w:val="99"/>
    <w:semiHidden/>
    <w:rsid w:val="00707B76"/>
    <w:pPr>
      <w:spacing w:after="0" w:line="240" w:lineRule="auto"/>
    </w:pPr>
    <w:rPr>
      <w:rFonts w:ascii="Calibri" w:eastAsia="Times New Roman" w:hAnsi="Calibri" w:cs="Times New Roman"/>
      <w:szCs w:val="20"/>
      <w:lang w:eastAsia="en-AU"/>
    </w:rPr>
  </w:style>
  <w:style w:type="paragraph" w:customStyle="1" w:styleId="dotpoint">
    <w:name w:val="dot point"/>
    <w:basedOn w:val="Normal"/>
    <w:rsid w:val="00361768"/>
    <w:pPr>
      <w:numPr>
        <w:numId w:val="49"/>
      </w:numPr>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55875986">
      <w:bodyDiv w:val="1"/>
      <w:marLeft w:val="0"/>
      <w:marRight w:val="0"/>
      <w:marTop w:val="0"/>
      <w:marBottom w:val="0"/>
      <w:divBdr>
        <w:top w:val="none" w:sz="0" w:space="0" w:color="auto"/>
        <w:left w:val="none" w:sz="0" w:space="0" w:color="auto"/>
        <w:bottom w:val="none" w:sz="0" w:space="0" w:color="auto"/>
        <w:right w:val="none" w:sz="0" w:space="0" w:color="auto"/>
      </w:divBdr>
    </w:div>
    <w:div w:id="662045226">
      <w:bodyDiv w:val="1"/>
      <w:marLeft w:val="0"/>
      <w:marRight w:val="0"/>
      <w:marTop w:val="0"/>
      <w:marBottom w:val="0"/>
      <w:divBdr>
        <w:top w:val="none" w:sz="0" w:space="0" w:color="auto"/>
        <w:left w:val="none" w:sz="0" w:space="0" w:color="auto"/>
        <w:bottom w:val="none" w:sz="0" w:space="0" w:color="auto"/>
        <w:right w:val="none" w:sz="0" w:space="0" w:color="auto"/>
      </w:divBdr>
      <w:divsChild>
        <w:div w:id="1543443585">
          <w:marLeft w:val="0"/>
          <w:marRight w:val="0"/>
          <w:marTop w:val="0"/>
          <w:marBottom w:val="0"/>
          <w:divBdr>
            <w:top w:val="none" w:sz="0" w:space="0" w:color="auto"/>
            <w:left w:val="none" w:sz="0" w:space="0" w:color="auto"/>
            <w:bottom w:val="none" w:sz="0" w:space="0" w:color="auto"/>
            <w:right w:val="none" w:sz="0" w:space="0" w:color="auto"/>
          </w:divBdr>
          <w:divsChild>
            <w:div w:id="1530606881">
              <w:marLeft w:val="0"/>
              <w:marRight w:val="0"/>
              <w:marTop w:val="0"/>
              <w:marBottom w:val="0"/>
              <w:divBdr>
                <w:top w:val="none" w:sz="0" w:space="0" w:color="auto"/>
                <w:left w:val="none" w:sz="0" w:space="0" w:color="auto"/>
                <w:bottom w:val="none" w:sz="0" w:space="0" w:color="auto"/>
                <w:right w:val="none" w:sz="0" w:space="0" w:color="auto"/>
              </w:divBdr>
              <w:divsChild>
                <w:div w:id="357512174">
                  <w:marLeft w:val="0"/>
                  <w:marRight w:val="0"/>
                  <w:marTop w:val="0"/>
                  <w:marBottom w:val="0"/>
                  <w:divBdr>
                    <w:top w:val="none" w:sz="0" w:space="0" w:color="auto"/>
                    <w:left w:val="none" w:sz="0" w:space="0" w:color="auto"/>
                    <w:bottom w:val="none" w:sz="0" w:space="0" w:color="auto"/>
                    <w:right w:val="none" w:sz="0" w:space="0" w:color="auto"/>
                  </w:divBdr>
                  <w:divsChild>
                    <w:div w:id="168326510">
                      <w:marLeft w:val="0"/>
                      <w:marRight w:val="0"/>
                      <w:marTop w:val="0"/>
                      <w:marBottom w:val="0"/>
                      <w:divBdr>
                        <w:top w:val="none" w:sz="0" w:space="0" w:color="auto"/>
                        <w:left w:val="none" w:sz="0" w:space="0" w:color="auto"/>
                        <w:bottom w:val="none" w:sz="0" w:space="0" w:color="auto"/>
                        <w:right w:val="none" w:sz="0" w:space="0" w:color="auto"/>
                      </w:divBdr>
                      <w:divsChild>
                        <w:div w:id="1455709374">
                          <w:marLeft w:val="0"/>
                          <w:marRight w:val="0"/>
                          <w:marTop w:val="0"/>
                          <w:marBottom w:val="0"/>
                          <w:divBdr>
                            <w:top w:val="none" w:sz="0" w:space="0" w:color="auto"/>
                            <w:left w:val="none" w:sz="0" w:space="0" w:color="auto"/>
                            <w:bottom w:val="none" w:sz="0" w:space="0" w:color="auto"/>
                            <w:right w:val="none" w:sz="0" w:space="0" w:color="auto"/>
                          </w:divBdr>
                          <w:divsChild>
                            <w:div w:id="1038042766">
                              <w:marLeft w:val="-225"/>
                              <w:marRight w:val="-225"/>
                              <w:marTop w:val="0"/>
                              <w:marBottom w:val="0"/>
                              <w:divBdr>
                                <w:top w:val="none" w:sz="0" w:space="0" w:color="auto"/>
                                <w:left w:val="none" w:sz="0" w:space="0" w:color="auto"/>
                                <w:bottom w:val="none" w:sz="0" w:space="0" w:color="auto"/>
                                <w:right w:val="none" w:sz="0" w:space="0" w:color="auto"/>
                              </w:divBdr>
                              <w:divsChild>
                                <w:div w:id="1302420114">
                                  <w:marLeft w:val="0"/>
                                  <w:marRight w:val="0"/>
                                  <w:marTop w:val="0"/>
                                  <w:marBottom w:val="0"/>
                                  <w:divBdr>
                                    <w:top w:val="none" w:sz="0" w:space="0" w:color="auto"/>
                                    <w:left w:val="none" w:sz="0" w:space="0" w:color="auto"/>
                                    <w:bottom w:val="none" w:sz="0" w:space="0" w:color="auto"/>
                                    <w:right w:val="none" w:sz="0" w:space="0" w:color="auto"/>
                                  </w:divBdr>
                                  <w:divsChild>
                                    <w:div w:id="506988423">
                                      <w:marLeft w:val="0"/>
                                      <w:marRight w:val="0"/>
                                      <w:marTop w:val="0"/>
                                      <w:marBottom w:val="0"/>
                                      <w:divBdr>
                                        <w:top w:val="none" w:sz="0" w:space="0" w:color="auto"/>
                                        <w:left w:val="none" w:sz="0" w:space="0" w:color="auto"/>
                                        <w:bottom w:val="none" w:sz="0" w:space="0" w:color="auto"/>
                                        <w:right w:val="none" w:sz="0" w:space="0" w:color="auto"/>
                                      </w:divBdr>
                                      <w:divsChild>
                                        <w:div w:id="402070467">
                                          <w:marLeft w:val="0"/>
                                          <w:marRight w:val="0"/>
                                          <w:marTop w:val="150"/>
                                          <w:marBottom w:val="0"/>
                                          <w:divBdr>
                                            <w:top w:val="none" w:sz="0" w:space="0" w:color="auto"/>
                                            <w:left w:val="none" w:sz="0" w:space="0" w:color="auto"/>
                                            <w:bottom w:val="none" w:sz="0" w:space="0" w:color="auto"/>
                                            <w:right w:val="none" w:sz="0" w:space="0" w:color="auto"/>
                                          </w:divBdr>
                                          <w:divsChild>
                                            <w:div w:id="7698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909225">
      <w:bodyDiv w:val="1"/>
      <w:marLeft w:val="0"/>
      <w:marRight w:val="0"/>
      <w:marTop w:val="0"/>
      <w:marBottom w:val="0"/>
      <w:divBdr>
        <w:top w:val="none" w:sz="0" w:space="0" w:color="auto"/>
        <w:left w:val="none" w:sz="0" w:space="0" w:color="auto"/>
        <w:bottom w:val="none" w:sz="0" w:space="0" w:color="auto"/>
        <w:right w:val="none" w:sz="0" w:space="0" w:color="auto"/>
      </w:divBdr>
      <w:divsChild>
        <w:div w:id="135880698">
          <w:marLeft w:val="0"/>
          <w:marRight w:val="0"/>
          <w:marTop w:val="0"/>
          <w:marBottom w:val="0"/>
          <w:divBdr>
            <w:top w:val="none" w:sz="0" w:space="0" w:color="auto"/>
            <w:left w:val="none" w:sz="0" w:space="0" w:color="auto"/>
            <w:bottom w:val="none" w:sz="0" w:space="0" w:color="auto"/>
            <w:right w:val="none" w:sz="0" w:space="0" w:color="auto"/>
          </w:divBdr>
          <w:divsChild>
            <w:div w:id="2089040473">
              <w:marLeft w:val="0"/>
              <w:marRight w:val="0"/>
              <w:marTop w:val="0"/>
              <w:marBottom w:val="0"/>
              <w:divBdr>
                <w:top w:val="none" w:sz="0" w:space="0" w:color="auto"/>
                <w:left w:val="none" w:sz="0" w:space="0" w:color="auto"/>
                <w:bottom w:val="none" w:sz="0" w:space="0" w:color="auto"/>
                <w:right w:val="none" w:sz="0" w:space="0" w:color="auto"/>
              </w:divBdr>
              <w:divsChild>
                <w:div w:id="353121377">
                  <w:marLeft w:val="-225"/>
                  <w:marRight w:val="-225"/>
                  <w:marTop w:val="0"/>
                  <w:marBottom w:val="0"/>
                  <w:divBdr>
                    <w:top w:val="none" w:sz="0" w:space="0" w:color="auto"/>
                    <w:left w:val="none" w:sz="0" w:space="0" w:color="auto"/>
                    <w:bottom w:val="none" w:sz="0" w:space="0" w:color="auto"/>
                    <w:right w:val="none" w:sz="0" w:space="0" w:color="auto"/>
                  </w:divBdr>
                  <w:divsChild>
                    <w:div w:id="2024670149">
                      <w:marLeft w:val="0"/>
                      <w:marRight w:val="0"/>
                      <w:marTop w:val="0"/>
                      <w:marBottom w:val="0"/>
                      <w:divBdr>
                        <w:top w:val="none" w:sz="0" w:space="0" w:color="auto"/>
                        <w:left w:val="none" w:sz="0" w:space="0" w:color="auto"/>
                        <w:bottom w:val="none" w:sz="0" w:space="0" w:color="auto"/>
                        <w:right w:val="none" w:sz="0" w:space="0" w:color="auto"/>
                      </w:divBdr>
                      <w:divsChild>
                        <w:div w:id="1604265476">
                          <w:marLeft w:val="0"/>
                          <w:marRight w:val="0"/>
                          <w:marTop w:val="0"/>
                          <w:marBottom w:val="0"/>
                          <w:divBdr>
                            <w:top w:val="none" w:sz="0" w:space="0" w:color="auto"/>
                            <w:left w:val="none" w:sz="0" w:space="0" w:color="auto"/>
                            <w:bottom w:val="none" w:sz="0" w:space="0" w:color="auto"/>
                            <w:right w:val="none" w:sz="0" w:space="0" w:color="auto"/>
                          </w:divBdr>
                          <w:divsChild>
                            <w:div w:id="2057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26258">
      <w:bodyDiv w:val="1"/>
      <w:marLeft w:val="0"/>
      <w:marRight w:val="0"/>
      <w:marTop w:val="0"/>
      <w:marBottom w:val="0"/>
      <w:divBdr>
        <w:top w:val="none" w:sz="0" w:space="0" w:color="auto"/>
        <w:left w:val="none" w:sz="0" w:space="0" w:color="auto"/>
        <w:bottom w:val="none" w:sz="0" w:space="0" w:color="auto"/>
        <w:right w:val="none" w:sz="0" w:space="0" w:color="auto"/>
      </w:divBdr>
    </w:div>
    <w:div w:id="732892046">
      <w:bodyDiv w:val="1"/>
      <w:marLeft w:val="0"/>
      <w:marRight w:val="0"/>
      <w:marTop w:val="0"/>
      <w:marBottom w:val="0"/>
      <w:divBdr>
        <w:top w:val="none" w:sz="0" w:space="0" w:color="auto"/>
        <w:left w:val="none" w:sz="0" w:space="0" w:color="auto"/>
        <w:bottom w:val="none" w:sz="0" w:space="0" w:color="auto"/>
        <w:right w:val="none" w:sz="0" w:space="0" w:color="auto"/>
      </w:divBdr>
    </w:div>
    <w:div w:id="1151483122">
      <w:bodyDiv w:val="1"/>
      <w:marLeft w:val="0"/>
      <w:marRight w:val="0"/>
      <w:marTop w:val="0"/>
      <w:marBottom w:val="0"/>
      <w:divBdr>
        <w:top w:val="none" w:sz="0" w:space="0" w:color="auto"/>
        <w:left w:val="none" w:sz="0" w:space="0" w:color="auto"/>
        <w:bottom w:val="none" w:sz="0" w:space="0" w:color="auto"/>
        <w:right w:val="none" w:sz="0" w:space="0" w:color="auto"/>
      </w:divBdr>
    </w:div>
    <w:div w:id="1167549318">
      <w:bodyDiv w:val="1"/>
      <w:marLeft w:val="0"/>
      <w:marRight w:val="0"/>
      <w:marTop w:val="0"/>
      <w:marBottom w:val="0"/>
      <w:divBdr>
        <w:top w:val="none" w:sz="0" w:space="0" w:color="auto"/>
        <w:left w:val="none" w:sz="0" w:space="0" w:color="auto"/>
        <w:bottom w:val="none" w:sz="0" w:space="0" w:color="auto"/>
        <w:right w:val="none" w:sz="0" w:space="0" w:color="auto"/>
      </w:divBdr>
    </w:div>
    <w:div w:id="1230074991">
      <w:bodyDiv w:val="1"/>
      <w:marLeft w:val="0"/>
      <w:marRight w:val="0"/>
      <w:marTop w:val="0"/>
      <w:marBottom w:val="0"/>
      <w:divBdr>
        <w:top w:val="none" w:sz="0" w:space="0" w:color="auto"/>
        <w:left w:val="none" w:sz="0" w:space="0" w:color="auto"/>
        <w:bottom w:val="none" w:sz="0" w:space="0" w:color="auto"/>
        <w:right w:val="none" w:sz="0" w:space="0" w:color="auto"/>
      </w:divBdr>
    </w:div>
    <w:div w:id="1244148700">
      <w:bodyDiv w:val="1"/>
      <w:marLeft w:val="0"/>
      <w:marRight w:val="0"/>
      <w:marTop w:val="0"/>
      <w:marBottom w:val="0"/>
      <w:divBdr>
        <w:top w:val="none" w:sz="0" w:space="0" w:color="auto"/>
        <w:left w:val="none" w:sz="0" w:space="0" w:color="auto"/>
        <w:bottom w:val="none" w:sz="0" w:space="0" w:color="auto"/>
        <w:right w:val="none" w:sz="0" w:space="0" w:color="auto"/>
      </w:divBdr>
    </w:div>
    <w:div w:id="1675955458">
      <w:bodyDiv w:val="1"/>
      <w:marLeft w:val="0"/>
      <w:marRight w:val="0"/>
      <w:marTop w:val="0"/>
      <w:marBottom w:val="0"/>
      <w:divBdr>
        <w:top w:val="none" w:sz="0" w:space="0" w:color="auto"/>
        <w:left w:val="none" w:sz="0" w:space="0" w:color="auto"/>
        <w:bottom w:val="none" w:sz="0" w:space="0" w:color="auto"/>
        <w:right w:val="none" w:sz="0" w:space="0" w:color="auto"/>
      </w:divBdr>
      <w:divsChild>
        <w:div w:id="1203904673">
          <w:marLeft w:val="0"/>
          <w:marRight w:val="0"/>
          <w:marTop w:val="0"/>
          <w:marBottom w:val="0"/>
          <w:divBdr>
            <w:top w:val="none" w:sz="0" w:space="0" w:color="auto"/>
            <w:left w:val="none" w:sz="0" w:space="0" w:color="auto"/>
            <w:bottom w:val="none" w:sz="0" w:space="0" w:color="auto"/>
            <w:right w:val="none" w:sz="0" w:space="0" w:color="auto"/>
          </w:divBdr>
          <w:divsChild>
            <w:div w:id="1291518097">
              <w:marLeft w:val="0"/>
              <w:marRight w:val="0"/>
              <w:marTop w:val="0"/>
              <w:marBottom w:val="0"/>
              <w:divBdr>
                <w:top w:val="none" w:sz="0" w:space="0" w:color="auto"/>
                <w:left w:val="none" w:sz="0" w:space="0" w:color="auto"/>
                <w:bottom w:val="none" w:sz="0" w:space="0" w:color="auto"/>
                <w:right w:val="none" w:sz="0" w:space="0" w:color="auto"/>
              </w:divBdr>
              <w:divsChild>
                <w:div w:id="1594121014">
                  <w:marLeft w:val="-225"/>
                  <w:marRight w:val="-225"/>
                  <w:marTop w:val="0"/>
                  <w:marBottom w:val="0"/>
                  <w:divBdr>
                    <w:top w:val="none" w:sz="0" w:space="0" w:color="auto"/>
                    <w:left w:val="none" w:sz="0" w:space="0" w:color="auto"/>
                    <w:bottom w:val="none" w:sz="0" w:space="0" w:color="auto"/>
                    <w:right w:val="none" w:sz="0" w:space="0" w:color="auto"/>
                  </w:divBdr>
                  <w:divsChild>
                    <w:div w:id="1077941385">
                      <w:marLeft w:val="0"/>
                      <w:marRight w:val="0"/>
                      <w:marTop w:val="0"/>
                      <w:marBottom w:val="0"/>
                      <w:divBdr>
                        <w:top w:val="none" w:sz="0" w:space="0" w:color="auto"/>
                        <w:left w:val="none" w:sz="0" w:space="0" w:color="auto"/>
                        <w:bottom w:val="none" w:sz="0" w:space="0" w:color="auto"/>
                        <w:right w:val="none" w:sz="0" w:space="0" w:color="auto"/>
                      </w:divBdr>
                      <w:divsChild>
                        <w:div w:id="1646592782">
                          <w:marLeft w:val="0"/>
                          <w:marRight w:val="0"/>
                          <w:marTop w:val="0"/>
                          <w:marBottom w:val="0"/>
                          <w:divBdr>
                            <w:top w:val="none" w:sz="0" w:space="0" w:color="auto"/>
                            <w:left w:val="none" w:sz="0" w:space="0" w:color="auto"/>
                            <w:bottom w:val="none" w:sz="0" w:space="0" w:color="auto"/>
                            <w:right w:val="none" w:sz="0" w:space="0" w:color="auto"/>
                          </w:divBdr>
                          <w:divsChild>
                            <w:div w:id="1844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524593">
      <w:bodyDiv w:val="1"/>
      <w:marLeft w:val="0"/>
      <w:marRight w:val="0"/>
      <w:marTop w:val="0"/>
      <w:marBottom w:val="0"/>
      <w:divBdr>
        <w:top w:val="none" w:sz="0" w:space="0" w:color="auto"/>
        <w:left w:val="none" w:sz="0" w:space="0" w:color="auto"/>
        <w:bottom w:val="none" w:sz="0" w:space="0" w:color="auto"/>
        <w:right w:val="none" w:sz="0" w:space="0" w:color="auto"/>
      </w:divBdr>
    </w:div>
    <w:div w:id="1853102426">
      <w:bodyDiv w:val="1"/>
      <w:marLeft w:val="0"/>
      <w:marRight w:val="0"/>
      <w:marTop w:val="0"/>
      <w:marBottom w:val="0"/>
      <w:divBdr>
        <w:top w:val="none" w:sz="0" w:space="0" w:color="auto"/>
        <w:left w:val="none" w:sz="0" w:space="0" w:color="auto"/>
        <w:bottom w:val="none" w:sz="0" w:space="0" w:color="auto"/>
        <w:right w:val="none" w:sz="0" w:space="0" w:color="auto"/>
      </w:divBdr>
    </w:div>
    <w:div w:id="1906523533">
      <w:bodyDiv w:val="1"/>
      <w:marLeft w:val="0"/>
      <w:marRight w:val="0"/>
      <w:marTop w:val="0"/>
      <w:marBottom w:val="0"/>
      <w:divBdr>
        <w:top w:val="none" w:sz="0" w:space="0" w:color="auto"/>
        <w:left w:val="none" w:sz="0" w:space="0" w:color="auto"/>
        <w:bottom w:val="none" w:sz="0" w:space="0" w:color="auto"/>
        <w:right w:val="none" w:sz="0" w:space="0" w:color="auto"/>
      </w:divBdr>
      <w:divsChild>
        <w:div w:id="69424947">
          <w:marLeft w:val="331"/>
          <w:marRight w:val="0"/>
          <w:marTop w:val="120"/>
          <w:marBottom w:val="79"/>
          <w:divBdr>
            <w:top w:val="none" w:sz="0" w:space="0" w:color="auto"/>
            <w:left w:val="none" w:sz="0" w:space="0" w:color="auto"/>
            <w:bottom w:val="none" w:sz="0" w:space="0" w:color="auto"/>
            <w:right w:val="none" w:sz="0" w:space="0" w:color="auto"/>
          </w:divBdr>
        </w:div>
        <w:div w:id="626475591">
          <w:marLeft w:val="331"/>
          <w:marRight w:val="0"/>
          <w:marTop w:val="120"/>
          <w:marBottom w:val="79"/>
          <w:divBdr>
            <w:top w:val="none" w:sz="0" w:space="0" w:color="auto"/>
            <w:left w:val="none" w:sz="0" w:space="0" w:color="auto"/>
            <w:bottom w:val="none" w:sz="0" w:space="0" w:color="auto"/>
            <w:right w:val="none" w:sz="0" w:space="0" w:color="auto"/>
          </w:divBdr>
        </w:div>
        <w:div w:id="1025398393">
          <w:marLeft w:val="331"/>
          <w:marRight w:val="0"/>
          <w:marTop w:val="120"/>
          <w:marBottom w:val="79"/>
          <w:divBdr>
            <w:top w:val="none" w:sz="0" w:space="0" w:color="auto"/>
            <w:left w:val="none" w:sz="0" w:space="0" w:color="auto"/>
            <w:bottom w:val="none" w:sz="0" w:space="0" w:color="auto"/>
            <w:right w:val="none" w:sz="0" w:space="0" w:color="auto"/>
          </w:divBdr>
        </w:div>
        <w:div w:id="1295410977">
          <w:marLeft w:val="331"/>
          <w:marRight w:val="0"/>
          <w:marTop w:val="120"/>
          <w:marBottom w:val="79"/>
          <w:divBdr>
            <w:top w:val="none" w:sz="0" w:space="0" w:color="auto"/>
            <w:left w:val="none" w:sz="0" w:space="0" w:color="auto"/>
            <w:bottom w:val="none" w:sz="0" w:space="0" w:color="auto"/>
            <w:right w:val="none" w:sz="0" w:space="0" w:color="auto"/>
          </w:divBdr>
        </w:div>
        <w:div w:id="1333528320">
          <w:marLeft w:val="331"/>
          <w:marRight w:val="0"/>
          <w:marTop w:val="120"/>
          <w:marBottom w:val="79"/>
          <w:divBdr>
            <w:top w:val="none" w:sz="0" w:space="0" w:color="auto"/>
            <w:left w:val="none" w:sz="0" w:space="0" w:color="auto"/>
            <w:bottom w:val="none" w:sz="0" w:space="0" w:color="auto"/>
            <w:right w:val="none" w:sz="0" w:space="0" w:color="auto"/>
          </w:divBdr>
        </w:div>
        <w:div w:id="1466504738">
          <w:marLeft w:val="331"/>
          <w:marRight w:val="0"/>
          <w:marTop w:val="120"/>
          <w:marBottom w:val="7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 Id="rId30"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71FCEF99DE29FA4F97AF911AE05004EA" ma:contentTypeVersion="33893" ma:contentTypeDescription="" ma:contentTypeScope="" ma:versionID="a38d7c28679586871ce6ae1941dbbe7d">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2444adbf64877280443eed007ec911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0f563589-9cf9-4143-b1eb-fb0534803d38">
      <Value>59</Value>
    </TaxCatchAll>
    <_dlc_DocId xmlns="0f563589-9cf9-4143-b1eb-fb0534803d38">2020RG-286-6640</_dlc_DocId>
    <_dlc_DocIdUrl xmlns="0f563589-9cf9-4143-b1eb-fb0534803d38">
      <Url>http://tweb/sites/rg/iitd/nfp/_layouts/15/DocIdRedir.aspx?ID=2020RG-286-6640</Url>
      <Description>2020RG-286-6640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C808F-A61F-43AB-A1D9-ED30D31CCB63}">
  <ds:schemaRefs>
    <ds:schemaRef ds:uri="http://schemas.microsoft.com/sharepoint/events"/>
  </ds:schemaRefs>
</ds:datastoreItem>
</file>

<file path=customXml/itemProps2.xml><?xml version="1.0" encoding="utf-8"?>
<ds:datastoreItem xmlns:ds="http://schemas.openxmlformats.org/officeDocument/2006/customXml" ds:itemID="{D0D842F4-D8BA-486C-B137-385D31476978}">
  <ds:schemaRefs>
    <ds:schemaRef ds:uri="office.server.policy"/>
  </ds:schemaRefs>
</ds:datastoreItem>
</file>

<file path=customXml/itemProps3.xml><?xml version="1.0" encoding="utf-8"?>
<ds:datastoreItem xmlns:ds="http://schemas.openxmlformats.org/officeDocument/2006/customXml" ds:itemID="{AF6AEA81-6E90-4D93-BA7C-000FC9F5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2CFC04-BC81-4C8C-AC60-BA764DCF5037}">
  <ds:schemaRefs>
    <ds:schemaRef ds:uri="http://schemas.microsoft.com/sharepoint/v3/contenttype/forms"/>
  </ds:schemaRefs>
</ds:datastoreItem>
</file>

<file path=customXml/itemProps5.xml><?xml version="1.0" encoding="utf-8"?>
<ds:datastoreItem xmlns:ds="http://schemas.openxmlformats.org/officeDocument/2006/customXml" ds:itemID="{86F06449-81AB-4021-A0BA-C3E0F00F85A6}">
  <ds:schemaRef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sharepoint/v4"/>
    <ds:schemaRef ds:uri="http://www.w3.org/XML/1998/namespace"/>
    <ds:schemaRef ds:uri="http://purl.org/dc/dcmitype/"/>
  </ds:schemaRefs>
</ds:datastoreItem>
</file>

<file path=customXml/itemProps6.xml><?xml version="1.0" encoding="utf-8"?>
<ds:datastoreItem xmlns:ds="http://schemas.openxmlformats.org/officeDocument/2006/customXml" ds:itemID="{69F5DDD3-12F2-44D6-AAAE-28DA7F8F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Report.dotm</Template>
  <TotalTime>3</TotalTime>
  <Pages>5</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Deductible Gift Recipient (DGR) Reform - Requiring DGRs to be registered as charities - FAQ</vt:lpstr>
    </vt:vector>
  </TitlesOfParts>
  <Company>Australian Government - The Treasury</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Deductible Gift Recipient (DGR) Reform - Requiring DGRs to be registered as charities - FAQ</dc:title>
  <dc:subject/>
  <dc:creator>Treasury</dc:creator>
  <cp:keywords/>
  <dc:description/>
  <cp:lastModifiedBy>Ferreira, Hayley</cp:lastModifiedBy>
  <cp:revision>4</cp:revision>
  <cp:lastPrinted>2020-01-14T02:28:00Z</cp:lastPrinted>
  <dcterms:created xsi:type="dcterms:W3CDTF">2020-11-29T23:25:00Z</dcterms:created>
  <dcterms:modified xsi:type="dcterms:W3CDTF">2020-11-30T22:26:00Z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0x01010036BB8DE7EC542E42A8B2E98CC20CB6970071FCEF99DE29FA4F97AF911AE05004EA</vt:lpwstr>
  </property>
  <property fmtid="{D5CDD505-2E9C-101B-9397-08002B2CF9AE}" pid="3" name="TSYRecordClass">
    <vt:lpwstr>59;#TSY RA-9278 - Destroy 30 years after action completed|c086dcfc-5e12-4afb-9fc8-394791410cc9</vt:lpwstr>
  </property>
  <property fmtid="{D5CDD505-2E9C-101B-9397-08002B2CF9AE}" pid="4" name="TSYTopic">
    <vt:lpwstr/>
  </property>
  <property fmtid="{D5CDD505-2E9C-101B-9397-08002B2CF9AE}" pid="5" name="_dlc_DocIdItemGuid">
    <vt:lpwstr>6714971a-bb2b-4b42-8c72-55d16918b102</vt:lpwstr>
  </property>
</Properties>
</file>