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07F4BB" w14:textId="5D6A6D8D" w:rsidR="00F109D4" w:rsidRPr="00731FEA" w:rsidRDefault="00164B9E" w:rsidP="00647BB7">
      <w:pPr>
        <w:pStyle w:val="Heading1"/>
        <w:spacing w:after="360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EXPOSURE DRAFT </w:t>
      </w:r>
      <w:r w:rsidR="00F109D4" w:rsidRPr="00731FEA">
        <w:rPr>
          <w:rFonts w:ascii="Times New Roman" w:hAnsi="Times New Roman"/>
          <w:sz w:val="24"/>
          <w:szCs w:val="24"/>
        </w:rPr>
        <w:t>EXPLANATORY STATEMENT</w:t>
      </w:r>
    </w:p>
    <w:p w14:paraId="49F8CF2B" w14:textId="77777777" w:rsidR="00F109D4" w:rsidRDefault="000B213A" w:rsidP="007B251F">
      <w:pPr>
        <w:spacing w:before="240" w:after="0"/>
        <w:jc w:val="center"/>
        <w:rPr>
          <w:i/>
        </w:rPr>
      </w:pPr>
      <w:r>
        <w:rPr>
          <w:i/>
        </w:rPr>
        <w:t>Corporations Act 2001</w:t>
      </w:r>
    </w:p>
    <w:p w14:paraId="693090BE" w14:textId="38BB6592" w:rsidR="000B213A" w:rsidRDefault="000B213A" w:rsidP="007B251F">
      <w:pPr>
        <w:spacing w:before="0" w:after="0"/>
        <w:jc w:val="center"/>
        <w:rPr>
          <w:i/>
        </w:rPr>
      </w:pPr>
      <w:r>
        <w:rPr>
          <w:i/>
        </w:rPr>
        <w:t>National Con</w:t>
      </w:r>
      <w:r w:rsidR="001C0E28">
        <w:rPr>
          <w:i/>
        </w:rPr>
        <w:t>sumer Credit Protection Act 2009</w:t>
      </w:r>
    </w:p>
    <w:p w14:paraId="072DA6FD" w14:textId="77777777" w:rsidR="000B213A" w:rsidRDefault="000B213A" w:rsidP="007B251F">
      <w:pPr>
        <w:spacing w:before="0" w:after="0"/>
        <w:jc w:val="center"/>
        <w:rPr>
          <w:i/>
        </w:rPr>
      </w:pPr>
      <w:r>
        <w:rPr>
          <w:i/>
        </w:rPr>
        <w:t>Corporations (Fees) Act 2001</w:t>
      </w:r>
    </w:p>
    <w:p w14:paraId="7D6BE2D7" w14:textId="77777777" w:rsidR="000B213A" w:rsidRDefault="000B213A" w:rsidP="00E8565F">
      <w:pPr>
        <w:spacing w:before="0" w:after="240"/>
        <w:jc w:val="center"/>
        <w:rPr>
          <w:i/>
        </w:rPr>
      </w:pPr>
      <w:r>
        <w:rPr>
          <w:i/>
        </w:rPr>
        <w:t>National Consumer Credit Protection (Fees) Act 2009</w:t>
      </w:r>
    </w:p>
    <w:p w14:paraId="2EEA5562" w14:textId="60326379" w:rsidR="00F109D4" w:rsidRPr="00503E44" w:rsidRDefault="00E8565F" w:rsidP="003F775B">
      <w:pPr>
        <w:tabs>
          <w:tab w:val="left" w:pos="1418"/>
        </w:tabs>
        <w:spacing w:before="0" w:after="240"/>
        <w:jc w:val="center"/>
        <w:rPr>
          <w:i/>
        </w:rPr>
      </w:pPr>
      <w:r>
        <w:rPr>
          <w:i/>
        </w:rPr>
        <w:t>Financial Sector Reform (Hayne Royal Commission Response—Protecting Consumers (2020 Measures)) Regulations 2021: breach reporting</w:t>
      </w:r>
    </w:p>
    <w:p w14:paraId="51A87923" w14:textId="7E95C22E" w:rsidR="00C33BCC" w:rsidRDefault="00C33BCC" w:rsidP="00647BB7">
      <w:pPr>
        <w:spacing w:before="240"/>
      </w:pPr>
      <w:r>
        <w:t xml:space="preserve">The </w:t>
      </w:r>
      <w:r w:rsidRPr="00C33BCC">
        <w:rPr>
          <w:i/>
        </w:rPr>
        <w:t>Corporations Act 2001</w:t>
      </w:r>
      <w:r>
        <w:t xml:space="preserve"> (Corporations Act) provides for the regulation of corporations and fin</w:t>
      </w:r>
      <w:r w:rsidR="00E62184">
        <w:t xml:space="preserve">ancial services. </w:t>
      </w:r>
      <w:r>
        <w:t>The</w:t>
      </w:r>
      <w:r w:rsidR="00E62184">
        <w:t xml:space="preserve"> </w:t>
      </w:r>
      <w:r w:rsidR="00E62184" w:rsidRPr="00E62184">
        <w:rPr>
          <w:i/>
        </w:rPr>
        <w:t xml:space="preserve">National Consumer </w:t>
      </w:r>
      <w:r w:rsidR="00E62184">
        <w:rPr>
          <w:i/>
        </w:rPr>
        <w:t>Credit Protection Act </w:t>
      </w:r>
      <w:r w:rsidR="00E62184" w:rsidRPr="00E62184">
        <w:rPr>
          <w:i/>
        </w:rPr>
        <w:t>2009</w:t>
      </w:r>
      <w:r w:rsidR="00E62184">
        <w:t xml:space="preserve"> (Credit Act) establishes a national consumer credit regime </w:t>
      </w:r>
      <w:r w:rsidR="00B72135">
        <w:t xml:space="preserve">that </w:t>
      </w:r>
      <w:r w:rsidR="00EA4C54">
        <w:t>provides for the regulation of</w:t>
      </w:r>
      <w:r w:rsidR="00E62184">
        <w:t xml:space="preserve"> credit activities. </w:t>
      </w:r>
      <w:r w:rsidR="00E864E5">
        <w:t xml:space="preserve">The </w:t>
      </w:r>
      <w:r w:rsidR="00E864E5" w:rsidRPr="00E864E5">
        <w:rPr>
          <w:i/>
        </w:rPr>
        <w:t>Corporations (Fees) Act 2001</w:t>
      </w:r>
      <w:r w:rsidR="00E864E5">
        <w:t xml:space="preserve"> (Corporations Fees Act) and the </w:t>
      </w:r>
      <w:r w:rsidR="00E864E5" w:rsidRPr="00E864E5">
        <w:rPr>
          <w:i/>
        </w:rPr>
        <w:t>National Consumer Credit Protection (Fees) Act 2009</w:t>
      </w:r>
      <w:r w:rsidR="00E864E5">
        <w:t xml:space="preserve"> </w:t>
      </w:r>
      <w:r w:rsidR="004A7191">
        <w:t>(Credit Fees </w:t>
      </w:r>
      <w:r w:rsidR="00E864E5">
        <w:t xml:space="preserve">Act) </w:t>
      </w:r>
      <w:r w:rsidR="00B72135">
        <w:t>impose</w:t>
      </w:r>
      <w:r w:rsidR="00E864E5">
        <w:t xml:space="preserve"> fees for matters under the Corporations Act a</w:t>
      </w:r>
      <w:r w:rsidR="004A7191">
        <w:t>nd the Credit Act respectively.</w:t>
      </w:r>
    </w:p>
    <w:p w14:paraId="6EDA4D11" w14:textId="670BE9A3" w:rsidR="00F109D4" w:rsidRDefault="00C55D29" w:rsidP="00647BB7">
      <w:pPr>
        <w:spacing w:before="240"/>
      </w:pPr>
      <w:r w:rsidRPr="00503E44">
        <w:t xml:space="preserve">Section </w:t>
      </w:r>
      <w:r w:rsidR="004D00FD">
        <w:t>1364</w:t>
      </w:r>
      <w:r w:rsidR="005E4BAC">
        <w:t xml:space="preserve"> </w:t>
      </w:r>
      <w:r w:rsidR="00F109D4" w:rsidRPr="00503E44">
        <w:t xml:space="preserve">of the </w:t>
      </w:r>
      <w:r w:rsidR="00E864E5">
        <w:t>Corporations Act</w:t>
      </w:r>
      <w:r w:rsidR="004D00FD">
        <w:t xml:space="preserve">, section 329 of the </w:t>
      </w:r>
      <w:r w:rsidR="00E864E5">
        <w:t xml:space="preserve">Credit Act, section 8 of the Corporations Fees Act </w:t>
      </w:r>
      <w:r w:rsidR="004D00FD">
        <w:t xml:space="preserve">and </w:t>
      </w:r>
      <w:r w:rsidR="00540350">
        <w:t>section </w:t>
      </w:r>
      <w:r w:rsidR="00E864E5">
        <w:t xml:space="preserve">10 of the Credit Fees Act </w:t>
      </w:r>
      <w:r w:rsidR="00F109D4" w:rsidRPr="00503E44">
        <w:t>p</w:t>
      </w:r>
      <w:r w:rsidR="00DD36A9">
        <w:t>rovide</w:t>
      </w:r>
      <w:r w:rsidR="00F109D4" w:rsidRPr="00503E44">
        <w:t xml:space="preserve"> that the Governor-General may make regulations prescribing matters required or permitted by the </w:t>
      </w:r>
      <w:r w:rsidR="007B251F">
        <w:t xml:space="preserve">respective </w:t>
      </w:r>
      <w:r w:rsidR="00F109D4" w:rsidRPr="00503E44">
        <w:t>Act to be prescribed, or necessary or convenient to be prescribed for carrying out or giving effect to the</w:t>
      </w:r>
      <w:r w:rsidR="00540350">
        <w:t xml:space="preserve"> respective</w:t>
      </w:r>
      <w:r w:rsidR="00F109D4" w:rsidRPr="00503E44">
        <w:t xml:space="preserve"> Act.</w:t>
      </w:r>
    </w:p>
    <w:p w14:paraId="47CB756B" w14:textId="7722FFD9" w:rsidR="001F3FB7" w:rsidRDefault="00E8565F" w:rsidP="00647BB7">
      <w:pPr>
        <w:spacing w:before="240"/>
      </w:pPr>
      <w:r>
        <w:t xml:space="preserve">The purpose of the </w:t>
      </w:r>
      <w:r w:rsidRPr="0073253F">
        <w:rPr>
          <w:i/>
        </w:rPr>
        <w:t xml:space="preserve">Financial Sector Reform (Hayne Royal Commission Response—Protecting Consumers </w:t>
      </w:r>
      <w:r w:rsidR="0073253F" w:rsidRPr="0073253F">
        <w:rPr>
          <w:i/>
        </w:rPr>
        <w:t>(2020</w:t>
      </w:r>
      <w:r w:rsidRPr="0073253F">
        <w:rPr>
          <w:i/>
        </w:rPr>
        <w:t xml:space="preserve"> Measures)) Regulations 2021:</w:t>
      </w:r>
      <w:r w:rsidR="00DD36A9" w:rsidRPr="0073253F">
        <w:rPr>
          <w:i/>
        </w:rPr>
        <w:t xml:space="preserve"> </w:t>
      </w:r>
      <w:r w:rsidR="0073253F" w:rsidRPr="0073253F">
        <w:rPr>
          <w:i/>
        </w:rPr>
        <w:t>breach reporting</w:t>
      </w:r>
      <w:r w:rsidR="0073253F">
        <w:t xml:space="preserve"> </w:t>
      </w:r>
      <w:r w:rsidR="004A7191">
        <w:t>(the </w:t>
      </w:r>
      <w:r w:rsidR="00DD36A9">
        <w:t xml:space="preserve">Regulations) </w:t>
      </w:r>
      <w:r w:rsidR="002D4DAB">
        <w:t xml:space="preserve">is to support the amendments </w:t>
      </w:r>
      <w:r w:rsidR="004A4D0D">
        <w:t xml:space="preserve">in Schedule 11 to the </w:t>
      </w:r>
      <w:r w:rsidR="004A4D0D" w:rsidRPr="004A4D0D">
        <w:rPr>
          <w:i/>
        </w:rPr>
        <w:t>Financial Sector Reform (Hayne Royal Commission Response) Act 2020</w:t>
      </w:r>
      <w:r w:rsidR="00646E07">
        <w:t xml:space="preserve"> (the Act).</w:t>
      </w:r>
    </w:p>
    <w:p w14:paraId="0EEE166F" w14:textId="3AE9F1FC" w:rsidR="00C33BCC" w:rsidRDefault="009E0228" w:rsidP="009E0228">
      <w:pPr>
        <w:spacing w:before="240"/>
      </w:pPr>
      <w:r>
        <w:t>S</w:t>
      </w:r>
      <w:r w:rsidR="001F3FB7">
        <w:t xml:space="preserve">chedule 11 to the Act </w:t>
      </w:r>
      <w:r w:rsidR="00C33BCC">
        <w:t>implement</w:t>
      </w:r>
      <w:r w:rsidR="00F16413">
        <w:t>s</w:t>
      </w:r>
      <w:r w:rsidR="00C33BCC">
        <w:t xml:space="preserve"> the Government’s response to recommendations 1.6, 2.8 and 7.2 of the Royal Commission into Misconduct in the Banking, Superannuation and Financial Services Industry by: </w:t>
      </w:r>
    </w:p>
    <w:p w14:paraId="45C10623" w14:textId="560067EE" w:rsidR="00C33BCC" w:rsidRDefault="00C33BCC" w:rsidP="009E0228">
      <w:pPr>
        <w:pStyle w:val="Bullet"/>
      </w:pPr>
      <w:r>
        <w:t>clarifying and s</w:t>
      </w:r>
      <w:r w:rsidR="009E0228">
        <w:t>trengthen</w:t>
      </w:r>
      <w:r>
        <w:t>ing</w:t>
      </w:r>
      <w:r w:rsidR="009E0228">
        <w:t xml:space="preserve"> </w:t>
      </w:r>
      <w:r w:rsidR="00891AE6">
        <w:t>the breach reporting regime</w:t>
      </w:r>
      <w:r w:rsidR="00C556AE">
        <w:t xml:space="preserve"> for financial services licensees in the Co</w:t>
      </w:r>
      <w:r w:rsidR="009E0228">
        <w:t>rporations Act</w:t>
      </w:r>
      <w:r>
        <w:t>;</w:t>
      </w:r>
    </w:p>
    <w:p w14:paraId="1B52D3F0" w14:textId="229F4CC8" w:rsidR="009E0228" w:rsidRDefault="009E0228" w:rsidP="009E0228">
      <w:pPr>
        <w:pStyle w:val="Bullet"/>
      </w:pPr>
      <w:r>
        <w:t>int</w:t>
      </w:r>
      <w:r w:rsidR="00C33BCC">
        <w:t>roducing</w:t>
      </w:r>
      <w:r>
        <w:t xml:space="preserve"> a comparable </w:t>
      </w:r>
      <w:r w:rsidR="00533604">
        <w:t xml:space="preserve">breach reporting </w:t>
      </w:r>
      <w:r w:rsidR="00891AE6">
        <w:t>regime</w:t>
      </w:r>
      <w:r w:rsidR="00533604">
        <w:t xml:space="preserve"> for</w:t>
      </w:r>
      <w:r>
        <w:t xml:space="preserve"> cred</w:t>
      </w:r>
      <w:r w:rsidR="00C33BCC">
        <w:t xml:space="preserve">it licensees in the Credit Act; and </w:t>
      </w:r>
    </w:p>
    <w:p w14:paraId="342C75DC" w14:textId="7D67A085" w:rsidR="00C33BCC" w:rsidRDefault="00C33BCC" w:rsidP="009E0228">
      <w:pPr>
        <w:pStyle w:val="Bullet"/>
      </w:pPr>
      <w:r>
        <w:t>requiring financial services licensees and credit licensees to report serious compliance concerns about financial advisers and mortgage brokers respectively.</w:t>
      </w:r>
    </w:p>
    <w:p w14:paraId="1A844D2F" w14:textId="54DB9460" w:rsidR="001E074C" w:rsidRDefault="001E074C" w:rsidP="00FD3561">
      <w:pPr>
        <w:spacing w:before="240"/>
      </w:pPr>
      <w:r>
        <w:t>T</w:t>
      </w:r>
      <w:r w:rsidR="00C713AA">
        <w:t>o support these amendments, the</w:t>
      </w:r>
      <w:r>
        <w:t xml:space="preserve"> Regulations </w:t>
      </w:r>
      <w:r w:rsidR="003518DD">
        <w:t>amend the</w:t>
      </w:r>
      <w:r w:rsidR="00FD3561">
        <w:t xml:space="preserve"> </w:t>
      </w:r>
      <w:r w:rsidR="00F16D92">
        <w:rPr>
          <w:i/>
        </w:rPr>
        <w:t>Corporations Regulations </w:t>
      </w:r>
      <w:r w:rsidR="006B583F" w:rsidRPr="006B583F">
        <w:rPr>
          <w:i/>
        </w:rPr>
        <w:t>2001</w:t>
      </w:r>
      <w:r w:rsidR="003518DD">
        <w:t>,</w:t>
      </w:r>
      <w:r w:rsidR="00BB2EAC">
        <w:t xml:space="preserve"> the</w:t>
      </w:r>
      <w:r w:rsidR="00FD3561">
        <w:t xml:space="preserve"> </w:t>
      </w:r>
      <w:r w:rsidR="006B583F" w:rsidRPr="006B583F">
        <w:rPr>
          <w:i/>
        </w:rPr>
        <w:t>National Consumer Credit Protection Regulations 2010</w:t>
      </w:r>
      <w:r w:rsidR="003518DD">
        <w:rPr>
          <w:i/>
        </w:rPr>
        <w:t xml:space="preserve">, </w:t>
      </w:r>
      <w:r w:rsidR="00BB2EAC" w:rsidRPr="00BB2EAC">
        <w:t xml:space="preserve">the </w:t>
      </w:r>
      <w:r w:rsidR="003518DD">
        <w:rPr>
          <w:i/>
        </w:rPr>
        <w:t>Corporations (Fees) Regulations 2001</w:t>
      </w:r>
      <w:r w:rsidR="003518DD" w:rsidRPr="003518DD">
        <w:t xml:space="preserve"> and</w:t>
      </w:r>
      <w:r w:rsidR="00BB2EAC">
        <w:t xml:space="preserve"> the</w:t>
      </w:r>
      <w:r w:rsidR="003518DD">
        <w:rPr>
          <w:i/>
        </w:rPr>
        <w:t xml:space="preserve"> National Consumer Credit Protection (Fees) Regulations 2010</w:t>
      </w:r>
      <w:r w:rsidR="00067233">
        <w:rPr>
          <w:i/>
        </w:rPr>
        <w:t xml:space="preserve"> </w:t>
      </w:r>
      <w:r>
        <w:t>to:</w:t>
      </w:r>
    </w:p>
    <w:p w14:paraId="625EC3BD" w14:textId="1FB6AD9A" w:rsidR="00F16413" w:rsidRDefault="00F16413" w:rsidP="00F16413">
      <w:pPr>
        <w:pStyle w:val="Bullet"/>
      </w:pPr>
      <w:r>
        <w:lastRenderedPageBreak/>
        <w:t xml:space="preserve">prescribe civil penalty provisions that are </w:t>
      </w:r>
      <w:r w:rsidRPr="00F16D92">
        <w:rPr>
          <w:i/>
        </w:rPr>
        <w:t>not</w:t>
      </w:r>
      <w:r>
        <w:t xml:space="preserve"> taken to be significant (and </w:t>
      </w:r>
      <w:r w:rsidR="00EA4C54">
        <w:t>therefore</w:t>
      </w:r>
      <w:r w:rsidR="00522E64">
        <w:t xml:space="preserve"> </w:t>
      </w:r>
      <w:r w:rsidR="00D30124">
        <w:t>may not be</w:t>
      </w:r>
      <w:r w:rsidR="00EA4C54">
        <w:t xml:space="preserve"> </w:t>
      </w:r>
      <w:r>
        <w:t xml:space="preserve">reportable) under the relevant breach reporting </w:t>
      </w:r>
      <w:r w:rsidR="00891AE6">
        <w:t xml:space="preserve">regime </w:t>
      </w:r>
      <w:r>
        <w:t>if those provisions are contravened;</w:t>
      </w:r>
    </w:p>
    <w:p w14:paraId="4B0AFF88" w14:textId="7DD3F7FD" w:rsidR="001E074C" w:rsidRDefault="001E074C" w:rsidP="001E074C">
      <w:pPr>
        <w:pStyle w:val="Bullet"/>
      </w:pPr>
      <w:r>
        <w:t>ensure certain</w:t>
      </w:r>
      <w:r w:rsidR="004568E6">
        <w:t xml:space="preserve"> breach reporting</w:t>
      </w:r>
      <w:r>
        <w:t xml:space="preserve"> offences and civil penalty provisions are subje</w:t>
      </w:r>
      <w:r w:rsidR="003167E8">
        <w:t xml:space="preserve">ct to </w:t>
      </w:r>
      <w:r w:rsidR="004568E6">
        <w:t>an infringement notice</w:t>
      </w:r>
      <w:r w:rsidR="003167E8">
        <w:t>;</w:t>
      </w:r>
      <w:r w:rsidR="00F16413">
        <w:t xml:space="preserve"> and</w:t>
      </w:r>
    </w:p>
    <w:p w14:paraId="7E7EC7B4" w14:textId="4949D6F5" w:rsidR="003167E8" w:rsidRDefault="00114EDC" w:rsidP="00526A8D">
      <w:pPr>
        <w:pStyle w:val="Bullet"/>
      </w:pPr>
      <w:r>
        <w:t>m</w:t>
      </w:r>
      <w:r w:rsidR="00F16D92">
        <w:t>ake</w:t>
      </w:r>
      <w:r>
        <w:t xml:space="preserve"> minor</w:t>
      </w:r>
      <w:r w:rsidR="00F16D92">
        <w:t xml:space="preserve"> and technical</w:t>
      </w:r>
      <w:r>
        <w:t xml:space="preserve"> amendments, including </w:t>
      </w:r>
      <w:r w:rsidR="003167E8">
        <w:t>updat</w:t>
      </w:r>
      <w:r>
        <w:t>ing</w:t>
      </w:r>
      <w:r w:rsidR="00EA4C54">
        <w:t xml:space="preserve"> references to the Corporations Act.</w:t>
      </w:r>
    </w:p>
    <w:p w14:paraId="4AFF83A2" w14:textId="20373557" w:rsidR="00C37E05" w:rsidRDefault="00136764" w:rsidP="002C226C">
      <w:pPr>
        <w:spacing w:before="240"/>
      </w:pPr>
      <w:r>
        <w:t>The respective</w:t>
      </w:r>
      <w:r w:rsidR="00FD3561">
        <w:t xml:space="preserve"> Acts do not specify any conditions that need to be met before the power to make the Regulations may be exercised.</w:t>
      </w:r>
    </w:p>
    <w:p w14:paraId="4769AD0D" w14:textId="77777777" w:rsidR="002C226C" w:rsidRDefault="002C226C" w:rsidP="002C226C">
      <w:pPr>
        <w:spacing w:before="240"/>
      </w:pPr>
      <w:r>
        <w:t xml:space="preserve">Details of the </w:t>
      </w:r>
      <w:r w:rsidR="00EB2AEF">
        <w:t>Regulations are set out in</w:t>
      </w:r>
      <w:r w:rsidR="00FD3561">
        <w:t xml:space="preserve"> the</w:t>
      </w:r>
      <w:r>
        <w:t xml:space="preserve"> </w:t>
      </w:r>
      <w:r w:rsidRPr="00317816">
        <w:rPr>
          <w:u w:val="single"/>
        </w:rPr>
        <w:t>Attachment</w:t>
      </w:r>
      <w:r w:rsidR="00FD3561" w:rsidRPr="007D5278">
        <w:t>.</w:t>
      </w:r>
    </w:p>
    <w:p w14:paraId="3C20A556" w14:textId="2013AE9B" w:rsidR="002C226C" w:rsidRDefault="002C226C" w:rsidP="00647BB7">
      <w:pPr>
        <w:spacing w:before="240"/>
      </w:pPr>
      <w:r>
        <w:t>The</w:t>
      </w:r>
      <w:r w:rsidRPr="00D3322F">
        <w:t xml:space="preserve"> Regulation</w:t>
      </w:r>
      <w:r>
        <w:t>s are</w:t>
      </w:r>
      <w:r w:rsidRPr="00D3322F">
        <w:t xml:space="preserve"> a legislative instrument for the purposes of the</w:t>
      </w:r>
      <w:r w:rsidRPr="00322524">
        <w:t xml:space="preserve"> </w:t>
      </w:r>
      <w:r w:rsidR="00C713AA">
        <w:rPr>
          <w:i/>
        </w:rPr>
        <w:t>Legislation Act </w:t>
      </w:r>
      <w:r w:rsidRPr="00D3322F">
        <w:rPr>
          <w:i/>
        </w:rPr>
        <w:t>2003</w:t>
      </w:r>
      <w:r w:rsidRPr="00D3322F">
        <w:t>.</w:t>
      </w:r>
    </w:p>
    <w:p w14:paraId="4B73B75F" w14:textId="1AF4CAC9" w:rsidR="009143A0" w:rsidRPr="00647BB7" w:rsidRDefault="00FD3561" w:rsidP="00647BB7">
      <w:pPr>
        <w:spacing w:before="240"/>
        <w:rPr>
          <w:i/>
        </w:rPr>
      </w:pPr>
      <w:r>
        <w:t>The Regulations commence</w:t>
      </w:r>
      <w:r w:rsidR="00F109D4" w:rsidRPr="00503E44">
        <w:t xml:space="preserve"> on </w:t>
      </w:r>
      <w:r>
        <w:t>1 October 2021</w:t>
      </w:r>
      <w:r w:rsidR="00522E64">
        <w:t>, in line with the commencement of Schedule 11 to the Act.</w:t>
      </w:r>
    </w:p>
    <w:p w14:paraId="314E9D44" w14:textId="77777777" w:rsidR="00EA4DD8" w:rsidRDefault="00FD3561" w:rsidP="00EA4DD8">
      <w:pPr>
        <w:pageBreakBefore/>
        <w:spacing w:before="240"/>
        <w:jc w:val="right"/>
        <w:rPr>
          <w:b/>
          <w:u w:val="single"/>
        </w:rPr>
      </w:pPr>
      <w:r>
        <w:rPr>
          <w:b/>
          <w:u w:val="single"/>
        </w:rPr>
        <w:lastRenderedPageBreak/>
        <w:t>ATTACHMENT</w:t>
      </w:r>
    </w:p>
    <w:p w14:paraId="2FF406CE" w14:textId="1B1766DB" w:rsidR="00EA4DD8" w:rsidRDefault="00EA4DD8" w:rsidP="00EA4DD8">
      <w:pPr>
        <w:spacing w:before="240"/>
        <w:ind w:right="91"/>
        <w:rPr>
          <w:b/>
          <w:bCs/>
          <w:szCs w:val="24"/>
          <w:u w:val="single"/>
        </w:rPr>
      </w:pPr>
      <w:r>
        <w:rPr>
          <w:b/>
          <w:bCs/>
          <w:u w:val="single"/>
        </w:rPr>
        <w:t xml:space="preserve">Details of the </w:t>
      </w:r>
      <w:r w:rsidR="00067233">
        <w:rPr>
          <w:b/>
          <w:i/>
          <w:u w:val="single"/>
        </w:rPr>
        <w:t>Financial Sector Reform (Hayne Royal Commission Response—Protecting Consumers (2020 Measures)) Regulations 2021: breach reporting</w:t>
      </w:r>
      <w:r>
        <w:rPr>
          <w:b/>
          <w:bCs/>
          <w:u w:val="single"/>
        </w:rPr>
        <w:t xml:space="preserve"> </w:t>
      </w:r>
    </w:p>
    <w:p w14:paraId="3FB5E327" w14:textId="415A9380" w:rsidR="00EA4DD8" w:rsidRDefault="00067233" w:rsidP="00EA4DD8">
      <w:pPr>
        <w:spacing w:before="240"/>
        <w:rPr>
          <w:rFonts w:ascii="Calibri" w:hAnsi="Calibri"/>
          <w:sz w:val="22"/>
          <w:szCs w:val="22"/>
          <w:u w:val="single"/>
          <w:lang w:eastAsia="en-US"/>
        </w:rPr>
      </w:pPr>
      <w:r>
        <w:rPr>
          <w:u w:val="single"/>
        </w:rPr>
        <w:t>Section 1 – Name</w:t>
      </w:r>
    </w:p>
    <w:p w14:paraId="3FD83299" w14:textId="4C8EF53D" w:rsidR="00EA4DD8" w:rsidRDefault="00067233" w:rsidP="00EA4DD8">
      <w:pPr>
        <w:spacing w:before="240"/>
      </w:pPr>
      <w:r>
        <w:t>T</w:t>
      </w:r>
      <w:r w:rsidR="00EA4DD8">
        <w:t xml:space="preserve">he name of the </w:t>
      </w:r>
      <w:r w:rsidR="00566580">
        <w:t>instrument</w:t>
      </w:r>
      <w:r w:rsidR="00EA4DD8">
        <w:t xml:space="preserve"> is the </w:t>
      </w:r>
      <w:r>
        <w:rPr>
          <w:i/>
        </w:rPr>
        <w:t>Financial Sector Reform (Hayne Royal Commission Response—Protecting Consumers (2020 Measures)) Regulations 2021: breach reporting</w:t>
      </w:r>
      <w:r>
        <w:t xml:space="preserve"> </w:t>
      </w:r>
      <w:r w:rsidR="00EA4DD8">
        <w:t>(the Regulations).</w:t>
      </w:r>
    </w:p>
    <w:p w14:paraId="6419F2D8" w14:textId="77777777" w:rsidR="00EA4DD8" w:rsidRDefault="00EA4DD8" w:rsidP="00EA4DD8">
      <w:pPr>
        <w:spacing w:before="240"/>
        <w:ind w:right="91"/>
        <w:rPr>
          <w:u w:val="single"/>
        </w:rPr>
      </w:pPr>
      <w:r>
        <w:rPr>
          <w:u w:val="single"/>
        </w:rPr>
        <w:t>Section 2 – Commencement</w:t>
      </w:r>
    </w:p>
    <w:p w14:paraId="52862B73" w14:textId="0887EB3A" w:rsidR="00EA4DD8" w:rsidRDefault="00067233" w:rsidP="00EA4DD8">
      <w:pPr>
        <w:spacing w:before="240"/>
        <w:ind w:right="91"/>
      </w:pPr>
      <w:r>
        <w:t>T</w:t>
      </w:r>
      <w:r w:rsidR="00EA4DD8">
        <w:t xml:space="preserve">he Regulations commence on </w:t>
      </w:r>
      <w:r>
        <w:t>1 October 2021.</w:t>
      </w:r>
    </w:p>
    <w:p w14:paraId="003DB299" w14:textId="77777777" w:rsidR="00EA4DD8" w:rsidRDefault="00EA4DD8" w:rsidP="00EA4DD8">
      <w:pPr>
        <w:spacing w:before="240"/>
        <w:ind w:right="91"/>
        <w:rPr>
          <w:u w:val="single"/>
        </w:rPr>
      </w:pPr>
      <w:r>
        <w:rPr>
          <w:u w:val="single"/>
        </w:rPr>
        <w:t>Section 3 – Authority</w:t>
      </w:r>
    </w:p>
    <w:p w14:paraId="59F94690" w14:textId="75523318" w:rsidR="00EA4DD8" w:rsidRDefault="00EA4DD8" w:rsidP="00EA4DD8">
      <w:pPr>
        <w:spacing w:before="240"/>
        <w:ind w:right="91"/>
      </w:pPr>
      <w:r>
        <w:t xml:space="preserve">The Regulations are made under the </w:t>
      </w:r>
      <w:r w:rsidR="00067233" w:rsidRPr="004D00FD">
        <w:rPr>
          <w:i/>
        </w:rPr>
        <w:t>Corporations Act 2001</w:t>
      </w:r>
      <w:r w:rsidR="00067233" w:rsidRPr="00503E44">
        <w:t xml:space="preserve"> </w:t>
      </w:r>
      <w:r w:rsidR="00533604">
        <w:t>(</w:t>
      </w:r>
      <w:r w:rsidR="00067233">
        <w:t xml:space="preserve">Corporations Act), the </w:t>
      </w:r>
      <w:r w:rsidR="00067233" w:rsidRPr="004D00FD">
        <w:rPr>
          <w:i/>
        </w:rPr>
        <w:t>National Con</w:t>
      </w:r>
      <w:r w:rsidR="00C07F72">
        <w:rPr>
          <w:i/>
        </w:rPr>
        <w:t>sumer Credit Protection Act 2009</w:t>
      </w:r>
      <w:r w:rsidR="00533604">
        <w:t xml:space="preserve"> (</w:t>
      </w:r>
      <w:r w:rsidR="00067233">
        <w:t xml:space="preserve">Credit Act), the </w:t>
      </w:r>
      <w:r w:rsidR="00067233" w:rsidRPr="00DD36A9">
        <w:rPr>
          <w:i/>
        </w:rPr>
        <w:t>Corporations (Fees) Act 2001</w:t>
      </w:r>
      <w:r w:rsidR="00067233">
        <w:t xml:space="preserve"> </w:t>
      </w:r>
      <w:r w:rsidR="00566580">
        <w:t xml:space="preserve">(Corporations Fees Act) </w:t>
      </w:r>
      <w:r w:rsidR="00067233">
        <w:t xml:space="preserve">and the </w:t>
      </w:r>
      <w:r w:rsidR="00067233" w:rsidRPr="00DD36A9">
        <w:rPr>
          <w:i/>
        </w:rPr>
        <w:t>National Consumer Credit Protection (Fees) Act 2009</w:t>
      </w:r>
      <w:r w:rsidR="00566580">
        <w:rPr>
          <w:i/>
        </w:rPr>
        <w:t xml:space="preserve"> </w:t>
      </w:r>
      <w:r w:rsidR="00566580">
        <w:t>(Credit Fees Act)</w:t>
      </w:r>
      <w:r w:rsidR="00533604">
        <w:t>.</w:t>
      </w:r>
    </w:p>
    <w:p w14:paraId="4B14D7E2" w14:textId="5F29BED7" w:rsidR="00EA4DD8" w:rsidRDefault="00067233" w:rsidP="00EA4DD8">
      <w:pPr>
        <w:spacing w:before="240"/>
        <w:ind w:right="91"/>
        <w:rPr>
          <w:u w:val="single"/>
        </w:rPr>
      </w:pPr>
      <w:r>
        <w:rPr>
          <w:u w:val="single"/>
        </w:rPr>
        <w:t>Section 4 – Schedules</w:t>
      </w:r>
    </w:p>
    <w:p w14:paraId="79AACB98" w14:textId="0F21AD79" w:rsidR="00EA4DD8" w:rsidRDefault="00067233" w:rsidP="00EA4DD8">
      <w:pPr>
        <w:spacing w:before="240" w:after="200"/>
        <w:ind w:right="91"/>
        <w:rPr>
          <w:u w:val="single"/>
        </w:rPr>
      </w:pPr>
      <w:r>
        <w:t>E</w:t>
      </w:r>
      <w:r w:rsidR="00EA4DD8">
        <w:t>ach ins</w:t>
      </w:r>
      <w:r w:rsidR="004B723C">
        <w:t>trument that is specified in a Schedule</w:t>
      </w:r>
      <w:r w:rsidR="00EA4DD8">
        <w:t xml:space="preserve"> to this instrument </w:t>
      </w:r>
      <w:r w:rsidR="004B723C">
        <w:t>is</w:t>
      </w:r>
      <w:r w:rsidR="00EA4DD8">
        <w:t xml:space="preserve"> amended or repealed as set out in the a</w:t>
      </w:r>
      <w:r w:rsidR="004B723C">
        <w:t>pplicable items in the Schedule concerned</w:t>
      </w:r>
      <w:r w:rsidR="00EA4DD8">
        <w:t xml:space="preserve">, and any other item in </w:t>
      </w:r>
      <w:r w:rsidR="004B723C">
        <w:t>a Schedule</w:t>
      </w:r>
      <w:r w:rsidR="00EA4DD8">
        <w:t xml:space="preserve"> to this instrument has effect according to its terms.</w:t>
      </w:r>
    </w:p>
    <w:p w14:paraId="14B70A4B" w14:textId="12B49906" w:rsidR="00482B81" w:rsidRPr="00D30124" w:rsidRDefault="00566580" w:rsidP="00D30124">
      <w:pPr>
        <w:spacing w:before="0" w:after="0"/>
        <w:rPr>
          <w:u w:val="single"/>
        </w:rPr>
      </w:pPr>
      <w:r>
        <w:rPr>
          <w:u w:val="single"/>
        </w:rPr>
        <w:t>Schedule 1 – Amendments</w:t>
      </w:r>
    </w:p>
    <w:p w14:paraId="38C3D53B" w14:textId="65A7F71C" w:rsidR="00067233" w:rsidRPr="00067233" w:rsidRDefault="00DC4268" w:rsidP="00067233">
      <w:pPr>
        <w:pStyle w:val="Heading1"/>
        <w:jc w:val="left"/>
        <w:rPr>
          <w:rFonts w:ascii="Times New Roman" w:hAnsi="Times New Roman"/>
          <w:i/>
          <w:color w:val="FF0000"/>
          <w:sz w:val="24"/>
          <w:u w:val="none"/>
        </w:rPr>
      </w:pPr>
      <w:r>
        <w:rPr>
          <w:rFonts w:ascii="Times New Roman" w:hAnsi="Times New Roman"/>
          <w:i/>
          <w:sz w:val="24"/>
          <w:u w:val="none"/>
        </w:rPr>
        <w:t>A</w:t>
      </w:r>
      <w:r w:rsidR="00067233" w:rsidRPr="00067233">
        <w:rPr>
          <w:rFonts w:ascii="Times New Roman" w:hAnsi="Times New Roman"/>
          <w:i/>
          <w:sz w:val="24"/>
          <w:u w:val="none"/>
        </w:rPr>
        <w:t>mendments</w:t>
      </w:r>
      <w:r>
        <w:rPr>
          <w:rFonts w:ascii="Times New Roman" w:hAnsi="Times New Roman"/>
          <w:i/>
          <w:sz w:val="24"/>
          <w:u w:val="none"/>
        </w:rPr>
        <w:t xml:space="preserve"> to the Corporations Regulations 2001</w:t>
      </w:r>
    </w:p>
    <w:p w14:paraId="5F34666B" w14:textId="54872A88" w:rsidR="00DF1D05" w:rsidRDefault="000A0423" w:rsidP="00DF1D05">
      <w:pPr>
        <w:pStyle w:val="Heading1"/>
        <w:jc w:val="left"/>
        <w:rPr>
          <w:rFonts w:ascii="Times New Roman" w:hAnsi="Times New Roman"/>
          <w:b w:val="0"/>
          <w:i/>
          <w:sz w:val="24"/>
          <w:u w:val="none"/>
        </w:rPr>
      </w:pPr>
      <w:r>
        <w:rPr>
          <w:rFonts w:ascii="Times New Roman" w:hAnsi="Times New Roman"/>
          <w:b w:val="0"/>
          <w:i/>
          <w:sz w:val="24"/>
          <w:u w:val="none"/>
        </w:rPr>
        <w:t>Civil</w:t>
      </w:r>
      <w:r w:rsidR="00DF1D05">
        <w:rPr>
          <w:rFonts w:ascii="Times New Roman" w:hAnsi="Times New Roman"/>
          <w:b w:val="0"/>
          <w:i/>
          <w:sz w:val="24"/>
          <w:u w:val="none"/>
        </w:rPr>
        <w:t xml:space="preserve"> penalty provisions that are not taken to be significant if contravened</w:t>
      </w:r>
    </w:p>
    <w:p w14:paraId="784A02D7" w14:textId="4940AA55" w:rsidR="00DF1D05" w:rsidRPr="002003F9" w:rsidRDefault="00ED11FC" w:rsidP="00DF1D05">
      <w:pPr>
        <w:spacing w:before="240" w:after="200"/>
        <w:ind w:right="91"/>
      </w:pPr>
      <w:r>
        <w:t>Item 8</w:t>
      </w:r>
      <w:r w:rsidR="00DF1D05">
        <w:t xml:space="preserve"> prescribes the following civil penalty provisions</w:t>
      </w:r>
      <w:r w:rsidR="0010336F">
        <w:t xml:space="preserve"> in the Corporations Act</w:t>
      </w:r>
      <w:r w:rsidR="00DF1D05">
        <w:t xml:space="preserve"> for the purposes of paragraph 912D(4)(b) of the Corporations Act:</w:t>
      </w:r>
    </w:p>
    <w:tbl>
      <w:tblPr>
        <w:tblStyle w:val="ListTable3"/>
        <w:tblW w:w="0" w:type="auto"/>
        <w:tblLook w:val="04A0" w:firstRow="1" w:lastRow="0" w:firstColumn="1" w:lastColumn="0" w:noHBand="0" w:noVBand="1"/>
      </w:tblPr>
      <w:tblGrid>
        <w:gridCol w:w="1721"/>
        <w:gridCol w:w="6575"/>
      </w:tblGrid>
      <w:tr w:rsidR="00DF1D05" w:rsidRPr="00A90A95" w14:paraId="7FD2F039" w14:textId="77777777" w:rsidTr="004A7F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4A5BE87E" w14:textId="5A2DB0BF" w:rsidR="00DF1D05" w:rsidRPr="004A7FB8" w:rsidRDefault="00DF1D05" w:rsidP="004A7FB8">
            <w:pPr>
              <w:keepNext/>
              <w:widowControl w:val="0"/>
              <w:spacing w:before="40" w:after="80"/>
              <w:rPr>
                <w:color w:val="auto"/>
                <w:sz w:val="22"/>
                <w:szCs w:val="22"/>
              </w:rPr>
            </w:pPr>
            <w:r w:rsidRPr="004A7FB8">
              <w:rPr>
                <w:color w:val="auto"/>
                <w:sz w:val="22"/>
                <w:szCs w:val="22"/>
              </w:rPr>
              <w:t>Provision</w:t>
            </w:r>
            <w:r w:rsidR="0010336F" w:rsidRPr="004A7FB8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</w:tcPr>
          <w:p w14:paraId="42F30350" w14:textId="77777777" w:rsidR="00DF1D05" w:rsidRPr="004A7FB8" w:rsidRDefault="00DF1D05" w:rsidP="004A7FB8">
            <w:pPr>
              <w:keepNext/>
              <w:widowControl w:val="0"/>
              <w:spacing w:before="40" w:after="8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4A7FB8">
              <w:rPr>
                <w:color w:val="auto"/>
                <w:sz w:val="22"/>
                <w:szCs w:val="22"/>
              </w:rPr>
              <w:t>Description</w:t>
            </w:r>
          </w:p>
        </w:tc>
      </w:tr>
      <w:tr w:rsidR="00DF1D05" w:rsidRPr="00A90A95" w14:paraId="6ECDEF44" w14:textId="77777777" w:rsidTr="004A7F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14:paraId="5A56A494" w14:textId="6F0D578F" w:rsidR="00DF1D05" w:rsidRPr="004A7FB8" w:rsidRDefault="0010336F" w:rsidP="004A7FB8">
            <w:pPr>
              <w:keepNext/>
              <w:widowControl w:val="0"/>
              <w:spacing w:before="40" w:after="80"/>
              <w:rPr>
                <w:b w:val="0"/>
                <w:sz w:val="22"/>
                <w:szCs w:val="22"/>
              </w:rPr>
            </w:pPr>
            <w:r w:rsidRPr="004A7FB8">
              <w:rPr>
                <w:b w:val="0"/>
                <w:sz w:val="22"/>
                <w:szCs w:val="22"/>
              </w:rPr>
              <w:t xml:space="preserve">Subsection </w:t>
            </w:r>
            <w:r w:rsidR="00DF1D05" w:rsidRPr="004A7FB8">
              <w:rPr>
                <w:b w:val="0"/>
                <w:sz w:val="22"/>
                <w:szCs w:val="22"/>
              </w:rPr>
              <w:t>941A(3)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48F4B4EE" w14:textId="1A967109" w:rsidR="00DF1D05" w:rsidRPr="004A7FB8" w:rsidRDefault="00C00282" w:rsidP="004A7FB8">
            <w:pPr>
              <w:keepNext/>
              <w:widowControl w:val="0"/>
              <w:spacing w:before="4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A7FB8">
              <w:rPr>
                <w:sz w:val="22"/>
                <w:szCs w:val="22"/>
              </w:rPr>
              <w:t>Failure by a licensee to</w:t>
            </w:r>
            <w:r w:rsidR="000A0423" w:rsidRPr="004A7FB8">
              <w:rPr>
                <w:sz w:val="22"/>
                <w:szCs w:val="22"/>
              </w:rPr>
              <w:t xml:space="preserve"> </w:t>
            </w:r>
            <w:r w:rsidR="00790D26" w:rsidRPr="004A7FB8">
              <w:rPr>
                <w:sz w:val="22"/>
                <w:szCs w:val="22"/>
              </w:rPr>
              <w:t>give</w:t>
            </w:r>
            <w:r w:rsidR="000A0423" w:rsidRPr="004A7FB8">
              <w:rPr>
                <w:sz w:val="22"/>
                <w:szCs w:val="22"/>
              </w:rPr>
              <w:t xml:space="preserve"> </w:t>
            </w:r>
            <w:r w:rsidRPr="004A7FB8">
              <w:rPr>
                <w:sz w:val="22"/>
                <w:szCs w:val="22"/>
              </w:rPr>
              <w:t xml:space="preserve">a </w:t>
            </w:r>
            <w:r w:rsidR="00790D26" w:rsidRPr="004A7FB8">
              <w:rPr>
                <w:sz w:val="22"/>
                <w:szCs w:val="22"/>
              </w:rPr>
              <w:t>Financial Services G</w:t>
            </w:r>
            <w:r w:rsidR="000A0423" w:rsidRPr="004A7FB8">
              <w:rPr>
                <w:sz w:val="22"/>
                <w:szCs w:val="22"/>
              </w:rPr>
              <w:t>uide (FSG)</w:t>
            </w:r>
            <w:r w:rsidRPr="004A7FB8">
              <w:rPr>
                <w:sz w:val="22"/>
                <w:szCs w:val="22"/>
              </w:rPr>
              <w:t xml:space="preserve"> </w:t>
            </w:r>
            <w:r w:rsidR="00B5241F" w:rsidRPr="004A7FB8">
              <w:rPr>
                <w:sz w:val="22"/>
                <w:szCs w:val="22"/>
              </w:rPr>
              <w:t>when providing a</w:t>
            </w:r>
            <w:r w:rsidRPr="004A7FB8">
              <w:rPr>
                <w:sz w:val="22"/>
                <w:szCs w:val="22"/>
              </w:rPr>
              <w:t xml:space="preserve"> financial service to a person as a retail client</w:t>
            </w:r>
          </w:p>
        </w:tc>
      </w:tr>
      <w:tr w:rsidR="00DF1D05" w:rsidRPr="00A90A95" w14:paraId="23E1EFE9" w14:textId="77777777" w:rsidTr="004A7F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14:paraId="6D60F79D" w14:textId="31ABD73D" w:rsidR="00DF1D05" w:rsidRPr="004A7FB8" w:rsidRDefault="0010336F" w:rsidP="004A7FB8">
            <w:pPr>
              <w:keepNext/>
              <w:widowControl w:val="0"/>
              <w:spacing w:before="40" w:after="80"/>
              <w:rPr>
                <w:b w:val="0"/>
                <w:sz w:val="22"/>
                <w:szCs w:val="22"/>
                <w:highlight w:val="yellow"/>
              </w:rPr>
            </w:pPr>
            <w:r w:rsidRPr="004A7FB8">
              <w:rPr>
                <w:b w:val="0"/>
                <w:sz w:val="22"/>
                <w:szCs w:val="22"/>
              </w:rPr>
              <w:t xml:space="preserve">Subsection </w:t>
            </w:r>
            <w:r w:rsidR="00DF1D05" w:rsidRPr="004A7FB8">
              <w:rPr>
                <w:b w:val="0"/>
                <w:sz w:val="22"/>
                <w:szCs w:val="22"/>
              </w:rPr>
              <w:t>941B(4)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3C08423D" w14:textId="2AB0409E" w:rsidR="00DF1D05" w:rsidRPr="004A7FB8" w:rsidRDefault="00B5241F" w:rsidP="004A7FB8">
            <w:pPr>
              <w:keepNext/>
              <w:widowControl w:val="0"/>
              <w:spacing w:before="4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highlight w:val="yellow"/>
              </w:rPr>
            </w:pPr>
            <w:r w:rsidRPr="004A7FB8">
              <w:rPr>
                <w:sz w:val="22"/>
                <w:szCs w:val="22"/>
              </w:rPr>
              <w:t>Failure by an authorised representative to give a FSG when providing a financial service to a person as a retail client</w:t>
            </w:r>
            <w:r w:rsidR="00A82C5B" w:rsidRPr="004A7FB8">
              <w:rPr>
                <w:sz w:val="22"/>
                <w:szCs w:val="22"/>
              </w:rPr>
              <w:t xml:space="preserve"> </w:t>
            </w:r>
          </w:p>
        </w:tc>
      </w:tr>
      <w:tr w:rsidR="00DF1D05" w:rsidRPr="00A90A95" w14:paraId="31A32F91" w14:textId="77777777" w:rsidTr="004A7F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4" w:space="0" w:color="auto"/>
            </w:tcBorders>
          </w:tcPr>
          <w:p w14:paraId="0ABCEADA" w14:textId="6DAA4CC1" w:rsidR="00DF1D05" w:rsidRPr="004A7FB8" w:rsidRDefault="0010336F" w:rsidP="004A7FB8">
            <w:pPr>
              <w:keepNext/>
              <w:widowControl w:val="0"/>
              <w:spacing w:before="40" w:after="80"/>
              <w:rPr>
                <w:b w:val="0"/>
                <w:sz w:val="22"/>
                <w:szCs w:val="22"/>
              </w:rPr>
            </w:pPr>
            <w:r w:rsidRPr="004A7FB8">
              <w:rPr>
                <w:b w:val="0"/>
                <w:sz w:val="22"/>
                <w:szCs w:val="22"/>
              </w:rPr>
              <w:t xml:space="preserve">Subsection </w:t>
            </w:r>
            <w:r w:rsidR="00DF1D05" w:rsidRPr="004A7FB8">
              <w:rPr>
                <w:b w:val="0"/>
                <w:sz w:val="22"/>
                <w:szCs w:val="22"/>
              </w:rPr>
              <w:t>1012A(5)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0C8A531D" w14:textId="253704FC" w:rsidR="00DF1D05" w:rsidRPr="004A7FB8" w:rsidRDefault="004012E5" w:rsidP="004A7FB8">
            <w:pPr>
              <w:keepNext/>
              <w:widowControl w:val="0"/>
              <w:spacing w:before="4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A7FB8">
              <w:rPr>
                <w:sz w:val="22"/>
                <w:szCs w:val="22"/>
              </w:rPr>
              <w:t>Failure to give</w:t>
            </w:r>
            <w:r w:rsidR="00790D26" w:rsidRPr="004A7FB8">
              <w:rPr>
                <w:sz w:val="22"/>
                <w:szCs w:val="22"/>
              </w:rPr>
              <w:t xml:space="preserve"> a Product Disclosure Statement (PDS)</w:t>
            </w:r>
            <w:r w:rsidRPr="004A7FB8">
              <w:rPr>
                <w:sz w:val="22"/>
                <w:szCs w:val="22"/>
              </w:rPr>
              <w:t xml:space="preserve"> when giving personal advice recommending a particular financial product</w:t>
            </w:r>
          </w:p>
        </w:tc>
      </w:tr>
      <w:tr w:rsidR="00DF1D05" w:rsidRPr="00A90A95" w14:paraId="65FA2954" w14:textId="77777777" w:rsidTr="004A7F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4" w:space="0" w:color="auto"/>
            </w:tcBorders>
          </w:tcPr>
          <w:p w14:paraId="5C6491B6" w14:textId="753472FD" w:rsidR="00DF1D05" w:rsidRPr="004A7FB8" w:rsidRDefault="0010336F" w:rsidP="004A7FB8">
            <w:pPr>
              <w:keepNext/>
              <w:widowControl w:val="0"/>
              <w:spacing w:before="40" w:after="80"/>
              <w:rPr>
                <w:b w:val="0"/>
                <w:sz w:val="22"/>
                <w:szCs w:val="22"/>
              </w:rPr>
            </w:pPr>
            <w:r w:rsidRPr="004A7FB8">
              <w:rPr>
                <w:b w:val="0"/>
                <w:sz w:val="22"/>
                <w:szCs w:val="22"/>
              </w:rPr>
              <w:t xml:space="preserve">Subsection </w:t>
            </w:r>
            <w:r w:rsidR="00DF1D05" w:rsidRPr="004A7FB8">
              <w:rPr>
                <w:b w:val="0"/>
                <w:sz w:val="22"/>
                <w:szCs w:val="22"/>
              </w:rPr>
              <w:t>1012B(6)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1936CA43" w14:textId="5112253B" w:rsidR="00DF1D05" w:rsidRPr="004A7FB8" w:rsidRDefault="004012E5" w:rsidP="004A7FB8">
            <w:pPr>
              <w:keepNext/>
              <w:widowControl w:val="0"/>
              <w:spacing w:before="4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A7FB8">
              <w:rPr>
                <w:sz w:val="22"/>
                <w:szCs w:val="22"/>
              </w:rPr>
              <w:t>Failure to give a PDS in situations</w:t>
            </w:r>
            <w:r w:rsidR="00A82C5B" w:rsidRPr="004A7FB8">
              <w:rPr>
                <w:sz w:val="22"/>
                <w:szCs w:val="22"/>
              </w:rPr>
              <w:t xml:space="preserve"> relating</w:t>
            </w:r>
            <w:r w:rsidR="00DF1D05" w:rsidRPr="004A7FB8">
              <w:rPr>
                <w:sz w:val="22"/>
                <w:szCs w:val="22"/>
              </w:rPr>
              <w:t xml:space="preserve"> to</w:t>
            </w:r>
            <w:r w:rsidRPr="004A7FB8">
              <w:rPr>
                <w:sz w:val="22"/>
                <w:szCs w:val="22"/>
              </w:rPr>
              <w:t xml:space="preserve"> the</w:t>
            </w:r>
            <w:r w:rsidR="00DF1D05" w:rsidRPr="004A7FB8">
              <w:rPr>
                <w:sz w:val="22"/>
                <w:szCs w:val="22"/>
              </w:rPr>
              <w:t xml:space="preserve"> </w:t>
            </w:r>
            <w:r w:rsidR="00CA72C0" w:rsidRPr="004A7FB8">
              <w:rPr>
                <w:sz w:val="22"/>
                <w:szCs w:val="22"/>
              </w:rPr>
              <w:t xml:space="preserve">offer and </w:t>
            </w:r>
            <w:r w:rsidR="00DF1D05" w:rsidRPr="004A7FB8">
              <w:rPr>
                <w:sz w:val="22"/>
                <w:szCs w:val="22"/>
              </w:rPr>
              <w:t>issue of</w:t>
            </w:r>
            <w:r w:rsidRPr="004A7FB8">
              <w:rPr>
                <w:sz w:val="22"/>
                <w:szCs w:val="22"/>
              </w:rPr>
              <w:t xml:space="preserve"> financial products</w:t>
            </w:r>
          </w:p>
        </w:tc>
      </w:tr>
      <w:tr w:rsidR="00DF1D05" w:rsidRPr="00A90A95" w14:paraId="6509EC6E" w14:textId="77777777" w:rsidTr="004A7F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4" w:space="0" w:color="auto"/>
            </w:tcBorders>
          </w:tcPr>
          <w:p w14:paraId="4910762C" w14:textId="759BF637" w:rsidR="00DF1D05" w:rsidRPr="004A7FB8" w:rsidRDefault="0010336F" w:rsidP="004A7FB8">
            <w:pPr>
              <w:keepNext/>
              <w:widowControl w:val="0"/>
              <w:spacing w:before="40" w:after="80"/>
              <w:rPr>
                <w:b w:val="0"/>
                <w:sz w:val="22"/>
                <w:szCs w:val="22"/>
              </w:rPr>
            </w:pPr>
            <w:r w:rsidRPr="004A7FB8">
              <w:rPr>
                <w:b w:val="0"/>
                <w:sz w:val="22"/>
                <w:szCs w:val="22"/>
              </w:rPr>
              <w:t xml:space="preserve">Subsection  </w:t>
            </w:r>
            <w:r w:rsidR="00DF1D05" w:rsidRPr="004A7FB8">
              <w:rPr>
                <w:b w:val="0"/>
                <w:sz w:val="22"/>
                <w:szCs w:val="22"/>
              </w:rPr>
              <w:t>1012C(11)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17925D17" w14:textId="2A0D2F9A" w:rsidR="00DF1D05" w:rsidRPr="004A7FB8" w:rsidRDefault="004012E5" w:rsidP="004A7FB8">
            <w:pPr>
              <w:keepNext/>
              <w:widowControl w:val="0"/>
              <w:spacing w:before="4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A7FB8">
              <w:rPr>
                <w:sz w:val="22"/>
                <w:szCs w:val="22"/>
              </w:rPr>
              <w:t>Failure to give a</w:t>
            </w:r>
            <w:r w:rsidR="00DF1D05" w:rsidRPr="004A7FB8">
              <w:rPr>
                <w:sz w:val="22"/>
                <w:szCs w:val="22"/>
              </w:rPr>
              <w:t xml:space="preserve"> PDS </w:t>
            </w:r>
            <w:r w:rsidRPr="004A7FB8">
              <w:rPr>
                <w:sz w:val="22"/>
                <w:szCs w:val="22"/>
              </w:rPr>
              <w:t>in situations r</w:t>
            </w:r>
            <w:r w:rsidR="00A82C5B" w:rsidRPr="004A7FB8">
              <w:rPr>
                <w:sz w:val="22"/>
                <w:szCs w:val="22"/>
              </w:rPr>
              <w:t>elating</w:t>
            </w:r>
            <w:r w:rsidR="00DF1D05" w:rsidRPr="004A7FB8">
              <w:rPr>
                <w:sz w:val="22"/>
                <w:szCs w:val="22"/>
              </w:rPr>
              <w:t xml:space="preserve"> to</w:t>
            </w:r>
            <w:r w:rsidRPr="004A7FB8">
              <w:rPr>
                <w:sz w:val="22"/>
                <w:szCs w:val="22"/>
              </w:rPr>
              <w:t xml:space="preserve"> the</w:t>
            </w:r>
            <w:r w:rsidR="00DF1D05" w:rsidRPr="004A7FB8">
              <w:rPr>
                <w:sz w:val="22"/>
                <w:szCs w:val="22"/>
              </w:rPr>
              <w:t xml:space="preserve"> sale of</w:t>
            </w:r>
            <w:r w:rsidRPr="004A7FB8">
              <w:rPr>
                <w:sz w:val="22"/>
                <w:szCs w:val="22"/>
              </w:rPr>
              <w:t xml:space="preserve"> financial products</w:t>
            </w:r>
          </w:p>
        </w:tc>
      </w:tr>
      <w:tr w:rsidR="00DF1D05" w:rsidRPr="00A90A95" w14:paraId="7DFA4745" w14:textId="77777777" w:rsidTr="004A7F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4" w:space="0" w:color="auto"/>
            </w:tcBorders>
          </w:tcPr>
          <w:p w14:paraId="48C03730" w14:textId="118A6DF3" w:rsidR="00DF1D05" w:rsidRPr="004A7FB8" w:rsidRDefault="0010336F" w:rsidP="004A7FB8">
            <w:pPr>
              <w:widowControl w:val="0"/>
              <w:spacing w:before="40" w:after="80"/>
              <w:rPr>
                <w:b w:val="0"/>
                <w:sz w:val="22"/>
                <w:szCs w:val="22"/>
              </w:rPr>
            </w:pPr>
            <w:r w:rsidRPr="004A7FB8">
              <w:rPr>
                <w:b w:val="0"/>
                <w:sz w:val="22"/>
                <w:szCs w:val="22"/>
              </w:rPr>
              <w:t xml:space="preserve">Subsection </w:t>
            </w:r>
            <w:r w:rsidR="00DF1D05" w:rsidRPr="004A7FB8">
              <w:rPr>
                <w:b w:val="0"/>
                <w:sz w:val="22"/>
                <w:szCs w:val="22"/>
              </w:rPr>
              <w:t>1021E(8)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1112169D" w14:textId="516AA17E" w:rsidR="00DF1D05" w:rsidRPr="004A7FB8" w:rsidRDefault="00D30124" w:rsidP="004A7FB8">
            <w:pPr>
              <w:widowControl w:val="0"/>
              <w:spacing w:before="4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Giving</w:t>
            </w:r>
            <w:r w:rsidR="005D7537" w:rsidRPr="004A7FB8">
              <w:rPr>
                <w:sz w:val="22"/>
                <w:szCs w:val="22"/>
              </w:rPr>
              <w:t xml:space="preserve"> a</w:t>
            </w:r>
            <w:r w:rsidR="00DF1D05" w:rsidRPr="004A7FB8">
              <w:rPr>
                <w:sz w:val="22"/>
                <w:szCs w:val="22"/>
              </w:rPr>
              <w:t xml:space="preserve"> defective disclosure document or statement</w:t>
            </w:r>
            <w:r w:rsidR="004012E5" w:rsidRPr="004A7FB8">
              <w:rPr>
                <w:sz w:val="22"/>
                <w:szCs w:val="22"/>
              </w:rPr>
              <w:t xml:space="preserve"> </w:t>
            </w:r>
            <w:r w:rsidR="00A82C5B" w:rsidRPr="004A7FB8">
              <w:rPr>
                <w:sz w:val="22"/>
                <w:szCs w:val="22"/>
              </w:rPr>
              <w:t>(including a defective</w:t>
            </w:r>
            <w:r w:rsidR="00DF1D05" w:rsidRPr="004A7FB8">
              <w:rPr>
                <w:sz w:val="22"/>
                <w:szCs w:val="22"/>
              </w:rPr>
              <w:t xml:space="preserve"> PDS or supplementary PDS</w:t>
            </w:r>
            <w:r w:rsidR="00A82C5B" w:rsidRPr="004A7FB8">
              <w:rPr>
                <w:sz w:val="22"/>
                <w:szCs w:val="22"/>
              </w:rPr>
              <w:t>)</w:t>
            </w:r>
          </w:p>
        </w:tc>
      </w:tr>
    </w:tbl>
    <w:p w14:paraId="058D11CA" w14:textId="55FC474B" w:rsidR="00DF1D05" w:rsidRDefault="007B1DC4" w:rsidP="00DF1D05">
      <w:pPr>
        <w:spacing w:before="240" w:after="200"/>
        <w:ind w:right="91"/>
      </w:pPr>
      <w:r>
        <w:lastRenderedPageBreak/>
        <w:t>This means that a</w:t>
      </w:r>
      <w:r w:rsidR="000A0423">
        <w:t xml:space="preserve"> </w:t>
      </w:r>
      <w:r w:rsidR="005D7537">
        <w:t>breach</w:t>
      </w:r>
      <w:r w:rsidR="00DF1D05">
        <w:t xml:space="preserve"> of any of these </w:t>
      </w:r>
      <w:r w:rsidR="000A0423">
        <w:t xml:space="preserve">civil penalty </w:t>
      </w:r>
      <w:r w:rsidR="00DF1D05">
        <w:t xml:space="preserve">provisions </w:t>
      </w:r>
      <w:r w:rsidR="000A0423">
        <w:t>is</w:t>
      </w:r>
      <w:r w:rsidR="00DF1D05">
        <w:t xml:space="preserve"> </w:t>
      </w:r>
      <w:r w:rsidR="00DF1D05" w:rsidRPr="000A0423">
        <w:rPr>
          <w:i/>
        </w:rPr>
        <w:t>not</w:t>
      </w:r>
      <w:r w:rsidR="00DF1D05">
        <w:t xml:space="preserve"> taken to be significant </w:t>
      </w:r>
      <w:r w:rsidR="000A0423">
        <w:t xml:space="preserve">for the purposes of </w:t>
      </w:r>
      <w:r w:rsidR="001060E8">
        <w:t>paragraph 912D(4)(b) of the Corporations Act.</w:t>
      </w:r>
    </w:p>
    <w:p w14:paraId="658A79CF" w14:textId="6F09A7CF" w:rsidR="000A0423" w:rsidRDefault="00DF1D05" w:rsidP="00DF1D05">
      <w:pPr>
        <w:spacing w:before="240" w:after="200"/>
        <w:ind w:right="91"/>
      </w:pPr>
      <w:r w:rsidRPr="00352C0C">
        <w:t xml:space="preserve">However, </w:t>
      </w:r>
      <w:r w:rsidR="00CF34C3">
        <w:t xml:space="preserve">such a </w:t>
      </w:r>
      <w:r w:rsidR="005D7537">
        <w:t>breach</w:t>
      </w:r>
      <w:r w:rsidR="00CF34C3">
        <w:t xml:space="preserve"> </w:t>
      </w:r>
      <w:r w:rsidRPr="00352C0C">
        <w:t xml:space="preserve">may still be significant and reportable </w:t>
      </w:r>
      <w:r w:rsidR="00891AE6">
        <w:t>under the breach reporting regime</w:t>
      </w:r>
      <w:r w:rsidR="00790D26">
        <w:t xml:space="preserve"> </w:t>
      </w:r>
      <w:r w:rsidRPr="00352C0C">
        <w:t>if one of the other circumstances in the deemed significance test</w:t>
      </w:r>
      <w:r w:rsidR="00CF34C3">
        <w:t xml:space="preserve"> in subsection 912D(4)</w:t>
      </w:r>
      <w:r w:rsidRPr="00352C0C">
        <w:t xml:space="preserve"> apply, or if the breach is</w:t>
      </w:r>
      <w:r w:rsidR="00CA72C0">
        <w:t xml:space="preserve"> otherwise</w:t>
      </w:r>
      <w:r w:rsidRPr="00352C0C">
        <w:t xml:space="preserve"> significant under </w:t>
      </w:r>
      <w:r w:rsidR="00CF34C3">
        <w:t xml:space="preserve">the </w:t>
      </w:r>
      <w:r>
        <w:t>test in subsection 91</w:t>
      </w:r>
      <w:r w:rsidR="00CF34C3">
        <w:t>2D(5) of the Corporations Act.</w:t>
      </w:r>
    </w:p>
    <w:p w14:paraId="0FF01F45" w14:textId="713F8572" w:rsidR="00DF1D05" w:rsidRPr="00352C0C" w:rsidRDefault="000A0423" w:rsidP="00DF1D05">
      <w:pPr>
        <w:spacing w:before="240" w:after="200"/>
        <w:ind w:right="91"/>
      </w:pPr>
      <w:r>
        <w:t>For example, if a financial servic</w:t>
      </w:r>
      <w:r w:rsidR="00790D26">
        <w:t xml:space="preserve">es licensee </w:t>
      </w:r>
      <w:r w:rsidR="00CF34C3">
        <w:t>contravenes subsection 941A(3) of the Corporations Act by failing to give a</w:t>
      </w:r>
      <w:r w:rsidR="00790D26">
        <w:t xml:space="preserve"> </w:t>
      </w:r>
      <w:r w:rsidR="008C5953">
        <w:t>Financial Services Guide</w:t>
      </w:r>
      <w:r w:rsidR="00CF34C3">
        <w:t xml:space="preserve"> to a person</w:t>
      </w:r>
      <w:r w:rsidR="00790D26">
        <w:t xml:space="preserve"> as </w:t>
      </w:r>
      <w:r w:rsidR="00CF34C3">
        <w:t>required</w:t>
      </w:r>
      <w:r w:rsidR="001060E8">
        <w:t xml:space="preserve">, that </w:t>
      </w:r>
      <w:r w:rsidR="00CF34C3">
        <w:t>contravention</w:t>
      </w:r>
      <w:r w:rsidR="001060E8">
        <w:t xml:space="preserve"> is not taken to be significant for the purposes of paragraph 912D(4)(b) of the Corporations Act. However, if that breach results in </w:t>
      </w:r>
      <w:r w:rsidR="00B3240B">
        <w:t xml:space="preserve">or is likely to result in </w:t>
      </w:r>
      <w:r w:rsidR="006F7AA9">
        <w:t>material loss or damage to the person (to whom the licensee provides the financial service)</w:t>
      </w:r>
      <w:r w:rsidR="005B0041">
        <w:t>,</w:t>
      </w:r>
      <w:r w:rsidR="001060E8">
        <w:t xml:space="preserve"> the breach would be taken to be significant under </w:t>
      </w:r>
      <w:r w:rsidR="006F7AA9">
        <w:t>paragraph 912D(4)(d) of the Corporations Act</w:t>
      </w:r>
      <w:r w:rsidR="001060E8">
        <w:t>. Therefore, the</w:t>
      </w:r>
      <w:r w:rsidR="006F7AA9">
        <w:t xml:space="preserve"> financial services licensee would need to report the breach</w:t>
      </w:r>
      <w:r w:rsidR="001060E8">
        <w:t xml:space="preserve"> to ASIC within the required timeframe.</w:t>
      </w:r>
    </w:p>
    <w:p w14:paraId="09EC45FA" w14:textId="3722CD9D" w:rsidR="00DF1D05" w:rsidRDefault="009C521C" w:rsidP="00DF1D05">
      <w:pPr>
        <w:widowControl w:val="0"/>
        <w:rPr>
          <w:rFonts w:cstheme="minorHAnsi"/>
        </w:rPr>
      </w:pPr>
      <w:r>
        <w:rPr>
          <w:rFonts w:cstheme="minorHAnsi"/>
        </w:rPr>
        <w:t>The rationale for prescribing these civil penalty provisions is</w:t>
      </w:r>
      <w:r w:rsidR="00DF1D05">
        <w:rPr>
          <w:rFonts w:cstheme="minorHAnsi"/>
        </w:rPr>
        <w:t xml:space="preserve">: </w:t>
      </w:r>
    </w:p>
    <w:p w14:paraId="48454C3B" w14:textId="1D63F5F8" w:rsidR="00DF1D05" w:rsidRDefault="005808D0" w:rsidP="008E0B2F">
      <w:pPr>
        <w:pStyle w:val="Bullet"/>
      </w:pPr>
      <w:r>
        <w:t>a breach</w:t>
      </w:r>
      <w:r w:rsidR="00DF1D05">
        <w:t xml:space="preserve"> of these provisions may be minor, technical or </w:t>
      </w:r>
      <w:r>
        <w:t>inadvertent</w:t>
      </w:r>
      <w:r w:rsidR="00DF1D05">
        <w:t xml:space="preserve"> in nature; </w:t>
      </w:r>
    </w:p>
    <w:p w14:paraId="258A470E" w14:textId="1A80BC92" w:rsidR="00DF1D05" w:rsidRDefault="00DF1D05" w:rsidP="008E0B2F">
      <w:pPr>
        <w:pStyle w:val="Bullet"/>
      </w:pPr>
      <w:r>
        <w:t>given the frequency with which these documents must be provided, it is possible minor</w:t>
      </w:r>
      <w:r w:rsidR="005808D0">
        <w:t>, technical or inadvertent</w:t>
      </w:r>
      <w:r>
        <w:t xml:space="preserve"> breaches </w:t>
      </w:r>
      <w:r w:rsidR="00AD427E">
        <w:t xml:space="preserve">(that would not otherwise be significant) </w:t>
      </w:r>
      <w:r>
        <w:t>would result in a large re</w:t>
      </w:r>
      <w:r w:rsidR="005808D0">
        <w:t>gulatory</w:t>
      </w:r>
      <w:r>
        <w:t xml:space="preserve"> burden if they were d</w:t>
      </w:r>
      <w:r w:rsidR="005808D0">
        <w:t>eemed automatically significant; and</w:t>
      </w:r>
    </w:p>
    <w:p w14:paraId="44D4B2D6" w14:textId="12E43779" w:rsidR="00DF1D05" w:rsidRDefault="00DF1D05" w:rsidP="008E0B2F">
      <w:pPr>
        <w:pStyle w:val="Bullet"/>
      </w:pPr>
      <w:r>
        <w:t xml:space="preserve">more material breaches of these </w:t>
      </w:r>
      <w:r w:rsidR="009C521C">
        <w:t xml:space="preserve">provisions would be captured by </w:t>
      </w:r>
      <w:r>
        <w:t>the other lim</w:t>
      </w:r>
      <w:r w:rsidR="005808D0">
        <w:t xml:space="preserve">bs of the deemed significant test in subsection 912D(4) or </w:t>
      </w:r>
      <w:r w:rsidR="009C521C">
        <w:t xml:space="preserve">by </w:t>
      </w:r>
      <w:r w:rsidR="005808D0">
        <w:t>the test in subsection 912D(5) of the Corporations Act.</w:t>
      </w:r>
    </w:p>
    <w:p w14:paraId="4E0F2C59" w14:textId="01B370A0" w:rsidR="00DF1D05" w:rsidRPr="004B723C" w:rsidRDefault="001060E8" w:rsidP="00DF1D05">
      <w:pPr>
        <w:pStyle w:val="Heading2"/>
        <w:rPr>
          <w:b w:val="0"/>
          <w:i/>
          <w:sz w:val="24"/>
          <w:u w:val="none"/>
        </w:rPr>
      </w:pPr>
      <w:r>
        <w:rPr>
          <w:b w:val="0"/>
          <w:i/>
          <w:sz w:val="24"/>
          <w:u w:val="none"/>
        </w:rPr>
        <w:t>B</w:t>
      </w:r>
      <w:r w:rsidR="00DF1D05" w:rsidRPr="004B723C">
        <w:rPr>
          <w:b w:val="0"/>
          <w:i/>
          <w:sz w:val="24"/>
          <w:u w:val="none"/>
        </w:rPr>
        <w:t xml:space="preserve">reach reporting offences and civil penalty provisions </w:t>
      </w:r>
      <w:r>
        <w:rPr>
          <w:b w:val="0"/>
          <w:i/>
          <w:sz w:val="24"/>
          <w:u w:val="none"/>
        </w:rPr>
        <w:t xml:space="preserve">that are </w:t>
      </w:r>
      <w:r w:rsidR="00DF1D05" w:rsidRPr="004B723C">
        <w:rPr>
          <w:b w:val="0"/>
          <w:i/>
          <w:sz w:val="24"/>
          <w:u w:val="none"/>
        </w:rPr>
        <w:t>subject to an infringement notice</w:t>
      </w:r>
    </w:p>
    <w:p w14:paraId="36E38559" w14:textId="5C8A5545" w:rsidR="00DF1D05" w:rsidRDefault="00ED11FC" w:rsidP="005D7537">
      <w:pPr>
        <w:spacing w:before="240" w:after="200"/>
        <w:ind w:right="91"/>
      </w:pPr>
      <w:r>
        <w:t>Item 9</w:t>
      </w:r>
      <w:r w:rsidR="00DF1D05">
        <w:t xml:space="preserve"> prescribes the offences in subsections 912DAA(1) and 912DAC(1) of the Corporations Act as being subject to an infringement notice.</w:t>
      </w:r>
      <w:r w:rsidR="005D7537">
        <w:t xml:space="preserve"> The offence in</w:t>
      </w:r>
      <w:r w:rsidR="00DF1D05">
        <w:t xml:space="preserve"> </w:t>
      </w:r>
      <w:r w:rsidR="005D7537">
        <w:t xml:space="preserve">subsection 912DAA(1) relates to a failure by a financial services licensee to </w:t>
      </w:r>
      <w:r w:rsidR="00F82589">
        <w:t>report a reportable situation to ASIC within the required timeframe</w:t>
      </w:r>
      <w:r w:rsidR="005D7537">
        <w:t xml:space="preserve"> and in the prescribed form</w:t>
      </w:r>
      <w:r w:rsidR="00F82589">
        <w:t xml:space="preserve"> where</w:t>
      </w:r>
      <w:r w:rsidR="00DF1D05">
        <w:t xml:space="preserve"> there are reasonable grounds to believe </w:t>
      </w:r>
      <w:r w:rsidR="00F82589">
        <w:t xml:space="preserve">the </w:t>
      </w:r>
      <w:r w:rsidR="00DF1D05">
        <w:t xml:space="preserve">reportable situation has arisen in relation to </w:t>
      </w:r>
      <w:r w:rsidR="008E0B2F">
        <w:t>the licensee</w:t>
      </w:r>
      <w:r w:rsidR="005D7537">
        <w:t xml:space="preserve">. The offence in subsection 912DAC(1) relates to a failure by a financial services licensee to </w:t>
      </w:r>
      <w:r w:rsidR="00DF1D05">
        <w:t xml:space="preserve">notify ASIC as soon as practicable </w:t>
      </w:r>
      <w:r w:rsidR="00F82589">
        <w:t>that the</w:t>
      </w:r>
      <w:r w:rsidR="00DF1D05">
        <w:t xml:space="preserve"> licensee has become a participant in a licensed market or a licensed CS facility, or ceases to be such a participant.</w:t>
      </w:r>
    </w:p>
    <w:p w14:paraId="517F8644" w14:textId="6719A91A" w:rsidR="00DF1D05" w:rsidRPr="00026BA7" w:rsidRDefault="00ED11FC" w:rsidP="00DF1D05">
      <w:pPr>
        <w:pStyle w:val="Bullet"/>
        <w:numPr>
          <w:ilvl w:val="0"/>
          <w:numId w:val="0"/>
        </w:numPr>
      </w:pPr>
      <w:r>
        <w:t>Item 10</w:t>
      </w:r>
      <w:r w:rsidR="00DF1D05">
        <w:t xml:space="preserve"> prescribes the civil penalty provision in subsection 912DAB(8) </w:t>
      </w:r>
      <w:r w:rsidR="008E0B2F">
        <w:t xml:space="preserve">of the Corporations Act </w:t>
      </w:r>
      <w:r w:rsidR="00DF1D05">
        <w:t xml:space="preserve">as being subject to an infringement notice. This civil penalty provision applies if a </w:t>
      </w:r>
      <w:r w:rsidR="005D7537">
        <w:t xml:space="preserve">financial services </w:t>
      </w:r>
      <w:r w:rsidR="00DF1D05">
        <w:t xml:space="preserve">licensee </w:t>
      </w:r>
      <w:r w:rsidR="008E0B2F">
        <w:t xml:space="preserve">fails to either </w:t>
      </w:r>
      <w:r w:rsidR="00DF1D05">
        <w:t xml:space="preserve">lodge a breach report about </w:t>
      </w:r>
      <w:r w:rsidR="008E0B2F">
        <w:t>a financial adviser</w:t>
      </w:r>
      <w:r w:rsidR="00DF1D05">
        <w:t xml:space="preserve"> </w:t>
      </w:r>
      <w:r w:rsidR="008E0B2F">
        <w:t xml:space="preserve">that is </w:t>
      </w:r>
      <w:r w:rsidR="00DF1D05">
        <w:t xml:space="preserve">engaged by </w:t>
      </w:r>
      <w:r w:rsidR="00DF1D05" w:rsidRPr="008E0B2F">
        <w:rPr>
          <w:i/>
        </w:rPr>
        <w:t>another</w:t>
      </w:r>
      <w:r w:rsidR="00DF1D05">
        <w:t xml:space="preserve"> licensee to ASIC</w:t>
      </w:r>
      <w:r w:rsidR="008E0B2F">
        <w:t xml:space="preserve">, or </w:t>
      </w:r>
      <w:r w:rsidR="00DF1D05">
        <w:t>provide a copy of that report to the other licensee</w:t>
      </w:r>
      <w:r w:rsidR="0002227D">
        <w:t>,</w:t>
      </w:r>
      <w:r w:rsidR="008E0B2F">
        <w:t xml:space="preserve"> as required.</w:t>
      </w:r>
    </w:p>
    <w:p w14:paraId="244EBDDD" w14:textId="65D6B7C5" w:rsidR="00DF1D05" w:rsidRPr="00F504B5" w:rsidRDefault="00DF1D05" w:rsidP="00DF1D05">
      <w:pPr>
        <w:spacing w:before="240" w:after="200"/>
        <w:ind w:right="91"/>
        <w:rPr>
          <w:color w:val="000000"/>
          <w:szCs w:val="24"/>
        </w:rPr>
      </w:pPr>
      <w:r>
        <w:rPr>
          <w:color w:val="000000"/>
          <w:szCs w:val="24"/>
        </w:rPr>
        <w:t xml:space="preserve">Prescribing these offences and the civil penalty provision as being subject to an infringement notice </w:t>
      </w:r>
      <w:r w:rsidRPr="00F504B5">
        <w:rPr>
          <w:color w:val="000000"/>
          <w:szCs w:val="24"/>
        </w:rPr>
        <w:t>is appropriate as there may be a high volume of contravention</w:t>
      </w:r>
      <w:r w:rsidR="008E0B2F">
        <w:rPr>
          <w:color w:val="000000"/>
          <w:szCs w:val="24"/>
        </w:rPr>
        <w:t>s (ranging in severity) of these</w:t>
      </w:r>
      <w:r w:rsidRPr="00F504B5">
        <w:rPr>
          <w:color w:val="000000"/>
          <w:szCs w:val="24"/>
        </w:rPr>
        <w:t xml:space="preserve"> provisions. The </w:t>
      </w:r>
      <w:r>
        <w:rPr>
          <w:color w:val="000000"/>
          <w:szCs w:val="24"/>
        </w:rPr>
        <w:t xml:space="preserve">Attorney-General’s </w:t>
      </w:r>
      <w:r w:rsidRPr="00026BA7">
        <w:rPr>
          <w:color w:val="000000"/>
          <w:szCs w:val="24"/>
        </w:rPr>
        <w:t>Department’s</w:t>
      </w:r>
      <w:r>
        <w:rPr>
          <w:color w:val="000000"/>
          <w:szCs w:val="24"/>
        </w:rPr>
        <w:t xml:space="preserve"> </w:t>
      </w:r>
      <w:r w:rsidRPr="00026BA7">
        <w:rPr>
          <w:i/>
          <w:color w:val="000000"/>
          <w:szCs w:val="24"/>
        </w:rPr>
        <w:t xml:space="preserve">A </w:t>
      </w:r>
      <w:r w:rsidRPr="00026BA7">
        <w:rPr>
          <w:i/>
          <w:color w:val="000000"/>
          <w:szCs w:val="24"/>
        </w:rPr>
        <w:lastRenderedPageBreak/>
        <w:t>Guide to Framing Commonwealth Offences, Infringement Notices and Enforcement Powers</w:t>
      </w:r>
      <w:r w:rsidRPr="00F504B5">
        <w:rPr>
          <w:color w:val="000000"/>
          <w:szCs w:val="24"/>
        </w:rPr>
        <w:t xml:space="preserve"> highlights failing to comply with reporting obligations as an example of a case where </w:t>
      </w:r>
      <w:r w:rsidRPr="00F504B5">
        <w:rPr>
          <w:szCs w:val="24"/>
        </w:rPr>
        <w:t>issuing</w:t>
      </w:r>
      <w:r w:rsidRPr="00F504B5">
        <w:rPr>
          <w:color w:val="000000"/>
          <w:szCs w:val="24"/>
        </w:rPr>
        <w:t xml:space="preserve"> infringement notices may be appropriate.</w:t>
      </w:r>
    </w:p>
    <w:p w14:paraId="7BD694FC" w14:textId="1BF1387C" w:rsidR="00DF1D05" w:rsidRPr="00F504B5" w:rsidRDefault="00DF1D05" w:rsidP="00DF1D05">
      <w:pPr>
        <w:spacing w:before="240" w:after="200"/>
        <w:ind w:right="91"/>
        <w:rPr>
          <w:color w:val="000000"/>
          <w:szCs w:val="24"/>
        </w:rPr>
      </w:pPr>
      <w:r w:rsidRPr="00F504B5">
        <w:rPr>
          <w:color w:val="000000"/>
          <w:szCs w:val="24"/>
        </w:rPr>
        <w:t>Minor contraventions</w:t>
      </w:r>
      <w:r w:rsidR="005D7537">
        <w:rPr>
          <w:color w:val="000000"/>
          <w:szCs w:val="24"/>
        </w:rPr>
        <w:t xml:space="preserve"> of these provisions</w:t>
      </w:r>
      <w:r w:rsidRPr="00F504B5">
        <w:rPr>
          <w:color w:val="000000"/>
          <w:szCs w:val="24"/>
        </w:rPr>
        <w:t xml:space="preserve"> may be caused by poor internal processes. Where this is the case, the use of </w:t>
      </w:r>
      <w:r w:rsidR="005D7537">
        <w:rPr>
          <w:color w:val="000000"/>
          <w:szCs w:val="24"/>
        </w:rPr>
        <w:t>an infringement notice</w:t>
      </w:r>
      <w:r w:rsidRPr="00F504B5">
        <w:rPr>
          <w:color w:val="000000"/>
          <w:szCs w:val="24"/>
        </w:rPr>
        <w:t xml:space="preserve"> may lead to a faster rectification of processes, as licensees are put on notice by ASIC sooner.</w:t>
      </w:r>
    </w:p>
    <w:p w14:paraId="721E6F3F" w14:textId="729E4E3E" w:rsidR="00DF1D05" w:rsidRPr="006D512B" w:rsidRDefault="008E0B2F" w:rsidP="00DF1D05">
      <w:pPr>
        <w:spacing w:before="240" w:after="200"/>
        <w:ind w:right="91"/>
      </w:pPr>
      <w:r>
        <w:rPr>
          <w:color w:val="000000"/>
          <w:szCs w:val="24"/>
        </w:rPr>
        <w:t>The ability</w:t>
      </w:r>
      <w:r w:rsidR="00DF1D05" w:rsidRPr="00F504B5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to give an infringement notice </w:t>
      </w:r>
      <w:r w:rsidR="008C5953">
        <w:rPr>
          <w:color w:val="000000"/>
          <w:szCs w:val="24"/>
        </w:rPr>
        <w:t xml:space="preserve">(along with the other existing enforcement options) </w:t>
      </w:r>
      <w:r w:rsidR="00DF1D05" w:rsidRPr="00F504B5">
        <w:rPr>
          <w:color w:val="000000"/>
          <w:szCs w:val="24"/>
        </w:rPr>
        <w:t>give</w:t>
      </w:r>
      <w:r>
        <w:rPr>
          <w:color w:val="000000"/>
          <w:szCs w:val="24"/>
        </w:rPr>
        <w:t>s</w:t>
      </w:r>
      <w:r w:rsidR="00DF1D05" w:rsidRPr="00F504B5">
        <w:rPr>
          <w:color w:val="000000"/>
          <w:szCs w:val="24"/>
        </w:rPr>
        <w:t xml:space="preserve"> ASIC sufficient flexibility to pursue the most appropriate action in each case, which will depend on its assessment of various considerations. </w:t>
      </w:r>
      <w:r w:rsidR="006D512B">
        <w:rPr>
          <w:color w:val="000000"/>
          <w:szCs w:val="24"/>
        </w:rPr>
        <w:t>This approach</w:t>
      </w:r>
      <w:r w:rsidR="005D7537">
        <w:rPr>
          <w:color w:val="000000"/>
          <w:szCs w:val="24"/>
        </w:rPr>
        <w:t xml:space="preserve"> is</w:t>
      </w:r>
      <w:r w:rsidR="00DF1D05" w:rsidRPr="00F504B5">
        <w:rPr>
          <w:color w:val="000000"/>
          <w:szCs w:val="24"/>
        </w:rPr>
        <w:t xml:space="preserve"> also consistent with the consequences </w:t>
      </w:r>
      <w:r w:rsidR="005D7537">
        <w:rPr>
          <w:color w:val="000000"/>
          <w:szCs w:val="24"/>
        </w:rPr>
        <w:t>that appl</w:t>
      </w:r>
      <w:r w:rsidR="00264A18">
        <w:rPr>
          <w:color w:val="000000"/>
          <w:szCs w:val="24"/>
        </w:rPr>
        <w:t>ied</w:t>
      </w:r>
      <w:r w:rsidR="005D7537">
        <w:rPr>
          <w:color w:val="000000"/>
          <w:szCs w:val="24"/>
        </w:rPr>
        <w:t xml:space="preserve"> </w:t>
      </w:r>
      <w:r w:rsidR="005E206C">
        <w:rPr>
          <w:color w:val="000000"/>
          <w:szCs w:val="24"/>
        </w:rPr>
        <w:t xml:space="preserve">in relation to </w:t>
      </w:r>
      <w:r w:rsidR="005D7537">
        <w:rPr>
          <w:color w:val="000000"/>
          <w:szCs w:val="24"/>
        </w:rPr>
        <w:t xml:space="preserve">the </w:t>
      </w:r>
      <w:r w:rsidR="006D512B">
        <w:rPr>
          <w:color w:val="000000"/>
          <w:szCs w:val="24"/>
        </w:rPr>
        <w:t>former</w:t>
      </w:r>
      <w:r w:rsidR="005D7537">
        <w:rPr>
          <w:color w:val="000000"/>
          <w:szCs w:val="24"/>
        </w:rPr>
        <w:t xml:space="preserve"> breach reporting </w:t>
      </w:r>
      <w:r w:rsidR="00891AE6">
        <w:rPr>
          <w:color w:val="000000"/>
          <w:szCs w:val="24"/>
        </w:rPr>
        <w:t>regime</w:t>
      </w:r>
      <w:r w:rsidR="005D7537">
        <w:rPr>
          <w:color w:val="000000"/>
          <w:szCs w:val="24"/>
        </w:rPr>
        <w:t xml:space="preserve"> </w:t>
      </w:r>
      <w:r w:rsidR="00891AE6">
        <w:rPr>
          <w:color w:val="000000"/>
          <w:szCs w:val="24"/>
        </w:rPr>
        <w:t>(being the regime</w:t>
      </w:r>
      <w:r w:rsidR="006D512B">
        <w:rPr>
          <w:color w:val="000000"/>
          <w:szCs w:val="24"/>
        </w:rPr>
        <w:t xml:space="preserve"> that </w:t>
      </w:r>
      <w:r w:rsidR="005E206C">
        <w:rPr>
          <w:color w:val="000000"/>
          <w:szCs w:val="24"/>
        </w:rPr>
        <w:t>is</w:t>
      </w:r>
      <w:r w:rsidR="006D512B">
        <w:rPr>
          <w:color w:val="000000"/>
          <w:szCs w:val="24"/>
        </w:rPr>
        <w:t xml:space="preserve"> replaced with </w:t>
      </w:r>
      <w:r w:rsidR="005D7537">
        <w:rPr>
          <w:color w:val="000000"/>
          <w:szCs w:val="24"/>
        </w:rPr>
        <w:t xml:space="preserve">the amendments in Schedule 11 to the </w:t>
      </w:r>
      <w:r w:rsidR="005D7537" w:rsidRPr="004A4D0D">
        <w:rPr>
          <w:i/>
        </w:rPr>
        <w:t>Financial Sector Reform (Hayne Royal Commission Response) Act 2020</w:t>
      </w:r>
      <w:r w:rsidR="005D7537">
        <w:t xml:space="preserve"> (the </w:t>
      </w:r>
      <w:r w:rsidR="006D512B">
        <w:t>Act</w:t>
      </w:r>
      <w:r w:rsidR="005E206C">
        <w:t>)).</w:t>
      </w:r>
    </w:p>
    <w:p w14:paraId="75D19A52" w14:textId="34C9AA82" w:rsidR="00DF1D05" w:rsidRDefault="00DF1D05" w:rsidP="00DF1D05">
      <w:pPr>
        <w:pStyle w:val="Heading1"/>
        <w:jc w:val="left"/>
        <w:rPr>
          <w:rFonts w:ascii="Times New Roman" w:hAnsi="Times New Roman"/>
          <w:b w:val="0"/>
          <w:i/>
          <w:sz w:val="24"/>
          <w:u w:val="none"/>
        </w:rPr>
      </w:pPr>
      <w:r w:rsidRPr="005E206C">
        <w:rPr>
          <w:rFonts w:ascii="Times New Roman" w:hAnsi="Times New Roman"/>
          <w:b w:val="0"/>
          <w:i/>
          <w:sz w:val="24"/>
          <w:u w:val="none"/>
        </w:rPr>
        <w:t>Minor and technical amendments</w:t>
      </w:r>
    </w:p>
    <w:p w14:paraId="2A86090D" w14:textId="7CDE8871" w:rsidR="00067233" w:rsidRDefault="00D653AA" w:rsidP="00A90A95">
      <w:pPr>
        <w:spacing w:before="240" w:after="200"/>
        <w:ind w:right="91"/>
      </w:pPr>
      <w:r w:rsidRPr="00D653AA">
        <w:t>I</w:t>
      </w:r>
      <w:r w:rsidR="00E84E22">
        <w:t>tem 3</w:t>
      </w:r>
      <w:r>
        <w:t xml:space="preserve"> repeals </w:t>
      </w:r>
      <w:r w:rsidR="00845F6F">
        <w:t>p</w:t>
      </w:r>
      <w:r w:rsidR="00C344BC">
        <w:t>aragraph</w:t>
      </w:r>
      <w:r w:rsidR="00845F6F">
        <w:t xml:space="preserve"> 1.0.05A</w:t>
      </w:r>
      <w:r w:rsidR="00DC4268">
        <w:t>(2</w:t>
      </w:r>
      <w:r w:rsidR="00845F6F">
        <w:t xml:space="preserve">)(b) of the </w:t>
      </w:r>
      <w:r w:rsidR="00845F6F" w:rsidRPr="00E84E22">
        <w:rPr>
          <w:i/>
        </w:rPr>
        <w:t>Corporations Regulations</w:t>
      </w:r>
      <w:r w:rsidR="00845F6F" w:rsidRPr="00E84E22">
        <w:t xml:space="preserve"> </w:t>
      </w:r>
      <w:r w:rsidR="00E84E22" w:rsidRPr="00E84E22">
        <w:rPr>
          <w:i/>
        </w:rPr>
        <w:t>2001</w:t>
      </w:r>
      <w:r w:rsidR="00E84E22">
        <w:t xml:space="preserve"> (Corporations Regulations)</w:t>
      </w:r>
      <w:r w:rsidR="005256A3">
        <w:t xml:space="preserve">. </w:t>
      </w:r>
      <w:r w:rsidR="00774187">
        <w:t>This paragraph</w:t>
      </w:r>
      <w:r w:rsidR="00144A8A">
        <w:t xml:space="preserve"> </w:t>
      </w:r>
      <w:r w:rsidR="00774187">
        <w:t>provides that</w:t>
      </w:r>
      <w:r w:rsidR="00845F6F">
        <w:t xml:space="preserve"> </w:t>
      </w:r>
      <w:r w:rsidR="005256A3">
        <w:t>a breach report</w:t>
      </w:r>
      <w:r w:rsidR="00845F6F" w:rsidRPr="005E206C">
        <w:t xml:space="preserve"> </w:t>
      </w:r>
      <w:r w:rsidR="00845F6F" w:rsidRPr="005E206C">
        <w:rPr>
          <w:i/>
        </w:rPr>
        <w:t>may</w:t>
      </w:r>
      <w:r w:rsidR="00845F6F" w:rsidRPr="005256A3">
        <w:rPr>
          <w:i/>
        </w:rPr>
        <w:t xml:space="preserve"> </w:t>
      </w:r>
      <w:r w:rsidR="005256A3">
        <w:t xml:space="preserve">be </w:t>
      </w:r>
      <w:r w:rsidR="00666650">
        <w:t>lodged with</w:t>
      </w:r>
      <w:r w:rsidR="00845F6F">
        <w:t xml:space="preserve"> ASIC in the prescribed form. However, </w:t>
      </w:r>
      <w:r w:rsidR="00891AE6">
        <w:t>under the new breach reporting regime</w:t>
      </w:r>
      <w:r w:rsidR="005E206C">
        <w:t xml:space="preserve">, </w:t>
      </w:r>
      <w:r w:rsidR="00845F6F">
        <w:t xml:space="preserve">breach reports </w:t>
      </w:r>
      <w:r w:rsidR="005E206C" w:rsidRPr="005E206C">
        <w:rPr>
          <w:i/>
        </w:rPr>
        <w:t>must</w:t>
      </w:r>
      <w:r w:rsidR="00774187" w:rsidRPr="00774187">
        <w:t xml:space="preserve"> be </w:t>
      </w:r>
      <w:r w:rsidR="00666650">
        <w:t>lodged with</w:t>
      </w:r>
      <w:r w:rsidR="00845F6F">
        <w:t xml:space="preserve"> ASIC in the prescribed form. </w:t>
      </w:r>
      <w:r w:rsidR="000B3E4E">
        <w:t>Paragraph 1.0.05A(2)(b) of the Corporations Regulations is therefore</w:t>
      </w:r>
      <w:r w:rsidR="006C7061">
        <w:t xml:space="preserve"> repealed </w:t>
      </w:r>
      <w:r w:rsidR="00A6357E">
        <w:t>as</w:t>
      </w:r>
      <w:r w:rsidR="006C7061">
        <w:t xml:space="preserve"> </w:t>
      </w:r>
      <w:r w:rsidR="00A6357E">
        <w:t xml:space="preserve">it has been superseded by the </w:t>
      </w:r>
      <w:r w:rsidR="00144A8A">
        <w:t xml:space="preserve">new </w:t>
      </w:r>
      <w:r w:rsidR="00A6357E">
        <w:t>requirements in the Corporations Act.</w:t>
      </w:r>
    </w:p>
    <w:p w14:paraId="45560A0F" w14:textId="7D1A837A" w:rsidR="00666650" w:rsidRDefault="000C73DD" w:rsidP="0047280F">
      <w:pPr>
        <w:spacing w:before="240" w:after="200"/>
        <w:ind w:right="91"/>
      </w:pPr>
      <w:r>
        <w:t xml:space="preserve">Item </w:t>
      </w:r>
      <w:r w:rsidR="00ED11FC">
        <w:t>3 also repeals</w:t>
      </w:r>
      <w:r>
        <w:t xml:space="preserve"> </w:t>
      </w:r>
      <w:r w:rsidR="005B3CEC">
        <w:t>paragraph 1.0.05A(2)(c) of the Corporations Regulations</w:t>
      </w:r>
      <w:r w:rsidR="00ED11FC">
        <w:t xml:space="preserve"> and substitutes it with a new paragraph to update </w:t>
      </w:r>
      <w:r w:rsidR="008C5953">
        <w:t>the reference</w:t>
      </w:r>
      <w:r w:rsidR="00DD040E">
        <w:t xml:space="preserve"> to</w:t>
      </w:r>
      <w:r w:rsidR="008C5953">
        <w:t xml:space="preserve"> the Corporations Act</w:t>
      </w:r>
      <w:r w:rsidR="005B3CEC">
        <w:t xml:space="preserve">. </w:t>
      </w:r>
      <w:r>
        <w:t xml:space="preserve">This reflects that Schedule 11 to the Act repealed section 912D of </w:t>
      </w:r>
      <w:r w:rsidR="00F638DE">
        <w:t>Corporations Act</w:t>
      </w:r>
      <w:r>
        <w:t xml:space="preserve"> and </w:t>
      </w:r>
      <w:r w:rsidR="00841C96">
        <w:t>r</w:t>
      </w:r>
      <w:r w:rsidR="0047280F">
        <w:t xml:space="preserve">eplaced it with new provisions, so former subsection 912D(2) was replaced with subsection 912DAC(1). These provisions require </w:t>
      </w:r>
      <w:r w:rsidR="00841C96">
        <w:t xml:space="preserve">financial services licensees </w:t>
      </w:r>
      <w:r w:rsidR="0047280F">
        <w:t xml:space="preserve">to </w:t>
      </w:r>
      <w:r w:rsidR="00841C96">
        <w:t>notify ASIC when the licensee becomes a participant in a licensed market or a licensed CS facility (or ceases to be such a participant)</w:t>
      </w:r>
      <w:r w:rsidR="00DD040E">
        <w:t>. New paragraph 1.0.05A(2)(b</w:t>
      </w:r>
      <w:r w:rsidR="0047280F">
        <w:t xml:space="preserve">) of the Corporations Regulations provides that such a notice may be lodged with ASIC in the prescribed form. </w:t>
      </w:r>
      <w:r w:rsidR="00102B27">
        <w:t xml:space="preserve">There are no substantive changes to the operation of </w:t>
      </w:r>
      <w:r w:rsidR="0047280F">
        <w:t>this provision</w:t>
      </w:r>
      <w:r w:rsidR="005B3CEC">
        <w:t xml:space="preserve"> as a result of this change</w:t>
      </w:r>
      <w:r w:rsidR="00102B27">
        <w:t>.</w:t>
      </w:r>
    </w:p>
    <w:p w14:paraId="0B2AD3C1" w14:textId="60B8A0F0" w:rsidR="00845F6F" w:rsidRDefault="00102B27" w:rsidP="005C0D62">
      <w:pPr>
        <w:spacing w:before="240" w:after="200"/>
        <w:ind w:right="91"/>
      </w:pPr>
      <w:r>
        <w:t>Similarly, i</w:t>
      </w:r>
      <w:r w:rsidR="000B3E4E">
        <w:t>tem</w:t>
      </w:r>
      <w:r w:rsidR="00ED11FC">
        <w:t xml:space="preserve"> 5</w:t>
      </w:r>
      <w:r w:rsidR="000B3E4E">
        <w:t xml:space="preserve"> </w:t>
      </w:r>
      <w:r>
        <w:t>amend</w:t>
      </w:r>
      <w:r w:rsidR="0047280F">
        <w:t>s</w:t>
      </w:r>
      <w:r w:rsidR="00845F6F">
        <w:t xml:space="preserve"> regulation 7.6.02A </w:t>
      </w:r>
      <w:r w:rsidR="000B3E4E">
        <w:t xml:space="preserve">of the Corporations Regulations </w:t>
      </w:r>
      <w:r w:rsidR="005C0D62">
        <w:t>by</w:t>
      </w:r>
      <w:r w:rsidR="0047280F">
        <w:t xml:space="preserve"> updat</w:t>
      </w:r>
      <w:r w:rsidR="005C0D62">
        <w:t>ing</w:t>
      </w:r>
      <w:r>
        <w:t xml:space="preserve"> the reference to subparagraph 912D(1)(a)(iii) </w:t>
      </w:r>
      <w:r w:rsidR="005C0D62">
        <w:t>to</w:t>
      </w:r>
      <w:r>
        <w:t xml:space="preserve"> paragraph </w:t>
      </w:r>
      <w:r w:rsidR="00845F6F">
        <w:t>912D(3)(c).</w:t>
      </w:r>
      <w:r w:rsidR="00F504B5">
        <w:t xml:space="preserve"> </w:t>
      </w:r>
      <w:r w:rsidR="005C0D62">
        <w:t>This regulation specifies</w:t>
      </w:r>
      <w:r w:rsidR="00845F6F">
        <w:t xml:space="preserve"> Commonwealth </w:t>
      </w:r>
      <w:r>
        <w:t>legislation</w:t>
      </w:r>
      <w:r w:rsidR="005C0D62">
        <w:t xml:space="preserve"> </w:t>
      </w:r>
      <w:r w:rsidR="005B3FBC">
        <w:t>for the purposes of the breach reporting</w:t>
      </w:r>
      <w:r w:rsidR="0002227D">
        <w:t xml:space="preserve"> regime. The provisions of the</w:t>
      </w:r>
      <w:r w:rsidR="005B3FBC">
        <w:t xml:space="preserve"> specified Commonwealth legislation</w:t>
      </w:r>
      <w:r w:rsidR="0002227D">
        <w:t xml:space="preserve"> are</w:t>
      </w:r>
      <w:r w:rsidR="005B3FBC">
        <w:t xml:space="preserve"> </w:t>
      </w:r>
      <w:r w:rsidR="0059472F">
        <w:t>considered to be</w:t>
      </w:r>
      <w:r w:rsidR="005C0D62">
        <w:t xml:space="preserve"> core obligations</w:t>
      </w:r>
      <w:r w:rsidR="00A90A95">
        <w:t xml:space="preserve"> under the breach rep</w:t>
      </w:r>
      <w:r w:rsidR="005953A4">
        <w:t xml:space="preserve">orting </w:t>
      </w:r>
      <w:r w:rsidR="00891AE6">
        <w:t>regime</w:t>
      </w:r>
      <w:r w:rsidR="00C47AE0">
        <w:t>, in so far as they cover conduct relating to the provision of financial services.</w:t>
      </w:r>
      <w:r w:rsidR="005C0D62">
        <w:t xml:space="preserve"> </w:t>
      </w:r>
      <w:r w:rsidR="008245B9">
        <w:t xml:space="preserve">Significant breaches or likely breaches of core obligations (or investigations into whether such a matter has or will occur) are required to be reported under the new breach reporting </w:t>
      </w:r>
      <w:r w:rsidR="00891AE6">
        <w:t>regime</w:t>
      </w:r>
      <w:r w:rsidR="008245B9">
        <w:t>.</w:t>
      </w:r>
      <w:r w:rsidR="00C47AE0">
        <w:t xml:space="preserve"> There are no substantive changes to the operatio</w:t>
      </w:r>
      <w:r w:rsidR="008245B9">
        <w:t>n of this provision as a result of this change.</w:t>
      </w:r>
    </w:p>
    <w:p w14:paraId="1E6C5E19" w14:textId="5618AC2D" w:rsidR="00F716B4" w:rsidRDefault="00ED11FC" w:rsidP="00A90A95">
      <w:pPr>
        <w:spacing w:before="240" w:after="200"/>
        <w:ind w:right="91"/>
      </w:pPr>
      <w:r>
        <w:t>Item 6</w:t>
      </w:r>
      <w:r w:rsidR="00C47AE0">
        <w:t xml:space="preserve"> repeals </w:t>
      </w:r>
      <w:r w:rsidR="0059472F">
        <w:t>paragraph 7.6.02A(ac)</w:t>
      </w:r>
      <w:r w:rsidR="008245B9">
        <w:t xml:space="preserve"> of the Corporations Regulations,</w:t>
      </w:r>
      <w:r w:rsidR="00F716B4">
        <w:t xml:space="preserve"> which </w:t>
      </w:r>
      <w:r w:rsidR="008245B9">
        <w:t xml:space="preserve">specifies </w:t>
      </w:r>
      <w:r w:rsidR="00F716B4">
        <w:t xml:space="preserve">the </w:t>
      </w:r>
      <w:r w:rsidR="00F716B4" w:rsidRPr="00F716B4">
        <w:rPr>
          <w:i/>
        </w:rPr>
        <w:t>Clean Energy Act 2011</w:t>
      </w:r>
      <w:r w:rsidR="008245B9">
        <w:t xml:space="preserve"> as such a Commonwealth legislation. This reflects that the</w:t>
      </w:r>
      <w:r w:rsidR="00F716B4">
        <w:t xml:space="preserve"> </w:t>
      </w:r>
      <w:r w:rsidR="00F716B4" w:rsidRPr="00F716B4">
        <w:rPr>
          <w:i/>
        </w:rPr>
        <w:t>Clean Energy Act 2011</w:t>
      </w:r>
      <w:r w:rsidR="00F716B4">
        <w:t xml:space="preserve"> was repealed in 2014</w:t>
      </w:r>
      <w:r w:rsidR="008245B9">
        <w:t>.</w:t>
      </w:r>
      <w:r w:rsidR="00F716B4">
        <w:t xml:space="preserve"> </w:t>
      </w:r>
    </w:p>
    <w:p w14:paraId="25A6FD71" w14:textId="0058A4C0" w:rsidR="00C47AE0" w:rsidRDefault="00ED11FC" w:rsidP="00A90A95">
      <w:pPr>
        <w:spacing w:before="240" w:after="200"/>
        <w:ind w:right="91"/>
      </w:pPr>
      <w:r>
        <w:lastRenderedPageBreak/>
        <w:t>Item 7</w:t>
      </w:r>
      <w:r w:rsidR="00F716B4">
        <w:t xml:space="preserve"> amends paragraph 7.6.02A(d) to update the reference to the </w:t>
      </w:r>
      <w:r w:rsidR="00F716B4" w:rsidRPr="00F716B4">
        <w:rPr>
          <w:i/>
        </w:rPr>
        <w:t>Financial Sector (Transfer and Restructure) Act 1999</w:t>
      </w:r>
      <w:r w:rsidR="008245B9">
        <w:t>, as</w:t>
      </w:r>
      <w:r w:rsidR="00F716B4">
        <w:t xml:space="preserve"> the short title of that Act was amended by the </w:t>
      </w:r>
      <w:r w:rsidR="00F716B4" w:rsidRPr="00F716B4">
        <w:rPr>
          <w:i/>
        </w:rPr>
        <w:t>Financial Sector Legislation Amendment (Crisis Resolution Powers and Other Measures) Act 2018</w:t>
      </w:r>
      <w:r w:rsidR="00D133EA">
        <w:t>.</w:t>
      </w:r>
    </w:p>
    <w:p w14:paraId="103FA44B" w14:textId="2E1B06C8" w:rsidR="0047280F" w:rsidRDefault="00ED11FC" w:rsidP="00A90A95">
      <w:pPr>
        <w:spacing w:before="240" w:after="200"/>
        <w:ind w:right="91"/>
      </w:pPr>
      <w:r>
        <w:t>Item 4</w:t>
      </w:r>
      <w:r w:rsidR="0047280F">
        <w:t xml:space="preserve"> </w:t>
      </w:r>
      <w:r w:rsidR="008245B9">
        <w:t xml:space="preserve">is a consequential amendment that takes into account new </w:t>
      </w:r>
      <w:r w:rsidR="00FA7585">
        <w:t>subregulation</w:t>
      </w:r>
      <w:r w:rsidR="008245B9">
        <w:t xml:space="preserve"> 7.6.02A(2) of the Corporations Regulations, which </w:t>
      </w:r>
      <w:r w:rsidR="00FA7585">
        <w:t>prescribes the civil penalty provisions that are not taken to be significant for the purposes of paragraph 912D(4)(b) of the Corporations Act.</w:t>
      </w:r>
    </w:p>
    <w:p w14:paraId="27F2B588" w14:textId="426DA86F" w:rsidR="00D133EA" w:rsidRDefault="00D133EA" w:rsidP="00D133EA">
      <w:pPr>
        <w:pStyle w:val="Heading1"/>
        <w:jc w:val="left"/>
        <w:rPr>
          <w:rFonts w:ascii="Times New Roman" w:hAnsi="Times New Roman"/>
          <w:b w:val="0"/>
          <w:i/>
          <w:sz w:val="24"/>
          <w:u w:val="none"/>
        </w:rPr>
      </w:pPr>
      <w:r w:rsidRPr="00D133EA">
        <w:rPr>
          <w:rFonts w:ascii="Times New Roman" w:hAnsi="Times New Roman"/>
          <w:b w:val="0"/>
          <w:i/>
          <w:sz w:val="24"/>
          <w:u w:val="none"/>
        </w:rPr>
        <w:t>Application</w:t>
      </w:r>
    </w:p>
    <w:p w14:paraId="7D0D0A42" w14:textId="624FB697" w:rsidR="008C5E83" w:rsidRDefault="008C5E83" w:rsidP="007B1DC4">
      <w:pPr>
        <w:spacing w:before="240" w:after="200"/>
        <w:ind w:right="91"/>
      </w:pPr>
      <w:r>
        <w:t xml:space="preserve">The former breach reporting </w:t>
      </w:r>
      <w:r w:rsidR="00891AE6">
        <w:t>regime</w:t>
      </w:r>
      <w:r>
        <w:t xml:space="preserve"> will continue to have some application on and after 1 October 2021. In particular, the application provisions in Schedule 11 to the Act provides that the former breach reporting </w:t>
      </w:r>
      <w:r w:rsidR="00891AE6">
        <w:t>regime</w:t>
      </w:r>
      <w:r>
        <w:t xml:space="preserve"> continues to apply in relation to breaches and likely breaches that occur</w:t>
      </w:r>
      <w:r w:rsidR="00F57DEF">
        <w:t>red</w:t>
      </w:r>
      <w:r>
        <w:t xml:space="preserve"> before 1 October 2021, if, before 1 </w:t>
      </w:r>
      <w:r w:rsidRPr="00257D8B">
        <w:t>October 2021, the licensee knew the breach or likely breach occurred</w:t>
      </w:r>
      <w:r>
        <w:t xml:space="preserve">. </w:t>
      </w:r>
    </w:p>
    <w:p w14:paraId="0BF74316" w14:textId="37AEB186" w:rsidR="00D133EA" w:rsidRPr="00D133EA" w:rsidRDefault="00FA7585" w:rsidP="00257D8B">
      <w:pPr>
        <w:spacing w:before="240" w:after="200"/>
        <w:ind w:right="91"/>
      </w:pPr>
      <w:r>
        <w:t xml:space="preserve">Item </w:t>
      </w:r>
      <w:r w:rsidR="00ED11FC">
        <w:t>11</w:t>
      </w:r>
      <w:r w:rsidR="008C5E83">
        <w:t xml:space="preserve"> ensures the provisions that are repealed by the Regulations continue to apply in relation to the former </w:t>
      </w:r>
      <w:r w:rsidR="005953A4">
        <w:t xml:space="preserve">breach reporting </w:t>
      </w:r>
      <w:r w:rsidR="00891AE6">
        <w:t>regime</w:t>
      </w:r>
      <w:r w:rsidR="008C5E83">
        <w:t xml:space="preserve"> in these circumstances. </w:t>
      </w:r>
      <w:r w:rsidR="007B1DC4">
        <w:t>This m</w:t>
      </w:r>
      <w:r w:rsidR="00D133EA">
        <w:t xml:space="preserve">irrors the application provisions relating to </w:t>
      </w:r>
      <w:r w:rsidR="00BD1322">
        <w:t xml:space="preserve">the Corporations Act amendments </w:t>
      </w:r>
      <w:r w:rsidR="00A034FB">
        <w:t>in Schedule </w:t>
      </w:r>
      <w:r w:rsidR="00D133EA">
        <w:t>11 to the Act.</w:t>
      </w:r>
    </w:p>
    <w:p w14:paraId="1FC901D3" w14:textId="77777777" w:rsidR="00D30124" w:rsidRDefault="00D30124">
      <w:pPr>
        <w:spacing w:before="0" w:after="0"/>
        <w:rPr>
          <w:b/>
          <w:i/>
          <w:kern w:val="28"/>
        </w:rPr>
      </w:pPr>
      <w:r>
        <w:rPr>
          <w:i/>
        </w:rPr>
        <w:br w:type="page"/>
      </w:r>
    </w:p>
    <w:p w14:paraId="729B6FBC" w14:textId="57C0F021" w:rsidR="0034019F" w:rsidRPr="00067233" w:rsidRDefault="0034019F" w:rsidP="0034019F">
      <w:pPr>
        <w:pStyle w:val="Heading1"/>
        <w:jc w:val="left"/>
        <w:rPr>
          <w:rFonts w:ascii="Times New Roman" w:hAnsi="Times New Roman"/>
          <w:i/>
          <w:color w:val="FF0000"/>
          <w:sz w:val="24"/>
          <w:u w:val="none"/>
        </w:rPr>
      </w:pPr>
      <w:r>
        <w:rPr>
          <w:rFonts w:ascii="Times New Roman" w:hAnsi="Times New Roman"/>
          <w:i/>
          <w:sz w:val="24"/>
          <w:u w:val="none"/>
        </w:rPr>
        <w:lastRenderedPageBreak/>
        <w:t>A</w:t>
      </w:r>
      <w:r w:rsidRPr="00067233">
        <w:rPr>
          <w:rFonts w:ascii="Times New Roman" w:hAnsi="Times New Roman"/>
          <w:i/>
          <w:sz w:val="24"/>
          <w:u w:val="none"/>
        </w:rPr>
        <w:t>mendments</w:t>
      </w:r>
      <w:r>
        <w:rPr>
          <w:rFonts w:ascii="Times New Roman" w:hAnsi="Times New Roman"/>
          <w:i/>
          <w:sz w:val="24"/>
          <w:u w:val="none"/>
        </w:rPr>
        <w:t xml:space="preserve"> to the National Consumer Credit Protection Regulations 2010</w:t>
      </w:r>
    </w:p>
    <w:p w14:paraId="501A65F3" w14:textId="77777777" w:rsidR="0034019F" w:rsidRDefault="0034019F" w:rsidP="0034019F">
      <w:pPr>
        <w:pStyle w:val="Heading1"/>
        <w:jc w:val="left"/>
        <w:rPr>
          <w:rFonts w:ascii="Times New Roman" w:hAnsi="Times New Roman"/>
          <w:b w:val="0"/>
          <w:i/>
          <w:sz w:val="24"/>
          <w:u w:val="none"/>
        </w:rPr>
      </w:pPr>
      <w:r>
        <w:rPr>
          <w:rFonts w:ascii="Times New Roman" w:hAnsi="Times New Roman"/>
          <w:b w:val="0"/>
          <w:i/>
          <w:sz w:val="24"/>
          <w:u w:val="none"/>
        </w:rPr>
        <w:t>Civil penalty provisions that are not taken to be significant if contravened</w:t>
      </w:r>
    </w:p>
    <w:p w14:paraId="4814CD7F" w14:textId="5777A352" w:rsidR="00B42C3F" w:rsidRPr="00F82589" w:rsidRDefault="007C787E" w:rsidP="0034019F">
      <w:pPr>
        <w:spacing w:before="240" w:after="200"/>
        <w:ind w:right="91"/>
      </w:pPr>
      <w:r>
        <w:t xml:space="preserve">Item </w:t>
      </w:r>
      <w:r w:rsidR="00ED11FC">
        <w:t>13</w:t>
      </w:r>
      <w:r w:rsidR="0034019F">
        <w:t xml:space="preserve"> prescribes the following civil penalty provisions </w:t>
      </w:r>
      <w:r w:rsidR="00A034FB">
        <w:t xml:space="preserve">in the Credit Act </w:t>
      </w:r>
      <w:r w:rsidR="0034019F">
        <w:t xml:space="preserve">for the purposes of paragraph </w:t>
      </w:r>
      <w:r>
        <w:t>50A(4)(b) of the Credit Act</w:t>
      </w:r>
      <w:r w:rsidR="00B42C3F">
        <w:t>:</w:t>
      </w:r>
    </w:p>
    <w:tbl>
      <w:tblPr>
        <w:tblStyle w:val="ListTable3"/>
        <w:tblpPr w:leftFromText="180" w:rightFromText="180" w:vertAnchor="text" w:horzAnchor="margin" w:tblpY="-25"/>
        <w:tblW w:w="0" w:type="auto"/>
        <w:tblLook w:val="04A0" w:firstRow="1" w:lastRow="0" w:firstColumn="1" w:lastColumn="0" w:noHBand="0" w:noVBand="1"/>
      </w:tblPr>
      <w:tblGrid>
        <w:gridCol w:w="1387"/>
        <w:gridCol w:w="6909"/>
      </w:tblGrid>
      <w:tr w:rsidR="004A7FB8" w:rsidRPr="00B42C3F" w14:paraId="7B63B5BF" w14:textId="77777777" w:rsidTr="004A7F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36C3EE99" w14:textId="77777777" w:rsidR="004A7FB8" w:rsidRPr="00F82589" w:rsidRDefault="004A7FB8" w:rsidP="004A7FB8">
            <w:pPr>
              <w:keepNext/>
              <w:keepLines/>
              <w:widowControl w:val="0"/>
              <w:spacing w:before="40" w:after="40"/>
              <w:rPr>
                <w:color w:val="auto"/>
                <w:sz w:val="22"/>
              </w:rPr>
            </w:pPr>
            <w:r w:rsidRPr="00F82589">
              <w:rPr>
                <w:color w:val="auto"/>
                <w:sz w:val="22"/>
              </w:rPr>
              <w:t>Provision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</w:tcPr>
          <w:p w14:paraId="15A52406" w14:textId="77777777" w:rsidR="004A7FB8" w:rsidRPr="00F82589" w:rsidRDefault="004A7FB8" w:rsidP="004A7FB8">
            <w:pPr>
              <w:keepNext/>
              <w:keepLines/>
              <w:widowControl w:val="0"/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</w:rPr>
            </w:pPr>
            <w:r w:rsidRPr="00F82589">
              <w:rPr>
                <w:color w:val="auto"/>
                <w:sz w:val="22"/>
              </w:rPr>
              <w:t>Description</w:t>
            </w:r>
          </w:p>
        </w:tc>
      </w:tr>
      <w:tr w:rsidR="004A7FB8" w14:paraId="047A7587" w14:textId="77777777" w:rsidTr="004A7F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14:paraId="3B4049BD" w14:textId="77777777" w:rsidR="004A7FB8" w:rsidRPr="00A034FB" w:rsidRDefault="004A7FB8" w:rsidP="004A7FB8">
            <w:pPr>
              <w:keepNext/>
              <w:keepLines/>
              <w:widowControl w:val="0"/>
              <w:spacing w:before="40" w:after="40"/>
              <w:rPr>
                <w:b w:val="0"/>
                <w:sz w:val="22"/>
              </w:rPr>
            </w:pPr>
            <w:r w:rsidRPr="00A034FB">
              <w:rPr>
                <w:b w:val="0"/>
                <w:sz w:val="22"/>
              </w:rPr>
              <w:t>Subsection 52(2)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2C599A20" w14:textId="4E88EAAC" w:rsidR="004A7FB8" w:rsidRPr="00A034FB" w:rsidRDefault="004A7FB8" w:rsidP="004A7FB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</w:rPr>
            </w:pPr>
            <w:r w:rsidRPr="00A034FB">
              <w:rPr>
                <w:bCs/>
                <w:sz w:val="22"/>
              </w:rPr>
              <w:t>Failure to cite</w:t>
            </w:r>
            <w:r>
              <w:rPr>
                <w:bCs/>
                <w:sz w:val="22"/>
              </w:rPr>
              <w:t xml:space="preserve"> the licensee’s</w:t>
            </w:r>
            <w:r w:rsidRPr="00A034FB">
              <w:rPr>
                <w:bCs/>
                <w:sz w:val="22"/>
              </w:rPr>
              <w:t xml:space="preserve"> Australian credit licence number</w:t>
            </w:r>
            <w:r w:rsidR="00D30124">
              <w:rPr>
                <w:bCs/>
                <w:sz w:val="22"/>
              </w:rPr>
              <w:t xml:space="preserve"> in a document of a kind prescribed by the regulations</w:t>
            </w:r>
          </w:p>
        </w:tc>
      </w:tr>
      <w:tr w:rsidR="004A7FB8" w14:paraId="47F23D12" w14:textId="77777777" w:rsidTr="004A7F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14:paraId="68FB5C7C" w14:textId="77777777" w:rsidR="004A7FB8" w:rsidRPr="00A034FB" w:rsidRDefault="004A7FB8" w:rsidP="004A7FB8">
            <w:pPr>
              <w:keepNext/>
              <w:keepLines/>
              <w:widowControl w:val="0"/>
              <w:spacing w:before="40" w:after="40"/>
              <w:rPr>
                <w:b w:val="0"/>
                <w:sz w:val="22"/>
              </w:rPr>
            </w:pPr>
            <w:r w:rsidRPr="00A034FB">
              <w:rPr>
                <w:b w:val="0"/>
                <w:sz w:val="22"/>
              </w:rPr>
              <w:t>Subsection 113(1)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0E17F3D7" w14:textId="77777777" w:rsidR="004A7FB8" w:rsidRPr="00A034FB" w:rsidRDefault="004A7FB8" w:rsidP="004A7FB8">
            <w:pPr>
              <w:keepNext/>
              <w:keepLines/>
              <w:widowControl w:val="0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A034FB">
              <w:rPr>
                <w:sz w:val="22"/>
              </w:rPr>
              <w:t xml:space="preserve">Failure </w:t>
            </w:r>
            <w:r>
              <w:rPr>
                <w:sz w:val="22"/>
              </w:rPr>
              <w:t>to</w:t>
            </w:r>
            <w:r w:rsidRPr="00A034FB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give a consumer the licensee’s credit guide before providing credit assistance to the consumer </w:t>
            </w:r>
            <w:r w:rsidRPr="00A034FB">
              <w:rPr>
                <w:sz w:val="22"/>
              </w:rPr>
              <w:t>in relation to a credit contract</w:t>
            </w:r>
          </w:p>
        </w:tc>
      </w:tr>
      <w:tr w:rsidR="004A7FB8" w14:paraId="6FF77CE5" w14:textId="77777777" w:rsidTr="004A7F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4" w:space="0" w:color="auto"/>
            </w:tcBorders>
          </w:tcPr>
          <w:p w14:paraId="331DBDB2" w14:textId="77777777" w:rsidR="004A7FB8" w:rsidRPr="00A034FB" w:rsidRDefault="004A7FB8" w:rsidP="004A7FB8">
            <w:pPr>
              <w:keepNext/>
              <w:keepLines/>
              <w:widowControl w:val="0"/>
              <w:spacing w:before="40" w:after="40"/>
              <w:rPr>
                <w:b w:val="0"/>
                <w:sz w:val="22"/>
              </w:rPr>
            </w:pPr>
            <w:r w:rsidRPr="00A034FB">
              <w:rPr>
                <w:b w:val="0"/>
                <w:sz w:val="22"/>
              </w:rPr>
              <w:t>Subsection 126(1)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17032D8F" w14:textId="77777777" w:rsidR="004A7FB8" w:rsidRPr="00A034FB" w:rsidRDefault="004A7FB8" w:rsidP="004A7FB8">
            <w:pPr>
              <w:keepNext/>
              <w:keepLines/>
              <w:widowControl w:val="0"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 xml:space="preserve">Failure to give a consumer the licensee’s </w:t>
            </w:r>
            <w:r w:rsidRPr="00A034FB">
              <w:rPr>
                <w:sz w:val="22"/>
              </w:rPr>
              <w:t xml:space="preserve">credit guide </w:t>
            </w:r>
            <w:r>
              <w:rPr>
                <w:sz w:val="22"/>
              </w:rPr>
              <w:t>before entering a</w:t>
            </w:r>
            <w:r w:rsidRPr="00A034FB">
              <w:rPr>
                <w:sz w:val="22"/>
              </w:rPr>
              <w:t xml:space="preserve"> credit contract</w:t>
            </w:r>
            <w:r>
              <w:rPr>
                <w:sz w:val="22"/>
              </w:rPr>
              <w:t xml:space="preserve"> with the consumer</w:t>
            </w:r>
          </w:p>
        </w:tc>
      </w:tr>
      <w:tr w:rsidR="004A7FB8" w14:paraId="4E57FE4A" w14:textId="77777777" w:rsidTr="004A7F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4" w:space="0" w:color="auto"/>
            </w:tcBorders>
          </w:tcPr>
          <w:p w14:paraId="047F5501" w14:textId="77777777" w:rsidR="004A7FB8" w:rsidRPr="00A034FB" w:rsidRDefault="004A7FB8" w:rsidP="004A7FB8">
            <w:pPr>
              <w:keepNext/>
              <w:keepLines/>
              <w:widowControl w:val="0"/>
              <w:spacing w:before="40" w:after="40"/>
              <w:rPr>
                <w:b w:val="0"/>
                <w:sz w:val="22"/>
              </w:rPr>
            </w:pPr>
            <w:r w:rsidRPr="00A034FB">
              <w:rPr>
                <w:b w:val="0"/>
                <w:sz w:val="22"/>
              </w:rPr>
              <w:t>Subsection 127(1)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23ECCBED" w14:textId="77777777" w:rsidR="004A7FB8" w:rsidRPr="00A034FB" w:rsidRDefault="004A7FB8" w:rsidP="004A7FB8">
            <w:pPr>
              <w:keepNext/>
              <w:keepLines/>
              <w:widowControl w:val="0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 xml:space="preserve">Failure to give a debtor the licensee’s </w:t>
            </w:r>
            <w:r w:rsidRPr="00A034FB">
              <w:rPr>
                <w:sz w:val="22"/>
              </w:rPr>
              <w:t>credit guide</w:t>
            </w:r>
            <w:r>
              <w:rPr>
                <w:sz w:val="22"/>
              </w:rPr>
              <w:t xml:space="preserve"> after the licensee is assigned any rights or obligations of a credit provider under the credit contract</w:t>
            </w:r>
          </w:p>
        </w:tc>
      </w:tr>
      <w:tr w:rsidR="004A7FB8" w14:paraId="0965295C" w14:textId="77777777" w:rsidTr="004A7F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4" w:space="0" w:color="auto"/>
            </w:tcBorders>
          </w:tcPr>
          <w:p w14:paraId="20C349C1" w14:textId="77777777" w:rsidR="004A7FB8" w:rsidRPr="00A034FB" w:rsidRDefault="004A7FB8" w:rsidP="004A7FB8">
            <w:pPr>
              <w:keepNext/>
              <w:keepLines/>
              <w:widowControl w:val="0"/>
              <w:spacing w:before="40" w:after="40"/>
              <w:rPr>
                <w:b w:val="0"/>
                <w:sz w:val="22"/>
              </w:rPr>
            </w:pPr>
            <w:r w:rsidRPr="00A034FB">
              <w:rPr>
                <w:b w:val="0"/>
                <w:sz w:val="22"/>
              </w:rPr>
              <w:t xml:space="preserve">Subsection 136(1) 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7EF14807" w14:textId="77777777" w:rsidR="004A7FB8" w:rsidRPr="00A034FB" w:rsidRDefault="004A7FB8" w:rsidP="004A7FB8">
            <w:pPr>
              <w:keepNext/>
              <w:keepLines/>
              <w:widowControl w:val="0"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Failure to give a consumer the licensee’s</w:t>
            </w:r>
            <w:r w:rsidRPr="00A034FB">
              <w:rPr>
                <w:sz w:val="22"/>
              </w:rPr>
              <w:t xml:space="preserve"> credit guide </w:t>
            </w:r>
            <w:r>
              <w:rPr>
                <w:sz w:val="22"/>
              </w:rPr>
              <w:t>before providing</w:t>
            </w:r>
            <w:r w:rsidRPr="00A034FB">
              <w:rPr>
                <w:sz w:val="22"/>
              </w:rPr>
              <w:t xml:space="preserve"> credit assistanc</w:t>
            </w:r>
            <w:r>
              <w:rPr>
                <w:sz w:val="22"/>
              </w:rPr>
              <w:t>e</w:t>
            </w:r>
            <w:r w:rsidRPr="00A034FB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to the consumer </w:t>
            </w:r>
            <w:r w:rsidRPr="00A034FB">
              <w:rPr>
                <w:sz w:val="22"/>
              </w:rPr>
              <w:t>in relation to a consumer lease</w:t>
            </w:r>
          </w:p>
        </w:tc>
      </w:tr>
      <w:tr w:rsidR="004A7FB8" w14:paraId="7CC04666" w14:textId="77777777" w:rsidTr="004A7F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4" w:space="0" w:color="auto"/>
            </w:tcBorders>
          </w:tcPr>
          <w:p w14:paraId="08F068CB" w14:textId="77777777" w:rsidR="004A7FB8" w:rsidRPr="00A034FB" w:rsidRDefault="004A7FB8" w:rsidP="004A7FB8">
            <w:pPr>
              <w:keepNext/>
              <w:keepLines/>
              <w:widowControl w:val="0"/>
              <w:spacing w:before="40" w:after="40"/>
              <w:rPr>
                <w:b w:val="0"/>
                <w:sz w:val="22"/>
              </w:rPr>
            </w:pPr>
            <w:r w:rsidRPr="00A034FB">
              <w:rPr>
                <w:b w:val="0"/>
                <w:sz w:val="22"/>
              </w:rPr>
              <w:t>Subsection 149(1)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09F0FA55" w14:textId="77777777" w:rsidR="004A7FB8" w:rsidRPr="00A034FB" w:rsidRDefault="004A7FB8" w:rsidP="004A7FB8">
            <w:pPr>
              <w:keepNext/>
              <w:keepLines/>
              <w:widowControl w:val="0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 xml:space="preserve">Failure to give a consumer the license’s </w:t>
            </w:r>
            <w:r w:rsidRPr="00A034FB">
              <w:rPr>
                <w:sz w:val="22"/>
              </w:rPr>
              <w:t xml:space="preserve">credit guide </w:t>
            </w:r>
            <w:r>
              <w:rPr>
                <w:sz w:val="22"/>
              </w:rPr>
              <w:t>before entering a consumer lease with the consumer</w:t>
            </w:r>
          </w:p>
        </w:tc>
      </w:tr>
      <w:tr w:rsidR="004A7FB8" w14:paraId="20DF8A67" w14:textId="77777777" w:rsidTr="004A7F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4" w:space="0" w:color="auto"/>
            </w:tcBorders>
          </w:tcPr>
          <w:p w14:paraId="7759A7BE" w14:textId="77777777" w:rsidR="004A7FB8" w:rsidRPr="00A034FB" w:rsidRDefault="004A7FB8" w:rsidP="004A7FB8">
            <w:pPr>
              <w:keepNext/>
              <w:keepLines/>
              <w:widowControl w:val="0"/>
              <w:spacing w:before="40" w:after="40"/>
              <w:rPr>
                <w:b w:val="0"/>
                <w:sz w:val="22"/>
              </w:rPr>
            </w:pPr>
            <w:r w:rsidRPr="00A034FB">
              <w:rPr>
                <w:b w:val="0"/>
                <w:sz w:val="22"/>
              </w:rPr>
              <w:t>Subsection 150(1)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45852B6B" w14:textId="77777777" w:rsidR="004A7FB8" w:rsidRPr="00A034FB" w:rsidRDefault="004A7FB8" w:rsidP="004A7FB8">
            <w:pPr>
              <w:keepNext/>
              <w:keepLines/>
              <w:widowControl w:val="0"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A034FB">
              <w:rPr>
                <w:sz w:val="22"/>
              </w:rPr>
              <w:t xml:space="preserve">Failure to </w:t>
            </w:r>
            <w:r>
              <w:rPr>
                <w:sz w:val="22"/>
              </w:rPr>
              <w:t>give a lessee the licensee’s credit guide after the licensee is assigned any rights or obligations of a lessor under the</w:t>
            </w:r>
            <w:r w:rsidRPr="00A034FB">
              <w:rPr>
                <w:sz w:val="22"/>
              </w:rPr>
              <w:t xml:space="preserve"> consumer lease </w:t>
            </w:r>
          </w:p>
        </w:tc>
      </w:tr>
      <w:tr w:rsidR="004A7FB8" w14:paraId="07774BAE" w14:textId="77777777" w:rsidTr="004A7F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4" w:space="0" w:color="auto"/>
            </w:tcBorders>
          </w:tcPr>
          <w:p w14:paraId="3ACD65CA" w14:textId="77777777" w:rsidR="004A7FB8" w:rsidRPr="00A034FB" w:rsidRDefault="004A7FB8" w:rsidP="004A7FB8">
            <w:pPr>
              <w:keepNext/>
              <w:keepLines/>
              <w:widowControl w:val="0"/>
              <w:spacing w:before="40" w:after="40"/>
              <w:rPr>
                <w:b w:val="0"/>
                <w:sz w:val="22"/>
              </w:rPr>
            </w:pPr>
            <w:r w:rsidRPr="00A034FB">
              <w:rPr>
                <w:b w:val="0"/>
                <w:sz w:val="22"/>
              </w:rPr>
              <w:t>Subsection 158(1)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74C6BE16" w14:textId="77777777" w:rsidR="004A7FB8" w:rsidRPr="00A034FB" w:rsidRDefault="004A7FB8" w:rsidP="004A7FB8">
            <w:pPr>
              <w:keepNext/>
              <w:keepLines/>
              <w:widowControl w:val="0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A034FB">
              <w:rPr>
                <w:sz w:val="22"/>
              </w:rPr>
              <w:t xml:space="preserve">Failure </w:t>
            </w:r>
            <w:r>
              <w:rPr>
                <w:sz w:val="22"/>
              </w:rPr>
              <w:t>to give the credit representative’s credit guide</w:t>
            </w:r>
            <w:r w:rsidRPr="00A034FB">
              <w:rPr>
                <w:sz w:val="22"/>
              </w:rPr>
              <w:t xml:space="preserve"> </w:t>
            </w:r>
          </w:p>
        </w:tc>
      </w:tr>
      <w:tr w:rsidR="004A7FB8" w14:paraId="2BFFA4F0" w14:textId="77777777" w:rsidTr="004A7F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4" w:space="0" w:color="auto"/>
            </w:tcBorders>
          </w:tcPr>
          <w:p w14:paraId="069F0517" w14:textId="77777777" w:rsidR="004A7FB8" w:rsidRPr="00A034FB" w:rsidRDefault="004A7FB8" w:rsidP="004A7FB8">
            <w:pPr>
              <w:keepNext/>
              <w:keepLines/>
              <w:widowControl w:val="0"/>
              <w:spacing w:before="40" w:after="40"/>
              <w:rPr>
                <w:b w:val="0"/>
                <w:sz w:val="22"/>
              </w:rPr>
            </w:pPr>
            <w:r w:rsidRPr="00A034FB">
              <w:rPr>
                <w:b w:val="0"/>
                <w:sz w:val="22"/>
              </w:rPr>
              <w:t>Subsection 160(1)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1D9303A5" w14:textId="77777777" w:rsidR="004A7FB8" w:rsidRPr="00A034FB" w:rsidRDefault="004A7FB8" w:rsidP="004A7FB8">
            <w:pPr>
              <w:keepNext/>
              <w:keepLines/>
              <w:widowControl w:val="0"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A034FB">
              <w:rPr>
                <w:sz w:val="22"/>
              </w:rPr>
              <w:t xml:space="preserve">Failure to </w:t>
            </w:r>
            <w:r>
              <w:rPr>
                <w:sz w:val="22"/>
              </w:rPr>
              <w:t>give a debtor the</w:t>
            </w:r>
            <w:r w:rsidRPr="00A034FB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licensee’s or credit representative’s </w:t>
            </w:r>
            <w:r w:rsidRPr="00A034FB">
              <w:rPr>
                <w:sz w:val="22"/>
              </w:rPr>
              <w:t xml:space="preserve">credit </w:t>
            </w:r>
            <w:r>
              <w:rPr>
                <w:sz w:val="22"/>
              </w:rPr>
              <w:t>guide after the licensee or credit representative becomes authorised to collect repayments by the debtor on behalf of the credit provider</w:t>
            </w:r>
          </w:p>
        </w:tc>
      </w:tr>
      <w:tr w:rsidR="004A7FB8" w14:paraId="112F61B2" w14:textId="77777777" w:rsidTr="004A7F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4" w:space="0" w:color="auto"/>
            </w:tcBorders>
          </w:tcPr>
          <w:p w14:paraId="0967566B" w14:textId="77777777" w:rsidR="004A7FB8" w:rsidRPr="00A034FB" w:rsidRDefault="004A7FB8" w:rsidP="004A7FB8">
            <w:pPr>
              <w:keepNext/>
              <w:keepLines/>
              <w:widowControl w:val="0"/>
              <w:spacing w:before="40" w:after="40"/>
              <w:rPr>
                <w:b w:val="0"/>
                <w:sz w:val="22"/>
              </w:rPr>
            </w:pPr>
            <w:r w:rsidRPr="00A034FB">
              <w:rPr>
                <w:b w:val="0"/>
                <w:sz w:val="22"/>
              </w:rPr>
              <w:t>Subsection 160(2)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5C6B086F" w14:textId="00A3D3EF" w:rsidR="004A7FB8" w:rsidRPr="00A034FB" w:rsidRDefault="004A7FB8" w:rsidP="004A7FB8">
            <w:pPr>
              <w:keepNext/>
              <w:keepLines/>
              <w:widowControl w:val="0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A034FB">
              <w:rPr>
                <w:sz w:val="22"/>
              </w:rPr>
              <w:t xml:space="preserve">Failure to </w:t>
            </w:r>
            <w:r>
              <w:rPr>
                <w:sz w:val="22"/>
              </w:rPr>
              <w:t>give a lessee the</w:t>
            </w:r>
            <w:r w:rsidRPr="00A034FB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licensee’s or credit representative’s </w:t>
            </w:r>
            <w:r w:rsidRPr="00A034FB">
              <w:rPr>
                <w:sz w:val="22"/>
              </w:rPr>
              <w:t xml:space="preserve">credit </w:t>
            </w:r>
            <w:r>
              <w:rPr>
                <w:sz w:val="22"/>
              </w:rPr>
              <w:t>guide after the licensee or credit representative becomes authorised to collect payments by the lessee on behalf of the lessor</w:t>
            </w:r>
          </w:p>
        </w:tc>
      </w:tr>
    </w:tbl>
    <w:p w14:paraId="765F897A" w14:textId="6B7B8E59" w:rsidR="0034019F" w:rsidRDefault="00623211" w:rsidP="0034019F">
      <w:pPr>
        <w:spacing w:before="240" w:after="200"/>
        <w:ind w:right="91"/>
      </w:pPr>
      <w:r>
        <w:t>This means that</w:t>
      </w:r>
      <w:r w:rsidR="0034019F">
        <w:t xml:space="preserve"> a breach of any of these civil penalty provisions is </w:t>
      </w:r>
      <w:r w:rsidR="0034019F" w:rsidRPr="000A0423">
        <w:rPr>
          <w:i/>
        </w:rPr>
        <w:t>not</w:t>
      </w:r>
      <w:r w:rsidR="0034019F">
        <w:t xml:space="preserve"> taken to be significant for the purposes of paragraph </w:t>
      </w:r>
      <w:r w:rsidR="00B3240B">
        <w:t>50A(4)(b) of the Credit Act.</w:t>
      </w:r>
    </w:p>
    <w:p w14:paraId="4A2A1038" w14:textId="10DF9AF7" w:rsidR="0034019F" w:rsidRDefault="0034019F" w:rsidP="0034019F">
      <w:pPr>
        <w:spacing w:before="240" w:after="200"/>
        <w:ind w:right="91"/>
      </w:pPr>
      <w:r w:rsidRPr="00352C0C">
        <w:t xml:space="preserve">However, </w:t>
      </w:r>
      <w:r w:rsidR="00623211">
        <w:t xml:space="preserve">such a </w:t>
      </w:r>
      <w:r w:rsidRPr="00352C0C">
        <w:t>breach</w:t>
      </w:r>
      <w:r>
        <w:t xml:space="preserve"> </w:t>
      </w:r>
      <w:r w:rsidRPr="00352C0C">
        <w:t xml:space="preserve">may still be significant and reportable </w:t>
      </w:r>
      <w:r>
        <w:t xml:space="preserve">under the breach reporting </w:t>
      </w:r>
      <w:r w:rsidR="00891AE6">
        <w:t>regime</w:t>
      </w:r>
      <w:r>
        <w:t xml:space="preserve"> </w:t>
      </w:r>
      <w:r w:rsidRPr="00352C0C">
        <w:t>if one of the other circumstances in the deemed significance test</w:t>
      </w:r>
      <w:r w:rsidR="00623211">
        <w:t xml:space="preserve"> </w:t>
      </w:r>
      <w:r>
        <w:t xml:space="preserve">in subsection </w:t>
      </w:r>
      <w:r w:rsidR="00B3240B">
        <w:t>50A(4)</w:t>
      </w:r>
      <w:r w:rsidRPr="00352C0C">
        <w:t xml:space="preserve"> apply, or if the breach is significant under </w:t>
      </w:r>
      <w:r>
        <w:t>the</w:t>
      </w:r>
      <w:r w:rsidR="00623211">
        <w:t xml:space="preserve"> test in subsection </w:t>
      </w:r>
      <w:r w:rsidR="00B3240B">
        <w:t>50A(5) of the Credit Act</w:t>
      </w:r>
      <w:r>
        <w:t xml:space="preserve">. </w:t>
      </w:r>
    </w:p>
    <w:p w14:paraId="4ABD1AC5" w14:textId="05C60889" w:rsidR="0034019F" w:rsidRPr="00352C0C" w:rsidRDefault="0034019F" w:rsidP="0034019F">
      <w:pPr>
        <w:spacing w:before="240" w:after="200"/>
        <w:ind w:right="91"/>
      </w:pPr>
      <w:r>
        <w:t xml:space="preserve">For example, if a </w:t>
      </w:r>
      <w:r w:rsidR="00B3240B">
        <w:t>credit</w:t>
      </w:r>
      <w:r>
        <w:t xml:space="preserve"> licensee fails </w:t>
      </w:r>
      <w:r w:rsidR="00D30124">
        <w:t>to give a consumer the licensee’s credit guide before providing credit assistance to the consumer in relation to a credit contract (as required under subsection 113(1))</w:t>
      </w:r>
      <w:r w:rsidR="00623211">
        <w:t xml:space="preserve">, </w:t>
      </w:r>
      <w:r>
        <w:t xml:space="preserve">that breach is not taken to be significant for the purposes of </w:t>
      </w:r>
      <w:r w:rsidR="00B3240B">
        <w:t>paragraph 50A(4)(b)</w:t>
      </w:r>
      <w:r>
        <w:t xml:space="preserve"> of the C</w:t>
      </w:r>
      <w:r w:rsidR="00B3240B">
        <w:t>redit</w:t>
      </w:r>
      <w:r>
        <w:t xml:space="preserve"> Act. However, if that breach results in </w:t>
      </w:r>
      <w:r w:rsidR="00B3240B">
        <w:t xml:space="preserve">or is likely to result in </w:t>
      </w:r>
      <w:r>
        <w:t xml:space="preserve">material loss or damage </w:t>
      </w:r>
      <w:r w:rsidR="00B3240B">
        <w:t>to a credit activity client of the licensee</w:t>
      </w:r>
      <w:r>
        <w:t xml:space="preserve">, then the breach would be taken to be significant under paragraph </w:t>
      </w:r>
      <w:r w:rsidR="00623211">
        <w:t>50A(4)(e)</w:t>
      </w:r>
      <w:r w:rsidR="006105B5">
        <w:t>.</w:t>
      </w:r>
      <w:r>
        <w:t xml:space="preserve"> Therefore, the breach would need to be reported to ASIC within the required timeframe.</w:t>
      </w:r>
    </w:p>
    <w:p w14:paraId="53B8DD05" w14:textId="77777777" w:rsidR="0034019F" w:rsidRDefault="0034019F" w:rsidP="00D30124">
      <w:pPr>
        <w:keepNext/>
        <w:widowControl w:val="0"/>
        <w:rPr>
          <w:rFonts w:cstheme="minorHAnsi"/>
        </w:rPr>
      </w:pPr>
      <w:r>
        <w:rPr>
          <w:rFonts w:cstheme="minorHAnsi"/>
        </w:rPr>
        <w:lastRenderedPageBreak/>
        <w:t xml:space="preserve">The rationale for prescribing these civil penalty provisions is: </w:t>
      </w:r>
    </w:p>
    <w:p w14:paraId="6C110191" w14:textId="77777777" w:rsidR="00AD427E" w:rsidRDefault="00AD427E" w:rsidP="00AD427E">
      <w:pPr>
        <w:pStyle w:val="Bullet"/>
      </w:pPr>
      <w:r>
        <w:t xml:space="preserve">a breach of these provisions may be minor, technical or inadvertent in nature; </w:t>
      </w:r>
    </w:p>
    <w:p w14:paraId="13EB736A" w14:textId="77777777" w:rsidR="00AD427E" w:rsidRDefault="00AD427E" w:rsidP="00AD427E">
      <w:pPr>
        <w:pStyle w:val="Bullet"/>
      </w:pPr>
      <w:r>
        <w:t>given the frequency with which these documents must be provided, it is possible minor, technical or inadvertent breaches (that would not otherwise be significant) would result in a large regulatory burden if they were deemed automatically significant; and</w:t>
      </w:r>
    </w:p>
    <w:p w14:paraId="4062D3D2" w14:textId="37459735" w:rsidR="00AD427E" w:rsidRDefault="00AD427E" w:rsidP="00AD427E">
      <w:pPr>
        <w:pStyle w:val="Bullet"/>
      </w:pPr>
      <w:r>
        <w:t xml:space="preserve">more material breaches of these provisions would be captured by the other limbs of the deemed significant test in subsection 50A(4) or </w:t>
      </w:r>
      <w:r w:rsidR="009C521C">
        <w:t xml:space="preserve">by </w:t>
      </w:r>
      <w:r>
        <w:t>the test in subsection 50A(5) of the</w:t>
      </w:r>
      <w:r w:rsidR="009C521C">
        <w:t xml:space="preserve"> Credit Act</w:t>
      </w:r>
      <w:r>
        <w:t>.</w:t>
      </w:r>
    </w:p>
    <w:p w14:paraId="2F5E8AB5" w14:textId="77777777" w:rsidR="00523699" w:rsidRPr="004B723C" w:rsidRDefault="00523699" w:rsidP="00523699">
      <w:pPr>
        <w:pStyle w:val="Heading2"/>
        <w:rPr>
          <w:b w:val="0"/>
          <w:i/>
          <w:sz w:val="24"/>
          <w:u w:val="none"/>
        </w:rPr>
      </w:pPr>
      <w:r>
        <w:rPr>
          <w:b w:val="0"/>
          <w:i/>
          <w:sz w:val="24"/>
          <w:u w:val="none"/>
        </w:rPr>
        <w:t>B</w:t>
      </w:r>
      <w:r w:rsidRPr="004B723C">
        <w:rPr>
          <w:b w:val="0"/>
          <w:i/>
          <w:sz w:val="24"/>
          <w:u w:val="none"/>
        </w:rPr>
        <w:t xml:space="preserve">reach reporting offences and civil penalty provisions </w:t>
      </w:r>
      <w:r>
        <w:rPr>
          <w:b w:val="0"/>
          <w:i/>
          <w:sz w:val="24"/>
          <w:u w:val="none"/>
        </w:rPr>
        <w:t xml:space="preserve">that are </w:t>
      </w:r>
      <w:r w:rsidRPr="004B723C">
        <w:rPr>
          <w:b w:val="0"/>
          <w:i/>
          <w:sz w:val="24"/>
          <w:u w:val="none"/>
        </w:rPr>
        <w:t>subject to an infringement notice</w:t>
      </w:r>
    </w:p>
    <w:p w14:paraId="667A5473" w14:textId="57690C09" w:rsidR="00523699" w:rsidRDefault="00ED11FC" w:rsidP="00523699">
      <w:pPr>
        <w:spacing w:before="240" w:after="200"/>
        <w:ind w:right="91"/>
      </w:pPr>
      <w:r>
        <w:t>Item 14</w:t>
      </w:r>
      <w:r w:rsidR="00523699">
        <w:t xml:space="preserve"> prescribes the offence in subsection 50B(2) of the Credit Act as being subject to an infringement notice. This offence relates to a failure by </w:t>
      </w:r>
      <w:r w:rsidR="00D30124">
        <w:t xml:space="preserve">a </w:t>
      </w:r>
      <w:r w:rsidR="00523699">
        <w:t>credit licensee to report a reportable situation to ASIC within the required timeframe where there are reasonable grounds to believe the reportable situation has arisen in relation to the licensee.</w:t>
      </w:r>
    </w:p>
    <w:p w14:paraId="7E06B6FC" w14:textId="6AD6B39F" w:rsidR="00523699" w:rsidRPr="00026BA7" w:rsidRDefault="00ED11FC" w:rsidP="00523699">
      <w:pPr>
        <w:pStyle w:val="Bullet"/>
        <w:numPr>
          <w:ilvl w:val="0"/>
          <w:numId w:val="0"/>
        </w:numPr>
      </w:pPr>
      <w:r>
        <w:t>Item 15</w:t>
      </w:r>
      <w:r w:rsidR="00523699">
        <w:t xml:space="preserve"> prescribes the civil penalty provisions in subsections 50C(1) and (5) of the Credit Act as being subject to an infringement notice. These civil penalty provisions apply if a licensee fails to either lodge a breach report</w:t>
      </w:r>
      <w:r w:rsidR="00D30124">
        <w:t xml:space="preserve"> with ASIC</w:t>
      </w:r>
      <w:r w:rsidR="00523699">
        <w:t xml:space="preserve"> about a mortgage broker that is engaged by </w:t>
      </w:r>
      <w:r w:rsidR="00523699" w:rsidRPr="008E0B2F">
        <w:rPr>
          <w:i/>
        </w:rPr>
        <w:t>another</w:t>
      </w:r>
      <w:r w:rsidR="00523699">
        <w:t xml:space="preserve"> licensee, or provide a copy of that report to the other licensee</w:t>
      </w:r>
      <w:r w:rsidR="00D30124">
        <w:t>,</w:t>
      </w:r>
      <w:r w:rsidR="00523699">
        <w:t xml:space="preserve"> as required.</w:t>
      </w:r>
    </w:p>
    <w:p w14:paraId="62A6E15F" w14:textId="58B33562" w:rsidR="00523699" w:rsidRPr="00F504B5" w:rsidRDefault="00523699" w:rsidP="00523699">
      <w:pPr>
        <w:spacing w:before="240" w:after="200"/>
        <w:ind w:right="91"/>
        <w:rPr>
          <w:color w:val="000000"/>
          <w:szCs w:val="24"/>
        </w:rPr>
      </w:pPr>
      <w:r>
        <w:rPr>
          <w:color w:val="000000"/>
          <w:szCs w:val="24"/>
        </w:rPr>
        <w:t xml:space="preserve">Prescribing this offence and these civil penalty provisions as being subject to an infringement notice </w:t>
      </w:r>
      <w:r w:rsidRPr="00F504B5">
        <w:rPr>
          <w:color w:val="000000"/>
          <w:szCs w:val="24"/>
        </w:rPr>
        <w:t>is appropriate as there may be a high volume of contravention</w:t>
      </w:r>
      <w:r>
        <w:rPr>
          <w:color w:val="000000"/>
          <w:szCs w:val="24"/>
        </w:rPr>
        <w:t>s (ranging in severity) of these</w:t>
      </w:r>
      <w:r w:rsidRPr="00F504B5">
        <w:rPr>
          <w:color w:val="000000"/>
          <w:szCs w:val="24"/>
        </w:rPr>
        <w:t xml:space="preserve"> provisions. The </w:t>
      </w:r>
      <w:r>
        <w:rPr>
          <w:color w:val="000000"/>
          <w:szCs w:val="24"/>
        </w:rPr>
        <w:t xml:space="preserve">Attorney-General’s </w:t>
      </w:r>
      <w:r w:rsidRPr="00026BA7">
        <w:rPr>
          <w:color w:val="000000"/>
          <w:szCs w:val="24"/>
        </w:rPr>
        <w:t>Department’s</w:t>
      </w:r>
      <w:r>
        <w:rPr>
          <w:color w:val="000000"/>
          <w:szCs w:val="24"/>
        </w:rPr>
        <w:t xml:space="preserve"> </w:t>
      </w:r>
      <w:r w:rsidRPr="00026BA7">
        <w:rPr>
          <w:i/>
          <w:color w:val="000000"/>
          <w:szCs w:val="24"/>
        </w:rPr>
        <w:t>A Guide to Framing Commonwealth Offences, Infringement Notices and Enforcement Powers</w:t>
      </w:r>
      <w:r w:rsidRPr="00F504B5">
        <w:rPr>
          <w:color w:val="000000"/>
          <w:szCs w:val="24"/>
        </w:rPr>
        <w:t xml:space="preserve"> highlights failing to comply with reporting obligations as an example of a case where </w:t>
      </w:r>
      <w:r w:rsidRPr="00F504B5">
        <w:rPr>
          <w:szCs w:val="24"/>
        </w:rPr>
        <w:t>issuing</w:t>
      </w:r>
      <w:r w:rsidRPr="00F504B5">
        <w:rPr>
          <w:color w:val="000000"/>
          <w:szCs w:val="24"/>
        </w:rPr>
        <w:t xml:space="preserve"> infringement notices may be appropriate.</w:t>
      </w:r>
    </w:p>
    <w:p w14:paraId="3720F538" w14:textId="77777777" w:rsidR="00523699" w:rsidRPr="00F504B5" w:rsidRDefault="00523699" w:rsidP="00523699">
      <w:pPr>
        <w:spacing w:before="240" w:after="200"/>
        <w:ind w:right="91"/>
        <w:rPr>
          <w:color w:val="000000"/>
          <w:szCs w:val="24"/>
        </w:rPr>
      </w:pPr>
      <w:r w:rsidRPr="00F504B5">
        <w:rPr>
          <w:color w:val="000000"/>
          <w:szCs w:val="24"/>
        </w:rPr>
        <w:t>Minor contraventions may be caused by poor internal processes. Where this is the case, the use of infringement notices may lead to a faster rectification of processes, as licensees are put on notice by ASIC sooner.</w:t>
      </w:r>
    </w:p>
    <w:p w14:paraId="0275802E" w14:textId="5BF7A0AC" w:rsidR="00523699" w:rsidRPr="00523699" w:rsidRDefault="00523699" w:rsidP="00523699">
      <w:pPr>
        <w:pStyle w:val="Bullet"/>
        <w:numPr>
          <w:ilvl w:val="0"/>
          <w:numId w:val="0"/>
        </w:numPr>
      </w:pPr>
      <w:r>
        <w:rPr>
          <w:color w:val="000000"/>
          <w:szCs w:val="24"/>
        </w:rPr>
        <w:t>The ability</w:t>
      </w:r>
      <w:r w:rsidRPr="00F504B5">
        <w:rPr>
          <w:color w:val="000000"/>
          <w:szCs w:val="24"/>
        </w:rPr>
        <w:t xml:space="preserve"> </w:t>
      </w:r>
      <w:r w:rsidR="00D30124">
        <w:rPr>
          <w:color w:val="000000"/>
          <w:szCs w:val="24"/>
        </w:rPr>
        <w:t>to give</w:t>
      </w:r>
      <w:r>
        <w:rPr>
          <w:color w:val="000000"/>
          <w:szCs w:val="24"/>
        </w:rPr>
        <w:t xml:space="preserve"> an infringement notice (along with the other existing enforcement options) </w:t>
      </w:r>
      <w:r w:rsidR="00D30124">
        <w:rPr>
          <w:color w:val="000000"/>
          <w:szCs w:val="24"/>
        </w:rPr>
        <w:t xml:space="preserve">provides </w:t>
      </w:r>
      <w:r w:rsidRPr="00F504B5">
        <w:rPr>
          <w:color w:val="000000"/>
          <w:szCs w:val="24"/>
        </w:rPr>
        <w:t>ASIC sufficient flexibility to pursue the most appropriate action in each case, which will depend on its assessment of various considerations</w:t>
      </w:r>
      <w:r w:rsidR="00D30124">
        <w:rPr>
          <w:color w:val="000000"/>
          <w:szCs w:val="24"/>
        </w:rPr>
        <w:t>.</w:t>
      </w:r>
      <w:r w:rsidRPr="00F504B5">
        <w:rPr>
          <w:color w:val="000000"/>
          <w:szCs w:val="24"/>
        </w:rPr>
        <w:t xml:space="preserve"> These options are </w:t>
      </w:r>
      <w:r w:rsidR="00623211">
        <w:rPr>
          <w:color w:val="000000"/>
          <w:szCs w:val="24"/>
        </w:rPr>
        <w:t xml:space="preserve">consistent with the options that apply in relation to the breach reporting </w:t>
      </w:r>
      <w:r w:rsidR="00891AE6">
        <w:rPr>
          <w:color w:val="000000"/>
          <w:szCs w:val="24"/>
        </w:rPr>
        <w:t>regime</w:t>
      </w:r>
      <w:r w:rsidR="00623211">
        <w:rPr>
          <w:color w:val="000000"/>
          <w:szCs w:val="24"/>
        </w:rPr>
        <w:t xml:space="preserve"> in the Corporations Act.</w:t>
      </w:r>
    </w:p>
    <w:p w14:paraId="6A0C556A" w14:textId="77777777" w:rsidR="009021CE" w:rsidRDefault="009021CE">
      <w:pPr>
        <w:spacing w:before="0" w:after="0"/>
        <w:rPr>
          <w:b/>
          <w:i/>
          <w:kern w:val="28"/>
        </w:rPr>
      </w:pPr>
      <w:r>
        <w:rPr>
          <w:i/>
        </w:rPr>
        <w:br w:type="page"/>
      </w:r>
    </w:p>
    <w:p w14:paraId="37032CE4" w14:textId="7C33CB54" w:rsidR="0034019F" w:rsidRPr="00257D8B" w:rsidRDefault="00421CC3" w:rsidP="00257D8B">
      <w:pPr>
        <w:pStyle w:val="Heading1"/>
        <w:jc w:val="left"/>
        <w:rPr>
          <w:rFonts w:ascii="Times New Roman" w:hAnsi="Times New Roman"/>
          <w:i/>
          <w:sz w:val="24"/>
          <w:u w:val="none"/>
        </w:rPr>
      </w:pPr>
      <w:r w:rsidRPr="00421CC3">
        <w:rPr>
          <w:rFonts w:ascii="Times New Roman" w:hAnsi="Times New Roman"/>
          <w:i/>
          <w:sz w:val="24"/>
          <w:u w:val="none"/>
        </w:rPr>
        <w:lastRenderedPageBreak/>
        <w:t xml:space="preserve">Other amendments </w:t>
      </w:r>
    </w:p>
    <w:p w14:paraId="51D85054" w14:textId="25E97D67" w:rsidR="00421CC3" w:rsidRDefault="00BD1322" w:rsidP="00421CC3">
      <w:pPr>
        <w:spacing w:before="240" w:after="200"/>
        <w:ind w:right="91"/>
      </w:pPr>
      <w:r>
        <w:t>Item 2 u</w:t>
      </w:r>
      <w:r w:rsidR="00421CC3">
        <w:t xml:space="preserve">pdates </w:t>
      </w:r>
      <w:r>
        <w:t>the reference</w:t>
      </w:r>
      <w:r w:rsidR="00421CC3">
        <w:t xml:space="preserve"> in the table in clause 1 of Schedule 1 to the </w:t>
      </w:r>
      <w:r w:rsidR="00421CC3" w:rsidRPr="00BD1322">
        <w:rPr>
          <w:i/>
        </w:rPr>
        <w:t>Corporations (F</w:t>
      </w:r>
      <w:r w:rsidR="00533604" w:rsidRPr="00BD1322">
        <w:rPr>
          <w:i/>
        </w:rPr>
        <w:t>ees) Regulations 2001</w:t>
      </w:r>
      <w:r w:rsidR="00533604">
        <w:t xml:space="preserve"> to confirm that financial services licensees are not required to pay a fee on lodging a breach report. </w:t>
      </w:r>
    </w:p>
    <w:p w14:paraId="3C586120" w14:textId="711E335D" w:rsidR="00F16413" w:rsidRDefault="00623211" w:rsidP="00421CC3">
      <w:pPr>
        <w:spacing w:before="240" w:after="200"/>
        <w:ind w:right="91"/>
      </w:pPr>
      <w:r>
        <w:t>As</w:t>
      </w:r>
      <w:r w:rsidR="00F57DEF">
        <w:t xml:space="preserve"> the</w:t>
      </w:r>
      <w:r>
        <w:t xml:space="preserve"> former breach reporting </w:t>
      </w:r>
      <w:r w:rsidR="00891AE6">
        <w:t>regime</w:t>
      </w:r>
      <w:r>
        <w:t xml:space="preserve"> in the Corporations Act will continue to have some application on and after 1 October 2021, item 1 ensure</w:t>
      </w:r>
      <w:r w:rsidR="00CA72C0">
        <w:t>s</w:t>
      </w:r>
      <w:r>
        <w:t xml:space="preserve"> the repeal of the existing reference in cl</w:t>
      </w:r>
      <w:r w:rsidR="00CA72C0">
        <w:t>a</w:t>
      </w:r>
      <w:r>
        <w:t xml:space="preserve">use 1 of Schedule 1 to the </w:t>
      </w:r>
      <w:r>
        <w:rPr>
          <w:i/>
        </w:rPr>
        <w:t>Corporations (Fees) Regulations </w:t>
      </w:r>
      <w:r w:rsidRPr="00623211">
        <w:rPr>
          <w:i/>
        </w:rPr>
        <w:t>2001</w:t>
      </w:r>
      <w:r>
        <w:t xml:space="preserve"> continues to apply in relation to the former breach reporting </w:t>
      </w:r>
      <w:r w:rsidR="00891AE6">
        <w:t>regime</w:t>
      </w:r>
      <w:r w:rsidR="002E5DEE">
        <w:t xml:space="preserve">, to the extent that </w:t>
      </w:r>
      <w:r w:rsidR="00891AE6">
        <w:t>regime</w:t>
      </w:r>
      <w:r w:rsidR="002E5DEE">
        <w:t xml:space="preserve"> applies.</w:t>
      </w:r>
    </w:p>
    <w:p w14:paraId="18F946C2" w14:textId="563D43F0" w:rsidR="00533604" w:rsidRPr="00421CC3" w:rsidRDefault="00ED11FC" w:rsidP="00BD1322">
      <w:pPr>
        <w:spacing w:before="240" w:after="200"/>
        <w:ind w:right="91"/>
      </w:pPr>
      <w:r>
        <w:t>Item 12</w:t>
      </w:r>
      <w:r w:rsidR="00BD1322">
        <w:t xml:space="preserve"> i</w:t>
      </w:r>
      <w:r w:rsidR="00421CC3">
        <w:t xml:space="preserve">nserts a new item in </w:t>
      </w:r>
      <w:r w:rsidR="00BD1322">
        <w:t xml:space="preserve">the table in clause 1 of Schedule 1 to the </w:t>
      </w:r>
      <w:r w:rsidR="00BD1322" w:rsidRPr="00BD1322">
        <w:rPr>
          <w:i/>
        </w:rPr>
        <w:t xml:space="preserve">National Consumer Credit Protection (Fees) </w:t>
      </w:r>
      <w:r w:rsidR="00BD1322">
        <w:rPr>
          <w:i/>
        </w:rPr>
        <w:t>Regulations 2010</w:t>
      </w:r>
      <w:r w:rsidR="00421CC3">
        <w:t xml:space="preserve"> </w:t>
      </w:r>
      <w:r w:rsidR="00BD1322">
        <w:t xml:space="preserve">to specify that credit licensees are not required to pay a fee on lodging a breach report. </w:t>
      </w:r>
    </w:p>
    <w:sectPr w:rsidR="00533604" w:rsidRPr="00421CC3" w:rsidSect="00392B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DE53B5" w14:textId="77777777" w:rsidR="002E383F" w:rsidRDefault="002E383F" w:rsidP="00954679">
      <w:pPr>
        <w:spacing w:before="0" w:after="0"/>
      </w:pPr>
      <w:r>
        <w:separator/>
      </w:r>
    </w:p>
  </w:endnote>
  <w:endnote w:type="continuationSeparator" w:id="0">
    <w:p w14:paraId="438D686D" w14:textId="77777777" w:rsidR="002E383F" w:rsidRDefault="002E383F" w:rsidP="00954679">
      <w:pPr>
        <w:spacing w:before="0" w:after="0"/>
      </w:pPr>
      <w:r>
        <w:continuationSeparator/>
      </w:r>
    </w:p>
  </w:endnote>
  <w:endnote w:type="continuationNotice" w:id="1">
    <w:p w14:paraId="51CDF1DE" w14:textId="77777777" w:rsidR="002E383F" w:rsidRDefault="002E383F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707B11" w14:textId="77777777" w:rsidR="00543D2F" w:rsidRDefault="00543D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8619968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36E6F2B1" w14:textId="0B1A2EE2" w:rsidR="002E383F" w:rsidRDefault="002E383F" w:rsidP="00013390">
            <w:pPr>
              <w:pStyle w:val="Footer"/>
              <w:jc w:val="right"/>
            </w:pPr>
            <w:r w:rsidRPr="00954679">
              <w:rPr>
                <w:bCs/>
                <w:szCs w:val="24"/>
              </w:rPr>
              <w:fldChar w:fldCharType="begin"/>
            </w:r>
            <w:r w:rsidRPr="00954679">
              <w:rPr>
                <w:bCs/>
              </w:rPr>
              <w:instrText xml:space="preserve"> PAGE </w:instrText>
            </w:r>
            <w:r w:rsidRPr="00954679">
              <w:rPr>
                <w:bCs/>
                <w:szCs w:val="24"/>
              </w:rPr>
              <w:fldChar w:fldCharType="separate"/>
            </w:r>
            <w:r w:rsidR="00543D2F">
              <w:rPr>
                <w:bCs/>
                <w:noProof/>
              </w:rPr>
              <w:t>1</w:t>
            </w:r>
            <w:r w:rsidRPr="00954679">
              <w:rPr>
                <w:bCs/>
                <w:szCs w:val="24"/>
              </w:rPr>
              <w:fldChar w:fldCharType="end"/>
            </w:r>
            <w:r w:rsidRPr="00954679">
              <w:t xml:space="preserve"> of </w:t>
            </w:r>
            <w:r w:rsidRPr="00954679">
              <w:rPr>
                <w:bCs/>
                <w:szCs w:val="24"/>
              </w:rPr>
              <w:fldChar w:fldCharType="begin"/>
            </w:r>
            <w:r w:rsidRPr="00954679">
              <w:rPr>
                <w:bCs/>
              </w:rPr>
              <w:instrText xml:space="preserve"> NUMPAGES  </w:instrText>
            </w:r>
            <w:r w:rsidRPr="00954679">
              <w:rPr>
                <w:bCs/>
                <w:szCs w:val="24"/>
              </w:rPr>
              <w:fldChar w:fldCharType="separate"/>
            </w:r>
            <w:r w:rsidR="00543D2F">
              <w:rPr>
                <w:bCs/>
                <w:noProof/>
              </w:rPr>
              <w:t>9</w:t>
            </w:r>
            <w:r w:rsidRPr="00954679">
              <w:rPr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27D33D" w14:textId="77777777" w:rsidR="00543D2F" w:rsidRDefault="00543D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F48736" w14:textId="77777777" w:rsidR="002E383F" w:rsidRDefault="002E383F" w:rsidP="00954679">
      <w:pPr>
        <w:spacing w:before="0" w:after="0"/>
      </w:pPr>
      <w:r>
        <w:separator/>
      </w:r>
    </w:p>
  </w:footnote>
  <w:footnote w:type="continuationSeparator" w:id="0">
    <w:p w14:paraId="74D8EC53" w14:textId="77777777" w:rsidR="002E383F" w:rsidRDefault="002E383F" w:rsidP="00954679">
      <w:pPr>
        <w:spacing w:before="0" w:after="0"/>
      </w:pPr>
      <w:r>
        <w:continuationSeparator/>
      </w:r>
    </w:p>
  </w:footnote>
  <w:footnote w:type="continuationNotice" w:id="1">
    <w:p w14:paraId="30AB2638" w14:textId="77777777" w:rsidR="002E383F" w:rsidRDefault="002E383F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B45491" w14:textId="77777777" w:rsidR="00543D2F" w:rsidRDefault="00543D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FC5FA8" w14:textId="259E5662" w:rsidR="00164B9E" w:rsidRPr="00164B9E" w:rsidRDefault="00543D2F" w:rsidP="00164B9E">
    <w:pPr>
      <w:pStyle w:val="Header"/>
      <w:jc w:val="center"/>
      <w:rPr>
        <w:b/>
      </w:rPr>
    </w:pPr>
    <w:sdt>
      <w:sdtPr>
        <w:rPr>
          <w:b/>
        </w:rPr>
        <w:id w:val="-1933033249"/>
        <w:docPartObj>
          <w:docPartGallery w:val="Watermarks"/>
          <w:docPartUnique/>
        </w:docPartObj>
      </w:sdtPr>
      <w:sdtEndPr/>
      <w:sdtContent>
        <w:r>
          <w:rPr>
            <w:b/>
            <w:noProof/>
            <w:lang w:val="en-US" w:eastAsia="en-US"/>
          </w:rPr>
          <w:pict w14:anchorId="696538A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164B9E" w:rsidRPr="00164B9E">
      <w:rPr>
        <w:b/>
      </w:rPr>
      <w:t>EXPOSURE DRAFT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F1D73F" w14:textId="77777777" w:rsidR="00543D2F" w:rsidRDefault="00543D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76E2C"/>
    <w:multiLevelType w:val="multilevel"/>
    <w:tmpl w:val="51CEC5BC"/>
    <w:lvl w:ilvl="0">
      <w:start w:val="1"/>
      <w:numFmt w:val="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</w:rPr>
    </w:lvl>
    <w:lvl w:ilvl="1">
      <w:start w:val="1"/>
      <w:numFmt w:val="bullet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C7552C0"/>
    <w:multiLevelType w:val="singleLevel"/>
    <w:tmpl w:val="BBF66F10"/>
    <w:lvl w:ilvl="0">
      <w:start w:val="1"/>
      <w:numFmt w:val="bullet"/>
      <w:pStyle w:val="Dotpoi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2" w15:restartNumberingAfterBreak="0">
    <w:nsid w:val="42F151D3"/>
    <w:multiLevelType w:val="multilevel"/>
    <w:tmpl w:val="751E7586"/>
    <w:lvl w:ilvl="0">
      <w:start w:val="1"/>
      <w:numFmt w:val="bullet"/>
      <w:lvlText w:val="•"/>
      <w:lvlJc w:val="left"/>
      <w:pPr>
        <w:tabs>
          <w:tab w:val="num" w:pos="520"/>
        </w:tabs>
        <w:ind w:left="520" w:hanging="520"/>
      </w:pPr>
      <w:rPr>
        <w:rFonts w:ascii="Times New Roman" w:hAnsi="Times New Roman" w:cs="Times New Roman"/>
      </w:rPr>
    </w:lvl>
    <w:lvl w:ilvl="1">
      <w:start w:val="1"/>
      <w:numFmt w:val="bullet"/>
      <w:lvlText w:val="–"/>
      <w:lvlJc w:val="left"/>
      <w:pPr>
        <w:tabs>
          <w:tab w:val="num" w:pos="992"/>
        </w:tabs>
        <w:ind w:left="992" w:hanging="472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464"/>
        </w:tabs>
        <w:ind w:left="1464" w:hanging="472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67A43C0B"/>
    <w:multiLevelType w:val="multilevel"/>
    <w:tmpl w:val="9DD212CA"/>
    <w:name w:val="StandardBulletedList"/>
    <w:lvl w:ilvl="0">
      <w:start w:val="1"/>
      <w:numFmt w:val="bullet"/>
      <w:pStyle w:val="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</w:rPr>
    </w:lvl>
    <w:lvl w:ilvl="1">
      <w:start w:val="1"/>
      <w:numFmt w:val="bullet"/>
      <w:pStyle w:val="Dash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  <w:lvl w:ilvl="2">
      <w:start w:val="1"/>
      <w:numFmt w:val="bullet"/>
      <w:pStyle w:val="DoubleDo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embedSystemFont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13A"/>
    <w:rsid w:val="00010CEA"/>
    <w:rsid w:val="00013390"/>
    <w:rsid w:val="00016EA2"/>
    <w:rsid w:val="0002227D"/>
    <w:rsid w:val="00026BA7"/>
    <w:rsid w:val="00067233"/>
    <w:rsid w:val="00076178"/>
    <w:rsid w:val="00087E61"/>
    <w:rsid w:val="00095211"/>
    <w:rsid w:val="000A0423"/>
    <w:rsid w:val="000B213A"/>
    <w:rsid w:val="000B39A1"/>
    <w:rsid w:val="000B3E4E"/>
    <w:rsid w:val="000B4742"/>
    <w:rsid w:val="000C10DF"/>
    <w:rsid w:val="000C6935"/>
    <w:rsid w:val="000C73DD"/>
    <w:rsid w:val="000D75B5"/>
    <w:rsid w:val="00102B27"/>
    <w:rsid w:val="0010336F"/>
    <w:rsid w:val="001060E8"/>
    <w:rsid w:val="00113B45"/>
    <w:rsid w:val="00114EDC"/>
    <w:rsid w:val="00136764"/>
    <w:rsid w:val="00144A8A"/>
    <w:rsid w:val="00164B9E"/>
    <w:rsid w:val="001B7535"/>
    <w:rsid w:val="001C0E28"/>
    <w:rsid w:val="001E074C"/>
    <w:rsid w:val="001E6A74"/>
    <w:rsid w:val="001F3FB7"/>
    <w:rsid w:val="001F41D0"/>
    <w:rsid w:val="002003F9"/>
    <w:rsid w:val="00220F16"/>
    <w:rsid w:val="0022321A"/>
    <w:rsid w:val="00223F31"/>
    <w:rsid w:val="00254C5B"/>
    <w:rsid w:val="00257161"/>
    <w:rsid w:val="00257D8B"/>
    <w:rsid w:val="00264A18"/>
    <w:rsid w:val="0027039C"/>
    <w:rsid w:val="00291393"/>
    <w:rsid w:val="002A7E1F"/>
    <w:rsid w:val="002C226C"/>
    <w:rsid w:val="002D4DAB"/>
    <w:rsid w:val="002D58C9"/>
    <w:rsid w:val="002E383F"/>
    <w:rsid w:val="002E5DEE"/>
    <w:rsid w:val="002F0A69"/>
    <w:rsid w:val="003041FA"/>
    <w:rsid w:val="003167E8"/>
    <w:rsid w:val="00331254"/>
    <w:rsid w:val="003342CD"/>
    <w:rsid w:val="00335042"/>
    <w:rsid w:val="0034019F"/>
    <w:rsid w:val="003518DD"/>
    <w:rsid w:val="00352C0C"/>
    <w:rsid w:val="00362B70"/>
    <w:rsid w:val="00392BBA"/>
    <w:rsid w:val="003954FD"/>
    <w:rsid w:val="003C7907"/>
    <w:rsid w:val="003D60D7"/>
    <w:rsid w:val="003E1CE3"/>
    <w:rsid w:val="003F775B"/>
    <w:rsid w:val="004012E5"/>
    <w:rsid w:val="00421CC3"/>
    <w:rsid w:val="004568E6"/>
    <w:rsid w:val="00462095"/>
    <w:rsid w:val="0047280F"/>
    <w:rsid w:val="004759AB"/>
    <w:rsid w:val="00482B81"/>
    <w:rsid w:val="00482D4C"/>
    <w:rsid w:val="004A4D0D"/>
    <w:rsid w:val="004A7191"/>
    <w:rsid w:val="004A7FB8"/>
    <w:rsid w:val="004B3C0F"/>
    <w:rsid w:val="004B723C"/>
    <w:rsid w:val="004B728A"/>
    <w:rsid w:val="004C05E4"/>
    <w:rsid w:val="004D00FD"/>
    <w:rsid w:val="004E2FC0"/>
    <w:rsid w:val="004E39E1"/>
    <w:rsid w:val="004F56D0"/>
    <w:rsid w:val="00503E44"/>
    <w:rsid w:val="005105D8"/>
    <w:rsid w:val="00515283"/>
    <w:rsid w:val="00522E64"/>
    <w:rsid w:val="00523699"/>
    <w:rsid w:val="005256A3"/>
    <w:rsid w:val="00526A8D"/>
    <w:rsid w:val="00533604"/>
    <w:rsid w:val="00533926"/>
    <w:rsid w:val="00540350"/>
    <w:rsid w:val="00543D2F"/>
    <w:rsid w:val="0055675D"/>
    <w:rsid w:val="00566580"/>
    <w:rsid w:val="00566E8F"/>
    <w:rsid w:val="0057422E"/>
    <w:rsid w:val="005808D0"/>
    <w:rsid w:val="005833BE"/>
    <w:rsid w:val="0059472F"/>
    <w:rsid w:val="005953A4"/>
    <w:rsid w:val="005B0041"/>
    <w:rsid w:val="005B1FDE"/>
    <w:rsid w:val="005B3CEC"/>
    <w:rsid w:val="005B3FBC"/>
    <w:rsid w:val="005C0D62"/>
    <w:rsid w:val="005D59E4"/>
    <w:rsid w:val="005D7537"/>
    <w:rsid w:val="005D7D5A"/>
    <w:rsid w:val="005E206C"/>
    <w:rsid w:val="005E4BAC"/>
    <w:rsid w:val="005F07B6"/>
    <w:rsid w:val="005F2A41"/>
    <w:rsid w:val="0060130D"/>
    <w:rsid w:val="006105B5"/>
    <w:rsid w:val="00623211"/>
    <w:rsid w:val="0063202D"/>
    <w:rsid w:val="0064129F"/>
    <w:rsid w:val="00646E07"/>
    <w:rsid w:val="00647BB7"/>
    <w:rsid w:val="00666650"/>
    <w:rsid w:val="00680297"/>
    <w:rsid w:val="00680C8B"/>
    <w:rsid w:val="006873CE"/>
    <w:rsid w:val="006A0786"/>
    <w:rsid w:val="006B583F"/>
    <w:rsid w:val="006C2BF9"/>
    <w:rsid w:val="006C688D"/>
    <w:rsid w:val="006C7061"/>
    <w:rsid w:val="006D37B2"/>
    <w:rsid w:val="006D512B"/>
    <w:rsid w:val="006F027E"/>
    <w:rsid w:val="006F7AA9"/>
    <w:rsid w:val="00710E94"/>
    <w:rsid w:val="00727D8A"/>
    <w:rsid w:val="00731FEA"/>
    <w:rsid w:val="0073253F"/>
    <w:rsid w:val="00736F61"/>
    <w:rsid w:val="00742253"/>
    <w:rsid w:val="007662C7"/>
    <w:rsid w:val="00774187"/>
    <w:rsid w:val="00776306"/>
    <w:rsid w:val="00790D26"/>
    <w:rsid w:val="007978DC"/>
    <w:rsid w:val="007A55A7"/>
    <w:rsid w:val="007B1DC4"/>
    <w:rsid w:val="007B1F10"/>
    <w:rsid w:val="007B251F"/>
    <w:rsid w:val="007B335E"/>
    <w:rsid w:val="007C787E"/>
    <w:rsid w:val="007D3C6E"/>
    <w:rsid w:val="007D5278"/>
    <w:rsid w:val="007E018D"/>
    <w:rsid w:val="007F1B71"/>
    <w:rsid w:val="007F2F2B"/>
    <w:rsid w:val="00807E7D"/>
    <w:rsid w:val="008245B9"/>
    <w:rsid w:val="00831675"/>
    <w:rsid w:val="008406CF"/>
    <w:rsid w:val="00841C96"/>
    <w:rsid w:val="00845F6F"/>
    <w:rsid w:val="00874AFF"/>
    <w:rsid w:val="0088467C"/>
    <w:rsid w:val="00886525"/>
    <w:rsid w:val="00891AE6"/>
    <w:rsid w:val="00894579"/>
    <w:rsid w:val="008A4DD1"/>
    <w:rsid w:val="008A5B67"/>
    <w:rsid w:val="008C2B85"/>
    <w:rsid w:val="008C5953"/>
    <w:rsid w:val="008C5E83"/>
    <w:rsid w:val="008D16F7"/>
    <w:rsid w:val="008E0B2F"/>
    <w:rsid w:val="008E1427"/>
    <w:rsid w:val="009021CE"/>
    <w:rsid w:val="009143A0"/>
    <w:rsid w:val="00936902"/>
    <w:rsid w:val="00954679"/>
    <w:rsid w:val="009B6370"/>
    <w:rsid w:val="009C521C"/>
    <w:rsid w:val="009C6A1E"/>
    <w:rsid w:val="009E0228"/>
    <w:rsid w:val="009E2F86"/>
    <w:rsid w:val="00A034FB"/>
    <w:rsid w:val="00A12209"/>
    <w:rsid w:val="00A36DF3"/>
    <w:rsid w:val="00A37DDD"/>
    <w:rsid w:val="00A43887"/>
    <w:rsid w:val="00A532DD"/>
    <w:rsid w:val="00A6357E"/>
    <w:rsid w:val="00A80BCF"/>
    <w:rsid w:val="00A82C5B"/>
    <w:rsid w:val="00A8369C"/>
    <w:rsid w:val="00A90A95"/>
    <w:rsid w:val="00AA1689"/>
    <w:rsid w:val="00AA5770"/>
    <w:rsid w:val="00AC1D15"/>
    <w:rsid w:val="00AD427E"/>
    <w:rsid w:val="00AF08C9"/>
    <w:rsid w:val="00AF5E95"/>
    <w:rsid w:val="00B00DD5"/>
    <w:rsid w:val="00B07B0C"/>
    <w:rsid w:val="00B25563"/>
    <w:rsid w:val="00B26D48"/>
    <w:rsid w:val="00B3240B"/>
    <w:rsid w:val="00B40BF7"/>
    <w:rsid w:val="00B42C3F"/>
    <w:rsid w:val="00B42EE1"/>
    <w:rsid w:val="00B5241F"/>
    <w:rsid w:val="00B63784"/>
    <w:rsid w:val="00B72135"/>
    <w:rsid w:val="00B8293D"/>
    <w:rsid w:val="00B91FD2"/>
    <w:rsid w:val="00B92478"/>
    <w:rsid w:val="00BA6188"/>
    <w:rsid w:val="00BB2EAC"/>
    <w:rsid w:val="00BD1322"/>
    <w:rsid w:val="00BD61A2"/>
    <w:rsid w:val="00BE484D"/>
    <w:rsid w:val="00C00282"/>
    <w:rsid w:val="00C07F72"/>
    <w:rsid w:val="00C2761F"/>
    <w:rsid w:val="00C33BCC"/>
    <w:rsid w:val="00C344BC"/>
    <w:rsid w:val="00C37E05"/>
    <w:rsid w:val="00C47AE0"/>
    <w:rsid w:val="00C556AE"/>
    <w:rsid w:val="00C55D29"/>
    <w:rsid w:val="00C713AA"/>
    <w:rsid w:val="00C85000"/>
    <w:rsid w:val="00CA0BE9"/>
    <w:rsid w:val="00CA138D"/>
    <w:rsid w:val="00CA72C0"/>
    <w:rsid w:val="00CC3C30"/>
    <w:rsid w:val="00CC7641"/>
    <w:rsid w:val="00CD7F98"/>
    <w:rsid w:val="00CF34C3"/>
    <w:rsid w:val="00D133EA"/>
    <w:rsid w:val="00D13794"/>
    <w:rsid w:val="00D24052"/>
    <w:rsid w:val="00D24386"/>
    <w:rsid w:val="00D30124"/>
    <w:rsid w:val="00D31575"/>
    <w:rsid w:val="00D34626"/>
    <w:rsid w:val="00D34B99"/>
    <w:rsid w:val="00D34FB4"/>
    <w:rsid w:val="00D4257A"/>
    <w:rsid w:val="00D52899"/>
    <w:rsid w:val="00D62665"/>
    <w:rsid w:val="00D653AA"/>
    <w:rsid w:val="00D7278F"/>
    <w:rsid w:val="00D82E47"/>
    <w:rsid w:val="00DA6FE3"/>
    <w:rsid w:val="00DB0C8D"/>
    <w:rsid w:val="00DC0CDE"/>
    <w:rsid w:val="00DC4268"/>
    <w:rsid w:val="00DC4D72"/>
    <w:rsid w:val="00DD040E"/>
    <w:rsid w:val="00DD36A9"/>
    <w:rsid w:val="00DF1D05"/>
    <w:rsid w:val="00E0624D"/>
    <w:rsid w:val="00E4438C"/>
    <w:rsid w:val="00E457F3"/>
    <w:rsid w:val="00E62184"/>
    <w:rsid w:val="00E84E22"/>
    <w:rsid w:val="00E8565F"/>
    <w:rsid w:val="00E864E5"/>
    <w:rsid w:val="00EA4C54"/>
    <w:rsid w:val="00EA4DD8"/>
    <w:rsid w:val="00EB2AEF"/>
    <w:rsid w:val="00EB4835"/>
    <w:rsid w:val="00EB7E71"/>
    <w:rsid w:val="00ED11FC"/>
    <w:rsid w:val="00ED48F6"/>
    <w:rsid w:val="00F109D4"/>
    <w:rsid w:val="00F15EE9"/>
    <w:rsid w:val="00F16413"/>
    <w:rsid w:val="00F16D92"/>
    <w:rsid w:val="00F43C4E"/>
    <w:rsid w:val="00F445F0"/>
    <w:rsid w:val="00F47585"/>
    <w:rsid w:val="00F504B5"/>
    <w:rsid w:val="00F51474"/>
    <w:rsid w:val="00F5411B"/>
    <w:rsid w:val="00F57DEF"/>
    <w:rsid w:val="00F638DE"/>
    <w:rsid w:val="00F716B4"/>
    <w:rsid w:val="00F82589"/>
    <w:rsid w:val="00F85E6F"/>
    <w:rsid w:val="00FA7585"/>
    <w:rsid w:val="00FD3561"/>
    <w:rsid w:val="00FE04E4"/>
    <w:rsid w:val="00FE73F9"/>
    <w:rsid w:val="00FF1057"/>
    <w:rsid w:val="00FF3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20CE2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0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130D"/>
    <w:pPr>
      <w:spacing w:before="120" w:after="120"/>
    </w:pPr>
    <w:rPr>
      <w:sz w:val="24"/>
    </w:rPr>
  </w:style>
  <w:style w:type="paragraph" w:styleId="Heading1">
    <w:name w:val="heading 1"/>
    <w:basedOn w:val="Normal"/>
    <w:next w:val="Normal"/>
    <w:qFormat/>
    <w:rsid w:val="00A12209"/>
    <w:pPr>
      <w:keepNext/>
      <w:spacing w:before="240" w:after="60"/>
      <w:jc w:val="center"/>
      <w:outlineLvl w:val="0"/>
    </w:pPr>
    <w:rPr>
      <w:rFonts w:ascii="Arial Bold" w:hAnsi="Arial Bold"/>
      <w:b/>
      <w:kern w:val="28"/>
      <w:sz w:val="28"/>
      <w:u w:val="single"/>
    </w:rPr>
  </w:style>
  <w:style w:type="paragraph" w:styleId="Heading2">
    <w:name w:val="heading 2"/>
    <w:basedOn w:val="Normal"/>
    <w:next w:val="Normal"/>
    <w:qFormat/>
    <w:rsid w:val="00A12209"/>
    <w:pPr>
      <w:keepNext/>
      <w:spacing w:before="240" w:after="60"/>
      <w:outlineLvl w:val="1"/>
    </w:pPr>
    <w:rPr>
      <w:b/>
      <w:sz w:val="28"/>
      <w:u w:val="single"/>
    </w:rPr>
  </w:style>
  <w:style w:type="paragraph" w:styleId="Heading3">
    <w:name w:val="heading 3"/>
    <w:basedOn w:val="Heading2"/>
    <w:next w:val="base-text-paragraph"/>
    <w:link w:val="Heading3Char"/>
    <w:qFormat/>
    <w:rsid w:val="003E1CE3"/>
    <w:pPr>
      <w:tabs>
        <w:tab w:val="left" w:pos="1987"/>
      </w:tabs>
      <w:spacing w:after="120"/>
      <w:outlineLvl w:val="2"/>
    </w:pPr>
    <w:rPr>
      <w:kern w:val="28"/>
      <w:sz w:val="24"/>
      <w:u w:val="none"/>
    </w:rPr>
  </w:style>
  <w:style w:type="paragraph" w:styleId="Heading4">
    <w:name w:val="heading 4"/>
    <w:basedOn w:val="Heading3"/>
    <w:next w:val="base-text-paragraph"/>
    <w:qFormat/>
    <w:rsid w:val="00E4438C"/>
    <w:pPr>
      <w:spacing w:before="12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92BBA"/>
    <w:pPr>
      <w:jc w:val="center"/>
    </w:pPr>
    <w:rPr>
      <w:b/>
    </w:rPr>
  </w:style>
  <w:style w:type="paragraph" w:styleId="BodyText">
    <w:name w:val="Body Text"/>
    <w:basedOn w:val="Normal"/>
    <w:rsid w:val="00392BBA"/>
  </w:style>
  <w:style w:type="paragraph" w:styleId="BodyText2">
    <w:name w:val="Body Text 2"/>
    <w:basedOn w:val="Normal"/>
    <w:rsid w:val="00392BBA"/>
    <w:rPr>
      <w:u w:val="single"/>
    </w:rPr>
  </w:style>
  <w:style w:type="paragraph" w:customStyle="1" w:styleId="Dotpoint">
    <w:name w:val="Dot point"/>
    <w:basedOn w:val="Normal"/>
    <w:rsid w:val="00392BBA"/>
    <w:pPr>
      <w:numPr>
        <w:numId w:val="1"/>
      </w:numPr>
      <w:tabs>
        <w:tab w:val="clear" w:pos="360"/>
        <w:tab w:val="num" w:pos="709"/>
        <w:tab w:val="left" w:pos="851"/>
      </w:tabs>
      <w:ind w:left="709" w:hanging="283"/>
    </w:pPr>
  </w:style>
  <w:style w:type="paragraph" w:styleId="TableofAuthorities">
    <w:name w:val="table of authorities"/>
    <w:basedOn w:val="Normal"/>
    <w:next w:val="Normal"/>
    <w:semiHidden/>
    <w:rsid w:val="00392BBA"/>
    <w:pPr>
      <w:ind w:left="200" w:hanging="200"/>
    </w:pPr>
  </w:style>
  <w:style w:type="paragraph" w:customStyle="1" w:styleId="base-text-paragraph">
    <w:name w:val="base-text-paragraph"/>
    <w:rsid w:val="00392BBA"/>
    <w:pPr>
      <w:tabs>
        <w:tab w:val="left" w:pos="1987"/>
      </w:tabs>
      <w:spacing w:before="120" w:after="120"/>
      <w:ind w:left="1140"/>
    </w:pPr>
    <w:rPr>
      <w:sz w:val="24"/>
    </w:rPr>
  </w:style>
  <w:style w:type="paragraph" w:customStyle="1" w:styleId="Default">
    <w:name w:val="Default"/>
    <w:link w:val="DefaultChar"/>
    <w:rsid w:val="005833B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532DD"/>
    <w:rPr>
      <w:color w:val="0000FF" w:themeColor="hyperlink"/>
      <w:u w:val="single"/>
    </w:rPr>
  </w:style>
  <w:style w:type="paragraph" w:customStyle="1" w:styleId="Bullet">
    <w:name w:val="Bullet"/>
    <w:basedOn w:val="Normal"/>
    <w:link w:val="BulletChar"/>
    <w:rsid w:val="00E0624D"/>
    <w:pPr>
      <w:numPr>
        <w:numId w:val="2"/>
      </w:numPr>
      <w:spacing w:before="240"/>
    </w:pPr>
    <w:rPr>
      <w:szCs w:val="23"/>
    </w:rPr>
  </w:style>
  <w:style w:type="character" w:customStyle="1" w:styleId="DefaultChar">
    <w:name w:val="Default Char"/>
    <w:basedOn w:val="DefaultParagraphFont"/>
    <w:link w:val="Default"/>
    <w:rsid w:val="00E0624D"/>
    <w:rPr>
      <w:color w:val="000000"/>
      <w:sz w:val="24"/>
      <w:szCs w:val="24"/>
    </w:rPr>
  </w:style>
  <w:style w:type="character" w:customStyle="1" w:styleId="BulletChar">
    <w:name w:val="Bullet Char"/>
    <w:basedOn w:val="DefaultChar"/>
    <w:link w:val="Bullet"/>
    <w:rsid w:val="00E0624D"/>
    <w:rPr>
      <w:color w:val="000000"/>
      <w:sz w:val="24"/>
      <w:szCs w:val="23"/>
    </w:rPr>
  </w:style>
  <w:style w:type="paragraph" w:customStyle="1" w:styleId="Dash">
    <w:name w:val="Dash"/>
    <w:basedOn w:val="Normal"/>
    <w:link w:val="DashChar"/>
    <w:rsid w:val="00E0624D"/>
    <w:pPr>
      <w:numPr>
        <w:ilvl w:val="1"/>
        <w:numId w:val="2"/>
      </w:numPr>
      <w:spacing w:before="240"/>
    </w:pPr>
    <w:rPr>
      <w:szCs w:val="23"/>
    </w:rPr>
  </w:style>
  <w:style w:type="character" w:customStyle="1" w:styleId="DashChar">
    <w:name w:val="Dash Char"/>
    <w:basedOn w:val="DefaultChar"/>
    <w:link w:val="Dash"/>
    <w:rsid w:val="00E0624D"/>
    <w:rPr>
      <w:color w:val="000000"/>
      <w:sz w:val="24"/>
      <w:szCs w:val="23"/>
    </w:rPr>
  </w:style>
  <w:style w:type="paragraph" w:customStyle="1" w:styleId="DoubleDot">
    <w:name w:val="Double Dot"/>
    <w:basedOn w:val="Normal"/>
    <w:link w:val="DoubleDotChar"/>
    <w:rsid w:val="00E0624D"/>
    <w:pPr>
      <w:numPr>
        <w:ilvl w:val="2"/>
        <w:numId w:val="2"/>
      </w:numPr>
      <w:spacing w:before="240"/>
    </w:pPr>
    <w:rPr>
      <w:szCs w:val="23"/>
    </w:rPr>
  </w:style>
  <w:style w:type="character" w:customStyle="1" w:styleId="DoubleDotChar">
    <w:name w:val="Double Dot Char"/>
    <w:basedOn w:val="DefaultChar"/>
    <w:link w:val="DoubleDot"/>
    <w:rsid w:val="00E0624D"/>
    <w:rPr>
      <w:color w:val="000000"/>
      <w:sz w:val="24"/>
      <w:szCs w:val="23"/>
    </w:rPr>
  </w:style>
  <w:style w:type="character" w:styleId="PlaceholderText">
    <w:name w:val="Placeholder Text"/>
    <w:basedOn w:val="DefaultParagraphFont"/>
    <w:uiPriority w:val="99"/>
    <w:semiHidden/>
    <w:rsid w:val="00A1220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20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209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3E1CE3"/>
    <w:rPr>
      <w:b/>
      <w:kern w:val="28"/>
      <w:sz w:val="24"/>
    </w:rPr>
  </w:style>
  <w:style w:type="paragraph" w:styleId="Header">
    <w:name w:val="header"/>
    <w:basedOn w:val="Normal"/>
    <w:link w:val="HeaderChar"/>
    <w:uiPriority w:val="99"/>
    <w:unhideWhenUsed/>
    <w:rsid w:val="00954679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54679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954679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54679"/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E4B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4BA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4BA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4B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4BA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80297"/>
    <w:rPr>
      <w:color w:val="800080" w:themeColor="followedHyperlink"/>
      <w:u w:val="single"/>
    </w:rPr>
  </w:style>
  <w:style w:type="table" w:styleId="ListTable3-Accent3">
    <w:name w:val="List Table 3 Accent 3"/>
    <w:basedOn w:val="TableNormal"/>
    <w:uiPriority w:val="48"/>
    <w:rsid w:val="00A90A95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">
    <w:name w:val="List Table 3"/>
    <w:basedOn w:val="TableNormal"/>
    <w:uiPriority w:val="48"/>
    <w:rsid w:val="00421CC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customStyle="1" w:styleId="referencingstyle">
    <w:name w:val="referencingstyle"/>
    <w:basedOn w:val="DefaultParagraphFont"/>
    <w:rsid w:val="00257D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2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7DAD8-7002-4353-8C06-02507282B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2911</Words>
  <Characters>16032</Characters>
  <Application>Microsoft Office Word</Application>
  <DocSecurity>0</DocSecurity>
  <Lines>501</Lines>
  <Paragraphs>378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Breach Reporting Regulations - Explanatory Statement</dc:title>
  <dc:subject/>
  <dc:creator/>
  <cp:keywords/>
  <cp:lastModifiedBy/>
  <cp:revision>1</cp:revision>
  <dcterms:created xsi:type="dcterms:W3CDTF">2021-03-05T04:03:00Z</dcterms:created>
  <dcterms:modified xsi:type="dcterms:W3CDTF">2021-03-05T04:04:00Z</dcterms:modified>
</cp:coreProperties>
</file>