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C1B4F" w14:textId="77777777" w:rsidR="001F2A16" w:rsidRDefault="001F2A16" w:rsidP="0021496E">
      <w:pPr>
        <w:pStyle w:val="Header"/>
        <w:pBdr>
          <w:top w:val="double" w:sz="4" w:space="1" w:color="auto"/>
          <w:bottom w:val="double" w:sz="4" w:space="1" w:color="auto"/>
        </w:pBdr>
        <w:tabs>
          <w:tab w:val="clear" w:pos="4153"/>
          <w:tab w:val="clear" w:pos="8306"/>
        </w:tabs>
        <w:jc w:val="center"/>
        <w:rPr>
          <w:rFonts w:ascii="Arial" w:hAnsi="Arial" w:cs="Arial"/>
          <w:sz w:val="34"/>
          <w:szCs w:val="34"/>
        </w:rPr>
      </w:pPr>
      <w:bookmarkStart w:id="0" w:name="_GoBack"/>
      <w:bookmarkEnd w:id="0"/>
      <w:r w:rsidRPr="007E0A01">
        <w:rPr>
          <w:rFonts w:ascii="Arial" w:hAnsi="Arial" w:cs="Arial"/>
          <w:sz w:val="34"/>
          <w:szCs w:val="34"/>
        </w:rPr>
        <w:t>Explanatory Statement</w:t>
      </w:r>
    </w:p>
    <w:p w14:paraId="59F25997" w14:textId="01DF8780" w:rsidR="00AC2448" w:rsidRDefault="00AC2448" w:rsidP="0021496E">
      <w:pPr>
        <w:pStyle w:val="Header"/>
        <w:pBdr>
          <w:top w:val="double" w:sz="4" w:space="1" w:color="auto"/>
          <w:bottom w:val="double" w:sz="4" w:space="1" w:color="auto"/>
        </w:pBdr>
        <w:tabs>
          <w:tab w:val="clear" w:pos="4153"/>
          <w:tab w:val="clear" w:pos="8306"/>
        </w:tabs>
        <w:jc w:val="center"/>
        <w:rPr>
          <w:rFonts w:ascii="Arial" w:hAnsi="Arial" w:cs="Arial"/>
          <w:sz w:val="34"/>
          <w:szCs w:val="34"/>
        </w:rPr>
      </w:pPr>
    </w:p>
    <w:p w14:paraId="4EF19B4D" w14:textId="5D20FB66" w:rsidR="005F3123" w:rsidRPr="00543981" w:rsidRDefault="00CE6F39" w:rsidP="005F3123">
      <w:pPr>
        <w:pStyle w:val="Header"/>
        <w:pBdr>
          <w:top w:val="double" w:sz="4" w:space="1" w:color="auto"/>
          <w:bottom w:val="double" w:sz="4" w:space="1" w:color="auto"/>
        </w:pBdr>
        <w:tabs>
          <w:tab w:val="clear" w:pos="4153"/>
          <w:tab w:val="clear" w:pos="8306"/>
        </w:tabs>
        <w:jc w:val="center"/>
        <w:rPr>
          <w:rFonts w:ascii="Arial" w:hAnsi="Arial" w:cs="Arial"/>
          <w:sz w:val="34"/>
          <w:szCs w:val="34"/>
        </w:rPr>
      </w:pPr>
      <w:r>
        <w:rPr>
          <w:rFonts w:ascii="Arial" w:hAnsi="Arial" w:cs="Arial"/>
          <w:sz w:val="34"/>
          <w:szCs w:val="34"/>
        </w:rPr>
        <w:t>Corporations (Director Identification Number) Disclosure Framework (PGPA Bodies</w:t>
      </w:r>
      <w:r w:rsidR="007677FE">
        <w:rPr>
          <w:rFonts w:ascii="Arial" w:hAnsi="Arial" w:cs="Arial"/>
          <w:sz w:val="34"/>
          <w:szCs w:val="34"/>
        </w:rPr>
        <w:t>, courts and tribunals</w:t>
      </w:r>
      <w:r>
        <w:rPr>
          <w:rFonts w:ascii="Arial" w:hAnsi="Arial" w:cs="Arial"/>
          <w:sz w:val="34"/>
          <w:szCs w:val="34"/>
        </w:rPr>
        <w:t>)</w:t>
      </w:r>
      <w:r w:rsidRPr="00B971F2">
        <w:rPr>
          <w:rFonts w:ascii="Arial" w:hAnsi="Arial" w:cs="Arial"/>
          <w:sz w:val="34"/>
          <w:szCs w:val="34"/>
        </w:rPr>
        <w:t xml:space="preserve"> </w:t>
      </w:r>
      <w:r>
        <w:rPr>
          <w:rFonts w:ascii="Arial" w:hAnsi="Arial" w:cs="Arial"/>
          <w:sz w:val="34"/>
          <w:szCs w:val="34"/>
        </w:rPr>
        <w:t>2021</w:t>
      </w:r>
    </w:p>
    <w:p w14:paraId="15AC1B52" w14:textId="5B65CDA8" w:rsidR="0099555F" w:rsidRPr="007E0A01" w:rsidRDefault="0099555F" w:rsidP="0021496E">
      <w:pPr>
        <w:pStyle w:val="Header"/>
        <w:tabs>
          <w:tab w:val="clear" w:pos="4153"/>
          <w:tab w:val="clear" w:pos="8306"/>
        </w:tabs>
        <w:jc w:val="center"/>
        <w:rPr>
          <w:rFonts w:ascii="Arial" w:hAnsi="Arial" w:cs="Arial"/>
          <w:szCs w:val="24"/>
        </w:rPr>
      </w:pPr>
    </w:p>
    <w:p w14:paraId="15AC1B53" w14:textId="783463B1" w:rsidR="001F2A16" w:rsidRPr="007E0A01" w:rsidRDefault="001F2A16" w:rsidP="0021496E">
      <w:pPr>
        <w:pStyle w:val="Header"/>
        <w:tabs>
          <w:tab w:val="clear" w:pos="4153"/>
          <w:tab w:val="clear" w:pos="8306"/>
        </w:tabs>
        <w:jc w:val="center"/>
        <w:rPr>
          <w:rFonts w:ascii="Arial" w:hAnsi="Arial" w:cs="Arial"/>
          <w:szCs w:val="24"/>
        </w:rPr>
      </w:pPr>
    </w:p>
    <w:p w14:paraId="15AC1B54" w14:textId="28B9EB13" w:rsidR="00486653" w:rsidRDefault="00486653" w:rsidP="00910595">
      <w:pPr>
        <w:pStyle w:val="Heading2"/>
      </w:pPr>
      <w:r w:rsidRPr="00240CFB">
        <w:t>General Outline of Instrument</w:t>
      </w:r>
    </w:p>
    <w:p w14:paraId="165173EE" w14:textId="7CAD5553" w:rsidR="003C5195" w:rsidRPr="006749F6" w:rsidRDefault="003C5195" w:rsidP="00760450">
      <w:pPr>
        <w:numPr>
          <w:ilvl w:val="0"/>
          <w:numId w:val="1"/>
        </w:numPr>
        <w:spacing w:after="120"/>
        <w:ind w:left="0" w:firstLine="0"/>
        <w:rPr>
          <w:rFonts w:ascii="Arial" w:hAnsi="Arial" w:cs="Arial"/>
          <w:sz w:val="22"/>
          <w:szCs w:val="22"/>
        </w:rPr>
      </w:pPr>
      <w:r w:rsidRPr="006749F6">
        <w:rPr>
          <w:rFonts w:ascii="Arial" w:hAnsi="Arial" w:cs="Arial"/>
          <w:sz w:val="22"/>
          <w:szCs w:val="22"/>
        </w:rPr>
        <w:t xml:space="preserve">This instrument is made under </w:t>
      </w:r>
      <w:r w:rsidR="00743327">
        <w:rPr>
          <w:rFonts w:ascii="Arial" w:hAnsi="Arial" w:cs="Arial"/>
          <w:sz w:val="22"/>
          <w:szCs w:val="22"/>
        </w:rPr>
        <w:t xml:space="preserve">section </w:t>
      </w:r>
      <w:r w:rsidR="00743327" w:rsidRPr="00C53446">
        <w:rPr>
          <w:rFonts w:ascii="Arial" w:hAnsi="Arial" w:cs="Arial"/>
          <w:sz w:val="22"/>
          <w:szCs w:val="22"/>
        </w:rPr>
        <w:t xml:space="preserve">1270K </w:t>
      </w:r>
      <w:r w:rsidR="00743327" w:rsidRPr="00B9624F">
        <w:rPr>
          <w:rFonts w:ascii="Arial" w:hAnsi="Arial" w:cs="Arial"/>
          <w:sz w:val="22"/>
          <w:szCs w:val="22"/>
        </w:rPr>
        <w:t xml:space="preserve">of the </w:t>
      </w:r>
      <w:r w:rsidR="00743327">
        <w:rPr>
          <w:rFonts w:ascii="Arial" w:hAnsi="Arial" w:cs="Arial"/>
          <w:i/>
          <w:iCs/>
          <w:sz w:val="22"/>
          <w:szCs w:val="22"/>
        </w:rPr>
        <w:t>Corporations</w:t>
      </w:r>
      <w:r w:rsidR="00A27696" w:rsidRPr="006749F6">
        <w:rPr>
          <w:rFonts w:ascii="Arial" w:hAnsi="Arial" w:cs="Arial"/>
          <w:i/>
          <w:iCs/>
          <w:sz w:val="22"/>
          <w:szCs w:val="22"/>
        </w:rPr>
        <w:t xml:space="preserve"> </w:t>
      </w:r>
      <w:r w:rsidRPr="006749F6">
        <w:rPr>
          <w:rFonts w:ascii="Arial" w:hAnsi="Arial" w:cs="Arial"/>
          <w:i/>
          <w:iCs/>
          <w:sz w:val="22"/>
          <w:szCs w:val="22"/>
        </w:rPr>
        <w:t>Act 20</w:t>
      </w:r>
      <w:r w:rsidR="00743327">
        <w:rPr>
          <w:rFonts w:ascii="Arial" w:hAnsi="Arial" w:cs="Arial"/>
          <w:i/>
          <w:iCs/>
          <w:sz w:val="22"/>
          <w:szCs w:val="22"/>
        </w:rPr>
        <w:t>0</w:t>
      </w:r>
      <w:r w:rsidRPr="006749F6">
        <w:rPr>
          <w:rFonts w:ascii="Arial" w:hAnsi="Arial" w:cs="Arial"/>
          <w:i/>
          <w:iCs/>
          <w:sz w:val="22"/>
          <w:szCs w:val="22"/>
        </w:rPr>
        <w:t>1</w:t>
      </w:r>
      <w:r w:rsidR="00FE1BBE">
        <w:rPr>
          <w:rFonts w:ascii="Arial" w:hAnsi="Arial" w:cs="Arial"/>
          <w:i/>
          <w:iCs/>
          <w:sz w:val="22"/>
          <w:szCs w:val="22"/>
        </w:rPr>
        <w:t xml:space="preserve"> </w:t>
      </w:r>
      <w:r w:rsidR="00FE1BBE" w:rsidRPr="00FE1BBE">
        <w:rPr>
          <w:rFonts w:ascii="Arial" w:hAnsi="Arial" w:cs="Arial"/>
          <w:sz w:val="22"/>
          <w:szCs w:val="22"/>
        </w:rPr>
        <w:t>(</w:t>
      </w:r>
      <w:r w:rsidR="00FE1BBE" w:rsidRPr="00427BC7">
        <w:rPr>
          <w:rFonts w:ascii="Arial" w:hAnsi="Arial" w:cs="Arial"/>
          <w:sz w:val="22"/>
          <w:szCs w:val="22"/>
        </w:rPr>
        <w:t>Corporations Act</w:t>
      </w:r>
      <w:r w:rsidR="00FE1BBE">
        <w:rPr>
          <w:rFonts w:ascii="Arial" w:hAnsi="Arial" w:cs="Arial"/>
          <w:sz w:val="22"/>
          <w:szCs w:val="22"/>
        </w:rPr>
        <w:t>)</w:t>
      </w:r>
      <w:r w:rsidRPr="006749F6">
        <w:rPr>
          <w:rFonts w:ascii="Arial" w:hAnsi="Arial" w:cs="Arial"/>
          <w:sz w:val="22"/>
          <w:szCs w:val="22"/>
        </w:rPr>
        <w:t>.</w:t>
      </w:r>
      <w:r w:rsidR="006749F6" w:rsidRPr="006749F6">
        <w:rPr>
          <w:rFonts w:ascii="Arial" w:hAnsi="Arial" w:cs="Arial"/>
          <w:sz w:val="22"/>
          <w:szCs w:val="22"/>
        </w:rPr>
        <w:t xml:space="preserve"> </w:t>
      </w:r>
    </w:p>
    <w:p w14:paraId="61C40EE7" w14:textId="13E0D53E" w:rsidR="0005778A" w:rsidRPr="00760450" w:rsidRDefault="00030C4F" w:rsidP="00760450">
      <w:pPr>
        <w:numPr>
          <w:ilvl w:val="0"/>
          <w:numId w:val="1"/>
        </w:numPr>
        <w:spacing w:after="120"/>
        <w:ind w:left="0" w:firstLine="0"/>
        <w:rPr>
          <w:rFonts w:ascii="Arial" w:hAnsi="Arial" w:cs="Arial"/>
          <w:sz w:val="22"/>
          <w:szCs w:val="22"/>
        </w:rPr>
      </w:pPr>
      <w:r w:rsidRPr="00760450">
        <w:rPr>
          <w:rFonts w:ascii="Arial" w:hAnsi="Arial" w:cs="Arial"/>
          <w:color w:val="000000"/>
          <w:sz w:val="22"/>
          <w:szCs w:val="22"/>
        </w:rPr>
        <w:t>The law authorises disclosure of protected information</w:t>
      </w:r>
      <w:r w:rsidR="00BC72D2">
        <w:rPr>
          <w:rFonts w:ascii="Arial" w:hAnsi="Arial" w:cs="Arial"/>
          <w:color w:val="000000"/>
          <w:sz w:val="22"/>
          <w:szCs w:val="22"/>
        </w:rPr>
        <w:t xml:space="preserve"> (Director Identification Number information)</w:t>
      </w:r>
      <w:r w:rsidRPr="00760450">
        <w:rPr>
          <w:rFonts w:ascii="Arial" w:hAnsi="Arial" w:cs="Arial"/>
          <w:color w:val="000000"/>
          <w:sz w:val="22"/>
          <w:szCs w:val="22"/>
        </w:rPr>
        <w:t xml:space="preserve"> to a government entity in relation to the performance or exercise of its functions or powers. </w:t>
      </w:r>
      <w:r w:rsidR="00050EC2">
        <w:rPr>
          <w:rFonts w:ascii="Arial" w:hAnsi="Arial" w:cs="Arial"/>
          <w:color w:val="000000"/>
          <w:sz w:val="22"/>
          <w:szCs w:val="22"/>
        </w:rPr>
        <w:t xml:space="preserve">Some </w:t>
      </w:r>
      <w:r w:rsidRPr="00760450">
        <w:rPr>
          <w:rFonts w:ascii="Arial" w:hAnsi="Arial" w:cs="Arial"/>
          <w:sz w:val="22"/>
          <w:szCs w:val="22"/>
        </w:rPr>
        <w:t>PGPA bodies</w:t>
      </w:r>
      <w:r w:rsidR="007677FE">
        <w:rPr>
          <w:rFonts w:ascii="Arial" w:hAnsi="Arial" w:cs="Arial"/>
          <w:sz w:val="22"/>
          <w:szCs w:val="22"/>
        </w:rPr>
        <w:t>, courts and tribunals</w:t>
      </w:r>
      <w:r w:rsidRPr="00760450">
        <w:rPr>
          <w:rFonts w:ascii="Arial" w:hAnsi="Arial" w:cs="Arial"/>
          <w:sz w:val="22"/>
          <w:szCs w:val="22"/>
        </w:rPr>
        <w:t xml:space="preserve"> do not fall within the definition of government entity</w:t>
      </w:r>
      <w:r w:rsidR="00DC0355" w:rsidRPr="00760450">
        <w:rPr>
          <w:rFonts w:ascii="Arial" w:hAnsi="Arial" w:cs="Arial"/>
          <w:sz w:val="22"/>
          <w:szCs w:val="22"/>
        </w:rPr>
        <w:t xml:space="preserve"> but are part of the workings of government</w:t>
      </w:r>
      <w:r w:rsidRPr="00760450">
        <w:rPr>
          <w:rFonts w:ascii="Arial" w:hAnsi="Arial" w:cs="Arial"/>
          <w:sz w:val="22"/>
          <w:szCs w:val="22"/>
        </w:rPr>
        <w:t>.</w:t>
      </w:r>
      <w:r w:rsidRPr="00760450">
        <w:rPr>
          <w:rFonts w:ascii="Arial" w:hAnsi="Arial" w:cs="Arial"/>
          <w:color w:val="000000"/>
          <w:sz w:val="22"/>
          <w:szCs w:val="22"/>
        </w:rPr>
        <w:t xml:space="preserve"> </w:t>
      </w:r>
      <w:r w:rsidR="007432BC">
        <w:rPr>
          <w:rFonts w:ascii="Arial" w:hAnsi="Arial" w:cs="Arial"/>
          <w:color w:val="000000"/>
          <w:sz w:val="22"/>
          <w:szCs w:val="22"/>
        </w:rPr>
        <w:t xml:space="preserve">This instrument provides for the disclosure of </w:t>
      </w:r>
      <w:r w:rsidR="007677FE">
        <w:rPr>
          <w:rFonts w:ascii="Arial" w:hAnsi="Arial" w:cs="Arial"/>
          <w:color w:val="000000"/>
          <w:sz w:val="22"/>
          <w:szCs w:val="22"/>
        </w:rPr>
        <w:t>Director Identification Number (director ID) information</w:t>
      </w:r>
      <w:r w:rsidR="007677FE" w:rsidDel="007677FE">
        <w:rPr>
          <w:rFonts w:ascii="Arial" w:hAnsi="Arial" w:cs="Arial"/>
          <w:color w:val="000000"/>
          <w:sz w:val="22"/>
          <w:szCs w:val="22"/>
        </w:rPr>
        <w:t xml:space="preserve"> </w:t>
      </w:r>
      <w:r w:rsidR="007432BC">
        <w:rPr>
          <w:rFonts w:ascii="Arial" w:hAnsi="Arial" w:cs="Arial"/>
          <w:color w:val="000000"/>
          <w:sz w:val="22"/>
          <w:szCs w:val="22"/>
        </w:rPr>
        <w:t xml:space="preserve">to </w:t>
      </w:r>
      <w:r w:rsidR="007432BC">
        <w:rPr>
          <w:rFonts w:ascii="Arial" w:hAnsi="Arial" w:cs="Arial"/>
          <w:sz w:val="22"/>
          <w:szCs w:val="22"/>
        </w:rPr>
        <w:t>these</w:t>
      </w:r>
      <w:r w:rsidR="007432BC" w:rsidRPr="00760450">
        <w:rPr>
          <w:rFonts w:ascii="Arial" w:hAnsi="Arial" w:cs="Arial"/>
          <w:sz w:val="22"/>
          <w:szCs w:val="22"/>
        </w:rPr>
        <w:t xml:space="preserve"> </w:t>
      </w:r>
      <w:r w:rsidR="007432BC">
        <w:rPr>
          <w:rFonts w:ascii="Arial" w:hAnsi="Arial" w:cs="Arial"/>
          <w:color w:val="000000"/>
          <w:sz w:val="22"/>
          <w:szCs w:val="22"/>
        </w:rPr>
        <w:t xml:space="preserve">bodies </w:t>
      </w:r>
      <w:r w:rsidR="004A32CD">
        <w:rPr>
          <w:rFonts w:ascii="Arial" w:hAnsi="Arial" w:cs="Arial"/>
          <w:color w:val="000000"/>
          <w:sz w:val="22"/>
          <w:szCs w:val="22"/>
        </w:rPr>
        <w:t>in</w:t>
      </w:r>
      <w:r w:rsidR="007432BC">
        <w:rPr>
          <w:rFonts w:ascii="Arial" w:hAnsi="Arial" w:cs="Arial"/>
          <w:color w:val="000000"/>
          <w:sz w:val="22"/>
          <w:szCs w:val="22"/>
        </w:rPr>
        <w:t xml:space="preserve"> the same wa</w:t>
      </w:r>
      <w:r w:rsidR="004A32CD">
        <w:rPr>
          <w:rFonts w:ascii="Arial" w:hAnsi="Arial" w:cs="Arial"/>
          <w:color w:val="000000"/>
          <w:sz w:val="22"/>
          <w:szCs w:val="22"/>
        </w:rPr>
        <w:t>y</w:t>
      </w:r>
      <w:r w:rsidR="007432BC">
        <w:rPr>
          <w:rFonts w:ascii="Arial" w:hAnsi="Arial" w:cs="Arial"/>
          <w:color w:val="000000"/>
          <w:sz w:val="22"/>
          <w:szCs w:val="22"/>
        </w:rPr>
        <w:t xml:space="preserve"> as government entities.</w:t>
      </w:r>
    </w:p>
    <w:p w14:paraId="3DDC0C9F" w14:textId="77777777" w:rsidR="003C5195" w:rsidRPr="00030C4F" w:rsidRDefault="003C5195" w:rsidP="0076200F">
      <w:pPr>
        <w:numPr>
          <w:ilvl w:val="0"/>
          <w:numId w:val="1"/>
        </w:numPr>
        <w:spacing w:after="120"/>
        <w:ind w:left="0" w:firstLine="0"/>
        <w:rPr>
          <w:rFonts w:ascii="Arial" w:hAnsi="Arial" w:cs="Arial"/>
          <w:sz w:val="22"/>
          <w:szCs w:val="22"/>
        </w:rPr>
      </w:pPr>
      <w:r w:rsidRPr="00030C4F">
        <w:rPr>
          <w:rFonts w:ascii="Arial" w:hAnsi="Arial" w:cs="Arial"/>
          <w:sz w:val="22"/>
          <w:szCs w:val="22"/>
        </w:rPr>
        <w:t xml:space="preserve">The instrument is a legislative instrument for the purposes of the </w:t>
      </w:r>
      <w:r w:rsidRPr="00030C4F">
        <w:rPr>
          <w:rFonts w:ascii="Arial" w:hAnsi="Arial" w:cs="Arial"/>
          <w:i/>
          <w:sz w:val="22"/>
          <w:szCs w:val="22"/>
        </w:rPr>
        <w:t>Legislation Act 2003</w:t>
      </w:r>
      <w:r w:rsidRPr="00030C4F">
        <w:rPr>
          <w:rFonts w:ascii="Arial" w:hAnsi="Arial" w:cs="Arial"/>
          <w:sz w:val="22"/>
          <w:szCs w:val="22"/>
        </w:rPr>
        <w:t>.</w:t>
      </w:r>
    </w:p>
    <w:p w14:paraId="15AC1B62" w14:textId="0835ECA5" w:rsidR="006302F7" w:rsidRPr="00E712ED" w:rsidRDefault="000D682B" w:rsidP="0076200F">
      <w:pPr>
        <w:numPr>
          <w:ilvl w:val="0"/>
          <w:numId w:val="1"/>
        </w:numPr>
        <w:spacing w:after="120"/>
        <w:ind w:left="0" w:firstLine="0"/>
        <w:rPr>
          <w:rFonts w:ascii="Arial" w:hAnsi="Arial" w:cs="Arial"/>
          <w:sz w:val="22"/>
          <w:szCs w:val="22"/>
        </w:rPr>
      </w:pPr>
      <w:r w:rsidRPr="00427BC7">
        <w:rPr>
          <w:rFonts w:ascii="Arial" w:hAnsi="Arial" w:cs="Arial"/>
          <w:sz w:val="22"/>
          <w:szCs w:val="22"/>
        </w:rPr>
        <w:t>In accordance with section 5C of the Corporations Act</w:t>
      </w:r>
      <w:r w:rsidRPr="00427BC7">
        <w:rPr>
          <w:rFonts w:ascii="Arial" w:hAnsi="Arial" w:cs="Arial"/>
          <w:iCs/>
          <w:sz w:val="22"/>
          <w:szCs w:val="22"/>
        </w:rPr>
        <w:t xml:space="preserve">, the relevant version of </w:t>
      </w:r>
      <w:r w:rsidRPr="00427BC7">
        <w:rPr>
          <w:rFonts w:ascii="Arial" w:hAnsi="Arial" w:cs="Arial"/>
          <w:sz w:val="22"/>
          <w:szCs w:val="22"/>
        </w:rPr>
        <w:t xml:space="preserve">the </w:t>
      </w:r>
      <w:r w:rsidRPr="00427BC7">
        <w:rPr>
          <w:rFonts w:ascii="Arial" w:hAnsi="Arial" w:cs="Arial"/>
          <w:i/>
          <w:iCs/>
          <w:sz w:val="22"/>
          <w:szCs w:val="22"/>
        </w:rPr>
        <w:t>Acts Interpretation Act 1901</w:t>
      </w:r>
      <w:r w:rsidRPr="00427BC7">
        <w:rPr>
          <w:rFonts w:ascii="Arial" w:hAnsi="Arial" w:cs="Arial"/>
          <w:sz w:val="22"/>
          <w:szCs w:val="22"/>
        </w:rPr>
        <w:t xml:space="preserve"> that applies to the Corporations Act </w:t>
      </w:r>
      <w:r w:rsidRPr="00427BC7">
        <w:rPr>
          <w:rFonts w:ascii="Arial" w:hAnsi="Arial" w:cs="Arial"/>
          <w:iCs/>
          <w:sz w:val="22"/>
          <w:szCs w:val="22"/>
        </w:rPr>
        <w:t xml:space="preserve">is the version as at 1 </w:t>
      </w:r>
      <w:r>
        <w:rPr>
          <w:rFonts w:ascii="Arial" w:hAnsi="Arial" w:cs="Arial"/>
          <w:iCs/>
          <w:sz w:val="22"/>
          <w:szCs w:val="22"/>
        </w:rPr>
        <w:t>November</w:t>
      </w:r>
      <w:r w:rsidRPr="00427BC7">
        <w:rPr>
          <w:rFonts w:ascii="Arial" w:hAnsi="Arial" w:cs="Arial"/>
          <w:iCs/>
          <w:sz w:val="22"/>
          <w:szCs w:val="22"/>
        </w:rPr>
        <w:t xml:space="preserve"> 2005</w:t>
      </w:r>
      <w:r w:rsidRPr="00427BC7">
        <w:rPr>
          <w:rFonts w:ascii="Arial" w:hAnsi="Arial" w:cs="Arial"/>
          <w:sz w:val="22"/>
          <w:szCs w:val="22"/>
        </w:rPr>
        <w:t>. </w:t>
      </w:r>
      <w:r w:rsidR="003C5195" w:rsidRPr="00030C4F">
        <w:rPr>
          <w:rFonts w:ascii="Arial" w:hAnsi="Arial" w:cs="Arial"/>
          <w:sz w:val="22"/>
          <w:szCs w:val="22"/>
        </w:rPr>
        <w:t xml:space="preserve">Under subsection 33(3) of the </w:t>
      </w:r>
      <w:r w:rsidR="003C5195" w:rsidRPr="00030C4F">
        <w:rPr>
          <w:rFonts w:ascii="Arial" w:hAnsi="Arial" w:cs="Arial"/>
          <w:i/>
          <w:sz w:val="22"/>
          <w:szCs w:val="22"/>
        </w:rPr>
        <w:t>Acts Interpretation Act 1901</w:t>
      </w:r>
      <w:r w:rsidR="003C5195" w:rsidRPr="00030C4F">
        <w:rPr>
          <w:rFonts w:ascii="Arial" w:hAnsi="Arial" w:cs="Arial"/>
          <w:sz w:val="22"/>
          <w:szCs w:val="22"/>
        </w:rPr>
        <w:t>, where an Act confers a power to make, grant or issue any instrument of a legislative or administrative</w:t>
      </w:r>
      <w:r w:rsidR="003C5195" w:rsidRPr="009A7EB9">
        <w:rPr>
          <w:rFonts w:ascii="Arial" w:hAnsi="Arial" w:cs="Arial"/>
          <w:sz w:val="22"/>
          <w:szCs w:val="22"/>
        </w:rPr>
        <w:t xml:space="preserve"> character (including rules, regulations or by-laws) the power shall be construed </w:t>
      </w:r>
      <w:r w:rsidR="003C5195" w:rsidRPr="00240CFB">
        <w:rPr>
          <w:rFonts w:ascii="Arial" w:hAnsi="Arial" w:cs="Arial"/>
          <w:sz w:val="22"/>
          <w:szCs w:val="22"/>
        </w:rPr>
        <w:t>as including a power exercisable in the like manner and subject to the like conditions (if any) to repeal, rescind, revoke, amend, or vary any such instrument</w:t>
      </w:r>
      <w:r w:rsidR="00B31550" w:rsidRPr="00240CFB">
        <w:rPr>
          <w:rFonts w:ascii="Arial" w:hAnsi="Arial" w:cs="Arial"/>
          <w:sz w:val="22"/>
          <w:szCs w:val="22"/>
        </w:rPr>
        <w:t>.</w:t>
      </w:r>
    </w:p>
    <w:p w14:paraId="15AC1B63" w14:textId="77777777" w:rsidR="001D02E6" w:rsidRPr="00240CFB" w:rsidRDefault="001D02E6" w:rsidP="00910595">
      <w:pPr>
        <w:pStyle w:val="Heading2"/>
      </w:pPr>
      <w:r w:rsidRPr="00240CFB">
        <w:t>Date of effect</w:t>
      </w:r>
    </w:p>
    <w:p w14:paraId="350F55F6" w14:textId="28472ACE" w:rsidR="00BB64AD" w:rsidRDefault="0034283D" w:rsidP="00F14392">
      <w:pPr>
        <w:numPr>
          <w:ilvl w:val="0"/>
          <w:numId w:val="1"/>
        </w:numPr>
        <w:spacing w:after="120"/>
        <w:ind w:left="0" w:firstLine="0"/>
        <w:rPr>
          <w:rFonts w:ascii="Arial" w:hAnsi="Arial" w:cs="Arial"/>
          <w:sz w:val="22"/>
          <w:szCs w:val="22"/>
        </w:rPr>
      </w:pPr>
      <w:r w:rsidRPr="00240CFB">
        <w:rPr>
          <w:rFonts w:ascii="Arial" w:hAnsi="Arial" w:cs="Arial"/>
          <w:sz w:val="22"/>
          <w:szCs w:val="22"/>
        </w:rPr>
        <w:t xml:space="preserve">This instrument commences </w:t>
      </w:r>
      <w:r w:rsidRPr="00543CB2">
        <w:rPr>
          <w:rFonts w:ascii="Arial" w:hAnsi="Arial" w:cs="Arial"/>
          <w:sz w:val="22"/>
          <w:szCs w:val="22"/>
        </w:rPr>
        <w:t>on</w:t>
      </w:r>
      <w:r w:rsidR="00BB64AD" w:rsidRPr="00BB64AD">
        <w:rPr>
          <w:rFonts w:ascii="Arial" w:hAnsi="Arial" w:cs="Arial"/>
          <w:sz w:val="22"/>
          <w:szCs w:val="22"/>
        </w:rPr>
        <w:t xml:space="preserve"> </w:t>
      </w:r>
      <w:r w:rsidR="00BB64AD" w:rsidRPr="003A7053">
        <w:rPr>
          <w:rFonts w:ascii="Arial" w:hAnsi="Arial" w:cs="Arial"/>
          <w:sz w:val="22"/>
          <w:szCs w:val="22"/>
        </w:rPr>
        <w:t>the</w:t>
      </w:r>
      <w:r w:rsidR="00BB64AD">
        <w:rPr>
          <w:rFonts w:ascii="Arial" w:hAnsi="Arial" w:cs="Arial"/>
          <w:sz w:val="22"/>
          <w:szCs w:val="22"/>
        </w:rPr>
        <w:t xml:space="preserve"> later of:</w:t>
      </w:r>
    </w:p>
    <w:p w14:paraId="0F75AF3F" w14:textId="77777777" w:rsidR="00BB64AD" w:rsidRDefault="00BB64AD" w:rsidP="00D93371">
      <w:pPr>
        <w:pStyle w:val="ListParagraph"/>
        <w:numPr>
          <w:ilvl w:val="0"/>
          <w:numId w:val="4"/>
        </w:numPr>
        <w:spacing w:after="0" w:line="240" w:lineRule="auto"/>
        <w:contextualSpacing/>
        <w:rPr>
          <w:rFonts w:ascii="Arial" w:hAnsi="Arial" w:cs="Arial"/>
        </w:rPr>
      </w:pPr>
      <w:r>
        <w:rPr>
          <w:rFonts w:ascii="Arial" w:hAnsi="Arial" w:cs="Arial"/>
        </w:rPr>
        <w:t>the</w:t>
      </w:r>
      <w:r w:rsidRPr="0038784B">
        <w:rPr>
          <w:rFonts w:ascii="Arial" w:hAnsi="Arial" w:cs="Arial"/>
        </w:rPr>
        <w:t xml:space="preserve"> day after it is registered on the Federal Register of Legislation</w:t>
      </w:r>
      <w:r>
        <w:rPr>
          <w:rFonts w:ascii="Arial" w:hAnsi="Arial" w:cs="Arial"/>
        </w:rPr>
        <w:t>; and</w:t>
      </w:r>
    </w:p>
    <w:p w14:paraId="7DF6077C" w14:textId="558734BE" w:rsidR="00BB64AD" w:rsidRDefault="00BB64AD" w:rsidP="00D93371">
      <w:pPr>
        <w:pStyle w:val="ListParagraph"/>
        <w:numPr>
          <w:ilvl w:val="0"/>
          <w:numId w:val="4"/>
        </w:numPr>
        <w:spacing w:after="0" w:line="240" w:lineRule="auto"/>
        <w:contextualSpacing/>
        <w:rPr>
          <w:rFonts w:ascii="Arial" w:hAnsi="Arial" w:cs="Arial"/>
        </w:rPr>
      </w:pPr>
      <w:proofErr w:type="gramStart"/>
      <w:r w:rsidRPr="00BB64AD">
        <w:rPr>
          <w:rFonts w:ascii="Arial" w:hAnsi="Arial" w:cs="Arial"/>
        </w:rPr>
        <w:t>the</w:t>
      </w:r>
      <w:proofErr w:type="gramEnd"/>
      <w:r w:rsidRPr="00BB64AD">
        <w:rPr>
          <w:rFonts w:ascii="Arial" w:hAnsi="Arial" w:cs="Arial"/>
        </w:rPr>
        <w:t xml:space="preserve"> day on which section </w:t>
      </w:r>
      <w:r w:rsidR="00F91DC5" w:rsidRPr="00C53446">
        <w:rPr>
          <w:rFonts w:ascii="Arial" w:hAnsi="Arial" w:cs="Arial"/>
        </w:rPr>
        <w:t xml:space="preserve">1270K </w:t>
      </w:r>
      <w:r w:rsidR="00F91DC5" w:rsidRPr="00B9624F">
        <w:rPr>
          <w:rFonts w:ascii="Arial" w:hAnsi="Arial" w:cs="Arial"/>
        </w:rPr>
        <w:t xml:space="preserve">of the </w:t>
      </w:r>
      <w:r w:rsidR="00F91DC5">
        <w:rPr>
          <w:rFonts w:ascii="Arial" w:hAnsi="Arial" w:cs="Arial"/>
          <w:iCs/>
        </w:rPr>
        <w:t>Corporations Act</w:t>
      </w:r>
      <w:r w:rsidR="00F91DC5">
        <w:rPr>
          <w:rFonts w:ascii="Arial" w:hAnsi="Arial" w:cs="Arial"/>
          <w:i/>
        </w:rPr>
        <w:t xml:space="preserve"> </w:t>
      </w:r>
      <w:r w:rsidR="00F91DC5" w:rsidRPr="00B9624F">
        <w:rPr>
          <w:rFonts w:ascii="Arial" w:hAnsi="Arial" w:cs="Arial"/>
        </w:rPr>
        <w:t>commences</w:t>
      </w:r>
      <w:r>
        <w:rPr>
          <w:rFonts w:ascii="Arial" w:hAnsi="Arial" w:cs="Arial"/>
        </w:rPr>
        <w:t>.</w:t>
      </w:r>
    </w:p>
    <w:p w14:paraId="2F1833B2" w14:textId="77777777" w:rsidR="00BB64AD" w:rsidRPr="000A3CC5" w:rsidRDefault="00BB64AD" w:rsidP="000A3CC5">
      <w:pPr>
        <w:contextualSpacing/>
        <w:rPr>
          <w:rFonts w:ascii="Arial" w:hAnsi="Arial" w:cs="Arial"/>
        </w:rPr>
      </w:pPr>
    </w:p>
    <w:p w14:paraId="3C2F0447" w14:textId="10856F40" w:rsidR="0008463C" w:rsidRDefault="00486653" w:rsidP="004A32CD">
      <w:pPr>
        <w:pStyle w:val="Heading2"/>
      </w:pPr>
      <w:r w:rsidRPr="00240CFB">
        <w:t>What is the effect of this instrument</w:t>
      </w:r>
    </w:p>
    <w:p w14:paraId="250B0B0F" w14:textId="5A9388D4" w:rsidR="00A16963" w:rsidRDefault="00A16963" w:rsidP="00A16963">
      <w:pPr>
        <w:numPr>
          <w:ilvl w:val="0"/>
          <w:numId w:val="1"/>
        </w:numPr>
        <w:spacing w:after="120"/>
        <w:ind w:left="0" w:firstLine="0"/>
        <w:rPr>
          <w:rFonts w:ascii="Arial" w:hAnsi="Arial" w:cs="Arial"/>
          <w:sz w:val="22"/>
          <w:szCs w:val="22"/>
        </w:rPr>
      </w:pPr>
      <w:r>
        <w:rPr>
          <w:rFonts w:ascii="Arial" w:hAnsi="Arial" w:cs="Arial"/>
          <w:sz w:val="22"/>
          <w:szCs w:val="22"/>
        </w:rPr>
        <w:t xml:space="preserve">This legislative instrument </w:t>
      </w:r>
      <w:r w:rsidR="005E7E0F">
        <w:rPr>
          <w:rFonts w:ascii="Arial" w:hAnsi="Arial" w:cs="Arial"/>
          <w:sz w:val="22"/>
          <w:szCs w:val="22"/>
        </w:rPr>
        <w:t xml:space="preserve">authorises </w:t>
      </w:r>
      <w:r>
        <w:rPr>
          <w:rFonts w:ascii="Arial" w:hAnsi="Arial" w:cs="Arial"/>
          <w:sz w:val="22"/>
          <w:szCs w:val="22"/>
        </w:rPr>
        <w:t>the disclos</w:t>
      </w:r>
      <w:r w:rsidR="007677FE">
        <w:rPr>
          <w:rFonts w:ascii="Arial" w:hAnsi="Arial" w:cs="Arial"/>
          <w:sz w:val="22"/>
          <w:szCs w:val="22"/>
        </w:rPr>
        <w:t>ur</w:t>
      </w:r>
      <w:r>
        <w:rPr>
          <w:rFonts w:ascii="Arial" w:hAnsi="Arial" w:cs="Arial"/>
          <w:sz w:val="22"/>
          <w:szCs w:val="22"/>
        </w:rPr>
        <w:t>e</w:t>
      </w:r>
      <w:r w:rsidR="007677FE">
        <w:rPr>
          <w:rFonts w:ascii="Arial" w:hAnsi="Arial" w:cs="Arial"/>
          <w:sz w:val="22"/>
          <w:szCs w:val="22"/>
        </w:rPr>
        <w:t xml:space="preserve"> of</w:t>
      </w:r>
      <w:r>
        <w:rPr>
          <w:rFonts w:ascii="Arial" w:hAnsi="Arial" w:cs="Arial"/>
          <w:sz w:val="22"/>
          <w:szCs w:val="22"/>
        </w:rPr>
        <w:t xml:space="preserve"> </w:t>
      </w:r>
      <w:r w:rsidR="0008463C">
        <w:rPr>
          <w:rFonts w:ascii="Arial" w:hAnsi="Arial" w:cs="Arial"/>
          <w:color w:val="000000"/>
          <w:sz w:val="22"/>
          <w:szCs w:val="22"/>
        </w:rPr>
        <w:t>d</w:t>
      </w:r>
      <w:r w:rsidR="005E7E0F">
        <w:rPr>
          <w:rFonts w:ascii="Arial" w:hAnsi="Arial" w:cs="Arial"/>
          <w:color w:val="000000"/>
          <w:sz w:val="22"/>
          <w:szCs w:val="22"/>
        </w:rPr>
        <w:t>irector ID</w:t>
      </w:r>
      <w:r>
        <w:rPr>
          <w:rFonts w:ascii="Arial" w:hAnsi="Arial" w:cs="Arial"/>
          <w:sz w:val="22"/>
          <w:szCs w:val="22"/>
        </w:rPr>
        <w:t xml:space="preserve"> information to PGPA bodies</w:t>
      </w:r>
      <w:r w:rsidR="007677FE">
        <w:rPr>
          <w:rFonts w:ascii="Arial" w:hAnsi="Arial" w:cs="Arial"/>
          <w:sz w:val="22"/>
          <w:szCs w:val="22"/>
        </w:rPr>
        <w:t>, courts and tribunals</w:t>
      </w:r>
      <w:r>
        <w:rPr>
          <w:rFonts w:ascii="Arial" w:hAnsi="Arial" w:cs="Arial"/>
          <w:sz w:val="22"/>
          <w:szCs w:val="22"/>
        </w:rPr>
        <w:t xml:space="preserve">. </w:t>
      </w:r>
    </w:p>
    <w:p w14:paraId="73934027" w14:textId="77777777" w:rsidR="007432BC" w:rsidRDefault="007432BC" w:rsidP="007432BC">
      <w:pPr>
        <w:numPr>
          <w:ilvl w:val="0"/>
          <w:numId w:val="1"/>
        </w:numPr>
        <w:spacing w:after="120"/>
        <w:ind w:left="0" w:firstLine="0"/>
        <w:rPr>
          <w:rFonts w:ascii="Arial" w:hAnsi="Arial" w:cs="Arial"/>
          <w:sz w:val="22"/>
          <w:szCs w:val="22"/>
        </w:rPr>
      </w:pPr>
      <w:r>
        <w:rPr>
          <w:rFonts w:ascii="Arial" w:hAnsi="Arial" w:cs="Arial"/>
          <w:sz w:val="22"/>
          <w:szCs w:val="22"/>
        </w:rPr>
        <w:t xml:space="preserve">This instrument uses terms defined in section 5 of this instrument. </w:t>
      </w:r>
      <w:r w:rsidRPr="006749F6">
        <w:rPr>
          <w:rFonts w:ascii="Arial" w:hAnsi="Arial" w:cs="Arial"/>
          <w:sz w:val="22"/>
          <w:szCs w:val="22"/>
        </w:rPr>
        <w:t xml:space="preserve">All </w:t>
      </w:r>
      <w:r>
        <w:rPr>
          <w:rFonts w:ascii="Arial" w:hAnsi="Arial" w:cs="Arial"/>
          <w:sz w:val="22"/>
          <w:szCs w:val="22"/>
        </w:rPr>
        <w:t xml:space="preserve">other </w:t>
      </w:r>
      <w:r w:rsidRPr="00A54D42">
        <w:rPr>
          <w:rFonts w:ascii="Arial" w:hAnsi="Arial" w:cs="Arial"/>
          <w:sz w:val="22"/>
          <w:szCs w:val="22"/>
        </w:rPr>
        <w:t xml:space="preserve">terms take their meanings from the </w:t>
      </w:r>
      <w:r w:rsidRPr="00A54D42">
        <w:rPr>
          <w:rFonts w:ascii="Arial" w:hAnsi="Arial" w:cs="Arial"/>
          <w:iCs/>
          <w:sz w:val="22"/>
          <w:szCs w:val="22"/>
        </w:rPr>
        <w:t>Corporations</w:t>
      </w:r>
      <w:r>
        <w:rPr>
          <w:rFonts w:ascii="Arial" w:hAnsi="Arial" w:cs="Arial"/>
          <w:iCs/>
          <w:sz w:val="22"/>
          <w:szCs w:val="22"/>
        </w:rPr>
        <w:t xml:space="preserve"> Act</w:t>
      </w:r>
      <w:r w:rsidRPr="006749F6">
        <w:rPr>
          <w:rFonts w:ascii="Arial" w:hAnsi="Arial" w:cs="Arial"/>
          <w:sz w:val="22"/>
          <w:szCs w:val="22"/>
        </w:rPr>
        <w:t>.</w:t>
      </w:r>
      <w:r>
        <w:rPr>
          <w:rFonts w:ascii="Arial" w:hAnsi="Arial" w:cs="Arial"/>
          <w:sz w:val="22"/>
          <w:szCs w:val="22"/>
        </w:rPr>
        <w:t xml:space="preserve"> </w:t>
      </w:r>
    </w:p>
    <w:p w14:paraId="61CD4AEF" w14:textId="748660C6" w:rsidR="00D86821" w:rsidRPr="00CC6A1E" w:rsidRDefault="00D86821" w:rsidP="00D86821">
      <w:pPr>
        <w:numPr>
          <w:ilvl w:val="0"/>
          <w:numId w:val="1"/>
        </w:numPr>
        <w:spacing w:after="120"/>
        <w:ind w:left="0" w:firstLine="0"/>
        <w:rPr>
          <w:rFonts w:ascii="Arial" w:hAnsi="Arial" w:cs="Arial"/>
          <w:sz w:val="22"/>
          <w:szCs w:val="22"/>
        </w:rPr>
      </w:pPr>
      <w:r w:rsidRPr="009A7EB9">
        <w:rPr>
          <w:rFonts w:ascii="Arial" w:hAnsi="Arial" w:cs="Arial"/>
          <w:sz w:val="22"/>
          <w:szCs w:val="22"/>
        </w:rPr>
        <w:t xml:space="preserve">The </w:t>
      </w:r>
      <w:r w:rsidR="007677FE">
        <w:rPr>
          <w:rFonts w:ascii="Arial" w:hAnsi="Arial" w:cs="Arial"/>
          <w:sz w:val="22"/>
          <w:szCs w:val="22"/>
        </w:rPr>
        <w:t>R</w:t>
      </w:r>
      <w:r>
        <w:rPr>
          <w:rFonts w:ascii="Arial" w:hAnsi="Arial" w:cs="Arial"/>
          <w:sz w:val="22"/>
          <w:szCs w:val="22"/>
        </w:rPr>
        <w:t>egistrar</w:t>
      </w:r>
      <w:r w:rsidRPr="009A7EB9">
        <w:rPr>
          <w:rFonts w:ascii="Arial" w:hAnsi="Arial" w:cs="Arial"/>
          <w:sz w:val="22"/>
          <w:szCs w:val="22"/>
        </w:rPr>
        <w:t xml:space="preserve"> </w:t>
      </w:r>
      <w:r w:rsidRPr="00AE692B">
        <w:rPr>
          <w:rFonts w:ascii="Arial" w:hAnsi="Arial" w:cs="Arial"/>
          <w:sz w:val="22"/>
          <w:szCs w:val="22"/>
        </w:rPr>
        <w:t xml:space="preserve">may </w:t>
      </w:r>
      <w:r w:rsidRPr="00CC6A1E">
        <w:rPr>
          <w:rFonts w:ascii="Arial" w:hAnsi="Arial" w:cs="Arial"/>
          <w:sz w:val="22"/>
          <w:szCs w:val="22"/>
        </w:rPr>
        <w:t>make a disclosure framework that provide</w:t>
      </w:r>
      <w:r w:rsidR="005E7E0F">
        <w:rPr>
          <w:rFonts w:ascii="Arial" w:hAnsi="Arial" w:cs="Arial"/>
          <w:sz w:val="22"/>
          <w:szCs w:val="22"/>
        </w:rPr>
        <w:t>s</w:t>
      </w:r>
      <w:r w:rsidRPr="00CC6A1E">
        <w:rPr>
          <w:rFonts w:ascii="Arial" w:hAnsi="Arial" w:cs="Arial"/>
          <w:sz w:val="22"/>
          <w:szCs w:val="22"/>
        </w:rPr>
        <w:t xml:space="preserve">, among other things, for the disclosure of </w:t>
      </w:r>
      <w:r>
        <w:rPr>
          <w:rFonts w:ascii="Arial" w:hAnsi="Arial" w:cs="Arial"/>
          <w:sz w:val="22"/>
          <w:szCs w:val="22"/>
        </w:rPr>
        <w:t>protected information</w:t>
      </w:r>
      <w:r w:rsidRPr="00CC6A1E">
        <w:rPr>
          <w:rFonts w:ascii="Arial" w:hAnsi="Arial" w:cs="Arial"/>
          <w:sz w:val="22"/>
          <w:szCs w:val="22"/>
        </w:rPr>
        <w:t xml:space="preserve"> under the </w:t>
      </w:r>
      <w:r w:rsidR="0008463C">
        <w:rPr>
          <w:rFonts w:ascii="Arial" w:hAnsi="Arial" w:cs="Arial"/>
          <w:sz w:val="22"/>
          <w:szCs w:val="22"/>
        </w:rPr>
        <w:t xml:space="preserve">Corporations </w:t>
      </w:r>
      <w:r w:rsidRPr="00AE5A1D">
        <w:rPr>
          <w:rFonts w:ascii="Arial" w:hAnsi="Arial" w:cs="Arial"/>
          <w:sz w:val="22"/>
          <w:szCs w:val="22"/>
        </w:rPr>
        <w:t>Act</w:t>
      </w:r>
      <w:r w:rsidR="007677FE">
        <w:rPr>
          <w:rFonts w:ascii="Arial" w:hAnsi="Arial" w:cs="Arial"/>
          <w:sz w:val="22"/>
          <w:szCs w:val="22"/>
        </w:rPr>
        <w:t xml:space="preserve">, in this case </w:t>
      </w:r>
      <w:r w:rsidR="004A32CD">
        <w:rPr>
          <w:rFonts w:ascii="Arial" w:hAnsi="Arial" w:cs="Arial"/>
          <w:color w:val="000000"/>
          <w:sz w:val="22"/>
          <w:szCs w:val="22"/>
        </w:rPr>
        <w:t>d</w:t>
      </w:r>
      <w:r>
        <w:rPr>
          <w:rFonts w:ascii="Arial" w:hAnsi="Arial" w:cs="Arial"/>
          <w:color w:val="000000"/>
          <w:sz w:val="22"/>
          <w:szCs w:val="22"/>
        </w:rPr>
        <w:t xml:space="preserve">irector </w:t>
      </w:r>
      <w:r w:rsidR="005E7E0F">
        <w:rPr>
          <w:rFonts w:ascii="Arial" w:hAnsi="Arial" w:cs="Arial"/>
          <w:color w:val="000000"/>
          <w:sz w:val="22"/>
          <w:szCs w:val="22"/>
        </w:rPr>
        <w:t>ID</w:t>
      </w:r>
      <w:r>
        <w:rPr>
          <w:rFonts w:ascii="Arial" w:hAnsi="Arial" w:cs="Arial"/>
          <w:sz w:val="22"/>
          <w:szCs w:val="22"/>
        </w:rPr>
        <w:t xml:space="preserve"> </w:t>
      </w:r>
      <w:r w:rsidRPr="00AE692B">
        <w:rPr>
          <w:rFonts w:ascii="Arial" w:hAnsi="Arial" w:cs="Arial"/>
          <w:sz w:val="22"/>
          <w:szCs w:val="22"/>
        </w:rPr>
        <w:t>information</w:t>
      </w:r>
      <w:r>
        <w:rPr>
          <w:rFonts w:ascii="Arial" w:hAnsi="Arial" w:cs="Arial"/>
          <w:sz w:val="22"/>
          <w:szCs w:val="22"/>
        </w:rPr>
        <w:t>.</w:t>
      </w:r>
      <w:r w:rsidRPr="00D86821">
        <w:rPr>
          <w:rFonts w:ascii="Arial" w:hAnsi="Arial" w:cs="Arial"/>
          <w:sz w:val="22"/>
          <w:szCs w:val="22"/>
        </w:rPr>
        <w:t xml:space="preserve"> </w:t>
      </w:r>
      <w:r w:rsidRPr="00760450">
        <w:rPr>
          <w:rFonts w:ascii="Arial" w:hAnsi="Arial" w:cs="Arial"/>
          <w:sz w:val="22"/>
          <w:szCs w:val="22"/>
        </w:rPr>
        <w:t xml:space="preserve">The disclosure of </w:t>
      </w:r>
      <w:r w:rsidR="004A32CD">
        <w:rPr>
          <w:rFonts w:ascii="Arial" w:hAnsi="Arial" w:cs="Arial"/>
          <w:sz w:val="22"/>
          <w:szCs w:val="22"/>
        </w:rPr>
        <w:t>d</w:t>
      </w:r>
      <w:r>
        <w:rPr>
          <w:rFonts w:ascii="Arial" w:hAnsi="Arial" w:cs="Arial"/>
          <w:color w:val="000000"/>
          <w:sz w:val="22"/>
          <w:szCs w:val="22"/>
        </w:rPr>
        <w:t xml:space="preserve">irector </w:t>
      </w:r>
      <w:r w:rsidR="005E7E0F">
        <w:rPr>
          <w:rFonts w:ascii="Arial" w:hAnsi="Arial" w:cs="Arial"/>
          <w:color w:val="000000"/>
          <w:sz w:val="22"/>
          <w:szCs w:val="22"/>
        </w:rPr>
        <w:t>ID</w:t>
      </w:r>
      <w:r>
        <w:rPr>
          <w:rFonts w:ascii="Arial" w:hAnsi="Arial" w:cs="Arial"/>
          <w:sz w:val="22"/>
          <w:szCs w:val="22"/>
        </w:rPr>
        <w:t xml:space="preserve"> </w:t>
      </w:r>
      <w:r w:rsidRPr="00760450">
        <w:rPr>
          <w:rFonts w:ascii="Arial" w:hAnsi="Arial" w:cs="Arial"/>
          <w:sz w:val="22"/>
          <w:szCs w:val="22"/>
        </w:rPr>
        <w:t>information</w:t>
      </w:r>
      <w:r w:rsidR="007677FE">
        <w:rPr>
          <w:rFonts w:ascii="Arial" w:hAnsi="Arial" w:cs="Arial"/>
          <w:sz w:val="22"/>
          <w:szCs w:val="22"/>
        </w:rPr>
        <w:t xml:space="preserve"> under </w:t>
      </w:r>
      <w:proofErr w:type="gramStart"/>
      <w:r w:rsidR="007677FE">
        <w:rPr>
          <w:rFonts w:ascii="Arial" w:hAnsi="Arial" w:cs="Arial"/>
          <w:sz w:val="22"/>
          <w:szCs w:val="22"/>
        </w:rPr>
        <w:t>paragraph1270L(</w:t>
      </w:r>
      <w:proofErr w:type="gramEnd"/>
      <w:r w:rsidR="007677FE">
        <w:rPr>
          <w:rFonts w:ascii="Arial" w:hAnsi="Arial" w:cs="Arial"/>
          <w:sz w:val="22"/>
          <w:szCs w:val="22"/>
        </w:rPr>
        <w:t>3)((f) of the Corporations Act</w:t>
      </w:r>
      <w:r w:rsidRPr="00760450">
        <w:rPr>
          <w:rFonts w:ascii="Arial" w:hAnsi="Arial" w:cs="Arial"/>
          <w:sz w:val="22"/>
          <w:szCs w:val="22"/>
        </w:rPr>
        <w:t xml:space="preserve"> must meet any requirements of th</w:t>
      </w:r>
      <w:r w:rsidR="007677FE">
        <w:rPr>
          <w:rFonts w:ascii="Arial" w:hAnsi="Arial" w:cs="Arial"/>
          <w:sz w:val="22"/>
          <w:szCs w:val="22"/>
        </w:rPr>
        <w:t>is instrument</w:t>
      </w:r>
      <w:r>
        <w:rPr>
          <w:rFonts w:ascii="Arial" w:hAnsi="Arial" w:cs="Arial"/>
          <w:sz w:val="22"/>
          <w:szCs w:val="22"/>
        </w:rPr>
        <w:t>.</w:t>
      </w:r>
    </w:p>
    <w:p w14:paraId="0334CCB2" w14:textId="045CEAB0" w:rsidR="00E70A17" w:rsidRPr="00E70A17" w:rsidRDefault="00E70A17" w:rsidP="00543449">
      <w:pPr>
        <w:numPr>
          <w:ilvl w:val="0"/>
          <w:numId w:val="1"/>
        </w:numPr>
        <w:spacing w:after="120"/>
        <w:ind w:left="0" w:firstLine="0"/>
        <w:rPr>
          <w:rFonts w:ascii="Arial" w:hAnsi="Arial"/>
          <w:color w:val="000000"/>
          <w:sz w:val="22"/>
        </w:rPr>
      </w:pPr>
      <w:r>
        <w:rPr>
          <w:rFonts w:ascii="Arial" w:hAnsi="Arial"/>
          <w:color w:val="000000"/>
          <w:sz w:val="22"/>
        </w:rPr>
        <w:t>A person, who is or has been in official employment is prohibited from disclosing protected information</w:t>
      </w:r>
      <w:r w:rsidR="00C026CD">
        <w:rPr>
          <w:rFonts w:ascii="Arial" w:hAnsi="Arial"/>
          <w:color w:val="000000"/>
          <w:sz w:val="22"/>
        </w:rPr>
        <w:t xml:space="preserve"> if the protected information was obtained by the person in the course of their official employment</w:t>
      </w:r>
      <w:r>
        <w:rPr>
          <w:rFonts w:ascii="Arial" w:hAnsi="Arial"/>
          <w:color w:val="000000"/>
          <w:sz w:val="22"/>
        </w:rPr>
        <w:t xml:space="preserve"> </w:t>
      </w:r>
      <w:r w:rsidR="00C026CD">
        <w:rPr>
          <w:rFonts w:ascii="Arial" w:hAnsi="Arial"/>
          <w:color w:val="000000"/>
          <w:sz w:val="22"/>
        </w:rPr>
        <w:t xml:space="preserve">unless one of the exceptions in subsection </w:t>
      </w:r>
      <w:proofErr w:type="gramStart"/>
      <w:r w:rsidR="00C026CD">
        <w:rPr>
          <w:rFonts w:ascii="Arial" w:hAnsi="Arial"/>
          <w:color w:val="000000"/>
          <w:sz w:val="22"/>
        </w:rPr>
        <w:t>1270L(</w:t>
      </w:r>
      <w:proofErr w:type="gramEnd"/>
      <w:r w:rsidR="00C026CD">
        <w:rPr>
          <w:rFonts w:ascii="Arial" w:hAnsi="Arial"/>
          <w:color w:val="000000"/>
          <w:sz w:val="22"/>
        </w:rPr>
        <w:t>3) of the Corporations Act applies.</w:t>
      </w:r>
    </w:p>
    <w:p w14:paraId="13C2D10A" w14:textId="08A6CE79" w:rsidR="00543449" w:rsidRPr="00F14392" w:rsidRDefault="00C026CD" w:rsidP="00543449">
      <w:pPr>
        <w:numPr>
          <w:ilvl w:val="0"/>
          <w:numId w:val="1"/>
        </w:numPr>
        <w:spacing w:after="120"/>
        <w:ind w:left="0" w:firstLine="0"/>
        <w:rPr>
          <w:rFonts w:ascii="Arial" w:hAnsi="Arial"/>
          <w:color w:val="000000"/>
          <w:sz w:val="22"/>
        </w:rPr>
      </w:pPr>
      <w:r>
        <w:rPr>
          <w:rFonts w:ascii="Arial" w:hAnsi="Arial" w:cs="Arial"/>
          <w:color w:val="000000"/>
          <w:sz w:val="22"/>
          <w:szCs w:val="22"/>
        </w:rPr>
        <w:t xml:space="preserve">Subsection </w:t>
      </w:r>
      <w:proofErr w:type="gramStart"/>
      <w:r>
        <w:rPr>
          <w:rFonts w:ascii="Arial" w:hAnsi="Arial" w:cs="Arial"/>
          <w:color w:val="000000"/>
          <w:sz w:val="22"/>
          <w:szCs w:val="22"/>
        </w:rPr>
        <w:t>1270L(</w:t>
      </w:r>
      <w:proofErr w:type="gramEnd"/>
      <w:r>
        <w:rPr>
          <w:rFonts w:ascii="Arial" w:hAnsi="Arial" w:cs="Arial"/>
          <w:color w:val="000000"/>
          <w:sz w:val="22"/>
          <w:szCs w:val="22"/>
        </w:rPr>
        <w:t>3) of the Corporations Act</w:t>
      </w:r>
      <w:r w:rsidR="00760450" w:rsidRPr="00543449">
        <w:rPr>
          <w:rFonts w:ascii="Arial" w:hAnsi="Arial" w:cs="Arial"/>
          <w:color w:val="000000"/>
          <w:sz w:val="22"/>
          <w:szCs w:val="22"/>
        </w:rPr>
        <w:t xml:space="preserve"> </w:t>
      </w:r>
      <w:r w:rsidR="00760450" w:rsidRPr="00F14392">
        <w:rPr>
          <w:rFonts w:ascii="Arial" w:hAnsi="Arial"/>
          <w:sz w:val="22"/>
        </w:rPr>
        <w:t>authorises</w:t>
      </w:r>
      <w:r w:rsidR="00760450" w:rsidRPr="00543449">
        <w:rPr>
          <w:rFonts w:ascii="Arial" w:hAnsi="Arial" w:cs="Arial"/>
          <w:color w:val="000000"/>
          <w:sz w:val="22"/>
          <w:szCs w:val="22"/>
        </w:rPr>
        <w:t xml:space="preserve"> disclosure of protected information to a government entity in relation to the performance or exercise of its functions or powers. </w:t>
      </w:r>
      <w:r w:rsidR="00543449" w:rsidRPr="00543449">
        <w:rPr>
          <w:rFonts w:ascii="Arial" w:hAnsi="Arial" w:cs="Arial"/>
          <w:color w:val="000000"/>
          <w:sz w:val="22"/>
          <w:szCs w:val="22"/>
        </w:rPr>
        <w:t xml:space="preserve">However, there are </w:t>
      </w:r>
      <w:r w:rsidR="00543449" w:rsidRPr="00F14392">
        <w:rPr>
          <w:rFonts w:ascii="Arial" w:hAnsi="Arial"/>
          <w:color w:val="000000"/>
          <w:sz w:val="22"/>
        </w:rPr>
        <w:t>bodies</w:t>
      </w:r>
      <w:r w:rsidR="007677FE">
        <w:rPr>
          <w:rFonts w:ascii="Arial" w:hAnsi="Arial"/>
          <w:color w:val="000000"/>
          <w:sz w:val="22"/>
        </w:rPr>
        <w:t>, being Commonwealth entities and Commonwealth companies</w:t>
      </w:r>
      <w:r w:rsidR="00543449" w:rsidRPr="00F14392">
        <w:rPr>
          <w:rFonts w:ascii="Arial" w:hAnsi="Arial"/>
          <w:color w:val="000000"/>
          <w:sz w:val="22"/>
        </w:rPr>
        <w:t xml:space="preserve"> </w:t>
      </w:r>
      <w:r w:rsidR="007677FE">
        <w:rPr>
          <w:rFonts w:ascii="Arial" w:hAnsi="Arial" w:cs="Arial"/>
          <w:color w:val="000000"/>
          <w:sz w:val="22"/>
          <w:szCs w:val="22"/>
        </w:rPr>
        <w:t>within the meaning of</w:t>
      </w:r>
      <w:r w:rsidR="00543449" w:rsidRPr="00543449">
        <w:rPr>
          <w:rFonts w:ascii="Arial" w:hAnsi="Arial" w:cs="Arial"/>
          <w:color w:val="000000"/>
          <w:sz w:val="22"/>
          <w:szCs w:val="22"/>
        </w:rPr>
        <w:t xml:space="preserve"> the </w:t>
      </w:r>
      <w:r w:rsidR="00543449" w:rsidRPr="00543449">
        <w:rPr>
          <w:rFonts w:ascii="Arial" w:hAnsi="Arial" w:cs="Arial"/>
          <w:i/>
          <w:iCs/>
          <w:color w:val="000000"/>
          <w:sz w:val="22"/>
          <w:szCs w:val="22"/>
        </w:rPr>
        <w:t>Public Governance, Performance and Accountability Act 2013</w:t>
      </w:r>
      <w:r w:rsidR="00543449" w:rsidRPr="00543449">
        <w:rPr>
          <w:rFonts w:ascii="Arial" w:hAnsi="Arial" w:cs="Arial"/>
          <w:color w:val="000000"/>
          <w:sz w:val="22"/>
          <w:szCs w:val="22"/>
        </w:rPr>
        <w:t xml:space="preserve"> (PGPA Act), which </w:t>
      </w:r>
      <w:r w:rsidR="00543449" w:rsidRPr="00F14392">
        <w:rPr>
          <w:rFonts w:ascii="Arial" w:hAnsi="Arial"/>
          <w:color w:val="000000"/>
          <w:sz w:val="22"/>
        </w:rPr>
        <w:t xml:space="preserve">do not fall within the </w:t>
      </w:r>
      <w:r w:rsidR="00543449" w:rsidRPr="00543449">
        <w:rPr>
          <w:rFonts w:ascii="Arial" w:hAnsi="Arial" w:cs="Arial"/>
          <w:color w:val="000000"/>
          <w:sz w:val="22"/>
          <w:szCs w:val="22"/>
        </w:rPr>
        <w:t>meaning</w:t>
      </w:r>
      <w:r w:rsidR="00543449" w:rsidRPr="00F14392">
        <w:rPr>
          <w:rFonts w:ascii="Arial" w:hAnsi="Arial"/>
          <w:color w:val="000000"/>
          <w:sz w:val="22"/>
        </w:rPr>
        <w:t xml:space="preserve"> of government entity</w:t>
      </w:r>
      <w:r w:rsidR="00543449" w:rsidRPr="00543449">
        <w:rPr>
          <w:rFonts w:ascii="Arial" w:hAnsi="Arial" w:cs="Arial"/>
          <w:color w:val="000000"/>
          <w:sz w:val="22"/>
          <w:szCs w:val="22"/>
        </w:rPr>
        <w:t xml:space="preserve"> within </w:t>
      </w:r>
      <w:r w:rsidR="00543449" w:rsidRPr="0077282E">
        <w:rPr>
          <w:rFonts w:ascii="Arial" w:hAnsi="Arial" w:cs="Arial"/>
          <w:color w:val="000000"/>
          <w:sz w:val="22"/>
          <w:szCs w:val="22"/>
        </w:rPr>
        <w:t xml:space="preserve">section </w:t>
      </w:r>
      <w:r w:rsidR="0077282E" w:rsidRPr="0077282E">
        <w:rPr>
          <w:rFonts w:ascii="Arial" w:hAnsi="Arial" w:cs="Arial"/>
          <w:color w:val="000000"/>
          <w:sz w:val="22"/>
          <w:szCs w:val="22"/>
        </w:rPr>
        <w:t>9</w:t>
      </w:r>
      <w:r w:rsidR="00543449" w:rsidRPr="0077282E">
        <w:rPr>
          <w:rFonts w:ascii="Arial" w:hAnsi="Arial"/>
          <w:color w:val="000000"/>
          <w:sz w:val="22"/>
        </w:rPr>
        <w:t xml:space="preserve"> of the </w:t>
      </w:r>
      <w:r w:rsidR="0077282E" w:rsidRPr="0077282E">
        <w:rPr>
          <w:rFonts w:ascii="Arial" w:hAnsi="Arial" w:cs="Arial"/>
          <w:color w:val="000000"/>
          <w:sz w:val="22"/>
          <w:szCs w:val="22"/>
        </w:rPr>
        <w:t>Corporations</w:t>
      </w:r>
      <w:r w:rsidR="00543449" w:rsidRPr="0077282E">
        <w:rPr>
          <w:rFonts w:ascii="Arial" w:hAnsi="Arial" w:cs="Arial"/>
          <w:color w:val="000000"/>
          <w:sz w:val="22"/>
          <w:szCs w:val="22"/>
        </w:rPr>
        <w:t xml:space="preserve"> Act.</w:t>
      </w:r>
    </w:p>
    <w:p w14:paraId="70B442F1" w14:textId="6F11AA65" w:rsidR="00760450" w:rsidRPr="0005778A" w:rsidRDefault="00543449" w:rsidP="00543449">
      <w:pPr>
        <w:numPr>
          <w:ilvl w:val="0"/>
          <w:numId w:val="1"/>
        </w:numPr>
        <w:spacing w:after="120"/>
        <w:ind w:left="0" w:firstLine="0"/>
        <w:rPr>
          <w:rFonts w:ascii="Arial" w:hAnsi="Arial" w:cs="Arial"/>
          <w:sz w:val="22"/>
          <w:szCs w:val="22"/>
        </w:rPr>
      </w:pPr>
      <w:r w:rsidRPr="0005778A">
        <w:rPr>
          <w:rFonts w:ascii="Arial" w:hAnsi="Arial" w:cs="Arial"/>
          <w:sz w:val="22"/>
          <w:szCs w:val="22"/>
        </w:rPr>
        <w:lastRenderedPageBreak/>
        <w:t xml:space="preserve"> </w:t>
      </w:r>
      <w:r w:rsidR="00760450" w:rsidRPr="0005778A">
        <w:rPr>
          <w:rFonts w:ascii="Arial" w:hAnsi="Arial" w:cs="Arial"/>
          <w:sz w:val="22"/>
          <w:szCs w:val="22"/>
        </w:rPr>
        <w:t xml:space="preserve">PGPA bodies include, but are not limited </w:t>
      </w:r>
      <w:r w:rsidR="00760450" w:rsidRPr="00F14392">
        <w:rPr>
          <w:rFonts w:ascii="Arial" w:hAnsi="Arial"/>
          <w:color w:val="000000"/>
          <w:sz w:val="22"/>
        </w:rPr>
        <w:t>to</w:t>
      </w:r>
      <w:r w:rsidR="00760450" w:rsidRPr="0005778A">
        <w:rPr>
          <w:rFonts w:ascii="Arial" w:hAnsi="Arial" w:cs="Arial"/>
          <w:sz w:val="22"/>
          <w:szCs w:val="22"/>
        </w:rPr>
        <w:t>, non-corporate Commonwealth entities, Corporate Commonwealth entities and Commonwealth companies</w:t>
      </w:r>
      <w:r w:rsidR="00760450" w:rsidRPr="00401875">
        <w:rPr>
          <w:sz w:val="20"/>
        </w:rPr>
        <w:t>.</w:t>
      </w:r>
    </w:p>
    <w:p w14:paraId="4E791B59" w14:textId="6556D3C2" w:rsidR="00760450" w:rsidRDefault="00760450" w:rsidP="00760450">
      <w:pPr>
        <w:numPr>
          <w:ilvl w:val="0"/>
          <w:numId w:val="1"/>
        </w:numPr>
        <w:spacing w:after="120"/>
        <w:ind w:left="0" w:firstLine="0"/>
        <w:rPr>
          <w:rFonts w:ascii="Arial" w:hAnsi="Arial" w:cs="Arial"/>
          <w:sz w:val="22"/>
          <w:szCs w:val="22"/>
        </w:rPr>
      </w:pPr>
      <w:r>
        <w:rPr>
          <w:rFonts w:ascii="Arial" w:hAnsi="Arial" w:cs="Arial"/>
          <w:sz w:val="22"/>
          <w:szCs w:val="22"/>
        </w:rPr>
        <w:t>It is appropriate</w:t>
      </w:r>
      <w:r>
        <w:rPr>
          <w:rFonts w:ascii="Arial" w:hAnsi="Arial" w:cs="Arial"/>
          <w:color w:val="000000"/>
          <w:sz w:val="22"/>
          <w:szCs w:val="22"/>
        </w:rPr>
        <w:t xml:space="preserve"> to</w:t>
      </w:r>
      <w:r w:rsidRPr="001B1191">
        <w:rPr>
          <w:rFonts w:ascii="Arial" w:hAnsi="Arial" w:cs="Arial"/>
          <w:color w:val="000000"/>
          <w:sz w:val="22"/>
          <w:szCs w:val="22"/>
        </w:rPr>
        <w:t xml:space="preserve"> ensure</w:t>
      </w:r>
      <w:r>
        <w:rPr>
          <w:rFonts w:ascii="Arial" w:hAnsi="Arial" w:cs="Arial"/>
          <w:color w:val="000000"/>
          <w:sz w:val="22"/>
          <w:szCs w:val="22"/>
        </w:rPr>
        <w:t xml:space="preserve"> that</w:t>
      </w:r>
      <w:r w:rsidR="00C026CD">
        <w:rPr>
          <w:rFonts w:ascii="Arial" w:hAnsi="Arial" w:cs="Arial"/>
          <w:color w:val="000000"/>
          <w:sz w:val="22"/>
          <w:szCs w:val="22"/>
        </w:rPr>
        <w:t xml:space="preserve"> director ID information may be disclosed to</w:t>
      </w:r>
      <w:r>
        <w:rPr>
          <w:rFonts w:ascii="Arial" w:hAnsi="Arial" w:cs="Arial"/>
          <w:color w:val="000000"/>
          <w:sz w:val="22"/>
          <w:szCs w:val="22"/>
        </w:rPr>
        <w:t xml:space="preserve"> PGPA bodies</w:t>
      </w:r>
      <w:r w:rsidRPr="001B1191">
        <w:rPr>
          <w:rFonts w:ascii="Arial" w:hAnsi="Arial" w:cs="Arial"/>
          <w:color w:val="000000"/>
          <w:sz w:val="22"/>
          <w:szCs w:val="22"/>
        </w:rPr>
        <w:t xml:space="preserve"> </w:t>
      </w:r>
      <w:r w:rsidR="00BB7E4A">
        <w:rPr>
          <w:rFonts w:ascii="Arial" w:hAnsi="Arial" w:cs="Arial"/>
          <w:color w:val="000000"/>
          <w:sz w:val="22"/>
          <w:szCs w:val="22"/>
        </w:rPr>
        <w:t>to enable</w:t>
      </w:r>
      <w:r w:rsidRPr="001B1191">
        <w:rPr>
          <w:rFonts w:ascii="Arial" w:hAnsi="Arial" w:cs="Arial"/>
          <w:color w:val="000000"/>
          <w:sz w:val="22"/>
          <w:szCs w:val="22"/>
        </w:rPr>
        <w:t xml:space="preserve"> </w:t>
      </w:r>
      <w:r w:rsidR="00C026CD">
        <w:rPr>
          <w:rFonts w:ascii="Arial" w:hAnsi="Arial" w:cs="Arial"/>
          <w:color w:val="000000"/>
          <w:sz w:val="22"/>
          <w:szCs w:val="22"/>
        </w:rPr>
        <w:t>those bodies to</w:t>
      </w:r>
      <w:r w:rsidR="00C026CD" w:rsidRPr="001B1191">
        <w:rPr>
          <w:rFonts w:ascii="Arial" w:hAnsi="Arial" w:cs="Arial"/>
          <w:color w:val="000000"/>
          <w:sz w:val="22"/>
          <w:szCs w:val="22"/>
        </w:rPr>
        <w:t xml:space="preserve"> </w:t>
      </w:r>
      <w:r w:rsidRPr="001B1191">
        <w:rPr>
          <w:rFonts w:ascii="Arial" w:hAnsi="Arial" w:cs="Arial"/>
          <w:color w:val="000000"/>
          <w:sz w:val="22"/>
          <w:szCs w:val="22"/>
        </w:rPr>
        <w:t xml:space="preserve">exercise </w:t>
      </w:r>
      <w:r>
        <w:rPr>
          <w:rFonts w:ascii="Arial" w:hAnsi="Arial" w:cs="Arial"/>
          <w:color w:val="000000"/>
          <w:sz w:val="22"/>
          <w:szCs w:val="22"/>
        </w:rPr>
        <w:t>their</w:t>
      </w:r>
      <w:r w:rsidRPr="001B1191">
        <w:rPr>
          <w:rFonts w:ascii="Arial" w:hAnsi="Arial" w:cs="Arial"/>
          <w:color w:val="000000"/>
          <w:sz w:val="22"/>
          <w:szCs w:val="22"/>
        </w:rPr>
        <w:t xml:space="preserve"> functions or powers</w:t>
      </w:r>
      <w:r>
        <w:rPr>
          <w:rFonts w:ascii="Arial" w:hAnsi="Arial" w:cs="Arial"/>
          <w:color w:val="000000"/>
          <w:sz w:val="22"/>
          <w:szCs w:val="22"/>
        </w:rPr>
        <w:t xml:space="preserve">. </w:t>
      </w:r>
      <w:r w:rsidRPr="00427BC7">
        <w:rPr>
          <w:rFonts w:ascii="Arial" w:hAnsi="Arial" w:cs="Arial"/>
          <w:sz w:val="22"/>
          <w:szCs w:val="22"/>
        </w:rPr>
        <w:t xml:space="preserve">This </w:t>
      </w:r>
      <w:r w:rsidR="007677FE">
        <w:rPr>
          <w:rFonts w:ascii="Arial" w:hAnsi="Arial" w:cs="Arial"/>
          <w:sz w:val="22"/>
          <w:szCs w:val="22"/>
        </w:rPr>
        <w:t>instrument</w:t>
      </w:r>
      <w:r w:rsidRPr="00427BC7">
        <w:rPr>
          <w:rFonts w:ascii="Arial" w:hAnsi="Arial" w:cs="Arial"/>
          <w:sz w:val="22"/>
          <w:szCs w:val="22"/>
        </w:rPr>
        <w:t xml:space="preserve"> </w:t>
      </w:r>
      <w:r>
        <w:rPr>
          <w:rFonts w:ascii="Arial" w:hAnsi="Arial" w:cs="Arial"/>
          <w:sz w:val="22"/>
          <w:szCs w:val="22"/>
        </w:rPr>
        <w:t>provides</w:t>
      </w:r>
      <w:r w:rsidRPr="00427BC7">
        <w:rPr>
          <w:rFonts w:ascii="Arial" w:hAnsi="Arial" w:cs="Arial"/>
          <w:sz w:val="22"/>
          <w:szCs w:val="22"/>
        </w:rPr>
        <w:t xml:space="preserve"> the </w:t>
      </w:r>
      <w:r w:rsidR="0008463C">
        <w:rPr>
          <w:rFonts w:ascii="Arial" w:hAnsi="Arial" w:cs="Arial"/>
          <w:sz w:val="22"/>
          <w:szCs w:val="22"/>
        </w:rPr>
        <w:t xml:space="preserve">ability </w:t>
      </w:r>
      <w:r w:rsidRPr="00427BC7">
        <w:rPr>
          <w:rFonts w:ascii="Arial" w:hAnsi="Arial" w:cs="Arial"/>
          <w:sz w:val="22"/>
          <w:szCs w:val="22"/>
        </w:rPr>
        <w:t xml:space="preserve">to </w:t>
      </w:r>
      <w:r w:rsidR="007677FE">
        <w:rPr>
          <w:rFonts w:ascii="Arial" w:hAnsi="Arial" w:cs="Arial"/>
          <w:sz w:val="22"/>
          <w:szCs w:val="22"/>
        </w:rPr>
        <w:t>disclose</w:t>
      </w:r>
      <w:r w:rsidR="007677FE" w:rsidRPr="00427BC7">
        <w:rPr>
          <w:rFonts w:ascii="Arial" w:hAnsi="Arial" w:cs="Arial"/>
          <w:sz w:val="22"/>
          <w:szCs w:val="22"/>
        </w:rPr>
        <w:t xml:space="preserve"> </w:t>
      </w:r>
      <w:r w:rsidR="0008463C">
        <w:rPr>
          <w:rFonts w:ascii="Arial" w:hAnsi="Arial" w:cs="Arial"/>
          <w:color w:val="000000"/>
          <w:sz w:val="22"/>
          <w:szCs w:val="22"/>
        </w:rPr>
        <w:t>d</w:t>
      </w:r>
      <w:r w:rsidR="00713CC3">
        <w:rPr>
          <w:rFonts w:ascii="Arial" w:hAnsi="Arial" w:cs="Arial"/>
          <w:color w:val="000000"/>
          <w:sz w:val="22"/>
          <w:szCs w:val="22"/>
        </w:rPr>
        <w:t>irector</w:t>
      </w:r>
      <w:r w:rsidR="0008463C">
        <w:rPr>
          <w:rFonts w:ascii="Arial" w:hAnsi="Arial" w:cs="Arial"/>
          <w:color w:val="000000"/>
          <w:sz w:val="22"/>
          <w:szCs w:val="22"/>
        </w:rPr>
        <w:t xml:space="preserve"> ID</w:t>
      </w:r>
      <w:r w:rsidR="00713CC3">
        <w:rPr>
          <w:rFonts w:ascii="Arial" w:hAnsi="Arial" w:cs="Arial"/>
          <w:color w:val="000000"/>
          <w:sz w:val="22"/>
          <w:szCs w:val="22"/>
        </w:rPr>
        <w:t xml:space="preserve"> </w:t>
      </w:r>
      <w:r w:rsidRPr="00427BC7">
        <w:rPr>
          <w:rFonts w:ascii="Arial" w:hAnsi="Arial" w:cs="Arial"/>
          <w:sz w:val="22"/>
          <w:szCs w:val="22"/>
        </w:rPr>
        <w:t xml:space="preserve">information </w:t>
      </w:r>
      <w:r w:rsidR="007677FE">
        <w:rPr>
          <w:rFonts w:ascii="Arial" w:hAnsi="Arial" w:cs="Arial"/>
          <w:sz w:val="22"/>
          <w:szCs w:val="22"/>
        </w:rPr>
        <w:t>to</w:t>
      </w:r>
      <w:r w:rsidR="007677FE" w:rsidRPr="00427BC7">
        <w:rPr>
          <w:rFonts w:ascii="Arial" w:hAnsi="Arial" w:cs="Arial"/>
          <w:sz w:val="22"/>
          <w:szCs w:val="22"/>
        </w:rPr>
        <w:t xml:space="preserve"> </w:t>
      </w:r>
      <w:r>
        <w:rPr>
          <w:rFonts w:ascii="Arial" w:hAnsi="Arial" w:cs="Arial"/>
          <w:sz w:val="22"/>
          <w:szCs w:val="22"/>
        </w:rPr>
        <w:t>PGPA bodies. The disclosure</w:t>
      </w:r>
      <w:r w:rsidR="00C026CD">
        <w:rPr>
          <w:rFonts w:ascii="Arial" w:hAnsi="Arial" w:cs="Arial"/>
          <w:sz w:val="22"/>
          <w:szCs w:val="22"/>
        </w:rPr>
        <w:t xml:space="preserve"> </w:t>
      </w:r>
      <w:r w:rsidR="00BB7E4A">
        <w:rPr>
          <w:rFonts w:ascii="Arial" w:hAnsi="Arial" w:cs="Arial"/>
          <w:sz w:val="22"/>
          <w:szCs w:val="22"/>
        </w:rPr>
        <w:t>o</w:t>
      </w:r>
      <w:r w:rsidR="00C026CD">
        <w:rPr>
          <w:rFonts w:ascii="Arial" w:hAnsi="Arial" w:cs="Arial"/>
          <w:sz w:val="22"/>
          <w:szCs w:val="22"/>
        </w:rPr>
        <w:t>f director ID information</w:t>
      </w:r>
      <w:r>
        <w:rPr>
          <w:rFonts w:ascii="Arial" w:hAnsi="Arial" w:cs="Arial"/>
          <w:sz w:val="22"/>
          <w:szCs w:val="22"/>
        </w:rPr>
        <w:t xml:space="preserve"> is authorised by this </w:t>
      </w:r>
      <w:r w:rsidR="007677FE">
        <w:rPr>
          <w:rFonts w:ascii="Arial" w:hAnsi="Arial" w:cs="Arial"/>
          <w:sz w:val="22"/>
          <w:szCs w:val="22"/>
        </w:rPr>
        <w:t>instrument</w:t>
      </w:r>
      <w:r w:rsidR="00985705">
        <w:rPr>
          <w:rFonts w:ascii="Arial" w:hAnsi="Arial" w:cs="Arial"/>
          <w:sz w:val="22"/>
          <w:szCs w:val="22"/>
        </w:rPr>
        <w:t xml:space="preserve"> and under paragraph 1270L(3)(f) of the Corporations Act</w:t>
      </w:r>
      <w:r>
        <w:rPr>
          <w:rFonts w:ascii="Arial" w:hAnsi="Arial" w:cs="Arial"/>
          <w:sz w:val="22"/>
          <w:szCs w:val="22"/>
        </w:rPr>
        <w:t xml:space="preserve"> if the disclosure is: </w:t>
      </w:r>
    </w:p>
    <w:p w14:paraId="171B12A8" w14:textId="462C438A" w:rsidR="00760450" w:rsidRPr="00030C4F" w:rsidRDefault="00760450" w:rsidP="00F14392">
      <w:pPr>
        <w:numPr>
          <w:ilvl w:val="0"/>
          <w:numId w:val="13"/>
        </w:numPr>
        <w:spacing w:after="120"/>
        <w:rPr>
          <w:rFonts w:ascii="Arial" w:hAnsi="Arial" w:cs="Arial"/>
          <w:sz w:val="22"/>
          <w:szCs w:val="22"/>
        </w:rPr>
      </w:pPr>
      <w:r w:rsidRPr="00030C4F">
        <w:rPr>
          <w:rFonts w:ascii="Arial" w:hAnsi="Arial" w:cs="Arial"/>
          <w:sz w:val="22"/>
          <w:szCs w:val="22"/>
        </w:rPr>
        <w:t xml:space="preserve">made </w:t>
      </w:r>
      <w:r w:rsidR="0008463C">
        <w:rPr>
          <w:rFonts w:ascii="Arial" w:hAnsi="Arial" w:cs="Arial"/>
          <w:sz w:val="22"/>
          <w:szCs w:val="22"/>
        </w:rPr>
        <w:t>to</w:t>
      </w:r>
      <w:r w:rsidR="0008463C" w:rsidRPr="00030C4F">
        <w:rPr>
          <w:rFonts w:ascii="Arial" w:hAnsi="Arial" w:cs="Arial"/>
          <w:sz w:val="22"/>
          <w:szCs w:val="22"/>
        </w:rPr>
        <w:t xml:space="preserve"> </w:t>
      </w:r>
      <w:r w:rsidRPr="00030C4F">
        <w:rPr>
          <w:rFonts w:ascii="Arial" w:hAnsi="Arial" w:cs="Arial"/>
          <w:sz w:val="22"/>
          <w:szCs w:val="22"/>
        </w:rPr>
        <w:t xml:space="preserve">a person in </w:t>
      </w:r>
      <w:r w:rsidR="0008463C">
        <w:rPr>
          <w:rFonts w:ascii="Arial" w:hAnsi="Arial" w:cs="Arial"/>
          <w:sz w:val="22"/>
          <w:szCs w:val="22"/>
        </w:rPr>
        <w:t>official employment of a PGPA body</w:t>
      </w:r>
      <w:r w:rsidR="00E33507" w:rsidRPr="00E33507">
        <w:rPr>
          <w:rFonts w:ascii="Arial" w:hAnsi="Arial" w:cs="Arial"/>
          <w:sz w:val="22"/>
          <w:szCs w:val="22"/>
        </w:rPr>
        <w:t xml:space="preserve"> </w:t>
      </w:r>
      <w:r w:rsidR="00E33507">
        <w:rPr>
          <w:rFonts w:ascii="Arial" w:hAnsi="Arial" w:cs="Arial"/>
          <w:sz w:val="22"/>
          <w:szCs w:val="22"/>
        </w:rPr>
        <w:t>for use, in the course of the performance of duties of the person</w:t>
      </w:r>
      <w:r w:rsidRPr="00030C4F">
        <w:rPr>
          <w:rFonts w:ascii="Arial" w:hAnsi="Arial" w:cs="Arial"/>
          <w:sz w:val="22"/>
          <w:szCs w:val="22"/>
        </w:rPr>
        <w:t>; and</w:t>
      </w:r>
    </w:p>
    <w:p w14:paraId="5F265633" w14:textId="33F797E3" w:rsidR="005F4F7F" w:rsidRPr="005F4F7F" w:rsidRDefault="00E33507" w:rsidP="005F4F7F">
      <w:pPr>
        <w:numPr>
          <w:ilvl w:val="0"/>
          <w:numId w:val="13"/>
        </w:numPr>
        <w:spacing w:after="120"/>
        <w:rPr>
          <w:rFonts w:ascii="Arial" w:hAnsi="Arial" w:cs="Arial"/>
          <w:sz w:val="22"/>
          <w:szCs w:val="22"/>
        </w:rPr>
      </w:pPr>
      <w:proofErr w:type="gramStart"/>
      <w:r>
        <w:rPr>
          <w:rFonts w:ascii="Arial" w:hAnsi="Arial" w:cs="Arial"/>
          <w:sz w:val="22"/>
          <w:szCs w:val="22"/>
        </w:rPr>
        <w:t>in</w:t>
      </w:r>
      <w:proofErr w:type="gramEnd"/>
      <w:r>
        <w:rPr>
          <w:rFonts w:ascii="Arial" w:hAnsi="Arial" w:cs="Arial"/>
          <w:sz w:val="22"/>
          <w:szCs w:val="22"/>
        </w:rPr>
        <w:t xml:space="preserve"> relation to</w:t>
      </w:r>
      <w:r w:rsidR="0008463C">
        <w:rPr>
          <w:rFonts w:ascii="Arial" w:hAnsi="Arial" w:cs="Arial"/>
          <w:sz w:val="22"/>
          <w:szCs w:val="22"/>
        </w:rPr>
        <w:t xml:space="preserve"> </w:t>
      </w:r>
      <w:r w:rsidR="00760450">
        <w:rPr>
          <w:rFonts w:ascii="Arial" w:hAnsi="Arial" w:cs="Arial"/>
          <w:sz w:val="22"/>
          <w:szCs w:val="22"/>
        </w:rPr>
        <w:t>performing</w:t>
      </w:r>
      <w:r w:rsidR="0008463C">
        <w:rPr>
          <w:rFonts w:ascii="Arial" w:hAnsi="Arial" w:cs="Arial"/>
          <w:sz w:val="22"/>
          <w:szCs w:val="22"/>
        </w:rPr>
        <w:t xml:space="preserve"> or exercising</w:t>
      </w:r>
      <w:r w:rsidR="00760450">
        <w:rPr>
          <w:rFonts w:ascii="Arial" w:hAnsi="Arial" w:cs="Arial"/>
          <w:sz w:val="22"/>
          <w:szCs w:val="22"/>
        </w:rPr>
        <w:t xml:space="preserve"> functions and powers of </w:t>
      </w:r>
      <w:r w:rsidR="0008463C">
        <w:rPr>
          <w:rFonts w:ascii="Arial" w:hAnsi="Arial" w:cs="Arial"/>
          <w:sz w:val="22"/>
          <w:szCs w:val="22"/>
        </w:rPr>
        <w:t>th</w:t>
      </w:r>
      <w:r w:rsidR="00760450">
        <w:rPr>
          <w:rFonts w:ascii="Arial" w:hAnsi="Arial" w:cs="Arial"/>
          <w:sz w:val="22"/>
          <w:szCs w:val="22"/>
        </w:rPr>
        <w:t>a</w:t>
      </w:r>
      <w:r w:rsidR="0008463C">
        <w:rPr>
          <w:rFonts w:ascii="Arial" w:hAnsi="Arial" w:cs="Arial"/>
          <w:sz w:val="22"/>
          <w:szCs w:val="22"/>
        </w:rPr>
        <w:t>t</w:t>
      </w:r>
      <w:r w:rsidR="00760450">
        <w:rPr>
          <w:rFonts w:ascii="Arial" w:hAnsi="Arial" w:cs="Arial"/>
          <w:sz w:val="22"/>
          <w:szCs w:val="22"/>
        </w:rPr>
        <w:t xml:space="preserve"> PGPA body.</w:t>
      </w:r>
    </w:p>
    <w:p w14:paraId="351AB595" w14:textId="3C8ABF26" w:rsidR="005F4F7F" w:rsidRPr="005F4F7F" w:rsidRDefault="00E33507" w:rsidP="00760450">
      <w:pPr>
        <w:numPr>
          <w:ilvl w:val="0"/>
          <w:numId w:val="1"/>
        </w:numPr>
        <w:spacing w:after="120"/>
        <w:ind w:left="0" w:firstLine="0"/>
        <w:rPr>
          <w:rFonts w:ascii="Arial" w:hAnsi="Arial" w:cs="Arial"/>
          <w:sz w:val="22"/>
          <w:szCs w:val="22"/>
        </w:rPr>
      </w:pPr>
      <w:r>
        <w:rPr>
          <w:rFonts w:ascii="Arial" w:hAnsi="Arial" w:cs="Arial"/>
          <w:sz w:val="22"/>
          <w:szCs w:val="22"/>
        </w:rPr>
        <w:t xml:space="preserve">Disclosure of director ID information to </w:t>
      </w:r>
      <w:r w:rsidR="005F4F7F" w:rsidRPr="005F4F7F">
        <w:rPr>
          <w:rFonts w:ascii="Arial" w:hAnsi="Arial" w:cs="Arial"/>
          <w:sz w:val="22"/>
          <w:szCs w:val="22"/>
        </w:rPr>
        <w:t>multi-agency taskforces</w:t>
      </w:r>
      <w:r>
        <w:rPr>
          <w:rFonts w:ascii="Arial" w:hAnsi="Arial" w:cs="Arial"/>
          <w:sz w:val="22"/>
          <w:szCs w:val="22"/>
        </w:rPr>
        <w:t xml:space="preserve"> will also be authorised where the agencies included in that taskforce are a government entity, PGPA body, court or tribunal</w:t>
      </w:r>
      <w:r w:rsidR="005F4F7F" w:rsidRPr="005F4F7F">
        <w:rPr>
          <w:rFonts w:ascii="Arial" w:hAnsi="Arial" w:cs="Arial"/>
          <w:sz w:val="22"/>
          <w:szCs w:val="22"/>
        </w:rPr>
        <w:t>. Multi-agency taskforce means any taskforce established by the Government including Commonwealth, State and Territory agencies.</w:t>
      </w:r>
    </w:p>
    <w:p w14:paraId="5FA6AC3B" w14:textId="55D89427" w:rsidR="00FF6D4B" w:rsidRPr="00793FD0" w:rsidRDefault="00543449" w:rsidP="00793FD0">
      <w:pPr>
        <w:numPr>
          <w:ilvl w:val="0"/>
          <w:numId w:val="1"/>
        </w:numPr>
        <w:spacing w:after="120"/>
        <w:ind w:left="0" w:firstLine="0"/>
        <w:rPr>
          <w:rFonts w:ascii="Arial" w:hAnsi="Arial" w:cs="Arial"/>
          <w:sz w:val="22"/>
          <w:szCs w:val="22"/>
        </w:rPr>
      </w:pPr>
      <w:r w:rsidRPr="00793FD0">
        <w:rPr>
          <w:rFonts w:ascii="Arial" w:hAnsi="Arial" w:cs="Arial"/>
          <w:sz w:val="22"/>
          <w:szCs w:val="22"/>
          <w:lang w:val="en"/>
        </w:rPr>
        <w:t>The PGPA Act is a framework covering governance, accountability, performance and the use of resources across Commonwealth bodies. Commonwealth entities and companies are government bodies that are subject to the PGPA Act.</w:t>
      </w:r>
      <w:r w:rsidRPr="00D66BD4">
        <w:rPr>
          <w:rFonts w:ascii="Arial" w:hAnsi="Arial" w:cs="Arial"/>
          <w:sz w:val="22"/>
          <w:szCs w:val="22"/>
        </w:rPr>
        <w:t xml:space="preserve"> </w:t>
      </w:r>
      <w:r w:rsidR="00FF6D4B" w:rsidRPr="00D66BD4">
        <w:rPr>
          <w:rFonts w:ascii="Arial" w:hAnsi="Arial" w:cs="Arial"/>
          <w:sz w:val="22"/>
          <w:szCs w:val="22"/>
        </w:rPr>
        <w:t>As at 1 July 2020 the Department of Finance identified</w:t>
      </w:r>
      <w:r w:rsidR="00793FD0" w:rsidRPr="00D66BD4">
        <w:rPr>
          <w:rFonts w:ascii="Arial" w:hAnsi="Arial" w:cs="Arial"/>
          <w:sz w:val="22"/>
          <w:szCs w:val="22"/>
        </w:rPr>
        <w:t xml:space="preserve"> a list of</w:t>
      </w:r>
      <w:r w:rsidR="00FF6D4B" w:rsidRPr="00D66BD4">
        <w:rPr>
          <w:rFonts w:ascii="Arial" w:hAnsi="Arial" w:cs="Arial"/>
          <w:sz w:val="22"/>
          <w:szCs w:val="22"/>
        </w:rPr>
        <w:t xml:space="preserve"> 187 Commonwealth entities and companies whose financial governance was found under the PGPA Act</w:t>
      </w:r>
      <w:r w:rsidR="007B4B53" w:rsidRPr="00D66BD4">
        <w:rPr>
          <w:rFonts w:ascii="Arial" w:hAnsi="Arial" w:cs="Arial"/>
          <w:sz w:val="22"/>
          <w:szCs w:val="22"/>
        </w:rPr>
        <w:t xml:space="preserve">. </w:t>
      </w:r>
      <w:r w:rsidR="00FF6D4B" w:rsidRPr="00793FD0">
        <w:rPr>
          <w:rFonts w:ascii="Arial" w:hAnsi="Arial" w:cs="Arial"/>
          <w:sz w:val="22"/>
          <w:szCs w:val="22"/>
        </w:rPr>
        <w:t xml:space="preserve">This list forms the starting point for identifying Commonwealth entities and companies for the purpose of providing </w:t>
      </w:r>
      <w:r w:rsidR="00310818" w:rsidRPr="00793FD0">
        <w:rPr>
          <w:rFonts w:ascii="Arial" w:hAnsi="Arial" w:cs="Arial"/>
          <w:sz w:val="22"/>
          <w:szCs w:val="22"/>
        </w:rPr>
        <w:t xml:space="preserve">director ID </w:t>
      </w:r>
      <w:r w:rsidR="00FF6D4B" w:rsidRPr="00793FD0">
        <w:rPr>
          <w:rFonts w:ascii="Arial" w:hAnsi="Arial" w:cs="Arial"/>
          <w:sz w:val="22"/>
          <w:szCs w:val="22"/>
        </w:rPr>
        <w:t xml:space="preserve">information collected under the </w:t>
      </w:r>
      <w:r w:rsidR="00244984" w:rsidRPr="00793FD0">
        <w:rPr>
          <w:rFonts w:ascii="Arial" w:hAnsi="Arial" w:cs="Arial"/>
          <w:sz w:val="22"/>
          <w:szCs w:val="22"/>
        </w:rPr>
        <w:t>Corporations</w:t>
      </w:r>
      <w:r w:rsidR="00FF6D4B" w:rsidRPr="00793FD0">
        <w:rPr>
          <w:rFonts w:ascii="Arial" w:hAnsi="Arial" w:cs="Arial"/>
          <w:sz w:val="22"/>
          <w:szCs w:val="22"/>
        </w:rPr>
        <w:t xml:space="preserve"> Act. </w:t>
      </w:r>
    </w:p>
    <w:p w14:paraId="4DDF559F" w14:textId="5139F7C1" w:rsidR="003B16F2" w:rsidRDefault="003B16F2" w:rsidP="00D93371">
      <w:pPr>
        <w:numPr>
          <w:ilvl w:val="0"/>
          <w:numId w:val="1"/>
        </w:numPr>
        <w:spacing w:after="120"/>
        <w:ind w:left="0" w:firstLine="0"/>
        <w:rPr>
          <w:rFonts w:ascii="Arial" w:hAnsi="Arial" w:cs="Arial"/>
          <w:sz w:val="22"/>
          <w:szCs w:val="22"/>
        </w:rPr>
      </w:pPr>
      <w:r w:rsidRPr="00D97298">
        <w:rPr>
          <w:rFonts w:ascii="Arial" w:hAnsi="Arial" w:cs="Arial"/>
          <w:sz w:val="22"/>
          <w:szCs w:val="22"/>
        </w:rPr>
        <w:t xml:space="preserve">Subject to section </w:t>
      </w:r>
      <w:r w:rsidR="00D97298" w:rsidRPr="00D97298">
        <w:rPr>
          <w:rFonts w:ascii="Arial" w:hAnsi="Arial" w:cs="Arial"/>
          <w:sz w:val="22"/>
          <w:szCs w:val="22"/>
        </w:rPr>
        <w:t>1270Q</w:t>
      </w:r>
      <w:r w:rsidRPr="00D97298">
        <w:rPr>
          <w:rFonts w:ascii="Arial" w:hAnsi="Arial" w:cs="Arial"/>
          <w:sz w:val="22"/>
          <w:szCs w:val="22"/>
        </w:rPr>
        <w:t xml:space="preserve"> of the </w:t>
      </w:r>
      <w:r w:rsidR="00D97298" w:rsidRPr="00D97298">
        <w:rPr>
          <w:rFonts w:ascii="Arial" w:hAnsi="Arial" w:cs="Arial"/>
          <w:sz w:val="22"/>
          <w:szCs w:val="22"/>
        </w:rPr>
        <w:t>Corporations</w:t>
      </w:r>
      <w:r w:rsidRPr="00D97298">
        <w:rPr>
          <w:rFonts w:ascii="Arial" w:hAnsi="Arial" w:cs="Arial"/>
          <w:sz w:val="22"/>
          <w:szCs w:val="22"/>
        </w:rPr>
        <w:t xml:space="preserve"> Act, the disclos</w:t>
      </w:r>
      <w:r w:rsidR="00E70A17">
        <w:rPr>
          <w:rFonts w:ascii="Arial" w:hAnsi="Arial" w:cs="Arial"/>
          <w:sz w:val="22"/>
          <w:szCs w:val="22"/>
        </w:rPr>
        <w:t>ur</w:t>
      </w:r>
      <w:r w:rsidRPr="00D97298">
        <w:rPr>
          <w:rFonts w:ascii="Arial" w:hAnsi="Arial" w:cs="Arial"/>
          <w:sz w:val="22"/>
          <w:szCs w:val="22"/>
        </w:rPr>
        <w:t xml:space="preserve">e </w:t>
      </w:r>
      <w:r w:rsidR="00E33507">
        <w:rPr>
          <w:rFonts w:ascii="Arial" w:hAnsi="Arial" w:cs="Arial"/>
          <w:sz w:val="22"/>
          <w:szCs w:val="22"/>
        </w:rPr>
        <w:t>of director ID</w:t>
      </w:r>
      <w:r w:rsidR="00E33507" w:rsidRPr="00D97298">
        <w:rPr>
          <w:rFonts w:ascii="Arial" w:hAnsi="Arial" w:cs="Arial"/>
          <w:sz w:val="22"/>
          <w:szCs w:val="22"/>
        </w:rPr>
        <w:t xml:space="preserve"> </w:t>
      </w:r>
      <w:r w:rsidRPr="00D97298">
        <w:rPr>
          <w:rFonts w:ascii="Arial" w:hAnsi="Arial" w:cs="Arial"/>
          <w:sz w:val="22"/>
          <w:szCs w:val="22"/>
        </w:rPr>
        <w:t>information to a court or tribunal</w:t>
      </w:r>
      <w:r w:rsidR="00E33507">
        <w:rPr>
          <w:rFonts w:ascii="Arial" w:hAnsi="Arial" w:cs="Arial"/>
          <w:sz w:val="22"/>
          <w:szCs w:val="22"/>
        </w:rPr>
        <w:t xml:space="preserve"> is authorised by this instrument</w:t>
      </w:r>
      <w:r w:rsidRPr="00D97298">
        <w:rPr>
          <w:rFonts w:ascii="Arial" w:hAnsi="Arial" w:cs="Arial"/>
          <w:sz w:val="22"/>
          <w:szCs w:val="22"/>
        </w:rPr>
        <w:t>.</w:t>
      </w:r>
      <w:r w:rsidR="00FD42DF" w:rsidRPr="00D97298">
        <w:rPr>
          <w:rFonts w:ascii="Arial" w:hAnsi="Arial" w:cs="Arial"/>
          <w:sz w:val="22"/>
          <w:szCs w:val="22"/>
        </w:rPr>
        <w:t xml:space="preserve"> </w:t>
      </w:r>
      <w:r w:rsidR="00E33507">
        <w:rPr>
          <w:rFonts w:ascii="Arial" w:hAnsi="Arial" w:cs="Arial"/>
          <w:sz w:val="22"/>
          <w:szCs w:val="22"/>
        </w:rPr>
        <w:t>S</w:t>
      </w:r>
      <w:r w:rsidR="00FD42DF" w:rsidRPr="00D97298">
        <w:rPr>
          <w:rFonts w:ascii="Arial" w:hAnsi="Arial" w:cs="Arial"/>
          <w:sz w:val="22"/>
          <w:szCs w:val="22"/>
        </w:rPr>
        <w:t>ection</w:t>
      </w:r>
      <w:r w:rsidR="00E33507">
        <w:rPr>
          <w:rFonts w:ascii="Arial" w:hAnsi="Arial" w:cs="Arial"/>
          <w:sz w:val="22"/>
          <w:szCs w:val="22"/>
        </w:rPr>
        <w:t xml:space="preserve"> </w:t>
      </w:r>
      <w:r w:rsidR="00E33507" w:rsidRPr="00D97298">
        <w:rPr>
          <w:rFonts w:ascii="Arial" w:hAnsi="Arial" w:cs="Arial"/>
          <w:sz w:val="22"/>
          <w:szCs w:val="22"/>
        </w:rPr>
        <w:t>1270Q of the Corporations Act</w:t>
      </w:r>
      <w:r w:rsidR="00FD42DF" w:rsidRPr="00D97298">
        <w:rPr>
          <w:rFonts w:ascii="Arial" w:hAnsi="Arial" w:cs="Arial"/>
          <w:sz w:val="22"/>
          <w:szCs w:val="22"/>
        </w:rPr>
        <w:t xml:space="preserve"> exempts a person from being required to provide </w:t>
      </w:r>
      <w:r w:rsidR="00E33507">
        <w:rPr>
          <w:rFonts w:ascii="Arial" w:hAnsi="Arial" w:cs="Arial"/>
          <w:sz w:val="22"/>
          <w:szCs w:val="22"/>
        </w:rPr>
        <w:t>protected</w:t>
      </w:r>
      <w:r w:rsidR="00E33507" w:rsidRPr="00D97298">
        <w:rPr>
          <w:rFonts w:ascii="Arial" w:hAnsi="Arial" w:cs="Arial"/>
          <w:sz w:val="22"/>
          <w:szCs w:val="22"/>
        </w:rPr>
        <w:t xml:space="preserve"> </w:t>
      </w:r>
      <w:r w:rsidR="00FD42DF" w:rsidRPr="00D97298">
        <w:rPr>
          <w:rFonts w:ascii="Arial" w:hAnsi="Arial" w:cs="Arial"/>
          <w:sz w:val="22"/>
          <w:szCs w:val="22"/>
        </w:rPr>
        <w:t>information to a court or tribunal except</w:t>
      </w:r>
      <w:r w:rsidR="00FD42DF" w:rsidRPr="00FD42DF">
        <w:rPr>
          <w:rFonts w:ascii="Arial" w:hAnsi="Arial" w:cs="Arial"/>
          <w:sz w:val="22"/>
          <w:szCs w:val="22"/>
        </w:rPr>
        <w:t xml:space="preserve"> where the disclosure is necessary for giving effect to a taxation law or an Australian business law.</w:t>
      </w:r>
    </w:p>
    <w:p w14:paraId="27569F90" w14:textId="646AD7F5" w:rsidR="00985705" w:rsidRPr="00BA421B" w:rsidRDefault="00985705" w:rsidP="00985705">
      <w:pPr>
        <w:numPr>
          <w:ilvl w:val="0"/>
          <w:numId w:val="1"/>
        </w:numPr>
        <w:spacing w:after="120"/>
        <w:ind w:left="0" w:firstLine="0"/>
        <w:rPr>
          <w:rFonts w:ascii="Arial" w:hAnsi="Arial" w:cs="Arial"/>
          <w:sz w:val="22"/>
          <w:szCs w:val="22"/>
        </w:rPr>
      </w:pPr>
      <w:r w:rsidRPr="00D66BD4">
        <w:rPr>
          <w:rFonts w:ascii="Arial" w:hAnsi="Arial" w:cs="Arial"/>
          <w:sz w:val="22"/>
          <w:szCs w:val="22"/>
        </w:rPr>
        <w:t xml:space="preserve">The disclosure of </w:t>
      </w:r>
      <w:r>
        <w:rPr>
          <w:rFonts w:ascii="Arial" w:hAnsi="Arial" w:cs="Arial"/>
          <w:sz w:val="22"/>
          <w:szCs w:val="22"/>
        </w:rPr>
        <w:t xml:space="preserve">director ID </w:t>
      </w:r>
      <w:r w:rsidRPr="00D66BD4">
        <w:rPr>
          <w:rFonts w:ascii="Arial" w:hAnsi="Arial" w:cs="Arial"/>
          <w:sz w:val="22"/>
          <w:szCs w:val="22"/>
        </w:rPr>
        <w:t>information to PGPA bodies</w:t>
      </w:r>
      <w:r>
        <w:rPr>
          <w:rFonts w:ascii="Arial" w:hAnsi="Arial" w:cs="Arial"/>
          <w:sz w:val="22"/>
          <w:szCs w:val="22"/>
        </w:rPr>
        <w:t>, courts or tribunals</w:t>
      </w:r>
      <w:r w:rsidRPr="00D66BD4">
        <w:rPr>
          <w:rFonts w:ascii="Arial" w:hAnsi="Arial" w:cs="Arial"/>
          <w:sz w:val="22"/>
          <w:szCs w:val="22"/>
        </w:rPr>
        <w:t xml:space="preserve"> will not require payment of a fee and will generally be provided electronically.</w:t>
      </w:r>
    </w:p>
    <w:p w14:paraId="38FE45AA" w14:textId="6C23B59F" w:rsidR="00E70A17" w:rsidRDefault="00DF5890" w:rsidP="00D93371">
      <w:pPr>
        <w:numPr>
          <w:ilvl w:val="0"/>
          <w:numId w:val="1"/>
        </w:numPr>
        <w:spacing w:after="120"/>
        <w:ind w:left="0" w:firstLine="0"/>
        <w:rPr>
          <w:rFonts w:ascii="Arial" w:hAnsi="Arial" w:cs="Arial"/>
          <w:sz w:val="22"/>
          <w:szCs w:val="22"/>
        </w:rPr>
      </w:pPr>
      <w:r>
        <w:rPr>
          <w:rFonts w:ascii="Arial" w:hAnsi="Arial" w:cs="Arial"/>
          <w:sz w:val="22"/>
          <w:szCs w:val="22"/>
        </w:rPr>
        <w:t>While this instrument permits and authorises the disclosure of director ID information to PGPA bodies, courts or tribunals nothing in the instrument requires or compels such a disclosure.</w:t>
      </w:r>
    </w:p>
    <w:p w14:paraId="38544C30" w14:textId="77777777" w:rsidR="00E53658" w:rsidRPr="002E6076" w:rsidRDefault="00E53658" w:rsidP="00D26D37">
      <w:pPr>
        <w:numPr>
          <w:ilvl w:val="0"/>
          <w:numId w:val="1"/>
        </w:numPr>
        <w:spacing w:after="120"/>
        <w:ind w:left="0" w:firstLine="0"/>
        <w:rPr>
          <w:rFonts w:ascii="Arial" w:eastAsiaTheme="minorHAnsi" w:hAnsi="Arial" w:cs="Arial"/>
          <w:color w:val="000000"/>
          <w:sz w:val="22"/>
          <w:szCs w:val="22"/>
          <w:lang w:eastAsia="en-US"/>
        </w:rPr>
      </w:pPr>
      <w:r>
        <w:rPr>
          <w:rFonts w:ascii="Arial" w:hAnsi="Arial" w:cs="Arial"/>
          <w:sz w:val="22"/>
          <w:szCs w:val="22"/>
        </w:rPr>
        <w:t xml:space="preserve">Subsection </w:t>
      </w:r>
      <w:proofErr w:type="gramStart"/>
      <w:r>
        <w:rPr>
          <w:rFonts w:ascii="Arial" w:hAnsi="Arial" w:cs="Arial"/>
          <w:sz w:val="22"/>
          <w:szCs w:val="22"/>
        </w:rPr>
        <w:t>1270N(</w:t>
      </w:r>
      <w:proofErr w:type="gramEnd"/>
      <w:r>
        <w:rPr>
          <w:rFonts w:ascii="Arial" w:hAnsi="Arial" w:cs="Arial"/>
          <w:sz w:val="22"/>
          <w:szCs w:val="22"/>
        </w:rPr>
        <w:t xml:space="preserve">2) of the Corporations Act provides that the disclosure framework  may provide for how applications under subsection 1270N(1) of the Corporations Act (application for particular protected information not to be disclosed) may be made or decided. </w:t>
      </w:r>
    </w:p>
    <w:p w14:paraId="05FC2589" w14:textId="47E50C10" w:rsidR="008440F3" w:rsidRPr="002E6076" w:rsidRDefault="00E53658" w:rsidP="00D26D37">
      <w:pPr>
        <w:numPr>
          <w:ilvl w:val="0"/>
          <w:numId w:val="1"/>
        </w:numPr>
        <w:spacing w:after="120"/>
        <w:ind w:left="0" w:firstLine="0"/>
        <w:rPr>
          <w:rFonts w:ascii="Arial" w:eastAsiaTheme="minorHAnsi" w:hAnsi="Arial" w:cs="Arial"/>
          <w:color w:val="000000"/>
          <w:sz w:val="22"/>
          <w:szCs w:val="22"/>
          <w:lang w:eastAsia="en-US"/>
        </w:rPr>
      </w:pPr>
      <w:r>
        <w:rPr>
          <w:rFonts w:ascii="Arial" w:hAnsi="Arial" w:cs="Arial"/>
          <w:sz w:val="22"/>
          <w:szCs w:val="22"/>
        </w:rPr>
        <w:t xml:space="preserve">This instrument provides that individuals making such an application must demonstrate how the detrimental consequence to the individual of disclosure outweighs the </w:t>
      </w:r>
      <w:r w:rsidR="00BB7E4A">
        <w:rPr>
          <w:rFonts w:ascii="Arial" w:hAnsi="Arial" w:cs="Arial"/>
          <w:sz w:val="22"/>
          <w:szCs w:val="22"/>
        </w:rPr>
        <w:t xml:space="preserve">benefit of the disclosure by </w:t>
      </w:r>
      <w:r>
        <w:rPr>
          <w:rFonts w:ascii="Arial" w:hAnsi="Arial" w:cs="Arial"/>
          <w:sz w:val="22"/>
          <w:szCs w:val="22"/>
        </w:rPr>
        <w:t>PGPA bodies, courts or tribunal performing their functions.</w:t>
      </w:r>
      <w:r w:rsidRPr="00D97298">
        <w:rPr>
          <w:rFonts w:ascii="Arial" w:hAnsi="Arial" w:cs="Arial"/>
          <w:sz w:val="22"/>
          <w:szCs w:val="22"/>
        </w:rPr>
        <w:t xml:space="preserve"> </w:t>
      </w:r>
      <w:r w:rsidR="008440F3">
        <w:rPr>
          <w:rFonts w:ascii="Arial" w:hAnsi="Arial" w:cs="Arial"/>
          <w:sz w:val="22"/>
          <w:szCs w:val="22"/>
        </w:rPr>
        <w:t>Requiring individuals to establish this is necessary as</w:t>
      </w:r>
      <w:r w:rsidR="00397554">
        <w:rPr>
          <w:rFonts w:ascii="Arial" w:hAnsi="Arial" w:cs="Arial"/>
          <w:sz w:val="22"/>
          <w:szCs w:val="22"/>
        </w:rPr>
        <w:t xml:space="preserve"> it</w:t>
      </w:r>
      <w:r w:rsidR="008440F3">
        <w:rPr>
          <w:rFonts w:ascii="Arial" w:hAnsi="Arial" w:cs="Arial"/>
          <w:sz w:val="22"/>
          <w:szCs w:val="22"/>
        </w:rPr>
        <w:t xml:space="preserve"> is generally</w:t>
      </w:r>
      <w:r w:rsidR="00397554">
        <w:rPr>
          <w:rFonts w:ascii="Arial" w:hAnsi="Arial" w:cs="Arial"/>
          <w:sz w:val="22"/>
          <w:szCs w:val="22"/>
        </w:rPr>
        <w:t xml:space="preserve"> not appropriate to supress </w:t>
      </w:r>
      <w:r w:rsidR="004E3423">
        <w:rPr>
          <w:rFonts w:ascii="Arial" w:hAnsi="Arial" w:cs="Arial"/>
          <w:sz w:val="22"/>
          <w:szCs w:val="22"/>
        </w:rPr>
        <w:t>director ID information</w:t>
      </w:r>
      <w:r w:rsidR="00397554">
        <w:rPr>
          <w:rFonts w:ascii="Arial" w:hAnsi="Arial" w:cs="Arial"/>
          <w:sz w:val="22"/>
          <w:szCs w:val="22"/>
        </w:rPr>
        <w:t xml:space="preserve"> from PGPA </w:t>
      </w:r>
      <w:proofErr w:type="gramStart"/>
      <w:r w:rsidR="00397554">
        <w:rPr>
          <w:rFonts w:ascii="Arial" w:hAnsi="Arial" w:cs="Arial"/>
          <w:sz w:val="22"/>
          <w:szCs w:val="22"/>
        </w:rPr>
        <w:t>bodies</w:t>
      </w:r>
      <w:proofErr w:type="gramEnd"/>
      <w:r w:rsidR="008440F3">
        <w:rPr>
          <w:rFonts w:ascii="Arial" w:hAnsi="Arial" w:cs="Arial"/>
          <w:sz w:val="22"/>
          <w:szCs w:val="22"/>
        </w:rPr>
        <w:t xml:space="preserve"> courts and tribunal given the importance of these agency to the function of government and to the Australian community</w:t>
      </w:r>
      <w:r w:rsidR="00397554">
        <w:rPr>
          <w:rFonts w:ascii="Arial" w:hAnsi="Arial" w:cs="Arial"/>
          <w:sz w:val="22"/>
          <w:szCs w:val="22"/>
        </w:rPr>
        <w:t xml:space="preserve">. </w:t>
      </w:r>
    </w:p>
    <w:p w14:paraId="3BC74E69" w14:textId="36514999" w:rsidR="00D26D37" w:rsidRDefault="008440F3" w:rsidP="00D26D37">
      <w:pPr>
        <w:numPr>
          <w:ilvl w:val="0"/>
          <w:numId w:val="1"/>
        </w:numPr>
        <w:spacing w:after="120"/>
        <w:ind w:left="0" w:firstLine="0"/>
        <w:rPr>
          <w:rFonts w:ascii="Arial" w:eastAsiaTheme="minorHAnsi" w:hAnsi="Arial" w:cs="Arial"/>
          <w:color w:val="000000"/>
          <w:sz w:val="22"/>
          <w:szCs w:val="22"/>
          <w:lang w:eastAsia="en-US"/>
        </w:rPr>
      </w:pPr>
      <w:r>
        <w:rPr>
          <w:rFonts w:ascii="Arial" w:hAnsi="Arial" w:cs="Arial"/>
          <w:sz w:val="22"/>
          <w:szCs w:val="22"/>
        </w:rPr>
        <w:t>S</w:t>
      </w:r>
      <w:r w:rsidR="00524A33" w:rsidRPr="000967FC">
        <w:rPr>
          <w:rFonts w:ascii="Arial" w:hAnsi="Arial" w:cs="Arial"/>
          <w:sz w:val="22"/>
          <w:szCs w:val="22"/>
        </w:rPr>
        <w:t xml:space="preserve">ubsection </w:t>
      </w:r>
      <w:proofErr w:type="gramStart"/>
      <w:r w:rsidR="00524A33" w:rsidRPr="000967FC">
        <w:rPr>
          <w:rFonts w:ascii="Arial" w:hAnsi="Arial" w:cs="Arial"/>
          <w:sz w:val="22"/>
          <w:szCs w:val="22"/>
        </w:rPr>
        <w:t>1270K(</w:t>
      </w:r>
      <w:proofErr w:type="gramEnd"/>
      <w:r w:rsidR="00524A33" w:rsidRPr="000967FC">
        <w:rPr>
          <w:rFonts w:ascii="Arial" w:hAnsi="Arial" w:cs="Arial"/>
          <w:sz w:val="22"/>
          <w:szCs w:val="22"/>
        </w:rPr>
        <w:t>3)</w:t>
      </w:r>
      <w:r>
        <w:rPr>
          <w:rFonts w:ascii="Arial" w:hAnsi="Arial" w:cs="Arial"/>
          <w:sz w:val="22"/>
          <w:szCs w:val="22"/>
        </w:rPr>
        <w:t xml:space="preserve"> of th</w:t>
      </w:r>
      <w:r w:rsidR="000805C0">
        <w:rPr>
          <w:rFonts w:ascii="Arial" w:hAnsi="Arial" w:cs="Arial"/>
          <w:sz w:val="22"/>
          <w:szCs w:val="22"/>
        </w:rPr>
        <w:t>e</w:t>
      </w:r>
      <w:r>
        <w:rPr>
          <w:rFonts w:ascii="Arial" w:hAnsi="Arial" w:cs="Arial"/>
          <w:sz w:val="22"/>
          <w:szCs w:val="22"/>
        </w:rPr>
        <w:t xml:space="preserve"> Corporations Act</w:t>
      </w:r>
      <w:r w:rsidR="00524A33" w:rsidRPr="000967FC">
        <w:rPr>
          <w:rFonts w:ascii="Arial" w:hAnsi="Arial" w:cs="Arial"/>
          <w:sz w:val="22"/>
          <w:szCs w:val="22"/>
        </w:rPr>
        <w:t xml:space="preserve"> allows that the disclosure framework may </w:t>
      </w:r>
      <w:r w:rsidR="00524A33" w:rsidRPr="000967FC">
        <w:rPr>
          <w:rFonts w:ascii="Arial" w:hAnsi="Arial"/>
          <w:sz w:val="22"/>
        </w:rPr>
        <w:t>provide differently in relation to different functions or powers of the Registrar</w:t>
      </w:r>
      <w:r w:rsidR="00524A33" w:rsidRPr="000967FC">
        <w:rPr>
          <w:rFonts w:ascii="Arial" w:hAnsi="Arial" w:cs="Arial"/>
          <w:sz w:val="22"/>
          <w:szCs w:val="22"/>
        </w:rPr>
        <w:t>.</w:t>
      </w:r>
      <w:r w:rsidR="00524A33" w:rsidRPr="000967FC">
        <w:t xml:space="preserve"> </w:t>
      </w:r>
      <w:r w:rsidR="00524A33" w:rsidRPr="000967FC">
        <w:rPr>
          <w:rFonts w:ascii="Arial" w:eastAsiaTheme="minorHAnsi" w:hAnsi="Arial" w:cs="Arial"/>
          <w:color w:val="000000"/>
          <w:sz w:val="22"/>
          <w:szCs w:val="22"/>
          <w:lang w:eastAsia="en-US"/>
        </w:rPr>
        <w:t xml:space="preserve">This ensures that the disclosure framework can be tailored to particular functions and powers of the </w:t>
      </w:r>
      <w:r>
        <w:rPr>
          <w:rFonts w:ascii="Arial" w:eastAsiaTheme="minorHAnsi" w:hAnsi="Arial" w:cs="Arial"/>
          <w:color w:val="000000"/>
          <w:sz w:val="22"/>
          <w:szCs w:val="22"/>
          <w:lang w:eastAsia="en-US"/>
        </w:rPr>
        <w:t>R</w:t>
      </w:r>
      <w:r w:rsidR="00524A33" w:rsidRPr="000967FC">
        <w:rPr>
          <w:rFonts w:ascii="Arial" w:eastAsiaTheme="minorHAnsi" w:hAnsi="Arial" w:cs="Arial"/>
          <w:color w:val="000000"/>
          <w:sz w:val="22"/>
          <w:szCs w:val="22"/>
          <w:lang w:eastAsia="en-US"/>
        </w:rPr>
        <w:t>egistrar</w:t>
      </w:r>
      <w:r w:rsidR="00524A33" w:rsidRPr="000967FC">
        <w:rPr>
          <w:rFonts w:ascii="Arial" w:hAnsi="Arial" w:cs="Arial"/>
          <w:sz w:val="22"/>
          <w:szCs w:val="22"/>
        </w:rPr>
        <w:t>.</w:t>
      </w:r>
    </w:p>
    <w:p w14:paraId="24193320" w14:textId="6CAD6A0A" w:rsidR="000225EE" w:rsidRPr="000225EE" w:rsidRDefault="000225EE" w:rsidP="000225EE">
      <w:pPr>
        <w:spacing w:after="120"/>
        <w:rPr>
          <w:rFonts w:ascii="Arial" w:eastAsiaTheme="minorHAnsi" w:hAnsi="Arial" w:cs="Arial"/>
          <w:b/>
          <w:bCs/>
          <w:color w:val="000000"/>
          <w:sz w:val="22"/>
          <w:szCs w:val="22"/>
          <w:lang w:eastAsia="en-US"/>
        </w:rPr>
      </w:pPr>
      <w:r w:rsidRPr="000225EE">
        <w:rPr>
          <w:rFonts w:ascii="Arial" w:hAnsi="Arial" w:cs="Arial"/>
          <w:b/>
          <w:bCs/>
          <w:sz w:val="22"/>
          <w:szCs w:val="22"/>
        </w:rPr>
        <w:t>Risks and benefits</w:t>
      </w:r>
    </w:p>
    <w:p w14:paraId="3CF766A2" w14:textId="678130D8" w:rsidR="00B526D6" w:rsidRDefault="00B526D6" w:rsidP="00D93371">
      <w:pPr>
        <w:numPr>
          <w:ilvl w:val="0"/>
          <w:numId w:val="1"/>
        </w:numPr>
        <w:spacing w:after="120"/>
        <w:ind w:left="0" w:firstLine="0"/>
        <w:rPr>
          <w:rFonts w:ascii="Arial" w:hAnsi="Arial" w:cs="Arial"/>
          <w:sz w:val="22"/>
          <w:szCs w:val="22"/>
        </w:rPr>
      </w:pPr>
      <w:r w:rsidRPr="000967FC">
        <w:rPr>
          <w:rFonts w:ascii="Arial" w:hAnsi="Arial" w:cs="Arial"/>
          <w:sz w:val="22"/>
          <w:szCs w:val="22"/>
        </w:rPr>
        <w:t>S</w:t>
      </w:r>
      <w:r w:rsidR="00F159E2" w:rsidRPr="000967FC">
        <w:rPr>
          <w:rFonts w:ascii="Arial" w:hAnsi="Arial" w:cs="Arial"/>
          <w:sz w:val="22"/>
          <w:szCs w:val="22"/>
        </w:rPr>
        <w:t>ubs</w:t>
      </w:r>
      <w:r w:rsidRPr="000967FC">
        <w:rPr>
          <w:rFonts w:ascii="Arial" w:hAnsi="Arial" w:cs="Arial"/>
          <w:sz w:val="22"/>
          <w:szCs w:val="22"/>
        </w:rPr>
        <w:t xml:space="preserve">ection </w:t>
      </w:r>
      <w:proofErr w:type="gramStart"/>
      <w:r w:rsidR="000967FC" w:rsidRPr="000967FC">
        <w:rPr>
          <w:rFonts w:ascii="Arial" w:hAnsi="Arial" w:cs="Arial"/>
          <w:sz w:val="22"/>
          <w:szCs w:val="22"/>
        </w:rPr>
        <w:t>1270K</w:t>
      </w:r>
      <w:r w:rsidRPr="000967FC">
        <w:rPr>
          <w:rFonts w:ascii="Arial" w:hAnsi="Arial" w:cs="Arial"/>
          <w:sz w:val="22"/>
          <w:szCs w:val="22"/>
        </w:rPr>
        <w:t>(</w:t>
      </w:r>
      <w:proofErr w:type="gramEnd"/>
      <w:r w:rsidRPr="000967FC">
        <w:rPr>
          <w:rFonts w:ascii="Arial" w:hAnsi="Arial" w:cs="Arial"/>
          <w:sz w:val="22"/>
          <w:szCs w:val="22"/>
        </w:rPr>
        <w:t xml:space="preserve">5) of the </w:t>
      </w:r>
      <w:r w:rsidR="000805C0">
        <w:rPr>
          <w:rFonts w:ascii="Arial" w:hAnsi="Arial" w:cs="Arial"/>
          <w:sz w:val="22"/>
          <w:szCs w:val="22"/>
        </w:rPr>
        <w:t xml:space="preserve">Corporations </w:t>
      </w:r>
      <w:r w:rsidRPr="000967FC">
        <w:rPr>
          <w:rFonts w:ascii="Arial" w:hAnsi="Arial" w:cs="Arial"/>
          <w:sz w:val="22"/>
          <w:szCs w:val="22"/>
        </w:rPr>
        <w:t>Act provides that the disclosure framework must only provide for the disclosure of protected information if</w:t>
      </w:r>
      <w:r w:rsidR="00E577E2" w:rsidRPr="000967FC">
        <w:rPr>
          <w:rFonts w:ascii="Arial" w:hAnsi="Arial" w:cs="Arial"/>
          <w:sz w:val="22"/>
          <w:szCs w:val="22"/>
        </w:rPr>
        <w:t xml:space="preserve"> </w:t>
      </w:r>
      <w:r w:rsidRPr="000967FC">
        <w:rPr>
          <w:rFonts w:ascii="Arial" w:hAnsi="Arial" w:cs="Arial"/>
          <w:sz w:val="22"/>
          <w:szCs w:val="22"/>
        </w:rPr>
        <w:t xml:space="preserve">the </w:t>
      </w:r>
      <w:r w:rsidR="000805C0">
        <w:rPr>
          <w:rFonts w:ascii="Arial" w:hAnsi="Arial" w:cs="Arial"/>
          <w:sz w:val="22"/>
          <w:szCs w:val="22"/>
        </w:rPr>
        <w:t>R</w:t>
      </w:r>
      <w:r w:rsidRPr="000967FC">
        <w:rPr>
          <w:rFonts w:ascii="Arial" w:hAnsi="Arial" w:cs="Arial"/>
          <w:sz w:val="22"/>
          <w:szCs w:val="22"/>
        </w:rPr>
        <w:t>egistrar is satisfied that the benefits of the disclosure would outweigh the risks of the disclosure</w:t>
      </w:r>
      <w:r w:rsidRPr="00E147E9">
        <w:rPr>
          <w:rFonts w:ascii="Arial" w:hAnsi="Arial" w:cs="Arial"/>
          <w:sz w:val="22"/>
          <w:szCs w:val="22"/>
        </w:rPr>
        <w:t xml:space="preserve"> (taking into account any mitigation of those risks in accordance with the disclosure framework).</w:t>
      </w:r>
    </w:p>
    <w:p w14:paraId="262658F8" w14:textId="77777777" w:rsidR="000225EE" w:rsidRPr="00E3090D" w:rsidRDefault="000225EE" w:rsidP="000225EE">
      <w:pPr>
        <w:numPr>
          <w:ilvl w:val="0"/>
          <w:numId w:val="1"/>
        </w:numPr>
        <w:spacing w:after="120"/>
        <w:ind w:left="0" w:firstLine="0"/>
        <w:rPr>
          <w:rFonts w:ascii="Arial" w:hAnsi="Arial" w:cs="Arial"/>
          <w:color w:val="000000"/>
          <w:sz w:val="22"/>
          <w:szCs w:val="22"/>
        </w:rPr>
      </w:pPr>
      <w:r w:rsidRPr="00E3090D">
        <w:rPr>
          <w:rFonts w:ascii="Arial" w:hAnsi="Arial" w:cs="Arial"/>
          <w:sz w:val="22"/>
          <w:szCs w:val="22"/>
        </w:rPr>
        <w:lastRenderedPageBreak/>
        <w:t xml:space="preserve">The introduction of a </w:t>
      </w:r>
      <w:r>
        <w:rPr>
          <w:rFonts w:ascii="Arial" w:hAnsi="Arial" w:cs="Arial"/>
          <w:sz w:val="22"/>
          <w:szCs w:val="22"/>
        </w:rPr>
        <w:t>director ID</w:t>
      </w:r>
      <w:r w:rsidRPr="00E3090D">
        <w:rPr>
          <w:rFonts w:ascii="Arial" w:hAnsi="Arial" w:cs="Arial"/>
          <w:sz w:val="22"/>
          <w:szCs w:val="22"/>
        </w:rPr>
        <w:t xml:space="preserve"> requirement is one of the Commonwealth Government initiatives to promote good corporate conduct, and to deter and penalise illegal </w:t>
      </w:r>
      <w:proofErr w:type="spellStart"/>
      <w:r w:rsidRPr="00E3090D">
        <w:rPr>
          <w:rFonts w:ascii="Arial" w:hAnsi="Arial" w:cs="Arial"/>
          <w:sz w:val="22"/>
          <w:szCs w:val="22"/>
        </w:rPr>
        <w:t>phoenix</w:t>
      </w:r>
      <w:r>
        <w:rPr>
          <w:rFonts w:ascii="Arial" w:hAnsi="Arial" w:cs="Arial"/>
          <w:sz w:val="22"/>
          <w:szCs w:val="22"/>
        </w:rPr>
        <w:t>ing</w:t>
      </w:r>
      <w:proofErr w:type="spellEnd"/>
      <w:r w:rsidRPr="00E3090D">
        <w:rPr>
          <w:rFonts w:ascii="Arial" w:hAnsi="Arial" w:cs="Arial"/>
          <w:sz w:val="22"/>
          <w:szCs w:val="22"/>
        </w:rPr>
        <w:t xml:space="preserve"> in order to protect those who are negatively affected by such fraudulent behaviour.</w:t>
      </w:r>
    </w:p>
    <w:p w14:paraId="533CF8DE" w14:textId="77777777" w:rsidR="000225EE" w:rsidRPr="00B564B0" w:rsidRDefault="000225EE" w:rsidP="000225EE">
      <w:pPr>
        <w:numPr>
          <w:ilvl w:val="0"/>
          <w:numId w:val="1"/>
        </w:numPr>
        <w:spacing w:after="120"/>
        <w:ind w:left="0" w:firstLine="0"/>
        <w:rPr>
          <w:rFonts w:ascii="Arial" w:hAnsi="Arial" w:cs="Arial"/>
          <w:color w:val="000000"/>
          <w:sz w:val="22"/>
          <w:szCs w:val="22"/>
        </w:rPr>
      </w:pPr>
      <w:r w:rsidRPr="00034FB8">
        <w:rPr>
          <w:rFonts w:ascii="Arial" w:hAnsi="Arial" w:cs="Arial"/>
          <w:sz w:val="22"/>
          <w:szCs w:val="22"/>
        </w:rPr>
        <w:t>The</w:t>
      </w:r>
      <w:r w:rsidRPr="00B564B0">
        <w:rPr>
          <w:rFonts w:ascii="Arial" w:hAnsi="Arial" w:cs="Arial"/>
          <w:color w:val="000000"/>
          <w:sz w:val="22"/>
          <w:szCs w:val="22"/>
        </w:rPr>
        <w:t xml:space="preserve"> new </w:t>
      </w:r>
      <w:r>
        <w:rPr>
          <w:rFonts w:ascii="Arial" w:hAnsi="Arial" w:cs="Arial"/>
          <w:color w:val="000000"/>
          <w:sz w:val="22"/>
          <w:szCs w:val="22"/>
        </w:rPr>
        <w:t>director ID</w:t>
      </w:r>
      <w:r w:rsidRPr="00B564B0">
        <w:rPr>
          <w:rFonts w:ascii="Arial" w:hAnsi="Arial" w:cs="Arial"/>
          <w:color w:val="000000"/>
          <w:sz w:val="22"/>
          <w:szCs w:val="22"/>
        </w:rPr>
        <w:t xml:space="preserve"> regime will also offer benefits beyond combating </w:t>
      </w:r>
      <w:r w:rsidRPr="00B564B0">
        <w:rPr>
          <w:rFonts w:ascii="Arial" w:hAnsi="Arial" w:cs="Arial"/>
          <w:sz w:val="22"/>
          <w:szCs w:val="22"/>
        </w:rPr>
        <w:t xml:space="preserve">illegal </w:t>
      </w:r>
      <w:proofErr w:type="spellStart"/>
      <w:r w:rsidRPr="00B564B0">
        <w:rPr>
          <w:rFonts w:ascii="Arial" w:hAnsi="Arial" w:cs="Arial"/>
          <w:color w:val="000000"/>
          <w:sz w:val="22"/>
          <w:szCs w:val="22"/>
        </w:rPr>
        <w:t>phoenixing</w:t>
      </w:r>
      <w:proofErr w:type="spellEnd"/>
      <w:r w:rsidRPr="00B564B0">
        <w:rPr>
          <w:rFonts w:ascii="Arial" w:hAnsi="Arial" w:cs="Arial"/>
          <w:color w:val="000000"/>
          <w:sz w:val="22"/>
          <w:szCs w:val="22"/>
        </w:rPr>
        <w:t>. For instance, simpler more effective tracking of directors and their corporate history will reduce time and cost for administrators and liquidators, thereby improving the efficiency of the insolvency process. In addition, the new regime will improve data integrity and security. For example, it would be possible to allow directors to be identified by a number rather than by other more personally identifiable information.</w:t>
      </w:r>
    </w:p>
    <w:p w14:paraId="49BF808D" w14:textId="6E96D76B" w:rsidR="00F159E2" w:rsidRDefault="00F159E2" w:rsidP="00D93371">
      <w:pPr>
        <w:numPr>
          <w:ilvl w:val="0"/>
          <w:numId w:val="1"/>
        </w:numPr>
        <w:spacing w:after="120"/>
        <w:ind w:left="0" w:firstLine="0"/>
        <w:rPr>
          <w:rFonts w:ascii="Arial" w:hAnsi="Arial" w:cs="Arial"/>
          <w:sz w:val="22"/>
          <w:szCs w:val="22"/>
        </w:rPr>
      </w:pPr>
      <w:r>
        <w:rPr>
          <w:rFonts w:ascii="Arial" w:hAnsi="Arial" w:cs="Arial"/>
          <w:sz w:val="22"/>
          <w:szCs w:val="22"/>
        </w:rPr>
        <w:t xml:space="preserve">This </w:t>
      </w:r>
      <w:r w:rsidR="000805C0">
        <w:rPr>
          <w:rFonts w:ascii="Arial" w:hAnsi="Arial" w:cs="Arial"/>
          <w:sz w:val="22"/>
          <w:szCs w:val="22"/>
        </w:rPr>
        <w:t>instrument</w:t>
      </w:r>
      <w:r>
        <w:rPr>
          <w:rFonts w:ascii="Arial" w:hAnsi="Arial" w:cs="Arial"/>
          <w:sz w:val="22"/>
          <w:szCs w:val="22"/>
        </w:rPr>
        <w:t xml:space="preserve"> </w:t>
      </w:r>
      <w:r w:rsidR="000805C0">
        <w:rPr>
          <w:rFonts w:ascii="Arial" w:hAnsi="Arial" w:cs="Arial"/>
          <w:sz w:val="22"/>
          <w:szCs w:val="22"/>
        </w:rPr>
        <w:t xml:space="preserve">authorises </w:t>
      </w:r>
      <w:r>
        <w:rPr>
          <w:rFonts w:ascii="Arial" w:hAnsi="Arial" w:cs="Arial"/>
          <w:sz w:val="22"/>
          <w:szCs w:val="22"/>
        </w:rPr>
        <w:t>the disclos</w:t>
      </w:r>
      <w:r w:rsidR="000805C0">
        <w:rPr>
          <w:rFonts w:ascii="Arial" w:hAnsi="Arial" w:cs="Arial"/>
          <w:sz w:val="22"/>
          <w:szCs w:val="22"/>
        </w:rPr>
        <w:t>ur</w:t>
      </w:r>
      <w:r>
        <w:rPr>
          <w:rFonts w:ascii="Arial" w:hAnsi="Arial" w:cs="Arial"/>
          <w:sz w:val="22"/>
          <w:szCs w:val="22"/>
        </w:rPr>
        <w:t xml:space="preserve">e </w:t>
      </w:r>
      <w:r w:rsidR="000805C0">
        <w:rPr>
          <w:rFonts w:ascii="Arial" w:hAnsi="Arial" w:cs="Arial"/>
          <w:sz w:val="22"/>
          <w:szCs w:val="22"/>
        </w:rPr>
        <w:t xml:space="preserve">of </w:t>
      </w:r>
      <w:r w:rsidR="00FE3689">
        <w:rPr>
          <w:rFonts w:ascii="Arial" w:hAnsi="Arial" w:cs="Arial"/>
          <w:color w:val="000000"/>
          <w:sz w:val="22"/>
          <w:szCs w:val="22"/>
        </w:rPr>
        <w:t>d</w:t>
      </w:r>
      <w:r w:rsidR="00A16963">
        <w:rPr>
          <w:rFonts w:ascii="Arial" w:hAnsi="Arial" w:cs="Arial"/>
          <w:color w:val="000000"/>
          <w:sz w:val="22"/>
          <w:szCs w:val="22"/>
        </w:rPr>
        <w:t>irector</w:t>
      </w:r>
      <w:r w:rsidR="00FE3689">
        <w:rPr>
          <w:rFonts w:ascii="Arial" w:hAnsi="Arial" w:cs="Arial"/>
          <w:color w:val="000000"/>
          <w:sz w:val="22"/>
          <w:szCs w:val="22"/>
        </w:rPr>
        <w:t xml:space="preserve"> ID</w:t>
      </w:r>
      <w:r w:rsidR="00A16963">
        <w:rPr>
          <w:rFonts w:ascii="Arial" w:hAnsi="Arial" w:cs="Arial"/>
          <w:color w:val="000000"/>
          <w:sz w:val="22"/>
          <w:szCs w:val="22"/>
        </w:rPr>
        <w:t xml:space="preserve"> </w:t>
      </w:r>
      <w:r>
        <w:rPr>
          <w:rFonts w:ascii="Arial" w:hAnsi="Arial" w:cs="Arial"/>
          <w:sz w:val="22"/>
          <w:szCs w:val="22"/>
        </w:rPr>
        <w:t>information to PGPA bodies (essentially Government bodies)</w:t>
      </w:r>
      <w:r w:rsidR="000805C0">
        <w:rPr>
          <w:rFonts w:ascii="Arial" w:hAnsi="Arial" w:cs="Arial"/>
          <w:sz w:val="22"/>
          <w:szCs w:val="22"/>
        </w:rPr>
        <w:t>, courts and tribunals</w:t>
      </w:r>
      <w:r>
        <w:rPr>
          <w:rFonts w:ascii="Arial" w:hAnsi="Arial" w:cs="Arial"/>
          <w:sz w:val="22"/>
          <w:szCs w:val="22"/>
        </w:rPr>
        <w:t xml:space="preserve"> to allow these bodies to continue to undertake their functions and powers. Each body will have their own mechanisms for the prevention of </w:t>
      </w:r>
      <w:r w:rsidRPr="00C37972">
        <w:rPr>
          <w:rFonts w:ascii="Arial" w:hAnsi="Arial" w:cs="Arial"/>
          <w:sz w:val="22"/>
          <w:szCs w:val="22"/>
        </w:rPr>
        <w:t>misuse</w:t>
      </w:r>
      <w:r>
        <w:rPr>
          <w:rFonts w:ascii="Arial" w:hAnsi="Arial" w:cs="Arial"/>
          <w:sz w:val="22"/>
          <w:szCs w:val="22"/>
        </w:rPr>
        <w:t xml:space="preserve"> of this information </w:t>
      </w:r>
      <w:r w:rsidR="000805C0">
        <w:rPr>
          <w:rFonts w:ascii="Arial" w:hAnsi="Arial" w:cs="Arial"/>
          <w:sz w:val="22"/>
          <w:szCs w:val="22"/>
        </w:rPr>
        <w:t>which</w:t>
      </w:r>
      <w:r>
        <w:rPr>
          <w:rFonts w:ascii="Arial" w:hAnsi="Arial" w:cs="Arial"/>
          <w:sz w:val="22"/>
          <w:szCs w:val="22"/>
        </w:rPr>
        <w:t xml:space="preserve"> address</w:t>
      </w:r>
      <w:r w:rsidR="000805C0">
        <w:rPr>
          <w:rFonts w:ascii="Arial" w:hAnsi="Arial" w:cs="Arial"/>
          <w:sz w:val="22"/>
          <w:szCs w:val="22"/>
        </w:rPr>
        <w:t>es</w:t>
      </w:r>
      <w:r>
        <w:rPr>
          <w:rFonts w:ascii="Arial" w:hAnsi="Arial" w:cs="Arial"/>
          <w:sz w:val="22"/>
          <w:szCs w:val="22"/>
        </w:rPr>
        <w:t xml:space="preserve"> any risk of the misuse of </w:t>
      </w:r>
      <w:r w:rsidR="000805C0">
        <w:rPr>
          <w:rFonts w:ascii="Arial" w:hAnsi="Arial" w:cs="Arial"/>
          <w:sz w:val="22"/>
          <w:szCs w:val="22"/>
        </w:rPr>
        <w:t xml:space="preserve">director ID </w:t>
      </w:r>
      <w:r>
        <w:rPr>
          <w:rFonts w:ascii="Arial" w:hAnsi="Arial" w:cs="Arial"/>
          <w:sz w:val="22"/>
          <w:szCs w:val="22"/>
        </w:rPr>
        <w:t>information</w:t>
      </w:r>
      <w:r w:rsidR="000805C0">
        <w:rPr>
          <w:rFonts w:ascii="Arial" w:hAnsi="Arial" w:cs="Arial"/>
          <w:sz w:val="22"/>
          <w:szCs w:val="22"/>
        </w:rPr>
        <w:t xml:space="preserve"> by these bodies or individuals in their employ</w:t>
      </w:r>
      <w:r w:rsidR="000225EE">
        <w:rPr>
          <w:rFonts w:ascii="Arial" w:hAnsi="Arial" w:cs="Arial"/>
          <w:sz w:val="22"/>
          <w:szCs w:val="22"/>
        </w:rPr>
        <w:t>.</w:t>
      </w:r>
      <w:r>
        <w:rPr>
          <w:rFonts w:ascii="Arial" w:hAnsi="Arial" w:cs="Arial"/>
          <w:sz w:val="22"/>
          <w:szCs w:val="22"/>
        </w:rPr>
        <w:t xml:space="preserve">  </w:t>
      </w:r>
    </w:p>
    <w:p w14:paraId="106A7A78" w14:textId="59984991" w:rsidR="00FC7F99" w:rsidRDefault="00FC7F99" w:rsidP="00D93371">
      <w:pPr>
        <w:numPr>
          <w:ilvl w:val="0"/>
          <w:numId w:val="1"/>
        </w:numPr>
        <w:spacing w:after="120"/>
        <w:ind w:left="0" w:firstLine="0"/>
        <w:rPr>
          <w:rFonts w:ascii="Arial" w:hAnsi="Arial" w:cs="Arial"/>
          <w:sz w:val="22"/>
          <w:szCs w:val="22"/>
        </w:rPr>
      </w:pPr>
      <w:r>
        <w:rPr>
          <w:rFonts w:ascii="Arial" w:hAnsi="Arial" w:cs="Arial"/>
          <w:sz w:val="22"/>
          <w:szCs w:val="22"/>
        </w:rPr>
        <w:t xml:space="preserve">Broader public benefits </w:t>
      </w:r>
      <w:r w:rsidR="007E79E8">
        <w:rPr>
          <w:rFonts w:ascii="Arial" w:hAnsi="Arial" w:cs="Arial"/>
          <w:sz w:val="22"/>
          <w:szCs w:val="22"/>
        </w:rPr>
        <w:t xml:space="preserve">include reduced operating costs </w:t>
      </w:r>
      <w:r w:rsidR="00B80378">
        <w:rPr>
          <w:rFonts w:ascii="Arial" w:hAnsi="Arial" w:cs="Arial"/>
          <w:sz w:val="22"/>
          <w:szCs w:val="22"/>
        </w:rPr>
        <w:t xml:space="preserve">because each individual body will not be required to determine if they are a </w:t>
      </w:r>
      <w:r w:rsidR="00FE3689">
        <w:rPr>
          <w:rFonts w:ascii="Arial" w:hAnsi="Arial" w:cs="Arial"/>
          <w:sz w:val="22"/>
          <w:szCs w:val="22"/>
        </w:rPr>
        <w:t xml:space="preserve">government </w:t>
      </w:r>
      <w:r w:rsidR="00B80378">
        <w:rPr>
          <w:rFonts w:ascii="Arial" w:hAnsi="Arial" w:cs="Arial"/>
          <w:sz w:val="22"/>
          <w:szCs w:val="22"/>
        </w:rPr>
        <w:t xml:space="preserve">entity or a PGPA body and to apply to the </w:t>
      </w:r>
      <w:r w:rsidR="000805C0">
        <w:rPr>
          <w:rFonts w:ascii="Arial" w:hAnsi="Arial" w:cs="Arial"/>
          <w:sz w:val="22"/>
          <w:szCs w:val="22"/>
        </w:rPr>
        <w:t>R</w:t>
      </w:r>
      <w:r w:rsidR="00B80378">
        <w:rPr>
          <w:rFonts w:ascii="Arial" w:hAnsi="Arial" w:cs="Arial"/>
          <w:sz w:val="22"/>
          <w:szCs w:val="22"/>
        </w:rPr>
        <w:t xml:space="preserve">egistrar for access to </w:t>
      </w:r>
      <w:r w:rsidR="000805C0">
        <w:rPr>
          <w:rFonts w:ascii="Arial" w:hAnsi="Arial" w:cs="Arial"/>
          <w:sz w:val="22"/>
          <w:szCs w:val="22"/>
        </w:rPr>
        <w:t xml:space="preserve">Director ID </w:t>
      </w:r>
      <w:r w:rsidR="00B80378">
        <w:rPr>
          <w:rFonts w:ascii="Arial" w:hAnsi="Arial" w:cs="Arial"/>
          <w:sz w:val="22"/>
          <w:szCs w:val="22"/>
        </w:rPr>
        <w:t>information. This will provide for greater</w:t>
      </w:r>
      <w:r w:rsidR="007E79E8">
        <w:rPr>
          <w:rFonts w:ascii="Arial" w:hAnsi="Arial" w:cs="Arial"/>
          <w:sz w:val="22"/>
          <w:szCs w:val="22"/>
        </w:rPr>
        <w:t xml:space="preserve"> efficiency of PGPA bodies and enhancements to </w:t>
      </w:r>
      <w:r w:rsidR="00FE3689">
        <w:rPr>
          <w:rFonts w:ascii="Arial" w:hAnsi="Arial" w:cs="Arial"/>
          <w:sz w:val="22"/>
          <w:szCs w:val="22"/>
        </w:rPr>
        <w:t xml:space="preserve">regulation and community support </w:t>
      </w:r>
      <w:r w:rsidR="007E79E8">
        <w:rPr>
          <w:rFonts w:ascii="Arial" w:hAnsi="Arial" w:cs="Arial"/>
          <w:sz w:val="22"/>
          <w:szCs w:val="22"/>
        </w:rPr>
        <w:t>activities</w:t>
      </w:r>
      <w:r w:rsidR="006D303D">
        <w:rPr>
          <w:rFonts w:ascii="Arial" w:hAnsi="Arial" w:cs="Arial"/>
          <w:sz w:val="22"/>
          <w:szCs w:val="22"/>
        </w:rPr>
        <w:t xml:space="preserve"> which includes the detection of fraud and business misconduct</w:t>
      </w:r>
      <w:r w:rsidR="007E79E8">
        <w:rPr>
          <w:rFonts w:ascii="Arial" w:hAnsi="Arial" w:cs="Arial"/>
          <w:sz w:val="22"/>
          <w:szCs w:val="22"/>
        </w:rPr>
        <w:t xml:space="preserve"> which will result in a level playing field for </w:t>
      </w:r>
      <w:r w:rsidR="00FE3689">
        <w:rPr>
          <w:rFonts w:ascii="Arial" w:hAnsi="Arial" w:cs="Arial"/>
          <w:sz w:val="22"/>
          <w:szCs w:val="22"/>
        </w:rPr>
        <w:t xml:space="preserve">individuals and </w:t>
      </w:r>
      <w:r w:rsidR="007E79E8">
        <w:rPr>
          <w:rFonts w:ascii="Arial" w:hAnsi="Arial" w:cs="Arial"/>
          <w:sz w:val="22"/>
          <w:szCs w:val="22"/>
        </w:rPr>
        <w:t xml:space="preserve">businesses. </w:t>
      </w:r>
    </w:p>
    <w:p w14:paraId="2E28A408" w14:textId="364584BA" w:rsidR="00F159E2" w:rsidRPr="007658BA" w:rsidRDefault="00FC7F99" w:rsidP="00D93371">
      <w:pPr>
        <w:numPr>
          <w:ilvl w:val="0"/>
          <w:numId w:val="1"/>
        </w:numPr>
        <w:spacing w:after="120"/>
        <w:ind w:left="0" w:firstLine="0"/>
        <w:rPr>
          <w:rFonts w:ascii="Arial" w:hAnsi="Arial" w:cs="Arial"/>
          <w:sz w:val="22"/>
          <w:szCs w:val="22"/>
        </w:rPr>
      </w:pPr>
      <w:r>
        <w:rPr>
          <w:rFonts w:ascii="Arial" w:hAnsi="Arial" w:cs="Arial"/>
          <w:sz w:val="22"/>
          <w:szCs w:val="22"/>
        </w:rPr>
        <w:t xml:space="preserve">On balance the benefits of the disclosure of </w:t>
      </w:r>
      <w:r w:rsidR="000805C0">
        <w:rPr>
          <w:rFonts w:ascii="Arial" w:hAnsi="Arial" w:cs="Arial"/>
          <w:sz w:val="22"/>
          <w:szCs w:val="22"/>
        </w:rPr>
        <w:t xml:space="preserve">Director ID </w:t>
      </w:r>
      <w:r>
        <w:rPr>
          <w:rFonts w:ascii="Arial" w:hAnsi="Arial" w:cs="Arial"/>
          <w:sz w:val="22"/>
          <w:szCs w:val="22"/>
        </w:rPr>
        <w:t>information to enable PGPA bodies</w:t>
      </w:r>
      <w:r w:rsidR="000805C0">
        <w:rPr>
          <w:rFonts w:ascii="Arial" w:hAnsi="Arial" w:cs="Arial"/>
          <w:sz w:val="22"/>
          <w:szCs w:val="22"/>
        </w:rPr>
        <w:t>, courts or tribunals</w:t>
      </w:r>
      <w:r>
        <w:rPr>
          <w:rFonts w:ascii="Arial" w:hAnsi="Arial" w:cs="Arial"/>
          <w:sz w:val="22"/>
          <w:szCs w:val="22"/>
        </w:rPr>
        <w:t xml:space="preserve"> to undertake their functions and powers </w:t>
      </w:r>
      <w:r w:rsidR="007E79E8">
        <w:rPr>
          <w:rFonts w:ascii="Arial" w:hAnsi="Arial" w:cs="Arial"/>
          <w:sz w:val="22"/>
          <w:szCs w:val="22"/>
        </w:rPr>
        <w:t>are</w:t>
      </w:r>
      <w:r>
        <w:rPr>
          <w:rFonts w:ascii="Arial" w:hAnsi="Arial" w:cs="Arial"/>
          <w:sz w:val="22"/>
          <w:szCs w:val="22"/>
        </w:rPr>
        <w:t xml:space="preserve"> </w:t>
      </w:r>
      <w:r w:rsidR="00B80378">
        <w:rPr>
          <w:rFonts w:ascii="Arial" w:hAnsi="Arial" w:cs="Arial"/>
          <w:sz w:val="22"/>
          <w:szCs w:val="22"/>
        </w:rPr>
        <w:t xml:space="preserve">significant </w:t>
      </w:r>
      <w:r>
        <w:rPr>
          <w:rFonts w:ascii="Arial" w:hAnsi="Arial" w:cs="Arial"/>
          <w:sz w:val="22"/>
          <w:szCs w:val="22"/>
        </w:rPr>
        <w:t xml:space="preserve">and </w:t>
      </w:r>
      <w:r w:rsidR="007E79E8">
        <w:rPr>
          <w:rFonts w:ascii="Arial" w:hAnsi="Arial" w:cs="Arial"/>
          <w:sz w:val="22"/>
          <w:szCs w:val="22"/>
        </w:rPr>
        <w:t>out</w:t>
      </w:r>
      <w:r w:rsidR="00E577E2">
        <w:rPr>
          <w:rFonts w:ascii="Arial" w:hAnsi="Arial" w:cs="Arial"/>
          <w:sz w:val="22"/>
          <w:szCs w:val="22"/>
        </w:rPr>
        <w:t>weigh</w:t>
      </w:r>
      <w:r w:rsidR="007E79E8">
        <w:rPr>
          <w:rFonts w:ascii="Arial" w:hAnsi="Arial" w:cs="Arial"/>
          <w:sz w:val="22"/>
          <w:szCs w:val="22"/>
        </w:rPr>
        <w:t xml:space="preserve"> </w:t>
      </w:r>
      <w:r>
        <w:rPr>
          <w:rFonts w:ascii="Arial" w:hAnsi="Arial" w:cs="Arial"/>
          <w:sz w:val="22"/>
          <w:szCs w:val="22"/>
        </w:rPr>
        <w:t xml:space="preserve">potential risks of the </w:t>
      </w:r>
      <w:r w:rsidR="007E79E8">
        <w:rPr>
          <w:rFonts w:ascii="Arial" w:hAnsi="Arial" w:cs="Arial"/>
          <w:sz w:val="22"/>
          <w:szCs w:val="22"/>
        </w:rPr>
        <w:t>misuse</w:t>
      </w:r>
      <w:r>
        <w:rPr>
          <w:rFonts w:ascii="Arial" w:hAnsi="Arial" w:cs="Arial"/>
          <w:sz w:val="22"/>
          <w:szCs w:val="22"/>
        </w:rPr>
        <w:t xml:space="preserve"> of </w:t>
      </w:r>
      <w:r w:rsidR="000805C0">
        <w:rPr>
          <w:rFonts w:ascii="Arial" w:hAnsi="Arial" w:cs="Arial"/>
          <w:sz w:val="22"/>
          <w:szCs w:val="22"/>
        </w:rPr>
        <w:t xml:space="preserve">director ID </w:t>
      </w:r>
      <w:r>
        <w:rPr>
          <w:rFonts w:ascii="Arial" w:hAnsi="Arial" w:cs="Arial"/>
          <w:sz w:val="22"/>
          <w:szCs w:val="22"/>
        </w:rPr>
        <w:t xml:space="preserve">information. </w:t>
      </w:r>
    </w:p>
    <w:p w14:paraId="6C5E1701" w14:textId="1596A1F5" w:rsidR="00640CC2" w:rsidRPr="00640CC2" w:rsidRDefault="00640CC2" w:rsidP="00640CC2">
      <w:pPr>
        <w:pStyle w:val="Heading2"/>
      </w:pPr>
      <w:r w:rsidRPr="00640CC2">
        <w:t xml:space="preserve">Compliance cost assessment </w:t>
      </w:r>
    </w:p>
    <w:p w14:paraId="15AC1B72" w14:textId="1A107374" w:rsidR="00493CA7" w:rsidRPr="002E6076" w:rsidRDefault="00493CA7" w:rsidP="00D93371">
      <w:pPr>
        <w:pStyle w:val="ListParagraph"/>
        <w:numPr>
          <w:ilvl w:val="0"/>
          <w:numId w:val="1"/>
        </w:numPr>
        <w:spacing w:after="120"/>
        <w:rPr>
          <w:rFonts w:ascii="Arial" w:hAnsi="Arial" w:cs="Arial"/>
          <w:color w:val="0000FF"/>
        </w:rPr>
      </w:pPr>
      <w:r w:rsidRPr="002E6076">
        <w:rPr>
          <w:rFonts w:ascii="Arial" w:hAnsi="Arial" w:cs="Arial"/>
          <w:color w:val="0000FF"/>
        </w:rPr>
        <w:t>[</w:t>
      </w:r>
      <w:r w:rsidR="00E10B37" w:rsidRPr="002E6076">
        <w:rPr>
          <w:rFonts w:ascii="Arial" w:hAnsi="Arial" w:cs="Arial"/>
          <w:color w:val="0000FF"/>
        </w:rPr>
        <w:t xml:space="preserve">Include the compliance cost assessment statement from the </w:t>
      </w:r>
      <w:r w:rsidRPr="002E6076">
        <w:rPr>
          <w:rFonts w:ascii="Arial" w:hAnsi="Arial" w:cs="Arial"/>
          <w:color w:val="0000FF"/>
        </w:rPr>
        <w:t xml:space="preserve">Revenue </w:t>
      </w:r>
      <w:r w:rsidR="00E10B37" w:rsidRPr="002E6076">
        <w:rPr>
          <w:rFonts w:ascii="Arial" w:hAnsi="Arial" w:cs="Arial"/>
          <w:color w:val="0000FF"/>
        </w:rPr>
        <w:t>A</w:t>
      </w:r>
      <w:r w:rsidRPr="002E6076">
        <w:rPr>
          <w:rFonts w:ascii="Arial" w:hAnsi="Arial" w:cs="Arial"/>
          <w:color w:val="0000FF"/>
        </w:rPr>
        <w:t xml:space="preserve">nalysis </w:t>
      </w:r>
      <w:r w:rsidR="00E10B37" w:rsidRPr="002E6076">
        <w:rPr>
          <w:rFonts w:ascii="Arial" w:hAnsi="Arial" w:cs="Arial"/>
          <w:color w:val="0000FF"/>
        </w:rPr>
        <w:t>B</w:t>
      </w:r>
      <w:r w:rsidRPr="002E6076">
        <w:rPr>
          <w:rFonts w:ascii="Arial" w:hAnsi="Arial" w:cs="Arial"/>
          <w:color w:val="0000FF"/>
        </w:rPr>
        <w:t>ranch</w:t>
      </w:r>
      <w:r w:rsidR="00E10B37" w:rsidRPr="002E6076">
        <w:rPr>
          <w:rFonts w:ascii="Arial" w:hAnsi="Arial" w:cs="Arial"/>
          <w:color w:val="0000FF"/>
        </w:rPr>
        <w:t xml:space="preserve"> minute here</w:t>
      </w:r>
      <w:r w:rsidR="00101CD5" w:rsidRPr="002E6076">
        <w:rPr>
          <w:rFonts w:ascii="Arial" w:hAnsi="Arial" w:cs="Arial"/>
          <w:color w:val="0000FF"/>
        </w:rPr>
        <w:t>.</w:t>
      </w:r>
      <w:r w:rsidR="00E10B37" w:rsidRPr="002E6076">
        <w:rPr>
          <w:rFonts w:ascii="Arial" w:hAnsi="Arial" w:cs="Arial"/>
          <w:color w:val="0000FF"/>
        </w:rPr>
        <w:t>]</w:t>
      </w:r>
    </w:p>
    <w:p w14:paraId="15AC1B73" w14:textId="77777777" w:rsidR="00486653" w:rsidRPr="00240CFB" w:rsidRDefault="00486653" w:rsidP="00910595">
      <w:pPr>
        <w:pStyle w:val="Heading2"/>
      </w:pPr>
      <w:r w:rsidRPr="00240CFB">
        <w:t>Background</w:t>
      </w:r>
    </w:p>
    <w:p w14:paraId="1C135752" w14:textId="4EF3FC13" w:rsidR="0034283D" w:rsidRPr="008853E7" w:rsidRDefault="0034283D" w:rsidP="00D93371">
      <w:pPr>
        <w:numPr>
          <w:ilvl w:val="0"/>
          <w:numId w:val="1"/>
        </w:numPr>
        <w:spacing w:after="120"/>
        <w:ind w:left="0" w:firstLine="0"/>
        <w:rPr>
          <w:rFonts w:ascii="Arial" w:eastAsia="Calibri" w:hAnsi="Arial" w:cs="Arial"/>
          <w:sz w:val="22"/>
          <w:szCs w:val="22"/>
          <w:lang w:eastAsia="en-US"/>
        </w:rPr>
      </w:pPr>
      <w:r w:rsidRPr="008853E7">
        <w:rPr>
          <w:rFonts w:ascii="Arial" w:hAnsi="Arial" w:cs="Arial"/>
          <w:sz w:val="22"/>
          <w:szCs w:val="22"/>
        </w:rPr>
        <w:t>The Australian Government has committed to simplifying its interactions with business to support growth, innovation and employment. As part of th</w:t>
      </w:r>
      <w:r w:rsidR="00E331E2">
        <w:rPr>
          <w:rFonts w:ascii="Arial" w:hAnsi="Arial" w:cs="Arial"/>
          <w:sz w:val="22"/>
          <w:szCs w:val="22"/>
        </w:rPr>
        <w:t>is i</w:t>
      </w:r>
      <w:r w:rsidRPr="008853E7">
        <w:rPr>
          <w:rFonts w:ascii="Arial" w:hAnsi="Arial" w:cs="Arial"/>
          <w:sz w:val="22"/>
          <w:szCs w:val="22"/>
        </w:rPr>
        <w:t>nitiative, the Government is developing a modern approach to managing Commonwealth registers to provide more</w:t>
      </w:r>
      <w:r w:rsidR="00E331E2">
        <w:rPr>
          <w:rFonts w:ascii="Arial" w:hAnsi="Arial" w:cs="Arial"/>
          <w:sz w:val="22"/>
          <w:szCs w:val="22"/>
        </w:rPr>
        <w:t xml:space="preserve"> flexible,</w:t>
      </w:r>
      <w:r w:rsidRPr="008853E7">
        <w:rPr>
          <w:rFonts w:ascii="Arial" w:hAnsi="Arial" w:cs="Arial"/>
          <w:sz w:val="22"/>
          <w:szCs w:val="22"/>
        </w:rPr>
        <w:t xml:space="preserve"> user</w:t>
      </w:r>
      <w:r w:rsidRPr="008853E7">
        <w:rPr>
          <w:rFonts w:ascii="Arial" w:hAnsi="Arial" w:cs="Arial"/>
          <w:sz w:val="22"/>
          <w:szCs w:val="22"/>
        </w:rPr>
        <w:noBreakHyphen/>
        <w:t>friendly and streamlined registry services.</w:t>
      </w:r>
    </w:p>
    <w:p w14:paraId="1129B625" w14:textId="01978F42" w:rsidR="009E4462" w:rsidRPr="006178CF" w:rsidRDefault="009E4462" w:rsidP="00D93371">
      <w:pPr>
        <w:numPr>
          <w:ilvl w:val="0"/>
          <w:numId w:val="1"/>
        </w:numPr>
        <w:spacing w:after="120"/>
        <w:ind w:left="0" w:firstLine="0"/>
        <w:rPr>
          <w:rFonts w:ascii="Arial" w:eastAsia="Calibri" w:hAnsi="Arial" w:cs="Arial"/>
          <w:sz w:val="22"/>
          <w:szCs w:val="22"/>
          <w:lang w:eastAsia="en-US"/>
        </w:rPr>
      </w:pPr>
      <w:r w:rsidRPr="0067273E">
        <w:rPr>
          <w:rFonts w:ascii="Arial" w:hAnsi="Arial" w:cs="Arial"/>
          <w:i/>
          <w:iCs/>
          <w:sz w:val="22"/>
          <w:szCs w:val="22"/>
        </w:rPr>
        <w:t xml:space="preserve">The </w:t>
      </w:r>
      <w:r w:rsidR="0067273E" w:rsidRPr="0067273E">
        <w:rPr>
          <w:rFonts w:ascii="Arial" w:hAnsi="Arial" w:cs="Arial"/>
          <w:i/>
          <w:iCs/>
          <w:sz w:val="22"/>
          <w:szCs w:val="22"/>
        </w:rPr>
        <w:t xml:space="preserve">Treasury Laws Amendment (Registries Modernisation and Other Measures) Act </w:t>
      </w:r>
      <w:r w:rsidR="00812FA5">
        <w:rPr>
          <w:rFonts w:ascii="Arial" w:hAnsi="Arial" w:cs="Arial"/>
          <w:i/>
          <w:iCs/>
          <w:sz w:val="22"/>
          <w:szCs w:val="22"/>
        </w:rPr>
        <w:t>2020</w:t>
      </w:r>
      <w:r w:rsidR="0067273E" w:rsidRPr="0067273E">
        <w:rPr>
          <w:rFonts w:ascii="Arial" w:hAnsi="Arial" w:cs="Arial"/>
          <w:i/>
          <w:iCs/>
          <w:sz w:val="22"/>
          <w:szCs w:val="22"/>
        </w:rPr>
        <w:t xml:space="preserve"> </w:t>
      </w:r>
      <w:r w:rsidRPr="0067273E">
        <w:rPr>
          <w:rFonts w:ascii="Arial" w:hAnsi="Arial" w:cs="Arial"/>
          <w:sz w:val="22"/>
          <w:szCs w:val="22"/>
        </w:rPr>
        <w:t xml:space="preserve">inserts disclosure provisions into the </w:t>
      </w:r>
      <w:r w:rsidR="00A335CB" w:rsidRPr="00AE5A1D">
        <w:rPr>
          <w:rFonts w:ascii="Arial" w:hAnsi="Arial" w:cs="Arial"/>
          <w:sz w:val="22"/>
          <w:szCs w:val="22"/>
        </w:rPr>
        <w:t>Act</w:t>
      </w:r>
      <w:r w:rsidR="00A335CB" w:rsidRPr="0067273E" w:rsidDel="00A335CB">
        <w:rPr>
          <w:rFonts w:ascii="Arial" w:hAnsi="Arial" w:cs="Arial"/>
          <w:i/>
          <w:iCs/>
          <w:sz w:val="22"/>
          <w:szCs w:val="22"/>
        </w:rPr>
        <w:t xml:space="preserve"> </w:t>
      </w:r>
      <w:r w:rsidRPr="0067273E">
        <w:rPr>
          <w:rFonts w:ascii="Arial" w:hAnsi="Arial" w:cs="Arial"/>
          <w:sz w:val="22"/>
          <w:szCs w:val="22"/>
        </w:rPr>
        <w:t xml:space="preserve">which largely mirror those provisions included within the </w:t>
      </w:r>
      <w:r w:rsidR="0067273E" w:rsidRPr="0067273E">
        <w:rPr>
          <w:rFonts w:ascii="Arial" w:hAnsi="Arial" w:cs="Arial"/>
          <w:i/>
          <w:iCs/>
          <w:sz w:val="22"/>
          <w:szCs w:val="22"/>
        </w:rPr>
        <w:t xml:space="preserve">Commonwealth Registers Act </w:t>
      </w:r>
      <w:r w:rsidR="00C518FD">
        <w:rPr>
          <w:rFonts w:ascii="Arial" w:hAnsi="Arial" w:cs="Arial"/>
          <w:i/>
          <w:iCs/>
          <w:sz w:val="22"/>
          <w:szCs w:val="22"/>
        </w:rPr>
        <w:t>2020</w:t>
      </w:r>
      <w:r w:rsidR="008B097A">
        <w:rPr>
          <w:rFonts w:ascii="Arial" w:hAnsi="Arial" w:cs="Arial"/>
          <w:i/>
          <w:iCs/>
          <w:sz w:val="22"/>
          <w:szCs w:val="22"/>
        </w:rPr>
        <w:t xml:space="preserve"> </w:t>
      </w:r>
      <w:r w:rsidR="008B097A">
        <w:rPr>
          <w:rFonts w:ascii="Arial" w:hAnsi="Arial" w:cs="Arial"/>
          <w:sz w:val="22"/>
          <w:szCs w:val="22"/>
        </w:rPr>
        <w:t xml:space="preserve">and </w:t>
      </w:r>
      <w:r w:rsidR="008B097A" w:rsidRPr="009E4462">
        <w:rPr>
          <w:rFonts w:ascii="Arial" w:hAnsi="Arial" w:cs="Arial"/>
          <w:sz w:val="22"/>
          <w:szCs w:val="22"/>
        </w:rPr>
        <w:t xml:space="preserve">includes provisions designed to replace existing registry law secrecy provisions, serving to protect information held by the </w:t>
      </w:r>
      <w:r w:rsidR="004A517E">
        <w:rPr>
          <w:rFonts w:ascii="Arial" w:hAnsi="Arial" w:cs="Arial"/>
          <w:sz w:val="22"/>
          <w:szCs w:val="22"/>
        </w:rPr>
        <w:t>registrar</w:t>
      </w:r>
      <w:r w:rsidRPr="0067273E">
        <w:rPr>
          <w:rFonts w:ascii="Arial" w:hAnsi="Arial" w:cs="Arial"/>
          <w:sz w:val="22"/>
          <w:szCs w:val="22"/>
        </w:rPr>
        <w:t>.</w:t>
      </w:r>
    </w:p>
    <w:p w14:paraId="1025B6E0" w14:textId="34E29B18" w:rsidR="004131DC" w:rsidRPr="0019523B" w:rsidRDefault="004131DC" w:rsidP="00D93371">
      <w:pPr>
        <w:numPr>
          <w:ilvl w:val="0"/>
          <w:numId w:val="1"/>
        </w:numPr>
        <w:spacing w:after="120"/>
        <w:ind w:left="0" w:firstLine="0"/>
        <w:rPr>
          <w:rFonts w:ascii="Arial" w:eastAsia="Calibri" w:hAnsi="Arial" w:cs="Arial"/>
          <w:sz w:val="22"/>
          <w:szCs w:val="22"/>
          <w:lang w:eastAsia="en-US"/>
        </w:rPr>
      </w:pPr>
      <w:r w:rsidRPr="0019523B">
        <w:rPr>
          <w:rFonts w:ascii="Arial" w:hAnsi="Arial" w:cs="Arial"/>
          <w:sz w:val="22"/>
          <w:szCs w:val="22"/>
        </w:rPr>
        <w:t>The new law provides that a recording or disclosure is authorised in the following circumstances:</w:t>
      </w:r>
    </w:p>
    <w:p w14:paraId="11E57057" w14:textId="77777777" w:rsidR="004131DC" w:rsidRPr="0019523B" w:rsidRDefault="004131DC" w:rsidP="00D93371">
      <w:pPr>
        <w:pStyle w:val="Default"/>
        <w:numPr>
          <w:ilvl w:val="0"/>
          <w:numId w:val="6"/>
        </w:numPr>
        <w:spacing w:before="120" w:after="120"/>
        <w:rPr>
          <w:rFonts w:ascii="Arial" w:hAnsi="Arial" w:cs="Arial"/>
          <w:color w:val="auto"/>
          <w:sz w:val="22"/>
          <w:szCs w:val="22"/>
        </w:rPr>
      </w:pPr>
      <w:r w:rsidRPr="0019523B">
        <w:rPr>
          <w:rFonts w:ascii="Arial" w:hAnsi="Arial" w:cs="Arial"/>
          <w:color w:val="auto"/>
          <w:sz w:val="22"/>
          <w:szCs w:val="22"/>
        </w:rPr>
        <w:t>the recording or disclosure is for the purposes of the new regime or happens in the course of the performance of the duties of a person’s official employment;</w:t>
      </w:r>
    </w:p>
    <w:p w14:paraId="2A137F97" w14:textId="77777777" w:rsidR="004131DC" w:rsidRPr="0019523B" w:rsidRDefault="004131DC" w:rsidP="00D93371">
      <w:pPr>
        <w:pStyle w:val="Default"/>
        <w:numPr>
          <w:ilvl w:val="0"/>
          <w:numId w:val="6"/>
        </w:numPr>
        <w:spacing w:before="120" w:after="120"/>
        <w:rPr>
          <w:rFonts w:ascii="Arial" w:hAnsi="Arial" w:cs="Arial"/>
          <w:color w:val="auto"/>
          <w:sz w:val="22"/>
          <w:szCs w:val="22"/>
        </w:rPr>
      </w:pPr>
      <w:r w:rsidRPr="0019523B">
        <w:rPr>
          <w:rFonts w:ascii="Arial" w:hAnsi="Arial" w:cs="Arial"/>
          <w:color w:val="auto"/>
          <w:sz w:val="22"/>
          <w:szCs w:val="22"/>
        </w:rPr>
        <w:t>the disclosure is to another person for use, in the course of the performance of the duties of the other person’s official employment, in relation to the performance of the functions of a government entity;</w:t>
      </w:r>
    </w:p>
    <w:p w14:paraId="4912905B" w14:textId="19CD912B" w:rsidR="004131DC" w:rsidRPr="00B00255" w:rsidRDefault="004131DC" w:rsidP="00D93371">
      <w:pPr>
        <w:pStyle w:val="Default"/>
        <w:numPr>
          <w:ilvl w:val="0"/>
          <w:numId w:val="6"/>
        </w:numPr>
        <w:spacing w:before="120" w:after="120"/>
        <w:rPr>
          <w:rFonts w:ascii="Arial" w:hAnsi="Arial" w:cs="Arial"/>
          <w:color w:val="auto"/>
          <w:sz w:val="22"/>
          <w:szCs w:val="22"/>
        </w:rPr>
      </w:pPr>
      <w:r w:rsidRPr="0019523B">
        <w:rPr>
          <w:rFonts w:ascii="Arial" w:hAnsi="Arial" w:cs="Arial"/>
          <w:color w:val="auto"/>
          <w:sz w:val="22"/>
          <w:szCs w:val="22"/>
        </w:rPr>
        <w:t xml:space="preserve">the disclosure is to a State or Territory official for use in the course of their duties of employment in relation to the performance or exercise of functions or powers of a government entity, </w:t>
      </w:r>
      <w:r w:rsidR="008134AF">
        <w:rPr>
          <w:rFonts w:ascii="Arial" w:hAnsi="Arial" w:cs="Arial"/>
          <w:color w:val="auto"/>
          <w:sz w:val="22"/>
          <w:szCs w:val="22"/>
        </w:rPr>
        <w:t>under</w:t>
      </w:r>
      <w:r w:rsidRPr="0019523B">
        <w:rPr>
          <w:rFonts w:ascii="Arial" w:hAnsi="Arial" w:cs="Arial"/>
          <w:color w:val="auto"/>
          <w:sz w:val="22"/>
          <w:szCs w:val="22"/>
        </w:rPr>
        <w:t xml:space="preserve"> an intergovernmental agreement with the </w:t>
      </w:r>
      <w:r w:rsidRPr="00B00255">
        <w:rPr>
          <w:rFonts w:ascii="Arial" w:hAnsi="Arial" w:cs="Arial"/>
          <w:color w:val="auto"/>
          <w:sz w:val="22"/>
          <w:szCs w:val="22"/>
        </w:rPr>
        <w:t xml:space="preserve">Commonwealth; </w:t>
      </w:r>
    </w:p>
    <w:p w14:paraId="6838DE5B" w14:textId="77777777" w:rsidR="004131DC" w:rsidRPr="00B00255" w:rsidRDefault="004131DC" w:rsidP="00D93371">
      <w:pPr>
        <w:pStyle w:val="Default"/>
        <w:numPr>
          <w:ilvl w:val="0"/>
          <w:numId w:val="6"/>
        </w:numPr>
        <w:spacing w:before="120" w:after="120"/>
        <w:rPr>
          <w:rFonts w:ascii="Arial" w:hAnsi="Arial" w:cs="Arial"/>
          <w:color w:val="auto"/>
          <w:sz w:val="22"/>
          <w:szCs w:val="22"/>
        </w:rPr>
      </w:pPr>
      <w:r w:rsidRPr="00B00255">
        <w:rPr>
          <w:rFonts w:ascii="Arial" w:hAnsi="Arial" w:cs="Arial"/>
          <w:color w:val="auto"/>
          <w:sz w:val="22"/>
          <w:szCs w:val="22"/>
        </w:rPr>
        <w:t>each person to whom the information relates consents to the disclosure; or</w:t>
      </w:r>
    </w:p>
    <w:p w14:paraId="6A445561" w14:textId="40264DB8" w:rsidR="008B097A" w:rsidRDefault="004131DC" w:rsidP="00D93371">
      <w:pPr>
        <w:pStyle w:val="ListParagraph"/>
        <w:numPr>
          <w:ilvl w:val="0"/>
          <w:numId w:val="6"/>
        </w:numPr>
        <w:spacing w:after="120"/>
        <w:rPr>
          <w:rFonts w:ascii="Arial" w:hAnsi="Arial" w:cs="Arial"/>
        </w:rPr>
      </w:pPr>
      <w:proofErr w:type="gramStart"/>
      <w:r w:rsidRPr="00C53486">
        <w:rPr>
          <w:rFonts w:ascii="Arial" w:hAnsi="Arial" w:cs="Arial"/>
        </w:rPr>
        <w:t>the</w:t>
      </w:r>
      <w:proofErr w:type="gramEnd"/>
      <w:r w:rsidRPr="00C53486">
        <w:rPr>
          <w:rFonts w:ascii="Arial" w:hAnsi="Arial" w:cs="Arial"/>
        </w:rPr>
        <w:t xml:space="preserve"> disclosure is in accordance with the disclosure framework made by the Registrar.</w:t>
      </w:r>
    </w:p>
    <w:p w14:paraId="58F4C219" w14:textId="2691D0A0" w:rsidR="000805C0" w:rsidRDefault="000805C0" w:rsidP="00C37972">
      <w:pPr>
        <w:numPr>
          <w:ilvl w:val="0"/>
          <w:numId w:val="1"/>
        </w:numPr>
        <w:spacing w:after="120"/>
        <w:ind w:left="0" w:firstLine="0"/>
        <w:rPr>
          <w:rFonts w:ascii="Arial" w:hAnsi="Arial" w:cs="Arial"/>
          <w:color w:val="000000"/>
          <w:sz w:val="22"/>
          <w:szCs w:val="22"/>
        </w:rPr>
      </w:pPr>
      <w:bookmarkStart w:id="1" w:name="_Hlk63071692"/>
      <w:r w:rsidRPr="009E4462">
        <w:rPr>
          <w:rFonts w:ascii="Arial" w:hAnsi="Arial" w:cs="Arial"/>
          <w:sz w:val="22"/>
          <w:szCs w:val="22"/>
        </w:rPr>
        <w:lastRenderedPageBreak/>
        <w:t xml:space="preserve">The </w:t>
      </w:r>
      <w:r>
        <w:rPr>
          <w:rFonts w:ascii="Arial" w:hAnsi="Arial" w:cs="Arial"/>
          <w:sz w:val="22"/>
          <w:szCs w:val="22"/>
        </w:rPr>
        <w:t>Registrar</w:t>
      </w:r>
      <w:r w:rsidRPr="009E4462">
        <w:rPr>
          <w:rFonts w:ascii="Arial" w:hAnsi="Arial" w:cs="Arial"/>
          <w:sz w:val="22"/>
          <w:szCs w:val="22"/>
        </w:rPr>
        <w:t xml:space="preserve"> must not</w:t>
      </w:r>
      <w:r>
        <w:rPr>
          <w:rFonts w:ascii="Arial" w:hAnsi="Arial" w:cs="Arial"/>
          <w:sz w:val="22"/>
          <w:szCs w:val="22"/>
        </w:rPr>
        <w:t xml:space="preserve"> make a disclosure framework authorising the</w:t>
      </w:r>
      <w:r w:rsidRPr="009E4462">
        <w:rPr>
          <w:rFonts w:ascii="Arial" w:hAnsi="Arial" w:cs="Arial"/>
          <w:sz w:val="22"/>
          <w:szCs w:val="22"/>
        </w:rPr>
        <w:t xml:space="preserve"> disclos</w:t>
      </w:r>
      <w:r>
        <w:rPr>
          <w:rFonts w:ascii="Arial" w:hAnsi="Arial" w:cs="Arial"/>
          <w:sz w:val="22"/>
          <w:szCs w:val="22"/>
        </w:rPr>
        <w:t>ur</w:t>
      </w:r>
      <w:r w:rsidRPr="009E4462">
        <w:rPr>
          <w:rFonts w:ascii="Arial" w:hAnsi="Arial" w:cs="Arial"/>
          <w:sz w:val="22"/>
          <w:szCs w:val="22"/>
        </w:rPr>
        <w:t xml:space="preserve">e </w:t>
      </w:r>
      <w:r>
        <w:rPr>
          <w:rFonts w:ascii="Arial" w:hAnsi="Arial" w:cs="Arial"/>
          <w:sz w:val="22"/>
          <w:szCs w:val="22"/>
        </w:rPr>
        <w:t xml:space="preserve">of protected </w:t>
      </w:r>
      <w:r w:rsidRPr="009E4462">
        <w:rPr>
          <w:rFonts w:ascii="Arial" w:hAnsi="Arial" w:cs="Arial"/>
          <w:sz w:val="22"/>
          <w:szCs w:val="22"/>
        </w:rPr>
        <w:t xml:space="preserve">information unless the </w:t>
      </w:r>
      <w:r>
        <w:rPr>
          <w:rFonts w:ascii="Arial" w:hAnsi="Arial" w:cs="Arial"/>
          <w:sz w:val="22"/>
          <w:szCs w:val="22"/>
        </w:rPr>
        <w:t>Registrar</w:t>
      </w:r>
      <w:r w:rsidRPr="009E4462">
        <w:rPr>
          <w:rFonts w:ascii="Arial" w:hAnsi="Arial" w:cs="Arial"/>
          <w:sz w:val="22"/>
          <w:szCs w:val="22"/>
        </w:rPr>
        <w:t xml:space="preserve"> is satisfied that the benefits outweigh the risks.</w:t>
      </w:r>
    </w:p>
    <w:bookmarkEnd w:id="1"/>
    <w:p w14:paraId="0E92C81D" w14:textId="266C20CE" w:rsidR="00C37972" w:rsidRPr="00543449" w:rsidRDefault="00C37972" w:rsidP="00C37972">
      <w:pPr>
        <w:numPr>
          <w:ilvl w:val="0"/>
          <w:numId w:val="1"/>
        </w:numPr>
        <w:spacing w:after="120"/>
        <w:ind w:left="0" w:firstLine="0"/>
        <w:rPr>
          <w:rFonts w:ascii="Arial" w:hAnsi="Arial" w:cs="Arial"/>
          <w:color w:val="000000"/>
          <w:sz w:val="22"/>
          <w:szCs w:val="22"/>
        </w:rPr>
      </w:pPr>
      <w:r w:rsidRPr="00543449">
        <w:rPr>
          <w:rFonts w:ascii="Arial" w:hAnsi="Arial" w:cs="Arial"/>
          <w:color w:val="000000"/>
          <w:sz w:val="22"/>
          <w:szCs w:val="22"/>
        </w:rPr>
        <w:t xml:space="preserve">The law </w:t>
      </w:r>
      <w:r w:rsidRPr="00543449">
        <w:rPr>
          <w:rFonts w:ascii="Arial" w:hAnsi="Arial" w:cs="Arial"/>
          <w:sz w:val="22"/>
          <w:szCs w:val="22"/>
        </w:rPr>
        <w:t>authorises</w:t>
      </w:r>
      <w:r w:rsidRPr="00543449">
        <w:rPr>
          <w:rFonts w:ascii="Arial" w:hAnsi="Arial" w:cs="Arial"/>
          <w:color w:val="000000"/>
          <w:sz w:val="22"/>
          <w:szCs w:val="22"/>
        </w:rPr>
        <w:t xml:space="preserve"> disclosure of protected information to a government entity in relation to the performance or exercise of its functions or powers. </w:t>
      </w:r>
    </w:p>
    <w:p w14:paraId="02BF5339" w14:textId="283487DA" w:rsidR="00FE3689" w:rsidRPr="00971023" w:rsidRDefault="00A67B45" w:rsidP="009E00AA">
      <w:pPr>
        <w:numPr>
          <w:ilvl w:val="0"/>
          <w:numId w:val="1"/>
        </w:numPr>
        <w:spacing w:after="120"/>
        <w:ind w:left="0" w:firstLine="0"/>
        <w:rPr>
          <w:rFonts w:ascii="Arial" w:eastAsia="Calibri" w:hAnsi="Arial" w:cs="Arial"/>
          <w:sz w:val="22"/>
          <w:szCs w:val="22"/>
          <w:lang w:eastAsia="en-US"/>
        </w:rPr>
      </w:pPr>
      <w:r w:rsidRPr="00B00255">
        <w:rPr>
          <w:rFonts w:ascii="Arial" w:hAnsi="Arial" w:cs="Arial"/>
          <w:sz w:val="22"/>
          <w:szCs w:val="22"/>
        </w:rPr>
        <w:t xml:space="preserve">Government entity is defined at Section </w:t>
      </w:r>
      <w:r w:rsidR="007B15BF">
        <w:rPr>
          <w:rFonts w:ascii="Arial" w:hAnsi="Arial" w:cs="Arial"/>
          <w:sz w:val="22"/>
          <w:szCs w:val="22"/>
        </w:rPr>
        <w:t>9</w:t>
      </w:r>
      <w:r w:rsidRPr="00B00255">
        <w:rPr>
          <w:rFonts w:ascii="Arial" w:hAnsi="Arial" w:cs="Arial"/>
          <w:sz w:val="22"/>
          <w:szCs w:val="22"/>
        </w:rPr>
        <w:t xml:space="preserve"> of the</w:t>
      </w:r>
      <w:r w:rsidR="00FE3689">
        <w:rPr>
          <w:rFonts w:ascii="Arial" w:hAnsi="Arial" w:cs="Arial"/>
          <w:sz w:val="22"/>
          <w:szCs w:val="22"/>
        </w:rPr>
        <w:t xml:space="preserve"> Corporations Act</w:t>
      </w:r>
      <w:r w:rsidRPr="00B00255">
        <w:rPr>
          <w:rFonts w:ascii="Arial" w:hAnsi="Arial" w:cs="Arial"/>
          <w:sz w:val="22"/>
          <w:szCs w:val="22"/>
        </w:rPr>
        <w:t xml:space="preserve"> as having the meaning given by section 41 of the </w:t>
      </w:r>
      <w:r w:rsidRPr="00B00255">
        <w:rPr>
          <w:rFonts w:ascii="Arial" w:hAnsi="Arial" w:cs="Arial"/>
          <w:i/>
          <w:iCs/>
          <w:sz w:val="22"/>
          <w:szCs w:val="22"/>
        </w:rPr>
        <w:t>A New Tax System (Australian Business Number) Act 1999</w:t>
      </w:r>
      <w:r w:rsidRPr="00B00255">
        <w:rPr>
          <w:rFonts w:ascii="Arial" w:hAnsi="Arial" w:cs="Arial"/>
          <w:sz w:val="22"/>
          <w:szCs w:val="22"/>
        </w:rPr>
        <w:t xml:space="preserve">. That section defines government entity as including: a department of state of the Commonwealth, a state or a territory; a department of the Parliament established under the </w:t>
      </w:r>
      <w:r w:rsidRPr="00B00255">
        <w:rPr>
          <w:rFonts w:ascii="Arial" w:hAnsi="Arial" w:cs="Arial"/>
          <w:i/>
          <w:sz w:val="22"/>
          <w:szCs w:val="22"/>
        </w:rPr>
        <w:t>Parliamentary Services Act 1999</w:t>
      </w:r>
      <w:r w:rsidRPr="00B00255">
        <w:rPr>
          <w:rFonts w:ascii="Arial" w:hAnsi="Arial" w:cs="Arial"/>
          <w:sz w:val="22"/>
          <w:szCs w:val="22"/>
        </w:rPr>
        <w:t xml:space="preserve">; an Executive Agency, or Statutory Agency, within the meaning of the </w:t>
      </w:r>
      <w:r w:rsidRPr="00B00255">
        <w:rPr>
          <w:rFonts w:ascii="Arial" w:hAnsi="Arial" w:cs="Arial"/>
          <w:i/>
          <w:sz w:val="22"/>
          <w:szCs w:val="22"/>
        </w:rPr>
        <w:t>Public Service Act 1999</w:t>
      </w:r>
      <w:r w:rsidRPr="00B00255">
        <w:rPr>
          <w:rFonts w:ascii="Arial" w:hAnsi="Arial" w:cs="Arial"/>
          <w:sz w:val="22"/>
          <w:szCs w:val="22"/>
        </w:rPr>
        <w:t xml:space="preserve">; and certain organisations established by the Commonwealth, a state or a territory to carry on an enterprise or established for a public purpose by an Australian law. </w:t>
      </w:r>
    </w:p>
    <w:p w14:paraId="77B3E866" w14:textId="34A2CD64" w:rsidR="00A67B45" w:rsidRPr="00A67B45" w:rsidRDefault="00A67B45" w:rsidP="009E00AA">
      <w:pPr>
        <w:numPr>
          <w:ilvl w:val="0"/>
          <w:numId w:val="1"/>
        </w:numPr>
        <w:spacing w:after="120"/>
        <w:ind w:left="0" w:firstLine="0"/>
        <w:rPr>
          <w:rFonts w:ascii="Arial" w:eastAsia="Calibri" w:hAnsi="Arial" w:cs="Arial"/>
          <w:sz w:val="22"/>
          <w:szCs w:val="22"/>
          <w:lang w:eastAsia="en-US"/>
        </w:rPr>
      </w:pPr>
      <w:r w:rsidRPr="00B00255">
        <w:rPr>
          <w:rFonts w:ascii="Arial" w:hAnsi="Arial" w:cs="Arial"/>
          <w:sz w:val="22"/>
          <w:szCs w:val="22"/>
        </w:rPr>
        <w:t xml:space="preserve">Explicit authorisations to disclose </w:t>
      </w:r>
      <w:r w:rsidR="00DA6163">
        <w:rPr>
          <w:rFonts w:ascii="Arial" w:hAnsi="Arial" w:cs="Arial"/>
          <w:sz w:val="22"/>
          <w:szCs w:val="22"/>
        </w:rPr>
        <w:t>protected</w:t>
      </w:r>
      <w:r w:rsidR="00DA6163" w:rsidRPr="00B00255">
        <w:rPr>
          <w:rFonts w:ascii="Arial" w:hAnsi="Arial" w:cs="Arial"/>
          <w:sz w:val="22"/>
          <w:szCs w:val="22"/>
        </w:rPr>
        <w:t xml:space="preserve"> </w:t>
      </w:r>
      <w:r w:rsidRPr="00B00255">
        <w:rPr>
          <w:rFonts w:ascii="Arial" w:hAnsi="Arial" w:cs="Arial"/>
          <w:sz w:val="22"/>
          <w:szCs w:val="22"/>
        </w:rPr>
        <w:t xml:space="preserve">information in accordance with intergovernmental agreements to </w:t>
      </w:r>
      <w:r w:rsidR="00DA6163">
        <w:rPr>
          <w:rFonts w:ascii="Arial" w:hAnsi="Arial" w:cs="Arial"/>
          <w:sz w:val="22"/>
          <w:szCs w:val="22"/>
        </w:rPr>
        <w:t>S</w:t>
      </w:r>
      <w:r w:rsidRPr="00B00255">
        <w:rPr>
          <w:rFonts w:ascii="Arial" w:hAnsi="Arial" w:cs="Arial"/>
          <w:sz w:val="22"/>
          <w:szCs w:val="22"/>
        </w:rPr>
        <w:t xml:space="preserve">tate or </w:t>
      </w:r>
      <w:r w:rsidR="00DA6163">
        <w:rPr>
          <w:rFonts w:ascii="Arial" w:hAnsi="Arial" w:cs="Arial"/>
          <w:sz w:val="22"/>
          <w:szCs w:val="22"/>
        </w:rPr>
        <w:t>T</w:t>
      </w:r>
      <w:r w:rsidRPr="00B00255">
        <w:rPr>
          <w:rFonts w:ascii="Arial" w:hAnsi="Arial" w:cs="Arial"/>
          <w:sz w:val="22"/>
          <w:szCs w:val="22"/>
        </w:rPr>
        <w:t xml:space="preserve">erritory officials for the performance of their official duties are contained in </w:t>
      </w:r>
      <w:r>
        <w:rPr>
          <w:rFonts w:ascii="Arial" w:hAnsi="Arial" w:cs="Arial"/>
          <w:sz w:val="22"/>
          <w:szCs w:val="22"/>
        </w:rPr>
        <w:t xml:space="preserve">section 1270L of the </w:t>
      </w:r>
      <w:r w:rsidRPr="00971023">
        <w:rPr>
          <w:rFonts w:ascii="Arial" w:hAnsi="Arial" w:cs="Arial"/>
          <w:sz w:val="22"/>
          <w:szCs w:val="22"/>
        </w:rPr>
        <w:t>Corporations Act</w:t>
      </w:r>
      <w:r w:rsidRPr="00B00255">
        <w:rPr>
          <w:rFonts w:ascii="Arial" w:hAnsi="Arial" w:cs="Arial"/>
          <w:sz w:val="22"/>
          <w:szCs w:val="22"/>
        </w:rPr>
        <w:t>.</w:t>
      </w:r>
    </w:p>
    <w:p w14:paraId="44F0972A" w14:textId="1E82A4F9" w:rsidR="00A67B45" w:rsidRPr="009E00AA" w:rsidRDefault="00A67B45" w:rsidP="009E00AA">
      <w:pPr>
        <w:numPr>
          <w:ilvl w:val="0"/>
          <w:numId w:val="1"/>
        </w:numPr>
        <w:spacing w:after="120"/>
        <w:ind w:left="0" w:firstLine="0"/>
        <w:rPr>
          <w:rFonts w:ascii="Arial" w:eastAsia="Calibri" w:hAnsi="Arial" w:cs="Arial"/>
          <w:sz w:val="22"/>
          <w:szCs w:val="22"/>
          <w:lang w:eastAsia="en-US"/>
        </w:rPr>
      </w:pPr>
      <w:r>
        <w:rPr>
          <w:rFonts w:ascii="Arial" w:eastAsia="Calibri" w:hAnsi="Arial" w:cs="Arial"/>
          <w:sz w:val="22"/>
          <w:szCs w:val="22"/>
          <w:lang w:eastAsia="en-US"/>
        </w:rPr>
        <w:t xml:space="preserve">There are a number of bodies </w:t>
      </w:r>
      <w:r>
        <w:rPr>
          <w:rFonts w:ascii="Arial" w:hAnsi="Arial" w:cs="Arial"/>
          <w:sz w:val="22"/>
          <w:szCs w:val="22"/>
        </w:rPr>
        <w:t>that do not fall within the</w:t>
      </w:r>
      <w:r w:rsidRPr="00B00255">
        <w:rPr>
          <w:rFonts w:ascii="Arial" w:hAnsi="Arial" w:cs="Arial"/>
          <w:sz w:val="22"/>
          <w:szCs w:val="22"/>
        </w:rPr>
        <w:t xml:space="preserve"> definition</w:t>
      </w:r>
      <w:r>
        <w:rPr>
          <w:rFonts w:ascii="Arial" w:hAnsi="Arial" w:cs="Arial"/>
          <w:sz w:val="22"/>
          <w:szCs w:val="22"/>
        </w:rPr>
        <w:t xml:space="preserve"> of government entity. While these PGPA bodies are</w:t>
      </w:r>
      <w:r w:rsidRPr="00B00255">
        <w:rPr>
          <w:rFonts w:ascii="Arial" w:hAnsi="Arial" w:cs="Arial"/>
          <w:sz w:val="22"/>
          <w:szCs w:val="22"/>
        </w:rPr>
        <w:t xml:space="preserve"> not </w:t>
      </w:r>
      <w:r>
        <w:rPr>
          <w:rFonts w:ascii="Arial" w:hAnsi="Arial" w:cs="Arial"/>
          <w:sz w:val="22"/>
          <w:szCs w:val="22"/>
        </w:rPr>
        <w:t>government entities</w:t>
      </w:r>
      <w:r w:rsidRPr="00B00255">
        <w:rPr>
          <w:rFonts w:ascii="Arial" w:hAnsi="Arial" w:cs="Arial"/>
          <w:sz w:val="22"/>
          <w:szCs w:val="22"/>
        </w:rPr>
        <w:t>, it</w:t>
      </w:r>
      <w:r w:rsidRPr="00B00255">
        <w:rPr>
          <w:rFonts w:ascii="Arial" w:hAnsi="Arial" w:cs="Arial"/>
          <w:bCs/>
          <w:sz w:val="22"/>
          <w:szCs w:val="22"/>
        </w:rPr>
        <w:t xml:space="preserve"> would appear to be an unintended consequence that a disclosure to </w:t>
      </w:r>
      <w:r>
        <w:rPr>
          <w:rFonts w:ascii="Arial" w:hAnsi="Arial" w:cs="Arial"/>
          <w:bCs/>
          <w:sz w:val="22"/>
          <w:szCs w:val="22"/>
        </w:rPr>
        <w:t>PGPA bodies</w:t>
      </w:r>
      <w:r w:rsidRPr="00B00255">
        <w:rPr>
          <w:rFonts w:ascii="Arial" w:hAnsi="Arial" w:cs="Arial"/>
          <w:bCs/>
          <w:sz w:val="22"/>
          <w:szCs w:val="22"/>
        </w:rPr>
        <w:t xml:space="preserve"> for </w:t>
      </w:r>
      <w:r w:rsidRPr="00B00255">
        <w:rPr>
          <w:rFonts w:ascii="Arial" w:hAnsi="Arial" w:cs="Arial"/>
          <w:sz w:val="22"/>
          <w:szCs w:val="22"/>
        </w:rPr>
        <w:t xml:space="preserve">use in the course of </w:t>
      </w:r>
      <w:r>
        <w:rPr>
          <w:rFonts w:ascii="Arial" w:hAnsi="Arial" w:cs="Arial"/>
          <w:sz w:val="22"/>
          <w:szCs w:val="22"/>
        </w:rPr>
        <w:t>PGPA</w:t>
      </w:r>
      <w:r w:rsidRPr="00B00255">
        <w:rPr>
          <w:rFonts w:ascii="Arial" w:hAnsi="Arial" w:cs="Arial"/>
          <w:sz w:val="22"/>
          <w:szCs w:val="22"/>
        </w:rPr>
        <w:t xml:space="preserve"> duties of employment </w:t>
      </w:r>
      <w:r w:rsidRPr="00B00255">
        <w:rPr>
          <w:rFonts w:ascii="Arial" w:hAnsi="Arial" w:cs="Arial"/>
          <w:bCs/>
          <w:sz w:val="22"/>
          <w:szCs w:val="22"/>
        </w:rPr>
        <w:t xml:space="preserve">would not be </w:t>
      </w:r>
      <w:r w:rsidRPr="009E00AA">
        <w:rPr>
          <w:rFonts w:ascii="Arial" w:hAnsi="Arial" w:cs="Arial"/>
          <w:bCs/>
          <w:sz w:val="22"/>
          <w:szCs w:val="22"/>
        </w:rPr>
        <w:t>considered an authorised disclosure.</w:t>
      </w:r>
    </w:p>
    <w:p w14:paraId="74C082EA" w14:textId="33FA495B" w:rsidR="00F721B0" w:rsidRPr="009E00AA" w:rsidRDefault="00F721B0" w:rsidP="009E00AA">
      <w:pPr>
        <w:numPr>
          <w:ilvl w:val="0"/>
          <w:numId w:val="1"/>
        </w:numPr>
        <w:spacing w:after="120"/>
        <w:ind w:left="0" w:firstLine="0"/>
        <w:rPr>
          <w:rFonts w:ascii="Arial" w:eastAsia="Calibri" w:hAnsi="Arial" w:cs="Arial"/>
          <w:sz w:val="22"/>
          <w:szCs w:val="22"/>
          <w:lang w:eastAsia="en-US"/>
        </w:rPr>
      </w:pPr>
      <w:r w:rsidRPr="009E00AA">
        <w:rPr>
          <w:rFonts w:ascii="Arial" w:eastAsia="Calibri" w:hAnsi="Arial" w:cs="Arial"/>
          <w:sz w:val="22"/>
          <w:szCs w:val="22"/>
          <w:lang w:eastAsia="en-US"/>
        </w:rPr>
        <w:t>PGPA bodies may include, but are not limited to:</w:t>
      </w:r>
    </w:p>
    <w:p w14:paraId="23DCEC18" w14:textId="06709495" w:rsidR="00F721B0" w:rsidRPr="009E00AA" w:rsidRDefault="000A28BE" w:rsidP="00D93371">
      <w:pPr>
        <w:numPr>
          <w:ilvl w:val="0"/>
          <w:numId w:val="10"/>
        </w:numPr>
        <w:ind w:left="1066" w:hanging="357"/>
        <w:rPr>
          <w:rFonts w:ascii="Arial" w:eastAsia="Calibri" w:hAnsi="Arial" w:cs="Arial"/>
          <w:sz w:val="22"/>
          <w:szCs w:val="22"/>
          <w:lang w:eastAsia="en-US"/>
        </w:rPr>
      </w:pPr>
      <w:r>
        <w:rPr>
          <w:rFonts w:ascii="Arial" w:eastAsia="Calibri" w:hAnsi="Arial" w:cs="Arial"/>
          <w:sz w:val="22"/>
          <w:szCs w:val="22"/>
          <w:lang w:eastAsia="en-US"/>
        </w:rPr>
        <w:t>Australian Securities and Investment Commission (</w:t>
      </w:r>
      <w:r w:rsidR="00F721B0" w:rsidRPr="009E00AA">
        <w:rPr>
          <w:rFonts w:ascii="Arial" w:eastAsia="Calibri" w:hAnsi="Arial" w:cs="Arial"/>
          <w:sz w:val="22"/>
          <w:szCs w:val="22"/>
          <w:lang w:eastAsia="en-US"/>
        </w:rPr>
        <w:t>ASIC</w:t>
      </w:r>
      <w:r>
        <w:rPr>
          <w:rFonts w:ascii="Arial" w:eastAsia="Calibri" w:hAnsi="Arial" w:cs="Arial"/>
          <w:sz w:val="22"/>
          <w:szCs w:val="22"/>
          <w:lang w:eastAsia="en-US"/>
        </w:rPr>
        <w:t>)</w:t>
      </w:r>
      <w:r w:rsidR="00F721B0" w:rsidRPr="009E00AA">
        <w:rPr>
          <w:rFonts w:ascii="Arial" w:eastAsia="Calibri" w:hAnsi="Arial" w:cs="Arial"/>
          <w:sz w:val="22"/>
          <w:szCs w:val="22"/>
          <w:lang w:eastAsia="en-US"/>
        </w:rPr>
        <w:t>;</w:t>
      </w:r>
    </w:p>
    <w:p w14:paraId="084DE4E2" w14:textId="344BA05E" w:rsidR="00F721B0" w:rsidRPr="009E00AA" w:rsidRDefault="009E00AA" w:rsidP="00D93371">
      <w:pPr>
        <w:pStyle w:val="ListParagraph"/>
        <w:numPr>
          <w:ilvl w:val="0"/>
          <w:numId w:val="10"/>
        </w:numPr>
        <w:spacing w:after="0" w:line="240" w:lineRule="auto"/>
        <w:ind w:left="1066" w:hanging="357"/>
        <w:rPr>
          <w:rFonts w:ascii="Arial" w:eastAsia="Times New Roman" w:hAnsi="Arial" w:cs="Arial"/>
        </w:rPr>
      </w:pPr>
      <w:r w:rsidRPr="009E00AA">
        <w:rPr>
          <w:rFonts w:ascii="Arial" w:hAnsi="Arial" w:cs="Arial"/>
        </w:rPr>
        <w:t>Australian Prudential Regulation Authority (</w:t>
      </w:r>
      <w:r w:rsidR="00F721B0" w:rsidRPr="009E00AA">
        <w:rPr>
          <w:rFonts w:ascii="Arial" w:eastAsia="Times New Roman" w:hAnsi="Arial" w:cs="Arial"/>
        </w:rPr>
        <w:t>APRA</w:t>
      </w:r>
      <w:r w:rsidRPr="009E00AA">
        <w:rPr>
          <w:rFonts w:ascii="Arial" w:eastAsia="Times New Roman" w:hAnsi="Arial" w:cs="Arial"/>
        </w:rPr>
        <w:t>)</w:t>
      </w:r>
      <w:r w:rsidR="00F721B0" w:rsidRPr="009E00AA">
        <w:rPr>
          <w:rFonts w:ascii="Arial" w:eastAsia="Times New Roman" w:hAnsi="Arial" w:cs="Arial"/>
        </w:rPr>
        <w:t>;</w:t>
      </w:r>
    </w:p>
    <w:p w14:paraId="20899DF5" w14:textId="5FE24643" w:rsidR="00F721B0" w:rsidRPr="009E00AA" w:rsidRDefault="00F721B0" w:rsidP="00D93371">
      <w:pPr>
        <w:pStyle w:val="ListParagraph"/>
        <w:numPr>
          <w:ilvl w:val="0"/>
          <w:numId w:val="10"/>
        </w:numPr>
        <w:spacing w:after="0" w:line="240" w:lineRule="auto"/>
        <w:ind w:left="1066" w:hanging="357"/>
        <w:rPr>
          <w:rFonts w:ascii="Arial" w:eastAsia="Times New Roman" w:hAnsi="Arial" w:cs="Arial"/>
        </w:rPr>
      </w:pPr>
      <w:r w:rsidRPr="009E00AA">
        <w:rPr>
          <w:rFonts w:ascii="Arial" w:eastAsia="Times New Roman" w:hAnsi="Arial" w:cs="Arial"/>
        </w:rPr>
        <w:t>Reserve Bank of Australia;</w:t>
      </w:r>
    </w:p>
    <w:p w14:paraId="2F5260A2" w14:textId="117643FB" w:rsidR="00F721B0" w:rsidRPr="009E00AA" w:rsidRDefault="009E00AA" w:rsidP="00D93371">
      <w:pPr>
        <w:pStyle w:val="ListParagraph"/>
        <w:numPr>
          <w:ilvl w:val="0"/>
          <w:numId w:val="10"/>
        </w:numPr>
        <w:spacing w:after="0" w:line="240" w:lineRule="auto"/>
        <w:ind w:left="1066" w:hanging="357"/>
        <w:rPr>
          <w:rFonts w:ascii="Arial" w:eastAsia="Times New Roman" w:hAnsi="Arial" w:cs="Arial"/>
        </w:rPr>
      </w:pPr>
      <w:r w:rsidRPr="009E00AA">
        <w:rPr>
          <w:rFonts w:ascii="Arial" w:eastAsia="Times New Roman" w:hAnsi="Arial" w:cs="Arial"/>
          <w:color w:val="000000"/>
          <w:lang w:eastAsia="en-AU"/>
        </w:rPr>
        <w:t>Commonwealth Scientific and Industrial Research Organisation (</w:t>
      </w:r>
      <w:r w:rsidR="00F721B0" w:rsidRPr="009E00AA">
        <w:rPr>
          <w:rFonts w:ascii="Arial" w:eastAsia="Times New Roman" w:hAnsi="Arial" w:cs="Arial"/>
        </w:rPr>
        <w:t>CSIRO</w:t>
      </w:r>
      <w:r w:rsidRPr="009E00AA">
        <w:rPr>
          <w:rFonts w:ascii="Arial" w:eastAsia="Times New Roman" w:hAnsi="Arial" w:cs="Arial"/>
        </w:rPr>
        <w:t>)</w:t>
      </w:r>
      <w:r w:rsidR="00F721B0" w:rsidRPr="009E00AA">
        <w:rPr>
          <w:rFonts w:ascii="Arial" w:eastAsia="Times New Roman" w:hAnsi="Arial" w:cs="Arial"/>
        </w:rPr>
        <w:t>;</w:t>
      </w:r>
    </w:p>
    <w:p w14:paraId="0651F8FA" w14:textId="77777777" w:rsidR="00F721B0" w:rsidRPr="00D93371" w:rsidRDefault="00F721B0" w:rsidP="00D93371">
      <w:pPr>
        <w:pStyle w:val="ListParagraph"/>
        <w:numPr>
          <w:ilvl w:val="0"/>
          <w:numId w:val="10"/>
        </w:numPr>
        <w:spacing w:after="0" w:line="240" w:lineRule="auto"/>
        <w:ind w:left="1066" w:hanging="357"/>
        <w:rPr>
          <w:rFonts w:ascii="Arial" w:eastAsia="Times New Roman" w:hAnsi="Arial" w:cs="Arial"/>
        </w:rPr>
      </w:pPr>
      <w:r w:rsidRPr="00D93371">
        <w:rPr>
          <w:rFonts w:ascii="Arial" w:eastAsia="Times New Roman" w:hAnsi="Arial" w:cs="Arial"/>
        </w:rPr>
        <w:t>Australian Institute of Health and Welfare (AIHW)</w:t>
      </w:r>
    </w:p>
    <w:p w14:paraId="11C9454C" w14:textId="585D0460" w:rsidR="00F721B0" w:rsidRPr="00D93371" w:rsidRDefault="00F721B0" w:rsidP="00D93371">
      <w:pPr>
        <w:pStyle w:val="paragraph"/>
        <w:numPr>
          <w:ilvl w:val="0"/>
          <w:numId w:val="10"/>
        </w:numPr>
        <w:spacing w:before="0" w:beforeAutospacing="0" w:after="0" w:afterAutospacing="0"/>
        <w:ind w:left="1066" w:hanging="357"/>
        <w:rPr>
          <w:rFonts w:ascii="Arial" w:eastAsia="Times New Roman" w:hAnsi="Arial" w:cs="Arial"/>
        </w:rPr>
      </w:pPr>
      <w:r w:rsidRPr="00D93371">
        <w:rPr>
          <w:rFonts w:ascii="Arial" w:eastAsia="Times New Roman" w:hAnsi="Arial" w:cs="Arial"/>
        </w:rPr>
        <w:t>Australian Postal Corporation;</w:t>
      </w:r>
    </w:p>
    <w:p w14:paraId="71742A1B" w14:textId="024C7D4E" w:rsidR="00F721B0" w:rsidRPr="00D93371" w:rsidRDefault="00F721B0" w:rsidP="00D93371">
      <w:pPr>
        <w:pStyle w:val="paragraph"/>
        <w:numPr>
          <w:ilvl w:val="0"/>
          <w:numId w:val="10"/>
        </w:numPr>
        <w:spacing w:before="0" w:beforeAutospacing="0" w:after="0" w:afterAutospacing="0"/>
        <w:ind w:left="1066" w:hanging="357"/>
        <w:rPr>
          <w:rFonts w:ascii="Arial" w:eastAsia="Times New Roman" w:hAnsi="Arial" w:cs="Arial"/>
        </w:rPr>
      </w:pPr>
      <w:r w:rsidRPr="00D93371">
        <w:rPr>
          <w:rFonts w:ascii="Arial" w:eastAsia="Times New Roman" w:hAnsi="Arial" w:cs="Arial"/>
        </w:rPr>
        <w:t>Defence Housing Australia</w:t>
      </w:r>
      <w:r w:rsidR="000A28BE">
        <w:rPr>
          <w:rFonts w:ascii="Arial" w:eastAsia="Times New Roman" w:hAnsi="Arial" w:cs="Arial"/>
        </w:rPr>
        <w:t>.</w:t>
      </w:r>
    </w:p>
    <w:p w14:paraId="15AC1B76" w14:textId="28CE2A00" w:rsidR="00486653" w:rsidRPr="00240CFB" w:rsidRDefault="00486653" w:rsidP="00910595">
      <w:pPr>
        <w:spacing w:after="120"/>
        <w:rPr>
          <w:rFonts w:ascii="Arial" w:hAnsi="Arial" w:cs="Arial"/>
          <w:sz w:val="22"/>
          <w:szCs w:val="22"/>
        </w:rPr>
      </w:pPr>
    </w:p>
    <w:p w14:paraId="15AC1B77" w14:textId="77777777" w:rsidR="00486653" w:rsidRPr="00240CFB" w:rsidRDefault="00E10B37" w:rsidP="00910595">
      <w:pPr>
        <w:pStyle w:val="Heading2"/>
      </w:pPr>
      <w:r w:rsidRPr="00240CFB">
        <w:t>Consultation</w:t>
      </w:r>
    </w:p>
    <w:p w14:paraId="15AC1B79" w14:textId="77777777" w:rsidR="0076271C" w:rsidRPr="00240CFB" w:rsidRDefault="0076271C" w:rsidP="00D93371">
      <w:pPr>
        <w:numPr>
          <w:ilvl w:val="0"/>
          <w:numId w:val="1"/>
        </w:numPr>
        <w:spacing w:after="120"/>
        <w:ind w:left="0" w:firstLine="0"/>
        <w:rPr>
          <w:rFonts w:ascii="Arial" w:hAnsi="Arial" w:cs="Arial"/>
          <w:color w:val="000000"/>
          <w:sz w:val="22"/>
          <w:szCs w:val="22"/>
        </w:rPr>
      </w:pPr>
      <w:r w:rsidRPr="00240CFB">
        <w:rPr>
          <w:rFonts w:ascii="Arial" w:hAnsi="Arial" w:cs="Arial"/>
          <w:color w:val="000000"/>
          <w:sz w:val="22"/>
          <w:szCs w:val="22"/>
        </w:rPr>
        <w:t>Pre consultation</w:t>
      </w:r>
    </w:p>
    <w:p w14:paraId="61533412" w14:textId="77777777" w:rsidR="009371D0" w:rsidRPr="00240CFB" w:rsidRDefault="00B31550" w:rsidP="00D93371">
      <w:pPr>
        <w:numPr>
          <w:ilvl w:val="3"/>
          <w:numId w:val="2"/>
        </w:numPr>
        <w:spacing w:after="120"/>
        <w:ind w:left="1418" w:hanging="709"/>
        <w:rPr>
          <w:rFonts w:ascii="Arial" w:hAnsi="Arial" w:cs="Arial"/>
          <w:sz w:val="22"/>
          <w:szCs w:val="22"/>
        </w:rPr>
      </w:pPr>
      <w:r w:rsidRPr="00240CFB">
        <w:rPr>
          <w:rFonts w:ascii="Arial" w:hAnsi="Arial" w:cs="Arial"/>
          <w:sz w:val="22"/>
          <w:szCs w:val="22"/>
        </w:rPr>
        <w:t xml:space="preserve">Subsection 17(1) of the </w:t>
      </w:r>
      <w:r w:rsidRPr="008134AF">
        <w:rPr>
          <w:rFonts w:ascii="Arial" w:hAnsi="Arial" w:cs="Arial"/>
          <w:i/>
          <w:iCs/>
          <w:sz w:val="22"/>
          <w:szCs w:val="22"/>
        </w:rPr>
        <w:t>Legislation Act 2003</w:t>
      </w:r>
      <w:r w:rsidRPr="00240CFB">
        <w:rPr>
          <w:rFonts w:ascii="Arial" w:hAnsi="Arial" w:cs="Arial"/>
          <w:sz w:val="22"/>
          <w:szCs w:val="22"/>
        </w:rPr>
        <w:t xml:space="preserve"> requires, before the making of a determination, that the Commissioner is satisfied that appropriate and reasonably practicable consultation has been undertaken.</w:t>
      </w:r>
    </w:p>
    <w:p w14:paraId="7D4369CE" w14:textId="77777777" w:rsidR="009371D0" w:rsidRPr="00240CFB" w:rsidRDefault="00B31550" w:rsidP="00D93371">
      <w:pPr>
        <w:numPr>
          <w:ilvl w:val="3"/>
          <w:numId w:val="2"/>
        </w:numPr>
        <w:spacing w:after="120"/>
        <w:ind w:left="1418" w:hanging="709"/>
        <w:rPr>
          <w:rFonts w:ascii="Arial" w:hAnsi="Arial" w:cs="Arial"/>
          <w:sz w:val="22"/>
          <w:szCs w:val="22"/>
        </w:rPr>
      </w:pPr>
      <w:r w:rsidRPr="00240CFB">
        <w:rPr>
          <w:rFonts w:ascii="Arial" w:hAnsi="Arial" w:cs="Arial"/>
          <w:sz w:val="22"/>
          <w:szCs w:val="22"/>
        </w:rPr>
        <w:t>As part of the consultation process, you are invited to comment on the draft determination and its accompanying draft explanatory statement.</w:t>
      </w:r>
    </w:p>
    <w:p w14:paraId="06BCB189" w14:textId="03AF75B6" w:rsidR="009371D0" w:rsidRPr="00240CFB" w:rsidRDefault="00B31550" w:rsidP="00910595">
      <w:pPr>
        <w:spacing w:after="120"/>
        <w:ind w:left="1277" w:hanging="425"/>
        <w:rPr>
          <w:rFonts w:ascii="Arial" w:hAnsi="Arial" w:cs="Arial"/>
          <w:sz w:val="22"/>
          <w:szCs w:val="22"/>
        </w:rPr>
      </w:pPr>
      <w:r w:rsidRPr="00240CFB">
        <w:rPr>
          <w:rFonts w:ascii="Arial" w:hAnsi="Arial" w:cs="Arial"/>
          <w:sz w:val="22"/>
          <w:szCs w:val="22"/>
        </w:rPr>
        <w:t>Please forward your comments to the contact officer by the due date.</w:t>
      </w:r>
    </w:p>
    <w:tbl>
      <w:tblPr>
        <w:tblW w:w="0" w:type="auto"/>
        <w:tblInd w:w="959" w:type="dxa"/>
        <w:tblLayout w:type="fixed"/>
        <w:tblCellMar>
          <w:left w:w="0" w:type="dxa"/>
          <w:right w:w="0" w:type="dxa"/>
        </w:tblCellMar>
        <w:tblLook w:val="04A0" w:firstRow="1" w:lastRow="0" w:firstColumn="1" w:lastColumn="0" w:noHBand="0" w:noVBand="1"/>
      </w:tblPr>
      <w:tblGrid>
        <w:gridCol w:w="2551"/>
        <w:gridCol w:w="5069"/>
      </w:tblGrid>
      <w:tr w:rsidR="00343133" w:rsidRPr="00B564B0" w14:paraId="61CD158D" w14:textId="77777777" w:rsidTr="00343133">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CF5F5A" w14:textId="77777777" w:rsidR="00343133" w:rsidRPr="00B564B0" w:rsidRDefault="00343133" w:rsidP="00343133">
            <w:pPr>
              <w:spacing w:before="40" w:after="40"/>
              <w:rPr>
                <w:rFonts w:ascii="Arial" w:eastAsia="Calibri" w:hAnsi="Arial" w:cs="Arial"/>
                <w:b/>
                <w:bCs/>
                <w:sz w:val="22"/>
                <w:szCs w:val="22"/>
                <w:lang w:eastAsia="en-US"/>
              </w:rPr>
            </w:pPr>
            <w:r w:rsidRPr="00B564B0">
              <w:rPr>
                <w:rFonts w:ascii="Arial" w:hAnsi="Arial" w:cs="Arial"/>
                <w:b/>
                <w:bCs/>
                <w:sz w:val="22"/>
                <w:szCs w:val="22"/>
              </w:rPr>
              <w:t>Due date:</w:t>
            </w:r>
          </w:p>
        </w:tc>
        <w:tc>
          <w:tcPr>
            <w:tcW w:w="50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89D56A" w14:textId="77777777" w:rsidR="00343133" w:rsidRPr="00B564B0" w:rsidRDefault="00343133" w:rsidP="00343133">
            <w:pPr>
              <w:spacing w:before="40" w:after="40"/>
              <w:rPr>
                <w:rFonts w:ascii="Arial" w:eastAsia="Calibri" w:hAnsi="Arial" w:cs="Arial"/>
                <w:bCs/>
                <w:sz w:val="22"/>
                <w:szCs w:val="22"/>
                <w:lang w:eastAsia="en-US"/>
              </w:rPr>
            </w:pPr>
            <w:r>
              <w:rPr>
                <w:rFonts w:ascii="Arial" w:hAnsi="Arial" w:cs="Arial"/>
                <w:bCs/>
                <w:sz w:val="22"/>
                <w:szCs w:val="22"/>
              </w:rPr>
              <w:t>1 April 2021</w:t>
            </w:r>
          </w:p>
        </w:tc>
      </w:tr>
      <w:tr w:rsidR="00343133" w:rsidRPr="00B564B0" w14:paraId="0376C141" w14:textId="77777777" w:rsidTr="00343133">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C0BE75" w14:textId="77777777" w:rsidR="00343133" w:rsidRPr="00B564B0" w:rsidRDefault="00343133" w:rsidP="00343133">
            <w:pPr>
              <w:spacing w:before="40" w:after="40"/>
              <w:rPr>
                <w:rFonts w:ascii="Arial" w:eastAsia="Calibri" w:hAnsi="Arial" w:cs="Arial"/>
                <w:b/>
                <w:bCs/>
                <w:sz w:val="22"/>
                <w:szCs w:val="22"/>
                <w:lang w:eastAsia="en-US"/>
              </w:rPr>
            </w:pPr>
            <w:r w:rsidRPr="00B564B0">
              <w:rPr>
                <w:rFonts w:ascii="Arial" w:hAnsi="Arial" w:cs="Arial"/>
                <w:b/>
                <w:bCs/>
                <w:sz w:val="22"/>
                <w:szCs w:val="22"/>
              </w:rPr>
              <w:t>Contact officer:</w:t>
            </w:r>
          </w:p>
        </w:tc>
        <w:tc>
          <w:tcPr>
            <w:tcW w:w="5069" w:type="dxa"/>
            <w:tcBorders>
              <w:top w:val="nil"/>
              <w:left w:val="nil"/>
              <w:bottom w:val="single" w:sz="8" w:space="0" w:color="auto"/>
              <w:right w:val="single" w:sz="8" w:space="0" w:color="auto"/>
            </w:tcBorders>
            <w:tcMar>
              <w:top w:w="0" w:type="dxa"/>
              <w:left w:w="108" w:type="dxa"/>
              <w:bottom w:w="0" w:type="dxa"/>
              <w:right w:w="108" w:type="dxa"/>
            </w:tcMar>
            <w:hideMark/>
          </w:tcPr>
          <w:p w14:paraId="6457481F" w14:textId="4AB56E32" w:rsidR="00343133" w:rsidRPr="00B564B0" w:rsidRDefault="00343133" w:rsidP="00343133">
            <w:pPr>
              <w:spacing w:before="40" w:after="40"/>
              <w:rPr>
                <w:rFonts w:ascii="Arial" w:eastAsia="Calibri" w:hAnsi="Arial" w:cs="Arial"/>
                <w:bCs/>
                <w:sz w:val="22"/>
                <w:szCs w:val="22"/>
                <w:lang w:eastAsia="en-US"/>
              </w:rPr>
            </w:pPr>
            <w:r>
              <w:rPr>
                <w:rFonts w:ascii="Arial" w:hAnsi="Arial" w:cs="Arial"/>
                <w:sz w:val="22"/>
                <w:szCs w:val="22"/>
              </w:rPr>
              <w:t>Matthew Sedgwick</w:t>
            </w:r>
          </w:p>
        </w:tc>
      </w:tr>
      <w:tr w:rsidR="00343133" w:rsidRPr="00B564B0" w14:paraId="0B822607" w14:textId="77777777" w:rsidTr="00343133">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E094FB" w14:textId="77777777" w:rsidR="00343133" w:rsidRPr="00B564B0" w:rsidRDefault="00343133" w:rsidP="00343133">
            <w:pPr>
              <w:spacing w:before="40" w:after="40"/>
              <w:rPr>
                <w:rFonts w:ascii="Arial" w:eastAsia="Calibri" w:hAnsi="Arial" w:cs="Arial"/>
                <w:b/>
                <w:bCs/>
                <w:sz w:val="22"/>
                <w:szCs w:val="22"/>
                <w:lang w:eastAsia="en-US"/>
              </w:rPr>
            </w:pPr>
            <w:r w:rsidRPr="00B564B0">
              <w:rPr>
                <w:rFonts w:ascii="Arial" w:hAnsi="Arial" w:cs="Arial"/>
                <w:b/>
                <w:bCs/>
                <w:sz w:val="22"/>
                <w:szCs w:val="22"/>
              </w:rPr>
              <w:t>E-mail address:</w:t>
            </w:r>
          </w:p>
        </w:tc>
        <w:tc>
          <w:tcPr>
            <w:tcW w:w="5069" w:type="dxa"/>
            <w:tcBorders>
              <w:top w:val="nil"/>
              <w:left w:val="nil"/>
              <w:bottom w:val="single" w:sz="8" w:space="0" w:color="auto"/>
              <w:right w:val="single" w:sz="8" w:space="0" w:color="auto"/>
            </w:tcBorders>
            <w:tcMar>
              <w:top w:w="0" w:type="dxa"/>
              <w:left w:w="108" w:type="dxa"/>
              <w:bottom w:w="0" w:type="dxa"/>
              <w:right w:w="108" w:type="dxa"/>
            </w:tcMar>
            <w:hideMark/>
          </w:tcPr>
          <w:p w14:paraId="2BC04E22" w14:textId="77777777" w:rsidR="00343133" w:rsidRPr="00B564B0" w:rsidRDefault="00713B19" w:rsidP="00343133">
            <w:pPr>
              <w:spacing w:before="40" w:after="40"/>
              <w:rPr>
                <w:rFonts w:ascii="Arial" w:eastAsia="Calibri" w:hAnsi="Arial" w:cs="Arial"/>
                <w:bCs/>
                <w:sz w:val="22"/>
                <w:szCs w:val="22"/>
                <w:lang w:eastAsia="en-US"/>
              </w:rPr>
            </w:pPr>
            <w:hyperlink r:id="rId8" w:history="1">
              <w:r w:rsidR="00343133" w:rsidRPr="00D57D19">
                <w:rPr>
                  <w:rStyle w:val="Hyperlink"/>
                  <w:rFonts w:ascii="Arial" w:hAnsi="Arial" w:cs="Arial"/>
                  <w:bCs/>
                  <w:sz w:val="22"/>
                  <w:szCs w:val="22"/>
                </w:rPr>
                <w:t>regmod@treasury.gov.au</w:t>
              </w:r>
            </w:hyperlink>
          </w:p>
        </w:tc>
      </w:tr>
    </w:tbl>
    <w:p w14:paraId="1AD8067D" w14:textId="77777777" w:rsidR="00240CFB" w:rsidRDefault="00240CFB" w:rsidP="00343133">
      <w:pPr>
        <w:spacing w:after="120"/>
        <w:rPr>
          <w:rFonts w:ascii="Arial" w:hAnsi="Arial" w:cs="Arial"/>
          <w:sz w:val="22"/>
          <w:szCs w:val="22"/>
        </w:rPr>
      </w:pPr>
    </w:p>
    <w:p w14:paraId="15AC1B84" w14:textId="5DDB488E" w:rsidR="00486653" w:rsidRPr="00B62F06" w:rsidRDefault="0076271C" w:rsidP="00D93371">
      <w:pPr>
        <w:pStyle w:val="ListParagraph"/>
        <w:numPr>
          <w:ilvl w:val="0"/>
          <w:numId w:val="1"/>
        </w:numPr>
        <w:spacing w:after="120"/>
        <w:rPr>
          <w:rFonts w:ascii="Arial" w:hAnsi="Arial" w:cs="Arial"/>
          <w:color w:val="0000FF"/>
        </w:rPr>
      </w:pPr>
      <w:r w:rsidRPr="00B62F06">
        <w:rPr>
          <w:rFonts w:ascii="Arial" w:hAnsi="Arial" w:cs="Arial"/>
          <w:color w:val="0000FF"/>
        </w:rPr>
        <w:t>Post consultation</w:t>
      </w:r>
    </w:p>
    <w:p w14:paraId="0DF51C98" w14:textId="77777777" w:rsidR="009371D0" w:rsidRPr="00B62F06" w:rsidRDefault="00832A78" w:rsidP="00910595">
      <w:pPr>
        <w:spacing w:after="120"/>
        <w:rPr>
          <w:rFonts w:ascii="Arial" w:hAnsi="Arial" w:cs="Arial"/>
          <w:color w:val="0000FF"/>
          <w:sz w:val="22"/>
          <w:szCs w:val="22"/>
        </w:rPr>
      </w:pPr>
      <w:r w:rsidRPr="00B62F06">
        <w:rPr>
          <w:rFonts w:ascii="Arial" w:hAnsi="Arial" w:cs="Arial"/>
          <w:color w:val="0000FF"/>
          <w:sz w:val="22"/>
          <w:szCs w:val="22"/>
        </w:rPr>
        <w:t>[Insert here a detailed description of the consultation undertaken. Subsection 17(1) of the Legislation Act 2003 requires that the rule-maker undertake an appropriate level of consultation that is reasonably practicable to undertake before making a legislative instrument.</w:t>
      </w:r>
    </w:p>
    <w:p w14:paraId="69FE8C27" w14:textId="77777777" w:rsidR="009371D0" w:rsidRPr="00101CD5" w:rsidRDefault="007E0A01" w:rsidP="00910595">
      <w:pPr>
        <w:pStyle w:val="Heading3"/>
        <w:rPr>
          <w:i/>
          <w:sz w:val="22"/>
          <w:szCs w:val="22"/>
        </w:rPr>
      </w:pPr>
      <w:r w:rsidRPr="00101CD5">
        <w:rPr>
          <w:i/>
          <w:sz w:val="22"/>
          <w:szCs w:val="22"/>
        </w:rPr>
        <w:lastRenderedPageBreak/>
        <w:t>Legislative references</w:t>
      </w:r>
    </w:p>
    <w:p w14:paraId="74D265C7" w14:textId="77777777" w:rsidR="00101CD5" w:rsidRPr="00101CD5" w:rsidRDefault="00101CD5" w:rsidP="00CE6E8F">
      <w:pPr>
        <w:rPr>
          <w:rFonts w:ascii="Arial" w:hAnsi="Arial" w:cs="Arial"/>
          <w:sz w:val="22"/>
          <w:szCs w:val="22"/>
        </w:rPr>
      </w:pPr>
    </w:p>
    <w:p w14:paraId="3DAB57A2" w14:textId="714DC308" w:rsidR="00F75CA0" w:rsidRDefault="00F75CA0" w:rsidP="00CE6E8F">
      <w:pPr>
        <w:rPr>
          <w:rFonts w:ascii="Arial" w:hAnsi="Arial" w:cs="Arial"/>
          <w:i/>
          <w:sz w:val="22"/>
          <w:szCs w:val="22"/>
        </w:rPr>
      </w:pPr>
      <w:r w:rsidRPr="00917846">
        <w:rPr>
          <w:rFonts w:ascii="Arial" w:hAnsi="Arial" w:cs="Arial"/>
          <w:i/>
          <w:iCs/>
          <w:sz w:val="22"/>
          <w:szCs w:val="22"/>
        </w:rPr>
        <w:t>A New Tax System (Australian Business Number) Act 1999</w:t>
      </w:r>
    </w:p>
    <w:p w14:paraId="15AC1B98" w14:textId="439B7384" w:rsidR="0076271C" w:rsidRPr="00CE6E8F" w:rsidRDefault="0076271C" w:rsidP="00CE6E8F">
      <w:pPr>
        <w:rPr>
          <w:rFonts w:ascii="Arial" w:hAnsi="Arial" w:cs="Arial"/>
          <w:i/>
          <w:sz w:val="22"/>
          <w:szCs w:val="22"/>
        </w:rPr>
      </w:pPr>
      <w:r w:rsidRPr="00CE6E8F">
        <w:rPr>
          <w:rFonts w:ascii="Arial" w:hAnsi="Arial" w:cs="Arial"/>
          <w:i/>
          <w:sz w:val="22"/>
          <w:szCs w:val="22"/>
        </w:rPr>
        <w:t>Acts Interpretation Act 1901</w:t>
      </w:r>
    </w:p>
    <w:p w14:paraId="5BB7DD05" w14:textId="48CD2B90" w:rsidR="00CE6E8F" w:rsidRPr="00CE6E8F" w:rsidRDefault="00CE6E8F" w:rsidP="00CE6E8F">
      <w:pPr>
        <w:rPr>
          <w:rFonts w:ascii="Arial" w:hAnsi="Arial" w:cs="Arial"/>
          <w:i/>
          <w:iCs/>
          <w:sz w:val="22"/>
          <w:szCs w:val="22"/>
        </w:rPr>
      </w:pPr>
      <w:r w:rsidRPr="00CE6E8F">
        <w:rPr>
          <w:rFonts w:ascii="Arial" w:hAnsi="Arial" w:cs="Arial"/>
          <w:i/>
          <w:iCs/>
          <w:sz w:val="22"/>
          <w:szCs w:val="22"/>
        </w:rPr>
        <w:t xml:space="preserve">Business Names </w:t>
      </w:r>
      <w:r w:rsidR="00A27696" w:rsidRPr="009A0F56">
        <w:rPr>
          <w:rFonts w:ascii="Arial" w:hAnsi="Arial" w:cs="Arial"/>
          <w:i/>
          <w:iCs/>
          <w:sz w:val="22"/>
          <w:szCs w:val="22"/>
        </w:rPr>
        <w:t xml:space="preserve">Registration </w:t>
      </w:r>
      <w:r w:rsidRPr="00CE6E8F">
        <w:rPr>
          <w:rFonts w:ascii="Arial" w:hAnsi="Arial" w:cs="Arial"/>
          <w:i/>
          <w:iCs/>
          <w:sz w:val="22"/>
          <w:szCs w:val="22"/>
        </w:rPr>
        <w:t>Act 2011</w:t>
      </w:r>
    </w:p>
    <w:p w14:paraId="07BB4289" w14:textId="444A49FA" w:rsidR="00CE6E8F" w:rsidRPr="00CE6E8F" w:rsidRDefault="00CE6E8F" w:rsidP="00CE6E8F">
      <w:pPr>
        <w:rPr>
          <w:rFonts w:ascii="Arial" w:hAnsi="Arial" w:cs="Arial"/>
          <w:i/>
          <w:iCs/>
          <w:sz w:val="22"/>
          <w:szCs w:val="22"/>
        </w:rPr>
      </w:pPr>
      <w:r w:rsidRPr="00CE6E8F">
        <w:rPr>
          <w:rFonts w:ascii="Arial" w:hAnsi="Arial" w:cs="Arial"/>
          <w:i/>
          <w:iCs/>
          <w:sz w:val="22"/>
          <w:szCs w:val="22"/>
        </w:rPr>
        <w:t>Commonwealth Registers Act 2020</w:t>
      </w:r>
    </w:p>
    <w:p w14:paraId="10266B22" w14:textId="77777777" w:rsidR="008719D6" w:rsidRDefault="008719D6" w:rsidP="00CE6E8F">
      <w:pPr>
        <w:rPr>
          <w:rFonts w:ascii="Arial" w:hAnsi="Arial" w:cs="Arial"/>
          <w:i/>
          <w:iCs/>
          <w:sz w:val="22"/>
          <w:szCs w:val="22"/>
        </w:rPr>
      </w:pPr>
      <w:r>
        <w:rPr>
          <w:rFonts w:ascii="Arial" w:hAnsi="Arial" w:cs="Arial"/>
          <w:i/>
          <w:iCs/>
          <w:sz w:val="22"/>
          <w:szCs w:val="22"/>
        </w:rPr>
        <w:t>Corporations Act 2001</w:t>
      </w:r>
    </w:p>
    <w:p w14:paraId="35279FE9" w14:textId="551B3754" w:rsidR="00CE6E8F" w:rsidRPr="00CE6E8F" w:rsidRDefault="00CE6E8F" w:rsidP="00CE6E8F">
      <w:pPr>
        <w:rPr>
          <w:rFonts w:ascii="Arial" w:hAnsi="Arial" w:cs="Arial"/>
          <w:i/>
          <w:iCs/>
          <w:sz w:val="22"/>
          <w:szCs w:val="22"/>
        </w:rPr>
      </w:pPr>
      <w:r w:rsidRPr="00CE6E8F">
        <w:rPr>
          <w:rFonts w:ascii="Arial" w:hAnsi="Arial" w:cs="Arial"/>
          <w:i/>
          <w:sz w:val="22"/>
        </w:rPr>
        <w:t>Human Rights (Parliamentary Scrutiny) Act 2011</w:t>
      </w:r>
    </w:p>
    <w:p w14:paraId="2A168E8D" w14:textId="5CCDA806" w:rsidR="00910595" w:rsidRDefault="0076271C" w:rsidP="00CE6E8F">
      <w:pPr>
        <w:rPr>
          <w:rFonts w:ascii="Arial" w:hAnsi="Arial" w:cs="Arial"/>
          <w:i/>
          <w:sz w:val="22"/>
          <w:szCs w:val="22"/>
        </w:rPr>
      </w:pPr>
      <w:r w:rsidRPr="00CE6E8F">
        <w:rPr>
          <w:rFonts w:ascii="Arial" w:hAnsi="Arial" w:cs="Arial"/>
          <w:i/>
          <w:sz w:val="22"/>
          <w:szCs w:val="22"/>
        </w:rPr>
        <w:t>Legislation Act 2003</w:t>
      </w:r>
    </w:p>
    <w:p w14:paraId="2B0BC6F7" w14:textId="77777777" w:rsidR="008719D6" w:rsidRDefault="008719D6" w:rsidP="008719D6">
      <w:pPr>
        <w:rPr>
          <w:rFonts w:ascii="Arial" w:hAnsi="Arial" w:cs="Arial"/>
          <w:sz w:val="22"/>
          <w:szCs w:val="22"/>
        </w:rPr>
      </w:pPr>
      <w:r w:rsidRPr="005B2712">
        <w:rPr>
          <w:rFonts w:ascii="Arial" w:hAnsi="Arial" w:cs="Arial"/>
          <w:i/>
          <w:iCs/>
          <w:sz w:val="22"/>
          <w:szCs w:val="22"/>
        </w:rPr>
        <w:t>National Consumer Credit Protection Act 2009</w:t>
      </w:r>
    </w:p>
    <w:p w14:paraId="3121EBCB" w14:textId="77777777" w:rsidR="006D5780" w:rsidRDefault="006D5780" w:rsidP="00CE6E8F">
      <w:pPr>
        <w:rPr>
          <w:rFonts w:ascii="Arial" w:hAnsi="Arial" w:cs="Arial"/>
          <w:sz w:val="22"/>
          <w:szCs w:val="22"/>
        </w:rPr>
      </w:pPr>
      <w:r w:rsidRPr="00B00255">
        <w:rPr>
          <w:rFonts w:ascii="Arial" w:hAnsi="Arial" w:cs="Arial"/>
          <w:i/>
          <w:sz w:val="22"/>
          <w:szCs w:val="22"/>
        </w:rPr>
        <w:t>Parliamentary Services Act 1999</w:t>
      </w:r>
    </w:p>
    <w:p w14:paraId="385C3541" w14:textId="77777777" w:rsidR="006D5780" w:rsidRPr="00CE6E8F" w:rsidRDefault="006D5780" w:rsidP="006D5780">
      <w:pPr>
        <w:rPr>
          <w:rFonts w:ascii="Arial" w:hAnsi="Arial" w:cs="Arial"/>
          <w:i/>
          <w:sz w:val="22"/>
          <w:szCs w:val="22"/>
        </w:rPr>
      </w:pPr>
      <w:r w:rsidRPr="00917846">
        <w:rPr>
          <w:rFonts w:ascii="Arial" w:hAnsi="Arial" w:cs="Arial"/>
          <w:i/>
          <w:iCs/>
          <w:sz w:val="22"/>
          <w:szCs w:val="22"/>
        </w:rPr>
        <w:t>Public Governance, Performance and Accountability Act 2013</w:t>
      </w:r>
    </w:p>
    <w:p w14:paraId="3285A803" w14:textId="4DA77A47" w:rsidR="00D72A7B" w:rsidRDefault="006D5780">
      <w:pPr>
        <w:rPr>
          <w:rFonts w:ascii="Arial" w:hAnsi="Arial" w:cs="Arial"/>
          <w:i/>
          <w:sz w:val="22"/>
          <w:szCs w:val="22"/>
        </w:rPr>
      </w:pPr>
      <w:r w:rsidRPr="00B00255">
        <w:rPr>
          <w:rFonts w:ascii="Arial" w:hAnsi="Arial" w:cs="Arial"/>
          <w:i/>
          <w:sz w:val="22"/>
          <w:szCs w:val="22"/>
        </w:rPr>
        <w:t>Public Service Act 1999</w:t>
      </w:r>
    </w:p>
    <w:p w14:paraId="15AC1BA6" w14:textId="64BFF0CC" w:rsidR="00101CD5" w:rsidRDefault="00CE6E8F">
      <w:pPr>
        <w:rPr>
          <w:rFonts w:ascii="Arial" w:hAnsi="Arial" w:cs="Arial"/>
          <w:sz w:val="22"/>
          <w:szCs w:val="22"/>
        </w:rPr>
      </w:pPr>
      <w:r w:rsidRPr="00CE6E8F">
        <w:rPr>
          <w:rFonts w:ascii="Arial" w:hAnsi="Arial" w:cs="Arial"/>
          <w:i/>
          <w:iCs/>
          <w:sz w:val="22"/>
          <w:szCs w:val="22"/>
        </w:rPr>
        <w:t>Treasury Laws Amendment (Registries Modernisation and Other Measures) Act 2020</w:t>
      </w:r>
      <w:r w:rsidR="00101CD5">
        <w:rPr>
          <w:rFonts w:ascii="Arial" w:hAnsi="Arial" w:cs="Arial"/>
          <w:sz w:val="22"/>
          <w:szCs w:val="22"/>
        </w:rPr>
        <w:br w:type="page"/>
      </w:r>
    </w:p>
    <w:p w14:paraId="15AC1BAC" w14:textId="6B4B8273" w:rsidR="00333567" w:rsidRPr="007E0A01" w:rsidRDefault="00E53399" w:rsidP="00101CD5">
      <w:pPr>
        <w:pStyle w:val="Heading3"/>
        <w:spacing w:before="0" w:after="120"/>
        <w:jc w:val="center"/>
        <w:rPr>
          <w:sz w:val="24"/>
        </w:rPr>
      </w:pPr>
      <w:r w:rsidRPr="007E0A01">
        <w:rPr>
          <w:sz w:val="24"/>
        </w:rPr>
        <w:lastRenderedPageBreak/>
        <w:t xml:space="preserve">Statement of compatibility </w:t>
      </w:r>
      <w:r w:rsidR="00C11D03" w:rsidRPr="007E0A01">
        <w:rPr>
          <w:sz w:val="24"/>
        </w:rPr>
        <w:t>with Human Rights</w:t>
      </w:r>
    </w:p>
    <w:p w14:paraId="15AC1BAD" w14:textId="2333874B" w:rsidR="00E53399" w:rsidRPr="007E0A01" w:rsidRDefault="004F5EB1" w:rsidP="00101CD5">
      <w:pPr>
        <w:pStyle w:val="Heading3"/>
        <w:spacing w:before="0" w:after="120"/>
        <w:rPr>
          <w:sz w:val="24"/>
        </w:rPr>
      </w:pPr>
      <w:r w:rsidRPr="007E0A01">
        <w:rPr>
          <w:b w:val="0"/>
          <w:sz w:val="22"/>
          <w:szCs w:val="20"/>
        </w:rPr>
        <w:t>P</w:t>
      </w:r>
      <w:r w:rsidR="00E53399" w:rsidRPr="007E0A01">
        <w:rPr>
          <w:b w:val="0"/>
          <w:sz w:val="22"/>
          <w:szCs w:val="20"/>
        </w:rPr>
        <w:t xml:space="preserve">repared in accordance with Part 3 of the </w:t>
      </w:r>
      <w:r w:rsidR="00E53399" w:rsidRPr="007E0A01">
        <w:rPr>
          <w:b w:val="0"/>
          <w:i/>
          <w:sz w:val="22"/>
          <w:szCs w:val="20"/>
        </w:rPr>
        <w:t>Human Rights (Parliamentary Scrutiny) Act 2011</w:t>
      </w:r>
    </w:p>
    <w:p w14:paraId="15AC1BAE" w14:textId="68DA81E7" w:rsidR="00D77015" w:rsidRPr="00101CD5" w:rsidRDefault="00D77015" w:rsidP="00101CD5">
      <w:pPr>
        <w:spacing w:after="120"/>
        <w:rPr>
          <w:rFonts w:ascii="Arial" w:hAnsi="Arial" w:cs="Arial"/>
          <w:sz w:val="22"/>
          <w:szCs w:val="22"/>
        </w:rPr>
      </w:pPr>
    </w:p>
    <w:p w14:paraId="15AC1BAF" w14:textId="788E3775" w:rsidR="002A26FE" w:rsidRPr="0068079B" w:rsidRDefault="0068079B" w:rsidP="00101CD5">
      <w:pPr>
        <w:pStyle w:val="Heading2"/>
        <w:jc w:val="center"/>
      </w:pPr>
      <w:r w:rsidRPr="0068079B">
        <w:t>Corporations (Director Identification Number) Disclosure Framework (PGPA Bodies</w:t>
      </w:r>
      <w:r w:rsidR="005962A8">
        <w:t>, courts and tribunals</w:t>
      </w:r>
      <w:r w:rsidRPr="0068079B">
        <w:t>) 2021</w:t>
      </w:r>
    </w:p>
    <w:p w14:paraId="54F9AC2D" w14:textId="0DAEA147" w:rsidR="009371D0" w:rsidRPr="001A1C08" w:rsidRDefault="00075B58" w:rsidP="00101CD5">
      <w:pPr>
        <w:autoSpaceDE w:val="0"/>
        <w:autoSpaceDN w:val="0"/>
        <w:adjustRightInd w:val="0"/>
        <w:spacing w:after="120"/>
        <w:rPr>
          <w:rFonts w:ascii="Arial" w:hAnsi="Arial" w:cs="Arial"/>
          <w:color w:val="000000"/>
          <w:sz w:val="22"/>
          <w:szCs w:val="22"/>
        </w:rPr>
      </w:pPr>
      <w:r w:rsidRPr="007E0A01">
        <w:rPr>
          <w:rFonts w:ascii="Arial" w:hAnsi="Arial" w:cs="Arial"/>
          <w:color w:val="000000"/>
          <w:sz w:val="22"/>
        </w:rPr>
        <w:t xml:space="preserve">This </w:t>
      </w:r>
      <w:r w:rsidRPr="00526BFE">
        <w:rPr>
          <w:rFonts w:ascii="Arial" w:hAnsi="Arial" w:cs="Arial"/>
          <w:color w:val="000000"/>
          <w:sz w:val="22"/>
          <w:szCs w:val="22"/>
        </w:rPr>
        <w:t xml:space="preserve">Legislative Instrument is compatible with the human rights and freedoms recognised or declared in the international instruments listed in section 3 of the </w:t>
      </w:r>
      <w:r w:rsidRPr="00526BFE">
        <w:rPr>
          <w:rFonts w:ascii="Arial" w:hAnsi="Arial" w:cs="Arial"/>
          <w:i/>
          <w:color w:val="000000"/>
          <w:sz w:val="22"/>
          <w:szCs w:val="22"/>
        </w:rPr>
        <w:t>Human Righ</w:t>
      </w:r>
      <w:r w:rsidR="00101CD5" w:rsidRPr="00526BFE">
        <w:rPr>
          <w:rFonts w:ascii="Arial" w:hAnsi="Arial" w:cs="Arial"/>
          <w:i/>
          <w:color w:val="000000"/>
          <w:sz w:val="22"/>
          <w:szCs w:val="22"/>
        </w:rPr>
        <w:t>ts (Parliamentary Scrutiny) Act </w:t>
      </w:r>
      <w:r w:rsidRPr="001A1C08">
        <w:rPr>
          <w:rFonts w:ascii="Arial" w:hAnsi="Arial" w:cs="Arial"/>
          <w:i/>
          <w:color w:val="000000"/>
          <w:sz w:val="22"/>
          <w:szCs w:val="22"/>
        </w:rPr>
        <w:t>2011.</w:t>
      </w:r>
    </w:p>
    <w:p w14:paraId="15AC1BB2" w14:textId="6553A54F" w:rsidR="00075B58" w:rsidRPr="00C5648F" w:rsidRDefault="00075B58" w:rsidP="00101CD5">
      <w:pPr>
        <w:spacing w:after="120"/>
        <w:rPr>
          <w:rFonts w:ascii="Arial" w:hAnsi="Arial" w:cs="Arial"/>
          <w:sz w:val="22"/>
          <w:szCs w:val="22"/>
        </w:rPr>
      </w:pPr>
    </w:p>
    <w:p w14:paraId="3FBABF72" w14:textId="77777777" w:rsidR="00E70245" w:rsidRPr="0067323A" w:rsidRDefault="00E70245" w:rsidP="00E70245">
      <w:pPr>
        <w:autoSpaceDE w:val="0"/>
        <w:autoSpaceDN w:val="0"/>
        <w:rPr>
          <w:rFonts w:ascii="Arial" w:hAnsi="Arial" w:cs="Arial"/>
          <w:b/>
          <w:bCs/>
          <w:sz w:val="22"/>
          <w:szCs w:val="22"/>
        </w:rPr>
      </w:pPr>
      <w:r w:rsidRPr="0067323A">
        <w:rPr>
          <w:rFonts w:ascii="Arial" w:hAnsi="Arial" w:cs="Arial"/>
          <w:b/>
          <w:bCs/>
          <w:sz w:val="22"/>
          <w:szCs w:val="22"/>
        </w:rPr>
        <w:t>Overview of the Legislative Instrument</w:t>
      </w:r>
    </w:p>
    <w:p w14:paraId="7A4F3E65" w14:textId="77777777" w:rsidR="00E70245" w:rsidRPr="0067323A" w:rsidRDefault="00E70245" w:rsidP="00E70245">
      <w:pPr>
        <w:autoSpaceDE w:val="0"/>
        <w:autoSpaceDN w:val="0"/>
        <w:rPr>
          <w:rFonts w:ascii="Arial" w:hAnsi="Arial" w:cs="Arial"/>
          <w:sz w:val="22"/>
          <w:szCs w:val="22"/>
        </w:rPr>
      </w:pPr>
    </w:p>
    <w:p w14:paraId="2E5C7062" w14:textId="77777777" w:rsidR="00AF655F" w:rsidRDefault="00A56FA3" w:rsidP="00AF655F">
      <w:pPr>
        <w:spacing w:after="120"/>
        <w:rPr>
          <w:rFonts w:ascii="Arial" w:hAnsi="Arial" w:cs="Arial"/>
          <w:color w:val="000000"/>
          <w:sz w:val="22"/>
          <w:szCs w:val="22"/>
        </w:rPr>
      </w:pPr>
      <w:r w:rsidRPr="00E3090D">
        <w:rPr>
          <w:rFonts w:ascii="Arial" w:hAnsi="Arial" w:cs="Arial"/>
          <w:sz w:val="22"/>
          <w:szCs w:val="22"/>
        </w:rPr>
        <w:t xml:space="preserve">The introduction of a </w:t>
      </w:r>
      <w:r>
        <w:rPr>
          <w:rFonts w:ascii="Arial" w:hAnsi="Arial" w:cs="Arial"/>
          <w:sz w:val="22"/>
          <w:szCs w:val="22"/>
        </w:rPr>
        <w:t>director ID</w:t>
      </w:r>
      <w:r w:rsidRPr="00E3090D">
        <w:rPr>
          <w:rFonts w:ascii="Arial" w:hAnsi="Arial" w:cs="Arial"/>
          <w:sz w:val="22"/>
          <w:szCs w:val="22"/>
        </w:rPr>
        <w:t xml:space="preserve"> requirement is </w:t>
      </w:r>
      <w:r>
        <w:rPr>
          <w:rFonts w:ascii="Arial" w:hAnsi="Arial" w:cs="Arial"/>
          <w:sz w:val="22"/>
          <w:szCs w:val="22"/>
        </w:rPr>
        <w:t>a</w:t>
      </w:r>
      <w:r w:rsidRPr="00E3090D">
        <w:rPr>
          <w:rFonts w:ascii="Arial" w:hAnsi="Arial" w:cs="Arial"/>
          <w:sz w:val="22"/>
          <w:szCs w:val="22"/>
        </w:rPr>
        <w:t xml:space="preserve"> Commonwealth Government initiative to promote good corporate conduct, and to deter and penalise illegal </w:t>
      </w:r>
      <w:proofErr w:type="spellStart"/>
      <w:r w:rsidRPr="00E3090D">
        <w:rPr>
          <w:rFonts w:ascii="Arial" w:hAnsi="Arial" w:cs="Arial"/>
          <w:sz w:val="22"/>
          <w:szCs w:val="22"/>
        </w:rPr>
        <w:t>phoenix</w:t>
      </w:r>
      <w:r>
        <w:rPr>
          <w:rFonts w:ascii="Arial" w:hAnsi="Arial" w:cs="Arial"/>
          <w:sz w:val="22"/>
          <w:szCs w:val="22"/>
        </w:rPr>
        <w:t>ing</w:t>
      </w:r>
      <w:proofErr w:type="spellEnd"/>
      <w:r w:rsidRPr="00E3090D">
        <w:rPr>
          <w:rFonts w:ascii="Arial" w:hAnsi="Arial" w:cs="Arial"/>
          <w:sz w:val="22"/>
          <w:szCs w:val="22"/>
        </w:rPr>
        <w:t xml:space="preserve"> in order to protect those who are negatively affected by such fraudulent behaviour.</w:t>
      </w:r>
      <w:r>
        <w:rPr>
          <w:rFonts w:ascii="Arial" w:hAnsi="Arial" w:cs="Arial"/>
          <w:sz w:val="22"/>
          <w:szCs w:val="22"/>
        </w:rPr>
        <w:t xml:space="preserve"> </w:t>
      </w:r>
      <w:r w:rsidRPr="00B564B0">
        <w:rPr>
          <w:rFonts w:ascii="Arial" w:hAnsi="Arial" w:cs="Arial"/>
          <w:color w:val="000000"/>
          <w:sz w:val="22"/>
          <w:szCs w:val="22"/>
        </w:rPr>
        <w:t xml:space="preserve">The </w:t>
      </w:r>
      <w:r>
        <w:rPr>
          <w:rFonts w:ascii="Arial" w:hAnsi="Arial" w:cs="Arial"/>
          <w:color w:val="000000"/>
          <w:sz w:val="22"/>
          <w:szCs w:val="22"/>
        </w:rPr>
        <w:t>director ID</w:t>
      </w:r>
      <w:r w:rsidRPr="00B564B0">
        <w:rPr>
          <w:rFonts w:ascii="Arial" w:hAnsi="Arial" w:cs="Arial"/>
          <w:color w:val="000000"/>
          <w:sz w:val="22"/>
          <w:szCs w:val="22"/>
        </w:rPr>
        <w:t xml:space="preserve"> will require all directors to confirm their identity and it will be a unique identifier for each individual who consents to being appointed a director.</w:t>
      </w:r>
    </w:p>
    <w:p w14:paraId="0535AF75" w14:textId="2ADC24FC" w:rsidR="00A56FA3" w:rsidRPr="0067323A" w:rsidRDefault="00A56FA3" w:rsidP="00A56FA3">
      <w:pPr>
        <w:autoSpaceDE w:val="0"/>
        <w:autoSpaceDN w:val="0"/>
        <w:rPr>
          <w:rFonts w:ascii="Arial" w:hAnsi="Arial" w:cs="Arial"/>
          <w:sz w:val="22"/>
          <w:szCs w:val="22"/>
        </w:rPr>
      </w:pPr>
      <w:r w:rsidRPr="00760450">
        <w:rPr>
          <w:rFonts w:ascii="Arial" w:hAnsi="Arial" w:cs="Arial"/>
          <w:color w:val="000000"/>
          <w:sz w:val="22"/>
          <w:szCs w:val="22"/>
        </w:rPr>
        <w:t>The law authorises disclosure of protected information</w:t>
      </w:r>
      <w:r>
        <w:rPr>
          <w:rFonts w:ascii="Arial" w:hAnsi="Arial" w:cs="Arial"/>
          <w:color w:val="000000"/>
          <w:sz w:val="22"/>
          <w:szCs w:val="22"/>
        </w:rPr>
        <w:t xml:space="preserve"> (Director </w:t>
      </w:r>
      <w:r w:rsidR="00B4448B">
        <w:rPr>
          <w:rFonts w:ascii="Arial" w:hAnsi="Arial" w:cs="Arial"/>
          <w:color w:val="000000"/>
          <w:sz w:val="22"/>
          <w:szCs w:val="22"/>
        </w:rPr>
        <w:t>ID</w:t>
      </w:r>
      <w:r>
        <w:rPr>
          <w:rFonts w:ascii="Arial" w:hAnsi="Arial" w:cs="Arial"/>
          <w:color w:val="000000"/>
          <w:sz w:val="22"/>
          <w:szCs w:val="22"/>
        </w:rPr>
        <w:t xml:space="preserve"> information)</w:t>
      </w:r>
      <w:r w:rsidRPr="00760450">
        <w:rPr>
          <w:rFonts w:ascii="Arial" w:hAnsi="Arial" w:cs="Arial"/>
          <w:color w:val="000000"/>
          <w:sz w:val="22"/>
          <w:szCs w:val="22"/>
        </w:rPr>
        <w:t xml:space="preserve"> to a government entity in relation to the performance or exercise of its functions or powers.</w:t>
      </w:r>
      <w:r w:rsidR="004C50E3">
        <w:rPr>
          <w:rFonts w:ascii="Arial" w:hAnsi="Arial" w:cs="Arial"/>
          <w:color w:val="000000"/>
          <w:sz w:val="22"/>
          <w:szCs w:val="22"/>
        </w:rPr>
        <w:t xml:space="preserve"> </w:t>
      </w:r>
      <w:r w:rsidRPr="00543449">
        <w:rPr>
          <w:rFonts w:ascii="Arial" w:hAnsi="Arial" w:cs="Arial"/>
          <w:color w:val="000000"/>
          <w:sz w:val="22"/>
          <w:szCs w:val="22"/>
        </w:rPr>
        <w:t xml:space="preserve">However, there are </w:t>
      </w:r>
      <w:r w:rsidRPr="00F14392">
        <w:rPr>
          <w:rFonts w:ascii="Arial" w:hAnsi="Arial"/>
          <w:color w:val="000000"/>
          <w:sz w:val="22"/>
        </w:rPr>
        <w:t xml:space="preserve">bodies </w:t>
      </w:r>
      <w:r w:rsidRPr="00543449">
        <w:rPr>
          <w:rFonts w:ascii="Arial" w:hAnsi="Arial" w:cs="Arial"/>
          <w:color w:val="000000"/>
          <w:sz w:val="22"/>
          <w:szCs w:val="22"/>
        </w:rPr>
        <w:t xml:space="preserve">that are part of the workings of government, and to which the </w:t>
      </w:r>
      <w:r w:rsidRPr="00543449">
        <w:rPr>
          <w:rFonts w:ascii="Arial" w:hAnsi="Arial" w:cs="Arial"/>
          <w:i/>
          <w:iCs/>
          <w:color w:val="000000"/>
          <w:sz w:val="22"/>
          <w:szCs w:val="22"/>
        </w:rPr>
        <w:t>Public Governance, Performance and Accountability Act 2013</w:t>
      </w:r>
      <w:r w:rsidRPr="00543449">
        <w:rPr>
          <w:rFonts w:ascii="Arial" w:hAnsi="Arial" w:cs="Arial"/>
          <w:color w:val="000000"/>
          <w:sz w:val="22"/>
          <w:szCs w:val="22"/>
        </w:rPr>
        <w:t xml:space="preserve"> (PGPA Act) applies, which </w:t>
      </w:r>
      <w:r w:rsidRPr="00F14392">
        <w:rPr>
          <w:rFonts w:ascii="Arial" w:hAnsi="Arial"/>
          <w:color w:val="000000"/>
          <w:sz w:val="22"/>
        </w:rPr>
        <w:t xml:space="preserve">do not fall within the </w:t>
      </w:r>
      <w:r w:rsidRPr="00543449">
        <w:rPr>
          <w:rFonts w:ascii="Arial" w:hAnsi="Arial" w:cs="Arial"/>
          <w:color w:val="000000"/>
          <w:sz w:val="22"/>
          <w:szCs w:val="22"/>
        </w:rPr>
        <w:t>meaning</w:t>
      </w:r>
      <w:r w:rsidRPr="00F14392">
        <w:rPr>
          <w:rFonts w:ascii="Arial" w:hAnsi="Arial"/>
          <w:color w:val="000000"/>
          <w:sz w:val="22"/>
        </w:rPr>
        <w:t xml:space="preserve"> of government entity</w:t>
      </w:r>
      <w:r w:rsidR="00F37F9C">
        <w:rPr>
          <w:rFonts w:ascii="Arial" w:hAnsi="Arial"/>
          <w:color w:val="000000"/>
          <w:sz w:val="22"/>
        </w:rPr>
        <w:t xml:space="preserve"> </w:t>
      </w:r>
    </w:p>
    <w:p w14:paraId="1122A411" w14:textId="77777777" w:rsidR="00A56FA3" w:rsidRDefault="00A56FA3" w:rsidP="00A56FA3">
      <w:pPr>
        <w:autoSpaceDE w:val="0"/>
        <w:autoSpaceDN w:val="0"/>
        <w:rPr>
          <w:rFonts w:ascii="Arial" w:hAnsi="Arial" w:cs="Arial"/>
          <w:color w:val="000000"/>
          <w:sz w:val="22"/>
          <w:szCs w:val="22"/>
        </w:rPr>
      </w:pPr>
    </w:p>
    <w:p w14:paraId="7D46E039" w14:textId="7916E2E0" w:rsidR="00AF655F" w:rsidRDefault="00A56FA3" w:rsidP="00AF655F">
      <w:pPr>
        <w:autoSpaceDE w:val="0"/>
        <w:autoSpaceDN w:val="0"/>
        <w:rPr>
          <w:rFonts w:ascii="Arial" w:hAnsi="Arial" w:cs="Arial"/>
          <w:sz w:val="22"/>
          <w:szCs w:val="22"/>
        </w:rPr>
      </w:pPr>
      <w:r>
        <w:rPr>
          <w:rFonts w:ascii="Arial" w:hAnsi="Arial" w:cs="Arial"/>
          <w:color w:val="000000"/>
          <w:sz w:val="22"/>
          <w:szCs w:val="22"/>
        </w:rPr>
        <w:t xml:space="preserve">This instrument provides for the disclosure of </w:t>
      </w:r>
      <w:r w:rsidR="00D65576">
        <w:rPr>
          <w:rFonts w:ascii="Arial" w:hAnsi="Arial" w:cs="Arial"/>
          <w:color w:val="000000"/>
          <w:sz w:val="22"/>
          <w:szCs w:val="22"/>
        </w:rPr>
        <w:t xml:space="preserve">Director ID </w:t>
      </w:r>
      <w:r>
        <w:rPr>
          <w:rFonts w:ascii="Arial" w:hAnsi="Arial" w:cs="Arial"/>
          <w:color w:val="000000"/>
          <w:sz w:val="22"/>
          <w:szCs w:val="22"/>
        </w:rPr>
        <w:t xml:space="preserve">information to </w:t>
      </w:r>
      <w:r w:rsidR="004C50E3">
        <w:rPr>
          <w:rFonts w:ascii="Arial" w:hAnsi="Arial" w:cs="Arial"/>
          <w:sz w:val="22"/>
          <w:szCs w:val="22"/>
        </w:rPr>
        <w:t xml:space="preserve">PGPA </w:t>
      </w:r>
      <w:r>
        <w:rPr>
          <w:rFonts w:ascii="Arial" w:hAnsi="Arial" w:cs="Arial"/>
          <w:color w:val="000000"/>
          <w:sz w:val="22"/>
          <w:szCs w:val="22"/>
        </w:rPr>
        <w:t>bodies</w:t>
      </w:r>
      <w:r w:rsidR="00D65576">
        <w:rPr>
          <w:rFonts w:ascii="Arial" w:hAnsi="Arial" w:cs="Arial"/>
          <w:color w:val="000000"/>
          <w:sz w:val="22"/>
          <w:szCs w:val="22"/>
        </w:rPr>
        <w:t xml:space="preserve">, courts and </w:t>
      </w:r>
      <w:r w:rsidR="00B4448B">
        <w:rPr>
          <w:rFonts w:ascii="Arial" w:hAnsi="Arial" w:cs="Arial"/>
          <w:color w:val="000000"/>
          <w:sz w:val="22"/>
          <w:szCs w:val="22"/>
        </w:rPr>
        <w:t>tribunals</w:t>
      </w:r>
      <w:r>
        <w:rPr>
          <w:rFonts w:ascii="Arial" w:hAnsi="Arial" w:cs="Arial"/>
          <w:color w:val="000000"/>
          <w:sz w:val="22"/>
          <w:szCs w:val="22"/>
        </w:rPr>
        <w:t xml:space="preserve"> in the same wa</w:t>
      </w:r>
      <w:r w:rsidR="000A28BE">
        <w:rPr>
          <w:rFonts w:ascii="Arial" w:hAnsi="Arial" w:cs="Arial"/>
          <w:color w:val="000000"/>
          <w:sz w:val="22"/>
          <w:szCs w:val="22"/>
        </w:rPr>
        <w:t>y</w:t>
      </w:r>
      <w:r>
        <w:rPr>
          <w:rFonts w:ascii="Arial" w:hAnsi="Arial" w:cs="Arial"/>
          <w:color w:val="000000"/>
          <w:sz w:val="22"/>
          <w:szCs w:val="22"/>
        </w:rPr>
        <w:t xml:space="preserve"> as </w:t>
      </w:r>
      <w:r w:rsidR="00D65576">
        <w:rPr>
          <w:rFonts w:ascii="Arial" w:hAnsi="Arial" w:cs="Arial"/>
          <w:color w:val="000000"/>
          <w:sz w:val="22"/>
          <w:szCs w:val="22"/>
        </w:rPr>
        <w:t xml:space="preserve">director ID </w:t>
      </w:r>
      <w:r w:rsidR="000A28BE">
        <w:rPr>
          <w:rFonts w:ascii="Arial" w:hAnsi="Arial" w:cs="Arial"/>
          <w:color w:val="000000"/>
          <w:sz w:val="22"/>
          <w:szCs w:val="22"/>
        </w:rPr>
        <w:t xml:space="preserve">information is disclosed to </w:t>
      </w:r>
      <w:r>
        <w:rPr>
          <w:rFonts w:ascii="Arial" w:hAnsi="Arial" w:cs="Arial"/>
          <w:color w:val="000000"/>
          <w:sz w:val="22"/>
          <w:szCs w:val="22"/>
        </w:rPr>
        <w:t>government entities.</w:t>
      </w:r>
      <w:r w:rsidR="004C50E3">
        <w:rPr>
          <w:rFonts w:ascii="Arial" w:hAnsi="Arial" w:cs="Arial"/>
          <w:color w:val="000000"/>
          <w:sz w:val="22"/>
          <w:szCs w:val="22"/>
        </w:rPr>
        <w:t xml:space="preserve"> </w:t>
      </w:r>
      <w:r w:rsidR="00AF655F" w:rsidRPr="0067323A">
        <w:rPr>
          <w:rFonts w:ascii="Arial" w:hAnsi="Arial" w:cs="Arial"/>
          <w:sz w:val="22"/>
          <w:szCs w:val="22"/>
        </w:rPr>
        <w:t>It is appropriate to ensure that relevant PGPA bodies</w:t>
      </w:r>
      <w:r w:rsidR="00D65576">
        <w:rPr>
          <w:rFonts w:ascii="Arial" w:hAnsi="Arial" w:cs="Arial"/>
          <w:sz w:val="22"/>
          <w:szCs w:val="22"/>
        </w:rPr>
        <w:t>, courts and tribunals</w:t>
      </w:r>
      <w:r w:rsidR="00AF655F" w:rsidRPr="0067323A">
        <w:rPr>
          <w:rFonts w:ascii="Arial" w:hAnsi="Arial" w:cs="Arial"/>
          <w:sz w:val="22"/>
          <w:szCs w:val="22"/>
        </w:rPr>
        <w:t xml:space="preserve"> have access to the </w:t>
      </w:r>
      <w:r w:rsidR="00D65576">
        <w:rPr>
          <w:rFonts w:ascii="Arial" w:hAnsi="Arial" w:cs="Arial"/>
          <w:sz w:val="22"/>
          <w:szCs w:val="22"/>
        </w:rPr>
        <w:t>director ID</w:t>
      </w:r>
      <w:r w:rsidR="00AF655F" w:rsidRPr="0067323A">
        <w:rPr>
          <w:rFonts w:ascii="Arial" w:hAnsi="Arial" w:cs="Arial"/>
          <w:sz w:val="22"/>
          <w:szCs w:val="22"/>
        </w:rPr>
        <w:t xml:space="preserve"> information they require in order to exercise their functions or powers. This </w:t>
      </w:r>
      <w:r w:rsidR="00D65576">
        <w:rPr>
          <w:rFonts w:ascii="Arial" w:hAnsi="Arial" w:cs="Arial"/>
          <w:sz w:val="22"/>
          <w:szCs w:val="22"/>
        </w:rPr>
        <w:t>instrument</w:t>
      </w:r>
      <w:r w:rsidR="00AF655F" w:rsidRPr="0067323A">
        <w:rPr>
          <w:rFonts w:ascii="Arial" w:hAnsi="Arial" w:cs="Arial"/>
          <w:sz w:val="22"/>
          <w:szCs w:val="22"/>
        </w:rPr>
        <w:t xml:space="preserve"> provides the discretion to</w:t>
      </w:r>
      <w:r w:rsidR="00D65576">
        <w:rPr>
          <w:rFonts w:ascii="Arial" w:hAnsi="Arial" w:cs="Arial"/>
          <w:sz w:val="22"/>
          <w:szCs w:val="22"/>
        </w:rPr>
        <w:t xml:space="preserve"> disclose</w:t>
      </w:r>
      <w:r w:rsidR="00AF655F" w:rsidRPr="0067323A">
        <w:rPr>
          <w:rFonts w:ascii="Arial" w:hAnsi="Arial" w:cs="Arial"/>
          <w:sz w:val="22"/>
          <w:szCs w:val="22"/>
        </w:rPr>
        <w:t xml:space="preserve"> </w:t>
      </w:r>
      <w:r w:rsidR="002057B2">
        <w:rPr>
          <w:rFonts w:ascii="Arial" w:hAnsi="Arial" w:cs="Arial"/>
          <w:sz w:val="22"/>
          <w:szCs w:val="22"/>
        </w:rPr>
        <w:t>director ID</w:t>
      </w:r>
      <w:r w:rsidR="00AF655F" w:rsidRPr="0067323A">
        <w:rPr>
          <w:rFonts w:ascii="Arial" w:hAnsi="Arial" w:cs="Arial"/>
          <w:sz w:val="22"/>
          <w:szCs w:val="22"/>
        </w:rPr>
        <w:t xml:space="preserve"> information with PGPA bodies</w:t>
      </w:r>
      <w:r w:rsidR="00D65576">
        <w:rPr>
          <w:rFonts w:ascii="Arial" w:hAnsi="Arial" w:cs="Arial"/>
          <w:sz w:val="22"/>
          <w:szCs w:val="22"/>
        </w:rPr>
        <w:t>, courts and tribunals</w:t>
      </w:r>
      <w:r w:rsidR="00AF655F" w:rsidRPr="0067323A">
        <w:rPr>
          <w:rFonts w:ascii="Arial" w:hAnsi="Arial" w:cs="Arial"/>
          <w:sz w:val="22"/>
          <w:szCs w:val="22"/>
        </w:rPr>
        <w:t xml:space="preserve">. </w:t>
      </w:r>
    </w:p>
    <w:p w14:paraId="0A909FD5" w14:textId="77777777" w:rsidR="00AF655F" w:rsidRPr="0067323A" w:rsidRDefault="00AF655F" w:rsidP="00AF655F">
      <w:pPr>
        <w:autoSpaceDE w:val="0"/>
        <w:autoSpaceDN w:val="0"/>
        <w:rPr>
          <w:rFonts w:ascii="Arial" w:hAnsi="Arial" w:cs="Arial"/>
          <w:sz w:val="22"/>
          <w:szCs w:val="22"/>
        </w:rPr>
      </w:pPr>
    </w:p>
    <w:p w14:paraId="07E10292" w14:textId="77777777" w:rsidR="004C50E3" w:rsidRPr="0067323A" w:rsidRDefault="004C50E3" w:rsidP="00E70245">
      <w:pPr>
        <w:autoSpaceDE w:val="0"/>
        <w:autoSpaceDN w:val="0"/>
        <w:rPr>
          <w:rFonts w:ascii="Arial" w:hAnsi="Arial" w:cs="Arial"/>
          <w:sz w:val="22"/>
          <w:szCs w:val="22"/>
        </w:rPr>
      </w:pPr>
    </w:p>
    <w:p w14:paraId="53D1E52D" w14:textId="265FE48D" w:rsidR="00E70245" w:rsidRDefault="00E70245" w:rsidP="00E70245">
      <w:pPr>
        <w:autoSpaceDE w:val="0"/>
        <w:autoSpaceDN w:val="0"/>
        <w:rPr>
          <w:rFonts w:ascii="Arial" w:hAnsi="Arial" w:cs="Arial"/>
          <w:b/>
          <w:bCs/>
          <w:sz w:val="22"/>
          <w:szCs w:val="22"/>
        </w:rPr>
      </w:pPr>
      <w:r w:rsidRPr="0067323A">
        <w:rPr>
          <w:rFonts w:ascii="Arial" w:hAnsi="Arial" w:cs="Arial"/>
          <w:b/>
          <w:bCs/>
          <w:sz w:val="22"/>
          <w:szCs w:val="22"/>
        </w:rPr>
        <w:t>Human rights implications</w:t>
      </w:r>
    </w:p>
    <w:p w14:paraId="47CFBBF4" w14:textId="77777777" w:rsidR="004C50E3" w:rsidRPr="0067323A" w:rsidRDefault="004C50E3" w:rsidP="00E70245">
      <w:pPr>
        <w:autoSpaceDE w:val="0"/>
        <w:autoSpaceDN w:val="0"/>
        <w:rPr>
          <w:rFonts w:ascii="Arial" w:hAnsi="Arial" w:cs="Arial"/>
          <w:b/>
          <w:bCs/>
          <w:sz w:val="22"/>
          <w:szCs w:val="22"/>
        </w:rPr>
      </w:pPr>
    </w:p>
    <w:p w14:paraId="434F31ED" w14:textId="77777777" w:rsidR="00082AB1" w:rsidRPr="00B564B0" w:rsidRDefault="00082AB1" w:rsidP="00082AB1">
      <w:pPr>
        <w:spacing w:before="240" w:after="120"/>
        <w:rPr>
          <w:rFonts w:ascii="Arial" w:hAnsi="Arial" w:cs="Arial"/>
          <w:i/>
          <w:sz w:val="22"/>
          <w:szCs w:val="22"/>
        </w:rPr>
      </w:pPr>
      <w:r w:rsidRPr="00B564B0">
        <w:rPr>
          <w:rFonts w:ascii="Arial" w:hAnsi="Arial" w:cs="Arial"/>
          <w:i/>
          <w:sz w:val="22"/>
          <w:szCs w:val="22"/>
        </w:rPr>
        <w:t>Engagement of the right to privacy</w:t>
      </w:r>
    </w:p>
    <w:p w14:paraId="503B1F3F" w14:textId="77777777" w:rsidR="00082AB1" w:rsidRPr="00B564B0" w:rsidRDefault="00082AB1" w:rsidP="00082AB1">
      <w:pPr>
        <w:spacing w:before="240" w:after="120"/>
        <w:rPr>
          <w:rFonts w:ascii="Arial" w:hAnsi="Arial" w:cs="Arial"/>
          <w:sz w:val="22"/>
          <w:szCs w:val="22"/>
        </w:rPr>
      </w:pPr>
      <w:r w:rsidRPr="00B564B0">
        <w:rPr>
          <w:rFonts w:ascii="Arial" w:hAnsi="Arial" w:cs="Arial"/>
          <w:sz w:val="22"/>
          <w:szCs w:val="22"/>
        </w:rPr>
        <w:t>Article 17 of the International Covenant on Civil and Political Rights provides that no one shall be subjected to arbitrary or unlawful interference with their privacy, family, home or correspondence, nor to unlawful attacks on their honour and reputation. The right to privacy is not an absolute right. In some circumstances, it must be weighed against the equally justified right of others and against matters that benefit society as whole.</w:t>
      </w:r>
    </w:p>
    <w:p w14:paraId="072A9F0A" w14:textId="77777777" w:rsidR="00082AB1" w:rsidRPr="00B564B0" w:rsidRDefault="00082AB1" w:rsidP="00082AB1">
      <w:pPr>
        <w:spacing w:after="120"/>
        <w:rPr>
          <w:rFonts w:ascii="Arial" w:hAnsi="Arial" w:cs="Arial"/>
          <w:color w:val="000000"/>
          <w:sz w:val="22"/>
          <w:szCs w:val="22"/>
        </w:rPr>
      </w:pPr>
      <w:r w:rsidRPr="00B564B0">
        <w:rPr>
          <w:rFonts w:ascii="Arial" w:hAnsi="Arial" w:cs="Arial"/>
          <w:sz w:val="22"/>
          <w:szCs w:val="22"/>
        </w:rPr>
        <w:t xml:space="preserve">The introduction of a </w:t>
      </w:r>
      <w:r>
        <w:rPr>
          <w:rFonts w:ascii="Arial" w:hAnsi="Arial" w:cs="Arial"/>
          <w:sz w:val="22"/>
          <w:szCs w:val="22"/>
        </w:rPr>
        <w:t>director ID</w:t>
      </w:r>
      <w:r w:rsidRPr="00B564B0">
        <w:rPr>
          <w:rFonts w:ascii="Arial" w:hAnsi="Arial" w:cs="Arial"/>
          <w:sz w:val="22"/>
          <w:szCs w:val="22"/>
        </w:rPr>
        <w:t xml:space="preserve"> requirement is one of the Commonwealth Government initiatives to promote good corporate conduct, and to deter and penalise illegal phoenix activity in order to protect those who are negatively affected by such fraudulent behaviour. </w:t>
      </w:r>
      <w:r w:rsidRPr="00B564B0">
        <w:rPr>
          <w:rFonts w:ascii="Arial" w:hAnsi="Arial" w:cs="Arial"/>
          <w:color w:val="000000"/>
          <w:sz w:val="22"/>
          <w:szCs w:val="22"/>
        </w:rPr>
        <w:t xml:space="preserve">The new </w:t>
      </w:r>
      <w:r>
        <w:rPr>
          <w:rFonts w:ascii="Arial" w:hAnsi="Arial" w:cs="Arial"/>
          <w:color w:val="000000"/>
          <w:sz w:val="22"/>
          <w:szCs w:val="22"/>
        </w:rPr>
        <w:t>director ID</w:t>
      </w:r>
      <w:r w:rsidRPr="00B564B0">
        <w:rPr>
          <w:rFonts w:ascii="Arial" w:hAnsi="Arial" w:cs="Arial"/>
          <w:color w:val="000000"/>
          <w:sz w:val="22"/>
          <w:szCs w:val="22"/>
        </w:rPr>
        <w:t xml:space="preserve"> regime will also offer benefits beyond combating </w:t>
      </w:r>
      <w:r w:rsidRPr="00B564B0">
        <w:rPr>
          <w:rFonts w:ascii="Arial" w:hAnsi="Arial" w:cs="Arial"/>
          <w:sz w:val="22"/>
          <w:szCs w:val="22"/>
        </w:rPr>
        <w:t xml:space="preserve">illegal </w:t>
      </w:r>
      <w:proofErr w:type="spellStart"/>
      <w:r w:rsidRPr="00B564B0">
        <w:rPr>
          <w:rFonts w:ascii="Arial" w:hAnsi="Arial" w:cs="Arial"/>
          <w:color w:val="000000"/>
          <w:sz w:val="22"/>
          <w:szCs w:val="22"/>
        </w:rPr>
        <w:t>phoenixing</w:t>
      </w:r>
      <w:proofErr w:type="spellEnd"/>
      <w:r w:rsidRPr="00B564B0">
        <w:rPr>
          <w:rFonts w:ascii="Arial" w:hAnsi="Arial" w:cs="Arial"/>
          <w:color w:val="000000"/>
          <w:sz w:val="22"/>
          <w:szCs w:val="22"/>
        </w:rPr>
        <w:t>. For instance, simpler more effective tracking of individuals and their corporate history will reduce time and cost for administrators and liquidators, thereby improving the efficiency of the insolvency process. In addition, the new regime will improve data integrity and security. For example, it would be possible to allow individuals to be identified by a number rather than by other more personally identifiable information.</w:t>
      </w:r>
    </w:p>
    <w:p w14:paraId="0923EC5F" w14:textId="54EF9064" w:rsidR="00082AB1" w:rsidRPr="00B564B0" w:rsidRDefault="00082AB1" w:rsidP="00082AB1">
      <w:pPr>
        <w:spacing w:after="120"/>
        <w:rPr>
          <w:rFonts w:ascii="Arial" w:hAnsi="Arial" w:cs="Arial"/>
          <w:sz w:val="22"/>
          <w:szCs w:val="22"/>
        </w:rPr>
      </w:pPr>
      <w:r w:rsidRPr="00B564B0">
        <w:rPr>
          <w:rFonts w:ascii="Arial" w:hAnsi="Arial" w:cs="Arial"/>
          <w:sz w:val="22"/>
          <w:szCs w:val="22"/>
        </w:rPr>
        <w:lastRenderedPageBreak/>
        <w:t xml:space="preserve">The </w:t>
      </w:r>
      <w:r w:rsidR="00AE5C82">
        <w:rPr>
          <w:rFonts w:ascii="Arial" w:hAnsi="Arial" w:cs="Arial"/>
          <w:sz w:val="22"/>
          <w:szCs w:val="22"/>
        </w:rPr>
        <w:t xml:space="preserve">disclosure of </w:t>
      </w:r>
      <w:r>
        <w:rPr>
          <w:rFonts w:ascii="Arial" w:hAnsi="Arial" w:cs="Arial"/>
          <w:sz w:val="22"/>
          <w:szCs w:val="22"/>
        </w:rPr>
        <w:t>director ID</w:t>
      </w:r>
      <w:r w:rsidRPr="00B564B0">
        <w:rPr>
          <w:rFonts w:ascii="Arial" w:hAnsi="Arial" w:cs="Arial"/>
          <w:sz w:val="22"/>
          <w:szCs w:val="22"/>
        </w:rPr>
        <w:t xml:space="preserve"> </w:t>
      </w:r>
      <w:r w:rsidR="00AE5C82">
        <w:rPr>
          <w:rFonts w:ascii="Arial" w:hAnsi="Arial" w:cs="Arial"/>
          <w:sz w:val="22"/>
          <w:szCs w:val="22"/>
        </w:rPr>
        <w:t xml:space="preserve">information as authorised by this instrument </w:t>
      </w:r>
      <w:r w:rsidRPr="00B564B0">
        <w:rPr>
          <w:rFonts w:ascii="Arial" w:hAnsi="Arial" w:cs="Arial"/>
          <w:sz w:val="22"/>
          <w:szCs w:val="22"/>
        </w:rPr>
        <w:t>will engage the right to privacy because it provides for the disclosure of information</w:t>
      </w:r>
      <w:r w:rsidRPr="004C7DCE">
        <w:rPr>
          <w:rFonts w:ascii="Arial" w:hAnsi="Arial" w:cs="Arial"/>
          <w:sz w:val="22"/>
          <w:szCs w:val="22"/>
        </w:rPr>
        <w:t xml:space="preserve"> </w:t>
      </w:r>
      <w:r w:rsidRPr="00B564B0">
        <w:rPr>
          <w:rFonts w:ascii="Arial" w:hAnsi="Arial" w:cs="Arial"/>
          <w:sz w:val="22"/>
          <w:szCs w:val="22"/>
        </w:rPr>
        <w:t>includ</w:t>
      </w:r>
      <w:r>
        <w:rPr>
          <w:rFonts w:ascii="Arial" w:hAnsi="Arial" w:cs="Arial"/>
          <w:sz w:val="22"/>
          <w:szCs w:val="22"/>
        </w:rPr>
        <w:t xml:space="preserve">ing </w:t>
      </w:r>
      <w:r w:rsidRPr="00B564B0">
        <w:rPr>
          <w:rFonts w:ascii="Arial" w:hAnsi="Arial" w:cs="Arial"/>
          <w:sz w:val="22"/>
          <w:szCs w:val="22"/>
        </w:rPr>
        <w:t>personal information</w:t>
      </w:r>
      <w:r>
        <w:rPr>
          <w:rFonts w:ascii="Arial" w:hAnsi="Arial" w:cs="Arial"/>
          <w:sz w:val="22"/>
          <w:szCs w:val="22"/>
        </w:rPr>
        <w:t xml:space="preserve"> within the meaning of the </w:t>
      </w:r>
      <w:r w:rsidRPr="004C7DCE">
        <w:rPr>
          <w:rFonts w:ascii="Arial" w:hAnsi="Arial" w:cs="Arial"/>
          <w:i/>
          <w:iCs/>
          <w:sz w:val="22"/>
          <w:szCs w:val="22"/>
        </w:rPr>
        <w:t>Privacy Act 1988</w:t>
      </w:r>
      <w:r w:rsidRPr="00B564B0">
        <w:rPr>
          <w:rFonts w:ascii="Arial" w:hAnsi="Arial" w:cs="Arial"/>
          <w:sz w:val="22"/>
          <w:szCs w:val="22"/>
        </w:rPr>
        <w:t xml:space="preserve">. </w:t>
      </w:r>
    </w:p>
    <w:p w14:paraId="422FB2A8" w14:textId="264A5B9E" w:rsidR="00082AB1" w:rsidRPr="00B564B0" w:rsidRDefault="00082AB1" w:rsidP="00082AB1">
      <w:pPr>
        <w:spacing w:after="120"/>
        <w:rPr>
          <w:rFonts w:ascii="Arial" w:hAnsi="Arial" w:cs="Arial"/>
          <w:sz w:val="22"/>
          <w:szCs w:val="22"/>
        </w:rPr>
      </w:pPr>
      <w:r w:rsidRPr="00B564B0">
        <w:rPr>
          <w:rFonts w:ascii="Arial" w:hAnsi="Arial" w:cs="Arial"/>
          <w:sz w:val="22"/>
          <w:szCs w:val="22"/>
        </w:rPr>
        <w:t xml:space="preserve">To any extent to which the </w:t>
      </w:r>
      <w:r>
        <w:rPr>
          <w:rFonts w:ascii="Arial" w:hAnsi="Arial" w:cs="Arial"/>
          <w:sz w:val="22"/>
          <w:szCs w:val="22"/>
        </w:rPr>
        <w:t>disclosure</w:t>
      </w:r>
      <w:r w:rsidRPr="00B564B0">
        <w:rPr>
          <w:rFonts w:ascii="Arial" w:hAnsi="Arial" w:cs="Arial"/>
          <w:sz w:val="22"/>
          <w:szCs w:val="22"/>
        </w:rPr>
        <w:t xml:space="preserve"> of this information constitutes a limitation on the individual’s right to be protected from interference with their privacy, the limitation is justified because the </w:t>
      </w:r>
      <w:r>
        <w:rPr>
          <w:rFonts w:ascii="Arial" w:hAnsi="Arial" w:cs="Arial"/>
          <w:sz w:val="22"/>
          <w:szCs w:val="22"/>
        </w:rPr>
        <w:t>disclosure</w:t>
      </w:r>
      <w:r w:rsidRPr="00B564B0">
        <w:rPr>
          <w:rFonts w:ascii="Arial" w:hAnsi="Arial" w:cs="Arial"/>
          <w:sz w:val="22"/>
          <w:szCs w:val="22"/>
        </w:rPr>
        <w:t xml:space="preserve"> of information is in pursuit of the legitimate objective identified</w:t>
      </w:r>
      <w:r w:rsidRPr="00B564B0">
        <w:rPr>
          <w:rFonts w:ascii="Arial" w:hAnsi="Arial" w:cs="Arial"/>
          <w:color w:val="000000"/>
          <w:sz w:val="22"/>
          <w:szCs w:val="22"/>
        </w:rPr>
        <w:t xml:space="preserve"> and is rationally connected and proportionate to the objective sought, </w:t>
      </w:r>
      <w:r w:rsidR="00B4448B">
        <w:rPr>
          <w:rFonts w:ascii="Arial" w:hAnsi="Arial" w:cs="Arial"/>
          <w:color w:val="000000"/>
          <w:sz w:val="22"/>
          <w:szCs w:val="22"/>
        </w:rPr>
        <w:t>being</w:t>
      </w:r>
      <w:r w:rsidRPr="00B564B0">
        <w:rPr>
          <w:rFonts w:ascii="Arial" w:hAnsi="Arial" w:cs="Arial"/>
          <w:color w:val="000000"/>
          <w:sz w:val="22"/>
          <w:szCs w:val="22"/>
        </w:rPr>
        <w:t xml:space="preserve"> </w:t>
      </w:r>
      <w:proofErr w:type="gramStart"/>
      <w:r w:rsidRPr="00B564B0">
        <w:rPr>
          <w:rFonts w:ascii="Arial" w:hAnsi="Arial" w:cs="Arial"/>
          <w:color w:val="000000"/>
          <w:sz w:val="22"/>
          <w:szCs w:val="22"/>
        </w:rPr>
        <w:t xml:space="preserve">the </w:t>
      </w:r>
      <w:r w:rsidR="00B4448B">
        <w:rPr>
          <w:rFonts w:ascii="Arial" w:hAnsi="Arial" w:cs="Arial"/>
          <w:color w:val="000000"/>
          <w:sz w:val="22"/>
          <w:szCs w:val="22"/>
        </w:rPr>
        <w:t xml:space="preserve"> administration</w:t>
      </w:r>
      <w:proofErr w:type="gramEnd"/>
      <w:r w:rsidR="00B4448B">
        <w:rPr>
          <w:rFonts w:ascii="Arial" w:hAnsi="Arial" w:cs="Arial"/>
          <w:color w:val="000000"/>
          <w:sz w:val="22"/>
          <w:szCs w:val="22"/>
        </w:rPr>
        <w:t xml:space="preserve"> of the </w:t>
      </w:r>
      <w:r>
        <w:rPr>
          <w:rFonts w:ascii="Arial" w:hAnsi="Arial" w:cs="Arial"/>
          <w:color w:val="000000"/>
          <w:sz w:val="22"/>
          <w:szCs w:val="22"/>
        </w:rPr>
        <w:t>director ID</w:t>
      </w:r>
      <w:r w:rsidRPr="00B564B0">
        <w:rPr>
          <w:rFonts w:ascii="Arial" w:hAnsi="Arial" w:cs="Arial"/>
          <w:color w:val="000000"/>
          <w:sz w:val="22"/>
          <w:szCs w:val="22"/>
        </w:rPr>
        <w:t xml:space="preserve"> regime </w:t>
      </w:r>
      <w:r w:rsidR="00B4448B">
        <w:rPr>
          <w:rFonts w:ascii="Arial" w:hAnsi="Arial" w:cs="Arial"/>
          <w:color w:val="000000"/>
          <w:sz w:val="22"/>
          <w:szCs w:val="22"/>
        </w:rPr>
        <w:t>and the functioning of government</w:t>
      </w:r>
      <w:r w:rsidRPr="00B564B0">
        <w:rPr>
          <w:rFonts w:ascii="Arial" w:hAnsi="Arial" w:cs="Arial"/>
          <w:color w:val="000000"/>
          <w:sz w:val="22"/>
          <w:szCs w:val="22"/>
        </w:rPr>
        <w:t xml:space="preserve">. </w:t>
      </w:r>
    </w:p>
    <w:p w14:paraId="1EE031B4" w14:textId="0DA995CB" w:rsidR="00082AB1" w:rsidRPr="00B564B0" w:rsidRDefault="00082AB1" w:rsidP="00082AB1">
      <w:pPr>
        <w:autoSpaceDE w:val="0"/>
        <w:autoSpaceDN w:val="0"/>
        <w:adjustRightInd w:val="0"/>
        <w:spacing w:after="160"/>
        <w:rPr>
          <w:rFonts w:ascii="Arial" w:hAnsi="Arial" w:cs="Arial"/>
          <w:sz w:val="22"/>
          <w:szCs w:val="22"/>
        </w:rPr>
      </w:pPr>
      <w:r w:rsidRPr="00B564B0">
        <w:rPr>
          <w:rFonts w:ascii="Arial" w:hAnsi="Arial" w:cs="Arial"/>
          <w:sz w:val="22"/>
          <w:szCs w:val="22"/>
        </w:rPr>
        <w:t xml:space="preserve">The </w:t>
      </w:r>
      <w:r w:rsidR="00AE5C82">
        <w:rPr>
          <w:rFonts w:ascii="Arial" w:hAnsi="Arial" w:cs="Arial"/>
          <w:sz w:val="22"/>
          <w:szCs w:val="22"/>
        </w:rPr>
        <w:t>instrument</w:t>
      </w:r>
      <w:r w:rsidRPr="00B564B0">
        <w:rPr>
          <w:rFonts w:ascii="Arial" w:hAnsi="Arial" w:cs="Arial"/>
          <w:sz w:val="22"/>
          <w:szCs w:val="22"/>
        </w:rPr>
        <w:t xml:space="preserve"> itself will be a disallowable instrument and therefore subject to proper Parliamentary oversight and the consultation requirements contained in the </w:t>
      </w:r>
      <w:r w:rsidRPr="00B564B0">
        <w:rPr>
          <w:rFonts w:ascii="Arial" w:hAnsi="Arial" w:cs="Arial"/>
          <w:i/>
          <w:iCs/>
          <w:sz w:val="22"/>
          <w:szCs w:val="22"/>
        </w:rPr>
        <w:t>Legislation Act 2003</w:t>
      </w:r>
      <w:r w:rsidRPr="00B564B0">
        <w:rPr>
          <w:rFonts w:ascii="Arial" w:hAnsi="Arial" w:cs="Arial"/>
          <w:sz w:val="22"/>
          <w:szCs w:val="22"/>
        </w:rPr>
        <w:t xml:space="preserve">. </w:t>
      </w:r>
    </w:p>
    <w:p w14:paraId="19DF7A78" w14:textId="1EE17CD2" w:rsidR="00082AB1" w:rsidRPr="00B564B0" w:rsidRDefault="00082AB1" w:rsidP="00082AB1">
      <w:pPr>
        <w:autoSpaceDE w:val="0"/>
        <w:autoSpaceDN w:val="0"/>
        <w:adjustRightInd w:val="0"/>
        <w:spacing w:before="120"/>
        <w:rPr>
          <w:rFonts w:ascii="Arial" w:hAnsi="Arial" w:cs="Arial"/>
          <w:color w:val="000000"/>
          <w:sz w:val="22"/>
          <w:szCs w:val="22"/>
        </w:rPr>
      </w:pPr>
      <w:r w:rsidRPr="00B564B0">
        <w:rPr>
          <w:rFonts w:ascii="Arial" w:hAnsi="Arial" w:cs="Arial"/>
          <w:color w:val="000000"/>
          <w:sz w:val="22"/>
          <w:szCs w:val="22"/>
        </w:rPr>
        <w:t>For these reasons, th</w:t>
      </w:r>
      <w:r w:rsidR="00AE5C82">
        <w:rPr>
          <w:rFonts w:ascii="Arial" w:hAnsi="Arial" w:cs="Arial"/>
          <w:color w:val="000000"/>
          <w:sz w:val="22"/>
          <w:szCs w:val="22"/>
        </w:rPr>
        <w:t>is instrument authorising the disclosure of director ID information to PGPA bodies, courts or tribunals</w:t>
      </w:r>
      <w:r w:rsidRPr="00B564B0">
        <w:rPr>
          <w:rFonts w:ascii="Arial" w:hAnsi="Arial" w:cs="Arial"/>
          <w:color w:val="000000"/>
          <w:sz w:val="22"/>
          <w:szCs w:val="22"/>
        </w:rPr>
        <w:t xml:space="preserve"> does not unnecessarily and unreasonably restrict an individual’s right to privacy. Information is only disclosed to the extent required to achieve the legitimate objective of administering the </w:t>
      </w:r>
      <w:r>
        <w:rPr>
          <w:rFonts w:ascii="Arial" w:hAnsi="Arial" w:cs="Arial"/>
          <w:color w:val="000000"/>
          <w:sz w:val="22"/>
          <w:szCs w:val="22"/>
        </w:rPr>
        <w:t>director ID</w:t>
      </w:r>
      <w:r w:rsidRPr="00B564B0">
        <w:rPr>
          <w:rFonts w:ascii="Arial" w:hAnsi="Arial" w:cs="Arial"/>
          <w:color w:val="000000"/>
          <w:sz w:val="22"/>
          <w:szCs w:val="22"/>
        </w:rPr>
        <w:t xml:space="preserve"> requirement</w:t>
      </w:r>
      <w:r w:rsidR="00AE5C82">
        <w:rPr>
          <w:rFonts w:ascii="Arial" w:hAnsi="Arial" w:cs="Arial"/>
          <w:color w:val="000000"/>
          <w:sz w:val="22"/>
          <w:szCs w:val="22"/>
        </w:rPr>
        <w:t xml:space="preserve"> or</w:t>
      </w:r>
      <w:r w:rsidR="00B4448B" w:rsidRPr="00B4448B">
        <w:rPr>
          <w:rFonts w:ascii="Arial" w:hAnsi="Arial" w:cs="Arial"/>
          <w:color w:val="000000"/>
          <w:sz w:val="22"/>
          <w:szCs w:val="22"/>
        </w:rPr>
        <w:t xml:space="preserve"> </w:t>
      </w:r>
      <w:r w:rsidR="00B4448B">
        <w:rPr>
          <w:rFonts w:ascii="Arial" w:hAnsi="Arial" w:cs="Arial"/>
          <w:color w:val="000000"/>
          <w:sz w:val="22"/>
          <w:szCs w:val="22"/>
        </w:rPr>
        <w:t>the functioning of government</w:t>
      </w:r>
      <w:r w:rsidRPr="00B564B0">
        <w:rPr>
          <w:rFonts w:ascii="Arial" w:hAnsi="Arial" w:cs="Arial"/>
          <w:color w:val="000000"/>
          <w:sz w:val="22"/>
          <w:szCs w:val="22"/>
        </w:rPr>
        <w:t>, with the limitation reasonable, necessary and proportionate.</w:t>
      </w:r>
    </w:p>
    <w:p w14:paraId="7B85FDC3" w14:textId="77777777" w:rsidR="00E70245" w:rsidRPr="0067323A" w:rsidRDefault="00E70245" w:rsidP="00E70245">
      <w:pPr>
        <w:autoSpaceDE w:val="0"/>
        <w:autoSpaceDN w:val="0"/>
        <w:rPr>
          <w:rFonts w:ascii="Arial" w:hAnsi="Arial" w:cs="Arial"/>
          <w:sz w:val="22"/>
          <w:szCs w:val="22"/>
        </w:rPr>
      </w:pPr>
    </w:p>
    <w:p w14:paraId="5E650AD0" w14:textId="77777777" w:rsidR="00E70245" w:rsidRPr="0067323A" w:rsidRDefault="00E70245" w:rsidP="00E70245">
      <w:pPr>
        <w:autoSpaceDE w:val="0"/>
        <w:autoSpaceDN w:val="0"/>
        <w:rPr>
          <w:rFonts w:ascii="Arial" w:hAnsi="Arial" w:cs="Arial"/>
          <w:b/>
          <w:bCs/>
          <w:sz w:val="22"/>
          <w:szCs w:val="22"/>
        </w:rPr>
      </w:pPr>
      <w:r w:rsidRPr="0067323A">
        <w:rPr>
          <w:rFonts w:ascii="Arial" w:hAnsi="Arial" w:cs="Arial"/>
          <w:b/>
          <w:bCs/>
          <w:sz w:val="22"/>
          <w:szCs w:val="22"/>
        </w:rPr>
        <w:t>Conclusion</w:t>
      </w:r>
    </w:p>
    <w:p w14:paraId="245D6107" w14:textId="77777777" w:rsidR="00731D53" w:rsidRPr="00B564B0" w:rsidRDefault="00731D53" w:rsidP="00731D53">
      <w:pPr>
        <w:spacing w:after="120"/>
        <w:rPr>
          <w:rFonts w:ascii="Arial" w:hAnsi="Arial" w:cs="Arial"/>
          <w:sz w:val="22"/>
          <w:szCs w:val="22"/>
        </w:rPr>
      </w:pPr>
      <w:r w:rsidRPr="00854F1B">
        <w:rPr>
          <w:rFonts w:ascii="Arial" w:hAnsi="Arial" w:cs="Arial"/>
          <w:sz w:val="22"/>
          <w:szCs w:val="22"/>
        </w:rPr>
        <w:t>T</w:t>
      </w:r>
      <w:r w:rsidRPr="00FC427E">
        <w:rPr>
          <w:rFonts w:ascii="Arial" w:hAnsi="Arial" w:cs="Arial"/>
          <w:sz w:val="22"/>
          <w:szCs w:val="22"/>
        </w:rPr>
        <w:t>his Legislative Instrument is compatible with human rights and freedoms recognised or declared in the international instruments</w:t>
      </w:r>
      <w:r w:rsidRPr="00B564B0">
        <w:rPr>
          <w:rFonts w:ascii="Arial" w:hAnsi="Arial" w:cs="Arial"/>
          <w:sz w:val="22"/>
          <w:szCs w:val="22"/>
        </w:rPr>
        <w:t xml:space="preserve"> listed in section 3 of the </w:t>
      </w:r>
      <w:r w:rsidRPr="00B564B0">
        <w:rPr>
          <w:rFonts w:ascii="Arial" w:hAnsi="Arial" w:cs="Arial"/>
          <w:i/>
          <w:iCs/>
          <w:sz w:val="22"/>
          <w:szCs w:val="22"/>
        </w:rPr>
        <w:t>Human Rights (Parliamentary Scrutiny) Act 2011</w:t>
      </w:r>
      <w:r w:rsidRPr="00B564B0">
        <w:rPr>
          <w:rFonts w:ascii="Arial" w:hAnsi="Arial" w:cs="Arial"/>
          <w:sz w:val="22"/>
          <w:szCs w:val="22"/>
        </w:rPr>
        <w:t xml:space="preserve">. </w:t>
      </w:r>
    </w:p>
    <w:p w14:paraId="2D602136" w14:textId="1FF7BBAD" w:rsidR="00731D53" w:rsidRPr="00B564B0" w:rsidRDefault="00731D53" w:rsidP="00731D53">
      <w:pPr>
        <w:spacing w:before="120" w:after="120"/>
        <w:rPr>
          <w:rFonts w:ascii="Arial" w:hAnsi="Arial" w:cs="Arial"/>
          <w:color w:val="000000"/>
          <w:sz w:val="22"/>
          <w:szCs w:val="22"/>
        </w:rPr>
      </w:pPr>
      <w:r w:rsidRPr="00B564B0">
        <w:rPr>
          <w:rFonts w:ascii="Arial" w:hAnsi="Arial" w:cs="Arial"/>
          <w:sz w:val="22"/>
          <w:szCs w:val="22"/>
        </w:rPr>
        <w:t xml:space="preserve">Accordingly, while the right to privacy are engaged, </w:t>
      </w:r>
      <w:r w:rsidRPr="00B564B0">
        <w:rPr>
          <w:rFonts w:ascii="Arial" w:hAnsi="Arial" w:cs="Arial"/>
          <w:color w:val="000000"/>
          <w:sz w:val="22"/>
          <w:szCs w:val="22"/>
        </w:rPr>
        <w:t>the limitations are:</w:t>
      </w:r>
    </w:p>
    <w:p w14:paraId="5BE6DC06" w14:textId="77777777" w:rsidR="00731D53" w:rsidRPr="00B564B0" w:rsidRDefault="00731D53" w:rsidP="00731D53">
      <w:pPr>
        <w:pStyle w:val="ListParagraph"/>
        <w:numPr>
          <w:ilvl w:val="0"/>
          <w:numId w:val="19"/>
        </w:numPr>
        <w:spacing w:before="120" w:after="120"/>
        <w:rPr>
          <w:rFonts w:ascii="Arial" w:hAnsi="Arial" w:cs="Arial"/>
          <w:color w:val="000000"/>
        </w:rPr>
      </w:pPr>
      <w:r w:rsidRPr="00B564B0">
        <w:rPr>
          <w:rFonts w:ascii="Arial" w:hAnsi="Arial" w:cs="Arial"/>
          <w:iCs/>
        </w:rPr>
        <w:t>aimed at achieving a legitimate objective;</w:t>
      </w:r>
    </w:p>
    <w:p w14:paraId="4293AFFD" w14:textId="77777777" w:rsidR="00731D53" w:rsidRPr="00B564B0" w:rsidRDefault="00731D53" w:rsidP="00731D53">
      <w:pPr>
        <w:pStyle w:val="ListParagraph"/>
        <w:numPr>
          <w:ilvl w:val="0"/>
          <w:numId w:val="19"/>
        </w:numPr>
        <w:spacing w:before="120" w:after="120"/>
        <w:rPr>
          <w:rFonts w:ascii="Arial" w:hAnsi="Arial" w:cs="Arial"/>
          <w:color w:val="000000"/>
        </w:rPr>
      </w:pPr>
      <w:r w:rsidRPr="00B564B0">
        <w:rPr>
          <w:rFonts w:ascii="Arial" w:hAnsi="Arial" w:cs="Arial"/>
          <w:iCs/>
        </w:rPr>
        <w:t>rationally connected with the objective; and</w:t>
      </w:r>
    </w:p>
    <w:p w14:paraId="36D366A3" w14:textId="77777777" w:rsidR="00731D53" w:rsidRPr="00B564B0" w:rsidRDefault="00731D53" w:rsidP="00731D53">
      <w:pPr>
        <w:pStyle w:val="ListParagraph"/>
        <w:numPr>
          <w:ilvl w:val="0"/>
          <w:numId w:val="19"/>
        </w:numPr>
        <w:spacing w:before="120" w:after="120"/>
        <w:rPr>
          <w:rFonts w:ascii="Arial" w:hAnsi="Arial" w:cs="Arial"/>
          <w:color w:val="000000"/>
        </w:rPr>
      </w:pPr>
      <w:proofErr w:type="gramStart"/>
      <w:r w:rsidRPr="00B564B0">
        <w:rPr>
          <w:rFonts w:ascii="Arial" w:hAnsi="Arial" w:cs="Arial"/>
          <w:iCs/>
        </w:rPr>
        <w:t>reasonable</w:t>
      </w:r>
      <w:proofErr w:type="gramEnd"/>
      <w:r w:rsidRPr="00B564B0">
        <w:rPr>
          <w:rFonts w:ascii="Arial" w:hAnsi="Arial" w:cs="Arial"/>
          <w:iCs/>
        </w:rPr>
        <w:t>, necessary and proportionate.</w:t>
      </w:r>
    </w:p>
    <w:p w14:paraId="67153A01" w14:textId="4DD90E94" w:rsidR="00731D53" w:rsidRPr="00B564B0" w:rsidRDefault="00731D53" w:rsidP="00731D53">
      <w:pPr>
        <w:spacing w:after="120"/>
        <w:rPr>
          <w:rFonts w:ascii="Arial" w:hAnsi="Arial" w:cs="Arial"/>
          <w:sz w:val="22"/>
          <w:szCs w:val="22"/>
        </w:rPr>
      </w:pPr>
      <w:r w:rsidRPr="00B564B0">
        <w:rPr>
          <w:rFonts w:ascii="Arial" w:hAnsi="Arial" w:cs="Arial"/>
          <w:sz w:val="22"/>
          <w:szCs w:val="22"/>
        </w:rPr>
        <w:t xml:space="preserve">The objective of introducing a </w:t>
      </w:r>
      <w:r>
        <w:rPr>
          <w:rFonts w:ascii="Arial" w:hAnsi="Arial" w:cs="Arial"/>
          <w:sz w:val="22"/>
          <w:szCs w:val="22"/>
        </w:rPr>
        <w:t>director ID</w:t>
      </w:r>
      <w:r w:rsidRPr="00B564B0">
        <w:rPr>
          <w:rFonts w:ascii="Arial" w:hAnsi="Arial" w:cs="Arial"/>
          <w:sz w:val="22"/>
          <w:szCs w:val="22"/>
        </w:rPr>
        <w:t xml:space="preserve"> requirement is to promote good corporate conduct, and to deter and penalise illegal </w:t>
      </w:r>
      <w:proofErr w:type="spellStart"/>
      <w:r w:rsidRPr="00B564B0">
        <w:rPr>
          <w:rFonts w:ascii="Arial" w:hAnsi="Arial" w:cs="Arial"/>
          <w:sz w:val="22"/>
          <w:szCs w:val="22"/>
        </w:rPr>
        <w:t>phoenixing</w:t>
      </w:r>
      <w:proofErr w:type="spellEnd"/>
      <w:r w:rsidRPr="00B564B0">
        <w:rPr>
          <w:rFonts w:ascii="Arial" w:hAnsi="Arial" w:cs="Arial"/>
          <w:sz w:val="22"/>
          <w:szCs w:val="22"/>
        </w:rPr>
        <w:t>. Therefore, th</w:t>
      </w:r>
      <w:r w:rsidR="00C16ABB">
        <w:rPr>
          <w:rFonts w:ascii="Arial" w:hAnsi="Arial" w:cs="Arial"/>
          <w:sz w:val="22"/>
          <w:szCs w:val="22"/>
        </w:rPr>
        <w:t xml:space="preserve">e disclosure of director ID </w:t>
      </w:r>
      <w:r w:rsidRPr="00B564B0">
        <w:rPr>
          <w:rFonts w:ascii="Arial" w:hAnsi="Arial" w:cs="Arial"/>
          <w:sz w:val="22"/>
          <w:szCs w:val="22"/>
        </w:rPr>
        <w:t>information</w:t>
      </w:r>
      <w:r w:rsidR="00C16ABB">
        <w:rPr>
          <w:rFonts w:ascii="Arial" w:hAnsi="Arial" w:cs="Arial"/>
          <w:sz w:val="22"/>
          <w:szCs w:val="22"/>
        </w:rPr>
        <w:t xml:space="preserve"> to PGPA Bodies, courts and tribunals</w:t>
      </w:r>
      <w:r w:rsidRPr="00B564B0">
        <w:rPr>
          <w:rFonts w:ascii="Arial" w:hAnsi="Arial" w:cs="Arial"/>
          <w:sz w:val="22"/>
          <w:szCs w:val="22"/>
        </w:rPr>
        <w:t xml:space="preserve"> represents a lawful interference with an individual’s human rights that is rationally connected with the objective. This interference is justified from the viewpoint of being </w:t>
      </w:r>
      <w:r w:rsidRPr="00B564B0">
        <w:rPr>
          <w:rFonts w:ascii="Arial" w:hAnsi="Arial" w:cs="Arial"/>
          <w:iCs/>
          <w:sz w:val="22"/>
          <w:szCs w:val="22"/>
        </w:rPr>
        <w:t>reasonable, necessary and proportionate</w:t>
      </w:r>
      <w:r w:rsidRPr="00B564B0">
        <w:rPr>
          <w:rFonts w:ascii="Arial" w:hAnsi="Arial" w:cs="Arial"/>
          <w:sz w:val="22"/>
          <w:szCs w:val="22"/>
        </w:rPr>
        <w:t xml:space="preserve"> to provide the assurance for administering the </w:t>
      </w:r>
      <w:r>
        <w:rPr>
          <w:rFonts w:ascii="Arial" w:hAnsi="Arial" w:cs="Arial"/>
          <w:sz w:val="22"/>
          <w:szCs w:val="22"/>
        </w:rPr>
        <w:t>director ID</w:t>
      </w:r>
      <w:r w:rsidRPr="00B564B0">
        <w:rPr>
          <w:rFonts w:ascii="Arial" w:hAnsi="Arial" w:cs="Arial"/>
          <w:sz w:val="22"/>
          <w:szCs w:val="22"/>
        </w:rPr>
        <w:t xml:space="preserve"> regime</w:t>
      </w:r>
      <w:r w:rsidR="00B4448B">
        <w:rPr>
          <w:rFonts w:ascii="Arial" w:hAnsi="Arial" w:cs="Arial"/>
          <w:sz w:val="22"/>
          <w:szCs w:val="22"/>
        </w:rPr>
        <w:t xml:space="preserve"> and </w:t>
      </w:r>
      <w:r w:rsidR="00B4448B">
        <w:rPr>
          <w:rFonts w:ascii="Arial" w:hAnsi="Arial" w:cs="Arial"/>
          <w:color w:val="000000"/>
          <w:sz w:val="22"/>
          <w:szCs w:val="22"/>
        </w:rPr>
        <w:t>the functioning of government</w:t>
      </w:r>
      <w:r w:rsidRPr="00B564B0">
        <w:rPr>
          <w:rFonts w:ascii="Arial" w:hAnsi="Arial" w:cs="Arial"/>
          <w:sz w:val="22"/>
          <w:szCs w:val="22"/>
        </w:rPr>
        <w:t>.</w:t>
      </w:r>
      <w:r>
        <w:rPr>
          <w:rFonts w:ascii="Arial" w:hAnsi="Arial" w:cs="Arial"/>
          <w:sz w:val="22"/>
          <w:szCs w:val="22"/>
        </w:rPr>
        <w:t xml:space="preserve"> </w:t>
      </w:r>
    </w:p>
    <w:p w14:paraId="15AC1BC3" w14:textId="12C50F1B" w:rsidR="0076271C" w:rsidRPr="00DE2208" w:rsidRDefault="0076271C" w:rsidP="00731D53">
      <w:pPr>
        <w:autoSpaceDE w:val="0"/>
        <w:autoSpaceDN w:val="0"/>
      </w:pPr>
    </w:p>
    <w:sectPr w:rsidR="0076271C" w:rsidRPr="00DE2208" w:rsidSect="000A13D4">
      <w:headerReference w:type="even" r:id="rId9"/>
      <w:headerReference w:type="default" r:id="rId10"/>
      <w:footerReference w:type="even" r:id="rId11"/>
      <w:footerReference w:type="default" r:id="rId12"/>
      <w:headerReference w:type="first" r:id="rId13"/>
      <w:footerReference w:type="first" r:id="rId14"/>
      <w:pgSz w:w="11906" w:h="16838" w:code="9"/>
      <w:pgMar w:top="1440" w:right="1133" w:bottom="1358" w:left="993"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95A2C" w14:textId="77777777" w:rsidR="00B85136" w:rsidRDefault="00B85136">
      <w:r>
        <w:separator/>
      </w:r>
    </w:p>
  </w:endnote>
  <w:endnote w:type="continuationSeparator" w:id="0">
    <w:p w14:paraId="6CB79640" w14:textId="77777777" w:rsidR="00B85136" w:rsidRDefault="00B85136">
      <w:r>
        <w:continuationSeparator/>
      </w:r>
    </w:p>
  </w:endnote>
  <w:endnote w:type="continuationNotice" w:id="1">
    <w:p w14:paraId="1B862190" w14:textId="77777777" w:rsidR="00B85136" w:rsidRDefault="00B851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6D7F5" w14:textId="77777777" w:rsidR="00713B19" w:rsidRDefault="00713B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6CF8D" w14:textId="7ACE370D" w:rsidR="00B85136" w:rsidRDefault="00B85136" w:rsidP="000A13D4">
    <w:pPr>
      <w:pStyle w:val="Footer"/>
      <w:jc w:val="right"/>
    </w:pPr>
    <w:r>
      <w:ptab w:relativeTo="margin" w:alignment="center" w:leader="none"/>
    </w:r>
    <w:r>
      <w:ptab w:relativeTo="margin" w:alignment="right" w:leader="none"/>
    </w:r>
    <w:r w:rsidRPr="00170DB4">
      <w:rPr>
        <w:b/>
        <w:bCs/>
        <w:sz w:val="32"/>
        <w:szCs w:val="24"/>
      </w:rPr>
      <w:t>EXPOSURE DRAFT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FFC25" w14:textId="77777777" w:rsidR="00713B19" w:rsidRDefault="00713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FFD9A" w14:textId="77777777" w:rsidR="00B85136" w:rsidRDefault="00B85136">
      <w:r>
        <w:separator/>
      </w:r>
    </w:p>
  </w:footnote>
  <w:footnote w:type="continuationSeparator" w:id="0">
    <w:p w14:paraId="34C408EE" w14:textId="77777777" w:rsidR="00B85136" w:rsidRDefault="00B85136">
      <w:r>
        <w:continuationSeparator/>
      </w:r>
    </w:p>
  </w:footnote>
  <w:footnote w:type="continuationNotice" w:id="1">
    <w:p w14:paraId="4CFAB079" w14:textId="77777777" w:rsidR="00B85136" w:rsidRDefault="00B8513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C1BCA" w14:textId="752B70D8" w:rsidR="00B85136" w:rsidRPr="0067541C" w:rsidRDefault="00B85136">
    <w:pPr>
      <w:pStyle w:val="Header"/>
      <w:rPr>
        <w:rFonts w:ascii="Arial" w:hAnsi="Arial" w:cs="Arial"/>
        <w:sz w:val="52"/>
      </w:rPr>
    </w:pPr>
    <w:r w:rsidRPr="0067541C">
      <w:rPr>
        <w:rFonts w:ascii="Arial" w:hAnsi="Arial" w:cs="Arial"/>
        <w:sz w:val="20"/>
      </w:rPr>
      <w:t>Taxation Determination</w:t>
    </w:r>
  </w:p>
  <w:p w14:paraId="15AC1BCB" w14:textId="2CBDB829" w:rsidR="00B85136" w:rsidRPr="0067541C" w:rsidRDefault="00B85136">
    <w:pPr>
      <w:pStyle w:val="Header"/>
      <w:rPr>
        <w:rFonts w:ascii="Arial" w:hAnsi="Arial" w:cs="Arial"/>
        <w:sz w:val="52"/>
      </w:rPr>
    </w:pPr>
    <w:r w:rsidRPr="0067541C">
      <w:rPr>
        <w:rFonts w:ascii="Arial" w:hAnsi="Arial" w:cs="Arial"/>
        <w:b/>
        <w:sz w:val="52"/>
      </w:rPr>
      <w:t xml:space="preserve">TD </w:t>
    </w:r>
    <w:r w:rsidRPr="0067541C">
      <w:rPr>
        <w:rFonts w:ascii="Arial" w:hAnsi="Arial" w:cs="Arial"/>
        <w:sz w:val="52"/>
      </w:rPr>
      <w:fldChar w:fldCharType="begin"/>
    </w:r>
    <w:r w:rsidRPr="0067541C">
      <w:rPr>
        <w:rFonts w:ascii="Arial" w:hAnsi="Arial" w:cs="Arial"/>
        <w:sz w:val="52"/>
      </w:rPr>
      <w:instrText xml:space="preserve"> REF CDocNum </w:instrText>
    </w:r>
    <w:r>
      <w:rPr>
        <w:rFonts w:ascii="Arial" w:hAnsi="Arial" w:cs="Arial"/>
        <w:sz w:val="52"/>
      </w:rPr>
      <w:instrText xml:space="preserve"> \* MERGEFORMAT </w:instrText>
    </w:r>
    <w:r w:rsidRPr="0067541C">
      <w:rPr>
        <w:rFonts w:ascii="Arial" w:hAnsi="Arial" w:cs="Arial"/>
        <w:sz w:val="52"/>
      </w:rPr>
      <w:fldChar w:fldCharType="separate"/>
    </w:r>
    <w:r>
      <w:rPr>
        <w:rFonts w:ascii="Arial" w:hAnsi="Arial" w:cs="Arial"/>
        <w:b/>
        <w:bCs/>
        <w:sz w:val="52"/>
        <w:lang w:val="en-US"/>
      </w:rPr>
      <w:t>Error! Reference source not found.</w:t>
    </w:r>
    <w:r w:rsidRPr="0067541C">
      <w:rPr>
        <w:rFonts w:ascii="Arial" w:hAnsi="Arial" w:cs="Arial"/>
        <w:sz w:val="52"/>
      </w:rPr>
      <w:fldChar w:fldCharType="end"/>
    </w:r>
  </w:p>
  <w:p w14:paraId="15AC1BCC" w14:textId="22CCC8D0" w:rsidR="00B85136" w:rsidRPr="0067541C" w:rsidRDefault="00B85136">
    <w:pPr>
      <w:pStyle w:val="Header"/>
      <w:pBdr>
        <w:top w:val="single" w:sz="4" w:space="1" w:color="auto"/>
        <w:bottom w:val="single" w:sz="4" w:space="1" w:color="auto"/>
      </w:pBdr>
      <w:tabs>
        <w:tab w:val="clear" w:pos="4153"/>
        <w:tab w:val="clear" w:pos="8306"/>
        <w:tab w:val="right" w:pos="8789"/>
      </w:tabs>
      <w:spacing w:after="240"/>
      <w:rPr>
        <w:rFonts w:ascii="Arial" w:hAnsi="Arial" w:cs="Arial"/>
        <w:sz w:val="20"/>
      </w:rPr>
    </w:pPr>
    <w:r w:rsidRPr="0067541C">
      <w:rPr>
        <w:rFonts w:ascii="Arial" w:hAnsi="Arial" w:cs="Arial"/>
        <w:snapToGrid w:val="0"/>
        <w:sz w:val="20"/>
        <w:lang w:eastAsia="en-US"/>
      </w:rPr>
      <w:t xml:space="preserve">Page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PAGE </w:instrText>
    </w:r>
    <w:r w:rsidRPr="0067541C">
      <w:rPr>
        <w:rFonts w:ascii="Arial" w:hAnsi="Arial" w:cs="Arial"/>
        <w:snapToGrid w:val="0"/>
        <w:sz w:val="20"/>
        <w:lang w:eastAsia="en-US"/>
      </w:rPr>
      <w:fldChar w:fldCharType="separate"/>
    </w:r>
    <w:r>
      <w:rPr>
        <w:rFonts w:ascii="Arial" w:hAnsi="Arial" w:cs="Arial"/>
        <w:noProof/>
        <w:snapToGrid w:val="0"/>
        <w:sz w:val="20"/>
        <w:lang w:eastAsia="en-US"/>
      </w:rPr>
      <w:t>2</w:t>
    </w:r>
    <w:r w:rsidRPr="0067541C">
      <w:rPr>
        <w:rFonts w:ascii="Arial" w:hAnsi="Arial" w:cs="Arial"/>
        <w:snapToGrid w:val="0"/>
        <w:sz w:val="20"/>
        <w:lang w:eastAsia="en-US"/>
      </w:rPr>
      <w:fldChar w:fldCharType="end"/>
    </w:r>
    <w:r w:rsidRPr="0067541C">
      <w:rPr>
        <w:rFonts w:ascii="Arial" w:hAnsi="Arial" w:cs="Arial"/>
        <w:snapToGrid w:val="0"/>
        <w:sz w:val="20"/>
        <w:lang w:eastAsia="en-US"/>
      </w:rPr>
      <w:t xml:space="preserve"> of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NUMPAGES </w:instrText>
    </w:r>
    <w:r w:rsidRPr="0067541C">
      <w:rPr>
        <w:rFonts w:ascii="Arial" w:hAnsi="Arial" w:cs="Arial"/>
        <w:snapToGrid w:val="0"/>
        <w:sz w:val="20"/>
        <w:lang w:eastAsia="en-US"/>
      </w:rPr>
      <w:fldChar w:fldCharType="separate"/>
    </w:r>
    <w:r w:rsidR="00C252D7">
      <w:rPr>
        <w:rFonts w:ascii="Arial" w:hAnsi="Arial" w:cs="Arial"/>
        <w:noProof/>
        <w:snapToGrid w:val="0"/>
        <w:sz w:val="20"/>
        <w:lang w:eastAsia="en-US"/>
      </w:rPr>
      <w:t>7</w:t>
    </w:r>
    <w:r w:rsidRPr="0067541C">
      <w:rPr>
        <w:rFonts w:ascii="Arial" w:hAnsi="Arial" w:cs="Arial"/>
        <w:snapToGrid w:val="0"/>
        <w:sz w:val="20"/>
        <w:lang w:eastAsia="en-US"/>
      </w:rPr>
      <w:fldChar w:fldCharType="end"/>
    </w:r>
    <w:r w:rsidRPr="0067541C">
      <w:rPr>
        <w:rFonts w:ascii="Arial" w:hAnsi="Arial" w:cs="Arial"/>
      </w:rPr>
      <w:tab/>
    </w:r>
    <w:r w:rsidRPr="0067541C">
      <w:rPr>
        <w:rFonts w:ascii="Arial" w:hAnsi="Arial" w:cs="Arial"/>
        <w:sz w:val="20"/>
      </w:rPr>
      <w:t xml:space="preserve">FOI status:  </w:t>
    </w:r>
    <w:r w:rsidRPr="0067541C">
      <w:rPr>
        <w:rFonts w:ascii="Arial" w:hAnsi="Arial" w:cs="Arial"/>
        <w:b/>
        <w:sz w:val="20"/>
      </w:rPr>
      <w:t>may be released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E7842" w14:textId="77777777" w:rsidR="00B85136" w:rsidRDefault="00B85136" w:rsidP="000A13D4">
    <w:pPr>
      <w:pStyle w:val="Header"/>
      <w:tabs>
        <w:tab w:val="clear" w:pos="4153"/>
        <w:tab w:val="clear" w:pos="8306"/>
        <w:tab w:val="center" w:pos="1418"/>
        <w:tab w:val="right" w:pos="8789"/>
      </w:tabs>
    </w:pPr>
    <w:r>
      <w:rPr>
        <w:noProof/>
      </w:rPr>
      <w:drawing>
        <wp:inline distT="0" distB="0" distL="0" distR="0" wp14:anchorId="57A849C0" wp14:editId="6E22396B">
          <wp:extent cx="2413635" cy="701675"/>
          <wp:effectExtent l="0" t="0" r="5715" b="3175"/>
          <wp:docPr id="1"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r>
      <w:ptab w:relativeTo="margin" w:alignment="center" w:leader="none"/>
    </w:r>
    <w:r>
      <w:ptab w:relativeTo="margin" w:alignment="right" w:leader="none"/>
    </w:r>
    <w:r w:rsidRPr="00170DB4">
      <w:rPr>
        <w:b/>
        <w:bCs/>
        <w:sz w:val="32"/>
        <w:szCs w:val="24"/>
      </w:rPr>
      <w:t>EXPOSURE DRAFT</w:t>
    </w:r>
  </w:p>
  <w:p w14:paraId="15AC1BCD" w14:textId="698A36E9" w:rsidR="00B85136" w:rsidRDefault="00B85136" w:rsidP="001828A4">
    <w:pPr>
      <w:pStyle w:val="Header"/>
      <w:tabs>
        <w:tab w:val="clear" w:pos="4153"/>
        <w:tab w:val="clear" w:pos="8306"/>
        <w:tab w:val="center" w:pos="1418"/>
        <w:tab w:val="right" w:pos="8789"/>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C1BCF" w14:textId="77777777" w:rsidR="00B85136" w:rsidRDefault="00B85136" w:rsidP="00343133">
    <w:pPr>
      <w:pStyle w:val="Header"/>
      <w:tabs>
        <w:tab w:val="clear" w:pos="4153"/>
        <w:tab w:val="clear" w:pos="8306"/>
      </w:tabs>
      <w:rPr>
        <w:rFonts w:ascii="Arial" w:hAnsi="Arial" w:cs="Arial"/>
        <w:sz w:val="20"/>
      </w:rPr>
    </w:pPr>
    <w:r>
      <w:rPr>
        <w:noProof/>
      </w:rPr>
      <w:drawing>
        <wp:inline distT="0" distB="0" distL="0" distR="0" wp14:anchorId="15AC1BD1" wp14:editId="15AC1BD2">
          <wp:extent cx="2413635" cy="701675"/>
          <wp:effectExtent l="0" t="0" r="5715" b="3175"/>
          <wp:docPr id="3"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15AC1BD0" w14:textId="77777777" w:rsidR="00B85136" w:rsidRPr="001A6644" w:rsidRDefault="00B85136" w:rsidP="00767CE8">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555A7"/>
    <w:multiLevelType w:val="hybridMultilevel"/>
    <w:tmpl w:val="53F4446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B7EC8BD2">
      <w:start w:val="1"/>
      <w:numFmt w:val="decimal"/>
      <w:lvlText w:val="(%4)"/>
      <w:lvlJc w:val="left"/>
      <w:pPr>
        <w:ind w:left="786" w:hanging="360"/>
      </w:pPr>
      <w:rPr>
        <w:rFonts w:hint="default"/>
        <w:b w:val="0"/>
        <w:i w:val="0"/>
      </w:rPr>
    </w:lvl>
    <w:lvl w:ilvl="4" w:tplc="0C090001">
      <w:start w:val="1"/>
      <w:numFmt w:val="bullet"/>
      <w:lvlText w:val=""/>
      <w:lvlJc w:val="left"/>
      <w:pPr>
        <w:ind w:left="1070" w:hanging="360"/>
      </w:pPr>
      <w:rPr>
        <w:rFonts w:ascii="Symbol" w:hAnsi="Symbol" w:hint="default"/>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15:restartNumberingAfterBreak="0">
    <w:nsid w:val="16CF28D1"/>
    <w:multiLevelType w:val="multilevel"/>
    <w:tmpl w:val="0466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17F32"/>
    <w:multiLevelType w:val="hybridMultilevel"/>
    <w:tmpl w:val="20E208BA"/>
    <w:lvl w:ilvl="0" w:tplc="8C680C24">
      <w:numFmt w:val="bullet"/>
      <w:lvlText w:val="?"/>
      <w:lvlJc w:val="left"/>
      <w:pPr>
        <w:ind w:left="3315" w:hanging="2955"/>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867A7F"/>
    <w:multiLevelType w:val="hybridMultilevel"/>
    <w:tmpl w:val="A790C2F2"/>
    <w:lvl w:ilvl="0" w:tplc="225C6B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0E33882"/>
    <w:multiLevelType w:val="hybridMultilevel"/>
    <w:tmpl w:val="4CAAA60C"/>
    <w:lvl w:ilvl="0" w:tplc="C2ACD91E">
      <w:start w:val="1"/>
      <w:numFmt w:val="lowerLetter"/>
      <w:lvlText w:val="(%1)"/>
      <w:lvlJc w:val="left"/>
      <w:pPr>
        <w:tabs>
          <w:tab w:val="num" w:pos="720"/>
        </w:tabs>
        <w:ind w:left="720" w:hanging="360"/>
      </w:pPr>
      <w:rPr>
        <w:rFonts w:hint="default"/>
        <w:color w:val="auto"/>
        <w:sz w:val="22"/>
        <w:szCs w:val="22"/>
      </w:rPr>
    </w:lvl>
    <w:lvl w:ilvl="1" w:tplc="0C090001">
      <w:start w:val="1"/>
      <w:numFmt w:val="bullet"/>
      <w:lvlText w:val=""/>
      <w:lvlJc w:val="left"/>
      <w:pPr>
        <w:tabs>
          <w:tab w:val="num" w:pos="1800"/>
        </w:tabs>
        <w:ind w:left="1800" w:hanging="360"/>
      </w:pPr>
      <w:rPr>
        <w:rFonts w:ascii="Symbol" w:hAnsi="Symbol" w:hint="default"/>
      </w:rPr>
    </w:lvl>
    <w:lvl w:ilvl="2" w:tplc="C2ACD91E">
      <w:start w:val="1"/>
      <w:numFmt w:val="lowerLetter"/>
      <w:lvlText w:val="(%3)"/>
      <w:lvlJc w:val="left"/>
      <w:pPr>
        <w:tabs>
          <w:tab w:val="num" w:pos="2700"/>
        </w:tabs>
        <w:ind w:left="2700" w:hanging="360"/>
      </w:pPr>
      <w:rPr>
        <w:rFonts w:hint="default"/>
      </w:r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5" w15:restartNumberingAfterBreak="0">
    <w:nsid w:val="320E0068"/>
    <w:multiLevelType w:val="hybridMultilevel"/>
    <w:tmpl w:val="A4420ABC"/>
    <w:lvl w:ilvl="0" w:tplc="B19AF8E4">
      <w:start w:val="1"/>
      <w:numFmt w:val="lowerLetter"/>
      <w:lvlText w:val="(%1)"/>
      <w:lvlJc w:val="left"/>
      <w:pPr>
        <w:tabs>
          <w:tab w:val="num" w:pos="720"/>
        </w:tabs>
        <w:ind w:left="720" w:hanging="360"/>
      </w:pPr>
      <w:rPr>
        <w:rFonts w:hint="default"/>
        <w:b w:val="0"/>
        <w:color w:val="auto"/>
        <w:sz w:val="22"/>
        <w:szCs w:val="22"/>
      </w:rPr>
    </w:lvl>
    <w:lvl w:ilvl="1" w:tplc="0C090001">
      <w:start w:val="1"/>
      <w:numFmt w:val="bullet"/>
      <w:lvlText w:val=""/>
      <w:lvlJc w:val="left"/>
      <w:pPr>
        <w:tabs>
          <w:tab w:val="num" w:pos="1800"/>
        </w:tabs>
        <w:ind w:left="1800" w:hanging="360"/>
      </w:pPr>
      <w:rPr>
        <w:rFonts w:ascii="Symbol" w:hAnsi="Symbol" w:hint="default"/>
      </w:rPr>
    </w:lvl>
    <w:lvl w:ilvl="2" w:tplc="C2ACD91E">
      <w:start w:val="1"/>
      <w:numFmt w:val="lowerLetter"/>
      <w:lvlText w:val="(%3)"/>
      <w:lvlJc w:val="left"/>
      <w:pPr>
        <w:tabs>
          <w:tab w:val="num" w:pos="2700"/>
        </w:tabs>
        <w:ind w:left="2700" w:hanging="360"/>
      </w:pPr>
      <w:rPr>
        <w:rFonts w:hint="default"/>
      </w:r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6" w15:restartNumberingAfterBreak="0">
    <w:nsid w:val="350F406E"/>
    <w:multiLevelType w:val="hybridMultilevel"/>
    <w:tmpl w:val="D72E791C"/>
    <w:lvl w:ilvl="0" w:tplc="C2ACD91E">
      <w:start w:val="1"/>
      <w:numFmt w:val="lowerLetter"/>
      <w:lvlText w:val="(%1)"/>
      <w:lvlJc w:val="left"/>
      <w:pPr>
        <w:tabs>
          <w:tab w:val="num" w:pos="1429"/>
        </w:tabs>
        <w:ind w:left="1429" w:hanging="360"/>
      </w:pPr>
      <w:rPr>
        <w:rFonts w:hint="default"/>
        <w:color w:val="auto"/>
        <w:sz w:val="22"/>
        <w:szCs w:val="22"/>
      </w:rPr>
    </w:lvl>
    <w:lvl w:ilvl="1" w:tplc="0C090001">
      <w:start w:val="1"/>
      <w:numFmt w:val="bullet"/>
      <w:lvlText w:val=""/>
      <w:lvlJc w:val="left"/>
      <w:pPr>
        <w:tabs>
          <w:tab w:val="num" w:pos="2509"/>
        </w:tabs>
        <w:ind w:left="2509" w:hanging="360"/>
      </w:pPr>
      <w:rPr>
        <w:rFonts w:ascii="Symbol" w:hAnsi="Symbol" w:hint="default"/>
      </w:rPr>
    </w:lvl>
    <w:lvl w:ilvl="2" w:tplc="C2ACD91E">
      <w:start w:val="1"/>
      <w:numFmt w:val="lowerLetter"/>
      <w:lvlText w:val="(%3)"/>
      <w:lvlJc w:val="left"/>
      <w:pPr>
        <w:tabs>
          <w:tab w:val="num" w:pos="3409"/>
        </w:tabs>
        <w:ind w:left="3409" w:hanging="360"/>
      </w:pPr>
      <w:rPr>
        <w:rFonts w:hint="default"/>
      </w:rPr>
    </w:lvl>
    <w:lvl w:ilvl="3" w:tplc="0C09000F" w:tentative="1">
      <w:start w:val="1"/>
      <w:numFmt w:val="decimal"/>
      <w:lvlText w:val="%4."/>
      <w:lvlJc w:val="left"/>
      <w:pPr>
        <w:tabs>
          <w:tab w:val="num" w:pos="3949"/>
        </w:tabs>
        <w:ind w:left="3949" w:hanging="360"/>
      </w:pPr>
    </w:lvl>
    <w:lvl w:ilvl="4" w:tplc="0C090019" w:tentative="1">
      <w:start w:val="1"/>
      <w:numFmt w:val="lowerLetter"/>
      <w:lvlText w:val="%5."/>
      <w:lvlJc w:val="left"/>
      <w:pPr>
        <w:tabs>
          <w:tab w:val="num" w:pos="4669"/>
        </w:tabs>
        <w:ind w:left="4669" w:hanging="360"/>
      </w:pPr>
    </w:lvl>
    <w:lvl w:ilvl="5" w:tplc="0C09001B" w:tentative="1">
      <w:start w:val="1"/>
      <w:numFmt w:val="lowerRoman"/>
      <w:lvlText w:val="%6."/>
      <w:lvlJc w:val="right"/>
      <w:pPr>
        <w:tabs>
          <w:tab w:val="num" w:pos="5389"/>
        </w:tabs>
        <w:ind w:left="5389" w:hanging="180"/>
      </w:pPr>
    </w:lvl>
    <w:lvl w:ilvl="6" w:tplc="0C09000F" w:tentative="1">
      <w:start w:val="1"/>
      <w:numFmt w:val="decimal"/>
      <w:lvlText w:val="%7."/>
      <w:lvlJc w:val="left"/>
      <w:pPr>
        <w:tabs>
          <w:tab w:val="num" w:pos="6109"/>
        </w:tabs>
        <w:ind w:left="6109" w:hanging="360"/>
      </w:pPr>
    </w:lvl>
    <w:lvl w:ilvl="7" w:tplc="0C090019" w:tentative="1">
      <w:start w:val="1"/>
      <w:numFmt w:val="lowerLetter"/>
      <w:lvlText w:val="%8."/>
      <w:lvlJc w:val="left"/>
      <w:pPr>
        <w:tabs>
          <w:tab w:val="num" w:pos="6829"/>
        </w:tabs>
        <w:ind w:left="6829" w:hanging="360"/>
      </w:pPr>
    </w:lvl>
    <w:lvl w:ilvl="8" w:tplc="0C09001B" w:tentative="1">
      <w:start w:val="1"/>
      <w:numFmt w:val="lowerRoman"/>
      <w:lvlText w:val="%9."/>
      <w:lvlJc w:val="right"/>
      <w:pPr>
        <w:tabs>
          <w:tab w:val="num" w:pos="7549"/>
        </w:tabs>
        <w:ind w:left="7549" w:hanging="180"/>
      </w:pPr>
    </w:lvl>
  </w:abstractNum>
  <w:abstractNum w:abstractNumId="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start w:val="1"/>
      <w:numFmt w:val="bullet"/>
      <w:lvlText w:val="o"/>
      <w:lvlJc w:val="left"/>
      <w:pPr>
        <w:ind w:left="3708" w:hanging="360"/>
      </w:pPr>
      <w:rPr>
        <w:rFonts w:ascii="Courier New" w:hAnsi="Courier New" w:cs="Courier New" w:hint="default"/>
      </w:rPr>
    </w:lvl>
    <w:lvl w:ilvl="2" w:tplc="0C090005">
      <w:start w:val="1"/>
      <w:numFmt w:val="bullet"/>
      <w:lvlText w:val=""/>
      <w:lvlJc w:val="left"/>
      <w:pPr>
        <w:ind w:left="4428" w:hanging="360"/>
      </w:pPr>
      <w:rPr>
        <w:rFonts w:ascii="Wingdings" w:hAnsi="Wingdings" w:hint="default"/>
      </w:rPr>
    </w:lvl>
    <w:lvl w:ilvl="3" w:tplc="0C090001">
      <w:start w:val="1"/>
      <w:numFmt w:val="bullet"/>
      <w:lvlText w:val=""/>
      <w:lvlJc w:val="left"/>
      <w:pPr>
        <w:ind w:left="5148" w:hanging="360"/>
      </w:pPr>
      <w:rPr>
        <w:rFonts w:ascii="Symbol" w:hAnsi="Symbol" w:hint="default"/>
      </w:rPr>
    </w:lvl>
    <w:lvl w:ilvl="4" w:tplc="0C090003">
      <w:start w:val="1"/>
      <w:numFmt w:val="bullet"/>
      <w:lvlText w:val="o"/>
      <w:lvlJc w:val="left"/>
      <w:pPr>
        <w:ind w:left="5868" w:hanging="360"/>
      </w:pPr>
      <w:rPr>
        <w:rFonts w:ascii="Courier New" w:hAnsi="Courier New" w:cs="Courier New" w:hint="default"/>
      </w:rPr>
    </w:lvl>
    <w:lvl w:ilvl="5" w:tplc="0C090005">
      <w:start w:val="1"/>
      <w:numFmt w:val="bullet"/>
      <w:lvlText w:val=""/>
      <w:lvlJc w:val="left"/>
      <w:pPr>
        <w:ind w:left="6588" w:hanging="360"/>
      </w:pPr>
      <w:rPr>
        <w:rFonts w:ascii="Wingdings" w:hAnsi="Wingdings" w:hint="default"/>
      </w:rPr>
    </w:lvl>
    <w:lvl w:ilvl="6" w:tplc="0C090001">
      <w:start w:val="1"/>
      <w:numFmt w:val="bullet"/>
      <w:lvlText w:val=""/>
      <w:lvlJc w:val="left"/>
      <w:pPr>
        <w:ind w:left="7308" w:hanging="360"/>
      </w:pPr>
      <w:rPr>
        <w:rFonts w:ascii="Symbol" w:hAnsi="Symbol" w:hint="default"/>
      </w:rPr>
    </w:lvl>
    <w:lvl w:ilvl="7" w:tplc="0C090003">
      <w:start w:val="1"/>
      <w:numFmt w:val="bullet"/>
      <w:lvlText w:val="o"/>
      <w:lvlJc w:val="left"/>
      <w:pPr>
        <w:ind w:left="8028" w:hanging="360"/>
      </w:pPr>
      <w:rPr>
        <w:rFonts w:ascii="Courier New" w:hAnsi="Courier New" w:cs="Courier New" w:hint="default"/>
      </w:rPr>
    </w:lvl>
    <w:lvl w:ilvl="8" w:tplc="0C090005">
      <w:start w:val="1"/>
      <w:numFmt w:val="bullet"/>
      <w:lvlText w:val=""/>
      <w:lvlJc w:val="left"/>
      <w:pPr>
        <w:ind w:left="8748" w:hanging="360"/>
      </w:pPr>
      <w:rPr>
        <w:rFonts w:ascii="Wingdings" w:hAnsi="Wingdings" w:hint="default"/>
      </w:rPr>
    </w:lvl>
  </w:abstractNum>
  <w:abstractNum w:abstractNumId="8" w15:restartNumberingAfterBreak="0">
    <w:nsid w:val="3FCC3903"/>
    <w:multiLevelType w:val="hybridMultilevel"/>
    <w:tmpl w:val="FD86BD04"/>
    <w:lvl w:ilvl="0" w:tplc="5D364D7A">
      <w:start w:val="1"/>
      <w:numFmt w:val="decimal"/>
      <w:lvlText w:val="%1."/>
      <w:lvlJc w:val="left"/>
      <w:pPr>
        <w:tabs>
          <w:tab w:val="num" w:pos="360"/>
        </w:tabs>
        <w:ind w:left="360" w:hanging="360"/>
      </w:pPr>
      <w:rPr>
        <w:rFonts w:hint="default"/>
        <w:color w:val="auto"/>
        <w:sz w:val="22"/>
        <w:szCs w:val="22"/>
      </w:rPr>
    </w:lvl>
    <w:lvl w:ilvl="1" w:tplc="C2ACD91E">
      <w:start w:val="1"/>
      <w:numFmt w:val="lowerLetter"/>
      <w:lvlText w:val="(%2)"/>
      <w:lvlJc w:val="left"/>
      <w:pPr>
        <w:tabs>
          <w:tab w:val="num" w:pos="1440"/>
        </w:tabs>
        <w:ind w:left="1440" w:hanging="360"/>
      </w:pPr>
      <w:rPr>
        <w:rFonts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4F2F11B2"/>
    <w:multiLevelType w:val="hybridMultilevel"/>
    <w:tmpl w:val="37006AEA"/>
    <w:lvl w:ilvl="0" w:tplc="0C090001">
      <w:start w:val="1"/>
      <w:numFmt w:val="bullet"/>
      <w:lvlText w:val=""/>
      <w:lvlJc w:val="left"/>
      <w:pPr>
        <w:tabs>
          <w:tab w:val="num" w:pos="1429"/>
        </w:tabs>
        <w:ind w:left="1429" w:hanging="360"/>
      </w:pPr>
      <w:rPr>
        <w:rFonts w:ascii="Symbol" w:hAnsi="Symbol" w:hint="default"/>
        <w:color w:val="auto"/>
        <w:sz w:val="22"/>
        <w:szCs w:val="22"/>
      </w:rPr>
    </w:lvl>
    <w:lvl w:ilvl="1" w:tplc="0C090001">
      <w:start w:val="1"/>
      <w:numFmt w:val="bullet"/>
      <w:lvlText w:val=""/>
      <w:lvlJc w:val="left"/>
      <w:pPr>
        <w:tabs>
          <w:tab w:val="num" w:pos="2509"/>
        </w:tabs>
        <w:ind w:left="2509" w:hanging="360"/>
      </w:pPr>
      <w:rPr>
        <w:rFonts w:ascii="Symbol" w:hAnsi="Symbol" w:hint="default"/>
      </w:rPr>
    </w:lvl>
    <w:lvl w:ilvl="2" w:tplc="C2ACD91E">
      <w:start w:val="1"/>
      <w:numFmt w:val="lowerLetter"/>
      <w:lvlText w:val="(%3)"/>
      <w:lvlJc w:val="left"/>
      <w:pPr>
        <w:tabs>
          <w:tab w:val="num" w:pos="3409"/>
        </w:tabs>
        <w:ind w:left="3409" w:hanging="360"/>
      </w:pPr>
      <w:rPr>
        <w:rFonts w:hint="default"/>
      </w:rPr>
    </w:lvl>
    <w:lvl w:ilvl="3" w:tplc="0C09000F" w:tentative="1">
      <w:start w:val="1"/>
      <w:numFmt w:val="decimal"/>
      <w:lvlText w:val="%4."/>
      <w:lvlJc w:val="left"/>
      <w:pPr>
        <w:tabs>
          <w:tab w:val="num" w:pos="3949"/>
        </w:tabs>
        <w:ind w:left="3949" w:hanging="360"/>
      </w:pPr>
    </w:lvl>
    <w:lvl w:ilvl="4" w:tplc="0C090019" w:tentative="1">
      <w:start w:val="1"/>
      <w:numFmt w:val="lowerLetter"/>
      <w:lvlText w:val="%5."/>
      <w:lvlJc w:val="left"/>
      <w:pPr>
        <w:tabs>
          <w:tab w:val="num" w:pos="4669"/>
        </w:tabs>
        <w:ind w:left="4669" w:hanging="360"/>
      </w:pPr>
    </w:lvl>
    <w:lvl w:ilvl="5" w:tplc="0C09001B" w:tentative="1">
      <w:start w:val="1"/>
      <w:numFmt w:val="lowerRoman"/>
      <w:lvlText w:val="%6."/>
      <w:lvlJc w:val="right"/>
      <w:pPr>
        <w:tabs>
          <w:tab w:val="num" w:pos="5389"/>
        </w:tabs>
        <w:ind w:left="5389" w:hanging="180"/>
      </w:pPr>
    </w:lvl>
    <w:lvl w:ilvl="6" w:tplc="0C09000F" w:tentative="1">
      <w:start w:val="1"/>
      <w:numFmt w:val="decimal"/>
      <w:lvlText w:val="%7."/>
      <w:lvlJc w:val="left"/>
      <w:pPr>
        <w:tabs>
          <w:tab w:val="num" w:pos="6109"/>
        </w:tabs>
        <w:ind w:left="6109" w:hanging="360"/>
      </w:pPr>
    </w:lvl>
    <w:lvl w:ilvl="7" w:tplc="0C090019" w:tentative="1">
      <w:start w:val="1"/>
      <w:numFmt w:val="lowerLetter"/>
      <w:lvlText w:val="%8."/>
      <w:lvlJc w:val="left"/>
      <w:pPr>
        <w:tabs>
          <w:tab w:val="num" w:pos="6829"/>
        </w:tabs>
        <w:ind w:left="6829" w:hanging="360"/>
      </w:pPr>
    </w:lvl>
    <w:lvl w:ilvl="8" w:tplc="0C09001B" w:tentative="1">
      <w:start w:val="1"/>
      <w:numFmt w:val="lowerRoman"/>
      <w:lvlText w:val="%9."/>
      <w:lvlJc w:val="right"/>
      <w:pPr>
        <w:tabs>
          <w:tab w:val="num" w:pos="7549"/>
        </w:tabs>
        <w:ind w:left="7549" w:hanging="180"/>
      </w:pPr>
    </w:lvl>
  </w:abstractNum>
  <w:abstractNum w:abstractNumId="10" w15:restartNumberingAfterBreak="0">
    <w:nsid w:val="5661054E"/>
    <w:multiLevelType w:val="multilevel"/>
    <w:tmpl w:val="6A22FB0E"/>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2735EE"/>
    <w:multiLevelType w:val="hybridMultilevel"/>
    <w:tmpl w:val="38240C4A"/>
    <w:lvl w:ilvl="0" w:tplc="C2ACD91E">
      <w:start w:val="1"/>
      <w:numFmt w:val="lowerLetter"/>
      <w:lvlText w:val="(%1)"/>
      <w:lvlJc w:val="left"/>
      <w:pPr>
        <w:tabs>
          <w:tab w:val="num" w:pos="1069"/>
        </w:tabs>
        <w:ind w:left="1069" w:hanging="360"/>
      </w:pPr>
      <w:rPr>
        <w:rFonts w:hint="default"/>
        <w:color w:val="auto"/>
        <w:sz w:val="22"/>
        <w:szCs w:val="22"/>
      </w:rPr>
    </w:lvl>
    <w:lvl w:ilvl="1" w:tplc="0C090001">
      <w:start w:val="1"/>
      <w:numFmt w:val="bullet"/>
      <w:lvlText w:val=""/>
      <w:lvlJc w:val="left"/>
      <w:pPr>
        <w:tabs>
          <w:tab w:val="num" w:pos="2149"/>
        </w:tabs>
        <w:ind w:left="2149" w:hanging="360"/>
      </w:pPr>
      <w:rPr>
        <w:rFonts w:ascii="Symbol" w:hAnsi="Symbol" w:hint="default"/>
      </w:rPr>
    </w:lvl>
    <w:lvl w:ilvl="2" w:tplc="C2ACD91E">
      <w:start w:val="1"/>
      <w:numFmt w:val="lowerLetter"/>
      <w:lvlText w:val="(%3)"/>
      <w:lvlJc w:val="left"/>
      <w:pPr>
        <w:tabs>
          <w:tab w:val="num" w:pos="3049"/>
        </w:tabs>
        <w:ind w:left="3049" w:hanging="360"/>
      </w:pPr>
      <w:rPr>
        <w:rFonts w:hint="default"/>
      </w:rPr>
    </w:lvl>
    <w:lvl w:ilvl="3" w:tplc="0C09000F" w:tentative="1">
      <w:start w:val="1"/>
      <w:numFmt w:val="decimal"/>
      <w:lvlText w:val="%4."/>
      <w:lvlJc w:val="left"/>
      <w:pPr>
        <w:tabs>
          <w:tab w:val="num" w:pos="3589"/>
        </w:tabs>
        <w:ind w:left="3589" w:hanging="360"/>
      </w:pPr>
    </w:lvl>
    <w:lvl w:ilvl="4" w:tplc="0C090019" w:tentative="1">
      <w:start w:val="1"/>
      <w:numFmt w:val="lowerLetter"/>
      <w:lvlText w:val="%5."/>
      <w:lvlJc w:val="left"/>
      <w:pPr>
        <w:tabs>
          <w:tab w:val="num" w:pos="4309"/>
        </w:tabs>
        <w:ind w:left="4309" w:hanging="360"/>
      </w:pPr>
    </w:lvl>
    <w:lvl w:ilvl="5" w:tplc="0C09001B" w:tentative="1">
      <w:start w:val="1"/>
      <w:numFmt w:val="lowerRoman"/>
      <w:lvlText w:val="%6."/>
      <w:lvlJc w:val="right"/>
      <w:pPr>
        <w:tabs>
          <w:tab w:val="num" w:pos="5029"/>
        </w:tabs>
        <w:ind w:left="5029" w:hanging="180"/>
      </w:pPr>
    </w:lvl>
    <w:lvl w:ilvl="6" w:tplc="0C09000F" w:tentative="1">
      <w:start w:val="1"/>
      <w:numFmt w:val="decimal"/>
      <w:lvlText w:val="%7."/>
      <w:lvlJc w:val="left"/>
      <w:pPr>
        <w:tabs>
          <w:tab w:val="num" w:pos="5749"/>
        </w:tabs>
        <w:ind w:left="5749" w:hanging="360"/>
      </w:pPr>
    </w:lvl>
    <w:lvl w:ilvl="7" w:tplc="0C090019" w:tentative="1">
      <w:start w:val="1"/>
      <w:numFmt w:val="lowerLetter"/>
      <w:lvlText w:val="%8."/>
      <w:lvlJc w:val="left"/>
      <w:pPr>
        <w:tabs>
          <w:tab w:val="num" w:pos="6469"/>
        </w:tabs>
        <w:ind w:left="6469" w:hanging="360"/>
      </w:pPr>
    </w:lvl>
    <w:lvl w:ilvl="8" w:tplc="0C09001B" w:tentative="1">
      <w:start w:val="1"/>
      <w:numFmt w:val="lowerRoman"/>
      <w:lvlText w:val="%9."/>
      <w:lvlJc w:val="right"/>
      <w:pPr>
        <w:tabs>
          <w:tab w:val="num" w:pos="7189"/>
        </w:tabs>
        <w:ind w:left="7189" w:hanging="180"/>
      </w:pPr>
    </w:lvl>
  </w:abstractNum>
  <w:abstractNum w:abstractNumId="12" w15:restartNumberingAfterBreak="0">
    <w:nsid w:val="6D8258E5"/>
    <w:multiLevelType w:val="multilevel"/>
    <w:tmpl w:val="293C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D22C33"/>
    <w:multiLevelType w:val="hybridMultilevel"/>
    <w:tmpl w:val="B394D870"/>
    <w:lvl w:ilvl="0" w:tplc="C2ACD91E">
      <w:start w:val="1"/>
      <w:numFmt w:val="lowerLetter"/>
      <w:lvlText w:val="(%1)"/>
      <w:lvlJc w:val="left"/>
      <w:pPr>
        <w:ind w:left="720" w:hanging="360"/>
      </w:pPr>
      <w:rPr>
        <w:rFonts w:hint="default"/>
        <w:color w:val="auto"/>
        <w:sz w:val="22"/>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42C00CA"/>
    <w:multiLevelType w:val="multilevel"/>
    <w:tmpl w:val="E664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AF3C6B"/>
    <w:multiLevelType w:val="hybridMultilevel"/>
    <w:tmpl w:val="0FD83842"/>
    <w:lvl w:ilvl="0" w:tplc="C2ACD91E">
      <w:start w:val="1"/>
      <w:numFmt w:val="lowerLetter"/>
      <w:lvlText w:val="(%1)"/>
      <w:lvlJc w:val="left"/>
      <w:pPr>
        <w:ind w:left="1080" w:hanging="360"/>
      </w:pPr>
      <w:rPr>
        <w:rFonts w:hint="default"/>
        <w:color w:val="auto"/>
        <w:sz w:val="22"/>
        <w:szCs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78022A71"/>
    <w:multiLevelType w:val="multilevel"/>
    <w:tmpl w:val="C59E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F066C7"/>
    <w:multiLevelType w:val="hybridMultilevel"/>
    <w:tmpl w:val="31B8C65C"/>
    <w:lvl w:ilvl="0" w:tplc="B19AF8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91E3AFC"/>
    <w:multiLevelType w:val="hybridMultilevel"/>
    <w:tmpl w:val="4CAAA60C"/>
    <w:lvl w:ilvl="0" w:tplc="C2ACD91E">
      <w:start w:val="1"/>
      <w:numFmt w:val="lowerLetter"/>
      <w:lvlText w:val="(%1)"/>
      <w:lvlJc w:val="left"/>
      <w:pPr>
        <w:tabs>
          <w:tab w:val="num" w:pos="720"/>
        </w:tabs>
        <w:ind w:left="720" w:hanging="360"/>
      </w:pPr>
      <w:rPr>
        <w:rFonts w:hint="default"/>
        <w:color w:val="auto"/>
        <w:sz w:val="22"/>
        <w:szCs w:val="22"/>
      </w:rPr>
    </w:lvl>
    <w:lvl w:ilvl="1" w:tplc="0C090001">
      <w:start w:val="1"/>
      <w:numFmt w:val="bullet"/>
      <w:lvlText w:val=""/>
      <w:lvlJc w:val="left"/>
      <w:pPr>
        <w:tabs>
          <w:tab w:val="num" w:pos="1800"/>
        </w:tabs>
        <w:ind w:left="1800" w:hanging="360"/>
      </w:pPr>
      <w:rPr>
        <w:rFonts w:ascii="Symbol" w:hAnsi="Symbol" w:hint="default"/>
      </w:rPr>
    </w:lvl>
    <w:lvl w:ilvl="2" w:tplc="C2ACD91E">
      <w:start w:val="1"/>
      <w:numFmt w:val="lowerLetter"/>
      <w:lvlText w:val="(%3)"/>
      <w:lvlJc w:val="left"/>
      <w:pPr>
        <w:tabs>
          <w:tab w:val="num" w:pos="2700"/>
        </w:tabs>
        <w:ind w:left="2700" w:hanging="360"/>
      </w:pPr>
      <w:rPr>
        <w:rFonts w:hint="default"/>
      </w:r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num w:numId="1">
    <w:abstractNumId w:val="8"/>
  </w:num>
  <w:num w:numId="2">
    <w:abstractNumId w:val="0"/>
  </w:num>
  <w:num w:numId="3">
    <w:abstractNumId w:val="9"/>
  </w:num>
  <w:num w:numId="4">
    <w:abstractNumId w:val="3"/>
  </w:num>
  <w:num w:numId="5">
    <w:abstractNumId w:val="18"/>
  </w:num>
  <w:num w:numId="6">
    <w:abstractNumId w:val="13"/>
  </w:num>
  <w:num w:numId="7">
    <w:abstractNumId w:val="10"/>
  </w:num>
  <w:num w:numId="8">
    <w:abstractNumId w:val="5"/>
  </w:num>
  <w:num w:numId="9">
    <w:abstractNumId w:val="15"/>
  </w:num>
  <w:num w:numId="10">
    <w:abstractNumId w:val="11"/>
  </w:num>
  <w:num w:numId="11">
    <w:abstractNumId w:val="6"/>
  </w:num>
  <w:num w:numId="12">
    <w:abstractNumId w:val="7"/>
  </w:num>
  <w:num w:numId="13">
    <w:abstractNumId w:val="4"/>
  </w:num>
  <w:num w:numId="14">
    <w:abstractNumId w:val="12"/>
  </w:num>
  <w:num w:numId="15">
    <w:abstractNumId w:val="1"/>
  </w:num>
  <w:num w:numId="16">
    <w:abstractNumId w:val="14"/>
  </w:num>
  <w:num w:numId="17">
    <w:abstractNumId w:val="16"/>
  </w:num>
  <w:num w:numId="18">
    <w:abstractNumId w:val="2"/>
  </w:num>
  <w:num w:numId="1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718"/>
    <w:rsid w:val="00005AB7"/>
    <w:rsid w:val="000102DF"/>
    <w:rsid w:val="000117B2"/>
    <w:rsid w:val="0001796D"/>
    <w:rsid w:val="00017BF0"/>
    <w:rsid w:val="000225EE"/>
    <w:rsid w:val="00022E02"/>
    <w:rsid w:val="00023EEE"/>
    <w:rsid w:val="0002568B"/>
    <w:rsid w:val="000264AF"/>
    <w:rsid w:val="00030C4F"/>
    <w:rsid w:val="00031B36"/>
    <w:rsid w:val="00034FB8"/>
    <w:rsid w:val="00043FA7"/>
    <w:rsid w:val="00045D97"/>
    <w:rsid w:val="00050EC2"/>
    <w:rsid w:val="000552E8"/>
    <w:rsid w:val="00056585"/>
    <w:rsid w:val="0005674F"/>
    <w:rsid w:val="0005778A"/>
    <w:rsid w:val="00065C6E"/>
    <w:rsid w:val="00072E6E"/>
    <w:rsid w:val="00073BAC"/>
    <w:rsid w:val="00073F1B"/>
    <w:rsid w:val="000745C4"/>
    <w:rsid w:val="00074A01"/>
    <w:rsid w:val="00075B58"/>
    <w:rsid w:val="000805C0"/>
    <w:rsid w:val="00081520"/>
    <w:rsid w:val="000829D5"/>
    <w:rsid w:val="00082AB1"/>
    <w:rsid w:val="0008463C"/>
    <w:rsid w:val="00085038"/>
    <w:rsid w:val="000854B2"/>
    <w:rsid w:val="00090ED0"/>
    <w:rsid w:val="000967FC"/>
    <w:rsid w:val="000978A9"/>
    <w:rsid w:val="000A13D4"/>
    <w:rsid w:val="000A2224"/>
    <w:rsid w:val="000A28BE"/>
    <w:rsid w:val="000A374E"/>
    <w:rsid w:val="000A3CC5"/>
    <w:rsid w:val="000B11DD"/>
    <w:rsid w:val="000B1785"/>
    <w:rsid w:val="000C390A"/>
    <w:rsid w:val="000C5C95"/>
    <w:rsid w:val="000C77DD"/>
    <w:rsid w:val="000D0BF2"/>
    <w:rsid w:val="000D3933"/>
    <w:rsid w:val="000D682B"/>
    <w:rsid w:val="000E0514"/>
    <w:rsid w:val="000E0B26"/>
    <w:rsid w:val="000E295B"/>
    <w:rsid w:val="000E2E8C"/>
    <w:rsid w:val="000E45A0"/>
    <w:rsid w:val="000E5D75"/>
    <w:rsid w:val="000F33C9"/>
    <w:rsid w:val="000F6910"/>
    <w:rsid w:val="00101CD5"/>
    <w:rsid w:val="001047BF"/>
    <w:rsid w:val="00107460"/>
    <w:rsid w:val="0011053F"/>
    <w:rsid w:val="00112415"/>
    <w:rsid w:val="00117CEC"/>
    <w:rsid w:val="001228D9"/>
    <w:rsid w:val="0013678D"/>
    <w:rsid w:val="00140A34"/>
    <w:rsid w:val="00141221"/>
    <w:rsid w:val="00146ED8"/>
    <w:rsid w:val="0015522F"/>
    <w:rsid w:val="00165CCA"/>
    <w:rsid w:val="00167202"/>
    <w:rsid w:val="00173004"/>
    <w:rsid w:val="00176F8B"/>
    <w:rsid w:val="0018111E"/>
    <w:rsid w:val="001828A4"/>
    <w:rsid w:val="001835DF"/>
    <w:rsid w:val="001875D4"/>
    <w:rsid w:val="001963FC"/>
    <w:rsid w:val="001A1C08"/>
    <w:rsid w:val="001A3BE2"/>
    <w:rsid w:val="001B1A47"/>
    <w:rsid w:val="001C35E7"/>
    <w:rsid w:val="001C4578"/>
    <w:rsid w:val="001D02E6"/>
    <w:rsid w:val="001F0184"/>
    <w:rsid w:val="001F28A6"/>
    <w:rsid w:val="001F2A16"/>
    <w:rsid w:val="001F6921"/>
    <w:rsid w:val="001F7BCE"/>
    <w:rsid w:val="001F7C3E"/>
    <w:rsid w:val="001F7E52"/>
    <w:rsid w:val="00201969"/>
    <w:rsid w:val="00202DA3"/>
    <w:rsid w:val="002057B2"/>
    <w:rsid w:val="002069FC"/>
    <w:rsid w:val="0021222C"/>
    <w:rsid w:val="00213FA5"/>
    <w:rsid w:val="0021496E"/>
    <w:rsid w:val="00222AFB"/>
    <w:rsid w:val="002305A2"/>
    <w:rsid w:val="00232028"/>
    <w:rsid w:val="00235AB2"/>
    <w:rsid w:val="0023733A"/>
    <w:rsid w:val="0024044F"/>
    <w:rsid w:val="00240CFB"/>
    <w:rsid w:val="002419C1"/>
    <w:rsid w:val="00244984"/>
    <w:rsid w:val="00245D00"/>
    <w:rsid w:val="00247785"/>
    <w:rsid w:val="00254A06"/>
    <w:rsid w:val="00255752"/>
    <w:rsid w:val="00256629"/>
    <w:rsid w:val="00257F2D"/>
    <w:rsid w:val="00262F9F"/>
    <w:rsid w:val="0026461F"/>
    <w:rsid w:val="00266009"/>
    <w:rsid w:val="00266D2D"/>
    <w:rsid w:val="00267082"/>
    <w:rsid w:val="00267905"/>
    <w:rsid w:val="0027313E"/>
    <w:rsid w:val="0027331F"/>
    <w:rsid w:val="002856C1"/>
    <w:rsid w:val="00285E76"/>
    <w:rsid w:val="002949C3"/>
    <w:rsid w:val="002A0E41"/>
    <w:rsid w:val="002A10A4"/>
    <w:rsid w:val="002A26FE"/>
    <w:rsid w:val="002A4B53"/>
    <w:rsid w:val="002A7C6F"/>
    <w:rsid w:val="002A7DD1"/>
    <w:rsid w:val="002B1423"/>
    <w:rsid w:val="002B6F67"/>
    <w:rsid w:val="002C0486"/>
    <w:rsid w:val="002C0EA8"/>
    <w:rsid w:val="002C712D"/>
    <w:rsid w:val="002D3E3F"/>
    <w:rsid w:val="002E2793"/>
    <w:rsid w:val="002E6076"/>
    <w:rsid w:val="002F1257"/>
    <w:rsid w:val="002F1928"/>
    <w:rsid w:val="003027DA"/>
    <w:rsid w:val="00310818"/>
    <w:rsid w:val="00310C61"/>
    <w:rsid w:val="00316CBD"/>
    <w:rsid w:val="003171B3"/>
    <w:rsid w:val="0032087A"/>
    <w:rsid w:val="0032171C"/>
    <w:rsid w:val="0032559D"/>
    <w:rsid w:val="00331616"/>
    <w:rsid w:val="00331763"/>
    <w:rsid w:val="00333567"/>
    <w:rsid w:val="0034283D"/>
    <w:rsid w:val="00342CE4"/>
    <w:rsid w:val="00343133"/>
    <w:rsid w:val="00344575"/>
    <w:rsid w:val="00344B51"/>
    <w:rsid w:val="00346D43"/>
    <w:rsid w:val="0035113C"/>
    <w:rsid w:val="00354525"/>
    <w:rsid w:val="00374385"/>
    <w:rsid w:val="00380CC4"/>
    <w:rsid w:val="00394533"/>
    <w:rsid w:val="00396E42"/>
    <w:rsid w:val="00397554"/>
    <w:rsid w:val="003A4D6E"/>
    <w:rsid w:val="003B16F2"/>
    <w:rsid w:val="003B34D2"/>
    <w:rsid w:val="003C0686"/>
    <w:rsid w:val="003C5195"/>
    <w:rsid w:val="003D08CF"/>
    <w:rsid w:val="003D0CBA"/>
    <w:rsid w:val="003D0F6A"/>
    <w:rsid w:val="003D4BA8"/>
    <w:rsid w:val="003E2C10"/>
    <w:rsid w:val="003E5269"/>
    <w:rsid w:val="003F08EC"/>
    <w:rsid w:val="0040000A"/>
    <w:rsid w:val="00400AF1"/>
    <w:rsid w:val="00405394"/>
    <w:rsid w:val="004066E4"/>
    <w:rsid w:val="0040680B"/>
    <w:rsid w:val="00406C6B"/>
    <w:rsid w:val="00407361"/>
    <w:rsid w:val="004131DC"/>
    <w:rsid w:val="00416CD1"/>
    <w:rsid w:val="004172C4"/>
    <w:rsid w:val="00417C55"/>
    <w:rsid w:val="00424A7B"/>
    <w:rsid w:val="0043167B"/>
    <w:rsid w:val="00431A1D"/>
    <w:rsid w:val="00432786"/>
    <w:rsid w:val="00441B36"/>
    <w:rsid w:val="004447C1"/>
    <w:rsid w:val="0044595B"/>
    <w:rsid w:val="00446AA8"/>
    <w:rsid w:val="0045590D"/>
    <w:rsid w:val="00460C8B"/>
    <w:rsid w:val="0046211F"/>
    <w:rsid w:val="0046787B"/>
    <w:rsid w:val="00471DF7"/>
    <w:rsid w:val="00472EE0"/>
    <w:rsid w:val="00486653"/>
    <w:rsid w:val="00487F25"/>
    <w:rsid w:val="00491CA7"/>
    <w:rsid w:val="00493CA7"/>
    <w:rsid w:val="004A32CD"/>
    <w:rsid w:val="004A517E"/>
    <w:rsid w:val="004A5FDA"/>
    <w:rsid w:val="004C50E3"/>
    <w:rsid w:val="004D098C"/>
    <w:rsid w:val="004D24A9"/>
    <w:rsid w:val="004D41FE"/>
    <w:rsid w:val="004E1508"/>
    <w:rsid w:val="004E3423"/>
    <w:rsid w:val="004E49E9"/>
    <w:rsid w:val="004E5357"/>
    <w:rsid w:val="004F3F26"/>
    <w:rsid w:val="004F4A07"/>
    <w:rsid w:val="004F5EB1"/>
    <w:rsid w:val="004F6887"/>
    <w:rsid w:val="005013CD"/>
    <w:rsid w:val="005024B3"/>
    <w:rsid w:val="005030AD"/>
    <w:rsid w:val="00504BBA"/>
    <w:rsid w:val="005122CA"/>
    <w:rsid w:val="0051249C"/>
    <w:rsid w:val="00512C66"/>
    <w:rsid w:val="005171C5"/>
    <w:rsid w:val="005176E7"/>
    <w:rsid w:val="00520330"/>
    <w:rsid w:val="00524A33"/>
    <w:rsid w:val="00524B6B"/>
    <w:rsid w:val="00526403"/>
    <w:rsid w:val="00526BFE"/>
    <w:rsid w:val="00527DA0"/>
    <w:rsid w:val="005324CA"/>
    <w:rsid w:val="00533193"/>
    <w:rsid w:val="0053436A"/>
    <w:rsid w:val="00535B18"/>
    <w:rsid w:val="005413EE"/>
    <w:rsid w:val="00543449"/>
    <w:rsid w:val="0055768F"/>
    <w:rsid w:val="00561862"/>
    <w:rsid w:val="00561B5A"/>
    <w:rsid w:val="0056438D"/>
    <w:rsid w:val="005645B8"/>
    <w:rsid w:val="005741B9"/>
    <w:rsid w:val="0057587F"/>
    <w:rsid w:val="005858F5"/>
    <w:rsid w:val="00587443"/>
    <w:rsid w:val="00587C50"/>
    <w:rsid w:val="005915CF"/>
    <w:rsid w:val="005917F3"/>
    <w:rsid w:val="005950FA"/>
    <w:rsid w:val="005962A8"/>
    <w:rsid w:val="005B0ACD"/>
    <w:rsid w:val="005B50A2"/>
    <w:rsid w:val="005C3408"/>
    <w:rsid w:val="005C50C5"/>
    <w:rsid w:val="005D3237"/>
    <w:rsid w:val="005D5119"/>
    <w:rsid w:val="005D611B"/>
    <w:rsid w:val="005E4232"/>
    <w:rsid w:val="005E5063"/>
    <w:rsid w:val="005E7E0F"/>
    <w:rsid w:val="005F1ACE"/>
    <w:rsid w:val="005F256D"/>
    <w:rsid w:val="005F3123"/>
    <w:rsid w:val="005F4F7F"/>
    <w:rsid w:val="005F7693"/>
    <w:rsid w:val="0060008E"/>
    <w:rsid w:val="0060183A"/>
    <w:rsid w:val="006018F8"/>
    <w:rsid w:val="00603110"/>
    <w:rsid w:val="00606061"/>
    <w:rsid w:val="00610D5B"/>
    <w:rsid w:val="00611C8E"/>
    <w:rsid w:val="006178CF"/>
    <w:rsid w:val="00625F87"/>
    <w:rsid w:val="006302F7"/>
    <w:rsid w:val="00631F30"/>
    <w:rsid w:val="00631F46"/>
    <w:rsid w:val="006379B6"/>
    <w:rsid w:val="00640CC2"/>
    <w:rsid w:val="00640F0C"/>
    <w:rsid w:val="00642420"/>
    <w:rsid w:val="00643196"/>
    <w:rsid w:val="00646158"/>
    <w:rsid w:val="006513F4"/>
    <w:rsid w:val="006563E3"/>
    <w:rsid w:val="00660E97"/>
    <w:rsid w:val="0066622C"/>
    <w:rsid w:val="00666487"/>
    <w:rsid w:val="006708F1"/>
    <w:rsid w:val="0067273E"/>
    <w:rsid w:val="0067323A"/>
    <w:rsid w:val="00673B37"/>
    <w:rsid w:val="00674511"/>
    <w:rsid w:val="006749F6"/>
    <w:rsid w:val="00677400"/>
    <w:rsid w:val="0068079B"/>
    <w:rsid w:val="006904C3"/>
    <w:rsid w:val="00691D66"/>
    <w:rsid w:val="00692A2F"/>
    <w:rsid w:val="00694272"/>
    <w:rsid w:val="006945EA"/>
    <w:rsid w:val="0069618F"/>
    <w:rsid w:val="00697785"/>
    <w:rsid w:val="006A59F3"/>
    <w:rsid w:val="006B5470"/>
    <w:rsid w:val="006B7FDA"/>
    <w:rsid w:val="006D0138"/>
    <w:rsid w:val="006D303D"/>
    <w:rsid w:val="006D5780"/>
    <w:rsid w:val="006D6F52"/>
    <w:rsid w:val="006D7724"/>
    <w:rsid w:val="006E2CB4"/>
    <w:rsid w:val="006E53E0"/>
    <w:rsid w:val="006F41F5"/>
    <w:rsid w:val="006F72F1"/>
    <w:rsid w:val="007009B1"/>
    <w:rsid w:val="00701447"/>
    <w:rsid w:val="00701718"/>
    <w:rsid w:val="007057AD"/>
    <w:rsid w:val="00706E7A"/>
    <w:rsid w:val="0070791D"/>
    <w:rsid w:val="00710359"/>
    <w:rsid w:val="00712FFF"/>
    <w:rsid w:val="00713B19"/>
    <w:rsid w:val="00713CC3"/>
    <w:rsid w:val="00716ABD"/>
    <w:rsid w:val="00720D4F"/>
    <w:rsid w:val="00722DBF"/>
    <w:rsid w:val="007246DA"/>
    <w:rsid w:val="00731D53"/>
    <w:rsid w:val="00735157"/>
    <w:rsid w:val="0073744A"/>
    <w:rsid w:val="007432BC"/>
    <w:rsid w:val="00743327"/>
    <w:rsid w:val="00755580"/>
    <w:rsid w:val="00755E42"/>
    <w:rsid w:val="00760450"/>
    <w:rsid w:val="007611EA"/>
    <w:rsid w:val="0076200F"/>
    <w:rsid w:val="0076271C"/>
    <w:rsid w:val="00762F86"/>
    <w:rsid w:val="007658BA"/>
    <w:rsid w:val="00766F27"/>
    <w:rsid w:val="007677FE"/>
    <w:rsid w:val="00767CE8"/>
    <w:rsid w:val="007701C8"/>
    <w:rsid w:val="00770A1E"/>
    <w:rsid w:val="0077282E"/>
    <w:rsid w:val="00775490"/>
    <w:rsid w:val="007831BF"/>
    <w:rsid w:val="0079035C"/>
    <w:rsid w:val="00791E21"/>
    <w:rsid w:val="00793FD0"/>
    <w:rsid w:val="00795D0C"/>
    <w:rsid w:val="00797F42"/>
    <w:rsid w:val="007A55BA"/>
    <w:rsid w:val="007B15BF"/>
    <w:rsid w:val="007B3EFD"/>
    <w:rsid w:val="007B4B53"/>
    <w:rsid w:val="007C1DC3"/>
    <w:rsid w:val="007C1FBD"/>
    <w:rsid w:val="007C235D"/>
    <w:rsid w:val="007C54B3"/>
    <w:rsid w:val="007C5C8E"/>
    <w:rsid w:val="007C5E35"/>
    <w:rsid w:val="007C7821"/>
    <w:rsid w:val="007C784B"/>
    <w:rsid w:val="007D3688"/>
    <w:rsid w:val="007D6BFC"/>
    <w:rsid w:val="007E0A01"/>
    <w:rsid w:val="007E22F5"/>
    <w:rsid w:val="007E79E8"/>
    <w:rsid w:val="007F2459"/>
    <w:rsid w:val="007F25F3"/>
    <w:rsid w:val="007F2D09"/>
    <w:rsid w:val="007F4901"/>
    <w:rsid w:val="00801183"/>
    <w:rsid w:val="00812FA5"/>
    <w:rsid w:val="008134AF"/>
    <w:rsid w:val="00820484"/>
    <w:rsid w:val="008219A1"/>
    <w:rsid w:val="00825AA6"/>
    <w:rsid w:val="00826DEB"/>
    <w:rsid w:val="0083001C"/>
    <w:rsid w:val="00832A78"/>
    <w:rsid w:val="00836B02"/>
    <w:rsid w:val="008438A1"/>
    <w:rsid w:val="008440F3"/>
    <w:rsid w:val="008467D4"/>
    <w:rsid w:val="00850FB0"/>
    <w:rsid w:val="0085238E"/>
    <w:rsid w:val="00853428"/>
    <w:rsid w:val="008540EA"/>
    <w:rsid w:val="008572FE"/>
    <w:rsid w:val="00864A46"/>
    <w:rsid w:val="00866A00"/>
    <w:rsid w:val="00866CF1"/>
    <w:rsid w:val="008702A6"/>
    <w:rsid w:val="008719D6"/>
    <w:rsid w:val="00874AC0"/>
    <w:rsid w:val="008757CE"/>
    <w:rsid w:val="008770A2"/>
    <w:rsid w:val="0088392C"/>
    <w:rsid w:val="008853E7"/>
    <w:rsid w:val="00897C0E"/>
    <w:rsid w:val="00897E31"/>
    <w:rsid w:val="008A046F"/>
    <w:rsid w:val="008A0BE6"/>
    <w:rsid w:val="008A21C4"/>
    <w:rsid w:val="008A272A"/>
    <w:rsid w:val="008A2829"/>
    <w:rsid w:val="008A2890"/>
    <w:rsid w:val="008A3A95"/>
    <w:rsid w:val="008A405A"/>
    <w:rsid w:val="008A6A6A"/>
    <w:rsid w:val="008B097A"/>
    <w:rsid w:val="008B5FB9"/>
    <w:rsid w:val="008B650A"/>
    <w:rsid w:val="008B787C"/>
    <w:rsid w:val="008C21A3"/>
    <w:rsid w:val="008C3898"/>
    <w:rsid w:val="008C66CC"/>
    <w:rsid w:val="008C7E6A"/>
    <w:rsid w:val="008D1C0D"/>
    <w:rsid w:val="008D351F"/>
    <w:rsid w:val="008E6CB4"/>
    <w:rsid w:val="008F483C"/>
    <w:rsid w:val="008F498F"/>
    <w:rsid w:val="00910595"/>
    <w:rsid w:val="00910756"/>
    <w:rsid w:val="00912D61"/>
    <w:rsid w:val="009132BA"/>
    <w:rsid w:val="00924A6F"/>
    <w:rsid w:val="00926D38"/>
    <w:rsid w:val="009322D7"/>
    <w:rsid w:val="00932BDE"/>
    <w:rsid w:val="009371D0"/>
    <w:rsid w:val="009431C0"/>
    <w:rsid w:val="0096382B"/>
    <w:rsid w:val="00967725"/>
    <w:rsid w:val="00971023"/>
    <w:rsid w:val="0097544E"/>
    <w:rsid w:val="0098195F"/>
    <w:rsid w:val="00985705"/>
    <w:rsid w:val="009902F8"/>
    <w:rsid w:val="00992724"/>
    <w:rsid w:val="00993B56"/>
    <w:rsid w:val="00993BB8"/>
    <w:rsid w:val="00994D75"/>
    <w:rsid w:val="0099555F"/>
    <w:rsid w:val="009A22A1"/>
    <w:rsid w:val="009A5B02"/>
    <w:rsid w:val="009B3A1B"/>
    <w:rsid w:val="009B6332"/>
    <w:rsid w:val="009C0912"/>
    <w:rsid w:val="009C5456"/>
    <w:rsid w:val="009C7261"/>
    <w:rsid w:val="009C7443"/>
    <w:rsid w:val="009D0D50"/>
    <w:rsid w:val="009D17AD"/>
    <w:rsid w:val="009D6694"/>
    <w:rsid w:val="009D68BA"/>
    <w:rsid w:val="009E00AA"/>
    <w:rsid w:val="009E0384"/>
    <w:rsid w:val="009E4462"/>
    <w:rsid w:val="009F0300"/>
    <w:rsid w:val="00A167A8"/>
    <w:rsid w:val="00A16963"/>
    <w:rsid w:val="00A21F0A"/>
    <w:rsid w:val="00A22B36"/>
    <w:rsid w:val="00A26011"/>
    <w:rsid w:val="00A27696"/>
    <w:rsid w:val="00A32887"/>
    <w:rsid w:val="00A335CB"/>
    <w:rsid w:val="00A4189A"/>
    <w:rsid w:val="00A506C2"/>
    <w:rsid w:val="00A56FA3"/>
    <w:rsid w:val="00A576D2"/>
    <w:rsid w:val="00A62886"/>
    <w:rsid w:val="00A67B45"/>
    <w:rsid w:val="00A7188C"/>
    <w:rsid w:val="00A74C38"/>
    <w:rsid w:val="00A77D24"/>
    <w:rsid w:val="00A8572F"/>
    <w:rsid w:val="00A8669D"/>
    <w:rsid w:val="00A92F56"/>
    <w:rsid w:val="00A93E07"/>
    <w:rsid w:val="00A94DB8"/>
    <w:rsid w:val="00A979CF"/>
    <w:rsid w:val="00AA2E7C"/>
    <w:rsid w:val="00AA4DF8"/>
    <w:rsid w:val="00AB780C"/>
    <w:rsid w:val="00AC2448"/>
    <w:rsid w:val="00AD0B0B"/>
    <w:rsid w:val="00AD1CA8"/>
    <w:rsid w:val="00AD5ADE"/>
    <w:rsid w:val="00AE5C82"/>
    <w:rsid w:val="00AE692B"/>
    <w:rsid w:val="00AE7138"/>
    <w:rsid w:val="00AF4CAF"/>
    <w:rsid w:val="00AF655F"/>
    <w:rsid w:val="00B0209C"/>
    <w:rsid w:val="00B0374B"/>
    <w:rsid w:val="00B07983"/>
    <w:rsid w:val="00B117BA"/>
    <w:rsid w:val="00B15F23"/>
    <w:rsid w:val="00B16508"/>
    <w:rsid w:val="00B20D87"/>
    <w:rsid w:val="00B24053"/>
    <w:rsid w:val="00B31550"/>
    <w:rsid w:val="00B4242C"/>
    <w:rsid w:val="00B428E5"/>
    <w:rsid w:val="00B4448B"/>
    <w:rsid w:val="00B520D4"/>
    <w:rsid w:val="00B526D6"/>
    <w:rsid w:val="00B56025"/>
    <w:rsid w:val="00B56337"/>
    <w:rsid w:val="00B578AC"/>
    <w:rsid w:val="00B62F06"/>
    <w:rsid w:val="00B6433F"/>
    <w:rsid w:val="00B64CF5"/>
    <w:rsid w:val="00B730C2"/>
    <w:rsid w:val="00B76C9B"/>
    <w:rsid w:val="00B76E36"/>
    <w:rsid w:val="00B80378"/>
    <w:rsid w:val="00B823A1"/>
    <w:rsid w:val="00B82773"/>
    <w:rsid w:val="00B8428B"/>
    <w:rsid w:val="00B85136"/>
    <w:rsid w:val="00B85C3F"/>
    <w:rsid w:val="00B876F8"/>
    <w:rsid w:val="00BA41F5"/>
    <w:rsid w:val="00BA421B"/>
    <w:rsid w:val="00BB3C9C"/>
    <w:rsid w:val="00BB64AD"/>
    <w:rsid w:val="00BB7E4A"/>
    <w:rsid w:val="00BC1248"/>
    <w:rsid w:val="00BC72D2"/>
    <w:rsid w:val="00BD07BB"/>
    <w:rsid w:val="00BD2D78"/>
    <w:rsid w:val="00BE2088"/>
    <w:rsid w:val="00BF4822"/>
    <w:rsid w:val="00BF6B1A"/>
    <w:rsid w:val="00C01D22"/>
    <w:rsid w:val="00C02133"/>
    <w:rsid w:val="00C026CD"/>
    <w:rsid w:val="00C104B6"/>
    <w:rsid w:val="00C10F02"/>
    <w:rsid w:val="00C114F4"/>
    <w:rsid w:val="00C11D03"/>
    <w:rsid w:val="00C16ABB"/>
    <w:rsid w:val="00C252D7"/>
    <w:rsid w:val="00C31967"/>
    <w:rsid w:val="00C33CE6"/>
    <w:rsid w:val="00C34C96"/>
    <w:rsid w:val="00C36726"/>
    <w:rsid w:val="00C371DE"/>
    <w:rsid w:val="00C37972"/>
    <w:rsid w:val="00C409AE"/>
    <w:rsid w:val="00C4143E"/>
    <w:rsid w:val="00C422CC"/>
    <w:rsid w:val="00C42D50"/>
    <w:rsid w:val="00C5115F"/>
    <w:rsid w:val="00C518FD"/>
    <w:rsid w:val="00C52C7E"/>
    <w:rsid w:val="00C53486"/>
    <w:rsid w:val="00C53ECF"/>
    <w:rsid w:val="00C54DF8"/>
    <w:rsid w:val="00C5648F"/>
    <w:rsid w:val="00C60B49"/>
    <w:rsid w:val="00C71D9E"/>
    <w:rsid w:val="00C7440A"/>
    <w:rsid w:val="00C84B99"/>
    <w:rsid w:val="00C85A36"/>
    <w:rsid w:val="00C85DE8"/>
    <w:rsid w:val="00C865ED"/>
    <w:rsid w:val="00C86756"/>
    <w:rsid w:val="00C8775A"/>
    <w:rsid w:val="00C92182"/>
    <w:rsid w:val="00CA0877"/>
    <w:rsid w:val="00CA6B59"/>
    <w:rsid w:val="00CB3B6C"/>
    <w:rsid w:val="00CB4B0A"/>
    <w:rsid w:val="00CB75F1"/>
    <w:rsid w:val="00CC1833"/>
    <w:rsid w:val="00CC189F"/>
    <w:rsid w:val="00CC3368"/>
    <w:rsid w:val="00CC3C94"/>
    <w:rsid w:val="00CC5F74"/>
    <w:rsid w:val="00CC6A1E"/>
    <w:rsid w:val="00CD49D3"/>
    <w:rsid w:val="00CE32CA"/>
    <w:rsid w:val="00CE49B3"/>
    <w:rsid w:val="00CE549B"/>
    <w:rsid w:val="00CE6CD9"/>
    <w:rsid w:val="00CE6E8F"/>
    <w:rsid w:val="00CE6F39"/>
    <w:rsid w:val="00CF19C4"/>
    <w:rsid w:val="00CF2B0A"/>
    <w:rsid w:val="00CF53B8"/>
    <w:rsid w:val="00D04D5B"/>
    <w:rsid w:val="00D128EA"/>
    <w:rsid w:val="00D13C04"/>
    <w:rsid w:val="00D15A8F"/>
    <w:rsid w:val="00D20A78"/>
    <w:rsid w:val="00D22398"/>
    <w:rsid w:val="00D26D37"/>
    <w:rsid w:val="00D278BA"/>
    <w:rsid w:val="00D32124"/>
    <w:rsid w:val="00D40454"/>
    <w:rsid w:val="00D4059C"/>
    <w:rsid w:val="00D50430"/>
    <w:rsid w:val="00D50CDA"/>
    <w:rsid w:val="00D52DBE"/>
    <w:rsid w:val="00D53A5E"/>
    <w:rsid w:val="00D53D8F"/>
    <w:rsid w:val="00D61C76"/>
    <w:rsid w:val="00D61F7D"/>
    <w:rsid w:val="00D65576"/>
    <w:rsid w:val="00D66BD4"/>
    <w:rsid w:val="00D72A7B"/>
    <w:rsid w:val="00D764CD"/>
    <w:rsid w:val="00D77015"/>
    <w:rsid w:val="00D86821"/>
    <w:rsid w:val="00D92B48"/>
    <w:rsid w:val="00D93371"/>
    <w:rsid w:val="00D93B2A"/>
    <w:rsid w:val="00D963F7"/>
    <w:rsid w:val="00D97298"/>
    <w:rsid w:val="00DA6163"/>
    <w:rsid w:val="00DB1693"/>
    <w:rsid w:val="00DB5ACC"/>
    <w:rsid w:val="00DC0355"/>
    <w:rsid w:val="00DC19E5"/>
    <w:rsid w:val="00DC2BDA"/>
    <w:rsid w:val="00DD55A9"/>
    <w:rsid w:val="00DD5B07"/>
    <w:rsid w:val="00DE2208"/>
    <w:rsid w:val="00DE6821"/>
    <w:rsid w:val="00DF2022"/>
    <w:rsid w:val="00DF34BE"/>
    <w:rsid w:val="00DF3FE0"/>
    <w:rsid w:val="00DF5890"/>
    <w:rsid w:val="00DF5D59"/>
    <w:rsid w:val="00E10B37"/>
    <w:rsid w:val="00E11841"/>
    <w:rsid w:val="00E147E9"/>
    <w:rsid w:val="00E239E4"/>
    <w:rsid w:val="00E331E2"/>
    <w:rsid w:val="00E33507"/>
    <w:rsid w:val="00E34272"/>
    <w:rsid w:val="00E36A38"/>
    <w:rsid w:val="00E40957"/>
    <w:rsid w:val="00E42259"/>
    <w:rsid w:val="00E438AB"/>
    <w:rsid w:val="00E45666"/>
    <w:rsid w:val="00E45EA4"/>
    <w:rsid w:val="00E4770D"/>
    <w:rsid w:val="00E53399"/>
    <w:rsid w:val="00E53658"/>
    <w:rsid w:val="00E54B24"/>
    <w:rsid w:val="00E577E2"/>
    <w:rsid w:val="00E6468A"/>
    <w:rsid w:val="00E669E9"/>
    <w:rsid w:val="00E70245"/>
    <w:rsid w:val="00E70A17"/>
    <w:rsid w:val="00E712ED"/>
    <w:rsid w:val="00E777DD"/>
    <w:rsid w:val="00E77995"/>
    <w:rsid w:val="00E814E4"/>
    <w:rsid w:val="00E82233"/>
    <w:rsid w:val="00E86EC5"/>
    <w:rsid w:val="00E87099"/>
    <w:rsid w:val="00E97D79"/>
    <w:rsid w:val="00EA28E6"/>
    <w:rsid w:val="00EA5C96"/>
    <w:rsid w:val="00EC0540"/>
    <w:rsid w:val="00EC35D0"/>
    <w:rsid w:val="00ED37E9"/>
    <w:rsid w:val="00ED6BC8"/>
    <w:rsid w:val="00EE3C3A"/>
    <w:rsid w:val="00EE50B6"/>
    <w:rsid w:val="00EF07C1"/>
    <w:rsid w:val="00EF1A20"/>
    <w:rsid w:val="00EF2E08"/>
    <w:rsid w:val="00EF46AE"/>
    <w:rsid w:val="00EF78C4"/>
    <w:rsid w:val="00F004BB"/>
    <w:rsid w:val="00F00CDC"/>
    <w:rsid w:val="00F04CD7"/>
    <w:rsid w:val="00F0703B"/>
    <w:rsid w:val="00F112D6"/>
    <w:rsid w:val="00F13BB7"/>
    <w:rsid w:val="00F13F54"/>
    <w:rsid w:val="00F14392"/>
    <w:rsid w:val="00F159E2"/>
    <w:rsid w:val="00F20C13"/>
    <w:rsid w:val="00F21513"/>
    <w:rsid w:val="00F2332F"/>
    <w:rsid w:val="00F23E15"/>
    <w:rsid w:val="00F244A2"/>
    <w:rsid w:val="00F35064"/>
    <w:rsid w:val="00F36F38"/>
    <w:rsid w:val="00F374D8"/>
    <w:rsid w:val="00F37F9C"/>
    <w:rsid w:val="00F45284"/>
    <w:rsid w:val="00F473C2"/>
    <w:rsid w:val="00F513BF"/>
    <w:rsid w:val="00F539FB"/>
    <w:rsid w:val="00F5684D"/>
    <w:rsid w:val="00F57AB6"/>
    <w:rsid w:val="00F6277C"/>
    <w:rsid w:val="00F6480F"/>
    <w:rsid w:val="00F64868"/>
    <w:rsid w:val="00F70C2E"/>
    <w:rsid w:val="00F716E1"/>
    <w:rsid w:val="00F721B0"/>
    <w:rsid w:val="00F75CA0"/>
    <w:rsid w:val="00F77B63"/>
    <w:rsid w:val="00F84DF2"/>
    <w:rsid w:val="00F86713"/>
    <w:rsid w:val="00F91DC5"/>
    <w:rsid w:val="00F932E0"/>
    <w:rsid w:val="00F933FA"/>
    <w:rsid w:val="00FA0D32"/>
    <w:rsid w:val="00FB7701"/>
    <w:rsid w:val="00FC40F0"/>
    <w:rsid w:val="00FC6D3B"/>
    <w:rsid w:val="00FC7115"/>
    <w:rsid w:val="00FC7F99"/>
    <w:rsid w:val="00FD0129"/>
    <w:rsid w:val="00FD42DF"/>
    <w:rsid w:val="00FE17ED"/>
    <w:rsid w:val="00FE1BBE"/>
    <w:rsid w:val="00FE3689"/>
    <w:rsid w:val="00FE4342"/>
    <w:rsid w:val="00FE6486"/>
    <w:rsid w:val="00FF4315"/>
    <w:rsid w:val="00FF4D57"/>
    <w:rsid w:val="00FF6D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5AC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55F"/>
    <w:rPr>
      <w:sz w:val="24"/>
    </w:rPr>
  </w:style>
  <w:style w:type="paragraph" w:styleId="Heading2">
    <w:name w:val="heading 2"/>
    <w:basedOn w:val="Normal"/>
    <w:next w:val="Normal"/>
    <w:qFormat/>
    <w:rsid w:val="00240CFB"/>
    <w:pPr>
      <w:keepNext/>
      <w:spacing w:after="120"/>
      <w:outlineLvl w:val="1"/>
    </w:pPr>
    <w:rPr>
      <w:rFonts w:ascii="Arial" w:hAnsi="Arial" w:cs="Arial"/>
      <w:b/>
      <w:sz w:val="22"/>
      <w:szCs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aliases w:val="FOOTNOTE,MAC footnote text"/>
    <w:basedOn w:val="Normal"/>
    <w:link w:val="FootnoteTextChar"/>
    <w:uiPriority w:val="99"/>
    <w:qFormat/>
    <w:rsid w:val="00F35064"/>
    <w:rPr>
      <w:sz w:val="20"/>
    </w:rPr>
  </w:style>
  <w:style w:type="character" w:styleId="FootnoteReference">
    <w:name w:val="footnote reference"/>
    <w:aliases w:val="MAC footnote reference"/>
    <w:basedOn w:val="DefaultParagraphFont"/>
    <w:uiPriority w:val="99"/>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uiPriority w:val="99"/>
    <w:semiHidden/>
    <w:rsid w:val="00A26011"/>
    <w:rPr>
      <w:sz w:val="16"/>
      <w:szCs w:val="16"/>
    </w:rPr>
  </w:style>
  <w:style w:type="paragraph" w:styleId="CommentText">
    <w:name w:val="annotation text"/>
    <w:basedOn w:val="Normal"/>
    <w:link w:val="CommentTextChar"/>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uiPriority w:val="34"/>
    <w:qFormat/>
    <w:rsid w:val="00075B58"/>
    <w:pPr>
      <w:spacing w:after="200" w:line="276" w:lineRule="auto"/>
      <w:ind w:left="720"/>
    </w:pPr>
    <w:rPr>
      <w:rFonts w:ascii="Calibri" w:eastAsia="Calibri" w:hAnsi="Calibri"/>
      <w:sz w:val="22"/>
      <w:szCs w:val="22"/>
      <w:lang w:eastAsia="en-US"/>
    </w:rPr>
  </w:style>
  <w:style w:type="character" w:customStyle="1" w:styleId="HeaderChar">
    <w:name w:val="Header Char"/>
    <w:basedOn w:val="DefaultParagraphFont"/>
    <w:link w:val="Header"/>
    <w:rsid w:val="00AC2448"/>
    <w:rPr>
      <w:sz w:val="24"/>
    </w:rPr>
  </w:style>
  <w:style w:type="character" w:customStyle="1" w:styleId="CommentTextChar">
    <w:name w:val="Comment Text Char"/>
    <w:basedOn w:val="DefaultParagraphFont"/>
    <w:link w:val="CommentText"/>
    <w:rsid w:val="00640CC2"/>
  </w:style>
  <w:style w:type="paragraph" w:customStyle="1" w:styleId="Body">
    <w:name w:val="Body"/>
    <w:basedOn w:val="Normal"/>
    <w:qFormat/>
    <w:rsid w:val="00F00CDC"/>
    <w:pPr>
      <w:spacing w:before="120" w:after="120" w:line="240" w:lineRule="atLeast"/>
    </w:pPr>
    <w:rPr>
      <w:rFonts w:ascii="Arial" w:eastAsiaTheme="minorHAnsi" w:hAnsi="Arial" w:cstheme="minorBidi"/>
      <w:sz w:val="20"/>
      <w:szCs w:val="22"/>
      <w:lang w:eastAsia="en-US"/>
    </w:rPr>
  </w:style>
  <w:style w:type="character" w:customStyle="1" w:styleId="FootnoteTextChar">
    <w:name w:val="Footnote Text Char"/>
    <w:aliases w:val="FOOTNOTE Char,MAC footnote text Char"/>
    <w:basedOn w:val="DefaultParagraphFont"/>
    <w:link w:val="FootnoteText"/>
    <w:uiPriority w:val="99"/>
    <w:rsid w:val="009E4462"/>
  </w:style>
  <w:style w:type="character" w:customStyle="1" w:styleId="UnresolvedMention">
    <w:name w:val="Unresolved Mention"/>
    <w:basedOn w:val="DefaultParagraphFont"/>
    <w:uiPriority w:val="99"/>
    <w:semiHidden/>
    <w:unhideWhenUsed/>
    <w:rsid w:val="00CE6E8F"/>
    <w:rPr>
      <w:color w:val="605E5C"/>
      <w:shd w:val="clear" w:color="auto" w:fill="E1DFDD"/>
    </w:rPr>
  </w:style>
  <w:style w:type="paragraph" w:customStyle="1" w:styleId="Default">
    <w:name w:val="Default"/>
    <w:rsid w:val="004131DC"/>
    <w:pPr>
      <w:autoSpaceDE w:val="0"/>
      <w:autoSpaceDN w:val="0"/>
      <w:adjustRightInd w:val="0"/>
    </w:pPr>
    <w:rPr>
      <w:rFonts w:ascii="Calibri" w:eastAsiaTheme="minorHAnsi" w:hAnsi="Calibri" w:cs="Calibri"/>
      <w:color w:val="000000"/>
      <w:sz w:val="24"/>
      <w:szCs w:val="24"/>
      <w:lang w:eastAsia="en-US"/>
    </w:rPr>
  </w:style>
  <w:style w:type="paragraph" w:styleId="Revision">
    <w:name w:val="Revision"/>
    <w:hidden/>
    <w:uiPriority w:val="99"/>
    <w:semiHidden/>
    <w:rsid w:val="007658BA"/>
    <w:rPr>
      <w:sz w:val="24"/>
    </w:rPr>
  </w:style>
  <w:style w:type="paragraph" w:customStyle="1" w:styleId="paragraph">
    <w:name w:val="paragraph"/>
    <w:aliases w:val="a"/>
    <w:basedOn w:val="Normal"/>
    <w:link w:val="paragraphChar"/>
    <w:rsid w:val="00F721B0"/>
    <w:pPr>
      <w:spacing w:before="100" w:beforeAutospacing="1" w:after="100" w:afterAutospacing="1"/>
    </w:pPr>
    <w:rPr>
      <w:rFonts w:ascii="Calibri" w:eastAsiaTheme="minorHAnsi" w:hAnsi="Calibri" w:cs="Calibri"/>
      <w:sz w:val="22"/>
      <w:szCs w:val="22"/>
    </w:rPr>
  </w:style>
  <w:style w:type="character" w:styleId="FollowedHyperlink">
    <w:name w:val="FollowedHyperlink"/>
    <w:basedOn w:val="DefaultParagraphFont"/>
    <w:semiHidden/>
    <w:unhideWhenUsed/>
    <w:rsid w:val="00432786"/>
    <w:rPr>
      <w:color w:val="800080" w:themeColor="followedHyperlink"/>
      <w:u w:val="single"/>
    </w:rPr>
  </w:style>
  <w:style w:type="paragraph" w:customStyle="1" w:styleId="subsection">
    <w:name w:val="subsection"/>
    <w:aliases w:val="ss"/>
    <w:basedOn w:val="Normal"/>
    <w:link w:val="subsectionChar"/>
    <w:rsid w:val="005858F5"/>
    <w:pPr>
      <w:tabs>
        <w:tab w:val="right" w:pos="1021"/>
      </w:tabs>
      <w:spacing w:before="180"/>
      <w:ind w:left="1134" w:hanging="1134"/>
    </w:pPr>
    <w:rPr>
      <w:sz w:val="22"/>
      <w:szCs w:val="22"/>
      <w:lang w:eastAsia="en-US"/>
    </w:rPr>
  </w:style>
  <w:style w:type="character" w:customStyle="1" w:styleId="subsectionChar">
    <w:name w:val="subsection Char"/>
    <w:aliases w:val="ss Char"/>
    <w:basedOn w:val="DefaultParagraphFont"/>
    <w:link w:val="subsection"/>
    <w:locked/>
    <w:rsid w:val="005858F5"/>
    <w:rPr>
      <w:sz w:val="22"/>
      <w:szCs w:val="22"/>
      <w:lang w:eastAsia="en-US"/>
    </w:rPr>
  </w:style>
  <w:style w:type="character" w:customStyle="1" w:styleId="paragraphChar">
    <w:name w:val="paragraph Char"/>
    <w:aliases w:val="a Char"/>
    <w:basedOn w:val="DefaultParagraphFont"/>
    <w:link w:val="paragraph"/>
    <w:locked/>
    <w:rsid w:val="005858F5"/>
    <w:rPr>
      <w:rFonts w:ascii="Calibri" w:eastAsiaTheme="minorHAnsi" w:hAnsi="Calibri" w:cs="Calibri"/>
      <w:sz w:val="22"/>
      <w:szCs w:val="22"/>
    </w:rPr>
  </w:style>
  <w:style w:type="paragraph" w:customStyle="1" w:styleId="TLPNotebullet">
    <w:name w:val="TLPNote(bullet)"/>
    <w:basedOn w:val="Normal"/>
    <w:rsid w:val="005858F5"/>
    <w:pPr>
      <w:numPr>
        <w:numId w:val="12"/>
      </w:numPr>
      <w:tabs>
        <w:tab w:val="clear" w:pos="2517"/>
        <w:tab w:val="left" w:pos="357"/>
      </w:tabs>
      <w:spacing w:before="60" w:line="198" w:lineRule="exact"/>
      <w:ind w:left="0" w:firstLine="0"/>
    </w:pPr>
    <w:rPr>
      <w:sz w:val="18"/>
      <w:szCs w:val="22"/>
      <w:lang w:eastAsia="en-US"/>
    </w:rPr>
  </w:style>
  <w:style w:type="character" w:styleId="Strong">
    <w:name w:val="Strong"/>
    <w:basedOn w:val="DefaultParagraphFont"/>
    <w:uiPriority w:val="22"/>
    <w:qFormat/>
    <w:rsid w:val="005E42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7609">
      <w:bodyDiv w:val="1"/>
      <w:marLeft w:val="0"/>
      <w:marRight w:val="0"/>
      <w:marTop w:val="0"/>
      <w:marBottom w:val="0"/>
      <w:divBdr>
        <w:top w:val="none" w:sz="0" w:space="0" w:color="auto"/>
        <w:left w:val="none" w:sz="0" w:space="0" w:color="auto"/>
        <w:bottom w:val="none" w:sz="0" w:space="0" w:color="auto"/>
        <w:right w:val="none" w:sz="0" w:space="0" w:color="auto"/>
      </w:divBdr>
    </w:div>
    <w:div w:id="211430829">
      <w:bodyDiv w:val="1"/>
      <w:marLeft w:val="0"/>
      <w:marRight w:val="0"/>
      <w:marTop w:val="0"/>
      <w:marBottom w:val="0"/>
      <w:divBdr>
        <w:top w:val="none" w:sz="0" w:space="0" w:color="auto"/>
        <w:left w:val="none" w:sz="0" w:space="0" w:color="auto"/>
        <w:bottom w:val="none" w:sz="0" w:space="0" w:color="auto"/>
        <w:right w:val="none" w:sz="0" w:space="0" w:color="auto"/>
      </w:divBdr>
      <w:divsChild>
        <w:div w:id="1148284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3223714">
      <w:bodyDiv w:val="1"/>
      <w:marLeft w:val="0"/>
      <w:marRight w:val="0"/>
      <w:marTop w:val="0"/>
      <w:marBottom w:val="0"/>
      <w:divBdr>
        <w:top w:val="none" w:sz="0" w:space="0" w:color="auto"/>
        <w:left w:val="none" w:sz="0" w:space="0" w:color="auto"/>
        <w:bottom w:val="none" w:sz="0" w:space="0" w:color="auto"/>
        <w:right w:val="none" w:sz="0" w:space="0" w:color="auto"/>
      </w:divBdr>
    </w:div>
    <w:div w:id="280116781">
      <w:bodyDiv w:val="1"/>
      <w:marLeft w:val="0"/>
      <w:marRight w:val="0"/>
      <w:marTop w:val="0"/>
      <w:marBottom w:val="0"/>
      <w:divBdr>
        <w:top w:val="none" w:sz="0" w:space="0" w:color="auto"/>
        <w:left w:val="none" w:sz="0" w:space="0" w:color="auto"/>
        <w:bottom w:val="none" w:sz="0" w:space="0" w:color="auto"/>
        <w:right w:val="none" w:sz="0" w:space="0" w:color="auto"/>
      </w:divBdr>
    </w:div>
    <w:div w:id="662658151">
      <w:bodyDiv w:val="1"/>
      <w:marLeft w:val="0"/>
      <w:marRight w:val="0"/>
      <w:marTop w:val="0"/>
      <w:marBottom w:val="0"/>
      <w:divBdr>
        <w:top w:val="none" w:sz="0" w:space="0" w:color="auto"/>
        <w:left w:val="none" w:sz="0" w:space="0" w:color="auto"/>
        <w:bottom w:val="none" w:sz="0" w:space="0" w:color="auto"/>
        <w:right w:val="none" w:sz="0" w:space="0" w:color="auto"/>
      </w:divBdr>
    </w:div>
    <w:div w:id="826552531">
      <w:bodyDiv w:val="1"/>
      <w:marLeft w:val="0"/>
      <w:marRight w:val="0"/>
      <w:marTop w:val="0"/>
      <w:marBottom w:val="0"/>
      <w:divBdr>
        <w:top w:val="none" w:sz="0" w:space="0" w:color="auto"/>
        <w:left w:val="none" w:sz="0" w:space="0" w:color="auto"/>
        <w:bottom w:val="none" w:sz="0" w:space="0" w:color="auto"/>
        <w:right w:val="none" w:sz="0" w:space="0" w:color="auto"/>
      </w:divBdr>
    </w:div>
    <w:div w:id="984242822">
      <w:bodyDiv w:val="1"/>
      <w:marLeft w:val="0"/>
      <w:marRight w:val="0"/>
      <w:marTop w:val="0"/>
      <w:marBottom w:val="0"/>
      <w:divBdr>
        <w:top w:val="none" w:sz="0" w:space="0" w:color="auto"/>
        <w:left w:val="none" w:sz="0" w:space="0" w:color="auto"/>
        <w:bottom w:val="none" w:sz="0" w:space="0" w:color="auto"/>
        <w:right w:val="none" w:sz="0" w:space="0" w:color="auto"/>
      </w:divBdr>
    </w:div>
    <w:div w:id="1004623097">
      <w:bodyDiv w:val="1"/>
      <w:marLeft w:val="0"/>
      <w:marRight w:val="0"/>
      <w:marTop w:val="0"/>
      <w:marBottom w:val="0"/>
      <w:divBdr>
        <w:top w:val="none" w:sz="0" w:space="0" w:color="auto"/>
        <w:left w:val="none" w:sz="0" w:space="0" w:color="auto"/>
        <w:bottom w:val="none" w:sz="0" w:space="0" w:color="auto"/>
        <w:right w:val="none" w:sz="0" w:space="0" w:color="auto"/>
      </w:divBdr>
    </w:div>
    <w:div w:id="1029643571">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114254097">
      <w:bodyDiv w:val="1"/>
      <w:marLeft w:val="0"/>
      <w:marRight w:val="0"/>
      <w:marTop w:val="0"/>
      <w:marBottom w:val="0"/>
      <w:divBdr>
        <w:top w:val="none" w:sz="0" w:space="0" w:color="auto"/>
        <w:left w:val="none" w:sz="0" w:space="0" w:color="auto"/>
        <w:bottom w:val="none" w:sz="0" w:space="0" w:color="auto"/>
        <w:right w:val="none" w:sz="0" w:space="0" w:color="auto"/>
      </w:divBdr>
    </w:div>
    <w:div w:id="1501657881">
      <w:bodyDiv w:val="1"/>
      <w:marLeft w:val="0"/>
      <w:marRight w:val="0"/>
      <w:marTop w:val="0"/>
      <w:marBottom w:val="0"/>
      <w:divBdr>
        <w:top w:val="none" w:sz="0" w:space="0" w:color="auto"/>
        <w:left w:val="none" w:sz="0" w:space="0" w:color="auto"/>
        <w:bottom w:val="none" w:sz="0" w:space="0" w:color="auto"/>
        <w:right w:val="none" w:sz="0" w:space="0" w:color="auto"/>
      </w:divBdr>
    </w:div>
    <w:div w:id="2043751291">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mod@treasury.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4BB94-B076-40B3-BEDF-D4FB8ED8B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2872</Words>
  <Characters>16162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18997</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Framework Explanatory Statement</dc:title>
  <dc:creator/>
  <cp:lastModifiedBy/>
  <cp:revision>1</cp:revision>
  <dcterms:created xsi:type="dcterms:W3CDTF">2021-03-12T00:03:00Z</dcterms:created>
  <dcterms:modified xsi:type="dcterms:W3CDTF">2021-03-12T00:03:00Z</dcterms:modified>
</cp:coreProperties>
</file>