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52DA5C" w14:textId="77777777" w:rsidR="00543981" w:rsidRPr="00543981" w:rsidRDefault="0009111F" w:rsidP="00766BC9">
      <w:pPr>
        <w:pStyle w:val="Header"/>
        <w:pBdr>
          <w:top w:val="double" w:sz="4" w:space="1" w:color="auto"/>
          <w:bottom w:val="double" w:sz="4" w:space="1" w:color="auto"/>
        </w:pBdr>
        <w:tabs>
          <w:tab w:val="clear" w:pos="4153"/>
          <w:tab w:val="clear" w:pos="8306"/>
        </w:tabs>
        <w:jc w:val="center"/>
        <w:rPr>
          <w:rFonts w:ascii="Arial" w:hAnsi="Arial" w:cs="Arial"/>
          <w:sz w:val="34"/>
          <w:szCs w:val="34"/>
        </w:rPr>
      </w:pPr>
      <w:r w:rsidRPr="00543981">
        <w:rPr>
          <w:rFonts w:ascii="Arial" w:hAnsi="Arial" w:cs="Arial"/>
          <w:sz w:val="34"/>
          <w:szCs w:val="34"/>
        </w:rPr>
        <w:t>Legislative Instrument</w:t>
      </w:r>
    </w:p>
    <w:p w14:paraId="062DDD73" w14:textId="77777777" w:rsidR="007A010E" w:rsidRPr="00543981" w:rsidRDefault="007A010E" w:rsidP="000B2F8D">
      <w:pPr>
        <w:pStyle w:val="Header"/>
        <w:pBdr>
          <w:top w:val="double" w:sz="4" w:space="1" w:color="auto"/>
          <w:bottom w:val="double" w:sz="4" w:space="1" w:color="auto"/>
        </w:pBdr>
        <w:tabs>
          <w:tab w:val="clear" w:pos="4153"/>
          <w:tab w:val="clear" w:pos="8306"/>
        </w:tabs>
        <w:rPr>
          <w:rFonts w:ascii="Arial" w:hAnsi="Arial" w:cs="Arial"/>
          <w:color w:val="FF0000"/>
          <w:sz w:val="34"/>
          <w:szCs w:val="34"/>
        </w:rPr>
      </w:pPr>
    </w:p>
    <w:p w14:paraId="5D42445C" w14:textId="2BD1E069" w:rsidR="00543981" w:rsidRPr="00543981" w:rsidRDefault="00DA3719" w:rsidP="00766BC9">
      <w:pPr>
        <w:pStyle w:val="Header"/>
        <w:pBdr>
          <w:top w:val="double" w:sz="4" w:space="1" w:color="auto"/>
          <w:bottom w:val="double" w:sz="4" w:space="1" w:color="auto"/>
        </w:pBdr>
        <w:tabs>
          <w:tab w:val="clear" w:pos="4153"/>
          <w:tab w:val="clear" w:pos="8306"/>
        </w:tabs>
        <w:jc w:val="center"/>
        <w:rPr>
          <w:rFonts w:ascii="Arial" w:hAnsi="Arial" w:cs="Arial"/>
          <w:sz w:val="34"/>
          <w:szCs w:val="34"/>
        </w:rPr>
      </w:pPr>
      <w:r>
        <w:rPr>
          <w:rFonts w:ascii="Arial" w:hAnsi="Arial" w:cs="Arial"/>
          <w:sz w:val="34"/>
          <w:szCs w:val="34"/>
        </w:rPr>
        <w:t xml:space="preserve">Corporations </w:t>
      </w:r>
      <w:r w:rsidR="005611E3">
        <w:rPr>
          <w:rFonts w:ascii="Arial" w:hAnsi="Arial" w:cs="Arial"/>
          <w:sz w:val="34"/>
          <w:szCs w:val="34"/>
        </w:rPr>
        <w:t>(</w:t>
      </w:r>
      <w:r>
        <w:rPr>
          <w:rFonts w:ascii="Arial" w:hAnsi="Arial" w:cs="Arial"/>
          <w:sz w:val="34"/>
          <w:szCs w:val="34"/>
        </w:rPr>
        <w:t>Director Identification Number</w:t>
      </w:r>
      <w:r w:rsidR="005611E3">
        <w:rPr>
          <w:rFonts w:ascii="Arial" w:hAnsi="Arial" w:cs="Arial"/>
          <w:sz w:val="34"/>
          <w:szCs w:val="34"/>
        </w:rPr>
        <w:t>)</w:t>
      </w:r>
      <w:r>
        <w:rPr>
          <w:rFonts w:ascii="Arial" w:hAnsi="Arial" w:cs="Arial"/>
          <w:sz w:val="34"/>
          <w:szCs w:val="34"/>
        </w:rPr>
        <w:t xml:space="preserve"> Disclosure Framework</w:t>
      </w:r>
      <w:r w:rsidR="005611E3">
        <w:rPr>
          <w:rFonts w:ascii="Arial" w:hAnsi="Arial" w:cs="Arial"/>
          <w:sz w:val="34"/>
          <w:szCs w:val="34"/>
        </w:rPr>
        <w:t xml:space="preserve"> </w:t>
      </w:r>
      <w:r>
        <w:rPr>
          <w:rFonts w:ascii="Arial" w:hAnsi="Arial" w:cs="Arial"/>
          <w:sz w:val="34"/>
          <w:szCs w:val="34"/>
        </w:rPr>
        <w:t>(</w:t>
      </w:r>
      <w:r w:rsidR="00AC7DC0">
        <w:rPr>
          <w:rFonts w:ascii="Arial" w:hAnsi="Arial" w:cs="Arial"/>
          <w:sz w:val="34"/>
          <w:szCs w:val="34"/>
        </w:rPr>
        <w:t>PGPA Bodies</w:t>
      </w:r>
      <w:r w:rsidR="003A3ECF">
        <w:rPr>
          <w:rFonts w:ascii="Arial" w:hAnsi="Arial" w:cs="Arial"/>
          <w:sz w:val="34"/>
          <w:szCs w:val="34"/>
        </w:rPr>
        <w:t>, courts and tribunals</w:t>
      </w:r>
      <w:r>
        <w:rPr>
          <w:rFonts w:ascii="Arial" w:hAnsi="Arial" w:cs="Arial"/>
          <w:sz w:val="34"/>
          <w:szCs w:val="34"/>
        </w:rPr>
        <w:t>)</w:t>
      </w:r>
      <w:r w:rsidR="00B971F2" w:rsidRPr="00B971F2">
        <w:rPr>
          <w:rFonts w:ascii="Arial" w:hAnsi="Arial" w:cs="Arial"/>
          <w:sz w:val="34"/>
          <w:szCs w:val="34"/>
        </w:rPr>
        <w:t xml:space="preserve"> </w:t>
      </w:r>
      <w:r w:rsidR="00B971F2">
        <w:rPr>
          <w:rFonts w:ascii="Arial" w:hAnsi="Arial" w:cs="Arial"/>
          <w:sz w:val="34"/>
          <w:szCs w:val="34"/>
        </w:rPr>
        <w:t>202</w:t>
      </w:r>
      <w:r w:rsidR="00AC7DC0">
        <w:rPr>
          <w:rFonts w:ascii="Arial" w:hAnsi="Arial" w:cs="Arial"/>
          <w:sz w:val="34"/>
          <w:szCs w:val="34"/>
        </w:rPr>
        <w:t>1</w:t>
      </w:r>
    </w:p>
    <w:p w14:paraId="3BF9507A" w14:textId="338A5742" w:rsidR="000A1078" w:rsidRPr="00410152" w:rsidRDefault="000A1078" w:rsidP="00766BC9">
      <w:pPr>
        <w:rPr>
          <w:rFonts w:ascii="Arial" w:hAnsi="Arial" w:cs="Arial"/>
          <w:sz w:val="22"/>
          <w:szCs w:val="22"/>
        </w:rPr>
      </w:pPr>
    </w:p>
    <w:p w14:paraId="133A6C87" w14:textId="77777777" w:rsidR="00B813C3" w:rsidRPr="00410152" w:rsidRDefault="00B813C3" w:rsidP="00766BC9">
      <w:pPr>
        <w:rPr>
          <w:rFonts w:ascii="Arial" w:hAnsi="Arial" w:cs="Arial"/>
          <w:sz w:val="22"/>
          <w:szCs w:val="22"/>
        </w:rPr>
      </w:pPr>
    </w:p>
    <w:p w14:paraId="34F33418" w14:textId="11AA6C12" w:rsidR="00B813C3" w:rsidRPr="00C53446" w:rsidRDefault="00B22A28" w:rsidP="00B22A28">
      <w:pPr>
        <w:spacing w:after="12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Pr="00A16FA2">
        <w:rPr>
          <w:rFonts w:ascii="Arial" w:hAnsi="Arial" w:cs="Arial"/>
          <w:sz w:val="22"/>
          <w:szCs w:val="22"/>
        </w:rPr>
        <w:t xml:space="preserve">, </w:t>
      </w:r>
      <w:r w:rsidR="00A16FA2" w:rsidRPr="00A16FA2">
        <w:rPr>
          <w:rFonts w:ascii="Arial" w:hAnsi="Arial" w:cs="Arial"/>
          <w:bCs/>
          <w:sz w:val="22"/>
          <w:szCs w:val="22"/>
        </w:rPr>
        <w:t>[Name]</w:t>
      </w:r>
      <w:r w:rsidR="00A16FA2" w:rsidRPr="00A16FA2">
        <w:rPr>
          <w:rFonts w:ascii="Arial" w:hAnsi="Arial" w:cs="Arial"/>
          <w:sz w:val="22"/>
          <w:szCs w:val="22"/>
        </w:rPr>
        <w:t>, [Title</w:t>
      </w:r>
      <w:r w:rsidR="00A16FA2" w:rsidRPr="005A4F29">
        <w:rPr>
          <w:rFonts w:ascii="Arial" w:hAnsi="Arial" w:cs="Arial"/>
          <w:sz w:val="22"/>
          <w:szCs w:val="22"/>
        </w:rPr>
        <w:t xml:space="preserve">], </w:t>
      </w:r>
      <w:r w:rsidR="005A4F29" w:rsidRPr="005A4F29">
        <w:rPr>
          <w:rFonts w:ascii="Arial" w:hAnsi="Arial" w:cs="Arial"/>
          <w:sz w:val="22"/>
          <w:szCs w:val="22"/>
        </w:rPr>
        <w:t>in my capacity as the Registrar,</w:t>
      </w:r>
      <w:r w:rsidR="005A4F29" w:rsidRPr="0036002E">
        <w:rPr>
          <w:rFonts w:asciiTheme="minorHAnsi" w:hAnsiTheme="minorHAnsi" w:cs="Arial"/>
          <w:sz w:val="22"/>
          <w:szCs w:val="22"/>
        </w:rPr>
        <w:t xml:space="preserve"> </w:t>
      </w:r>
      <w:r w:rsidRPr="00A16FA2">
        <w:rPr>
          <w:rFonts w:ascii="Arial" w:hAnsi="Arial" w:cs="Arial"/>
          <w:sz w:val="22"/>
          <w:szCs w:val="22"/>
        </w:rPr>
        <w:t>make this disclosure</w:t>
      </w:r>
      <w:r>
        <w:rPr>
          <w:rFonts w:ascii="Arial" w:hAnsi="Arial" w:cs="Arial"/>
          <w:sz w:val="22"/>
          <w:szCs w:val="22"/>
        </w:rPr>
        <w:t xml:space="preserve"> framework under</w:t>
      </w:r>
      <w:r w:rsidR="00B813C3" w:rsidRPr="00543981">
        <w:rPr>
          <w:rFonts w:ascii="Arial" w:hAnsi="Arial" w:cs="Arial"/>
          <w:sz w:val="22"/>
          <w:szCs w:val="22"/>
        </w:rPr>
        <w:t xml:space="preserve"> </w:t>
      </w:r>
      <w:r w:rsidR="00C53446" w:rsidRPr="00C53446">
        <w:rPr>
          <w:rFonts w:ascii="Arial" w:hAnsi="Arial" w:cs="Arial"/>
          <w:sz w:val="22"/>
          <w:szCs w:val="22"/>
        </w:rPr>
        <w:t xml:space="preserve">section 1270K of the </w:t>
      </w:r>
      <w:r w:rsidR="00C53446" w:rsidRPr="00C53446">
        <w:rPr>
          <w:rFonts w:ascii="Arial" w:hAnsi="Arial" w:cs="Arial"/>
          <w:i/>
          <w:sz w:val="22"/>
          <w:szCs w:val="22"/>
        </w:rPr>
        <w:t>Corporations Act 2001</w:t>
      </w:r>
      <w:r w:rsidR="00FF1002">
        <w:rPr>
          <w:rFonts w:ascii="Arial" w:hAnsi="Arial" w:cs="Arial"/>
          <w:iCs/>
          <w:sz w:val="22"/>
          <w:szCs w:val="22"/>
        </w:rPr>
        <w:t>.</w:t>
      </w:r>
      <w:r w:rsidR="008B18CC">
        <w:rPr>
          <w:rFonts w:ascii="Arial" w:hAnsi="Arial" w:cs="Arial"/>
          <w:iCs/>
          <w:sz w:val="22"/>
          <w:szCs w:val="22"/>
        </w:rPr>
        <w:t xml:space="preserve"> </w:t>
      </w:r>
    </w:p>
    <w:p w14:paraId="71225D73" w14:textId="77777777" w:rsidR="00B813C3" w:rsidRPr="00543981" w:rsidRDefault="00B813C3" w:rsidP="00766BC9">
      <w:pPr>
        <w:rPr>
          <w:rFonts w:ascii="Arial" w:hAnsi="Arial" w:cs="Arial"/>
          <w:sz w:val="22"/>
          <w:szCs w:val="22"/>
        </w:rPr>
      </w:pPr>
    </w:p>
    <w:p w14:paraId="4E67F1B9" w14:textId="77777777" w:rsidR="00B813C3" w:rsidRPr="00410152" w:rsidRDefault="00B813C3" w:rsidP="00766BC9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791B4D26" w14:textId="5130D210" w:rsidR="00740DDC" w:rsidRDefault="00A16FA2" w:rsidP="00740DDC">
      <w:pPr>
        <w:rPr>
          <w:rFonts w:ascii="Arial" w:hAnsi="Arial" w:cs="Arial"/>
          <w:b/>
          <w:sz w:val="22"/>
          <w:szCs w:val="22"/>
        </w:rPr>
      </w:pPr>
      <w:r w:rsidRPr="00A16FA2">
        <w:rPr>
          <w:rFonts w:ascii="Arial" w:hAnsi="Arial" w:cs="Arial"/>
          <w:bCs/>
          <w:sz w:val="22"/>
          <w:szCs w:val="22"/>
        </w:rPr>
        <w:t>[</w:t>
      </w:r>
      <w:r w:rsidRPr="00A16FA2">
        <w:rPr>
          <w:rFonts w:ascii="Arial" w:hAnsi="Arial" w:cs="Arial"/>
          <w:b/>
          <w:sz w:val="22"/>
          <w:szCs w:val="22"/>
        </w:rPr>
        <w:t>Name</w:t>
      </w:r>
      <w:r w:rsidRPr="00A16FA2">
        <w:rPr>
          <w:rFonts w:ascii="Arial" w:hAnsi="Arial" w:cs="Arial"/>
          <w:bCs/>
          <w:sz w:val="22"/>
          <w:szCs w:val="22"/>
        </w:rPr>
        <w:t>]</w:t>
      </w:r>
    </w:p>
    <w:p w14:paraId="276B9DF9" w14:textId="067586B2" w:rsidR="00740DDC" w:rsidRDefault="00A16FA2" w:rsidP="00740DDC">
      <w:pPr>
        <w:rPr>
          <w:rFonts w:ascii="Arial" w:hAnsi="Arial" w:cs="Arial"/>
          <w:sz w:val="22"/>
          <w:szCs w:val="22"/>
        </w:rPr>
      </w:pPr>
      <w:r w:rsidRPr="00A16FA2">
        <w:rPr>
          <w:rFonts w:ascii="Arial" w:hAnsi="Arial" w:cs="Arial"/>
          <w:sz w:val="22"/>
          <w:szCs w:val="22"/>
        </w:rPr>
        <w:t>[Title]</w:t>
      </w:r>
    </w:p>
    <w:p w14:paraId="7AA926C8" w14:textId="3442A767" w:rsidR="00B813C3" w:rsidRDefault="00740DDC" w:rsidP="00740DDC">
      <w:pPr>
        <w:pBdr>
          <w:bottom w:val="double" w:sz="4" w:space="1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Dated: </w:t>
      </w:r>
      <w:proofErr w:type="spellStart"/>
      <w:r>
        <w:rPr>
          <w:rFonts w:ascii="Arial" w:hAnsi="Arial" w:cs="Arial"/>
          <w:sz w:val="22"/>
          <w:szCs w:val="22"/>
        </w:rPr>
        <w:t>dd</w:t>
      </w:r>
      <w:proofErr w:type="spellEnd"/>
      <w:r>
        <w:rPr>
          <w:rFonts w:ascii="Arial" w:hAnsi="Arial" w:cs="Arial"/>
          <w:sz w:val="22"/>
          <w:szCs w:val="22"/>
        </w:rPr>
        <w:t xml:space="preserve"> month </w:t>
      </w:r>
      <w:proofErr w:type="spellStart"/>
      <w:r>
        <w:rPr>
          <w:rFonts w:ascii="Arial" w:hAnsi="Arial" w:cs="Arial"/>
          <w:sz w:val="22"/>
          <w:szCs w:val="22"/>
        </w:rPr>
        <w:t>yyyy</w:t>
      </w:r>
      <w:proofErr w:type="spellEnd"/>
    </w:p>
    <w:p w14:paraId="7C1CFB72" w14:textId="77777777" w:rsidR="00740DDC" w:rsidRPr="00543981" w:rsidRDefault="00740DDC" w:rsidP="00740DDC">
      <w:pPr>
        <w:pBdr>
          <w:bottom w:val="double" w:sz="4" w:space="1" w:color="auto"/>
        </w:pBdr>
        <w:rPr>
          <w:rFonts w:ascii="Arial" w:hAnsi="Arial" w:cs="Arial"/>
          <w:sz w:val="22"/>
          <w:szCs w:val="22"/>
        </w:rPr>
      </w:pPr>
    </w:p>
    <w:p w14:paraId="4641BA6C" w14:textId="77777777" w:rsidR="00B813C3" w:rsidRPr="00543981" w:rsidRDefault="00B813C3" w:rsidP="00766BC9">
      <w:pPr>
        <w:rPr>
          <w:rFonts w:ascii="Arial" w:hAnsi="Arial" w:cs="Arial"/>
          <w:sz w:val="22"/>
          <w:szCs w:val="22"/>
        </w:rPr>
      </w:pPr>
    </w:p>
    <w:p w14:paraId="62998D23" w14:textId="77777777" w:rsidR="00B813C3" w:rsidRPr="00085451" w:rsidRDefault="00B813C3" w:rsidP="00766BC9">
      <w:pPr>
        <w:pStyle w:val="Heading2"/>
        <w:numPr>
          <w:ilvl w:val="0"/>
          <w:numId w:val="2"/>
        </w:numPr>
        <w:tabs>
          <w:tab w:val="clear" w:pos="720"/>
        </w:tabs>
        <w:ind w:left="709" w:hanging="709"/>
        <w:rPr>
          <w:rFonts w:cs="Arial"/>
          <w:szCs w:val="22"/>
        </w:rPr>
      </w:pPr>
      <w:r w:rsidRPr="00085451">
        <w:rPr>
          <w:rFonts w:cs="Arial"/>
          <w:szCs w:val="22"/>
        </w:rPr>
        <w:t>Name of instrument</w:t>
      </w:r>
    </w:p>
    <w:p w14:paraId="2B89822F" w14:textId="5E6034AE" w:rsidR="00624504" w:rsidRPr="005611E3" w:rsidRDefault="00B813C3" w:rsidP="00766BC9">
      <w:pPr>
        <w:spacing w:after="120"/>
        <w:rPr>
          <w:rFonts w:ascii="Arial" w:hAnsi="Arial" w:cs="Arial"/>
          <w:sz w:val="22"/>
          <w:szCs w:val="22"/>
        </w:rPr>
      </w:pPr>
      <w:r w:rsidRPr="00543981">
        <w:rPr>
          <w:rFonts w:ascii="Arial" w:hAnsi="Arial" w:cs="Arial"/>
          <w:sz w:val="22"/>
          <w:szCs w:val="22"/>
        </w:rPr>
        <w:t xml:space="preserve">This </w:t>
      </w:r>
      <w:r w:rsidR="00140F2E" w:rsidRPr="00543981">
        <w:rPr>
          <w:rFonts w:ascii="Arial" w:hAnsi="Arial" w:cs="Arial"/>
          <w:sz w:val="22"/>
          <w:szCs w:val="22"/>
        </w:rPr>
        <w:t xml:space="preserve">instrument </w:t>
      </w:r>
      <w:r w:rsidRPr="005611E3">
        <w:rPr>
          <w:rFonts w:ascii="Arial" w:hAnsi="Arial" w:cs="Arial"/>
          <w:sz w:val="22"/>
          <w:szCs w:val="22"/>
        </w:rPr>
        <w:t>is</w:t>
      </w:r>
      <w:r w:rsidR="00AB3F75">
        <w:rPr>
          <w:rFonts w:ascii="Arial" w:hAnsi="Arial" w:cs="Arial"/>
          <w:sz w:val="22"/>
          <w:szCs w:val="22"/>
        </w:rPr>
        <w:t xml:space="preserve"> </w:t>
      </w:r>
      <w:bookmarkStart w:id="1" w:name="_Hlk46493886"/>
      <w:r w:rsidRPr="005611E3">
        <w:rPr>
          <w:rFonts w:ascii="Arial" w:hAnsi="Arial" w:cs="Arial"/>
          <w:sz w:val="22"/>
          <w:szCs w:val="22"/>
        </w:rPr>
        <w:t xml:space="preserve">the </w:t>
      </w:r>
      <w:r w:rsidR="005611E3" w:rsidRPr="005611E3">
        <w:rPr>
          <w:rFonts w:ascii="Arial" w:hAnsi="Arial" w:cs="Arial"/>
          <w:i/>
          <w:iCs/>
          <w:sz w:val="22"/>
          <w:szCs w:val="22"/>
        </w:rPr>
        <w:t>Corporations (Director Identification Number) Disclosure Framework (</w:t>
      </w:r>
      <w:r w:rsidR="00AC7DC0">
        <w:rPr>
          <w:rFonts w:ascii="Arial" w:hAnsi="Arial" w:cs="Arial"/>
          <w:i/>
          <w:iCs/>
          <w:sz w:val="22"/>
          <w:szCs w:val="22"/>
        </w:rPr>
        <w:t>PGPA Bodies</w:t>
      </w:r>
      <w:r w:rsidR="003A3ECF">
        <w:rPr>
          <w:rFonts w:ascii="Arial" w:hAnsi="Arial" w:cs="Arial"/>
          <w:i/>
          <w:iCs/>
          <w:sz w:val="22"/>
          <w:szCs w:val="22"/>
        </w:rPr>
        <w:t>, courts and tribunals</w:t>
      </w:r>
      <w:r w:rsidR="005611E3" w:rsidRPr="005611E3">
        <w:rPr>
          <w:rFonts w:ascii="Arial" w:hAnsi="Arial" w:cs="Arial"/>
          <w:i/>
          <w:iCs/>
          <w:sz w:val="22"/>
          <w:szCs w:val="22"/>
        </w:rPr>
        <w:t>)</w:t>
      </w:r>
      <w:bookmarkEnd w:id="1"/>
      <w:r w:rsidR="00B971F2" w:rsidRPr="00B971F2">
        <w:rPr>
          <w:rFonts w:ascii="Arial" w:hAnsi="Arial" w:cs="Arial"/>
          <w:i/>
          <w:iCs/>
          <w:sz w:val="22"/>
          <w:szCs w:val="22"/>
        </w:rPr>
        <w:t xml:space="preserve"> </w:t>
      </w:r>
      <w:r w:rsidR="00B971F2" w:rsidRPr="005611E3">
        <w:rPr>
          <w:rFonts w:ascii="Arial" w:hAnsi="Arial" w:cs="Arial"/>
          <w:i/>
          <w:iCs/>
          <w:sz w:val="22"/>
          <w:szCs w:val="22"/>
        </w:rPr>
        <w:t>202</w:t>
      </w:r>
      <w:r w:rsidR="00AC7DC0">
        <w:rPr>
          <w:rFonts w:ascii="Arial" w:hAnsi="Arial" w:cs="Arial"/>
          <w:i/>
          <w:iCs/>
          <w:sz w:val="22"/>
          <w:szCs w:val="22"/>
        </w:rPr>
        <w:t>1</w:t>
      </w:r>
      <w:r w:rsidR="005611E3">
        <w:rPr>
          <w:rFonts w:ascii="Arial" w:hAnsi="Arial" w:cs="Arial"/>
          <w:sz w:val="22"/>
          <w:szCs w:val="22"/>
        </w:rPr>
        <w:t>.</w:t>
      </w:r>
    </w:p>
    <w:p w14:paraId="1AF06622" w14:textId="77777777" w:rsidR="00B813C3" w:rsidRPr="00543981" w:rsidRDefault="00B813C3" w:rsidP="00766BC9">
      <w:pPr>
        <w:spacing w:after="120"/>
        <w:rPr>
          <w:rFonts w:ascii="Arial" w:hAnsi="Arial" w:cs="Arial"/>
          <w:sz w:val="22"/>
          <w:szCs w:val="22"/>
        </w:rPr>
      </w:pPr>
    </w:p>
    <w:p w14:paraId="138AD542" w14:textId="77777777" w:rsidR="00B813C3" w:rsidRPr="00085451" w:rsidRDefault="00B813C3" w:rsidP="00766BC9">
      <w:pPr>
        <w:pStyle w:val="Heading2"/>
        <w:numPr>
          <w:ilvl w:val="0"/>
          <w:numId w:val="2"/>
        </w:numPr>
        <w:tabs>
          <w:tab w:val="clear" w:pos="720"/>
        </w:tabs>
        <w:ind w:left="709" w:hanging="709"/>
        <w:rPr>
          <w:rFonts w:cs="Arial"/>
          <w:szCs w:val="22"/>
        </w:rPr>
      </w:pPr>
      <w:r w:rsidRPr="00085451">
        <w:rPr>
          <w:rFonts w:cs="Arial"/>
          <w:szCs w:val="22"/>
        </w:rPr>
        <w:t>Commencement</w:t>
      </w:r>
    </w:p>
    <w:p w14:paraId="06B5827E" w14:textId="77777777" w:rsidR="00AC7DC0" w:rsidRDefault="00B813C3" w:rsidP="00766BC9">
      <w:pPr>
        <w:spacing w:after="120"/>
        <w:rPr>
          <w:rFonts w:ascii="Arial" w:hAnsi="Arial" w:cs="Arial"/>
          <w:sz w:val="22"/>
          <w:szCs w:val="22"/>
        </w:rPr>
      </w:pPr>
      <w:r w:rsidRPr="00543981">
        <w:rPr>
          <w:rFonts w:ascii="Arial" w:hAnsi="Arial" w:cs="Arial"/>
          <w:sz w:val="22"/>
          <w:szCs w:val="22"/>
        </w:rPr>
        <w:t xml:space="preserve">This instrument </w:t>
      </w:r>
      <w:r w:rsidRPr="00B971F2">
        <w:rPr>
          <w:rFonts w:ascii="Arial" w:hAnsi="Arial" w:cs="Arial"/>
          <w:sz w:val="22"/>
          <w:szCs w:val="22"/>
        </w:rPr>
        <w:t>commences on the</w:t>
      </w:r>
      <w:r w:rsidR="00AC7DC0">
        <w:rPr>
          <w:rFonts w:ascii="Arial" w:hAnsi="Arial" w:cs="Arial"/>
          <w:sz w:val="22"/>
          <w:szCs w:val="22"/>
        </w:rPr>
        <w:t xml:space="preserve"> later of:</w:t>
      </w:r>
    </w:p>
    <w:p w14:paraId="50241393" w14:textId="3CAF5070" w:rsidR="00B813C3" w:rsidRDefault="00AC7DC0" w:rsidP="00AC7DC0">
      <w:pPr>
        <w:pStyle w:val="ListParagraph"/>
        <w:numPr>
          <w:ilvl w:val="0"/>
          <w:numId w:val="14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B813C3" w:rsidRPr="00AC7DC0">
        <w:rPr>
          <w:rFonts w:ascii="Arial" w:hAnsi="Arial" w:cs="Arial"/>
          <w:sz w:val="22"/>
          <w:szCs w:val="22"/>
        </w:rPr>
        <w:t>day after it is registered on the Federal Register of Legislation</w:t>
      </w:r>
      <w:r>
        <w:rPr>
          <w:rFonts w:ascii="Arial" w:hAnsi="Arial" w:cs="Arial"/>
          <w:sz w:val="22"/>
          <w:szCs w:val="22"/>
        </w:rPr>
        <w:t>; and</w:t>
      </w:r>
    </w:p>
    <w:p w14:paraId="2CADBD2B" w14:textId="7D7CC300" w:rsidR="00AC7DC0" w:rsidRPr="00AC7DC0" w:rsidRDefault="00AC7DC0" w:rsidP="00AC7DC0">
      <w:pPr>
        <w:pStyle w:val="ListParagraph"/>
        <w:numPr>
          <w:ilvl w:val="0"/>
          <w:numId w:val="14"/>
        </w:numPr>
        <w:spacing w:after="120"/>
        <w:rPr>
          <w:rFonts w:ascii="Arial" w:hAnsi="Arial" w:cs="Arial"/>
          <w:sz w:val="22"/>
          <w:szCs w:val="22"/>
        </w:rPr>
      </w:pPr>
      <w:r w:rsidRPr="00B9624F">
        <w:rPr>
          <w:rFonts w:ascii="Arial" w:hAnsi="Arial" w:cs="Arial"/>
          <w:sz w:val="22"/>
          <w:szCs w:val="22"/>
        </w:rPr>
        <w:t xml:space="preserve">the day on which </w:t>
      </w:r>
      <w:r w:rsidR="00A75164">
        <w:rPr>
          <w:rFonts w:ascii="Arial" w:hAnsi="Arial" w:cs="Arial"/>
          <w:sz w:val="22"/>
          <w:szCs w:val="22"/>
        </w:rPr>
        <w:t xml:space="preserve">Part 9.1A </w:t>
      </w:r>
      <w:r w:rsidRPr="00B9624F">
        <w:rPr>
          <w:rFonts w:ascii="Arial" w:hAnsi="Arial" w:cs="Arial"/>
          <w:sz w:val="22"/>
          <w:szCs w:val="22"/>
        </w:rPr>
        <w:t xml:space="preserve">of the </w:t>
      </w:r>
      <w:r w:rsidRPr="00C53446">
        <w:rPr>
          <w:rFonts w:ascii="Arial" w:hAnsi="Arial" w:cs="Arial"/>
          <w:i/>
          <w:sz w:val="22"/>
          <w:szCs w:val="22"/>
        </w:rPr>
        <w:t>Corporations Act 2001</w:t>
      </w:r>
      <w:r w:rsidR="005F7EA4">
        <w:rPr>
          <w:rFonts w:ascii="Arial" w:hAnsi="Arial" w:cs="Arial"/>
          <w:iCs/>
          <w:sz w:val="22"/>
          <w:szCs w:val="22"/>
        </w:rPr>
        <w:t xml:space="preserve"> (Corporations Act)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B9624F">
        <w:rPr>
          <w:rFonts w:ascii="Arial" w:hAnsi="Arial" w:cs="Arial"/>
          <w:sz w:val="22"/>
          <w:szCs w:val="22"/>
        </w:rPr>
        <w:t>commences.</w:t>
      </w:r>
    </w:p>
    <w:p w14:paraId="130FDD00" w14:textId="77777777" w:rsidR="00B813C3" w:rsidRPr="00410152" w:rsidRDefault="00B813C3" w:rsidP="00766BC9">
      <w:pPr>
        <w:spacing w:after="120"/>
        <w:rPr>
          <w:rFonts w:ascii="Arial" w:hAnsi="Arial" w:cs="Arial"/>
          <w:sz w:val="22"/>
          <w:szCs w:val="22"/>
        </w:rPr>
      </w:pPr>
    </w:p>
    <w:p w14:paraId="629E005F" w14:textId="77777777" w:rsidR="00B813C3" w:rsidRPr="00085451" w:rsidRDefault="00B813C3" w:rsidP="00766BC9">
      <w:pPr>
        <w:pStyle w:val="Heading2"/>
        <w:numPr>
          <w:ilvl w:val="0"/>
          <w:numId w:val="2"/>
        </w:numPr>
        <w:tabs>
          <w:tab w:val="clear" w:pos="720"/>
        </w:tabs>
        <w:ind w:left="709" w:hanging="709"/>
        <w:rPr>
          <w:rFonts w:cs="Arial"/>
          <w:szCs w:val="22"/>
        </w:rPr>
      </w:pPr>
      <w:r w:rsidRPr="00085451">
        <w:rPr>
          <w:rFonts w:cs="Arial"/>
          <w:szCs w:val="22"/>
        </w:rPr>
        <w:t>Application</w:t>
      </w:r>
    </w:p>
    <w:p w14:paraId="37FEA97E" w14:textId="25A9937B" w:rsidR="00B813C3" w:rsidRPr="00761654" w:rsidRDefault="00B813C3" w:rsidP="00761654">
      <w:pPr>
        <w:spacing w:after="120"/>
        <w:rPr>
          <w:rFonts w:ascii="Arial" w:hAnsi="Arial" w:cs="Arial"/>
          <w:sz w:val="22"/>
          <w:szCs w:val="22"/>
        </w:rPr>
      </w:pPr>
      <w:r w:rsidRPr="00543981">
        <w:rPr>
          <w:rFonts w:ascii="Arial" w:hAnsi="Arial" w:cs="Arial"/>
          <w:sz w:val="22"/>
          <w:szCs w:val="22"/>
        </w:rPr>
        <w:t xml:space="preserve">This instrument </w:t>
      </w:r>
      <w:r w:rsidR="001B05DD">
        <w:rPr>
          <w:rFonts w:ascii="Arial" w:hAnsi="Arial" w:cs="Arial"/>
          <w:sz w:val="22"/>
          <w:szCs w:val="22"/>
        </w:rPr>
        <w:t xml:space="preserve">is made under </w:t>
      </w:r>
      <w:bookmarkStart w:id="2" w:name="_Hlk46493910"/>
      <w:r w:rsidR="001B05DD" w:rsidRPr="00C53446">
        <w:rPr>
          <w:rFonts w:ascii="Arial" w:hAnsi="Arial" w:cs="Arial"/>
          <w:sz w:val="22"/>
          <w:szCs w:val="22"/>
        </w:rPr>
        <w:t xml:space="preserve">section 1270K of the </w:t>
      </w:r>
      <w:bookmarkEnd w:id="2"/>
      <w:r w:rsidR="005F7EA4">
        <w:rPr>
          <w:rFonts w:ascii="Arial" w:hAnsi="Arial" w:cs="Arial"/>
          <w:iCs/>
          <w:sz w:val="22"/>
          <w:szCs w:val="22"/>
        </w:rPr>
        <w:t>Corporations Act</w:t>
      </w:r>
      <w:r w:rsidR="005F7EA4" w:rsidRPr="00FF1002">
        <w:rPr>
          <w:rFonts w:ascii="Arial" w:hAnsi="Arial" w:cs="Arial"/>
          <w:iCs/>
          <w:sz w:val="22"/>
          <w:szCs w:val="22"/>
        </w:rPr>
        <w:t xml:space="preserve"> </w:t>
      </w:r>
      <w:r w:rsidR="00FF1002" w:rsidRPr="00FF1002">
        <w:rPr>
          <w:rFonts w:ascii="Arial" w:hAnsi="Arial" w:cs="Arial"/>
          <w:iCs/>
          <w:sz w:val="22"/>
          <w:szCs w:val="22"/>
        </w:rPr>
        <w:t>and</w:t>
      </w:r>
      <w:r w:rsidR="00FF1002">
        <w:rPr>
          <w:rFonts w:ascii="Arial" w:hAnsi="Arial" w:cs="Arial"/>
          <w:i/>
          <w:sz w:val="22"/>
          <w:szCs w:val="22"/>
        </w:rPr>
        <w:t xml:space="preserve"> </w:t>
      </w:r>
      <w:r w:rsidR="00A861D8">
        <w:rPr>
          <w:rFonts w:ascii="Arial" w:hAnsi="Arial" w:cs="Arial"/>
          <w:sz w:val="22"/>
          <w:szCs w:val="22"/>
        </w:rPr>
        <w:t>relates</w:t>
      </w:r>
      <w:r w:rsidR="00A861D8" w:rsidRPr="00761654">
        <w:rPr>
          <w:rFonts w:ascii="Arial" w:hAnsi="Arial" w:cs="Arial"/>
          <w:sz w:val="22"/>
          <w:szCs w:val="22"/>
        </w:rPr>
        <w:t xml:space="preserve"> </w:t>
      </w:r>
      <w:r w:rsidRPr="00761654">
        <w:rPr>
          <w:rFonts w:ascii="Arial" w:hAnsi="Arial" w:cs="Arial"/>
          <w:sz w:val="22"/>
          <w:szCs w:val="22"/>
        </w:rPr>
        <w:t>to</w:t>
      </w:r>
      <w:r w:rsidR="00A861D8">
        <w:rPr>
          <w:rFonts w:ascii="Arial" w:hAnsi="Arial" w:cs="Arial"/>
          <w:sz w:val="22"/>
          <w:szCs w:val="22"/>
        </w:rPr>
        <w:t xml:space="preserve"> the disclosure of protected information that is</w:t>
      </w:r>
      <w:r w:rsidR="00F46356" w:rsidRPr="00761654">
        <w:rPr>
          <w:rFonts w:ascii="Arial" w:hAnsi="Arial" w:cs="Arial"/>
          <w:sz w:val="22"/>
          <w:szCs w:val="22"/>
        </w:rPr>
        <w:t xml:space="preserve"> </w:t>
      </w:r>
      <w:r w:rsidR="00801188">
        <w:rPr>
          <w:rFonts w:ascii="Arial" w:hAnsi="Arial" w:cs="Arial"/>
          <w:sz w:val="22"/>
          <w:szCs w:val="22"/>
        </w:rPr>
        <w:t>D</w:t>
      </w:r>
      <w:r w:rsidR="00761654" w:rsidRPr="00761654">
        <w:rPr>
          <w:rFonts w:ascii="Arial" w:hAnsi="Arial" w:cs="Arial"/>
          <w:sz w:val="22"/>
          <w:szCs w:val="22"/>
        </w:rPr>
        <w:t xml:space="preserve">irector </w:t>
      </w:r>
      <w:r w:rsidR="00801188">
        <w:rPr>
          <w:rFonts w:ascii="Arial" w:hAnsi="Arial" w:cs="Arial"/>
          <w:sz w:val="22"/>
          <w:szCs w:val="22"/>
        </w:rPr>
        <w:t>Identification Number</w:t>
      </w:r>
      <w:r w:rsidR="00A861D8">
        <w:rPr>
          <w:rFonts w:ascii="Arial" w:hAnsi="Arial" w:cs="Arial"/>
          <w:sz w:val="22"/>
          <w:szCs w:val="22"/>
        </w:rPr>
        <w:t xml:space="preserve"> (director ID)</w:t>
      </w:r>
      <w:r w:rsidR="00761654" w:rsidRPr="00761654">
        <w:rPr>
          <w:rFonts w:ascii="Arial" w:hAnsi="Arial" w:cs="Arial"/>
          <w:sz w:val="22"/>
          <w:szCs w:val="22"/>
        </w:rPr>
        <w:t xml:space="preserve"> information</w:t>
      </w:r>
      <w:r w:rsidR="00A861D8">
        <w:rPr>
          <w:rFonts w:ascii="Arial" w:hAnsi="Arial" w:cs="Arial"/>
          <w:sz w:val="22"/>
          <w:szCs w:val="22"/>
        </w:rPr>
        <w:t xml:space="preserve"> or is relate</w:t>
      </w:r>
      <w:r w:rsidR="00335F0B">
        <w:rPr>
          <w:rFonts w:ascii="Arial" w:hAnsi="Arial" w:cs="Arial"/>
          <w:sz w:val="22"/>
          <w:szCs w:val="22"/>
        </w:rPr>
        <w:t>d</w:t>
      </w:r>
      <w:r w:rsidR="00A861D8">
        <w:rPr>
          <w:rFonts w:ascii="Arial" w:hAnsi="Arial" w:cs="Arial"/>
          <w:sz w:val="22"/>
          <w:szCs w:val="22"/>
        </w:rPr>
        <w:t xml:space="preserve"> or connected to director ID information.</w:t>
      </w:r>
    </w:p>
    <w:p w14:paraId="36A18EAD" w14:textId="77777777" w:rsidR="00B439DD" w:rsidRDefault="00B439DD" w:rsidP="00B439DD">
      <w:pPr>
        <w:spacing w:after="120"/>
        <w:rPr>
          <w:rFonts w:ascii="Arial" w:hAnsi="Arial" w:cs="Arial"/>
          <w:sz w:val="22"/>
          <w:szCs w:val="22"/>
        </w:rPr>
      </w:pPr>
    </w:p>
    <w:p w14:paraId="708F4614" w14:textId="18572274" w:rsidR="00D676CA" w:rsidRPr="00FF1002" w:rsidRDefault="00D676CA" w:rsidP="00766BC9">
      <w:pPr>
        <w:pStyle w:val="Heading2"/>
        <w:numPr>
          <w:ilvl w:val="0"/>
          <w:numId w:val="2"/>
        </w:numPr>
        <w:tabs>
          <w:tab w:val="clear" w:pos="720"/>
        </w:tabs>
        <w:ind w:left="709" w:hanging="709"/>
        <w:rPr>
          <w:rFonts w:cs="Arial"/>
          <w:szCs w:val="22"/>
        </w:rPr>
      </w:pPr>
      <w:r w:rsidRPr="00FF1002">
        <w:rPr>
          <w:rFonts w:cs="Arial"/>
          <w:szCs w:val="22"/>
        </w:rPr>
        <w:t>Simplified outline of the Disclosure Framework</w:t>
      </w:r>
    </w:p>
    <w:p w14:paraId="14B13DF5" w14:textId="3F323977" w:rsidR="00D676CA" w:rsidRPr="00BF7C33" w:rsidRDefault="00D676CA" w:rsidP="00D676CA">
      <w:pPr>
        <w:pStyle w:val="subsection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1021"/>
        </w:tabs>
        <w:ind w:left="426" w:firstLine="0"/>
      </w:pPr>
      <w:r w:rsidRPr="00D676CA">
        <w:rPr>
          <w:rFonts w:ascii="Arial" w:hAnsi="Arial" w:cs="Arial"/>
        </w:rPr>
        <w:t xml:space="preserve">Protected information is protected from unauthorised use under </w:t>
      </w:r>
      <w:r w:rsidR="003628EE" w:rsidRPr="00D676CA">
        <w:rPr>
          <w:rFonts w:ascii="Arial" w:hAnsi="Arial" w:cs="Arial"/>
        </w:rPr>
        <w:t xml:space="preserve">section 1270L of the </w:t>
      </w:r>
      <w:r w:rsidR="005F7EA4">
        <w:rPr>
          <w:rFonts w:ascii="Arial" w:hAnsi="Arial" w:cs="Arial"/>
          <w:iCs/>
          <w:szCs w:val="22"/>
        </w:rPr>
        <w:t>Corporations Act</w:t>
      </w:r>
      <w:r w:rsidRPr="00D676CA">
        <w:rPr>
          <w:rFonts w:ascii="Arial" w:hAnsi="Arial" w:cs="Arial"/>
        </w:rPr>
        <w:t>.</w:t>
      </w:r>
    </w:p>
    <w:p w14:paraId="259CB1A7" w14:textId="024C4CB1" w:rsidR="00D676CA" w:rsidRPr="00D676CA" w:rsidRDefault="00D676CA" w:rsidP="00D676C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180"/>
        <w:ind w:left="426"/>
        <w:rPr>
          <w:rFonts w:ascii="Arial" w:hAnsi="Arial" w:cs="Arial"/>
          <w:sz w:val="22"/>
          <w:szCs w:val="20"/>
        </w:rPr>
      </w:pPr>
      <w:r w:rsidRPr="00D676CA">
        <w:rPr>
          <w:rFonts w:ascii="Arial" w:hAnsi="Arial" w:cs="Arial"/>
          <w:sz w:val="22"/>
          <w:szCs w:val="20"/>
        </w:rPr>
        <w:t xml:space="preserve">There are circumstances, such as the efficient operation of Government, where the </w:t>
      </w:r>
      <w:r w:rsidR="0035007A">
        <w:rPr>
          <w:rFonts w:ascii="Arial" w:hAnsi="Arial" w:cs="Arial"/>
          <w:sz w:val="22"/>
          <w:szCs w:val="20"/>
        </w:rPr>
        <w:t>director ID information</w:t>
      </w:r>
      <w:r w:rsidRPr="00D676CA">
        <w:rPr>
          <w:rFonts w:ascii="Arial" w:hAnsi="Arial" w:cs="Arial"/>
          <w:sz w:val="22"/>
          <w:szCs w:val="20"/>
        </w:rPr>
        <w:t xml:space="preserve"> </w:t>
      </w:r>
      <w:r w:rsidR="001F0F56">
        <w:rPr>
          <w:rFonts w:ascii="Arial" w:hAnsi="Arial" w:cs="Arial"/>
          <w:sz w:val="22"/>
          <w:szCs w:val="20"/>
        </w:rPr>
        <w:t>may</w:t>
      </w:r>
      <w:r w:rsidR="0035007A">
        <w:rPr>
          <w:rFonts w:ascii="Arial" w:hAnsi="Arial" w:cs="Arial"/>
          <w:sz w:val="22"/>
          <w:szCs w:val="20"/>
        </w:rPr>
        <w:t xml:space="preserve"> be</w:t>
      </w:r>
      <w:r w:rsidR="001F0F56">
        <w:rPr>
          <w:rFonts w:ascii="Arial" w:hAnsi="Arial" w:cs="Arial"/>
          <w:sz w:val="22"/>
          <w:szCs w:val="20"/>
        </w:rPr>
        <w:t xml:space="preserve"> </w:t>
      </w:r>
      <w:r w:rsidRPr="00D676CA">
        <w:rPr>
          <w:rFonts w:ascii="Arial" w:hAnsi="Arial" w:cs="Arial"/>
          <w:sz w:val="22"/>
          <w:szCs w:val="20"/>
        </w:rPr>
        <w:t>share</w:t>
      </w:r>
      <w:r w:rsidR="0035007A">
        <w:rPr>
          <w:rFonts w:ascii="Arial" w:hAnsi="Arial" w:cs="Arial"/>
          <w:sz w:val="22"/>
          <w:szCs w:val="20"/>
        </w:rPr>
        <w:t>d</w:t>
      </w:r>
      <w:r w:rsidRPr="00D676CA">
        <w:rPr>
          <w:rFonts w:ascii="Arial" w:hAnsi="Arial" w:cs="Arial"/>
          <w:sz w:val="22"/>
          <w:szCs w:val="20"/>
        </w:rPr>
        <w:t xml:space="preserve"> with </w:t>
      </w:r>
      <w:r w:rsidR="003E68D6" w:rsidRPr="00D676CA">
        <w:rPr>
          <w:rFonts w:ascii="Arial" w:hAnsi="Arial" w:cs="Arial"/>
          <w:sz w:val="22"/>
          <w:szCs w:val="20"/>
        </w:rPr>
        <w:t>other</w:t>
      </w:r>
      <w:r w:rsidR="001F0F56">
        <w:rPr>
          <w:rFonts w:ascii="Arial" w:hAnsi="Arial" w:cs="Arial"/>
          <w:sz w:val="22"/>
          <w:szCs w:val="20"/>
        </w:rPr>
        <w:t xml:space="preserve"> agencies within Government</w:t>
      </w:r>
      <w:r w:rsidRPr="00D676CA">
        <w:rPr>
          <w:rFonts w:ascii="Arial" w:hAnsi="Arial" w:cs="Arial"/>
          <w:sz w:val="22"/>
          <w:szCs w:val="20"/>
        </w:rPr>
        <w:t>.</w:t>
      </w:r>
    </w:p>
    <w:p w14:paraId="07581AEE" w14:textId="7A17D317" w:rsidR="00D676CA" w:rsidRPr="00D676CA" w:rsidRDefault="00D676CA" w:rsidP="00D676C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180"/>
        <w:ind w:left="426"/>
        <w:rPr>
          <w:rFonts w:ascii="Arial" w:hAnsi="Arial" w:cs="Arial"/>
          <w:sz w:val="22"/>
          <w:szCs w:val="20"/>
        </w:rPr>
      </w:pPr>
      <w:r w:rsidRPr="00D676CA">
        <w:rPr>
          <w:rFonts w:ascii="Arial" w:hAnsi="Arial" w:cs="Arial"/>
          <w:sz w:val="22"/>
          <w:szCs w:val="20"/>
        </w:rPr>
        <w:t xml:space="preserve">The Act provide circumstances in which recordings or disclosures </w:t>
      </w:r>
      <w:r w:rsidR="0049477B">
        <w:rPr>
          <w:rFonts w:ascii="Arial" w:hAnsi="Arial" w:cs="Arial"/>
          <w:sz w:val="22"/>
          <w:szCs w:val="20"/>
        </w:rPr>
        <w:t>of protected information</w:t>
      </w:r>
      <w:r w:rsidRPr="00D676CA">
        <w:rPr>
          <w:rFonts w:ascii="Arial" w:hAnsi="Arial" w:cs="Arial"/>
          <w:sz w:val="22"/>
          <w:szCs w:val="20"/>
        </w:rPr>
        <w:t xml:space="preserve"> are authorised. This Disclosure Framework sets out additional circumstances in which the </w:t>
      </w:r>
      <w:r w:rsidR="00335F0B">
        <w:rPr>
          <w:rFonts w:ascii="Arial" w:hAnsi="Arial" w:cs="Arial"/>
          <w:sz w:val="22"/>
          <w:szCs w:val="20"/>
        </w:rPr>
        <w:t>director ID information may be disclosed</w:t>
      </w:r>
      <w:r w:rsidRPr="00D676CA">
        <w:rPr>
          <w:rFonts w:ascii="Arial" w:hAnsi="Arial" w:cs="Arial"/>
          <w:sz w:val="22"/>
          <w:szCs w:val="20"/>
        </w:rPr>
        <w:t>. It provides a framework which create</w:t>
      </w:r>
      <w:r w:rsidR="0049477B">
        <w:rPr>
          <w:rFonts w:ascii="Arial" w:hAnsi="Arial" w:cs="Arial"/>
          <w:sz w:val="22"/>
          <w:szCs w:val="20"/>
        </w:rPr>
        <w:t>s</w:t>
      </w:r>
      <w:r w:rsidRPr="00D676CA">
        <w:rPr>
          <w:rFonts w:ascii="Arial" w:hAnsi="Arial" w:cs="Arial"/>
          <w:sz w:val="22"/>
          <w:szCs w:val="20"/>
        </w:rPr>
        <w:t xml:space="preserve"> an appropriate level of disclosure </w:t>
      </w:r>
      <w:r w:rsidR="007B07AC">
        <w:rPr>
          <w:rFonts w:ascii="Arial" w:hAnsi="Arial" w:cs="Arial"/>
          <w:sz w:val="22"/>
          <w:szCs w:val="20"/>
        </w:rPr>
        <w:t>where the benefits of disclosure outweigh the risks</w:t>
      </w:r>
      <w:r w:rsidR="00D4692B">
        <w:rPr>
          <w:rFonts w:ascii="Arial" w:hAnsi="Arial" w:cs="Arial"/>
          <w:sz w:val="22"/>
          <w:szCs w:val="20"/>
        </w:rPr>
        <w:t>,</w:t>
      </w:r>
      <w:r w:rsidR="007B07AC">
        <w:rPr>
          <w:rFonts w:ascii="Arial" w:hAnsi="Arial" w:cs="Arial"/>
          <w:sz w:val="22"/>
          <w:szCs w:val="20"/>
        </w:rPr>
        <w:t xml:space="preserve"> and </w:t>
      </w:r>
      <w:r w:rsidRPr="00D676CA">
        <w:rPr>
          <w:rFonts w:ascii="Arial" w:hAnsi="Arial" w:cs="Arial"/>
          <w:sz w:val="22"/>
          <w:szCs w:val="20"/>
        </w:rPr>
        <w:t xml:space="preserve">balances the protection of </w:t>
      </w:r>
      <w:r w:rsidR="00335F0B">
        <w:rPr>
          <w:rFonts w:ascii="Arial" w:hAnsi="Arial" w:cs="Arial"/>
          <w:sz w:val="22"/>
          <w:szCs w:val="20"/>
        </w:rPr>
        <w:t>director ID</w:t>
      </w:r>
      <w:r w:rsidR="00335F0B" w:rsidRPr="00D676CA">
        <w:rPr>
          <w:rFonts w:ascii="Arial" w:hAnsi="Arial" w:cs="Arial"/>
          <w:sz w:val="22"/>
          <w:szCs w:val="20"/>
        </w:rPr>
        <w:t xml:space="preserve"> </w:t>
      </w:r>
      <w:r w:rsidRPr="00D676CA">
        <w:rPr>
          <w:rFonts w:ascii="Arial" w:hAnsi="Arial" w:cs="Arial"/>
          <w:sz w:val="22"/>
          <w:szCs w:val="20"/>
        </w:rPr>
        <w:t xml:space="preserve">information </w:t>
      </w:r>
      <w:r w:rsidR="00D4692B">
        <w:rPr>
          <w:rFonts w:ascii="Arial" w:hAnsi="Arial" w:cs="Arial"/>
          <w:sz w:val="22"/>
          <w:szCs w:val="20"/>
        </w:rPr>
        <w:t>with</w:t>
      </w:r>
      <w:r w:rsidR="00D4692B" w:rsidRPr="00D676CA">
        <w:rPr>
          <w:rFonts w:ascii="Arial" w:hAnsi="Arial" w:cs="Arial"/>
          <w:sz w:val="22"/>
          <w:szCs w:val="20"/>
        </w:rPr>
        <w:t xml:space="preserve"> </w:t>
      </w:r>
      <w:r w:rsidRPr="00D676CA">
        <w:rPr>
          <w:rFonts w:ascii="Arial" w:hAnsi="Arial" w:cs="Arial"/>
          <w:sz w:val="22"/>
          <w:szCs w:val="20"/>
        </w:rPr>
        <w:t>the efficient administration of the legislation.</w:t>
      </w:r>
    </w:p>
    <w:p w14:paraId="5A0DC5F8" w14:textId="77777777" w:rsidR="00D676CA" w:rsidRPr="00D676CA" w:rsidRDefault="00D676CA" w:rsidP="00D676C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180"/>
        <w:ind w:left="426"/>
        <w:rPr>
          <w:rFonts w:ascii="Arial" w:hAnsi="Arial" w:cs="Arial"/>
          <w:sz w:val="22"/>
          <w:szCs w:val="20"/>
        </w:rPr>
      </w:pPr>
      <w:r w:rsidRPr="00D676CA">
        <w:rPr>
          <w:rFonts w:ascii="Arial" w:hAnsi="Arial" w:cs="Arial"/>
          <w:sz w:val="22"/>
          <w:szCs w:val="20"/>
        </w:rPr>
        <w:t xml:space="preserve">Broadly speaking: </w:t>
      </w:r>
      <w:r w:rsidRPr="00D676CA">
        <w:rPr>
          <w:rFonts w:ascii="Arial" w:hAnsi="Arial" w:cs="Arial"/>
          <w:sz w:val="22"/>
          <w:szCs w:val="20"/>
        </w:rPr>
        <w:tab/>
      </w:r>
    </w:p>
    <w:p w14:paraId="5D70AD0F" w14:textId="040EB1EA" w:rsidR="00D676CA" w:rsidRPr="00D676CA" w:rsidRDefault="00D676CA" w:rsidP="00D676C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180"/>
        <w:ind w:left="426"/>
        <w:rPr>
          <w:rFonts w:ascii="Arial" w:hAnsi="Arial" w:cs="Arial"/>
          <w:sz w:val="22"/>
          <w:szCs w:val="20"/>
        </w:rPr>
      </w:pPr>
      <w:r w:rsidRPr="00D676CA">
        <w:rPr>
          <w:rFonts w:ascii="Arial" w:hAnsi="Arial" w:cs="Arial"/>
          <w:sz w:val="22"/>
          <w:szCs w:val="20"/>
        </w:rPr>
        <w:lastRenderedPageBreak/>
        <w:t>(a)</w:t>
      </w:r>
      <w:r w:rsidR="00F93D6F">
        <w:rPr>
          <w:rFonts w:ascii="Arial" w:hAnsi="Arial" w:cs="Arial"/>
          <w:sz w:val="22"/>
          <w:szCs w:val="20"/>
        </w:rPr>
        <w:t xml:space="preserve"> </w:t>
      </w:r>
      <w:r w:rsidRPr="00D676CA">
        <w:rPr>
          <w:rFonts w:ascii="Arial" w:hAnsi="Arial" w:cs="Arial"/>
          <w:sz w:val="22"/>
          <w:szCs w:val="20"/>
        </w:rPr>
        <w:t xml:space="preserve">information can be disclosed to </w:t>
      </w:r>
      <w:r w:rsidR="0080556D">
        <w:rPr>
          <w:rFonts w:ascii="Arial" w:hAnsi="Arial" w:cs="Arial"/>
          <w:sz w:val="22"/>
          <w:szCs w:val="20"/>
        </w:rPr>
        <w:t xml:space="preserve">some, but not all, </w:t>
      </w:r>
      <w:r w:rsidRPr="00D676CA">
        <w:rPr>
          <w:rFonts w:ascii="Arial" w:hAnsi="Arial" w:cs="Arial"/>
          <w:sz w:val="22"/>
          <w:szCs w:val="20"/>
        </w:rPr>
        <w:t xml:space="preserve">government agencies for the performance of their functions (these recordings or disclosures are covered under </w:t>
      </w:r>
      <w:r w:rsidR="0080556D">
        <w:rPr>
          <w:rFonts w:ascii="Arial" w:hAnsi="Arial" w:cs="Arial"/>
          <w:sz w:val="22"/>
          <w:szCs w:val="20"/>
        </w:rPr>
        <w:t>s</w:t>
      </w:r>
      <w:r w:rsidR="00F93D6F">
        <w:rPr>
          <w:rFonts w:ascii="Arial" w:hAnsi="Arial" w:cs="Arial"/>
          <w:sz w:val="22"/>
          <w:szCs w:val="20"/>
        </w:rPr>
        <w:t>ection</w:t>
      </w:r>
      <w:r w:rsidR="0080556D">
        <w:rPr>
          <w:rFonts w:ascii="Arial" w:hAnsi="Arial" w:cs="Arial"/>
          <w:sz w:val="22"/>
          <w:szCs w:val="20"/>
        </w:rPr>
        <w:t>1270L of the</w:t>
      </w:r>
      <w:r w:rsidR="0080556D" w:rsidRPr="0080556D">
        <w:rPr>
          <w:rFonts w:ascii="Arial" w:hAnsi="Arial" w:cs="Arial"/>
          <w:i/>
          <w:iCs/>
          <w:sz w:val="22"/>
          <w:szCs w:val="20"/>
        </w:rPr>
        <w:t xml:space="preserve"> </w:t>
      </w:r>
      <w:r w:rsidR="005F7EA4">
        <w:rPr>
          <w:rFonts w:ascii="Arial" w:hAnsi="Arial" w:cs="Arial"/>
          <w:iCs/>
          <w:sz w:val="22"/>
          <w:szCs w:val="22"/>
        </w:rPr>
        <w:t>Corporations Act</w:t>
      </w:r>
      <w:r w:rsidRPr="00D676CA">
        <w:rPr>
          <w:rFonts w:ascii="Arial" w:hAnsi="Arial" w:cs="Arial"/>
          <w:sz w:val="22"/>
          <w:szCs w:val="20"/>
        </w:rPr>
        <w:t>); and</w:t>
      </w:r>
    </w:p>
    <w:p w14:paraId="58C79A99" w14:textId="7F09FFA1" w:rsidR="00D676CA" w:rsidRPr="00D676CA" w:rsidRDefault="00D676CA" w:rsidP="00D676C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180"/>
        <w:ind w:left="426"/>
        <w:rPr>
          <w:rFonts w:ascii="Arial" w:hAnsi="Arial" w:cs="Arial"/>
          <w:sz w:val="22"/>
          <w:szCs w:val="20"/>
        </w:rPr>
      </w:pPr>
      <w:r w:rsidRPr="00D676CA">
        <w:rPr>
          <w:rFonts w:ascii="Arial" w:hAnsi="Arial" w:cs="Arial"/>
          <w:sz w:val="22"/>
          <w:szCs w:val="20"/>
        </w:rPr>
        <w:t>(b)</w:t>
      </w:r>
      <w:r w:rsidRPr="00D676CA">
        <w:rPr>
          <w:rFonts w:ascii="Arial" w:hAnsi="Arial" w:cs="Arial"/>
          <w:sz w:val="22"/>
          <w:szCs w:val="20"/>
        </w:rPr>
        <w:tab/>
      </w:r>
      <w:r w:rsidR="00F93D6F">
        <w:rPr>
          <w:rFonts w:ascii="Arial" w:hAnsi="Arial" w:cs="Arial"/>
          <w:sz w:val="22"/>
          <w:szCs w:val="20"/>
        </w:rPr>
        <w:t xml:space="preserve"> </w:t>
      </w:r>
      <w:r w:rsidRPr="00D676CA">
        <w:rPr>
          <w:rFonts w:ascii="Arial" w:hAnsi="Arial" w:cs="Arial"/>
          <w:sz w:val="22"/>
          <w:szCs w:val="20"/>
        </w:rPr>
        <w:t>other disclosures</w:t>
      </w:r>
      <w:r w:rsidR="00146B9E">
        <w:rPr>
          <w:rFonts w:ascii="Arial" w:hAnsi="Arial" w:cs="Arial"/>
          <w:sz w:val="22"/>
          <w:szCs w:val="20"/>
        </w:rPr>
        <w:t xml:space="preserve"> to government agencies not covered</w:t>
      </w:r>
      <w:r w:rsidR="00146B9E" w:rsidRPr="00146B9E">
        <w:rPr>
          <w:rFonts w:ascii="Arial" w:hAnsi="Arial" w:cs="Arial"/>
          <w:sz w:val="22"/>
          <w:szCs w:val="20"/>
        </w:rPr>
        <w:t xml:space="preserve"> </w:t>
      </w:r>
      <w:r w:rsidR="00146B9E" w:rsidRPr="00D676CA">
        <w:rPr>
          <w:rFonts w:ascii="Arial" w:hAnsi="Arial" w:cs="Arial"/>
          <w:sz w:val="22"/>
          <w:szCs w:val="20"/>
        </w:rPr>
        <w:t xml:space="preserve">under </w:t>
      </w:r>
      <w:r w:rsidR="00146B9E">
        <w:rPr>
          <w:rFonts w:ascii="Arial" w:hAnsi="Arial" w:cs="Arial"/>
          <w:sz w:val="22"/>
          <w:szCs w:val="20"/>
        </w:rPr>
        <w:t>s</w:t>
      </w:r>
      <w:r w:rsidR="00F93D6F">
        <w:rPr>
          <w:rFonts w:ascii="Arial" w:hAnsi="Arial" w:cs="Arial"/>
          <w:sz w:val="22"/>
          <w:szCs w:val="20"/>
        </w:rPr>
        <w:t xml:space="preserve">ection </w:t>
      </w:r>
      <w:r w:rsidR="00146B9E">
        <w:rPr>
          <w:rFonts w:ascii="Arial" w:hAnsi="Arial" w:cs="Arial"/>
          <w:sz w:val="22"/>
          <w:szCs w:val="20"/>
        </w:rPr>
        <w:t>1270L of the</w:t>
      </w:r>
      <w:r w:rsidR="00146B9E" w:rsidRPr="0080556D">
        <w:rPr>
          <w:rFonts w:ascii="Arial" w:hAnsi="Arial" w:cs="Arial"/>
          <w:i/>
          <w:iCs/>
          <w:sz w:val="22"/>
          <w:szCs w:val="20"/>
        </w:rPr>
        <w:t xml:space="preserve"> </w:t>
      </w:r>
      <w:r w:rsidR="005F7EA4">
        <w:rPr>
          <w:rFonts w:ascii="Arial" w:hAnsi="Arial" w:cs="Arial"/>
          <w:iCs/>
          <w:sz w:val="22"/>
          <w:szCs w:val="22"/>
        </w:rPr>
        <w:t>Corporations Act</w:t>
      </w:r>
      <w:r w:rsidR="005F7EA4" w:rsidRPr="00D676CA">
        <w:rPr>
          <w:rFonts w:ascii="Arial" w:hAnsi="Arial" w:cs="Arial"/>
          <w:sz w:val="22"/>
          <w:szCs w:val="20"/>
        </w:rPr>
        <w:t xml:space="preserve"> </w:t>
      </w:r>
      <w:r w:rsidRPr="00D676CA">
        <w:rPr>
          <w:rFonts w:ascii="Arial" w:hAnsi="Arial" w:cs="Arial"/>
          <w:sz w:val="22"/>
          <w:szCs w:val="20"/>
        </w:rPr>
        <w:t xml:space="preserve">are dealt with by this disclosure framework, which is a disallowable instrument made by the </w:t>
      </w:r>
      <w:r w:rsidR="00335F0B">
        <w:rPr>
          <w:rFonts w:ascii="Arial" w:hAnsi="Arial" w:cs="Arial"/>
          <w:sz w:val="22"/>
          <w:szCs w:val="20"/>
        </w:rPr>
        <w:t>R</w:t>
      </w:r>
      <w:r w:rsidRPr="00D676CA">
        <w:rPr>
          <w:rFonts w:ascii="Arial" w:hAnsi="Arial" w:cs="Arial"/>
          <w:sz w:val="22"/>
          <w:szCs w:val="20"/>
        </w:rPr>
        <w:t>egistrar.</w:t>
      </w:r>
    </w:p>
    <w:p w14:paraId="3EA5AF2F" w14:textId="77777777" w:rsidR="00D676CA" w:rsidRPr="00D676CA" w:rsidRDefault="00D676CA" w:rsidP="00D676CA">
      <w:pPr>
        <w:rPr>
          <w:lang w:eastAsia="en-US"/>
        </w:rPr>
      </w:pPr>
    </w:p>
    <w:p w14:paraId="1EEB9A91" w14:textId="60888626" w:rsidR="00543981" w:rsidRPr="00085451" w:rsidRDefault="00B813C3" w:rsidP="00766BC9">
      <w:pPr>
        <w:pStyle w:val="Heading2"/>
        <w:numPr>
          <w:ilvl w:val="0"/>
          <w:numId w:val="2"/>
        </w:numPr>
        <w:tabs>
          <w:tab w:val="clear" w:pos="720"/>
        </w:tabs>
        <w:ind w:left="709" w:hanging="709"/>
        <w:rPr>
          <w:rFonts w:cs="Arial"/>
          <w:szCs w:val="22"/>
        </w:rPr>
      </w:pPr>
      <w:r w:rsidRPr="00085451">
        <w:rPr>
          <w:rFonts w:cs="Arial"/>
          <w:szCs w:val="22"/>
        </w:rPr>
        <w:t>Definitions</w:t>
      </w:r>
    </w:p>
    <w:p w14:paraId="7D922ABC" w14:textId="735F5C48" w:rsidR="00A54D42" w:rsidRPr="00A54D42" w:rsidRDefault="00A54D42" w:rsidP="00766BC9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(1) In this </w:t>
      </w:r>
      <w:r w:rsidRPr="00A54D42">
        <w:rPr>
          <w:rFonts w:ascii="Arial" w:hAnsi="Arial" w:cs="Arial"/>
          <w:sz w:val="22"/>
          <w:szCs w:val="22"/>
        </w:rPr>
        <w:t>instrument:</w:t>
      </w:r>
    </w:p>
    <w:p w14:paraId="6D89E97E" w14:textId="74B2848D" w:rsidR="003D7806" w:rsidRPr="003502FA" w:rsidRDefault="003D7806" w:rsidP="00A54D42">
      <w:pPr>
        <w:spacing w:after="120"/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director ID</w:t>
      </w:r>
      <w:r>
        <w:rPr>
          <w:rFonts w:ascii="Arial" w:hAnsi="Arial" w:cs="Arial"/>
          <w:sz w:val="22"/>
          <w:szCs w:val="22"/>
        </w:rPr>
        <w:t xml:space="preserve"> means Director Identification Number</w:t>
      </w:r>
    </w:p>
    <w:p w14:paraId="60975000" w14:textId="42635C69" w:rsidR="00933A06" w:rsidRPr="0057633C" w:rsidRDefault="00933A06" w:rsidP="00A54D42">
      <w:pPr>
        <w:spacing w:after="120"/>
        <w:ind w:left="709"/>
        <w:rPr>
          <w:rFonts w:ascii="Arial" w:hAnsi="Arial" w:cs="Arial"/>
          <w:sz w:val="22"/>
          <w:szCs w:val="22"/>
        </w:rPr>
      </w:pPr>
      <w:r w:rsidRPr="00933A06">
        <w:rPr>
          <w:rFonts w:ascii="Arial" w:hAnsi="Arial" w:cs="Arial"/>
          <w:b/>
          <w:bCs/>
          <w:sz w:val="22"/>
          <w:szCs w:val="22"/>
        </w:rPr>
        <w:t xml:space="preserve">director ID information </w:t>
      </w:r>
      <w:r w:rsidRPr="0057633C">
        <w:rPr>
          <w:rFonts w:ascii="Arial" w:hAnsi="Arial" w:cs="Arial"/>
          <w:sz w:val="22"/>
          <w:szCs w:val="22"/>
        </w:rPr>
        <w:t xml:space="preserve">means </w:t>
      </w:r>
      <w:r w:rsidR="00AB4091">
        <w:rPr>
          <w:rFonts w:ascii="Arial" w:hAnsi="Arial" w:cs="Arial"/>
          <w:sz w:val="22"/>
          <w:szCs w:val="22"/>
        </w:rPr>
        <w:t xml:space="preserve">all </w:t>
      </w:r>
      <w:r w:rsidR="00602FA0">
        <w:rPr>
          <w:rFonts w:ascii="Arial" w:hAnsi="Arial" w:cs="Arial"/>
          <w:sz w:val="22"/>
          <w:szCs w:val="22"/>
        </w:rPr>
        <w:t xml:space="preserve">protected </w:t>
      </w:r>
      <w:r w:rsidRPr="0057633C">
        <w:rPr>
          <w:rFonts w:ascii="Arial" w:hAnsi="Arial" w:cs="Arial"/>
          <w:sz w:val="22"/>
          <w:szCs w:val="22"/>
        </w:rPr>
        <w:t>information</w:t>
      </w:r>
      <w:r w:rsidR="00602FA0">
        <w:rPr>
          <w:rFonts w:ascii="Arial" w:hAnsi="Arial" w:cs="Arial"/>
          <w:sz w:val="22"/>
          <w:szCs w:val="22"/>
        </w:rPr>
        <w:t xml:space="preserve"> in connection with the functions or powers of the Registrar under Part 9.1A of the Corporations Act </w:t>
      </w:r>
      <w:r w:rsidRPr="0057633C">
        <w:rPr>
          <w:rFonts w:ascii="Arial" w:hAnsi="Arial" w:cs="Arial"/>
          <w:sz w:val="22"/>
          <w:szCs w:val="22"/>
        </w:rPr>
        <w:t xml:space="preserve">including but not limited to, the director ID, information collected in an application for a director ID and updated or corrected information in respect of the individual provided to the </w:t>
      </w:r>
      <w:r w:rsidR="00335F0B">
        <w:rPr>
          <w:rFonts w:ascii="Arial" w:hAnsi="Arial" w:cs="Arial"/>
          <w:sz w:val="22"/>
          <w:szCs w:val="22"/>
        </w:rPr>
        <w:t>R</w:t>
      </w:r>
      <w:r w:rsidRPr="0057633C">
        <w:rPr>
          <w:rFonts w:ascii="Arial" w:hAnsi="Arial" w:cs="Arial"/>
          <w:sz w:val="22"/>
          <w:szCs w:val="22"/>
        </w:rPr>
        <w:t>egistrar.</w:t>
      </w:r>
    </w:p>
    <w:p w14:paraId="6EED7EC1" w14:textId="56769BFC" w:rsidR="00A54D42" w:rsidRPr="00A54D42" w:rsidRDefault="00A54D42" w:rsidP="00A54D42">
      <w:pPr>
        <w:spacing w:after="120"/>
        <w:ind w:left="709"/>
        <w:rPr>
          <w:rFonts w:ascii="Arial" w:hAnsi="Arial" w:cs="Arial"/>
          <w:sz w:val="22"/>
          <w:szCs w:val="22"/>
        </w:rPr>
      </w:pPr>
      <w:r w:rsidRPr="00A54D42">
        <w:rPr>
          <w:rFonts w:ascii="Arial" w:hAnsi="Arial" w:cs="Arial"/>
          <w:b/>
          <w:bCs/>
          <w:sz w:val="22"/>
          <w:szCs w:val="22"/>
        </w:rPr>
        <w:t xml:space="preserve">PGPA </w:t>
      </w:r>
      <w:r w:rsidR="00B771CF">
        <w:rPr>
          <w:rFonts w:ascii="Arial" w:hAnsi="Arial" w:cs="Arial"/>
          <w:b/>
          <w:bCs/>
          <w:sz w:val="22"/>
          <w:szCs w:val="22"/>
        </w:rPr>
        <w:t>body</w:t>
      </w:r>
      <w:r w:rsidR="00B771CF" w:rsidRPr="00A54D42">
        <w:rPr>
          <w:rFonts w:ascii="Arial" w:hAnsi="Arial" w:cs="Arial"/>
          <w:sz w:val="22"/>
          <w:szCs w:val="22"/>
        </w:rPr>
        <w:t xml:space="preserve"> </w:t>
      </w:r>
      <w:r w:rsidRPr="00A54D42">
        <w:rPr>
          <w:rFonts w:ascii="Arial" w:hAnsi="Arial" w:cs="Arial"/>
          <w:sz w:val="22"/>
          <w:szCs w:val="22"/>
        </w:rPr>
        <w:t>means</w:t>
      </w:r>
      <w:r w:rsidR="00B771CF">
        <w:rPr>
          <w:rFonts w:ascii="Arial" w:hAnsi="Arial" w:cs="Arial"/>
          <w:sz w:val="22"/>
          <w:szCs w:val="22"/>
        </w:rPr>
        <w:t xml:space="preserve"> an</w:t>
      </w:r>
      <w:r w:rsidRPr="00A54D42">
        <w:rPr>
          <w:rFonts w:ascii="Arial" w:hAnsi="Arial" w:cs="Arial"/>
          <w:sz w:val="22"/>
          <w:szCs w:val="22"/>
        </w:rPr>
        <w:t xml:space="preserve"> </w:t>
      </w:r>
      <w:r w:rsidR="00B771CF">
        <w:rPr>
          <w:rFonts w:ascii="Arial" w:hAnsi="Arial" w:cs="Arial"/>
          <w:sz w:val="22"/>
          <w:szCs w:val="22"/>
        </w:rPr>
        <w:t>entity</w:t>
      </w:r>
      <w:r w:rsidR="00B771CF" w:rsidRPr="00A54D42">
        <w:rPr>
          <w:rFonts w:ascii="Arial" w:hAnsi="Arial" w:cs="Arial"/>
          <w:sz w:val="22"/>
          <w:szCs w:val="22"/>
        </w:rPr>
        <w:t xml:space="preserve"> </w:t>
      </w:r>
      <w:r w:rsidR="00B771CF">
        <w:rPr>
          <w:rFonts w:ascii="Arial" w:hAnsi="Arial" w:cs="Arial"/>
          <w:sz w:val="22"/>
          <w:szCs w:val="22"/>
        </w:rPr>
        <w:t>or</w:t>
      </w:r>
      <w:r w:rsidR="00B771CF" w:rsidRPr="00A54D42">
        <w:rPr>
          <w:rFonts w:ascii="Arial" w:hAnsi="Arial" w:cs="Arial"/>
          <w:sz w:val="22"/>
          <w:szCs w:val="22"/>
        </w:rPr>
        <w:t xml:space="preserve"> </w:t>
      </w:r>
      <w:r w:rsidR="00B771CF">
        <w:rPr>
          <w:rFonts w:ascii="Arial" w:hAnsi="Arial" w:cs="Arial"/>
          <w:sz w:val="22"/>
          <w:szCs w:val="22"/>
        </w:rPr>
        <w:t>company</w:t>
      </w:r>
      <w:r w:rsidR="00B771CF" w:rsidRPr="00A54D42">
        <w:rPr>
          <w:rFonts w:ascii="Arial" w:hAnsi="Arial" w:cs="Arial"/>
          <w:sz w:val="22"/>
          <w:szCs w:val="22"/>
        </w:rPr>
        <w:t xml:space="preserve"> </w:t>
      </w:r>
      <w:r w:rsidRPr="00A54D42">
        <w:rPr>
          <w:rFonts w:ascii="Arial" w:hAnsi="Arial" w:cs="Arial"/>
          <w:sz w:val="22"/>
          <w:szCs w:val="22"/>
        </w:rPr>
        <w:t xml:space="preserve">which </w:t>
      </w:r>
      <w:r w:rsidR="00B771CF">
        <w:rPr>
          <w:rFonts w:ascii="Arial" w:hAnsi="Arial" w:cs="Arial"/>
          <w:sz w:val="22"/>
          <w:szCs w:val="22"/>
        </w:rPr>
        <w:t>is</w:t>
      </w:r>
      <w:r w:rsidR="00B771CF" w:rsidRPr="00A54D42">
        <w:rPr>
          <w:rFonts w:ascii="Arial" w:hAnsi="Arial" w:cs="Arial"/>
          <w:sz w:val="22"/>
          <w:szCs w:val="22"/>
        </w:rPr>
        <w:t xml:space="preserve"> </w:t>
      </w:r>
      <w:r w:rsidRPr="00A54D42">
        <w:rPr>
          <w:rFonts w:ascii="Arial" w:hAnsi="Arial" w:cs="Arial"/>
          <w:sz w:val="22"/>
          <w:szCs w:val="22"/>
        </w:rPr>
        <w:t xml:space="preserve">not </w:t>
      </w:r>
      <w:r w:rsidR="00B771CF">
        <w:rPr>
          <w:rFonts w:ascii="Arial" w:hAnsi="Arial" w:cs="Arial"/>
          <w:sz w:val="22"/>
          <w:szCs w:val="22"/>
        </w:rPr>
        <w:t xml:space="preserve">a </w:t>
      </w:r>
      <w:r w:rsidRPr="00A54D42">
        <w:rPr>
          <w:rFonts w:ascii="Arial" w:hAnsi="Arial" w:cs="Arial"/>
          <w:sz w:val="22"/>
          <w:szCs w:val="22"/>
        </w:rPr>
        <w:t xml:space="preserve">government </w:t>
      </w:r>
      <w:r w:rsidR="00B771CF">
        <w:rPr>
          <w:rFonts w:ascii="Arial" w:hAnsi="Arial" w:cs="Arial"/>
          <w:sz w:val="22"/>
          <w:szCs w:val="22"/>
        </w:rPr>
        <w:t>entity</w:t>
      </w:r>
      <w:r w:rsidR="00B771CF" w:rsidRPr="00A54D42">
        <w:rPr>
          <w:rFonts w:ascii="Arial" w:hAnsi="Arial" w:cs="Arial"/>
          <w:sz w:val="22"/>
          <w:szCs w:val="22"/>
        </w:rPr>
        <w:t xml:space="preserve"> </w:t>
      </w:r>
      <w:r w:rsidRPr="00A54D42">
        <w:rPr>
          <w:rFonts w:ascii="Arial" w:hAnsi="Arial" w:cs="Arial"/>
          <w:sz w:val="22"/>
          <w:szCs w:val="22"/>
        </w:rPr>
        <w:t xml:space="preserve">within the meaning of </w:t>
      </w:r>
      <w:r w:rsidRPr="00F83C2D">
        <w:rPr>
          <w:rFonts w:ascii="Arial" w:hAnsi="Arial" w:cs="Arial"/>
          <w:sz w:val="22"/>
          <w:szCs w:val="22"/>
        </w:rPr>
        <w:t xml:space="preserve">section 9 of the Corporations Act, </w:t>
      </w:r>
      <w:r w:rsidR="00280AE6">
        <w:rPr>
          <w:rFonts w:ascii="Arial" w:hAnsi="Arial" w:cs="Arial"/>
          <w:sz w:val="22"/>
          <w:szCs w:val="22"/>
        </w:rPr>
        <w:t>but</w:t>
      </w:r>
      <w:r w:rsidRPr="00A54D42">
        <w:rPr>
          <w:rFonts w:ascii="Arial" w:hAnsi="Arial" w:cs="Arial"/>
          <w:sz w:val="22"/>
          <w:szCs w:val="22"/>
        </w:rPr>
        <w:t xml:space="preserve"> which</w:t>
      </w:r>
      <w:r w:rsidR="00280AE6">
        <w:rPr>
          <w:rFonts w:ascii="Arial" w:hAnsi="Arial" w:cs="Arial"/>
          <w:sz w:val="22"/>
          <w:szCs w:val="22"/>
        </w:rPr>
        <w:t xml:space="preserve"> </w:t>
      </w:r>
      <w:r w:rsidR="00335F0B">
        <w:rPr>
          <w:rFonts w:ascii="Arial" w:hAnsi="Arial" w:cs="Arial"/>
          <w:sz w:val="22"/>
          <w:szCs w:val="22"/>
        </w:rPr>
        <w:t>is a Commonwealth entity or Commonwealth company</w:t>
      </w:r>
      <w:r w:rsidR="00280AE6">
        <w:rPr>
          <w:rFonts w:ascii="Arial" w:hAnsi="Arial" w:cs="Arial"/>
          <w:sz w:val="22"/>
          <w:szCs w:val="22"/>
        </w:rPr>
        <w:t xml:space="preserve"> within the meaning of </w:t>
      </w:r>
      <w:r w:rsidRPr="00A54D42">
        <w:rPr>
          <w:rFonts w:ascii="Arial" w:hAnsi="Arial" w:cs="Arial"/>
          <w:sz w:val="22"/>
          <w:szCs w:val="22"/>
        </w:rPr>
        <w:t xml:space="preserve">the </w:t>
      </w:r>
      <w:r w:rsidRPr="00A54D42">
        <w:rPr>
          <w:rFonts w:ascii="Arial" w:hAnsi="Arial" w:cs="Arial"/>
          <w:i/>
          <w:iCs/>
          <w:sz w:val="22"/>
          <w:szCs w:val="22"/>
        </w:rPr>
        <w:t>Public Governance, Performance and Accountability Act 2013</w:t>
      </w:r>
      <w:r w:rsidR="0057633C">
        <w:rPr>
          <w:rFonts w:ascii="Arial" w:hAnsi="Arial" w:cs="Arial"/>
          <w:sz w:val="22"/>
          <w:szCs w:val="22"/>
        </w:rPr>
        <w:t>.</w:t>
      </w:r>
    </w:p>
    <w:p w14:paraId="004EB141" w14:textId="77777777" w:rsidR="00EC442F" w:rsidRPr="00A54D42" w:rsidRDefault="00EC442F" w:rsidP="00EC442F">
      <w:pPr>
        <w:ind w:left="709"/>
        <w:rPr>
          <w:rFonts w:ascii="Arial" w:hAnsi="Arial" w:cs="Arial"/>
          <w:sz w:val="22"/>
          <w:szCs w:val="22"/>
        </w:rPr>
      </w:pPr>
    </w:p>
    <w:p w14:paraId="5E420B65" w14:textId="6407AD2B" w:rsidR="00B813C3" w:rsidRDefault="00A54D42" w:rsidP="00766BC9">
      <w:pPr>
        <w:spacing w:after="120"/>
        <w:rPr>
          <w:rFonts w:ascii="Arial" w:hAnsi="Arial" w:cs="Arial"/>
          <w:color w:val="0000FF"/>
          <w:sz w:val="22"/>
          <w:szCs w:val="22"/>
        </w:rPr>
      </w:pPr>
      <w:r w:rsidRPr="00A54D42">
        <w:rPr>
          <w:rFonts w:ascii="Arial" w:hAnsi="Arial" w:cs="Arial"/>
          <w:sz w:val="22"/>
          <w:szCs w:val="22"/>
        </w:rPr>
        <w:t xml:space="preserve">(2) </w:t>
      </w:r>
      <w:r w:rsidR="00B22A28" w:rsidRPr="00A54D42">
        <w:rPr>
          <w:rFonts w:ascii="Arial" w:hAnsi="Arial" w:cs="Arial"/>
          <w:sz w:val="22"/>
          <w:szCs w:val="22"/>
        </w:rPr>
        <w:t>A</w:t>
      </w:r>
      <w:r w:rsidR="00AB7530" w:rsidRPr="00A54D42">
        <w:rPr>
          <w:rFonts w:ascii="Arial" w:hAnsi="Arial" w:cs="Arial"/>
          <w:sz w:val="22"/>
          <w:szCs w:val="22"/>
        </w:rPr>
        <w:t xml:space="preserve">ll </w:t>
      </w:r>
      <w:r w:rsidR="001D1F95">
        <w:rPr>
          <w:rFonts w:ascii="Arial" w:hAnsi="Arial" w:cs="Arial"/>
          <w:sz w:val="22"/>
          <w:szCs w:val="22"/>
        </w:rPr>
        <w:t xml:space="preserve">other </w:t>
      </w:r>
      <w:r w:rsidR="00AB7530" w:rsidRPr="00A54D42">
        <w:rPr>
          <w:rFonts w:ascii="Arial" w:hAnsi="Arial" w:cs="Arial"/>
          <w:sz w:val="22"/>
          <w:szCs w:val="22"/>
        </w:rPr>
        <w:t>terms take their meaning</w:t>
      </w:r>
      <w:r w:rsidR="00F1789C" w:rsidRPr="00A54D42">
        <w:rPr>
          <w:rFonts w:ascii="Arial" w:hAnsi="Arial" w:cs="Arial"/>
          <w:sz w:val="22"/>
          <w:szCs w:val="22"/>
        </w:rPr>
        <w:t>s</w:t>
      </w:r>
      <w:r w:rsidR="00AB7530" w:rsidRPr="00A54D42">
        <w:rPr>
          <w:rFonts w:ascii="Arial" w:hAnsi="Arial" w:cs="Arial"/>
          <w:sz w:val="22"/>
          <w:szCs w:val="22"/>
        </w:rPr>
        <w:t xml:space="preserve"> from the </w:t>
      </w:r>
      <w:r w:rsidR="005F7EA4" w:rsidRPr="00A54D42">
        <w:rPr>
          <w:rFonts w:ascii="Arial" w:hAnsi="Arial" w:cs="Arial"/>
          <w:iCs/>
          <w:sz w:val="22"/>
          <w:szCs w:val="22"/>
        </w:rPr>
        <w:t>Corporations</w:t>
      </w:r>
      <w:r w:rsidR="005F7EA4">
        <w:rPr>
          <w:rFonts w:ascii="Arial" w:hAnsi="Arial" w:cs="Arial"/>
          <w:iCs/>
          <w:sz w:val="22"/>
          <w:szCs w:val="22"/>
        </w:rPr>
        <w:t xml:space="preserve"> Act</w:t>
      </w:r>
      <w:r w:rsidR="005F7EA4" w:rsidRPr="00AB7530">
        <w:rPr>
          <w:rFonts w:ascii="Arial" w:hAnsi="Arial" w:cs="Arial"/>
          <w:sz w:val="22"/>
          <w:szCs w:val="22"/>
        </w:rPr>
        <w:t xml:space="preserve"> </w:t>
      </w:r>
      <w:r w:rsidR="00AB7530" w:rsidRPr="00AB7530">
        <w:rPr>
          <w:rFonts w:ascii="Arial" w:hAnsi="Arial" w:cs="Arial"/>
          <w:sz w:val="22"/>
          <w:szCs w:val="22"/>
        </w:rPr>
        <w:t>unless otherwise stated</w:t>
      </w:r>
      <w:r w:rsidR="00AB7530">
        <w:rPr>
          <w:rFonts w:ascii="Arial" w:hAnsi="Arial" w:cs="Arial"/>
          <w:color w:val="0000FF"/>
          <w:sz w:val="22"/>
          <w:szCs w:val="22"/>
        </w:rPr>
        <w:t>.</w:t>
      </w:r>
    </w:p>
    <w:p w14:paraId="158B26DC" w14:textId="77777777" w:rsidR="007E7114" w:rsidRPr="00F83C2D" w:rsidRDefault="007E7114" w:rsidP="00766BC9">
      <w:pPr>
        <w:spacing w:after="120"/>
        <w:rPr>
          <w:rFonts w:ascii="Arial" w:hAnsi="Arial" w:cs="Arial"/>
          <w:color w:val="0000FF"/>
          <w:sz w:val="22"/>
          <w:szCs w:val="22"/>
        </w:rPr>
      </w:pPr>
    </w:p>
    <w:p w14:paraId="3C9F727E" w14:textId="74A34268" w:rsidR="00EF2FF1" w:rsidRDefault="00BA6DE0" w:rsidP="00EF2FF1">
      <w:pPr>
        <w:pStyle w:val="Heading2"/>
        <w:numPr>
          <w:ilvl w:val="0"/>
          <w:numId w:val="2"/>
        </w:numPr>
        <w:spacing w:after="0"/>
        <w:ind w:left="709" w:hanging="709"/>
        <w:rPr>
          <w:rFonts w:cs="Arial"/>
          <w:szCs w:val="22"/>
        </w:rPr>
      </w:pPr>
      <w:bookmarkStart w:id="3" w:name="_Ref53015143"/>
      <w:bookmarkStart w:id="4" w:name="_Ref53598518"/>
      <w:r>
        <w:rPr>
          <w:rFonts w:cs="Arial"/>
          <w:szCs w:val="22"/>
        </w:rPr>
        <w:t>Disclosure of director ID</w:t>
      </w:r>
      <w:r w:rsidR="00EF2FF1" w:rsidRPr="00541AB6">
        <w:rPr>
          <w:rFonts w:cs="Arial"/>
          <w:szCs w:val="22"/>
        </w:rPr>
        <w:t xml:space="preserve"> information </w:t>
      </w:r>
      <w:r>
        <w:rPr>
          <w:rFonts w:cs="Arial"/>
          <w:szCs w:val="22"/>
        </w:rPr>
        <w:t>to</w:t>
      </w:r>
      <w:r w:rsidR="00EF2FF1" w:rsidRPr="00541AB6">
        <w:rPr>
          <w:rFonts w:cs="Arial"/>
          <w:szCs w:val="22"/>
        </w:rPr>
        <w:t xml:space="preserve"> </w:t>
      </w:r>
      <w:bookmarkEnd w:id="3"/>
      <w:r w:rsidR="00EF2FF1">
        <w:rPr>
          <w:rFonts w:cs="Arial"/>
          <w:szCs w:val="22"/>
        </w:rPr>
        <w:t>PGPA bodies</w:t>
      </w:r>
      <w:r>
        <w:rPr>
          <w:rFonts w:cs="Arial"/>
          <w:szCs w:val="22"/>
        </w:rPr>
        <w:t xml:space="preserve">, courts or </w:t>
      </w:r>
      <w:r w:rsidR="00ED5AAB">
        <w:rPr>
          <w:rFonts w:cs="Arial"/>
          <w:szCs w:val="22"/>
        </w:rPr>
        <w:t>tribunals</w:t>
      </w:r>
      <w:r>
        <w:rPr>
          <w:rFonts w:cs="Arial"/>
          <w:szCs w:val="22"/>
        </w:rPr>
        <w:t>.</w:t>
      </w:r>
      <w:r w:rsidR="00EF2FF1">
        <w:rPr>
          <w:rFonts w:cs="Arial"/>
          <w:szCs w:val="22"/>
        </w:rPr>
        <w:t xml:space="preserve"> </w:t>
      </w:r>
      <w:bookmarkEnd w:id="4"/>
    </w:p>
    <w:p w14:paraId="4BF830A0" w14:textId="77777777" w:rsidR="00EF2FF1" w:rsidRPr="00541AB6" w:rsidRDefault="00EF2FF1" w:rsidP="00EF2FF1">
      <w:pPr>
        <w:spacing w:after="120"/>
        <w:rPr>
          <w:rFonts w:ascii="Arial" w:hAnsi="Arial" w:cs="Arial"/>
          <w:sz w:val="22"/>
          <w:szCs w:val="22"/>
        </w:rPr>
      </w:pPr>
    </w:p>
    <w:p w14:paraId="6E247EBF" w14:textId="4E4700EC" w:rsidR="00EF2FF1" w:rsidRDefault="00EF2FF1" w:rsidP="00EF2FF1">
      <w:pPr>
        <w:pStyle w:val="CommentText"/>
        <w:rPr>
          <w:rFonts w:ascii="Arial" w:hAnsi="Arial" w:cs="Arial"/>
          <w:sz w:val="22"/>
          <w:szCs w:val="22"/>
        </w:rPr>
      </w:pPr>
      <w:r w:rsidRPr="00901089">
        <w:rPr>
          <w:rFonts w:ascii="Arial" w:hAnsi="Arial" w:cs="Arial"/>
          <w:sz w:val="22"/>
          <w:szCs w:val="22"/>
        </w:rPr>
        <w:t xml:space="preserve">(1) </w:t>
      </w:r>
      <w:r w:rsidR="00E83927">
        <w:rPr>
          <w:rFonts w:ascii="Arial" w:hAnsi="Arial" w:cs="Arial"/>
          <w:sz w:val="22"/>
          <w:szCs w:val="22"/>
        </w:rPr>
        <w:t>Subject to section 7 of this instrument, t</w:t>
      </w:r>
      <w:r w:rsidR="00BC59DB">
        <w:rPr>
          <w:rFonts w:ascii="Arial" w:hAnsi="Arial" w:cs="Arial"/>
          <w:sz w:val="22"/>
          <w:szCs w:val="22"/>
        </w:rPr>
        <w:t>he disclosure of</w:t>
      </w:r>
      <w:r>
        <w:rPr>
          <w:rFonts w:ascii="Arial" w:hAnsi="Arial" w:cs="Arial"/>
          <w:sz w:val="22"/>
          <w:szCs w:val="22"/>
        </w:rPr>
        <w:t xml:space="preserve"> </w:t>
      </w:r>
      <w:r w:rsidR="00BC59DB">
        <w:rPr>
          <w:rFonts w:ascii="Arial" w:hAnsi="Arial" w:cs="Arial"/>
          <w:sz w:val="22"/>
          <w:szCs w:val="22"/>
        </w:rPr>
        <w:t>director ID</w:t>
      </w:r>
      <w:r>
        <w:rPr>
          <w:rFonts w:ascii="Arial" w:hAnsi="Arial" w:cs="Arial"/>
          <w:sz w:val="22"/>
          <w:szCs w:val="22"/>
        </w:rPr>
        <w:t xml:space="preserve"> information to a person</w:t>
      </w:r>
      <w:r w:rsidR="00BC59DB">
        <w:rPr>
          <w:rFonts w:ascii="Arial" w:hAnsi="Arial" w:cs="Arial"/>
          <w:sz w:val="22"/>
          <w:szCs w:val="22"/>
        </w:rPr>
        <w:t xml:space="preserve"> for use,</w:t>
      </w:r>
      <w:r>
        <w:rPr>
          <w:rFonts w:ascii="Arial" w:hAnsi="Arial" w:cs="Arial"/>
          <w:sz w:val="22"/>
          <w:szCs w:val="22"/>
        </w:rPr>
        <w:t xml:space="preserve"> in</w:t>
      </w:r>
      <w:r w:rsidR="00BC59DB">
        <w:rPr>
          <w:rFonts w:ascii="Arial" w:hAnsi="Arial" w:cs="Arial"/>
          <w:sz w:val="22"/>
          <w:szCs w:val="22"/>
        </w:rPr>
        <w:t xml:space="preserve"> the course of the performance of duties of the person’s</w:t>
      </w:r>
      <w:r>
        <w:rPr>
          <w:rFonts w:ascii="Arial" w:hAnsi="Arial" w:cs="Arial"/>
          <w:sz w:val="22"/>
          <w:szCs w:val="22"/>
        </w:rPr>
        <w:t xml:space="preserve"> official employment</w:t>
      </w:r>
      <w:r w:rsidR="00E83927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8F2B57">
        <w:rPr>
          <w:rFonts w:ascii="Arial" w:hAnsi="Arial" w:cs="Arial"/>
          <w:sz w:val="22"/>
          <w:szCs w:val="22"/>
        </w:rPr>
        <w:t>in relation to the</w:t>
      </w:r>
      <w:r>
        <w:rPr>
          <w:rFonts w:ascii="Arial" w:hAnsi="Arial" w:cs="Arial"/>
          <w:sz w:val="22"/>
          <w:szCs w:val="22"/>
        </w:rPr>
        <w:t xml:space="preserve"> perform</w:t>
      </w:r>
      <w:r w:rsidR="008F2B57">
        <w:rPr>
          <w:rFonts w:ascii="Arial" w:hAnsi="Arial" w:cs="Arial"/>
          <w:sz w:val="22"/>
          <w:szCs w:val="22"/>
        </w:rPr>
        <w:t>ance</w:t>
      </w:r>
      <w:r>
        <w:rPr>
          <w:rFonts w:ascii="Arial" w:hAnsi="Arial" w:cs="Arial"/>
          <w:sz w:val="22"/>
          <w:szCs w:val="22"/>
        </w:rPr>
        <w:t xml:space="preserve"> or exercis</w:t>
      </w:r>
      <w:r w:rsidR="008F2B57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</w:t>
      </w:r>
      <w:r w:rsidR="008F2B57">
        <w:rPr>
          <w:rFonts w:ascii="Arial" w:hAnsi="Arial" w:cs="Arial"/>
          <w:sz w:val="22"/>
          <w:szCs w:val="22"/>
        </w:rPr>
        <w:t xml:space="preserve">of </w:t>
      </w:r>
      <w:r>
        <w:rPr>
          <w:rFonts w:ascii="Arial" w:hAnsi="Arial" w:cs="Arial"/>
          <w:sz w:val="22"/>
          <w:szCs w:val="22"/>
        </w:rPr>
        <w:t xml:space="preserve">the functions or powers of </w:t>
      </w:r>
      <w:r w:rsidR="008F2B57">
        <w:rPr>
          <w:rFonts w:ascii="Arial" w:hAnsi="Arial" w:cs="Arial"/>
          <w:sz w:val="22"/>
          <w:szCs w:val="22"/>
        </w:rPr>
        <w:t xml:space="preserve">a </w:t>
      </w:r>
      <w:r>
        <w:rPr>
          <w:rFonts w:ascii="Arial" w:hAnsi="Arial" w:cs="Arial"/>
          <w:sz w:val="22"/>
          <w:szCs w:val="22"/>
        </w:rPr>
        <w:t>PGPA body</w:t>
      </w:r>
      <w:r w:rsidR="00E83927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BC59DB">
        <w:rPr>
          <w:rFonts w:ascii="Arial" w:hAnsi="Arial" w:cs="Arial"/>
          <w:sz w:val="22"/>
          <w:szCs w:val="22"/>
        </w:rPr>
        <w:t>is</w:t>
      </w:r>
      <w:r w:rsidR="00B25026">
        <w:rPr>
          <w:rFonts w:ascii="Arial" w:hAnsi="Arial" w:cs="Arial"/>
          <w:sz w:val="22"/>
          <w:szCs w:val="22"/>
        </w:rPr>
        <w:t xml:space="preserve"> in accordance with this instrument and is therefore</w:t>
      </w:r>
      <w:r w:rsidR="00BC59DB" w:rsidRPr="00BC59DB">
        <w:t xml:space="preserve"> </w:t>
      </w:r>
      <w:r w:rsidR="00BC59DB" w:rsidRPr="00BC59DB">
        <w:rPr>
          <w:rFonts w:ascii="Arial" w:hAnsi="Arial" w:cs="Arial"/>
          <w:sz w:val="22"/>
          <w:szCs w:val="22"/>
        </w:rPr>
        <w:t>authorised by paragraph 1270L(3)(f) of the Corporations Act</w:t>
      </w:r>
      <w:r w:rsidR="00BC59DB">
        <w:rPr>
          <w:rFonts w:ascii="Arial" w:hAnsi="Arial" w:cs="Arial"/>
          <w:sz w:val="22"/>
          <w:szCs w:val="22"/>
        </w:rPr>
        <w:t xml:space="preserve">. </w:t>
      </w:r>
    </w:p>
    <w:p w14:paraId="7F93867A" w14:textId="77777777" w:rsidR="000C50A9" w:rsidRDefault="000C50A9" w:rsidP="00EF2FF1">
      <w:pPr>
        <w:pStyle w:val="CommentText"/>
        <w:rPr>
          <w:rFonts w:ascii="Arial" w:hAnsi="Arial" w:cs="Arial"/>
          <w:sz w:val="22"/>
          <w:szCs w:val="22"/>
        </w:rPr>
      </w:pPr>
    </w:p>
    <w:p w14:paraId="70E572B5" w14:textId="4A91E91E" w:rsidR="00573990" w:rsidRDefault="000C50A9" w:rsidP="00307CE6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CE58C0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) </w:t>
      </w:r>
      <w:r w:rsidR="00EF2FF1">
        <w:rPr>
          <w:rFonts w:ascii="Arial" w:hAnsi="Arial" w:cs="Arial"/>
          <w:sz w:val="22"/>
          <w:szCs w:val="22"/>
        </w:rPr>
        <w:t>S</w:t>
      </w:r>
      <w:r w:rsidR="00EF2FF1" w:rsidRPr="00071911">
        <w:rPr>
          <w:rFonts w:ascii="Arial" w:hAnsi="Arial" w:cs="Arial"/>
          <w:sz w:val="22"/>
          <w:szCs w:val="22"/>
        </w:rPr>
        <w:t xml:space="preserve">ubject to section </w:t>
      </w:r>
      <w:r w:rsidR="00F20BD1">
        <w:rPr>
          <w:rFonts w:ascii="Arial" w:hAnsi="Arial" w:cs="Arial"/>
          <w:sz w:val="22"/>
          <w:szCs w:val="22"/>
        </w:rPr>
        <w:t>1270Q</w:t>
      </w:r>
      <w:r w:rsidR="00EF2FF1" w:rsidRPr="00071911">
        <w:rPr>
          <w:rFonts w:ascii="Arial" w:hAnsi="Arial" w:cs="Arial"/>
          <w:sz w:val="22"/>
          <w:szCs w:val="22"/>
        </w:rPr>
        <w:t xml:space="preserve"> of the </w:t>
      </w:r>
      <w:r w:rsidR="00F20BD1">
        <w:rPr>
          <w:rFonts w:ascii="Arial" w:hAnsi="Arial" w:cs="Arial"/>
          <w:sz w:val="22"/>
          <w:szCs w:val="22"/>
        </w:rPr>
        <w:t xml:space="preserve">Corporations </w:t>
      </w:r>
      <w:r w:rsidR="00EF2FF1" w:rsidRPr="00071911">
        <w:rPr>
          <w:rFonts w:ascii="Arial" w:hAnsi="Arial" w:cs="Arial"/>
          <w:sz w:val="22"/>
          <w:szCs w:val="22"/>
        </w:rPr>
        <w:t>Act, the disclos</w:t>
      </w:r>
      <w:r w:rsidR="00BA6DE0">
        <w:rPr>
          <w:rFonts w:ascii="Arial" w:hAnsi="Arial" w:cs="Arial"/>
          <w:sz w:val="22"/>
          <w:szCs w:val="22"/>
        </w:rPr>
        <w:t>ur</w:t>
      </w:r>
      <w:r w:rsidR="00EF2FF1" w:rsidRPr="00071911">
        <w:rPr>
          <w:rFonts w:ascii="Arial" w:hAnsi="Arial" w:cs="Arial"/>
          <w:sz w:val="22"/>
          <w:szCs w:val="22"/>
        </w:rPr>
        <w:t xml:space="preserve">e </w:t>
      </w:r>
      <w:r w:rsidR="00BA6DE0">
        <w:rPr>
          <w:rFonts w:ascii="Arial" w:hAnsi="Arial" w:cs="Arial"/>
          <w:sz w:val="22"/>
          <w:szCs w:val="22"/>
        </w:rPr>
        <w:t xml:space="preserve">of </w:t>
      </w:r>
      <w:r w:rsidR="00C275AA">
        <w:rPr>
          <w:rFonts w:ascii="Arial" w:hAnsi="Arial" w:cs="Arial"/>
          <w:sz w:val="22"/>
          <w:szCs w:val="22"/>
        </w:rPr>
        <w:t>director ID</w:t>
      </w:r>
      <w:r w:rsidR="00C275AA" w:rsidRPr="00071911">
        <w:rPr>
          <w:rFonts w:ascii="Arial" w:hAnsi="Arial" w:cs="Arial"/>
          <w:sz w:val="22"/>
          <w:szCs w:val="22"/>
        </w:rPr>
        <w:t xml:space="preserve"> </w:t>
      </w:r>
      <w:r w:rsidR="00EF2FF1" w:rsidRPr="00071911">
        <w:rPr>
          <w:rFonts w:ascii="Arial" w:hAnsi="Arial" w:cs="Arial"/>
          <w:sz w:val="22"/>
          <w:szCs w:val="22"/>
        </w:rPr>
        <w:t>information to a court or tribunal</w:t>
      </w:r>
      <w:r w:rsidR="00BA6DE0">
        <w:rPr>
          <w:rFonts w:ascii="Arial" w:hAnsi="Arial" w:cs="Arial"/>
          <w:sz w:val="22"/>
          <w:szCs w:val="22"/>
        </w:rPr>
        <w:t xml:space="preserve"> </w:t>
      </w:r>
      <w:r w:rsidR="00B25026">
        <w:rPr>
          <w:rFonts w:ascii="Arial" w:hAnsi="Arial" w:cs="Arial"/>
          <w:sz w:val="22"/>
          <w:szCs w:val="22"/>
        </w:rPr>
        <w:t xml:space="preserve">is in accordance with this instrument and is therefore </w:t>
      </w:r>
      <w:r w:rsidR="00BA6DE0" w:rsidRPr="00BC59DB">
        <w:rPr>
          <w:rFonts w:ascii="Arial" w:hAnsi="Arial" w:cs="Arial"/>
          <w:sz w:val="22"/>
          <w:szCs w:val="22"/>
        </w:rPr>
        <w:t>authorised by paragraph 1270L(3)(f) of the Corporations Act</w:t>
      </w:r>
      <w:r w:rsidR="00EF2FF1">
        <w:rPr>
          <w:rFonts w:ascii="Arial" w:hAnsi="Arial" w:cs="Arial"/>
          <w:sz w:val="22"/>
          <w:szCs w:val="22"/>
        </w:rPr>
        <w:t>.</w:t>
      </w:r>
    </w:p>
    <w:p w14:paraId="18157593" w14:textId="78FAC976" w:rsidR="00CE58C0" w:rsidRDefault="00CE58C0" w:rsidP="00CE58C0">
      <w:pPr>
        <w:pStyle w:val="CommentText"/>
        <w:rPr>
          <w:rFonts w:ascii="Arial" w:hAnsi="Arial" w:cs="Arial"/>
          <w:sz w:val="22"/>
          <w:szCs w:val="22"/>
        </w:rPr>
      </w:pPr>
      <w:r w:rsidRPr="00071911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3</w:t>
      </w:r>
      <w:r w:rsidRPr="00071911">
        <w:rPr>
          <w:rFonts w:ascii="Arial" w:hAnsi="Arial" w:cs="Arial"/>
          <w:sz w:val="22"/>
          <w:szCs w:val="22"/>
        </w:rPr>
        <w:t xml:space="preserve">) </w:t>
      </w:r>
      <w:r w:rsidRPr="00901089">
        <w:rPr>
          <w:rFonts w:ascii="Arial" w:hAnsi="Arial" w:cs="Arial"/>
          <w:sz w:val="22"/>
          <w:szCs w:val="22"/>
        </w:rPr>
        <w:t xml:space="preserve">The disclosure of </w:t>
      </w:r>
      <w:r>
        <w:rPr>
          <w:rFonts w:ascii="Arial" w:hAnsi="Arial" w:cs="Arial"/>
          <w:sz w:val="22"/>
          <w:szCs w:val="22"/>
        </w:rPr>
        <w:t xml:space="preserve">director ID </w:t>
      </w:r>
      <w:r w:rsidRPr="00901089">
        <w:rPr>
          <w:rFonts w:ascii="Arial" w:hAnsi="Arial" w:cs="Arial"/>
          <w:sz w:val="22"/>
          <w:szCs w:val="22"/>
        </w:rPr>
        <w:t>information</w:t>
      </w:r>
      <w:r>
        <w:rPr>
          <w:rFonts w:ascii="Arial" w:hAnsi="Arial" w:cs="Arial"/>
          <w:sz w:val="22"/>
          <w:szCs w:val="22"/>
        </w:rPr>
        <w:t xml:space="preserve"> under subsection</w:t>
      </w:r>
      <w:r w:rsidR="00624AB3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6(1) and (2) of this instrument will not require payment of a fee and will generally be provided electronically.</w:t>
      </w:r>
    </w:p>
    <w:p w14:paraId="6C5BBD97" w14:textId="77777777" w:rsidR="00CE58C0" w:rsidRDefault="00CE58C0" w:rsidP="003502FA">
      <w:pPr>
        <w:pStyle w:val="CommentText"/>
        <w:rPr>
          <w:rFonts w:ascii="Arial" w:hAnsi="Arial" w:cs="Arial"/>
          <w:sz w:val="22"/>
          <w:szCs w:val="22"/>
        </w:rPr>
      </w:pPr>
    </w:p>
    <w:p w14:paraId="29F08907" w14:textId="1FCE5445" w:rsidR="00BC59DB" w:rsidRDefault="00BC59DB" w:rsidP="00307CE6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(4) This instrument applies to persons who, but for </w:t>
      </w:r>
      <w:r w:rsidRPr="00BC59DB">
        <w:rPr>
          <w:rFonts w:ascii="Arial" w:hAnsi="Arial" w:cs="Arial"/>
          <w:sz w:val="22"/>
          <w:szCs w:val="22"/>
        </w:rPr>
        <w:t xml:space="preserve">paragraph </w:t>
      </w:r>
      <w:proofErr w:type="gramStart"/>
      <w:r w:rsidRPr="00BC59DB">
        <w:rPr>
          <w:rFonts w:ascii="Arial" w:hAnsi="Arial" w:cs="Arial"/>
          <w:sz w:val="22"/>
          <w:szCs w:val="22"/>
        </w:rPr>
        <w:t>1270L(</w:t>
      </w:r>
      <w:proofErr w:type="gramEnd"/>
      <w:r w:rsidRPr="00BC59DB">
        <w:rPr>
          <w:rFonts w:ascii="Arial" w:hAnsi="Arial" w:cs="Arial"/>
          <w:sz w:val="22"/>
          <w:szCs w:val="22"/>
        </w:rPr>
        <w:t>3)(f) of the Corporations Act</w:t>
      </w:r>
      <w:r w:rsidR="00C275AA">
        <w:rPr>
          <w:rFonts w:ascii="Arial" w:hAnsi="Arial" w:cs="Arial"/>
          <w:sz w:val="22"/>
          <w:szCs w:val="22"/>
        </w:rPr>
        <w:t xml:space="preserve"> and the operation of the instrument</w:t>
      </w:r>
      <w:r>
        <w:rPr>
          <w:rFonts w:ascii="Arial" w:hAnsi="Arial" w:cs="Arial"/>
          <w:sz w:val="22"/>
          <w:szCs w:val="22"/>
        </w:rPr>
        <w:t>, subsection 1270L(1) of the Corporations Act would apply.</w:t>
      </w:r>
    </w:p>
    <w:p w14:paraId="49839762" w14:textId="676F10C9" w:rsidR="00B25026" w:rsidRDefault="00B25026" w:rsidP="00307CE6">
      <w:pPr>
        <w:spacing w:after="120"/>
        <w:rPr>
          <w:rFonts w:ascii="Arial" w:hAnsi="Arial" w:cs="Arial"/>
          <w:color w:val="0000FF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(5) the disclosure of director ID information in accordance with this instrument is permitted however, nothing in this instrument requires the disclosure of director ID information.</w:t>
      </w:r>
    </w:p>
    <w:p w14:paraId="76FAFFFB" w14:textId="6D3C54BF" w:rsidR="00573990" w:rsidRDefault="00573990" w:rsidP="00573990">
      <w:pPr>
        <w:spacing w:after="120"/>
        <w:rPr>
          <w:rFonts w:ascii="Arial" w:hAnsi="Arial" w:cs="Arial"/>
          <w:sz w:val="22"/>
          <w:szCs w:val="22"/>
        </w:rPr>
      </w:pPr>
      <w:bookmarkStart w:id="5" w:name="_Hlk57898573"/>
    </w:p>
    <w:bookmarkEnd w:id="5"/>
    <w:p w14:paraId="72D85F05" w14:textId="77777777" w:rsidR="009E2C00" w:rsidRDefault="009E2C00" w:rsidP="00573990">
      <w:pPr>
        <w:spacing w:after="120"/>
        <w:rPr>
          <w:rFonts w:ascii="Arial" w:hAnsi="Arial" w:cs="Arial"/>
          <w:sz w:val="22"/>
          <w:szCs w:val="22"/>
        </w:rPr>
      </w:pPr>
    </w:p>
    <w:p w14:paraId="77C4A117" w14:textId="6F63A972" w:rsidR="00E31355" w:rsidRPr="00E31355" w:rsidRDefault="00D5134A" w:rsidP="00E31355">
      <w:pPr>
        <w:spacing w:after="1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7</w:t>
      </w:r>
      <w:r w:rsidR="00E31355">
        <w:rPr>
          <w:rFonts w:ascii="Arial" w:hAnsi="Arial" w:cs="Arial"/>
          <w:b/>
          <w:bCs/>
          <w:sz w:val="22"/>
          <w:szCs w:val="22"/>
        </w:rPr>
        <w:t xml:space="preserve">.  </w:t>
      </w:r>
      <w:r w:rsidR="00E31355">
        <w:rPr>
          <w:rFonts w:ascii="Arial" w:hAnsi="Arial" w:cs="Arial"/>
          <w:b/>
          <w:bCs/>
          <w:sz w:val="22"/>
          <w:szCs w:val="22"/>
        </w:rPr>
        <w:tab/>
      </w:r>
      <w:r w:rsidR="00E31355" w:rsidRPr="00E31355">
        <w:rPr>
          <w:rFonts w:ascii="Arial" w:hAnsi="Arial" w:cs="Arial"/>
          <w:b/>
          <w:bCs/>
          <w:sz w:val="22"/>
          <w:szCs w:val="22"/>
        </w:rPr>
        <w:t>Other matters</w:t>
      </w:r>
    </w:p>
    <w:p w14:paraId="3305212E" w14:textId="41317A83" w:rsidR="00E31355" w:rsidRPr="002F120C" w:rsidRDefault="00D5134A" w:rsidP="00E31355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(1) </w:t>
      </w:r>
      <w:bookmarkStart w:id="6" w:name="_Hlk57898949"/>
      <w:r w:rsidRPr="003502FA">
        <w:rPr>
          <w:rFonts w:ascii="Arial" w:hAnsi="Arial" w:cs="Arial"/>
          <w:sz w:val="22"/>
          <w:szCs w:val="22"/>
        </w:rPr>
        <w:t>Individuals making an application</w:t>
      </w:r>
      <w:r w:rsidR="005F0CA8">
        <w:rPr>
          <w:rFonts w:ascii="Arial" w:hAnsi="Arial" w:cs="Arial"/>
          <w:sz w:val="22"/>
          <w:szCs w:val="22"/>
        </w:rPr>
        <w:t xml:space="preserve"> under subsection 1270N(1) of the Corporations Act</w:t>
      </w:r>
      <w:r w:rsidR="002031A4">
        <w:rPr>
          <w:rFonts w:ascii="Arial" w:hAnsi="Arial" w:cs="Arial"/>
          <w:sz w:val="22"/>
          <w:szCs w:val="22"/>
        </w:rPr>
        <w:t xml:space="preserve"> to not disclose</w:t>
      </w:r>
      <w:r w:rsidR="00E31355">
        <w:rPr>
          <w:rFonts w:ascii="Arial" w:hAnsi="Arial" w:cs="Arial"/>
          <w:sz w:val="22"/>
          <w:szCs w:val="22"/>
        </w:rPr>
        <w:t xml:space="preserve"> </w:t>
      </w:r>
      <w:r w:rsidR="00624AB3">
        <w:rPr>
          <w:rFonts w:ascii="Arial" w:hAnsi="Arial" w:cs="Arial"/>
          <w:sz w:val="22"/>
          <w:szCs w:val="22"/>
        </w:rPr>
        <w:t>d</w:t>
      </w:r>
      <w:r w:rsidR="002031A4">
        <w:rPr>
          <w:rFonts w:ascii="Arial" w:hAnsi="Arial" w:cs="Arial"/>
          <w:sz w:val="22"/>
          <w:szCs w:val="22"/>
        </w:rPr>
        <w:t>irector ID</w:t>
      </w:r>
      <w:r w:rsidR="00E31355">
        <w:rPr>
          <w:rFonts w:ascii="Arial" w:hAnsi="Arial" w:cs="Arial"/>
          <w:sz w:val="22"/>
          <w:szCs w:val="22"/>
        </w:rPr>
        <w:t xml:space="preserve"> information that </w:t>
      </w:r>
      <w:r w:rsidR="00612F53">
        <w:rPr>
          <w:rFonts w:ascii="Arial" w:hAnsi="Arial" w:cs="Arial"/>
          <w:sz w:val="22"/>
          <w:szCs w:val="22"/>
        </w:rPr>
        <w:t>may</w:t>
      </w:r>
      <w:r w:rsidR="00E31355">
        <w:rPr>
          <w:rFonts w:ascii="Arial" w:hAnsi="Arial" w:cs="Arial"/>
          <w:sz w:val="22"/>
          <w:szCs w:val="22"/>
        </w:rPr>
        <w:t xml:space="preserve"> be disclosed to PGPA bodies</w:t>
      </w:r>
      <w:r w:rsidR="002031A4">
        <w:rPr>
          <w:rFonts w:ascii="Arial" w:hAnsi="Arial" w:cs="Arial"/>
          <w:sz w:val="22"/>
          <w:szCs w:val="22"/>
        </w:rPr>
        <w:t>, courts or tribunals</w:t>
      </w:r>
      <w:r w:rsidR="00E31355">
        <w:rPr>
          <w:rFonts w:ascii="Arial" w:hAnsi="Arial" w:cs="Arial"/>
          <w:sz w:val="22"/>
          <w:szCs w:val="22"/>
        </w:rPr>
        <w:t xml:space="preserve"> under this </w:t>
      </w:r>
      <w:r>
        <w:rPr>
          <w:rFonts w:ascii="Arial" w:hAnsi="Arial" w:cs="Arial"/>
          <w:sz w:val="22"/>
          <w:szCs w:val="22"/>
        </w:rPr>
        <w:lastRenderedPageBreak/>
        <w:t>instrument,</w:t>
      </w:r>
      <w:r w:rsidR="00E31355">
        <w:rPr>
          <w:rFonts w:ascii="Arial" w:hAnsi="Arial" w:cs="Arial"/>
          <w:sz w:val="22"/>
          <w:szCs w:val="22"/>
        </w:rPr>
        <w:t xml:space="preserve"> </w:t>
      </w:r>
      <w:r w:rsidR="00DA3591">
        <w:rPr>
          <w:rFonts w:ascii="Arial" w:hAnsi="Arial" w:cs="Arial"/>
          <w:sz w:val="22"/>
          <w:szCs w:val="22"/>
        </w:rPr>
        <w:t>must demonstrate</w:t>
      </w:r>
      <w:r w:rsidR="00624AB3">
        <w:rPr>
          <w:rFonts w:ascii="Arial" w:hAnsi="Arial" w:cs="Arial"/>
          <w:sz w:val="22"/>
          <w:szCs w:val="22"/>
        </w:rPr>
        <w:t xml:space="preserve"> how</w:t>
      </w:r>
      <w:r w:rsidR="00F265F6">
        <w:rPr>
          <w:rFonts w:ascii="Arial" w:hAnsi="Arial" w:cs="Arial"/>
          <w:sz w:val="22"/>
          <w:szCs w:val="22"/>
        </w:rPr>
        <w:t xml:space="preserve"> the detrimental consequence</w:t>
      </w:r>
      <w:r w:rsidR="00CE58C0">
        <w:rPr>
          <w:rFonts w:ascii="Arial" w:hAnsi="Arial" w:cs="Arial"/>
          <w:sz w:val="22"/>
          <w:szCs w:val="22"/>
        </w:rPr>
        <w:t xml:space="preserve"> to the individual</w:t>
      </w:r>
      <w:r w:rsidR="00F265F6">
        <w:rPr>
          <w:rFonts w:ascii="Arial" w:hAnsi="Arial" w:cs="Arial"/>
          <w:sz w:val="22"/>
          <w:szCs w:val="22"/>
        </w:rPr>
        <w:t xml:space="preserve"> </w:t>
      </w:r>
      <w:r w:rsidR="00DA3591">
        <w:rPr>
          <w:rFonts w:ascii="Arial" w:hAnsi="Arial" w:cs="Arial"/>
          <w:sz w:val="22"/>
          <w:szCs w:val="22"/>
        </w:rPr>
        <w:t xml:space="preserve">of disclosure outweighs the ability of </w:t>
      </w:r>
      <w:r w:rsidR="00CE58C0">
        <w:rPr>
          <w:rFonts w:ascii="Arial" w:hAnsi="Arial" w:cs="Arial"/>
          <w:sz w:val="22"/>
          <w:szCs w:val="22"/>
        </w:rPr>
        <w:t xml:space="preserve">PGPA bodies, courts or tribunal </w:t>
      </w:r>
      <w:r w:rsidR="00DA3591">
        <w:rPr>
          <w:rFonts w:ascii="Arial" w:hAnsi="Arial" w:cs="Arial"/>
          <w:sz w:val="22"/>
          <w:szCs w:val="22"/>
        </w:rPr>
        <w:t>perform</w:t>
      </w:r>
      <w:r w:rsidR="00CE58C0">
        <w:rPr>
          <w:rFonts w:ascii="Arial" w:hAnsi="Arial" w:cs="Arial"/>
          <w:sz w:val="22"/>
          <w:szCs w:val="22"/>
        </w:rPr>
        <w:t>ing</w:t>
      </w:r>
      <w:r w:rsidR="00DA3591">
        <w:rPr>
          <w:rFonts w:ascii="Arial" w:hAnsi="Arial" w:cs="Arial"/>
          <w:sz w:val="22"/>
          <w:szCs w:val="22"/>
        </w:rPr>
        <w:t xml:space="preserve"> their functions. </w:t>
      </w:r>
    </w:p>
    <w:bookmarkEnd w:id="6"/>
    <w:p w14:paraId="121C78F1" w14:textId="77777777" w:rsidR="00307CE6" w:rsidRPr="00307CE6" w:rsidRDefault="00307CE6" w:rsidP="00307CE6">
      <w:pPr>
        <w:rPr>
          <w:lang w:eastAsia="en-US"/>
        </w:rPr>
      </w:pPr>
    </w:p>
    <w:sectPr w:rsidR="00307CE6" w:rsidRPr="00307CE6" w:rsidSect="001B4B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78" w:right="849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5D7342" w14:textId="77777777" w:rsidR="00D505A7" w:rsidRDefault="00D505A7">
      <w:r>
        <w:separator/>
      </w:r>
    </w:p>
  </w:endnote>
  <w:endnote w:type="continuationSeparator" w:id="0">
    <w:p w14:paraId="6ADFD64D" w14:textId="77777777" w:rsidR="00D505A7" w:rsidRDefault="00D50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9A39C5" w14:textId="77777777" w:rsidR="00D9685A" w:rsidRDefault="00D968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288D97" w14:textId="76937B87" w:rsidR="001B4BBC" w:rsidRPr="001B4BBC" w:rsidRDefault="001B4BBC" w:rsidP="001B4BBC">
    <w:pPr>
      <w:pStyle w:val="Footer"/>
      <w:jc w:val="right"/>
      <w:rPr>
        <w:b/>
        <w:sz w:val="32"/>
      </w:rPr>
    </w:pPr>
    <w:r w:rsidRPr="001B4BBC">
      <w:rPr>
        <w:b/>
        <w:sz w:val="32"/>
      </w:rPr>
      <w:t>EXPOSURE DRAFT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BE8DC2" w14:textId="77777777" w:rsidR="00D9685A" w:rsidRDefault="00D968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368F33" w14:textId="77777777" w:rsidR="00D505A7" w:rsidRDefault="00D505A7">
      <w:r>
        <w:separator/>
      </w:r>
    </w:p>
  </w:footnote>
  <w:footnote w:type="continuationSeparator" w:id="0">
    <w:p w14:paraId="46D1DC11" w14:textId="77777777" w:rsidR="00D505A7" w:rsidRDefault="00D505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64B683" w14:textId="77777777" w:rsidR="00D9685A" w:rsidRDefault="00D968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2C51CE" w14:textId="4269CBDB" w:rsidR="008F15B6" w:rsidRDefault="003A3336" w:rsidP="003A3336">
    <w:pPr>
      <w:pStyle w:val="Header"/>
      <w:rPr>
        <w:b/>
        <w:sz w:val="32"/>
      </w:rPr>
    </w:pPr>
    <w:r>
      <w:rPr>
        <w:noProof/>
      </w:rPr>
      <w:drawing>
        <wp:inline distT="0" distB="0" distL="0" distR="0" wp14:anchorId="1FD7A673" wp14:editId="2F193DC7">
          <wp:extent cx="2413635" cy="701675"/>
          <wp:effectExtent l="0" t="0" r="5715" b="3175"/>
          <wp:docPr id="3" name="Picture 1" descr="ATO_in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TO_in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363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sz w:val="32"/>
      </w:rPr>
      <w:tab/>
    </w:r>
    <w:r>
      <w:rPr>
        <w:b/>
        <w:sz w:val="32"/>
      </w:rPr>
      <w:tab/>
      <w:t xml:space="preserve">                                  </w:t>
    </w:r>
    <w:r w:rsidR="001B4BBC" w:rsidRPr="001B4BBC">
      <w:rPr>
        <w:b/>
        <w:sz w:val="32"/>
      </w:rPr>
      <w:t>EXPOSURE DRAFT</w:t>
    </w:r>
  </w:p>
  <w:p w14:paraId="1CA1F480" w14:textId="77777777" w:rsidR="001B4BBC" w:rsidRPr="001B4BBC" w:rsidRDefault="001B4BBC" w:rsidP="001B4BBC">
    <w:pPr>
      <w:pStyle w:val="Header"/>
      <w:jc w:val="right"/>
      <w:rPr>
        <w:b/>
        <w:sz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F95099" w14:textId="688591E2" w:rsidR="00001B90" w:rsidRPr="001B4BBC" w:rsidRDefault="001B4BBC">
    <w:pPr>
      <w:pStyle w:val="Header"/>
      <w:rPr>
        <w:b/>
        <w:sz w:val="28"/>
        <w:szCs w:val="20"/>
      </w:rPr>
    </w:pPr>
    <w:r w:rsidRPr="001B4BBC">
      <w:rPr>
        <w:b/>
        <w:sz w:val="28"/>
        <w:szCs w:val="20"/>
      </w:rPr>
      <w:ptab w:relativeTo="margin" w:alignment="center" w:leader="none"/>
    </w:r>
    <w:r w:rsidRPr="001B4BBC">
      <w:rPr>
        <w:b/>
        <w:sz w:val="28"/>
        <w:szCs w:val="20"/>
      </w:rPr>
      <w:ptab w:relativeTo="margin" w:alignment="right" w:leader="none"/>
    </w:r>
    <w:r w:rsidRPr="001B4BBC">
      <w:rPr>
        <w:b/>
        <w:sz w:val="28"/>
        <w:szCs w:val="20"/>
      </w:rPr>
      <w:t>EXPOSURE DRAFT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51FB9"/>
    <w:multiLevelType w:val="hybridMultilevel"/>
    <w:tmpl w:val="6F0803C6"/>
    <w:lvl w:ilvl="0" w:tplc="B75838D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D52CBE"/>
    <w:multiLevelType w:val="hybridMultilevel"/>
    <w:tmpl w:val="52A4C4B2"/>
    <w:lvl w:ilvl="0" w:tplc="E942412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88540E"/>
    <w:multiLevelType w:val="hybridMultilevel"/>
    <w:tmpl w:val="C6368ED2"/>
    <w:lvl w:ilvl="0" w:tplc="0C09000F">
      <w:start w:val="1"/>
      <w:numFmt w:val="decimal"/>
      <w:lvlText w:val="%1."/>
      <w:lvlJc w:val="left"/>
      <w:pPr>
        <w:tabs>
          <w:tab w:val="num" w:pos="8370"/>
        </w:tabs>
        <w:ind w:left="837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9090"/>
        </w:tabs>
        <w:ind w:left="909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9810"/>
        </w:tabs>
        <w:ind w:left="981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10530"/>
        </w:tabs>
        <w:ind w:left="1053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11250"/>
        </w:tabs>
        <w:ind w:left="1125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11970"/>
        </w:tabs>
        <w:ind w:left="1197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12690"/>
        </w:tabs>
        <w:ind w:left="1269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13410"/>
        </w:tabs>
        <w:ind w:left="1341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14130"/>
        </w:tabs>
        <w:ind w:left="14130" w:hanging="180"/>
      </w:pPr>
    </w:lvl>
  </w:abstractNum>
  <w:abstractNum w:abstractNumId="3" w15:restartNumberingAfterBreak="0">
    <w:nsid w:val="15311D84"/>
    <w:multiLevelType w:val="hybridMultilevel"/>
    <w:tmpl w:val="1536F832"/>
    <w:lvl w:ilvl="0" w:tplc="DF3EDE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F03BBF"/>
    <w:multiLevelType w:val="hybridMultilevel"/>
    <w:tmpl w:val="8960914C"/>
    <w:lvl w:ilvl="0" w:tplc="0C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C657EBE"/>
    <w:multiLevelType w:val="hybridMultilevel"/>
    <w:tmpl w:val="4AA89E10"/>
    <w:lvl w:ilvl="0" w:tplc="0C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CD1B91"/>
    <w:multiLevelType w:val="hybridMultilevel"/>
    <w:tmpl w:val="7804B5CC"/>
    <w:lvl w:ilvl="0" w:tplc="0C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1CE6655E"/>
    <w:multiLevelType w:val="hybridMultilevel"/>
    <w:tmpl w:val="A34C329E"/>
    <w:lvl w:ilvl="0" w:tplc="F576438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A6C1FD0"/>
    <w:multiLevelType w:val="hybridMultilevel"/>
    <w:tmpl w:val="955EDB36"/>
    <w:lvl w:ilvl="0" w:tplc="DF3EDE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C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867A7F"/>
    <w:multiLevelType w:val="hybridMultilevel"/>
    <w:tmpl w:val="A790C2F2"/>
    <w:lvl w:ilvl="0" w:tplc="225C6BC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877A55"/>
    <w:multiLevelType w:val="hybridMultilevel"/>
    <w:tmpl w:val="9D789F4C"/>
    <w:lvl w:ilvl="0" w:tplc="B7EC8B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57324C"/>
    <w:multiLevelType w:val="hybridMultilevel"/>
    <w:tmpl w:val="C4EC4060"/>
    <w:lvl w:ilvl="0" w:tplc="A15007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462B4A"/>
    <w:multiLevelType w:val="hybridMultilevel"/>
    <w:tmpl w:val="10A2699C"/>
    <w:lvl w:ilvl="0" w:tplc="DF3EDE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C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6BF7EFA"/>
    <w:multiLevelType w:val="hybridMultilevel"/>
    <w:tmpl w:val="DDD0F130"/>
    <w:lvl w:ilvl="0" w:tplc="F8905EC4">
      <w:start w:val="1"/>
      <w:numFmt w:val="decimal"/>
      <w:lvlText w:val="(%1)"/>
      <w:lvlJc w:val="left"/>
      <w:pPr>
        <w:ind w:left="36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4" w15:restartNumberingAfterBreak="0">
    <w:nsid w:val="71F226A2"/>
    <w:multiLevelType w:val="hybridMultilevel"/>
    <w:tmpl w:val="4FCC9FA0"/>
    <w:lvl w:ilvl="0" w:tplc="0C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7B275CB9"/>
    <w:multiLevelType w:val="hybridMultilevel"/>
    <w:tmpl w:val="D7DE0C02"/>
    <w:lvl w:ilvl="0" w:tplc="0C09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15"/>
  </w:num>
  <w:num w:numId="4">
    <w:abstractNumId w:val="5"/>
  </w:num>
  <w:num w:numId="5">
    <w:abstractNumId w:val="6"/>
  </w:num>
  <w:num w:numId="6">
    <w:abstractNumId w:val="3"/>
  </w:num>
  <w:num w:numId="7">
    <w:abstractNumId w:val="0"/>
  </w:num>
  <w:num w:numId="8">
    <w:abstractNumId w:val="13"/>
  </w:num>
  <w:num w:numId="9">
    <w:abstractNumId w:val="1"/>
  </w:num>
  <w:num w:numId="10">
    <w:abstractNumId w:val="7"/>
  </w:num>
  <w:num w:numId="11">
    <w:abstractNumId w:val="4"/>
  </w:num>
  <w:num w:numId="12">
    <w:abstractNumId w:val="10"/>
  </w:num>
  <w:num w:numId="13">
    <w:abstractNumId w:val="14"/>
  </w:num>
  <w:num w:numId="14">
    <w:abstractNumId w:val="11"/>
  </w:num>
  <w:num w:numId="15">
    <w:abstractNumId w:val="9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11F"/>
    <w:rsid w:val="00001B90"/>
    <w:rsid w:val="0000370C"/>
    <w:rsid w:val="00007304"/>
    <w:rsid w:val="0000743E"/>
    <w:rsid w:val="00013309"/>
    <w:rsid w:val="00013AD9"/>
    <w:rsid w:val="000171F2"/>
    <w:rsid w:val="00017CD7"/>
    <w:rsid w:val="00021669"/>
    <w:rsid w:val="00022C8A"/>
    <w:rsid w:val="00022FA9"/>
    <w:rsid w:val="00026BC1"/>
    <w:rsid w:val="0003261F"/>
    <w:rsid w:val="00034883"/>
    <w:rsid w:val="00035397"/>
    <w:rsid w:val="00036F54"/>
    <w:rsid w:val="00043094"/>
    <w:rsid w:val="00044893"/>
    <w:rsid w:val="00045F14"/>
    <w:rsid w:val="00053761"/>
    <w:rsid w:val="00053842"/>
    <w:rsid w:val="00061054"/>
    <w:rsid w:val="0006112D"/>
    <w:rsid w:val="00061910"/>
    <w:rsid w:val="00072E3D"/>
    <w:rsid w:val="000745A8"/>
    <w:rsid w:val="0007527F"/>
    <w:rsid w:val="000761BD"/>
    <w:rsid w:val="00076C6C"/>
    <w:rsid w:val="00082A4A"/>
    <w:rsid w:val="00083FAC"/>
    <w:rsid w:val="00085451"/>
    <w:rsid w:val="00087C21"/>
    <w:rsid w:val="00090B7A"/>
    <w:rsid w:val="0009111F"/>
    <w:rsid w:val="00096865"/>
    <w:rsid w:val="000A0909"/>
    <w:rsid w:val="000A0B93"/>
    <w:rsid w:val="000A1078"/>
    <w:rsid w:val="000A3297"/>
    <w:rsid w:val="000A3917"/>
    <w:rsid w:val="000A6CE4"/>
    <w:rsid w:val="000A70C6"/>
    <w:rsid w:val="000B2C32"/>
    <w:rsid w:val="000B2DD7"/>
    <w:rsid w:val="000B2F8D"/>
    <w:rsid w:val="000C0EF3"/>
    <w:rsid w:val="000C50A9"/>
    <w:rsid w:val="000C76B8"/>
    <w:rsid w:val="000D13BC"/>
    <w:rsid w:val="000D3CC6"/>
    <w:rsid w:val="000D40A4"/>
    <w:rsid w:val="000D6A3C"/>
    <w:rsid w:val="000D6E5B"/>
    <w:rsid w:val="000E0270"/>
    <w:rsid w:val="000E2EB8"/>
    <w:rsid w:val="000F3E93"/>
    <w:rsid w:val="000F52DE"/>
    <w:rsid w:val="00101A61"/>
    <w:rsid w:val="00104C6A"/>
    <w:rsid w:val="001051FA"/>
    <w:rsid w:val="00106686"/>
    <w:rsid w:val="00106844"/>
    <w:rsid w:val="00110ACA"/>
    <w:rsid w:val="00110E46"/>
    <w:rsid w:val="00110F37"/>
    <w:rsid w:val="00114408"/>
    <w:rsid w:val="00115901"/>
    <w:rsid w:val="00116B15"/>
    <w:rsid w:val="001243A8"/>
    <w:rsid w:val="0012472B"/>
    <w:rsid w:val="00124F16"/>
    <w:rsid w:val="00126EED"/>
    <w:rsid w:val="00131447"/>
    <w:rsid w:val="00134D4D"/>
    <w:rsid w:val="001361C6"/>
    <w:rsid w:val="00140F2E"/>
    <w:rsid w:val="00143376"/>
    <w:rsid w:val="00146B9E"/>
    <w:rsid w:val="00150830"/>
    <w:rsid w:val="00154159"/>
    <w:rsid w:val="00155E7A"/>
    <w:rsid w:val="00156D4B"/>
    <w:rsid w:val="001605B9"/>
    <w:rsid w:val="00163373"/>
    <w:rsid w:val="001645A4"/>
    <w:rsid w:val="00165CC9"/>
    <w:rsid w:val="00165DC1"/>
    <w:rsid w:val="0017078D"/>
    <w:rsid w:val="00172075"/>
    <w:rsid w:val="00173050"/>
    <w:rsid w:val="00175FFF"/>
    <w:rsid w:val="00176815"/>
    <w:rsid w:val="00181212"/>
    <w:rsid w:val="00184795"/>
    <w:rsid w:val="00187C71"/>
    <w:rsid w:val="00187F9B"/>
    <w:rsid w:val="001958EE"/>
    <w:rsid w:val="00197136"/>
    <w:rsid w:val="001A09BD"/>
    <w:rsid w:val="001A271F"/>
    <w:rsid w:val="001A34E7"/>
    <w:rsid w:val="001A5431"/>
    <w:rsid w:val="001A67BD"/>
    <w:rsid w:val="001B05DD"/>
    <w:rsid w:val="001B0FC5"/>
    <w:rsid w:val="001B1C8D"/>
    <w:rsid w:val="001B4BBC"/>
    <w:rsid w:val="001C0007"/>
    <w:rsid w:val="001C6316"/>
    <w:rsid w:val="001C6C9F"/>
    <w:rsid w:val="001C7B01"/>
    <w:rsid w:val="001D0C43"/>
    <w:rsid w:val="001D1628"/>
    <w:rsid w:val="001D1F95"/>
    <w:rsid w:val="001D268E"/>
    <w:rsid w:val="001D4C15"/>
    <w:rsid w:val="001D6B36"/>
    <w:rsid w:val="001D7F16"/>
    <w:rsid w:val="001E32EA"/>
    <w:rsid w:val="001E4F85"/>
    <w:rsid w:val="001E5A7D"/>
    <w:rsid w:val="001E7F79"/>
    <w:rsid w:val="001F0F56"/>
    <w:rsid w:val="001F30CF"/>
    <w:rsid w:val="001F4720"/>
    <w:rsid w:val="00200593"/>
    <w:rsid w:val="00200CD4"/>
    <w:rsid w:val="002025B9"/>
    <w:rsid w:val="002031A4"/>
    <w:rsid w:val="00203F0E"/>
    <w:rsid w:val="00204ECD"/>
    <w:rsid w:val="00204EFB"/>
    <w:rsid w:val="002112A9"/>
    <w:rsid w:val="0021318A"/>
    <w:rsid w:val="00215A42"/>
    <w:rsid w:val="00216C38"/>
    <w:rsid w:val="002213F3"/>
    <w:rsid w:val="00222180"/>
    <w:rsid w:val="00223D79"/>
    <w:rsid w:val="00224B20"/>
    <w:rsid w:val="00225B5B"/>
    <w:rsid w:val="002309BC"/>
    <w:rsid w:val="00234388"/>
    <w:rsid w:val="00237D14"/>
    <w:rsid w:val="00242CCE"/>
    <w:rsid w:val="002449E3"/>
    <w:rsid w:val="00246081"/>
    <w:rsid w:val="002476E9"/>
    <w:rsid w:val="002504EE"/>
    <w:rsid w:val="00255AB5"/>
    <w:rsid w:val="00256024"/>
    <w:rsid w:val="002575A7"/>
    <w:rsid w:val="00270137"/>
    <w:rsid w:val="00274BCD"/>
    <w:rsid w:val="00280AE6"/>
    <w:rsid w:val="00286620"/>
    <w:rsid w:val="00292E75"/>
    <w:rsid w:val="002944AD"/>
    <w:rsid w:val="002A1515"/>
    <w:rsid w:val="002A2CD1"/>
    <w:rsid w:val="002A6D63"/>
    <w:rsid w:val="002A7FB3"/>
    <w:rsid w:val="002B014D"/>
    <w:rsid w:val="002B0B63"/>
    <w:rsid w:val="002B5B41"/>
    <w:rsid w:val="002C0D8A"/>
    <w:rsid w:val="002C1214"/>
    <w:rsid w:val="002C1E82"/>
    <w:rsid w:val="002C5784"/>
    <w:rsid w:val="002C6072"/>
    <w:rsid w:val="002C7A81"/>
    <w:rsid w:val="002C7FD7"/>
    <w:rsid w:val="002D066A"/>
    <w:rsid w:val="002D12C4"/>
    <w:rsid w:val="002D144F"/>
    <w:rsid w:val="002D6902"/>
    <w:rsid w:val="002D7B6D"/>
    <w:rsid w:val="002D7DD0"/>
    <w:rsid w:val="002E2208"/>
    <w:rsid w:val="002F18CB"/>
    <w:rsid w:val="002F3447"/>
    <w:rsid w:val="00303F72"/>
    <w:rsid w:val="00305482"/>
    <w:rsid w:val="00307CE6"/>
    <w:rsid w:val="003107EF"/>
    <w:rsid w:val="00312725"/>
    <w:rsid w:val="00314A4E"/>
    <w:rsid w:val="003150E0"/>
    <w:rsid w:val="0032158A"/>
    <w:rsid w:val="003229FB"/>
    <w:rsid w:val="00322E62"/>
    <w:rsid w:val="00332AF9"/>
    <w:rsid w:val="0033478D"/>
    <w:rsid w:val="0033482D"/>
    <w:rsid w:val="00335F0B"/>
    <w:rsid w:val="00337DA3"/>
    <w:rsid w:val="00340433"/>
    <w:rsid w:val="00341111"/>
    <w:rsid w:val="00342135"/>
    <w:rsid w:val="0034580A"/>
    <w:rsid w:val="003462FD"/>
    <w:rsid w:val="00347B2A"/>
    <w:rsid w:val="0035007A"/>
    <w:rsid w:val="003502FA"/>
    <w:rsid w:val="00354C19"/>
    <w:rsid w:val="00361A02"/>
    <w:rsid w:val="003628EE"/>
    <w:rsid w:val="003651A6"/>
    <w:rsid w:val="00367704"/>
    <w:rsid w:val="00367E7D"/>
    <w:rsid w:val="00372F98"/>
    <w:rsid w:val="00372FF9"/>
    <w:rsid w:val="003733A7"/>
    <w:rsid w:val="00373E8D"/>
    <w:rsid w:val="0037526B"/>
    <w:rsid w:val="00377BCC"/>
    <w:rsid w:val="00380284"/>
    <w:rsid w:val="00380717"/>
    <w:rsid w:val="00381779"/>
    <w:rsid w:val="003819B3"/>
    <w:rsid w:val="00386F43"/>
    <w:rsid w:val="00391A9C"/>
    <w:rsid w:val="00397383"/>
    <w:rsid w:val="003A067D"/>
    <w:rsid w:val="003A1C6C"/>
    <w:rsid w:val="003A3336"/>
    <w:rsid w:val="003A3ECF"/>
    <w:rsid w:val="003A58BC"/>
    <w:rsid w:val="003A5A04"/>
    <w:rsid w:val="003A64FC"/>
    <w:rsid w:val="003B123A"/>
    <w:rsid w:val="003B5EDB"/>
    <w:rsid w:val="003B6971"/>
    <w:rsid w:val="003B6B0B"/>
    <w:rsid w:val="003C0157"/>
    <w:rsid w:val="003C564E"/>
    <w:rsid w:val="003C7C74"/>
    <w:rsid w:val="003D3335"/>
    <w:rsid w:val="003D354B"/>
    <w:rsid w:val="003D5A34"/>
    <w:rsid w:val="003D7806"/>
    <w:rsid w:val="003E3E74"/>
    <w:rsid w:val="003E52ED"/>
    <w:rsid w:val="003E68D6"/>
    <w:rsid w:val="003F4CB1"/>
    <w:rsid w:val="003F71AF"/>
    <w:rsid w:val="004007F2"/>
    <w:rsid w:val="00410152"/>
    <w:rsid w:val="00411530"/>
    <w:rsid w:val="00412B77"/>
    <w:rsid w:val="00414405"/>
    <w:rsid w:val="0042007E"/>
    <w:rsid w:val="00424F2B"/>
    <w:rsid w:val="00426390"/>
    <w:rsid w:val="0043366F"/>
    <w:rsid w:val="00435EAC"/>
    <w:rsid w:val="004369A7"/>
    <w:rsid w:val="00436E40"/>
    <w:rsid w:val="00441AC4"/>
    <w:rsid w:val="00446E2A"/>
    <w:rsid w:val="00447D82"/>
    <w:rsid w:val="00451B59"/>
    <w:rsid w:val="00451EE1"/>
    <w:rsid w:val="00452C78"/>
    <w:rsid w:val="00453A50"/>
    <w:rsid w:val="00453FB4"/>
    <w:rsid w:val="0045428E"/>
    <w:rsid w:val="00461FBC"/>
    <w:rsid w:val="00466FCB"/>
    <w:rsid w:val="004670CC"/>
    <w:rsid w:val="004745E2"/>
    <w:rsid w:val="00475A2F"/>
    <w:rsid w:val="00480A1F"/>
    <w:rsid w:val="00484715"/>
    <w:rsid w:val="004870DE"/>
    <w:rsid w:val="00490C14"/>
    <w:rsid w:val="0049477B"/>
    <w:rsid w:val="004975A9"/>
    <w:rsid w:val="004A30EE"/>
    <w:rsid w:val="004A3AB0"/>
    <w:rsid w:val="004B0651"/>
    <w:rsid w:val="004B1977"/>
    <w:rsid w:val="004B4F84"/>
    <w:rsid w:val="004B7906"/>
    <w:rsid w:val="004C1BDB"/>
    <w:rsid w:val="004C3B01"/>
    <w:rsid w:val="004C68AA"/>
    <w:rsid w:val="004D0B9D"/>
    <w:rsid w:val="004D22B9"/>
    <w:rsid w:val="004E04F8"/>
    <w:rsid w:val="004E2A09"/>
    <w:rsid w:val="004E2F86"/>
    <w:rsid w:val="004E3A27"/>
    <w:rsid w:val="004E4117"/>
    <w:rsid w:val="004E660F"/>
    <w:rsid w:val="004F6872"/>
    <w:rsid w:val="00502C84"/>
    <w:rsid w:val="0050473D"/>
    <w:rsid w:val="00506840"/>
    <w:rsid w:val="00507465"/>
    <w:rsid w:val="00507C1E"/>
    <w:rsid w:val="00510446"/>
    <w:rsid w:val="00510B32"/>
    <w:rsid w:val="00510E8B"/>
    <w:rsid w:val="0051385F"/>
    <w:rsid w:val="00513891"/>
    <w:rsid w:val="00513A8B"/>
    <w:rsid w:val="00513F8C"/>
    <w:rsid w:val="00515786"/>
    <w:rsid w:val="005251FD"/>
    <w:rsid w:val="005272E2"/>
    <w:rsid w:val="00527EC7"/>
    <w:rsid w:val="005312F5"/>
    <w:rsid w:val="00532AC5"/>
    <w:rsid w:val="005361C9"/>
    <w:rsid w:val="005364C0"/>
    <w:rsid w:val="00537D5D"/>
    <w:rsid w:val="00543981"/>
    <w:rsid w:val="00545171"/>
    <w:rsid w:val="0055072D"/>
    <w:rsid w:val="00552490"/>
    <w:rsid w:val="00554CFA"/>
    <w:rsid w:val="005611E3"/>
    <w:rsid w:val="0056163C"/>
    <w:rsid w:val="00564D84"/>
    <w:rsid w:val="00567854"/>
    <w:rsid w:val="00570631"/>
    <w:rsid w:val="00573990"/>
    <w:rsid w:val="0057609B"/>
    <w:rsid w:val="0057633C"/>
    <w:rsid w:val="00582467"/>
    <w:rsid w:val="005848C1"/>
    <w:rsid w:val="005849D8"/>
    <w:rsid w:val="00585124"/>
    <w:rsid w:val="0058722D"/>
    <w:rsid w:val="005903F3"/>
    <w:rsid w:val="005A3791"/>
    <w:rsid w:val="005A4F29"/>
    <w:rsid w:val="005B0F08"/>
    <w:rsid w:val="005B110F"/>
    <w:rsid w:val="005B118C"/>
    <w:rsid w:val="005B331E"/>
    <w:rsid w:val="005B4F0F"/>
    <w:rsid w:val="005B51FF"/>
    <w:rsid w:val="005B556C"/>
    <w:rsid w:val="005B6BBF"/>
    <w:rsid w:val="005C13A2"/>
    <w:rsid w:val="005C52E6"/>
    <w:rsid w:val="005C5D9A"/>
    <w:rsid w:val="005D2382"/>
    <w:rsid w:val="005D55A1"/>
    <w:rsid w:val="005D7217"/>
    <w:rsid w:val="005E214D"/>
    <w:rsid w:val="005E2985"/>
    <w:rsid w:val="005E49E3"/>
    <w:rsid w:val="005E6E25"/>
    <w:rsid w:val="005F0683"/>
    <w:rsid w:val="005F0688"/>
    <w:rsid w:val="005F0CA8"/>
    <w:rsid w:val="005F1A16"/>
    <w:rsid w:val="005F2226"/>
    <w:rsid w:val="005F223B"/>
    <w:rsid w:val="005F26B6"/>
    <w:rsid w:val="005F5CFA"/>
    <w:rsid w:val="005F7EA4"/>
    <w:rsid w:val="006001AD"/>
    <w:rsid w:val="006005F4"/>
    <w:rsid w:val="00600A5F"/>
    <w:rsid w:val="00602FA0"/>
    <w:rsid w:val="00612328"/>
    <w:rsid w:val="006127B8"/>
    <w:rsid w:val="00612F53"/>
    <w:rsid w:val="00613DA2"/>
    <w:rsid w:val="00621779"/>
    <w:rsid w:val="00622FAC"/>
    <w:rsid w:val="006230F5"/>
    <w:rsid w:val="00624504"/>
    <w:rsid w:val="00624AB3"/>
    <w:rsid w:val="00627741"/>
    <w:rsid w:val="0063701F"/>
    <w:rsid w:val="00644EDE"/>
    <w:rsid w:val="0064758C"/>
    <w:rsid w:val="00650FDC"/>
    <w:rsid w:val="00657558"/>
    <w:rsid w:val="006577D8"/>
    <w:rsid w:val="00673BA4"/>
    <w:rsid w:val="00673C52"/>
    <w:rsid w:val="00682106"/>
    <w:rsid w:val="0068234C"/>
    <w:rsid w:val="006910C8"/>
    <w:rsid w:val="006919FF"/>
    <w:rsid w:val="0069258C"/>
    <w:rsid w:val="00696C29"/>
    <w:rsid w:val="006A2698"/>
    <w:rsid w:val="006B38B0"/>
    <w:rsid w:val="006B76E1"/>
    <w:rsid w:val="006C008D"/>
    <w:rsid w:val="006C285A"/>
    <w:rsid w:val="006C344E"/>
    <w:rsid w:val="006E27F8"/>
    <w:rsid w:val="006E2B6D"/>
    <w:rsid w:val="006E3DDC"/>
    <w:rsid w:val="006E6EF2"/>
    <w:rsid w:val="006F00D4"/>
    <w:rsid w:val="006F0589"/>
    <w:rsid w:val="006F0AC8"/>
    <w:rsid w:val="006F3F34"/>
    <w:rsid w:val="006F44E4"/>
    <w:rsid w:val="006F4E8C"/>
    <w:rsid w:val="00703C5E"/>
    <w:rsid w:val="007047B7"/>
    <w:rsid w:val="00704877"/>
    <w:rsid w:val="0070498F"/>
    <w:rsid w:val="00705A23"/>
    <w:rsid w:val="00706ACB"/>
    <w:rsid w:val="00711825"/>
    <w:rsid w:val="0071393F"/>
    <w:rsid w:val="00713A82"/>
    <w:rsid w:val="007153AD"/>
    <w:rsid w:val="007271D6"/>
    <w:rsid w:val="0072721F"/>
    <w:rsid w:val="00732F35"/>
    <w:rsid w:val="0073609B"/>
    <w:rsid w:val="00740968"/>
    <w:rsid w:val="00740DDC"/>
    <w:rsid w:val="00741721"/>
    <w:rsid w:val="007478FC"/>
    <w:rsid w:val="00753596"/>
    <w:rsid w:val="00761654"/>
    <w:rsid w:val="00762260"/>
    <w:rsid w:val="0076476D"/>
    <w:rsid w:val="00766BC9"/>
    <w:rsid w:val="00771758"/>
    <w:rsid w:val="0077436F"/>
    <w:rsid w:val="00776EC3"/>
    <w:rsid w:val="00782943"/>
    <w:rsid w:val="007848AB"/>
    <w:rsid w:val="00784A59"/>
    <w:rsid w:val="007853B5"/>
    <w:rsid w:val="00797788"/>
    <w:rsid w:val="007A010E"/>
    <w:rsid w:val="007A190A"/>
    <w:rsid w:val="007A5ABF"/>
    <w:rsid w:val="007A6D51"/>
    <w:rsid w:val="007B07AC"/>
    <w:rsid w:val="007B0972"/>
    <w:rsid w:val="007B0DF6"/>
    <w:rsid w:val="007B2B77"/>
    <w:rsid w:val="007B6064"/>
    <w:rsid w:val="007C5463"/>
    <w:rsid w:val="007C70AF"/>
    <w:rsid w:val="007D05B9"/>
    <w:rsid w:val="007D143D"/>
    <w:rsid w:val="007D3B7A"/>
    <w:rsid w:val="007D62A9"/>
    <w:rsid w:val="007E6004"/>
    <w:rsid w:val="007E7114"/>
    <w:rsid w:val="007F04BE"/>
    <w:rsid w:val="007F2B91"/>
    <w:rsid w:val="007F5B50"/>
    <w:rsid w:val="007F6FDE"/>
    <w:rsid w:val="00801188"/>
    <w:rsid w:val="008036A3"/>
    <w:rsid w:val="00804728"/>
    <w:rsid w:val="00804E07"/>
    <w:rsid w:val="0080556D"/>
    <w:rsid w:val="00805FB4"/>
    <w:rsid w:val="00805FCD"/>
    <w:rsid w:val="00807A75"/>
    <w:rsid w:val="00812B6D"/>
    <w:rsid w:val="00813040"/>
    <w:rsid w:val="008163F0"/>
    <w:rsid w:val="00816C72"/>
    <w:rsid w:val="00820311"/>
    <w:rsid w:val="0082246B"/>
    <w:rsid w:val="008256D3"/>
    <w:rsid w:val="00826833"/>
    <w:rsid w:val="008322A4"/>
    <w:rsid w:val="00841E3C"/>
    <w:rsid w:val="008430FE"/>
    <w:rsid w:val="00843877"/>
    <w:rsid w:val="00844FBE"/>
    <w:rsid w:val="00851389"/>
    <w:rsid w:val="008571FF"/>
    <w:rsid w:val="00857716"/>
    <w:rsid w:val="008615C0"/>
    <w:rsid w:val="00864E5E"/>
    <w:rsid w:val="008668E1"/>
    <w:rsid w:val="00866BB5"/>
    <w:rsid w:val="0086713F"/>
    <w:rsid w:val="00870155"/>
    <w:rsid w:val="00874B25"/>
    <w:rsid w:val="00876316"/>
    <w:rsid w:val="008774AF"/>
    <w:rsid w:val="00877DC5"/>
    <w:rsid w:val="00880A93"/>
    <w:rsid w:val="008906E9"/>
    <w:rsid w:val="0089182B"/>
    <w:rsid w:val="008962B4"/>
    <w:rsid w:val="00896CED"/>
    <w:rsid w:val="008B0F40"/>
    <w:rsid w:val="008B167B"/>
    <w:rsid w:val="008B17C7"/>
    <w:rsid w:val="008B18CC"/>
    <w:rsid w:val="008B283D"/>
    <w:rsid w:val="008B32F6"/>
    <w:rsid w:val="008D27B9"/>
    <w:rsid w:val="008D2F8A"/>
    <w:rsid w:val="008E6636"/>
    <w:rsid w:val="008E7713"/>
    <w:rsid w:val="008F15B6"/>
    <w:rsid w:val="008F2B57"/>
    <w:rsid w:val="008F6245"/>
    <w:rsid w:val="00906516"/>
    <w:rsid w:val="009079A5"/>
    <w:rsid w:val="009105C1"/>
    <w:rsid w:val="00911F3A"/>
    <w:rsid w:val="00912F99"/>
    <w:rsid w:val="0091304C"/>
    <w:rsid w:val="00915BA5"/>
    <w:rsid w:val="00926269"/>
    <w:rsid w:val="0093325B"/>
    <w:rsid w:val="00933619"/>
    <w:rsid w:val="00933A06"/>
    <w:rsid w:val="00941A33"/>
    <w:rsid w:val="00941D54"/>
    <w:rsid w:val="00950E56"/>
    <w:rsid w:val="00951288"/>
    <w:rsid w:val="00954ADE"/>
    <w:rsid w:val="00960417"/>
    <w:rsid w:val="00962392"/>
    <w:rsid w:val="00964112"/>
    <w:rsid w:val="009647D1"/>
    <w:rsid w:val="00964BBB"/>
    <w:rsid w:val="0096645F"/>
    <w:rsid w:val="009665E1"/>
    <w:rsid w:val="0097053C"/>
    <w:rsid w:val="00976E43"/>
    <w:rsid w:val="00985810"/>
    <w:rsid w:val="00991819"/>
    <w:rsid w:val="009918FB"/>
    <w:rsid w:val="00992067"/>
    <w:rsid w:val="009924BA"/>
    <w:rsid w:val="00994E47"/>
    <w:rsid w:val="0099547A"/>
    <w:rsid w:val="009A287E"/>
    <w:rsid w:val="009A423F"/>
    <w:rsid w:val="009A5297"/>
    <w:rsid w:val="009B01E8"/>
    <w:rsid w:val="009B1BA0"/>
    <w:rsid w:val="009C073F"/>
    <w:rsid w:val="009C1634"/>
    <w:rsid w:val="009C20DD"/>
    <w:rsid w:val="009C4448"/>
    <w:rsid w:val="009C547B"/>
    <w:rsid w:val="009C5AB4"/>
    <w:rsid w:val="009C5BD3"/>
    <w:rsid w:val="009C628D"/>
    <w:rsid w:val="009D1A33"/>
    <w:rsid w:val="009D3BCB"/>
    <w:rsid w:val="009E2C00"/>
    <w:rsid w:val="009F1842"/>
    <w:rsid w:val="009F3B86"/>
    <w:rsid w:val="009F4AC1"/>
    <w:rsid w:val="00A00A3E"/>
    <w:rsid w:val="00A06441"/>
    <w:rsid w:val="00A07DDD"/>
    <w:rsid w:val="00A11638"/>
    <w:rsid w:val="00A12200"/>
    <w:rsid w:val="00A1229E"/>
    <w:rsid w:val="00A1275B"/>
    <w:rsid w:val="00A16341"/>
    <w:rsid w:val="00A16FA2"/>
    <w:rsid w:val="00A1744D"/>
    <w:rsid w:val="00A23A72"/>
    <w:rsid w:val="00A262DA"/>
    <w:rsid w:val="00A27A0F"/>
    <w:rsid w:val="00A3354D"/>
    <w:rsid w:val="00A33975"/>
    <w:rsid w:val="00A45272"/>
    <w:rsid w:val="00A46445"/>
    <w:rsid w:val="00A46C70"/>
    <w:rsid w:val="00A47300"/>
    <w:rsid w:val="00A51360"/>
    <w:rsid w:val="00A54D42"/>
    <w:rsid w:val="00A5679B"/>
    <w:rsid w:val="00A71E14"/>
    <w:rsid w:val="00A72E01"/>
    <w:rsid w:val="00A73020"/>
    <w:rsid w:val="00A75164"/>
    <w:rsid w:val="00A80B02"/>
    <w:rsid w:val="00A80D6E"/>
    <w:rsid w:val="00A83945"/>
    <w:rsid w:val="00A85D08"/>
    <w:rsid w:val="00A861D8"/>
    <w:rsid w:val="00A86204"/>
    <w:rsid w:val="00A90DDD"/>
    <w:rsid w:val="00A93940"/>
    <w:rsid w:val="00A95452"/>
    <w:rsid w:val="00A971F3"/>
    <w:rsid w:val="00A974AA"/>
    <w:rsid w:val="00A97580"/>
    <w:rsid w:val="00AA7AF9"/>
    <w:rsid w:val="00AA7B18"/>
    <w:rsid w:val="00AB2C58"/>
    <w:rsid w:val="00AB3F75"/>
    <w:rsid w:val="00AB4091"/>
    <w:rsid w:val="00AB7530"/>
    <w:rsid w:val="00AC449B"/>
    <w:rsid w:val="00AC5A7A"/>
    <w:rsid w:val="00AC5E42"/>
    <w:rsid w:val="00AC60C6"/>
    <w:rsid w:val="00AC7C1E"/>
    <w:rsid w:val="00AC7DC0"/>
    <w:rsid w:val="00AD1237"/>
    <w:rsid w:val="00AD7346"/>
    <w:rsid w:val="00AE04FF"/>
    <w:rsid w:val="00AE12C7"/>
    <w:rsid w:val="00AE2B6B"/>
    <w:rsid w:val="00AE2FCB"/>
    <w:rsid w:val="00AE442E"/>
    <w:rsid w:val="00AE65E4"/>
    <w:rsid w:val="00AE66A4"/>
    <w:rsid w:val="00AE7FDD"/>
    <w:rsid w:val="00AF5E7A"/>
    <w:rsid w:val="00AF64D8"/>
    <w:rsid w:val="00B00164"/>
    <w:rsid w:val="00B010DB"/>
    <w:rsid w:val="00B012C9"/>
    <w:rsid w:val="00B125A6"/>
    <w:rsid w:val="00B16DE2"/>
    <w:rsid w:val="00B17AF3"/>
    <w:rsid w:val="00B17EBE"/>
    <w:rsid w:val="00B2143E"/>
    <w:rsid w:val="00B2146A"/>
    <w:rsid w:val="00B2235F"/>
    <w:rsid w:val="00B2273D"/>
    <w:rsid w:val="00B22A28"/>
    <w:rsid w:val="00B239FE"/>
    <w:rsid w:val="00B24C21"/>
    <w:rsid w:val="00B25026"/>
    <w:rsid w:val="00B262B2"/>
    <w:rsid w:val="00B31757"/>
    <w:rsid w:val="00B371C4"/>
    <w:rsid w:val="00B4057E"/>
    <w:rsid w:val="00B439DD"/>
    <w:rsid w:val="00B46090"/>
    <w:rsid w:val="00B501D6"/>
    <w:rsid w:val="00B518BE"/>
    <w:rsid w:val="00B62730"/>
    <w:rsid w:val="00B629B9"/>
    <w:rsid w:val="00B66C91"/>
    <w:rsid w:val="00B67050"/>
    <w:rsid w:val="00B734E6"/>
    <w:rsid w:val="00B73CFD"/>
    <w:rsid w:val="00B748C2"/>
    <w:rsid w:val="00B7511B"/>
    <w:rsid w:val="00B75411"/>
    <w:rsid w:val="00B76A2D"/>
    <w:rsid w:val="00B76BA4"/>
    <w:rsid w:val="00B771CF"/>
    <w:rsid w:val="00B81012"/>
    <w:rsid w:val="00B813C3"/>
    <w:rsid w:val="00B81B35"/>
    <w:rsid w:val="00B85DF9"/>
    <w:rsid w:val="00B85E2A"/>
    <w:rsid w:val="00B86322"/>
    <w:rsid w:val="00B93DB4"/>
    <w:rsid w:val="00B93E7D"/>
    <w:rsid w:val="00B971F2"/>
    <w:rsid w:val="00BA6DE0"/>
    <w:rsid w:val="00BB0565"/>
    <w:rsid w:val="00BB49A2"/>
    <w:rsid w:val="00BB5BFA"/>
    <w:rsid w:val="00BB6DC3"/>
    <w:rsid w:val="00BB6FB8"/>
    <w:rsid w:val="00BC0F5E"/>
    <w:rsid w:val="00BC2526"/>
    <w:rsid w:val="00BC59DB"/>
    <w:rsid w:val="00BC5CFD"/>
    <w:rsid w:val="00BC6E02"/>
    <w:rsid w:val="00BC7610"/>
    <w:rsid w:val="00BD2E15"/>
    <w:rsid w:val="00BD5BD0"/>
    <w:rsid w:val="00BE101F"/>
    <w:rsid w:val="00BF1798"/>
    <w:rsid w:val="00BF28F5"/>
    <w:rsid w:val="00BF2C4D"/>
    <w:rsid w:val="00BF347D"/>
    <w:rsid w:val="00BF3DB1"/>
    <w:rsid w:val="00BF6C55"/>
    <w:rsid w:val="00BF7305"/>
    <w:rsid w:val="00C00949"/>
    <w:rsid w:val="00C01C90"/>
    <w:rsid w:val="00C03732"/>
    <w:rsid w:val="00C0586C"/>
    <w:rsid w:val="00C05AF7"/>
    <w:rsid w:val="00C064D4"/>
    <w:rsid w:val="00C10277"/>
    <w:rsid w:val="00C11A89"/>
    <w:rsid w:val="00C12A1A"/>
    <w:rsid w:val="00C141DC"/>
    <w:rsid w:val="00C15215"/>
    <w:rsid w:val="00C20B8E"/>
    <w:rsid w:val="00C22AC5"/>
    <w:rsid w:val="00C23214"/>
    <w:rsid w:val="00C275AA"/>
    <w:rsid w:val="00C27BBB"/>
    <w:rsid w:val="00C339D8"/>
    <w:rsid w:val="00C376F7"/>
    <w:rsid w:val="00C3799F"/>
    <w:rsid w:val="00C37FDC"/>
    <w:rsid w:val="00C44870"/>
    <w:rsid w:val="00C50AA2"/>
    <w:rsid w:val="00C52E83"/>
    <w:rsid w:val="00C53446"/>
    <w:rsid w:val="00C5538B"/>
    <w:rsid w:val="00C70C26"/>
    <w:rsid w:val="00C717BF"/>
    <w:rsid w:val="00C7339E"/>
    <w:rsid w:val="00C770F6"/>
    <w:rsid w:val="00C80EF7"/>
    <w:rsid w:val="00C819BF"/>
    <w:rsid w:val="00C875F6"/>
    <w:rsid w:val="00C906B0"/>
    <w:rsid w:val="00C93DC7"/>
    <w:rsid w:val="00C94FA8"/>
    <w:rsid w:val="00C96F0F"/>
    <w:rsid w:val="00CA110E"/>
    <w:rsid w:val="00CA247C"/>
    <w:rsid w:val="00CC0732"/>
    <w:rsid w:val="00CC153D"/>
    <w:rsid w:val="00CC2EFC"/>
    <w:rsid w:val="00CC2F04"/>
    <w:rsid w:val="00CD3F00"/>
    <w:rsid w:val="00CD6869"/>
    <w:rsid w:val="00CD77B9"/>
    <w:rsid w:val="00CE0BB5"/>
    <w:rsid w:val="00CE453E"/>
    <w:rsid w:val="00CE58C0"/>
    <w:rsid w:val="00CE6CFF"/>
    <w:rsid w:val="00CE6FE4"/>
    <w:rsid w:val="00CE7267"/>
    <w:rsid w:val="00CE7AC1"/>
    <w:rsid w:val="00CF17F8"/>
    <w:rsid w:val="00CF249D"/>
    <w:rsid w:val="00D05351"/>
    <w:rsid w:val="00D0547D"/>
    <w:rsid w:val="00D07216"/>
    <w:rsid w:val="00D11652"/>
    <w:rsid w:val="00D20C3F"/>
    <w:rsid w:val="00D21607"/>
    <w:rsid w:val="00D25C53"/>
    <w:rsid w:val="00D30875"/>
    <w:rsid w:val="00D329F5"/>
    <w:rsid w:val="00D34E3D"/>
    <w:rsid w:val="00D4311A"/>
    <w:rsid w:val="00D45696"/>
    <w:rsid w:val="00D4641D"/>
    <w:rsid w:val="00D465D4"/>
    <w:rsid w:val="00D466F0"/>
    <w:rsid w:val="00D4692B"/>
    <w:rsid w:val="00D505A7"/>
    <w:rsid w:val="00D506DB"/>
    <w:rsid w:val="00D509DF"/>
    <w:rsid w:val="00D5134A"/>
    <w:rsid w:val="00D526CE"/>
    <w:rsid w:val="00D57DB4"/>
    <w:rsid w:val="00D6391F"/>
    <w:rsid w:val="00D6438C"/>
    <w:rsid w:val="00D655A4"/>
    <w:rsid w:val="00D67554"/>
    <w:rsid w:val="00D675E1"/>
    <w:rsid w:val="00D676CA"/>
    <w:rsid w:val="00D709F0"/>
    <w:rsid w:val="00D720D2"/>
    <w:rsid w:val="00D734B3"/>
    <w:rsid w:val="00D87EA8"/>
    <w:rsid w:val="00D9685A"/>
    <w:rsid w:val="00D977E8"/>
    <w:rsid w:val="00DA141D"/>
    <w:rsid w:val="00DA1B8E"/>
    <w:rsid w:val="00DA3591"/>
    <w:rsid w:val="00DA3719"/>
    <w:rsid w:val="00DA48EF"/>
    <w:rsid w:val="00DA56F1"/>
    <w:rsid w:val="00DA60C0"/>
    <w:rsid w:val="00DB25FA"/>
    <w:rsid w:val="00DD3766"/>
    <w:rsid w:val="00DD3997"/>
    <w:rsid w:val="00DD3DBC"/>
    <w:rsid w:val="00DD6050"/>
    <w:rsid w:val="00DD7C37"/>
    <w:rsid w:val="00DE154B"/>
    <w:rsid w:val="00DE61FA"/>
    <w:rsid w:val="00DE6889"/>
    <w:rsid w:val="00DE73D9"/>
    <w:rsid w:val="00DE7704"/>
    <w:rsid w:val="00DF03A8"/>
    <w:rsid w:val="00DF0AC8"/>
    <w:rsid w:val="00DF3A95"/>
    <w:rsid w:val="00DF4958"/>
    <w:rsid w:val="00DF4EC9"/>
    <w:rsid w:val="00DF663F"/>
    <w:rsid w:val="00E01F5A"/>
    <w:rsid w:val="00E0250D"/>
    <w:rsid w:val="00E029F9"/>
    <w:rsid w:val="00E0571A"/>
    <w:rsid w:val="00E05893"/>
    <w:rsid w:val="00E07DB3"/>
    <w:rsid w:val="00E119BD"/>
    <w:rsid w:val="00E124C3"/>
    <w:rsid w:val="00E12B7B"/>
    <w:rsid w:val="00E15B1B"/>
    <w:rsid w:val="00E27F1F"/>
    <w:rsid w:val="00E31355"/>
    <w:rsid w:val="00E3200A"/>
    <w:rsid w:val="00E35F55"/>
    <w:rsid w:val="00E37101"/>
    <w:rsid w:val="00E4484F"/>
    <w:rsid w:val="00E45D2A"/>
    <w:rsid w:val="00E47037"/>
    <w:rsid w:val="00E50922"/>
    <w:rsid w:val="00E54437"/>
    <w:rsid w:val="00E567BB"/>
    <w:rsid w:val="00E60F52"/>
    <w:rsid w:val="00E62BC8"/>
    <w:rsid w:val="00E726CD"/>
    <w:rsid w:val="00E7461B"/>
    <w:rsid w:val="00E77941"/>
    <w:rsid w:val="00E826AC"/>
    <w:rsid w:val="00E83927"/>
    <w:rsid w:val="00E843CC"/>
    <w:rsid w:val="00E84870"/>
    <w:rsid w:val="00E85E06"/>
    <w:rsid w:val="00E86D82"/>
    <w:rsid w:val="00E9016A"/>
    <w:rsid w:val="00E9045E"/>
    <w:rsid w:val="00E92EFF"/>
    <w:rsid w:val="00E94CEB"/>
    <w:rsid w:val="00EA450D"/>
    <w:rsid w:val="00EA61A2"/>
    <w:rsid w:val="00EA6978"/>
    <w:rsid w:val="00EA7646"/>
    <w:rsid w:val="00EB16F9"/>
    <w:rsid w:val="00EB1AAB"/>
    <w:rsid w:val="00EB7AAF"/>
    <w:rsid w:val="00EC4311"/>
    <w:rsid w:val="00EC442F"/>
    <w:rsid w:val="00EC6129"/>
    <w:rsid w:val="00ED5AAB"/>
    <w:rsid w:val="00EE2AA7"/>
    <w:rsid w:val="00EE67AD"/>
    <w:rsid w:val="00EF0F5B"/>
    <w:rsid w:val="00EF18FD"/>
    <w:rsid w:val="00EF1F54"/>
    <w:rsid w:val="00EF2771"/>
    <w:rsid w:val="00EF2FF1"/>
    <w:rsid w:val="00EF6B56"/>
    <w:rsid w:val="00EF6E31"/>
    <w:rsid w:val="00EF74F9"/>
    <w:rsid w:val="00F1789C"/>
    <w:rsid w:val="00F20BD1"/>
    <w:rsid w:val="00F233B1"/>
    <w:rsid w:val="00F23501"/>
    <w:rsid w:val="00F25005"/>
    <w:rsid w:val="00F252F6"/>
    <w:rsid w:val="00F25FA9"/>
    <w:rsid w:val="00F265F6"/>
    <w:rsid w:val="00F30A9A"/>
    <w:rsid w:val="00F443AD"/>
    <w:rsid w:val="00F44BAB"/>
    <w:rsid w:val="00F4596B"/>
    <w:rsid w:val="00F46356"/>
    <w:rsid w:val="00F5040D"/>
    <w:rsid w:val="00F50DD0"/>
    <w:rsid w:val="00F51BC0"/>
    <w:rsid w:val="00F52270"/>
    <w:rsid w:val="00F536A1"/>
    <w:rsid w:val="00F544CD"/>
    <w:rsid w:val="00F5726E"/>
    <w:rsid w:val="00F6226D"/>
    <w:rsid w:val="00F6315B"/>
    <w:rsid w:val="00F652F9"/>
    <w:rsid w:val="00F65AB3"/>
    <w:rsid w:val="00F74767"/>
    <w:rsid w:val="00F74AB0"/>
    <w:rsid w:val="00F75FD3"/>
    <w:rsid w:val="00F76254"/>
    <w:rsid w:val="00F816AE"/>
    <w:rsid w:val="00F83C2D"/>
    <w:rsid w:val="00F85EE8"/>
    <w:rsid w:val="00F86555"/>
    <w:rsid w:val="00F93D6F"/>
    <w:rsid w:val="00F97997"/>
    <w:rsid w:val="00F97FDF"/>
    <w:rsid w:val="00FA0610"/>
    <w:rsid w:val="00FA4F75"/>
    <w:rsid w:val="00FA59BF"/>
    <w:rsid w:val="00FA7A50"/>
    <w:rsid w:val="00FB0005"/>
    <w:rsid w:val="00FB1FB8"/>
    <w:rsid w:val="00FB7367"/>
    <w:rsid w:val="00FC1C66"/>
    <w:rsid w:val="00FC49BE"/>
    <w:rsid w:val="00FC5942"/>
    <w:rsid w:val="00FC6B03"/>
    <w:rsid w:val="00FC7296"/>
    <w:rsid w:val="00FC7A3A"/>
    <w:rsid w:val="00FD3DB8"/>
    <w:rsid w:val="00FD68E8"/>
    <w:rsid w:val="00FE0FE1"/>
    <w:rsid w:val="00FE1AC5"/>
    <w:rsid w:val="00FE24B1"/>
    <w:rsid w:val="00FE360E"/>
    <w:rsid w:val="00FE443B"/>
    <w:rsid w:val="00FE5A86"/>
    <w:rsid w:val="00FE7B6F"/>
    <w:rsid w:val="00FF1002"/>
    <w:rsid w:val="00FF1045"/>
    <w:rsid w:val="00FF11FB"/>
    <w:rsid w:val="00FF185D"/>
    <w:rsid w:val="00FF18EB"/>
    <w:rsid w:val="00FF6E32"/>
    <w:rsid w:val="00FF7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3BF950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085451"/>
    <w:pPr>
      <w:keepNext/>
      <w:keepLines/>
      <w:spacing w:after="120"/>
      <w:ind w:left="709" w:hanging="709"/>
      <w:outlineLvl w:val="1"/>
    </w:pPr>
    <w:rPr>
      <w:rFonts w:ascii="Arial" w:eastAsiaTheme="majorEastAsia" w:hAnsi="Arial" w:cstheme="majorBidi"/>
      <w:b/>
      <w:bCs/>
      <w:sz w:val="22"/>
      <w:szCs w:val="26"/>
      <w:lang w:eastAsia="en-US"/>
    </w:rPr>
  </w:style>
  <w:style w:type="paragraph" w:styleId="Heading5">
    <w:name w:val="heading 5"/>
    <w:basedOn w:val="Normal"/>
    <w:qFormat/>
    <w:rsid w:val="000E0270"/>
    <w:pPr>
      <w:spacing w:before="100" w:beforeAutospacing="1" w:after="100" w:afterAutospacing="1"/>
      <w:outlineLvl w:val="4"/>
    </w:pPr>
    <w:rPr>
      <w:rFonts w:ascii="Arial" w:hAnsi="Arial" w:cs="Arial"/>
      <w:b/>
      <w:bCs/>
      <w:color w:val="0033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A10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A1078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1847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E0270"/>
    <w:rPr>
      <w:color w:val="0000EE"/>
      <w:u w:val="single"/>
    </w:rPr>
  </w:style>
  <w:style w:type="paragraph" w:styleId="NormalWeb">
    <w:name w:val="Normal (Web)"/>
    <w:basedOn w:val="Normal"/>
    <w:rsid w:val="000E0270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styleId="FootnoteText">
    <w:name w:val="footnote text"/>
    <w:basedOn w:val="Normal"/>
    <w:semiHidden/>
    <w:rsid w:val="00FF6E32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FF6E32"/>
    <w:rPr>
      <w:vertAlign w:val="superscript"/>
    </w:rPr>
  </w:style>
  <w:style w:type="paragraph" w:styleId="BalloonText">
    <w:name w:val="Balloon Text"/>
    <w:basedOn w:val="Normal"/>
    <w:semiHidden/>
    <w:rsid w:val="00DD399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0B2C3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B2C3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B2C32"/>
    <w:rPr>
      <w:b/>
      <w:bCs/>
    </w:rPr>
  </w:style>
  <w:style w:type="paragraph" w:styleId="ListParagraph">
    <w:name w:val="List Paragraph"/>
    <w:basedOn w:val="Normal"/>
    <w:uiPriority w:val="34"/>
    <w:qFormat/>
    <w:rsid w:val="00B813C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085451"/>
    <w:rPr>
      <w:rFonts w:ascii="Arial" w:eastAsiaTheme="majorEastAsia" w:hAnsi="Arial" w:cstheme="majorBidi"/>
      <w:b/>
      <w:bCs/>
      <w:sz w:val="22"/>
      <w:szCs w:val="26"/>
      <w:lang w:eastAsia="en-US"/>
    </w:rPr>
  </w:style>
  <w:style w:type="paragraph" w:customStyle="1" w:styleId="subsection">
    <w:name w:val="subsection"/>
    <w:aliases w:val="ss"/>
    <w:basedOn w:val="Normal"/>
    <w:link w:val="subsectionChar"/>
    <w:rsid w:val="00C819BF"/>
    <w:pPr>
      <w:tabs>
        <w:tab w:val="right" w:pos="1021"/>
      </w:tabs>
      <w:spacing w:before="180"/>
      <w:ind w:left="1134" w:hanging="1134"/>
    </w:pPr>
    <w:rPr>
      <w:sz w:val="22"/>
      <w:szCs w:val="20"/>
    </w:rPr>
  </w:style>
  <w:style w:type="paragraph" w:customStyle="1" w:styleId="Definition">
    <w:name w:val="Definition"/>
    <w:aliases w:val="dd"/>
    <w:basedOn w:val="Normal"/>
    <w:rsid w:val="00C819BF"/>
    <w:pPr>
      <w:spacing w:before="180"/>
      <w:ind w:left="1134"/>
    </w:pPr>
    <w:rPr>
      <w:sz w:val="22"/>
      <w:szCs w:val="20"/>
    </w:rPr>
  </w:style>
  <w:style w:type="paragraph" w:customStyle="1" w:styleId="notetext">
    <w:name w:val="note(text)"/>
    <w:aliases w:val="n"/>
    <w:basedOn w:val="Normal"/>
    <w:link w:val="notetextChar"/>
    <w:rsid w:val="00C819BF"/>
    <w:pPr>
      <w:spacing w:before="122" w:line="198" w:lineRule="exact"/>
      <w:ind w:left="1985" w:hanging="851"/>
    </w:pPr>
    <w:rPr>
      <w:sz w:val="18"/>
      <w:szCs w:val="20"/>
    </w:rPr>
  </w:style>
  <w:style w:type="paragraph" w:customStyle="1" w:styleId="notepara">
    <w:name w:val="note(para)"/>
    <w:aliases w:val="na"/>
    <w:basedOn w:val="Normal"/>
    <w:rsid w:val="00C819BF"/>
    <w:pPr>
      <w:spacing w:before="40" w:line="198" w:lineRule="exact"/>
      <w:ind w:left="2354" w:hanging="369"/>
    </w:pPr>
    <w:rPr>
      <w:sz w:val="18"/>
      <w:szCs w:val="20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C819BF"/>
    <w:rPr>
      <w:sz w:val="22"/>
    </w:rPr>
  </w:style>
  <w:style w:type="character" w:customStyle="1" w:styleId="notetextChar">
    <w:name w:val="note(text) Char"/>
    <w:aliases w:val="n Char"/>
    <w:basedOn w:val="DefaultParagraphFont"/>
    <w:link w:val="notetext"/>
    <w:rsid w:val="00C819BF"/>
    <w:rPr>
      <w:sz w:val="18"/>
    </w:rPr>
  </w:style>
  <w:style w:type="character" w:customStyle="1" w:styleId="CommentTextChar">
    <w:name w:val="Comment Text Char"/>
    <w:basedOn w:val="DefaultParagraphFont"/>
    <w:link w:val="CommentText"/>
    <w:rsid w:val="00A3354D"/>
  </w:style>
  <w:style w:type="paragraph" w:customStyle="1" w:styleId="paragraphsub">
    <w:name w:val="paragraph(sub)"/>
    <w:aliases w:val="aa"/>
    <w:basedOn w:val="Normal"/>
    <w:rsid w:val="00AC7DC0"/>
    <w:pPr>
      <w:tabs>
        <w:tab w:val="right" w:pos="1985"/>
      </w:tabs>
      <w:spacing w:before="40"/>
      <w:ind w:left="2098" w:hanging="2098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065044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600509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538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4708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5215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09488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7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6840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7156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7675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189766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7574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1037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053774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3805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3057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7813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86186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62943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18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97AE9D-25E2-43F7-9EAB-01C9F5296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688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Disclosure Framework Explanatory Statement</vt:lpstr>
    </vt:vector>
  </TitlesOfParts>
  <Company/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Disclosure Framework</dc:title>
  <dc:creator/>
  <cp:lastModifiedBy/>
  <cp:revision>1</cp:revision>
  <dcterms:created xsi:type="dcterms:W3CDTF">2021-03-12T00:00:00Z</dcterms:created>
  <dcterms:modified xsi:type="dcterms:W3CDTF">2021-03-12T00:02:00Z</dcterms:modified>
</cp:coreProperties>
</file>