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FA1AF" w14:textId="77777777" w:rsidR="00233AA7" w:rsidRPr="00FE70DE" w:rsidRDefault="00233AA7" w:rsidP="00233AA7">
      <w:pPr>
        <w:pStyle w:val="Heading1"/>
        <w:spacing w:after="360"/>
        <w:rPr>
          <w:rFonts w:ascii="Times New Roman" w:hAnsi="Times New Roman"/>
          <w:sz w:val="24"/>
          <w:szCs w:val="24"/>
        </w:rPr>
      </w:pPr>
      <w:r>
        <w:rPr>
          <w:rFonts w:ascii="Times New Roman" w:hAnsi="Times New Roman"/>
          <w:sz w:val="24"/>
          <w:szCs w:val="24"/>
        </w:rPr>
        <w:t xml:space="preserve">EXPOSURE DRAFT </w:t>
      </w:r>
      <w:r w:rsidRPr="00731FEA">
        <w:rPr>
          <w:rFonts w:ascii="Times New Roman" w:hAnsi="Times New Roman"/>
          <w:sz w:val="24"/>
          <w:szCs w:val="24"/>
        </w:rPr>
        <w:t>EXPLANATORY STATEMENT</w:t>
      </w:r>
    </w:p>
    <w:p w14:paraId="0B1A75F8" w14:textId="77777777" w:rsidR="00233AA7" w:rsidRDefault="00233AA7" w:rsidP="00233AA7">
      <w:pPr>
        <w:spacing w:before="240" w:after="240"/>
        <w:jc w:val="center"/>
        <w:rPr>
          <w:i/>
        </w:rPr>
      </w:pPr>
      <w:r>
        <w:rPr>
          <w:i/>
        </w:rPr>
        <w:t>Superannuation Guarantee (Administration) Act 1992</w:t>
      </w:r>
    </w:p>
    <w:p w14:paraId="112C51D6" w14:textId="77777777" w:rsidR="00233AA7" w:rsidRPr="00503E44" w:rsidRDefault="00233AA7" w:rsidP="00233AA7">
      <w:pPr>
        <w:tabs>
          <w:tab w:val="left" w:pos="1418"/>
        </w:tabs>
        <w:spacing w:before="0" w:after="240"/>
        <w:jc w:val="center"/>
        <w:rPr>
          <w:i/>
        </w:rPr>
      </w:pPr>
      <w:r>
        <w:rPr>
          <w:i/>
        </w:rPr>
        <w:t>Treasury Laws Amendment (Your Future, Your Super—Single Default Account) Regulations 2021</w:t>
      </w:r>
    </w:p>
    <w:p w14:paraId="6C4C2EB2" w14:textId="77777777" w:rsidR="00233AA7" w:rsidRDefault="00233AA7" w:rsidP="00233AA7">
      <w:r w:rsidRPr="00187610">
        <w:t xml:space="preserve">The </w:t>
      </w:r>
      <w:r w:rsidRPr="00187610">
        <w:rPr>
          <w:i/>
        </w:rPr>
        <w:t>Superannuation Guarantee (Administration) Act 1992</w:t>
      </w:r>
      <w:r w:rsidRPr="00187610">
        <w:t xml:space="preserve"> (the Act) establishes the Superannuation Guarantee Scheme, which requires employers to provide </w:t>
      </w:r>
      <w:r>
        <w:t>a prescribed level of</w:t>
      </w:r>
      <w:r w:rsidRPr="00187610">
        <w:t xml:space="preserve"> superannuation support for their employees, and provide</w:t>
      </w:r>
      <w:r>
        <w:t>s rules for its administration.</w:t>
      </w:r>
    </w:p>
    <w:p w14:paraId="41A84618" w14:textId="77777777" w:rsidR="00233AA7" w:rsidRDefault="00233AA7" w:rsidP="00233AA7">
      <w:pPr>
        <w:spacing w:before="240"/>
      </w:pPr>
      <w:r w:rsidRPr="00503E44">
        <w:t xml:space="preserve">Section </w:t>
      </w:r>
      <w:r>
        <w:t xml:space="preserve">80 of the Act </w:t>
      </w:r>
      <w:r w:rsidRPr="00503E44">
        <w:t>provides that the Governor-General may make regulations prescribing matters required or permitted by the Act to be prescribed, or necessary or convenient to be prescribed for carrying out or giving effect to the Act.</w:t>
      </w:r>
    </w:p>
    <w:p w14:paraId="6F95E20E" w14:textId="77777777" w:rsidR="00233AA7" w:rsidRDefault="00233AA7" w:rsidP="00233AA7">
      <w:pPr>
        <w:spacing w:before="240"/>
      </w:pPr>
      <w:r>
        <w:t xml:space="preserve">The purpose of the </w:t>
      </w:r>
      <w:r>
        <w:rPr>
          <w:i/>
        </w:rPr>
        <w:t>Treasury Laws Amendment (Your Future, Your Super—Single Default Account) Regulations 2021</w:t>
      </w:r>
      <w:r>
        <w:t xml:space="preserve"> (the Regulations) is to support the amendments in Schedule 1 to the Treasury Laws Amendment (Your Future, Your Super) Bill 2021 (the Bill).</w:t>
      </w:r>
    </w:p>
    <w:p w14:paraId="640E1D08" w14:textId="77777777" w:rsidR="00233AA7" w:rsidRDefault="00233AA7" w:rsidP="00233AA7">
      <w:pPr>
        <w:spacing w:before="240"/>
      </w:pPr>
      <w:r>
        <w:t>Schedule 1 to the Bill limits the creation of multiple superannuation accounts for employees who do not choose a superannuation fund when they start a new job. In particular, if a new employee (who has started their employment on or after 1 July 2021) has no chosen fund but has an existing ‘stapled’ fund, the amendments in Schedule 1 to the Bill:</w:t>
      </w:r>
    </w:p>
    <w:p w14:paraId="0C7CB61E" w14:textId="77777777" w:rsidR="00233AA7" w:rsidRDefault="00233AA7" w:rsidP="00233AA7">
      <w:pPr>
        <w:pStyle w:val="Bullet"/>
      </w:pPr>
      <w:r>
        <w:t>allow the employer to comply with the choice of fund rules by making contributions to the employee’s stapled fund; and</w:t>
      </w:r>
    </w:p>
    <w:p w14:paraId="27635A31" w14:textId="77777777" w:rsidR="00233AA7" w:rsidRDefault="00233AA7" w:rsidP="00233AA7">
      <w:pPr>
        <w:pStyle w:val="Bullet"/>
      </w:pPr>
      <w:r>
        <w:t xml:space="preserve">provide that the employer </w:t>
      </w:r>
      <w:r w:rsidRPr="00510C28">
        <w:rPr>
          <w:i/>
        </w:rPr>
        <w:t>cannot</w:t>
      </w:r>
      <w:r>
        <w:t xml:space="preserve"> comply with the choice of fund rules by making contributions to the employer’s chosen default fund or the fund specified under a workplace determination or an enterprise agreement.</w:t>
      </w:r>
    </w:p>
    <w:p w14:paraId="2987D39B" w14:textId="77777777" w:rsidR="00233AA7" w:rsidRDefault="00233AA7" w:rsidP="00233AA7">
      <w:pPr>
        <w:pStyle w:val="Dash"/>
        <w:numPr>
          <w:ilvl w:val="0"/>
          <w:numId w:val="0"/>
        </w:numPr>
      </w:pPr>
      <w:r>
        <w:t>If an employee does not have an existing stapled fund, the employer may comply with the choice of fund rules by making contributions to:</w:t>
      </w:r>
    </w:p>
    <w:p w14:paraId="5ACDB7ED" w14:textId="77777777" w:rsidR="00233AA7" w:rsidRDefault="00233AA7" w:rsidP="00233AA7">
      <w:pPr>
        <w:pStyle w:val="Bullet"/>
      </w:pPr>
      <w:r>
        <w:t>the employer’s chosen default fund (provided that fund meets the requirements in paragraph 32C(2)(</w:t>
      </w:r>
      <w:proofErr w:type="spellStart"/>
      <w:r>
        <w:t>ba</w:t>
      </w:r>
      <w:proofErr w:type="spellEnd"/>
      <w:r>
        <w:t xml:space="preserve">) of the Act and the employee has no chosen fund); or </w:t>
      </w:r>
    </w:p>
    <w:p w14:paraId="2115D80A" w14:textId="77777777" w:rsidR="00233AA7" w:rsidRDefault="00233AA7" w:rsidP="00233AA7">
      <w:pPr>
        <w:pStyle w:val="Bullet"/>
      </w:pPr>
      <w:r>
        <w:t xml:space="preserve">the fund specified under a workplace determination or an enterprise agreement, provided the determination or agreement was made before 1 January 2021. </w:t>
      </w:r>
    </w:p>
    <w:p w14:paraId="5E0DC269" w14:textId="77777777" w:rsidR="00233AA7" w:rsidRDefault="00233AA7" w:rsidP="00233AA7">
      <w:pPr>
        <w:pStyle w:val="Dash"/>
        <w:numPr>
          <w:ilvl w:val="0"/>
          <w:numId w:val="0"/>
        </w:numPr>
      </w:pPr>
      <w:r>
        <w:t>To determine whether a stapled fund for an employee exists, the amendments require employers to request that information from the Commissioner of Taxation.</w:t>
      </w:r>
    </w:p>
    <w:p w14:paraId="50E81A9F" w14:textId="77777777" w:rsidR="00233AA7" w:rsidRDefault="00233AA7" w:rsidP="00233AA7">
      <w:pPr>
        <w:spacing w:before="240"/>
      </w:pPr>
      <w:r>
        <w:t>The Regulations support the amendments in the Bill by setting out the requirements that a fund must meet to be a stapled fund and procedural matters relating to requests to and responses from the Commissioner of Taxation about stapled funds.</w:t>
      </w:r>
    </w:p>
    <w:p w14:paraId="735235DA" w14:textId="77777777" w:rsidR="00233AA7" w:rsidRDefault="00233AA7" w:rsidP="00233AA7">
      <w:pPr>
        <w:spacing w:before="240"/>
      </w:pPr>
      <w:r>
        <w:t xml:space="preserve">Details of the Regulations are set out in the </w:t>
      </w:r>
      <w:r w:rsidRPr="00317816">
        <w:rPr>
          <w:u w:val="single"/>
        </w:rPr>
        <w:t>Attachment</w:t>
      </w:r>
      <w:r w:rsidRPr="00046B62">
        <w:t>.</w:t>
      </w:r>
    </w:p>
    <w:p w14:paraId="33E8E235" w14:textId="77777777" w:rsidR="00233AA7" w:rsidRDefault="00233AA7" w:rsidP="00233AA7">
      <w:pPr>
        <w:spacing w:before="240"/>
      </w:pPr>
      <w:r>
        <w:lastRenderedPageBreak/>
        <w:t>The</w:t>
      </w:r>
      <w:r w:rsidRPr="00D3322F">
        <w:t xml:space="preserve"> Regulation</w:t>
      </w:r>
      <w:r>
        <w:t>s are</w:t>
      </w:r>
      <w:r w:rsidRPr="00D3322F">
        <w:t xml:space="preserve"> a legislative instrument for the purposes of the</w:t>
      </w:r>
      <w:r w:rsidRPr="00322524">
        <w:t xml:space="preserve"> </w:t>
      </w:r>
      <w:r>
        <w:rPr>
          <w:i/>
        </w:rPr>
        <w:t>Legislation Act </w:t>
      </w:r>
      <w:r w:rsidRPr="00D3322F">
        <w:rPr>
          <w:i/>
        </w:rPr>
        <w:t>2003</w:t>
      </w:r>
      <w:r w:rsidRPr="00D3322F">
        <w:t>.</w:t>
      </w:r>
    </w:p>
    <w:p w14:paraId="083AE865" w14:textId="77777777" w:rsidR="00233AA7" w:rsidRPr="00647BB7" w:rsidRDefault="00233AA7" w:rsidP="00233AA7">
      <w:pPr>
        <w:spacing w:before="240"/>
        <w:rPr>
          <w:i/>
        </w:rPr>
      </w:pPr>
      <w:r w:rsidRPr="00503E44">
        <w:t>The Regulations c</w:t>
      </w:r>
      <w:r>
        <w:t>ommence on the day after they are registered.</w:t>
      </w:r>
    </w:p>
    <w:p w14:paraId="56F215B3" w14:textId="77777777" w:rsidR="00233AA7" w:rsidRDefault="00233AA7" w:rsidP="00233AA7">
      <w:pPr>
        <w:pageBreakBefore/>
        <w:spacing w:before="240"/>
        <w:jc w:val="right"/>
        <w:rPr>
          <w:b/>
          <w:u w:val="single"/>
        </w:rPr>
      </w:pPr>
      <w:r>
        <w:rPr>
          <w:b/>
          <w:u w:val="single"/>
        </w:rPr>
        <w:lastRenderedPageBreak/>
        <w:t>ATTACHMENT</w:t>
      </w:r>
    </w:p>
    <w:p w14:paraId="203757E9" w14:textId="77777777" w:rsidR="00233AA7" w:rsidRDefault="00233AA7" w:rsidP="00233AA7">
      <w:pPr>
        <w:spacing w:before="240"/>
        <w:ind w:right="91"/>
        <w:rPr>
          <w:b/>
          <w:bCs/>
          <w:szCs w:val="24"/>
          <w:u w:val="single"/>
        </w:rPr>
      </w:pPr>
      <w:r>
        <w:rPr>
          <w:b/>
          <w:bCs/>
          <w:u w:val="single"/>
        </w:rPr>
        <w:t xml:space="preserve">Details of the </w:t>
      </w:r>
      <w:r>
        <w:rPr>
          <w:b/>
          <w:i/>
          <w:u w:val="single"/>
        </w:rPr>
        <w:t>Treasury Laws Amendment (Your Future, Your Super—Single Default Account) Regulations 2021</w:t>
      </w:r>
      <w:r>
        <w:rPr>
          <w:b/>
          <w:bCs/>
          <w:u w:val="single"/>
        </w:rPr>
        <w:t xml:space="preserve"> </w:t>
      </w:r>
    </w:p>
    <w:p w14:paraId="06343DFF" w14:textId="77777777" w:rsidR="00233AA7" w:rsidRDefault="00233AA7" w:rsidP="00233AA7">
      <w:pPr>
        <w:spacing w:before="240"/>
        <w:rPr>
          <w:rFonts w:ascii="Calibri" w:hAnsi="Calibri"/>
          <w:sz w:val="22"/>
          <w:szCs w:val="22"/>
          <w:u w:val="single"/>
          <w:lang w:eastAsia="en-US"/>
        </w:rPr>
      </w:pPr>
      <w:r>
        <w:rPr>
          <w:u w:val="single"/>
        </w:rPr>
        <w:t>Section 1 – Name</w:t>
      </w:r>
    </w:p>
    <w:p w14:paraId="1D3B0388" w14:textId="77777777" w:rsidR="00233AA7" w:rsidRDefault="00233AA7" w:rsidP="00233AA7">
      <w:pPr>
        <w:spacing w:before="240"/>
      </w:pPr>
      <w:r>
        <w:t xml:space="preserve">The name of the instrument is the </w:t>
      </w:r>
      <w:r>
        <w:rPr>
          <w:i/>
        </w:rPr>
        <w:t>Treasury Laws Amendment (Your Future, Your Super—Single Default Account) Regulations 2021</w:t>
      </w:r>
      <w:r>
        <w:t xml:space="preserve"> (the Regulations).</w:t>
      </w:r>
    </w:p>
    <w:p w14:paraId="7C032C1A" w14:textId="77777777" w:rsidR="00233AA7" w:rsidRDefault="00233AA7" w:rsidP="00233AA7">
      <w:pPr>
        <w:spacing w:before="240"/>
        <w:ind w:right="91"/>
        <w:rPr>
          <w:u w:val="single"/>
        </w:rPr>
      </w:pPr>
      <w:r>
        <w:rPr>
          <w:u w:val="single"/>
        </w:rPr>
        <w:t>Section 2 – Commencement</w:t>
      </w:r>
    </w:p>
    <w:p w14:paraId="20BFEE63" w14:textId="77777777" w:rsidR="00233AA7" w:rsidRDefault="00233AA7" w:rsidP="00233AA7">
      <w:pPr>
        <w:spacing w:before="240"/>
        <w:ind w:right="91"/>
      </w:pPr>
      <w:r>
        <w:t xml:space="preserve">The Regulations commence on </w:t>
      </w:r>
      <w:r w:rsidRPr="006370DB">
        <w:t xml:space="preserve">the day after the instrument is registered </w:t>
      </w:r>
      <w:r>
        <w:t>on the Federal Register of Legislation.</w:t>
      </w:r>
    </w:p>
    <w:p w14:paraId="7E291910" w14:textId="77777777" w:rsidR="00233AA7" w:rsidRDefault="00233AA7" w:rsidP="00233AA7">
      <w:pPr>
        <w:spacing w:before="240"/>
        <w:ind w:right="91"/>
        <w:rPr>
          <w:u w:val="single"/>
        </w:rPr>
      </w:pPr>
      <w:r>
        <w:rPr>
          <w:u w:val="single"/>
        </w:rPr>
        <w:t>Section 3 – Authority</w:t>
      </w:r>
    </w:p>
    <w:p w14:paraId="09B3777F" w14:textId="77777777" w:rsidR="00233AA7" w:rsidRDefault="00233AA7" w:rsidP="00233AA7">
      <w:pPr>
        <w:spacing w:before="240"/>
        <w:ind w:right="91"/>
      </w:pPr>
      <w:r>
        <w:t xml:space="preserve">The Regulations are made under the </w:t>
      </w:r>
      <w:r>
        <w:rPr>
          <w:i/>
        </w:rPr>
        <w:t>Superannuation Guarantee (Administration) Act 1992</w:t>
      </w:r>
      <w:r>
        <w:t xml:space="preserve"> (the Act).</w:t>
      </w:r>
    </w:p>
    <w:p w14:paraId="44FC0034" w14:textId="77777777" w:rsidR="00233AA7" w:rsidRDefault="00233AA7" w:rsidP="00233AA7">
      <w:pPr>
        <w:spacing w:before="240"/>
        <w:ind w:right="91"/>
        <w:rPr>
          <w:u w:val="single"/>
        </w:rPr>
      </w:pPr>
      <w:r>
        <w:rPr>
          <w:u w:val="single"/>
        </w:rPr>
        <w:t>Section 4 – Schedules</w:t>
      </w:r>
    </w:p>
    <w:p w14:paraId="12A0A628" w14:textId="77777777" w:rsidR="00233AA7" w:rsidRDefault="00233AA7" w:rsidP="00233AA7">
      <w:pPr>
        <w:spacing w:before="240" w:after="200"/>
        <w:ind w:right="91"/>
        <w:rPr>
          <w:u w:val="single"/>
        </w:rPr>
      </w:pPr>
      <w:r>
        <w:t>Each instrument that is specified in a Schedule to this instrument is amended or repealed as set out in the applicable items in the Schedule concerned, and any other item in a Schedule to this instrument has effect according to its terms.</w:t>
      </w:r>
    </w:p>
    <w:p w14:paraId="38130926" w14:textId="77777777" w:rsidR="00233AA7" w:rsidRPr="008422E5" w:rsidRDefault="00233AA7" w:rsidP="00233AA7">
      <w:pPr>
        <w:spacing w:before="240"/>
        <w:ind w:right="91"/>
        <w:rPr>
          <w:color w:val="FF0000"/>
        </w:rPr>
      </w:pPr>
      <w:r>
        <w:rPr>
          <w:u w:val="single"/>
        </w:rPr>
        <w:t>Schedule 1 – Amendments</w:t>
      </w:r>
    </w:p>
    <w:p w14:paraId="4D52CE9F" w14:textId="77777777" w:rsidR="00233AA7" w:rsidRDefault="00233AA7" w:rsidP="00233AA7">
      <w:pPr>
        <w:spacing w:before="240" w:after="200"/>
        <w:ind w:right="91"/>
      </w:pPr>
      <w:r>
        <w:t xml:space="preserve">Item 1 updates the definitions section in the </w:t>
      </w:r>
      <w:r w:rsidRPr="00743944">
        <w:rPr>
          <w:i/>
        </w:rPr>
        <w:t>Superannuation Guarantee (Administration) Regulations 2018</w:t>
      </w:r>
      <w:r>
        <w:t xml:space="preserve"> to signpost the new definition of </w:t>
      </w:r>
      <w:r w:rsidRPr="00743944">
        <w:rPr>
          <w:b/>
          <w:i/>
        </w:rPr>
        <w:t>selection period</w:t>
      </w:r>
      <w:r>
        <w:t xml:space="preserve">, which is used in the Regulations. </w:t>
      </w:r>
    </w:p>
    <w:p w14:paraId="7CCD7F1A" w14:textId="77777777" w:rsidR="00233AA7" w:rsidRDefault="00233AA7" w:rsidP="00233AA7">
      <w:pPr>
        <w:pStyle w:val="Bullet"/>
        <w:numPr>
          <w:ilvl w:val="0"/>
          <w:numId w:val="0"/>
        </w:numPr>
      </w:pPr>
      <w:r>
        <w:t xml:space="preserve">Item 2 inserts new provisions into the </w:t>
      </w:r>
      <w:r w:rsidRPr="00743944">
        <w:rPr>
          <w:i/>
        </w:rPr>
        <w:t>Superannuation Guarantee (Administration) Regulations 2018</w:t>
      </w:r>
      <w:r>
        <w:t xml:space="preserve"> setting out when a fund is a stapled fund and procedural matters relating to requests to and responses from the Commissioner of Taxation (Commissioner) about stapled funds.</w:t>
      </w:r>
    </w:p>
    <w:p w14:paraId="72920460" w14:textId="77777777" w:rsidR="00233AA7" w:rsidRPr="00002737" w:rsidRDefault="00233AA7" w:rsidP="00233AA7">
      <w:pPr>
        <w:pStyle w:val="Heading3"/>
        <w:rPr>
          <w:i/>
        </w:rPr>
      </w:pPr>
      <w:r>
        <w:rPr>
          <w:i/>
        </w:rPr>
        <w:t>When is a fund a stapled fund?</w:t>
      </w:r>
    </w:p>
    <w:p w14:paraId="66BEC17F" w14:textId="77777777" w:rsidR="00233AA7" w:rsidRPr="008A1535" w:rsidRDefault="00233AA7" w:rsidP="00233AA7">
      <w:pPr>
        <w:pStyle w:val="Bullet"/>
        <w:numPr>
          <w:ilvl w:val="0"/>
          <w:numId w:val="0"/>
        </w:numPr>
      </w:pPr>
      <w:r>
        <w:t xml:space="preserve">Item 2 inserts new section 17A, which prescribes the requirements for working out if a fund is the stapled fund for an employee.   </w:t>
      </w:r>
    </w:p>
    <w:p w14:paraId="3F121142" w14:textId="77777777" w:rsidR="00233AA7" w:rsidRDefault="00233AA7" w:rsidP="00233AA7">
      <w:pPr>
        <w:pStyle w:val="Heading3"/>
        <w:rPr>
          <w:b w:val="0"/>
          <w:i/>
        </w:rPr>
      </w:pPr>
      <w:r>
        <w:rPr>
          <w:b w:val="0"/>
          <w:i/>
        </w:rPr>
        <w:t>Basic requirements</w:t>
      </w:r>
    </w:p>
    <w:p w14:paraId="332CEEF0" w14:textId="77777777" w:rsidR="00233AA7" w:rsidRDefault="00233AA7" w:rsidP="00233AA7">
      <w:pPr>
        <w:spacing w:before="240" w:after="200"/>
        <w:ind w:right="91"/>
      </w:pPr>
      <w:r>
        <w:t>For a fund to be a stapled fund for an employee at a particular time, the following basic requirements must be satisfied at that time:</w:t>
      </w:r>
    </w:p>
    <w:p w14:paraId="5DD73E7C" w14:textId="77777777" w:rsidR="00233AA7" w:rsidRDefault="00233AA7" w:rsidP="00233AA7">
      <w:pPr>
        <w:pStyle w:val="Bullet"/>
      </w:pPr>
      <w:r>
        <w:t>the fund must be a retirement savings account (RSA) or a complying superannuation fund or a complying superannuation scheme;</w:t>
      </w:r>
    </w:p>
    <w:p w14:paraId="2584F7F6" w14:textId="77777777" w:rsidR="00233AA7" w:rsidRDefault="00233AA7" w:rsidP="00233AA7">
      <w:pPr>
        <w:pStyle w:val="Bullet"/>
      </w:pPr>
      <w:r>
        <w:t>the employee must be a holder of that RSA or be a member of that fund or scheme;</w:t>
      </w:r>
    </w:p>
    <w:p w14:paraId="792954D5" w14:textId="77777777" w:rsidR="00233AA7" w:rsidRDefault="00233AA7" w:rsidP="00233AA7">
      <w:pPr>
        <w:pStyle w:val="Bullet"/>
      </w:pPr>
      <w:r>
        <w:lastRenderedPageBreak/>
        <w:t xml:space="preserve">insofar as the Commissioner is aware, the RSA, fund or scheme is able to accept contributions from the employee’s employer; and </w:t>
      </w:r>
    </w:p>
    <w:p w14:paraId="41A85F9F" w14:textId="77777777" w:rsidR="00233AA7" w:rsidRDefault="00233AA7" w:rsidP="00233AA7">
      <w:pPr>
        <w:pStyle w:val="Bullet"/>
      </w:pPr>
      <w:r>
        <w:t xml:space="preserve">the Commissioner </w:t>
      </w:r>
      <w:proofErr w:type="gramStart"/>
      <w:r>
        <w:t>is able to</w:t>
      </w:r>
      <w:proofErr w:type="gramEnd"/>
      <w:r>
        <w:t xml:space="preserve"> disclose information about the employee or their fund to the employer (and the employer’s agent, if the agent made the request).</w:t>
      </w:r>
    </w:p>
    <w:p w14:paraId="7369347F" w14:textId="77777777" w:rsidR="00233AA7" w:rsidRDefault="00233AA7" w:rsidP="00233AA7">
      <w:pPr>
        <w:pStyle w:val="Bullet"/>
        <w:numPr>
          <w:ilvl w:val="0"/>
          <w:numId w:val="0"/>
        </w:numPr>
      </w:pPr>
      <w:r>
        <w:t xml:space="preserve">The basic requirement that a stapled fund must be an RSA or a complying superannuation fund or a complying superannuation scheme ensures the existing fund is regulated under either the </w:t>
      </w:r>
      <w:r w:rsidRPr="00744108">
        <w:rPr>
          <w:i/>
        </w:rPr>
        <w:t>Retirement Savings Account Act 1997</w:t>
      </w:r>
      <w:r>
        <w:rPr>
          <w:i/>
        </w:rPr>
        <w:t xml:space="preserve"> </w:t>
      </w:r>
      <w:r>
        <w:t xml:space="preserve">or the </w:t>
      </w:r>
      <w:r w:rsidRPr="00744108">
        <w:rPr>
          <w:i/>
        </w:rPr>
        <w:t>Superannuation</w:t>
      </w:r>
      <w:r>
        <w:rPr>
          <w:i/>
        </w:rPr>
        <w:t xml:space="preserve"> Industry (Supervision) Act </w:t>
      </w:r>
      <w:r w:rsidRPr="00744108">
        <w:rPr>
          <w:i/>
        </w:rPr>
        <w:t>1993</w:t>
      </w:r>
      <w:r>
        <w:t xml:space="preserve">. </w:t>
      </w:r>
    </w:p>
    <w:p w14:paraId="260FCEE5" w14:textId="77777777" w:rsidR="00233AA7" w:rsidRDefault="00233AA7" w:rsidP="00233AA7">
      <w:pPr>
        <w:spacing w:before="240" w:after="200"/>
        <w:ind w:right="91"/>
      </w:pPr>
      <w:r>
        <w:t xml:space="preserve">The other basic requirements generally ensure that an employee’s stapled fund is an existing fund of the employee and that the employer will likely be able to make contributions on behalf of the employee into the stapled fund. </w:t>
      </w:r>
    </w:p>
    <w:p w14:paraId="4780EA41" w14:textId="77777777" w:rsidR="00233AA7" w:rsidRDefault="00233AA7" w:rsidP="00233AA7">
      <w:pPr>
        <w:spacing w:before="240" w:after="200"/>
        <w:ind w:right="91"/>
      </w:pPr>
      <w:r>
        <w:t>This is reflected in the basic requirement that a fund is a stapled fund if, insofar as the Commissioner is aware, the RSA, fund or scheme is able to accept contributions from the employee’s employer. This does not require the Commissioner to be aware of whether the RSA, fund or scheme is able to accept contributions from the employee’s employer in every circumstance.</w:t>
      </w:r>
    </w:p>
    <w:p w14:paraId="37A788E5" w14:textId="77777777" w:rsidR="00233AA7" w:rsidRDefault="00233AA7" w:rsidP="00233AA7">
      <w:pPr>
        <w:spacing w:before="240" w:after="200"/>
        <w:ind w:right="91"/>
      </w:pPr>
      <w:r>
        <w:t xml:space="preserve">Rather, this basic requirement ensures that an RSA, fund or scheme is no longer a stapled fund for an employee </w:t>
      </w:r>
      <w:r w:rsidRPr="00422CBB">
        <w:t>if</w:t>
      </w:r>
      <w:r>
        <w:t>, at that time,</w:t>
      </w:r>
      <w:r w:rsidRPr="00422CBB">
        <w:t xml:space="preserve"> the Commissioner becomes aware </w:t>
      </w:r>
      <w:r>
        <w:t>that the employee’s</w:t>
      </w:r>
      <w:r w:rsidRPr="00422CBB">
        <w:t xml:space="preserve"> employer cannot make contributions to the </w:t>
      </w:r>
      <w:r>
        <w:t>RSA, fund or</w:t>
      </w:r>
      <w:r w:rsidRPr="00422CBB">
        <w:t xml:space="preserve"> scheme. </w:t>
      </w:r>
      <w:r>
        <w:t>In practice, t</w:t>
      </w:r>
      <w:r w:rsidRPr="00422CBB">
        <w:t>his may occur where</w:t>
      </w:r>
      <w:r>
        <w:t>:</w:t>
      </w:r>
    </w:p>
    <w:p w14:paraId="313B8565" w14:textId="77777777" w:rsidR="00233AA7" w:rsidRDefault="00233AA7" w:rsidP="00233AA7">
      <w:pPr>
        <w:pStyle w:val="Bullet"/>
      </w:pPr>
      <w:r>
        <w:t>the employee’s employer has requested that the Commissioner identify a stapled fund for their employee; and</w:t>
      </w:r>
    </w:p>
    <w:p w14:paraId="5379431D" w14:textId="77777777" w:rsidR="00233AA7" w:rsidRDefault="00233AA7" w:rsidP="00233AA7">
      <w:pPr>
        <w:pStyle w:val="Bullet"/>
      </w:pPr>
      <w:r>
        <w:t>the Commissioner has notified the employer that there is a stapled fund (the first fund) for the employee; and</w:t>
      </w:r>
    </w:p>
    <w:p w14:paraId="6E109E0D" w14:textId="77777777" w:rsidR="00233AA7" w:rsidRDefault="00233AA7" w:rsidP="00233AA7">
      <w:pPr>
        <w:pStyle w:val="Bullet"/>
      </w:pPr>
      <w:r>
        <w:t>the employer is unable to make contributions into that fund on behalf of the employee (for example, this may occur if the first fund is a defined benefit scheme and the employer is unable to make contributions into the scheme on behalf of the employee); and</w:t>
      </w:r>
    </w:p>
    <w:p w14:paraId="0E8C55DB" w14:textId="77777777" w:rsidR="00233AA7" w:rsidRDefault="00233AA7" w:rsidP="00233AA7">
      <w:pPr>
        <w:pStyle w:val="Bullet"/>
      </w:pPr>
      <w:r>
        <w:t xml:space="preserve">the employer notifies the Commissioner of this matter. </w:t>
      </w:r>
    </w:p>
    <w:p w14:paraId="38C67339" w14:textId="77777777" w:rsidR="00233AA7" w:rsidRDefault="00233AA7" w:rsidP="00233AA7">
      <w:pPr>
        <w:spacing w:before="240" w:after="200"/>
        <w:ind w:right="91"/>
      </w:pPr>
      <w:r>
        <w:t xml:space="preserve">If this occurs, the first fund is no longer the employee’s stapled fund. Therefore, to comply with the choice of fund rules, the employer may need to make a further request that the Commissioner identify whether there is another fund that could be the employee’s stapled fund. If these circumstances result in the employer making contributions to a fund after the quarterly due date, the employer may seek relief from the Commissioner for the shortfall incurred due to the lateness of such contributions. This mechanism is provided for in the </w:t>
      </w:r>
      <w:r w:rsidRPr="00422CBB">
        <w:t>amendments in Schedule 1 to the Treasury Laws Amendment (Your Future, Your Super) Bill</w:t>
      </w:r>
      <w:r>
        <w:t xml:space="preserve"> 2021.</w:t>
      </w:r>
    </w:p>
    <w:p w14:paraId="303F222E" w14:textId="77777777" w:rsidR="00233AA7" w:rsidRPr="00DD52E8" w:rsidRDefault="00233AA7" w:rsidP="00233AA7">
      <w:pPr>
        <w:spacing w:before="240" w:after="200"/>
        <w:ind w:right="91"/>
        <w:rPr>
          <w:rFonts w:cstheme="minorHAnsi"/>
        </w:rPr>
      </w:pPr>
      <w:r>
        <w:t>Finally</w:t>
      </w:r>
      <w:r w:rsidRPr="008525CC">
        <w:t xml:space="preserve">, if </w:t>
      </w:r>
      <w:r w:rsidRPr="008525CC">
        <w:rPr>
          <w:rFonts w:cstheme="minorHAnsi"/>
        </w:rPr>
        <w:t xml:space="preserve">the Commissioner is unable to provide information </w:t>
      </w:r>
      <w:r>
        <w:rPr>
          <w:rFonts w:cstheme="minorHAnsi"/>
        </w:rPr>
        <w:t>about an employee or</w:t>
      </w:r>
      <w:r w:rsidRPr="008525CC">
        <w:rPr>
          <w:rFonts w:cstheme="minorHAnsi"/>
        </w:rPr>
        <w:t xml:space="preserve"> their fund t</w:t>
      </w:r>
      <w:r>
        <w:rPr>
          <w:rFonts w:cstheme="minorHAnsi"/>
        </w:rPr>
        <w:t xml:space="preserve">o the employer </w:t>
      </w:r>
      <w:r>
        <w:t>(and the employer’s agent, if the agent made the request)</w:t>
      </w:r>
      <w:r>
        <w:rPr>
          <w:rFonts w:cstheme="minorHAnsi"/>
        </w:rPr>
        <w:t xml:space="preserve">, that fund </w:t>
      </w:r>
      <w:r w:rsidRPr="008525CC">
        <w:rPr>
          <w:rFonts w:cstheme="minorHAnsi"/>
        </w:rPr>
        <w:t xml:space="preserve">cannot be a stapled fund. </w:t>
      </w:r>
      <w:r>
        <w:rPr>
          <w:rFonts w:cstheme="minorHAnsi"/>
        </w:rPr>
        <w:t>For example, this may occur if the Commissioner has classified the</w:t>
      </w:r>
      <w:r w:rsidRPr="008525CC">
        <w:rPr>
          <w:rFonts w:cstheme="minorHAnsi"/>
        </w:rPr>
        <w:t xml:space="preserve"> employee </w:t>
      </w:r>
      <w:r>
        <w:rPr>
          <w:rFonts w:cstheme="minorHAnsi"/>
        </w:rPr>
        <w:t xml:space="preserve">as a security assessed client. This requirement ensures </w:t>
      </w:r>
      <w:r>
        <w:rPr>
          <w:rFonts w:cstheme="minorHAnsi"/>
        </w:rPr>
        <w:lastRenderedPageBreak/>
        <w:t>the Commissioner can comply with obligations under the relevant legislation and policy frameworks that restrict the disclosure of such information.</w:t>
      </w:r>
    </w:p>
    <w:p w14:paraId="010F1BB3" w14:textId="77777777" w:rsidR="00233AA7" w:rsidRDefault="00233AA7" w:rsidP="00233AA7">
      <w:pPr>
        <w:pStyle w:val="Heading3"/>
        <w:rPr>
          <w:b w:val="0"/>
          <w:i/>
        </w:rPr>
      </w:pPr>
      <w:r>
        <w:rPr>
          <w:b w:val="0"/>
          <w:i/>
        </w:rPr>
        <w:t>Tiebreaker requirements</w:t>
      </w:r>
    </w:p>
    <w:p w14:paraId="3BA66577" w14:textId="77777777" w:rsidR="00233AA7" w:rsidRDefault="00233AA7" w:rsidP="00233AA7">
      <w:pPr>
        <w:spacing w:before="240" w:after="200"/>
        <w:ind w:right="91"/>
      </w:pPr>
      <w:r>
        <w:t>If an employee has two or more existing funds that meet the basic requirements (i.e. multiple eligible funds), the tiebreaker requirements will be applied to determine the employee’s stapled fund.</w:t>
      </w:r>
    </w:p>
    <w:p w14:paraId="798F4BFD" w14:textId="77777777" w:rsidR="00233AA7" w:rsidRDefault="00233AA7" w:rsidP="00233AA7">
      <w:pPr>
        <w:spacing w:before="240" w:after="200"/>
        <w:ind w:right="91"/>
      </w:pPr>
      <w:r>
        <w:t>The tiebreaker requirements are:</w:t>
      </w:r>
    </w:p>
    <w:p w14:paraId="09631257" w14:textId="77777777" w:rsidR="00233AA7" w:rsidRDefault="00233AA7" w:rsidP="00233AA7">
      <w:pPr>
        <w:pStyle w:val="ListParagraph"/>
        <w:numPr>
          <w:ilvl w:val="0"/>
          <w:numId w:val="2"/>
        </w:numPr>
        <w:spacing w:before="240"/>
        <w:contextualSpacing w:val="0"/>
      </w:pPr>
      <w:r>
        <w:t>First, the employee’s stapled fund is the most recent fund that has been identified by the Commissioner to be the employee’s stapled fund in the selection period.</w:t>
      </w:r>
    </w:p>
    <w:p w14:paraId="38C33699" w14:textId="77777777" w:rsidR="00233AA7" w:rsidRDefault="00233AA7" w:rsidP="00233AA7">
      <w:pPr>
        <w:pStyle w:val="ListParagraph"/>
        <w:numPr>
          <w:ilvl w:val="0"/>
          <w:numId w:val="2"/>
        </w:numPr>
        <w:spacing w:before="240"/>
        <w:contextualSpacing w:val="0"/>
      </w:pPr>
      <w:r>
        <w:t>If the first requirement does not apply to any of the eligible funds, the employee’s stapled fund is the fund that received the most recent contribution for the employee during the selection period.</w:t>
      </w:r>
    </w:p>
    <w:p w14:paraId="34125EC1" w14:textId="77777777" w:rsidR="00233AA7" w:rsidRDefault="00233AA7" w:rsidP="00233AA7">
      <w:pPr>
        <w:pStyle w:val="ListParagraph"/>
        <w:numPr>
          <w:ilvl w:val="0"/>
          <w:numId w:val="2"/>
        </w:numPr>
        <w:spacing w:before="240"/>
        <w:contextualSpacing w:val="0"/>
      </w:pPr>
      <w:r>
        <w:t>If the first and second requirements do not apply to any of the eligible funds, the employee’s stapled fund is the fund that held the largest account balance at the end of the previous financial year.</w:t>
      </w:r>
    </w:p>
    <w:p w14:paraId="3FC9DD6B" w14:textId="77777777" w:rsidR="00233AA7" w:rsidRDefault="00233AA7" w:rsidP="00233AA7">
      <w:pPr>
        <w:pStyle w:val="ListParagraph"/>
        <w:numPr>
          <w:ilvl w:val="0"/>
          <w:numId w:val="2"/>
        </w:numPr>
        <w:spacing w:before="240"/>
        <w:contextualSpacing w:val="0"/>
      </w:pPr>
      <w:r>
        <w:t xml:space="preserve">If the first, second and third requirements do not apply to any of the eligible funds, the employee’s stapled fund is the fund selected by the Commissioner. </w:t>
      </w:r>
    </w:p>
    <w:p w14:paraId="3E401A67" w14:textId="77777777" w:rsidR="00233AA7" w:rsidRDefault="00233AA7" w:rsidP="00233AA7">
      <w:pPr>
        <w:pStyle w:val="Bullet"/>
        <w:numPr>
          <w:ilvl w:val="0"/>
          <w:numId w:val="0"/>
        </w:numPr>
      </w:pPr>
      <w:r>
        <w:t>For the purposes of the fourth requirement, the Commissioner will select the most appropriate fund to be the stapled for the employee, having regard to:</w:t>
      </w:r>
    </w:p>
    <w:p w14:paraId="3C41B4AA" w14:textId="77777777" w:rsidR="00233AA7" w:rsidRDefault="00233AA7" w:rsidP="00233AA7">
      <w:pPr>
        <w:pStyle w:val="Bullet"/>
      </w:pPr>
      <w:r>
        <w:t>when the employee became a member or holder of each of the eligible funds (such as which fund or account was most recently opened); and</w:t>
      </w:r>
    </w:p>
    <w:p w14:paraId="3FBCB008" w14:textId="77777777" w:rsidR="00233AA7" w:rsidRDefault="00233AA7" w:rsidP="00233AA7">
      <w:pPr>
        <w:pStyle w:val="Bullet"/>
      </w:pPr>
      <w:r>
        <w:t>any other relevant matters.</w:t>
      </w:r>
    </w:p>
    <w:p w14:paraId="44B9E751" w14:textId="77777777" w:rsidR="00233AA7" w:rsidRDefault="00233AA7" w:rsidP="00233AA7">
      <w:pPr>
        <w:pStyle w:val="Bullet"/>
        <w:numPr>
          <w:ilvl w:val="0"/>
          <w:numId w:val="0"/>
        </w:numPr>
      </w:pPr>
      <w:r>
        <w:t xml:space="preserve">Depending on each case, the other relevant matters may include the amount of contributions made on behalf of the employee and the timing and pattern of such contributions. </w:t>
      </w:r>
    </w:p>
    <w:p w14:paraId="2AEBE20C" w14:textId="77777777" w:rsidR="00233AA7" w:rsidRDefault="00233AA7" w:rsidP="00233AA7">
      <w:pPr>
        <w:spacing w:before="240" w:after="200"/>
        <w:ind w:right="91"/>
      </w:pPr>
      <w:r>
        <w:t xml:space="preserve">The selection period is the period starting at the beginning of the previous financial year and ending at the time the Commissioner applies the tiebreaker requirements. For example, if the Commissioner applies the tiebreaker requirements to identify the stapled fund for an employee on 16 August 2022, the selection period is the period beginning on 1 July 2021 and ending on 16 August 2022. </w:t>
      </w:r>
    </w:p>
    <w:p w14:paraId="364BB51C" w14:textId="77777777" w:rsidR="00233AA7" w:rsidRDefault="00233AA7" w:rsidP="00233AA7">
      <w:pPr>
        <w:spacing w:before="240" w:after="200"/>
        <w:ind w:right="91"/>
      </w:pPr>
      <w:r>
        <w:t>These tiebreaker requirements are loosely based on</w:t>
      </w:r>
      <w:r w:rsidRPr="00A36236">
        <w:t xml:space="preserve"> </w:t>
      </w:r>
      <w:r>
        <w:t xml:space="preserve">the tiebreaker requirements for the unclaimed money rules, which are set out in section 14 of the </w:t>
      </w:r>
      <w:r w:rsidRPr="00DE1A07">
        <w:rPr>
          <w:i/>
        </w:rPr>
        <w:t>Superannuation (Unclaimed Money and Lost Members) Regulations 2019</w:t>
      </w:r>
      <w:r>
        <w:t>.</w:t>
      </w:r>
    </w:p>
    <w:p w14:paraId="116FC958" w14:textId="77777777" w:rsidR="00233AA7" w:rsidRPr="00B55A14" w:rsidRDefault="00233AA7" w:rsidP="00233AA7">
      <w:pPr>
        <w:spacing w:before="240" w:after="200"/>
        <w:ind w:right="91"/>
      </w:pPr>
      <w:r>
        <w:t>When applying the tiebreaker requirements (and the basic requirements), the Commissioner will consider information reported to the Commissioner or otherwise available at the time of responding to the request by the employer or the employer’s agent.</w:t>
      </w:r>
    </w:p>
    <w:p w14:paraId="088BE41A" w14:textId="77777777" w:rsidR="00233AA7" w:rsidRPr="00DF0406" w:rsidRDefault="00233AA7" w:rsidP="00233AA7">
      <w:pPr>
        <w:pStyle w:val="Heading3"/>
        <w:rPr>
          <w:i/>
        </w:rPr>
      </w:pPr>
      <w:r w:rsidRPr="00DF0406">
        <w:rPr>
          <w:i/>
        </w:rPr>
        <w:lastRenderedPageBreak/>
        <w:t>When can an employer request information about stapled funds to the Commissioner?</w:t>
      </w:r>
    </w:p>
    <w:p w14:paraId="79BA7695" w14:textId="77777777" w:rsidR="00233AA7" w:rsidRDefault="00233AA7" w:rsidP="00233AA7">
      <w:pPr>
        <w:spacing w:before="240" w:after="200"/>
        <w:ind w:right="91"/>
      </w:pPr>
      <w:r>
        <w:t xml:space="preserve">Item 2 also inserts new section 17B, which provides that an employer (or their agent) can only request the Commissioner to identify any stapled fund for their employee if the request is for the purposes of complying with the new choice of fund rule relating to stapled funds. </w:t>
      </w:r>
    </w:p>
    <w:p w14:paraId="01643ABA" w14:textId="77777777" w:rsidR="00233AA7" w:rsidRDefault="00233AA7" w:rsidP="00233AA7">
      <w:pPr>
        <w:spacing w:before="240" w:after="200"/>
        <w:ind w:right="91"/>
      </w:pPr>
      <w:r>
        <w:t>Therefore, if the relevant employee already has a chosen fund, the request would not satisfy new section 17B. This reflects that the choice of fund rule relating to stapled funds cannot be satisfied if the employee already has a chosen fund.</w:t>
      </w:r>
    </w:p>
    <w:p w14:paraId="7D2DAA23" w14:textId="77777777" w:rsidR="00233AA7" w:rsidRDefault="00233AA7" w:rsidP="00233AA7">
      <w:pPr>
        <w:spacing w:before="240" w:after="200"/>
        <w:ind w:right="91"/>
      </w:pPr>
      <w:r>
        <w:t>Additionally, if the individual is not employed by the employer, a request to the Commissioner by the employer (or their agent) about whether a stapled fund for that individual exists would not satisfy section 17B.</w:t>
      </w:r>
    </w:p>
    <w:p w14:paraId="5BE5063D" w14:textId="77777777" w:rsidR="00233AA7" w:rsidRPr="00B55A14" w:rsidRDefault="00233AA7" w:rsidP="00233AA7">
      <w:pPr>
        <w:spacing w:before="240" w:after="200"/>
        <w:ind w:right="91"/>
      </w:pPr>
      <w:r>
        <w:t xml:space="preserve">Making false or misleading statements to a taxation officer (such as falsely purporting to be the employer of an individual) may be an offence under the </w:t>
      </w:r>
      <w:r w:rsidRPr="002B1C66">
        <w:rPr>
          <w:i/>
        </w:rPr>
        <w:t>Taxation Administration Act 1953</w:t>
      </w:r>
      <w:r>
        <w:t>.</w:t>
      </w:r>
    </w:p>
    <w:p w14:paraId="7C2D2B65" w14:textId="77777777" w:rsidR="00233AA7" w:rsidRPr="00DF0406" w:rsidRDefault="00233AA7" w:rsidP="00233AA7">
      <w:pPr>
        <w:pStyle w:val="Heading3"/>
        <w:rPr>
          <w:i/>
        </w:rPr>
      </w:pPr>
      <w:r w:rsidRPr="00DF0406">
        <w:rPr>
          <w:i/>
        </w:rPr>
        <w:t xml:space="preserve">When can the Commissioner change an earlier notification? </w:t>
      </w:r>
    </w:p>
    <w:p w14:paraId="6BE6CEB4" w14:textId="77777777" w:rsidR="00233AA7" w:rsidRDefault="00233AA7" w:rsidP="00233AA7">
      <w:pPr>
        <w:spacing w:before="240" w:after="200"/>
        <w:ind w:right="91"/>
      </w:pPr>
      <w:r>
        <w:t xml:space="preserve">Item 2 also inserts new section 17C, which provides that the Commissioner </w:t>
      </w:r>
      <w:r w:rsidRPr="003D54C7">
        <w:rPr>
          <w:i/>
        </w:rPr>
        <w:t>may</w:t>
      </w:r>
      <w:r>
        <w:t xml:space="preserve"> change an earlier notification given to an employer if:</w:t>
      </w:r>
    </w:p>
    <w:p w14:paraId="1094C9E7" w14:textId="77777777" w:rsidR="00233AA7" w:rsidRDefault="00233AA7" w:rsidP="00233AA7">
      <w:pPr>
        <w:pStyle w:val="Bullet"/>
      </w:pPr>
      <w:r>
        <w:t>the Commissioner has identified an error in the earlier notification; and</w:t>
      </w:r>
    </w:p>
    <w:p w14:paraId="371255CC" w14:textId="77777777" w:rsidR="00233AA7" w:rsidRDefault="00233AA7" w:rsidP="00233AA7">
      <w:pPr>
        <w:pStyle w:val="Bullet"/>
      </w:pPr>
      <w:r>
        <w:t>if the earlier notification stated that the Commissioner is satisfied that there is a stapled fund for the employee—the Commissioner is unaware of any contributions being made by the employer on behalf of the employee to the erroneously identified fund.</w:t>
      </w:r>
    </w:p>
    <w:p w14:paraId="55723366" w14:textId="77777777" w:rsidR="00233AA7" w:rsidRDefault="00233AA7" w:rsidP="00233AA7">
      <w:pPr>
        <w:spacing w:before="240" w:after="200"/>
        <w:ind w:right="91"/>
      </w:pPr>
      <w:r>
        <w:t>The e</w:t>
      </w:r>
      <w:r w:rsidRPr="00DE1A07">
        <w:t xml:space="preserve">rror in </w:t>
      </w:r>
      <w:r>
        <w:t>the earlier notification</w:t>
      </w:r>
      <w:r w:rsidRPr="00DE1A07">
        <w:t xml:space="preserve"> could i</w:t>
      </w:r>
      <w:r>
        <w:t xml:space="preserve">nclude an </w:t>
      </w:r>
      <w:r w:rsidRPr="00DE1A07">
        <w:t>administr</w:t>
      </w:r>
      <w:r>
        <w:t>ative error such as providing the</w:t>
      </w:r>
      <w:r w:rsidRPr="00DE1A07">
        <w:t xml:space="preserve"> incorrect account number.</w:t>
      </w:r>
      <w:r>
        <w:t xml:space="preserve"> These provisions are not intended to allow or require the Commissioner to provide ongoing updates to an employer about their employee’s stapled fund.</w:t>
      </w:r>
    </w:p>
    <w:p w14:paraId="192AA40D" w14:textId="77777777" w:rsidR="000A7817" w:rsidRDefault="00233AA7" w:rsidP="00233AA7">
      <w:pPr>
        <w:spacing w:before="240" w:after="200"/>
        <w:ind w:right="91"/>
      </w:pPr>
      <w:r w:rsidRPr="0071654F">
        <w:t xml:space="preserve">The requirement that the Commissioner is unaware of any contributions being made by the employer to the erroneously identified fund reflects that changing an earlier notification is likely to be unnecessary if the employer is already making contributions into a fund on behalf of the employee. This reflects that the erroneously identified fund </w:t>
      </w:r>
      <w:r>
        <w:t>is likely to</w:t>
      </w:r>
      <w:r w:rsidRPr="0071654F">
        <w:t xml:space="preserve"> be an existing fund of the employee.  </w:t>
      </w:r>
    </w:p>
    <w:sectPr w:rsidR="000A7817" w:rsidSect="00392BBA">
      <w:foot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E8290" w14:textId="77777777" w:rsidR="003B78EF" w:rsidRDefault="003B78EF">
      <w:pPr>
        <w:spacing w:before="0" w:after="0"/>
      </w:pPr>
      <w:r>
        <w:separator/>
      </w:r>
    </w:p>
  </w:endnote>
  <w:endnote w:type="continuationSeparator" w:id="0">
    <w:p w14:paraId="4E0B21CE" w14:textId="77777777" w:rsidR="003B78EF" w:rsidRDefault="003B78E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A1D3460" w14:textId="72A3BFD3" w:rsidR="00954679" w:rsidRDefault="00233AA7"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6D5430">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6D5430">
              <w:rPr>
                <w:bCs/>
                <w:noProof/>
              </w:rPr>
              <w:t>6</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05ACD" w14:textId="77777777" w:rsidR="003B78EF" w:rsidRDefault="003B78EF">
      <w:pPr>
        <w:spacing w:before="0" w:after="0"/>
      </w:pPr>
      <w:r>
        <w:separator/>
      </w:r>
    </w:p>
  </w:footnote>
  <w:footnote w:type="continuationSeparator" w:id="0">
    <w:p w14:paraId="08A28C0D" w14:textId="77777777" w:rsidR="003B78EF" w:rsidRDefault="003B78E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F549D3"/>
    <w:multiLevelType w:val="hybridMultilevel"/>
    <w:tmpl w:val="F77A9C0E"/>
    <w:lvl w:ilvl="0" w:tplc="EF60FDEC">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67A43C0B"/>
    <w:multiLevelType w:val="multilevel"/>
    <w:tmpl w:val="281C0696"/>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AA7"/>
    <w:rsid w:val="00233AA7"/>
    <w:rsid w:val="003B78EF"/>
    <w:rsid w:val="00456A79"/>
    <w:rsid w:val="006D5430"/>
    <w:rsid w:val="00876890"/>
    <w:rsid w:val="00B15B2A"/>
    <w:rsid w:val="00CA69EA"/>
    <w:rsid w:val="00D740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57C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AA7"/>
    <w:pPr>
      <w:spacing w:before="120" w:after="12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233AA7"/>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uiPriority w:val="9"/>
    <w:semiHidden/>
    <w:unhideWhenUsed/>
    <w:qFormat/>
    <w:rsid w:val="00233A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233AA7"/>
    <w:pPr>
      <w:keepLines w:val="0"/>
      <w:tabs>
        <w:tab w:val="left" w:pos="1987"/>
      </w:tabs>
      <w:spacing w:before="240" w:after="120"/>
      <w:outlineLvl w:val="2"/>
    </w:pPr>
    <w:rPr>
      <w:rFonts w:ascii="Times New Roman" w:eastAsia="Times New Roman" w:hAnsi="Times New Roman" w:cs="Times New Roman"/>
      <w:b/>
      <w:color w:val="auto"/>
      <w:kern w:val="2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3AA7"/>
    <w:rPr>
      <w:rFonts w:ascii="Arial Bold" w:eastAsia="Times New Roman" w:hAnsi="Arial Bold" w:cs="Times New Roman"/>
      <w:b/>
      <w:kern w:val="28"/>
      <w:sz w:val="28"/>
      <w:szCs w:val="20"/>
      <w:u w:val="single"/>
      <w:lang w:eastAsia="en-AU"/>
    </w:rPr>
  </w:style>
  <w:style w:type="character" w:customStyle="1" w:styleId="Heading3Char">
    <w:name w:val="Heading 3 Char"/>
    <w:basedOn w:val="DefaultParagraphFont"/>
    <w:link w:val="Heading3"/>
    <w:rsid w:val="00233AA7"/>
    <w:rPr>
      <w:rFonts w:ascii="Times New Roman" w:eastAsia="Times New Roman" w:hAnsi="Times New Roman" w:cs="Times New Roman"/>
      <w:b/>
      <w:kern w:val="28"/>
      <w:sz w:val="24"/>
      <w:szCs w:val="20"/>
      <w:lang w:eastAsia="en-AU"/>
    </w:rPr>
  </w:style>
  <w:style w:type="paragraph" w:customStyle="1" w:styleId="Bullet">
    <w:name w:val="Bullet"/>
    <w:basedOn w:val="Normal"/>
    <w:link w:val="BulletChar"/>
    <w:rsid w:val="00233AA7"/>
    <w:pPr>
      <w:numPr>
        <w:numId w:val="1"/>
      </w:numPr>
      <w:spacing w:before="240"/>
    </w:pPr>
    <w:rPr>
      <w:szCs w:val="23"/>
    </w:rPr>
  </w:style>
  <w:style w:type="character" w:customStyle="1" w:styleId="BulletChar">
    <w:name w:val="Bullet Char"/>
    <w:basedOn w:val="DefaultParagraphFont"/>
    <w:link w:val="Bullet"/>
    <w:rsid w:val="00233AA7"/>
    <w:rPr>
      <w:rFonts w:ascii="Times New Roman" w:eastAsia="Times New Roman" w:hAnsi="Times New Roman" w:cs="Times New Roman"/>
      <w:sz w:val="24"/>
      <w:szCs w:val="23"/>
      <w:lang w:eastAsia="en-AU"/>
    </w:rPr>
  </w:style>
  <w:style w:type="paragraph" w:customStyle="1" w:styleId="Dash">
    <w:name w:val="Dash"/>
    <w:basedOn w:val="Normal"/>
    <w:link w:val="DashChar"/>
    <w:rsid w:val="00233AA7"/>
    <w:pPr>
      <w:numPr>
        <w:ilvl w:val="1"/>
        <w:numId w:val="1"/>
      </w:numPr>
      <w:spacing w:before="240"/>
    </w:pPr>
    <w:rPr>
      <w:szCs w:val="23"/>
    </w:rPr>
  </w:style>
  <w:style w:type="character" w:customStyle="1" w:styleId="DashChar">
    <w:name w:val="Dash Char"/>
    <w:basedOn w:val="DefaultParagraphFont"/>
    <w:link w:val="Dash"/>
    <w:rsid w:val="00233AA7"/>
    <w:rPr>
      <w:rFonts w:ascii="Times New Roman" w:eastAsia="Times New Roman" w:hAnsi="Times New Roman" w:cs="Times New Roman"/>
      <w:sz w:val="24"/>
      <w:szCs w:val="23"/>
      <w:lang w:eastAsia="en-AU"/>
    </w:rPr>
  </w:style>
  <w:style w:type="paragraph" w:customStyle="1" w:styleId="DoubleDot">
    <w:name w:val="Double Dot"/>
    <w:basedOn w:val="Normal"/>
    <w:rsid w:val="00233AA7"/>
    <w:pPr>
      <w:numPr>
        <w:ilvl w:val="2"/>
        <w:numId w:val="1"/>
      </w:numPr>
      <w:spacing w:before="240"/>
    </w:pPr>
    <w:rPr>
      <w:szCs w:val="23"/>
    </w:rPr>
  </w:style>
  <w:style w:type="paragraph" w:styleId="Header">
    <w:name w:val="header"/>
    <w:basedOn w:val="Normal"/>
    <w:link w:val="HeaderChar"/>
    <w:uiPriority w:val="99"/>
    <w:unhideWhenUsed/>
    <w:rsid w:val="00233AA7"/>
    <w:pPr>
      <w:tabs>
        <w:tab w:val="center" w:pos="4513"/>
        <w:tab w:val="right" w:pos="9026"/>
      </w:tabs>
      <w:spacing w:before="0" w:after="0"/>
    </w:pPr>
  </w:style>
  <w:style w:type="character" w:customStyle="1" w:styleId="HeaderChar">
    <w:name w:val="Header Char"/>
    <w:basedOn w:val="DefaultParagraphFont"/>
    <w:link w:val="Header"/>
    <w:uiPriority w:val="99"/>
    <w:rsid w:val="00233AA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233AA7"/>
    <w:pPr>
      <w:tabs>
        <w:tab w:val="center" w:pos="4513"/>
        <w:tab w:val="right" w:pos="9026"/>
      </w:tabs>
      <w:spacing w:before="0" w:after="0"/>
    </w:pPr>
  </w:style>
  <w:style w:type="character" w:customStyle="1" w:styleId="FooterChar">
    <w:name w:val="Footer Char"/>
    <w:basedOn w:val="DefaultParagraphFont"/>
    <w:link w:val="Footer"/>
    <w:uiPriority w:val="99"/>
    <w:rsid w:val="00233AA7"/>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233AA7"/>
    <w:pPr>
      <w:ind w:left="720"/>
      <w:contextualSpacing/>
    </w:pPr>
  </w:style>
  <w:style w:type="character" w:customStyle="1" w:styleId="Heading2Char">
    <w:name w:val="Heading 2 Char"/>
    <w:basedOn w:val="DefaultParagraphFont"/>
    <w:link w:val="Heading2"/>
    <w:uiPriority w:val="9"/>
    <w:semiHidden/>
    <w:rsid w:val="00233AA7"/>
    <w:rPr>
      <w:rFonts w:asciiTheme="majorHAnsi" w:eastAsiaTheme="majorEastAsia" w:hAnsiTheme="majorHAnsi" w:cstheme="majorBidi"/>
      <w:color w:val="2E74B5" w:themeColor="accent1" w:themeShade="BF"/>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9416E-57B3-4477-A4A0-ECD650DD2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1802</Words>
  <Characters>10275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Single Default Account - Explanatory statement</vt:lpstr>
    </vt:vector>
  </TitlesOfParts>
  <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Default Account - Explanatory statement</dc:title>
  <dc:subject/>
  <dc:creator/>
  <cp:keywords/>
  <dc:description/>
  <cp:lastModifiedBy/>
  <cp:revision>1</cp:revision>
  <dcterms:created xsi:type="dcterms:W3CDTF">2021-04-27T06:31:00Z</dcterms:created>
  <dcterms:modified xsi:type="dcterms:W3CDTF">2021-04-27T06:32:00Z</dcterms:modified>
</cp:coreProperties>
</file>